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dp" ContentType="image/vnd.ms-photo"/>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i/>
          <w:color w:val="4F6228" w:themeColor="accent3" w:themeShade="80"/>
          <w:sz w:val="24"/>
          <w:szCs w:val="24"/>
        </w:rPr>
        <w:id w:val="1372342452"/>
        <w:docPartObj>
          <w:docPartGallery w:val="Cover Pages"/>
          <w:docPartUnique/>
        </w:docPartObj>
      </w:sdtPr>
      <w:sdtEndPr/>
      <w:sdtContent>
        <w:p w14:paraId="14126B81" w14:textId="77777777" w:rsidR="00BD23C3" w:rsidRPr="0050054B" w:rsidRDefault="00BD23C3" w:rsidP="00BD23C3">
          <w:pPr>
            <w:rPr>
              <w:i/>
              <w:color w:val="4F6228" w:themeColor="accent3" w:themeShade="80"/>
              <w:sz w:val="24"/>
              <w:szCs w:val="24"/>
            </w:rPr>
          </w:pPr>
          <w:r w:rsidRPr="0050054B">
            <w:rPr>
              <w:i/>
              <w:noProof/>
              <w:color w:val="4F6228" w:themeColor="accent3" w:themeShade="80"/>
              <w:sz w:val="24"/>
              <w:szCs w:val="24"/>
              <w:lang w:eastAsia="ru-RU"/>
            </w:rPr>
            <mc:AlternateContent>
              <mc:Choice Requires="wpg">
                <w:drawing>
                  <wp:anchor distT="0" distB="0" distL="114300" distR="114300" simplePos="0" relativeHeight="251659264" behindDoc="0" locked="0" layoutInCell="1" allowOverlap="1" wp14:anchorId="078D4E9E" wp14:editId="530DBAD8">
                    <wp:simplePos x="0" y="0"/>
                    <wp:positionH relativeFrom="page">
                      <wp:posOffset>4547235</wp:posOffset>
                    </wp:positionH>
                    <wp:positionV relativeFrom="page">
                      <wp:posOffset>0</wp:posOffset>
                    </wp:positionV>
                    <wp:extent cx="3113405" cy="10058400"/>
                    <wp:effectExtent l="0" t="0" r="6350" b="0"/>
                    <wp:wrapNone/>
                    <wp:docPr id="453" name="Группа 453"/>
                    <wp:cNvGraphicFramePr/>
                    <a:graphic xmlns:a="http://schemas.openxmlformats.org/drawingml/2006/main">
                      <a:graphicData uri="http://schemas.microsoft.com/office/word/2010/wordprocessingGroup">
                        <wpg:wgp>
                          <wpg:cNvGrpSpPr/>
                          <wpg:grpSpPr>
                            <a:xfrm>
                              <a:off x="0" y="0"/>
                              <a:ext cx="3113405" cy="10058400"/>
                              <a:chOff x="0" y="0"/>
                              <a:chExt cx="3113670" cy="10058400"/>
                            </a:xfrm>
                          </wpg:grpSpPr>
                          <wps:wsp>
                            <wps:cNvPr id="459" name="Прямоугольник 459" descr="Light vertical"/>
                            <wps:cNvSpPr>
                              <a:spLocks noChangeArrowheads="1"/>
                            </wps:cNvSpPr>
                            <wps:spPr bwMode="auto">
                              <a:xfrm>
                                <a:off x="0" y="0"/>
                                <a:ext cx="138545" cy="10058400"/>
                              </a:xfrm>
                              <a:prstGeom prst="rect">
                                <a:avLst/>
                              </a:prstGeom>
                              <a:no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5D063573" w14:textId="77777777" w:rsidR="00BD7E1C" w:rsidRDefault="00BD7E1C" w:rsidP="00BD23C3">
                                  <w:pPr>
                                    <w:jc w:val="center"/>
                                  </w:pPr>
                                  <w:r>
                                    <w:t>ё</w:t>
                                  </w:r>
                                </w:p>
                              </w:txbxContent>
                            </wps:txbx>
                            <wps:bodyPr rot="0" vert="horz" wrap="square" lIns="91440" tIns="45720" rIns="91440" bIns="45720" anchor="ctr" anchorCtr="0" upright="1">
                              <a:noAutofit/>
                            </wps:bodyPr>
                          </wps:wsp>
                          <wps:wsp>
                            <wps:cNvPr id="460" name="Прямоугольник 460"/>
                            <wps:cNvSpPr>
                              <a:spLocks noChangeArrowheads="1"/>
                            </wps:cNvSpPr>
                            <wps:spPr bwMode="auto">
                              <a:xfrm>
                                <a:off x="124691" y="0"/>
                                <a:ext cx="2971800" cy="10058400"/>
                              </a:xfrm>
                              <a:prstGeom prst="rect">
                                <a:avLst/>
                              </a:prstGeom>
                              <a:solidFill>
                                <a:schemeClr val="accent3">
                                  <a:lumMod val="5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Прямоугольник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18B77FFA" w14:textId="77777777" w:rsidR="00BD7E1C" w:rsidRPr="00DC2CC1" w:rsidRDefault="00BD7E1C" w:rsidP="00BD23C3">
                                  <w:pPr>
                                    <w:pStyle w:val="a9"/>
                                    <w:rPr>
                                      <w:i/>
                                      <w:sz w:val="96"/>
                                      <w:szCs w:val="96"/>
                                    </w:rPr>
                                  </w:pPr>
                                  <w:r>
                                    <w:rPr>
                                      <w:i/>
                                      <w:color w:val="FFFFFF" w:themeColor="background1"/>
                                      <w:sz w:val="96"/>
                                      <w:szCs w:val="96"/>
                                      <w:lang w:val="en-US"/>
                                    </w:rPr>
                                    <w:t>2020</w:t>
                                  </w:r>
                                </w:p>
                              </w:txbxContent>
                            </wps:txbx>
                            <wps:bodyPr rot="0" vert="horz" wrap="square" lIns="365760" tIns="182880" rIns="182880" bIns="182880" anchor="b" anchorCtr="0" upright="1">
                              <a:noAutofit/>
                            </wps:bodyPr>
                          </wps:wsp>
                          <wps:wsp>
                            <wps:cNvPr id="462" name="Прямоугольник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0F57DA50" w14:textId="77777777" w:rsidR="00BD7E1C" w:rsidRDefault="00BD7E1C" w:rsidP="00BD23C3">
                                  <w:pPr>
                                    <w:pStyle w:val="a9"/>
                                    <w:spacing w:line="360" w:lineRule="auto"/>
                                    <w:rPr>
                                      <w:color w:val="FFFFFF" w:themeColor="background1"/>
                                    </w:rPr>
                                  </w:pP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078D4E9E" id="Группа 453" o:spid="_x0000_s1026" style="position:absolute;margin-left:358.05pt;margin-top:0;width:245.15pt;height:11in;z-index:251659264;mso-width-percent:400;mso-height-percent:1000;mso-position-horizontal-relative:page;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">
                    <v:rect id="Прямоугольник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" filled="f" stroked="f" strokecolor="white" strokeweight="1pt">
                      <v:shadow color="#d8d8d8" offset="3pt,3pt"/>
                      <v:textbox>
                        <w:txbxContent>
                          <w:p w14:paraId="5D063573" w14:textId="77777777" w:rsidR="00BD7E1C" w:rsidRDefault="00BD7E1C" w:rsidP="00BD23C3">
                            <w:pPr>
                              <w:jc w:val="center"/>
                            </w:pPr>
                            <w:r>
                              <w:t>ё</w:t>
                            </w:r>
                          </w:p>
                        </w:txbxContent>
                      </v:textbox>
                    </v:rect>
                    <v:rect id="Прямоугольник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" fillcolor="#4e6128 [1606]" stroked="f" strokecolor="#d8d8d8"/>
                    <v:rect id="Прямоугольник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p w14:paraId="18B77FFA" w14:textId="77777777" w:rsidR="00BD7E1C" w:rsidRPr="00DC2CC1" w:rsidRDefault="00BD7E1C" w:rsidP="00BD23C3">
                            <w:pPr>
                              <w:pStyle w:val="a9"/>
                              <w:rPr>
                                <w:i/>
                                <w:sz w:val="96"/>
                                <w:szCs w:val="96"/>
                              </w:rPr>
                            </w:pPr>
                            <w:r>
                              <w:rPr>
                                <w:i/>
                                <w:color w:val="FFFFFF" w:themeColor="background1"/>
                                <w:sz w:val="96"/>
                                <w:szCs w:val="96"/>
                                <w:lang w:val="en-US"/>
                              </w:rPr>
                              <w:t>2020</w:t>
                            </w:r>
                          </w:p>
                        </w:txbxContent>
                      </v:textbox>
                    </v:rect>
                    <v:rect id="Прямоугольник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p w14:paraId="0F57DA50" w14:textId="77777777" w:rsidR="00BD7E1C" w:rsidRDefault="00BD7E1C" w:rsidP="00BD23C3">
                            <w:pPr>
                              <w:pStyle w:val="a9"/>
                              <w:spacing w:line="360" w:lineRule="auto"/>
                              <w:rPr>
                                <w:color w:val="FFFFFF" w:themeColor="background1"/>
                              </w:rPr>
                            </w:pPr>
                          </w:p>
                        </w:txbxContent>
                      </v:textbox>
                    </v:rect>
                    <w10:wrap anchorx="page" anchory="page"/>
                  </v:group>
                </w:pict>
              </mc:Fallback>
            </mc:AlternateContent>
          </w:r>
          <w:r w:rsidRPr="0050054B">
            <w:rPr>
              <w:i/>
              <w:noProof/>
              <w:color w:val="4F6228" w:themeColor="accent3" w:themeShade="80"/>
              <w:sz w:val="24"/>
              <w:szCs w:val="24"/>
              <w:lang w:eastAsia="ru-RU"/>
            </w:rPr>
            <w:drawing>
              <wp:inline distT="0" distB="0" distL="0" distR="0" wp14:anchorId="50C5DA31" wp14:editId="51506EF4">
                <wp:extent cx="2108959" cy="923925"/>
                <wp:effectExtent l="0" t="0" r="5715" b="0"/>
                <wp:docPr id="451" name="Рисунок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BEBA8EAE-BF5A-486C-A8C5-ECC9F3942E4B}">
                              <a14:imgProps xmlns:a14="http://schemas.microsoft.com/office/drawing/2010/main">
                                <a14:imgLayer r:embed="rId9">
                                  <a14:imgEffect>
                                    <a14:sharpenSoften amount="-50000"/>
                                  </a14:imgEffect>
                                  <a14:imgEffect>
                                    <a14:saturation sat="200000"/>
                                  </a14:imgEffect>
                                </a14:imgLayer>
                              </a14:imgProps>
                            </a:ext>
                            <a:ext uri="{28A0092B-C50C-407E-A947-70E740481C1C}">
                              <a14:useLocalDpi xmlns:a14="http://schemas.microsoft.com/office/drawing/2010/main" val="0"/>
                            </a:ext>
                          </a:extLst>
                        </a:blip>
                        <a:stretch>
                          <a:fillRect/>
                        </a:stretch>
                      </pic:blipFill>
                      <pic:spPr>
                        <a:xfrm>
                          <a:off x="0" y="0"/>
                          <a:ext cx="2108959" cy="923925"/>
                        </a:xfrm>
                        <a:prstGeom prst="rect">
                          <a:avLst/>
                        </a:prstGeom>
                      </pic:spPr>
                    </pic:pic>
                  </a:graphicData>
                </a:graphic>
              </wp:inline>
            </w:drawing>
          </w:r>
        </w:p>
        <w:p w14:paraId="21B2ED8F" w14:textId="77777777" w:rsidR="00BD23C3" w:rsidRPr="0050054B" w:rsidRDefault="00BD23C3" w:rsidP="00BD23C3">
          <w:pPr>
            <w:rPr>
              <w:i/>
              <w:color w:val="4F6228" w:themeColor="accent3" w:themeShade="80"/>
              <w:sz w:val="24"/>
              <w:szCs w:val="24"/>
            </w:rPr>
          </w:pPr>
          <w:r w:rsidRPr="0050054B">
            <w:rPr>
              <w:i/>
              <w:noProof/>
              <w:color w:val="4F6228" w:themeColor="accent3" w:themeShade="80"/>
              <w:sz w:val="24"/>
              <w:szCs w:val="24"/>
              <w:lang w:eastAsia="ru-RU"/>
            </w:rPr>
            <mc:AlternateContent>
              <mc:Choice Requires="wps">
                <w:drawing>
                  <wp:anchor distT="0" distB="0" distL="114300" distR="114300" simplePos="0" relativeHeight="251660288" behindDoc="0" locked="0" layoutInCell="0" allowOverlap="1" wp14:anchorId="15BD68BA" wp14:editId="142A33A9">
                    <wp:simplePos x="0" y="0"/>
                    <wp:positionH relativeFrom="page">
                      <wp:align>left</wp:align>
                    </wp:positionH>
                    <wp:positionV relativeFrom="page">
                      <wp:posOffset>2705100</wp:posOffset>
                    </wp:positionV>
                    <wp:extent cx="6810233" cy="4377690"/>
                    <wp:effectExtent l="0" t="0" r="10160" b="22860"/>
                    <wp:wrapNone/>
                    <wp:docPr id="463" name="Прямоугольник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10233" cy="4377690"/>
                            </a:xfrm>
                            <a:prstGeom prst="rect">
                              <a:avLst/>
                            </a:prstGeom>
                            <a:solidFill>
                              <a:schemeClr val="bg2">
                                <a:lumMod val="75000"/>
                              </a:schemeClr>
                            </a:solidFill>
                            <a:ln w="19050">
                              <a:solidFill>
                                <a:schemeClr val="tx1"/>
                              </a:solidFill>
                              <a:miter lim="800000"/>
                              <a:headEnd/>
                              <a:tailEnd/>
                            </a:ln>
                            <a:effectLst>
                              <a:softEdge rad="50800"/>
                            </a:effectLst>
                          </wps:spPr>
                          <wps:txbx>
                            <w:txbxContent>
                              <w:p w14:paraId="2B05FB3B" w14:textId="77777777" w:rsidR="00BD7E1C" w:rsidRPr="00C355DA" w:rsidRDefault="00BD7E1C" w:rsidP="00874840">
                                <w:pPr>
                                  <w:pStyle w:val="a9"/>
                                  <w:shd w:val="clear" w:color="auto" w:fill="C4BC96" w:themeFill="background2" w:themeFillShade="BF"/>
                                  <w:ind w:left="284"/>
                                  <w:jc w:val="center"/>
                                  <w:rPr>
                                    <w:b/>
                                    <w:sz w:val="48"/>
                                    <w:szCs w:val="48"/>
                                    <w:shd w:val="clear" w:color="auto" w:fill="C4BC96" w:themeFill="background2" w:themeFillShade="BF"/>
                                  </w:rPr>
                                </w:pPr>
                                <w:r w:rsidRPr="00C355DA">
                                  <w:rPr>
                                    <w:b/>
                                    <w:sz w:val="48"/>
                                    <w:szCs w:val="48"/>
                                    <w:shd w:val="clear" w:color="auto" w:fill="C4BC96" w:themeFill="background2" w:themeFillShade="BF"/>
                                  </w:rPr>
                                  <w:t>Отчет</w:t>
                                </w:r>
                              </w:p>
                              <w:p w14:paraId="1F83C06E" w14:textId="51CF7D5E" w:rsidR="00BD7E1C" w:rsidRPr="00C355DA" w:rsidRDefault="00BD7E1C" w:rsidP="00874840">
                                <w:pPr>
                                  <w:pStyle w:val="a9"/>
                                  <w:shd w:val="clear" w:color="auto" w:fill="C4BC96" w:themeFill="background2" w:themeFillShade="BF"/>
                                  <w:ind w:left="284"/>
                                  <w:jc w:val="center"/>
                                  <w:rPr>
                                    <w:b/>
                                    <w:sz w:val="36"/>
                                    <w:szCs w:val="36"/>
                                    <w:shd w:val="clear" w:color="auto" w:fill="C4BC96" w:themeFill="background2" w:themeFillShade="BF"/>
                                  </w:rPr>
                                </w:pPr>
                                <w:r w:rsidRPr="00C355DA">
                                  <w:rPr>
                                    <w:b/>
                                    <w:sz w:val="36"/>
                                    <w:szCs w:val="36"/>
                                    <w:shd w:val="clear" w:color="auto" w:fill="C4BC96" w:themeFill="background2" w:themeFillShade="BF"/>
                                  </w:rPr>
                                  <w:t>по результатам анализа принятых регулирующим органом тарифно-балансовых решений за 2019 год в отношении ДЗО ПАО «МРСК Сибири» АО «Тываэнерго»</w:t>
                                </w:r>
                              </w:p>
                              <w:p w14:paraId="5322A5CA" w14:textId="1F2E4775" w:rsidR="00BD7E1C" w:rsidRPr="00C355DA" w:rsidRDefault="00BD7E1C" w:rsidP="00874840">
                                <w:pPr>
                                  <w:pStyle w:val="a9"/>
                                  <w:shd w:val="clear" w:color="auto" w:fill="C4BC96" w:themeFill="background2" w:themeFillShade="BF"/>
                                  <w:ind w:left="284"/>
                                  <w:jc w:val="center"/>
                                  <w:rPr>
                                    <w:b/>
                                    <w:sz w:val="28"/>
                                    <w:szCs w:val="28"/>
                                    <w:shd w:val="clear" w:color="auto" w:fill="C4BC96" w:themeFill="background2" w:themeFillShade="BF"/>
                                  </w:rPr>
                                </w:pPr>
                                <w:r w:rsidRPr="00C355DA">
                                  <w:rPr>
                                    <w:b/>
                                    <w:sz w:val="28"/>
                                    <w:szCs w:val="28"/>
                                    <w:shd w:val="clear" w:color="auto" w:fill="C4BC96" w:themeFill="background2" w:themeFillShade="BF"/>
                                  </w:rPr>
                                  <w:t>по Договору</w:t>
                                </w:r>
                                <w:r>
                                  <w:rPr>
                                    <w:b/>
                                    <w:sz w:val="28"/>
                                    <w:szCs w:val="28"/>
                                    <w:shd w:val="clear" w:color="auto" w:fill="C4BC96" w:themeFill="background2" w:themeFillShade="BF"/>
                                  </w:rPr>
                                  <w:t xml:space="preserve"> на</w:t>
                                </w:r>
                                <w:r w:rsidRPr="00C355DA">
                                  <w:rPr>
                                    <w:b/>
                                    <w:sz w:val="28"/>
                                    <w:szCs w:val="28"/>
                                    <w:shd w:val="clear" w:color="auto" w:fill="C4BC96" w:themeFill="background2" w:themeFillShade="BF"/>
                                  </w:rPr>
                                  <w:t xml:space="preserve"> оказани</w:t>
                                </w:r>
                                <w:r>
                                  <w:rPr>
                                    <w:b/>
                                    <w:sz w:val="28"/>
                                    <w:szCs w:val="28"/>
                                    <w:shd w:val="clear" w:color="auto" w:fill="C4BC96" w:themeFill="background2" w:themeFillShade="BF"/>
                                  </w:rPr>
                                  <w:t>е</w:t>
                                </w:r>
                                <w:r w:rsidRPr="00C355DA">
                                  <w:rPr>
                                    <w:b/>
                                    <w:sz w:val="28"/>
                                    <w:szCs w:val="28"/>
                                    <w:shd w:val="clear" w:color="auto" w:fill="C4BC96" w:themeFill="background2" w:themeFillShade="BF"/>
                                  </w:rPr>
                                  <w:t xml:space="preserve"> услуг по проведению экспертизы тарифно-балансовых решений, принятых регулирующими органами </w:t>
                                </w:r>
                                <w:r>
                                  <w:rPr>
                                    <w:b/>
                                    <w:sz w:val="28"/>
                                    <w:szCs w:val="28"/>
                                    <w:shd w:val="clear" w:color="auto" w:fill="C4BC96" w:themeFill="background2" w:themeFillShade="BF"/>
                                  </w:rPr>
                                  <w:br/>
                                </w:r>
                                <w:r w:rsidRPr="00C355DA">
                                  <w:rPr>
                                    <w:b/>
                                    <w:sz w:val="28"/>
                                    <w:szCs w:val="28"/>
                                    <w:shd w:val="clear" w:color="auto" w:fill="C4BC96" w:themeFill="background2" w:themeFillShade="BF"/>
                                  </w:rPr>
                                  <w:t>за период 2017-2019гг.,</w:t>
                                </w:r>
                                <w:r>
                                  <w:rPr>
                                    <w:b/>
                                    <w:sz w:val="28"/>
                                    <w:szCs w:val="28"/>
                                    <w:shd w:val="clear" w:color="auto" w:fill="C4BC96" w:themeFill="background2" w:themeFillShade="BF"/>
                                  </w:rPr>
                                  <w:t xml:space="preserve"> </w:t>
                                </w:r>
                                <w:r>
                                  <w:rPr>
                                    <w:b/>
                                    <w:sz w:val="28"/>
                                    <w:szCs w:val="28"/>
                                    <w:shd w:val="clear" w:color="auto" w:fill="C4BC96" w:themeFill="background2" w:themeFillShade="BF"/>
                                  </w:rPr>
                                  <w:br/>
                                </w:r>
                                <w:r w:rsidRPr="00C355DA">
                                  <w:rPr>
                                    <w:b/>
                                    <w:sz w:val="28"/>
                                    <w:szCs w:val="28"/>
                                    <w:shd w:val="clear" w:color="auto" w:fill="C4BC96" w:themeFill="background2" w:themeFillShade="BF"/>
                                  </w:rPr>
                                  <w:t xml:space="preserve">№ </w:t>
                                </w:r>
                                <w:r>
                                  <w:rPr>
                                    <w:b/>
                                    <w:sz w:val="28"/>
                                    <w:szCs w:val="28"/>
                                    <w:shd w:val="clear" w:color="auto" w:fill="C4BC96" w:themeFill="background2" w:themeFillShade="BF"/>
                                  </w:rPr>
                                  <w:t>18.4000.34.20</w:t>
                                </w:r>
                                <w:r w:rsidRPr="00C355DA">
                                  <w:rPr>
                                    <w:b/>
                                    <w:sz w:val="28"/>
                                    <w:szCs w:val="28"/>
                                    <w:shd w:val="clear" w:color="auto" w:fill="C4BC96" w:themeFill="background2" w:themeFillShade="BF"/>
                                  </w:rPr>
                                  <w:t xml:space="preserve"> от 29.01.2020 года</w:t>
                                </w:r>
                              </w:p>
                              <w:p w14:paraId="22F826CB" w14:textId="77777777" w:rsidR="00BD7E1C" w:rsidRPr="00963C82" w:rsidRDefault="00BD7E1C" w:rsidP="00874840">
                                <w:pPr>
                                  <w:pStyle w:val="a9"/>
                                  <w:shd w:val="clear" w:color="auto" w:fill="C4BC96" w:themeFill="background2" w:themeFillShade="BF"/>
                                  <w:ind w:left="284"/>
                                  <w:jc w:val="center"/>
                                  <w:rPr>
                                    <w:sz w:val="36"/>
                                    <w:szCs w:val="36"/>
                                  </w:rPr>
                                </w:pPr>
                                <w:r w:rsidRPr="00C355DA">
                                  <w:rPr>
                                    <w:b/>
                                    <w:sz w:val="36"/>
                                    <w:szCs w:val="36"/>
                                    <w:shd w:val="clear" w:color="auto" w:fill="C4BC96" w:themeFill="background2" w:themeFillShade="BF"/>
                                  </w:rPr>
                                  <w:t>Этап № 1.1.2.</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5BD68BA" id="Прямоугольник 16" o:spid="_x0000_s1031" style="position:absolute;margin-left:0;margin-top:213pt;width:536.25pt;height:344.7pt;z-index:251660288;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" o:allowincell="f" fillcolor="#c4bc96 [2414]" strokecolor="black [3213]" strokeweight="1.5pt">
                    <v:textbox inset="14.4pt,,14.4pt">
                      <w:txbxContent>
                        <w:p w14:paraId="2B05FB3B" w14:textId="77777777" w:rsidR="00BD7E1C" w:rsidRPr="00C355DA" w:rsidRDefault="00BD7E1C" w:rsidP="00874840">
                          <w:pPr>
                            <w:pStyle w:val="a9"/>
                            <w:shd w:val="clear" w:color="auto" w:fill="C4BC96" w:themeFill="background2" w:themeFillShade="BF"/>
                            <w:ind w:left="284"/>
                            <w:jc w:val="center"/>
                            <w:rPr>
                              <w:b/>
                              <w:sz w:val="48"/>
                              <w:szCs w:val="48"/>
                              <w:shd w:val="clear" w:color="auto" w:fill="C4BC96" w:themeFill="background2" w:themeFillShade="BF"/>
                            </w:rPr>
                          </w:pPr>
                          <w:r w:rsidRPr="00C355DA">
                            <w:rPr>
                              <w:b/>
                              <w:sz w:val="48"/>
                              <w:szCs w:val="48"/>
                              <w:shd w:val="clear" w:color="auto" w:fill="C4BC96" w:themeFill="background2" w:themeFillShade="BF"/>
                            </w:rPr>
                            <w:t>Отчет</w:t>
                          </w:r>
                        </w:p>
                        <w:p w14:paraId="1F83C06E" w14:textId="51CF7D5E" w:rsidR="00BD7E1C" w:rsidRPr="00C355DA" w:rsidRDefault="00BD7E1C" w:rsidP="00874840">
                          <w:pPr>
                            <w:pStyle w:val="a9"/>
                            <w:shd w:val="clear" w:color="auto" w:fill="C4BC96" w:themeFill="background2" w:themeFillShade="BF"/>
                            <w:ind w:left="284"/>
                            <w:jc w:val="center"/>
                            <w:rPr>
                              <w:b/>
                              <w:sz w:val="36"/>
                              <w:szCs w:val="36"/>
                              <w:shd w:val="clear" w:color="auto" w:fill="C4BC96" w:themeFill="background2" w:themeFillShade="BF"/>
                            </w:rPr>
                          </w:pPr>
                          <w:r w:rsidRPr="00C355DA">
                            <w:rPr>
                              <w:b/>
                              <w:sz w:val="36"/>
                              <w:szCs w:val="36"/>
                              <w:shd w:val="clear" w:color="auto" w:fill="C4BC96" w:themeFill="background2" w:themeFillShade="BF"/>
                            </w:rPr>
                            <w:t>по результатам анализа принятых регулирующим органом тарифно-балансовых решений за 2019 год в отношении ДЗО ПАО «МРСК Сибири» АО «Тываэнерго»</w:t>
                          </w:r>
                        </w:p>
                        <w:p w14:paraId="5322A5CA" w14:textId="1F2E4775" w:rsidR="00BD7E1C" w:rsidRPr="00C355DA" w:rsidRDefault="00BD7E1C" w:rsidP="00874840">
                          <w:pPr>
                            <w:pStyle w:val="a9"/>
                            <w:shd w:val="clear" w:color="auto" w:fill="C4BC96" w:themeFill="background2" w:themeFillShade="BF"/>
                            <w:ind w:left="284"/>
                            <w:jc w:val="center"/>
                            <w:rPr>
                              <w:b/>
                              <w:sz w:val="28"/>
                              <w:szCs w:val="28"/>
                              <w:shd w:val="clear" w:color="auto" w:fill="C4BC96" w:themeFill="background2" w:themeFillShade="BF"/>
                            </w:rPr>
                          </w:pPr>
                          <w:r w:rsidRPr="00C355DA">
                            <w:rPr>
                              <w:b/>
                              <w:sz w:val="28"/>
                              <w:szCs w:val="28"/>
                              <w:shd w:val="clear" w:color="auto" w:fill="C4BC96" w:themeFill="background2" w:themeFillShade="BF"/>
                            </w:rPr>
                            <w:t>по Договору</w:t>
                          </w:r>
                          <w:r>
                            <w:rPr>
                              <w:b/>
                              <w:sz w:val="28"/>
                              <w:szCs w:val="28"/>
                              <w:shd w:val="clear" w:color="auto" w:fill="C4BC96" w:themeFill="background2" w:themeFillShade="BF"/>
                            </w:rPr>
                            <w:t xml:space="preserve"> на</w:t>
                          </w:r>
                          <w:r w:rsidRPr="00C355DA">
                            <w:rPr>
                              <w:b/>
                              <w:sz w:val="28"/>
                              <w:szCs w:val="28"/>
                              <w:shd w:val="clear" w:color="auto" w:fill="C4BC96" w:themeFill="background2" w:themeFillShade="BF"/>
                            </w:rPr>
                            <w:t xml:space="preserve"> оказани</w:t>
                          </w:r>
                          <w:r>
                            <w:rPr>
                              <w:b/>
                              <w:sz w:val="28"/>
                              <w:szCs w:val="28"/>
                              <w:shd w:val="clear" w:color="auto" w:fill="C4BC96" w:themeFill="background2" w:themeFillShade="BF"/>
                            </w:rPr>
                            <w:t>е</w:t>
                          </w:r>
                          <w:r w:rsidRPr="00C355DA">
                            <w:rPr>
                              <w:b/>
                              <w:sz w:val="28"/>
                              <w:szCs w:val="28"/>
                              <w:shd w:val="clear" w:color="auto" w:fill="C4BC96" w:themeFill="background2" w:themeFillShade="BF"/>
                            </w:rPr>
                            <w:t xml:space="preserve"> услуг по проведению экспертизы тарифно-балансовых решений, принятых регулирующими органами </w:t>
                          </w:r>
                          <w:r>
                            <w:rPr>
                              <w:b/>
                              <w:sz w:val="28"/>
                              <w:szCs w:val="28"/>
                              <w:shd w:val="clear" w:color="auto" w:fill="C4BC96" w:themeFill="background2" w:themeFillShade="BF"/>
                            </w:rPr>
                            <w:br/>
                          </w:r>
                          <w:r w:rsidRPr="00C355DA">
                            <w:rPr>
                              <w:b/>
                              <w:sz w:val="28"/>
                              <w:szCs w:val="28"/>
                              <w:shd w:val="clear" w:color="auto" w:fill="C4BC96" w:themeFill="background2" w:themeFillShade="BF"/>
                            </w:rPr>
                            <w:t>за период 2017-2019гг.,</w:t>
                          </w:r>
                          <w:r>
                            <w:rPr>
                              <w:b/>
                              <w:sz w:val="28"/>
                              <w:szCs w:val="28"/>
                              <w:shd w:val="clear" w:color="auto" w:fill="C4BC96" w:themeFill="background2" w:themeFillShade="BF"/>
                            </w:rPr>
                            <w:t xml:space="preserve"> </w:t>
                          </w:r>
                          <w:r>
                            <w:rPr>
                              <w:b/>
                              <w:sz w:val="28"/>
                              <w:szCs w:val="28"/>
                              <w:shd w:val="clear" w:color="auto" w:fill="C4BC96" w:themeFill="background2" w:themeFillShade="BF"/>
                            </w:rPr>
                            <w:br/>
                          </w:r>
                          <w:r w:rsidRPr="00C355DA">
                            <w:rPr>
                              <w:b/>
                              <w:sz w:val="28"/>
                              <w:szCs w:val="28"/>
                              <w:shd w:val="clear" w:color="auto" w:fill="C4BC96" w:themeFill="background2" w:themeFillShade="BF"/>
                            </w:rPr>
                            <w:t xml:space="preserve">№ </w:t>
                          </w:r>
                          <w:r>
                            <w:rPr>
                              <w:b/>
                              <w:sz w:val="28"/>
                              <w:szCs w:val="28"/>
                              <w:shd w:val="clear" w:color="auto" w:fill="C4BC96" w:themeFill="background2" w:themeFillShade="BF"/>
                            </w:rPr>
                            <w:t>18.4000.34.20</w:t>
                          </w:r>
                          <w:r w:rsidRPr="00C355DA">
                            <w:rPr>
                              <w:b/>
                              <w:sz w:val="28"/>
                              <w:szCs w:val="28"/>
                              <w:shd w:val="clear" w:color="auto" w:fill="C4BC96" w:themeFill="background2" w:themeFillShade="BF"/>
                            </w:rPr>
                            <w:t xml:space="preserve"> от 29.01.2020 года</w:t>
                          </w:r>
                        </w:p>
                        <w:p w14:paraId="22F826CB" w14:textId="77777777" w:rsidR="00BD7E1C" w:rsidRPr="00963C82" w:rsidRDefault="00BD7E1C" w:rsidP="00874840">
                          <w:pPr>
                            <w:pStyle w:val="a9"/>
                            <w:shd w:val="clear" w:color="auto" w:fill="C4BC96" w:themeFill="background2" w:themeFillShade="BF"/>
                            <w:ind w:left="284"/>
                            <w:jc w:val="center"/>
                            <w:rPr>
                              <w:sz w:val="36"/>
                              <w:szCs w:val="36"/>
                            </w:rPr>
                          </w:pPr>
                          <w:r w:rsidRPr="00C355DA">
                            <w:rPr>
                              <w:b/>
                              <w:sz w:val="36"/>
                              <w:szCs w:val="36"/>
                              <w:shd w:val="clear" w:color="auto" w:fill="C4BC96" w:themeFill="background2" w:themeFillShade="BF"/>
                            </w:rPr>
                            <w:t>Этап № 1.1.2.</w:t>
                          </w:r>
                        </w:p>
                      </w:txbxContent>
                    </v:textbox>
                    <w10:wrap anchorx="page" anchory="page"/>
                  </v:rect>
                </w:pict>
              </mc:Fallback>
            </mc:AlternateContent>
          </w:r>
          <w:r w:rsidRPr="0050054B">
            <w:rPr>
              <w:i/>
              <w:color w:val="4F6228" w:themeColor="accent3" w:themeShade="80"/>
              <w:sz w:val="24"/>
              <w:szCs w:val="24"/>
            </w:rPr>
            <w:br w:type="page"/>
          </w:r>
        </w:p>
      </w:sdtContent>
    </w:sdt>
    <w:sdt>
      <w:sdtPr>
        <w:rPr>
          <w:rFonts w:ascii="Myriad Pro" w:eastAsiaTheme="minorHAnsi" w:hAnsi="Myriad Pro" w:cstheme="minorBidi"/>
          <w:b/>
          <w:bCs/>
          <w:iCs/>
          <w:color w:val="4F6228" w:themeColor="accent3" w:themeShade="80"/>
          <w:sz w:val="24"/>
          <w:szCs w:val="24"/>
          <w:lang w:eastAsia="en-US"/>
        </w:rPr>
        <w:id w:val="163989845"/>
        <w:docPartObj>
          <w:docPartGallery w:val="Table of Contents"/>
          <w:docPartUnique/>
        </w:docPartObj>
      </w:sdtPr>
      <w:sdtEndPr>
        <w:rPr>
          <w:rFonts w:cs="Times New Roman"/>
          <w:i/>
          <w:iCs w:val="0"/>
        </w:rPr>
      </w:sdtEndPr>
      <w:sdtContent>
        <w:p w14:paraId="68505B8B" w14:textId="77777777" w:rsidR="00BD23C3" w:rsidRPr="00E60E99" w:rsidRDefault="00BD23C3" w:rsidP="00BD23C3">
          <w:pPr>
            <w:pStyle w:val="a8"/>
            <w:rPr>
              <w:rFonts w:ascii="Myriad Pro" w:hAnsi="Myriad Pro"/>
              <w:b/>
              <w:bCs/>
              <w:iCs/>
              <w:color w:val="4F6228" w:themeColor="accent3" w:themeShade="80"/>
              <w:sz w:val="26"/>
              <w:szCs w:val="26"/>
            </w:rPr>
          </w:pPr>
          <w:r w:rsidRPr="00E60E99">
            <w:rPr>
              <w:rFonts w:ascii="Myriad Pro" w:hAnsi="Myriad Pro"/>
              <w:b/>
              <w:bCs/>
              <w:iCs/>
              <w:color w:val="4F6228" w:themeColor="accent3" w:themeShade="80"/>
              <w:sz w:val="26"/>
              <w:szCs w:val="26"/>
            </w:rPr>
            <w:t>Оглавление</w:t>
          </w:r>
        </w:p>
        <w:p w14:paraId="1976B17D" w14:textId="19B2A39F" w:rsidR="006138A4" w:rsidRPr="009E129A" w:rsidRDefault="00BD23C3" w:rsidP="00E72D6E">
          <w:pPr>
            <w:pStyle w:val="31"/>
            <w:tabs>
              <w:tab w:val="left" w:pos="880"/>
              <w:tab w:val="right" w:leader="dot" w:pos="9345"/>
            </w:tabs>
            <w:spacing w:after="0" w:line="247" w:lineRule="auto"/>
            <w:ind w:left="442"/>
            <w:jc w:val="both"/>
            <w:rPr>
              <w:rFonts w:asciiTheme="minorHAnsi" w:eastAsiaTheme="minorEastAsia" w:hAnsiTheme="minorHAnsi" w:cstheme="minorBidi"/>
              <w:b/>
              <w:bCs/>
              <w:noProof/>
              <w:color w:val="auto"/>
              <w:sz w:val="22"/>
              <w:szCs w:val="22"/>
              <w:lang w:eastAsia="ru-RU"/>
            </w:rPr>
          </w:pPr>
          <w:r w:rsidRPr="009E129A">
            <w:rPr>
              <w:b/>
              <w:bCs/>
              <w:i/>
              <w:color w:val="4F6228" w:themeColor="accent3" w:themeShade="80"/>
              <w:sz w:val="22"/>
              <w:szCs w:val="22"/>
            </w:rPr>
            <w:fldChar w:fldCharType="begin"/>
          </w:r>
          <w:r w:rsidRPr="009E129A">
            <w:rPr>
              <w:b/>
              <w:bCs/>
              <w:i/>
              <w:color w:val="4F6228" w:themeColor="accent3" w:themeShade="80"/>
              <w:sz w:val="22"/>
              <w:szCs w:val="22"/>
            </w:rPr>
            <w:instrText xml:space="preserve"> TOC \o "1-3" \h \z \u </w:instrText>
          </w:r>
          <w:r w:rsidRPr="009E129A">
            <w:rPr>
              <w:b/>
              <w:bCs/>
              <w:i/>
              <w:color w:val="4F6228" w:themeColor="accent3" w:themeShade="80"/>
              <w:sz w:val="22"/>
              <w:szCs w:val="22"/>
            </w:rPr>
            <w:fldChar w:fldCharType="separate"/>
          </w:r>
          <w:hyperlink w:anchor="_Toc40733172" w:history="1">
            <w:r w:rsidR="006138A4" w:rsidRPr="009E129A">
              <w:rPr>
                <w:rStyle w:val="a7"/>
                <w:b/>
                <w:bCs/>
                <w:noProof/>
                <w:sz w:val="22"/>
                <w:szCs w:val="22"/>
              </w:rPr>
              <w:t>1.</w:t>
            </w:r>
            <w:r w:rsidR="006138A4" w:rsidRPr="009E129A">
              <w:rPr>
                <w:rFonts w:asciiTheme="minorHAnsi" w:eastAsiaTheme="minorEastAsia" w:hAnsiTheme="minorHAnsi" w:cstheme="minorBidi"/>
                <w:b/>
                <w:bCs/>
                <w:noProof/>
                <w:color w:val="auto"/>
                <w:sz w:val="22"/>
                <w:szCs w:val="22"/>
                <w:lang w:eastAsia="ru-RU"/>
              </w:rPr>
              <w:tab/>
            </w:r>
            <w:r w:rsidR="006138A4" w:rsidRPr="009E129A">
              <w:rPr>
                <w:rStyle w:val="a7"/>
                <w:b/>
                <w:bCs/>
                <w:noProof/>
                <w:sz w:val="22"/>
                <w:szCs w:val="22"/>
              </w:rPr>
              <w:t>Вводная часть</w:t>
            </w:r>
            <w:r w:rsidR="006138A4" w:rsidRPr="009E129A">
              <w:rPr>
                <w:b/>
                <w:bCs/>
                <w:noProof/>
                <w:webHidden/>
                <w:sz w:val="22"/>
                <w:szCs w:val="22"/>
              </w:rPr>
              <w:tab/>
            </w:r>
            <w:r w:rsidR="006138A4" w:rsidRPr="009E129A">
              <w:rPr>
                <w:b/>
                <w:bCs/>
                <w:noProof/>
                <w:webHidden/>
                <w:sz w:val="22"/>
                <w:szCs w:val="22"/>
              </w:rPr>
              <w:fldChar w:fldCharType="begin"/>
            </w:r>
            <w:r w:rsidR="006138A4" w:rsidRPr="009E129A">
              <w:rPr>
                <w:b/>
                <w:bCs/>
                <w:noProof/>
                <w:webHidden/>
                <w:sz w:val="22"/>
                <w:szCs w:val="22"/>
              </w:rPr>
              <w:instrText xml:space="preserve"> PAGEREF _Toc40733172 \h </w:instrText>
            </w:r>
            <w:r w:rsidR="006138A4" w:rsidRPr="009E129A">
              <w:rPr>
                <w:b/>
                <w:bCs/>
                <w:noProof/>
                <w:webHidden/>
                <w:sz w:val="22"/>
                <w:szCs w:val="22"/>
              </w:rPr>
            </w:r>
            <w:r w:rsidR="006138A4" w:rsidRPr="009E129A">
              <w:rPr>
                <w:b/>
                <w:bCs/>
                <w:noProof/>
                <w:webHidden/>
                <w:sz w:val="22"/>
                <w:szCs w:val="22"/>
              </w:rPr>
              <w:fldChar w:fldCharType="separate"/>
            </w:r>
            <w:r w:rsidR="00AE5C11">
              <w:rPr>
                <w:b/>
                <w:bCs/>
                <w:noProof/>
                <w:webHidden/>
                <w:sz w:val="22"/>
                <w:szCs w:val="22"/>
              </w:rPr>
              <w:t>5</w:t>
            </w:r>
            <w:r w:rsidR="006138A4" w:rsidRPr="009E129A">
              <w:rPr>
                <w:b/>
                <w:bCs/>
                <w:noProof/>
                <w:webHidden/>
                <w:sz w:val="22"/>
                <w:szCs w:val="22"/>
              </w:rPr>
              <w:fldChar w:fldCharType="end"/>
            </w:r>
          </w:hyperlink>
        </w:p>
        <w:p w14:paraId="7983CC5E" w14:textId="79D93810" w:rsidR="006138A4" w:rsidRPr="009E129A" w:rsidRDefault="00B87291" w:rsidP="00E72D6E">
          <w:pPr>
            <w:pStyle w:val="31"/>
            <w:tabs>
              <w:tab w:val="left" w:pos="1100"/>
              <w:tab w:val="right" w:leader="dot" w:pos="9345"/>
            </w:tabs>
            <w:spacing w:after="0" w:line="247" w:lineRule="auto"/>
            <w:ind w:left="442"/>
            <w:jc w:val="both"/>
            <w:rPr>
              <w:rFonts w:asciiTheme="minorHAnsi" w:eastAsiaTheme="minorEastAsia" w:hAnsiTheme="minorHAnsi" w:cstheme="minorBidi"/>
              <w:b/>
              <w:bCs/>
              <w:noProof/>
              <w:color w:val="auto"/>
              <w:sz w:val="22"/>
              <w:szCs w:val="22"/>
              <w:lang w:eastAsia="ru-RU"/>
            </w:rPr>
          </w:pPr>
          <w:hyperlink w:anchor="_Toc40733173" w:history="1">
            <w:r w:rsidR="006138A4" w:rsidRPr="009E129A">
              <w:rPr>
                <w:rStyle w:val="a7"/>
                <w:b/>
                <w:bCs/>
                <w:noProof/>
                <w:sz w:val="22"/>
                <w:szCs w:val="22"/>
              </w:rPr>
              <w:t>1.1.</w:t>
            </w:r>
            <w:r w:rsidR="006138A4" w:rsidRPr="009E129A">
              <w:rPr>
                <w:rFonts w:asciiTheme="minorHAnsi" w:eastAsiaTheme="minorEastAsia" w:hAnsiTheme="minorHAnsi" w:cstheme="minorBidi"/>
                <w:b/>
                <w:bCs/>
                <w:noProof/>
                <w:color w:val="auto"/>
                <w:sz w:val="22"/>
                <w:szCs w:val="22"/>
                <w:lang w:eastAsia="ru-RU"/>
              </w:rPr>
              <w:tab/>
            </w:r>
            <w:r w:rsidR="006138A4" w:rsidRPr="009E129A">
              <w:rPr>
                <w:rStyle w:val="a7"/>
                <w:b/>
                <w:bCs/>
                <w:noProof/>
                <w:sz w:val="22"/>
                <w:szCs w:val="22"/>
              </w:rPr>
              <w:t>Сведения о Заказчике</w:t>
            </w:r>
            <w:r w:rsidR="006138A4" w:rsidRPr="009E129A">
              <w:rPr>
                <w:b/>
                <w:bCs/>
                <w:noProof/>
                <w:webHidden/>
                <w:sz w:val="22"/>
                <w:szCs w:val="22"/>
              </w:rPr>
              <w:tab/>
            </w:r>
            <w:r w:rsidR="006138A4" w:rsidRPr="009E129A">
              <w:rPr>
                <w:b/>
                <w:bCs/>
                <w:noProof/>
                <w:webHidden/>
                <w:sz w:val="22"/>
                <w:szCs w:val="22"/>
              </w:rPr>
              <w:fldChar w:fldCharType="begin"/>
            </w:r>
            <w:r w:rsidR="006138A4" w:rsidRPr="009E129A">
              <w:rPr>
                <w:b/>
                <w:bCs/>
                <w:noProof/>
                <w:webHidden/>
                <w:sz w:val="22"/>
                <w:szCs w:val="22"/>
              </w:rPr>
              <w:instrText xml:space="preserve"> PAGEREF _Toc40733173 \h </w:instrText>
            </w:r>
            <w:r w:rsidR="006138A4" w:rsidRPr="009E129A">
              <w:rPr>
                <w:b/>
                <w:bCs/>
                <w:noProof/>
                <w:webHidden/>
                <w:sz w:val="22"/>
                <w:szCs w:val="22"/>
              </w:rPr>
            </w:r>
            <w:r w:rsidR="006138A4" w:rsidRPr="009E129A">
              <w:rPr>
                <w:b/>
                <w:bCs/>
                <w:noProof/>
                <w:webHidden/>
                <w:sz w:val="22"/>
                <w:szCs w:val="22"/>
              </w:rPr>
              <w:fldChar w:fldCharType="separate"/>
            </w:r>
            <w:r w:rsidR="00AE5C11">
              <w:rPr>
                <w:b/>
                <w:bCs/>
                <w:noProof/>
                <w:webHidden/>
                <w:sz w:val="22"/>
                <w:szCs w:val="22"/>
              </w:rPr>
              <w:t>5</w:t>
            </w:r>
            <w:r w:rsidR="006138A4" w:rsidRPr="009E129A">
              <w:rPr>
                <w:b/>
                <w:bCs/>
                <w:noProof/>
                <w:webHidden/>
                <w:sz w:val="22"/>
                <w:szCs w:val="22"/>
              </w:rPr>
              <w:fldChar w:fldCharType="end"/>
            </w:r>
          </w:hyperlink>
        </w:p>
        <w:p w14:paraId="504428AF" w14:textId="0A583515" w:rsidR="006138A4" w:rsidRPr="009E129A" w:rsidRDefault="00B87291" w:rsidP="00E72D6E">
          <w:pPr>
            <w:pStyle w:val="31"/>
            <w:tabs>
              <w:tab w:val="left" w:pos="1100"/>
              <w:tab w:val="right" w:leader="dot" w:pos="9345"/>
            </w:tabs>
            <w:spacing w:after="0" w:line="247" w:lineRule="auto"/>
            <w:ind w:left="442"/>
            <w:jc w:val="both"/>
            <w:rPr>
              <w:rFonts w:asciiTheme="minorHAnsi" w:eastAsiaTheme="minorEastAsia" w:hAnsiTheme="minorHAnsi" w:cstheme="minorBidi"/>
              <w:b/>
              <w:bCs/>
              <w:noProof/>
              <w:color w:val="auto"/>
              <w:sz w:val="22"/>
              <w:szCs w:val="22"/>
              <w:lang w:eastAsia="ru-RU"/>
            </w:rPr>
          </w:pPr>
          <w:hyperlink w:anchor="_Toc40733174" w:history="1">
            <w:r w:rsidR="006138A4" w:rsidRPr="009E129A">
              <w:rPr>
                <w:rStyle w:val="a7"/>
                <w:b/>
                <w:bCs/>
                <w:noProof/>
                <w:sz w:val="22"/>
                <w:szCs w:val="22"/>
              </w:rPr>
              <w:t>1.2.</w:t>
            </w:r>
            <w:r w:rsidR="006138A4" w:rsidRPr="009E129A">
              <w:rPr>
                <w:rFonts w:asciiTheme="minorHAnsi" w:eastAsiaTheme="minorEastAsia" w:hAnsiTheme="minorHAnsi" w:cstheme="minorBidi"/>
                <w:b/>
                <w:bCs/>
                <w:noProof/>
                <w:color w:val="auto"/>
                <w:sz w:val="22"/>
                <w:szCs w:val="22"/>
                <w:lang w:eastAsia="ru-RU"/>
              </w:rPr>
              <w:tab/>
            </w:r>
            <w:r w:rsidR="006138A4" w:rsidRPr="009E129A">
              <w:rPr>
                <w:rStyle w:val="a7"/>
                <w:b/>
                <w:bCs/>
                <w:noProof/>
                <w:sz w:val="22"/>
                <w:szCs w:val="22"/>
              </w:rPr>
              <w:t>Сведения об Исполнителе</w:t>
            </w:r>
            <w:r w:rsidR="006138A4" w:rsidRPr="009E129A">
              <w:rPr>
                <w:b/>
                <w:bCs/>
                <w:noProof/>
                <w:webHidden/>
                <w:sz w:val="22"/>
                <w:szCs w:val="22"/>
              </w:rPr>
              <w:tab/>
            </w:r>
            <w:r w:rsidR="006138A4" w:rsidRPr="009E129A">
              <w:rPr>
                <w:b/>
                <w:bCs/>
                <w:noProof/>
                <w:webHidden/>
                <w:sz w:val="22"/>
                <w:szCs w:val="22"/>
              </w:rPr>
              <w:fldChar w:fldCharType="begin"/>
            </w:r>
            <w:r w:rsidR="006138A4" w:rsidRPr="009E129A">
              <w:rPr>
                <w:b/>
                <w:bCs/>
                <w:noProof/>
                <w:webHidden/>
                <w:sz w:val="22"/>
                <w:szCs w:val="22"/>
              </w:rPr>
              <w:instrText xml:space="preserve"> PAGEREF _Toc40733174 \h </w:instrText>
            </w:r>
            <w:r w:rsidR="006138A4" w:rsidRPr="009E129A">
              <w:rPr>
                <w:b/>
                <w:bCs/>
                <w:noProof/>
                <w:webHidden/>
                <w:sz w:val="22"/>
                <w:szCs w:val="22"/>
              </w:rPr>
            </w:r>
            <w:r w:rsidR="006138A4" w:rsidRPr="009E129A">
              <w:rPr>
                <w:b/>
                <w:bCs/>
                <w:noProof/>
                <w:webHidden/>
                <w:sz w:val="22"/>
                <w:szCs w:val="22"/>
              </w:rPr>
              <w:fldChar w:fldCharType="separate"/>
            </w:r>
            <w:r w:rsidR="00AE5C11">
              <w:rPr>
                <w:b/>
                <w:bCs/>
                <w:noProof/>
                <w:webHidden/>
                <w:sz w:val="22"/>
                <w:szCs w:val="22"/>
              </w:rPr>
              <w:t>5</w:t>
            </w:r>
            <w:r w:rsidR="006138A4" w:rsidRPr="009E129A">
              <w:rPr>
                <w:b/>
                <w:bCs/>
                <w:noProof/>
                <w:webHidden/>
                <w:sz w:val="22"/>
                <w:szCs w:val="22"/>
              </w:rPr>
              <w:fldChar w:fldCharType="end"/>
            </w:r>
          </w:hyperlink>
        </w:p>
        <w:p w14:paraId="61D9A933" w14:textId="15AD157D" w:rsidR="006138A4" w:rsidRPr="009E129A" w:rsidRDefault="00B87291" w:rsidP="00E72D6E">
          <w:pPr>
            <w:pStyle w:val="31"/>
            <w:tabs>
              <w:tab w:val="left" w:pos="1100"/>
              <w:tab w:val="right" w:leader="dot" w:pos="9345"/>
            </w:tabs>
            <w:spacing w:after="0" w:line="247" w:lineRule="auto"/>
            <w:ind w:left="442"/>
            <w:jc w:val="both"/>
            <w:rPr>
              <w:rFonts w:asciiTheme="minorHAnsi" w:eastAsiaTheme="minorEastAsia" w:hAnsiTheme="minorHAnsi" w:cstheme="minorBidi"/>
              <w:b/>
              <w:bCs/>
              <w:noProof/>
              <w:color w:val="auto"/>
              <w:sz w:val="22"/>
              <w:szCs w:val="22"/>
              <w:lang w:eastAsia="ru-RU"/>
            </w:rPr>
          </w:pPr>
          <w:hyperlink w:anchor="_Toc40733175" w:history="1">
            <w:r w:rsidR="006138A4" w:rsidRPr="009E129A">
              <w:rPr>
                <w:rStyle w:val="a7"/>
                <w:b/>
                <w:bCs/>
                <w:noProof/>
                <w:sz w:val="22"/>
                <w:szCs w:val="22"/>
              </w:rPr>
              <w:t>1.3.</w:t>
            </w:r>
            <w:r w:rsidR="006138A4" w:rsidRPr="009E129A">
              <w:rPr>
                <w:rFonts w:asciiTheme="minorHAnsi" w:eastAsiaTheme="minorEastAsia" w:hAnsiTheme="minorHAnsi" w:cstheme="minorBidi"/>
                <w:b/>
                <w:bCs/>
                <w:noProof/>
                <w:color w:val="auto"/>
                <w:sz w:val="22"/>
                <w:szCs w:val="22"/>
                <w:lang w:eastAsia="ru-RU"/>
              </w:rPr>
              <w:tab/>
            </w:r>
            <w:r w:rsidR="006138A4" w:rsidRPr="009E129A">
              <w:rPr>
                <w:rStyle w:val="a7"/>
                <w:b/>
                <w:bCs/>
                <w:noProof/>
                <w:sz w:val="22"/>
                <w:szCs w:val="22"/>
              </w:rPr>
              <w:t>Основание для оказания услуг</w:t>
            </w:r>
            <w:r w:rsidR="006138A4" w:rsidRPr="009E129A">
              <w:rPr>
                <w:b/>
                <w:bCs/>
                <w:noProof/>
                <w:webHidden/>
                <w:sz w:val="22"/>
                <w:szCs w:val="22"/>
              </w:rPr>
              <w:tab/>
            </w:r>
            <w:r w:rsidR="006138A4" w:rsidRPr="009E129A">
              <w:rPr>
                <w:b/>
                <w:bCs/>
                <w:noProof/>
                <w:webHidden/>
                <w:sz w:val="22"/>
                <w:szCs w:val="22"/>
              </w:rPr>
              <w:fldChar w:fldCharType="begin"/>
            </w:r>
            <w:r w:rsidR="006138A4" w:rsidRPr="009E129A">
              <w:rPr>
                <w:b/>
                <w:bCs/>
                <w:noProof/>
                <w:webHidden/>
                <w:sz w:val="22"/>
                <w:szCs w:val="22"/>
              </w:rPr>
              <w:instrText xml:space="preserve"> PAGEREF _Toc40733175 \h </w:instrText>
            </w:r>
            <w:r w:rsidR="006138A4" w:rsidRPr="009E129A">
              <w:rPr>
                <w:b/>
                <w:bCs/>
                <w:noProof/>
                <w:webHidden/>
                <w:sz w:val="22"/>
                <w:szCs w:val="22"/>
              </w:rPr>
            </w:r>
            <w:r w:rsidR="006138A4" w:rsidRPr="009E129A">
              <w:rPr>
                <w:b/>
                <w:bCs/>
                <w:noProof/>
                <w:webHidden/>
                <w:sz w:val="22"/>
                <w:szCs w:val="22"/>
              </w:rPr>
              <w:fldChar w:fldCharType="separate"/>
            </w:r>
            <w:r w:rsidR="00AE5C11">
              <w:rPr>
                <w:b/>
                <w:bCs/>
                <w:noProof/>
                <w:webHidden/>
                <w:sz w:val="22"/>
                <w:szCs w:val="22"/>
              </w:rPr>
              <w:t>6</w:t>
            </w:r>
            <w:r w:rsidR="006138A4" w:rsidRPr="009E129A">
              <w:rPr>
                <w:b/>
                <w:bCs/>
                <w:noProof/>
                <w:webHidden/>
                <w:sz w:val="22"/>
                <w:szCs w:val="22"/>
              </w:rPr>
              <w:fldChar w:fldCharType="end"/>
            </w:r>
          </w:hyperlink>
        </w:p>
        <w:p w14:paraId="763CEB61" w14:textId="1A9EAEC2" w:rsidR="006138A4" w:rsidRPr="009E129A" w:rsidRDefault="00B87291" w:rsidP="00E72D6E">
          <w:pPr>
            <w:pStyle w:val="31"/>
            <w:tabs>
              <w:tab w:val="left" w:pos="1100"/>
              <w:tab w:val="right" w:leader="dot" w:pos="9345"/>
            </w:tabs>
            <w:spacing w:after="0" w:line="247" w:lineRule="auto"/>
            <w:ind w:left="442"/>
            <w:jc w:val="both"/>
            <w:rPr>
              <w:rFonts w:asciiTheme="minorHAnsi" w:eastAsiaTheme="minorEastAsia" w:hAnsiTheme="minorHAnsi" w:cstheme="minorBidi"/>
              <w:b/>
              <w:bCs/>
              <w:noProof/>
              <w:color w:val="auto"/>
              <w:sz w:val="22"/>
              <w:szCs w:val="22"/>
              <w:lang w:eastAsia="ru-RU"/>
            </w:rPr>
          </w:pPr>
          <w:hyperlink w:anchor="_Toc40733176" w:history="1">
            <w:r w:rsidR="006138A4" w:rsidRPr="009E129A">
              <w:rPr>
                <w:rStyle w:val="a7"/>
                <w:b/>
                <w:bCs/>
                <w:noProof/>
                <w:sz w:val="22"/>
                <w:szCs w:val="22"/>
              </w:rPr>
              <w:t>1.4.</w:t>
            </w:r>
            <w:r w:rsidR="006138A4" w:rsidRPr="009E129A">
              <w:rPr>
                <w:rFonts w:asciiTheme="minorHAnsi" w:eastAsiaTheme="minorEastAsia" w:hAnsiTheme="minorHAnsi" w:cstheme="minorBidi"/>
                <w:b/>
                <w:bCs/>
                <w:noProof/>
                <w:color w:val="auto"/>
                <w:sz w:val="22"/>
                <w:szCs w:val="22"/>
                <w:lang w:eastAsia="ru-RU"/>
              </w:rPr>
              <w:tab/>
            </w:r>
            <w:r w:rsidR="006138A4" w:rsidRPr="009E129A">
              <w:rPr>
                <w:rStyle w:val="a7"/>
                <w:b/>
                <w:bCs/>
                <w:noProof/>
                <w:sz w:val="22"/>
                <w:szCs w:val="22"/>
              </w:rPr>
              <w:t>Цель оказания услуг</w:t>
            </w:r>
            <w:r w:rsidR="006138A4" w:rsidRPr="009E129A">
              <w:rPr>
                <w:b/>
                <w:bCs/>
                <w:noProof/>
                <w:webHidden/>
                <w:sz w:val="22"/>
                <w:szCs w:val="22"/>
              </w:rPr>
              <w:tab/>
            </w:r>
            <w:r w:rsidR="006138A4" w:rsidRPr="009E129A">
              <w:rPr>
                <w:b/>
                <w:bCs/>
                <w:noProof/>
                <w:webHidden/>
                <w:sz w:val="22"/>
                <w:szCs w:val="22"/>
              </w:rPr>
              <w:fldChar w:fldCharType="begin"/>
            </w:r>
            <w:r w:rsidR="006138A4" w:rsidRPr="009E129A">
              <w:rPr>
                <w:b/>
                <w:bCs/>
                <w:noProof/>
                <w:webHidden/>
                <w:sz w:val="22"/>
                <w:szCs w:val="22"/>
              </w:rPr>
              <w:instrText xml:space="preserve"> PAGEREF _Toc40733176 \h </w:instrText>
            </w:r>
            <w:r w:rsidR="006138A4" w:rsidRPr="009E129A">
              <w:rPr>
                <w:b/>
                <w:bCs/>
                <w:noProof/>
                <w:webHidden/>
                <w:sz w:val="22"/>
                <w:szCs w:val="22"/>
              </w:rPr>
            </w:r>
            <w:r w:rsidR="006138A4" w:rsidRPr="009E129A">
              <w:rPr>
                <w:b/>
                <w:bCs/>
                <w:noProof/>
                <w:webHidden/>
                <w:sz w:val="22"/>
                <w:szCs w:val="22"/>
              </w:rPr>
              <w:fldChar w:fldCharType="separate"/>
            </w:r>
            <w:r w:rsidR="00AE5C11">
              <w:rPr>
                <w:b/>
                <w:bCs/>
                <w:noProof/>
                <w:webHidden/>
                <w:sz w:val="22"/>
                <w:szCs w:val="22"/>
              </w:rPr>
              <w:t>6</w:t>
            </w:r>
            <w:r w:rsidR="006138A4" w:rsidRPr="009E129A">
              <w:rPr>
                <w:b/>
                <w:bCs/>
                <w:noProof/>
                <w:webHidden/>
                <w:sz w:val="22"/>
                <w:szCs w:val="22"/>
              </w:rPr>
              <w:fldChar w:fldCharType="end"/>
            </w:r>
          </w:hyperlink>
        </w:p>
        <w:p w14:paraId="1A1EF0FC" w14:textId="0C15CC67" w:rsidR="006138A4" w:rsidRPr="009E129A" w:rsidRDefault="00B87291" w:rsidP="00E72D6E">
          <w:pPr>
            <w:pStyle w:val="31"/>
            <w:tabs>
              <w:tab w:val="left" w:pos="1100"/>
              <w:tab w:val="right" w:leader="dot" w:pos="9345"/>
            </w:tabs>
            <w:spacing w:after="0" w:line="247" w:lineRule="auto"/>
            <w:ind w:left="442"/>
            <w:jc w:val="both"/>
            <w:rPr>
              <w:rFonts w:asciiTheme="minorHAnsi" w:eastAsiaTheme="minorEastAsia" w:hAnsiTheme="minorHAnsi" w:cstheme="minorBidi"/>
              <w:b/>
              <w:bCs/>
              <w:noProof/>
              <w:color w:val="auto"/>
              <w:sz w:val="22"/>
              <w:szCs w:val="22"/>
              <w:lang w:eastAsia="ru-RU"/>
            </w:rPr>
          </w:pPr>
          <w:hyperlink w:anchor="_Toc40733177" w:history="1">
            <w:r w:rsidR="006138A4" w:rsidRPr="009E129A">
              <w:rPr>
                <w:rStyle w:val="a7"/>
                <w:b/>
                <w:bCs/>
                <w:noProof/>
                <w:sz w:val="22"/>
                <w:szCs w:val="22"/>
              </w:rPr>
              <w:t>1.5.</w:t>
            </w:r>
            <w:r w:rsidR="006138A4" w:rsidRPr="009E129A">
              <w:rPr>
                <w:rFonts w:asciiTheme="minorHAnsi" w:eastAsiaTheme="minorEastAsia" w:hAnsiTheme="minorHAnsi" w:cstheme="minorBidi"/>
                <w:b/>
                <w:bCs/>
                <w:noProof/>
                <w:color w:val="auto"/>
                <w:sz w:val="22"/>
                <w:szCs w:val="22"/>
                <w:lang w:eastAsia="ru-RU"/>
              </w:rPr>
              <w:tab/>
            </w:r>
            <w:r w:rsidR="006138A4" w:rsidRPr="009E129A">
              <w:rPr>
                <w:rStyle w:val="a7"/>
                <w:b/>
                <w:bCs/>
                <w:noProof/>
                <w:sz w:val="22"/>
                <w:szCs w:val="22"/>
              </w:rPr>
              <w:t>Нормативно-правовая база</w:t>
            </w:r>
            <w:r w:rsidR="006138A4" w:rsidRPr="009E129A">
              <w:rPr>
                <w:b/>
                <w:bCs/>
                <w:noProof/>
                <w:webHidden/>
                <w:sz w:val="22"/>
                <w:szCs w:val="22"/>
              </w:rPr>
              <w:tab/>
            </w:r>
            <w:r w:rsidR="006138A4" w:rsidRPr="009E129A">
              <w:rPr>
                <w:b/>
                <w:bCs/>
                <w:noProof/>
                <w:webHidden/>
                <w:sz w:val="22"/>
                <w:szCs w:val="22"/>
              </w:rPr>
              <w:fldChar w:fldCharType="begin"/>
            </w:r>
            <w:r w:rsidR="006138A4" w:rsidRPr="009E129A">
              <w:rPr>
                <w:b/>
                <w:bCs/>
                <w:noProof/>
                <w:webHidden/>
                <w:sz w:val="22"/>
                <w:szCs w:val="22"/>
              </w:rPr>
              <w:instrText xml:space="preserve"> PAGEREF _Toc40733177 \h </w:instrText>
            </w:r>
            <w:r w:rsidR="006138A4" w:rsidRPr="009E129A">
              <w:rPr>
                <w:b/>
                <w:bCs/>
                <w:noProof/>
                <w:webHidden/>
                <w:sz w:val="22"/>
                <w:szCs w:val="22"/>
              </w:rPr>
            </w:r>
            <w:r w:rsidR="006138A4" w:rsidRPr="009E129A">
              <w:rPr>
                <w:b/>
                <w:bCs/>
                <w:noProof/>
                <w:webHidden/>
                <w:sz w:val="22"/>
                <w:szCs w:val="22"/>
              </w:rPr>
              <w:fldChar w:fldCharType="separate"/>
            </w:r>
            <w:r w:rsidR="00AE5C11">
              <w:rPr>
                <w:b/>
                <w:bCs/>
                <w:noProof/>
                <w:webHidden/>
                <w:sz w:val="22"/>
                <w:szCs w:val="22"/>
              </w:rPr>
              <w:t>8</w:t>
            </w:r>
            <w:r w:rsidR="006138A4" w:rsidRPr="009E129A">
              <w:rPr>
                <w:b/>
                <w:bCs/>
                <w:noProof/>
                <w:webHidden/>
                <w:sz w:val="22"/>
                <w:szCs w:val="22"/>
              </w:rPr>
              <w:fldChar w:fldCharType="end"/>
            </w:r>
          </w:hyperlink>
        </w:p>
        <w:p w14:paraId="300FBA0E" w14:textId="69A2AF12" w:rsidR="006138A4" w:rsidRPr="009E129A" w:rsidRDefault="00B87291" w:rsidP="00E72D6E">
          <w:pPr>
            <w:pStyle w:val="31"/>
            <w:tabs>
              <w:tab w:val="left" w:pos="880"/>
              <w:tab w:val="right" w:leader="dot" w:pos="9345"/>
            </w:tabs>
            <w:spacing w:after="0" w:line="247" w:lineRule="auto"/>
            <w:ind w:left="442"/>
            <w:jc w:val="both"/>
            <w:rPr>
              <w:rFonts w:asciiTheme="minorHAnsi" w:eastAsiaTheme="minorEastAsia" w:hAnsiTheme="minorHAnsi" w:cstheme="minorBidi"/>
              <w:b/>
              <w:bCs/>
              <w:noProof/>
              <w:color w:val="auto"/>
              <w:sz w:val="22"/>
              <w:szCs w:val="22"/>
              <w:lang w:eastAsia="ru-RU"/>
            </w:rPr>
          </w:pPr>
          <w:hyperlink w:anchor="_Toc40733178" w:history="1">
            <w:r w:rsidR="006138A4" w:rsidRPr="009E129A">
              <w:rPr>
                <w:rStyle w:val="a7"/>
                <w:b/>
                <w:bCs/>
                <w:noProof/>
                <w:sz w:val="22"/>
                <w:szCs w:val="22"/>
              </w:rPr>
              <w:t>2.</w:t>
            </w:r>
            <w:r w:rsidR="006138A4" w:rsidRPr="009E129A">
              <w:rPr>
                <w:rFonts w:asciiTheme="minorHAnsi" w:eastAsiaTheme="minorEastAsia" w:hAnsiTheme="minorHAnsi" w:cstheme="minorBidi"/>
                <w:b/>
                <w:bCs/>
                <w:noProof/>
                <w:color w:val="auto"/>
                <w:sz w:val="22"/>
                <w:szCs w:val="22"/>
                <w:lang w:eastAsia="ru-RU"/>
              </w:rPr>
              <w:tab/>
            </w:r>
            <w:r w:rsidR="006138A4" w:rsidRPr="009E129A">
              <w:rPr>
                <w:rStyle w:val="a7"/>
                <w:b/>
                <w:bCs/>
                <w:noProof/>
                <w:sz w:val="22"/>
                <w:szCs w:val="22"/>
              </w:rPr>
              <w:t>Краткая характеристика параметров регулирования АО «Тываэнерго» при принятии Службой по тарифам Республики Тыва тарифно-балансового решений на 2019 год</w:t>
            </w:r>
            <w:r w:rsidR="006138A4" w:rsidRPr="009E129A">
              <w:rPr>
                <w:b/>
                <w:bCs/>
                <w:noProof/>
                <w:webHidden/>
                <w:sz w:val="22"/>
                <w:szCs w:val="22"/>
              </w:rPr>
              <w:tab/>
            </w:r>
            <w:r w:rsidR="006138A4" w:rsidRPr="009E129A">
              <w:rPr>
                <w:b/>
                <w:bCs/>
                <w:noProof/>
                <w:webHidden/>
                <w:sz w:val="22"/>
                <w:szCs w:val="22"/>
              </w:rPr>
              <w:fldChar w:fldCharType="begin"/>
            </w:r>
            <w:r w:rsidR="006138A4" w:rsidRPr="009E129A">
              <w:rPr>
                <w:b/>
                <w:bCs/>
                <w:noProof/>
                <w:webHidden/>
                <w:sz w:val="22"/>
                <w:szCs w:val="22"/>
              </w:rPr>
              <w:instrText xml:space="preserve"> PAGEREF _Toc40733178 \h </w:instrText>
            </w:r>
            <w:r w:rsidR="006138A4" w:rsidRPr="009E129A">
              <w:rPr>
                <w:b/>
                <w:bCs/>
                <w:noProof/>
                <w:webHidden/>
                <w:sz w:val="22"/>
                <w:szCs w:val="22"/>
              </w:rPr>
            </w:r>
            <w:r w:rsidR="006138A4" w:rsidRPr="009E129A">
              <w:rPr>
                <w:b/>
                <w:bCs/>
                <w:noProof/>
                <w:webHidden/>
                <w:sz w:val="22"/>
                <w:szCs w:val="22"/>
              </w:rPr>
              <w:fldChar w:fldCharType="separate"/>
            </w:r>
            <w:r w:rsidR="00AE5C11">
              <w:rPr>
                <w:b/>
                <w:bCs/>
                <w:noProof/>
                <w:webHidden/>
                <w:sz w:val="22"/>
                <w:szCs w:val="22"/>
              </w:rPr>
              <w:t>11</w:t>
            </w:r>
            <w:r w:rsidR="006138A4" w:rsidRPr="009E129A">
              <w:rPr>
                <w:b/>
                <w:bCs/>
                <w:noProof/>
                <w:webHidden/>
                <w:sz w:val="22"/>
                <w:szCs w:val="22"/>
              </w:rPr>
              <w:fldChar w:fldCharType="end"/>
            </w:r>
          </w:hyperlink>
        </w:p>
        <w:p w14:paraId="66618200" w14:textId="5C4C5457" w:rsidR="006138A4" w:rsidRPr="009E129A" w:rsidRDefault="00B87291" w:rsidP="00E72D6E">
          <w:pPr>
            <w:pStyle w:val="31"/>
            <w:tabs>
              <w:tab w:val="left" w:pos="880"/>
              <w:tab w:val="right" w:leader="dot" w:pos="9345"/>
            </w:tabs>
            <w:spacing w:after="0" w:line="247" w:lineRule="auto"/>
            <w:ind w:left="442"/>
            <w:jc w:val="both"/>
            <w:rPr>
              <w:rFonts w:asciiTheme="minorHAnsi" w:eastAsiaTheme="minorEastAsia" w:hAnsiTheme="minorHAnsi" w:cstheme="minorBidi"/>
              <w:b/>
              <w:bCs/>
              <w:noProof/>
              <w:color w:val="auto"/>
              <w:sz w:val="22"/>
              <w:szCs w:val="22"/>
              <w:lang w:eastAsia="ru-RU"/>
            </w:rPr>
          </w:pPr>
          <w:hyperlink w:anchor="_Toc40733179" w:history="1">
            <w:r w:rsidR="006138A4" w:rsidRPr="009E129A">
              <w:rPr>
                <w:rStyle w:val="a7"/>
                <w:b/>
                <w:bCs/>
                <w:noProof/>
                <w:sz w:val="22"/>
                <w:szCs w:val="22"/>
              </w:rPr>
              <w:t>3.</w:t>
            </w:r>
            <w:r w:rsidR="006138A4" w:rsidRPr="009E129A">
              <w:rPr>
                <w:rFonts w:asciiTheme="minorHAnsi" w:eastAsiaTheme="minorEastAsia" w:hAnsiTheme="minorHAnsi" w:cstheme="minorBidi"/>
                <w:b/>
                <w:bCs/>
                <w:noProof/>
                <w:color w:val="auto"/>
                <w:sz w:val="22"/>
                <w:szCs w:val="22"/>
                <w:lang w:eastAsia="ru-RU"/>
              </w:rPr>
              <w:tab/>
            </w:r>
            <w:r w:rsidR="006138A4" w:rsidRPr="009E129A">
              <w:rPr>
                <w:rStyle w:val="a7"/>
                <w:b/>
                <w:bCs/>
                <w:noProof/>
                <w:sz w:val="22"/>
                <w:szCs w:val="22"/>
              </w:rPr>
              <w:t>Анализ исполнения инвестиционных программ, учтенных регулирующим органом при принятии тарифно-балансовых решений на 2019 год</w:t>
            </w:r>
            <w:r w:rsidR="006138A4" w:rsidRPr="009E129A">
              <w:rPr>
                <w:b/>
                <w:bCs/>
                <w:noProof/>
                <w:webHidden/>
                <w:sz w:val="22"/>
                <w:szCs w:val="22"/>
              </w:rPr>
              <w:tab/>
            </w:r>
            <w:r w:rsidR="006138A4" w:rsidRPr="009E129A">
              <w:rPr>
                <w:b/>
                <w:bCs/>
                <w:noProof/>
                <w:webHidden/>
                <w:sz w:val="22"/>
                <w:szCs w:val="22"/>
              </w:rPr>
              <w:fldChar w:fldCharType="begin"/>
            </w:r>
            <w:r w:rsidR="006138A4" w:rsidRPr="009E129A">
              <w:rPr>
                <w:b/>
                <w:bCs/>
                <w:noProof/>
                <w:webHidden/>
                <w:sz w:val="22"/>
                <w:szCs w:val="22"/>
              </w:rPr>
              <w:instrText xml:space="preserve"> PAGEREF _Toc40733179 \h </w:instrText>
            </w:r>
            <w:r w:rsidR="006138A4" w:rsidRPr="009E129A">
              <w:rPr>
                <w:b/>
                <w:bCs/>
                <w:noProof/>
                <w:webHidden/>
                <w:sz w:val="22"/>
                <w:szCs w:val="22"/>
              </w:rPr>
            </w:r>
            <w:r w:rsidR="006138A4" w:rsidRPr="009E129A">
              <w:rPr>
                <w:b/>
                <w:bCs/>
                <w:noProof/>
                <w:webHidden/>
                <w:sz w:val="22"/>
                <w:szCs w:val="22"/>
              </w:rPr>
              <w:fldChar w:fldCharType="separate"/>
            </w:r>
            <w:r w:rsidR="00AE5C11">
              <w:rPr>
                <w:b/>
                <w:bCs/>
                <w:noProof/>
                <w:webHidden/>
                <w:sz w:val="22"/>
                <w:szCs w:val="22"/>
              </w:rPr>
              <w:t>14</w:t>
            </w:r>
            <w:r w:rsidR="006138A4" w:rsidRPr="009E129A">
              <w:rPr>
                <w:b/>
                <w:bCs/>
                <w:noProof/>
                <w:webHidden/>
                <w:sz w:val="22"/>
                <w:szCs w:val="22"/>
              </w:rPr>
              <w:fldChar w:fldCharType="end"/>
            </w:r>
          </w:hyperlink>
        </w:p>
        <w:p w14:paraId="45C52ED0" w14:textId="4962CF80" w:rsidR="006138A4" w:rsidRPr="009E129A" w:rsidRDefault="00B87291" w:rsidP="00E72D6E">
          <w:pPr>
            <w:pStyle w:val="31"/>
            <w:tabs>
              <w:tab w:val="left" w:pos="880"/>
              <w:tab w:val="right" w:leader="dot" w:pos="9345"/>
            </w:tabs>
            <w:spacing w:after="0" w:line="247" w:lineRule="auto"/>
            <w:ind w:left="442"/>
            <w:jc w:val="both"/>
            <w:rPr>
              <w:rFonts w:asciiTheme="minorHAnsi" w:eastAsiaTheme="minorEastAsia" w:hAnsiTheme="minorHAnsi" w:cstheme="minorBidi"/>
              <w:b/>
              <w:bCs/>
              <w:noProof/>
              <w:color w:val="auto"/>
              <w:sz w:val="22"/>
              <w:szCs w:val="22"/>
              <w:lang w:eastAsia="ru-RU"/>
            </w:rPr>
          </w:pPr>
          <w:hyperlink w:anchor="_Toc40733180" w:history="1">
            <w:r w:rsidR="006138A4" w:rsidRPr="009E129A">
              <w:rPr>
                <w:rStyle w:val="a7"/>
                <w:b/>
                <w:bCs/>
                <w:noProof/>
                <w:sz w:val="22"/>
                <w:szCs w:val="22"/>
              </w:rPr>
              <w:t>4.</w:t>
            </w:r>
            <w:r w:rsidR="006138A4" w:rsidRPr="009E129A">
              <w:rPr>
                <w:rFonts w:asciiTheme="minorHAnsi" w:eastAsiaTheme="minorEastAsia" w:hAnsiTheme="minorHAnsi" w:cstheme="minorBidi"/>
                <w:b/>
                <w:bCs/>
                <w:noProof/>
                <w:color w:val="auto"/>
                <w:sz w:val="22"/>
                <w:szCs w:val="22"/>
                <w:lang w:eastAsia="ru-RU"/>
              </w:rPr>
              <w:tab/>
            </w:r>
            <w:r w:rsidR="006138A4" w:rsidRPr="009E129A">
              <w:rPr>
                <w:rStyle w:val="a7"/>
                <w:b/>
                <w:bCs/>
                <w:noProof/>
                <w:sz w:val="22"/>
                <w:szCs w:val="22"/>
              </w:rPr>
              <w:t>Экспертиза расчета необходимой валовой выручки АО «Тываэнерго», сформированной на основе долгосрочных параметров регулирования деятельности, в том числе анализ фактических расходов на оплату услуг ТСО с календарной разбивкой по полугодиям 2019 года</w:t>
            </w:r>
            <w:r w:rsidR="006138A4" w:rsidRPr="009E129A">
              <w:rPr>
                <w:b/>
                <w:bCs/>
                <w:noProof/>
                <w:webHidden/>
                <w:sz w:val="22"/>
                <w:szCs w:val="22"/>
              </w:rPr>
              <w:tab/>
            </w:r>
            <w:r w:rsidR="006138A4" w:rsidRPr="009E129A">
              <w:rPr>
                <w:b/>
                <w:bCs/>
                <w:noProof/>
                <w:webHidden/>
                <w:sz w:val="22"/>
                <w:szCs w:val="22"/>
              </w:rPr>
              <w:fldChar w:fldCharType="begin"/>
            </w:r>
            <w:r w:rsidR="006138A4" w:rsidRPr="009E129A">
              <w:rPr>
                <w:b/>
                <w:bCs/>
                <w:noProof/>
                <w:webHidden/>
                <w:sz w:val="22"/>
                <w:szCs w:val="22"/>
              </w:rPr>
              <w:instrText xml:space="preserve"> PAGEREF _Toc40733180 \h </w:instrText>
            </w:r>
            <w:r w:rsidR="006138A4" w:rsidRPr="009E129A">
              <w:rPr>
                <w:b/>
                <w:bCs/>
                <w:noProof/>
                <w:webHidden/>
                <w:sz w:val="22"/>
                <w:szCs w:val="22"/>
              </w:rPr>
            </w:r>
            <w:r w:rsidR="006138A4" w:rsidRPr="009E129A">
              <w:rPr>
                <w:b/>
                <w:bCs/>
                <w:noProof/>
                <w:webHidden/>
                <w:sz w:val="22"/>
                <w:szCs w:val="22"/>
              </w:rPr>
              <w:fldChar w:fldCharType="separate"/>
            </w:r>
            <w:r w:rsidR="00AE5C11">
              <w:rPr>
                <w:b/>
                <w:bCs/>
                <w:noProof/>
                <w:webHidden/>
                <w:sz w:val="22"/>
                <w:szCs w:val="22"/>
              </w:rPr>
              <w:t>29</w:t>
            </w:r>
            <w:r w:rsidR="006138A4" w:rsidRPr="009E129A">
              <w:rPr>
                <w:b/>
                <w:bCs/>
                <w:noProof/>
                <w:webHidden/>
                <w:sz w:val="22"/>
                <w:szCs w:val="22"/>
              </w:rPr>
              <w:fldChar w:fldCharType="end"/>
            </w:r>
          </w:hyperlink>
        </w:p>
        <w:p w14:paraId="38A1C239" w14:textId="386E54A0" w:rsidR="006138A4" w:rsidRPr="009E129A" w:rsidRDefault="00B87291" w:rsidP="00E72D6E">
          <w:pPr>
            <w:pStyle w:val="31"/>
            <w:tabs>
              <w:tab w:val="left" w:pos="1100"/>
              <w:tab w:val="right" w:leader="dot" w:pos="9345"/>
            </w:tabs>
            <w:spacing w:after="0" w:line="247" w:lineRule="auto"/>
            <w:ind w:left="442"/>
            <w:jc w:val="both"/>
            <w:rPr>
              <w:rFonts w:asciiTheme="minorHAnsi" w:eastAsiaTheme="minorEastAsia" w:hAnsiTheme="minorHAnsi" w:cstheme="minorBidi"/>
              <w:b/>
              <w:bCs/>
              <w:noProof/>
              <w:color w:val="auto"/>
              <w:sz w:val="22"/>
              <w:szCs w:val="22"/>
              <w:lang w:eastAsia="ru-RU"/>
            </w:rPr>
          </w:pPr>
          <w:hyperlink w:anchor="_Toc40733181" w:history="1">
            <w:r w:rsidR="006138A4" w:rsidRPr="009E129A">
              <w:rPr>
                <w:rStyle w:val="a7"/>
                <w:b/>
                <w:bCs/>
                <w:noProof/>
                <w:sz w:val="22"/>
                <w:szCs w:val="22"/>
              </w:rPr>
              <w:t>4.1.</w:t>
            </w:r>
            <w:r w:rsidR="006138A4" w:rsidRPr="009E129A">
              <w:rPr>
                <w:rFonts w:asciiTheme="minorHAnsi" w:eastAsiaTheme="minorEastAsia" w:hAnsiTheme="minorHAnsi" w:cstheme="minorBidi"/>
                <w:b/>
                <w:bCs/>
                <w:noProof/>
                <w:color w:val="auto"/>
                <w:sz w:val="22"/>
                <w:szCs w:val="22"/>
                <w:lang w:eastAsia="ru-RU"/>
              </w:rPr>
              <w:tab/>
            </w:r>
            <w:r w:rsidR="006138A4" w:rsidRPr="009E129A">
              <w:rPr>
                <w:rStyle w:val="a7"/>
                <w:b/>
                <w:bCs/>
                <w:noProof/>
                <w:sz w:val="22"/>
                <w:szCs w:val="22"/>
              </w:rPr>
              <w:t>Анализ необходимой валовой выручки, учтенной при установлении тарифов на 2019 год</w:t>
            </w:r>
            <w:r w:rsidR="006138A4" w:rsidRPr="009E129A">
              <w:rPr>
                <w:b/>
                <w:bCs/>
                <w:noProof/>
                <w:webHidden/>
                <w:sz w:val="22"/>
                <w:szCs w:val="22"/>
              </w:rPr>
              <w:tab/>
            </w:r>
            <w:r w:rsidR="006138A4" w:rsidRPr="009E129A">
              <w:rPr>
                <w:b/>
                <w:bCs/>
                <w:noProof/>
                <w:webHidden/>
                <w:sz w:val="22"/>
                <w:szCs w:val="22"/>
              </w:rPr>
              <w:fldChar w:fldCharType="begin"/>
            </w:r>
            <w:r w:rsidR="006138A4" w:rsidRPr="009E129A">
              <w:rPr>
                <w:b/>
                <w:bCs/>
                <w:noProof/>
                <w:webHidden/>
                <w:sz w:val="22"/>
                <w:szCs w:val="22"/>
              </w:rPr>
              <w:instrText xml:space="preserve"> PAGEREF _Toc40733181 \h </w:instrText>
            </w:r>
            <w:r w:rsidR="006138A4" w:rsidRPr="009E129A">
              <w:rPr>
                <w:b/>
                <w:bCs/>
                <w:noProof/>
                <w:webHidden/>
                <w:sz w:val="22"/>
                <w:szCs w:val="22"/>
              </w:rPr>
            </w:r>
            <w:r w:rsidR="006138A4" w:rsidRPr="009E129A">
              <w:rPr>
                <w:b/>
                <w:bCs/>
                <w:noProof/>
                <w:webHidden/>
                <w:sz w:val="22"/>
                <w:szCs w:val="22"/>
              </w:rPr>
              <w:fldChar w:fldCharType="separate"/>
            </w:r>
            <w:r w:rsidR="00AE5C11">
              <w:rPr>
                <w:b/>
                <w:bCs/>
                <w:noProof/>
                <w:webHidden/>
                <w:sz w:val="22"/>
                <w:szCs w:val="22"/>
              </w:rPr>
              <w:t>29</w:t>
            </w:r>
            <w:r w:rsidR="006138A4" w:rsidRPr="009E129A">
              <w:rPr>
                <w:b/>
                <w:bCs/>
                <w:noProof/>
                <w:webHidden/>
                <w:sz w:val="22"/>
                <w:szCs w:val="22"/>
              </w:rPr>
              <w:fldChar w:fldCharType="end"/>
            </w:r>
          </w:hyperlink>
        </w:p>
        <w:p w14:paraId="30A4C453" w14:textId="5B270BD1" w:rsidR="006138A4" w:rsidRPr="009E129A" w:rsidRDefault="00B87291" w:rsidP="00E72D6E">
          <w:pPr>
            <w:pStyle w:val="31"/>
            <w:tabs>
              <w:tab w:val="left" w:pos="1100"/>
              <w:tab w:val="right" w:leader="dot" w:pos="9345"/>
            </w:tabs>
            <w:spacing w:after="0" w:line="247" w:lineRule="auto"/>
            <w:ind w:left="442"/>
            <w:jc w:val="both"/>
            <w:rPr>
              <w:rFonts w:asciiTheme="minorHAnsi" w:eastAsiaTheme="minorEastAsia" w:hAnsiTheme="minorHAnsi" w:cstheme="minorBidi"/>
              <w:b/>
              <w:bCs/>
              <w:noProof/>
              <w:color w:val="auto"/>
              <w:sz w:val="22"/>
              <w:szCs w:val="22"/>
              <w:lang w:eastAsia="ru-RU"/>
            </w:rPr>
          </w:pPr>
          <w:hyperlink w:anchor="_Toc40733182" w:history="1">
            <w:r w:rsidR="006138A4" w:rsidRPr="009E129A">
              <w:rPr>
                <w:rStyle w:val="a7"/>
                <w:b/>
                <w:bCs/>
                <w:noProof/>
                <w:sz w:val="22"/>
                <w:szCs w:val="22"/>
              </w:rPr>
              <w:t>4.2.</w:t>
            </w:r>
            <w:r w:rsidR="006138A4" w:rsidRPr="009E129A">
              <w:rPr>
                <w:rFonts w:asciiTheme="minorHAnsi" w:eastAsiaTheme="minorEastAsia" w:hAnsiTheme="minorHAnsi" w:cstheme="minorBidi"/>
                <w:b/>
                <w:bCs/>
                <w:noProof/>
                <w:color w:val="auto"/>
                <w:sz w:val="22"/>
                <w:szCs w:val="22"/>
                <w:lang w:eastAsia="ru-RU"/>
              </w:rPr>
              <w:tab/>
            </w:r>
            <w:r w:rsidR="006138A4" w:rsidRPr="009E129A">
              <w:rPr>
                <w:rStyle w:val="a7"/>
                <w:b/>
                <w:bCs/>
                <w:noProof/>
                <w:sz w:val="22"/>
                <w:szCs w:val="22"/>
              </w:rPr>
              <w:t>Анализ фактических расходов АО «Тываэнерго» на оплату услуг ТСО с календарной разбивкой по полугодиям 2019 года</w:t>
            </w:r>
            <w:r w:rsidR="006138A4" w:rsidRPr="009E129A">
              <w:rPr>
                <w:b/>
                <w:bCs/>
                <w:noProof/>
                <w:webHidden/>
                <w:sz w:val="22"/>
                <w:szCs w:val="22"/>
              </w:rPr>
              <w:tab/>
            </w:r>
            <w:r w:rsidR="006138A4" w:rsidRPr="009E129A">
              <w:rPr>
                <w:b/>
                <w:bCs/>
                <w:noProof/>
                <w:webHidden/>
                <w:sz w:val="22"/>
                <w:szCs w:val="22"/>
              </w:rPr>
              <w:fldChar w:fldCharType="begin"/>
            </w:r>
            <w:r w:rsidR="006138A4" w:rsidRPr="009E129A">
              <w:rPr>
                <w:b/>
                <w:bCs/>
                <w:noProof/>
                <w:webHidden/>
                <w:sz w:val="22"/>
                <w:szCs w:val="22"/>
              </w:rPr>
              <w:instrText xml:space="preserve"> PAGEREF _Toc40733182 \h </w:instrText>
            </w:r>
            <w:r w:rsidR="006138A4" w:rsidRPr="009E129A">
              <w:rPr>
                <w:b/>
                <w:bCs/>
                <w:noProof/>
                <w:webHidden/>
                <w:sz w:val="22"/>
                <w:szCs w:val="22"/>
              </w:rPr>
            </w:r>
            <w:r w:rsidR="006138A4" w:rsidRPr="009E129A">
              <w:rPr>
                <w:b/>
                <w:bCs/>
                <w:noProof/>
                <w:webHidden/>
                <w:sz w:val="22"/>
                <w:szCs w:val="22"/>
              </w:rPr>
              <w:fldChar w:fldCharType="separate"/>
            </w:r>
            <w:r w:rsidR="00AE5C11">
              <w:rPr>
                <w:b/>
                <w:bCs/>
                <w:noProof/>
                <w:webHidden/>
                <w:sz w:val="22"/>
                <w:szCs w:val="22"/>
              </w:rPr>
              <w:t>43</w:t>
            </w:r>
            <w:r w:rsidR="006138A4" w:rsidRPr="009E129A">
              <w:rPr>
                <w:b/>
                <w:bCs/>
                <w:noProof/>
                <w:webHidden/>
                <w:sz w:val="22"/>
                <w:szCs w:val="22"/>
              </w:rPr>
              <w:fldChar w:fldCharType="end"/>
            </w:r>
          </w:hyperlink>
        </w:p>
        <w:p w14:paraId="3C0C5FCC" w14:textId="26C5402E" w:rsidR="006138A4" w:rsidRPr="009E129A" w:rsidRDefault="00B87291" w:rsidP="00E72D6E">
          <w:pPr>
            <w:pStyle w:val="31"/>
            <w:tabs>
              <w:tab w:val="left" w:pos="880"/>
              <w:tab w:val="right" w:leader="dot" w:pos="9345"/>
            </w:tabs>
            <w:spacing w:after="0" w:line="247" w:lineRule="auto"/>
            <w:ind w:left="442"/>
            <w:jc w:val="both"/>
            <w:rPr>
              <w:rFonts w:asciiTheme="minorHAnsi" w:eastAsiaTheme="minorEastAsia" w:hAnsiTheme="minorHAnsi" w:cstheme="minorBidi"/>
              <w:b/>
              <w:bCs/>
              <w:noProof/>
              <w:color w:val="auto"/>
              <w:sz w:val="22"/>
              <w:szCs w:val="22"/>
              <w:lang w:eastAsia="ru-RU"/>
            </w:rPr>
          </w:pPr>
          <w:hyperlink w:anchor="_Toc40733183" w:history="1">
            <w:r w:rsidR="006138A4" w:rsidRPr="009E129A">
              <w:rPr>
                <w:rStyle w:val="a7"/>
                <w:b/>
                <w:bCs/>
                <w:noProof/>
                <w:sz w:val="22"/>
                <w:szCs w:val="22"/>
              </w:rPr>
              <w:t>5.</w:t>
            </w:r>
            <w:r w:rsidR="006138A4" w:rsidRPr="009E129A">
              <w:rPr>
                <w:rFonts w:asciiTheme="minorHAnsi" w:eastAsiaTheme="minorEastAsia" w:hAnsiTheme="minorHAnsi" w:cstheme="minorBidi"/>
                <w:b/>
                <w:bCs/>
                <w:noProof/>
                <w:color w:val="auto"/>
                <w:sz w:val="22"/>
                <w:szCs w:val="22"/>
                <w:lang w:eastAsia="ru-RU"/>
              </w:rPr>
              <w:tab/>
            </w:r>
            <w:r w:rsidR="006138A4" w:rsidRPr="009E129A">
              <w:rPr>
                <w:rStyle w:val="a7"/>
                <w:b/>
                <w:bCs/>
                <w:noProof/>
                <w:sz w:val="22"/>
                <w:szCs w:val="22"/>
              </w:rPr>
              <w:t>Экспертиза обоснованности корректировок необходимой валовой выручки АО «Тываэнерго», проведенных Службой по тарифам Республики Тыва, при определении необходимой валовой выручки на 2019 год</w:t>
            </w:r>
            <w:r w:rsidR="006138A4" w:rsidRPr="009E129A">
              <w:rPr>
                <w:b/>
                <w:bCs/>
                <w:noProof/>
                <w:webHidden/>
                <w:sz w:val="22"/>
                <w:szCs w:val="22"/>
              </w:rPr>
              <w:tab/>
            </w:r>
            <w:r w:rsidR="006138A4" w:rsidRPr="009E129A">
              <w:rPr>
                <w:b/>
                <w:bCs/>
                <w:noProof/>
                <w:webHidden/>
                <w:sz w:val="22"/>
                <w:szCs w:val="22"/>
              </w:rPr>
              <w:fldChar w:fldCharType="begin"/>
            </w:r>
            <w:r w:rsidR="006138A4" w:rsidRPr="009E129A">
              <w:rPr>
                <w:b/>
                <w:bCs/>
                <w:noProof/>
                <w:webHidden/>
                <w:sz w:val="22"/>
                <w:szCs w:val="22"/>
              </w:rPr>
              <w:instrText xml:space="preserve"> PAGEREF _Toc40733183 \h </w:instrText>
            </w:r>
            <w:r w:rsidR="006138A4" w:rsidRPr="009E129A">
              <w:rPr>
                <w:b/>
                <w:bCs/>
                <w:noProof/>
                <w:webHidden/>
                <w:sz w:val="22"/>
                <w:szCs w:val="22"/>
              </w:rPr>
            </w:r>
            <w:r w:rsidR="006138A4" w:rsidRPr="009E129A">
              <w:rPr>
                <w:b/>
                <w:bCs/>
                <w:noProof/>
                <w:webHidden/>
                <w:sz w:val="22"/>
                <w:szCs w:val="22"/>
              </w:rPr>
              <w:fldChar w:fldCharType="separate"/>
            </w:r>
            <w:r w:rsidR="00AE5C11">
              <w:rPr>
                <w:b/>
                <w:bCs/>
                <w:noProof/>
                <w:webHidden/>
                <w:sz w:val="22"/>
                <w:szCs w:val="22"/>
              </w:rPr>
              <w:t>45</w:t>
            </w:r>
            <w:r w:rsidR="006138A4" w:rsidRPr="009E129A">
              <w:rPr>
                <w:b/>
                <w:bCs/>
                <w:noProof/>
                <w:webHidden/>
                <w:sz w:val="22"/>
                <w:szCs w:val="22"/>
              </w:rPr>
              <w:fldChar w:fldCharType="end"/>
            </w:r>
          </w:hyperlink>
        </w:p>
        <w:p w14:paraId="41C3DF10" w14:textId="2FEF00EA" w:rsidR="006138A4" w:rsidRPr="009E129A" w:rsidRDefault="00B87291" w:rsidP="00E72D6E">
          <w:pPr>
            <w:pStyle w:val="31"/>
            <w:tabs>
              <w:tab w:val="left" w:pos="1100"/>
              <w:tab w:val="right" w:leader="dot" w:pos="9345"/>
            </w:tabs>
            <w:spacing w:after="0" w:line="247" w:lineRule="auto"/>
            <w:ind w:left="442"/>
            <w:jc w:val="both"/>
            <w:rPr>
              <w:rFonts w:asciiTheme="minorHAnsi" w:eastAsiaTheme="minorEastAsia" w:hAnsiTheme="minorHAnsi" w:cstheme="minorBidi"/>
              <w:b/>
              <w:bCs/>
              <w:noProof/>
              <w:color w:val="auto"/>
              <w:sz w:val="22"/>
              <w:szCs w:val="22"/>
              <w:lang w:eastAsia="ru-RU"/>
            </w:rPr>
          </w:pPr>
          <w:hyperlink w:anchor="_Toc40733184" w:history="1">
            <w:r w:rsidR="006138A4" w:rsidRPr="009E129A">
              <w:rPr>
                <w:rStyle w:val="a7"/>
                <w:b/>
                <w:bCs/>
                <w:noProof/>
                <w:sz w:val="22"/>
                <w:szCs w:val="22"/>
              </w:rPr>
              <w:t>5.1.</w:t>
            </w:r>
            <w:r w:rsidR="006138A4" w:rsidRPr="009E129A">
              <w:rPr>
                <w:rFonts w:asciiTheme="minorHAnsi" w:eastAsiaTheme="minorEastAsia" w:hAnsiTheme="minorHAnsi" w:cstheme="minorBidi"/>
                <w:b/>
                <w:bCs/>
                <w:noProof/>
                <w:color w:val="auto"/>
                <w:sz w:val="22"/>
                <w:szCs w:val="22"/>
                <w:lang w:eastAsia="ru-RU"/>
              </w:rPr>
              <w:tab/>
            </w:r>
            <w:r w:rsidR="006138A4" w:rsidRPr="009E129A">
              <w:rPr>
                <w:rStyle w:val="a7"/>
                <w:b/>
                <w:bCs/>
                <w:noProof/>
                <w:sz w:val="22"/>
                <w:szCs w:val="22"/>
              </w:rPr>
              <w:t>Экспертиза обоснованности определения величины корректировки расходов 2019 года, связанных с компенсацией незапланированных расходов или полученного избытка по итогам фактических значений параметров расчета тарифов за 2017 год</w:t>
            </w:r>
            <w:r w:rsidR="006138A4" w:rsidRPr="009E129A">
              <w:rPr>
                <w:b/>
                <w:bCs/>
                <w:noProof/>
                <w:webHidden/>
                <w:sz w:val="22"/>
                <w:szCs w:val="22"/>
              </w:rPr>
              <w:tab/>
            </w:r>
            <w:r w:rsidR="006138A4" w:rsidRPr="009E129A">
              <w:rPr>
                <w:b/>
                <w:bCs/>
                <w:noProof/>
                <w:webHidden/>
                <w:sz w:val="22"/>
                <w:szCs w:val="22"/>
              </w:rPr>
              <w:fldChar w:fldCharType="begin"/>
            </w:r>
            <w:r w:rsidR="006138A4" w:rsidRPr="009E129A">
              <w:rPr>
                <w:b/>
                <w:bCs/>
                <w:noProof/>
                <w:webHidden/>
                <w:sz w:val="22"/>
                <w:szCs w:val="22"/>
              </w:rPr>
              <w:instrText xml:space="preserve"> PAGEREF _Toc40733184 \h </w:instrText>
            </w:r>
            <w:r w:rsidR="006138A4" w:rsidRPr="009E129A">
              <w:rPr>
                <w:b/>
                <w:bCs/>
                <w:noProof/>
                <w:webHidden/>
                <w:sz w:val="22"/>
                <w:szCs w:val="22"/>
              </w:rPr>
            </w:r>
            <w:r w:rsidR="006138A4" w:rsidRPr="009E129A">
              <w:rPr>
                <w:b/>
                <w:bCs/>
                <w:noProof/>
                <w:webHidden/>
                <w:sz w:val="22"/>
                <w:szCs w:val="22"/>
              </w:rPr>
              <w:fldChar w:fldCharType="separate"/>
            </w:r>
            <w:r w:rsidR="00AE5C11">
              <w:rPr>
                <w:b/>
                <w:bCs/>
                <w:noProof/>
                <w:webHidden/>
                <w:sz w:val="22"/>
                <w:szCs w:val="22"/>
              </w:rPr>
              <w:t>50</w:t>
            </w:r>
            <w:r w:rsidR="006138A4" w:rsidRPr="009E129A">
              <w:rPr>
                <w:b/>
                <w:bCs/>
                <w:noProof/>
                <w:webHidden/>
                <w:sz w:val="22"/>
                <w:szCs w:val="22"/>
              </w:rPr>
              <w:fldChar w:fldCharType="end"/>
            </w:r>
          </w:hyperlink>
        </w:p>
        <w:p w14:paraId="12514D5F" w14:textId="2BF2EFC9" w:rsidR="006138A4" w:rsidRPr="009E129A" w:rsidRDefault="00B87291" w:rsidP="00E72D6E">
          <w:pPr>
            <w:pStyle w:val="31"/>
            <w:tabs>
              <w:tab w:val="left" w:pos="1100"/>
              <w:tab w:val="right" w:leader="dot" w:pos="9345"/>
            </w:tabs>
            <w:spacing w:after="0" w:line="247" w:lineRule="auto"/>
            <w:ind w:left="442"/>
            <w:jc w:val="both"/>
            <w:rPr>
              <w:rFonts w:asciiTheme="minorHAnsi" w:eastAsiaTheme="minorEastAsia" w:hAnsiTheme="minorHAnsi" w:cstheme="minorBidi"/>
              <w:b/>
              <w:bCs/>
              <w:noProof/>
              <w:color w:val="auto"/>
              <w:sz w:val="22"/>
              <w:szCs w:val="22"/>
              <w:lang w:eastAsia="ru-RU"/>
            </w:rPr>
          </w:pPr>
          <w:hyperlink w:anchor="_Toc40733185" w:history="1">
            <w:r w:rsidR="006138A4" w:rsidRPr="009E129A">
              <w:rPr>
                <w:rStyle w:val="a7"/>
                <w:b/>
                <w:bCs/>
                <w:noProof/>
                <w:sz w:val="22"/>
                <w:szCs w:val="22"/>
              </w:rPr>
              <w:t>5.2.</w:t>
            </w:r>
            <w:r w:rsidR="006138A4" w:rsidRPr="009E129A">
              <w:rPr>
                <w:rFonts w:asciiTheme="minorHAnsi" w:eastAsiaTheme="minorEastAsia" w:hAnsiTheme="minorHAnsi" w:cstheme="minorBidi"/>
                <w:b/>
                <w:bCs/>
                <w:noProof/>
                <w:color w:val="auto"/>
                <w:sz w:val="22"/>
                <w:szCs w:val="22"/>
                <w:lang w:eastAsia="ru-RU"/>
              </w:rPr>
              <w:tab/>
            </w:r>
            <w:r w:rsidR="006138A4" w:rsidRPr="009E129A">
              <w:rPr>
                <w:rStyle w:val="a7"/>
                <w:b/>
                <w:bCs/>
                <w:noProof/>
                <w:sz w:val="22"/>
                <w:szCs w:val="22"/>
              </w:rPr>
              <w:t>Экспертиза обоснованности корректировки подконтрольных расходов, связанных с изменением планируемых параметров расчета тарифов</w:t>
            </w:r>
            <w:r w:rsidR="006138A4" w:rsidRPr="009E129A">
              <w:rPr>
                <w:b/>
                <w:bCs/>
                <w:noProof/>
                <w:webHidden/>
                <w:sz w:val="22"/>
                <w:szCs w:val="22"/>
              </w:rPr>
              <w:tab/>
            </w:r>
            <w:r w:rsidR="006138A4" w:rsidRPr="009E129A">
              <w:rPr>
                <w:b/>
                <w:bCs/>
                <w:noProof/>
                <w:webHidden/>
                <w:sz w:val="22"/>
                <w:szCs w:val="22"/>
              </w:rPr>
              <w:fldChar w:fldCharType="begin"/>
            </w:r>
            <w:r w:rsidR="006138A4" w:rsidRPr="009E129A">
              <w:rPr>
                <w:b/>
                <w:bCs/>
                <w:noProof/>
                <w:webHidden/>
                <w:sz w:val="22"/>
                <w:szCs w:val="22"/>
              </w:rPr>
              <w:instrText xml:space="preserve"> PAGEREF _Toc40733185 \h </w:instrText>
            </w:r>
            <w:r w:rsidR="006138A4" w:rsidRPr="009E129A">
              <w:rPr>
                <w:b/>
                <w:bCs/>
                <w:noProof/>
                <w:webHidden/>
                <w:sz w:val="22"/>
                <w:szCs w:val="22"/>
              </w:rPr>
            </w:r>
            <w:r w:rsidR="006138A4" w:rsidRPr="009E129A">
              <w:rPr>
                <w:b/>
                <w:bCs/>
                <w:noProof/>
                <w:webHidden/>
                <w:sz w:val="22"/>
                <w:szCs w:val="22"/>
              </w:rPr>
              <w:fldChar w:fldCharType="separate"/>
            </w:r>
            <w:r w:rsidR="00AE5C11">
              <w:rPr>
                <w:b/>
                <w:bCs/>
                <w:noProof/>
                <w:webHidden/>
                <w:sz w:val="22"/>
                <w:szCs w:val="22"/>
              </w:rPr>
              <w:t>52</w:t>
            </w:r>
            <w:r w:rsidR="006138A4" w:rsidRPr="009E129A">
              <w:rPr>
                <w:b/>
                <w:bCs/>
                <w:noProof/>
                <w:webHidden/>
                <w:sz w:val="22"/>
                <w:szCs w:val="22"/>
              </w:rPr>
              <w:fldChar w:fldCharType="end"/>
            </w:r>
          </w:hyperlink>
        </w:p>
        <w:p w14:paraId="5411DFD8" w14:textId="03EDB516" w:rsidR="006138A4" w:rsidRPr="009E129A" w:rsidRDefault="00B87291" w:rsidP="00E72D6E">
          <w:pPr>
            <w:pStyle w:val="31"/>
            <w:tabs>
              <w:tab w:val="left" w:pos="1100"/>
              <w:tab w:val="right" w:leader="dot" w:pos="9345"/>
            </w:tabs>
            <w:spacing w:after="0" w:line="247" w:lineRule="auto"/>
            <w:ind w:left="442"/>
            <w:jc w:val="both"/>
            <w:rPr>
              <w:rFonts w:asciiTheme="minorHAnsi" w:eastAsiaTheme="minorEastAsia" w:hAnsiTheme="minorHAnsi" w:cstheme="minorBidi"/>
              <w:b/>
              <w:bCs/>
              <w:noProof/>
              <w:color w:val="auto"/>
              <w:sz w:val="22"/>
              <w:szCs w:val="22"/>
              <w:lang w:eastAsia="ru-RU"/>
            </w:rPr>
          </w:pPr>
          <w:hyperlink w:anchor="_Toc40733186" w:history="1">
            <w:r w:rsidR="006138A4" w:rsidRPr="009E129A">
              <w:rPr>
                <w:rStyle w:val="a7"/>
                <w:b/>
                <w:bCs/>
                <w:noProof/>
                <w:sz w:val="22"/>
                <w:szCs w:val="22"/>
              </w:rPr>
              <w:t>5.3.</w:t>
            </w:r>
            <w:r w:rsidR="006138A4" w:rsidRPr="009E129A">
              <w:rPr>
                <w:rFonts w:asciiTheme="minorHAnsi" w:eastAsiaTheme="minorEastAsia" w:hAnsiTheme="minorHAnsi" w:cstheme="minorBidi"/>
                <w:b/>
                <w:bCs/>
                <w:noProof/>
                <w:color w:val="auto"/>
                <w:sz w:val="22"/>
                <w:szCs w:val="22"/>
                <w:lang w:eastAsia="ru-RU"/>
              </w:rPr>
              <w:tab/>
            </w:r>
            <w:r w:rsidR="006138A4" w:rsidRPr="009E129A">
              <w:rPr>
                <w:rStyle w:val="a7"/>
                <w:b/>
                <w:bCs/>
                <w:noProof/>
                <w:sz w:val="22"/>
                <w:szCs w:val="22"/>
              </w:rPr>
              <w:t>Экспертиза обоснованности корректировки по фактически понесенным неподконтрольным расходам, не учтенным при установлении тарифов</w:t>
            </w:r>
            <w:r w:rsidR="006138A4" w:rsidRPr="009E129A">
              <w:rPr>
                <w:b/>
                <w:bCs/>
                <w:noProof/>
                <w:webHidden/>
                <w:sz w:val="22"/>
                <w:szCs w:val="22"/>
              </w:rPr>
              <w:tab/>
            </w:r>
            <w:r w:rsidR="006138A4" w:rsidRPr="009E129A">
              <w:rPr>
                <w:b/>
                <w:bCs/>
                <w:noProof/>
                <w:webHidden/>
                <w:sz w:val="22"/>
                <w:szCs w:val="22"/>
              </w:rPr>
              <w:fldChar w:fldCharType="begin"/>
            </w:r>
            <w:r w:rsidR="006138A4" w:rsidRPr="009E129A">
              <w:rPr>
                <w:b/>
                <w:bCs/>
                <w:noProof/>
                <w:webHidden/>
                <w:sz w:val="22"/>
                <w:szCs w:val="22"/>
              </w:rPr>
              <w:instrText xml:space="preserve"> PAGEREF _Toc40733186 \h </w:instrText>
            </w:r>
            <w:r w:rsidR="006138A4" w:rsidRPr="009E129A">
              <w:rPr>
                <w:b/>
                <w:bCs/>
                <w:noProof/>
                <w:webHidden/>
                <w:sz w:val="22"/>
                <w:szCs w:val="22"/>
              </w:rPr>
            </w:r>
            <w:r w:rsidR="006138A4" w:rsidRPr="009E129A">
              <w:rPr>
                <w:b/>
                <w:bCs/>
                <w:noProof/>
                <w:webHidden/>
                <w:sz w:val="22"/>
                <w:szCs w:val="22"/>
              </w:rPr>
              <w:fldChar w:fldCharType="separate"/>
            </w:r>
            <w:r w:rsidR="00AE5C11">
              <w:rPr>
                <w:b/>
                <w:bCs/>
                <w:noProof/>
                <w:webHidden/>
                <w:sz w:val="22"/>
                <w:szCs w:val="22"/>
              </w:rPr>
              <w:t>56</w:t>
            </w:r>
            <w:r w:rsidR="006138A4" w:rsidRPr="009E129A">
              <w:rPr>
                <w:b/>
                <w:bCs/>
                <w:noProof/>
                <w:webHidden/>
                <w:sz w:val="22"/>
                <w:szCs w:val="22"/>
              </w:rPr>
              <w:fldChar w:fldCharType="end"/>
            </w:r>
          </w:hyperlink>
        </w:p>
        <w:p w14:paraId="4CC5535C" w14:textId="6EB65125" w:rsidR="006138A4" w:rsidRPr="009E129A" w:rsidRDefault="00B87291" w:rsidP="00E72D6E">
          <w:pPr>
            <w:pStyle w:val="31"/>
            <w:tabs>
              <w:tab w:val="left" w:pos="1100"/>
              <w:tab w:val="right" w:leader="dot" w:pos="9345"/>
            </w:tabs>
            <w:spacing w:after="0" w:line="247" w:lineRule="auto"/>
            <w:ind w:left="442"/>
            <w:jc w:val="both"/>
            <w:rPr>
              <w:rFonts w:asciiTheme="minorHAnsi" w:eastAsiaTheme="minorEastAsia" w:hAnsiTheme="minorHAnsi" w:cstheme="minorBidi"/>
              <w:b/>
              <w:bCs/>
              <w:noProof/>
              <w:color w:val="auto"/>
              <w:sz w:val="22"/>
              <w:szCs w:val="22"/>
              <w:lang w:eastAsia="ru-RU"/>
            </w:rPr>
          </w:pPr>
          <w:hyperlink w:anchor="_Toc40733187" w:history="1">
            <w:r w:rsidR="006138A4" w:rsidRPr="009E129A">
              <w:rPr>
                <w:rStyle w:val="a7"/>
                <w:b/>
                <w:bCs/>
                <w:noProof/>
                <w:sz w:val="22"/>
                <w:szCs w:val="22"/>
              </w:rPr>
              <w:t>5.4.</w:t>
            </w:r>
            <w:r w:rsidR="006138A4" w:rsidRPr="009E129A">
              <w:rPr>
                <w:rFonts w:asciiTheme="minorHAnsi" w:eastAsiaTheme="minorEastAsia" w:hAnsiTheme="minorHAnsi" w:cstheme="minorBidi"/>
                <w:b/>
                <w:bCs/>
                <w:noProof/>
                <w:color w:val="auto"/>
                <w:sz w:val="22"/>
                <w:szCs w:val="22"/>
                <w:lang w:eastAsia="ru-RU"/>
              </w:rPr>
              <w:tab/>
            </w:r>
            <w:r w:rsidR="006138A4" w:rsidRPr="009E129A">
              <w:rPr>
                <w:rStyle w:val="a7"/>
                <w:b/>
                <w:bCs/>
                <w:noProof/>
                <w:sz w:val="22"/>
                <w:szCs w:val="22"/>
              </w:rPr>
              <w:t>Экспертиза обоснованности определения компенсации выпадающих/излишне полученных доходов, возникающих в результате отличия фактических цен покупки технологических потерь электрической энергии от установленных при утверждении тарифов</w:t>
            </w:r>
            <w:r w:rsidR="006138A4" w:rsidRPr="009E129A">
              <w:rPr>
                <w:b/>
                <w:bCs/>
                <w:noProof/>
                <w:webHidden/>
                <w:sz w:val="22"/>
                <w:szCs w:val="22"/>
              </w:rPr>
              <w:tab/>
            </w:r>
            <w:r w:rsidR="006138A4" w:rsidRPr="009E129A">
              <w:rPr>
                <w:b/>
                <w:bCs/>
                <w:noProof/>
                <w:webHidden/>
                <w:sz w:val="22"/>
                <w:szCs w:val="22"/>
              </w:rPr>
              <w:fldChar w:fldCharType="begin"/>
            </w:r>
            <w:r w:rsidR="006138A4" w:rsidRPr="009E129A">
              <w:rPr>
                <w:b/>
                <w:bCs/>
                <w:noProof/>
                <w:webHidden/>
                <w:sz w:val="22"/>
                <w:szCs w:val="22"/>
              </w:rPr>
              <w:instrText xml:space="preserve"> PAGEREF _Toc40733187 \h </w:instrText>
            </w:r>
            <w:r w:rsidR="006138A4" w:rsidRPr="009E129A">
              <w:rPr>
                <w:b/>
                <w:bCs/>
                <w:noProof/>
                <w:webHidden/>
                <w:sz w:val="22"/>
                <w:szCs w:val="22"/>
              </w:rPr>
            </w:r>
            <w:r w:rsidR="006138A4" w:rsidRPr="009E129A">
              <w:rPr>
                <w:b/>
                <w:bCs/>
                <w:noProof/>
                <w:webHidden/>
                <w:sz w:val="22"/>
                <w:szCs w:val="22"/>
              </w:rPr>
              <w:fldChar w:fldCharType="separate"/>
            </w:r>
            <w:r w:rsidR="00AE5C11">
              <w:rPr>
                <w:b/>
                <w:bCs/>
                <w:noProof/>
                <w:webHidden/>
                <w:sz w:val="22"/>
                <w:szCs w:val="22"/>
              </w:rPr>
              <w:t>61</w:t>
            </w:r>
            <w:r w:rsidR="006138A4" w:rsidRPr="009E129A">
              <w:rPr>
                <w:b/>
                <w:bCs/>
                <w:noProof/>
                <w:webHidden/>
                <w:sz w:val="22"/>
                <w:szCs w:val="22"/>
              </w:rPr>
              <w:fldChar w:fldCharType="end"/>
            </w:r>
          </w:hyperlink>
        </w:p>
        <w:p w14:paraId="491BCDDB" w14:textId="22ED57F0" w:rsidR="006138A4" w:rsidRPr="009E129A" w:rsidRDefault="00B87291" w:rsidP="00E72D6E">
          <w:pPr>
            <w:pStyle w:val="31"/>
            <w:tabs>
              <w:tab w:val="left" w:pos="1100"/>
              <w:tab w:val="right" w:leader="dot" w:pos="9345"/>
            </w:tabs>
            <w:spacing w:after="0" w:line="247" w:lineRule="auto"/>
            <w:ind w:left="442"/>
            <w:jc w:val="both"/>
            <w:rPr>
              <w:rFonts w:asciiTheme="minorHAnsi" w:eastAsiaTheme="minorEastAsia" w:hAnsiTheme="minorHAnsi" w:cstheme="minorBidi"/>
              <w:b/>
              <w:bCs/>
              <w:noProof/>
              <w:color w:val="auto"/>
              <w:sz w:val="22"/>
              <w:szCs w:val="22"/>
              <w:lang w:eastAsia="ru-RU"/>
            </w:rPr>
          </w:pPr>
          <w:hyperlink w:anchor="_Toc40733188" w:history="1">
            <w:r w:rsidR="006138A4" w:rsidRPr="009E129A">
              <w:rPr>
                <w:rStyle w:val="a7"/>
                <w:b/>
                <w:bCs/>
                <w:noProof/>
                <w:sz w:val="22"/>
                <w:szCs w:val="22"/>
              </w:rPr>
              <w:t>5.5.</w:t>
            </w:r>
            <w:r w:rsidR="006138A4" w:rsidRPr="009E129A">
              <w:rPr>
                <w:rFonts w:asciiTheme="minorHAnsi" w:eastAsiaTheme="minorEastAsia" w:hAnsiTheme="minorHAnsi" w:cstheme="minorBidi"/>
                <w:b/>
                <w:bCs/>
                <w:noProof/>
                <w:color w:val="auto"/>
                <w:sz w:val="22"/>
                <w:szCs w:val="22"/>
                <w:lang w:eastAsia="ru-RU"/>
              </w:rPr>
              <w:tab/>
            </w:r>
            <w:r w:rsidR="006138A4" w:rsidRPr="009E129A">
              <w:rPr>
                <w:rStyle w:val="a7"/>
                <w:b/>
                <w:bCs/>
                <w:noProof/>
                <w:sz w:val="22"/>
                <w:szCs w:val="22"/>
              </w:rPr>
              <w:t>Экспертиза обоснованности корректировки необходимой валовой выручки в связи с изменением (неисполнением) инвестиционной программы</w:t>
            </w:r>
            <w:r w:rsidR="006138A4" w:rsidRPr="009E129A">
              <w:rPr>
                <w:b/>
                <w:bCs/>
                <w:noProof/>
                <w:webHidden/>
                <w:sz w:val="22"/>
                <w:szCs w:val="22"/>
              </w:rPr>
              <w:tab/>
            </w:r>
            <w:r w:rsidR="006138A4" w:rsidRPr="009E129A">
              <w:rPr>
                <w:b/>
                <w:bCs/>
                <w:noProof/>
                <w:webHidden/>
                <w:sz w:val="22"/>
                <w:szCs w:val="22"/>
              </w:rPr>
              <w:fldChar w:fldCharType="begin"/>
            </w:r>
            <w:r w:rsidR="006138A4" w:rsidRPr="009E129A">
              <w:rPr>
                <w:b/>
                <w:bCs/>
                <w:noProof/>
                <w:webHidden/>
                <w:sz w:val="22"/>
                <w:szCs w:val="22"/>
              </w:rPr>
              <w:instrText xml:space="preserve"> PAGEREF _Toc40733188 \h </w:instrText>
            </w:r>
            <w:r w:rsidR="006138A4" w:rsidRPr="009E129A">
              <w:rPr>
                <w:b/>
                <w:bCs/>
                <w:noProof/>
                <w:webHidden/>
                <w:sz w:val="22"/>
                <w:szCs w:val="22"/>
              </w:rPr>
            </w:r>
            <w:r w:rsidR="006138A4" w:rsidRPr="009E129A">
              <w:rPr>
                <w:b/>
                <w:bCs/>
                <w:noProof/>
                <w:webHidden/>
                <w:sz w:val="22"/>
                <w:szCs w:val="22"/>
              </w:rPr>
              <w:fldChar w:fldCharType="separate"/>
            </w:r>
            <w:r w:rsidR="00AE5C11">
              <w:rPr>
                <w:b/>
                <w:bCs/>
                <w:noProof/>
                <w:webHidden/>
                <w:sz w:val="22"/>
                <w:szCs w:val="22"/>
              </w:rPr>
              <w:t>65</w:t>
            </w:r>
            <w:r w:rsidR="006138A4" w:rsidRPr="009E129A">
              <w:rPr>
                <w:b/>
                <w:bCs/>
                <w:noProof/>
                <w:webHidden/>
                <w:sz w:val="22"/>
                <w:szCs w:val="22"/>
              </w:rPr>
              <w:fldChar w:fldCharType="end"/>
            </w:r>
          </w:hyperlink>
        </w:p>
        <w:p w14:paraId="4AB537CE" w14:textId="46E8D6CC" w:rsidR="006138A4" w:rsidRPr="009E129A" w:rsidRDefault="00B87291" w:rsidP="00E72D6E">
          <w:pPr>
            <w:pStyle w:val="31"/>
            <w:tabs>
              <w:tab w:val="left" w:pos="1100"/>
              <w:tab w:val="right" w:leader="dot" w:pos="9345"/>
            </w:tabs>
            <w:spacing w:after="0" w:line="247" w:lineRule="auto"/>
            <w:ind w:left="442"/>
            <w:jc w:val="both"/>
            <w:rPr>
              <w:rFonts w:asciiTheme="minorHAnsi" w:eastAsiaTheme="minorEastAsia" w:hAnsiTheme="minorHAnsi" w:cstheme="minorBidi"/>
              <w:b/>
              <w:bCs/>
              <w:noProof/>
              <w:color w:val="auto"/>
              <w:sz w:val="22"/>
              <w:szCs w:val="22"/>
              <w:lang w:eastAsia="ru-RU"/>
            </w:rPr>
          </w:pPr>
          <w:hyperlink w:anchor="_Toc40733189" w:history="1">
            <w:r w:rsidR="006138A4" w:rsidRPr="009E129A">
              <w:rPr>
                <w:rStyle w:val="a7"/>
                <w:b/>
                <w:bCs/>
                <w:noProof/>
                <w:sz w:val="22"/>
                <w:szCs w:val="22"/>
              </w:rPr>
              <w:t>5.6.</w:t>
            </w:r>
            <w:r w:rsidR="006138A4" w:rsidRPr="009E129A">
              <w:rPr>
                <w:rFonts w:asciiTheme="minorHAnsi" w:eastAsiaTheme="minorEastAsia" w:hAnsiTheme="minorHAnsi" w:cstheme="minorBidi"/>
                <w:b/>
                <w:bCs/>
                <w:noProof/>
                <w:color w:val="auto"/>
                <w:sz w:val="22"/>
                <w:szCs w:val="22"/>
                <w:lang w:eastAsia="ru-RU"/>
              </w:rPr>
              <w:tab/>
            </w:r>
            <w:r w:rsidR="006138A4" w:rsidRPr="009E129A">
              <w:rPr>
                <w:rStyle w:val="a7"/>
                <w:b/>
                <w:bCs/>
                <w:noProof/>
                <w:sz w:val="22"/>
                <w:szCs w:val="22"/>
              </w:rPr>
              <w:t>Экспертиза обоснованности корректировки необходимой валовой выручки с учетом надежности и качества оказываемых услуг</w:t>
            </w:r>
            <w:r w:rsidR="006138A4" w:rsidRPr="009E129A">
              <w:rPr>
                <w:b/>
                <w:bCs/>
                <w:noProof/>
                <w:webHidden/>
                <w:sz w:val="22"/>
                <w:szCs w:val="22"/>
              </w:rPr>
              <w:tab/>
            </w:r>
            <w:r w:rsidR="006138A4" w:rsidRPr="009E129A">
              <w:rPr>
                <w:b/>
                <w:bCs/>
                <w:noProof/>
                <w:webHidden/>
                <w:sz w:val="22"/>
                <w:szCs w:val="22"/>
              </w:rPr>
              <w:fldChar w:fldCharType="begin"/>
            </w:r>
            <w:r w:rsidR="006138A4" w:rsidRPr="009E129A">
              <w:rPr>
                <w:b/>
                <w:bCs/>
                <w:noProof/>
                <w:webHidden/>
                <w:sz w:val="22"/>
                <w:szCs w:val="22"/>
              </w:rPr>
              <w:instrText xml:space="preserve"> PAGEREF _Toc40733189 \h </w:instrText>
            </w:r>
            <w:r w:rsidR="006138A4" w:rsidRPr="009E129A">
              <w:rPr>
                <w:b/>
                <w:bCs/>
                <w:noProof/>
                <w:webHidden/>
                <w:sz w:val="22"/>
                <w:szCs w:val="22"/>
              </w:rPr>
            </w:r>
            <w:r w:rsidR="006138A4" w:rsidRPr="009E129A">
              <w:rPr>
                <w:b/>
                <w:bCs/>
                <w:noProof/>
                <w:webHidden/>
                <w:sz w:val="22"/>
                <w:szCs w:val="22"/>
              </w:rPr>
              <w:fldChar w:fldCharType="separate"/>
            </w:r>
            <w:r w:rsidR="00AE5C11">
              <w:rPr>
                <w:b/>
                <w:bCs/>
                <w:noProof/>
                <w:webHidden/>
                <w:sz w:val="22"/>
                <w:szCs w:val="22"/>
              </w:rPr>
              <w:t>98</w:t>
            </w:r>
            <w:r w:rsidR="006138A4" w:rsidRPr="009E129A">
              <w:rPr>
                <w:b/>
                <w:bCs/>
                <w:noProof/>
                <w:webHidden/>
                <w:sz w:val="22"/>
                <w:szCs w:val="22"/>
              </w:rPr>
              <w:fldChar w:fldCharType="end"/>
            </w:r>
          </w:hyperlink>
        </w:p>
        <w:p w14:paraId="252AAD3C" w14:textId="271792ED" w:rsidR="006138A4" w:rsidRPr="009E129A" w:rsidRDefault="00B87291" w:rsidP="00E72D6E">
          <w:pPr>
            <w:pStyle w:val="31"/>
            <w:tabs>
              <w:tab w:val="left" w:pos="1100"/>
              <w:tab w:val="right" w:leader="dot" w:pos="9345"/>
            </w:tabs>
            <w:spacing w:after="0" w:line="247" w:lineRule="auto"/>
            <w:ind w:left="442"/>
            <w:jc w:val="both"/>
            <w:rPr>
              <w:rFonts w:asciiTheme="minorHAnsi" w:eastAsiaTheme="minorEastAsia" w:hAnsiTheme="minorHAnsi" w:cstheme="minorBidi"/>
              <w:b/>
              <w:bCs/>
              <w:noProof/>
              <w:color w:val="auto"/>
              <w:sz w:val="22"/>
              <w:szCs w:val="22"/>
              <w:lang w:eastAsia="ru-RU"/>
            </w:rPr>
          </w:pPr>
          <w:hyperlink w:anchor="_Toc40733190" w:history="1">
            <w:r w:rsidR="006138A4" w:rsidRPr="009E129A">
              <w:rPr>
                <w:rStyle w:val="a7"/>
                <w:b/>
                <w:bCs/>
                <w:noProof/>
                <w:sz w:val="22"/>
                <w:szCs w:val="22"/>
              </w:rPr>
              <w:t>5.7.</w:t>
            </w:r>
            <w:r w:rsidR="006138A4" w:rsidRPr="009E129A">
              <w:rPr>
                <w:rFonts w:asciiTheme="minorHAnsi" w:eastAsiaTheme="minorEastAsia" w:hAnsiTheme="minorHAnsi" w:cstheme="minorBidi"/>
                <w:b/>
                <w:bCs/>
                <w:noProof/>
                <w:color w:val="auto"/>
                <w:sz w:val="22"/>
                <w:szCs w:val="22"/>
                <w:lang w:eastAsia="ru-RU"/>
              </w:rPr>
              <w:tab/>
            </w:r>
            <w:r w:rsidR="006138A4" w:rsidRPr="009E129A">
              <w:rPr>
                <w:rStyle w:val="a7"/>
                <w:b/>
                <w:bCs/>
                <w:noProof/>
                <w:sz w:val="22"/>
                <w:szCs w:val="22"/>
              </w:rPr>
              <w:t>Экспертиза обоснованности корректировки необходимой валовой выручки по доходам от осуществления регулируемой деятельности</w:t>
            </w:r>
            <w:r w:rsidR="006138A4" w:rsidRPr="009E129A">
              <w:rPr>
                <w:b/>
                <w:bCs/>
                <w:noProof/>
                <w:webHidden/>
                <w:sz w:val="22"/>
                <w:szCs w:val="22"/>
              </w:rPr>
              <w:tab/>
            </w:r>
            <w:r w:rsidR="006138A4" w:rsidRPr="009E129A">
              <w:rPr>
                <w:b/>
                <w:bCs/>
                <w:noProof/>
                <w:webHidden/>
                <w:sz w:val="22"/>
                <w:szCs w:val="22"/>
              </w:rPr>
              <w:fldChar w:fldCharType="begin"/>
            </w:r>
            <w:r w:rsidR="006138A4" w:rsidRPr="009E129A">
              <w:rPr>
                <w:b/>
                <w:bCs/>
                <w:noProof/>
                <w:webHidden/>
                <w:sz w:val="22"/>
                <w:szCs w:val="22"/>
              </w:rPr>
              <w:instrText xml:space="preserve"> PAGEREF _Toc40733190 \h </w:instrText>
            </w:r>
            <w:r w:rsidR="006138A4" w:rsidRPr="009E129A">
              <w:rPr>
                <w:b/>
                <w:bCs/>
                <w:noProof/>
                <w:webHidden/>
                <w:sz w:val="22"/>
                <w:szCs w:val="22"/>
              </w:rPr>
            </w:r>
            <w:r w:rsidR="006138A4" w:rsidRPr="009E129A">
              <w:rPr>
                <w:b/>
                <w:bCs/>
                <w:noProof/>
                <w:webHidden/>
                <w:sz w:val="22"/>
                <w:szCs w:val="22"/>
              </w:rPr>
              <w:fldChar w:fldCharType="separate"/>
            </w:r>
            <w:r w:rsidR="00AE5C11">
              <w:rPr>
                <w:b/>
                <w:bCs/>
                <w:noProof/>
                <w:webHidden/>
                <w:sz w:val="22"/>
                <w:szCs w:val="22"/>
              </w:rPr>
              <w:t>106</w:t>
            </w:r>
            <w:r w:rsidR="006138A4" w:rsidRPr="009E129A">
              <w:rPr>
                <w:b/>
                <w:bCs/>
                <w:noProof/>
                <w:webHidden/>
                <w:sz w:val="22"/>
                <w:szCs w:val="22"/>
              </w:rPr>
              <w:fldChar w:fldCharType="end"/>
            </w:r>
          </w:hyperlink>
        </w:p>
        <w:p w14:paraId="714490A4" w14:textId="2F693909" w:rsidR="006138A4" w:rsidRPr="009E129A" w:rsidRDefault="00B87291" w:rsidP="00E72D6E">
          <w:pPr>
            <w:pStyle w:val="31"/>
            <w:tabs>
              <w:tab w:val="left" w:pos="1100"/>
              <w:tab w:val="right" w:leader="dot" w:pos="9345"/>
            </w:tabs>
            <w:spacing w:after="0" w:line="247" w:lineRule="auto"/>
            <w:ind w:left="442"/>
            <w:jc w:val="both"/>
            <w:rPr>
              <w:rFonts w:asciiTheme="minorHAnsi" w:eastAsiaTheme="minorEastAsia" w:hAnsiTheme="minorHAnsi" w:cstheme="minorBidi"/>
              <w:b/>
              <w:bCs/>
              <w:noProof/>
              <w:color w:val="auto"/>
              <w:sz w:val="22"/>
              <w:szCs w:val="22"/>
              <w:lang w:eastAsia="ru-RU"/>
            </w:rPr>
          </w:pPr>
          <w:hyperlink w:anchor="_Toc40733191" w:history="1">
            <w:r w:rsidR="006138A4" w:rsidRPr="009E129A">
              <w:rPr>
                <w:rStyle w:val="a7"/>
                <w:b/>
                <w:bCs/>
                <w:noProof/>
                <w:sz w:val="22"/>
                <w:szCs w:val="22"/>
              </w:rPr>
              <w:t>5.8.</w:t>
            </w:r>
            <w:r w:rsidR="006138A4" w:rsidRPr="009E129A">
              <w:rPr>
                <w:rFonts w:asciiTheme="minorHAnsi" w:eastAsiaTheme="minorEastAsia" w:hAnsiTheme="minorHAnsi" w:cstheme="minorBidi"/>
                <w:b/>
                <w:bCs/>
                <w:noProof/>
                <w:color w:val="auto"/>
                <w:sz w:val="22"/>
                <w:szCs w:val="22"/>
                <w:lang w:eastAsia="ru-RU"/>
              </w:rPr>
              <w:tab/>
            </w:r>
            <w:r w:rsidR="006138A4" w:rsidRPr="009E129A">
              <w:rPr>
                <w:rStyle w:val="a7"/>
                <w:b/>
                <w:bCs/>
                <w:noProof/>
                <w:sz w:val="22"/>
                <w:szCs w:val="22"/>
              </w:rPr>
              <w:t>Анализ перераспределения необходимой валовой выручки между годами долгосрочного периода в том числе по периодам регулирования, относящимся к разным долгосрочным периодам регулирования</w:t>
            </w:r>
            <w:r w:rsidR="006138A4" w:rsidRPr="009E129A">
              <w:rPr>
                <w:b/>
                <w:bCs/>
                <w:noProof/>
                <w:webHidden/>
                <w:sz w:val="22"/>
                <w:szCs w:val="22"/>
              </w:rPr>
              <w:tab/>
            </w:r>
            <w:r w:rsidR="006138A4" w:rsidRPr="009E129A">
              <w:rPr>
                <w:b/>
                <w:bCs/>
                <w:noProof/>
                <w:webHidden/>
                <w:sz w:val="22"/>
                <w:szCs w:val="22"/>
              </w:rPr>
              <w:fldChar w:fldCharType="begin"/>
            </w:r>
            <w:r w:rsidR="006138A4" w:rsidRPr="009E129A">
              <w:rPr>
                <w:b/>
                <w:bCs/>
                <w:noProof/>
                <w:webHidden/>
                <w:sz w:val="22"/>
                <w:szCs w:val="22"/>
              </w:rPr>
              <w:instrText xml:space="preserve"> PAGEREF _Toc40733191 \h </w:instrText>
            </w:r>
            <w:r w:rsidR="006138A4" w:rsidRPr="009E129A">
              <w:rPr>
                <w:b/>
                <w:bCs/>
                <w:noProof/>
                <w:webHidden/>
                <w:sz w:val="22"/>
                <w:szCs w:val="22"/>
              </w:rPr>
            </w:r>
            <w:r w:rsidR="006138A4" w:rsidRPr="009E129A">
              <w:rPr>
                <w:b/>
                <w:bCs/>
                <w:noProof/>
                <w:webHidden/>
                <w:sz w:val="22"/>
                <w:szCs w:val="22"/>
              </w:rPr>
              <w:fldChar w:fldCharType="separate"/>
            </w:r>
            <w:r w:rsidR="00AE5C11">
              <w:rPr>
                <w:b/>
                <w:bCs/>
                <w:noProof/>
                <w:webHidden/>
                <w:sz w:val="22"/>
                <w:szCs w:val="22"/>
              </w:rPr>
              <w:t>115</w:t>
            </w:r>
            <w:r w:rsidR="006138A4" w:rsidRPr="009E129A">
              <w:rPr>
                <w:b/>
                <w:bCs/>
                <w:noProof/>
                <w:webHidden/>
                <w:sz w:val="22"/>
                <w:szCs w:val="22"/>
              </w:rPr>
              <w:fldChar w:fldCharType="end"/>
            </w:r>
          </w:hyperlink>
        </w:p>
        <w:p w14:paraId="6E6DC61B" w14:textId="76623B2D" w:rsidR="006138A4" w:rsidRPr="009E129A" w:rsidRDefault="00B87291" w:rsidP="00E72D6E">
          <w:pPr>
            <w:pStyle w:val="31"/>
            <w:tabs>
              <w:tab w:val="left" w:pos="880"/>
              <w:tab w:val="right" w:leader="dot" w:pos="9345"/>
            </w:tabs>
            <w:spacing w:after="0" w:line="247" w:lineRule="auto"/>
            <w:ind w:left="442"/>
            <w:jc w:val="both"/>
            <w:rPr>
              <w:rFonts w:asciiTheme="minorHAnsi" w:eastAsiaTheme="minorEastAsia" w:hAnsiTheme="minorHAnsi" w:cstheme="minorBidi"/>
              <w:b/>
              <w:bCs/>
              <w:noProof/>
              <w:color w:val="auto"/>
              <w:sz w:val="22"/>
              <w:szCs w:val="22"/>
              <w:lang w:eastAsia="ru-RU"/>
            </w:rPr>
          </w:pPr>
          <w:hyperlink w:anchor="_Toc40733192" w:history="1">
            <w:r w:rsidR="006138A4" w:rsidRPr="009E129A">
              <w:rPr>
                <w:rStyle w:val="a7"/>
                <w:b/>
                <w:bCs/>
                <w:noProof/>
                <w:sz w:val="22"/>
                <w:szCs w:val="22"/>
              </w:rPr>
              <w:t>6.</w:t>
            </w:r>
            <w:r w:rsidR="006138A4" w:rsidRPr="009E129A">
              <w:rPr>
                <w:rFonts w:asciiTheme="minorHAnsi" w:eastAsiaTheme="minorEastAsia" w:hAnsiTheme="minorHAnsi" w:cstheme="minorBidi"/>
                <w:b/>
                <w:bCs/>
                <w:noProof/>
                <w:color w:val="auto"/>
                <w:sz w:val="22"/>
                <w:szCs w:val="22"/>
                <w:lang w:eastAsia="ru-RU"/>
              </w:rPr>
              <w:tab/>
            </w:r>
            <w:r w:rsidR="006138A4" w:rsidRPr="009E129A">
              <w:rPr>
                <w:rStyle w:val="a7"/>
                <w:b/>
                <w:bCs/>
                <w:noProof/>
                <w:sz w:val="22"/>
                <w:szCs w:val="22"/>
              </w:rPr>
              <w:t>Свод корректировок необходимой валовой выручки АО «Тываэнерго» на услуги по передаче электрической энергии за 2017 год</w:t>
            </w:r>
            <w:r w:rsidR="006138A4" w:rsidRPr="009E129A">
              <w:rPr>
                <w:b/>
                <w:bCs/>
                <w:noProof/>
                <w:webHidden/>
                <w:sz w:val="22"/>
                <w:szCs w:val="22"/>
              </w:rPr>
              <w:tab/>
            </w:r>
            <w:r w:rsidR="006138A4" w:rsidRPr="009E129A">
              <w:rPr>
                <w:b/>
                <w:bCs/>
                <w:noProof/>
                <w:webHidden/>
                <w:sz w:val="22"/>
                <w:szCs w:val="22"/>
              </w:rPr>
              <w:fldChar w:fldCharType="begin"/>
            </w:r>
            <w:r w:rsidR="006138A4" w:rsidRPr="009E129A">
              <w:rPr>
                <w:b/>
                <w:bCs/>
                <w:noProof/>
                <w:webHidden/>
                <w:sz w:val="22"/>
                <w:szCs w:val="22"/>
              </w:rPr>
              <w:instrText xml:space="preserve"> PAGEREF _Toc40733192 \h </w:instrText>
            </w:r>
            <w:r w:rsidR="006138A4" w:rsidRPr="009E129A">
              <w:rPr>
                <w:b/>
                <w:bCs/>
                <w:noProof/>
                <w:webHidden/>
                <w:sz w:val="22"/>
                <w:szCs w:val="22"/>
              </w:rPr>
            </w:r>
            <w:r w:rsidR="006138A4" w:rsidRPr="009E129A">
              <w:rPr>
                <w:b/>
                <w:bCs/>
                <w:noProof/>
                <w:webHidden/>
                <w:sz w:val="22"/>
                <w:szCs w:val="22"/>
              </w:rPr>
              <w:fldChar w:fldCharType="separate"/>
            </w:r>
            <w:r w:rsidR="00AE5C11">
              <w:rPr>
                <w:b/>
                <w:bCs/>
                <w:noProof/>
                <w:webHidden/>
                <w:sz w:val="22"/>
                <w:szCs w:val="22"/>
              </w:rPr>
              <w:t>122</w:t>
            </w:r>
            <w:r w:rsidR="006138A4" w:rsidRPr="009E129A">
              <w:rPr>
                <w:b/>
                <w:bCs/>
                <w:noProof/>
                <w:webHidden/>
                <w:sz w:val="22"/>
                <w:szCs w:val="22"/>
              </w:rPr>
              <w:fldChar w:fldCharType="end"/>
            </w:r>
          </w:hyperlink>
        </w:p>
        <w:p w14:paraId="0455F49F" w14:textId="5931FA02" w:rsidR="006138A4" w:rsidRPr="009E129A" w:rsidRDefault="00B87291" w:rsidP="007D6AFC">
          <w:pPr>
            <w:pStyle w:val="31"/>
            <w:tabs>
              <w:tab w:val="left" w:pos="880"/>
              <w:tab w:val="right" w:leader="dot" w:pos="9345"/>
            </w:tabs>
            <w:spacing w:before="80" w:after="0" w:line="240" w:lineRule="auto"/>
            <w:ind w:left="442"/>
            <w:jc w:val="both"/>
            <w:rPr>
              <w:rFonts w:asciiTheme="minorHAnsi" w:eastAsiaTheme="minorEastAsia" w:hAnsiTheme="minorHAnsi" w:cstheme="minorBidi"/>
              <w:b/>
              <w:bCs/>
              <w:noProof/>
              <w:color w:val="auto"/>
              <w:sz w:val="22"/>
              <w:szCs w:val="22"/>
              <w:lang w:eastAsia="ru-RU"/>
            </w:rPr>
          </w:pPr>
          <w:hyperlink w:anchor="_Toc40733193" w:history="1">
            <w:r w:rsidR="006138A4" w:rsidRPr="009E129A">
              <w:rPr>
                <w:rStyle w:val="a7"/>
                <w:b/>
                <w:bCs/>
                <w:noProof/>
                <w:sz w:val="22"/>
                <w:szCs w:val="22"/>
              </w:rPr>
              <w:t>7.</w:t>
            </w:r>
            <w:r w:rsidR="006138A4" w:rsidRPr="009E129A">
              <w:rPr>
                <w:rFonts w:asciiTheme="minorHAnsi" w:eastAsiaTheme="minorEastAsia" w:hAnsiTheme="minorHAnsi" w:cstheme="minorBidi"/>
                <w:b/>
                <w:bCs/>
                <w:noProof/>
                <w:color w:val="auto"/>
                <w:sz w:val="22"/>
                <w:szCs w:val="22"/>
                <w:lang w:eastAsia="ru-RU"/>
              </w:rPr>
              <w:tab/>
            </w:r>
            <w:r w:rsidR="006138A4" w:rsidRPr="009E129A">
              <w:rPr>
                <w:rStyle w:val="a7"/>
                <w:b/>
                <w:bCs/>
                <w:noProof/>
                <w:sz w:val="22"/>
                <w:szCs w:val="22"/>
              </w:rPr>
              <w:t>Анализ экономически обоснованных выпадающих расходов/недополученных доходов, полученных АО «Тываэнерго» за 2017-2018 гг. в результате принятых Службой по тарифам Республика Тыва тарифно-балансовых решений, в том числе анализ соответствия фактической товарной выручки АО «Тываэнерго» от передачи электрической энергии по единым (котловым) тарифам необходимой валовой выручке, утвержденной регулирующим органом</w:t>
            </w:r>
            <w:r w:rsidR="006138A4" w:rsidRPr="009E129A">
              <w:rPr>
                <w:b/>
                <w:bCs/>
                <w:noProof/>
                <w:webHidden/>
                <w:sz w:val="22"/>
                <w:szCs w:val="22"/>
              </w:rPr>
              <w:tab/>
            </w:r>
            <w:r w:rsidR="006138A4" w:rsidRPr="009E129A">
              <w:rPr>
                <w:b/>
                <w:bCs/>
                <w:noProof/>
                <w:webHidden/>
                <w:sz w:val="22"/>
                <w:szCs w:val="22"/>
              </w:rPr>
              <w:fldChar w:fldCharType="begin"/>
            </w:r>
            <w:r w:rsidR="006138A4" w:rsidRPr="009E129A">
              <w:rPr>
                <w:b/>
                <w:bCs/>
                <w:noProof/>
                <w:webHidden/>
                <w:sz w:val="22"/>
                <w:szCs w:val="22"/>
              </w:rPr>
              <w:instrText xml:space="preserve"> PAGEREF _Toc40733193 \h </w:instrText>
            </w:r>
            <w:r w:rsidR="006138A4" w:rsidRPr="009E129A">
              <w:rPr>
                <w:b/>
                <w:bCs/>
                <w:noProof/>
                <w:webHidden/>
                <w:sz w:val="22"/>
                <w:szCs w:val="22"/>
              </w:rPr>
            </w:r>
            <w:r w:rsidR="006138A4" w:rsidRPr="009E129A">
              <w:rPr>
                <w:b/>
                <w:bCs/>
                <w:noProof/>
                <w:webHidden/>
                <w:sz w:val="22"/>
                <w:szCs w:val="22"/>
              </w:rPr>
              <w:fldChar w:fldCharType="separate"/>
            </w:r>
            <w:r w:rsidR="00AE5C11">
              <w:rPr>
                <w:b/>
                <w:bCs/>
                <w:noProof/>
                <w:webHidden/>
                <w:sz w:val="22"/>
                <w:szCs w:val="22"/>
              </w:rPr>
              <w:t>125</w:t>
            </w:r>
            <w:r w:rsidR="006138A4" w:rsidRPr="009E129A">
              <w:rPr>
                <w:b/>
                <w:bCs/>
                <w:noProof/>
                <w:webHidden/>
                <w:sz w:val="22"/>
                <w:szCs w:val="22"/>
              </w:rPr>
              <w:fldChar w:fldCharType="end"/>
            </w:r>
          </w:hyperlink>
        </w:p>
        <w:p w14:paraId="58429A2D" w14:textId="58BB290F" w:rsidR="00E72D6E" w:rsidRPr="009E129A" w:rsidRDefault="00B87291" w:rsidP="00E72D6E">
          <w:pPr>
            <w:pStyle w:val="31"/>
            <w:tabs>
              <w:tab w:val="left" w:pos="880"/>
              <w:tab w:val="right" w:leader="dot" w:pos="9338"/>
            </w:tabs>
            <w:spacing w:after="0" w:line="247" w:lineRule="auto"/>
            <w:ind w:left="442"/>
            <w:jc w:val="both"/>
            <w:rPr>
              <w:b/>
              <w:bCs/>
              <w:i/>
              <w:color w:val="4F6228" w:themeColor="accent3" w:themeShade="80"/>
              <w:sz w:val="24"/>
              <w:szCs w:val="24"/>
            </w:rPr>
          </w:pPr>
          <w:hyperlink w:anchor="_Toc40733194" w:history="1">
            <w:r w:rsidR="006138A4" w:rsidRPr="009E129A">
              <w:rPr>
                <w:rStyle w:val="a7"/>
                <w:b/>
                <w:bCs/>
                <w:noProof/>
                <w:sz w:val="22"/>
                <w:szCs w:val="22"/>
              </w:rPr>
              <w:t>8.</w:t>
            </w:r>
            <w:r w:rsidR="006138A4" w:rsidRPr="009E129A">
              <w:rPr>
                <w:rFonts w:asciiTheme="minorHAnsi" w:eastAsiaTheme="minorEastAsia" w:hAnsiTheme="minorHAnsi" w:cstheme="minorBidi"/>
                <w:b/>
                <w:bCs/>
                <w:noProof/>
                <w:color w:val="auto"/>
                <w:sz w:val="22"/>
                <w:szCs w:val="22"/>
                <w:lang w:eastAsia="ru-RU"/>
              </w:rPr>
              <w:tab/>
            </w:r>
            <w:r w:rsidR="006138A4" w:rsidRPr="009E129A">
              <w:rPr>
                <w:rStyle w:val="a7"/>
                <w:b/>
                <w:bCs/>
                <w:noProof/>
                <w:sz w:val="22"/>
                <w:szCs w:val="22"/>
              </w:rPr>
              <w:t>Экономическая оценка результатов деятельности  АО «Тываэнерго» за 2017-2018 годы по оказанию услуг по передаче электрической энергии</w:t>
            </w:r>
            <w:r w:rsidR="006138A4" w:rsidRPr="009E129A">
              <w:rPr>
                <w:b/>
                <w:bCs/>
                <w:noProof/>
                <w:webHidden/>
                <w:sz w:val="22"/>
                <w:szCs w:val="22"/>
              </w:rPr>
              <w:tab/>
            </w:r>
            <w:r w:rsidR="006138A4" w:rsidRPr="009E129A">
              <w:rPr>
                <w:b/>
                <w:bCs/>
                <w:noProof/>
                <w:webHidden/>
                <w:sz w:val="22"/>
                <w:szCs w:val="22"/>
              </w:rPr>
              <w:fldChar w:fldCharType="begin"/>
            </w:r>
            <w:r w:rsidR="006138A4" w:rsidRPr="009E129A">
              <w:rPr>
                <w:b/>
                <w:bCs/>
                <w:noProof/>
                <w:webHidden/>
                <w:sz w:val="22"/>
                <w:szCs w:val="22"/>
              </w:rPr>
              <w:instrText xml:space="preserve"> PAGEREF _Toc40733194 \h </w:instrText>
            </w:r>
            <w:r w:rsidR="006138A4" w:rsidRPr="009E129A">
              <w:rPr>
                <w:b/>
                <w:bCs/>
                <w:noProof/>
                <w:webHidden/>
                <w:sz w:val="22"/>
                <w:szCs w:val="22"/>
              </w:rPr>
            </w:r>
            <w:r w:rsidR="006138A4" w:rsidRPr="009E129A">
              <w:rPr>
                <w:b/>
                <w:bCs/>
                <w:noProof/>
                <w:webHidden/>
                <w:sz w:val="22"/>
                <w:szCs w:val="22"/>
              </w:rPr>
              <w:fldChar w:fldCharType="separate"/>
            </w:r>
            <w:r w:rsidR="00AE5C11">
              <w:rPr>
                <w:b/>
                <w:bCs/>
                <w:noProof/>
                <w:webHidden/>
                <w:sz w:val="22"/>
                <w:szCs w:val="22"/>
              </w:rPr>
              <w:t>145</w:t>
            </w:r>
            <w:r w:rsidR="006138A4" w:rsidRPr="009E129A">
              <w:rPr>
                <w:b/>
                <w:bCs/>
                <w:noProof/>
                <w:webHidden/>
                <w:sz w:val="22"/>
                <w:szCs w:val="22"/>
              </w:rPr>
              <w:fldChar w:fldCharType="end"/>
            </w:r>
          </w:hyperlink>
          <w:r w:rsidR="00BD23C3" w:rsidRPr="009E129A">
            <w:rPr>
              <w:b/>
              <w:bCs/>
              <w:i/>
              <w:color w:val="4F6228" w:themeColor="accent3" w:themeShade="80"/>
              <w:sz w:val="22"/>
              <w:szCs w:val="22"/>
            </w:rPr>
            <w:fldChar w:fldCharType="end"/>
          </w:r>
        </w:p>
      </w:sdtContent>
    </w:sdt>
    <w:p w14:paraId="270A29FD" w14:textId="1CADF2A6" w:rsidR="00BD23C3" w:rsidRDefault="00BD23C3" w:rsidP="00E72D6E">
      <w:pPr>
        <w:pStyle w:val="31"/>
        <w:tabs>
          <w:tab w:val="left" w:pos="880"/>
          <w:tab w:val="right" w:leader="dot" w:pos="9338"/>
        </w:tabs>
        <w:spacing w:after="0" w:line="247" w:lineRule="auto"/>
        <w:ind w:left="442"/>
        <w:jc w:val="both"/>
      </w:pPr>
      <w:r>
        <w:br w:type="page"/>
      </w:r>
    </w:p>
    <w:p w14:paraId="4BF9A048" w14:textId="288F7495" w:rsidR="00BD23C3" w:rsidRPr="00C355DA" w:rsidRDefault="00BD23C3" w:rsidP="00BD23C3">
      <w:pPr>
        <w:shd w:val="clear" w:color="auto" w:fill="FFFFFF"/>
        <w:spacing w:after="0" w:line="360" w:lineRule="auto"/>
        <w:ind w:firstLine="567"/>
        <w:contextualSpacing/>
        <w:jc w:val="both"/>
        <w:rPr>
          <w:sz w:val="26"/>
          <w:szCs w:val="26"/>
        </w:rPr>
      </w:pPr>
      <w:r w:rsidRPr="00C355DA">
        <w:rPr>
          <w:sz w:val="26"/>
          <w:szCs w:val="26"/>
        </w:rPr>
        <w:lastRenderedPageBreak/>
        <w:t xml:space="preserve">Настоящий Отчет по результатам анализа принятых регулирующим органом тарифно-балансовых решений за 2019 год в отношении </w:t>
      </w:r>
      <w:r w:rsidR="00C108AE" w:rsidRPr="00C355DA">
        <w:rPr>
          <w:sz w:val="26"/>
          <w:szCs w:val="26"/>
        </w:rPr>
        <w:t xml:space="preserve">ПАО «МРСК Сибири» </w:t>
      </w:r>
      <w:r w:rsidRPr="00C355DA">
        <w:rPr>
          <w:sz w:val="26"/>
          <w:szCs w:val="26"/>
        </w:rPr>
        <w:t xml:space="preserve">(далее – Заказчик) составлен ООО «Экспертная компания ЭПАР» (далее – Исполнитель) на основании экспертизы тарифно-балансовых решений, принятых регулирующим органом в отношении </w:t>
      </w:r>
      <w:r w:rsidR="006A37C0" w:rsidRPr="00C355DA">
        <w:rPr>
          <w:sz w:val="26"/>
          <w:szCs w:val="26"/>
        </w:rPr>
        <w:t>ДЗО ПАО</w:t>
      </w:r>
      <w:r w:rsidR="00C108AE" w:rsidRPr="00C355DA">
        <w:rPr>
          <w:sz w:val="26"/>
          <w:szCs w:val="26"/>
        </w:rPr>
        <w:t xml:space="preserve"> «МРСК Сибири»</w:t>
      </w:r>
      <w:r w:rsidR="006A37C0" w:rsidRPr="00C355DA">
        <w:rPr>
          <w:sz w:val="26"/>
          <w:szCs w:val="26"/>
        </w:rPr>
        <w:t xml:space="preserve"> АО «Тываэнерго»</w:t>
      </w:r>
      <w:r w:rsidR="00C108AE" w:rsidRPr="00C355DA">
        <w:rPr>
          <w:sz w:val="26"/>
          <w:szCs w:val="26"/>
        </w:rPr>
        <w:t xml:space="preserve"> </w:t>
      </w:r>
      <w:r w:rsidRPr="00C355DA">
        <w:rPr>
          <w:sz w:val="26"/>
          <w:szCs w:val="26"/>
        </w:rPr>
        <w:t xml:space="preserve">(далее – регулируемая организация, </w:t>
      </w:r>
      <w:r w:rsidR="006A37C0" w:rsidRPr="00C355DA">
        <w:rPr>
          <w:sz w:val="26"/>
          <w:szCs w:val="26"/>
        </w:rPr>
        <w:t>АО «Тываэнерго»</w:t>
      </w:r>
      <w:r w:rsidRPr="00C355DA">
        <w:rPr>
          <w:sz w:val="26"/>
          <w:szCs w:val="26"/>
        </w:rPr>
        <w:t xml:space="preserve">) при установлении тарифов на услуги по передаче электрической энергии </w:t>
      </w:r>
      <w:r w:rsidR="00F94FED">
        <w:rPr>
          <w:sz w:val="26"/>
          <w:szCs w:val="26"/>
        </w:rPr>
        <w:t xml:space="preserve">с применением </w:t>
      </w:r>
      <w:r w:rsidRPr="00C355DA">
        <w:rPr>
          <w:sz w:val="26"/>
          <w:szCs w:val="26"/>
        </w:rPr>
        <w:t>метод</w:t>
      </w:r>
      <w:r w:rsidR="00F94FED">
        <w:rPr>
          <w:sz w:val="26"/>
          <w:szCs w:val="26"/>
        </w:rPr>
        <w:t>а</w:t>
      </w:r>
      <w:r w:rsidRPr="00C355DA">
        <w:rPr>
          <w:sz w:val="26"/>
          <w:szCs w:val="26"/>
        </w:rPr>
        <w:t xml:space="preserve"> долгосрочной индексации необходимой валовой выручки на 2019 год на территории Республики </w:t>
      </w:r>
      <w:r w:rsidR="005E0C7F" w:rsidRPr="00C355DA">
        <w:rPr>
          <w:sz w:val="26"/>
          <w:szCs w:val="26"/>
        </w:rPr>
        <w:t>Тыва</w:t>
      </w:r>
      <w:r w:rsidRPr="00C355DA">
        <w:rPr>
          <w:sz w:val="26"/>
          <w:szCs w:val="26"/>
        </w:rPr>
        <w:t xml:space="preserve">, экспертизы обосновывающих материалов, представленных </w:t>
      </w:r>
      <w:r w:rsidR="006A37C0" w:rsidRPr="00C355DA">
        <w:rPr>
          <w:sz w:val="26"/>
          <w:szCs w:val="26"/>
        </w:rPr>
        <w:t>ДЗО ПАО</w:t>
      </w:r>
      <w:r w:rsidRPr="00C355DA">
        <w:rPr>
          <w:sz w:val="26"/>
          <w:szCs w:val="26"/>
        </w:rPr>
        <w:t> «</w:t>
      </w:r>
      <w:r w:rsidR="00C108AE" w:rsidRPr="00C355DA">
        <w:rPr>
          <w:sz w:val="26"/>
          <w:szCs w:val="26"/>
        </w:rPr>
        <w:t>МРСК Сибири</w:t>
      </w:r>
      <w:r w:rsidR="006A37C0" w:rsidRPr="00C355DA">
        <w:rPr>
          <w:sz w:val="26"/>
          <w:szCs w:val="26"/>
        </w:rPr>
        <w:t>» АО «Тываэнерго»</w:t>
      </w:r>
      <w:r w:rsidRPr="00C355DA">
        <w:rPr>
          <w:sz w:val="26"/>
          <w:szCs w:val="26"/>
        </w:rPr>
        <w:t xml:space="preserve"> в регулирующий орган – </w:t>
      </w:r>
      <w:r w:rsidR="005E0C7F" w:rsidRPr="00C355DA">
        <w:rPr>
          <w:sz w:val="26"/>
          <w:szCs w:val="26"/>
        </w:rPr>
        <w:t>Службу по тарифам Республики Тыва</w:t>
      </w:r>
      <w:r w:rsidR="006B6D1C" w:rsidRPr="00C355DA">
        <w:rPr>
          <w:sz w:val="26"/>
          <w:szCs w:val="26"/>
        </w:rPr>
        <w:t xml:space="preserve"> </w:t>
      </w:r>
      <w:r w:rsidR="00E72D6E">
        <w:rPr>
          <w:sz w:val="26"/>
          <w:szCs w:val="26"/>
        </w:rPr>
        <w:t xml:space="preserve">(далее – регулирующий орган, Служба) </w:t>
      </w:r>
      <w:r w:rsidRPr="00C355DA">
        <w:rPr>
          <w:sz w:val="26"/>
          <w:szCs w:val="26"/>
        </w:rPr>
        <w:t>в рамках рассмотрения дел об установлении тарифов</w:t>
      </w:r>
      <w:r w:rsidR="00475110" w:rsidRPr="00C355DA">
        <w:rPr>
          <w:sz w:val="26"/>
          <w:szCs w:val="26"/>
        </w:rPr>
        <w:t xml:space="preserve"> на услуги по передаче электрической энергии</w:t>
      </w:r>
      <w:r w:rsidRPr="00C355DA">
        <w:rPr>
          <w:sz w:val="26"/>
          <w:szCs w:val="26"/>
        </w:rPr>
        <w:t xml:space="preserve">, экспертизы обоснованности решений, принятых </w:t>
      </w:r>
      <w:r w:rsidR="005E0C7F" w:rsidRPr="00C355DA">
        <w:rPr>
          <w:sz w:val="26"/>
          <w:szCs w:val="26"/>
        </w:rPr>
        <w:t>Службой по тарифам Республики Тыва</w:t>
      </w:r>
      <w:r w:rsidR="00C355DA" w:rsidRPr="00C355DA">
        <w:rPr>
          <w:sz w:val="26"/>
          <w:szCs w:val="26"/>
        </w:rPr>
        <w:t xml:space="preserve"> (далее – регулирующий орган, Служба)</w:t>
      </w:r>
      <w:r w:rsidR="005E0C7F" w:rsidRPr="00C355DA">
        <w:rPr>
          <w:sz w:val="26"/>
          <w:szCs w:val="26"/>
        </w:rPr>
        <w:t xml:space="preserve"> </w:t>
      </w:r>
      <w:r w:rsidRPr="00C355DA">
        <w:rPr>
          <w:sz w:val="26"/>
          <w:szCs w:val="26"/>
        </w:rPr>
        <w:t xml:space="preserve">при определении необходимой валовой выручки </w:t>
      </w:r>
      <w:r w:rsidR="00A04472" w:rsidRPr="00C355DA">
        <w:rPr>
          <w:sz w:val="26"/>
          <w:szCs w:val="26"/>
        </w:rPr>
        <w:t>(далее – НВВ)</w:t>
      </w:r>
      <w:r w:rsidR="00F94FED">
        <w:rPr>
          <w:sz w:val="26"/>
          <w:szCs w:val="26"/>
        </w:rPr>
        <w:t xml:space="preserve"> </w:t>
      </w:r>
      <w:r w:rsidR="006A37C0" w:rsidRPr="00C355DA">
        <w:rPr>
          <w:sz w:val="26"/>
          <w:szCs w:val="26"/>
        </w:rPr>
        <w:t xml:space="preserve">ДЗО </w:t>
      </w:r>
      <w:r w:rsidR="00E72D6E">
        <w:rPr>
          <w:sz w:val="26"/>
          <w:szCs w:val="26"/>
        </w:rPr>
        <w:br/>
      </w:r>
      <w:r w:rsidR="006A37C0" w:rsidRPr="00C355DA">
        <w:rPr>
          <w:sz w:val="26"/>
          <w:szCs w:val="26"/>
        </w:rPr>
        <w:t>ПАО</w:t>
      </w:r>
      <w:r w:rsidRPr="00C355DA">
        <w:rPr>
          <w:sz w:val="26"/>
          <w:szCs w:val="26"/>
        </w:rPr>
        <w:t xml:space="preserve"> «</w:t>
      </w:r>
      <w:r w:rsidR="00C108AE" w:rsidRPr="00C355DA">
        <w:rPr>
          <w:sz w:val="26"/>
          <w:szCs w:val="26"/>
        </w:rPr>
        <w:t>МРСК Сибири</w:t>
      </w:r>
      <w:r w:rsidR="006A37C0" w:rsidRPr="00C355DA">
        <w:rPr>
          <w:sz w:val="26"/>
          <w:szCs w:val="26"/>
        </w:rPr>
        <w:t>»</w:t>
      </w:r>
      <w:r w:rsidR="00A04472" w:rsidRPr="00C355DA">
        <w:rPr>
          <w:sz w:val="26"/>
          <w:szCs w:val="26"/>
        </w:rPr>
        <w:t xml:space="preserve"> </w:t>
      </w:r>
      <w:r w:rsidR="006A37C0" w:rsidRPr="00C355DA">
        <w:rPr>
          <w:sz w:val="26"/>
          <w:szCs w:val="26"/>
        </w:rPr>
        <w:t>АО</w:t>
      </w:r>
      <w:r w:rsidR="00A04472" w:rsidRPr="00C355DA">
        <w:rPr>
          <w:sz w:val="26"/>
          <w:szCs w:val="26"/>
        </w:rPr>
        <w:t> </w:t>
      </w:r>
      <w:r w:rsidR="006A37C0" w:rsidRPr="00C355DA">
        <w:rPr>
          <w:sz w:val="26"/>
          <w:szCs w:val="26"/>
        </w:rPr>
        <w:t>«Тываэнерго»</w:t>
      </w:r>
      <w:r w:rsidRPr="00C355DA">
        <w:rPr>
          <w:sz w:val="26"/>
          <w:szCs w:val="26"/>
        </w:rPr>
        <w:t xml:space="preserve"> при установлении тарифов на услуги по передаче электрической энергии, а именно:</w:t>
      </w:r>
    </w:p>
    <w:p w14:paraId="4286CE09" w14:textId="4BF72319" w:rsidR="00BD23C3" w:rsidRPr="00C355DA" w:rsidRDefault="00BD23C3" w:rsidP="005E0C7F">
      <w:pPr>
        <w:pStyle w:val="a3"/>
        <w:numPr>
          <w:ilvl w:val="1"/>
          <w:numId w:val="4"/>
        </w:numPr>
        <w:shd w:val="clear" w:color="auto" w:fill="FFFFFF"/>
        <w:spacing w:after="0" w:line="360" w:lineRule="auto"/>
        <w:ind w:left="0" w:firstLine="567"/>
        <w:jc w:val="both"/>
        <w:rPr>
          <w:rFonts w:ascii="Myriad Pro" w:hAnsi="Myriad Pro"/>
          <w:sz w:val="26"/>
          <w:szCs w:val="26"/>
        </w:rPr>
      </w:pPr>
      <w:r w:rsidRPr="00C355DA">
        <w:rPr>
          <w:rFonts w:ascii="Myriad Pro" w:hAnsi="Myriad Pro"/>
          <w:sz w:val="26"/>
          <w:szCs w:val="26"/>
        </w:rPr>
        <w:t xml:space="preserve">Анализа исполнения инвестиционных программ, учтенных </w:t>
      </w:r>
      <w:r w:rsidR="005E0C7F" w:rsidRPr="00C355DA">
        <w:rPr>
          <w:rFonts w:ascii="Myriad Pro" w:hAnsi="Myriad Pro"/>
          <w:sz w:val="26"/>
          <w:szCs w:val="26"/>
        </w:rPr>
        <w:t xml:space="preserve">Службой по тарифам Республики Тыва </w:t>
      </w:r>
      <w:r w:rsidRPr="00C355DA">
        <w:rPr>
          <w:rFonts w:ascii="Myriad Pro" w:hAnsi="Myriad Pro"/>
          <w:sz w:val="26"/>
          <w:szCs w:val="26"/>
        </w:rPr>
        <w:t>при принятии тарифно-балансовых решений на 2019 год.</w:t>
      </w:r>
    </w:p>
    <w:p w14:paraId="489B0DFB" w14:textId="52229448" w:rsidR="00BD23C3" w:rsidRPr="00C355DA" w:rsidRDefault="00BD23C3" w:rsidP="00BD23C3">
      <w:pPr>
        <w:pStyle w:val="a3"/>
        <w:numPr>
          <w:ilvl w:val="1"/>
          <w:numId w:val="4"/>
        </w:numPr>
        <w:shd w:val="clear" w:color="auto" w:fill="FFFFFF"/>
        <w:spacing w:after="0" w:line="360" w:lineRule="auto"/>
        <w:ind w:left="0" w:firstLine="567"/>
        <w:jc w:val="both"/>
        <w:rPr>
          <w:rFonts w:ascii="Myriad Pro" w:hAnsi="Myriad Pro"/>
          <w:sz w:val="26"/>
          <w:szCs w:val="26"/>
        </w:rPr>
      </w:pPr>
      <w:r w:rsidRPr="00C355DA">
        <w:rPr>
          <w:rFonts w:ascii="Myriad Pro" w:hAnsi="Myriad Pro"/>
          <w:sz w:val="26"/>
          <w:szCs w:val="26"/>
        </w:rPr>
        <w:t xml:space="preserve">Экспертизы расчета необходимой валовой выручки </w:t>
      </w:r>
      <w:r w:rsidR="006A37C0" w:rsidRPr="00C355DA">
        <w:rPr>
          <w:rFonts w:ascii="Myriad Pro" w:hAnsi="Myriad Pro"/>
          <w:sz w:val="26"/>
          <w:szCs w:val="26"/>
        </w:rPr>
        <w:t>ДЗО ПАО</w:t>
      </w:r>
      <w:r w:rsidRPr="00C355DA">
        <w:rPr>
          <w:rFonts w:ascii="Myriad Pro" w:hAnsi="Myriad Pro"/>
          <w:sz w:val="26"/>
          <w:szCs w:val="26"/>
        </w:rPr>
        <w:t> «</w:t>
      </w:r>
      <w:r w:rsidR="00C108AE" w:rsidRPr="00C355DA">
        <w:rPr>
          <w:rFonts w:ascii="Myriad Pro" w:hAnsi="Myriad Pro"/>
          <w:sz w:val="26"/>
          <w:szCs w:val="26"/>
        </w:rPr>
        <w:t>МРСК Сибири</w:t>
      </w:r>
      <w:r w:rsidR="00A04472" w:rsidRPr="00C355DA">
        <w:rPr>
          <w:rFonts w:ascii="Myriad Pro" w:hAnsi="Myriad Pro"/>
          <w:sz w:val="26"/>
          <w:szCs w:val="26"/>
        </w:rPr>
        <w:t xml:space="preserve">» </w:t>
      </w:r>
      <w:r w:rsidR="006A37C0" w:rsidRPr="00C355DA">
        <w:rPr>
          <w:rFonts w:ascii="Myriad Pro" w:hAnsi="Myriad Pro"/>
          <w:sz w:val="26"/>
          <w:szCs w:val="26"/>
        </w:rPr>
        <w:t>АО «Тываэнерго»</w:t>
      </w:r>
      <w:r w:rsidRPr="00C355DA">
        <w:rPr>
          <w:rFonts w:ascii="Myriad Pro" w:hAnsi="Myriad Pro"/>
          <w:sz w:val="26"/>
          <w:szCs w:val="26"/>
        </w:rPr>
        <w:t>, сформированной на основе долгосрочных параметров регулирования деятельности, в том числе анализа фактических расходов на оплату услуг ТСО с календарной разбивкой по полугодиям 2019 года.</w:t>
      </w:r>
    </w:p>
    <w:p w14:paraId="7F74206F" w14:textId="17BCBA58" w:rsidR="00BD23C3" w:rsidRPr="00C355DA" w:rsidRDefault="00BD23C3" w:rsidP="005E0C7F">
      <w:pPr>
        <w:pStyle w:val="a3"/>
        <w:numPr>
          <w:ilvl w:val="1"/>
          <w:numId w:val="4"/>
        </w:numPr>
        <w:shd w:val="clear" w:color="auto" w:fill="FFFFFF"/>
        <w:spacing w:after="0" w:line="360" w:lineRule="auto"/>
        <w:ind w:left="0" w:firstLine="567"/>
        <w:jc w:val="both"/>
        <w:rPr>
          <w:rFonts w:ascii="Myriad Pro" w:hAnsi="Myriad Pro"/>
          <w:sz w:val="26"/>
          <w:szCs w:val="26"/>
        </w:rPr>
      </w:pPr>
      <w:r w:rsidRPr="00C355DA">
        <w:rPr>
          <w:rFonts w:ascii="Myriad Pro" w:hAnsi="Myriad Pro"/>
          <w:sz w:val="26"/>
          <w:szCs w:val="26"/>
        </w:rPr>
        <w:t xml:space="preserve">Экспертизы обоснованности корректировок необходимой валовой выручки </w:t>
      </w:r>
      <w:r w:rsidR="006A37C0" w:rsidRPr="00C355DA">
        <w:rPr>
          <w:rFonts w:ascii="Myriad Pro" w:hAnsi="Myriad Pro"/>
          <w:sz w:val="26"/>
          <w:szCs w:val="26"/>
        </w:rPr>
        <w:t>ДЗО ПАО</w:t>
      </w:r>
      <w:r w:rsidRPr="00C355DA">
        <w:rPr>
          <w:rFonts w:ascii="Myriad Pro" w:hAnsi="Myriad Pro"/>
          <w:sz w:val="26"/>
          <w:szCs w:val="26"/>
        </w:rPr>
        <w:t xml:space="preserve"> «</w:t>
      </w:r>
      <w:r w:rsidR="00C108AE" w:rsidRPr="00C355DA">
        <w:rPr>
          <w:rFonts w:ascii="Myriad Pro" w:hAnsi="Myriad Pro"/>
          <w:sz w:val="26"/>
          <w:szCs w:val="26"/>
        </w:rPr>
        <w:t>МРСК Сибири</w:t>
      </w:r>
      <w:r w:rsidR="00A04472" w:rsidRPr="00C355DA">
        <w:rPr>
          <w:rFonts w:ascii="Myriad Pro" w:hAnsi="Myriad Pro"/>
          <w:sz w:val="26"/>
          <w:szCs w:val="26"/>
        </w:rPr>
        <w:t xml:space="preserve">» </w:t>
      </w:r>
      <w:r w:rsidR="006A37C0" w:rsidRPr="00C355DA">
        <w:rPr>
          <w:rFonts w:ascii="Myriad Pro" w:hAnsi="Myriad Pro"/>
          <w:sz w:val="26"/>
          <w:szCs w:val="26"/>
        </w:rPr>
        <w:t>АО «Тываэнерго»</w:t>
      </w:r>
      <w:r w:rsidRPr="00C355DA">
        <w:rPr>
          <w:rFonts w:ascii="Myriad Pro" w:hAnsi="Myriad Pro"/>
          <w:sz w:val="26"/>
          <w:szCs w:val="26"/>
        </w:rPr>
        <w:t xml:space="preserve">, проведенных </w:t>
      </w:r>
      <w:r w:rsidR="005E0C7F" w:rsidRPr="00C355DA">
        <w:rPr>
          <w:rFonts w:ascii="Myriad Pro" w:hAnsi="Myriad Pro"/>
          <w:sz w:val="26"/>
          <w:szCs w:val="26"/>
        </w:rPr>
        <w:t xml:space="preserve">Службой по тарифам Республики Тыва </w:t>
      </w:r>
      <w:r w:rsidRPr="00C355DA">
        <w:rPr>
          <w:rFonts w:ascii="Myriad Pro" w:hAnsi="Myriad Pro"/>
          <w:sz w:val="26"/>
          <w:szCs w:val="26"/>
        </w:rPr>
        <w:t>при определении необходимой валовой выручки на 2019 год.</w:t>
      </w:r>
    </w:p>
    <w:p w14:paraId="250D42C1" w14:textId="14C4177A" w:rsidR="00BD23C3" w:rsidRPr="00C355DA" w:rsidRDefault="00BD23C3" w:rsidP="005E0C7F">
      <w:pPr>
        <w:pStyle w:val="a3"/>
        <w:numPr>
          <w:ilvl w:val="1"/>
          <w:numId w:val="4"/>
        </w:numPr>
        <w:shd w:val="clear" w:color="auto" w:fill="FFFFFF"/>
        <w:spacing w:after="0" w:line="360" w:lineRule="auto"/>
        <w:ind w:left="0" w:firstLine="567"/>
        <w:jc w:val="both"/>
        <w:rPr>
          <w:rFonts w:ascii="Myriad Pro" w:hAnsi="Myriad Pro"/>
          <w:sz w:val="26"/>
          <w:szCs w:val="26"/>
        </w:rPr>
      </w:pPr>
      <w:r w:rsidRPr="00C355DA">
        <w:rPr>
          <w:rFonts w:ascii="Myriad Pro" w:hAnsi="Myriad Pro"/>
          <w:sz w:val="26"/>
          <w:szCs w:val="26"/>
        </w:rPr>
        <w:t xml:space="preserve">Анализа экономически обоснованных выпадающих расходов/недополученных доходов, полученных </w:t>
      </w:r>
      <w:r w:rsidR="006A37C0" w:rsidRPr="00C355DA">
        <w:rPr>
          <w:rFonts w:ascii="Myriad Pro" w:hAnsi="Myriad Pro"/>
          <w:sz w:val="26"/>
          <w:szCs w:val="26"/>
        </w:rPr>
        <w:t>ДЗО ПАО</w:t>
      </w:r>
      <w:r w:rsidRPr="00C355DA">
        <w:rPr>
          <w:rFonts w:ascii="Myriad Pro" w:hAnsi="Myriad Pro"/>
          <w:sz w:val="26"/>
          <w:szCs w:val="26"/>
        </w:rPr>
        <w:t xml:space="preserve"> «</w:t>
      </w:r>
      <w:r w:rsidR="00C108AE" w:rsidRPr="00C355DA">
        <w:rPr>
          <w:rFonts w:ascii="Myriad Pro" w:hAnsi="Myriad Pro"/>
          <w:sz w:val="26"/>
          <w:szCs w:val="26"/>
        </w:rPr>
        <w:t>МРСК Сибири</w:t>
      </w:r>
      <w:r w:rsidR="00A04472" w:rsidRPr="00C355DA">
        <w:rPr>
          <w:rFonts w:ascii="Myriad Pro" w:hAnsi="Myriad Pro"/>
          <w:sz w:val="26"/>
          <w:szCs w:val="26"/>
        </w:rPr>
        <w:t>» АО </w:t>
      </w:r>
      <w:r w:rsidR="006A37C0" w:rsidRPr="00C355DA">
        <w:rPr>
          <w:rFonts w:ascii="Myriad Pro" w:hAnsi="Myriad Pro"/>
          <w:sz w:val="26"/>
          <w:szCs w:val="26"/>
        </w:rPr>
        <w:t>«Тываэнерго»</w:t>
      </w:r>
      <w:r w:rsidRPr="00C355DA">
        <w:rPr>
          <w:rFonts w:ascii="Myriad Pro" w:hAnsi="Myriad Pro"/>
          <w:sz w:val="26"/>
          <w:szCs w:val="26"/>
        </w:rPr>
        <w:t xml:space="preserve"> за 2017-2018 гг. в результате принятых </w:t>
      </w:r>
      <w:r w:rsidR="005E0C7F" w:rsidRPr="00C355DA">
        <w:rPr>
          <w:rFonts w:ascii="Myriad Pro" w:hAnsi="Myriad Pro"/>
          <w:sz w:val="26"/>
          <w:szCs w:val="26"/>
        </w:rPr>
        <w:t xml:space="preserve">Службой по тарифам </w:t>
      </w:r>
      <w:r w:rsidR="005E0C7F" w:rsidRPr="00C355DA">
        <w:rPr>
          <w:rFonts w:ascii="Myriad Pro" w:hAnsi="Myriad Pro"/>
          <w:sz w:val="26"/>
          <w:szCs w:val="26"/>
        </w:rPr>
        <w:lastRenderedPageBreak/>
        <w:t>Республики Тыва</w:t>
      </w:r>
      <w:r w:rsidRPr="00C355DA">
        <w:rPr>
          <w:rFonts w:ascii="Myriad Pro" w:hAnsi="Myriad Pro"/>
          <w:sz w:val="26"/>
          <w:szCs w:val="26"/>
        </w:rPr>
        <w:t xml:space="preserve"> тарифно-балансовых решений, в том числе анализа соответствия фактической товарной выручки </w:t>
      </w:r>
      <w:r w:rsidR="006A37C0" w:rsidRPr="00C355DA">
        <w:rPr>
          <w:rFonts w:ascii="Myriad Pro" w:hAnsi="Myriad Pro"/>
          <w:sz w:val="26"/>
          <w:szCs w:val="26"/>
        </w:rPr>
        <w:t>ДЗО ПАО</w:t>
      </w:r>
      <w:r w:rsidRPr="00C355DA">
        <w:rPr>
          <w:rFonts w:ascii="Myriad Pro" w:hAnsi="Myriad Pro"/>
          <w:sz w:val="26"/>
          <w:szCs w:val="26"/>
        </w:rPr>
        <w:t xml:space="preserve"> «</w:t>
      </w:r>
      <w:r w:rsidR="00C108AE" w:rsidRPr="00C355DA">
        <w:rPr>
          <w:rFonts w:ascii="Myriad Pro" w:hAnsi="Myriad Pro"/>
          <w:sz w:val="26"/>
          <w:szCs w:val="26"/>
        </w:rPr>
        <w:t>МРСК Сибири</w:t>
      </w:r>
      <w:r w:rsidR="00A04472" w:rsidRPr="00C355DA">
        <w:rPr>
          <w:rFonts w:ascii="Myriad Pro" w:hAnsi="Myriad Pro"/>
          <w:sz w:val="26"/>
          <w:szCs w:val="26"/>
        </w:rPr>
        <w:t>» АО </w:t>
      </w:r>
      <w:r w:rsidR="006A37C0" w:rsidRPr="00C355DA">
        <w:rPr>
          <w:rFonts w:ascii="Myriad Pro" w:hAnsi="Myriad Pro"/>
          <w:sz w:val="26"/>
          <w:szCs w:val="26"/>
        </w:rPr>
        <w:t>«Тываэнерго»</w:t>
      </w:r>
      <w:r w:rsidRPr="00C355DA">
        <w:rPr>
          <w:rFonts w:ascii="Myriad Pro" w:hAnsi="Myriad Pro"/>
          <w:sz w:val="26"/>
          <w:szCs w:val="26"/>
        </w:rPr>
        <w:t xml:space="preserve"> от передачи электрической энергии по единым (котловым) тарифам необходимой валовой выручке, утвержденной регулирующим органом.</w:t>
      </w:r>
    </w:p>
    <w:p w14:paraId="08C6A67B" w14:textId="3FA5C017" w:rsidR="00BD23C3" w:rsidRPr="00C355DA" w:rsidRDefault="00BD23C3" w:rsidP="00BD23C3">
      <w:pPr>
        <w:pStyle w:val="a3"/>
        <w:numPr>
          <w:ilvl w:val="1"/>
          <w:numId w:val="4"/>
        </w:numPr>
        <w:shd w:val="clear" w:color="auto" w:fill="FFFFFF"/>
        <w:spacing w:after="0" w:line="360" w:lineRule="auto"/>
        <w:ind w:left="0" w:firstLine="567"/>
        <w:jc w:val="both"/>
        <w:rPr>
          <w:rFonts w:ascii="Myriad Pro" w:hAnsi="Myriad Pro"/>
          <w:sz w:val="26"/>
          <w:szCs w:val="26"/>
        </w:rPr>
      </w:pPr>
      <w:r w:rsidRPr="00C355DA">
        <w:rPr>
          <w:rFonts w:ascii="Myriad Pro" w:hAnsi="Myriad Pro"/>
          <w:sz w:val="26"/>
          <w:szCs w:val="26"/>
        </w:rPr>
        <w:t xml:space="preserve">Экономической оценки результатов деятельности </w:t>
      </w:r>
      <w:r w:rsidR="006A37C0" w:rsidRPr="00C355DA">
        <w:rPr>
          <w:rFonts w:ascii="Myriad Pro" w:hAnsi="Myriad Pro"/>
          <w:sz w:val="26"/>
          <w:szCs w:val="26"/>
        </w:rPr>
        <w:t>ДЗО ПАО</w:t>
      </w:r>
      <w:r w:rsidRPr="00C355DA">
        <w:rPr>
          <w:rFonts w:ascii="Myriad Pro" w:hAnsi="Myriad Pro"/>
          <w:sz w:val="26"/>
          <w:szCs w:val="26"/>
        </w:rPr>
        <w:t> «</w:t>
      </w:r>
      <w:r w:rsidR="00C108AE" w:rsidRPr="00C355DA">
        <w:rPr>
          <w:rFonts w:ascii="Myriad Pro" w:hAnsi="Myriad Pro"/>
          <w:sz w:val="26"/>
          <w:szCs w:val="26"/>
        </w:rPr>
        <w:t>МРСК Сибири</w:t>
      </w:r>
      <w:r w:rsidR="00A04472" w:rsidRPr="00C355DA">
        <w:rPr>
          <w:rFonts w:ascii="Myriad Pro" w:hAnsi="Myriad Pro"/>
          <w:sz w:val="26"/>
          <w:szCs w:val="26"/>
        </w:rPr>
        <w:t xml:space="preserve">» </w:t>
      </w:r>
      <w:r w:rsidR="006A37C0" w:rsidRPr="00C355DA">
        <w:rPr>
          <w:rFonts w:ascii="Myriad Pro" w:hAnsi="Myriad Pro"/>
          <w:sz w:val="26"/>
          <w:szCs w:val="26"/>
        </w:rPr>
        <w:t>АО «Тываэнерго»</w:t>
      </w:r>
      <w:r w:rsidRPr="00C355DA">
        <w:rPr>
          <w:rFonts w:ascii="Myriad Pro" w:hAnsi="Myriad Pro"/>
          <w:sz w:val="26"/>
          <w:szCs w:val="26"/>
        </w:rPr>
        <w:t xml:space="preserve"> за 2017-2018 годы по оказанию услуг по передаче электрической энергии.</w:t>
      </w:r>
    </w:p>
    <w:p w14:paraId="47ED7148" w14:textId="52CBBEA2" w:rsidR="00BD23C3" w:rsidRDefault="00BD23C3" w:rsidP="00BD23C3">
      <w:pPr>
        <w:shd w:val="clear" w:color="auto" w:fill="FFFFFF"/>
        <w:spacing w:after="0" w:line="360" w:lineRule="auto"/>
        <w:ind w:firstLine="567"/>
        <w:jc w:val="both"/>
        <w:rPr>
          <w:sz w:val="26"/>
          <w:szCs w:val="26"/>
        </w:rPr>
      </w:pPr>
      <w:r w:rsidRPr="00C355DA">
        <w:rPr>
          <w:sz w:val="26"/>
          <w:szCs w:val="26"/>
        </w:rPr>
        <w:t xml:space="preserve">Исполнителем рассматривались и принимались во внимание все представленные документы, имеющие значение для оценки обоснованности принятых </w:t>
      </w:r>
      <w:r w:rsidR="005E0C7F" w:rsidRPr="00C355DA">
        <w:rPr>
          <w:sz w:val="26"/>
          <w:szCs w:val="26"/>
        </w:rPr>
        <w:t xml:space="preserve">Службой по тарифам Республики Тыва </w:t>
      </w:r>
      <w:r w:rsidRPr="00C355DA">
        <w:rPr>
          <w:sz w:val="26"/>
          <w:szCs w:val="26"/>
        </w:rPr>
        <w:t>тарифно-балансовых решений, при этом Исполнитель исходил из того, что представленная Заказчиком информация является достоверной. Ответственность за</w:t>
      </w:r>
      <w:r>
        <w:rPr>
          <w:sz w:val="26"/>
          <w:szCs w:val="26"/>
        </w:rPr>
        <w:t xml:space="preserve"> достоверность информации несет руководитель Заказчика.</w:t>
      </w:r>
    </w:p>
    <w:p w14:paraId="7B1FC4A0" w14:textId="77777777" w:rsidR="00BD23C3" w:rsidRPr="00282B4C" w:rsidRDefault="00BD23C3" w:rsidP="00BD23C3">
      <w:pPr>
        <w:shd w:val="clear" w:color="auto" w:fill="FFFFFF"/>
        <w:spacing w:before="100" w:beforeAutospacing="1" w:after="100" w:afterAutospacing="1" w:line="360" w:lineRule="auto"/>
        <w:jc w:val="both"/>
        <w:rPr>
          <w:sz w:val="26"/>
          <w:szCs w:val="26"/>
        </w:rPr>
      </w:pPr>
    </w:p>
    <w:p w14:paraId="0CC7166E" w14:textId="77777777" w:rsidR="00BD23C3" w:rsidRPr="00282B4C" w:rsidRDefault="00BD23C3" w:rsidP="00BD23C3">
      <w:pPr>
        <w:shd w:val="clear" w:color="auto" w:fill="FFFFFF"/>
        <w:spacing w:before="100" w:beforeAutospacing="1" w:after="100" w:afterAutospacing="1" w:line="360" w:lineRule="auto"/>
        <w:jc w:val="center"/>
        <w:rPr>
          <w:sz w:val="26"/>
          <w:szCs w:val="26"/>
        </w:rPr>
      </w:pPr>
      <w:r w:rsidRPr="00282B4C">
        <w:rPr>
          <w:sz w:val="26"/>
          <w:szCs w:val="26"/>
        </w:rPr>
        <w:t xml:space="preserve">Генеральный директор ООО </w:t>
      </w:r>
      <w:r>
        <w:rPr>
          <w:sz w:val="26"/>
          <w:szCs w:val="26"/>
        </w:rPr>
        <w:t>«ЭК ЭПАР»</w:t>
      </w:r>
      <w:r>
        <w:rPr>
          <w:sz w:val="26"/>
          <w:szCs w:val="26"/>
        </w:rPr>
        <w:tab/>
        <w:t>_______________</w:t>
      </w:r>
      <w:r w:rsidRPr="00282B4C">
        <w:rPr>
          <w:sz w:val="26"/>
          <w:szCs w:val="26"/>
        </w:rPr>
        <w:t>В. Н. Логинов</w:t>
      </w:r>
    </w:p>
    <w:p w14:paraId="4CB42771" w14:textId="77777777" w:rsidR="00BD23C3" w:rsidRDefault="00BD23C3" w:rsidP="00BD23C3">
      <w:pPr>
        <w:shd w:val="clear" w:color="auto" w:fill="FFFFFF"/>
        <w:spacing w:before="100" w:beforeAutospacing="1" w:after="100" w:afterAutospacing="1" w:line="360" w:lineRule="auto"/>
        <w:jc w:val="both"/>
        <w:rPr>
          <w:sz w:val="25"/>
          <w:szCs w:val="25"/>
        </w:rPr>
      </w:pPr>
      <w:r>
        <w:rPr>
          <w:sz w:val="25"/>
          <w:szCs w:val="25"/>
        </w:rPr>
        <w:br w:type="page"/>
      </w:r>
    </w:p>
    <w:p w14:paraId="3659FDB5" w14:textId="77777777" w:rsidR="00BD23C3" w:rsidRDefault="00BD23C3" w:rsidP="00BD23C3">
      <w:pPr>
        <w:pStyle w:val="3"/>
        <w:numPr>
          <w:ilvl w:val="0"/>
          <w:numId w:val="1"/>
        </w:numPr>
        <w:spacing w:line="360" w:lineRule="auto"/>
        <w:rPr>
          <w:rFonts w:ascii="Myriad Pro" w:hAnsi="Myriad Pro"/>
          <w:b/>
          <w:color w:val="4F6228" w:themeColor="accent3" w:themeShade="80"/>
          <w:sz w:val="28"/>
          <w:szCs w:val="28"/>
        </w:rPr>
      </w:pPr>
      <w:bookmarkStart w:id="0" w:name="_Toc40733172"/>
      <w:r w:rsidRPr="006C2AE2">
        <w:rPr>
          <w:rFonts w:ascii="Myriad Pro" w:hAnsi="Myriad Pro"/>
          <w:b/>
          <w:color w:val="4F6228" w:themeColor="accent3" w:themeShade="80"/>
          <w:sz w:val="28"/>
          <w:szCs w:val="28"/>
        </w:rPr>
        <w:lastRenderedPageBreak/>
        <w:t>Вводная часть</w:t>
      </w:r>
      <w:bookmarkEnd w:id="0"/>
    </w:p>
    <w:p w14:paraId="3566D28F" w14:textId="77777777" w:rsidR="00BD23C3" w:rsidRPr="0029734F" w:rsidRDefault="00BD23C3" w:rsidP="00BD23C3">
      <w:pPr>
        <w:pStyle w:val="3"/>
        <w:numPr>
          <w:ilvl w:val="1"/>
          <w:numId w:val="2"/>
        </w:numPr>
        <w:tabs>
          <w:tab w:val="left" w:pos="567"/>
        </w:tabs>
        <w:spacing w:line="360" w:lineRule="auto"/>
        <w:ind w:left="1134" w:hanging="1134"/>
        <w:rPr>
          <w:rFonts w:ascii="Myriad Pro" w:hAnsi="Myriad Pro"/>
          <w:b/>
          <w:color w:val="4F6228" w:themeColor="accent3" w:themeShade="80"/>
          <w:sz w:val="28"/>
          <w:szCs w:val="28"/>
        </w:rPr>
      </w:pPr>
      <w:bookmarkStart w:id="1" w:name="_Toc248812124"/>
      <w:bookmarkStart w:id="2" w:name="_Toc251080790"/>
      <w:bookmarkStart w:id="3" w:name="_Toc251081231"/>
      <w:bookmarkStart w:id="4" w:name="_Toc254262910"/>
      <w:bookmarkStart w:id="5" w:name="_Toc255981063"/>
      <w:bookmarkStart w:id="6" w:name="_Toc255983162"/>
      <w:bookmarkStart w:id="7" w:name="_Toc414542858"/>
      <w:bookmarkStart w:id="8" w:name="_Toc437621356"/>
      <w:bookmarkStart w:id="9" w:name="_Toc40733173"/>
      <w:r w:rsidRPr="0029734F">
        <w:rPr>
          <w:rFonts w:ascii="Myriad Pro" w:hAnsi="Myriad Pro"/>
          <w:b/>
          <w:color w:val="4F6228" w:themeColor="accent3" w:themeShade="80"/>
          <w:sz w:val="28"/>
          <w:szCs w:val="28"/>
        </w:rPr>
        <w:t>Сведения о Заказчике</w:t>
      </w:r>
      <w:bookmarkEnd w:id="1"/>
      <w:bookmarkEnd w:id="2"/>
      <w:bookmarkEnd w:id="3"/>
      <w:bookmarkEnd w:id="4"/>
      <w:bookmarkEnd w:id="5"/>
      <w:bookmarkEnd w:id="6"/>
      <w:bookmarkEnd w:id="7"/>
      <w:bookmarkEnd w:id="8"/>
      <w:bookmarkEnd w:id="9"/>
    </w:p>
    <w:tbl>
      <w:tblPr>
        <w:tblStyle w:val="11"/>
        <w:tblW w:w="9242" w:type="dxa"/>
        <w:tblInd w:w="-10" w:type="dxa"/>
        <w:tblLayout w:type="fixed"/>
        <w:tblLook w:val="01E0" w:firstRow="1" w:lastRow="1" w:firstColumn="1" w:lastColumn="1" w:noHBand="0" w:noVBand="0"/>
      </w:tblPr>
      <w:tblGrid>
        <w:gridCol w:w="3402"/>
        <w:gridCol w:w="5840"/>
      </w:tblGrid>
      <w:tr w:rsidR="00BD23C3" w:rsidRPr="004E59DD" w14:paraId="63B35D2D" w14:textId="77777777" w:rsidTr="008C41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44A88E91" w14:textId="77777777" w:rsidR="00BD23C3" w:rsidRPr="004E59DD" w:rsidRDefault="00BD23C3" w:rsidP="0063188C">
            <w:pPr>
              <w:pStyle w:val="a5"/>
              <w:spacing w:line="360" w:lineRule="auto"/>
              <w:rPr>
                <w:rFonts w:ascii="Myriad Pro" w:hAnsi="Myriad Pro"/>
                <w:b w:val="0"/>
                <w:i w:val="0"/>
                <w:sz w:val="26"/>
                <w:szCs w:val="26"/>
              </w:rPr>
            </w:pPr>
            <w:r w:rsidRPr="004E59DD">
              <w:rPr>
                <w:rFonts w:ascii="Myriad Pro" w:hAnsi="Myriad Pro"/>
                <w:b w:val="0"/>
                <w:i w:val="0"/>
                <w:sz w:val="26"/>
                <w:szCs w:val="26"/>
              </w:rPr>
              <w:t>Наименование</w:t>
            </w:r>
          </w:p>
        </w:tc>
        <w:tc>
          <w:tcPr>
            <w:tcW w:w="5840" w:type="dxa"/>
          </w:tcPr>
          <w:p w14:paraId="1172299E" w14:textId="77777777" w:rsidR="00BD23C3" w:rsidRPr="0063188C" w:rsidRDefault="00BD23C3" w:rsidP="0063188C">
            <w:pPr>
              <w:pStyle w:val="a5"/>
              <w:spacing w:line="360" w:lineRule="auto"/>
              <w:cnfStyle w:val="100000000000" w:firstRow="1" w:lastRow="0" w:firstColumn="0" w:lastColumn="0" w:oddVBand="0" w:evenVBand="0" w:oddHBand="0" w:evenHBand="0" w:firstRowFirstColumn="0" w:firstRowLastColumn="0" w:lastRowFirstColumn="0" w:lastRowLastColumn="0"/>
              <w:rPr>
                <w:rFonts w:ascii="Myriad Pro" w:hAnsi="Myriad Pro"/>
                <w:b w:val="0"/>
                <w:i w:val="0"/>
                <w:sz w:val="26"/>
                <w:szCs w:val="26"/>
              </w:rPr>
            </w:pPr>
            <w:r w:rsidRPr="0063188C">
              <w:rPr>
                <w:rFonts w:ascii="Myriad Pro" w:hAnsi="Myriad Pro"/>
                <w:b w:val="0"/>
                <w:i w:val="0"/>
                <w:sz w:val="26"/>
                <w:szCs w:val="26"/>
              </w:rPr>
              <w:t>Информация</w:t>
            </w:r>
          </w:p>
        </w:tc>
      </w:tr>
      <w:tr w:rsidR="00C108AE" w:rsidRPr="00716427" w14:paraId="709A0808" w14:textId="77777777" w:rsidTr="008C419F">
        <w:tc>
          <w:tcPr>
            <w:cnfStyle w:val="001000000000" w:firstRow="0" w:lastRow="0" w:firstColumn="1" w:lastColumn="0" w:oddVBand="0" w:evenVBand="0" w:oddHBand="0" w:evenHBand="0" w:firstRowFirstColumn="0" w:firstRowLastColumn="0" w:lastRowFirstColumn="0" w:lastRowLastColumn="0"/>
            <w:tcW w:w="3402" w:type="dxa"/>
          </w:tcPr>
          <w:p w14:paraId="730A6BD3" w14:textId="77777777" w:rsidR="00C108AE" w:rsidRPr="00716427" w:rsidRDefault="00C108AE" w:rsidP="00C108AE">
            <w:pPr>
              <w:pStyle w:val="a5"/>
              <w:spacing w:before="0" w:after="0"/>
              <w:contextualSpacing/>
              <w:rPr>
                <w:rFonts w:ascii="Myriad Pro" w:hAnsi="Myriad Pro"/>
                <w:i w:val="0"/>
                <w:sz w:val="26"/>
                <w:szCs w:val="26"/>
              </w:rPr>
            </w:pPr>
            <w:r w:rsidRPr="00716427">
              <w:rPr>
                <w:rFonts w:ascii="Myriad Pro" w:hAnsi="Myriad Pro"/>
                <w:i w:val="0"/>
                <w:sz w:val="26"/>
                <w:szCs w:val="26"/>
              </w:rPr>
              <w:t>Организационно-правовая форма и полное наименование Заказчика</w:t>
            </w:r>
          </w:p>
        </w:tc>
        <w:tc>
          <w:tcPr>
            <w:tcW w:w="5840" w:type="dxa"/>
          </w:tcPr>
          <w:p w14:paraId="71D76DBE" w14:textId="458D2DBF" w:rsidR="00C108AE" w:rsidRPr="0063188C" w:rsidRDefault="00C108AE" w:rsidP="00C108AE">
            <w:pPr>
              <w:pStyle w:val="a5"/>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63188C">
              <w:rPr>
                <w:rFonts w:ascii="Myriad Pro" w:hAnsi="Myriad Pro"/>
                <w:i w:val="0"/>
                <w:sz w:val="26"/>
                <w:szCs w:val="26"/>
              </w:rPr>
              <w:t>Публичное акционерное общество «Межрегиональная распределительная сетевая компания Сибири»</w:t>
            </w:r>
          </w:p>
        </w:tc>
      </w:tr>
      <w:tr w:rsidR="00C108AE" w:rsidRPr="00716427" w14:paraId="52F994EB" w14:textId="77777777" w:rsidTr="008C419F">
        <w:tc>
          <w:tcPr>
            <w:cnfStyle w:val="001000000000" w:firstRow="0" w:lastRow="0" w:firstColumn="1" w:lastColumn="0" w:oddVBand="0" w:evenVBand="0" w:oddHBand="0" w:evenHBand="0" w:firstRowFirstColumn="0" w:firstRowLastColumn="0" w:lastRowFirstColumn="0" w:lastRowLastColumn="0"/>
            <w:tcW w:w="3402" w:type="dxa"/>
          </w:tcPr>
          <w:p w14:paraId="60331E67" w14:textId="77777777" w:rsidR="00C108AE" w:rsidRPr="00716427" w:rsidRDefault="00C108AE" w:rsidP="00C108AE">
            <w:pPr>
              <w:pStyle w:val="a5"/>
              <w:spacing w:before="0" w:after="0"/>
              <w:contextualSpacing/>
              <w:rPr>
                <w:rFonts w:ascii="Myriad Pro" w:hAnsi="Myriad Pro"/>
                <w:i w:val="0"/>
                <w:sz w:val="26"/>
                <w:szCs w:val="26"/>
              </w:rPr>
            </w:pPr>
            <w:r w:rsidRPr="00716427">
              <w:rPr>
                <w:rFonts w:ascii="Myriad Pro" w:hAnsi="Myriad Pro"/>
                <w:i w:val="0"/>
                <w:sz w:val="26"/>
                <w:szCs w:val="26"/>
              </w:rPr>
              <w:t>Краткое наименование Заказчика</w:t>
            </w:r>
          </w:p>
        </w:tc>
        <w:tc>
          <w:tcPr>
            <w:tcW w:w="5840" w:type="dxa"/>
          </w:tcPr>
          <w:p w14:paraId="24224D3B" w14:textId="0AEE6415" w:rsidR="00C108AE" w:rsidRPr="0063188C" w:rsidRDefault="00C108AE" w:rsidP="00C108AE">
            <w:pPr>
              <w:pStyle w:val="a5"/>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63188C">
              <w:rPr>
                <w:rFonts w:ascii="Myriad Pro" w:hAnsi="Myriad Pro"/>
                <w:i w:val="0"/>
                <w:sz w:val="26"/>
                <w:szCs w:val="26"/>
              </w:rPr>
              <w:t>ПАО «МРСК Сибири»</w:t>
            </w:r>
          </w:p>
        </w:tc>
      </w:tr>
      <w:tr w:rsidR="008C419F" w:rsidRPr="00716427" w14:paraId="75D0F52D" w14:textId="77777777" w:rsidTr="008C419F">
        <w:tc>
          <w:tcPr>
            <w:cnfStyle w:val="001000000000" w:firstRow="0" w:lastRow="0" w:firstColumn="1" w:lastColumn="0" w:oddVBand="0" w:evenVBand="0" w:oddHBand="0" w:evenHBand="0" w:firstRowFirstColumn="0" w:firstRowLastColumn="0" w:lastRowFirstColumn="0" w:lastRowLastColumn="0"/>
            <w:tcW w:w="3402" w:type="dxa"/>
          </w:tcPr>
          <w:p w14:paraId="4BD2D5F6" w14:textId="77777777" w:rsidR="008C419F" w:rsidRPr="00716427" w:rsidRDefault="008C419F" w:rsidP="008C419F">
            <w:pPr>
              <w:pStyle w:val="a5"/>
              <w:spacing w:before="0" w:after="0"/>
              <w:contextualSpacing/>
              <w:rPr>
                <w:rFonts w:ascii="Myriad Pro" w:hAnsi="Myriad Pro"/>
                <w:i w:val="0"/>
                <w:sz w:val="26"/>
                <w:szCs w:val="26"/>
              </w:rPr>
            </w:pPr>
            <w:r w:rsidRPr="00716427">
              <w:rPr>
                <w:rFonts w:ascii="Myriad Pro" w:hAnsi="Myriad Pro"/>
                <w:i w:val="0"/>
                <w:sz w:val="26"/>
                <w:szCs w:val="26"/>
              </w:rPr>
              <w:t>ОГРН</w:t>
            </w:r>
          </w:p>
        </w:tc>
        <w:tc>
          <w:tcPr>
            <w:tcW w:w="5840" w:type="dxa"/>
          </w:tcPr>
          <w:p w14:paraId="726708FE" w14:textId="2515620C" w:rsidR="008C419F" w:rsidRPr="0063188C" w:rsidRDefault="008C419F" w:rsidP="008C419F">
            <w:pPr>
              <w:pStyle w:val="a5"/>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lang w:val="en-US"/>
              </w:rPr>
            </w:pPr>
            <w:r w:rsidRPr="0063188C">
              <w:rPr>
                <w:rFonts w:ascii="Myriad Pro" w:hAnsi="Myriad Pro"/>
                <w:i w:val="0"/>
                <w:sz w:val="26"/>
                <w:szCs w:val="26"/>
                <w:lang w:eastAsia="en-US"/>
              </w:rPr>
              <w:t>1052460054327</w:t>
            </w:r>
          </w:p>
        </w:tc>
      </w:tr>
      <w:tr w:rsidR="008C419F" w:rsidRPr="00716427" w14:paraId="471AE6E6" w14:textId="77777777" w:rsidTr="008C419F">
        <w:tc>
          <w:tcPr>
            <w:cnfStyle w:val="001000000000" w:firstRow="0" w:lastRow="0" w:firstColumn="1" w:lastColumn="0" w:oddVBand="0" w:evenVBand="0" w:oddHBand="0" w:evenHBand="0" w:firstRowFirstColumn="0" w:firstRowLastColumn="0" w:lastRowFirstColumn="0" w:lastRowLastColumn="0"/>
            <w:tcW w:w="3402" w:type="dxa"/>
          </w:tcPr>
          <w:p w14:paraId="6C5AB7C1" w14:textId="77777777" w:rsidR="008C419F" w:rsidRPr="00716427" w:rsidRDefault="008C419F" w:rsidP="008C419F">
            <w:pPr>
              <w:pStyle w:val="a5"/>
              <w:spacing w:before="0" w:after="0"/>
              <w:contextualSpacing/>
              <w:rPr>
                <w:rFonts w:ascii="Myriad Pro" w:hAnsi="Myriad Pro"/>
                <w:i w:val="0"/>
                <w:sz w:val="26"/>
                <w:szCs w:val="26"/>
              </w:rPr>
            </w:pPr>
            <w:r w:rsidRPr="00716427">
              <w:rPr>
                <w:rFonts w:ascii="Myriad Pro" w:hAnsi="Myriad Pro"/>
                <w:i w:val="0"/>
                <w:sz w:val="26"/>
                <w:szCs w:val="26"/>
              </w:rPr>
              <w:t>ИНН/КПП</w:t>
            </w:r>
          </w:p>
        </w:tc>
        <w:tc>
          <w:tcPr>
            <w:tcW w:w="5840" w:type="dxa"/>
          </w:tcPr>
          <w:p w14:paraId="6F48636B" w14:textId="1EECF032" w:rsidR="008C419F" w:rsidRPr="0063188C" w:rsidRDefault="008C419F" w:rsidP="008C419F">
            <w:pPr>
              <w:pStyle w:val="a5"/>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63188C">
              <w:rPr>
                <w:rFonts w:ascii="Myriad Pro" w:hAnsi="Myriad Pro"/>
                <w:i w:val="0"/>
                <w:sz w:val="26"/>
                <w:szCs w:val="26"/>
                <w:lang w:eastAsia="en-US"/>
              </w:rPr>
              <w:t>2460069527/997650001</w:t>
            </w:r>
          </w:p>
        </w:tc>
      </w:tr>
      <w:tr w:rsidR="008C419F" w:rsidRPr="00716427" w14:paraId="5F8939E1" w14:textId="77777777" w:rsidTr="008C419F">
        <w:tc>
          <w:tcPr>
            <w:cnfStyle w:val="001000000000" w:firstRow="0" w:lastRow="0" w:firstColumn="1" w:lastColumn="0" w:oddVBand="0" w:evenVBand="0" w:oddHBand="0" w:evenHBand="0" w:firstRowFirstColumn="0" w:firstRowLastColumn="0" w:lastRowFirstColumn="0" w:lastRowLastColumn="0"/>
            <w:tcW w:w="3402" w:type="dxa"/>
          </w:tcPr>
          <w:p w14:paraId="6E18D61A" w14:textId="77777777" w:rsidR="008C419F" w:rsidRPr="00716427" w:rsidRDefault="008C419F" w:rsidP="008C419F">
            <w:pPr>
              <w:pStyle w:val="a5"/>
              <w:spacing w:before="0" w:after="0"/>
              <w:contextualSpacing/>
              <w:rPr>
                <w:rFonts w:ascii="Myriad Pro" w:hAnsi="Myriad Pro"/>
                <w:i w:val="0"/>
                <w:sz w:val="26"/>
                <w:szCs w:val="26"/>
              </w:rPr>
            </w:pPr>
            <w:r w:rsidRPr="00716427">
              <w:rPr>
                <w:rFonts w:ascii="Myriad Pro" w:hAnsi="Myriad Pro"/>
                <w:i w:val="0"/>
                <w:sz w:val="26"/>
                <w:szCs w:val="26"/>
              </w:rPr>
              <w:t>Юридический адрес Заказчика</w:t>
            </w:r>
          </w:p>
        </w:tc>
        <w:tc>
          <w:tcPr>
            <w:tcW w:w="5840" w:type="dxa"/>
          </w:tcPr>
          <w:p w14:paraId="49DA8766" w14:textId="394F5BD7" w:rsidR="008C419F" w:rsidRPr="0063188C" w:rsidRDefault="008C419F" w:rsidP="008C419F">
            <w:pPr>
              <w:pStyle w:val="a5"/>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63188C">
              <w:rPr>
                <w:rFonts w:ascii="Myriad Pro" w:hAnsi="Myriad Pro"/>
                <w:i w:val="0"/>
                <w:sz w:val="26"/>
                <w:szCs w:val="26"/>
                <w:lang w:eastAsia="en-US"/>
              </w:rPr>
              <w:t>660 021, г. Красноярск, ул. Бограда, 144а</w:t>
            </w:r>
          </w:p>
        </w:tc>
      </w:tr>
      <w:tr w:rsidR="008C419F" w:rsidRPr="00716427" w14:paraId="7F272983" w14:textId="77777777" w:rsidTr="008C419F">
        <w:tc>
          <w:tcPr>
            <w:cnfStyle w:val="001000000000" w:firstRow="0" w:lastRow="0" w:firstColumn="1" w:lastColumn="0" w:oddVBand="0" w:evenVBand="0" w:oddHBand="0" w:evenHBand="0" w:firstRowFirstColumn="0" w:firstRowLastColumn="0" w:lastRowFirstColumn="0" w:lastRowLastColumn="0"/>
            <w:tcW w:w="3402" w:type="dxa"/>
          </w:tcPr>
          <w:p w14:paraId="2E7E672C" w14:textId="77777777" w:rsidR="008C419F" w:rsidRPr="00716427" w:rsidRDefault="008C419F" w:rsidP="008C419F">
            <w:pPr>
              <w:pStyle w:val="a5"/>
              <w:spacing w:before="0" w:after="0"/>
              <w:contextualSpacing/>
              <w:rPr>
                <w:rFonts w:ascii="Myriad Pro" w:hAnsi="Myriad Pro"/>
                <w:i w:val="0"/>
                <w:sz w:val="26"/>
                <w:szCs w:val="26"/>
              </w:rPr>
            </w:pPr>
            <w:r w:rsidRPr="00716427">
              <w:rPr>
                <w:rFonts w:ascii="Myriad Pro" w:hAnsi="Myriad Pro"/>
                <w:i w:val="0"/>
                <w:sz w:val="26"/>
                <w:szCs w:val="26"/>
              </w:rPr>
              <w:t>Место нахождения Заказчика</w:t>
            </w:r>
          </w:p>
        </w:tc>
        <w:tc>
          <w:tcPr>
            <w:tcW w:w="5840" w:type="dxa"/>
          </w:tcPr>
          <w:p w14:paraId="4248D52E" w14:textId="260F6708" w:rsidR="008C419F" w:rsidRPr="0063188C" w:rsidRDefault="008C419F" w:rsidP="008C419F">
            <w:pPr>
              <w:pStyle w:val="a5"/>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63188C">
              <w:rPr>
                <w:rFonts w:ascii="Myriad Pro" w:hAnsi="Myriad Pro"/>
                <w:i w:val="0"/>
                <w:sz w:val="26"/>
                <w:szCs w:val="26"/>
                <w:lang w:eastAsia="en-US"/>
              </w:rPr>
              <w:t>660 021, г. Красноярск, ул. Бограда, 144а</w:t>
            </w:r>
          </w:p>
        </w:tc>
      </w:tr>
      <w:tr w:rsidR="008C419F" w:rsidRPr="00716427" w14:paraId="7DED60A6" w14:textId="77777777" w:rsidTr="008C419F">
        <w:tc>
          <w:tcPr>
            <w:cnfStyle w:val="001000000000" w:firstRow="0" w:lastRow="0" w:firstColumn="1" w:lastColumn="0" w:oddVBand="0" w:evenVBand="0" w:oddHBand="0" w:evenHBand="0" w:firstRowFirstColumn="0" w:firstRowLastColumn="0" w:lastRowFirstColumn="0" w:lastRowLastColumn="0"/>
            <w:tcW w:w="3402" w:type="dxa"/>
          </w:tcPr>
          <w:p w14:paraId="1C7084B2" w14:textId="77777777" w:rsidR="008C419F" w:rsidRPr="00716427" w:rsidRDefault="008C419F" w:rsidP="008C419F">
            <w:pPr>
              <w:pStyle w:val="a5"/>
              <w:spacing w:before="0" w:after="0"/>
              <w:contextualSpacing/>
              <w:rPr>
                <w:rFonts w:ascii="Myriad Pro" w:hAnsi="Myriad Pro"/>
                <w:i w:val="0"/>
                <w:sz w:val="26"/>
                <w:szCs w:val="26"/>
              </w:rPr>
            </w:pPr>
            <w:r w:rsidRPr="00716427">
              <w:rPr>
                <w:rFonts w:ascii="Myriad Pro" w:hAnsi="Myriad Pro"/>
                <w:i w:val="0"/>
                <w:sz w:val="26"/>
                <w:szCs w:val="26"/>
              </w:rPr>
              <w:t>Реквизиты Заказчика</w:t>
            </w:r>
          </w:p>
        </w:tc>
        <w:tc>
          <w:tcPr>
            <w:tcW w:w="5840" w:type="dxa"/>
          </w:tcPr>
          <w:p w14:paraId="1A32657B" w14:textId="77777777" w:rsidR="008C419F" w:rsidRPr="0063188C" w:rsidRDefault="008C419F" w:rsidP="008C419F">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63188C">
              <w:rPr>
                <w:sz w:val="26"/>
                <w:szCs w:val="26"/>
              </w:rPr>
              <w:t>р/с № 40702810031020004498</w:t>
            </w:r>
          </w:p>
          <w:p w14:paraId="1A6BED63" w14:textId="77777777" w:rsidR="008C419F" w:rsidRPr="0063188C" w:rsidRDefault="008C419F" w:rsidP="008C419F">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63188C">
              <w:rPr>
                <w:sz w:val="26"/>
                <w:szCs w:val="26"/>
              </w:rPr>
              <w:t>Красноярское отделение № 8646 ПАО Сбербанк г. Красноярск</w:t>
            </w:r>
          </w:p>
          <w:p w14:paraId="397EB04E" w14:textId="77777777" w:rsidR="008C419F" w:rsidRPr="0063188C" w:rsidRDefault="008C419F" w:rsidP="008C419F">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63188C">
              <w:rPr>
                <w:sz w:val="26"/>
                <w:szCs w:val="26"/>
              </w:rPr>
              <w:t>БИК 040407627</w:t>
            </w:r>
          </w:p>
          <w:p w14:paraId="18F158EE" w14:textId="4C3E62CC" w:rsidR="008C419F" w:rsidRPr="0063188C" w:rsidRDefault="008C419F" w:rsidP="008C419F">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63188C">
              <w:rPr>
                <w:sz w:val="26"/>
                <w:szCs w:val="26"/>
              </w:rPr>
              <w:t>к/с№30101810800000000627</w:t>
            </w:r>
          </w:p>
        </w:tc>
      </w:tr>
      <w:tr w:rsidR="00C108AE" w:rsidRPr="004E59DD" w14:paraId="23671628" w14:textId="77777777" w:rsidTr="008C419F">
        <w:tc>
          <w:tcPr>
            <w:cnfStyle w:val="001000000000" w:firstRow="0" w:lastRow="0" w:firstColumn="1" w:lastColumn="0" w:oddVBand="0" w:evenVBand="0" w:oddHBand="0" w:evenHBand="0" w:firstRowFirstColumn="0" w:firstRowLastColumn="0" w:lastRowFirstColumn="0" w:lastRowLastColumn="0"/>
            <w:tcW w:w="3402" w:type="dxa"/>
          </w:tcPr>
          <w:p w14:paraId="16A1B75E" w14:textId="77777777" w:rsidR="00C108AE" w:rsidRPr="00716427" w:rsidRDefault="00C108AE" w:rsidP="00C108AE">
            <w:pPr>
              <w:pStyle w:val="a5"/>
              <w:spacing w:before="0" w:after="0"/>
              <w:contextualSpacing/>
              <w:rPr>
                <w:rFonts w:ascii="Myriad Pro" w:hAnsi="Myriad Pro"/>
                <w:i w:val="0"/>
                <w:sz w:val="26"/>
                <w:szCs w:val="26"/>
              </w:rPr>
            </w:pPr>
            <w:r w:rsidRPr="00716427">
              <w:rPr>
                <w:rFonts w:ascii="Myriad Pro" w:hAnsi="Myriad Pro"/>
                <w:i w:val="0"/>
                <w:sz w:val="26"/>
                <w:szCs w:val="26"/>
              </w:rPr>
              <w:t xml:space="preserve">Получатель услуги </w:t>
            </w:r>
          </w:p>
        </w:tc>
        <w:tc>
          <w:tcPr>
            <w:tcW w:w="5840" w:type="dxa"/>
          </w:tcPr>
          <w:p w14:paraId="55045CC0" w14:textId="63D0B720" w:rsidR="00C108AE" w:rsidRPr="0063188C" w:rsidRDefault="00FA1C5B" w:rsidP="00FA1C5B">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63188C">
              <w:rPr>
                <w:sz w:val="26"/>
                <w:szCs w:val="26"/>
              </w:rPr>
              <w:t xml:space="preserve">ДЗО </w:t>
            </w:r>
            <w:r w:rsidR="00C108AE" w:rsidRPr="0063188C">
              <w:rPr>
                <w:sz w:val="26"/>
                <w:szCs w:val="26"/>
              </w:rPr>
              <w:t>ПАО «МРСК С</w:t>
            </w:r>
            <w:r w:rsidR="00294861" w:rsidRPr="0063188C">
              <w:rPr>
                <w:sz w:val="26"/>
                <w:szCs w:val="26"/>
              </w:rPr>
              <w:t>ибири»</w:t>
            </w:r>
            <w:r w:rsidRPr="0063188C">
              <w:rPr>
                <w:sz w:val="26"/>
                <w:szCs w:val="26"/>
              </w:rPr>
              <w:t xml:space="preserve"> </w:t>
            </w:r>
            <w:r w:rsidR="006A37C0" w:rsidRPr="0063188C">
              <w:rPr>
                <w:sz w:val="26"/>
                <w:szCs w:val="26"/>
              </w:rPr>
              <w:t>АО</w:t>
            </w:r>
            <w:r w:rsidR="0063188C" w:rsidRPr="0063188C">
              <w:rPr>
                <w:sz w:val="26"/>
                <w:szCs w:val="26"/>
              </w:rPr>
              <w:t xml:space="preserve"> </w:t>
            </w:r>
            <w:r w:rsidR="006A37C0" w:rsidRPr="0063188C">
              <w:rPr>
                <w:sz w:val="26"/>
                <w:szCs w:val="26"/>
              </w:rPr>
              <w:t>«Тываэнерго»</w:t>
            </w:r>
          </w:p>
        </w:tc>
      </w:tr>
      <w:tr w:rsidR="00C108AE" w:rsidRPr="004E59DD" w14:paraId="7ABB9A23" w14:textId="77777777" w:rsidTr="008C419F">
        <w:tc>
          <w:tcPr>
            <w:cnfStyle w:val="001000000000" w:firstRow="0" w:lastRow="0" w:firstColumn="1" w:lastColumn="0" w:oddVBand="0" w:evenVBand="0" w:oddHBand="0" w:evenHBand="0" w:firstRowFirstColumn="0" w:firstRowLastColumn="0" w:lastRowFirstColumn="0" w:lastRowLastColumn="0"/>
            <w:tcW w:w="3402" w:type="dxa"/>
          </w:tcPr>
          <w:p w14:paraId="44C9BF4B" w14:textId="77777777" w:rsidR="00C108AE" w:rsidRPr="004E59DD" w:rsidRDefault="00C108AE" w:rsidP="00C108AE">
            <w:pPr>
              <w:pStyle w:val="a5"/>
              <w:spacing w:before="0" w:after="0"/>
              <w:contextualSpacing/>
              <w:rPr>
                <w:rFonts w:ascii="Myriad Pro" w:hAnsi="Myriad Pro"/>
                <w:i w:val="0"/>
                <w:sz w:val="26"/>
                <w:szCs w:val="26"/>
              </w:rPr>
            </w:pPr>
            <w:r w:rsidRPr="004E59DD">
              <w:rPr>
                <w:rFonts w:ascii="Myriad Pro" w:hAnsi="Myriad Pro"/>
                <w:i w:val="0"/>
                <w:sz w:val="26"/>
                <w:szCs w:val="26"/>
              </w:rPr>
              <w:t>Юридический и почтовый адрес</w:t>
            </w:r>
          </w:p>
        </w:tc>
        <w:tc>
          <w:tcPr>
            <w:tcW w:w="5840" w:type="dxa"/>
          </w:tcPr>
          <w:p w14:paraId="0ABC7405" w14:textId="4C341CCD" w:rsidR="00C108AE" w:rsidRPr="0063188C" w:rsidRDefault="00A04472" w:rsidP="00C108AE">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63188C">
              <w:rPr>
                <w:sz w:val="26"/>
                <w:szCs w:val="26"/>
              </w:rPr>
              <w:t xml:space="preserve">667 001, Республика Тыва, г. Кызыл, </w:t>
            </w:r>
            <w:r w:rsidRPr="0063188C">
              <w:rPr>
                <w:sz w:val="26"/>
                <w:szCs w:val="26"/>
              </w:rPr>
              <w:br/>
              <w:t>ул. Рабочая, д. 4</w:t>
            </w:r>
          </w:p>
        </w:tc>
      </w:tr>
    </w:tbl>
    <w:p w14:paraId="0A152502" w14:textId="77777777" w:rsidR="00BD23C3" w:rsidRPr="0029734F" w:rsidRDefault="00BD23C3" w:rsidP="00BD23C3">
      <w:pPr>
        <w:pStyle w:val="3"/>
        <w:numPr>
          <w:ilvl w:val="1"/>
          <w:numId w:val="2"/>
        </w:numPr>
        <w:tabs>
          <w:tab w:val="left" w:pos="567"/>
        </w:tabs>
        <w:spacing w:line="360" w:lineRule="auto"/>
        <w:ind w:left="1134" w:hanging="1134"/>
        <w:rPr>
          <w:rFonts w:ascii="Myriad Pro" w:hAnsi="Myriad Pro"/>
          <w:b/>
          <w:color w:val="4F6228" w:themeColor="accent3" w:themeShade="80"/>
          <w:sz w:val="28"/>
          <w:szCs w:val="28"/>
        </w:rPr>
      </w:pPr>
      <w:bookmarkStart w:id="10" w:name="_Toc437621357"/>
      <w:bookmarkStart w:id="11" w:name="_Toc40733174"/>
      <w:r w:rsidRPr="0029734F">
        <w:rPr>
          <w:rFonts w:ascii="Myriad Pro" w:hAnsi="Myriad Pro"/>
          <w:b/>
          <w:color w:val="4F6228" w:themeColor="accent3" w:themeShade="80"/>
          <w:sz w:val="28"/>
          <w:szCs w:val="28"/>
        </w:rPr>
        <w:t xml:space="preserve">Сведения об </w:t>
      </w:r>
      <w:r w:rsidRPr="00301EDF">
        <w:rPr>
          <w:rFonts w:ascii="Myriad Pro" w:hAnsi="Myriad Pro"/>
          <w:b/>
          <w:color w:val="4F6228" w:themeColor="accent3" w:themeShade="80"/>
          <w:sz w:val="28"/>
          <w:szCs w:val="28"/>
        </w:rPr>
        <w:t>Исполнителе</w:t>
      </w:r>
      <w:bookmarkEnd w:id="10"/>
      <w:bookmarkEnd w:id="11"/>
    </w:p>
    <w:tbl>
      <w:tblPr>
        <w:tblStyle w:val="11"/>
        <w:tblW w:w="9242" w:type="dxa"/>
        <w:tblInd w:w="-5" w:type="dxa"/>
        <w:tblLayout w:type="fixed"/>
        <w:tblLook w:val="01E0" w:firstRow="1" w:lastRow="1" w:firstColumn="1" w:lastColumn="1" w:noHBand="0" w:noVBand="0"/>
      </w:tblPr>
      <w:tblGrid>
        <w:gridCol w:w="3402"/>
        <w:gridCol w:w="5840"/>
      </w:tblGrid>
      <w:tr w:rsidR="00BD23C3" w:rsidRPr="004E59DD" w14:paraId="6019F7F3" w14:textId="77777777" w:rsidTr="006318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68396D9B" w14:textId="77777777" w:rsidR="00BD23C3" w:rsidRPr="004E59DD" w:rsidRDefault="00BD23C3" w:rsidP="0063188C">
            <w:pPr>
              <w:pStyle w:val="a5"/>
              <w:spacing w:line="360" w:lineRule="auto"/>
              <w:rPr>
                <w:rFonts w:ascii="Myriad Pro" w:hAnsi="Myriad Pro"/>
                <w:b w:val="0"/>
                <w:i w:val="0"/>
                <w:sz w:val="26"/>
                <w:szCs w:val="26"/>
              </w:rPr>
            </w:pPr>
            <w:r w:rsidRPr="004E59DD">
              <w:rPr>
                <w:rFonts w:ascii="Myriad Pro" w:hAnsi="Myriad Pro"/>
                <w:b w:val="0"/>
                <w:i w:val="0"/>
                <w:sz w:val="26"/>
                <w:szCs w:val="26"/>
              </w:rPr>
              <w:t>Наименование</w:t>
            </w:r>
          </w:p>
        </w:tc>
        <w:tc>
          <w:tcPr>
            <w:tcW w:w="5840" w:type="dxa"/>
          </w:tcPr>
          <w:p w14:paraId="7E2EAFC4" w14:textId="77777777" w:rsidR="00BD23C3" w:rsidRPr="004E59DD" w:rsidRDefault="00BD23C3" w:rsidP="0063188C">
            <w:pPr>
              <w:pStyle w:val="a5"/>
              <w:spacing w:line="360" w:lineRule="auto"/>
              <w:cnfStyle w:val="100000000000" w:firstRow="1" w:lastRow="0" w:firstColumn="0" w:lastColumn="0" w:oddVBand="0" w:evenVBand="0" w:oddHBand="0" w:evenHBand="0" w:firstRowFirstColumn="0" w:firstRowLastColumn="0" w:lastRowFirstColumn="0" w:lastRowLastColumn="0"/>
              <w:rPr>
                <w:rFonts w:ascii="Myriad Pro" w:hAnsi="Myriad Pro"/>
                <w:b w:val="0"/>
                <w:i w:val="0"/>
                <w:sz w:val="26"/>
                <w:szCs w:val="26"/>
              </w:rPr>
            </w:pPr>
            <w:r w:rsidRPr="004E59DD">
              <w:rPr>
                <w:rFonts w:ascii="Myriad Pro" w:hAnsi="Myriad Pro"/>
                <w:b w:val="0"/>
                <w:i w:val="0"/>
                <w:sz w:val="26"/>
                <w:szCs w:val="26"/>
              </w:rPr>
              <w:t>Информация</w:t>
            </w:r>
          </w:p>
        </w:tc>
      </w:tr>
      <w:tr w:rsidR="00BD23C3" w:rsidRPr="004E59DD" w14:paraId="0A1DD088" w14:textId="77777777" w:rsidTr="0063188C">
        <w:tc>
          <w:tcPr>
            <w:cnfStyle w:val="001000000000" w:firstRow="0" w:lastRow="0" w:firstColumn="1" w:lastColumn="0" w:oddVBand="0" w:evenVBand="0" w:oddHBand="0" w:evenHBand="0" w:firstRowFirstColumn="0" w:firstRowLastColumn="0" w:lastRowFirstColumn="0" w:lastRowLastColumn="0"/>
            <w:tcW w:w="3402" w:type="dxa"/>
          </w:tcPr>
          <w:p w14:paraId="5F4A07F5" w14:textId="77777777" w:rsidR="00BD23C3" w:rsidRPr="004E59DD" w:rsidRDefault="00BD23C3" w:rsidP="0063188C">
            <w:pPr>
              <w:pStyle w:val="a5"/>
              <w:spacing w:before="0" w:after="0"/>
              <w:contextualSpacing/>
              <w:rPr>
                <w:rFonts w:ascii="Myriad Pro" w:hAnsi="Myriad Pro"/>
                <w:i w:val="0"/>
                <w:sz w:val="26"/>
                <w:szCs w:val="26"/>
              </w:rPr>
            </w:pPr>
            <w:r w:rsidRPr="004E59DD">
              <w:rPr>
                <w:rFonts w:ascii="Myriad Pro" w:hAnsi="Myriad Pro"/>
                <w:i w:val="0"/>
                <w:sz w:val="26"/>
                <w:szCs w:val="26"/>
              </w:rPr>
              <w:t>Организационно-правовая форма и полное наименование Исполнителя</w:t>
            </w:r>
          </w:p>
        </w:tc>
        <w:tc>
          <w:tcPr>
            <w:tcW w:w="5840" w:type="dxa"/>
          </w:tcPr>
          <w:p w14:paraId="36202450" w14:textId="77777777" w:rsidR="00BD23C3" w:rsidRPr="004E59DD" w:rsidRDefault="00BD23C3" w:rsidP="0063188C">
            <w:pPr>
              <w:pStyle w:val="a5"/>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 xml:space="preserve">Общество с ограниченной ответственностью «Экспертная компания ЭПАР» </w:t>
            </w:r>
          </w:p>
        </w:tc>
      </w:tr>
      <w:tr w:rsidR="00BD23C3" w:rsidRPr="004E59DD" w14:paraId="4FBE02BD" w14:textId="77777777" w:rsidTr="0063188C">
        <w:trPr>
          <w:trHeight w:val="567"/>
        </w:trPr>
        <w:tc>
          <w:tcPr>
            <w:cnfStyle w:val="001000000000" w:firstRow="0" w:lastRow="0" w:firstColumn="1" w:lastColumn="0" w:oddVBand="0" w:evenVBand="0" w:oddHBand="0" w:evenHBand="0" w:firstRowFirstColumn="0" w:firstRowLastColumn="0" w:lastRowFirstColumn="0" w:lastRowLastColumn="0"/>
            <w:tcW w:w="3402" w:type="dxa"/>
          </w:tcPr>
          <w:p w14:paraId="34D59F1D" w14:textId="77777777" w:rsidR="00BD23C3" w:rsidRPr="004E59DD" w:rsidRDefault="00BD23C3" w:rsidP="0063188C">
            <w:pPr>
              <w:pStyle w:val="a5"/>
              <w:spacing w:before="0" w:after="0"/>
              <w:contextualSpacing/>
              <w:rPr>
                <w:rFonts w:ascii="Myriad Pro" w:hAnsi="Myriad Pro"/>
                <w:i w:val="0"/>
                <w:sz w:val="26"/>
                <w:szCs w:val="26"/>
              </w:rPr>
            </w:pPr>
            <w:r w:rsidRPr="004E59DD">
              <w:rPr>
                <w:rFonts w:ascii="Myriad Pro" w:hAnsi="Myriad Pro"/>
                <w:i w:val="0"/>
                <w:sz w:val="26"/>
                <w:szCs w:val="26"/>
              </w:rPr>
              <w:t>Краткое наименование Исполнителя</w:t>
            </w:r>
          </w:p>
        </w:tc>
        <w:tc>
          <w:tcPr>
            <w:tcW w:w="5840" w:type="dxa"/>
          </w:tcPr>
          <w:p w14:paraId="0245EDBC" w14:textId="77777777" w:rsidR="00BD23C3" w:rsidRPr="004E59DD" w:rsidRDefault="00BD23C3" w:rsidP="0063188C">
            <w:pPr>
              <w:pStyle w:val="a5"/>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ООО «ЭК ЭПАР»</w:t>
            </w:r>
          </w:p>
        </w:tc>
      </w:tr>
      <w:tr w:rsidR="00BD23C3" w:rsidRPr="004E59DD" w14:paraId="5C87EABB" w14:textId="77777777" w:rsidTr="0063188C">
        <w:tc>
          <w:tcPr>
            <w:cnfStyle w:val="001000000000" w:firstRow="0" w:lastRow="0" w:firstColumn="1" w:lastColumn="0" w:oddVBand="0" w:evenVBand="0" w:oddHBand="0" w:evenHBand="0" w:firstRowFirstColumn="0" w:firstRowLastColumn="0" w:lastRowFirstColumn="0" w:lastRowLastColumn="0"/>
            <w:tcW w:w="3402" w:type="dxa"/>
          </w:tcPr>
          <w:p w14:paraId="477BE467" w14:textId="77777777" w:rsidR="00BD23C3" w:rsidRPr="004E59DD" w:rsidRDefault="00BD23C3" w:rsidP="0063188C">
            <w:pPr>
              <w:pStyle w:val="a5"/>
              <w:spacing w:before="0" w:after="0"/>
              <w:contextualSpacing/>
              <w:rPr>
                <w:rFonts w:ascii="Myriad Pro" w:hAnsi="Myriad Pro"/>
                <w:i w:val="0"/>
                <w:sz w:val="26"/>
                <w:szCs w:val="26"/>
              </w:rPr>
            </w:pPr>
            <w:r w:rsidRPr="004E59DD">
              <w:rPr>
                <w:rFonts w:ascii="Myriad Pro" w:hAnsi="Myriad Pro"/>
                <w:i w:val="0"/>
                <w:sz w:val="26"/>
                <w:szCs w:val="26"/>
              </w:rPr>
              <w:t>ОГРН</w:t>
            </w:r>
          </w:p>
        </w:tc>
        <w:tc>
          <w:tcPr>
            <w:tcW w:w="5840" w:type="dxa"/>
          </w:tcPr>
          <w:p w14:paraId="76F628CB" w14:textId="77777777" w:rsidR="00BD23C3" w:rsidRPr="004E59DD" w:rsidRDefault="00BD23C3" w:rsidP="0063188C">
            <w:pPr>
              <w:pStyle w:val="a5"/>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1027700164304</w:t>
            </w:r>
          </w:p>
        </w:tc>
      </w:tr>
      <w:tr w:rsidR="00BD23C3" w:rsidRPr="004E59DD" w14:paraId="3B094E68" w14:textId="77777777" w:rsidTr="0063188C">
        <w:tc>
          <w:tcPr>
            <w:cnfStyle w:val="001000000000" w:firstRow="0" w:lastRow="0" w:firstColumn="1" w:lastColumn="0" w:oddVBand="0" w:evenVBand="0" w:oddHBand="0" w:evenHBand="0" w:firstRowFirstColumn="0" w:firstRowLastColumn="0" w:lastRowFirstColumn="0" w:lastRowLastColumn="0"/>
            <w:tcW w:w="3402" w:type="dxa"/>
          </w:tcPr>
          <w:p w14:paraId="6544F2DB" w14:textId="77777777" w:rsidR="00BD23C3" w:rsidRPr="004E59DD" w:rsidRDefault="00BD23C3" w:rsidP="0063188C">
            <w:pPr>
              <w:pStyle w:val="a5"/>
              <w:spacing w:before="0" w:after="0"/>
              <w:contextualSpacing/>
              <w:rPr>
                <w:rFonts w:ascii="Myriad Pro" w:hAnsi="Myriad Pro"/>
                <w:i w:val="0"/>
                <w:sz w:val="26"/>
                <w:szCs w:val="26"/>
              </w:rPr>
            </w:pPr>
            <w:r w:rsidRPr="004E59DD">
              <w:rPr>
                <w:rFonts w:ascii="Myriad Pro" w:hAnsi="Myriad Pro"/>
                <w:i w:val="0"/>
                <w:sz w:val="26"/>
                <w:szCs w:val="26"/>
              </w:rPr>
              <w:t>ИНН / КПП</w:t>
            </w:r>
          </w:p>
        </w:tc>
        <w:tc>
          <w:tcPr>
            <w:tcW w:w="5840" w:type="dxa"/>
          </w:tcPr>
          <w:p w14:paraId="21259D1E" w14:textId="77777777" w:rsidR="00BD23C3" w:rsidRPr="004E59DD" w:rsidRDefault="00BD23C3" w:rsidP="0063188C">
            <w:pPr>
              <w:pStyle w:val="a5"/>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7722184448 / 770401001</w:t>
            </w:r>
          </w:p>
        </w:tc>
      </w:tr>
      <w:tr w:rsidR="00BD23C3" w:rsidRPr="004E59DD" w14:paraId="6995F80D" w14:textId="77777777" w:rsidTr="0063188C">
        <w:tc>
          <w:tcPr>
            <w:cnfStyle w:val="001000000000" w:firstRow="0" w:lastRow="0" w:firstColumn="1" w:lastColumn="0" w:oddVBand="0" w:evenVBand="0" w:oddHBand="0" w:evenHBand="0" w:firstRowFirstColumn="0" w:firstRowLastColumn="0" w:lastRowFirstColumn="0" w:lastRowLastColumn="0"/>
            <w:tcW w:w="3402" w:type="dxa"/>
          </w:tcPr>
          <w:p w14:paraId="6F11C2B2" w14:textId="77777777" w:rsidR="00BD23C3" w:rsidRPr="004E59DD" w:rsidRDefault="00BD23C3" w:rsidP="0063188C">
            <w:pPr>
              <w:pStyle w:val="a5"/>
              <w:spacing w:before="0" w:after="0"/>
              <w:contextualSpacing/>
              <w:rPr>
                <w:rFonts w:ascii="Myriad Pro" w:hAnsi="Myriad Pro"/>
                <w:i w:val="0"/>
                <w:sz w:val="26"/>
                <w:szCs w:val="26"/>
              </w:rPr>
            </w:pPr>
            <w:r w:rsidRPr="004E59DD">
              <w:rPr>
                <w:rFonts w:ascii="Myriad Pro" w:hAnsi="Myriad Pro"/>
                <w:i w:val="0"/>
                <w:sz w:val="26"/>
                <w:szCs w:val="26"/>
              </w:rPr>
              <w:t>Юридический адрес Исполнителя</w:t>
            </w:r>
          </w:p>
        </w:tc>
        <w:tc>
          <w:tcPr>
            <w:tcW w:w="5840" w:type="dxa"/>
          </w:tcPr>
          <w:p w14:paraId="17671B7B" w14:textId="77777777" w:rsidR="00BD23C3" w:rsidRPr="00783EA6" w:rsidRDefault="00BD23C3" w:rsidP="0063188C">
            <w:pPr>
              <w:pStyle w:val="a5"/>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Pr>
                <w:rFonts w:ascii="Myriad Pro" w:hAnsi="Myriad Pro" w:cs="Arial"/>
                <w:i w:val="0"/>
                <w:color w:val="000000"/>
                <w:sz w:val="26"/>
                <w:szCs w:val="26"/>
                <w:shd w:val="clear" w:color="auto" w:fill="FFFFFF"/>
                <w:lang w:eastAsia="ar-SA"/>
              </w:rPr>
              <w:t xml:space="preserve">119 121, г. Москва, 1-й пер. Тружеников, д. 14, стр. 2, помещение № </w:t>
            </w:r>
            <w:r>
              <w:rPr>
                <w:rFonts w:ascii="Myriad Pro" w:hAnsi="Myriad Pro" w:cs="Arial"/>
                <w:i w:val="0"/>
                <w:color w:val="000000"/>
                <w:sz w:val="26"/>
                <w:szCs w:val="26"/>
                <w:shd w:val="clear" w:color="auto" w:fill="FFFFFF"/>
                <w:lang w:val="en-US" w:eastAsia="ar-SA"/>
              </w:rPr>
              <w:t>I</w:t>
            </w:r>
            <w:r>
              <w:rPr>
                <w:rFonts w:ascii="Myriad Pro" w:hAnsi="Myriad Pro" w:cs="Arial"/>
                <w:i w:val="0"/>
                <w:color w:val="000000"/>
                <w:sz w:val="26"/>
                <w:szCs w:val="26"/>
                <w:shd w:val="clear" w:color="auto" w:fill="FFFFFF"/>
                <w:lang w:eastAsia="ar-SA"/>
              </w:rPr>
              <w:t>, этаж – П, комната 8</w:t>
            </w:r>
          </w:p>
        </w:tc>
      </w:tr>
      <w:tr w:rsidR="00BD23C3" w:rsidRPr="004E59DD" w14:paraId="6ABACC0E" w14:textId="77777777" w:rsidTr="0063188C">
        <w:tc>
          <w:tcPr>
            <w:cnfStyle w:val="001000000000" w:firstRow="0" w:lastRow="0" w:firstColumn="1" w:lastColumn="0" w:oddVBand="0" w:evenVBand="0" w:oddHBand="0" w:evenHBand="0" w:firstRowFirstColumn="0" w:firstRowLastColumn="0" w:lastRowFirstColumn="0" w:lastRowLastColumn="0"/>
            <w:tcW w:w="3402" w:type="dxa"/>
          </w:tcPr>
          <w:p w14:paraId="3959F7AB" w14:textId="77777777" w:rsidR="00BD23C3" w:rsidRPr="004E59DD" w:rsidRDefault="00BD23C3" w:rsidP="0063188C">
            <w:pPr>
              <w:pStyle w:val="a5"/>
              <w:spacing w:before="0" w:after="0"/>
              <w:contextualSpacing/>
              <w:rPr>
                <w:rFonts w:ascii="Myriad Pro" w:hAnsi="Myriad Pro"/>
                <w:i w:val="0"/>
                <w:sz w:val="26"/>
                <w:szCs w:val="26"/>
              </w:rPr>
            </w:pPr>
            <w:r w:rsidRPr="004E59DD">
              <w:rPr>
                <w:rFonts w:ascii="Myriad Pro" w:hAnsi="Myriad Pro"/>
                <w:i w:val="0"/>
                <w:sz w:val="26"/>
                <w:szCs w:val="26"/>
              </w:rPr>
              <w:t>Место нахождения Исполнителя</w:t>
            </w:r>
          </w:p>
        </w:tc>
        <w:tc>
          <w:tcPr>
            <w:tcW w:w="5840" w:type="dxa"/>
          </w:tcPr>
          <w:p w14:paraId="4B7F3902" w14:textId="77777777" w:rsidR="00BD23C3" w:rsidRPr="004E59DD" w:rsidRDefault="00BD23C3" w:rsidP="0063188C">
            <w:pPr>
              <w:pStyle w:val="a5"/>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123</w:t>
            </w:r>
            <w:r>
              <w:rPr>
                <w:rFonts w:ascii="Myriad Pro" w:hAnsi="Myriad Pro"/>
                <w:i w:val="0"/>
                <w:sz w:val="26"/>
                <w:szCs w:val="26"/>
              </w:rPr>
              <w:t> </w:t>
            </w:r>
            <w:r w:rsidRPr="004E59DD">
              <w:rPr>
                <w:rFonts w:ascii="Myriad Pro" w:hAnsi="Myriad Pro"/>
                <w:i w:val="0"/>
                <w:sz w:val="26"/>
                <w:szCs w:val="26"/>
              </w:rPr>
              <w:t>557, г. Москва, Средний Тишинский переулок, д. 28</w:t>
            </w:r>
          </w:p>
        </w:tc>
      </w:tr>
      <w:tr w:rsidR="00BD23C3" w:rsidRPr="004E59DD" w14:paraId="67CAC1B1" w14:textId="77777777" w:rsidTr="0063188C">
        <w:tc>
          <w:tcPr>
            <w:cnfStyle w:val="001000000000" w:firstRow="0" w:lastRow="0" w:firstColumn="1" w:lastColumn="0" w:oddVBand="0" w:evenVBand="0" w:oddHBand="0" w:evenHBand="0" w:firstRowFirstColumn="0" w:firstRowLastColumn="0" w:lastRowFirstColumn="0" w:lastRowLastColumn="0"/>
            <w:tcW w:w="3402" w:type="dxa"/>
          </w:tcPr>
          <w:p w14:paraId="1B33161F" w14:textId="77777777" w:rsidR="00BD23C3" w:rsidRPr="004E59DD" w:rsidRDefault="00BD23C3" w:rsidP="0063188C">
            <w:pPr>
              <w:pStyle w:val="a5"/>
              <w:spacing w:before="0" w:after="0"/>
              <w:contextualSpacing/>
              <w:rPr>
                <w:rFonts w:ascii="Myriad Pro" w:hAnsi="Myriad Pro"/>
                <w:i w:val="0"/>
                <w:sz w:val="26"/>
                <w:szCs w:val="26"/>
              </w:rPr>
            </w:pPr>
            <w:r w:rsidRPr="004E59DD">
              <w:rPr>
                <w:rFonts w:ascii="Myriad Pro" w:hAnsi="Myriad Pro"/>
                <w:i w:val="0"/>
                <w:sz w:val="26"/>
                <w:szCs w:val="26"/>
              </w:rPr>
              <w:t>Реквизиты</w:t>
            </w:r>
          </w:p>
        </w:tc>
        <w:tc>
          <w:tcPr>
            <w:tcW w:w="5840" w:type="dxa"/>
          </w:tcPr>
          <w:p w14:paraId="11E45F5B" w14:textId="77777777" w:rsidR="00BD23C3" w:rsidRPr="004E59DD" w:rsidRDefault="00BD23C3" w:rsidP="0063188C">
            <w:pPr>
              <w:pStyle w:val="a5"/>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 xml:space="preserve">р/с </w:t>
            </w:r>
            <w:r w:rsidRPr="004E59DD">
              <w:rPr>
                <w:rFonts w:ascii="Myriad Pro" w:hAnsi="Myriad Pro" w:cs="Arial"/>
                <w:i w:val="0"/>
                <w:color w:val="000000"/>
                <w:sz w:val="26"/>
                <w:szCs w:val="26"/>
                <w:shd w:val="clear" w:color="auto" w:fill="FFFFFF"/>
              </w:rPr>
              <w:t>40702810287060000071</w:t>
            </w:r>
            <w:r w:rsidRPr="004E59DD">
              <w:rPr>
                <w:rFonts w:ascii="Myriad Pro" w:hAnsi="Myriad Pro"/>
                <w:i w:val="0"/>
                <w:sz w:val="26"/>
                <w:szCs w:val="26"/>
              </w:rPr>
              <w:br/>
              <w:t>ПАО РОСБАНК</w:t>
            </w:r>
            <w:r w:rsidRPr="004E59DD">
              <w:rPr>
                <w:rFonts w:ascii="Myriad Pro" w:hAnsi="Myriad Pro"/>
                <w:i w:val="0"/>
                <w:sz w:val="26"/>
                <w:szCs w:val="26"/>
              </w:rPr>
              <w:br/>
              <w:t>к/с 30101810000000000256</w:t>
            </w:r>
          </w:p>
          <w:p w14:paraId="012AF377" w14:textId="77777777" w:rsidR="00BD23C3" w:rsidRPr="004E59DD" w:rsidRDefault="00BD23C3" w:rsidP="0063188C">
            <w:pPr>
              <w:pStyle w:val="a5"/>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БИК 044525256</w:t>
            </w:r>
          </w:p>
        </w:tc>
      </w:tr>
    </w:tbl>
    <w:p w14:paraId="68759C9C" w14:textId="77777777" w:rsidR="00BD23C3" w:rsidRDefault="00BD23C3" w:rsidP="00BD23C3">
      <w:pPr>
        <w:pStyle w:val="3"/>
        <w:numPr>
          <w:ilvl w:val="1"/>
          <w:numId w:val="2"/>
        </w:numPr>
        <w:tabs>
          <w:tab w:val="left" w:pos="567"/>
        </w:tabs>
        <w:spacing w:line="360" w:lineRule="auto"/>
        <w:ind w:left="1134" w:hanging="1134"/>
        <w:rPr>
          <w:rFonts w:ascii="Myriad Pro" w:hAnsi="Myriad Pro"/>
          <w:b/>
          <w:color w:val="4F6228" w:themeColor="accent3" w:themeShade="80"/>
          <w:sz w:val="28"/>
          <w:szCs w:val="28"/>
        </w:rPr>
        <w:sectPr w:rsidR="00BD23C3" w:rsidSect="0063188C">
          <w:headerReference w:type="default" r:id="rId10"/>
          <w:footerReference w:type="default" r:id="rId11"/>
          <w:pgSz w:w="11906" w:h="16838"/>
          <w:pgMar w:top="1134" w:right="850" w:bottom="1134" w:left="1701" w:header="708" w:footer="708" w:gutter="0"/>
          <w:cols w:space="708"/>
          <w:titlePg/>
          <w:docGrid w:linePitch="360"/>
        </w:sectPr>
      </w:pPr>
      <w:bookmarkStart w:id="12" w:name="_Toc437621358"/>
    </w:p>
    <w:p w14:paraId="0305F4E7" w14:textId="77777777" w:rsidR="00BD23C3" w:rsidRDefault="00BD23C3" w:rsidP="001D2691">
      <w:pPr>
        <w:pStyle w:val="3"/>
        <w:numPr>
          <w:ilvl w:val="1"/>
          <w:numId w:val="2"/>
        </w:numPr>
        <w:tabs>
          <w:tab w:val="left" w:pos="567"/>
        </w:tabs>
        <w:spacing w:before="0" w:line="360" w:lineRule="auto"/>
        <w:ind w:left="1134" w:hanging="1134"/>
        <w:rPr>
          <w:rFonts w:ascii="Myriad Pro" w:hAnsi="Myriad Pro"/>
          <w:b/>
          <w:color w:val="4F6228" w:themeColor="accent3" w:themeShade="80"/>
          <w:sz w:val="28"/>
          <w:szCs w:val="28"/>
        </w:rPr>
      </w:pPr>
      <w:bookmarkStart w:id="13" w:name="_Toc40733175"/>
      <w:r w:rsidRPr="001335E3">
        <w:rPr>
          <w:rFonts w:ascii="Myriad Pro" w:hAnsi="Myriad Pro"/>
          <w:b/>
          <w:color w:val="4F6228" w:themeColor="accent3" w:themeShade="80"/>
          <w:sz w:val="28"/>
          <w:szCs w:val="28"/>
        </w:rPr>
        <w:lastRenderedPageBreak/>
        <w:t xml:space="preserve">Основание для </w:t>
      </w:r>
      <w:bookmarkEnd w:id="12"/>
      <w:r>
        <w:rPr>
          <w:rFonts w:ascii="Myriad Pro" w:hAnsi="Myriad Pro"/>
          <w:b/>
          <w:color w:val="4F6228" w:themeColor="accent3" w:themeShade="80"/>
          <w:sz w:val="28"/>
          <w:szCs w:val="28"/>
        </w:rPr>
        <w:t>оказания услуг</w:t>
      </w:r>
      <w:bookmarkEnd w:id="13"/>
    </w:p>
    <w:p w14:paraId="1690E86F" w14:textId="06470274" w:rsidR="00BD23C3" w:rsidRDefault="00BD23C3" w:rsidP="001D2691">
      <w:pPr>
        <w:pStyle w:val="22"/>
        <w:spacing w:before="0" w:after="0" w:line="360" w:lineRule="auto"/>
        <w:ind w:left="0" w:firstLine="567"/>
        <w:jc w:val="both"/>
        <w:rPr>
          <w:rFonts w:ascii="Myriad Pro" w:eastAsiaTheme="minorHAnsi" w:hAnsi="Myriad Pro"/>
          <w:b w:val="0"/>
          <w:i w:val="0"/>
          <w:sz w:val="26"/>
          <w:szCs w:val="26"/>
          <w:lang w:eastAsia="en-US"/>
        </w:rPr>
      </w:pPr>
      <w:r w:rsidRPr="0063188C">
        <w:rPr>
          <w:rFonts w:ascii="Myriad Pro" w:eastAsiaTheme="minorHAnsi" w:hAnsi="Myriad Pro"/>
          <w:b w:val="0"/>
          <w:i w:val="0"/>
          <w:sz w:val="26"/>
          <w:szCs w:val="26"/>
          <w:lang w:eastAsia="en-US"/>
        </w:rPr>
        <w:t xml:space="preserve">Основанием для оказания услуг является договор </w:t>
      </w:r>
      <w:r w:rsidR="00C108AE" w:rsidRPr="0063188C">
        <w:rPr>
          <w:rFonts w:ascii="Myriad Pro" w:eastAsiaTheme="minorHAnsi" w:hAnsi="Myriad Pro"/>
          <w:b w:val="0"/>
          <w:i w:val="0"/>
          <w:sz w:val="26"/>
          <w:szCs w:val="26"/>
          <w:lang w:eastAsia="en-US"/>
        </w:rPr>
        <w:t>№ </w:t>
      </w:r>
      <w:r w:rsidR="009B61DB">
        <w:rPr>
          <w:rFonts w:ascii="Myriad Pro" w:eastAsiaTheme="minorHAnsi" w:hAnsi="Myriad Pro"/>
          <w:b w:val="0"/>
          <w:i w:val="0"/>
          <w:sz w:val="26"/>
          <w:szCs w:val="26"/>
          <w:lang w:eastAsia="en-US"/>
        </w:rPr>
        <w:t>18.4000.34.20</w:t>
      </w:r>
      <w:r w:rsidR="00C108AE" w:rsidRPr="0063188C">
        <w:rPr>
          <w:rFonts w:ascii="Myriad Pro" w:eastAsiaTheme="minorHAnsi" w:hAnsi="Myriad Pro"/>
          <w:b w:val="0"/>
          <w:i w:val="0"/>
          <w:sz w:val="26"/>
          <w:szCs w:val="26"/>
          <w:lang w:eastAsia="en-US"/>
        </w:rPr>
        <w:t xml:space="preserve"> от 29.01.2020 года </w:t>
      </w:r>
      <w:r w:rsidRPr="0063188C">
        <w:rPr>
          <w:rFonts w:ascii="Myriad Pro" w:eastAsiaTheme="minorHAnsi" w:hAnsi="Myriad Pro"/>
          <w:b w:val="0"/>
          <w:i w:val="0"/>
          <w:sz w:val="26"/>
          <w:szCs w:val="26"/>
          <w:lang w:eastAsia="en-US"/>
        </w:rPr>
        <w:t>на оказание услуг по проведению экспертизы тарифно-балансовых решений, принятых регулирующими органами за период 2017-2019 гг., заключенный между Обществом с ограниченной ответственностью «Экспертная компания ЭПАР» (ООО «ЭК ЭПАР»), в лице генерального директора Логинова</w:t>
      </w:r>
      <w:r w:rsidR="0063188C" w:rsidRPr="0063188C">
        <w:rPr>
          <w:rFonts w:ascii="Myriad Pro" w:eastAsiaTheme="minorHAnsi" w:hAnsi="Myriad Pro"/>
          <w:b w:val="0"/>
          <w:i w:val="0"/>
          <w:sz w:val="26"/>
          <w:szCs w:val="26"/>
          <w:lang w:eastAsia="en-US"/>
        </w:rPr>
        <w:t xml:space="preserve"> Виктора Никитовича</w:t>
      </w:r>
      <w:r w:rsidRPr="0063188C">
        <w:rPr>
          <w:rFonts w:ascii="Myriad Pro" w:eastAsiaTheme="minorHAnsi" w:hAnsi="Myriad Pro"/>
          <w:b w:val="0"/>
          <w:i w:val="0"/>
          <w:sz w:val="26"/>
          <w:szCs w:val="26"/>
          <w:lang w:eastAsia="en-US"/>
        </w:rPr>
        <w:t xml:space="preserve">, и </w:t>
      </w:r>
      <w:r w:rsidR="00C108AE" w:rsidRPr="0063188C">
        <w:rPr>
          <w:rFonts w:ascii="Myriad Pro" w:eastAsiaTheme="minorHAnsi" w:hAnsi="Myriad Pro"/>
          <w:b w:val="0"/>
          <w:i w:val="0"/>
          <w:sz w:val="26"/>
          <w:szCs w:val="26"/>
          <w:lang w:eastAsia="en-US"/>
        </w:rPr>
        <w:t>Публичным акционерным обществом «Межрегиональная распределительная сете</w:t>
      </w:r>
      <w:r w:rsidR="002F1DF7" w:rsidRPr="0063188C">
        <w:rPr>
          <w:rFonts w:ascii="Myriad Pro" w:eastAsiaTheme="minorHAnsi" w:hAnsi="Myriad Pro"/>
          <w:b w:val="0"/>
          <w:i w:val="0"/>
          <w:sz w:val="26"/>
          <w:szCs w:val="26"/>
          <w:lang w:eastAsia="en-US"/>
        </w:rPr>
        <w:t>вая компания Сибири» (ПАО «МРСК </w:t>
      </w:r>
      <w:r w:rsidR="00C108AE" w:rsidRPr="0063188C">
        <w:rPr>
          <w:rFonts w:ascii="Myriad Pro" w:eastAsiaTheme="minorHAnsi" w:hAnsi="Myriad Pro"/>
          <w:b w:val="0"/>
          <w:i w:val="0"/>
          <w:sz w:val="26"/>
          <w:szCs w:val="26"/>
          <w:lang w:eastAsia="en-US"/>
        </w:rPr>
        <w:t>Сибири»), в лице Исполняющего обязанности заместителя генерального директора по экономике и финансам Пермякова Д</w:t>
      </w:r>
      <w:r w:rsidR="0063188C" w:rsidRPr="0063188C">
        <w:rPr>
          <w:rFonts w:ascii="Myriad Pro" w:eastAsiaTheme="minorHAnsi" w:hAnsi="Myriad Pro"/>
          <w:b w:val="0"/>
          <w:i w:val="0"/>
          <w:sz w:val="26"/>
          <w:szCs w:val="26"/>
          <w:lang w:eastAsia="en-US"/>
        </w:rPr>
        <w:t>митрия Юрьевича</w:t>
      </w:r>
      <w:r w:rsidR="00AC6864">
        <w:rPr>
          <w:rFonts w:ascii="Myriad Pro" w:eastAsiaTheme="minorHAnsi" w:hAnsi="Myriad Pro"/>
          <w:b w:val="0"/>
          <w:i w:val="0"/>
          <w:sz w:val="26"/>
          <w:szCs w:val="26"/>
          <w:lang w:eastAsia="en-US"/>
        </w:rPr>
        <w:t>.</w:t>
      </w:r>
    </w:p>
    <w:p w14:paraId="5031ABBD" w14:textId="77777777" w:rsidR="00BD23C3" w:rsidRDefault="00BD23C3" w:rsidP="00BD23C3">
      <w:pPr>
        <w:pStyle w:val="22"/>
        <w:spacing w:before="0" w:after="0" w:line="360" w:lineRule="auto"/>
        <w:ind w:left="0" w:firstLine="567"/>
        <w:jc w:val="both"/>
        <w:rPr>
          <w:rFonts w:ascii="Myriad Pro" w:eastAsiaTheme="minorHAnsi" w:hAnsi="Myriad Pro"/>
          <w:b w:val="0"/>
          <w:i w:val="0"/>
          <w:sz w:val="26"/>
          <w:szCs w:val="26"/>
          <w:lang w:eastAsia="en-US"/>
        </w:rPr>
      </w:pPr>
    </w:p>
    <w:p w14:paraId="1C965218" w14:textId="77777777" w:rsidR="00BD23C3" w:rsidRDefault="00BD23C3" w:rsidP="00BD23C3">
      <w:pPr>
        <w:pStyle w:val="3"/>
        <w:numPr>
          <w:ilvl w:val="1"/>
          <w:numId w:val="2"/>
        </w:numPr>
        <w:tabs>
          <w:tab w:val="left" w:pos="567"/>
        </w:tabs>
        <w:spacing w:line="360" w:lineRule="auto"/>
        <w:ind w:left="1134" w:hanging="1134"/>
        <w:rPr>
          <w:rFonts w:ascii="Myriad Pro" w:hAnsi="Myriad Pro"/>
          <w:b/>
          <w:color w:val="4F6228" w:themeColor="accent3" w:themeShade="80"/>
          <w:sz w:val="28"/>
          <w:szCs w:val="28"/>
        </w:rPr>
      </w:pPr>
      <w:bookmarkStart w:id="14" w:name="_Toc40733176"/>
      <w:r>
        <w:rPr>
          <w:rFonts w:ascii="Myriad Pro" w:hAnsi="Myriad Pro"/>
          <w:b/>
          <w:color w:val="4F6228" w:themeColor="accent3" w:themeShade="80"/>
          <w:sz w:val="28"/>
          <w:szCs w:val="28"/>
        </w:rPr>
        <w:t>Цель оказания услуг</w:t>
      </w:r>
      <w:bookmarkEnd w:id="14"/>
    </w:p>
    <w:p w14:paraId="7A47BAC0" w14:textId="53E843B2" w:rsidR="00BD23C3" w:rsidRPr="0063188C" w:rsidRDefault="00BD23C3" w:rsidP="00BD23C3">
      <w:pPr>
        <w:spacing w:after="0" w:line="360" w:lineRule="auto"/>
        <w:ind w:firstLine="567"/>
        <w:contextualSpacing/>
        <w:jc w:val="both"/>
        <w:rPr>
          <w:sz w:val="26"/>
          <w:szCs w:val="26"/>
        </w:rPr>
      </w:pPr>
      <w:r w:rsidRPr="0063188C">
        <w:rPr>
          <w:sz w:val="26"/>
          <w:szCs w:val="26"/>
        </w:rPr>
        <w:t xml:space="preserve">Экспертиза тарифно-балансовых решений, принятых </w:t>
      </w:r>
      <w:r w:rsidR="00D4686D" w:rsidRPr="0063188C">
        <w:rPr>
          <w:sz w:val="26"/>
          <w:szCs w:val="26"/>
        </w:rPr>
        <w:t>Службой по тарифам Республики Тыва</w:t>
      </w:r>
      <w:r w:rsidRPr="0063188C">
        <w:rPr>
          <w:sz w:val="26"/>
          <w:szCs w:val="26"/>
        </w:rPr>
        <w:t xml:space="preserve"> в отношении </w:t>
      </w:r>
      <w:r w:rsidR="00FA1C5B" w:rsidRPr="0063188C">
        <w:rPr>
          <w:sz w:val="26"/>
          <w:szCs w:val="26"/>
        </w:rPr>
        <w:t>ДЗО ПАО</w:t>
      </w:r>
      <w:r w:rsidRPr="0063188C">
        <w:rPr>
          <w:sz w:val="26"/>
          <w:szCs w:val="26"/>
        </w:rPr>
        <w:t xml:space="preserve"> </w:t>
      </w:r>
      <w:r w:rsidR="00C108AE" w:rsidRPr="0063188C">
        <w:rPr>
          <w:sz w:val="26"/>
          <w:szCs w:val="26"/>
        </w:rPr>
        <w:t>«МРСК Сибири</w:t>
      </w:r>
      <w:r w:rsidR="002F1DF7" w:rsidRPr="0063188C">
        <w:rPr>
          <w:sz w:val="26"/>
          <w:szCs w:val="26"/>
        </w:rPr>
        <w:t>»</w:t>
      </w:r>
      <w:r w:rsidR="00A04472" w:rsidRPr="0063188C">
        <w:rPr>
          <w:sz w:val="26"/>
          <w:szCs w:val="26"/>
        </w:rPr>
        <w:t xml:space="preserve"> АО </w:t>
      </w:r>
      <w:r w:rsidR="006A37C0" w:rsidRPr="0063188C">
        <w:rPr>
          <w:sz w:val="26"/>
          <w:szCs w:val="26"/>
        </w:rPr>
        <w:t>«Тываэнерго»</w:t>
      </w:r>
      <w:r w:rsidRPr="0063188C">
        <w:rPr>
          <w:sz w:val="26"/>
          <w:szCs w:val="26"/>
        </w:rPr>
        <w:t xml:space="preserve"> при установлении регулируемых тарифов</w:t>
      </w:r>
      <w:r w:rsidR="00F94FED">
        <w:rPr>
          <w:sz w:val="26"/>
          <w:szCs w:val="26"/>
        </w:rPr>
        <w:t>.</w:t>
      </w:r>
    </w:p>
    <w:p w14:paraId="2CD446F2" w14:textId="2DFFB1DD" w:rsidR="00BD23C3" w:rsidRPr="0063188C" w:rsidRDefault="00BD23C3" w:rsidP="00BD23C3">
      <w:pPr>
        <w:spacing w:after="0" w:line="360" w:lineRule="auto"/>
        <w:ind w:firstLine="567"/>
        <w:contextualSpacing/>
        <w:jc w:val="both"/>
        <w:rPr>
          <w:sz w:val="26"/>
          <w:szCs w:val="26"/>
        </w:rPr>
      </w:pPr>
      <w:r w:rsidRPr="0063188C">
        <w:rPr>
          <w:sz w:val="26"/>
          <w:szCs w:val="26"/>
        </w:rPr>
        <w:t xml:space="preserve">Экспертиза обосновывающих материалов, предоставляемых </w:t>
      </w:r>
      <w:r w:rsidR="006A37C0" w:rsidRPr="0063188C">
        <w:rPr>
          <w:sz w:val="26"/>
          <w:szCs w:val="26"/>
        </w:rPr>
        <w:t>ДЗО ПАО</w:t>
      </w:r>
      <w:r w:rsidRPr="0063188C">
        <w:rPr>
          <w:sz w:val="26"/>
          <w:szCs w:val="26"/>
        </w:rPr>
        <w:t> «</w:t>
      </w:r>
      <w:r w:rsidR="00C108AE" w:rsidRPr="0063188C">
        <w:rPr>
          <w:sz w:val="26"/>
          <w:szCs w:val="26"/>
        </w:rPr>
        <w:t>МРСК Сибири</w:t>
      </w:r>
      <w:r w:rsidR="00A04472" w:rsidRPr="0063188C">
        <w:rPr>
          <w:sz w:val="26"/>
          <w:szCs w:val="26"/>
        </w:rPr>
        <w:t xml:space="preserve">» </w:t>
      </w:r>
      <w:r w:rsidR="006A37C0" w:rsidRPr="0063188C">
        <w:rPr>
          <w:sz w:val="26"/>
          <w:szCs w:val="26"/>
        </w:rPr>
        <w:t>АО «Тываэнерго»</w:t>
      </w:r>
      <w:r w:rsidRPr="0063188C">
        <w:rPr>
          <w:sz w:val="26"/>
          <w:szCs w:val="26"/>
        </w:rPr>
        <w:t xml:space="preserve"> </w:t>
      </w:r>
      <w:r w:rsidR="006815C3" w:rsidRPr="0063188C">
        <w:rPr>
          <w:sz w:val="26"/>
          <w:szCs w:val="26"/>
        </w:rPr>
        <w:t xml:space="preserve">в </w:t>
      </w:r>
      <w:r w:rsidR="00D4686D" w:rsidRPr="0063188C">
        <w:rPr>
          <w:sz w:val="26"/>
          <w:szCs w:val="26"/>
        </w:rPr>
        <w:t>Службу по тарифам Республики Тыва</w:t>
      </w:r>
      <w:r w:rsidRPr="0063188C">
        <w:rPr>
          <w:sz w:val="26"/>
          <w:szCs w:val="26"/>
        </w:rPr>
        <w:t xml:space="preserve"> в рамках рассмотрения дел об установлении тарифов</w:t>
      </w:r>
      <w:r w:rsidR="00F94FED">
        <w:rPr>
          <w:sz w:val="26"/>
          <w:szCs w:val="26"/>
        </w:rPr>
        <w:t>.</w:t>
      </w:r>
    </w:p>
    <w:p w14:paraId="66B27AAB" w14:textId="3F90B378" w:rsidR="00BD23C3" w:rsidRPr="0063188C" w:rsidRDefault="00BD23C3" w:rsidP="00BD23C3">
      <w:pPr>
        <w:spacing w:after="0" w:line="360" w:lineRule="auto"/>
        <w:ind w:firstLine="567"/>
        <w:contextualSpacing/>
        <w:jc w:val="both"/>
        <w:rPr>
          <w:sz w:val="26"/>
          <w:szCs w:val="26"/>
        </w:rPr>
      </w:pPr>
      <w:r w:rsidRPr="0063188C">
        <w:rPr>
          <w:sz w:val="26"/>
          <w:szCs w:val="26"/>
        </w:rPr>
        <w:t xml:space="preserve">Экспертиза обоснованности решений, принятых </w:t>
      </w:r>
      <w:r w:rsidR="00D4686D" w:rsidRPr="0063188C">
        <w:rPr>
          <w:sz w:val="26"/>
          <w:szCs w:val="26"/>
        </w:rPr>
        <w:t>Службой по тарифам Республики Тыва</w:t>
      </w:r>
      <w:r w:rsidR="004D369D" w:rsidRPr="0063188C">
        <w:rPr>
          <w:sz w:val="26"/>
          <w:szCs w:val="26"/>
        </w:rPr>
        <w:t xml:space="preserve"> </w:t>
      </w:r>
      <w:r w:rsidRPr="0063188C">
        <w:rPr>
          <w:sz w:val="26"/>
          <w:szCs w:val="26"/>
        </w:rPr>
        <w:t xml:space="preserve">при определении необходимой валовой выручки </w:t>
      </w:r>
      <w:r w:rsidR="00D4686D" w:rsidRPr="0063188C">
        <w:rPr>
          <w:sz w:val="26"/>
          <w:szCs w:val="26"/>
        </w:rPr>
        <w:t>ДЗО </w:t>
      </w:r>
      <w:r w:rsidR="006A37C0" w:rsidRPr="0063188C">
        <w:rPr>
          <w:sz w:val="26"/>
          <w:szCs w:val="26"/>
        </w:rPr>
        <w:t>ПАО</w:t>
      </w:r>
      <w:r w:rsidRPr="0063188C">
        <w:rPr>
          <w:sz w:val="26"/>
          <w:szCs w:val="26"/>
        </w:rPr>
        <w:t> «</w:t>
      </w:r>
      <w:r w:rsidR="00C108AE" w:rsidRPr="0063188C">
        <w:rPr>
          <w:sz w:val="26"/>
          <w:szCs w:val="26"/>
        </w:rPr>
        <w:t>МРСК Сибири</w:t>
      </w:r>
      <w:r w:rsidR="00A04472" w:rsidRPr="0063188C">
        <w:rPr>
          <w:sz w:val="26"/>
          <w:szCs w:val="26"/>
        </w:rPr>
        <w:t xml:space="preserve">» </w:t>
      </w:r>
      <w:r w:rsidR="006A37C0" w:rsidRPr="0063188C">
        <w:rPr>
          <w:sz w:val="26"/>
          <w:szCs w:val="26"/>
        </w:rPr>
        <w:t>АО «Тываэнерго»</w:t>
      </w:r>
      <w:r w:rsidRPr="0063188C">
        <w:rPr>
          <w:sz w:val="26"/>
          <w:szCs w:val="26"/>
        </w:rPr>
        <w:t xml:space="preserve"> при установлении тарифов</w:t>
      </w:r>
      <w:r w:rsidR="00F94FED">
        <w:rPr>
          <w:sz w:val="26"/>
          <w:szCs w:val="26"/>
        </w:rPr>
        <w:t>.</w:t>
      </w:r>
    </w:p>
    <w:p w14:paraId="6818DA45" w14:textId="4E4A9094" w:rsidR="00BD23C3" w:rsidRDefault="00BD23C3" w:rsidP="00BD23C3">
      <w:pPr>
        <w:spacing w:after="0" w:line="360" w:lineRule="auto"/>
        <w:ind w:firstLine="567"/>
        <w:contextualSpacing/>
        <w:jc w:val="both"/>
        <w:rPr>
          <w:sz w:val="26"/>
          <w:szCs w:val="26"/>
        </w:rPr>
      </w:pPr>
      <w:r w:rsidRPr="0063188C">
        <w:rPr>
          <w:sz w:val="26"/>
          <w:szCs w:val="26"/>
        </w:rPr>
        <w:t xml:space="preserve">Подготовка рекомендаций и предложений по решению проблем, выявленных в результате экспертизы тарифно-балансовых решений, принятых </w:t>
      </w:r>
      <w:r w:rsidR="00D4686D" w:rsidRPr="0063188C">
        <w:rPr>
          <w:sz w:val="26"/>
          <w:szCs w:val="26"/>
        </w:rPr>
        <w:t>Службой по тарифам Республики Тыва</w:t>
      </w:r>
      <w:r w:rsidRPr="0063188C">
        <w:rPr>
          <w:sz w:val="26"/>
          <w:szCs w:val="26"/>
        </w:rPr>
        <w:t>.</w:t>
      </w:r>
    </w:p>
    <w:p w14:paraId="1C7A7557" w14:textId="77777777" w:rsidR="00BD23C3" w:rsidRPr="0060599C" w:rsidRDefault="00BD23C3" w:rsidP="00BD23C3">
      <w:pPr>
        <w:spacing w:after="0" w:line="360" w:lineRule="auto"/>
        <w:ind w:firstLine="567"/>
        <w:contextualSpacing/>
        <w:jc w:val="both"/>
        <w:rPr>
          <w:rFonts w:eastAsia="Calibri"/>
          <w:sz w:val="26"/>
          <w:szCs w:val="26"/>
        </w:rPr>
      </w:pPr>
    </w:p>
    <w:p w14:paraId="20F45024" w14:textId="77777777" w:rsidR="00BD23C3" w:rsidRPr="00CC4DE2" w:rsidRDefault="00BD23C3" w:rsidP="00BD23C3">
      <w:pPr>
        <w:tabs>
          <w:tab w:val="left" w:pos="993"/>
        </w:tabs>
        <w:spacing w:after="0" w:line="360" w:lineRule="auto"/>
        <w:jc w:val="both"/>
        <w:rPr>
          <w:rFonts w:eastAsia="Calibri"/>
          <w:b/>
          <w:sz w:val="26"/>
          <w:szCs w:val="26"/>
          <w:u w:val="single"/>
        </w:rPr>
      </w:pPr>
      <w:r w:rsidRPr="00333362">
        <w:rPr>
          <w:rFonts w:eastAsia="Calibri"/>
          <w:b/>
          <w:sz w:val="26"/>
          <w:szCs w:val="26"/>
          <w:u w:val="single"/>
        </w:rPr>
        <w:t>Этап № 1.1.2.</w:t>
      </w:r>
      <w:r w:rsidRPr="00333362">
        <w:rPr>
          <w:rFonts w:eastAsia="Calibri"/>
          <w:sz w:val="26"/>
          <w:szCs w:val="26"/>
          <w:u w:val="single"/>
        </w:rPr>
        <w:t xml:space="preserve"> </w:t>
      </w:r>
    </w:p>
    <w:p w14:paraId="57B33E22" w14:textId="670F41FB" w:rsidR="00BD23C3" w:rsidRPr="0063188C" w:rsidRDefault="00BD23C3" w:rsidP="00F94FED">
      <w:pPr>
        <w:tabs>
          <w:tab w:val="left" w:pos="993"/>
        </w:tabs>
        <w:spacing w:after="0" w:line="360" w:lineRule="auto"/>
        <w:ind w:firstLine="567"/>
        <w:jc w:val="both"/>
        <w:rPr>
          <w:rFonts w:eastAsia="Calibri"/>
          <w:sz w:val="26"/>
          <w:szCs w:val="26"/>
        </w:rPr>
      </w:pPr>
      <w:r>
        <w:rPr>
          <w:rFonts w:eastAsia="Calibri"/>
          <w:sz w:val="26"/>
          <w:szCs w:val="26"/>
        </w:rPr>
        <w:t>1.2.1.</w:t>
      </w:r>
      <w:r>
        <w:rPr>
          <w:rFonts w:eastAsia="Calibri"/>
          <w:sz w:val="26"/>
          <w:szCs w:val="26"/>
        </w:rPr>
        <w:tab/>
      </w:r>
      <w:r w:rsidRPr="0063188C">
        <w:rPr>
          <w:rFonts w:eastAsia="Calibri"/>
          <w:sz w:val="26"/>
          <w:szCs w:val="26"/>
        </w:rPr>
        <w:t xml:space="preserve">Анализ исполнения инвестиционных программ, учтенных </w:t>
      </w:r>
      <w:r w:rsidR="00D4686D" w:rsidRPr="0063188C">
        <w:rPr>
          <w:sz w:val="26"/>
          <w:szCs w:val="26"/>
        </w:rPr>
        <w:t>Службой по тарифам Республики Тыва</w:t>
      </w:r>
      <w:r w:rsidRPr="0063188C">
        <w:rPr>
          <w:rFonts w:eastAsia="Calibri"/>
          <w:sz w:val="26"/>
          <w:szCs w:val="26"/>
        </w:rPr>
        <w:t xml:space="preserve"> при принятии тарифно-балансовых решений на 2019 год.</w:t>
      </w:r>
    </w:p>
    <w:p w14:paraId="12637C04" w14:textId="21C8D8BC" w:rsidR="00BD23C3" w:rsidRPr="0063188C" w:rsidRDefault="00BD23C3" w:rsidP="00F94FED">
      <w:pPr>
        <w:tabs>
          <w:tab w:val="left" w:pos="993"/>
        </w:tabs>
        <w:spacing w:after="0" w:line="360" w:lineRule="auto"/>
        <w:ind w:firstLine="567"/>
        <w:jc w:val="both"/>
        <w:rPr>
          <w:rFonts w:eastAsia="Calibri"/>
          <w:sz w:val="26"/>
          <w:szCs w:val="26"/>
        </w:rPr>
      </w:pPr>
      <w:r w:rsidRPr="0063188C">
        <w:rPr>
          <w:rFonts w:eastAsia="Calibri"/>
          <w:sz w:val="26"/>
          <w:szCs w:val="26"/>
        </w:rPr>
        <w:t>1.2.2.</w:t>
      </w:r>
      <w:r w:rsidRPr="0063188C">
        <w:rPr>
          <w:rFonts w:eastAsia="Calibri"/>
          <w:sz w:val="26"/>
          <w:szCs w:val="26"/>
        </w:rPr>
        <w:tab/>
        <w:t xml:space="preserve">Экспертиза расчета необходимой валовой выручки </w:t>
      </w:r>
      <w:r w:rsidR="006A37C0" w:rsidRPr="0063188C">
        <w:rPr>
          <w:rFonts w:eastAsia="Calibri"/>
          <w:sz w:val="26"/>
          <w:szCs w:val="26"/>
        </w:rPr>
        <w:t>ДЗО ПАО</w:t>
      </w:r>
      <w:r w:rsidRPr="0063188C">
        <w:rPr>
          <w:sz w:val="26"/>
          <w:szCs w:val="26"/>
        </w:rPr>
        <w:t xml:space="preserve"> «</w:t>
      </w:r>
      <w:r w:rsidR="00C108AE" w:rsidRPr="0063188C">
        <w:rPr>
          <w:sz w:val="26"/>
          <w:szCs w:val="26"/>
        </w:rPr>
        <w:t>МРСК Сибири</w:t>
      </w:r>
      <w:r w:rsidR="00A04472" w:rsidRPr="0063188C">
        <w:rPr>
          <w:sz w:val="26"/>
          <w:szCs w:val="26"/>
        </w:rPr>
        <w:t xml:space="preserve">» </w:t>
      </w:r>
      <w:r w:rsidR="006A37C0" w:rsidRPr="0063188C">
        <w:rPr>
          <w:sz w:val="26"/>
          <w:szCs w:val="26"/>
        </w:rPr>
        <w:t>АО «Тываэнерго»</w:t>
      </w:r>
      <w:r w:rsidRPr="0063188C">
        <w:rPr>
          <w:rFonts w:eastAsia="Calibri"/>
          <w:sz w:val="26"/>
          <w:szCs w:val="26"/>
        </w:rPr>
        <w:t xml:space="preserve">, сформированной на основе долгосрочных параметров </w:t>
      </w:r>
      <w:r w:rsidRPr="0063188C">
        <w:rPr>
          <w:rFonts w:eastAsia="Calibri"/>
          <w:sz w:val="26"/>
          <w:szCs w:val="26"/>
        </w:rPr>
        <w:lastRenderedPageBreak/>
        <w:t>регулирования деятельности, в том числе анализ фактических расходов на оплату услуг ТСО с календарной разбивкой по полугодиям 2019 года.</w:t>
      </w:r>
    </w:p>
    <w:p w14:paraId="0D995AE1" w14:textId="6B5C6F4E" w:rsidR="00BD23C3" w:rsidRPr="0063188C" w:rsidRDefault="00BD23C3" w:rsidP="00F94FED">
      <w:pPr>
        <w:tabs>
          <w:tab w:val="left" w:pos="993"/>
        </w:tabs>
        <w:spacing w:after="0" w:line="360" w:lineRule="auto"/>
        <w:ind w:firstLine="567"/>
        <w:jc w:val="both"/>
        <w:rPr>
          <w:rFonts w:eastAsia="Calibri"/>
          <w:sz w:val="26"/>
          <w:szCs w:val="26"/>
        </w:rPr>
      </w:pPr>
      <w:r w:rsidRPr="0063188C">
        <w:rPr>
          <w:rFonts w:eastAsia="Calibri"/>
          <w:sz w:val="26"/>
          <w:szCs w:val="26"/>
        </w:rPr>
        <w:t>1.2.3.</w:t>
      </w:r>
      <w:r w:rsidRPr="0063188C">
        <w:rPr>
          <w:rFonts w:eastAsia="Calibri"/>
          <w:sz w:val="26"/>
          <w:szCs w:val="26"/>
        </w:rPr>
        <w:tab/>
        <w:t xml:space="preserve">Экспертиза обоснованности корректировок необходимой валовой выручки </w:t>
      </w:r>
      <w:r w:rsidR="006A37C0" w:rsidRPr="0063188C">
        <w:rPr>
          <w:rFonts w:eastAsia="Calibri"/>
          <w:sz w:val="26"/>
          <w:szCs w:val="26"/>
        </w:rPr>
        <w:t>ДЗО ПАО</w:t>
      </w:r>
      <w:r w:rsidRPr="0063188C">
        <w:rPr>
          <w:sz w:val="26"/>
          <w:szCs w:val="26"/>
        </w:rPr>
        <w:t xml:space="preserve"> «</w:t>
      </w:r>
      <w:r w:rsidR="00C108AE" w:rsidRPr="0063188C">
        <w:rPr>
          <w:sz w:val="26"/>
          <w:szCs w:val="26"/>
        </w:rPr>
        <w:t>МРСК Сибири</w:t>
      </w:r>
      <w:r w:rsidR="00A04472" w:rsidRPr="0063188C">
        <w:rPr>
          <w:sz w:val="26"/>
          <w:szCs w:val="26"/>
        </w:rPr>
        <w:t xml:space="preserve">» </w:t>
      </w:r>
      <w:r w:rsidR="006A37C0" w:rsidRPr="0063188C">
        <w:rPr>
          <w:sz w:val="26"/>
          <w:szCs w:val="26"/>
        </w:rPr>
        <w:t>АО «Тываэнерго»</w:t>
      </w:r>
      <w:r w:rsidRPr="0063188C">
        <w:rPr>
          <w:rFonts w:eastAsia="Calibri"/>
          <w:sz w:val="26"/>
          <w:szCs w:val="26"/>
        </w:rPr>
        <w:t xml:space="preserve">, проведенных </w:t>
      </w:r>
      <w:r w:rsidR="00D4686D" w:rsidRPr="0063188C">
        <w:rPr>
          <w:sz w:val="26"/>
          <w:szCs w:val="26"/>
        </w:rPr>
        <w:t xml:space="preserve">Службой по тарифам Республики Тыва </w:t>
      </w:r>
      <w:r w:rsidRPr="0063188C">
        <w:rPr>
          <w:rFonts w:eastAsia="Calibri"/>
          <w:sz w:val="26"/>
          <w:szCs w:val="26"/>
        </w:rPr>
        <w:t>при определении необходимой валовой выручки на 2019 год.</w:t>
      </w:r>
    </w:p>
    <w:p w14:paraId="4F4030C5" w14:textId="088A849D" w:rsidR="00BD23C3" w:rsidRPr="0063188C" w:rsidRDefault="00BD23C3" w:rsidP="00F94FED">
      <w:pPr>
        <w:tabs>
          <w:tab w:val="left" w:pos="993"/>
        </w:tabs>
        <w:spacing w:after="0" w:line="360" w:lineRule="auto"/>
        <w:ind w:firstLine="567"/>
        <w:jc w:val="both"/>
        <w:rPr>
          <w:rFonts w:eastAsia="Calibri"/>
          <w:sz w:val="26"/>
          <w:szCs w:val="26"/>
        </w:rPr>
      </w:pPr>
      <w:r w:rsidRPr="0063188C">
        <w:rPr>
          <w:rFonts w:eastAsia="Calibri"/>
          <w:sz w:val="26"/>
          <w:szCs w:val="26"/>
        </w:rPr>
        <w:t>1.2.4.</w:t>
      </w:r>
      <w:r w:rsidRPr="0063188C">
        <w:rPr>
          <w:rFonts w:eastAsia="Calibri"/>
          <w:sz w:val="26"/>
          <w:szCs w:val="26"/>
        </w:rPr>
        <w:tab/>
        <w:t xml:space="preserve">Анализ экономически обоснованных выпадающих расходов/недополученных доходов, полученных </w:t>
      </w:r>
      <w:r w:rsidR="006A37C0" w:rsidRPr="0063188C">
        <w:rPr>
          <w:rFonts w:eastAsia="Calibri"/>
          <w:sz w:val="26"/>
          <w:szCs w:val="26"/>
        </w:rPr>
        <w:t>ДЗО ПАО</w:t>
      </w:r>
      <w:r w:rsidRPr="0063188C">
        <w:rPr>
          <w:sz w:val="26"/>
          <w:szCs w:val="26"/>
        </w:rPr>
        <w:t xml:space="preserve"> «</w:t>
      </w:r>
      <w:r w:rsidR="00C108AE" w:rsidRPr="0063188C">
        <w:rPr>
          <w:sz w:val="26"/>
          <w:szCs w:val="26"/>
        </w:rPr>
        <w:t>МРСК Сибири</w:t>
      </w:r>
      <w:r w:rsidRPr="0063188C">
        <w:rPr>
          <w:sz w:val="26"/>
          <w:szCs w:val="26"/>
        </w:rPr>
        <w:t>»</w:t>
      </w:r>
      <w:r w:rsidR="00A04472" w:rsidRPr="0063188C">
        <w:rPr>
          <w:sz w:val="26"/>
          <w:szCs w:val="26"/>
        </w:rPr>
        <w:t xml:space="preserve"> АО </w:t>
      </w:r>
      <w:r w:rsidR="006A37C0" w:rsidRPr="0063188C">
        <w:rPr>
          <w:sz w:val="26"/>
          <w:szCs w:val="26"/>
        </w:rPr>
        <w:t>«Тываэнерго»</w:t>
      </w:r>
      <w:r w:rsidRPr="0063188C">
        <w:rPr>
          <w:sz w:val="26"/>
          <w:szCs w:val="26"/>
        </w:rPr>
        <w:t xml:space="preserve"> </w:t>
      </w:r>
      <w:r w:rsidRPr="0063188C">
        <w:rPr>
          <w:rFonts w:eastAsia="Calibri"/>
          <w:sz w:val="26"/>
          <w:szCs w:val="26"/>
        </w:rPr>
        <w:t xml:space="preserve">за 2017-2018 гг. в результате принятых </w:t>
      </w:r>
      <w:r w:rsidR="00D4686D" w:rsidRPr="0063188C">
        <w:rPr>
          <w:sz w:val="26"/>
          <w:szCs w:val="26"/>
        </w:rPr>
        <w:t>Службой по тарифам Республики Тыва</w:t>
      </w:r>
      <w:r w:rsidR="004D369D" w:rsidRPr="0063188C">
        <w:rPr>
          <w:sz w:val="26"/>
          <w:szCs w:val="26"/>
        </w:rPr>
        <w:t xml:space="preserve"> </w:t>
      </w:r>
      <w:r w:rsidRPr="0063188C">
        <w:rPr>
          <w:rFonts w:eastAsia="Calibri"/>
          <w:sz w:val="26"/>
          <w:szCs w:val="26"/>
        </w:rPr>
        <w:t xml:space="preserve">тарифно-балансовых решений, в том числе анализ соответствия фактической товарной выручки </w:t>
      </w:r>
      <w:r w:rsidR="006A37C0" w:rsidRPr="0063188C">
        <w:rPr>
          <w:rFonts w:eastAsia="Calibri"/>
          <w:sz w:val="26"/>
          <w:szCs w:val="26"/>
        </w:rPr>
        <w:t>ДЗО ПАО</w:t>
      </w:r>
      <w:r w:rsidRPr="0063188C">
        <w:rPr>
          <w:sz w:val="26"/>
          <w:szCs w:val="26"/>
        </w:rPr>
        <w:t xml:space="preserve"> «</w:t>
      </w:r>
      <w:r w:rsidR="00C108AE" w:rsidRPr="0063188C">
        <w:rPr>
          <w:sz w:val="26"/>
          <w:szCs w:val="26"/>
        </w:rPr>
        <w:t>МРСК Сибири</w:t>
      </w:r>
      <w:r w:rsidR="00A04472" w:rsidRPr="0063188C">
        <w:rPr>
          <w:sz w:val="26"/>
          <w:szCs w:val="26"/>
        </w:rPr>
        <w:t>» АО </w:t>
      </w:r>
      <w:r w:rsidR="006A37C0" w:rsidRPr="0063188C">
        <w:rPr>
          <w:sz w:val="26"/>
          <w:szCs w:val="26"/>
        </w:rPr>
        <w:t>«Тываэнерго»</w:t>
      </w:r>
      <w:r w:rsidRPr="0063188C">
        <w:rPr>
          <w:sz w:val="26"/>
          <w:szCs w:val="26"/>
        </w:rPr>
        <w:t xml:space="preserve"> </w:t>
      </w:r>
      <w:r w:rsidRPr="0063188C">
        <w:rPr>
          <w:rFonts w:eastAsia="Calibri"/>
          <w:sz w:val="26"/>
          <w:szCs w:val="26"/>
        </w:rPr>
        <w:t xml:space="preserve">от передачи электрической энергии по единым (котловым) тарифам необходимой валовой выручке, утвержденной </w:t>
      </w:r>
      <w:r w:rsidR="00D4686D" w:rsidRPr="0063188C">
        <w:rPr>
          <w:sz w:val="26"/>
          <w:szCs w:val="26"/>
        </w:rPr>
        <w:t>Службой по тарифам Республики Тыва</w:t>
      </w:r>
      <w:r w:rsidRPr="0063188C">
        <w:rPr>
          <w:rFonts w:eastAsia="Calibri"/>
          <w:sz w:val="26"/>
          <w:szCs w:val="26"/>
        </w:rPr>
        <w:t>.</w:t>
      </w:r>
    </w:p>
    <w:p w14:paraId="6C9BD6E5" w14:textId="1D74D082" w:rsidR="00BD23C3" w:rsidRPr="0060599C" w:rsidRDefault="00BD23C3" w:rsidP="00F94FED">
      <w:pPr>
        <w:tabs>
          <w:tab w:val="left" w:pos="993"/>
        </w:tabs>
        <w:spacing w:after="0" w:line="360" w:lineRule="auto"/>
        <w:ind w:firstLine="567"/>
        <w:jc w:val="both"/>
        <w:rPr>
          <w:rFonts w:eastAsia="Calibri"/>
          <w:sz w:val="26"/>
          <w:szCs w:val="26"/>
        </w:rPr>
      </w:pPr>
      <w:r w:rsidRPr="0063188C">
        <w:rPr>
          <w:rFonts w:eastAsia="Calibri"/>
          <w:sz w:val="26"/>
          <w:szCs w:val="26"/>
        </w:rPr>
        <w:t>1.2.5.</w:t>
      </w:r>
      <w:r w:rsidRPr="0063188C">
        <w:rPr>
          <w:rFonts w:eastAsia="Calibri"/>
          <w:sz w:val="26"/>
          <w:szCs w:val="26"/>
        </w:rPr>
        <w:tab/>
        <w:t xml:space="preserve">Экономическая оценка результатов деятельности </w:t>
      </w:r>
      <w:r w:rsidR="006A37C0" w:rsidRPr="0063188C">
        <w:rPr>
          <w:rFonts w:eastAsia="Calibri"/>
          <w:sz w:val="26"/>
          <w:szCs w:val="26"/>
        </w:rPr>
        <w:t>ДЗО ПАО</w:t>
      </w:r>
      <w:r w:rsidRPr="0063188C">
        <w:rPr>
          <w:rFonts w:eastAsia="Calibri"/>
          <w:sz w:val="26"/>
          <w:szCs w:val="26"/>
        </w:rPr>
        <w:t xml:space="preserve"> «</w:t>
      </w:r>
      <w:r w:rsidR="00C108AE" w:rsidRPr="0063188C">
        <w:rPr>
          <w:rFonts w:eastAsia="Calibri"/>
          <w:sz w:val="26"/>
          <w:szCs w:val="26"/>
        </w:rPr>
        <w:t>МРСК Сибири</w:t>
      </w:r>
      <w:r w:rsidR="00A04472" w:rsidRPr="0063188C">
        <w:rPr>
          <w:rFonts w:eastAsia="Calibri"/>
          <w:sz w:val="26"/>
          <w:szCs w:val="26"/>
        </w:rPr>
        <w:t xml:space="preserve">» </w:t>
      </w:r>
      <w:r w:rsidR="006A37C0" w:rsidRPr="0063188C">
        <w:rPr>
          <w:rFonts w:eastAsia="Calibri"/>
          <w:sz w:val="26"/>
          <w:szCs w:val="26"/>
        </w:rPr>
        <w:t>АО «Тываэнерго»</w:t>
      </w:r>
      <w:r w:rsidRPr="0063188C">
        <w:rPr>
          <w:rFonts w:eastAsia="Calibri"/>
          <w:sz w:val="26"/>
          <w:szCs w:val="26"/>
        </w:rPr>
        <w:t xml:space="preserve"> за 2017-2018 годы по оказанию услуг по передаче электрической энергии.</w:t>
      </w:r>
    </w:p>
    <w:p w14:paraId="31900D86" w14:textId="77777777" w:rsidR="00BD23C3" w:rsidRDefault="00BD23C3" w:rsidP="00BD23C3">
      <w:pPr>
        <w:tabs>
          <w:tab w:val="left" w:pos="993"/>
        </w:tabs>
        <w:spacing w:after="0" w:line="360" w:lineRule="auto"/>
        <w:jc w:val="both"/>
        <w:rPr>
          <w:rFonts w:eastAsia="Calibri"/>
          <w:sz w:val="26"/>
          <w:szCs w:val="26"/>
        </w:rPr>
      </w:pPr>
    </w:p>
    <w:p w14:paraId="7E638ABE" w14:textId="77777777" w:rsidR="00BD23C3" w:rsidRDefault="00BD23C3" w:rsidP="00BD23C3">
      <w:pPr>
        <w:rPr>
          <w:rFonts w:eastAsia="Calibri"/>
          <w:sz w:val="26"/>
          <w:szCs w:val="26"/>
        </w:rPr>
      </w:pPr>
      <w:r>
        <w:rPr>
          <w:rFonts w:eastAsia="Calibri"/>
          <w:sz w:val="26"/>
          <w:szCs w:val="26"/>
        </w:rPr>
        <w:br w:type="page"/>
      </w:r>
    </w:p>
    <w:p w14:paraId="4BCE9CA6" w14:textId="77777777" w:rsidR="00BD23C3" w:rsidRDefault="00BD23C3" w:rsidP="00BD23C3">
      <w:pPr>
        <w:pStyle w:val="3"/>
        <w:numPr>
          <w:ilvl w:val="1"/>
          <w:numId w:val="2"/>
        </w:numPr>
        <w:tabs>
          <w:tab w:val="left" w:pos="567"/>
        </w:tabs>
        <w:spacing w:line="360" w:lineRule="auto"/>
        <w:ind w:left="1134" w:hanging="1134"/>
        <w:rPr>
          <w:rFonts w:ascii="Myriad Pro" w:hAnsi="Myriad Pro"/>
          <w:b/>
          <w:color w:val="4F6228" w:themeColor="accent3" w:themeShade="80"/>
          <w:sz w:val="28"/>
          <w:szCs w:val="28"/>
        </w:rPr>
      </w:pPr>
      <w:bookmarkStart w:id="15" w:name="_Toc40733177"/>
      <w:r>
        <w:rPr>
          <w:rFonts w:ascii="Myriad Pro" w:hAnsi="Myriad Pro"/>
          <w:b/>
          <w:color w:val="4F6228" w:themeColor="accent3" w:themeShade="80"/>
          <w:sz w:val="28"/>
          <w:szCs w:val="28"/>
        </w:rPr>
        <w:lastRenderedPageBreak/>
        <w:t>Нормативно-правовая база</w:t>
      </w:r>
      <w:bookmarkEnd w:id="15"/>
    </w:p>
    <w:p w14:paraId="505C6F6F" w14:textId="77777777" w:rsidR="00BD23C3" w:rsidRPr="00700007" w:rsidRDefault="00BD23C3" w:rsidP="00BD23C3">
      <w:pPr>
        <w:spacing w:after="0" w:line="360" w:lineRule="auto"/>
        <w:ind w:firstLine="567"/>
        <w:contextualSpacing/>
        <w:jc w:val="both"/>
        <w:rPr>
          <w:sz w:val="26"/>
          <w:szCs w:val="26"/>
        </w:rPr>
      </w:pPr>
      <w:r w:rsidRPr="00700007">
        <w:rPr>
          <w:rFonts w:eastAsia="Calibri"/>
          <w:sz w:val="26"/>
          <w:szCs w:val="26"/>
        </w:rPr>
        <w:t>При проведении анализа Исполнитель руководствовался следующими нормативно-правовыми актами</w:t>
      </w:r>
      <w:r>
        <w:rPr>
          <w:rFonts w:eastAsia="Calibri"/>
          <w:sz w:val="26"/>
          <w:szCs w:val="26"/>
        </w:rPr>
        <w:t xml:space="preserve"> (в редакциях, действующих на момент установления тарифов на услуги по передаче электрической энергии)</w:t>
      </w:r>
      <w:r w:rsidRPr="00700007">
        <w:rPr>
          <w:rFonts w:eastAsia="Calibri"/>
          <w:sz w:val="26"/>
          <w:szCs w:val="26"/>
        </w:rPr>
        <w:t>:</w:t>
      </w:r>
      <w:r w:rsidRPr="00700007">
        <w:rPr>
          <w:sz w:val="26"/>
          <w:szCs w:val="26"/>
        </w:rPr>
        <w:t xml:space="preserve"> </w:t>
      </w:r>
    </w:p>
    <w:p w14:paraId="052BDB15" w14:textId="77777777" w:rsidR="00BD23C3" w:rsidRPr="00700007" w:rsidRDefault="00BD23C3" w:rsidP="00BD23C3">
      <w:pPr>
        <w:pStyle w:val="a3"/>
        <w:numPr>
          <w:ilvl w:val="0"/>
          <w:numId w:val="3"/>
        </w:numPr>
        <w:spacing w:after="0" w:line="360" w:lineRule="auto"/>
        <w:jc w:val="both"/>
        <w:rPr>
          <w:rFonts w:ascii="Myriad Pro" w:hAnsi="Myriad Pro"/>
          <w:sz w:val="26"/>
          <w:szCs w:val="26"/>
        </w:rPr>
      </w:pPr>
      <w:r w:rsidRPr="00700007">
        <w:rPr>
          <w:rFonts w:ascii="Myriad Pro" w:hAnsi="Myriad Pro"/>
          <w:sz w:val="26"/>
          <w:szCs w:val="26"/>
        </w:rPr>
        <w:t>Налоговый кодекс Российской Федерации;</w:t>
      </w:r>
    </w:p>
    <w:p w14:paraId="7E805B5D" w14:textId="77777777" w:rsidR="00BD23C3" w:rsidRPr="00700007" w:rsidRDefault="00BD23C3" w:rsidP="00BD23C3">
      <w:pPr>
        <w:pStyle w:val="a3"/>
        <w:numPr>
          <w:ilvl w:val="0"/>
          <w:numId w:val="3"/>
        </w:numPr>
        <w:spacing w:after="0" w:line="360" w:lineRule="auto"/>
        <w:jc w:val="both"/>
        <w:rPr>
          <w:rFonts w:ascii="Myriad Pro" w:hAnsi="Myriad Pro"/>
          <w:sz w:val="26"/>
          <w:szCs w:val="26"/>
        </w:rPr>
      </w:pPr>
      <w:r w:rsidRPr="00700007">
        <w:rPr>
          <w:rFonts w:ascii="Myriad Pro" w:hAnsi="Myriad Pro"/>
          <w:sz w:val="26"/>
          <w:szCs w:val="26"/>
        </w:rPr>
        <w:t>Федеральный закон Российской Федерации от 26.03.2003 № 35-ФЗ «Об электроэнергетике»;</w:t>
      </w:r>
    </w:p>
    <w:p w14:paraId="1D3DFB78" w14:textId="77777777" w:rsidR="00BD23C3" w:rsidRDefault="00BD23C3" w:rsidP="00BD23C3">
      <w:pPr>
        <w:pStyle w:val="a3"/>
        <w:numPr>
          <w:ilvl w:val="0"/>
          <w:numId w:val="3"/>
        </w:numPr>
        <w:spacing w:after="0" w:line="360" w:lineRule="auto"/>
        <w:jc w:val="both"/>
        <w:rPr>
          <w:rFonts w:ascii="Myriad Pro" w:hAnsi="Myriad Pro"/>
          <w:sz w:val="26"/>
          <w:szCs w:val="26"/>
        </w:rPr>
      </w:pPr>
      <w:r w:rsidRPr="00700007">
        <w:rPr>
          <w:rFonts w:ascii="Myriad Pro" w:hAnsi="Myriad Pro"/>
          <w:sz w:val="26"/>
          <w:szCs w:val="26"/>
        </w:rPr>
        <w:t>Постановление Правительства Российской Федерации от 29.12.2011 № 1178 «О ценообразовании в области регулируемых цен (тарифов) в электроэнергетике» (вместе с «Основами ценообразования в области регулируемых цен (тарифов) в электроэнергетике», «Правилами государственного регулирования (пересмотра, применения) цен (тарифов) в электроэнергетике»)</w:t>
      </w:r>
      <w:r>
        <w:rPr>
          <w:rFonts w:ascii="Myriad Pro" w:hAnsi="Myriad Pro"/>
          <w:sz w:val="26"/>
          <w:szCs w:val="26"/>
        </w:rPr>
        <w:t xml:space="preserve"> (далее – Основы ценообразования № 1178)</w:t>
      </w:r>
      <w:r w:rsidRPr="00700007">
        <w:rPr>
          <w:rFonts w:ascii="Myriad Pro" w:hAnsi="Myriad Pro"/>
          <w:sz w:val="26"/>
          <w:szCs w:val="26"/>
        </w:rPr>
        <w:t>;</w:t>
      </w:r>
    </w:p>
    <w:p w14:paraId="019819A9" w14:textId="77777777" w:rsidR="00BD23C3" w:rsidRPr="00883917" w:rsidRDefault="00BD23C3" w:rsidP="00BD23C3">
      <w:pPr>
        <w:pStyle w:val="a3"/>
        <w:numPr>
          <w:ilvl w:val="0"/>
          <w:numId w:val="3"/>
        </w:numPr>
        <w:spacing w:after="0" w:line="360" w:lineRule="auto"/>
        <w:jc w:val="both"/>
        <w:rPr>
          <w:rFonts w:ascii="Myriad Pro" w:hAnsi="Myriad Pro"/>
          <w:sz w:val="26"/>
          <w:szCs w:val="26"/>
        </w:rPr>
      </w:pPr>
      <w:r w:rsidRPr="00883917">
        <w:rPr>
          <w:rFonts w:ascii="Myriad Pro" w:hAnsi="Myriad Pro"/>
          <w:sz w:val="26"/>
          <w:szCs w:val="26"/>
        </w:rPr>
        <w:t xml:space="preserve">Постановление Правительства </w:t>
      </w:r>
      <w:r>
        <w:rPr>
          <w:rFonts w:ascii="Myriad Pro" w:hAnsi="Myriad Pro"/>
          <w:sz w:val="26"/>
          <w:szCs w:val="26"/>
        </w:rPr>
        <w:t>Российской Федерации</w:t>
      </w:r>
      <w:r w:rsidRPr="00883917">
        <w:rPr>
          <w:rFonts w:ascii="Myriad Pro" w:hAnsi="Myriad Pro"/>
          <w:sz w:val="26"/>
          <w:szCs w:val="26"/>
        </w:rPr>
        <w:t xml:space="preserve"> от 21.01.2004 №</w:t>
      </w:r>
      <w:r>
        <w:rPr>
          <w:rFonts w:ascii="Myriad Pro" w:hAnsi="Myriad Pro"/>
          <w:sz w:val="26"/>
          <w:szCs w:val="26"/>
        </w:rPr>
        <w:t> </w:t>
      </w:r>
      <w:r w:rsidRPr="00883917">
        <w:rPr>
          <w:rFonts w:ascii="Myriad Pro" w:hAnsi="Myriad Pro"/>
          <w:sz w:val="26"/>
          <w:szCs w:val="26"/>
        </w:rPr>
        <w:t>24</w:t>
      </w:r>
      <w:r>
        <w:rPr>
          <w:rFonts w:ascii="Myriad Pro" w:hAnsi="Myriad Pro"/>
          <w:sz w:val="26"/>
          <w:szCs w:val="26"/>
        </w:rPr>
        <w:t xml:space="preserve"> «</w:t>
      </w:r>
      <w:r w:rsidRPr="00883917">
        <w:rPr>
          <w:rFonts w:ascii="Myriad Pro" w:hAnsi="Myriad Pro"/>
          <w:sz w:val="26"/>
          <w:szCs w:val="26"/>
        </w:rPr>
        <w:t>Об утверждении стандартов раскрытия информации субъектами оптового и розничн</w:t>
      </w:r>
      <w:r>
        <w:rPr>
          <w:rFonts w:ascii="Myriad Pro" w:hAnsi="Myriad Pro"/>
          <w:sz w:val="26"/>
          <w:szCs w:val="26"/>
        </w:rPr>
        <w:t>ых рынков электрической энергии» (далее – Стандарты раскрытия);</w:t>
      </w:r>
    </w:p>
    <w:p w14:paraId="431D2529" w14:textId="77777777" w:rsidR="00BD23C3" w:rsidRPr="00883917" w:rsidRDefault="00BD23C3" w:rsidP="00BD23C3">
      <w:pPr>
        <w:pStyle w:val="a3"/>
        <w:numPr>
          <w:ilvl w:val="0"/>
          <w:numId w:val="3"/>
        </w:numPr>
        <w:spacing w:after="0" w:line="360" w:lineRule="auto"/>
        <w:jc w:val="both"/>
        <w:rPr>
          <w:rFonts w:ascii="Myriad Pro" w:hAnsi="Myriad Pro"/>
          <w:sz w:val="26"/>
          <w:szCs w:val="26"/>
        </w:rPr>
      </w:pPr>
      <w:r w:rsidRPr="00883917">
        <w:rPr>
          <w:rFonts w:ascii="Myriad Pro" w:hAnsi="Myriad Pro"/>
          <w:sz w:val="26"/>
          <w:szCs w:val="26"/>
        </w:rPr>
        <w:t>Приказ Мин</w:t>
      </w:r>
      <w:r>
        <w:rPr>
          <w:rFonts w:ascii="Myriad Pro" w:hAnsi="Myriad Pro"/>
          <w:sz w:val="26"/>
          <w:szCs w:val="26"/>
        </w:rPr>
        <w:t xml:space="preserve">истерства </w:t>
      </w:r>
      <w:r w:rsidRPr="00883917">
        <w:rPr>
          <w:rFonts w:ascii="Myriad Pro" w:hAnsi="Myriad Pro"/>
          <w:sz w:val="26"/>
          <w:szCs w:val="26"/>
        </w:rPr>
        <w:t>энерг</w:t>
      </w:r>
      <w:r>
        <w:rPr>
          <w:rFonts w:ascii="Myriad Pro" w:hAnsi="Myriad Pro"/>
          <w:sz w:val="26"/>
          <w:szCs w:val="26"/>
        </w:rPr>
        <w:t>етики</w:t>
      </w:r>
      <w:r w:rsidRPr="00883917">
        <w:rPr>
          <w:rFonts w:ascii="Myriad Pro" w:hAnsi="Myriad Pro"/>
          <w:sz w:val="26"/>
          <w:szCs w:val="26"/>
        </w:rPr>
        <w:t xml:space="preserve"> </w:t>
      </w:r>
      <w:r>
        <w:rPr>
          <w:rFonts w:ascii="Myriad Pro" w:hAnsi="Myriad Pro"/>
          <w:sz w:val="26"/>
          <w:szCs w:val="26"/>
        </w:rPr>
        <w:t>Российской Федерации</w:t>
      </w:r>
      <w:r w:rsidRPr="00883917">
        <w:rPr>
          <w:rFonts w:ascii="Myriad Pro" w:hAnsi="Myriad Pro"/>
          <w:sz w:val="26"/>
          <w:szCs w:val="26"/>
        </w:rPr>
        <w:t xml:space="preserve"> от 13.12.2011 №</w:t>
      </w:r>
      <w:r>
        <w:rPr>
          <w:rFonts w:ascii="Myriad Pro" w:hAnsi="Myriad Pro"/>
          <w:sz w:val="26"/>
          <w:szCs w:val="26"/>
        </w:rPr>
        <w:t> </w:t>
      </w:r>
      <w:r w:rsidRPr="00883917">
        <w:rPr>
          <w:rFonts w:ascii="Myriad Pro" w:hAnsi="Myriad Pro"/>
          <w:sz w:val="26"/>
          <w:szCs w:val="26"/>
        </w:rPr>
        <w:t>585</w:t>
      </w:r>
      <w:r>
        <w:rPr>
          <w:rFonts w:ascii="Myriad Pro" w:hAnsi="Myriad Pro"/>
          <w:sz w:val="26"/>
          <w:szCs w:val="26"/>
        </w:rPr>
        <w:t xml:space="preserve"> «</w:t>
      </w:r>
      <w:r w:rsidRPr="00883917">
        <w:rPr>
          <w:rFonts w:ascii="Myriad Pro" w:hAnsi="Myriad Pro"/>
          <w:sz w:val="26"/>
          <w:szCs w:val="26"/>
        </w:rPr>
        <w:t>Об утверждении Порядка ведения раздельного учета доходов и расходов субъектами естественных монополий в сфере услуг по передаче электрической энергии и оперативно-диспетчерскому</w:t>
      </w:r>
      <w:r>
        <w:rPr>
          <w:rFonts w:ascii="Myriad Pro" w:hAnsi="Myriad Pro"/>
          <w:sz w:val="26"/>
          <w:szCs w:val="26"/>
        </w:rPr>
        <w:t xml:space="preserve"> управлению в электроэнергетике» (далее – Порядок № 585);</w:t>
      </w:r>
    </w:p>
    <w:p w14:paraId="50277BA6" w14:textId="77777777" w:rsidR="00BD23C3" w:rsidRDefault="00BD23C3" w:rsidP="00BD23C3">
      <w:pPr>
        <w:pStyle w:val="a3"/>
        <w:numPr>
          <w:ilvl w:val="0"/>
          <w:numId w:val="3"/>
        </w:numPr>
        <w:spacing w:after="0" w:line="360" w:lineRule="auto"/>
        <w:jc w:val="both"/>
        <w:rPr>
          <w:rFonts w:ascii="Myriad Pro" w:hAnsi="Myriad Pro"/>
          <w:sz w:val="26"/>
          <w:szCs w:val="26"/>
        </w:rPr>
      </w:pPr>
      <w:r w:rsidRPr="00700007">
        <w:rPr>
          <w:rFonts w:ascii="Myriad Pro" w:hAnsi="Myriad Pro"/>
          <w:sz w:val="26"/>
          <w:szCs w:val="26"/>
        </w:rPr>
        <w:t>Приказ ФСТ России от 17.02.2012 № 98-э «Об утверждении Методических указаний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w:t>
      </w:r>
      <w:r>
        <w:rPr>
          <w:rFonts w:ascii="Myriad Pro" w:hAnsi="Myriad Pro"/>
          <w:sz w:val="26"/>
          <w:szCs w:val="26"/>
        </w:rPr>
        <w:t xml:space="preserve"> (далее – Методические указания № 98-э)</w:t>
      </w:r>
      <w:r w:rsidRPr="00700007">
        <w:rPr>
          <w:rFonts w:ascii="Myriad Pro" w:hAnsi="Myriad Pro"/>
          <w:sz w:val="26"/>
          <w:szCs w:val="26"/>
        </w:rPr>
        <w:t>;</w:t>
      </w:r>
    </w:p>
    <w:p w14:paraId="6B00A44F" w14:textId="77777777" w:rsidR="00BD23C3" w:rsidRDefault="00BD23C3" w:rsidP="00BD23C3">
      <w:pPr>
        <w:pStyle w:val="a3"/>
        <w:numPr>
          <w:ilvl w:val="0"/>
          <w:numId w:val="3"/>
        </w:numPr>
        <w:spacing w:after="0" w:line="360" w:lineRule="auto"/>
        <w:jc w:val="both"/>
        <w:rPr>
          <w:rFonts w:ascii="Myriad Pro" w:hAnsi="Myriad Pro"/>
          <w:sz w:val="26"/>
          <w:szCs w:val="26"/>
        </w:rPr>
      </w:pPr>
      <w:r w:rsidRPr="00700007">
        <w:rPr>
          <w:rFonts w:ascii="Myriad Pro" w:hAnsi="Myriad Pro"/>
          <w:sz w:val="26"/>
          <w:szCs w:val="26"/>
        </w:rPr>
        <w:t>Приказ ФСТ России от</w:t>
      </w:r>
      <w:r>
        <w:rPr>
          <w:rFonts w:ascii="Myriad Pro" w:hAnsi="Myriad Pro"/>
          <w:sz w:val="26"/>
          <w:szCs w:val="26"/>
        </w:rPr>
        <w:t xml:space="preserve"> 18.03.2015 № 421-э «Об утверждении Методических указаний по определению базового уровня операционных, подконтрольных расходов территориальных сетевых </w:t>
      </w:r>
      <w:r>
        <w:rPr>
          <w:rFonts w:ascii="Myriad Pro" w:hAnsi="Myriad Pro"/>
          <w:sz w:val="26"/>
          <w:szCs w:val="26"/>
        </w:rPr>
        <w:lastRenderedPageBreak/>
        <w:t>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и внесении изменений в приказы ФСТ России от 17.02.2012 № 98-э и от 30.03.2012 № 228-э» (далее – Методические указания № 421-э);</w:t>
      </w:r>
    </w:p>
    <w:p w14:paraId="12AC63C9" w14:textId="77777777" w:rsidR="00BD23C3" w:rsidRDefault="00BD23C3" w:rsidP="00BD23C3">
      <w:pPr>
        <w:pStyle w:val="a3"/>
        <w:numPr>
          <w:ilvl w:val="0"/>
          <w:numId w:val="3"/>
        </w:numPr>
        <w:spacing w:after="0" w:line="360" w:lineRule="auto"/>
        <w:jc w:val="both"/>
        <w:rPr>
          <w:rFonts w:ascii="Myriad Pro" w:hAnsi="Myriad Pro"/>
          <w:sz w:val="26"/>
          <w:szCs w:val="26"/>
        </w:rPr>
      </w:pPr>
      <w:r w:rsidRPr="000C5606">
        <w:rPr>
          <w:rFonts w:ascii="Myriad Pro" w:hAnsi="Myriad Pro"/>
          <w:sz w:val="26"/>
          <w:szCs w:val="26"/>
        </w:rPr>
        <w:t>П</w:t>
      </w:r>
      <w:r>
        <w:rPr>
          <w:rFonts w:ascii="Myriad Pro" w:hAnsi="Myriad Pro"/>
          <w:sz w:val="26"/>
          <w:szCs w:val="26"/>
        </w:rPr>
        <w:t>риказ ФСТ России от 11.09.2014 №</w:t>
      </w:r>
      <w:r w:rsidRPr="000C5606">
        <w:rPr>
          <w:rFonts w:ascii="Myriad Pro" w:hAnsi="Myriad Pro"/>
          <w:sz w:val="26"/>
          <w:szCs w:val="26"/>
        </w:rPr>
        <w:t xml:space="preserve"> 215-э/1</w:t>
      </w:r>
      <w:r w:rsidRPr="000C5606">
        <w:t xml:space="preserve"> </w:t>
      </w:r>
      <w:r>
        <w:rPr>
          <w:rFonts w:ascii="Myriad Pro" w:hAnsi="Myriad Pro"/>
          <w:sz w:val="26"/>
          <w:szCs w:val="26"/>
        </w:rPr>
        <w:t>«</w:t>
      </w:r>
      <w:r w:rsidRPr="000C5606">
        <w:rPr>
          <w:rFonts w:ascii="Myriad Pro" w:hAnsi="Myriad Pro"/>
          <w:sz w:val="26"/>
          <w:szCs w:val="26"/>
        </w:rPr>
        <w:t>Об утверждении Методических указаний по определению выпадающих доходов, связанных с осуществлением технологического прис</w:t>
      </w:r>
      <w:r>
        <w:rPr>
          <w:rFonts w:ascii="Myriad Pro" w:hAnsi="Myriad Pro"/>
          <w:sz w:val="26"/>
          <w:szCs w:val="26"/>
        </w:rPr>
        <w:t>оединения к электрическим сетям» (далее – Методические указания № 215-э/1);</w:t>
      </w:r>
    </w:p>
    <w:p w14:paraId="7A7CDDDF" w14:textId="4697097B" w:rsidR="00BD23C3" w:rsidRPr="008829FA" w:rsidRDefault="00BD23C3" w:rsidP="00BD23C3">
      <w:pPr>
        <w:pStyle w:val="a3"/>
        <w:numPr>
          <w:ilvl w:val="0"/>
          <w:numId w:val="3"/>
        </w:numPr>
        <w:spacing w:after="0" w:line="360" w:lineRule="auto"/>
        <w:jc w:val="both"/>
        <w:rPr>
          <w:rFonts w:ascii="Myriad Pro" w:hAnsi="Myriad Pro"/>
          <w:sz w:val="26"/>
          <w:szCs w:val="26"/>
        </w:rPr>
      </w:pPr>
      <w:r w:rsidRPr="008829FA">
        <w:rPr>
          <w:rFonts w:ascii="Myriad Pro" w:hAnsi="Myriad Pro"/>
          <w:sz w:val="26"/>
          <w:szCs w:val="26"/>
        </w:rPr>
        <w:t>Приказ ФАС России от 29.08.2017 № 1135/17 «Об утверждении методических указаний по определению размера платы за технологическое присоединение к электрическим сетям» (далее – Методические указания № 1135/17);</w:t>
      </w:r>
    </w:p>
    <w:p w14:paraId="2358BBA2" w14:textId="77777777" w:rsidR="00BD23C3" w:rsidRDefault="00BD23C3" w:rsidP="00BD23C3">
      <w:pPr>
        <w:pStyle w:val="a3"/>
        <w:numPr>
          <w:ilvl w:val="0"/>
          <w:numId w:val="3"/>
        </w:numPr>
        <w:spacing w:after="0" w:line="360" w:lineRule="auto"/>
        <w:jc w:val="both"/>
        <w:rPr>
          <w:rFonts w:ascii="Myriad Pro" w:hAnsi="Myriad Pro"/>
          <w:sz w:val="26"/>
          <w:szCs w:val="26"/>
        </w:rPr>
      </w:pPr>
      <w:r w:rsidRPr="0019046A">
        <w:rPr>
          <w:rFonts w:ascii="Myriad Pro" w:hAnsi="Myriad Pro"/>
          <w:sz w:val="26"/>
          <w:szCs w:val="26"/>
        </w:rPr>
        <w:t>Приказ ФСТ России от 06.08.2004 № 20-э/2 «</w:t>
      </w:r>
      <w:r>
        <w:rPr>
          <w:rFonts w:ascii="Myriad Pro" w:hAnsi="Myriad Pro"/>
          <w:sz w:val="26"/>
          <w:szCs w:val="26"/>
        </w:rPr>
        <w:t>О</w:t>
      </w:r>
      <w:r w:rsidRPr="0019046A">
        <w:rPr>
          <w:rFonts w:ascii="Myriad Pro" w:hAnsi="Myriad Pro"/>
          <w:sz w:val="26"/>
          <w:szCs w:val="26"/>
        </w:rPr>
        <w:t xml:space="preserve">б утверждении </w:t>
      </w:r>
      <w:r>
        <w:rPr>
          <w:rFonts w:ascii="Myriad Pro" w:hAnsi="Myriad Pro"/>
          <w:sz w:val="26"/>
          <w:szCs w:val="26"/>
        </w:rPr>
        <w:t>М</w:t>
      </w:r>
      <w:r w:rsidRPr="0019046A">
        <w:rPr>
          <w:rFonts w:ascii="Myriad Pro" w:hAnsi="Myriad Pro"/>
          <w:sz w:val="26"/>
          <w:szCs w:val="26"/>
        </w:rPr>
        <w:t>етодических указаний по расчету регулируемых тарифов и цен на электрическую (тепловую) энергию на розничном</w:t>
      </w:r>
      <w:r>
        <w:rPr>
          <w:rFonts w:ascii="Myriad Pro" w:hAnsi="Myriad Pro"/>
          <w:sz w:val="26"/>
          <w:szCs w:val="26"/>
        </w:rPr>
        <w:t xml:space="preserve"> </w:t>
      </w:r>
      <w:r w:rsidRPr="0019046A">
        <w:rPr>
          <w:rFonts w:ascii="Myriad Pro" w:hAnsi="Myriad Pro"/>
          <w:sz w:val="26"/>
          <w:szCs w:val="26"/>
        </w:rPr>
        <w:t>(потребительском) рынке</w:t>
      </w:r>
      <w:r>
        <w:rPr>
          <w:rFonts w:ascii="Myriad Pro" w:hAnsi="Myriad Pro"/>
          <w:sz w:val="26"/>
          <w:szCs w:val="26"/>
        </w:rPr>
        <w:t>» (далее – Методические указания № 20-э/2);</w:t>
      </w:r>
    </w:p>
    <w:p w14:paraId="1E230700" w14:textId="77777777" w:rsidR="00BD23C3" w:rsidRDefault="00BD23C3" w:rsidP="00BD23C3">
      <w:pPr>
        <w:pStyle w:val="a3"/>
        <w:numPr>
          <w:ilvl w:val="0"/>
          <w:numId w:val="3"/>
        </w:numPr>
        <w:spacing w:after="0" w:line="360" w:lineRule="auto"/>
        <w:jc w:val="both"/>
        <w:rPr>
          <w:rFonts w:ascii="Myriad Pro" w:hAnsi="Myriad Pro"/>
          <w:sz w:val="26"/>
          <w:szCs w:val="26"/>
        </w:rPr>
      </w:pPr>
      <w:r>
        <w:rPr>
          <w:rFonts w:ascii="Myriad Pro" w:hAnsi="Myriad Pro"/>
          <w:sz w:val="26"/>
          <w:szCs w:val="26"/>
        </w:rPr>
        <w:t xml:space="preserve">Приказ ФСТ России от 12 апреля 2012 г. № </w:t>
      </w:r>
      <w:r w:rsidRPr="006863C8">
        <w:rPr>
          <w:rFonts w:ascii="Myriad Pro" w:hAnsi="Myriad Pro"/>
          <w:sz w:val="26"/>
          <w:szCs w:val="26"/>
        </w:rPr>
        <w:t> 53-э/1</w:t>
      </w:r>
      <w:r>
        <w:rPr>
          <w:rFonts w:ascii="Myriad Pro" w:hAnsi="Myriad Pro"/>
          <w:sz w:val="26"/>
          <w:szCs w:val="26"/>
        </w:rPr>
        <w:t xml:space="preserve"> «</w:t>
      </w:r>
      <w:r w:rsidRPr="006863C8">
        <w:rPr>
          <w:rFonts w:ascii="Myriad Pro" w:hAnsi="Myriad Pro"/>
          <w:sz w:val="26"/>
          <w:szCs w:val="26"/>
        </w:rPr>
        <w:t>Об утверждении Порядка формирования сводного прогнозного баланса производства и поставок электрической энергии (мощности) в рамках Единой энергетической системы России по субъектам Российской Федерации и Порядка определения отношения суммарного за год прогнозного объема потребления электрической энергии населением и приравненными к нему категориями потребителей к объему электрической энергии, соответствующему среднему за год значению прогнозного объема мощности, определенного в отношении у</w:t>
      </w:r>
      <w:r>
        <w:rPr>
          <w:rFonts w:ascii="Myriad Pro" w:hAnsi="Myriad Pro"/>
          <w:sz w:val="26"/>
          <w:szCs w:val="26"/>
        </w:rPr>
        <w:t>казанных категорий потребителей» (далее – Порядок № 53-э/1);</w:t>
      </w:r>
    </w:p>
    <w:p w14:paraId="40D059FA" w14:textId="12318027" w:rsidR="00BD23C3" w:rsidRDefault="00BD23C3" w:rsidP="004D369D">
      <w:pPr>
        <w:pStyle w:val="a3"/>
        <w:numPr>
          <w:ilvl w:val="0"/>
          <w:numId w:val="3"/>
        </w:numPr>
        <w:spacing w:after="0" w:line="360" w:lineRule="auto"/>
        <w:jc w:val="both"/>
        <w:rPr>
          <w:rFonts w:ascii="Myriad Pro" w:hAnsi="Myriad Pro"/>
          <w:sz w:val="26"/>
          <w:szCs w:val="26"/>
        </w:rPr>
      </w:pPr>
      <w:r w:rsidRPr="00452BAD">
        <w:rPr>
          <w:rFonts w:ascii="Myriad Pro" w:hAnsi="Myriad Pro"/>
          <w:sz w:val="26"/>
          <w:szCs w:val="26"/>
        </w:rPr>
        <w:t xml:space="preserve">Приказ </w:t>
      </w:r>
      <w:r w:rsidR="004D369D" w:rsidRPr="004D369D">
        <w:rPr>
          <w:rFonts w:ascii="Myriad Pro" w:hAnsi="Myriad Pro"/>
          <w:sz w:val="26"/>
          <w:szCs w:val="26"/>
        </w:rPr>
        <w:t xml:space="preserve">Министерства энергетики Российской Федерации </w:t>
      </w:r>
      <w:r>
        <w:rPr>
          <w:rFonts w:ascii="Myriad Pro" w:hAnsi="Myriad Pro"/>
          <w:sz w:val="26"/>
          <w:szCs w:val="26"/>
        </w:rPr>
        <w:t>от 29.11.2016 №</w:t>
      </w:r>
      <w:r w:rsidRPr="00452BAD">
        <w:rPr>
          <w:rFonts w:ascii="Myriad Pro" w:hAnsi="Myriad Pro"/>
          <w:sz w:val="26"/>
          <w:szCs w:val="26"/>
        </w:rPr>
        <w:t xml:space="preserve"> 1256</w:t>
      </w:r>
      <w:r>
        <w:rPr>
          <w:rFonts w:ascii="Myriad Pro" w:hAnsi="Myriad Pro"/>
          <w:sz w:val="26"/>
          <w:szCs w:val="26"/>
        </w:rPr>
        <w:t xml:space="preserve"> «</w:t>
      </w:r>
      <w:r w:rsidRPr="00452BAD">
        <w:rPr>
          <w:rFonts w:ascii="Myriad Pro" w:hAnsi="Myriad Pro"/>
          <w:sz w:val="26"/>
          <w:szCs w:val="26"/>
        </w:rPr>
        <w:t xml:space="preserve">Об утверждении Методических указаний по расчету уровня надежности и качества поставляемых товаров и оказываемых услуг для организации по управлению единой национальной (общероссийской) </w:t>
      </w:r>
      <w:r w:rsidRPr="00452BAD">
        <w:rPr>
          <w:rFonts w:ascii="Myriad Pro" w:hAnsi="Myriad Pro"/>
          <w:sz w:val="26"/>
          <w:szCs w:val="26"/>
        </w:rPr>
        <w:lastRenderedPageBreak/>
        <w:t>электрической сетью и террит</w:t>
      </w:r>
      <w:r>
        <w:rPr>
          <w:rFonts w:ascii="Myriad Pro" w:hAnsi="Myriad Pro"/>
          <w:sz w:val="26"/>
          <w:szCs w:val="26"/>
        </w:rPr>
        <w:t>ориальных сетевых организаций» (далее – Методические указания № 1256);</w:t>
      </w:r>
    </w:p>
    <w:p w14:paraId="14189088" w14:textId="590E3E36" w:rsidR="00BD23C3" w:rsidRPr="0019046A" w:rsidRDefault="00BD23C3" w:rsidP="004D369D">
      <w:pPr>
        <w:pStyle w:val="a3"/>
        <w:numPr>
          <w:ilvl w:val="0"/>
          <w:numId w:val="3"/>
        </w:numPr>
        <w:spacing w:after="0" w:line="360" w:lineRule="auto"/>
        <w:jc w:val="both"/>
        <w:rPr>
          <w:rFonts w:ascii="Myriad Pro" w:hAnsi="Myriad Pro"/>
          <w:sz w:val="26"/>
          <w:szCs w:val="26"/>
        </w:rPr>
      </w:pPr>
      <w:r w:rsidRPr="00452BAD">
        <w:rPr>
          <w:rFonts w:ascii="Myriad Pro" w:hAnsi="Myriad Pro"/>
          <w:sz w:val="26"/>
          <w:szCs w:val="26"/>
        </w:rPr>
        <w:t xml:space="preserve">Приказ </w:t>
      </w:r>
      <w:r w:rsidR="004D369D" w:rsidRPr="004D369D">
        <w:rPr>
          <w:rFonts w:ascii="Myriad Pro" w:hAnsi="Myriad Pro"/>
          <w:sz w:val="26"/>
          <w:szCs w:val="26"/>
        </w:rPr>
        <w:t xml:space="preserve">Министерства энергетики Российской Федерации </w:t>
      </w:r>
      <w:r>
        <w:rPr>
          <w:rFonts w:ascii="Myriad Pro" w:hAnsi="Myriad Pro"/>
          <w:sz w:val="26"/>
          <w:szCs w:val="26"/>
        </w:rPr>
        <w:t>от 25.04.2018 №</w:t>
      </w:r>
      <w:r w:rsidRPr="00452BAD">
        <w:rPr>
          <w:rFonts w:ascii="Myriad Pro" w:hAnsi="Myriad Pro"/>
          <w:sz w:val="26"/>
          <w:szCs w:val="26"/>
        </w:rPr>
        <w:t xml:space="preserve"> 320</w:t>
      </w:r>
      <w:r w:rsidRPr="00452BAD">
        <w:t xml:space="preserve"> </w:t>
      </w:r>
      <w:r>
        <w:rPr>
          <w:rFonts w:ascii="Myriad Pro" w:hAnsi="Myriad Pro"/>
          <w:sz w:val="26"/>
          <w:szCs w:val="26"/>
        </w:rPr>
        <w:t>«</w:t>
      </w:r>
      <w:r w:rsidRPr="00452BAD">
        <w:rPr>
          <w:rFonts w:ascii="Myriad Pro" w:hAnsi="Myriad Pro"/>
          <w:sz w:val="26"/>
          <w:szCs w:val="26"/>
        </w:rPr>
        <w:t xml:space="preserve">Об утверждении форм раскрытия сетевой организацией информации об отчетах о реализации инвестиционной программы и об обосновывающих их материалах, указанной в абзацах втором - пятом, седьмом и девятом подпункта ж(1) пункта 11 стандартов раскрытия информации субъектами оптового и розничных рынков электрической энергии, утвержденных постановлением Правительства Российской Федерации от </w:t>
      </w:r>
      <w:r w:rsidR="0063188C">
        <w:rPr>
          <w:rFonts w:ascii="Myriad Pro" w:hAnsi="Myriad Pro"/>
          <w:sz w:val="26"/>
          <w:szCs w:val="26"/>
        </w:rPr>
        <w:t>21.01.2004</w:t>
      </w:r>
      <w:r w:rsidRPr="00452BAD">
        <w:rPr>
          <w:rFonts w:ascii="Myriad Pro" w:hAnsi="Myriad Pro"/>
          <w:sz w:val="26"/>
          <w:szCs w:val="26"/>
        </w:rPr>
        <w:t xml:space="preserve"> N 24, правил заполнения указанных форм и требований к форматам раскрытия сетевой организацией электронных документов, содержащих информацию об отчетах о реализации инвестиционной программы и </w:t>
      </w:r>
      <w:r>
        <w:rPr>
          <w:rFonts w:ascii="Myriad Pro" w:hAnsi="Myriad Pro"/>
          <w:sz w:val="26"/>
          <w:szCs w:val="26"/>
        </w:rPr>
        <w:t>об обосновывающих их материалах» (далее – Приказ № 320);</w:t>
      </w:r>
    </w:p>
    <w:p w14:paraId="0D6D7A8A" w14:textId="1A9363EC" w:rsidR="00BD23C3" w:rsidRPr="00700007" w:rsidRDefault="00F94FED" w:rsidP="00BD23C3">
      <w:pPr>
        <w:pStyle w:val="a3"/>
        <w:numPr>
          <w:ilvl w:val="0"/>
          <w:numId w:val="3"/>
        </w:numPr>
        <w:spacing w:after="0" w:line="360" w:lineRule="auto"/>
        <w:jc w:val="both"/>
        <w:rPr>
          <w:rFonts w:ascii="Myriad Pro" w:hAnsi="Myriad Pro"/>
          <w:sz w:val="26"/>
          <w:szCs w:val="26"/>
        </w:rPr>
      </w:pPr>
      <w:r>
        <w:rPr>
          <w:rFonts w:ascii="Myriad Pro" w:hAnsi="Myriad Pro"/>
          <w:sz w:val="26"/>
          <w:szCs w:val="26"/>
        </w:rPr>
        <w:t>н</w:t>
      </w:r>
      <w:r w:rsidR="00BD23C3" w:rsidRPr="00700007">
        <w:rPr>
          <w:rFonts w:ascii="Myriad Pro" w:hAnsi="Myriad Pro"/>
          <w:sz w:val="26"/>
          <w:szCs w:val="26"/>
        </w:rPr>
        <w:t>ормативно-правовые акты Российской Федерации, регулирующие отношения в сфере бухгалтерского учета;</w:t>
      </w:r>
    </w:p>
    <w:p w14:paraId="3C02BE66" w14:textId="77777777" w:rsidR="00BD23C3" w:rsidRPr="00700007" w:rsidRDefault="00BD23C3" w:rsidP="00BD23C3">
      <w:pPr>
        <w:pStyle w:val="a3"/>
        <w:numPr>
          <w:ilvl w:val="0"/>
          <w:numId w:val="3"/>
        </w:numPr>
        <w:spacing w:after="0" w:line="360" w:lineRule="auto"/>
        <w:jc w:val="both"/>
      </w:pPr>
      <w:r w:rsidRPr="00700007">
        <w:rPr>
          <w:rFonts w:ascii="Myriad Pro" w:hAnsi="Myriad Pro"/>
          <w:sz w:val="26"/>
          <w:szCs w:val="26"/>
        </w:rPr>
        <w:t>иные нормативно-правовые акты Российской Федерации, необходимые для анализа.</w:t>
      </w:r>
    </w:p>
    <w:p w14:paraId="3D41840B" w14:textId="1573770F" w:rsidR="009A4C46" w:rsidRDefault="009A4C46">
      <w:r>
        <w:br w:type="page"/>
      </w:r>
    </w:p>
    <w:p w14:paraId="5F7C639F" w14:textId="77777777" w:rsidR="009A4C46" w:rsidRPr="00E60E99" w:rsidRDefault="009A4C46" w:rsidP="00E60E99">
      <w:pPr>
        <w:pStyle w:val="3"/>
        <w:numPr>
          <w:ilvl w:val="0"/>
          <w:numId w:val="1"/>
        </w:numPr>
        <w:spacing w:line="360" w:lineRule="auto"/>
        <w:jc w:val="both"/>
        <w:rPr>
          <w:b/>
          <w:color w:val="4F6228" w:themeColor="accent3" w:themeShade="80"/>
          <w:sz w:val="28"/>
          <w:szCs w:val="28"/>
        </w:rPr>
      </w:pPr>
      <w:bookmarkStart w:id="16" w:name="_Toc40554843"/>
      <w:bookmarkStart w:id="17" w:name="_Toc40733178"/>
      <w:bookmarkStart w:id="18" w:name="_Hlk40706198"/>
      <w:r w:rsidRPr="00E60E99">
        <w:rPr>
          <w:rFonts w:ascii="Myriad Pro" w:hAnsi="Myriad Pro"/>
          <w:b/>
          <w:color w:val="4F6228" w:themeColor="accent3" w:themeShade="80"/>
          <w:sz w:val="28"/>
          <w:szCs w:val="28"/>
        </w:rPr>
        <w:lastRenderedPageBreak/>
        <w:t>Краткая характеристика параметров регулирования АО «Тываэнерго» при принятии Службой по тарифам Республики Тыва тарифно-балансового решений на 2019 год</w:t>
      </w:r>
      <w:bookmarkEnd w:id="16"/>
      <w:bookmarkEnd w:id="17"/>
    </w:p>
    <w:p w14:paraId="4206C4AC" w14:textId="77777777" w:rsidR="009A4C46" w:rsidRPr="00E60E99" w:rsidRDefault="009A4C46" w:rsidP="00F94FED">
      <w:pPr>
        <w:spacing w:after="0" w:line="360" w:lineRule="auto"/>
        <w:ind w:firstLine="567"/>
        <w:contextualSpacing/>
        <w:jc w:val="both"/>
        <w:rPr>
          <w:rFonts w:eastAsia="Calibri"/>
          <w:sz w:val="26"/>
          <w:szCs w:val="26"/>
          <w:lang w:eastAsia="ru-RU"/>
        </w:rPr>
      </w:pPr>
      <w:r w:rsidRPr="00E60E99">
        <w:rPr>
          <w:rFonts w:eastAsia="Calibri"/>
          <w:sz w:val="26"/>
          <w:szCs w:val="26"/>
          <w:lang w:eastAsia="ru-RU"/>
        </w:rPr>
        <w:t>Акционерное общество «Тываэнерго» (далее – АО «Тываэнерго», Общество).</w:t>
      </w:r>
    </w:p>
    <w:p w14:paraId="18B3C245" w14:textId="77777777" w:rsidR="009A4C46" w:rsidRPr="00E60E99" w:rsidRDefault="009A4C46" w:rsidP="00F94FED">
      <w:pPr>
        <w:spacing w:after="0" w:line="360" w:lineRule="auto"/>
        <w:ind w:firstLine="567"/>
        <w:contextualSpacing/>
        <w:jc w:val="both"/>
        <w:rPr>
          <w:rFonts w:eastAsia="Calibri"/>
          <w:sz w:val="26"/>
          <w:szCs w:val="26"/>
          <w:lang w:eastAsia="ru-RU"/>
        </w:rPr>
      </w:pPr>
      <w:r w:rsidRPr="00E60E99">
        <w:rPr>
          <w:rFonts w:eastAsia="Calibri"/>
          <w:sz w:val="26"/>
          <w:szCs w:val="26"/>
          <w:lang w:eastAsia="ru-RU"/>
        </w:rPr>
        <w:t>Место нахождения: 667001, Российская Федерация, Республика Тыва, г. Кызыл, ул. Рабочая, д. 4.</w:t>
      </w:r>
    </w:p>
    <w:p w14:paraId="433084FE" w14:textId="3B705184" w:rsidR="009A4C46" w:rsidRPr="00E60E99" w:rsidRDefault="009A4C46" w:rsidP="00F94FED">
      <w:pPr>
        <w:spacing w:after="0" w:line="360" w:lineRule="auto"/>
        <w:ind w:firstLine="567"/>
        <w:contextualSpacing/>
        <w:jc w:val="both"/>
        <w:rPr>
          <w:rFonts w:eastAsia="Calibri"/>
          <w:sz w:val="26"/>
          <w:szCs w:val="26"/>
          <w:lang w:eastAsia="ru-RU"/>
        </w:rPr>
      </w:pPr>
      <w:r w:rsidRPr="00E60E99">
        <w:rPr>
          <w:rFonts w:eastAsia="Calibri"/>
          <w:sz w:val="26"/>
          <w:szCs w:val="26"/>
          <w:lang w:eastAsia="ru-RU"/>
        </w:rPr>
        <w:t xml:space="preserve">Управляющий директор- первый заместитель генерального директора </w:t>
      </w:r>
      <w:r w:rsidR="000D0F02">
        <w:rPr>
          <w:sz w:val="26"/>
          <w:szCs w:val="26"/>
        </w:rPr>
        <w:t>Федоров Николай Анатольевич</w:t>
      </w:r>
      <w:r w:rsidRPr="00E60E99">
        <w:rPr>
          <w:rFonts w:eastAsia="Calibri"/>
          <w:sz w:val="26"/>
          <w:szCs w:val="26"/>
          <w:lang w:eastAsia="ru-RU"/>
        </w:rPr>
        <w:t>.</w:t>
      </w:r>
    </w:p>
    <w:p w14:paraId="376AD965" w14:textId="77777777" w:rsidR="009A4C46" w:rsidRPr="00E60E99" w:rsidRDefault="009A4C46" w:rsidP="00F94FED">
      <w:pPr>
        <w:spacing w:after="0" w:line="360" w:lineRule="auto"/>
        <w:ind w:firstLine="567"/>
        <w:contextualSpacing/>
        <w:jc w:val="both"/>
        <w:rPr>
          <w:rFonts w:eastAsia="Calibri"/>
          <w:sz w:val="26"/>
          <w:szCs w:val="26"/>
          <w:lang w:eastAsia="ru-RU"/>
        </w:rPr>
      </w:pPr>
      <w:r w:rsidRPr="00E60E99">
        <w:rPr>
          <w:rFonts w:eastAsia="Calibri"/>
          <w:sz w:val="26"/>
          <w:szCs w:val="26"/>
          <w:lang w:eastAsia="ru-RU"/>
        </w:rPr>
        <w:t>Общество оказывает услуги по передаче электрической энергии на территории Республика Тыва. АО «Тываэнерго» единственная территориальная сетевая организация в Республике Тыва.</w:t>
      </w:r>
    </w:p>
    <w:p w14:paraId="1922B85B" w14:textId="3DBF2908" w:rsidR="009A4C46" w:rsidRPr="00E60E99" w:rsidRDefault="009A4C46" w:rsidP="00F94FED">
      <w:pPr>
        <w:tabs>
          <w:tab w:val="left" w:pos="284"/>
          <w:tab w:val="left" w:pos="993"/>
        </w:tabs>
        <w:spacing w:after="0" w:line="360" w:lineRule="auto"/>
        <w:ind w:firstLine="567"/>
        <w:jc w:val="both"/>
        <w:rPr>
          <w:rFonts w:eastAsia="Times New Roman"/>
          <w:sz w:val="26"/>
          <w:szCs w:val="26"/>
          <w:lang w:eastAsia="ru-RU"/>
        </w:rPr>
      </w:pPr>
      <w:r w:rsidRPr="00E60E99">
        <w:rPr>
          <w:rFonts w:eastAsia="Times New Roman"/>
          <w:sz w:val="26"/>
          <w:szCs w:val="26"/>
          <w:lang w:eastAsia="ru-RU"/>
        </w:rPr>
        <w:t>В соответствии с приказом ФСТ России от 12.10.2012 № 669-э</w:t>
      </w:r>
      <w:r w:rsidR="0063188C" w:rsidRPr="00E60E99">
        <w:rPr>
          <w:rFonts w:eastAsia="Times New Roman"/>
          <w:sz w:val="26"/>
          <w:szCs w:val="26"/>
          <w:lang w:eastAsia="ru-RU"/>
        </w:rPr>
        <w:br/>
      </w:r>
      <w:r w:rsidRPr="00E60E99">
        <w:rPr>
          <w:rFonts w:eastAsia="Times New Roman"/>
          <w:sz w:val="26"/>
          <w:szCs w:val="26"/>
          <w:lang w:eastAsia="ru-RU"/>
        </w:rPr>
        <w:t>«О согласовании (об отказе в согласовании) Федеральной службой по тарифам долгосрочных параметров регулирования деятельности территориальных сетевых организаций с применением метода долгосрочной индексации необходимой валовой выручки» согласованы долгосрочные параметры регулирования деятельности территориальных сетевых организаций с применением метода долгосрочной индексации необходимой валовой выручки для АО «Тываэнерго» в размере:</w:t>
      </w:r>
    </w:p>
    <w:tbl>
      <w:tblPr>
        <w:tblStyle w:val="19"/>
        <w:tblW w:w="9351" w:type="dxa"/>
        <w:tblLayout w:type="fixed"/>
        <w:tblLook w:val="04A0" w:firstRow="1" w:lastRow="0" w:firstColumn="1" w:lastColumn="0" w:noHBand="0" w:noVBand="1"/>
      </w:tblPr>
      <w:tblGrid>
        <w:gridCol w:w="971"/>
        <w:gridCol w:w="588"/>
        <w:gridCol w:w="1060"/>
        <w:gridCol w:w="1175"/>
        <w:gridCol w:w="1249"/>
        <w:gridCol w:w="1302"/>
        <w:gridCol w:w="1104"/>
        <w:gridCol w:w="1023"/>
        <w:gridCol w:w="879"/>
      </w:tblGrid>
      <w:tr w:rsidR="0063188C" w:rsidRPr="0063188C" w14:paraId="07BEB93A" w14:textId="77777777" w:rsidTr="00E60E99">
        <w:trPr>
          <w:tblHeader/>
        </w:trPr>
        <w:tc>
          <w:tcPr>
            <w:tcW w:w="97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6E97D65" w14:textId="77777777" w:rsidR="009A4C46" w:rsidRPr="00E60E99" w:rsidRDefault="009A4C46" w:rsidP="009A4C46">
            <w:pPr>
              <w:jc w:val="center"/>
              <w:rPr>
                <w:rFonts w:eastAsia="Times New Roman"/>
                <w:b/>
                <w:color w:val="FFFFFF" w:themeColor="background1"/>
                <w:sz w:val="16"/>
                <w:szCs w:val="16"/>
                <w:lang w:eastAsia="ru-RU"/>
              </w:rPr>
            </w:pPr>
            <w:r w:rsidRPr="00E60E99">
              <w:rPr>
                <w:rFonts w:eastAsia="Times New Roman"/>
                <w:b/>
                <w:color w:val="FFFFFF" w:themeColor="background1"/>
                <w:sz w:val="16"/>
                <w:szCs w:val="16"/>
                <w:lang w:eastAsia="ru-RU"/>
              </w:rPr>
              <w:t>Наименование сетевой организации в субъекте Российской Федерации</w:t>
            </w:r>
          </w:p>
        </w:tc>
        <w:tc>
          <w:tcPr>
            <w:tcW w:w="58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67C4F20" w14:textId="77777777" w:rsidR="009A4C46" w:rsidRPr="00E60E99" w:rsidRDefault="009A4C46" w:rsidP="009A4C46">
            <w:pPr>
              <w:jc w:val="center"/>
              <w:rPr>
                <w:rFonts w:eastAsia="Times New Roman"/>
                <w:b/>
                <w:color w:val="FFFFFF" w:themeColor="background1"/>
                <w:sz w:val="16"/>
                <w:szCs w:val="16"/>
                <w:lang w:eastAsia="ru-RU"/>
              </w:rPr>
            </w:pPr>
            <w:r w:rsidRPr="00E60E99">
              <w:rPr>
                <w:rFonts w:eastAsia="Times New Roman"/>
                <w:b/>
                <w:color w:val="FFFFFF" w:themeColor="background1"/>
                <w:sz w:val="16"/>
                <w:szCs w:val="16"/>
                <w:lang w:eastAsia="ru-RU"/>
              </w:rPr>
              <w:t>Год</w:t>
            </w:r>
          </w:p>
        </w:tc>
        <w:tc>
          <w:tcPr>
            <w:tcW w:w="1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9F46AC0" w14:textId="77777777" w:rsidR="009A4C46" w:rsidRPr="00E60E99" w:rsidRDefault="009A4C46" w:rsidP="009A4C46">
            <w:pPr>
              <w:jc w:val="center"/>
              <w:rPr>
                <w:rFonts w:eastAsia="Times New Roman"/>
                <w:b/>
                <w:color w:val="FFFFFF" w:themeColor="background1"/>
                <w:sz w:val="16"/>
                <w:szCs w:val="16"/>
                <w:lang w:eastAsia="ru-RU"/>
              </w:rPr>
            </w:pPr>
            <w:r w:rsidRPr="00E60E99">
              <w:rPr>
                <w:rFonts w:eastAsia="Times New Roman"/>
                <w:b/>
                <w:color w:val="FFFFFF" w:themeColor="background1"/>
                <w:sz w:val="16"/>
                <w:szCs w:val="16"/>
                <w:lang w:eastAsia="ru-RU"/>
              </w:rPr>
              <w:t>Базовый уровень подконтрольных расходов</w:t>
            </w:r>
          </w:p>
        </w:tc>
        <w:tc>
          <w:tcPr>
            <w:tcW w:w="11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0AFFF59" w14:textId="77777777" w:rsidR="009A4C46" w:rsidRPr="00E60E99" w:rsidRDefault="009A4C46" w:rsidP="009A4C46">
            <w:pPr>
              <w:jc w:val="center"/>
              <w:rPr>
                <w:rFonts w:eastAsia="Times New Roman"/>
                <w:b/>
                <w:color w:val="FFFFFF" w:themeColor="background1"/>
                <w:sz w:val="16"/>
                <w:szCs w:val="16"/>
                <w:lang w:eastAsia="ru-RU"/>
              </w:rPr>
            </w:pPr>
            <w:r w:rsidRPr="00E60E99">
              <w:rPr>
                <w:rFonts w:eastAsia="Times New Roman"/>
                <w:b/>
                <w:color w:val="FFFFFF" w:themeColor="background1"/>
                <w:sz w:val="16"/>
                <w:szCs w:val="16"/>
                <w:lang w:eastAsia="ru-RU"/>
              </w:rPr>
              <w:t>Индекс эффективности подконтрольных расходов</w:t>
            </w:r>
          </w:p>
        </w:tc>
        <w:tc>
          <w:tcPr>
            <w:tcW w:w="12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AE3CAA2" w14:textId="77777777" w:rsidR="009A4C46" w:rsidRPr="00E60E99" w:rsidRDefault="009A4C46" w:rsidP="009A4C46">
            <w:pPr>
              <w:jc w:val="center"/>
              <w:rPr>
                <w:rFonts w:eastAsia="Times New Roman"/>
                <w:b/>
                <w:color w:val="FFFFFF" w:themeColor="background1"/>
                <w:sz w:val="16"/>
                <w:szCs w:val="16"/>
                <w:lang w:eastAsia="ru-RU"/>
              </w:rPr>
            </w:pPr>
            <w:r w:rsidRPr="00E60E99">
              <w:rPr>
                <w:rFonts w:eastAsia="Times New Roman"/>
                <w:b/>
                <w:color w:val="FFFFFF" w:themeColor="background1"/>
                <w:sz w:val="16"/>
                <w:szCs w:val="16"/>
                <w:lang w:eastAsia="ru-RU"/>
              </w:rPr>
              <w:t>Коэффициент эластичности подконтрольных расходов по количеству активов</w:t>
            </w:r>
          </w:p>
        </w:tc>
        <w:tc>
          <w:tcPr>
            <w:tcW w:w="130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FE15F67" w14:textId="77777777" w:rsidR="009A4C46" w:rsidRPr="00E60E99" w:rsidRDefault="009A4C46" w:rsidP="009A4C46">
            <w:pPr>
              <w:jc w:val="center"/>
              <w:rPr>
                <w:rFonts w:eastAsia="Times New Roman"/>
                <w:b/>
                <w:color w:val="FFFFFF" w:themeColor="background1"/>
                <w:sz w:val="16"/>
                <w:szCs w:val="16"/>
                <w:lang w:eastAsia="ru-RU"/>
              </w:rPr>
            </w:pPr>
            <w:r w:rsidRPr="00E60E99">
              <w:rPr>
                <w:rFonts w:eastAsia="Times New Roman"/>
                <w:b/>
                <w:color w:val="FFFFFF" w:themeColor="background1"/>
                <w:sz w:val="16"/>
                <w:szCs w:val="16"/>
                <w:lang w:eastAsia="ru-RU"/>
              </w:rPr>
              <w:t>Максимальная возможная корректировка необходимой валовой выручки, осуществляемая с учетом достижения установленного уровня надежности и качества услуг</w:t>
            </w:r>
          </w:p>
        </w:tc>
        <w:tc>
          <w:tcPr>
            <w:tcW w:w="110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415AEE2" w14:textId="77777777" w:rsidR="009A4C46" w:rsidRPr="00E60E99" w:rsidRDefault="009A4C46" w:rsidP="009A4C46">
            <w:pPr>
              <w:jc w:val="center"/>
              <w:rPr>
                <w:rFonts w:eastAsia="Times New Roman"/>
                <w:b/>
                <w:color w:val="FFFFFF" w:themeColor="background1"/>
                <w:sz w:val="16"/>
                <w:szCs w:val="16"/>
                <w:lang w:eastAsia="ru-RU"/>
              </w:rPr>
            </w:pPr>
            <w:r w:rsidRPr="00E60E99">
              <w:rPr>
                <w:rFonts w:eastAsia="Times New Roman"/>
                <w:b/>
                <w:color w:val="FFFFFF" w:themeColor="background1"/>
                <w:sz w:val="16"/>
                <w:szCs w:val="16"/>
                <w:lang w:eastAsia="ru-RU"/>
              </w:rPr>
              <w:t>Величина технологического расхода (потерь) электрической энергии</w:t>
            </w:r>
          </w:p>
        </w:tc>
        <w:tc>
          <w:tcPr>
            <w:tcW w:w="102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EE30457" w14:textId="77777777" w:rsidR="009A4C46" w:rsidRPr="00E60E99" w:rsidRDefault="009A4C46" w:rsidP="009A4C46">
            <w:pPr>
              <w:jc w:val="center"/>
              <w:rPr>
                <w:rFonts w:eastAsia="Times New Roman"/>
                <w:b/>
                <w:color w:val="FFFFFF" w:themeColor="background1"/>
                <w:sz w:val="16"/>
                <w:szCs w:val="16"/>
                <w:lang w:eastAsia="ru-RU"/>
              </w:rPr>
            </w:pPr>
            <w:r w:rsidRPr="00E60E99">
              <w:rPr>
                <w:rFonts w:eastAsia="Times New Roman"/>
                <w:b/>
                <w:color w:val="FFFFFF" w:themeColor="background1"/>
                <w:sz w:val="16"/>
                <w:szCs w:val="16"/>
                <w:lang w:eastAsia="ru-RU"/>
              </w:rPr>
              <w:t>Уровень надежности реализуемых товаров (услуг)</w:t>
            </w:r>
          </w:p>
        </w:tc>
        <w:tc>
          <w:tcPr>
            <w:tcW w:w="879"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62A81B4" w14:textId="77777777" w:rsidR="009A4C46" w:rsidRPr="00E60E99" w:rsidRDefault="009A4C46" w:rsidP="009A4C46">
            <w:pPr>
              <w:jc w:val="center"/>
              <w:rPr>
                <w:rFonts w:eastAsia="Times New Roman"/>
                <w:b/>
                <w:color w:val="FFFFFF" w:themeColor="background1"/>
                <w:sz w:val="16"/>
                <w:szCs w:val="16"/>
                <w:lang w:eastAsia="ru-RU"/>
              </w:rPr>
            </w:pPr>
            <w:r w:rsidRPr="00E60E99">
              <w:rPr>
                <w:rFonts w:eastAsia="Times New Roman"/>
                <w:b/>
                <w:color w:val="FFFFFF" w:themeColor="background1"/>
                <w:sz w:val="16"/>
                <w:szCs w:val="16"/>
                <w:lang w:eastAsia="ru-RU"/>
              </w:rPr>
              <w:t>Уровень качества реализуемых товаров (услуг)</w:t>
            </w:r>
          </w:p>
        </w:tc>
      </w:tr>
      <w:tr w:rsidR="0063188C" w:rsidRPr="0063188C" w14:paraId="487CFB83" w14:textId="77777777" w:rsidTr="00E60E99">
        <w:tc>
          <w:tcPr>
            <w:tcW w:w="97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AD48996" w14:textId="77777777" w:rsidR="009A4C46" w:rsidRPr="00E60E99" w:rsidRDefault="009A4C46" w:rsidP="009A4C46">
            <w:pPr>
              <w:tabs>
                <w:tab w:val="left" w:pos="284"/>
                <w:tab w:val="left" w:pos="993"/>
              </w:tabs>
              <w:jc w:val="center"/>
              <w:rPr>
                <w:rFonts w:eastAsia="Times New Roman"/>
                <w:b/>
                <w:color w:val="FFFFFF" w:themeColor="background1"/>
                <w:sz w:val="16"/>
                <w:szCs w:val="16"/>
                <w:lang w:eastAsia="ru-RU"/>
              </w:rPr>
            </w:pPr>
          </w:p>
        </w:tc>
        <w:tc>
          <w:tcPr>
            <w:tcW w:w="58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6AF1D15" w14:textId="77777777" w:rsidR="009A4C46" w:rsidRPr="00E60E99" w:rsidRDefault="009A4C46" w:rsidP="009A4C46">
            <w:pPr>
              <w:tabs>
                <w:tab w:val="left" w:pos="284"/>
                <w:tab w:val="left" w:pos="993"/>
              </w:tabs>
              <w:jc w:val="center"/>
              <w:rPr>
                <w:rFonts w:eastAsia="Times New Roman"/>
                <w:b/>
                <w:color w:val="FFFFFF" w:themeColor="background1"/>
                <w:sz w:val="16"/>
                <w:szCs w:val="16"/>
                <w:lang w:eastAsia="ru-RU"/>
              </w:rPr>
            </w:pPr>
          </w:p>
        </w:tc>
        <w:tc>
          <w:tcPr>
            <w:tcW w:w="1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6FB5D17" w14:textId="77777777" w:rsidR="009A4C46" w:rsidRPr="00E60E99" w:rsidRDefault="009A4C46" w:rsidP="009A4C46">
            <w:pPr>
              <w:tabs>
                <w:tab w:val="left" w:pos="284"/>
                <w:tab w:val="left" w:pos="993"/>
              </w:tabs>
              <w:jc w:val="center"/>
              <w:rPr>
                <w:rFonts w:eastAsia="Times New Roman"/>
                <w:b/>
                <w:color w:val="FFFFFF" w:themeColor="background1"/>
                <w:sz w:val="16"/>
                <w:szCs w:val="16"/>
                <w:lang w:eastAsia="ru-RU"/>
              </w:rPr>
            </w:pPr>
            <w:proofErr w:type="spellStart"/>
            <w:r w:rsidRPr="00E60E99">
              <w:rPr>
                <w:rFonts w:eastAsia="Times New Roman"/>
                <w:b/>
                <w:color w:val="FFFFFF" w:themeColor="background1"/>
                <w:sz w:val="16"/>
                <w:szCs w:val="16"/>
                <w:lang w:eastAsia="ru-RU"/>
              </w:rPr>
              <w:t>млн.руб</w:t>
            </w:r>
            <w:proofErr w:type="spellEnd"/>
            <w:r w:rsidRPr="00E60E99">
              <w:rPr>
                <w:rFonts w:eastAsia="Times New Roman"/>
                <w:b/>
                <w:color w:val="FFFFFF" w:themeColor="background1"/>
                <w:sz w:val="16"/>
                <w:szCs w:val="16"/>
                <w:lang w:eastAsia="ru-RU"/>
              </w:rPr>
              <w:t>.</w:t>
            </w:r>
          </w:p>
        </w:tc>
        <w:tc>
          <w:tcPr>
            <w:tcW w:w="11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42EE024" w14:textId="77777777" w:rsidR="009A4C46" w:rsidRPr="00E60E99" w:rsidRDefault="009A4C46" w:rsidP="009A4C46">
            <w:pPr>
              <w:tabs>
                <w:tab w:val="left" w:pos="284"/>
                <w:tab w:val="left" w:pos="993"/>
              </w:tabs>
              <w:jc w:val="center"/>
              <w:rPr>
                <w:rFonts w:eastAsia="Times New Roman"/>
                <w:b/>
                <w:color w:val="FFFFFF" w:themeColor="background1"/>
                <w:sz w:val="16"/>
                <w:szCs w:val="16"/>
                <w:lang w:eastAsia="ru-RU"/>
              </w:rPr>
            </w:pPr>
            <w:r w:rsidRPr="00E60E99">
              <w:rPr>
                <w:rFonts w:eastAsia="Times New Roman"/>
                <w:b/>
                <w:color w:val="FFFFFF" w:themeColor="background1"/>
                <w:sz w:val="16"/>
                <w:szCs w:val="16"/>
                <w:lang w:eastAsia="ru-RU"/>
              </w:rPr>
              <w:t>%</w:t>
            </w:r>
          </w:p>
        </w:tc>
        <w:tc>
          <w:tcPr>
            <w:tcW w:w="12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559CC66" w14:textId="77777777" w:rsidR="009A4C46" w:rsidRPr="00E60E99" w:rsidRDefault="009A4C46" w:rsidP="009A4C46">
            <w:pPr>
              <w:tabs>
                <w:tab w:val="left" w:pos="284"/>
                <w:tab w:val="left" w:pos="993"/>
              </w:tabs>
              <w:jc w:val="center"/>
              <w:rPr>
                <w:rFonts w:eastAsia="Times New Roman"/>
                <w:b/>
                <w:color w:val="FFFFFF" w:themeColor="background1"/>
                <w:sz w:val="16"/>
                <w:szCs w:val="16"/>
                <w:lang w:eastAsia="ru-RU"/>
              </w:rPr>
            </w:pPr>
            <w:r w:rsidRPr="00E60E99">
              <w:rPr>
                <w:rFonts w:eastAsia="Times New Roman"/>
                <w:b/>
                <w:color w:val="FFFFFF" w:themeColor="background1"/>
                <w:sz w:val="16"/>
                <w:szCs w:val="16"/>
                <w:lang w:eastAsia="ru-RU"/>
              </w:rPr>
              <w:t>%</w:t>
            </w:r>
          </w:p>
        </w:tc>
        <w:tc>
          <w:tcPr>
            <w:tcW w:w="130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10340B2" w14:textId="77777777" w:rsidR="009A4C46" w:rsidRPr="00E60E99" w:rsidRDefault="009A4C46" w:rsidP="009A4C46">
            <w:pPr>
              <w:tabs>
                <w:tab w:val="left" w:pos="284"/>
                <w:tab w:val="left" w:pos="993"/>
              </w:tabs>
              <w:jc w:val="center"/>
              <w:rPr>
                <w:rFonts w:eastAsia="Times New Roman"/>
                <w:b/>
                <w:color w:val="FFFFFF" w:themeColor="background1"/>
                <w:sz w:val="16"/>
                <w:szCs w:val="16"/>
                <w:lang w:eastAsia="ru-RU"/>
              </w:rPr>
            </w:pPr>
            <w:r w:rsidRPr="00E60E99">
              <w:rPr>
                <w:rFonts w:eastAsia="Times New Roman"/>
                <w:b/>
                <w:color w:val="FFFFFF" w:themeColor="background1"/>
                <w:sz w:val="16"/>
                <w:szCs w:val="16"/>
                <w:lang w:eastAsia="ru-RU"/>
              </w:rPr>
              <w:t>%</w:t>
            </w:r>
          </w:p>
        </w:tc>
        <w:tc>
          <w:tcPr>
            <w:tcW w:w="110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4D5A5C3" w14:textId="77777777" w:rsidR="009A4C46" w:rsidRPr="00E60E99" w:rsidRDefault="009A4C46" w:rsidP="009A4C46">
            <w:pPr>
              <w:tabs>
                <w:tab w:val="left" w:pos="284"/>
                <w:tab w:val="left" w:pos="993"/>
              </w:tabs>
              <w:jc w:val="center"/>
              <w:rPr>
                <w:rFonts w:eastAsia="Times New Roman"/>
                <w:b/>
                <w:color w:val="FFFFFF" w:themeColor="background1"/>
                <w:sz w:val="16"/>
                <w:szCs w:val="16"/>
                <w:lang w:eastAsia="ru-RU"/>
              </w:rPr>
            </w:pPr>
            <w:r w:rsidRPr="00E60E99">
              <w:rPr>
                <w:rFonts w:eastAsia="Times New Roman"/>
                <w:b/>
                <w:color w:val="FFFFFF" w:themeColor="background1"/>
                <w:sz w:val="16"/>
                <w:szCs w:val="16"/>
                <w:lang w:eastAsia="ru-RU"/>
              </w:rPr>
              <w:t xml:space="preserve">млн. </w:t>
            </w:r>
            <w:proofErr w:type="spellStart"/>
            <w:r w:rsidRPr="00E60E99">
              <w:rPr>
                <w:rFonts w:eastAsia="Times New Roman"/>
                <w:b/>
                <w:color w:val="FFFFFF" w:themeColor="background1"/>
                <w:sz w:val="16"/>
                <w:szCs w:val="16"/>
                <w:lang w:eastAsia="ru-RU"/>
              </w:rPr>
              <w:t>кВтч</w:t>
            </w:r>
            <w:proofErr w:type="spellEnd"/>
          </w:p>
        </w:tc>
        <w:tc>
          <w:tcPr>
            <w:tcW w:w="102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344ED0C" w14:textId="77777777" w:rsidR="009A4C46" w:rsidRPr="00E60E99" w:rsidRDefault="009A4C46" w:rsidP="009A4C46">
            <w:pPr>
              <w:tabs>
                <w:tab w:val="left" w:pos="284"/>
                <w:tab w:val="left" w:pos="993"/>
              </w:tabs>
              <w:jc w:val="center"/>
              <w:rPr>
                <w:rFonts w:eastAsia="Times New Roman"/>
                <w:b/>
                <w:color w:val="FFFFFF" w:themeColor="background1"/>
                <w:sz w:val="16"/>
                <w:szCs w:val="16"/>
                <w:lang w:eastAsia="ru-RU"/>
              </w:rPr>
            </w:pPr>
          </w:p>
        </w:tc>
        <w:tc>
          <w:tcPr>
            <w:tcW w:w="87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646E2F0" w14:textId="77777777" w:rsidR="009A4C46" w:rsidRPr="00E60E99" w:rsidRDefault="009A4C46" w:rsidP="009A4C46">
            <w:pPr>
              <w:tabs>
                <w:tab w:val="left" w:pos="284"/>
                <w:tab w:val="left" w:pos="993"/>
              </w:tabs>
              <w:jc w:val="center"/>
              <w:rPr>
                <w:rFonts w:eastAsia="Times New Roman"/>
                <w:b/>
                <w:color w:val="FFFFFF" w:themeColor="background1"/>
                <w:sz w:val="16"/>
                <w:szCs w:val="16"/>
                <w:lang w:eastAsia="ru-RU"/>
              </w:rPr>
            </w:pPr>
          </w:p>
        </w:tc>
      </w:tr>
      <w:tr w:rsidR="009A4C46" w:rsidRPr="009A4C46" w14:paraId="334F96FC" w14:textId="77777777" w:rsidTr="00E60E99">
        <w:tc>
          <w:tcPr>
            <w:tcW w:w="971" w:type="dxa"/>
            <w:vMerge w:val="restart"/>
            <w:tcBorders>
              <w:top w:val="single" w:sz="4" w:space="0" w:color="FFFFFF" w:themeColor="background1"/>
            </w:tcBorders>
            <w:textDirection w:val="btLr"/>
            <w:vAlign w:val="center"/>
          </w:tcPr>
          <w:p w14:paraId="7DC9A0C2" w14:textId="77777777" w:rsidR="009A4C46" w:rsidRPr="009A4C46" w:rsidRDefault="009A4C46" w:rsidP="009A4C46">
            <w:pPr>
              <w:tabs>
                <w:tab w:val="left" w:pos="284"/>
                <w:tab w:val="left" w:pos="993"/>
              </w:tabs>
              <w:ind w:left="113" w:right="113"/>
              <w:jc w:val="center"/>
              <w:rPr>
                <w:rFonts w:eastAsia="Times New Roman"/>
                <w:sz w:val="16"/>
                <w:szCs w:val="16"/>
                <w:lang w:eastAsia="ru-RU"/>
              </w:rPr>
            </w:pPr>
            <w:r w:rsidRPr="009A4C46">
              <w:rPr>
                <w:rFonts w:eastAsia="Times New Roman"/>
                <w:sz w:val="16"/>
                <w:szCs w:val="16"/>
                <w:lang w:eastAsia="ru-RU"/>
              </w:rPr>
              <w:t>АО «Тываэнерго»</w:t>
            </w:r>
          </w:p>
        </w:tc>
        <w:tc>
          <w:tcPr>
            <w:tcW w:w="588" w:type="dxa"/>
            <w:tcBorders>
              <w:top w:val="single" w:sz="4" w:space="0" w:color="FFFFFF" w:themeColor="background1"/>
            </w:tcBorders>
            <w:vAlign w:val="center"/>
          </w:tcPr>
          <w:p w14:paraId="3B294051" w14:textId="77777777" w:rsidR="009A4C46" w:rsidRPr="009A4C46" w:rsidRDefault="009A4C46" w:rsidP="009A4C46">
            <w:pPr>
              <w:tabs>
                <w:tab w:val="left" w:pos="284"/>
                <w:tab w:val="left" w:pos="993"/>
              </w:tabs>
              <w:jc w:val="center"/>
              <w:rPr>
                <w:rFonts w:eastAsia="Times New Roman"/>
                <w:sz w:val="16"/>
                <w:szCs w:val="16"/>
                <w:lang w:eastAsia="ru-RU"/>
              </w:rPr>
            </w:pPr>
            <w:r w:rsidRPr="009A4C46">
              <w:rPr>
                <w:rFonts w:eastAsia="Times New Roman"/>
                <w:sz w:val="16"/>
                <w:szCs w:val="16"/>
                <w:lang w:eastAsia="ru-RU"/>
              </w:rPr>
              <w:t>2012</w:t>
            </w:r>
          </w:p>
        </w:tc>
        <w:tc>
          <w:tcPr>
            <w:tcW w:w="1060" w:type="dxa"/>
            <w:tcBorders>
              <w:top w:val="single" w:sz="4" w:space="0" w:color="FFFFFF" w:themeColor="background1"/>
            </w:tcBorders>
            <w:vAlign w:val="center"/>
          </w:tcPr>
          <w:p w14:paraId="3895376C" w14:textId="77777777" w:rsidR="009A4C46" w:rsidRPr="009A4C46" w:rsidRDefault="009A4C46" w:rsidP="009A4C46">
            <w:pPr>
              <w:tabs>
                <w:tab w:val="left" w:pos="284"/>
                <w:tab w:val="left" w:pos="993"/>
              </w:tabs>
              <w:jc w:val="center"/>
              <w:rPr>
                <w:rFonts w:eastAsia="Times New Roman"/>
                <w:sz w:val="16"/>
                <w:szCs w:val="16"/>
                <w:lang w:eastAsia="ru-RU"/>
              </w:rPr>
            </w:pPr>
            <w:r w:rsidRPr="009A4C46">
              <w:rPr>
                <w:rFonts w:eastAsia="Times New Roman"/>
                <w:sz w:val="16"/>
                <w:szCs w:val="16"/>
                <w:lang w:eastAsia="ru-RU"/>
              </w:rPr>
              <w:t>460,40</w:t>
            </w:r>
          </w:p>
        </w:tc>
        <w:tc>
          <w:tcPr>
            <w:tcW w:w="1175" w:type="dxa"/>
            <w:tcBorders>
              <w:top w:val="single" w:sz="4" w:space="0" w:color="FFFFFF" w:themeColor="background1"/>
            </w:tcBorders>
            <w:vAlign w:val="center"/>
          </w:tcPr>
          <w:p w14:paraId="4F7BF576" w14:textId="77777777" w:rsidR="009A4C46" w:rsidRPr="009A4C46" w:rsidRDefault="009A4C46" w:rsidP="009A4C46">
            <w:pPr>
              <w:tabs>
                <w:tab w:val="left" w:pos="284"/>
                <w:tab w:val="left" w:pos="993"/>
              </w:tabs>
              <w:jc w:val="center"/>
              <w:rPr>
                <w:rFonts w:eastAsia="Times New Roman"/>
                <w:sz w:val="16"/>
                <w:szCs w:val="16"/>
                <w:lang w:eastAsia="ru-RU"/>
              </w:rPr>
            </w:pPr>
            <w:r w:rsidRPr="009A4C46">
              <w:rPr>
                <w:rFonts w:eastAsia="Times New Roman"/>
                <w:sz w:val="16"/>
                <w:szCs w:val="16"/>
                <w:lang w:eastAsia="ru-RU"/>
              </w:rPr>
              <w:t>1</w:t>
            </w:r>
          </w:p>
        </w:tc>
        <w:tc>
          <w:tcPr>
            <w:tcW w:w="1249" w:type="dxa"/>
            <w:tcBorders>
              <w:top w:val="single" w:sz="4" w:space="0" w:color="FFFFFF" w:themeColor="background1"/>
            </w:tcBorders>
            <w:vAlign w:val="center"/>
          </w:tcPr>
          <w:p w14:paraId="618497CA" w14:textId="77777777" w:rsidR="009A4C46" w:rsidRPr="009A4C46" w:rsidRDefault="009A4C46" w:rsidP="009A4C46">
            <w:pPr>
              <w:tabs>
                <w:tab w:val="left" w:pos="284"/>
                <w:tab w:val="left" w:pos="993"/>
              </w:tabs>
              <w:jc w:val="center"/>
              <w:rPr>
                <w:rFonts w:eastAsia="Times New Roman"/>
                <w:sz w:val="16"/>
                <w:szCs w:val="16"/>
                <w:lang w:eastAsia="ru-RU"/>
              </w:rPr>
            </w:pPr>
            <w:r w:rsidRPr="009A4C46">
              <w:rPr>
                <w:rFonts w:eastAsia="Times New Roman"/>
                <w:sz w:val="16"/>
                <w:szCs w:val="16"/>
                <w:lang w:eastAsia="ru-RU"/>
              </w:rPr>
              <w:t>75</w:t>
            </w:r>
          </w:p>
        </w:tc>
        <w:tc>
          <w:tcPr>
            <w:tcW w:w="1302" w:type="dxa"/>
            <w:tcBorders>
              <w:top w:val="single" w:sz="4" w:space="0" w:color="FFFFFF" w:themeColor="background1"/>
            </w:tcBorders>
            <w:vAlign w:val="center"/>
          </w:tcPr>
          <w:p w14:paraId="36C01E1D" w14:textId="77777777" w:rsidR="009A4C46" w:rsidRPr="009A4C46" w:rsidRDefault="009A4C46" w:rsidP="009A4C46">
            <w:pPr>
              <w:tabs>
                <w:tab w:val="left" w:pos="284"/>
                <w:tab w:val="left" w:pos="993"/>
              </w:tabs>
              <w:jc w:val="center"/>
              <w:rPr>
                <w:rFonts w:eastAsia="Times New Roman"/>
                <w:sz w:val="16"/>
                <w:szCs w:val="16"/>
                <w:lang w:eastAsia="ru-RU"/>
              </w:rPr>
            </w:pPr>
            <w:r w:rsidRPr="009A4C46">
              <w:rPr>
                <w:rFonts w:eastAsia="Times New Roman"/>
                <w:sz w:val="16"/>
                <w:szCs w:val="16"/>
                <w:lang w:eastAsia="ru-RU"/>
              </w:rPr>
              <w:t>1</w:t>
            </w:r>
          </w:p>
        </w:tc>
        <w:tc>
          <w:tcPr>
            <w:tcW w:w="1104" w:type="dxa"/>
            <w:tcBorders>
              <w:top w:val="single" w:sz="4" w:space="0" w:color="FFFFFF" w:themeColor="background1"/>
            </w:tcBorders>
            <w:vAlign w:val="center"/>
          </w:tcPr>
          <w:p w14:paraId="03501070" w14:textId="77777777" w:rsidR="009A4C46" w:rsidRPr="009A4C46" w:rsidRDefault="009A4C46" w:rsidP="009A4C46">
            <w:pPr>
              <w:tabs>
                <w:tab w:val="left" w:pos="284"/>
                <w:tab w:val="left" w:pos="993"/>
              </w:tabs>
              <w:jc w:val="center"/>
              <w:rPr>
                <w:rFonts w:eastAsia="Times New Roman"/>
                <w:sz w:val="16"/>
                <w:szCs w:val="16"/>
                <w:lang w:eastAsia="ru-RU"/>
              </w:rPr>
            </w:pPr>
            <w:r w:rsidRPr="009A4C46">
              <w:rPr>
                <w:rFonts w:eastAsia="Times New Roman"/>
                <w:sz w:val="16"/>
                <w:szCs w:val="16"/>
                <w:lang w:eastAsia="ru-RU"/>
              </w:rPr>
              <w:t>158,96</w:t>
            </w:r>
          </w:p>
        </w:tc>
        <w:tc>
          <w:tcPr>
            <w:tcW w:w="1023" w:type="dxa"/>
            <w:tcBorders>
              <w:top w:val="single" w:sz="4" w:space="0" w:color="FFFFFF" w:themeColor="background1"/>
            </w:tcBorders>
            <w:vAlign w:val="center"/>
          </w:tcPr>
          <w:p w14:paraId="31933A42" w14:textId="77777777" w:rsidR="009A4C46" w:rsidRPr="009A4C46" w:rsidRDefault="009A4C46" w:rsidP="009A4C46">
            <w:pPr>
              <w:tabs>
                <w:tab w:val="left" w:pos="284"/>
                <w:tab w:val="left" w:pos="993"/>
              </w:tabs>
              <w:jc w:val="center"/>
              <w:rPr>
                <w:rFonts w:eastAsia="Times New Roman"/>
                <w:sz w:val="16"/>
                <w:szCs w:val="16"/>
                <w:lang w:eastAsia="ru-RU"/>
              </w:rPr>
            </w:pPr>
            <w:r w:rsidRPr="009A4C46">
              <w:rPr>
                <w:rFonts w:eastAsia="Times New Roman"/>
                <w:sz w:val="16"/>
                <w:szCs w:val="16"/>
                <w:lang w:eastAsia="ru-RU"/>
              </w:rPr>
              <w:t>0,1119</w:t>
            </w:r>
          </w:p>
        </w:tc>
        <w:tc>
          <w:tcPr>
            <w:tcW w:w="879" w:type="dxa"/>
            <w:tcBorders>
              <w:top w:val="single" w:sz="4" w:space="0" w:color="FFFFFF" w:themeColor="background1"/>
            </w:tcBorders>
            <w:vAlign w:val="center"/>
          </w:tcPr>
          <w:p w14:paraId="782EB7D6" w14:textId="77777777" w:rsidR="009A4C46" w:rsidRPr="009A4C46" w:rsidRDefault="009A4C46" w:rsidP="009A4C46">
            <w:pPr>
              <w:tabs>
                <w:tab w:val="left" w:pos="284"/>
                <w:tab w:val="left" w:pos="993"/>
              </w:tabs>
              <w:jc w:val="center"/>
              <w:rPr>
                <w:rFonts w:eastAsia="Times New Roman"/>
                <w:sz w:val="16"/>
                <w:szCs w:val="16"/>
                <w:lang w:eastAsia="ru-RU"/>
              </w:rPr>
            </w:pPr>
            <w:r w:rsidRPr="009A4C46">
              <w:rPr>
                <w:rFonts w:eastAsia="Times New Roman"/>
                <w:sz w:val="16"/>
                <w:szCs w:val="16"/>
                <w:lang w:eastAsia="ru-RU"/>
              </w:rPr>
              <w:t>1,0102</w:t>
            </w:r>
          </w:p>
        </w:tc>
      </w:tr>
      <w:tr w:rsidR="009A4C46" w:rsidRPr="009A4C46" w14:paraId="3FDB43C0" w14:textId="77777777" w:rsidTr="00E60E99">
        <w:tc>
          <w:tcPr>
            <w:tcW w:w="971" w:type="dxa"/>
            <w:vMerge/>
          </w:tcPr>
          <w:p w14:paraId="0F602056" w14:textId="77777777" w:rsidR="009A4C46" w:rsidRPr="009A4C46" w:rsidRDefault="009A4C46" w:rsidP="009A4C46">
            <w:pPr>
              <w:tabs>
                <w:tab w:val="left" w:pos="284"/>
                <w:tab w:val="left" w:pos="993"/>
              </w:tabs>
              <w:jc w:val="both"/>
              <w:rPr>
                <w:rFonts w:eastAsia="Times New Roman"/>
                <w:sz w:val="16"/>
                <w:szCs w:val="16"/>
                <w:lang w:eastAsia="ru-RU"/>
              </w:rPr>
            </w:pPr>
          </w:p>
        </w:tc>
        <w:tc>
          <w:tcPr>
            <w:tcW w:w="588" w:type="dxa"/>
            <w:vAlign w:val="center"/>
          </w:tcPr>
          <w:p w14:paraId="75C52E19" w14:textId="77777777" w:rsidR="009A4C46" w:rsidRPr="009A4C46" w:rsidRDefault="009A4C46" w:rsidP="009A4C46">
            <w:pPr>
              <w:tabs>
                <w:tab w:val="left" w:pos="284"/>
                <w:tab w:val="left" w:pos="993"/>
              </w:tabs>
              <w:jc w:val="center"/>
              <w:rPr>
                <w:rFonts w:eastAsia="Times New Roman"/>
                <w:sz w:val="16"/>
                <w:szCs w:val="16"/>
                <w:lang w:eastAsia="ru-RU"/>
              </w:rPr>
            </w:pPr>
            <w:r w:rsidRPr="009A4C46">
              <w:rPr>
                <w:rFonts w:eastAsia="Times New Roman"/>
                <w:sz w:val="16"/>
                <w:szCs w:val="16"/>
                <w:lang w:eastAsia="ru-RU"/>
              </w:rPr>
              <w:t>2013</w:t>
            </w:r>
          </w:p>
        </w:tc>
        <w:tc>
          <w:tcPr>
            <w:tcW w:w="1060" w:type="dxa"/>
            <w:vAlign w:val="center"/>
          </w:tcPr>
          <w:p w14:paraId="28867164" w14:textId="77777777" w:rsidR="009A4C46" w:rsidRPr="009A4C46" w:rsidRDefault="009A4C46" w:rsidP="009A4C46">
            <w:pPr>
              <w:tabs>
                <w:tab w:val="left" w:pos="284"/>
                <w:tab w:val="left" w:pos="993"/>
              </w:tabs>
              <w:jc w:val="center"/>
              <w:rPr>
                <w:rFonts w:eastAsia="Times New Roman"/>
                <w:sz w:val="16"/>
                <w:szCs w:val="16"/>
                <w:lang w:eastAsia="ru-RU"/>
              </w:rPr>
            </w:pPr>
            <w:r w:rsidRPr="009A4C46">
              <w:rPr>
                <w:rFonts w:eastAsia="Times New Roman"/>
                <w:sz w:val="16"/>
                <w:szCs w:val="16"/>
                <w:lang w:eastAsia="ru-RU"/>
              </w:rPr>
              <w:t>484,06</w:t>
            </w:r>
          </w:p>
        </w:tc>
        <w:tc>
          <w:tcPr>
            <w:tcW w:w="1175" w:type="dxa"/>
            <w:vAlign w:val="center"/>
          </w:tcPr>
          <w:p w14:paraId="48B8C9FE" w14:textId="77777777" w:rsidR="009A4C46" w:rsidRPr="009A4C46" w:rsidRDefault="009A4C46" w:rsidP="009A4C46">
            <w:pPr>
              <w:tabs>
                <w:tab w:val="left" w:pos="284"/>
                <w:tab w:val="left" w:pos="993"/>
              </w:tabs>
              <w:jc w:val="center"/>
              <w:rPr>
                <w:rFonts w:eastAsia="Times New Roman"/>
                <w:sz w:val="16"/>
                <w:szCs w:val="16"/>
                <w:lang w:eastAsia="ru-RU"/>
              </w:rPr>
            </w:pPr>
            <w:r w:rsidRPr="009A4C46">
              <w:rPr>
                <w:rFonts w:eastAsia="Times New Roman"/>
                <w:sz w:val="16"/>
                <w:szCs w:val="16"/>
                <w:lang w:eastAsia="ru-RU"/>
              </w:rPr>
              <w:t>1</w:t>
            </w:r>
          </w:p>
        </w:tc>
        <w:tc>
          <w:tcPr>
            <w:tcW w:w="1249" w:type="dxa"/>
            <w:vAlign w:val="center"/>
          </w:tcPr>
          <w:p w14:paraId="7429E5BE" w14:textId="77777777" w:rsidR="009A4C46" w:rsidRPr="009A4C46" w:rsidRDefault="009A4C46" w:rsidP="009A4C46">
            <w:pPr>
              <w:tabs>
                <w:tab w:val="left" w:pos="284"/>
                <w:tab w:val="left" w:pos="993"/>
              </w:tabs>
              <w:jc w:val="center"/>
              <w:rPr>
                <w:rFonts w:eastAsia="Times New Roman"/>
                <w:sz w:val="16"/>
                <w:szCs w:val="16"/>
                <w:lang w:eastAsia="ru-RU"/>
              </w:rPr>
            </w:pPr>
            <w:r w:rsidRPr="009A4C46">
              <w:rPr>
                <w:rFonts w:eastAsia="Times New Roman"/>
                <w:sz w:val="16"/>
                <w:szCs w:val="16"/>
                <w:lang w:eastAsia="ru-RU"/>
              </w:rPr>
              <w:t>75</w:t>
            </w:r>
          </w:p>
        </w:tc>
        <w:tc>
          <w:tcPr>
            <w:tcW w:w="1302" w:type="dxa"/>
            <w:vAlign w:val="center"/>
          </w:tcPr>
          <w:p w14:paraId="065FAD60" w14:textId="77777777" w:rsidR="009A4C46" w:rsidRPr="009A4C46" w:rsidRDefault="009A4C46" w:rsidP="009A4C46">
            <w:pPr>
              <w:tabs>
                <w:tab w:val="left" w:pos="284"/>
                <w:tab w:val="left" w:pos="993"/>
              </w:tabs>
              <w:jc w:val="center"/>
              <w:rPr>
                <w:rFonts w:eastAsia="Times New Roman"/>
                <w:sz w:val="16"/>
                <w:szCs w:val="16"/>
                <w:lang w:eastAsia="ru-RU"/>
              </w:rPr>
            </w:pPr>
            <w:r w:rsidRPr="009A4C46">
              <w:rPr>
                <w:rFonts w:eastAsia="Times New Roman"/>
                <w:sz w:val="16"/>
                <w:szCs w:val="16"/>
                <w:lang w:eastAsia="ru-RU"/>
              </w:rPr>
              <w:t>2</w:t>
            </w:r>
          </w:p>
        </w:tc>
        <w:tc>
          <w:tcPr>
            <w:tcW w:w="1104" w:type="dxa"/>
            <w:vAlign w:val="center"/>
          </w:tcPr>
          <w:p w14:paraId="1F8AFF63" w14:textId="77777777" w:rsidR="009A4C46" w:rsidRPr="009A4C46" w:rsidRDefault="009A4C46" w:rsidP="009A4C46">
            <w:pPr>
              <w:tabs>
                <w:tab w:val="left" w:pos="284"/>
                <w:tab w:val="left" w:pos="993"/>
              </w:tabs>
              <w:jc w:val="center"/>
              <w:rPr>
                <w:rFonts w:eastAsia="Times New Roman"/>
                <w:sz w:val="16"/>
                <w:szCs w:val="16"/>
                <w:lang w:eastAsia="ru-RU"/>
              </w:rPr>
            </w:pPr>
            <w:r w:rsidRPr="009A4C46">
              <w:rPr>
                <w:rFonts w:eastAsia="Times New Roman"/>
                <w:sz w:val="16"/>
                <w:szCs w:val="16"/>
                <w:lang w:eastAsia="ru-RU"/>
              </w:rPr>
              <w:t>158,25</w:t>
            </w:r>
          </w:p>
        </w:tc>
        <w:tc>
          <w:tcPr>
            <w:tcW w:w="1023" w:type="dxa"/>
            <w:vAlign w:val="center"/>
          </w:tcPr>
          <w:p w14:paraId="327445B1" w14:textId="77777777" w:rsidR="009A4C46" w:rsidRPr="009A4C46" w:rsidRDefault="009A4C46" w:rsidP="009A4C46">
            <w:pPr>
              <w:tabs>
                <w:tab w:val="left" w:pos="284"/>
                <w:tab w:val="left" w:pos="993"/>
              </w:tabs>
              <w:jc w:val="center"/>
              <w:rPr>
                <w:rFonts w:eastAsia="Times New Roman"/>
                <w:sz w:val="16"/>
                <w:szCs w:val="16"/>
                <w:lang w:eastAsia="ru-RU"/>
              </w:rPr>
            </w:pPr>
            <w:r w:rsidRPr="009A4C46">
              <w:rPr>
                <w:rFonts w:eastAsia="Times New Roman"/>
                <w:sz w:val="16"/>
                <w:szCs w:val="16"/>
                <w:lang w:eastAsia="ru-RU"/>
              </w:rPr>
              <w:t>0,1110</w:t>
            </w:r>
          </w:p>
        </w:tc>
        <w:tc>
          <w:tcPr>
            <w:tcW w:w="879" w:type="dxa"/>
            <w:vAlign w:val="center"/>
          </w:tcPr>
          <w:p w14:paraId="31A27124" w14:textId="77777777" w:rsidR="009A4C46" w:rsidRPr="009A4C46" w:rsidRDefault="009A4C46" w:rsidP="009A4C46">
            <w:pPr>
              <w:tabs>
                <w:tab w:val="left" w:pos="284"/>
                <w:tab w:val="left" w:pos="993"/>
              </w:tabs>
              <w:jc w:val="center"/>
              <w:rPr>
                <w:rFonts w:eastAsia="Times New Roman"/>
                <w:sz w:val="16"/>
                <w:szCs w:val="16"/>
                <w:lang w:eastAsia="ru-RU"/>
              </w:rPr>
            </w:pPr>
            <w:r w:rsidRPr="009A4C46">
              <w:rPr>
                <w:rFonts w:eastAsia="Times New Roman"/>
                <w:sz w:val="16"/>
                <w:szCs w:val="16"/>
                <w:lang w:eastAsia="ru-RU"/>
              </w:rPr>
              <w:t>1,0102</w:t>
            </w:r>
          </w:p>
        </w:tc>
      </w:tr>
      <w:tr w:rsidR="009A4C46" w:rsidRPr="009A4C46" w14:paraId="1650998F" w14:textId="77777777" w:rsidTr="00E60E99">
        <w:tc>
          <w:tcPr>
            <w:tcW w:w="971" w:type="dxa"/>
            <w:vMerge/>
          </w:tcPr>
          <w:p w14:paraId="59C2F623" w14:textId="77777777" w:rsidR="009A4C46" w:rsidRPr="009A4C46" w:rsidRDefault="009A4C46" w:rsidP="009A4C46">
            <w:pPr>
              <w:tabs>
                <w:tab w:val="left" w:pos="284"/>
                <w:tab w:val="left" w:pos="993"/>
              </w:tabs>
              <w:jc w:val="both"/>
              <w:rPr>
                <w:rFonts w:eastAsia="Times New Roman"/>
                <w:sz w:val="16"/>
                <w:szCs w:val="16"/>
                <w:lang w:eastAsia="ru-RU"/>
              </w:rPr>
            </w:pPr>
          </w:p>
        </w:tc>
        <w:tc>
          <w:tcPr>
            <w:tcW w:w="588" w:type="dxa"/>
            <w:vAlign w:val="center"/>
          </w:tcPr>
          <w:p w14:paraId="2769914E" w14:textId="77777777" w:rsidR="009A4C46" w:rsidRPr="009A4C46" w:rsidRDefault="009A4C46" w:rsidP="009A4C46">
            <w:pPr>
              <w:tabs>
                <w:tab w:val="left" w:pos="284"/>
                <w:tab w:val="left" w:pos="993"/>
              </w:tabs>
              <w:jc w:val="center"/>
              <w:rPr>
                <w:rFonts w:eastAsia="Times New Roman"/>
                <w:sz w:val="16"/>
                <w:szCs w:val="16"/>
                <w:lang w:eastAsia="ru-RU"/>
              </w:rPr>
            </w:pPr>
            <w:r w:rsidRPr="009A4C46">
              <w:rPr>
                <w:rFonts w:eastAsia="Times New Roman"/>
                <w:sz w:val="16"/>
                <w:szCs w:val="16"/>
                <w:lang w:eastAsia="ru-RU"/>
              </w:rPr>
              <w:t>2014</w:t>
            </w:r>
          </w:p>
        </w:tc>
        <w:tc>
          <w:tcPr>
            <w:tcW w:w="1060" w:type="dxa"/>
            <w:vAlign w:val="center"/>
          </w:tcPr>
          <w:p w14:paraId="17F82917" w14:textId="77777777" w:rsidR="009A4C46" w:rsidRPr="009A4C46" w:rsidRDefault="009A4C46" w:rsidP="009A4C46">
            <w:pPr>
              <w:tabs>
                <w:tab w:val="left" w:pos="284"/>
                <w:tab w:val="left" w:pos="993"/>
              </w:tabs>
              <w:jc w:val="center"/>
              <w:rPr>
                <w:rFonts w:eastAsia="Times New Roman"/>
                <w:sz w:val="16"/>
                <w:szCs w:val="16"/>
                <w:lang w:eastAsia="ru-RU"/>
              </w:rPr>
            </w:pPr>
            <w:r w:rsidRPr="009A4C46">
              <w:rPr>
                <w:rFonts w:eastAsia="Times New Roman"/>
                <w:sz w:val="16"/>
                <w:szCs w:val="16"/>
                <w:lang w:eastAsia="ru-RU"/>
              </w:rPr>
              <w:t>504,14</w:t>
            </w:r>
          </w:p>
        </w:tc>
        <w:tc>
          <w:tcPr>
            <w:tcW w:w="1175" w:type="dxa"/>
            <w:vAlign w:val="center"/>
          </w:tcPr>
          <w:p w14:paraId="264D2356" w14:textId="77777777" w:rsidR="009A4C46" w:rsidRPr="009A4C46" w:rsidRDefault="009A4C46" w:rsidP="009A4C46">
            <w:pPr>
              <w:tabs>
                <w:tab w:val="left" w:pos="284"/>
                <w:tab w:val="left" w:pos="993"/>
              </w:tabs>
              <w:jc w:val="center"/>
              <w:rPr>
                <w:rFonts w:eastAsia="Times New Roman"/>
                <w:sz w:val="16"/>
                <w:szCs w:val="16"/>
                <w:lang w:eastAsia="ru-RU"/>
              </w:rPr>
            </w:pPr>
            <w:r w:rsidRPr="009A4C46">
              <w:rPr>
                <w:rFonts w:eastAsia="Times New Roman"/>
                <w:sz w:val="16"/>
                <w:szCs w:val="16"/>
                <w:lang w:eastAsia="ru-RU"/>
              </w:rPr>
              <w:t>1</w:t>
            </w:r>
          </w:p>
        </w:tc>
        <w:tc>
          <w:tcPr>
            <w:tcW w:w="1249" w:type="dxa"/>
            <w:vAlign w:val="center"/>
          </w:tcPr>
          <w:p w14:paraId="785154C2" w14:textId="77777777" w:rsidR="009A4C46" w:rsidRPr="009A4C46" w:rsidRDefault="009A4C46" w:rsidP="009A4C46">
            <w:pPr>
              <w:tabs>
                <w:tab w:val="left" w:pos="284"/>
                <w:tab w:val="left" w:pos="993"/>
              </w:tabs>
              <w:jc w:val="center"/>
              <w:rPr>
                <w:rFonts w:eastAsia="Times New Roman"/>
                <w:sz w:val="16"/>
                <w:szCs w:val="16"/>
                <w:lang w:eastAsia="ru-RU"/>
              </w:rPr>
            </w:pPr>
            <w:r w:rsidRPr="009A4C46">
              <w:rPr>
                <w:rFonts w:eastAsia="Times New Roman"/>
                <w:sz w:val="16"/>
                <w:szCs w:val="16"/>
                <w:lang w:eastAsia="ru-RU"/>
              </w:rPr>
              <w:t>75</w:t>
            </w:r>
          </w:p>
        </w:tc>
        <w:tc>
          <w:tcPr>
            <w:tcW w:w="1302" w:type="dxa"/>
            <w:vAlign w:val="center"/>
          </w:tcPr>
          <w:p w14:paraId="632D915B" w14:textId="77777777" w:rsidR="009A4C46" w:rsidRPr="009A4C46" w:rsidRDefault="009A4C46" w:rsidP="009A4C46">
            <w:pPr>
              <w:tabs>
                <w:tab w:val="left" w:pos="284"/>
                <w:tab w:val="left" w:pos="993"/>
              </w:tabs>
              <w:jc w:val="center"/>
              <w:rPr>
                <w:rFonts w:eastAsia="Times New Roman"/>
                <w:sz w:val="16"/>
                <w:szCs w:val="16"/>
                <w:lang w:eastAsia="ru-RU"/>
              </w:rPr>
            </w:pPr>
            <w:r w:rsidRPr="009A4C46">
              <w:rPr>
                <w:rFonts w:eastAsia="Times New Roman"/>
                <w:sz w:val="16"/>
                <w:szCs w:val="16"/>
                <w:lang w:eastAsia="ru-RU"/>
              </w:rPr>
              <w:t>2</w:t>
            </w:r>
          </w:p>
        </w:tc>
        <w:tc>
          <w:tcPr>
            <w:tcW w:w="1104" w:type="dxa"/>
            <w:vAlign w:val="center"/>
          </w:tcPr>
          <w:p w14:paraId="662E4C10" w14:textId="77777777" w:rsidR="009A4C46" w:rsidRPr="009A4C46" w:rsidRDefault="009A4C46" w:rsidP="009A4C46">
            <w:pPr>
              <w:tabs>
                <w:tab w:val="left" w:pos="284"/>
                <w:tab w:val="left" w:pos="993"/>
              </w:tabs>
              <w:jc w:val="center"/>
              <w:rPr>
                <w:rFonts w:eastAsia="Times New Roman"/>
                <w:sz w:val="16"/>
                <w:szCs w:val="16"/>
                <w:lang w:eastAsia="ru-RU"/>
              </w:rPr>
            </w:pPr>
            <w:r w:rsidRPr="009A4C46">
              <w:rPr>
                <w:rFonts w:eastAsia="Times New Roman"/>
                <w:sz w:val="16"/>
                <w:szCs w:val="16"/>
                <w:lang w:eastAsia="ru-RU"/>
              </w:rPr>
              <w:t>157,54</w:t>
            </w:r>
          </w:p>
        </w:tc>
        <w:tc>
          <w:tcPr>
            <w:tcW w:w="1023" w:type="dxa"/>
            <w:vAlign w:val="center"/>
          </w:tcPr>
          <w:p w14:paraId="1928F342" w14:textId="77777777" w:rsidR="009A4C46" w:rsidRPr="009A4C46" w:rsidRDefault="009A4C46" w:rsidP="009A4C46">
            <w:pPr>
              <w:tabs>
                <w:tab w:val="left" w:pos="284"/>
                <w:tab w:val="left" w:pos="993"/>
              </w:tabs>
              <w:jc w:val="center"/>
              <w:rPr>
                <w:rFonts w:eastAsia="Times New Roman"/>
                <w:sz w:val="16"/>
                <w:szCs w:val="16"/>
                <w:lang w:eastAsia="ru-RU"/>
              </w:rPr>
            </w:pPr>
            <w:r w:rsidRPr="009A4C46">
              <w:rPr>
                <w:rFonts w:eastAsia="Times New Roman"/>
                <w:sz w:val="16"/>
                <w:szCs w:val="16"/>
                <w:lang w:eastAsia="ru-RU"/>
              </w:rPr>
              <w:t>0,1102</w:t>
            </w:r>
          </w:p>
        </w:tc>
        <w:tc>
          <w:tcPr>
            <w:tcW w:w="879" w:type="dxa"/>
            <w:vAlign w:val="center"/>
          </w:tcPr>
          <w:p w14:paraId="5308DE9A" w14:textId="77777777" w:rsidR="009A4C46" w:rsidRPr="009A4C46" w:rsidRDefault="009A4C46" w:rsidP="009A4C46">
            <w:pPr>
              <w:tabs>
                <w:tab w:val="left" w:pos="284"/>
                <w:tab w:val="left" w:pos="993"/>
              </w:tabs>
              <w:jc w:val="center"/>
              <w:rPr>
                <w:rFonts w:eastAsia="Times New Roman"/>
                <w:sz w:val="16"/>
                <w:szCs w:val="16"/>
                <w:lang w:eastAsia="ru-RU"/>
              </w:rPr>
            </w:pPr>
            <w:r w:rsidRPr="009A4C46">
              <w:rPr>
                <w:rFonts w:eastAsia="Times New Roman"/>
                <w:sz w:val="16"/>
                <w:szCs w:val="16"/>
                <w:lang w:eastAsia="ru-RU"/>
              </w:rPr>
              <w:t>1,0102</w:t>
            </w:r>
          </w:p>
        </w:tc>
      </w:tr>
      <w:tr w:rsidR="009A4C46" w:rsidRPr="009A4C46" w14:paraId="42AEA066" w14:textId="77777777" w:rsidTr="00E60E99">
        <w:tc>
          <w:tcPr>
            <w:tcW w:w="971" w:type="dxa"/>
            <w:vMerge/>
          </w:tcPr>
          <w:p w14:paraId="2D1FADBC" w14:textId="77777777" w:rsidR="009A4C46" w:rsidRPr="009A4C46" w:rsidRDefault="009A4C46" w:rsidP="009A4C46">
            <w:pPr>
              <w:tabs>
                <w:tab w:val="left" w:pos="284"/>
                <w:tab w:val="left" w:pos="993"/>
              </w:tabs>
              <w:jc w:val="both"/>
              <w:rPr>
                <w:rFonts w:eastAsia="Times New Roman"/>
                <w:sz w:val="16"/>
                <w:szCs w:val="16"/>
                <w:lang w:eastAsia="ru-RU"/>
              </w:rPr>
            </w:pPr>
          </w:p>
        </w:tc>
        <w:tc>
          <w:tcPr>
            <w:tcW w:w="588" w:type="dxa"/>
            <w:vAlign w:val="center"/>
          </w:tcPr>
          <w:p w14:paraId="3358D446" w14:textId="77777777" w:rsidR="009A4C46" w:rsidRPr="009A4C46" w:rsidRDefault="009A4C46" w:rsidP="009A4C46">
            <w:pPr>
              <w:tabs>
                <w:tab w:val="left" w:pos="284"/>
                <w:tab w:val="left" w:pos="993"/>
              </w:tabs>
              <w:jc w:val="center"/>
              <w:rPr>
                <w:rFonts w:eastAsia="Times New Roman"/>
                <w:sz w:val="16"/>
                <w:szCs w:val="16"/>
                <w:lang w:eastAsia="ru-RU"/>
              </w:rPr>
            </w:pPr>
            <w:r w:rsidRPr="009A4C46">
              <w:rPr>
                <w:rFonts w:eastAsia="Times New Roman"/>
                <w:sz w:val="16"/>
                <w:szCs w:val="16"/>
                <w:lang w:eastAsia="ru-RU"/>
              </w:rPr>
              <w:t>2015</w:t>
            </w:r>
          </w:p>
        </w:tc>
        <w:tc>
          <w:tcPr>
            <w:tcW w:w="1060" w:type="dxa"/>
            <w:vAlign w:val="center"/>
          </w:tcPr>
          <w:p w14:paraId="71D44623" w14:textId="77777777" w:rsidR="009A4C46" w:rsidRPr="009A4C46" w:rsidRDefault="009A4C46" w:rsidP="009A4C46">
            <w:pPr>
              <w:tabs>
                <w:tab w:val="left" w:pos="284"/>
                <w:tab w:val="left" w:pos="993"/>
              </w:tabs>
              <w:jc w:val="center"/>
              <w:rPr>
                <w:rFonts w:eastAsia="Times New Roman"/>
                <w:sz w:val="16"/>
                <w:szCs w:val="16"/>
                <w:lang w:eastAsia="ru-RU"/>
              </w:rPr>
            </w:pPr>
            <w:r w:rsidRPr="009A4C46">
              <w:rPr>
                <w:rFonts w:eastAsia="Times New Roman"/>
                <w:sz w:val="16"/>
                <w:szCs w:val="16"/>
                <w:lang w:eastAsia="ru-RU"/>
              </w:rPr>
              <w:t>523,55</w:t>
            </w:r>
          </w:p>
        </w:tc>
        <w:tc>
          <w:tcPr>
            <w:tcW w:w="1175" w:type="dxa"/>
            <w:vAlign w:val="center"/>
          </w:tcPr>
          <w:p w14:paraId="77939C34" w14:textId="77777777" w:rsidR="009A4C46" w:rsidRPr="009A4C46" w:rsidRDefault="009A4C46" w:rsidP="009A4C46">
            <w:pPr>
              <w:tabs>
                <w:tab w:val="left" w:pos="284"/>
                <w:tab w:val="left" w:pos="993"/>
              </w:tabs>
              <w:jc w:val="center"/>
              <w:rPr>
                <w:rFonts w:eastAsia="Times New Roman"/>
                <w:sz w:val="16"/>
                <w:szCs w:val="16"/>
                <w:lang w:eastAsia="ru-RU"/>
              </w:rPr>
            </w:pPr>
            <w:r w:rsidRPr="009A4C46">
              <w:rPr>
                <w:rFonts w:eastAsia="Times New Roman"/>
                <w:sz w:val="16"/>
                <w:szCs w:val="16"/>
                <w:lang w:eastAsia="ru-RU"/>
              </w:rPr>
              <w:t>1</w:t>
            </w:r>
          </w:p>
        </w:tc>
        <w:tc>
          <w:tcPr>
            <w:tcW w:w="1249" w:type="dxa"/>
            <w:vAlign w:val="center"/>
          </w:tcPr>
          <w:p w14:paraId="74DC81E1" w14:textId="77777777" w:rsidR="009A4C46" w:rsidRPr="009A4C46" w:rsidRDefault="009A4C46" w:rsidP="009A4C46">
            <w:pPr>
              <w:tabs>
                <w:tab w:val="left" w:pos="284"/>
                <w:tab w:val="left" w:pos="993"/>
              </w:tabs>
              <w:jc w:val="center"/>
              <w:rPr>
                <w:rFonts w:eastAsia="Times New Roman"/>
                <w:sz w:val="16"/>
                <w:szCs w:val="16"/>
                <w:lang w:eastAsia="ru-RU"/>
              </w:rPr>
            </w:pPr>
            <w:r w:rsidRPr="009A4C46">
              <w:rPr>
                <w:rFonts w:eastAsia="Times New Roman"/>
                <w:sz w:val="16"/>
                <w:szCs w:val="16"/>
                <w:lang w:eastAsia="ru-RU"/>
              </w:rPr>
              <w:t>75</w:t>
            </w:r>
          </w:p>
        </w:tc>
        <w:tc>
          <w:tcPr>
            <w:tcW w:w="1302" w:type="dxa"/>
            <w:vAlign w:val="center"/>
          </w:tcPr>
          <w:p w14:paraId="4A6F92D8" w14:textId="77777777" w:rsidR="009A4C46" w:rsidRPr="009A4C46" w:rsidRDefault="009A4C46" w:rsidP="009A4C46">
            <w:pPr>
              <w:tabs>
                <w:tab w:val="left" w:pos="284"/>
                <w:tab w:val="left" w:pos="993"/>
              </w:tabs>
              <w:jc w:val="center"/>
              <w:rPr>
                <w:rFonts w:eastAsia="Times New Roman"/>
                <w:sz w:val="16"/>
                <w:szCs w:val="16"/>
                <w:lang w:eastAsia="ru-RU"/>
              </w:rPr>
            </w:pPr>
            <w:r w:rsidRPr="009A4C46">
              <w:rPr>
                <w:rFonts w:eastAsia="Times New Roman"/>
                <w:sz w:val="16"/>
                <w:szCs w:val="16"/>
                <w:lang w:eastAsia="ru-RU"/>
              </w:rPr>
              <w:t>2</w:t>
            </w:r>
          </w:p>
        </w:tc>
        <w:tc>
          <w:tcPr>
            <w:tcW w:w="1104" w:type="dxa"/>
            <w:vAlign w:val="center"/>
          </w:tcPr>
          <w:p w14:paraId="356136EB" w14:textId="77777777" w:rsidR="009A4C46" w:rsidRPr="009A4C46" w:rsidRDefault="009A4C46" w:rsidP="009A4C46">
            <w:pPr>
              <w:tabs>
                <w:tab w:val="left" w:pos="284"/>
                <w:tab w:val="left" w:pos="993"/>
              </w:tabs>
              <w:jc w:val="center"/>
              <w:rPr>
                <w:rFonts w:eastAsia="Times New Roman"/>
                <w:sz w:val="16"/>
                <w:szCs w:val="16"/>
                <w:lang w:eastAsia="ru-RU"/>
              </w:rPr>
            </w:pPr>
            <w:r w:rsidRPr="009A4C46">
              <w:rPr>
                <w:rFonts w:eastAsia="Times New Roman"/>
                <w:sz w:val="16"/>
                <w:szCs w:val="16"/>
                <w:lang w:eastAsia="ru-RU"/>
              </w:rPr>
              <w:t>156,83</w:t>
            </w:r>
          </w:p>
        </w:tc>
        <w:tc>
          <w:tcPr>
            <w:tcW w:w="1023" w:type="dxa"/>
            <w:vAlign w:val="center"/>
          </w:tcPr>
          <w:p w14:paraId="6D84B607" w14:textId="77777777" w:rsidR="009A4C46" w:rsidRPr="009A4C46" w:rsidRDefault="009A4C46" w:rsidP="009A4C46">
            <w:pPr>
              <w:tabs>
                <w:tab w:val="left" w:pos="284"/>
                <w:tab w:val="left" w:pos="993"/>
              </w:tabs>
              <w:jc w:val="center"/>
              <w:rPr>
                <w:rFonts w:eastAsia="Times New Roman"/>
                <w:sz w:val="16"/>
                <w:szCs w:val="16"/>
                <w:lang w:eastAsia="ru-RU"/>
              </w:rPr>
            </w:pPr>
            <w:r w:rsidRPr="009A4C46">
              <w:rPr>
                <w:rFonts w:eastAsia="Times New Roman"/>
                <w:sz w:val="16"/>
                <w:szCs w:val="16"/>
                <w:lang w:eastAsia="ru-RU"/>
              </w:rPr>
              <w:t>0,1092</w:t>
            </w:r>
          </w:p>
        </w:tc>
        <w:tc>
          <w:tcPr>
            <w:tcW w:w="879" w:type="dxa"/>
            <w:vAlign w:val="center"/>
          </w:tcPr>
          <w:p w14:paraId="17481086" w14:textId="77777777" w:rsidR="009A4C46" w:rsidRPr="009A4C46" w:rsidRDefault="009A4C46" w:rsidP="009A4C46">
            <w:pPr>
              <w:tabs>
                <w:tab w:val="left" w:pos="284"/>
                <w:tab w:val="left" w:pos="993"/>
              </w:tabs>
              <w:jc w:val="center"/>
              <w:rPr>
                <w:rFonts w:eastAsia="Times New Roman"/>
                <w:sz w:val="16"/>
                <w:szCs w:val="16"/>
                <w:lang w:eastAsia="ru-RU"/>
              </w:rPr>
            </w:pPr>
            <w:r w:rsidRPr="009A4C46">
              <w:rPr>
                <w:rFonts w:eastAsia="Times New Roman"/>
                <w:sz w:val="16"/>
                <w:szCs w:val="16"/>
                <w:lang w:eastAsia="ru-RU"/>
              </w:rPr>
              <w:t>1,0102</w:t>
            </w:r>
          </w:p>
        </w:tc>
      </w:tr>
      <w:tr w:rsidR="009A4C46" w:rsidRPr="009A4C46" w14:paraId="2D02182B" w14:textId="77777777" w:rsidTr="00E60E99">
        <w:tc>
          <w:tcPr>
            <w:tcW w:w="971" w:type="dxa"/>
            <w:vMerge/>
          </w:tcPr>
          <w:p w14:paraId="404C39FA" w14:textId="77777777" w:rsidR="009A4C46" w:rsidRPr="009A4C46" w:rsidRDefault="009A4C46" w:rsidP="009A4C46">
            <w:pPr>
              <w:tabs>
                <w:tab w:val="left" w:pos="284"/>
                <w:tab w:val="left" w:pos="993"/>
              </w:tabs>
              <w:jc w:val="both"/>
              <w:rPr>
                <w:rFonts w:eastAsia="Times New Roman"/>
                <w:sz w:val="16"/>
                <w:szCs w:val="16"/>
                <w:lang w:eastAsia="ru-RU"/>
              </w:rPr>
            </w:pPr>
          </w:p>
        </w:tc>
        <w:tc>
          <w:tcPr>
            <w:tcW w:w="588" w:type="dxa"/>
            <w:vAlign w:val="center"/>
          </w:tcPr>
          <w:p w14:paraId="47590C41" w14:textId="77777777" w:rsidR="009A4C46" w:rsidRPr="009A4C46" w:rsidRDefault="009A4C46" w:rsidP="009A4C46">
            <w:pPr>
              <w:tabs>
                <w:tab w:val="left" w:pos="284"/>
                <w:tab w:val="left" w:pos="993"/>
              </w:tabs>
              <w:jc w:val="center"/>
              <w:rPr>
                <w:rFonts w:eastAsia="Times New Roman"/>
                <w:sz w:val="16"/>
                <w:szCs w:val="16"/>
                <w:lang w:eastAsia="ru-RU"/>
              </w:rPr>
            </w:pPr>
            <w:r w:rsidRPr="009A4C46">
              <w:rPr>
                <w:rFonts w:eastAsia="Times New Roman"/>
                <w:sz w:val="16"/>
                <w:szCs w:val="16"/>
                <w:lang w:eastAsia="ru-RU"/>
              </w:rPr>
              <w:t>2016</w:t>
            </w:r>
          </w:p>
        </w:tc>
        <w:tc>
          <w:tcPr>
            <w:tcW w:w="1060" w:type="dxa"/>
            <w:vAlign w:val="center"/>
          </w:tcPr>
          <w:p w14:paraId="3E37EAB0" w14:textId="77777777" w:rsidR="009A4C46" w:rsidRPr="009A4C46" w:rsidRDefault="009A4C46" w:rsidP="009A4C46">
            <w:pPr>
              <w:tabs>
                <w:tab w:val="left" w:pos="284"/>
                <w:tab w:val="left" w:pos="993"/>
              </w:tabs>
              <w:jc w:val="center"/>
              <w:rPr>
                <w:rFonts w:eastAsia="Times New Roman"/>
                <w:sz w:val="16"/>
                <w:szCs w:val="16"/>
                <w:lang w:eastAsia="ru-RU"/>
              </w:rPr>
            </w:pPr>
            <w:r w:rsidRPr="009A4C46">
              <w:rPr>
                <w:rFonts w:eastAsia="Times New Roman"/>
                <w:sz w:val="16"/>
                <w:szCs w:val="16"/>
                <w:lang w:eastAsia="ru-RU"/>
              </w:rPr>
              <w:t>543,71</w:t>
            </w:r>
          </w:p>
        </w:tc>
        <w:tc>
          <w:tcPr>
            <w:tcW w:w="1175" w:type="dxa"/>
            <w:vAlign w:val="center"/>
          </w:tcPr>
          <w:p w14:paraId="023329F3" w14:textId="77777777" w:rsidR="009A4C46" w:rsidRPr="009A4C46" w:rsidRDefault="009A4C46" w:rsidP="009A4C46">
            <w:pPr>
              <w:tabs>
                <w:tab w:val="left" w:pos="284"/>
                <w:tab w:val="left" w:pos="993"/>
              </w:tabs>
              <w:jc w:val="center"/>
              <w:rPr>
                <w:rFonts w:eastAsia="Times New Roman"/>
                <w:sz w:val="16"/>
                <w:szCs w:val="16"/>
                <w:lang w:eastAsia="ru-RU"/>
              </w:rPr>
            </w:pPr>
            <w:r w:rsidRPr="009A4C46">
              <w:rPr>
                <w:rFonts w:eastAsia="Times New Roman"/>
                <w:sz w:val="16"/>
                <w:szCs w:val="16"/>
                <w:lang w:eastAsia="ru-RU"/>
              </w:rPr>
              <w:t>1</w:t>
            </w:r>
          </w:p>
        </w:tc>
        <w:tc>
          <w:tcPr>
            <w:tcW w:w="1249" w:type="dxa"/>
            <w:vAlign w:val="center"/>
          </w:tcPr>
          <w:p w14:paraId="7FDCF1BE" w14:textId="77777777" w:rsidR="009A4C46" w:rsidRPr="009A4C46" w:rsidRDefault="009A4C46" w:rsidP="009A4C46">
            <w:pPr>
              <w:tabs>
                <w:tab w:val="left" w:pos="284"/>
                <w:tab w:val="left" w:pos="993"/>
              </w:tabs>
              <w:jc w:val="center"/>
              <w:rPr>
                <w:rFonts w:eastAsia="Times New Roman"/>
                <w:sz w:val="16"/>
                <w:szCs w:val="16"/>
                <w:lang w:eastAsia="ru-RU"/>
              </w:rPr>
            </w:pPr>
            <w:r w:rsidRPr="009A4C46">
              <w:rPr>
                <w:rFonts w:eastAsia="Times New Roman"/>
                <w:sz w:val="16"/>
                <w:szCs w:val="16"/>
                <w:lang w:eastAsia="ru-RU"/>
              </w:rPr>
              <w:t>75</w:t>
            </w:r>
          </w:p>
        </w:tc>
        <w:tc>
          <w:tcPr>
            <w:tcW w:w="1302" w:type="dxa"/>
            <w:vAlign w:val="center"/>
          </w:tcPr>
          <w:p w14:paraId="5A32F525" w14:textId="77777777" w:rsidR="009A4C46" w:rsidRPr="009A4C46" w:rsidRDefault="009A4C46" w:rsidP="009A4C46">
            <w:pPr>
              <w:tabs>
                <w:tab w:val="left" w:pos="284"/>
                <w:tab w:val="left" w:pos="993"/>
              </w:tabs>
              <w:jc w:val="center"/>
              <w:rPr>
                <w:rFonts w:eastAsia="Times New Roman"/>
                <w:sz w:val="16"/>
                <w:szCs w:val="16"/>
                <w:lang w:eastAsia="ru-RU"/>
              </w:rPr>
            </w:pPr>
            <w:r w:rsidRPr="009A4C46">
              <w:rPr>
                <w:rFonts w:eastAsia="Times New Roman"/>
                <w:sz w:val="16"/>
                <w:szCs w:val="16"/>
                <w:lang w:eastAsia="ru-RU"/>
              </w:rPr>
              <w:t>2</w:t>
            </w:r>
          </w:p>
        </w:tc>
        <w:tc>
          <w:tcPr>
            <w:tcW w:w="1104" w:type="dxa"/>
            <w:vAlign w:val="center"/>
          </w:tcPr>
          <w:p w14:paraId="6FF3653B" w14:textId="77777777" w:rsidR="009A4C46" w:rsidRPr="009A4C46" w:rsidRDefault="009A4C46" w:rsidP="009A4C46">
            <w:pPr>
              <w:tabs>
                <w:tab w:val="left" w:pos="284"/>
                <w:tab w:val="left" w:pos="993"/>
              </w:tabs>
              <w:jc w:val="center"/>
              <w:rPr>
                <w:rFonts w:eastAsia="Times New Roman"/>
                <w:sz w:val="16"/>
                <w:szCs w:val="16"/>
                <w:lang w:eastAsia="ru-RU"/>
              </w:rPr>
            </w:pPr>
            <w:r w:rsidRPr="009A4C46">
              <w:rPr>
                <w:rFonts w:eastAsia="Times New Roman"/>
                <w:sz w:val="16"/>
                <w:szCs w:val="16"/>
                <w:lang w:eastAsia="ru-RU"/>
              </w:rPr>
              <w:t>156,12</w:t>
            </w:r>
          </w:p>
        </w:tc>
        <w:tc>
          <w:tcPr>
            <w:tcW w:w="1023" w:type="dxa"/>
            <w:vAlign w:val="center"/>
          </w:tcPr>
          <w:p w14:paraId="677F6BA3" w14:textId="77777777" w:rsidR="009A4C46" w:rsidRPr="009A4C46" w:rsidRDefault="009A4C46" w:rsidP="009A4C46">
            <w:pPr>
              <w:tabs>
                <w:tab w:val="left" w:pos="284"/>
                <w:tab w:val="left" w:pos="993"/>
              </w:tabs>
              <w:jc w:val="center"/>
              <w:rPr>
                <w:rFonts w:eastAsia="Times New Roman"/>
                <w:sz w:val="16"/>
                <w:szCs w:val="16"/>
                <w:lang w:eastAsia="ru-RU"/>
              </w:rPr>
            </w:pPr>
            <w:r w:rsidRPr="009A4C46">
              <w:rPr>
                <w:rFonts w:eastAsia="Times New Roman"/>
                <w:sz w:val="16"/>
                <w:szCs w:val="16"/>
                <w:lang w:eastAsia="ru-RU"/>
              </w:rPr>
              <w:t>0,1084</w:t>
            </w:r>
          </w:p>
        </w:tc>
        <w:tc>
          <w:tcPr>
            <w:tcW w:w="879" w:type="dxa"/>
            <w:vAlign w:val="center"/>
          </w:tcPr>
          <w:p w14:paraId="1E5138F0" w14:textId="77777777" w:rsidR="009A4C46" w:rsidRPr="009A4C46" w:rsidRDefault="009A4C46" w:rsidP="009A4C46">
            <w:pPr>
              <w:tabs>
                <w:tab w:val="left" w:pos="284"/>
                <w:tab w:val="left" w:pos="993"/>
              </w:tabs>
              <w:jc w:val="center"/>
              <w:rPr>
                <w:rFonts w:eastAsia="Times New Roman"/>
                <w:sz w:val="16"/>
                <w:szCs w:val="16"/>
                <w:lang w:eastAsia="ru-RU"/>
              </w:rPr>
            </w:pPr>
            <w:r w:rsidRPr="009A4C46">
              <w:rPr>
                <w:rFonts w:eastAsia="Times New Roman"/>
                <w:sz w:val="16"/>
                <w:szCs w:val="16"/>
                <w:lang w:eastAsia="ru-RU"/>
              </w:rPr>
              <w:t>1,0102</w:t>
            </w:r>
          </w:p>
        </w:tc>
      </w:tr>
      <w:tr w:rsidR="009A4C46" w:rsidRPr="009A4C46" w14:paraId="487E8953" w14:textId="77777777" w:rsidTr="00E60E99">
        <w:tc>
          <w:tcPr>
            <w:tcW w:w="971" w:type="dxa"/>
            <w:vMerge/>
          </w:tcPr>
          <w:p w14:paraId="44660050" w14:textId="77777777" w:rsidR="009A4C46" w:rsidRPr="009A4C46" w:rsidRDefault="009A4C46" w:rsidP="009A4C46">
            <w:pPr>
              <w:tabs>
                <w:tab w:val="left" w:pos="284"/>
                <w:tab w:val="left" w:pos="993"/>
              </w:tabs>
              <w:jc w:val="both"/>
              <w:rPr>
                <w:rFonts w:eastAsia="Times New Roman"/>
                <w:sz w:val="16"/>
                <w:szCs w:val="16"/>
                <w:lang w:eastAsia="ru-RU"/>
              </w:rPr>
            </w:pPr>
          </w:p>
        </w:tc>
        <w:tc>
          <w:tcPr>
            <w:tcW w:w="588" w:type="dxa"/>
            <w:vAlign w:val="center"/>
          </w:tcPr>
          <w:p w14:paraId="1826DCF9" w14:textId="77777777" w:rsidR="009A4C46" w:rsidRPr="009A4C46" w:rsidRDefault="009A4C46" w:rsidP="009A4C46">
            <w:pPr>
              <w:tabs>
                <w:tab w:val="left" w:pos="284"/>
                <w:tab w:val="left" w:pos="993"/>
              </w:tabs>
              <w:jc w:val="center"/>
              <w:rPr>
                <w:rFonts w:eastAsia="Times New Roman"/>
                <w:sz w:val="16"/>
                <w:szCs w:val="16"/>
                <w:lang w:eastAsia="ru-RU"/>
              </w:rPr>
            </w:pPr>
            <w:r w:rsidRPr="009A4C46">
              <w:rPr>
                <w:rFonts w:eastAsia="Times New Roman"/>
                <w:sz w:val="16"/>
                <w:szCs w:val="16"/>
                <w:lang w:eastAsia="ru-RU"/>
              </w:rPr>
              <w:t>2017</w:t>
            </w:r>
          </w:p>
        </w:tc>
        <w:tc>
          <w:tcPr>
            <w:tcW w:w="1060" w:type="dxa"/>
            <w:vAlign w:val="center"/>
          </w:tcPr>
          <w:p w14:paraId="25F8031E" w14:textId="77777777" w:rsidR="009A4C46" w:rsidRPr="009A4C46" w:rsidRDefault="009A4C46" w:rsidP="009A4C46">
            <w:pPr>
              <w:tabs>
                <w:tab w:val="left" w:pos="284"/>
                <w:tab w:val="left" w:pos="993"/>
              </w:tabs>
              <w:jc w:val="center"/>
              <w:rPr>
                <w:rFonts w:eastAsia="Times New Roman"/>
                <w:sz w:val="16"/>
                <w:szCs w:val="16"/>
                <w:lang w:eastAsia="ru-RU"/>
              </w:rPr>
            </w:pPr>
            <w:r w:rsidRPr="009A4C46">
              <w:rPr>
                <w:rFonts w:eastAsia="Times New Roman"/>
                <w:sz w:val="16"/>
                <w:szCs w:val="16"/>
                <w:lang w:eastAsia="ru-RU"/>
              </w:rPr>
              <w:t>564,65</w:t>
            </w:r>
          </w:p>
        </w:tc>
        <w:tc>
          <w:tcPr>
            <w:tcW w:w="1175" w:type="dxa"/>
            <w:vAlign w:val="center"/>
          </w:tcPr>
          <w:p w14:paraId="369C5464" w14:textId="77777777" w:rsidR="009A4C46" w:rsidRPr="009A4C46" w:rsidRDefault="009A4C46" w:rsidP="009A4C46">
            <w:pPr>
              <w:tabs>
                <w:tab w:val="left" w:pos="284"/>
                <w:tab w:val="left" w:pos="993"/>
              </w:tabs>
              <w:jc w:val="center"/>
              <w:rPr>
                <w:rFonts w:eastAsia="Times New Roman"/>
                <w:sz w:val="16"/>
                <w:szCs w:val="16"/>
                <w:lang w:eastAsia="ru-RU"/>
              </w:rPr>
            </w:pPr>
            <w:r w:rsidRPr="009A4C46">
              <w:rPr>
                <w:rFonts w:eastAsia="Times New Roman"/>
                <w:sz w:val="16"/>
                <w:szCs w:val="16"/>
                <w:lang w:eastAsia="ru-RU"/>
              </w:rPr>
              <w:t>1</w:t>
            </w:r>
          </w:p>
        </w:tc>
        <w:tc>
          <w:tcPr>
            <w:tcW w:w="1249" w:type="dxa"/>
            <w:vAlign w:val="center"/>
          </w:tcPr>
          <w:p w14:paraId="265E468A" w14:textId="77777777" w:rsidR="009A4C46" w:rsidRPr="009A4C46" w:rsidRDefault="009A4C46" w:rsidP="009A4C46">
            <w:pPr>
              <w:tabs>
                <w:tab w:val="left" w:pos="284"/>
                <w:tab w:val="left" w:pos="993"/>
              </w:tabs>
              <w:jc w:val="center"/>
              <w:rPr>
                <w:rFonts w:eastAsia="Times New Roman"/>
                <w:sz w:val="16"/>
                <w:szCs w:val="16"/>
                <w:lang w:eastAsia="ru-RU"/>
              </w:rPr>
            </w:pPr>
            <w:r w:rsidRPr="009A4C46">
              <w:rPr>
                <w:rFonts w:eastAsia="Times New Roman"/>
                <w:sz w:val="16"/>
                <w:szCs w:val="16"/>
                <w:lang w:eastAsia="ru-RU"/>
              </w:rPr>
              <w:t>75</w:t>
            </w:r>
          </w:p>
        </w:tc>
        <w:tc>
          <w:tcPr>
            <w:tcW w:w="1302" w:type="dxa"/>
            <w:vAlign w:val="center"/>
          </w:tcPr>
          <w:p w14:paraId="09C4D72E" w14:textId="77777777" w:rsidR="009A4C46" w:rsidRPr="009A4C46" w:rsidRDefault="009A4C46" w:rsidP="009A4C46">
            <w:pPr>
              <w:tabs>
                <w:tab w:val="left" w:pos="284"/>
                <w:tab w:val="left" w:pos="993"/>
              </w:tabs>
              <w:jc w:val="center"/>
              <w:rPr>
                <w:rFonts w:eastAsia="Times New Roman"/>
                <w:sz w:val="16"/>
                <w:szCs w:val="16"/>
                <w:lang w:eastAsia="ru-RU"/>
              </w:rPr>
            </w:pPr>
            <w:r w:rsidRPr="009A4C46">
              <w:rPr>
                <w:rFonts w:eastAsia="Times New Roman"/>
                <w:sz w:val="16"/>
                <w:szCs w:val="16"/>
                <w:lang w:eastAsia="ru-RU"/>
              </w:rPr>
              <w:t>2</w:t>
            </w:r>
          </w:p>
        </w:tc>
        <w:tc>
          <w:tcPr>
            <w:tcW w:w="1104" w:type="dxa"/>
            <w:vAlign w:val="center"/>
          </w:tcPr>
          <w:p w14:paraId="5F7FB848" w14:textId="77777777" w:rsidR="009A4C46" w:rsidRPr="009A4C46" w:rsidRDefault="009A4C46" w:rsidP="009A4C46">
            <w:pPr>
              <w:tabs>
                <w:tab w:val="left" w:pos="284"/>
                <w:tab w:val="left" w:pos="993"/>
              </w:tabs>
              <w:jc w:val="center"/>
              <w:rPr>
                <w:rFonts w:eastAsia="Times New Roman"/>
                <w:sz w:val="16"/>
                <w:szCs w:val="16"/>
                <w:lang w:eastAsia="ru-RU"/>
              </w:rPr>
            </w:pPr>
            <w:r w:rsidRPr="009A4C46">
              <w:rPr>
                <w:rFonts w:eastAsia="Times New Roman"/>
                <w:sz w:val="16"/>
                <w:szCs w:val="16"/>
                <w:lang w:eastAsia="ru-RU"/>
              </w:rPr>
              <w:t>155,42</w:t>
            </w:r>
          </w:p>
        </w:tc>
        <w:tc>
          <w:tcPr>
            <w:tcW w:w="1023" w:type="dxa"/>
            <w:vAlign w:val="center"/>
          </w:tcPr>
          <w:p w14:paraId="41CD8151" w14:textId="77777777" w:rsidR="009A4C46" w:rsidRPr="009A4C46" w:rsidRDefault="009A4C46" w:rsidP="009A4C46">
            <w:pPr>
              <w:tabs>
                <w:tab w:val="left" w:pos="284"/>
                <w:tab w:val="left" w:pos="993"/>
              </w:tabs>
              <w:jc w:val="center"/>
              <w:rPr>
                <w:rFonts w:eastAsia="Times New Roman"/>
                <w:sz w:val="16"/>
                <w:szCs w:val="16"/>
                <w:lang w:eastAsia="ru-RU"/>
              </w:rPr>
            </w:pPr>
            <w:r w:rsidRPr="009A4C46">
              <w:rPr>
                <w:rFonts w:eastAsia="Times New Roman"/>
                <w:sz w:val="16"/>
                <w:szCs w:val="16"/>
                <w:lang w:eastAsia="ru-RU"/>
              </w:rPr>
              <w:t>0,1076</w:t>
            </w:r>
          </w:p>
        </w:tc>
        <w:tc>
          <w:tcPr>
            <w:tcW w:w="879" w:type="dxa"/>
            <w:vAlign w:val="center"/>
          </w:tcPr>
          <w:p w14:paraId="03E6CE21" w14:textId="77777777" w:rsidR="009A4C46" w:rsidRPr="009A4C46" w:rsidRDefault="009A4C46" w:rsidP="009A4C46">
            <w:pPr>
              <w:tabs>
                <w:tab w:val="left" w:pos="284"/>
                <w:tab w:val="left" w:pos="993"/>
              </w:tabs>
              <w:jc w:val="center"/>
              <w:rPr>
                <w:rFonts w:eastAsia="Times New Roman"/>
                <w:sz w:val="16"/>
                <w:szCs w:val="16"/>
                <w:lang w:eastAsia="ru-RU"/>
              </w:rPr>
            </w:pPr>
            <w:r w:rsidRPr="009A4C46">
              <w:rPr>
                <w:rFonts w:eastAsia="Times New Roman"/>
                <w:sz w:val="16"/>
                <w:szCs w:val="16"/>
                <w:lang w:eastAsia="ru-RU"/>
              </w:rPr>
              <w:t>1,0102</w:t>
            </w:r>
          </w:p>
        </w:tc>
      </w:tr>
    </w:tbl>
    <w:p w14:paraId="43F5DE15" w14:textId="35ECBAA4" w:rsidR="009A4C46" w:rsidRPr="00E60E99" w:rsidRDefault="009A4C46" w:rsidP="00F94FED">
      <w:pPr>
        <w:tabs>
          <w:tab w:val="left" w:pos="284"/>
          <w:tab w:val="left" w:pos="993"/>
        </w:tabs>
        <w:spacing w:after="0" w:line="360" w:lineRule="auto"/>
        <w:ind w:firstLine="567"/>
        <w:jc w:val="both"/>
        <w:rPr>
          <w:rFonts w:eastAsia="Times New Roman"/>
          <w:sz w:val="26"/>
          <w:szCs w:val="26"/>
          <w:lang w:eastAsia="ru-RU"/>
        </w:rPr>
      </w:pPr>
      <w:r w:rsidRPr="00E60E99">
        <w:rPr>
          <w:rFonts w:eastAsia="Times New Roman"/>
          <w:sz w:val="26"/>
          <w:szCs w:val="26"/>
          <w:lang w:eastAsia="ru-RU"/>
        </w:rPr>
        <w:t>В соответствии с приказом ФАС России от 17.01.2018 №49/18</w:t>
      </w:r>
      <w:r w:rsidR="0063188C" w:rsidRPr="00E60E99">
        <w:rPr>
          <w:rFonts w:eastAsia="Times New Roman"/>
          <w:sz w:val="26"/>
          <w:szCs w:val="26"/>
          <w:lang w:eastAsia="ru-RU"/>
        </w:rPr>
        <w:br/>
      </w:r>
      <w:r w:rsidRPr="00E60E99">
        <w:rPr>
          <w:rFonts w:eastAsia="Times New Roman"/>
          <w:sz w:val="26"/>
          <w:szCs w:val="26"/>
          <w:lang w:eastAsia="ru-RU"/>
        </w:rPr>
        <w:t xml:space="preserve">«О согласовании Федеральной антимонопольной службой предложения Службы по тарифам Республики Тыва о продлении срока действия долгосрочного периода </w:t>
      </w:r>
      <w:r w:rsidRPr="00E60E99">
        <w:rPr>
          <w:rFonts w:eastAsia="Times New Roman"/>
          <w:sz w:val="26"/>
          <w:szCs w:val="26"/>
          <w:lang w:eastAsia="ru-RU"/>
        </w:rPr>
        <w:lastRenderedPageBreak/>
        <w:t>регулирования тарифов на услуги по передаче электрической энергии с применением метода долгосрочной индексации необходимой валовой выручки АО «Тываэнерго» первый долгосрочный период регулирования Общества продлен до 31.12.2022</w:t>
      </w:r>
      <w:r w:rsidR="0063188C" w:rsidRPr="00E60E99">
        <w:rPr>
          <w:rFonts w:eastAsia="Times New Roman"/>
          <w:sz w:val="26"/>
          <w:szCs w:val="26"/>
          <w:lang w:eastAsia="ru-RU"/>
        </w:rPr>
        <w:t>.</w:t>
      </w:r>
    </w:p>
    <w:p w14:paraId="4A559270" w14:textId="55C0F500" w:rsidR="009A4C46" w:rsidRPr="00E60E99" w:rsidRDefault="009A4C46" w:rsidP="00F94FED">
      <w:pPr>
        <w:tabs>
          <w:tab w:val="left" w:pos="284"/>
          <w:tab w:val="left" w:pos="993"/>
        </w:tabs>
        <w:spacing w:after="0" w:line="360" w:lineRule="auto"/>
        <w:ind w:firstLine="567"/>
        <w:jc w:val="both"/>
        <w:rPr>
          <w:rFonts w:eastAsia="Times New Roman"/>
          <w:sz w:val="26"/>
          <w:szCs w:val="26"/>
          <w:lang w:eastAsia="ru-RU"/>
        </w:rPr>
      </w:pPr>
      <w:r w:rsidRPr="00E60E99">
        <w:rPr>
          <w:rFonts w:eastAsia="Times New Roman"/>
          <w:sz w:val="26"/>
          <w:szCs w:val="26"/>
          <w:lang w:eastAsia="ru-RU"/>
        </w:rPr>
        <w:t xml:space="preserve">Долгосрочные параметры регулирования деятельности АО «Тываэнерго» с применением метода долгосрочной индексации необходимой валовой выручки на 2018-2022 </w:t>
      </w:r>
      <w:r w:rsidR="0063188C" w:rsidRPr="00E60E99">
        <w:rPr>
          <w:rFonts w:eastAsia="Times New Roman"/>
          <w:sz w:val="26"/>
          <w:szCs w:val="26"/>
          <w:lang w:eastAsia="ru-RU"/>
        </w:rPr>
        <w:t>годы</w:t>
      </w:r>
      <w:r w:rsidRPr="00E60E99">
        <w:rPr>
          <w:rFonts w:eastAsia="Times New Roman"/>
          <w:sz w:val="26"/>
          <w:szCs w:val="26"/>
          <w:lang w:eastAsia="ru-RU"/>
        </w:rPr>
        <w:t xml:space="preserve"> утверждены на уровне:</w:t>
      </w:r>
    </w:p>
    <w:tbl>
      <w:tblPr>
        <w:tblStyle w:val="19"/>
        <w:tblW w:w="5000" w:type="pct"/>
        <w:tblLayout w:type="fixed"/>
        <w:tblLook w:val="04A0" w:firstRow="1" w:lastRow="0" w:firstColumn="1" w:lastColumn="0" w:noHBand="0" w:noVBand="1"/>
      </w:tblPr>
      <w:tblGrid>
        <w:gridCol w:w="1050"/>
        <w:gridCol w:w="645"/>
        <w:gridCol w:w="1006"/>
        <w:gridCol w:w="1170"/>
        <w:gridCol w:w="1170"/>
        <w:gridCol w:w="1331"/>
        <w:gridCol w:w="1278"/>
        <w:gridCol w:w="850"/>
        <w:gridCol w:w="845"/>
      </w:tblGrid>
      <w:tr w:rsidR="009540B9" w:rsidRPr="009540B9" w14:paraId="76C70776" w14:textId="77777777" w:rsidTr="00E60E99">
        <w:trPr>
          <w:tblHeader/>
        </w:trPr>
        <w:tc>
          <w:tcPr>
            <w:tcW w:w="56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0E7FFDD" w14:textId="77777777" w:rsidR="009A4C46" w:rsidRPr="00E60E99" w:rsidRDefault="009A4C46" w:rsidP="009A4C46">
            <w:pPr>
              <w:jc w:val="center"/>
              <w:rPr>
                <w:rFonts w:eastAsia="Times New Roman"/>
                <w:color w:val="FFFFFF" w:themeColor="background1"/>
                <w:sz w:val="16"/>
                <w:szCs w:val="16"/>
                <w:lang w:eastAsia="ru-RU"/>
              </w:rPr>
            </w:pPr>
            <w:r w:rsidRPr="00E60E99">
              <w:rPr>
                <w:rFonts w:eastAsia="Times New Roman"/>
                <w:color w:val="FFFFFF" w:themeColor="background1"/>
                <w:sz w:val="16"/>
                <w:szCs w:val="16"/>
                <w:lang w:eastAsia="ru-RU"/>
              </w:rPr>
              <w:t>Наименование сетевой организации в субъекте Российской Федерации</w:t>
            </w:r>
          </w:p>
        </w:tc>
        <w:tc>
          <w:tcPr>
            <w:tcW w:w="34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F4FA370" w14:textId="77777777" w:rsidR="009A4C46" w:rsidRPr="00E60E99" w:rsidRDefault="009A4C46" w:rsidP="009A4C46">
            <w:pPr>
              <w:jc w:val="center"/>
              <w:rPr>
                <w:rFonts w:eastAsia="Times New Roman"/>
                <w:color w:val="FFFFFF" w:themeColor="background1"/>
                <w:sz w:val="16"/>
                <w:szCs w:val="16"/>
                <w:lang w:eastAsia="ru-RU"/>
              </w:rPr>
            </w:pPr>
            <w:r w:rsidRPr="00E60E99">
              <w:rPr>
                <w:rFonts w:eastAsia="Times New Roman"/>
                <w:color w:val="FFFFFF" w:themeColor="background1"/>
                <w:sz w:val="16"/>
                <w:szCs w:val="16"/>
                <w:lang w:eastAsia="ru-RU"/>
              </w:rPr>
              <w:t>Год</w:t>
            </w:r>
          </w:p>
        </w:tc>
        <w:tc>
          <w:tcPr>
            <w:tcW w:w="53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D3DFDF1" w14:textId="77777777" w:rsidR="009A4C46" w:rsidRPr="00E60E99" w:rsidRDefault="009A4C46" w:rsidP="009A4C46">
            <w:pPr>
              <w:jc w:val="center"/>
              <w:rPr>
                <w:rFonts w:eastAsia="Times New Roman"/>
                <w:color w:val="FFFFFF" w:themeColor="background1"/>
                <w:sz w:val="16"/>
                <w:szCs w:val="16"/>
                <w:lang w:eastAsia="ru-RU"/>
              </w:rPr>
            </w:pPr>
            <w:r w:rsidRPr="00E60E99">
              <w:rPr>
                <w:rFonts w:eastAsia="Times New Roman"/>
                <w:color w:val="FFFFFF" w:themeColor="background1"/>
                <w:sz w:val="16"/>
                <w:szCs w:val="16"/>
                <w:lang w:eastAsia="ru-RU"/>
              </w:rPr>
              <w:t>Базовый уровень подконтрольных расходов</w:t>
            </w:r>
          </w:p>
        </w:tc>
        <w:tc>
          <w:tcPr>
            <w:tcW w:w="62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E43E2F0" w14:textId="77777777" w:rsidR="009A4C46" w:rsidRPr="00E60E99" w:rsidRDefault="009A4C46" w:rsidP="009A4C46">
            <w:pPr>
              <w:jc w:val="center"/>
              <w:rPr>
                <w:rFonts w:eastAsia="Times New Roman"/>
                <w:color w:val="FFFFFF" w:themeColor="background1"/>
                <w:sz w:val="16"/>
                <w:szCs w:val="16"/>
                <w:lang w:eastAsia="ru-RU"/>
              </w:rPr>
            </w:pPr>
            <w:r w:rsidRPr="00E60E99">
              <w:rPr>
                <w:rFonts w:eastAsia="Times New Roman"/>
                <w:color w:val="FFFFFF" w:themeColor="background1"/>
                <w:sz w:val="16"/>
                <w:szCs w:val="16"/>
                <w:lang w:eastAsia="ru-RU"/>
              </w:rPr>
              <w:t>Индекс эффективности подконтрольных расходов</w:t>
            </w:r>
          </w:p>
        </w:tc>
        <w:tc>
          <w:tcPr>
            <w:tcW w:w="62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D65E999" w14:textId="77777777" w:rsidR="009A4C46" w:rsidRPr="00E60E99" w:rsidRDefault="009A4C46" w:rsidP="009A4C46">
            <w:pPr>
              <w:jc w:val="center"/>
              <w:rPr>
                <w:rFonts w:eastAsia="Times New Roman"/>
                <w:color w:val="FFFFFF" w:themeColor="background1"/>
                <w:sz w:val="16"/>
                <w:szCs w:val="16"/>
                <w:lang w:eastAsia="ru-RU"/>
              </w:rPr>
            </w:pPr>
            <w:r w:rsidRPr="00E60E99">
              <w:rPr>
                <w:rFonts w:eastAsia="Times New Roman"/>
                <w:color w:val="FFFFFF" w:themeColor="background1"/>
                <w:sz w:val="16"/>
                <w:szCs w:val="16"/>
                <w:lang w:eastAsia="ru-RU"/>
              </w:rPr>
              <w:t>Коэффициент эластичности подконтрольных расходов по количеству активов</w:t>
            </w:r>
          </w:p>
        </w:tc>
        <w:tc>
          <w:tcPr>
            <w:tcW w:w="71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9BF9FAC" w14:textId="77777777" w:rsidR="009A4C46" w:rsidRPr="00E60E99" w:rsidRDefault="009A4C46" w:rsidP="009A4C46">
            <w:pPr>
              <w:jc w:val="center"/>
              <w:rPr>
                <w:rFonts w:eastAsia="Times New Roman"/>
                <w:color w:val="FFFFFF" w:themeColor="background1"/>
                <w:sz w:val="16"/>
                <w:szCs w:val="16"/>
                <w:lang w:eastAsia="ru-RU"/>
              </w:rPr>
            </w:pPr>
            <w:r w:rsidRPr="00E60E99">
              <w:rPr>
                <w:rFonts w:eastAsia="Times New Roman"/>
                <w:color w:val="FFFFFF" w:themeColor="background1"/>
                <w:sz w:val="16"/>
                <w:szCs w:val="16"/>
                <w:lang w:eastAsia="ru-RU"/>
              </w:rPr>
              <w:t>Максимальная возможная корректировка необходимой валовой выручки, осуществляемая с учетом достижения установленного уровня надежности и качества услуг</w:t>
            </w:r>
          </w:p>
        </w:tc>
        <w:tc>
          <w:tcPr>
            <w:tcW w:w="68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75D6485" w14:textId="77777777" w:rsidR="009A4C46" w:rsidRPr="00E60E99" w:rsidRDefault="009A4C46" w:rsidP="009A4C46">
            <w:pPr>
              <w:jc w:val="center"/>
              <w:rPr>
                <w:rFonts w:eastAsia="Times New Roman"/>
                <w:color w:val="FFFFFF" w:themeColor="background1"/>
                <w:sz w:val="16"/>
                <w:szCs w:val="16"/>
                <w:lang w:eastAsia="ru-RU"/>
              </w:rPr>
            </w:pPr>
            <w:r w:rsidRPr="00E60E99">
              <w:rPr>
                <w:rFonts w:eastAsia="Times New Roman"/>
                <w:color w:val="FFFFFF" w:themeColor="background1"/>
                <w:sz w:val="16"/>
                <w:szCs w:val="16"/>
                <w:lang w:eastAsia="ru-RU"/>
              </w:rPr>
              <w:t>Величина технологического расхода (потерь) электрической энергии</w:t>
            </w:r>
          </w:p>
        </w:tc>
        <w:tc>
          <w:tcPr>
            <w:tcW w:w="45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4E636C2" w14:textId="77777777" w:rsidR="009A4C46" w:rsidRPr="00E60E99" w:rsidRDefault="009A4C46" w:rsidP="009A4C46">
            <w:pPr>
              <w:jc w:val="center"/>
              <w:rPr>
                <w:rFonts w:eastAsia="Times New Roman"/>
                <w:color w:val="FFFFFF" w:themeColor="background1"/>
                <w:sz w:val="16"/>
                <w:szCs w:val="16"/>
                <w:lang w:eastAsia="ru-RU"/>
              </w:rPr>
            </w:pPr>
            <w:r w:rsidRPr="00E60E99">
              <w:rPr>
                <w:rFonts w:eastAsia="Times New Roman"/>
                <w:color w:val="FFFFFF" w:themeColor="background1"/>
                <w:sz w:val="16"/>
                <w:szCs w:val="16"/>
                <w:lang w:eastAsia="ru-RU"/>
              </w:rPr>
              <w:t>Уровень надежности реализуемых товаров (услуг)</w:t>
            </w:r>
          </w:p>
        </w:tc>
        <w:tc>
          <w:tcPr>
            <w:tcW w:w="45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ECF6E4A" w14:textId="77777777" w:rsidR="009A4C46" w:rsidRPr="00E60E99" w:rsidRDefault="009A4C46" w:rsidP="009A4C46">
            <w:pPr>
              <w:jc w:val="center"/>
              <w:rPr>
                <w:rFonts w:eastAsia="Times New Roman"/>
                <w:color w:val="FFFFFF" w:themeColor="background1"/>
                <w:sz w:val="16"/>
                <w:szCs w:val="16"/>
                <w:lang w:eastAsia="ru-RU"/>
              </w:rPr>
            </w:pPr>
            <w:r w:rsidRPr="00E60E99">
              <w:rPr>
                <w:rFonts w:eastAsia="Times New Roman"/>
                <w:color w:val="FFFFFF" w:themeColor="background1"/>
                <w:sz w:val="16"/>
                <w:szCs w:val="16"/>
                <w:lang w:eastAsia="ru-RU"/>
              </w:rPr>
              <w:t>Уровень качества реализуемых товаров (услуг)</w:t>
            </w:r>
          </w:p>
        </w:tc>
      </w:tr>
      <w:tr w:rsidR="009540B9" w:rsidRPr="009540B9" w14:paraId="173EDD82" w14:textId="77777777" w:rsidTr="00E60E99">
        <w:tc>
          <w:tcPr>
            <w:tcW w:w="56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C76405D" w14:textId="77777777" w:rsidR="009A4C46" w:rsidRPr="00F94FED" w:rsidRDefault="009A4C46" w:rsidP="009A4C46">
            <w:pPr>
              <w:tabs>
                <w:tab w:val="left" w:pos="284"/>
                <w:tab w:val="left" w:pos="993"/>
              </w:tabs>
              <w:jc w:val="center"/>
              <w:rPr>
                <w:rFonts w:eastAsia="Times New Roman"/>
                <w:color w:val="FFFFFF" w:themeColor="background1"/>
                <w:sz w:val="16"/>
                <w:szCs w:val="16"/>
                <w:lang w:eastAsia="ru-RU"/>
              </w:rPr>
            </w:pPr>
          </w:p>
        </w:tc>
        <w:tc>
          <w:tcPr>
            <w:tcW w:w="34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F900B6B" w14:textId="77777777" w:rsidR="009A4C46" w:rsidRPr="00F94FED" w:rsidRDefault="009A4C46" w:rsidP="009A4C46">
            <w:pPr>
              <w:tabs>
                <w:tab w:val="left" w:pos="284"/>
                <w:tab w:val="left" w:pos="993"/>
              </w:tabs>
              <w:jc w:val="center"/>
              <w:rPr>
                <w:rFonts w:eastAsia="Times New Roman"/>
                <w:color w:val="FFFFFF" w:themeColor="background1"/>
                <w:sz w:val="16"/>
                <w:szCs w:val="16"/>
                <w:lang w:eastAsia="ru-RU"/>
              </w:rPr>
            </w:pPr>
          </w:p>
        </w:tc>
        <w:tc>
          <w:tcPr>
            <w:tcW w:w="53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4130DB2" w14:textId="77777777" w:rsidR="009A4C46" w:rsidRPr="00F94FED" w:rsidRDefault="009A4C46" w:rsidP="009A4C46">
            <w:pPr>
              <w:tabs>
                <w:tab w:val="left" w:pos="284"/>
                <w:tab w:val="left" w:pos="993"/>
              </w:tabs>
              <w:jc w:val="center"/>
              <w:rPr>
                <w:rFonts w:eastAsia="Times New Roman"/>
                <w:color w:val="FFFFFF" w:themeColor="background1"/>
                <w:sz w:val="16"/>
                <w:szCs w:val="16"/>
                <w:lang w:eastAsia="ru-RU"/>
              </w:rPr>
            </w:pPr>
            <w:proofErr w:type="spellStart"/>
            <w:r w:rsidRPr="00F94FED">
              <w:rPr>
                <w:rFonts w:eastAsia="Times New Roman"/>
                <w:color w:val="FFFFFF" w:themeColor="background1"/>
                <w:sz w:val="16"/>
                <w:szCs w:val="16"/>
                <w:lang w:eastAsia="ru-RU"/>
              </w:rPr>
              <w:t>млн.руб</w:t>
            </w:r>
            <w:proofErr w:type="spellEnd"/>
            <w:r w:rsidRPr="00F94FED">
              <w:rPr>
                <w:rFonts w:eastAsia="Times New Roman"/>
                <w:color w:val="FFFFFF" w:themeColor="background1"/>
                <w:sz w:val="16"/>
                <w:szCs w:val="16"/>
                <w:lang w:eastAsia="ru-RU"/>
              </w:rPr>
              <w:t>.</w:t>
            </w:r>
          </w:p>
        </w:tc>
        <w:tc>
          <w:tcPr>
            <w:tcW w:w="62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A012906" w14:textId="77777777" w:rsidR="009A4C46" w:rsidRPr="00F94FED" w:rsidRDefault="009A4C46" w:rsidP="009A4C46">
            <w:pPr>
              <w:tabs>
                <w:tab w:val="left" w:pos="284"/>
                <w:tab w:val="left" w:pos="993"/>
              </w:tabs>
              <w:jc w:val="center"/>
              <w:rPr>
                <w:rFonts w:eastAsia="Times New Roman"/>
                <w:color w:val="FFFFFF" w:themeColor="background1"/>
                <w:sz w:val="16"/>
                <w:szCs w:val="16"/>
                <w:lang w:eastAsia="ru-RU"/>
              </w:rPr>
            </w:pPr>
            <w:r w:rsidRPr="00F94FED">
              <w:rPr>
                <w:rFonts w:eastAsia="Times New Roman"/>
                <w:color w:val="FFFFFF" w:themeColor="background1"/>
                <w:sz w:val="16"/>
                <w:szCs w:val="16"/>
                <w:lang w:eastAsia="ru-RU"/>
              </w:rPr>
              <w:t>%</w:t>
            </w:r>
          </w:p>
        </w:tc>
        <w:tc>
          <w:tcPr>
            <w:tcW w:w="62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98FB055" w14:textId="77777777" w:rsidR="009A4C46" w:rsidRPr="00F94FED" w:rsidRDefault="009A4C46" w:rsidP="009A4C46">
            <w:pPr>
              <w:tabs>
                <w:tab w:val="left" w:pos="284"/>
                <w:tab w:val="left" w:pos="993"/>
              </w:tabs>
              <w:jc w:val="center"/>
              <w:rPr>
                <w:rFonts w:eastAsia="Times New Roman"/>
                <w:color w:val="FFFFFF" w:themeColor="background1"/>
                <w:sz w:val="16"/>
                <w:szCs w:val="16"/>
                <w:lang w:eastAsia="ru-RU"/>
              </w:rPr>
            </w:pPr>
            <w:r w:rsidRPr="00F94FED">
              <w:rPr>
                <w:rFonts w:eastAsia="Times New Roman"/>
                <w:color w:val="FFFFFF" w:themeColor="background1"/>
                <w:sz w:val="16"/>
                <w:szCs w:val="16"/>
                <w:lang w:eastAsia="ru-RU"/>
              </w:rPr>
              <w:t>%</w:t>
            </w:r>
          </w:p>
        </w:tc>
        <w:tc>
          <w:tcPr>
            <w:tcW w:w="71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86C8EF6" w14:textId="77777777" w:rsidR="009A4C46" w:rsidRPr="00F94FED" w:rsidRDefault="009A4C46" w:rsidP="009A4C46">
            <w:pPr>
              <w:tabs>
                <w:tab w:val="left" w:pos="284"/>
                <w:tab w:val="left" w:pos="993"/>
              </w:tabs>
              <w:jc w:val="center"/>
              <w:rPr>
                <w:rFonts w:eastAsia="Times New Roman"/>
                <w:color w:val="FFFFFF" w:themeColor="background1"/>
                <w:sz w:val="16"/>
                <w:szCs w:val="16"/>
                <w:lang w:eastAsia="ru-RU"/>
              </w:rPr>
            </w:pPr>
            <w:r w:rsidRPr="00F94FED">
              <w:rPr>
                <w:rFonts w:eastAsia="Times New Roman"/>
                <w:color w:val="FFFFFF" w:themeColor="background1"/>
                <w:sz w:val="16"/>
                <w:szCs w:val="16"/>
                <w:lang w:eastAsia="ru-RU"/>
              </w:rPr>
              <w:t>%</w:t>
            </w:r>
          </w:p>
        </w:tc>
        <w:tc>
          <w:tcPr>
            <w:tcW w:w="68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7B5444A" w14:textId="76301CD3" w:rsidR="009A4C46" w:rsidRPr="00F94FED" w:rsidRDefault="009A4C46" w:rsidP="009A4C46">
            <w:pPr>
              <w:tabs>
                <w:tab w:val="left" w:pos="284"/>
                <w:tab w:val="left" w:pos="993"/>
              </w:tabs>
              <w:jc w:val="center"/>
              <w:rPr>
                <w:rFonts w:eastAsia="Times New Roman"/>
                <w:color w:val="FFFFFF" w:themeColor="background1"/>
                <w:sz w:val="16"/>
                <w:szCs w:val="16"/>
                <w:lang w:eastAsia="ru-RU"/>
              </w:rPr>
            </w:pPr>
            <w:r w:rsidRPr="00F94FED">
              <w:rPr>
                <w:rFonts w:eastAsia="Times New Roman"/>
                <w:color w:val="FFFFFF" w:themeColor="background1"/>
                <w:sz w:val="16"/>
                <w:szCs w:val="16"/>
                <w:lang w:eastAsia="ru-RU"/>
              </w:rPr>
              <w:t>% (млн. кВт</w:t>
            </w:r>
            <w:r w:rsidR="009540B9" w:rsidRPr="00F94FED">
              <w:rPr>
                <w:rFonts w:eastAsia="Times New Roman"/>
                <w:color w:val="FFFFFF" w:themeColor="background1"/>
                <w:sz w:val="16"/>
                <w:szCs w:val="16"/>
                <w:lang w:eastAsia="ru-RU"/>
              </w:rPr>
              <w:t>*</w:t>
            </w:r>
            <w:r w:rsidRPr="00F94FED">
              <w:rPr>
                <w:rFonts w:eastAsia="Times New Roman"/>
                <w:color w:val="FFFFFF" w:themeColor="background1"/>
                <w:sz w:val="16"/>
                <w:szCs w:val="16"/>
                <w:lang w:eastAsia="ru-RU"/>
              </w:rPr>
              <w:t>ч)</w:t>
            </w:r>
          </w:p>
        </w:tc>
        <w:tc>
          <w:tcPr>
            <w:tcW w:w="45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009AB51" w14:textId="77777777" w:rsidR="009A4C46" w:rsidRPr="00F94FED" w:rsidRDefault="009A4C46" w:rsidP="009A4C46">
            <w:pPr>
              <w:tabs>
                <w:tab w:val="left" w:pos="284"/>
                <w:tab w:val="left" w:pos="993"/>
              </w:tabs>
              <w:jc w:val="center"/>
              <w:rPr>
                <w:rFonts w:eastAsia="Times New Roman"/>
                <w:color w:val="FFFFFF" w:themeColor="background1"/>
                <w:sz w:val="16"/>
                <w:szCs w:val="16"/>
                <w:lang w:eastAsia="ru-RU"/>
              </w:rPr>
            </w:pPr>
          </w:p>
        </w:tc>
        <w:tc>
          <w:tcPr>
            <w:tcW w:w="45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DFE137F" w14:textId="77777777" w:rsidR="009A4C46" w:rsidRPr="00F94FED" w:rsidRDefault="009A4C46" w:rsidP="009A4C46">
            <w:pPr>
              <w:tabs>
                <w:tab w:val="left" w:pos="284"/>
                <w:tab w:val="left" w:pos="993"/>
              </w:tabs>
              <w:jc w:val="center"/>
              <w:rPr>
                <w:rFonts w:eastAsia="Times New Roman"/>
                <w:color w:val="FFFFFF" w:themeColor="background1"/>
                <w:sz w:val="16"/>
                <w:szCs w:val="16"/>
                <w:lang w:eastAsia="ru-RU"/>
              </w:rPr>
            </w:pPr>
          </w:p>
        </w:tc>
      </w:tr>
      <w:tr w:rsidR="009540B9" w:rsidRPr="009540B9" w14:paraId="5AA28334" w14:textId="77777777" w:rsidTr="00E60E99">
        <w:tc>
          <w:tcPr>
            <w:tcW w:w="562" w:type="pct"/>
            <w:vMerge w:val="restart"/>
            <w:tcBorders>
              <w:top w:val="single" w:sz="4" w:space="0" w:color="FFFFFF" w:themeColor="background1"/>
            </w:tcBorders>
            <w:textDirection w:val="btLr"/>
            <w:vAlign w:val="center"/>
          </w:tcPr>
          <w:p w14:paraId="61C48D21" w14:textId="77777777" w:rsidR="009A4C46" w:rsidRPr="009540B9" w:rsidRDefault="009A4C46" w:rsidP="009A4C46">
            <w:pPr>
              <w:tabs>
                <w:tab w:val="left" w:pos="284"/>
                <w:tab w:val="left" w:pos="993"/>
              </w:tabs>
              <w:ind w:left="113" w:right="113"/>
              <w:jc w:val="center"/>
              <w:rPr>
                <w:rFonts w:eastAsia="Times New Roman"/>
                <w:sz w:val="16"/>
                <w:szCs w:val="16"/>
                <w:lang w:eastAsia="ru-RU"/>
              </w:rPr>
            </w:pPr>
            <w:r w:rsidRPr="009540B9">
              <w:rPr>
                <w:rFonts w:eastAsia="Times New Roman"/>
                <w:sz w:val="16"/>
                <w:szCs w:val="16"/>
                <w:lang w:eastAsia="ru-RU"/>
              </w:rPr>
              <w:t>АО  «Тываэнерго»</w:t>
            </w:r>
          </w:p>
        </w:tc>
        <w:tc>
          <w:tcPr>
            <w:tcW w:w="345" w:type="pct"/>
            <w:tcBorders>
              <w:top w:val="single" w:sz="4" w:space="0" w:color="FFFFFF" w:themeColor="background1"/>
            </w:tcBorders>
            <w:vAlign w:val="center"/>
          </w:tcPr>
          <w:p w14:paraId="4C672113" w14:textId="77777777" w:rsidR="009A4C46" w:rsidRPr="009540B9" w:rsidRDefault="009A4C46" w:rsidP="009A4C46">
            <w:pPr>
              <w:tabs>
                <w:tab w:val="left" w:pos="284"/>
                <w:tab w:val="left" w:pos="993"/>
              </w:tabs>
              <w:jc w:val="center"/>
              <w:rPr>
                <w:rFonts w:eastAsia="Times New Roman"/>
                <w:sz w:val="16"/>
                <w:szCs w:val="16"/>
                <w:lang w:eastAsia="ru-RU"/>
              </w:rPr>
            </w:pPr>
            <w:r w:rsidRPr="009540B9">
              <w:rPr>
                <w:rFonts w:eastAsia="Times New Roman"/>
                <w:sz w:val="16"/>
                <w:szCs w:val="16"/>
                <w:lang w:eastAsia="ru-RU"/>
              </w:rPr>
              <w:t>2018</w:t>
            </w:r>
          </w:p>
        </w:tc>
        <w:tc>
          <w:tcPr>
            <w:tcW w:w="538" w:type="pct"/>
            <w:tcBorders>
              <w:top w:val="single" w:sz="4" w:space="0" w:color="FFFFFF" w:themeColor="background1"/>
            </w:tcBorders>
            <w:vAlign w:val="center"/>
          </w:tcPr>
          <w:p w14:paraId="2B6CB9EF" w14:textId="77777777" w:rsidR="009A4C46" w:rsidRPr="009540B9" w:rsidRDefault="009A4C46" w:rsidP="009A4C46">
            <w:pPr>
              <w:tabs>
                <w:tab w:val="left" w:pos="284"/>
                <w:tab w:val="left" w:pos="993"/>
              </w:tabs>
              <w:jc w:val="center"/>
              <w:rPr>
                <w:rFonts w:eastAsia="Times New Roman"/>
                <w:sz w:val="16"/>
                <w:szCs w:val="16"/>
                <w:lang w:eastAsia="ru-RU"/>
              </w:rPr>
            </w:pPr>
            <w:r w:rsidRPr="009540B9">
              <w:rPr>
                <w:rFonts w:eastAsia="Times New Roman"/>
                <w:sz w:val="16"/>
                <w:szCs w:val="16"/>
                <w:lang w:eastAsia="ru-RU"/>
              </w:rPr>
              <w:t>×</w:t>
            </w:r>
          </w:p>
        </w:tc>
        <w:tc>
          <w:tcPr>
            <w:tcW w:w="626" w:type="pct"/>
            <w:tcBorders>
              <w:top w:val="single" w:sz="4" w:space="0" w:color="FFFFFF" w:themeColor="background1"/>
            </w:tcBorders>
            <w:vAlign w:val="center"/>
          </w:tcPr>
          <w:p w14:paraId="0525CC1C" w14:textId="77777777" w:rsidR="009A4C46" w:rsidRPr="009540B9" w:rsidRDefault="009A4C46" w:rsidP="009A4C46">
            <w:pPr>
              <w:tabs>
                <w:tab w:val="left" w:pos="284"/>
                <w:tab w:val="left" w:pos="993"/>
              </w:tabs>
              <w:jc w:val="center"/>
              <w:rPr>
                <w:rFonts w:eastAsia="Times New Roman"/>
                <w:sz w:val="16"/>
                <w:szCs w:val="16"/>
                <w:lang w:eastAsia="ru-RU"/>
              </w:rPr>
            </w:pPr>
            <w:r w:rsidRPr="009540B9">
              <w:rPr>
                <w:rFonts w:eastAsia="Times New Roman"/>
                <w:sz w:val="16"/>
                <w:szCs w:val="16"/>
                <w:lang w:eastAsia="ru-RU"/>
              </w:rPr>
              <w:t>1</w:t>
            </w:r>
          </w:p>
        </w:tc>
        <w:tc>
          <w:tcPr>
            <w:tcW w:w="626" w:type="pct"/>
            <w:tcBorders>
              <w:top w:val="single" w:sz="4" w:space="0" w:color="FFFFFF" w:themeColor="background1"/>
            </w:tcBorders>
            <w:vAlign w:val="center"/>
          </w:tcPr>
          <w:p w14:paraId="16141030" w14:textId="77777777" w:rsidR="009A4C46" w:rsidRPr="009540B9" w:rsidRDefault="009A4C46" w:rsidP="009A4C46">
            <w:pPr>
              <w:tabs>
                <w:tab w:val="left" w:pos="284"/>
                <w:tab w:val="left" w:pos="993"/>
              </w:tabs>
              <w:jc w:val="center"/>
              <w:rPr>
                <w:rFonts w:eastAsia="Times New Roman"/>
                <w:sz w:val="16"/>
                <w:szCs w:val="16"/>
                <w:lang w:eastAsia="ru-RU"/>
              </w:rPr>
            </w:pPr>
            <w:r w:rsidRPr="009540B9">
              <w:rPr>
                <w:rFonts w:eastAsia="Times New Roman"/>
                <w:sz w:val="16"/>
                <w:szCs w:val="16"/>
                <w:lang w:eastAsia="ru-RU"/>
              </w:rPr>
              <w:t>75</w:t>
            </w:r>
          </w:p>
        </w:tc>
        <w:tc>
          <w:tcPr>
            <w:tcW w:w="712" w:type="pct"/>
            <w:tcBorders>
              <w:top w:val="single" w:sz="4" w:space="0" w:color="FFFFFF" w:themeColor="background1"/>
            </w:tcBorders>
            <w:vAlign w:val="center"/>
          </w:tcPr>
          <w:p w14:paraId="1ABDB5E4" w14:textId="77777777" w:rsidR="009A4C46" w:rsidRPr="009540B9" w:rsidRDefault="009A4C46" w:rsidP="009A4C46">
            <w:pPr>
              <w:tabs>
                <w:tab w:val="left" w:pos="284"/>
                <w:tab w:val="left" w:pos="993"/>
              </w:tabs>
              <w:jc w:val="center"/>
              <w:rPr>
                <w:rFonts w:eastAsia="Times New Roman"/>
                <w:sz w:val="16"/>
                <w:szCs w:val="16"/>
                <w:lang w:eastAsia="ru-RU"/>
              </w:rPr>
            </w:pPr>
            <w:r w:rsidRPr="009540B9">
              <w:rPr>
                <w:rFonts w:eastAsia="Times New Roman"/>
                <w:sz w:val="16"/>
                <w:szCs w:val="16"/>
                <w:lang w:eastAsia="ru-RU"/>
              </w:rPr>
              <w:t>2</w:t>
            </w:r>
          </w:p>
        </w:tc>
        <w:tc>
          <w:tcPr>
            <w:tcW w:w="684" w:type="pct"/>
            <w:tcBorders>
              <w:top w:val="single" w:sz="4" w:space="0" w:color="FFFFFF" w:themeColor="background1"/>
            </w:tcBorders>
            <w:vAlign w:val="center"/>
          </w:tcPr>
          <w:p w14:paraId="7AF7A4FF" w14:textId="77777777" w:rsidR="009A4C46" w:rsidRPr="009540B9" w:rsidRDefault="009A4C46" w:rsidP="009A4C46">
            <w:pPr>
              <w:tabs>
                <w:tab w:val="left" w:pos="284"/>
                <w:tab w:val="left" w:pos="993"/>
              </w:tabs>
              <w:jc w:val="center"/>
              <w:rPr>
                <w:rFonts w:eastAsia="Times New Roman"/>
                <w:sz w:val="16"/>
                <w:szCs w:val="16"/>
                <w:lang w:eastAsia="ru-RU"/>
              </w:rPr>
            </w:pPr>
            <w:r w:rsidRPr="009540B9">
              <w:rPr>
                <w:rFonts w:eastAsia="Times New Roman"/>
                <w:sz w:val="16"/>
                <w:szCs w:val="16"/>
                <w:lang w:eastAsia="ru-RU"/>
              </w:rPr>
              <w:t>20,22</w:t>
            </w:r>
          </w:p>
          <w:p w14:paraId="0981BB2F" w14:textId="77777777" w:rsidR="009A4C46" w:rsidRPr="009540B9" w:rsidRDefault="009A4C46" w:rsidP="009A4C46">
            <w:pPr>
              <w:tabs>
                <w:tab w:val="left" w:pos="284"/>
                <w:tab w:val="left" w:pos="993"/>
              </w:tabs>
              <w:jc w:val="center"/>
              <w:rPr>
                <w:rFonts w:eastAsia="Times New Roman"/>
                <w:sz w:val="16"/>
                <w:szCs w:val="16"/>
                <w:lang w:eastAsia="ru-RU"/>
              </w:rPr>
            </w:pPr>
            <w:r w:rsidRPr="009540B9">
              <w:rPr>
                <w:rFonts w:eastAsia="Times New Roman"/>
                <w:sz w:val="16"/>
                <w:szCs w:val="16"/>
                <w:lang w:eastAsia="ru-RU"/>
              </w:rPr>
              <w:t>(144,22)</w:t>
            </w:r>
          </w:p>
        </w:tc>
        <w:tc>
          <w:tcPr>
            <w:tcW w:w="455" w:type="pct"/>
            <w:tcBorders>
              <w:top w:val="single" w:sz="4" w:space="0" w:color="FFFFFF" w:themeColor="background1"/>
            </w:tcBorders>
            <w:vAlign w:val="center"/>
          </w:tcPr>
          <w:p w14:paraId="50F6A6F5" w14:textId="77777777" w:rsidR="009A4C46" w:rsidRPr="009540B9" w:rsidRDefault="009A4C46" w:rsidP="009A4C46">
            <w:pPr>
              <w:tabs>
                <w:tab w:val="left" w:pos="284"/>
                <w:tab w:val="left" w:pos="993"/>
              </w:tabs>
              <w:jc w:val="center"/>
              <w:rPr>
                <w:rFonts w:eastAsia="Times New Roman"/>
                <w:sz w:val="16"/>
                <w:szCs w:val="16"/>
                <w:lang w:eastAsia="ru-RU"/>
              </w:rPr>
            </w:pPr>
            <w:r w:rsidRPr="009540B9">
              <w:rPr>
                <w:rFonts w:eastAsia="Times New Roman"/>
                <w:sz w:val="16"/>
                <w:szCs w:val="16"/>
                <w:lang w:eastAsia="ru-RU"/>
              </w:rPr>
              <w:t>0,1068</w:t>
            </w:r>
          </w:p>
        </w:tc>
        <w:tc>
          <w:tcPr>
            <w:tcW w:w="452" w:type="pct"/>
            <w:tcBorders>
              <w:top w:val="single" w:sz="4" w:space="0" w:color="FFFFFF" w:themeColor="background1"/>
            </w:tcBorders>
            <w:vAlign w:val="center"/>
          </w:tcPr>
          <w:p w14:paraId="216FD747" w14:textId="77777777" w:rsidR="009A4C46" w:rsidRPr="009540B9" w:rsidRDefault="009A4C46" w:rsidP="009A4C46">
            <w:pPr>
              <w:tabs>
                <w:tab w:val="left" w:pos="284"/>
                <w:tab w:val="left" w:pos="993"/>
              </w:tabs>
              <w:jc w:val="center"/>
              <w:rPr>
                <w:rFonts w:eastAsia="Times New Roman"/>
                <w:sz w:val="16"/>
                <w:szCs w:val="16"/>
                <w:lang w:eastAsia="ru-RU"/>
              </w:rPr>
            </w:pPr>
            <w:r w:rsidRPr="009540B9">
              <w:rPr>
                <w:rFonts w:eastAsia="Times New Roman"/>
                <w:sz w:val="16"/>
                <w:szCs w:val="16"/>
                <w:lang w:eastAsia="ru-RU"/>
              </w:rPr>
              <w:t>1,0102</w:t>
            </w:r>
          </w:p>
        </w:tc>
      </w:tr>
      <w:tr w:rsidR="009540B9" w:rsidRPr="009540B9" w14:paraId="03083B88" w14:textId="77777777" w:rsidTr="00E60E99">
        <w:trPr>
          <w:trHeight w:val="292"/>
        </w:trPr>
        <w:tc>
          <w:tcPr>
            <w:tcW w:w="562" w:type="pct"/>
            <w:vMerge/>
          </w:tcPr>
          <w:p w14:paraId="27903583" w14:textId="77777777" w:rsidR="009A4C46" w:rsidRPr="009540B9" w:rsidRDefault="009A4C46" w:rsidP="009A4C46">
            <w:pPr>
              <w:tabs>
                <w:tab w:val="left" w:pos="284"/>
                <w:tab w:val="left" w:pos="993"/>
              </w:tabs>
              <w:jc w:val="both"/>
              <w:rPr>
                <w:rFonts w:eastAsia="Times New Roman"/>
                <w:sz w:val="16"/>
                <w:szCs w:val="16"/>
                <w:lang w:eastAsia="ru-RU"/>
              </w:rPr>
            </w:pPr>
          </w:p>
        </w:tc>
        <w:tc>
          <w:tcPr>
            <w:tcW w:w="345" w:type="pct"/>
            <w:vAlign w:val="center"/>
          </w:tcPr>
          <w:p w14:paraId="6261B156" w14:textId="77777777" w:rsidR="009A4C46" w:rsidRPr="009540B9" w:rsidRDefault="009A4C46" w:rsidP="009A4C46">
            <w:pPr>
              <w:tabs>
                <w:tab w:val="left" w:pos="284"/>
                <w:tab w:val="left" w:pos="993"/>
              </w:tabs>
              <w:jc w:val="center"/>
              <w:rPr>
                <w:rFonts w:eastAsia="Times New Roman"/>
                <w:sz w:val="16"/>
                <w:szCs w:val="16"/>
                <w:lang w:eastAsia="ru-RU"/>
              </w:rPr>
            </w:pPr>
            <w:r w:rsidRPr="009540B9">
              <w:rPr>
                <w:rFonts w:eastAsia="Times New Roman"/>
                <w:sz w:val="16"/>
                <w:szCs w:val="16"/>
                <w:lang w:eastAsia="ru-RU"/>
              </w:rPr>
              <w:t>2019</w:t>
            </w:r>
          </w:p>
        </w:tc>
        <w:tc>
          <w:tcPr>
            <w:tcW w:w="538" w:type="pct"/>
            <w:vAlign w:val="center"/>
          </w:tcPr>
          <w:p w14:paraId="58DD2CC6" w14:textId="77777777" w:rsidR="009A4C46" w:rsidRPr="009540B9" w:rsidRDefault="009A4C46" w:rsidP="009A4C46">
            <w:pPr>
              <w:tabs>
                <w:tab w:val="left" w:pos="284"/>
                <w:tab w:val="left" w:pos="993"/>
              </w:tabs>
              <w:jc w:val="center"/>
              <w:rPr>
                <w:rFonts w:eastAsia="Times New Roman"/>
                <w:sz w:val="16"/>
                <w:szCs w:val="16"/>
                <w:lang w:eastAsia="ru-RU"/>
              </w:rPr>
            </w:pPr>
            <w:r w:rsidRPr="009540B9">
              <w:rPr>
                <w:rFonts w:eastAsia="Times New Roman"/>
                <w:sz w:val="16"/>
                <w:szCs w:val="16"/>
                <w:lang w:eastAsia="ru-RU"/>
              </w:rPr>
              <w:t>×</w:t>
            </w:r>
          </w:p>
        </w:tc>
        <w:tc>
          <w:tcPr>
            <w:tcW w:w="626" w:type="pct"/>
            <w:vAlign w:val="center"/>
          </w:tcPr>
          <w:p w14:paraId="380B7D6C" w14:textId="77777777" w:rsidR="009A4C46" w:rsidRPr="009540B9" w:rsidRDefault="009A4C46" w:rsidP="009A4C46">
            <w:pPr>
              <w:tabs>
                <w:tab w:val="left" w:pos="284"/>
                <w:tab w:val="left" w:pos="993"/>
              </w:tabs>
              <w:jc w:val="center"/>
              <w:rPr>
                <w:rFonts w:eastAsia="Times New Roman"/>
                <w:sz w:val="16"/>
                <w:szCs w:val="16"/>
                <w:lang w:eastAsia="ru-RU"/>
              </w:rPr>
            </w:pPr>
            <w:r w:rsidRPr="009540B9">
              <w:rPr>
                <w:rFonts w:eastAsia="Times New Roman"/>
                <w:sz w:val="16"/>
                <w:szCs w:val="16"/>
                <w:lang w:eastAsia="ru-RU"/>
              </w:rPr>
              <w:t>1</w:t>
            </w:r>
          </w:p>
        </w:tc>
        <w:tc>
          <w:tcPr>
            <w:tcW w:w="626" w:type="pct"/>
            <w:vAlign w:val="center"/>
          </w:tcPr>
          <w:p w14:paraId="2BD77BBE" w14:textId="77777777" w:rsidR="009A4C46" w:rsidRPr="009540B9" w:rsidRDefault="009A4C46" w:rsidP="009A4C46">
            <w:pPr>
              <w:tabs>
                <w:tab w:val="left" w:pos="284"/>
                <w:tab w:val="left" w:pos="993"/>
              </w:tabs>
              <w:jc w:val="center"/>
              <w:rPr>
                <w:rFonts w:eastAsia="Times New Roman"/>
                <w:sz w:val="16"/>
                <w:szCs w:val="16"/>
                <w:lang w:eastAsia="ru-RU"/>
              </w:rPr>
            </w:pPr>
            <w:r w:rsidRPr="009540B9">
              <w:rPr>
                <w:rFonts w:eastAsia="Times New Roman"/>
                <w:sz w:val="16"/>
                <w:szCs w:val="16"/>
                <w:lang w:eastAsia="ru-RU"/>
              </w:rPr>
              <w:t>75</w:t>
            </w:r>
          </w:p>
        </w:tc>
        <w:tc>
          <w:tcPr>
            <w:tcW w:w="712" w:type="pct"/>
            <w:vAlign w:val="center"/>
          </w:tcPr>
          <w:p w14:paraId="04B2E3E5" w14:textId="77777777" w:rsidR="009A4C46" w:rsidRPr="009540B9" w:rsidRDefault="009A4C46" w:rsidP="009A4C46">
            <w:pPr>
              <w:tabs>
                <w:tab w:val="left" w:pos="284"/>
                <w:tab w:val="left" w:pos="993"/>
              </w:tabs>
              <w:jc w:val="center"/>
              <w:rPr>
                <w:rFonts w:eastAsia="Times New Roman"/>
                <w:sz w:val="16"/>
                <w:szCs w:val="16"/>
                <w:lang w:eastAsia="ru-RU"/>
              </w:rPr>
            </w:pPr>
            <w:r w:rsidRPr="009540B9">
              <w:rPr>
                <w:rFonts w:eastAsia="Times New Roman"/>
                <w:sz w:val="16"/>
                <w:szCs w:val="16"/>
                <w:lang w:eastAsia="ru-RU"/>
              </w:rPr>
              <w:t>2</w:t>
            </w:r>
          </w:p>
        </w:tc>
        <w:tc>
          <w:tcPr>
            <w:tcW w:w="684" w:type="pct"/>
            <w:vAlign w:val="center"/>
          </w:tcPr>
          <w:p w14:paraId="5DDD80B0" w14:textId="77777777" w:rsidR="009A4C46" w:rsidRPr="009540B9" w:rsidRDefault="009A4C46" w:rsidP="009A4C46">
            <w:pPr>
              <w:tabs>
                <w:tab w:val="left" w:pos="284"/>
                <w:tab w:val="left" w:pos="993"/>
              </w:tabs>
              <w:jc w:val="center"/>
              <w:rPr>
                <w:rFonts w:eastAsia="Times New Roman"/>
                <w:sz w:val="16"/>
                <w:szCs w:val="16"/>
                <w:lang w:eastAsia="ru-RU"/>
              </w:rPr>
            </w:pPr>
            <w:r w:rsidRPr="009540B9">
              <w:rPr>
                <w:rFonts w:eastAsia="Times New Roman"/>
                <w:sz w:val="16"/>
                <w:szCs w:val="16"/>
                <w:lang w:eastAsia="ru-RU"/>
              </w:rPr>
              <w:t>×</w:t>
            </w:r>
          </w:p>
        </w:tc>
        <w:tc>
          <w:tcPr>
            <w:tcW w:w="455" w:type="pct"/>
            <w:vAlign w:val="center"/>
          </w:tcPr>
          <w:p w14:paraId="159EB822" w14:textId="77777777" w:rsidR="009A4C46" w:rsidRPr="009540B9" w:rsidRDefault="009A4C46" w:rsidP="009A4C46">
            <w:pPr>
              <w:tabs>
                <w:tab w:val="left" w:pos="284"/>
                <w:tab w:val="left" w:pos="993"/>
              </w:tabs>
              <w:jc w:val="center"/>
              <w:rPr>
                <w:rFonts w:eastAsia="Times New Roman"/>
                <w:sz w:val="16"/>
                <w:szCs w:val="16"/>
                <w:lang w:eastAsia="ru-RU"/>
              </w:rPr>
            </w:pPr>
            <w:r w:rsidRPr="009540B9">
              <w:rPr>
                <w:rFonts w:eastAsia="Times New Roman"/>
                <w:sz w:val="16"/>
                <w:szCs w:val="16"/>
                <w:lang w:eastAsia="ru-RU"/>
              </w:rPr>
              <w:t>0,1060</w:t>
            </w:r>
          </w:p>
        </w:tc>
        <w:tc>
          <w:tcPr>
            <w:tcW w:w="452" w:type="pct"/>
            <w:vAlign w:val="center"/>
          </w:tcPr>
          <w:p w14:paraId="050A9BD0" w14:textId="77777777" w:rsidR="009A4C46" w:rsidRPr="009540B9" w:rsidRDefault="009A4C46" w:rsidP="009A4C46">
            <w:pPr>
              <w:tabs>
                <w:tab w:val="left" w:pos="284"/>
                <w:tab w:val="left" w:pos="993"/>
              </w:tabs>
              <w:jc w:val="center"/>
              <w:rPr>
                <w:rFonts w:eastAsia="Times New Roman"/>
                <w:sz w:val="16"/>
                <w:szCs w:val="16"/>
                <w:lang w:eastAsia="ru-RU"/>
              </w:rPr>
            </w:pPr>
            <w:r w:rsidRPr="009540B9">
              <w:rPr>
                <w:rFonts w:eastAsia="Times New Roman"/>
                <w:sz w:val="16"/>
                <w:szCs w:val="16"/>
                <w:lang w:eastAsia="ru-RU"/>
              </w:rPr>
              <w:t>1,0102</w:t>
            </w:r>
          </w:p>
        </w:tc>
      </w:tr>
      <w:tr w:rsidR="009540B9" w:rsidRPr="009540B9" w14:paraId="5CD1E932" w14:textId="77777777" w:rsidTr="00E60E99">
        <w:trPr>
          <w:trHeight w:val="340"/>
        </w:trPr>
        <w:tc>
          <w:tcPr>
            <w:tcW w:w="562" w:type="pct"/>
            <w:vMerge/>
          </w:tcPr>
          <w:p w14:paraId="6DE07006" w14:textId="77777777" w:rsidR="009A4C46" w:rsidRPr="009540B9" w:rsidRDefault="009A4C46" w:rsidP="009A4C46">
            <w:pPr>
              <w:tabs>
                <w:tab w:val="left" w:pos="284"/>
                <w:tab w:val="left" w:pos="993"/>
              </w:tabs>
              <w:jc w:val="both"/>
              <w:rPr>
                <w:rFonts w:eastAsia="Times New Roman"/>
                <w:sz w:val="16"/>
                <w:szCs w:val="16"/>
                <w:lang w:eastAsia="ru-RU"/>
              </w:rPr>
            </w:pPr>
          </w:p>
        </w:tc>
        <w:tc>
          <w:tcPr>
            <w:tcW w:w="345" w:type="pct"/>
            <w:vAlign w:val="center"/>
          </w:tcPr>
          <w:p w14:paraId="5636890C" w14:textId="77777777" w:rsidR="009A4C46" w:rsidRPr="009540B9" w:rsidRDefault="009A4C46" w:rsidP="009A4C46">
            <w:pPr>
              <w:tabs>
                <w:tab w:val="left" w:pos="284"/>
                <w:tab w:val="left" w:pos="993"/>
              </w:tabs>
              <w:jc w:val="center"/>
              <w:rPr>
                <w:rFonts w:eastAsia="Times New Roman"/>
                <w:sz w:val="16"/>
                <w:szCs w:val="16"/>
                <w:lang w:eastAsia="ru-RU"/>
              </w:rPr>
            </w:pPr>
            <w:r w:rsidRPr="009540B9">
              <w:rPr>
                <w:rFonts w:eastAsia="Times New Roman"/>
                <w:sz w:val="16"/>
                <w:szCs w:val="16"/>
                <w:lang w:eastAsia="ru-RU"/>
              </w:rPr>
              <w:t>2020</w:t>
            </w:r>
          </w:p>
        </w:tc>
        <w:tc>
          <w:tcPr>
            <w:tcW w:w="538" w:type="pct"/>
            <w:vAlign w:val="center"/>
          </w:tcPr>
          <w:p w14:paraId="05346D4D" w14:textId="77777777" w:rsidR="009A4C46" w:rsidRPr="009540B9" w:rsidRDefault="009A4C46" w:rsidP="009A4C46">
            <w:pPr>
              <w:tabs>
                <w:tab w:val="left" w:pos="284"/>
                <w:tab w:val="left" w:pos="993"/>
              </w:tabs>
              <w:jc w:val="center"/>
              <w:rPr>
                <w:rFonts w:eastAsia="Times New Roman"/>
                <w:sz w:val="16"/>
                <w:szCs w:val="16"/>
                <w:lang w:eastAsia="ru-RU"/>
              </w:rPr>
            </w:pPr>
            <w:r w:rsidRPr="009540B9">
              <w:rPr>
                <w:rFonts w:eastAsia="Times New Roman"/>
                <w:sz w:val="16"/>
                <w:szCs w:val="16"/>
                <w:lang w:eastAsia="ru-RU"/>
              </w:rPr>
              <w:t>×</w:t>
            </w:r>
          </w:p>
        </w:tc>
        <w:tc>
          <w:tcPr>
            <w:tcW w:w="626" w:type="pct"/>
            <w:vAlign w:val="center"/>
          </w:tcPr>
          <w:p w14:paraId="4751D194" w14:textId="77777777" w:rsidR="009A4C46" w:rsidRPr="009540B9" w:rsidRDefault="009A4C46" w:rsidP="009A4C46">
            <w:pPr>
              <w:tabs>
                <w:tab w:val="left" w:pos="284"/>
                <w:tab w:val="left" w:pos="993"/>
              </w:tabs>
              <w:jc w:val="center"/>
              <w:rPr>
                <w:rFonts w:eastAsia="Times New Roman"/>
                <w:sz w:val="16"/>
                <w:szCs w:val="16"/>
                <w:lang w:eastAsia="ru-RU"/>
              </w:rPr>
            </w:pPr>
            <w:r w:rsidRPr="009540B9">
              <w:rPr>
                <w:rFonts w:eastAsia="Times New Roman"/>
                <w:sz w:val="16"/>
                <w:szCs w:val="16"/>
                <w:lang w:eastAsia="ru-RU"/>
              </w:rPr>
              <w:t>1</w:t>
            </w:r>
          </w:p>
        </w:tc>
        <w:tc>
          <w:tcPr>
            <w:tcW w:w="626" w:type="pct"/>
            <w:vAlign w:val="center"/>
          </w:tcPr>
          <w:p w14:paraId="28E1F3DB" w14:textId="77777777" w:rsidR="009A4C46" w:rsidRPr="009540B9" w:rsidRDefault="009A4C46" w:rsidP="009A4C46">
            <w:pPr>
              <w:tabs>
                <w:tab w:val="left" w:pos="284"/>
                <w:tab w:val="left" w:pos="993"/>
              </w:tabs>
              <w:jc w:val="center"/>
              <w:rPr>
                <w:rFonts w:eastAsia="Times New Roman"/>
                <w:sz w:val="16"/>
                <w:szCs w:val="16"/>
                <w:lang w:eastAsia="ru-RU"/>
              </w:rPr>
            </w:pPr>
            <w:r w:rsidRPr="009540B9">
              <w:rPr>
                <w:rFonts w:eastAsia="Times New Roman"/>
                <w:sz w:val="16"/>
                <w:szCs w:val="16"/>
                <w:lang w:eastAsia="ru-RU"/>
              </w:rPr>
              <w:t>75</w:t>
            </w:r>
          </w:p>
        </w:tc>
        <w:tc>
          <w:tcPr>
            <w:tcW w:w="712" w:type="pct"/>
            <w:vAlign w:val="center"/>
          </w:tcPr>
          <w:p w14:paraId="7F54F145" w14:textId="77777777" w:rsidR="009A4C46" w:rsidRPr="009540B9" w:rsidRDefault="009A4C46" w:rsidP="009A4C46">
            <w:pPr>
              <w:tabs>
                <w:tab w:val="left" w:pos="284"/>
                <w:tab w:val="left" w:pos="993"/>
              </w:tabs>
              <w:jc w:val="center"/>
              <w:rPr>
                <w:rFonts w:eastAsia="Times New Roman"/>
                <w:sz w:val="16"/>
                <w:szCs w:val="16"/>
                <w:lang w:eastAsia="ru-RU"/>
              </w:rPr>
            </w:pPr>
            <w:r w:rsidRPr="009540B9">
              <w:rPr>
                <w:rFonts w:eastAsia="Times New Roman"/>
                <w:sz w:val="16"/>
                <w:szCs w:val="16"/>
                <w:lang w:eastAsia="ru-RU"/>
              </w:rPr>
              <w:t>2</w:t>
            </w:r>
          </w:p>
        </w:tc>
        <w:tc>
          <w:tcPr>
            <w:tcW w:w="684" w:type="pct"/>
            <w:vAlign w:val="center"/>
          </w:tcPr>
          <w:p w14:paraId="78B8E6AA" w14:textId="77777777" w:rsidR="009A4C46" w:rsidRPr="009540B9" w:rsidRDefault="009A4C46" w:rsidP="009A4C46">
            <w:pPr>
              <w:tabs>
                <w:tab w:val="left" w:pos="284"/>
                <w:tab w:val="left" w:pos="993"/>
              </w:tabs>
              <w:jc w:val="center"/>
              <w:rPr>
                <w:rFonts w:eastAsia="Times New Roman"/>
                <w:sz w:val="16"/>
                <w:szCs w:val="16"/>
                <w:lang w:eastAsia="ru-RU"/>
              </w:rPr>
            </w:pPr>
            <w:r w:rsidRPr="009540B9">
              <w:rPr>
                <w:rFonts w:eastAsia="Times New Roman"/>
                <w:sz w:val="16"/>
                <w:szCs w:val="16"/>
                <w:lang w:eastAsia="ru-RU"/>
              </w:rPr>
              <w:t>×</w:t>
            </w:r>
          </w:p>
        </w:tc>
        <w:tc>
          <w:tcPr>
            <w:tcW w:w="455" w:type="pct"/>
            <w:vAlign w:val="center"/>
          </w:tcPr>
          <w:p w14:paraId="6875F8AC" w14:textId="77777777" w:rsidR="009A4C46" w:rsidRPr="009540B9" w:rsidRDefault="009A4C46" w:rsidP="009A4C46">
            <w:pPr>
              <w:tabs>
                <w:tab w:val="left" w:pos="284"/>
                <w:tab w:val="left" w:pos="993"/>
              </w:tabs>
              <w:jc w:val="center"/>
              <w:rPr>
                <w:rFonts w:eastAsia="Times New Roman"/>
                <w:sz w:val="16"/>
                <w:szCs w:val="16"/>
                <w:lang w:eastAsia="ru-RU"/>
              </w:rPr>
            </w:pPr>
            <w:r w:rsidRPr="009540B9">
              <w:rPr>
                <w:rFonts w:eastAsia="Times New Roman"/>
                <w:sz w:val="16"/>
                <w:szCs w:val="16"/>
                <w:lang w:eastAsia="ru-RU"/>
              </w:rPr>
              <w:t>0,1052</w:t>
            </w:r>
          </w:p>
        </w:tc>
        <w:tc>
          <w:tcPr>
            <w:tcW w:w="452" w:type="pct"/>
            <w:vAlign w:val="center"/>
          </w:tcPr>
          <w:p w14:paraId="10D1D480" w14:textId="77777777" w:rsidR="009A4C46" w:rsidRPr="009540B9" w:rsidRDefault="009A4C46" w:rsidP="009A4C46">
            <w:pPr>
              <w:tabs>
                <w:tab w:val="left" w:pos="284"/>
                <w:tab w:val="left" w:pos="993"/>
              </w:tabs>
              <w:jc w:val="center"/>
              <w:rPr>
                <w:rFonts w:eastAsia="Times New Roman"/>
                <w:sz w:val="16"/>
                <w:szCs w:val="16"/>
                <w:lang w:eastAsia="ru-RU"/>
              </w:rPr>
            </w:pPr>
            <w:r w:rsidRPr="009540B9">
              <w:rPr>
                <w:rFonts w:eastAsia="Times New Roman"/>
                <w:sz w:val="16"/>
                <w:szCs w:val="16"/>
                <w:lang w:eastAsia="ru-RU"/>
              </w:rPr>
              <w:t>1,0102</w:t>
            </w:r>
          </w:p>
        </w:tc>
      </w:tr>
      <w:tr w:rsidR="009540B9" w:rsidRPr="009540B9" w14:paraId="14E36575" w14:textId="77777777" w:rsidTr="00E60E99">
        <w:trPr>
          <w:trHeight w:val="273"/>
        </w:trPr>
        <w:tc>
          <w:tcPr>
            <w:tcW w:w="562" w:type="pct"/>
            <w:vMerge/>
          </w:tcPr>
          <w:p w14:paraId="7BEC13EE" w14:textId="77777777" w:rsidR="009A4C46" w:rsidRPr="009540B9" w:rsidRDefault="009A4C46" w:rsidP="009A4C46">
            <w:pPr>
              <w:tabs>
                <w:tab w:val="left" w:pos="284"/>
                <w:tab w:val="left" w:pos="993"/>
              </w:tabs>
              <w:jc w:val="both"/>
              <w:rPr>
                <w:rFonts w:eastAsia="Times New Roman"/>
                <w:sz w:val="16"/>
                <w:szCs w:val="16"/>
                <w:lang w:eastAsia="ru-RU"/>
              </w:rPr>
            </w:pPr>
          </w:p>
        </w:tc>
        <w:tc>
          <w:tcPr>
            <w:tcW w:w="345" w:type="pct"/>
            <w:vAlign w:val="center"/>
          </w:tcPr>
          <w:p w14:paraId="2AC57977" w14:textId="77777777" w:rsidR="009A4C46" w:rsidRPr="009540B9" w:rsidRDefault="009A4C46" w:rsidP="009A4C46">
            <w:pPr>
              <w:tabs>
                <w:tab w:val="left" w:pos="284"/>
                <w:tab w:val="left" w:pos="993"/>
              </w:tabs>
              <w:jc w:val="center"/>
              <w:rPr>
                <w:rFonts w:eastAsia="Times New Roman"/>
                <w:sz w:val="16"/>
                <w:szCs w:val="16"/>
                <w:lang w:eastAsia="ru-RU"/>
              </w:rPr>
            </w:pPr>
            <w:r w:rsidRPr="009540B9">
              <w:rPr>
                <w:rFonts w:eastAsia="Times New Roman"/>
                <w:sz w:val="16"/>
                <w:szCs w:val="16"/>
                <w:lang w:eastAsia="ru-RU"/>
              </w:rPr>
              <w:t>2021</w:t>
            </w:r>
          </w:p>
        </w:tc>
        <w:tc>
          <w:tcPr>
            <w:tcW w:w="538" w:type="pct"/>
            <w:vAlign w:val="center"/>
          </w:tcPr>
          <w:p w14:paraId="74D18233" w14:textId="77777777" w:rsidR="009A4C46" w:rsidRPr="009540B9" w:rsidRDefault="009A4C46" w:rsidP="009A4C46">
            <w:pPr>
              <w:tabs>
                <w:tab w:val="left" w:pos="284"/>
                <w:tab w:val="left" w:pos="993"/>
              </w:tabs>
              <w:jc w:val="center"/>
              <w:rPr>
                <w:rFonts w:eastAsia="Times New Roman"/>
                <w:sz w:val="16"/>
                <w:szCs w:val="16"/>
                <w:lang w:eastAsia="ru-RU"/>
              </w:rPr>
            </w:pPr>
            <w:r w:rsidRPr="009540B9">
              <w:rPr>
                <w:rFonts w:eastAsia="Times New Roman"/>
                <w:sz w:val="16"/>
                <w:szCs w:val="16"/>
                <w:lang w:eastAsia="ru-RU"/>
              </w:rPr>
              <w:t>×</w:t>
            </w:r>
          </w:p>
        </w:tc>
        <w:tc>
          <w:tcPr>
            <w:tcW w:w="626" w:type="pct"/>
            <w:vAlign w:val="center"/>
          </w:tcPr>
          <w:p w14:paraId="247CD2AB" w14:textId="77777777" w:rsidR="009A4C46" w:rsidRPr="009540B9" w:rsidRDefault="009A4C46" w:rsidP="009A4C46">
            <w:pPr>
              <w:tabs>
                <w:tab w:val="left" w:pos="284"/>
                <w:tab w:val="left" w:pos="993"/>
              </w:tabs>
              <w:jc w:val="center"/>
              <w:rPr>
                <w:rFonts w:eastAsia="Times New Roman"/>
                <w:sz w:val="16"/>
                <w:szCs w:val="16"/>
                <w:lang w:eastAsia="ru-RU"/>
              </w:rPr>
            </w:pPr>
            <w:r w:rsidRPr="009540B9">
              <w:rPr>
                <w:rFonts w:eastAsia="Times New Roman"/>
                <w:sz w:val="16"/>
                <w:szCs w:val="16"/>
                <w:lang w:eastAsia="ru-RU"/>
              </w:rPr>
              <w:t>1</w:t>
            </w:r>
          </w:p>
        </w:tc>
        <w:tc>
          <w:tcPr>
            <w:tcW w:w="626" w:type="pct"/>
            <w:vAlign w:val="center"/>
          </w:tcPr>
          <w:p w14:paraId="63AAB293" w14:textId="77777777" w:rsidR="009A4C46" w:rsidRPr="009540B9" w:rsidRDefault="009A4C46" w:rsidP="009A4C46">
            <w:pPr>
              <w:tabs>
                <w:tab w:val="left" w:pos="284"/>
                <w:tab w:val="left" w:pos="993"/>
              </w:tabs>
              <w:jc w:val="center"/>
              <w:rPr>
                <w:rFonts w:eastAsia="Times New Roman"/>
                <w:sz w:val="16"/>
                <w:szCs w:val="16"/>
                <w:lang w:eastAsia="ru-RU"/>
              </w:rPr>
            </w:pPr>
            <w:r w:rsidRPr="009540B9">
              <w:rPr>
                <w:rFonts w:eastAsia="Times New Roman"/>
                <w:sz w:val="16"/>
                <w:szCs w:val="16"/>
                <w:lang w:eastAsia="ru-RU"/>
              </w:rPr>
              <w:t>75</w:t>
            </w:r>
          </w:p>
        </w:tc>
        <w:tc>
          <w:tcPr>
            <w:tcW w:w="712" w:type="pct"/>
            <w:vAlign w:val="center"/>
          </w:tcPr>
          <w:p w14:paraId="2691A40B" w14:textId="77777777" w:rsidR="009A4C46" w:rsidRPr="009540B9" w:rsidRDefault="009A4C46" w:rsidP="009A4C46">
            <w:pPr>
              <w:tabs>
                <w:tab w:val="left" w:pos="284"/>
                <w:tab w:val="left" w:pos="993"/>
              </w:tabs>
              <w:jc w:val="center"/>
              <w:rPr>
                <w:rFonts w:eastAsia="Times New Roman"/>
                <w:sz w:val="16"/>
                <w:szCs w:val="16"/>
                <w:lang w:eastAsia="ru-RU"/>
              </w:rPr>
            </w:pPr>
            <w:r w:rsidRPr="009540B9">
              <w:rPr>
                <w:rFonts w:eastAsia="Times New Roman"/>
                <w:sz w:val="16"/>
                <w:szCs w:val="16"/>
                <w:lang w:eastAsia="ru-RU"/>
              </w:rPr>
              <w:t>2</w:t>
            </w:r>
          </w:p>
        </w:tc>
        <w:tc>
          <w:tcPr>
            <w:tcW w:w="684" w:type="pct"/>
            <w:vAlign w:val="center"/>
          </w:tcPr>
          <w:p w14:paraId="3C4F1064" w14:textId="77777777" w:rsidR="009A4C46" w:rsidRPr="009540B9" w:rsidRDefault="009A4C46" w:rsidP="009A4C46">
            <w:pPr>
              <w:tabs>
                <w:tab w:val="left" w:pos="284"/>
                <w:tab w:val="left" w:pos="993"/>
              </w:tabs>
              <w:jc w:val="center"/>
              <w:rPr>
                <w:rFonts w:eastAsia="Times New Roman"/>
                <w:sz w:val="16"/>
                <w:szCs w:val="16"/>
                <w:lang w:eastAsia="ru-RU"/>
              </w:rPr>
            </w:pPr>
            <w:r w:rsidRPr="009540B9">
              <w:rPr>
                <w:rFonts w:eastAsia="Times New Roman"/>
                <w:sz w:val="16"/>
                <w:szCs w:val="16"/>
                <w:lang w:eastAsia="ru-RU"/>
              </w:rPr>
              <w:t>×</w:t>
            </w:r>
          </w:p>
        </w:tc>
        <w:tc>
          <w:tcPr>
            <w:tcW w:w="455" w:type="pct"/>
            <w:vAlign w:val="center"/>
          </w:tcPr>
          <w:p w14:paraId="4034905D" w14:textId="77777777" w:rsidR="009A4C46" w:rsidRPr="009540B9" w:rsidRDefault="009A4C46" w:rsidP="009A4C46">
            <w:pPr>
              <w:tabs>
                <w:tab w:val="left" w:pos="284"/>
                <w:tab w:val="left" w:pos="993"/>
              </w:tabs>
              <w:jc w:val="center"/>
              <w:rPr>
                <w:rFonts w:eastAsia="Times New Roman"/>
                <w:sz w:val="16"/>
                <w:szCs w:val="16"/>
                <w:lang w:eastAsia="ru-RU"/>
              </w:rPr>
            </w:pPr>
            <w:r w:rsidRPr="009540B9">
              <w:rPr>
                <w:rFonts w:eastAsia="Times New Roman"/>
                <w:sz w:val="16"/>
                <w:szCs w:val="16"/>
                <w:lang w:eastAsia="ru-RU"/>
              </w:rPr>
              <w:t>0,1044</w:t>
            </w:r>
          </w:p>
        </w:tc>
        <w:tc>
          <w:tcPr>
            <w:tcW w:w="452" w:type="pct"/>
            <w:vAlign w:val="center"/>
          </w:tcPr>
          <w:p w14:paraId="3B9316ED" w14:textId="77777777" w:rsidR="009A4C46" w:rsidRPr="009540B9" w:rsidRDefault="009A4C46" w:rsidP="009A4C46">
            <w:pPr>
              <w:tabs>
                <w:tab w:val="left" w:pos="284"/>
                <w:tab w:val="left" w:pos="993"/>
              </w:tabs>
              <w:jc w:val="center"/>
              <w:rPr>
                <w:rFonts w:eastAsia="Times New Roman"/>
                <w:sz w:val="16"/>
                <w:szCs w:val="16"/>
                <w:lang w:eastAsia="ru-RU"/>
              </w:rPr>
            </w:pPr>
            <w:r w:rsidRPr="009540B9">
              <w:rPr>
                <w:rFonts w:eastAsia="Times New Roman"/>
                <w:sz w:val="16"/>
                <w:szCs w:val="16"/>
                <w:lang w:eastAsia="ru-RU"/>
              </w:rPr>
              <w:t>1,0102</w:t>
            </w:r>
          </w:p>
        </w:tc>
      </w:tr>
      <w:tr w:rsidR="009540B9" w:rsidRPr="009540B9" w14:paraId="07C9134E" w14:textId="77777777" w:rsidTr="00E60E99">
        <w:trPr>
          <w:trHeight w:val="292"/>
        </w:trPr>
        <w:tc>
          <w:tcPr>
            <w:tcW w:w="562" w:type="pct"/>
            <w:vMerge/>
            <w:tcBorders>
              <w:bottom w:val="single" w:sz="4" w:space="0" w:color="auto"/>
            </w:tcBorders>
          </w:tcPr>
          <w:p w14:paraId="72B7E76F" w14:textId="77777777" w:rsidR="009A4C46" w:rsidRPr="009540B9" w:rsidRDefault="009A4C46" w:rsidP="009A4C46">
            <w:pPr>
              <w:tabs>
                <w:tab w:val="left" w:pos="284"/>
                <w:tab w:val="left" w:pos="993"/>
              </w:tabs>
              <w:jc w:val="both"/>
              <w:rPr>
                <w:rFonts w:eastAsia="Times New Roman"/>
                <w:sz w:val="16"/>
                <w:szCs w:val="16"/>
                <w:lang w:eastAsia="ru-RU"/>
              </w:rPr>
            </w:pPr>
          </w:p>
        </w:tc>
        <w:tc>
          <w:tcPr>
            <w:tcW w:w="345" w:type="pct"/>
            <w:vAlign w:val="center"/>
          </w:tcPr>
          <w:p w14:paraId="1436746E" w14:textId="77777777" w:rsidR="009A4C46" w:rsidRPr="009540B9" w:rsidRDefault="009A4C46" w:rsidP="009A4C46">
            <w:pPr>
              <w:tabs>
                <w:tab w:val="left" w:pos="284"/>
                <w:tab w:val="left" w:pos="993"/>
              </w:tabs>
              <w:jc w:val="center"/>
              <w:rPr>
                <w:rFonts w:eastAsia="Times New Roman"/>
                <w:sz w:val="16"/>
                <w:szCs w:val="16"/>
                <w:lang w:eastAsia="ru-RU"/>
              </w:rPr>
            </w:pPr>
            <w:r w:rsidRPr="009540B9">
              <w:rPr>
                <w:rFonts w:eastAsia="Times New Roman"/>
                <w:sz w:val="16"/>
                <w:szCs w:val="16"/>
                <w:lang w:eastAsia="ru-RU"/>
              </w:rPr>
              <w:t>2022</w:t>
            </w:r>
          </w:p>
        </w:tc>
        <w:tc>
          <w:tcPr>
            <w:tcW w:w="538" w:type="pct"/>
            <w:vAlign w:val="center"/>
          </w:tcPr>
          <w:p w14:paraId="081D510B" w14:textId="77777777" w:rsidR="009A4C46" w:rsidRPr="009540B9" w:rsidRDefault="009A4C46" w:rsidP="009A4C46">
            <w:pPr>
              <w:tabs>
                <w:tab w:val="left" w:pos="284"/>
                <w:tab w:val="left" w:pos="993"/>
              </w:tabs>
              <w:jc w:val="center"/>
              <w:rPr>
                <w:rFonts w:eastAsia="Times New Roman"/>
                <w:sz w:val="16"/>
                <w:szCs w:val="16"/>
                <w:lang w:eastAsia="ru-RU"/>
              </w:rPr>
            </w:pPr>
            <w:r w:rsidRPr="009540B9">
              <w:rPr>
                <w:rFonts w:eastAsia="Times New Roman"/>
                <w:sz w:val="16"/>
                <w:szCs w:val="16"/>
                <w:lang w:eastAsia="ru-RU"/>
              </w:rPr>
              <w:t>×</w:t>
            </w:r>
          </w:p>
        </w:tc>
        <w:tc>
          <w:tcPr>
            <w:tcW w:w="626" w:type="pct"/>
            <w:vAlign w:val="center"/>
          </w:tcPr>
          <w:p w14:paraId="67BAC57F" w14:textId="77777777" w:rsidR="009A4C46" w:rsidRPr="009540B9" w:rsidRDefault="009A4C46" w:rsidP="009A4C46">
            <w:pPr>
              <w:tabs>
                <w:tab w:val="left" w:pos="284"/>
                <w:tab w:val="left" w:pos="993"/>
              </w:tabs>
              <w:jc w:val="center"/>
              <w:rPr>
                <w:rFonts w:eastAsia="Times New Roman"/>
                <w:sz w:val="16"/>
                <w:szCs w:val="16"/>
                <w:lang w:eastAsia="ru-RU"/>
              </w:rPr>
            </w:pPr>
            <w:r w:rsidRPr="009540B9">
              <w:rPr>
                <w:rFonts w:eastAsia="Times New Roman"/>
                <w:sz w:val="16"/>
                <w:szCs w:val="16"/>
                <w:lang w:eastAsia="ru-RU"/>
              </w:rPr>
              <w:t>1</w:t>
            </w:r>
          </w:p>
        </w:tc>
        <w:tc>
          <w:tcPr>
            <w:tcW w:w="626" w:type="pct"/>
            <w:vAlign w:val="center"/>
          </w:tcPr>
          <w:p w14:paraId="03378350" w14:textId="77777777" w:rsidR="009A4C46" w:rsidRPr="009540B9" w:rsidRDefault="009A4C46" w:rsidP="009A4C46">
            <w:pPr>
              <w:tabs>
                <w:tab w:val="left" w:pos="284"/>
                <w:tab w:val="left" w:pos="993"/>
              </w:tabs>
              <w:jc w:val="center"/>
              <w:rPr>
                <w:rFonts w:eastAsia="Times New Roman"/>
                <w:sz w:val="16"/>
                <w:szCs w:val="16"/>
                <w:lang w:eastAsia="ru-RU"/>
              </w:rPr>
            </w:pPr>
            <w:r w:rsidRPr="009540B9">
              <w:rPr>
                <w:rFonts w:eastAsia="Times New Roman"/>
                <w:sz w:val="16"/>
                <w:szCs w:val="16"/>
                <w:lang w:eastAsia="ru-RU"/>
              </w:rPr>
              <w:t>75</w:t>
            </w:r>
          </w:p>
        </w:tc>
        <w:tc>
          <w:tcPr>
            <w:tcW w:w="712" w:type="pct"/>
            <w:vAlign w:val="center"/>
          </w:tcPr>
          <w:p w14:paraId="03B5564E" w14:textId="77777777" w:rsidR="009A4C46" w:rsidRPr="009540B9" w:rsidRDefault="009A4C46" w:rsidP="009A4C46">
            <w:pPr>
              <w:tabs>
                <w:tab w:val="left" w:pos="284"/>
                <w:tab w:val="left" w:pos="993"/>
              </w:tabs>
              <w:jc w:val="center"/>
              <w:rPr>
                <w:rFonts w:eastAsia="Times New Roman"/>
                <w:sz w:val="16"/>
                <w:szCs w:val="16"/>
                <w:lang w:eastAsia="ru-RU"/>
              </w:rPr>
            </w:pPr>
            <w:r w:rsidRPr="009540B9">
              <w:rPr>
                <w:rFonts w:eastAsia="Times New Roman"/>
                <w:sz w:val="16"/>
                <w:szCs w:val="16"/>
                <w:lang w:eastAsia="ru-RU"/>
              </w:rPr>
              <w:t>2</w:t>
            </w:r>
          </w:p>
        </w:tc>
        <w:tc>
          <w:tcPr>
            <w:tcW w:w="684" w:type="pct"/>
            <w:vAlign w:val="center"/>
          </w:tcPr>
          <w:p w14:paraId="5EBC9154" w14:textId="77777777" w:rsidR="009A4C46" w:rsidRPr="009540B9" w:rsidRDefault="009A4C46" w:rsidP="009A4C46">
            <w:pPr>
              <w:tabs>
                <w:tab w:val="left" w:pos="284"/>
                <w:tab w:val="left" w:pos="993"/>
              </w:tabs>
              <w:jc w:val="center"/>
              <w:rPr>
                <w:rFonts w:eastAsia="Times New Roman"/>
                <w:sz w:val="16"/>
                <w:szCs w:val="16"/>
                <w:lang w:eastAsia="ru-RU"/>
              </w:rPr>
            </w:pPr>
            <w:r w:rsidRPr="009540B9">
              <w:rPr>
                <w:rFonts w:eastAsia="Times New Roman"/>
                <w:sz w:val="16"/>
                <w:szCs w:val="16"/>
                <w:lang w:eastAsia="ru-RU"/>
              </w:rPr>
              <w:t>×</w:t>
            </w:r>
          </w:p>
        </w:tc>
        <w:tc>
          <w:tcPr>
            <w:tcW w:w="455" w:type="pct"/>
            <w:vAlign w:val="center"/>
          </w:tcPr>
          <w:p w14:paraId="03202DAF" w14:textId="77777777" w:rsidR="009A4C46" w:rsidRPr="009540B9" w:rsidRDefault="009A4C46" w:rsidP="009A4C46">
            <w:pPr>
              <w:tabs>
                <w:tab w:val="left" w:pos="284"/>
                <w:tab w:val="left" w:pos="993"/>
              </w:tabs>
              <w:jc w:val="center"/>
              <w:rPr>
                <w:rFonts w:eastAsia="Times New Roman"/>
                <w:sz w:val="16"/>
                <w:szCs w:val="16"/>
                <w:lang w:eastAsia="ru-RU"/>
              </w:rPr>
            </w:pPr>
            <w:r w:rsidRPr="009540B9">
              <w:rPr>
                <w:rFonts w:eastAsia="Times New Roman"/>
                <w:sz w:val="16"/>
                <w:szCs w:val="16"/>
                <w:lang w:eastAsia="ru-RU"/>
              </w:rPr>
              <w:t>0,1036</w:t>
            </w:r>
          </w:p>
        </w:tc>
        <w:tc>
          <w:tcPr>
            <w:tcW w:w="452" w:type="pct"/>
            <w:vAlign w:val="center"/>
          </w:tcPr>
          <w:p w14:paraId="04854588" w14:textId="77777777" w:rsidR="009A4C46" w:rsidRPr="009540B9" w:rsidRDefault="009A4C46" w:rsidP="009A4C46">
            <w:pPr>
              <w:tabs>
                <w:tab w:val="left" w:pos="284"/>
                <w:tab w:val="left" w:pos="993"/>
              </w:tabs>
              <w:jc w:val="center"/>
              <w:rPr>
                <w:rFonts w:eastAsia="Times New Roman"/>
                <w:sz w:val="16"/>
                <w:szCs w:val="16"/>
                <w:lang w:eastAsia="ru-RU"/>
              </w:rPr>
            </w:pPr>
            <w:r w:rsidRPr="009540B9">
              <w:rPr>
                <w:rFonts w:eastAsia="Times New Roman"/>
                <w:sz w:val="16"/>
                <w:szCs w:val="16"/>
                <w:lang w:eastAsia="ru-RU"/>
              </w:rPr>
              <w:t>1,0102</w:t>
            </w:r>
          </w:p>
        </w:tc>
      </w:tr>
    </w:tbl>
    <w:p w14:paraId="5094ACBF" w14:textId="24B69233" w:rsidR="009A4C46" w:rsidRPr="00F94FED" w:rsidRDefault="009A4C46" w:rsidP="00F94FED">
      <w:pPr>
        <w:tabs>
          <w:tab w:val="left" w:pos="284"/>
          <w:tab w:val="left" w:pos="993"/>
        </w:tabs>
        <w:spacing w:after="0" w:line="360" w:lineRule="auto"/>
        <w:ind w:firstLine="567"/>
        <w:jc w:val="both"/>
        <w:rPr>
          <w:rFonts w:eastAsia="Times New Roman"/>
          <w:sz w:val="26"/>
          <w:szCs w:val="26"/>
          <w:lang w:eastAsia="ru-RU"/>
        </w:rPr>
      </w:pPr>
      <w:r w:rsidRPr="00E60E99">
        <w:rPr>
          <w:rFonts w:eastAsia="Times New Roman"/>
          <w:sz w:val="26"/>
          <w:szCs w:val="26"/>
          <w:lang w:eastAsia="ru-RU"/>
        </w:rPr>
        <w:t xml:space="preserve">Таким образом, первый долгосрочный период регулирования деятельности АО «Тываэнерго» установлен на 11 лет </w:t>
      </w:r>
      <w:r w:rsidRPr="00F94FED">
        <w:rPr>
          <w:rFonts w:eastAsia="Times New Roman"/>
          <w:sz w:val="26"/>
          <w:szCs w:val="26"/>
          <w:lang w:eastAsia="ru-RU"/>
        </w:rPr>
        <w:t>с 2012</w:t>
      </w:r>
      <w:r w:rsidR="009540B9" w:rsidRPr="00F94FED">
        <w:rPr>
          <w:rFonts w:eastAsia="Times New Roman"/>
          <w:sz w:val="26"/>
          <w:szCs w:val="26"/>
          <w:lang w:eastAsia="ru-RU"/>
        </w:rPr>
        <w:t xml:space="preserve"> года</w:t>
      </w:r>
      <w:r w:rsidRPr="00F94FED">
        <w:rPr>
          <w:rFonts w:eastAsia="Times New Roman"/>
          <w:sz w:val="26"/>
          <w:szCs w:val="26"/>
          <w:lang w:eastAsia="ru-RU"/>
        </w:rPr>
        <w:t xml:space="preserve"> по 2022 </w:t>
      </w:r>
      <w:r w:rsidR="009540B9" w:rsidRPr="00F94FED">
        <w:rPr>
          <w:rFonts w:eastAsia="Times New Roman"/>
          <w:sz w:val="26"/>
          <w:szCs w:val="26"/>
          <w:lang w:eastAsia="ru-RU"/>
        </w:rPr>
        <w:t>год</w:t>
      </w:r>
      <w:r w:rsidRPr="00F94FED">
        <w:rPr>
          <w:rFonts w:eastAsia="Times New Roman"/>
          <w:sz w:val="26"/>
          <w:szCs w:val="26"/>
          <w:lang w:eastAsia="ru-RU"/>
        </w:rPr>
        <w:t>.</w:t>
      </w:r>
    </w:p>
    <w:p w14:paraId="72B405EF" w14:textId="0B13660E" w:rsidR="009A4C46" w:rsidRPr="00F94FED" w:rsidRDefault="009A4C46" w:rsidP="00F94FED">
      <w:pPr>
        <w:tabs>
          <w:tab w:val="left" w:pos="284"/>
          <w:tab w:val="left" w:pos="993"/>
        </w:tabs>
        <w:spacing w:after="0" w:line="360" w:lineRule="auto"/>
        <w:ind w:firstLine="567"/>
        <w:jc w:val="both"/>
        <w:rPr>
          <w:rFonts w:eastAsia="Times New Roman"/>
          <w:sz w:val="26"/>
          <w:szCs w:val="26"/>
          <w:lang w:eastAsia="ru-RU"/>
        </w:rPr>
      </w:pPr>
      <w:r w:rsidRPr="00F94FED">
        <w:rPr>
          <w:rFonts w:eastAsia="Times New Roman"/>
          <w:sz w:val="26"/>
          <w:szCs w:val="26"/>
          <w:lang w:eastAsia="ru-RU"/>
        </w:rPr>
        <w:t>Экспертное заключение подготовлено на основании анализа представленных Обществом материалов, направленных в рамках тарифно-балансовой кампания на 2019 год, а также экспертного заключения по предложениям об установлении тарифов на услуги по передаче электрической энергии по электрическим сетям на 2017-2019 г</w:t>
      </w:r>
      <w:r w:rsidR="009540B9" w:rsidRPr="00F94FED">
        <w:rPr>
          <w:rFonts w:eastAsia="Times New Roman"/>
          <w:sz w:val="26"/>
          <w:szCs w:val="26"/>
          <w:lang w:eastAsia="ru-RU"/>
        </w:rPr>
        <w:t>оды</w:t>
      </w:r>
      <w:r w:rsidRPr="00F94FED">
        <w:rPr>
          <w:rFonts w:eastAsia="Times New Roman"/>
          <w:sz w:val="26"/>
          <w:szCs w:val="26"/>
          <w:lang w:eastAsia="ru-RU"/>
        </w:rPr>
        <w:t>.</w:t>
      </w:r>
    </w:p>
    <w:p w14:paraId="7F5486E6" w14:textId="77777777" w:rsidR="009A4C46" w:rsidRPr="00F94FED" w:rsidRDefault="009A4C46" w:rsidP="00F94FED">
      <w:pPr>
        <w:tabs>
          <w:tab w:val="left" w:pos="284"/>
          <w:tab w:val="left" w:pos="993"/>
        </w:tabs>
        <w:spacing w:after="0" w:line="360" w:lineRule="auto"/>
        <w:ind w:firstLine="567"/>
        <w:jc w:val="both"/>
        <w:rPr>
          <w:rFonts w:eastAsia="Times New Roman"/>
          <w:sz w:val="26"/>
          <w:szCs w:val="26"/>
          <w:lang w:eastAsia="ru-RU"/>
        </w:rPr>
      </w:pPr>
      <w:r w:rsidRPr="00F94FED">
        <w:rPr>
          <w:rFonts w:eastAsia="Times New Roman"/>
          <w:sz w:val="26"/>
          <w:szCs w:val="26"/>
          <w:lang w:eastAsia="ru-RU"/>
        </w:rPr>
        <w:t>При подготовке экспертного заключения в соответствии с п.24 Правил государственного регулирования (пересмотра, применения) цен (тарифов) в электроэнергетике, утвержденных постановлением Правительства РФ от 29.12.2011 № 1178, также использованы отчетные материалы за предыдущие периоды и информация, опубликованная в открытых информационных источниках.</w:t>
      </w:r>
    </w:p>
    <w:p w14:paraId="68C8271B" w14:textId="370AD893" w:rsidR="009A4C46" w:rsidRPr="00F94FED" w:rsidRDefault="009A4C46" w:rsidP="00F94FED">
      <w:pPr>
        <w:tabs>
          <w:tab w:val="left" w:pos="284"/>
          <w:tab w:val="left" w:pos="993"/>
        </w:tabs>
        <w:spacing w:after="0" w:line="360" w:lineRule="auto"/>
        <w:ind w:firstLine="567"/>
        <w:jc w:val="both"/>
        <w:rPr>
          <w:rFonts w:eastAsia="Times New Roman"/>
          <w:sz w:val="26"/>
          <w:szCs w:val="26"/>
          <w:lang w:eastAsia="ru-RU"/>
        </w:rPr>
      </w:pPr>
      <w:r w:rsidRPr="00F94FED">
        <w:rPr>
          <w:rFonts w:eastAsia="Times New Roman"/>
          <w:sz w:val="26"/>
          <w:szCs w:val="26"/>
          <w:lang w:eastAsia="ru-RU"/>
        </w:rPr>
        <w:t>Долгосрочные параметры регулирования согласованы приказами ФСТ</w:t>
      </w:r>
      <w:r w:rsidR="009540B9" w:rsidRPr="00F94FED">
        <w:rPr>
          <w:rFonts w:eastAsia="Times New Roman"/>
          <w:sz w:val="26"/>
          <w:szCs w:val="26"/>
          <w:lang w:eastAsia="ru-RU"/>
        </w:rPr>
        <w:t> </w:t>
      </w:r>
      <w:r w:rsidRPr="00F94FED">
        <w:rPr>
          <w:rFonts w:eastAsia="Times New Roman"/>
          <w:sz w:val="26"/>
          <w:szCs w:val="26"/>
          <w:lang w:eastAsia="ru-RU"/>
        </w:rPr>
        <w:t xml:space="preserve">России от 12.10.2012 № 669-э, ФАС России от 17.01.2018 № 49/18, утверждены </w:t>
      </w:r>
      <w:r w:rsidRPr="00F94FED">
        <w:rPr>
          <w:rFonts w:eastAsia="Times New Roman"/>
          <w:sz w:val="26"/>
          <w:szCs w:val="26"/>
          <w:lang w:eastAsia="ru-RU"/>
        </w:rPr>
        <w:lastRenderedPageBreak/>
        <w:t>постановлением Службы по тарифам Республики Тыва от 30.03.2012 № 14 (в редакции постановлений Службы по тарифам Республики Тыва от 15.10.2012 № 44, от 01.12.2014 № 91</w:t>
      </w:r>
      <w:r w:rsidR="009540B9" w:rsidRPr="00F94FED">
        <w:rPr>
          <w:rFonts w:eastAsia="Times New Roman"/>
          <w:sz w:val="26"/>
          <w:szCs w:val="26"/>
          <w:lang w:eastAsia="ru-RU"/>
        </w:rPr>
        <w:t xml:space="preserve"> и</w:t>
      </w:r>
      <w:r w:rsidRPr="00F94FED">
        <w:rPr>
          <w:rFonts w:eastAsia="Times New Roman"/>
          <w:sz w:val="26"/>
          <w:szCs w:val="26"/>
          <w:lang w:eastAsia="ru-RU"/>
        </w:rPr>
        <w:t xml:space="preserve"> от 29.12.2017 № 67).</w:t>
      </w:r>
    </w:p>
    <w:p w14:paraId="619112E5" w14:textId="00F9012E" w:rsidR="009A4C46" w:rsidRPr="00F94FED" w:rsidRDefault="009A4C46" w:rsidP="00F94FED">
      <w:pPr>
        <w:tabs>
          <w:tab w:val="left" w:pos="284"/>
          <w:tab w:val="left" w:pos="993"/>
        </w:tabs>
        <w:spacing w:after="0" w:line="360" w:lineRule="auto"/>
        <w:ind w:firstLine="567"/>
        <w:jc w:val="both"/>
        <w:rPr>
          <w:rFonts w:eastAsia="Times New Roman"/>
          <w:sz w:val="26"/>
          <w:szCs w:val="26"/>
          <w:lang w:eastAsia="ru-RU"/>
        </w:rPr>
      </w:pPr>
      <w:r w:rsidRPr="00F94FED">
        <w:rPr>
          <w:rFonts w:eastAsia="Times New Roman"/>
          <w:sz w:val="26"/>
          <w:szCs w:val="26"/>
          <w:lang w:eastAsia="ru-RU"/>
        </w:rPr>
        <w:t xml:space="preserve">Постановлением Службы по тарифам Республики Тыва от 25.07.2018 года № 17 «Об установлении необходимой валовой выручки АО «Тываэнерго» на долгосрочный период регулирования (без учета оплаты потерь)» АО «Тываэнерго» установлена необходимая валовая выручка (НВВ) на период 2012-2022 </w:t>
      </w:r>
      <w:r w:rsidR="009540B9" w:rsidRPr="00F94FED">
        <w:rPr>
          <w:rFonts w:eastAsia="Times New Roman"/>
          <w:sz w:val="26"/>
          <w:szCs w:val="26"/>
          <w:lang w:eastAsia="ru-RU"/>
        </w:rPr>
        <w:t>годы.</w:t>
      </w:r>
    </w:p>
    <w:p w14:paraId="158EBE1A" w14:textId="6BAEEF1D" w:rsidR="009A4C46" w:rsidRPr="00F94FED" w:rsidRDefault="009A4C46" w:rsidP="00F94FED">
      <w:pPr>
        <w:tabs>
          <w:tab w:val="left" w:pos="284"/>
          <w:tab w:val="left" w:pos="993"/>
        </w:tabs>
        <w:spacing w:after="0" w:line="360" w:lineRule="auto"/>
        <w:ind w:firstLine="567"/>
        <w:jc w:val="both"/>
        <w:rPr>
          <w:rFonts w:eastAsia="Times New Roman"/>
          <w:sz w:val="26"/>
          <w:szCs w:val="26"/>
          <w:lang w:eastAsia="ru-RU"/>
        </w:rPr>
      </w:pPr>
      <w:r w:rsidRPr="00F94FED">
        <w:rPr>
          <w:rFonts w:eastAsia="Times New Roman"/>
          <w:sz w:val="26"/>
          <w:szCs w:val="26"/>
          <w:lang w:eastAsia="ru-RU"/>
        </w:rPr>
        <w:t xml:space="preserve">НВВ на 2019-2022 </w:t>
      </w:r>
      <w:r w:rsidR="009540B9" w:rsidRPr="00F94FED">
        <w:rPr>
          <w:rFonts w:eastAsia="Times New Roman"/>
          <w:sz w:val="26"/>
          <w:szCs w:val="26"/>
          <w:lang w:eastAsia="ru-RU"/>
        </w:rPr>
        <w:t>годы</w:t>
      </w:r>
      <w:r w:rsidRPr="00F94FED">
        <w:rPr>
          <w:rFonts w:eastAsia="Times New Roman"/>
          <w:sz w:val="26"/>
          <w:szCs w:val="26"/>
          <w:lang w:eastAsia="ru-RU"/>
        </w:rPr>
        <w:t xml:space="preserve"> определена с учетом:</w:t>
      </w:r>
    </w:p>
    <w:p w14:paraId="201F95EF" w14:textId="45D584E2" w:rsidR="009A4C46" w:rsidRPr="00F94FED" w:rsidRDefault="009A4C46" w:rsidP="00E60E99">
      <w:pPr>
        <w:pStyle w:val="a3"/>
        <w:numPr>
          <w:ilvl w:val="0"/>
          <w:numId w:val="21"/>
        </w:numPr>
        <w:tabs>
          <w:tab w:val="left" w:pos="284"/>
          <w:tab w:val="left" w:pos="993"/>
        </w:tabs>
        <w:spacing w:after="0" w:line="360" w:lineRule="auto"/>
        <w:ind w:left="993" w:hanging="426"/>
        <w:jc w:val="both"/>
        <w:rPr>
          <w:rFonts w:eastAsia="Times New Roman"/>
          <w:sz w:val="26"/>
          <w:szCs w:val="26"/>
          <w:lang w:eastAsia="ru-RU"/>
        </w:rPr>
      </w:pPr>
      <w:r w:rsidRPr="00F94FED">
        <w:rPr>
          <w:rFonts w:ascii="Myriad Pro" w:eastAsia="Times New Roman" w:hAnsi="Myriad Pro"/>
          <w:sz w:val="26"/>
          <w:szCs w:val="26"/>
          <w:lang w:eastAsia="ru-RU"/>
        </w:rPr>
        <w:t xml:space="preserve">Постановления Правительства Республики Тыва от 11.04.2018 № 154 «О проекте соглашения между Правительством Республики Тыва и </w:t>
      </w:r>
      <w:r w:rsidR="00587CDC">
        <w:rPr>
          <w:rFonts w:ascii="Myriad Pro" w:eastAsia="Times New Roman" w:hAnsi="Myriad Pro"/>
          <w:sz w:val="26"/>
          <w:szCs w:val="26"/>
          <w:lang w:eastAsia="ru-RU"/>
        </w:rPr>
        <w:br/>
      </w:r>
      <w:r w:rsidRPr="00F94FED">
        <w:rPr>
          <w:rFonts w:ascii="Myriad Pro" w:eastAsia="Times New Roman" w:hAnsi="Myriad Pro"/>
          <w:sz w:val="26"/>
          <w:szCs w:val="26"/>
          <w:lang w:eastAsia="ru-RU"/>
        </w:rPr>
        <w:t>АО «Тываэнерго» о взаимодействии при осуществлении регулируемой деятельности»;</w:t>
      </w:r>
    </w:p>
    <w:p w14:paraId="76C7A4EC" w14:textId="588EC30C" w:rsidR="009A4C46" w:rsidRPr="00F94FED" w:rsidRDefault="009A4C46" w:rsidP="00E60E99">
      <w:pPr>
        <w:pStyle w:val="a3"/>
        <w:numPr>
          <w:ilvl w:val="0"/>
          <w:numId w:val="21"/>
        </w:numPr>
        <w:tabs>
          <w:tab w:val="left" w:pos="284"/>
          <w:tab w:val="left" w:pos="993"/>
        </w:tabs>
        <w:spacing w:after="0" w:line="360" w:lineRule="auto"/>
        <w:ind w:left="993" w:hanging="426"/>
        <w:jc w:val="both"/>
        <w:rPr>
          <w:rFonts w:eastAsia="Times New Roman"/>
          <w:sz w:val="26"/>
          <w:szCs w:val="26"/>
          <w:lang w:eastAsia="ru-RU"/>
        </w:rPr>
      </w:pPr>
      <w:r w:rsidRPr="00F94FED">
        <w:rPr>
          <w:rFonts w:ascii="Myriad Pro" w:eastAsia="Times New Roman" w:hAnsi="Myriad Pro"/>
          <w:sz w:val="26"/>
          <w:szCs w:val="26"/>
          <w:lang w:eastAsia="ru-RU"/>
        </w:rPr>
        <w:t>Соглашения между Правительством Республики Тыва и АО «Тываэнерго» о взаимодействии при осуществлении регулируемой деятельности, заключенного в 2018 году.</w:t>
      </w:r>
    </w:p>
    <w:p w14:paraId="640EED4A" w14:textId="276EECE4" w:rsidR="009A4C46" w:rsidRPr="00F94FED" w:rsidRDefault="009A4C46" w:rsidP="00F94FED">
      <w:pPr>
        <w:tabs>
          <w:tab w:val="left" w:pos="284"/>
          <w:tab w:val="left" w:pos="993"/>
        </w:tabs>
        <w:spacing w:after="0" w:line="360" w:lineRule="auto"/>
        <w:ind w:firstLine="567"/>
        <w:jc w:val="both"/>
        <w:rPr>
          <w:rFonts w:eastAsia="Times New Roman"/>
          <w:sz w:val="26"/>
          <w:szCs w:val="26"/>
          <w:lang w:eastAsia="ru-RU"/>
        </w:rPr>
      </w:pPr>
      <w:r w:rsidRPr="00F94FED">
        <w:rPr>
          <w:rFonts w:eastAsia="Times New Roman"/>
          <w:sz w:val="26"/>
          <w:szCs w:val="26"/>
          <w:lang w:eastAsia="ru-RU"/>
        </w:rPr>
        <w:t>Постановлением Службы по тарифам Республики Тыва от 29.12.2018 года №</w:t>
      </w:r>
      <w:r w:rsidR="00874840">
        <w:rPr>
          <w:rFonts w:eastAsia="Times New Roman"/>
          <w:sz w:val="26"/>
          <w:szCs w:val="26"/>
          <w:lang w:eastAsia="ru-RU"/>
        </w:rPr>
        <w:t> </w:t>
      </w:r>
      <w:r w:rsidRPr="00F94FED">
        <w:rPr>
          <w:rFonts w:eastAsia="Times New Roman"/>
          <w:sz w:val="26"/>
          <w:szCs w:val="26"/>
          <w:lang w:eastAsia="ru-RU"/>
        </w:rPr>
        <w:t>71 «Об установлении единых (котловых) тарифов на услуги по передаче электрической энергии по сетям Республики Тыва на 2019 год» утверждены тарифы на услуги по передаче электрической энергии по сетям Республики Тыва.</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79"/>
        <w:gridCol w:w="1923"/>
        <w:gridCol w:w="3843"/>
      </w:tblGrid>
      <w:tr w:rsidR="009540B9" w:rsidRPr="00722308" w14:paraId="6BC11D1E" w14:textId="77777777" w:rsidTr="00E60E99">
        <w:trPr>
          <w:trHeight w:val="450"/>
          <w:tblHeader/>
        </w:trPr>
        <w:tc>
          <w:tcPr>
            <w:tcW w:w="191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7DDB33B" w14:textId="77777777" w:rsidR="009A4C46" w:rsidRPr="00E60E99" w:rsidRDefault="009A4C46" w:rsidP="00195CA9">
            <w:pPr>
              <w:widowControl w:val="0"/>
              <w:spacing w:after="0" w:line="240" w:lineRule="auto"/>
              <w:jc w:val="center"/>
              <w:rPr>
                <w:rFonts w:eastAsia="Microsoft Sans Serif" w:cs="Microsoft Sans Serif"/>
                <w:b/>
                <w:color w:val="FFFFFF" w:themeColor="background1"/>
                <w:lang w:eastAsia="ru-RU" w:bidi="ru-RU"/>
              </w:rPr>
            </w:pPr>
            <w:r w:rsidRPr="00E60E99">
              <w:rPr>
                <w:rFonts w:eastAsia="Microsoft Sans Serif"/>
                <w:b/>
                <w:color w:val="FFFFFF" w:themeColor="background1"/>
                <w:lang w:eastAsia="ru-RU" w:bidi="ru-RU"/>
              </w:rPr>
              <w:t>Наименование сетевой организации в субъекте Российской Федерации</w:t>
            </w:r>
          </w:p>
        </w:tc>
        <w:tc>
          <w:tcPr>
            <w:tcW w:w="102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F31CC0D" w14:textId="77777777" w:rsidR="009A4C46" w:rsidRPr="00E60E99" w:rsidRDefault="009A4C46" w:rsidP="00E169B0">
            <w:pPr>
              <w:widowControl w:val="0"/>
              <w:spacing w:after="0" w:line="240" w:lineRule="auto"/>
              <w:jc w:val="center"/>
              <w:rPr>
                <w:rFonts w:eastAsia="Microsoft Sans Serif" w:cs="Microsoft Sans Serif"/>
                <w:b/>
                <w:color w:val="FFFFFF" w:themeColor="background1"/>
                <w:lang w:eastAsia="ru-RU" w:bidi="ru-RU"/>
              </w:rPr>
            </w:pPr>
            <w:r w:rsidRPr="00E60E99">
              <w:rPr>
                <w:rFonts w:eastAsia="Microsoft Sans Serif"/>
                <w:b/>
                <w:color w:val="FFFFFF" w:themeColor="background1"/>
                <w:lang w:eastAsia="ru-RU" w:bidi="ru-RU"/>
              </w:rPr>
              <w:t>Год</w:t>
            </w:r>
          </w:p>
        </w:tc>
        <w:tc>
          <w:tcPr>
            <w:tcW w:w="20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46E04F5" w14:textId="77777777" w:rsidR="009A4C46" w:rsidRPr="00E60E99" w:rsidRDefault="009A4C46" w:rsidP="003E2802">
            <w:pPr>
              <w:widowControl w:val="0"/>
              <w:spacing w:after="0" w:line="240" w:lineRule="auto"/>
              <w:jc w:val="center"/>
              <w:rPr>
                <w:rFonts w:eastAsia="Microsoft Sans Serif" w:cs="Microsoft Sans Serif"/>
                <w:b/>
                <w:color w:val="FFFFFF" w:themeColor="background1"/>
                <w:lang w:eastAsia="ru-RU" w:bidi="ru-RU"/>
              </w:rPr>
            </w:pPr>
            <w:r w:rsidRPr="00E60E99">
              <w:rPr>
                <w:rFonts w:eastAsia="Microsoft Sans Serif"/>
                <w:b/>
                <w:color w:val="FFFFFF" w:themeColor="background1"/>
                <w:lang w:eastAsia="ru-RU" w:bidi="ru-RU"/>
              </w:rPr>
              <w:t>НВВ сетевых организаций без учета оплаты потерь</w:t>
            </w:r>
          </w:p>
        </w:tc>
      </w:tr>
      <w:tr w:rsidR="009540B9" w:rsidRPr="00722308" w14:paraId="48F99261" w14:textId="77777777" w:rsidTr="00E60E99">
        <w:trPr>
          <w:trHeight w:val="328"/>
          <w:tblHeader/>
        </w:trPr>
        <w:tc>
          <w:tcPr>
            <w:tcW w:w="191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A86FA3D" w14:textId="77777777" w:rsidR="009A4C46" w:rsidRPr="00F94FED" w:rsidRDefault="009A4C46" w:rsidP="00F94FED">
            <w:pPr>
              <w:widowControl w:val="0"/>
              <w:spacing w:after="0" w:line="240" w:lineRule="auto"/>
              <w:jc w:val="center"/>
              <w:rPr>
                <w:rFonts w:eastAsia="Microsoft Sans Serif" w:cs="Microsoft Sans Serif"/>
                <w:b/>
                <w:color w:val="FFFFFF" w:themeColor="background1"/>
                <w:lang w:eastAsia="ru-RU" w:bidi="ru-RU"/>
              </w:rPr>
            </w:pPr>
          </w:p>
        </w:tc>
        <w:tc>
          <w:tcPr>
            <w:tcW w:w="102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73AD731" w14:textId="77777777" w:rsidR="009A4C46" w:rsidRPr="00F94FED" w:rsidRDefault="009A4C46" w:rsidP="00F94FED">
            <w:pPr>
              <w:widowControl w:val="0"/>
              <w:spacing w:after="0" w:line="240" w:lineRule="auto"/>
              <w:jc w:val="center"/>
              <w:rPr>
                <w:rFonts w:eastAsia="Microsoft Sans Serif" w:cs="Microsoft Sans Serif"/>
                <w:b/>
                <w:color w:val="FFFFFF" w:themeColor="background1"/>
                <w:lang w:eastAsia="ru-RU" w:bidi="ru-RU"/>
              </w:rPr>
            </w:pPr>
          </w:p>
        </w:tc>
        <w:tc>
          <w:tcPr>
            <w:tcW w:w="20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75E5543" w14:textId="77777777" w:rsidR="009A4C46" w:rsidRPr="00F94FED" w:rsidRDefault="009A4C46" w:rsidP="00195CA9">
            <w:pPr>
              <w:widowControl w:val="0"/>
              <w:spacing w:after="0" w:line="240" w:lineRule="auto"/>
              <w:jc w:val="center"/>
              <w:rPr>
                <w:rFonts w:eastAsia="Microsoft Sans Serif" w:cs="Microsoft Sans Serif"/>
                <w:b/>
                <w:color w:val="FFFFFF" w:themeColor="background1"/>
                <w:lang w:eastAsia="ru-RU" w:bidi="ru-RU"/>
              </w:rPr>
            </w:pPr>
            <w:r w:rsidRPr="00F94FED">
              <w:rPr>
                <w:rFonts w:eastAsia="Microsoft Sans Serif"/>
                <w:b/>
                <w:color w:val="FFFFFF" w:themeColor="background1"/>
                <w:lang w:eastAsia="ru-RU" w:bidi="ru-RU"/>
              </w:rPr>
              <w:t>тыс. руб.</w:t>
            </w:r>
          </w:p>
        </w:tc>
      </w:tr>
      <w:tr w:rsidR="000D1560" w:rsidRPr="00722308" w14:paraId="31596739" w14:textId="77777777" w:rsidTr="00E60E99">
        <w:trPr>
          <w:trHeight w:val="287"/>
        </w:trPr>
        <w:tc>
          <w:tcPr>
            <w:tcW w:w="1915" w:type="pct"/>
            <w:vMerge w:val="restart"/>
            <w:tcBorders>
              <w:top w:val="single" w:sz="4" w:space="0" w:color="FFFFFF" w:themeColor="background1"/>
            </w:tcBorders>
            <w:vAlign w:val="center"/>
          </w:tcPr>
          <w:p w14:paraId="29715F11" w14:textId="4535D889" w:rsidR="000D1560" w:rsidRPr="00E60E99" w:rsidRDefault="000D1560" w:rsidP="00195CA9">
            <w:pPr>
              <w:widowControl w:val="0"/>
              <w:spacing w:after="0" w:line="240" w:lineRule="auto"/>
              <w:rPr>
                <w:rFonts w:eastAsia="Microsoft Sans Serif"/>
                <w:color w:val="000000"/>
                <w:lang w:eastAsia="ru-RU" w:bidi="ru-RU"/>
              </w:rPr>
            </w:pPr>
            <w:r w:rsidRPr="00E60E99">
              <w:rPr>
                <w:rFonts w:eastAsia="Microsoft Sans Serif"/>
                <w:color w:val="000000"/>
                <w:lang w:eastAsia="ru-RU" w:bidi="ru-RU"/>
              </w:rPr>
              <w:t>АО «Тываэнерго»</w:t>
            </w:r>
          </w:p>
        </w:tc>
        <w:tc>
          <w:tcPr>
            <w:tcW w:w="1029" w:type="pct"/>
            <w:tcBorders>
              <w:top w:val="single" w:sz="4" w:space="0" w:color="FFFFFF" w:themeColor="background1"/>
            </w:tcBorders>
            <w:vAlign w:val="center"/>
          </w:tcPr>
          <w:p w14:paraId="7D58E21E" w14:textId="77777777" w:rsidR="000D1560" w:rsidRPr="00E60E99" w:rsidRDefault="000D1560" w:rsidP="00E169B0">
            <w:pPr>
              <w:widowControl w:val="0"/>
              <w:spacing w:after="0" w:line="240" w:lineRule="auto"/>
              <w:jc w:val="center"/>
              <w:rPr>
                <w:rFonts w:eastAsia="Microsoft Sans Serif" w:cs="Microsoft Sans Serif"/>
                <w:color w:val="000000"/>
                <w:lang w:eastAsia="ru-RU" w:bidi="ru-RU"/>
              </w:rPr>
            </w:pPr>
            <w:r w:rsidRPr="00E60E99">
              <w:rPr>
                <w:rFonts w:eastAsia="Microsoft Sans Serif"/>
                <w:color w:val="000000"/>
                <w:lang w:eastAsia="ru-RU" w:bidi="ru-RU"/>
              </w:rPr>
              <w:t>2012</w:t>
            </w:r>
          </w:p>
        </w:tc>
        <w:tc>
          <w:tcPr>
            <w:tcW w:w="2056" w:type="pct"/>
            <w:tcBorders>
              <w:top w:val="single" w:sz="4" w:space="0" w:color="FFFFFF" w:themeColor="background1"/>
            </w:tcBorders>
            <w:vAlign w:val="center"/>
          </w:tcPr>
          <w:p w14:paraId="55E79C06" w14:textId="13AA44D2" w:rsidR="000D1560" w:rsidRPr="00E60E99" w:rsidRDefault="000D1560" w:rsidP="003E2802">
            <w:pPr>
              <w:widowControl w:val="0"/>
              <w:spacing w:after="0" w:line="240" w:lineRule="auto"/>
              <w:jc w:val="center"/>
              <w:rPr>
                <w:rFonts w:eastAsia="Microsoft Sans Serif" w:cs="Microsoft Sans Serif"/>
                <w:color w:val="000000"/>
                <w:lang w:eastAsia="ru-RU" w:bidi="ru-RU"/>
              </w:rPr>
            </w:pPr>
            <w:r w:rsidRPr="00E60E99">
              <w:rPr>
                <w:rFonts w:eastAsia="Microsoft Sans Serif"/>
                <w:color w:val="000000"/>
                <w:lang w:eastAsia="ru-RU" w:bidi="ru-RU"/>
              </w:rPr>
              <w:t>804 754</w:t>
            </w:r>
          </w:p>
        </w:tc>
      </w:tr>
      <w:tr w:rsidR="000D1560" w:rsidRPr="00722308" w14:paraId="37B5AA2A" w14:textId="77777777" w:rsidTr="00E60E99">
        <w:trPr>
          <w:trHeight w:val="287"/>
        </w:trPr>
        <w:tc>
          <w:tcPr>
            <w:tcW w:w="1915" w:type="pct"/>
            <w:vMerge/>
          </w:tcPr>
          <w:p w14:paraId="4DD9D5C4" w14:textId="546BC372" w:rsidR="000D1560" w:rsidRPr="00F94FED" w:rsidRDefault="000D1560" w:rsidP="009A4C46">
            <w:pPr>
              <w:widowControl w:val="0"/>
              <w:spacing w:after="0" w:line="240" w:lineRule="auto"/>
              <w:rPr>
                <w:rFonts w:eastAsia="Microsoft Sans Serif"/>
                <w:color w:val="000000"/>
                <w:lang w:eastAsia="ru-RU" w:bidi="ru-RU"/>
              </w:rPr>
            </w:pPr>
          </w:p>
        </w:tc>
        <w:tc>
          <w:tcPr>
            <w:tcW w:w="1029" w:type="pct"/>
            <w:vAlign w:val="center"/>
          </w:tcPr>
          <w:p w14:paraId="38EA94CC" w14:textId="77777777" w:rsidR="000D1560" w:rsidRPr="00F94FED" w:rsidRDefault="000D1560" w:rsidP="00195CA9">
            <w:pPr>
              <w:widowControl w:val="0"/>
              <w:spacing w:after="0" w:line="240" w:lineRule="auto"/>
              <w:jc w:val="center"/>
              <w:rPr>
                <w:rFonts w:eastAsia="Microsoft Sans Serif" w:cs="Microsoft Sans Serif"/>
                <w:color w:val="000000"/>
                <w:lang w:eastAsia="ru-RU" w:bidi="ru-RU"/>
              </w:rPr>
            </w:pPr>
            <w:r w:rsidRPr="00F94FED">
              <w:rPr>
                <w:rFonts w:eastAsia="Microsoft Sans Serif"/>
                <w:color w:val="000000"/>
                <w:lang w:eastAsia="ru-RU" w:bidi="ru-RU"/>
              </w:rPr>
              <w:t>2013</w:t>
            </w:r>
          </w:p>
        </w:tc>
        <w:tc>
          <w:tcPr>
            <w:tcW w:w="2056" w:type="pct"/>
            <w:vAlign w:val="center"/>
          </w:tcPr>
          <w:p w14:paraId="1A5B32B9" w14:textId="061EF20D" w:rsidR="000D1560" w:rsidRPr="00F94FED" w:rsidRDefault="000D1560" w:rsidP="00E169B0">
            <w:pPr>
              <w:widowControl w:val="0"/>
              <w:spacing w:after="0" w:line="240" w:lineRule="auto"/>
              <w:jc w:val="center"/>
              <w:rPr>
                <w:rFonts w:eastAsia="Microsoft Sans Serif" w:cs="Microsoft Sans Serif"/>
                <w:color w:val="000000"/>
                <w:lang w:eastAsia="ru-RU" w:bidi="ru-RU"/>
              </w:rPr>
            </w:pPr>
            <w:r w:rsidRPr="00F94FED">
              <w:rPr>
                <w:rFonts w:eastAsia="Microsoft Sans Serif"/>
                <w:color w:val="000000"/>
                <w:lang w:eastAsia="ru-RU" w:bidi="ru-RU"/>
              </w:rPr>
              <w:t>883 157</w:t>
            </w:r>
          </w:p>
        </w:tc>
      </w:tr>
      <w:tr w:rsidR="000D1560" w:rsidRPr="00722308" w14:paraId="7BEF7881" w14:textId="77777777" w:rsidTr="00E60E99">
        <w:trPr>
          <w:trHeight w:val="287"/>
        </w:trPr>
        <w:tc>
          <w:tcPr>
            <w:tcW w:w="1915" w:type="pct"/>
            <w:vMerge/>
          </w:tcPr>
          <w:p w14:paraId="4F4DE79F" w14:textId="3CA081A0" w:rsidR="000D1560" w:rsidRPr="00F94FED" w:rsidRDefault="000D1560" w:rsidP="009A4C46">
            <w:pPr>
              <w:widowControl w:val="0"/>
              <w:spacing w:after="0" w:line="240" w:lineRule="auto"/>
              <w:rPr>
                <w:rFonts w:eastAsia="Microsoft Sans Serif"/>
                <w:color w:val="000000"/>
                <w:lang w:eastAsia="ru-RU" w:bidi="ru-RU"/>
              </w:rPr>
            </w:pPr>
          </w:p>
        </w:tc>
        <w:tc>
          <w:tcPr>
            <w:tcW w:w="1029" w:type="pct"/>
            <w:vAlign w:val="center"/>
          </w:tcPr>
          <w:p w14:paraId="7ABB9AD8" w14:textId="77777777" w:rsidR="000D1560" w:rsidRPr="00F94FED" w:rsidRDefault="000D1560" w:rsidP="00195CA9">
            <w:pPr>
              <w:widowControl w:val="0"/>
              <w:spacing w:after="0" w:line="240" w:lineRule="auto"/>
              <w:jc w:val="center"/>
              <w:rPr>
                <w:rFonts w:eastAsia="Microsoft Sans Serif" w:cs="Microsoft Sans Serif"/>
                <w:color w:val="000000"/>
                <w:lang w:eastAsia="ru-RU" w:bidi="ru-RU"/>
              </w:rPr>
            </w:pPr>
            <w:r w:rsidRPr="00F94FED">
              <w:rPr>
                <w:rFonts w:eastAsia="Microsoft Sans Serif"/>
                <w:color w:val="000000"/>
                <w:lang w:eastAsia="ru-RU" w:bidi="ru-RU"/>
              </w:rPr>
              <w:t>2014</w:t>
            </w:r>
          </w:p>
        </w:tc>
        <w:tc>
          <w:tcPr>
            <w:tcW w:w="2056" w:type="pct"/>
            <w:vAlign w:val="center"/>
          </w:tcPr>
          <w:p w14:paraId="0A3059BE" w14:textId="6C389451" w:rsidR="000D1560" w:rsidRPr="00F94FED" w:rsidRDefault="000D1560" w:rsidP="00E169B0">
            <w:pPr>
              <w:widowControl w:val="0"/>
              <w:spacing w:after="0" w:line="240" w:lineRule="auto"/>
              <w:jc w:val="center"/>
              <w:rPr>
                <w:rFonts w:eastAsia="Microsoft Sans Serif" w:cs="Microsoft Sans Serif"/>
                <w:color w:val="000000"/>
                <w:lang w:eastAsia="ru-RU" w:bidi="ru-RU"/>
              </w:rPr>
            </w:pPr>
            <w:r w:rsidRPr="00F94FED">
              <w:rPr>
                <w:rFonts w:eastAsia="Microsoft Sans Serif"/>
                <w:color w:val="000000"/>
                <w:lang w:eastAsia="ru-RU" w:bidi="ru-RU"/>
              </w:rPr>
              <w:t>938 405</w:t>
            </w:r>
          </w:p>
        </w:tc>
      </w:tr>
      <w:tr w:rsidR="000D1560" w:rsidRPr="00722308" w14:paraId="5D1F67B3" w14:textId="77777777" w:rsidTr="00E60E99">
        <w:trPr>
          <w:trHeight w:val="287"/>
        </w:trPr>
        <w:tc>
          <w:tcPr>
            <w:tcW w:w="1915" w:type="pct"/>
            <w:vMerge/>
          </w:tcPr>
          <w:p w14:paraId="2CEEECB1" w14:textId="44F34A6C" w:rsidR="000D1560" w:rsidRPr="00F94FED" w:rsidRDefault="000D1560" w:rsidP="009A4C46">
            <w:pPr>
              <w:widowControl w:val="0"/>
              <w:spacing w:after="0" w:line="240" w:lineRule="auto"/>
              <w:rPr>
                <w:rFonts w:eastAsia="Microsoft Sans Serif"/>
                <w:color w:val="000000"/>
                <w:lang w:eastAsia="ru-RU" w:bidi="ru-RU"/>
              </w:rPr>
            </w:pPr>
          </w:p>
        </w:tc>
        <w:tc>
          <w:tcPr>
            <w:tcW w:w="1029" w:type="pct"/>
            <w:vAlign w:val="center"/>
          </w:tcPr>
          <w:p w14:paraId="64FB17A4" w14:textId="77777777" w:rsidR="000D1560" w:rsidRPr="00F94FED" w:rsidRDefault="000D1560" w:rsidP="00195CA9">
            <w:pPr>
              <w:widowControl w:val="0"/>
              <w:spacing w:after="0" w:line="240" w:lineRule="auto"/>
              <w:jc w:val="center"/>
              <w:rPr>
                <w:rFonts w:eastAsia="Microsoft Sans Serif" w:cs="Microsoft Sans Serif"/>
                <w:color w:val="000000"/>
                <w:lang w:eastAsia="ru-RU" w:bidi="ru-RU"/>
              </w:rPr>
            </w:pPr>
            <w:r w:rsidRPr="00F94FED">
              <w:rPr>
                <w:rFonts w:eastAsia="Microsoft Sans Serif"/>
                <w:color w:val="000000"/>
                <w:lang w:eastAsia="ru-RU" w:bidi="ru-RU"/>
              </w:rPr>
              <w:t>2015</w:t>
            </w:r>
          </w:p>
        </w:tc>
        <w:tc>
          <w:tcPr>
            <w:tcW w:w="2056" w:type="pct"/>
            <w:vAlign w:val="center"/>
          </w:tcPr>
          <w:p w14:paraId="0FC6EA83" w14:textId="519EDF16" w:rsidR="000D1560" w:rsidRPr="00F94FED" w:rsidRDefault="000D1560" w:rsidP="00E169B0">
            <w:pPr>
              <w:widowControl w:val="0"/>
              <w:spacing w:after="0" w:line="240" w:lineRule="auto"/>
              <w:jc w:val="center"/>
              <w:rPr>
                <w:rFonts w:eastAsia="Microsoft Sans Serif" w:cs="Microsoft Sans Serif"/>
                <w:color w:val="000000"/>
                <w:lang w:eastAsia="ru-RU" w:bidi="ru-RU"/>
              </w:rPr>
            </w:pPr>
            <w:r w:rsidRPr="00F94FED">
              <w:rPr>
                <w:rFonts w:eastAsia="Microsoft Sans Serif"/>
                <w:color w:val="000000"/>
                <w:lang w:eastAsia="ru-RU" w:bidi="ru-RU"/>
              </w:rPr>
              <w:t>1 037 602</w:t>
            </w:r>
          </w:p>
        </w:tc>
      </w:tr>
      <w:tr w:rsidR="000D1560" w:rsidRPr="00722308" w14:paraId="050CFE80" w14:textId="77777777" w:rsidTr="00E60E99">
        <w:trPr>
          <w:trHeight w:val="287"/>
        </w:trPr>
        <w:tc>
          <w:tcPr>
            <w:tcW w:w="1915" w:type="pct"/>
            <w:vMerge/>
          </w:tcPr>
          <w:p w14:paraId="18DA1C24" w14:textId="6A5D1AEC" w:rsidR="000D1560" w:rsidRPr="00F94FED" w:rsidRDefault="000D1560" w:rsidP="009A4C46">
            <w:pPr>
              <w:widowControl w:val="0"/>
              <w:spacing w:after="0" w:line="240" w:lineRule="auto"/>
              <w:rPr>
                <w:rFonts w:eastAsia="Microsoft Sans Serif"/>
                <w:color w:val="000000"/>
                <w:lang w:eastAsia="ru-RU" w:bidi="ru-RU"/>
              </w:rPr>
            </w:pPr>
          </w:p>
        </w:tc>
        <w:tc>
          <w:tcPr>
            <w:tcW w:w="1029" w:type="pct"/>
            <w:vAlign w:val="center"/>
          </w:tcPr>
          <w:p w14:paraId="027649F4" w14:textId="77777777" w:rsidR="000D1560" w:rsidRPr="00F94FED" w:rsidRDefault="000D1560" w:rsidP="00195CA9">
            <w:pPr>
              <w:widowControl w:val="0"/>
              <w:spacing w:after="0" w:line="240" w:lineRule="auto"/>
              <w:jc w:val="center"/>
              <w:rPr>
                <w:rFonts w:eastAsia="Microsoft Sans Serif" w:cs="Microsoft Sans Serif"/>
                <w:color w:val="000000"/>
                <w:lang w:eastAsia="ru-RU" w:bidi="ru-RU"/>
              </w:rPr>
            </w:pPr>
            <w:r w:rsidRPr="00F94FED">
              <w:rPr>
                <w:rFonts w:eastAsia="Microsoft Sans Serif"/>
                <w:color w:val="000000"/>
                <w:lang w:eastAsia="ru-RU" w:bidi="ru-RU"/>
              </w:rPr>
              <w:t>2016</w:t>
            </w:r>
          </w:p>
        </w:tc>
        <w:tc>
          <w:tcPr>
            <w:tcW w:w="2056" w:type="pct"/>
            <w:vAlign w:val="center"/>
          </w:tcPr>
          <w:p w14:paraId="0EFFC3F3" w14:textId="77777777" w:rsidR="000D1560" w:rsidRPr="00F94FED" w:rsidRDefault="000D1560" w:rsidP="00E169B0">
            <w:pPr>
              <w:widowControl w:val="0"/>
              <w:spacing w:after="0" w:line="240" w:lineRule="auto"/>
              <w:jc w:val="center"/>
              <w:rPr>
                <w:rFonts w:eastAsia="Microsoft Sans Serif" w:cs="Microsoft Sans Serif"/>
                <w:color w:val="000000"/>
                <w:lang w:eastAsia="ru-RU" w:bidi="ru-RU"/>
              </w:rPr>
            </w:pPr>
            <w:r w:rsidRPr="00F94FED">
              <w:rPr>
                <w:rFonts w:eastAsia="Microsoft Sans Serif"/>
                <w:color w:val="000000"/>
                <w:lang w:eastAsia="ru-RU" w:bidi="ru-RU"/>
              </w:rPr>
              <w:t>1 087 585</w:t>
            </w:r>
          </w:p>
        </w:tc>
      </w:tr>
      <w:tr w:rsidR="000D1560" w:rsidRPr="00722308" w14:paraId="5933537B" w14:textId="77777777" w:rsidTr="00E60E99">
        <w:trPr>
          <w:trHeight w:val="287"/>
        </w:trPr>
        <w:tc>
          <w:tcPr>
            <w:tcW w:w="1915" w:type="pct"/>
            <w:vMerge/>
          </w:tcPr>
          <w:p w14:paraId="5E8C27F9" w14:textId="56DF1438" w:rsidR="000D1560" w:rsidRPr="00F94FED" w:rsidRDefault="000D1560" w:rsidP="009A4C46">
            <w:pPr>
              <w:widowControl w:val="0"/>
              <w:spacing w:after="0" w:line="240" w:lineRule="auto"/>
              <w:rPr>
                <w:rFonts w:eastAsia="Microsoft Sans Serif"/>
                <w:color w:val="000000"/>
                <w:lang w:eastAsia="ru-RU" w:bidi="ru-RU"/>
              </w:rPr>
            </w:pPr>
          </w:p>
        </w:tc>
        <w:tc>
          <w:tcPr>
            <w:tcW w:w="1029" w:type="pct"/>
            <w:vAlign w:val="center"/>
          </w:tcPr>
          <w:p w14:paraId="41E6737E" w14:textId="77777777" w:rsidR="000D1560" w:rsidRPr="00F94FED" w:rsidRDefault="000D1560" w:rsidP="00195CA9">
            <w:pPr>
              <w:widowControl w:val="0"/>
              <w:spacing w:after="0" w:line="240" w:lineRule="auto"/>
              <w:jc w:val="center"/>
              <w:rPr>
                <w:rFonts w:eastAsia="Microsoft Sans Serif" w:cs="Microsoft Sans Serif"/>
                <w:color w:val="000000"/>
                <w:lang w:eastAsia="ru-RU" w:bidi="ru-RU"/>
              </w:rPr>
            </w:pPr>
            <w:r w:rsidRPr="00F94FED">
              <w:rPr>
                <w:rFonts w:eastAsia="Microsoft Sans Serif"/>
                <w:color w:val="000000"/>
                <w:lang w:eastAsia="ru-RU" w:bidi="ru-RU"/>
              </w:rPr>
              <w:t>2017</w:t>
            </w:r>
          </w:p>
        </w:tc>
        <w:tc>
          <w:tcPr>
            <w:tcW w:w="2056" w:type="pct"/>
            <w:vAlign w:val="center"/>
          </w:tcPr>
          <w:p w14:paraId="40E9822A" w14:textId="77777777" w:rsidR="000D1560" w:rsidRPr="00F94FED" w:rsidRDefault="000D1560" w:rsidP="00E169B0">
            <w:pPr>
              <w:widowControl w:val="0"/>
              <w:spacing w:after="0" w:line="240" w:lineRule="auto"/>
              <w:jc w:val="center"/>
              <w:rPr>
                <w:rFonts w:eastAsia="Microsoft Sans Serif" w:cs="Microsoft Sans Serif"/>
                <w:color w:val="000000"/>
                <w:lang w:eastAsia="ru-RU" w:bidi="ru-RU"/>
              </w:rPr>
            </w:pPr>
            <w:r w:rsidRPr="00F94FED">
              <w:rPr>
                <w:rFonts w:eastAsia="Microsoft Sans Serif"/>
                <w:color w:val="000000"/>
                <w:lang w:eastAsia="ru-RU" w:bidi="ru-RU"/>
              </w:rPr>
              <w:t>1 167 221</w:t>
            </w:r>
          </w:p>
        </w:tc>
      </w:tr>
      <w:tr w:rsidR="000D1560" w:rsidRPr="00722308" w14:paraId="62C59AFD" w14:textId="77777777" w:rsidTr="00E60E99">
        <w:trPr>
          <w:trHeight w:val="287"/>
        </w:trPr>
        <w:tc>
          <w:tcPr>
            <w:tcW w:w="1915" w:type="pct"/>
            <w:vMerge/>
          </w:tcPr>
          <w:p w14:paraId="211687CD" w14:textId="77777777" w:rsidR="000D1560" w:rsidRPr="00F94FED" w:rsidRDefault="000D1560" w:rsidP="009A4C46">
            <w:pPr>
              <w:widowControl w:val="0"/>
              <w:spacing w:after="0" w:line="240" w:lineRule="auto"/>
              <w:rPr>
                <w:rFonts w:eastAsia="Microsoft Sans Serif"/>
                <w:color w:val="000000"/>
                <w:lang w:eastAsia="ru-RU" w:bidi="ru-RU"/>
              </w:rPr>
            </w:pPr>
          </w:p>
        </w:tc>
        <w:tc>
          <w:tcPr>
            <w:tcW w:w="1029" w:type="pct"/>
            <w:vAlign w:val="center"/>
          </w:tcPr>
          <w:p w14:paraId="78648F72" w14:textId="77777777" w:rsidR="000D1560" w:rsidRPr="00F94FED" w:rsidRDefault="000D1560" w:rsidP="00195CA9">
            <w:pPr>
              <w:widowControl w:val="0"/>
              <w:spacing w:after="0" w:line="240" w:lineRule="auto"/>
              <w:jc w:val="center"/>
              <w:rPr>
                <w:rFonts w:eastAsia="Microsoft Sans Serif" w:cs="Microsoft Sans Serif"/>
                <w:color w:val="000000"/>
                <w:lang w:eastAsia="ru-RU" w:bidi="ru-RU"/>
              </w:rPr>
            </w:pPr>
            <w:r w:rsidRPr="00F94FED">
              <w:rPr>
                <w:rFonts w:eastAsia="Microsoft Sans Serif"/>
                <w:color w:val="000000"/>
                <w:lang w:eastAsia="ru-RU" w:bidi="ru-RU"/>
              </w:rPr>
              <w:t>2018</w:t>
            </w:r>
          </w:p>
        </w:tc>
        <w:tc>
          <w:tcPr>
            <w:tcW w:w="2056" w:type="pct"/>
            <w:vAlign w:val="center"/>
          </w:tcPr>
          <w:p w14:paraId="44E00FA9" w14:textId="77777777" w:rsidR="000D1560" w:rsidRPr="00F94FED" w:rsidRDefault="000D1560" w:rsidP="00E169B0">
            <w:pPr>
              <w:widowControl w:val="0"/>
              <w:spacing w:after="0" w:line="240" w:lineRule="auto"/>
              <w:jc w:val="center"/>
              <w:rPr>
                <w:rFonts w:eastAsia="Microsoft Sans Serif" w:cs="Microsoft Sans Serif"/>
                <w:color w:val="000000"/>
                <w:lang w:eastAsia="ru-RU" w:bidi="ru-RU"/>
              </w:rPr>
            </w:pPr>
            <w:r w:rsidRPr="00F94FED">
              <w:rPr>
                <w:rFonts w:eastAsia="Microsoft Sans Serif"/>
                <w:color w:val="000000"/>
                <w:lang w:eastAsia="ru-RU" w:bidi="ru-RU"/>
              </w:rPr>
              <w:t>1 223 487</w:t>
            </w:r>
          </w:p>
        </w:tc>
      </w:tr>
      <w:tr w:rsidR="000D1560" w:rsidRPr="00722308" w14:paraId="3CA95FDA" w14:textId="77777777" w:rsidTr="00E60E99">
        <w:trPr>
          <w:trHeight w:val="287"/>
        </w:trPr>
        <w:tc>
          <w:tcPr>
            <w:tcW w:w="1915" w:type="pct"/>
            <w:vMerge/>
          </w:tcPr>
          <w:p w14:paraId="51D7B885" w14:textId="77777777" w:rsidR="000D1560" w:rsidRPr="00F94FED" w:rsidRDefault="000D1560" w:rsidP="009A4C46">
            <w:pPr>
              <w:widowControl w:val="0"/>
              <w:spacing w:after="0" w:line="240" w:lineRule="auto"/>
              <w:rPr>
                <w:rFonts w:eastAsia="Microsoft Sans Serif"/>
                <w:color w:val="000000"/>
                <w:lang w:eastAsia="ru-RU" w:bidi="ru-RU"/>
              </w:rPr>
            </w:pPr>
          </w:p>
        </w:tc>
        <w:tc>
          <w:tcPr>
            <w:tcW w:w="1029" w:type="pct"/>
            <w:vAlign w:val="center"/>
          </w:tcPr>
          <w:p w14:paraId="5BCEB3A3" w14:textId="77777777" w:rsidR="000D1560" w:rsidRPr="00F94FED" w:rsidRDefault="000D1560" w:rsidP="00195CA9">
            <w:pPr>
              <w:widowControl w:val="0"/>
              <w:spacing w:after="0" w:line="240" w:lineRule="auto"/>
              <w:jc w:val="center"/>
              <w:rPr>
                <w:rFonts w:eastAsia="Microsoft Sans Serif" w:cs="Microsoft Sans Serif"/>
                <w:color w:val="000000"/>
                <w:lang w:eastAsia="ru-RU" w:bidi="ru-RU"/>
              </w:rPr>
            </w:pPr>
            <w:r w:rsidRPr="00F94FED">
              <w:rPr>
                <w:rFonts w:eastAsia="Microsoft Sans Serif"/>
                <w:color w:val="000000"/>
                <w:lang w:eastAsia="ru-RU" w:bidi="ru-RU"/>
              </w:rPr>
              <w:t>2019</w:t>
            </w:r>
          </w:p>
        </w:tc>
        <w:tc>
          <w:tcPr>
            <w:tcW w:w="2056" w:type="pct"/>
            <w:vAlign w:val="center"/>
          </w:tcPr>
          <w:p w14:paraId="23CE4E95" w14:textId="77777777" w:rsidR="000D1560" w:rsidRPr="00F94FED" w:rsidRDefault="000D1560" w:rsidP="00E169B0">
            <w:pPr>
              <w:widowControl w:val="0"/>
              <w:spacing w:after="0" w:line="240" w:lineRule="auto"/>
              <w:jc w:val="center"/>
              <w:rPr>
                <w:rFonts w:eastAsia="Microsoft Sans Serif" w:cs="Microsoft Sans Serif"/>
                <w:color w:val="000000"/>
                <w:lang w:eastAsia="ru-RU" w:bidi="ru-RU"/>
              </w:rPr>
            </w:pPr>
            <w:r w:rsidRPr="00F94FED">
              <w:rPr>
                <w:rFonts w:eastAsia="Microsoft Sans Serif"/>
                <w:color w:val="000000"/>
                <w:lang w:eastAsia="ru-RU" w:bidi="ru-RU"/>
              </w:rPr>
              <w:t>1 345 000</w:t>
            </w:r>
          </w:p>
        </w:tc>
      </w:tr>
      <w:tr w:rsidR="000D1560" w:rsidRPr="00722308" w14:paraId="1AFC5450" w14:textId="77777777" w:rsidTr="00E60E99">
        <w:trPr>
          <w:trHeight w:val="287"/>
        </w:trPr>
        <w:tc>
          <w:tcPr>
            <w:tcW w:w="1915" w:type="pct"/>
            <w:vMerge/>
          </w:tcPr>
          <w:p w14:paraId="48CF111A" w14:textId="77777777" w:rsidR="000D1560" w:rsidRPr="00F94FED" w:rsidRDefault="000D1560" w:rsidP="009A4C46">
            <w:pPr>
              <w:widowControl w:val="0"/>
              <w:spacing w:after="0" w:line="240" w:lineRule="auto"/>
              <w:rPr>
                <w:rFonts w:eastAsia="Microsoft Sans Serif"/>
                <w:color w:val="000000"/>
                <w:lang w:eastAsia="ru-RU" w:bidi="ru-RU"/>
              </w:rPr>
            </w:pPr>
          </w:p>
        </w:tc>
        <w:tc>
          <w:tcPr>
            <w:tcW w:w="1029" w:type="pct"/>
            <w:vAlign w:val="center"/>
          </w:tcPr>
          <w:p w14:paraId="4ACFE34B" w14:textId="77777777" w:rsidR="000D1560" w:rsidRPr="00F94FED" w:rsidRDefault="000D1560" w:rsidP="00195CA9">
            <w:pPr>
              <w:widowControl w:val="0"/>
              <w:spacing w:after="0" w:line="240" w:lineRule="auto"/>
              <w:jc w:val="center"/>
              <w:rPr>
                <w:rFonts w:eastAsia="Microsoft Sans Serif" w:cs="Microsoft Sans Serif"/>
                <w:color w:val="000000"/>
                <w:lang w:eastAsia="ru-RU" w:bidi="ru-RU"/>
              </w:rPr>
            </w:pPr>
            <w:r w:rsidRPr="00F94FED">
              <w:rPr>
                <w:rFonts w:eastAsia="Microsoft Sans Serif"/>
                <w:color w:val="000000"/>
                <w:lang w:eastAsia="ru-RU" w:bidi="ru-RU"/>
              </w:rPr>
              <w:t>2020</w:t>
            </w:r>
          </w:p>
        </w:tc>
        <w:tc>
          <w:tcPr>
            <w:tcW w:w="2056" w:type="pct"/>
            <w:vAlign w:val="center"/>
          </w:tcPr>
          <w:p w14:paraId="244F8DB6" w14:textId="77777777" w:rsidR="000D1560" w:rsidRPr="00F94FED" w:rsidRDefault="000D1560" w:rsidP="00E169B0">
            <w:pPr>
              <w:widowControl w:val="0"/>
              <w:spacing w:after="0" w:line="240" w:lineRule="auto"/>
              <w:jc w:val="center"/>
              <w:rPr>
                <w:rFonts w:eastAsia="Microsoft Sans Serif" w:cs="Microsoft Sans Serif"/>
                <w:color w:val="000000"/>
                <w:lang w:eastAsia="ru-RU" w:bidi="ru-RU"/>
              </w:rPr>
            </w:pPr>
            <w:r w:rsidRPr="00F94FED">
              <w:rPr>
                <w:rFonts w:eastAsia="Microsoft Sans Serif"/>
                <w:color w:val="000000"/>
                <w:lang w:eastAsia="ru-RU" w:bidi="ru-RU"/>
              </w:rPr>
              <w:t>1 478 000</w:t>
            </w:r>
          </w:p>
        </w:tc>
      </w:tr>
      <w:tr w:rsidR="000D1560" w:rsidRPr="00722308" w14:paraId="264F58D7" w14:textId="77777777" w:rsidTr="00E60E99">
        <w:trPr>
          <w:trHeight w:val="287"/>
        </w:trPr>
        <w:tc>
          <w:tcPr>
            <w:tcW w:w="1915" w:type="pct"/>
            <w:vMerge/>
          </w:tcPr>
          <w:p w14:paraId="5D3B48B1" w14:textId="77777777" w:rsidR="000D1560" w:rsidRPr="00F94FED" w:rsidRDefault="000D1560" w:rsidP="009A4C46">
            <w:pPr>
              <w:widowControl w:val="0"/>
              <w:spacing w:after="0" w:line="240" w:lineRule="auto"/>
              <w:rPr>
                <w:rFonts w:eastAsia="Microsoft Sans Serif"/>
                <w:color w:val="000000"/>
                <w:lang w:eastAsia="ru-RU" w:bidi="ru-RU"/>
              </w:rPr>
            </w:pPr>
          </w:p>
        </w:tc>
        <w:tc>
          <w:tcPr>
            <w:tcW w:w="1029" w:type="pct"/>
          </w:tcPr>
          <w:p w14:paraId="4660A104" w14:textId="77777777" w:rsidR="000D1560" w:rsidRPr="00F94FED" w:rsidRDefault="000D1560" w:rsidP="009A4C46">
            <w:pPr>
              <w:widowControl w:val="0"/>
              <w:spacing w:after="0" w:line="240" w:lineRule="auto"/>
              <w:jc w:val="center"/>
              <w:rPr>
                <w:rFonts w:eastAsia="Microsoft Sans Serif" w:cs="Microsoft Sans Serif"/>
                <w:color w:val="000000"/>
                <w:lang w:eastAsia="ru-RU" w:bidi="ru-RU"/>
              </w:rPr>
            </w:pPr>
            <w:r w:rsidRPr="00F94FED">
              <w:rPr>
                <w:rFonts w:eastAsia="Microsoft Sans Serif"/>
                <w:color w:val="000000"/>
                <w:lang w:eastAsia="ru-RU" w:bidi="ru-RU"/>
              </w:rPr>
              <w:t>2021</w:t>
            </w:r>
          </w:p>
        </w:tc>
        <w:tc>
          <w:tcPr>
            <w:tcW w:w="2056" w:type="pct"/>
          </w:tcPr>
          <w:p w14:paraId="040DF3D1" w14:textId="77777777" w:rsidR="000D1560" w:rsidRPr="00F94FED" w:rsidRDefault="000D1560" w:rsidP="009A4C46">
            <w:pPr>
              <w:widowControl w:val="0"/>
              <w:spacing w:after="0" w:line="240" w:lineRule="auto"/>
              <w:jc w:val="center"/>
              <w:rPr>
                <w:rFonts w:eastAsia="Microsoft Sans Serif" w:cs="Microsoft Sans Serif"/>
                <w:color w:val="000000"/>
                <w:lang w:eastAsia="ru-RU" w:bidi="ru-RU"/>
              </w:rPr>
            </w:pPr>
            <w:r w:rsidRPr="00F94FED">
              <w:rPr>
                <w:rFonts w:eastAsia="Microsoft Sans Serif"/>
                <w:color w:val="000000"/>
                <w:lang w:eastAsia="ru-RU" w:bidi="ru-RU"/>
              </w:rPr>
              <w:t>1 631 000</w:t>
            </w:r>
          </w:p>
        </w:tc>
      </w:tr>
      <w:tr w:rsidR="000D1560" w:rsidRPr="00722308" w14:paraId="037AC732" w14:textId="77777777" w:rsidTr="00E60E99">
        <w:trPr>
          <w:trHeight w:val="287"/>
        </w:trPr>
        <w:tc>
          <w:tcPr>
            <w:tcW w:w="1915" w:type="pct"/>
            <w:vMerge/>
          </w:tcPr>
          <w:p w14:paraId="4D10079F" w14:textId="77777777" w:rsidR="000D1560" w:rsidRPr="00F94FED" w:rsidRDefault="000D1560" w:rsidP="009A4C46">
            <w:pPr>
              <w:widowControl w:val="0"/>
              <w:spacing w:after="0" w:line="240" w:lineRule="auto"/>
              <w:rPr>
                <w:rFonts w:eastAsia="Microsoft Sans Serif"/>
                <w:color w:val="000000"/>
                <w:lang w:eastAsia="ru-RU" w:bidi="ru-RU"/>
              </w:rPr>
            </w:pPr>
          </w:p>
        </w:tc>
        <w:tc>
          <w:tcPr>
            <w:tcW w:w="1029" w:type="pct"/>
          </w:tcPr>
          <w:p w14:paraId="7B013E97" w14:textId="77777777" w:rsidR="000D1560" w:rsidRPr="00F94FED" w:rsidRDefault="000D1560" w:rsidP="009A4C46">
            <w:pPr>
              <w:widowControl w:val="0"/>
              <w:spacing w:after="0" w:line="240" w:lineRule="auto"/>
              <w:jc w:val="center"/>
              <w:rPr>
                <w:rFonts w:eastAsia="Microsoft Sans Serif" w:cs="Microsoft Sans Serif"/>
                <w:color w:val="000000"/>
                <w:lang w:eastAsia="ru-RU" w:bidi="ru-RU"/>
              </w:rPr>
            </w:pPr>
            <w:r w:rsidRPr="00F94FED">
              <w:rPr>
                <w:rFonts w:eastAsia="Microsoft Sans Serif"/>
                <w:color w:val="000000"/>
                <w:lang w:eastAsia="ru-RU" w:bidi="ru-RU"/>
              </w:rPr>
              <w:t>2022</w:t>
            </w:r>
          </w:p>
        </w:tc>
        <w:tc>
          <w:tcPr>
            <w:tcW w:w="2056" w:type="pct"/>
          </w:tcPr>
          <w:p w14:paraId="79CB3345" w14:textId="77777777" w:rsidR="000D1560" w:rsidRPr="00F94FED" w:rsidRDefault="000D1560" w:rsidP="009A4C46">
            <w:pPr>
              <w:widowControl w:val="0"/>
              <w:spacing w:after="0" w:line="240" w:lineRule="auto"/>
              <w:jc w:val="center"/>
              <w:rPr>
                <w:rFonts w:eastAsia="Microsoft Sans Serif" w:cs="Microsoft Sans Serif"/>
                <w:color w:val="000000"/>
                <w:lang w:eastAsia="ru-RU" w:bidi="ru-RU"/>
              </w:rPr>
            </w:pPr>
            <w:r w:rsidRPr="00F94FED">
              <w:rPr>
                <w:rFonts w:eastAsia="Microsoft Sans Serif"/>
                <w:color w:val="000000"/>
                <w:lang w:eastAsia="ru-RU" w:bidi="ru-RU"/>
              </w:rPr>
              <w:t>1 806 000</w:t>
            </w:r>
          </w:p>
        </w:tc>
      </w:tr>
    </w:tbl>
    <w:p w14:paraId="492C7B99" w14:textId="77777777" w:rsidR="009A4C46" w:rsidRPr="009A4C46" w:rsidRDefault="009A4C46" w:rsidP="009A4C46">
      <w:pPr>
        <w:spacing w:after="0" w:line="240" w:lineRule="auto"/>
        <w:ind w:firstLine="567"/>
        <w:contextualSpacing/>
        <w:jc w:val="both"/>
        <w:rPr>
          <w:rFonts w:eastAsia="Calibri"/>
          <w:color w:val="000000"/>
          <w:sz w:val="28"/>
          <w:szCs w:val="28"/>
          <w:lang w:eastAsia="ru-RU"/>
        </w:rPr>
      </w:pPr>
      <w:r w:rsidRPr="009A4C46">
        <w:rPr>
          <w:rFonts w:eastAsia="Calibri"/>
          <w:color w:val="FF0000"/>
          <w:sz w:val="28"/>
          <w:szCs w:val="28"/>
          <w:lang w:eastAsia="ru-RU"/>
        </w:rPr>
        <w:br w:type="page"/>
      </w:r>
    </w:p>
    <w:p w14:paraId="4A8E6663" w14:textId="77777777" w:rsidR="009A4C46" w:rsidRPr="00E60E99" w:rsidRDefault="009A4C46" w:rsidP="00E60E99">
      <w:pPr>
        <w:pStyle w:val="3"/>
        <w:numPr>
          <w:ilvl w:val="0"/>
          <w:numId w:val="1"/>
        </w:numPr>
        <w:spacing w:line="360" w:lineRule="auto"/>
        <w:jc w:val="both"/>
        <w:rPr>
          <w:b/>
          <w:color w:val="4F6228" w:themeColor="accent3" w:themeShade="80"/>
          <w:sz w:val="28"/>
          <w:szCs w:val="28"/>
        </w:rPr>
      </w:pPr>
      <w:bookmarkStart w:id="19" w:name="_Toc40554844"/>
      <w:bookmarkStart w:id="20" w:name="_Toc40733179"/>
      <w:r w:rsidRPr="00E60E99">
        <w:rPr>
          <w:rFonts w:ascii="Myriad Pro" w:hAnsi="Myriad Pro"/>
          <w:b/>
          <w:color w:val="4F6228" w:themeColor="accent3" w:themeShade="80"/>
          <w:sz w:val="28"/>
          <w:szCs w:val="28"/>
        </w:rPr>
        <w:lastRenderedPageBreak/>
        <w:t>Анализ исполнения инвестиционных программ, учтенных регулирующим органом при принятии тарифно-балансовых решений на 2019 год</w:t>
      </w:r>
      <w:bookmarkEnd w:id="19"/>
      <w:bookmarkEnd w:id="20"/>
    </w:p>
    <w:p w14:paraId="10914F68" w14:textId="50BE6BD6" w:rsidR="00483598" w:rsidRPr="00483598" w:rsidRDefault="00483598" w:rsidP="00483598">
      <w:pPr>
        <w:autoSpaceDE w:val="0"/>
        <w:autoSpaceDN w:val="0"/>
        <w:adjustRightInd w:val="0"/>
        <w:spacing w:after="0" w:line="360" w:lineRule="auto"/>
        <w:ind w:firstLine="567"/>
        <w:jc w:val="both"/>
        <w:rPr>
          <w:rFonts w:eastAsiaTheme="minorEastAsia" w:cstheme="minorBidi"/>
          <w:bCs/>
          <w:sz w:val="26"/>
          <w:szCs w:val="26"/>
          <w:lang w:eastAsia="ru-RU"/>
        </w:rPr>
      </w:pPr>
      <w:r w:rsidRPr="00483598">
        <w:rPr>
          <w:rFonts w:eastAsiaTheme="minorEastAsia" w:cstheme="minorBidi"/>
          <w:bCs/>
          <w:sz w:val="26"/>
          <w:szCs w:val="26"/>
          <w:lang w:eastAsia="ru-RU"/>
        </w:rPr>
        <w:t xml:space="preserve">Приказом Минэнерго России от 17.10.2018 № 4@ «Об утверждении изменении, вносимых в инвестиционную программы АО «Тываэнерго», утвержденную приказом Минэнерго России от 27.12.2017 №6@, на 2019 год предусмотрены источники финансирования инвестиционной программы в общем объеме 663 376 тыс. руб.: </w:t>
      </w:r>
    </w:p>
    <w:p w14:paraId="31A010A4" w14:textId="5E1C1697" w:rsidR="00483598" w:rsidRPr="00483598" w:rsidRDefault="00483598" w:rsidP="00483598">
      <w:pPr>
        <w:numPr>
          <w:ilvl w:val="0"/>
          <w:numId w:val="44"/>
        </w:numPr>
        <w:spacing w:after="0" w:line="360" w:lineRule="auto"/>
        <w:ind w:left="0" w:firstLine="567"/>
        <w:jc w:val="both"/>
        <w:rPr>
          <w:rFonts w:eastAsia="Calibri" w:cstheme="minorBidi"/>
          <w:bCs/>
          <w:sz w:val="26"/>
          <w:szCs w:val="26"/>
          <w:lang w:eastAsia="ru-RU"/>
        </w:rPr>
      </w:pPr>
      <w:r w:rsidRPr="00483598">
        <w:rPr>
          <w:rFonts w:eastAsia="Calibri" w:cstheme="minorBidi"/>
          <w:bCs/>
          <w:sz w:val="26"/>
          <w:szCs w:val="26"/>
          <w:lang w:eastAsia="ru-RU"/>
        </w:rPr>
        <w:t>амортизация– 77 626 тыс. руб.;</w:t>
      </w:r>
    </w:p>
    <w:p w14:paraId="64AB1E78" w14:textId="77777777" w:rsidR="00483598" w:rsidRPr="00483598" w:rsidRDefault="00483598" w:rsidP="00483598">
      <w:pPr>
        <w:numPr>
          <w:ilvl w:val="0"/>
          <w:numId w:val="44"/>
        </w:numPr>
        <w:spacing w:after="0" w:line="360" w:lineRule="auto"/>
        <w:ind w:left="0" w:firstLine="567"/>
        <w:jc w:val="both"/>
        <w:rPr>
          <w:rFonts w:eastAsiaTheme="minorEastAsia" w:cstheme="minorBidi"/>
          <w:bCs/>
          <w:sz w:val="26"/>
          <w:szCs w:val="26"/>
          <w:lang w:eastAsia="ru-RU"/>
        </w:rPr>
      </w:pPr>
      <w:r w:rsidRPr="00483598">
        <w:rPr>
          <w:rFonts w:eastAsia="Calibri" w:cstheme="minorBidi"/>
          <w:bCs/>
          <w:sz w:val="26"/>
          <w:szCs w:val="26"/>
          <w:lang w:eastAsia="ru-RU"/>
        </w:rPr>
        <w:t>возврат НДС – 10 488,4 тыс. руб.</w:t>
      </w:r>
    </w:p>
    <w:p w14:paraId="13BCD8F5" w14:textId="77777777" w:rsidR="00483598" w:rsidRPr="00483598" w:rsidRDefault="00483598" w:rsidP="00483598">
      <w:pPr>
        <w:numPr>
          <w:ilvl w:val="0"/>
          <w:numId w:val="44"/>
        </w:numPr>
        <w:spacing w:after="0" w:line="360" w:lineRule="auto"/>
        <w:ind w:left="0" w:firstLine="567"/>
        <w:jc w:val="both"/>
        <w:rPr>
          <w:rFonts w:eastAsiaTheme="minorEastAsia" w:cstheme="minorBidi"/>
          <w:bCs/>
          <w:sz w:val="26"/>
          <w:szCs w:val="26"/>
          <w:lang w:eastAsia="ru-RU"/>
        </w:rPr>
      </w:pPr>
      <w:r w:rsidRPr="00483598">
        <w:rPr>
          <w:rFonts w:eastAsia="Calibri" w:cstheme="minorBidi"/>
          <w:bCs/>
          <w:sz w:val="26"/>
          <w:szCs w:val="26"/>
          <w:lang w:eastAsia="ru-RU"/>
        </w:rPr>
        <w:t>средства от эмиссии акций – 575 262 тыс. руб.</w:t>
      </w:r>
    </w:p>
    <w:p w14:paraId="4EDBF00B" w14:textId="65CF7DF7" w:rsidR="00483598" w:rsidRPr="00483598" w:rsidRDefault="00483598" w:rsidP="00483598">
      <w:pPr>
        <w:spacing w:after="0" w:line="360" w:lineRule="auto"/>
        <w:ind w:firstLine="567"/>
        <w:jc w:val="both"/>
        <w:rPr>
          <w:rFonts w:eastAsiaTheme="minorEastAsia" w:cstheme="minorBidi"/>
          <w:bCs/>
          <w:color w:val="auto"/>
          <w:sz w:val="26"/>
          <w:szCs w:val="26"/>
          <w:lang w:eastAsia="ru-RU"/>
        </w:rPr>
      </w:pPr>
      <w:r w:rsidRPr="00483598">
        <w:rPr>
          <w:rFonts w:eastAsiaTheme="minorEastAsia" w:cstheme="minorBidi"/>
          <w:bCs/>
          <w:color w:val="auto"/>
          <w:sz w:val="26"/>
          <w:szCs w:val="26"/>
          <w:lang w:eastAsia="ru-RU"/>
        </w:rPr>
        <w:t>В соответствии с Экспертным заключением Службы по тарифам Республики Тыва от 29.12.2008 расходы на амортизацию учитывают вводы ПС и ВЛ 110 кВ, объектов инвестиционной программы АО «Тываэнерго», утвержденной приказом Минэнерго России от 17.10.2018 №4@, и приняты в размере</w:t>
      </w:r>
      <w:r w:rsidR="00A27C18">
        <w:rPr>
          <w:rFonts w:eastAsiaTheme="minorEastAsia" w:cstheme="minorBidi"/>
          <w:bCs/>
          <w:color w:val="auto"/>
          <w:sz w:val="26"/>
          <w:szCs w:val="26"/>
          <w:lang w:eastAsia="ru-RU"/>
        </w:rPr>
        <w:t>:</w:t>
      </w:r>
    </w:p>
    <w:p w14:paraId="6694A2F2" w14:textId="6F4DE8DC" w:rsidR="00483598" w:rsidRDefault="00483598" w:rsidP="00483598">
      <w:pPr>
        <w:numPr>
          <w:ilvl w:val="0"/>
          <w:numId w:val="44"/>
        </w:numPr>
        <w:spacing w:after="0" w:line="360" w:lineRule="auto"/>
        <w:ind w:left="0" w:firstLine="567"/>
        <w:jc w:val="both"/>
        <w:rPr>
          <w:rFonts w:eastAsia="Calibri" w:cstheme="minorBidi"/>
          <w:bCs/>
          <w:sz w:val="26"/>
          <w:szCs w:val="26"/>
          <w:lang w:eastAsia="ru-RU"/>
        </w:rPr>
      </w:pPr>
      <w:r w:rsidRPr="00483598">
        <w:rPr>
          <w:rFonts w:eastAsia="Calibri" w:cstheme="minorBidi"/>
          <w:bCs/>
          <w:sz w:val="26"/>
          <w:szCs w:val="26"/>
          <w:lang w:eastAsia="ru-RU"/>
        </w:rPr>
        <w:t>амортизация 105 422 тыс. руб.</w:t>
      </w:r>
    </w:p>
    <w:p w14:paraId="1AEB4153" w14:textId="17D99987" w:rsidR="00827944" w:rsidRPr="0072390C" w:rsidRDefault="00827944" w:rsidP="00E72D6E">
      <w:pPr>
        <w:spacing w:after="0" w:line="360" w:lineRule="auto"/>
        <w:ind w:firstLine="567"/>
        <w:jc w:val="both"/>
        <w:rPr>
          <w:rFonts w:eastAsia="Calibri" w:cstheme="minorBidi"/>
          <w:bCs/>
          <w:iCs/>
          <w:color w:val="auto"/>
          <w:sz w:val="26"/>
          <w:szCs w:val="26"/>
          <w:lang w:eastAsia="ru-RU"/>
        </w:rPr>
      </w:pPr>
      <w:r w:rsidRPr="00827944">
        <w:rPr>
          <w:rFonts w:eastAsia="Calibri" w:cstheme="minorBidi"/>
          <w:bCs/>
          <w:sz w:val="26"/>
          <w:szCs w:val="26"/>
          <w:lang w:eastAsia="ru-RU"/>
        </w:rPr>
        <w:t>Общий размер учтенной при установлении тариф</w:t>
      </w:r>
      <w:r w:rsidR="00FE405A">
        <w:rPr>
          <w:rFonts w:eastAsia="Calibri" w:cstheme="minorBidi"/>
          <w:bCs/>
          <w:sz w:val="26"/>
          <w:szCs w:val="26"/>
          <w:lang w:eastAsia="ru-RU"/>
        </w:rPr>
        <w:t>ов</w:t>
      </w:r>
      <w:r w:rsidRPr="00827944">
        <w:rPr>
          <w:rFonts w:eastAsia="Calibri" w:cstheme="minorBidi"/>
          <w:bCs/>
          <w:sz w:val="26"/>
          <w:szCs w:val="26"/>
          <w:lang w:eastAsia="ru-RU"/>
        </w:rPr>
        <w:t xml:space="preserve"> амортизации превышает плановый размер финансирования инвестиционной программы на 2019 год, утвержденной приказом Минэнерго России от </w:t>
      </w:r>
      <w:r>
        <w:rPr>
          <w:rFonts w:eastAsia="Calibri" w:cstheme="minorBidi"/>
          <w:bCs/>
          <w:sz w:val="26"/>
          <w:szCs w:val="26"/>
          <w:lang w:eastAsia="ru-RU"/>
        </w:rPr>
        <w:t>17.10.2018</w:t>
      </w:r>
      <w:r w:rsidRPr="00827944">
        <w:rPr>
          <w:rFonts w:eastAsia="Calibri" w:cstheme="minorBidi"/>
          <w:bCs/>
          <w:sz w:val="26"/>
          <w:szCs w:val="26"/>
          <w:lang w:eastAsia="ru-RU"/>
        </w:rPr>
        <w:t xml:space="preserve"> №</w:t>
      </w:r>
      <w:r>
        <w:rPr>
          <w:rFonts w:eastAsia="Calibri" w:cstheme="minorBidi"/>
          <w:bCs/>
          <w:sz w:val="26"/>
          <w:szCs w:val="26"/>
          <w:lang w:eastAsia="ru-RU"/>
        </w:rPr>
        <w:t>4</w:t>
      </w:r>
      <w:r w:rsidRPr="00827944">
        <w:rPr>
          <w:rFonts w:eastAsia="Calibri" w:cstheme="minorBidi"/>
          <w:bCs/>
          <w:sz w:val="26"/>
          <w:szCs w:val="26"/>
          <w:lang w:eastAsia="ru-RU"/>
        </w:rPr>
        <w:t xml:space="preserve">@. Согласно утвержденной инвестиционной программе, плановый размер финансирования </w:t>
      </w:r>
      <w:r>
        <w:rPr>
          <w:rFonts w:eastAsia="Calibri" w:cstheme="minorBidi"/>
          <w:bCs/>
          <w:sz w:val="26"/>
          <w:szCs w:val="26"/>
          <w:lang w:eastAsia="ru-RU"/>
        </w:rPr>
        <w:t xml:space="preserve">за </w:t>
      </w:r>
      <w:r w:rsidRPr="0072390C">
        <w:rPr>
          <w:rFonts w:eastAsia="Calibri" w:cstheme="minorBidi"/>
          <w:bCs/>
          <w:color w:val="auto"/>
          <w:sz w:val="26"/>
          <w:szCs w:val="26"/>
          <w:lang w:eastAsia="ru-RU"/>
        </w:rPr>
        <w:t xml:space="preserve">счет амортизации, учтенной в тарифе, составляет 77 626 тыс. руб. без НДС. Согласно пункту 32 </w:t>
      </w:r>
      <w:r w:rsidR="00E72D6E" w:rsidRPr="0072390C">
        <w:rPr>
          <w:rFonts w:eastAsia="Calibri" w:cstheme="minorBidi"/>
          <w:bCs/>
          <w:color w:val="auto"/>
          <w:sz w:val="26"/>
          <w:szCs w:val="26"/>
          <w:lang w:eastAsia="ru-RU"/>
        </w:rPr>
        <w:t>Основ ценообразования № 1178</w:t>
      </w:r>
      <w:r w:rsidRPr="0072390C">
        <w:rPr>
          <w:rFonts w:eastAsia="Calibri" w:cstheme="minorBidi"/>
          <w:bCs/>
          <w:color w:val="auto"/>
          <w:sz w:val="26"/>
          <w:szCs w:val="26"/>
          <w:lang w:eastAsia="ru-RU"/>
        </w:rPr>
        <w:t xml:space="preserve"> расходы на инвестиции в расчетном периоде регулирования определяются на основе утвержденных инвестиционных программ. Величина собственных средств АО «Тываэнерго» направленных на финансирование инвестиционной программы, учтенная при установлении тарифов на 2019 год составит </w:t>
      </w:r>
      <w:r w:rsidR="00D903C8" w:rsidRPr="0072390C">
        <w:rPr>
          <w:rFonts w:eastAsia="Calibri" w:cstheme="minorBidi"/>
          <w:bCs/>
          <w:iCs/>
          <w:color w:val="auto"/>
          <w:sz w:val="26"/>
          <w:szCs w:val="26"/>
          <w:lang w:eastAsia="ru-RU"/>
        </w:rPr>
        <w:t>77 626 тыс. руб.</w:t>
      </w:r>
      <w:r w:rsidR="0050749D" w:rsidRPr="0072390C">
        <w:rPr>
          <w:rFonts w:eastAsia="Calibri" w:cstheme="minorBidi"/>
          <w:bCs/>
          <w:iCs/>
          <w:color w:val="auto"/>
          <w:sz w:val="26"/>
          <w:szCs w:val="26"/>
          <w:lang w:eastAsia="ru-RU"/>
        </w:rPr>
        <w:t xml:space="preserve"> без НДС.</w:t>
      </w:r>
    </w:p>
    <w:p w14:paraId="6F3C0CA8" w14:textId="77777777" w:rsidR="00483598" w:rsidRPr="00483598" w:rsidRDefault="00483598" w:rsidP="00483598">
      <w:pPr>
        <w:autoSpaceDE w:val="0"/>
        <w:autoSpaceDN w:val="0"/>
        <w:adjustRightInd w:val="0"/>
        <w:spacing w:after="0" w:line="360" w:lineRule="auto"/>
        <w:ind w:firstLine="567"/>
        <w:jc w:val="both"/>
        <w:rPr>
          <w:rFonts w:eastAsiaTheme="minorEastAsia" w:cstheme="minorBidi"/>
          <w:bCs/>
          <w:sz w:val="26"/>
          <w:szCs w:val="26"/>
          <w:lang w:eastAsia="ru-RU"/>
        </w:rPr>
      </w:pPr>
      <w:r w:rsidRPr="0072390C">
        <w:rPr>
          <w:rFonts w:eastAsiaTheme="minorEastAsia" w:cstheme="minorBidi"/>
          <w:bCs/>
          <w:color w:val="auto"/>
          <w:sz w:val="26"/>
          <w:szCs w:val="26"/>
          <w:lang w:eastAsia="ru-RU"/>
        </w:rPr>
        <w:t xml:space="preserve">В соответствии с п. 11 Методических указаний № 98-э при определении величины корректировки НВВ в связи с изменением (неисполнением) инвестиционной программы используется плановый размер финансирования </w:t>
      </w:r>
      <w:r w:rsidRPr="00483598">
        <w:rPr>
          <w:rFonts w:eastAsiaTheme="minorEastAsia" w:cstheme="minorBidi"/>
          <w:bCs/>
          <w:sz w:val="26"/>
          <w:szCs w:val="26"/>
          <w:lang w:eastAsia="ru-RU"/>
        </w:rPr>
        <w:t>инвестиционной программы, утвержденной (скорректированной) на год (</w:t>
      </w:r>
      <w:proofErr w:type="spellStart"/>
      <w:r w:rsidRPr="00483598">
        <w:rPr>
          <w:rFonts w:eastAsiaTheme="minorEastAsia" w:cstheme="minorBidi"/>
          <w:bCs/>
          <w:sz w:val="26"/>
          <w:szCs w:val="26"/>
          <w:lang w:val="en-US" w:eastAsia="ru-RU"/>
        </w:rPr>
        <w:t>i</w:t>
      </w:r>
      <w:proofErr w:type="spellEnd"/>
      <w:r w:rsidRPr="00483598">
        <w:rPr>
          <w:rFonts w:eastAsiaTheme="minorEastAsia" w:cstheme="minorBidi"/>
          <w:bCs/>
          <w:sz w:val="26"/>
          <w:szCs w:val="26"/>
          <w:lang w:eastAsia="ru-RU"/>
        </w:rPr>
        <w:t xml:space="preserve">-2) до его начала. В связи с этим оценка исполнения инвестиционной программы, </w:t>
      </w:r>
      <w:r w:rsidRPr="00483598">
        <w:rPr>
          <w:rFonts w:eastAsiaTheme="minorEastAsia" w:cstheme="minorBidi"/>
          <w:bCs/>
          <w:sz w:val="26"/>
          <w:szCs w:val="26"/>
          <w:lang w:eastAsia="ru-RU"/>
        </w:rPr>
        <w:lastRenderedPageBreak/>
        <w:t xml:space="preserve">учтенной при принятии тарифно-балансовых решений на 2019 год </w:t>
      </w:r>
      <w:r w:rsidRPr="00483598">
        <w:rPr>
          <w:rFonts w:eastAsiaTheme="minorEastAsia" w:cstheme="minorBidi"/>
          <w:bCs/>
          <w:color w:val="auto"/>
          <w:sz w:val="26"/>
          <w:szCs w:val="26"/>
          <w:lang w:eastAsia="ru-RU"/>
        </w:rPr>
        <w:t>Службы по тарифам Республики Тыва,</w:t>
      </w:r>
      <w:r w:rsidRPr="00483598">
        <w:rPr>
          <w:rFonts w:eastAsiaTheme="minorEastAsia" w:cstheme="minorBidi"/>
          <w:bCs/>
          <w:sz w:val="26"/>
          <w:szCs w:val="26"/>
          <w:lang w:eastAsia="ru-RU"/>
        </w:rPr>
        <w:t xml:space="preserve"> проводилась Исполнителем исходя из опубликованной Инвестиционной программы АО «Тываэнерго», утвержденной приказом Минэнерго России </w:t>
      </w:r>
      <w:r w:rsidRPr="00483598">
        <w:rPr>
          <w:rFonts w:eastAsia="Calibri"/>
          <w:bCs/>
          <w:iCs/>
          <w:sz w:val="26"/>
          <w:szCs w:val="26"/>
          <w:lang w:eastAsia="ru-RU"/>
        </w:rPr>
        <w:t xml:space="preserve">от </w:t>
      </w:r>
      <w:r w:rsidRPr="00483598">
        <w:rPr>
          <w:rFonts w:eastAsiaTheme="minorEastAsia" w:cstheme="minorBidi"/>
          <w:bCs/>
          <w:sz w:val="26"/>
          <w:szCs w:val="26"/>
          <w:lang w:eastAsia="ru-RU"/>
        </w:rPr>
        <w:t xml:space="preserve">17.10.2018 № 4@, в соответствии с требованиями Стандартов раскрытия информации, фактической информации из отчетов о реализации инвестиционной программы за 2019 год и плановых значений на 2019 год. </w:t>
      </w:r>
    </w:p>
    <w:p w14:paraId="6DBE74B3" w14:textId="77777777" w:rsidR="00483598" w:rsidRPr="00483598" w:rsidRDefault="00483598" w:rsidP="00483598">
      <w:pPr>
        <w:autoSpaceDE w:val="0"/>
        <w:autoSpaceDN w:val="0"/>
        <w:adjustRightInd w:val="0"/>
        <w:spacing w:after="0" w:line="360" w:lineRule="auto"/>
        <w:ind w:firstLine="567"/>
        <w:jc w:val="both"/>
        <w:rPr>
          <w:rFonts w:eastAsiaTheme="minorEastAsia" w:cstheme="minorBidi"/>
          <w:bCs/>
          <w:sz w:val="26"/>
          <w:szCs w:val="26"/>
          <w:lang w:eastAsia="ru-RU"/>
        </w:rPr>
      </w:pPr>
      <w:r w:rsidRPr="00483598">
        <w:rPr>
          <w:rFonts w:eastAsiaTheme="minorEastAsia" w:cstheme="minorBidi"/>
          <w:bCs/>
          <w:sz w:val="26"/>
          <w:szCs w:val="26"/>
          <w:lang w:eastAsia="ru-RU"/>
        </w:rPr>
        <w:t>В соответствии с пунктом 19 «н» Стандартов раскрытия информация электросетевая организация раскрывает информацию об отчетах о реализации инвестиционной программы и об обосновывающих их материалах, включая:</w:t>
      </w:r>
    </w:p>
    <w:p w14:paraId="3E8FF7FB" w14:textId="77777777" w:rsidR="00483598" w:rsidRPr="00483598" w:rsidRDefault="00483598">
      <w:pPr>
        <w:numPr>
          <w:ilvl w:val="0"/>
          <w:numId w:val="45"/>
        </w:numPr>
        <w:spacing w:after="0" w:line="360" w:lineRule="auto"/>
        <w:ind w:left="1134" w:hanging="567"/>
        <w:jc w:val="both"/>
        <w:rPr>
          <w:rFonts w:eastAsia="Calibri" w:cstheme="minorBidi"/>
          <w:bCs/>
          <w:sz w:val="26"/>
          <w:szCs w:val="26"/>
          <w:lang w:eastAsia="ru-RU"/>
        </w:rPr>
      </w:pPr>
      <w:r w:rsidRPr="00483598">
        <w:rPr>
          <w:rFonts w:eastAsia="Calibri" w:cstheme="minorBidi"/>
          <w:bCs/>
          <w:sz w:val="26"/>
          <w:szCs w:val="26"/>
          <w:lang w:eastAsia="ru-RU"/>
        </w:rPr>
        <w:t xml:space="preserve">отчет о реализации инвестиционной программы, сформированный с распределением по перечням инвестиционных проектов, с указанием фактических: </w:t>
      </w:r>
    </w:p>
    <w:p w14:paraId="342922E3" w14:textId="77777777" w:rsidR="00483598" w:rsidRPr="00483598" w:rsidRDefault="00483598" w:rsidP="00F94FED">
      <w:pPr>
        <w:numPr>
          <w:ilvl w:val="0"/>
          <w:numId w:val="46"/>
        </w:numPr>
        <w:autoSpaceDE w:val="0"/>
        <w:autoSpaceDN w:val="0"/>
        <w:adjustRightInd w:val="0"/>
        <w:spacing w:after="200" w:line="360" w:lineRule="auto"/>
        <w:ind w:left="1701" w:hanging="567"/>
        <w:contextualSpacing/>
        <w:jc w:val="both"/>
        <w:rPr>
          <w:rFonts w:eastAsiaTheme="minorEastAsia" w:cstheme="minorBidi"/>
          <w:bCs/>
          <w:sz w:val="26"/>
          <w:szCs w:val="26"/>
          <w:lang w:eastAsia="ru-RU"/>
        </w:rPr>
      </w:pPr>
      <w:r w:rsidRPr="00483598">
        <w:rPr>
          <w:rFonts w:eastAsiaTheme="minorEastAsia" w:cstheme="minorBidi"/>
          <w:bCs/>
          <w:sz w:val="26"/>
          <w:szCs w:val="26"/>
          <w:lang w:eastAsia="ru-RU"/>
        </w:rPr>
        <w:t>введенной (выведенной) мощности и (или) других характеристик объектов инвестиционной деятельности, предусмотренных соответствующими инвестиционными проектами, а также дат ввода (вывода) указанных объектов;</w:t>
      </w:r>
    </w:p>
    <w:p w14:paraId="292C3BFA" w14:textId="77777777" w:rsidR="00483598" w:rsidRPr="00483598" w:rsidRDefault="00483598" w:rsidP="00F94FED">
      <w:pPr>
        <w:numPr>
          <w:ilvl w:val="0"/>
          <w:numId w:val="46"/>
        </w:numPr>
        <w:autoSpaceDE w:val="0"/>
        <w:autoSpaceDN w:val="0"/>
        <w:adjustRightInd w:val="0"/>
        <w:spacing w:after="200" w:line="360" w:lineRule="auto"/>
        <w:ind w:left="1701" w:hanging="567"/>
        <w:contextualSpacing/>
        <w:jc w:val="both"/>
        <w:rPr>
          <w:rFonts w:eastAsiaTheme="minorEastAsia" w:cstheme="minorBidi"/>
          <w:bCs/>
          <w:sz w:val="26"/>
          <w:szCs w:val="26"/>
          <w:lang w:eastAsia="ru-RU"/>
        </w:rPr>
      </w:pPr>
      <w:r w:rsidRPr="00483598">
        <w:rPr>
          <w:rFonts w:eastAsiaTheme="minorEastAsia" w:cstheme="minorBidi"/>
          <w:bCs/>
          <w:sz w:val="26"/>
          <w:szCs w:val="26"/>
          <w:lang w:eastAsia="ru-RU"/>
        </w:rPr>
        <w:t>объемов финансирования и освоения капитальных вложений, а также источников финансирования инвестиционных проектов инвестиционной программы;</w:t>
      </w:r>
    </w:p>
    <w:p w14:paraId="2105B3AC" w14:textId="77777777" w:rsidR="00483598" w:rsidRPr="00483598" w:rsidRDefault="00483598" w:rsidP="00F94FED">
      <w:pPr>
        <w:numPr>
          <w:ilvl w:val="0"/>
          <w:numId w:val="46"/>
        </w:numPr>
        <w:autoSpaceDE w:val="0"/>
        <w:autoSpaceDN w:val="0"/>
        <w:adjustRightInd w:val="0"/>
        <w:spacing w:after="200" w:line="360" w:lineRule="auto"/>
        <w:ind w:left="1701" w:hanging="567"/>
        <w:contextualSpacing/>
        <w:jc w:val="both"/>
        <w:rPr>
          <w:rFonts w:eastAsiaTheme="minorEastAsia" w:cstheme="minorBidi"/>
          <w:bCs/>
          <w:sz w:val="26"/>
          <w:szCs w:val="26"/>
          <w:lang w:eastAsia="ru-RU"/>
        </w:rPr>
      </w:pPr>
      <w:r w:rsidRPr="00483598">
        <w:rPr>
          <w:rFonts w:eastAsiaTheme="minorEastAsia" w:cstheme="minorBidi"/>
          <w:bCs/>
          <w:sz w:val="26"/>
          <w:szCs w:val="26"/>
          <w:lang w:eastAsia="ru-RU"/>
        </w:rPr>
        <w:t>объемов ввода объектов основных средств в натуральном и стоимостном выражении по инвестиционным проектам инвестиционной программы;</w:t>
      </w:r>
    </w:p>
    <w:p w14:paraId="72CA9CC1" w14:textId="77777777" w:rsidR="00483598" w:rsidRPr="00483598" w:rsidRDefault="00483598" w:rsidP="00F94FED">
      <w:pPr>
        <w:numPr>
          <w:ilvl w:val="0"/>
          <w:numId w:val="46"/>
        </w:numPr>
        <w:autoSpaceDE w:val="0"/>
        <w:autoSpaceDN w:val="0"/>
        <w:adjustRightInd w:val="0"/>
        <w:spacing w:after="200" w:line="360" w:lineRule="auto"/>
        <w:ind w:left="1701" w:hanging="567"/>
        <w:contextualSpacing/>
        <w:jc w:val="both"/>
        <w:rPr>
          <w:rFonts w:eastAsiaTheme="minorEastAsia" w:cstheme="minorBidi"/>
          <w:bCs/>
          <w:sz w:val="26"/>
          <w:szCs w:val="26"/>
          <w:lang w:eastAsia="ru-RU"/>
        </w:rPr>
      </w:pPr>
      <w:r w:rsidRPr="00483598">
        <w:rPr>
          <w:rFonts w:eastAsiaTheme="minorEastAsia" w:cstheme="minorBidi"/>
          <w:bCs/>
          <w:sz w:val="26"/>
          <w:szCs w:val="26"/>
          <w:lang w:eastAsia="ru-RU"/>
        </w:rPr>
        <w:t>стоимостных, технических, количественных и иных показателей технологических решений капитального строительства введенных в эксплуатацию объектов электроэнергетики, соответствующих типовым технологическим решениям капитального строительства объектов электроэнергетики, в отношении которых Министерством энергетики Российской Федерации установлены укрупненные нормативы цены;</w:t>
      </w:r>
    </w:p>
    <w:p w14:paraId="61EC9F0F" w14:textId="77777777" w:rsidR="00483598" w:rsidRPr="00483598" w:rsidRDefault="00483598" w:rsidP="00F94FED">
      <w:pPr>
        <w:numPr>
          <w:ilvl w:val="0"/>
          <w:numId w:val="46"/>
        </w:numPr>
        <w:autoSpaceDE w:val="0"/>
        <w:autoSpaceDN w:val="0"/>
        <w:adjustRightInd w:val="0"/>
        <w:spacing w:after="0" w:line="360" w:lineRule="auto"/>
        <w:ind w:left="1701" w:hanging="567"/>
        <w:contextualSpacing/>
        <w:jc w:val="both"/>
        <w:rPr>
          <w:rFonts w:eastAsiaTheme="minorEastAsia" w:cstheme="minorBidi"/>
          <w:bCs/>
          <w:sz w:val="26"/>
          <w:szCs w:val="26"/>
          <w:lang w:eastAsia="ru-RU"/>
        </w:rPr>
      </w:pPr>
      <w:r w:rsidRPr="00483598">
        <w:rPr>
          <w:rFonts w:eastAsiaTheme="minorEastAsia" w:cstheme="minorBidi"/>
          <w:bCs/>
          <w:sz w:val="26"/>
          <w:szCs w:val="26"/>
          <w:lang w:eastAsia="ru-RU"/>
        </w:rPr>
        <w:t xml:space="preserve">значений количественных показателей инвестиционной программы и достигнутых результатов в части, касающейся </w:t>
      </w:r>
      <w:r w:rsidRPr="00483598">
        <w:rPr>
          <w:rFonts w:eastAsiaTheme="minorEastAsia" w:cstheme="minorBidi"/>
          <w:bCs/>
          <w:sz w:val="26"/>
          <w:szCs w:val="26"/>
          <w:lang w:eastAsia="ru-RU"/>
        </w:rPr>
        <w:lastRenderedPageBreak/>
        <w:t>расширения пропускной способности, снижения потерь в сетях и увеличения резерва для присоединения потребителей отдельно по каждому центру питания напряжением 35 кВ и выше;</w:t>
      </w:r>
    </w:p>
    <w:p w14:paraId="4D9EE188" w14:textId="77777777" w:rsidR="00483598" w:rsidRPr="00483598" w:rsidRDefault="00483598" w:rsidP="00F94FED">
      <w:pPr>
        <w:numPr>
          <w:ilvl w:val="0"/>
          <w:numId w:val="45"/>
        </w:numPr>
        <w:spacing w:after="0" w:line="360" w:lineRule="auto"/>
        <w:ind w:left="1134" w:hanging="567"/>
        <w:jc w:val="both"/>
        <w:rPr>
          <w:rFonts w:eastAsia="Calibri" w:cstheme="minorBidi"/>
          <w:bCs/>
          <w:sz w:val="26"/>
          <w:szCs w:val="26"/>
          <w:lang w:eastAsia="ru-RU"/>
        </w:rPr>
      </w:pPr>
      <w:r w:rsidRPr="00483598">
        <w:rPr>
          <w:rFonts w:eastAsia="Calibri" w:cstheme="minorBidi"/>
          <w:bCs/>
          <w:sz w:val="26"/>
          <w:szCs w:val="26"/>
          <w:lang w:eastAsia="ru-RU"/>
        </w:rPr>
        <w:t>отчет о выполненных закупках товаров, работ и услуг для реализации утвержденной инвестиционной программы с распределением по каждому инвестиционному проекту;</w:t>
      </w:r>
    </w:p>
    <w:p w14:paraId="633F0B80" w14:textId="77777777" w:rsidR="00483598" w:rsidRPr="00483598" w:rsidRDefault="00483598" w:rsidP="00F94FED">
      <w:pPr>
        <w:numPr>
          <w:ilvl w:val="0"/>
          <w:numId w:val="45"/>
        </w:numPr>
        <w:spacing w:after="0" w:line="360" w:lineRule="auto"/>
        <w:ind w:left="1134" w:hanging="567"/>
        <w:jc w:val="both"/>
        <w:rPr>
          <w:rFonts w:eastAsia="Calibri" w:cstheme="minorBidi"/>
          <w:bCs/>
          <w:sz w:val="26"/>
          <w:szCs w:val="26"/>
          <w:lang w:eastAsia="ru-RU"/>
        </w:rPr>
      </w:pPr>
      <w:r w:rsidRPr="00483598">
        <w:rPr>
          <w:rFonts w:eastAsia="Calibri" w:cstheme="minorBidi"/>
          <w:bCs/>
          <w:sz w:val="26"/>
          <w:szCs w:val="26"/>
          <w:lang w:eastAsia="ru-RU"/>
        </w:rPr>
        <w:t>отчет об исполнении финансового плана субъекта электроэнергетики;</w:t>
      </w:r>
    </w:p>
    <w:p w14:paraId="04A91953" w14:textId="77777777" w:rsidR="00483598" w:rsidRPr="00483598" w:rsidRDefault="00483598" w:rsidP="00F94FED">
      <w:pPr>
        <w:numPr>
          <w:ilvl w:val="0"/>
          <w:numId w:val="45"/>
        </w:numPr>
        <w:spacing w:after="0" w:line="360" w:lineRule="auto"/>
        <w:ind w:left="1134" w:hanging="567"/>
        <w:jc w:val="both"/>
        <w:rPr>
          <w:rFonts w:eastAsia="Calibri" w:cstheme="minorBidi"/>
          <w:bCs/>
          <w:sz w:val="26"/>
          <w:szCs w:val="26"/>
          <w:lang w:eastAsia="ru-RU"/>
        </w:rPr>
      </w:pPr>
      <w:r w:rsidRPr="00483598">
        <w:rPr>
          <w:rFonts w:eastAsia="Calibri" w:cstheme="minorBidi"/>
          <w:bCs/>
          <w:sz w:val="26"/>
          <w:szCs w:val="26"/>
          <w:lang w:eastAsia="ru-RU"/>
        </w:rPr>
        <w:t>паспорта инвестиционных проектов;</w:t>
      </w:r>
    </w:p>
    <w:p w14:paraId="663D473D" w14:textId="77777777" w:rsidR="00483598" w:rsidRPr="00483598" w:rsidRDefault="00483598" w:rsidP="00F94FED">
      <w:pPr>
        <w:numPr>
          <w:ilvl w:val="0"/>
          <w:numId w:val="45"/>
        </w:numPr>
        <w:spacing w:after="0" w:line="360" w:lineRule="auto"/>
        <w:ind w:left="1134" w:hanging="567"/>
        <w:jc w:val="both"/>
        <w:rPr>
          <w:rFonts w:eastAsiaTheme="minorEastAsia" w:cstheme="minorBidi"/>
          <w:bCs/>
          <w:sz w:val="26"/>
          <w:szCs w:val="26"/>
          <w:lang w:eastAsia="ru-RU"/>
        </w:rPr>
      </w:pPr>
      <w:r w:rsidRPr="00483598">
        <w:rPr>
          <w:rFonts w:eastAsia="Calibri" w:cstheme="minorBidi"/>
          <w:bCs/>
          <w:sz w:val="26"/>
          <w:szCs w:val="26"/>
          <w:lang w:eastAsia="ru-RU"/>
        </w:rPr>
        <w:t>заключение по результатам проведени</w:t>
      </w:r>
      <w:r w:rsidRPr="00483598">
        <w:rPr>
          <w:rFonts w:eastAsiaTheme="minorEastAsia" w:cstheme="minorBidi"/>
          <w:bCs/>
          <w:sz w:val="26"/>
          <w:szCs w:val="26"/>
          <w:lang w:eastAsia="ru-RU"/>
        </w:rPr>
        <w:t>я технологического и ценового аудита отчета о реализации инвестиционной программы (при наличии такового), выполненное в соответствии с методическими рекомендациями, предусмотренными пунктом 5 постановления Правительства Российской Федерации от 16.02.2015 № 132 «О внесении изменений в некоторые акты Правительства Российской Федерации по вопросам утверждения инвестиционных программ субъектов электроэнергетики и контроля за их реализацией».</w:t>
      </w:r>
    </w:p>
    <w:p w14:paraId="57E2D0F1" w14:textId="77777777" w:rsidR="00483598" w:rsidRPr="00483598" w:rsidRDefault="00483598" w:rsidP="00483598">
      <w:pPr>
        <w:autoSpaceDE w:val="0"/>
        <w:autoSpaceDN w:val="0"/>
        <w:adjustRightInd w:val="0"/>
        <w:spacing w:after="0" w:line="360" w:lineRule="auto"/>
        <w:ind w:firstLine="567"/>
        <w:jc w:val="both"/>
        <w:rPr>
          <w:rFonts w:eastAsiaTheme="minorEastAsia" w:cstheme="minorBidi"/>
          <w:bCs/>
          <w:sz w:val="26"/>
          <w:szCs w:val="26"/>
          <w:lang w:eastAsia="ru-RU"/>
        </w:rPr>
      </w:pPr>
      <w:r w:rsidRPr="00483598">
        <w:rPr>
          <w:rFonts w:eastAsiaTheme="minorEastAsia" w:cstheme="minorBidi"/>
          <w:bCs/>
          <w:sz w:val="26"/>
          <w:szCs w:val="26"/>
          <w:lang w:eastAsia="ru-RU"/>
        </w:rPr>
        <w:t>В соответствии с требованиями Стандартов раскрытия информации на момент проведения работы АО «Тываэнерго» сформирован и опубликован отчет о реализации инвестиционной программы за 2019 год. В составе данного отчета</w:t>
      </w:r>
      <w:r w:rsidRPr="00483598">
        <w:rPr>
          <w:rFonts w:eastAsiaTheme="minorEastAsia" w:cstheme="minorBidi"/>
          <w:bCs/>
          <w:sz w:val="26"/>
          <w:szCs w:val="26"/>
          <w:lang w:eastAsia="ru-RU"/>
        </w:rPr>
        <w:br/>
        <w:t xml:space="preserve">АО «Тываэнерго» представлена фактическая информация о реализации инвестиционной программы за 2019 год </w:t>
      </w:r>
      <w:r w:rsidRPr="00483598">
        <w:rPr>
          <w:rFonts w:eastAsiaTheme="minorEastAsia" w:cstheme="minorBidi"/>
          <w:bCs/>
          <w:color w:val="auto"/>
          <w:sz w:val="26"/>
          <w:szCs w:val="26"/>
          <w:lang w:eastAsia="ru-RU"/>
        </w:rPr>
        <w:t xml:space="preserve">и плановые значения в соответствии с инвестиционной программой </w:t>
      </w:r>
      <w:r w:rsidRPr="00483598">
        <w:rPr>
          <w:rFonts w:eastAsiaTheme="minorEastAsia" w:cstheme="minorBidi"/>
          <w:bCs/>
          <w:sz w:val="26"/>
          <w:szCs w:val="26"/>
          <w:lang w:eastAsia="ru-RU"/>
        </w:rPr>
        <w:t xml:space="preserve">АО «Тываэнерго» </w:t>
      </w:r>
      <w:r w:rsidRPr="00483598">
        <w:rPr>
          <w:rFonts w:eastAsiaTheme="minorEastAsia" w:cstheme="minorBidi"/>
          <w:bCs/>
          <w:color w:val="auto"/>
          <w:sz w:val="26"/>
          <w:szCs w:val="26"/>
          <w:lang w:eastAsia="ru-RU"/>
        </w:rPr>
        <w:t xml:space="preserve">с изменениями, утвержденными приказом Минэнерго России от </w:t>
      </w:r>
      <w:r w:rsidRPr="00483598">
        <w:rPr>
          <w:rFonts w:eastAsiaTheme="minorEastAsia" w:cstheme="minorBidi"/>
          <w:bCs/>
          <w:sz w:val="26"/>
          <w:szCs w:val="26"/>
          <w:lang w:eastAsia="ru-RU"/>
        </w:rPr>
        <w:t>17.10.2018 № 4@.</w:t>
      </w:r>
    </w:p>
    <w:p w14:paraId="337688F7" w14:textId="6172A8E4" w:rsidR="00483598" w:rsidRPr="0072390C" w:rsidRDefault="00483598" w:rsidP="00483598">
      <w:pPr>
        <w:autoSpaceDE w:val="0"/>
        <w:autoSpaceDN w:val="0"/>
        <w:adjustRightInd w:val="0"/>
        <w:spacing w:after="0" w:line="360" w:lineRule="auto"/>
        <w:ind w:firstLine="567"/>
        <w:jc w:val="both"/>
        <w:rPr>
          <w:rFonts w:eastAsiaTheme="minorEastAsia" w:cstheme="minorBidi"/>
          <w:bCs/>
          <w:iCs/>
          <w:color w:val="auto"/>
          <w:sz w:val="26"/>
          <w:szCs w:val="26"/>
          <w:lang w:eastAsia="ru-RU"/>
        </w:rPr>
      </w:pPr>
      <w:r w:rsidRPr="00483598">
        <w:rPr>
          <w:rFonts w:eastAsiaTheme="minorEastAsia" w:cstheme="minorBidi"/>
          <w:bCs/>
          <w:sz w:val="26"/>
          <w:szCs w:val="26"/>
          <w:lang w:eastAsia="ru-RU"/>
        </w:rPr>
        <w:t>В соответствии с Отчетом о реализации инвестиционной программы</w:t>
      </w:r>
      <w:r w:rsidRPr="00483598">
        <w:rPr>
          <w:rFonts w:eastAsiaTheme="minorEastAsia" w:cstheme="minorBidi"/>
          <w:bCs/>
          <w:sz w:val="26"/>
          <w:szCs w:val="26"/>
          <w:lang w:eastAsia="ru-RU"/>
        </w:rPr>
        <w:br/>
        <w:t xml:space="preserve">АО «Тываэнерго» за 2019 год общий фактический объем финансирования инвестиционных проектов оказался меньше планового финансирования на 102 487,16 тыс. руб. с НДС и составил 560 889 тыс. руб. с НДС. Объем </w:t>
      </w:r>
      <w:r w:rsidRPr="0072390C">
        <w:rPr>
          <w:rFonts w:eastAsiaTheme="minorEastAsia" w:cstheme="minorBidi"/>
          <w:bCs/>
          <w:color w:val="auto"/>
          <w:sz w:val="26"/>
          <w:szCs w:val="26"/>
          <w:lang w:eastAsia="ru-RU"/>
        </w:rPr>
        <w:t xml:space="preserve">использованных собственных тарифных источников на финансирование капитальных вложений в 2019 году составил 105 422 тыс. руб. </w:t>
      </w:r>
      <w:r w:rsidR="00DE64EF" w:rsidRPr="0072390C">
        <w:rPr>
          <w:rFonts w:eastAsiaTheme="minorEastAsia" w:cstheme="minorBidi"/>
          <w:bCs/>
          <w:iCs/>
          <w:color w:val="auto"/>
          <w:sz w:val="26"/>
          <w:szCs w:val="26"/>
          <w:lang w:eastAsia="ru-RU"/>
        </w:rPr>
        <w:t>без НДС</w:t>
      </w:r>
      <w:r w:rsidRPr="0072390C">
        <w:rPr>
          <w:rFonts w:eastAsiaTheme="minorEastAsia" w:cstheme="minorBidi"/>
          <w:bCs/>
          <w:iCs/>
          <w:color w:val="auto"/>
          <w:sz w:val="26"/>
          <w:szCs w:val="26"/>
          <w:lang w:eastAsia="ru-RU"/>
        </w:rPr>
        <w:t>.</w:t>
      </w:r>
    </w:p>
    <w:p w14:paraId="65713648" w14:textId="77777777" w:rsidR="00483598" w:rsidRPr="00483598" w:rsidRDefault="00483598" w:rsidP="00483598">
      <w:pPr>
        <w:autoSpaceDE w:val="0"/>
        <w:autoSpaceDN w:val="0"/>
        <w:adjustRightInd w:val="0"/>
        <w:spacing w:after="0" w:line="360" w:lineRule="auto"/>
        <w:ind w:firstLine="567"/>
        <w:jc w:val="both"/>
        <w:rPr>
          <w:rFonts w:eastAsiaTheme="minorEastAsia" w:cstheme="minorBidi"/>
          <w:bCs/>
          <w:color w:val="auto"/>
          <w:sz w:val="26"/>
          <w:szCs w:val="26"/>
          <w:lang w:eastAsia="ru-RU"/>
        </w:rPr>
      </w:pPr>
      <w:r w:rsidRPr="0072390C">
        <w:rPr>
          <w:rFonts w:eastAsiaTheme="minorEastAsia" w:cstheme="minorBidi"/>
          <w:bCs/>
          <w:color w:val="auto"/>
          <w:sz w:val="26"/>
          <w:szCs w:val="26"/>
          <w:lang w:eastAsia="ru-RU"/>
        </w:rPr>
        <w:t xml:space="preserve">В целях формирования позиции относительно использования собственных </w:t>
      </w:r>
      <w:r w:rsidRPr="00483598">
        <w:rPr>
          <w:rFonts w:eastAsiaTheme="minorEastAsia" w:cstheme="minorBidi"/>
          <w:bCs/>
          <w:color w:val="auto"/>
          <w:sz w:val="26"/>
          <w:szCs w:val="26"/>
          <w:lang w:eastAsia="ru-RU"/>
        </w:rPr>
        <w:t xml:space="preserve">тарифных источников финансирования в рамках анализа исполнения </w:t>
      </w:r>
      <w:r w:rsidRPr="00483598">
        <w:rPr>
          <w:rFonts w:eastAsiaTheme="minorEastAsia" w:cstheme="minorBidi"/>
          <w:bCs/>
          <w:color w:val="auto"/>
          <w:sz w:val="26"/>
          <w:szCs w:val="26"/>
          <w:lang w:eastAsia="ru-RU"/>
        </w:rPr>
        <w:lastRenderedPageBreak/>
        <w:t>Инвестиционной программы АО «Тываэнерго» за 2019 год Исполнителем рассмотрена информация о реализации инвестиционных проектов, финансирование которых предусмотрено с использованием средств, полученных от оказания услуг, реализации товаров по регулируемым государством ценам (тарифам), согласно направлениям их реализации, проектным техническим характеристикам и плану перевода незавершенного строительства в состав основных средств.</w:t>
      </w:r>
    </w:p>
    <w:p w14:paraId="433C5E18" w14:textId="787BDB4C" w:rsidR="00483598" w:rsidRPr="00483598" w:rsidRDefault="00483598" w:rsidP="00483598">
      <w:pPr>
        <w:autoSpaceDE w:val="0"/>
        <w:autoSpaceDN w:val="0"/>
        <w:adjustRightInd w:val="0"/>
        <w:spacing w:after="0" w:line="360" w:lineRule="auto"/>
        <w:ind w:firstLine="567"/>
        <w:jc w:val="both"/>
        <w:rPr>
          <w:rFonts w:eastAsiaTheme="minorEastAsia" w:cstheme="minorBidi"/>
          <w:bCs/>
          <w:color w:val="auto"/>
          <w:sz w:val="26"/>
          <w:szCs w:val="26"/>
          <w:lang w:eastAsia="ru-RU"/>
        </w:rPr>
      </w:pPr>
      <w:r w:rsidRPr="00483598">
        <w:rPr>
          <w:rFonts w:eastAsiaTheme="minorEastAsia" w:cstheme="minorBidi"/>
          <w:bCs/>
          <w:color w:val="auto"/>
          <w:sz w:val="26"/>
          <w:szCs w:val="26"/>
          <w:lang w:eastAsia="ru-RU"/>
        </w:rPr>
        <w:t xml:space="preserve">По итогам реализации инвестиционной программы за 2019 год (согласно отчету о реализации ИПР за год в целом) объем финансирования ИПР за счет собственных средств (выручки от реализации товаров (услуг) по регулируемым </w:t>
      </w:r>
      <w:r w:rsidRPr="0072390C">
        <w:rPr>
          <w:rFonts w:eastAsiaTheme="minorEastAsia" w:cstheme="minorBidi"/>
          <w:bCs/>
          <w:color w:val="auto"/>
          <w:sz w:val="26"/>
          <w:szCs w:val="26"/>
          <w:lang w:eastAsia="ru-RU"/>
        </w:rPr>
        <w:t xml:space="preserve">ценам (тарифам) – тарифных источников) по факту исполнения ИПР составил 136% от утвержденного планового значения (план 77,63 млн руб. </w:t>
      </w:r>
      <w:r w:rsidR="00DE64EF" w:rsidRPr="0072390C">
        <w:rPr>
          <w:rFonts w:eastAsiaTheme="minorEastAsia" w:cstheme="minorBidi"/>
          <w:bCs/>
          <w:color w:val="auto"/>
          <w:sz w:val="26"/>
          <w:szCs w:val="26"/>
          <w:lang w:eastAsia="ru-RU"/>
        </w:rPr>
        <w:t>без НДС</w:t>
      </w:r>
      <w:r w:rsidRPr="0072390C">
        <w:rPr>
          <w:rFonts w:eastAsiaTheme="minorEastAsia" w:cstheme="minorBidi"/>
          <w:bCs/>
          <w:color w:val="auto"/>
          <w:sz w:val="26"/>
          <w:szCs w:val="26"/>
          <w:lang w:eastAsia="ru-RU"/>
        </w:rPr>
        <w:t xml:space="preserve">, факт 105,42 млн руб. </w:t>
      </w:r>
      <w:r w:rsidR="00DE64EF" w:rsidRPr="0072390C">
        <w:rPr>
          <w:rFonts w:eastAsiaTheme="minorEastAsia" w:cstheme="minorBidi"/>
          <w:bCs/>
          <w:color w:val="auto"/>
          <w:sz w:val="26"/>
          <w:szCs w:val="26"/>
          <w:lang w:eastAsia="ru-RU"/>
        </w:rPr>
        <w:t>без НДС</w:t>
      </w:r>
      <w:r w:rsidRPr="0072390C">
        <w:rPr>
          <w:rFonts w:eastAsiaTheme="minorEastAsia" w:cstheme="minorBidi"/>
          <w:bCs/>
          <w:color w:val="auto"/>
          <w:sz w:val="26"/>
          <w:szCs w:val="26"/>
          <w:lang w:eastAsia="ru-RU"/>
        </w:rPr>
        <w:t xml:space="preserve">). Исполнитель отмечает, что при тарифном регулировании на 2021 год указанная величина будет учтена регулирующим органом при </w:t>
      </w:r>
      <w:r w:rsidRPr="00483598">
        <w:rPr>
          <w:rFonts w:eastAsiaTheme="minorEastAsia" w:cstheme="minorBidi"/>
          <w:bCs/>
          <w:color w:val="auto"/>
          <w:sz w:val="26"/>
          <w:szCs w:val="26"/>
          <w:lang w:eastAsia="ru-RU"/>
        </w:rPr>
        <w:t>проведении корректировки НВВ на 2021 год в связи с изменением (неисполнением) инвестиционной программы на 2019 год.</w:t>
      </w:r>
    </w:p>
    <w:p w14:paraId="7DF294CF" w14:textId="77777777" w:rsidR="00483598" w:rsidRPr="00483598" w:rsidRDefault="00483598" w:rsidP="00483598">
      <w:pPr>
        <w:autoSpaceDE w:val="0"/>
        <w:autoSpaceDN w:val="0"/>
        <w:adjustRightInd w:val="0"/>
        <w:spacing w:after="0" w:line="360" w:lineRule="auto"/>
        <w:ind w:firstLine="567"/>
        <w:jc w:val="both"/>
        <w:rPr>
          <w:rFonts w:eastAsiaTheme="minorEastAsia" w:cstheme="minorBidi"/>
          <w:bCs/>
          <w:color w:val="auto"/>
          <w:sz w:val="26"/>
          <w:szCs w:val="26"/>
          <w:lang w:eastAsia="ru-RU"/>
        </w:rPr>
      </w:pPr>
      <w:r w:rsidRPr="00483598">
        <w:rPr>
          <w:rFonts w:eastAsiaTheme="minorEastAsia" w:cstheme="minorBidi"/>
          <w:bCs/>
          <w:color w:val="auto"/>
          <w:sz w:val="26"/>
          <w:szCs w:val="26"/>
          <w:lang w:eastAsia="ru-RU"/>
        </w:rPr>
        <w:t>Вместе с тем Исполнитель отмечает, что при оценке исполнения инвестиционной программы регулирующим органом во внимание может быть принята скорректированная относительно указанной в отчете о реализации инвестиционной программы величина использования собственных тарифных источников – с учетом анализа фактического использования источников финансирования на реализацию инвестиционных проектов, предусмотренных согласно плану утвержденной (скорректированной) в установленном порядке инвестиционной программы.</w:t>
      </w:r>
    </w:p>
    <w:p w14:paraId="5E43BE16" w14:textId="77777777" w:rsidR="00483598" w:rsidRPr="00483598" w:rsidRDefault="00483598" w:rsidP="00483598">
      <w:pPr>
        <w:autoSpaceDE w:val="0"/>
        <w:autoSpaceDN w:val="0"/>
        <w:adjustRightInd w:val="0"/>
        <w:spacing w:after="0" w:line="360" w:lineRule="auto"/>
        <w:ind w:firstLine="567"/>
        <w:jc w:val="both"/>
        <w:rPr>
          <w:rFonts w:eastAsiaTheme="minorEastAsia" w:cstheme="minorBidi"/>
          <w:bCs/>
          <w:color w:val="auto"/>
          <w:sz w:val="26"/>
          <w:szCs w:val="26"/>
          <w:lang w:eastAsia="ru-RU"/>
        </w:rPr>
      </w:pPr>
      <w:r w:rsidRPr="00483598">
        <w:rPr>
          <w:rFonts w:eastAsiaTheme="minorEastAsia" w:cstheme="minorBidi"/>
          <w:bCs/>
          <w:color w:val="auto"/>
          <w:sz w:val="26"/>
          <w:szCs w:val="26"/>
          <w:lang w:eastAsia="ru-RU"/>
        </w:rPr>
        <w:t xml:space="preserve">Для оценки состава и причин, сформированных по итогам реализации инвестиционной программы за 2019 год отклонений фактического объема финансирования инвестиционных проектов от утвержденного планового уровня, Исполнителем проведен </w:t>
      </w:r>
      <w:proofErr w:type="spellStart"/>
      <w:r w:rsidRPr="00483598">
        <w:rPr>
          <w:rFonts w:eastAsiaTheme="minorEastAsia" w:cstheme="minorBidi"/>
          <w:bCs/>
          <w:color w:val="auto"/>
          <w:sz w:val="26"/>
          <w:szCs w:val="26"/>
          <w:lang w:eastAsia="ru-RU"/>
        </w:rPr>
        <w:t>пообъектный</w:t>
      </w:r>
      <w:proofErr w:type="spellEnd"/>
      <w:r w:rsidRPr="00483598">
        <w:rPr>
          <w:rFonts w:eastAsiaTheme="minorEastAsia" w:cstheme="minorBidi"/>
          <w:bCs/>
          <w:color w:val="auto"/>
          <w:sz w:val="26"/>
          <w:szCs w:val="26"/>
          <w:lang w:eastAsia="ru-RU"/>
        </w:rPr>
        <w:t xml:space="preserve"> анализ исполнения инвестиционной программы АО «Тываэнерго» за 2019 год в части тарифных источников.</w:t>
      </w:r>
    </w:p>
    <w:p w14:paraId="67E0399E" w14:textId="4298E480" w:rsidR="00483598" w:rsidRPr="0072390C" w:rsidRDefault="00483598" w:rsidP="00483598">
      <w:pPr>
        <w:autoSpaceDE w:val="0"/>
        <w:autoSpaceDN w:val="0"/>
        <w:adjustRightInd w:val="0"/>
        <w:spacing w:after="0" w:line="360" w:lineRule="auto"/>
        <w:ind w:firstLine="567"/>
        <w:jc w:val="both"/>
        <w:rPr>
          <w:rFonts w:eastAsiaTheme="minorEastAsia" w:cstheme="minorBidi"/>
          <w:bCs/>
          <w:color w:val="auto"/>
          <w:sz w:val="26"/>
          <w:szCs w:val="26"/>
          <w:lang w:eastAsia="ru-RU"/>
        </w:rPr>
      </w:pPr>
      <w:r w:rsidRPr="00483598">
        <w:rPr>
          <w:rFonts w:eastAsiaTheme="minorEastAsia" w:cstheme="minorBidi"/>
          <w:bCs/>
          <w:color w:val="auto"/>
          <w:sz w:val="26"/>
          <w:szCs w:val="26"/>
          <w:lang w:eastAsia="ru-RU"/>
        </w:rPr>
        <w:t xml:space="preserve">Исполнителем определено, что по 9 инвестиционным проектам инвестиционной программы фактический объем финансирования мероприятий </w:t>
      </w:r>
      <w:r w:rsidRPr="00483598">
        <w:rPr>
          <w:rFonts w:eastAsiaTheme="minorEastAsia" w:cstheme="minorBidi"/>
          <w:bCs/>
          <w:color w:val="auto"/>
          <w:sz w:val="26"/>
          <w:szCs w:val="26"/>
          <w:lang w:eastAsia="ru-RU"/>
        </w:rPr>
        <w:lastRenderedPageBreak/>
        <w:t xml:space="preserve">превысил, определенных в утвержденной в установленном порядке инвестиционной программе. Превышение объема фактического финансирования </w:t>
      </w:r>
      <w:r w:rsidRPr="0072390C">
        <w:rPr>
          <w:rFonts w:eastAsiaTheme="minorEastAsia" w:cstheme="minorBidi"/>
          <w:bCs/>
          <w:color w:val="auto"/>
          <w:sz w:val="26"/>
          <w:szCs w:val="26"/>
          <w:lang w:eastAsia="ru-RU"/>
        </w:rPr>
        <w:t>над плановым составило 33 760,87 тыс. руб. (</w:t>
      </w:r>
      <w:r w:rsidR="00DE64EF" w:rsidRPr="0072390C">
        <w:rPr>
          <w:rFonts w:eastAsiaTheme="minorEastAsia" w:cstheme="minorBidi"/>
          <w:bCs/>
          <w:color w:val="auto"/>
          <w:sz w:val="26"/>
          <w:szCs w:val="26"/>
          <w:lang w:eastAsia="ru-RU"/>
        </w:rPr>
        <w:t>без НДС</w:t>
      </w:r>
      <w:r w:rsidRPr="0072390C">
        <w:rPr>
          <w:rFonts w:eastAsiaTheme="minorEastAsia" w:cstheme="minorBidi"/>
          <w:bCs/>
          <w:color w:val="auto"/>
          <w:sz w:val="26"/>
          <w:szCs w:val="26"/>
          <w:lang w:eastAsia="ru-RU"/>
        </w:rPr>
        <w:t>).</w:t>
      </w:r>
    </w:p>
    <w:tbl>
      <w:tblPr>
        <w:tblW w:w="5090" w:type="pct"/>
        <w:tblLayout w:type="fixed"/>
        <w:tblLook w:val="04A0" w:firstRow="1" w:lastRow="0" w:firstColumn="1" w:lastColumn="0" w:noHBand="0" w:noVBand="1"/>
      </w:tblPr>
      <w:tblGrid>
        <w:gridCol w:w="512"/>
        <w:gridCol w:w="4772"/>
        <w:gridCol w:w="1090"/>
        <w:gridCol w:w="835"/>
        <w:gridCol w:w="951"/>
        <w:gridCol w:w="681"/>
        <w:gridCol w:w="672"/>
      </w:tblGrid>
      <w:tr w:rsidR="00483598" w:rsidRPr="00483598" w14:paraId="6CEA5C56" w14:textId="77777777" w:rsidTr="00495A09">
        <w:trPr>
          <w:trHeight w:val="1123"/>
          <w:tblHeader/>
        </w:trPr>
        <w:tc>
          <w:tcPr>
            <w:tcW w:w="26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00F4442" w14:textId="77777777" w:rsidR="00483598" w:rsidRPr="00483598" w:rsidRDefault="00483598" w:rsidP="00483598">
            <w:pPr>
              <w:spacing w:after="0" w:line="240" w:lineRule="auto"/>
              <w:jc w:val="center"/>
              <w:rPr>
                <w:rFonts w:eastAsiaTheme="minorEastAsia" w:cs="Calibri"/>
                <w:b/>
                <w:color w:val="FFFFFF" w:themeColor="background1"/>
                <w:sz w:val="18"/>
                <w:szCs w:val="18"/>
                <w:lang w:eastAsia="ru-RU"/>
              </w:rPr>
            </w:pPr>
            <w:r w:rsidRPr="00483598">
              <w:rPr>
                <w:rFonts w:eastAsiaTheme="minorEastAsia" w:cs="Calibri"/>
                <w:b/>
                <w:color w:val="FFFFFF" w:themeColor="background1"/>
                <w:sz w:val="18"/>
                <w:szCs w:val="18"/>
                <w:lang w:eastAsia="ru-RU"/>
              </w:rPr>
              <w:t>№</w:t>
            </w:r>
          </w:p>
        </w:tc>
        <w:tc>
          <w:tcPr>
            <w:tcW w:w="250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4BA5400" w14:textId="77777777" w:rsidR="00483598" w:rsidRPr="00483598" w:rsidRDefault="00483598" w:rsidP="00483598">
            <w:pPr>
              <w:spacing w:after="0" w:line="240" w:lineRule="auto"/>
              <w:jc w:val="center"/>
              <w:rPr>
                <w:rFonts w:eastAsiaTheme="minorEastAsia" w:cs="Calibri"/>
                <w:b/>
                <w:color w:val="FFFFFF" w:themeColor="background1"/>
                <w:sz w:val="18"/>
                <w:szCs w:val="18"/>
                <w:lang w:eastAsia="ru-RU"/>
              </w:rPr>
            </w:pPr>
            <w:r w:rsidRPr="00483598">
              <w:rPr>
                <w:rFonts w:eastAsiaTheme="minorEastAsia" w:cs="Calibri"/>
                <w:b/>
                <w:color w:val="FFFFFF" w:themeColor="background1"/>
                <w:sz w:val="18"/>
                <w:szCs w:val="18"/>
                <w:lang w:eastAsia="ru-RU"/>
              </w:rPr>
              <w:t>Наименование инвестиционного проекта (группы инвестиционных проектов)</w:t>
            </w:r>
          </w:p>
        </w:tc>
        <w:tc>
          <w:tcPr>
            <w:tcW w:w="57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B352411" w14:textId="77777777" w:rsidR="00483598" w:rsidRPr="00483598" w:rsidRDefault="00483598" w:rsidP="00483598">
            <w:pPr>
              <w:spacing w:after="0" w:line="240" w:lineRule="auto"/>
              <w:jc w:val="center"/>
              <w:rPr>
                <w:rFonts w:eastAsiaTheme="minorEastAsia" w:cs="Calibri"/>
                <w:b/>
                <w:color w:val="FFFFFF" w:themeColor="background1"/>
                <w:sz w:val="18"/>
                <w:szCs w:val="18"/>
                <w:lang w:eastAsia="ru-RU"/>
              </w:rPr>
            </w:pPr>
            <w:proofErr w:type="spellStart"/>
            <w:r w:rsidRPr="00483598">
              <w:rPr>
                <w:rFonts w:eastAsiaTheme="minorEastAsia" w:cs="Calibri"/>
                <w:b/>
                <w:color w:val="FFFFFF" w:themeColor="background1"/>
                <w:sz w:val="18"/>
                <w:szCs w:val="18"/>
                <w:lang w:eastAsia="ru-RU"/>
              </w:rPr>
              <w:t>Иденти-фикатор</w:t>
            </w:r>
            <w:proofErr w:type="spellEnd"/>
            <w:r w:rsidRPr="00483598">
              <w:rPr>
                <w:rFonts w:eastAsiaTheme="minorEastAsia" w:cs="Calibri"/>
                <w:b/>
                <w:color w:val="FFFFFF" w:themeColor="background1"/>
                <w:sz w:val="18"/>
                <w:szCs w:val="18"/>
                <w:lang w:eastAsia="ru-RU"/>
              </w:rPr>
              <w:t xml:space="preserve"> инвестиционного проекта</w:t>
            </w:r>
          </w:p>
        </w:tc>
        <w:tc>
          <w:tcPr>
            <w:tcW w:w="939"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0B5967D" w14:textId="0C938F3D" w:rsidR="00483598" w:rsidRPr="00483598" w:rsidRDefault="00483598" w:rsidP="00483598">
            <w:pPr>
              <w:spacing w:after="0" w:line="240" w:lineRule="auto"/>
              <w:jc w:val="center"/>
              <w:rPr>
                <w:rFonts w:eastAsiaTheme="minorEastAsia" w:cs="Calibri"/>
                <w:b/>
                <w:color w:val="FFFFFF" w:themeColor="background1"/>
                <w:sz w:val="18"/>
                <w:szCs w:val="18"/>
                <w:lang w:eastAsia="ru-RU"/>
              </w:rPr>
            </w:pPr>
            <w:r w:rsidRPr="00483598">
              <w:rPr>
                <w:rFonts w:eastAsiaTheme="minorEastAsia" w:cs="Calibri"/>
                <w:b/>
                <w:color w:val="FFFFFF" w:themeColor="background1"/>
                <w:sz w:val="18"/>
                <w:szCs w:val="18"/>
                <w:lang w:eastAsia="ru-RU"/>
              </w:rPr>
              <w:t xml:space="preserve">Объем финансирования (в части тарифных источников), </w:t>
            </w:r>
            <w:r w:rsidRPr="00483598">
              <w:rPr>
                <w:rFonts w:eastAsiaTheme="minorEastAsia" w:cs="Calibri"/>
                <w:b/>
                <w:color w:val="FFFFFF" w:themeColor="background1"/>
                <w:sz w:val="18"/>
                <w:szCs w:val="18"/>
                <w:lang w:eastAsia="ru-RU"/>
              </w:rPr>
              <w:br/>
              <w:t xml:space="preserve">млн. руб. </w:t>
            </w:r>
            <w:r w:rsidR="005E4B72">
              <w:rPr>
                <w:rFonts w:eastAsiaTheme="minorEastAsia" w:cs="Calibri"/>
                <w:b/>
                <w:color w:val="FFFFFF" w:themeColor="background1"/>
                <w:sz w:val="18"/>
                <w:szCs w:val="18"/>
                <w:lang w:eastAsia="ru-RU"/>
              </w:rPr>
              <w:t>без НДС</w:t>
            </w:r>
          </w:p>
        </w:tc>
        <w:tc>
          <w:tcPr>
            <w:tcW w:w="711"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15B0C0F" w14:textId="77777777" w:rsidR="00483598" w:rsidRPr="00483598" w:rsidRDefault="00483598" w:rsidP="00483598">
            <w:pPr>
              <w:spacing w:after="0" w:line="240" w:lineRule="auto"/>
              <w:jc w:val="center"/>
              <w:rPr>
                <w:rFonts w:eastAsiaTheme="minorEastAsia" w:cs="Calibri"/>
                <w:b/>
                <w:color w:val="FFFFFF" w:themeColor="background1"/>
                <w:sz w:val="18"/>
                <w:szCs w:val="18"/>
                <w:lang w:eastAsia="ru-RU"/>
              </w:rPr>
            </w:pPr>
            <w:r w:rsidRPr="00483598">
              <w:rPr>
                <w:rFonts w:eastAsiaTheme="minorEastAsia" w:cs="Calibri"/>
                <w:b/>
                <w:color w:val="FFFFFF" w:themeColor="background1"/>
                <w:sz w:val="18"/>
                <w:szCs w:val="18"/>
                <w:lang w:eastAsia="ru-RU"/>
              </w:rPr>
              <w:t>Отклонение</w:t>
            </w:r>
            <w:r w:rsidRPr="00483598">
              <w:rPr>
                <w:rFonts w:eastAsiaTheme="minorEastAsia" w:cs="Calibri"/>
                <w:b/>
                <w:color w:val="FFFFFF" w:themeColor="background1"/>
                <w:sz w:val="18"/>
                <w:szCs w:val="18"/>
                <w:lang w:eastAsia="ru-RU"/>
              </w:rPr>
              <w:br/>
              <w:t xml:space="preserve"> (факт-план)</w:t>
            </w:r>
          </w:p>
        </w:tc>
      </w:tr>
      <w:tr w:rsidR="00483598" w:rsidRPr="00483598" w14:paraId="0806A1D0" w14:textId="77777777" w:rsidTr="00495A09">
        <w:trPr>
          <w:trHeight w:val="443"/>
          <w:tblHeader/>
        </w:trPr>
        <w:tc>
          <w:tcPr>
            <w:tcW w:w="26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5E5349E" w14:textId="77777777" w:rsidR="00483598" w:rsidRPr="00483598" w:rsidRDefault="00483598" w:rsidP="00483598">
            <w:pPr>
              <w:spacing w:after="0" w:line="240" w:lineRule="auto"/>
              <w:rPr>
                <w:rFonts w:eastAsiaTheme="minorEastAsia" w:cs="Calibri"/>
                <w:b/>
                <w:color w:val="FFFFFF" w:themeColor="background1"/>
                <w:sz w:val="18"/>
                <w:szCs w:val="18"/>
                <w:lang w:eastAsia="ru-RU"/>
              </w:rPr>
            </w:pPr>
          </w:p>
        </w:tc>
        <w:tc>
          <w:tcPr>
            <w:tcW w:w="250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5208875" w14:textId="77777777" w:rsidR="00483598" w:rsidRPr="00483598" w:rsidRDefault="00483598" w:rsidP="00483598">
            <w:pPr>
              <w:spacing w:after="0" w:line="240" w:lineRule="auto"/>
              <w:rPr>
                <w:rFonts w:eastAsiaTheme="minorEastAsia" w:cs="Calibri"/>
                <w:b/>
                <w:color w:val="FFFFFF" w:themeColor="background1"/>
                <w:sz w:val="18"/>
                <w:szCs w:val="18"/>
                <w:lang w:eastAsia="ru-RU"/>
              </w:rPr>
            </w:pPr>
          </w:p>
        </w:tc>
        <w:tc>
          <w:tcPr>
            <w:tcW w:w="57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C1FE277" w14:textId="77777777" w:rsidR="00483598" w:rsidRPr="00483598" w:rsidRDefault="00483598" w:rsidP="00483598">
            <w:pPr>
              <w:spacing w:after="0" w:line="240" w:lineRule="auto"/>
              <w:rPr>
                <w:rFonts w:eastAsiaTheme="minorEastAsia" w:cs="Calibri"/>
                <w:b/>
                <w:color w:val="FFFFFF" w:themeColor="background1"/>
                <w:sz w:val="18"/>
                <w:szCs w:val="18"/>
                <w:lang w:eastAsia="ru-RU"/>
              </w:rPr>
            </w:pPr>
          </w:p>
        </w:tc>
        <w:tc>
          <w:tcPr>
            <w:tcW w:w="43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E3FFA12" w14:textId="77777777" w:rsidR="00483598" w:rsidRPr="00483598" w:rsidRDefault="00483598" w:rsidP="00483598">
            <w:pPr>
              <w:spacing w:after="0" w:line="240" w:lineRule="auto"/>
              <w:jc w:val="center"/>
              <w:rPr>
                <w:rFonts w:eastAsiaTheme="minorEastAsia" w:cs="Calibri"/>
                <w:b/>
                <w:color w:val="FFFFFF" w:themeColor="background1"/>
                <w:sz w:val="18"/>
                <w:szCs w:val="18"/>
                <w:lang w:eastAsia="ru-RU"/>
              </w:rPr>
            </w:pPr>
            <w:r w:rsidRPr="00483598">
              <w:rPr>
                <w:rFonts w:eastAsiaTheme="minorEastAsia" w:cs="Calibri"/>
                <w:b/>
                <w:color w:val="FFFFFF" w:themeColor="background1"/>
                <w:sz w:val="18"/>
                <w:szCs w:val="18"/>
                <w:lang w:eastAsia="ru-RU"/>
              </w:rPr>
              <w:t xml:space="preserve">План </w:t>
            </w:r>
          </w:p>
        </w:tc>
        <w:tc>
          <w:tcPr>
            <w:tcW w:w="50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76974B5" w14:textId="77777777" w:rsidR="00483598" w:rsidRPr="00483598" w:rsidRDefault="00483598" w:rsidP="00483598">
            <w:pPr>
              <w:spacing w:after="0" w:line="240" w:lineRule="auto"/>
              <w:jc w:val="center"/>
              <w:rPr>
                <w:rFonts w:eastAsiaTheme="minorEastAsia" w:cs="Calibri"/>
                <w:b/>
                <w:color w:val="FFFFFF" w:themeColor="background1"/>
                <w:sz w:val="18"/>
                <w:szCs w:val="18"/>
                <w:lang w:eastAsia="ru-RU"/>
              </w:rPr>
            </w:pPr>
            <w:r w:rsidRPr="00483598">
              <w:rPr>
                <w:rFonts w:eastAsiaTheme="minorEastAsia" w:cs="Calibri"/>
                <w:b/>
                <w:color w:val="FFFFFF" w:themeColor="background1"/>
                <w:sz w:val="18"/>
                <w:szCs w:val="18"/>
                <w:lang w:eastAsia="ru-RU"/>
              </w:rPr>
              <w:t>Факт</w:t>
            </w:r>
          </w:p>
        </w:tc>
        <w:tc>
          <w:tcPr>
            <w:tcW w:w="35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3AF1A73" w14:textId="22A1BFA5" w:rsidR="00483598" w:rsidRPr="00483598" w:rsidRDefault="00483598" w:rsidP="00483598">
            <w:pPr>
              <w:spacing w:after="0" w:line="240" w:lineRule="auto"/>
              <w:jc w:val="center"/>
              <w:rPr>
                <w:rFonts w:eastAsiaTheme="minorEastAsia" w:cs="Calibri"/>
                <w:b/>
                <w:color w:val="FFFFFF" w:themeColor="background1"/>
                <w:sz w:val="18"/>
                <w:szCs w:val="18"/>
                <w:lang w:eastAsia="ru-RU"/>
              </w:rPr>
            </w:pPr>
            <w:r w:rsidRPr="00483598">
              <w:rPr>
                <w:rFonts w:eastAsiaTheme="minorEastAsia" w:cs="Calibri"/>
                <w:b/>
                <w:color w:val="FFFFFF" w:themeColor="background1"/>
                <w:sz w:val="18"/>
                <w:szCs w:val="18"/>
                <w:lang w:eastAsia="ru-RU"/>
              </w:rPr>
              <w:t>млн. руб.</w:t>
            </w:r>
          </w:p>
        </w:tc>
        <w:tc>
          <w:tcPr>
            <w:tcW w:w="35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F966753" w14:textId="77777777" w:rsidR="00483598" w:rsidRPr="00483598" w:rsidRDefault="00483598" w:rsidP="00483598">
            <w:pPr>
              <w:spacing w:after="0" w:line="240" w:lineRule="auto"/>
              <w:jc w:val="center"/>
              <w:rPr>
                <w:rFonts w:eastAsiaTheme="minorEastAsia" w:cs="Calibri"/>
                <w:b/>
                <w:color w:val="FFFFFF" w:themeColor="background1"/>
                <w:sz w:val="18"/>
                <w:szCs w:val="18"/>
                <w:lang w:eastAsia="ru-RU"/>
              </w:rPr>
            </w:pPr>
            <w:r w:rsidRPr="00483598">
              <w:rPr>
                <w:rFonts w:eastAsiaTheme="minorEastAsia" w:cs="Calibri"/>
                <w:b/>
                <w:color w:val="FFFFFF" w:themeColor="background1"/>
                <w:sz w:val="18"/>
                <w:szCs w:val="18"/>
                <w:lang w:eastAsia="ru-RU"/>
              </w:rPr>
              <w:t>%</w:t>
            </w:r>
          </w:p>
        </w:tc>
      </w:tr>
      <w:tr w:rsidR="00483598" w:rsidRPr="00483598" w14:paraId="6A81D360" w14:textId="77777777" w:rsidTr="00495A09">
        <w:trPr>
          <w:trHeight w:val="300"/>
        </w:trPr>
        <w:tc>
          <w:tcPr>
            <w:tcW w:w="26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7A670F" w14:textId="77777777" w:rsidR="00483598" w:rsidRPr="00483598" w:rsidRDefault="00483598" w:rsidP="00483598">
            <w:pPr>
              <w:spacing w:after="0" w:line="240" w:lineRule="auto"/>
              <w:jc w:val="center"/>
              <w:rPr>
                <w:rFonts w:eastAsiaTheme="minorEastAsia" w:cstheme="minorBidi"/>
                <w:bCs/>
                <w:color w:val="auto"/>
                <w:sz w:val="18"/>
                <w:szCs w:val="18"/>
                <w:lang w:eastAsia="ru-RU"/>
              </w:rPr>
            </w:pPr>
            <w:r w:rsidRPr="00483598">
              <w:rPr>
                <w:rFonts w:eastAsiaTheme="minorEastAsia" w:cs="Calibri"/>
                <w:bCs/>
                <w:color w:val="auto"/>
                <w:sz w:val="18"/>
                <w:szCs w:val="18"/>
                <w:lang w:eastAsia="ru-RU"/>
              </w:rPr>
              <w:t>1</w:t>
            </w:r>
          </w:p>
        </w:tc>
        <w:tc>
          <w:tcPr>
            <w:tcW w:w="2508" w:type="pct"/>
            <w:tcBorders>
              <w:top w:val="single" w:sz="4" w:space="0" w:color="auto"/>
              <w:left w:val="nil"/>
              <w:bottom w:val="single" w:sz="4" w:space="0" w:color="auto"/>
              <w:right w:val="single" w:sz="4" w:space="0" w:color="auto"/>
            </w:tcBorders>
            <w:shd w:val="clear" w:color="auto" w:fill="auto"/>
          </w:tcPr>
          <w:p w14:paraId="4FD04A4B" w14:textId="77777777" w:rsidR="00483598" w:rsidRPr="00483598" w:rsidRDefault="00483598" w:rsidP="00483598">
            <w:pPr>
              <w:spacing w:after="0" w:line="240" w:lineRule="auto"/>
              <w:rPr>
                <w:rFonts w:eastAsiaTheme="minorEastAsia" w:cstheme="minorBidi"/>
                <w:bCs/>
                <w:color w:val="auto"/>
                <w:sz w:val="18"/>
                <w:szCs w:val="18"/>
                <w:lang w:eastAsia="ru-RU"/>
              </w:rPr>
            </w:pPr>
            <w:r w:rsidRPr="00483598">
              <w:rPr>
                <w:rFonts w:eastAsiaTheme="minorEastAsia" w:cstheme="minorBidi"/>
                <w:bCs/>
                <w:color w:val="auto"/>
                <w:sz w:val="18"/>
                <w:szCs w:val="18"/>
                <w:lang w:eastAsia="ru-RU"/>
              </w:rPr>
              <w:t>Технологическое присоединение энергопринимающих устройств потребителей максимальной мощностью до 15 кВт включительно, всего</w:t>
            </w:r>
          </w:p>
        </w:tc>
        <w:tc>
          <w:tcPr>
            <w:tcW w:w="573" w:type="pct"/>
            <w:tcBorders>
              <w:top w:val="single" w:sz="4" w:space="0" w:color="auto"/>
              <w:left w:val="nil"/>
              <w:bottom w:val="single" w:sz="4" w:space="0" w:color="auto"/>
              <w:right w:val="single" w:sz="4" w:space="0" w:color="auto"/>
            </w:tcBorders>
            <w:shd w:val="clear" w:color="auto" w:fill="auto"/>
            <w:noWrap/>
            <w:vAlign w:val="center"/>
          </w:tcPr>
          <w:p w14:paraId="04BF00A8" w14:textId="77777777" w:rsidR="00483598" w:rsidRPr="00483598" w:rsidRDefault="00483598" w:rsidP="00483598">
            <w:pPr>
              <w:spacing w:after="0" w:line="240" w:lineRule="auto"/>
              <w:jc w:val="center"/>
              <w:rPr>
                <w:rFonts w:eastAsiaTheme="minorEastAsia" w:cstheme="minorBidi"/>
                <w:bCs/>
                <w:color w:val="auto"/>
                <w:sz w:val="18"/>
                <w:szCs w:val="18"/>
                <w:lang w:eastAsia="ru-RU"/>
              </w:rPr>
            </w:pPr>
            <w:r w:rsidRPr="00483598">
              <w:rPr>
                <w:rFonts w:eastAsiaTheme="minorEastAsia" w:cstheme="minorBidi"/>
                <w:bCs/>
                <w:color w:val="auto"/>
                <w:sz w:val="18"/>
                <w:szCs w:val="18"/>
                <w:lang w:eastAsia="ru-RU"/>
              </w:rPr>
              <w:t>Г</w:t>
            </w:r>
          </w:p>
        </w:tc>
        <w:tc>
          <w:tcPr>
            <w:tcW w:w="439" w:type="pct"/>
            <w:tcBorders>
              <w:top w:val="single" w:sz="4" w:space="0" w:color="auto"/>
              <w:left w:val="nil"/>
              <w:bottom w:val="single" w:sz="4" w:space="0" w:color="auto"/>
              <w:right w:val="single" w:sz="4" w:space="0" w:color="auto"/>
            </w:tcBorders>
            <w:shd w:val="clear" w:color="000000" w:fill="FFFFFF"/>
            <w:noWrap/>
            <w:vAlign w:val="center"/>
          </w:tcPr>
          <w:p w14:paraId="2E88F111" w14:textId="77777777" w:rsidR="00483598" w:rsidRPr="00483598" w:rsidRDefault="00483598" w:rsidP="00483598">
            <w:pPr>
              <w:spacing w:after="0" w:line="240" w:lineRule="auto"/>
              <w:jc w:val="center"/>
              <w:rPr>
                <w:rFonts w:eastAsiaTheme="minorEastAsia" w:cstheme="minorBidi"/>
                <w:bCs/>
                <w:color w:val="auto"/>
                <w:sz w:val="18"/>
                <w:szCs w:val="18"/>
                <w:lang w:eastAsia="ru-RU"/>
              </w:rPr>
            </w:pPr>
            <w:r w:rsidRPr="00483598">
              <w:rPr>
                <w:rFonts w:eastAsiaTheme="minorEastAsia" w:cstheme="minorBidi"/>
                <w:bCs/>
                <w:color w:val="auto"/>
                <w:sz w:val="18"/>
                <w:szCs w:val="18"/>
                <w:lang w:eastAsia="ru-RU"/>
              </w:rPr>
              <w:t>26,16</w:t>
            </w:r>
          </w:p>
        </w:tc>
        <w:tc>
          <w:tcPr>
            <w:tcW w:w="500" w:type="pct"/>
            <w:tcBorders>
              <w:top w:val="single" w:sz="4" w:space="0" w:color="auto"/>
              <w:left w:val="nil"/>
              <w:bottom w:val="single" w:sz="4" w:space="0" w:color="auto"/>
              <w:right w:val="single" w:sz="4" w:space="0" w:color="auto"/>
            </w:tcBorders>
            <w:shd w:val="clear" w:color="000000" w:fill="FFFFFF"/>
            <w:noWrap/>
            <w:vAlign w:val="center"/>
          </w:tcPr>
          <w:p w14:paraId="5694F051" w14:textId="77777777" w:rsidR="00483598" w:rsidRPr="00483598" w:rsidRDefault="00483598" w:rsidP="00483598">
            <w:pPr>
              <w:spacing w:after="0" w:line="240" w:lineRule="auto"/>
              <w:jc w:val="center"/>
              <w:rPr>
                <w:rFonts w:eastAsiaTheme="minorEastAsia" w:cstheme="minorBidi"/>
                <w:bCs/>
                <w:color w:val="auto"/>
                <w:sz w:val="18"/>
                <w:szCs w:val="18"/>
                <w:lang w:eastAsia="ru-RU"/>
              </w:rPr>
            </w:pPr>
            <w:r w:rsidRPr="00483598">
              <w:rPr>
                <w:rFonts w:eastAsiaTheme="minorEastAsia" w:cstheme="minorBidi"/>
                <w:bCs/>
                <w:color w:val="auto"/>
                <w:sz w:val="18"/>
                <w:szCs w:val="18"/>
                <w:lang w:eastAsia="ru-RU"/>
              </w:rPr>
              <w:t>49,391</w:t>
            </w:r>
          </w:p>
        </w:tc>
        <w:tc>
          <w:tcPr>
            <w:tcW w:w="358" w:type="pct"/>
            <w:tcBorders>
              <w:top w:val="single" w:sz="4" w:space="0" w:color="auto"/>
              <w:left w:val="nil"/>
              <w:bottom w:val="single" w:sz="4" w:space="0" w:color="auto"/>
              <w:right w:val="single" w:sz="4" w:space="0" w:color="auto"/>
            </w:tcBorders>
            <w:shd w:val="clear" w:color="000000" w:fill="FFFFFF"/>
            <w:noWrap/>
            <w:vAlign w:val="center"/>
          </w:tcPr>
          <w:p w14:paraId="2AD436C8" w14:textId="77777777" w:rsidR="00483598" w:rsidRPr="00483598" w:rsidRDefault="00483598" w:rsidP="00483598">
            <w:pPr>
              <w:spacing w:after="0" w:line="240" w:lineRule="auto"/>
              <w:jc w:val="center"/>
              <w:rPr>
                <w:rFonts w:eastAsiaTheme="minorEastAsia" w:cstheme="minorBidi"/>
                <w:bCs/>
                <w:color w:val="auto"/>
                <w:sz w:val="18"/>
                <w:szCs w:val="18"/>
                <w:lang w:eastAsia="ru-RU"/>
              </w:rPr>
            </w:pPr>
            <w:r w:rsidRPr="00483598">
              <w:rPr>
                <w:rFonts w:eastAsiaTheme="minorEastAsia" w:cstheme="minorBidi"/>
                <w:bCs/>
                <w:color w:val="auto"/>
                <w:sz w:val="18"/>
                <w:szCs w:val="18"/>
                <w:lang w:eastAsia="ru-RU"/>
              </w:rPr>
              <w:t>23,23</w:t>
            </w:r>
          </w:p>
        </w:tc>
        <w:tc>
          <w:tcPr>
            <w:tcW w:w="353" w:type="pct"/>
            <w:tcBorders>
              <w:top w:val="single" w:sz="4" w:space="0" w:color="auto"/>
              <w:left w:val="nil"/>
              <w:bottom w:val="single" w:sz="4" w:space="0" w:color="auto"/>
              <w:right w:val="single" w:sz="4" w:space="0" w:color="auto"/>
            </w:tcBorders>
            <w:shd w:val="clear" w:color="auto" w:fill="auto"/>
            <w:noWrap/>
            <w:vAlign w:val="center"/>
          </w:tcPr>
          <w:p w14:paraId="2A466AF4" w14:textId="77777777" w:rsidR="00483598" w:rsidRPr="00483598" w:rsidRDefault="00483598" w:rsidP="00483598">
            <w:pPr>
              <w:spacing w:after="0" w:line="240" w:lineRule="auto"/>
              <w:jc w:val="center"/>
              <w:rPr>
                <w:rFonts w:eastAsiaTheme="minorEastAsia" w:cstheme="minorBidi"/>
                <w:bCs/>
                <w:color w:val="auto"/>
                <w:sz w:val="18"/>
                <w:szCs w:val="18"/>
                <w:lang w:eastAsia="ru-RU"/>
              </w:rPr>
            </w:pPr>
            <w:r w:rsidRPr="00483598">
              <w:rPr>
                <w:rFonts w:eastAsiaTheme="minorEastAsia" w:cstheme="minorBidi"/>
                <w:bCs/>
                <w:color w:val="auto"/>
                <w:sz w:val="18"/>
                <w:szCs w:val="18"/>
                <w:lang w:eastAsia="ru-RU"/>
              </w:rPr>
              <w:t>89%</w:t>
            </w:r>
          </w:p>
        </w:tc>
      </w:tr>
      <w:tr w:rsidR="00483598" w:rsidRPr="00483598" w14:paraId="46ED07CE" w14:textId="77777777" w:rsidTr="00495A09">
        <w:trPr>
          <w:trHeight w:val="300"/>
        </w:trPr>
        <w:tc>
          <w:tcPr>
            <w:tcW w:w="269" w:type="pct"/>
            <w:tcBorders>
              <w:top w:val="nil"/>
              <w:left w:val="single" w:sz="4" w:space="0" w:color="auto"/>
              <w:bottom w:val="single" w:sz="4" w:space="0" w:color="auto"/>
              <w:right w:val="single" w:sz="4" w:space="0" w:color="auto"/>
            </w:tcBorders>
            <w:shd w:val="clear" w:color="auto" w:fill="auto"/>
            <w:noWrap/>
            <w:vAlign w:val="center"/>
            <w:hideMark/>
          </w:tcPr>
          <w:p w14:paraId="119707AF" w14:textId="77777777" w:rsidR="00483598" w:rsidRPr="00483598" w:rsidRDefault="00483598" w:rsidP="00483598">
            <w:pPr>
              <w:spacing w:after="0" w:line="240" w:lineRule="auto"/>
              <w:jc w:val="center"/>
              <w:rPr>
                <w:rFonts w:eastAsiaTheme="minorEastAsia" w:cstheme="minorBidi"/>
                <w:bCs/>
                <w:color w:val="auto"/>
                <w:sz w:val="18"/>
                <w:szCs w:val="18"/>
                <w:lang w:eastAsia="ru-RU"/>
              </w:rPr>
            </w:pPr>
            <w:r w:rsidRPr="00483598">
              <w:rPr>
                <w:rFonts w:eastAsiaTheme="minorEastAsia" w:cs="Calibri"/>
                <w:bCs/>
                <w:color w:val="auto"/>
                <w:sz w:val="18"/>
                <w:szCs w:val="18"/>
                <w:lang w:eastAsia="ru-RU"/>
              </w:rPr>
              <w:t>2</w:t>
            </w:r>
          </w:p>
        </w:tc>
        <w:tc>
          <w:tcPr>
            <w:tcW w:w="2508" w:type="pct"/>
            <w:tcBorders>
              <w:top w:val="nil"/>
              <w:left w:val="nil"/>
              <w:bottom w:val="single" w:sz="4" w:space="0" w:color="auto"/>
              <w:right w:val="single" w:sz="4" w:space="0" w:color="auto"/>
            </w:tcBorders>
            <w:shd w:val="clear" w:color="auto" w:fill="auto"/>
          </w:tcPr>
          <w:p w14:paraId="6A0E7713" w14:textId="77777777" w:rsidR="00483598" w:rsidRPr="00483598" w:rsidRDefault="00483598" w:rsidP="00483598">
            <w:pPr>
              <w:spacing w:after="0" w:line="240" w:lineRule="auto"/>
              <w:rPr>
                <w:rFonts w:eastAsiaTheme="minorEastAsia" w:cstheme="minorBidi"/>
                <w:bCs/>
                <w:color w:val="auto"/>
                <w:sz w:val="18"/>
                <w:szCs w:val="18"/>
                <w:lang w:eastAsia="ru-RU"/>
              </w:rPr>
            </w:pPr>
            <w:r w:rsidRPr="00483598">
              <w:rPr>
                <w:rFonts w:eastAsiaTheme="minorEastAsia" w:cstheme="minorBidi"/>
                <w:bCs/>
                <w:color w:val="auto"/>
                <w:sz w:val="18"/>
                <w:szCs w:val="18"/>
                <w:lang w:eastAsia="ru-RU"/>
              </w:rPr>
              <w:t>Технологическое присоединение энергопринимающих устройств потребителей максимальной мощностью до 150 кВт включительно, всего</w:t>
            </w:r>
          </w:p>
        </w:tc>
        <w:tc>
          <w:tcPr>
            <w:tcW w:w="573" w:type="pct"/>
            <w:tcBorders>
              <w:top w:val="nil"/>
              <w:left w:val="nil"/>
              <w:bottom w:val="single" w:sz="4" w:space="0" w:color="auto"/>
              <w:right w:val="single" w:sz="4" w:space="0" w:color="auto"/>
            </w:tcBorders>
            <w:shd w:val="clear" w:color="auto" w:fill="auto"/>
            <w:noWrap/>
            <w:vAlign w:val="center"/>
          </w:tcPr>
          <w:p w14:paraId="47FAFE13" w14:textId="77777777" w:rsidR="00483598" w:rsidRPr="00483598" w:rsidRDefault="00483598" w:rsidP="00483598">
            <w:pPr>
              <w:spacing w:after="0" w:line="240" w:lineRule="auto"/>
              <w:jc w:val="center"/>
              <w:rPr>
                <w:rFonts w:eastAsiaTheme="minorEastAsia" w:cstheme="minorBidi"/>
                <w:bCs/>
                <w:color w:val="auto"/>
                <w:sz w:val="18"/>
                <w:szCs w:val="18"/>
                <w:lang w:eastAsia="ru-RU"/>
              </w:rPr>
            </w:pPr>
            <w:r w:rsidRPr="00483598">
              <w:rPr>
                <w:rFonts w:eastAsiaTheme="minorEastAsia" w:cstheme="minorBidi"/>
                <w:bCs/>
                <w:color w:val="auto"/>
                <w:sz w:val="18"/>
                <w:szCs w:val="18"/>
                <w:lang w:eastAsia="ru-RU"/>
              </w:rPr>
              <w:t>Г</w:t>
            </w:r>
          </w:p>
        </w:tc>
        <w:tc>
          <w:tcPr>
            <w:tcW w:w="439" w:type="pct"/>
            <w:tcBorders>
              <w:top w:val="nil"/>
              <w:left w:val="nil"/>
              <w:bottom w:val="single" w:sz="4" w:space="0" w:color="auto"/>
              <w:right w:val="single" w:sz="4" w:space="0" w:color="auto"/>
            </w:tcBorders>
            <w:shd w:val="clear" w:color="000000" w:fill="FFFFFF"/>
            <w:noWrap/>
            <w:vAlign w:val="center"/>
          </w:tcPr>
          <w:p w14:paraId="02F20782" w14:textId="77777777" w:rsidR="00483598" w:rsidRPr="00483598" w:rsidRDefault="00483598" w:rsidP="00483598">
            <w:pPr>
              <w:spacing w:after="0" w:line="240" w:lineRule="auto"/>
              <w:jc w:val="center"/>
              <w:rPr>
                <w:rFonts w:eastAsiaTheme="minorEastAsia" w:cstheme="minorBidi"/>
                <w:bCs/>
                <w:color w:val="auto"/>
                <w:sz w:val="18"/>
                <w:szCs w:val="18"/>
                <w:lang w:eastAsia="ru-RU"/>
              </w:rPr>
            </w:pPr>
            <w:r w:rsidRPr="00483598">
              <w:rPr>
                <w:rFonts w:eastAsiaTheme="minorEastAsia" w:cstheme="minorBidi"/>
                <w:bCs/>
                <w:color w:val="auto"/>
                <w:sz w:val="18"/>
                <w:szCs w:val="18"/>
                <w:lang w:eastAsia="ru-RU"/>
              </w:rPr>
              <w:t>0,47</w:t>
            </w:r>
          </w:p>
        </w:tc>
        <w:tc>
          <w:tcPr>
            <w:tcW w:w="500" w:type="pct"/>
            <w:tcBorders>
              <w:top w:val="nil"/>
              <w:left w:val="nil"/>
              <w:bottom w:val="single" w:sz="4" w:space="0" w:color="auto"/>
              <w:right w:val="single" w:sz="4" w:space="0" w:color="auto"/>
            </w:tcBorders>
            <w:shd w:val="clear" w:color="000000" w:fill="FFFFFF"/>
            <w:noWrap/>
            <w:vAlign w:val="center"/>
          </w:tcPr>
          <w:p w14:paraId="1A16A939" w14:textId="77777777" w:rsidR="00483598" w:rsidRPr="00483598" w:rsidRDefault="00483598" w:rsidP="00483598">
            <w:pPr>
              <w:spacing w:after="0" w:line="240" w:lineRule="auto"/>
              <w:jc w:val="center"/>
              <w:rPr>
                <w:rFonts w:eastAsiaTheme="minorEastAsia" w:cstheme="minorBidi"/>
                <w:bCs/>
                <w:color w:val="auto"/>
                <w:sz w:val="18"/>
                <w:szCs w:val="18"/>
                <w:lang w:eastAsia="ru-RU"/>
              </w:rPr>
            </w:pPr>
            <w:r w:rsidRPr="00483598">
              <w:rPr>
                <w:rFonts w:eastAsiaTheme="minorEastAsia" w:cstheme="minorBidi"/>
                <w:bCs/>
                <w:color w:val="auto"/>
                <w:sz w:val="18"/>
                <w:szCs w:val="18"/>
                <w:lang w:eastAsia="ru-RU"/>
              </w:rPr>
              <w:t>6,04</w:t>
            </w:r>
          </w:p>
        </w:tc>
        <w:tc>
          <w:tcPr>
            <w:tcW w:w="358" w:type="pct"/>
            <w:tcBorders>
              <w:top w:val="single" w:sz="4" w:space="0" w:color="auto"/>
              <w:left w:val="nil"/>
              <w:bottom w:val="single" w:sz="4" w:space="0" w:color="auto"/>
              <w:right w:val="single" w:sz="4" w:space="0" w:color="auto"/>
            </w:tcBorders>
            <w:shd w:val="clear" w:color="000000" w:fill="FFFFFF"/>
            <w:noWrap/>
            <w:vAlign w:val="center"/>
          </w:tcPr>
          <w:p w14:paraId="72669C84" w14:textId="77777777" w:rsidR="00483598" w:rsidRPr="00483598" w:rsidRDefault="00483598" w:rsidP="00483598">
            <w:pPr>
              <w:spacing w:after="0" w:line="240" w:lineRule="auto"/>
              <w:jc w:val="center"/>
              <w:rPr>
                <w:rFonts w:eastAsiaTheme="minorEastAsia" w:cstheme="minorBidi"/>
                <w:bCs/>
                <w:color w:val="auto"/>
                <w:sz w:val="18"/>
                <w:szCs w:val="18"/>
                <w:lang w:eastAsia="ru-RU"/>
              </w:rPr>
            </w:pPr>
            <w:r w:rsidRPr="00483598">
              <w:rPr>
                <w:rFonts w:eastAsiaTheme="minorEastAsia" w:cstheme="minorBidi"/>
                <w:bCs/>
                <w:color w:val="auto"/>
                <w:sz w:val="18"/>
                <w:szCs w:val="18"/>
                <w:lang w:eastAsia="ru-RU"/>
              </w:rPr>
              <w:t>5,57</w:t>
            </w:r>
          </w:p>
        </w:tc>
        <w:tc>
          <w:tcPr>
            <w:tcW w:w="353" w:type="pct"/>
            <w:tcBorders>
              <w:top w:val="nil"/>
              <w:left w:val="nil"/>
              <w:bottom w:val="single" w:sz="4" w:space="0" w:color="auto"/>
              <w:right w:val="single" w:sz="4" w:space="0" w:color="auto"/>
            </w:tcBorders>
            <w:shd w:val="clear" w:color="auto" w:fill="auto"/>
            <w:noWrap/>
            <w:vAlign w:val="center"/>
          </w:tcPr>
          <w:p w14:paraId="658F5642" w14:textId="77777777" w:rsidR="00483598" w:rsidRPr="00483598" w:rsidRDefault="00483598" w:rsidP="00483598">
            <w:pPr>
              <w:spacing w:after="0" w:line="240" w:lineRule="auto"/>
              <w:jc w:val="center"/>
              <w:rPr>
                <w:rFonts w:eastAsiaTheme="minorEastAsia" w:cstheme="minorBidi"/>
                <w:bCs/>
                <w:color w:val="auto"/>
                <w:sz w:val="18"/>
                <w:szCs w:val="18"/>
                <w:lang w:eastAsia="ru-RU"/>
              </w:rPr>
            </w:pPr>
            <w:r w:rsidRPr="00483598">
              <w:rPr>
                <w:rFonts w:eastAsiaTheme="minorEastAsia" w:cstheme="minorBidi"/>
                <w:bCs/>
                <w:color w:val="auto"/>
                <w:sz w:val="18"/>
                <w:szCs w:val="18"/>
                <w:lang w:eastAsia="ru-RU"/>
              </w:rPr>
              <w:t>1196%</w:t>
            </w:r>
          </w:p>
        </w:tc>
      </w:tr>
      <w:tr w:rsidR="00483598" w:rsidRPr="00483598" w14:paraId="146DA5D4" w14:textId="77777777" w:rsidTr="00495A09">
        <w:trPr>
          <w:trHeight w:val="300"/>
        </w:trPr>
        <w:tc>
          <w:tcPr>
            <w:tcW w:w="269" w:type="pct"/>
            <w:tcBorders>
              <w:top w:val="nil"/>
              <w:left w:val="single" w:sz="4" w:space="0" w:color="auto"/>
              <w:bottom w:val="single" w:sz="4" w:space="0" w:color="auto"/>
              <w:right w:val="single" w:sz="4" w:space="0" w:color="auto"/>
            </w:tcBorders>
            <w:shd w:val="clear" w:color="auto" w:fill="auto"/>
            <w:noWrap/>
            <w:vAlign w:val="center"/>
            <w:hideMark/>
          </w:tcPr>
          <w:p w14:paraId="0E513DE9" w14:textId="77777777" w:rsidR="00483598" w:rsidRPr="00483598" w:rsidRDefault="00483598" w:rsidP="00483598">
            <w:pPr>
              <w:spacing w:after="0" w:line="240" w:lineRule="auto"/>
              <w:jc w:val="center"/>
              <w:rPr>
                <w:rFonts w:eastAsiaTheme="minorEastAsia" w:cstheme="minorBidi"/>
                <w:bCs/>
                <w:color w:val="auto"/>
                <w:sz w:val="18"/>
                <w:szCs w:val="18"/>
                <w:lang w:eastAsia="ru-RU"/>
              </w:rPr>
            </w:pPr>
            <w:r w:rsidRPr="00483598">
              <w:rPr>
                <w:rFonts w:eastAsiaTheme="minorEastAsia" w:cs="Calibri"/>
                <w:bCs/>
                <w:color w:val="auto"/>
                <w:sz w:val="18"/>
                <w:szCs w:val="18"/>
                <w:lang w:eastAsia="ru-RU"/>
              </w:rPr>
              <w:t>3</w:t>
            </w:r>
          </w:p>
        </w:tc>
        <w:tc>
          <w:tcPr>
            <w:tcW w:w="2508" w:type="pct"/>
            <w:tcBorders>
              <w:top w:val="nil"/>
              <w:left w:val="nil"/>
              <w:bottom w:val="single" w:sz="4" w:space="0" w:color="auto"/>
              <w:right w:val="single" w:sz="4" w:space="0" w:color="auto"/>
            </w:tcBorders>
            <w:shd w:val="clear" w:color="auto" w:fill="auto"/>
          </w:tcPr>
          <w:p w14:paraId="5DC0BF7A" w14:textId="77777777" w:rsidR="00483598" w:rsidRPr="00483598" w:rsidRDefault="00483598" w:rsidP="00483598">
            <w:pPr>
              <w:spacing w:after="0" w:line="240" w:lineRule="auto"/>
              <w:rPr>
                <w:rFonts w:eastAsiaTheme="minorEastAsia" w:cstheme="minorBidi"/>
                <w:bCs/>
                <w:color w:val="auto"/>
                <w:sz w:val="18"/>
                <w:szCs w:val="18"/>
                <w:lang w:eastAsia="ru-RU"/>
              </w:rPr>
            </w:pPr>
            <w:r w:rsidRPr="00483598">
              <w:rPr>
                <w:rFonts w:eastAsiaTheme="minorEastAsia" w:cstheme="minorBidi"/>
                <w:bCs/>
                <w:color w:val="auto"/>
                <w:sz w:val="18"/>
                <w:szCs w:val="18"/>
                <w:lang w:eastAsia="ru-RU"/>
              </w:rPr>
              <w:t>Модернизация системы телемеханики и организация цифровых каналов связи на ПС 110/10 кВ «</w:t>
            </w:r>
            <w:proofErr w:type="spellStart"/>
            <w:r w:rsidRPr="00483598">
              <w:rPr>
                <w:rFonts w:eastAsiaTheme="minorEastAsia" w:cstheme="minorBidi"/>
                <w:bCs/>
                <w:color w:val="auto"/>
                <w:sz w:val="18"/>
                <w:szCs w:val="18"/>
                <w:lang w:eastAsia="ru-RU"/>
              </w:rPr>
              <w:t>Сукпак</w:t>
            </w:r>
            <w:proofErr w:type="spellEnd"/>
            <w:r w:rsidRPr="00483598">
              <w:rPr>
                <w:rFonts w:eastAsiaTheme="minorEastAsia" w:cstheme="minorBidi"/>
                <w:bCs/>
                <w:color w:val="auto"/>
                <w:sz w:val="18"/>
                <w:szCs w:val="18"/>
                <w:lang w:eastAsia="ru-RU"/>
              </w:rPr>
              <w:t>»</w:t>
            </w:r>
          </w:p>
        </w:tc>
        <w:tc>
          <w:tcPr>
            <w:tcW w:w="573" w:type="pct"/>
            <w:tcBorders>
              <w:top w:val="nil"/>
              <w:left w:val="nil"/>
              <w:bottom w:val="single" w:sz="4" w:space="0" w:color="auto"/>
              <w:right w:val="single" w:sz="4" w:space="0" w:color="auto"/>
            </w:tcBorders>
            <w:shd w:val="clear" w:color="auto" w:fill="auto"/>
            <w:noWrap/>
            <w:vAlign w:val="center"/>
          </w:tcPr>
          <w:p w14:paraId="467E8F20" w14:textId="77777777" w:rsidR="00483598" w:rsidRPr="00483598" w:rsidRDefault="00483598" w:rsidP="00483598">
            <w:pPr>
              <w:spacing w:after="0" w:line="240" w:lineRule="auto"/>
              <w:jc w:val="center"/>
              <w:rPr>
                <w:rFonts w:eastAsiaTheme="minorEastAsia" w:cstheme="minorBidi"/>
                <w:bCs/>
                <w:color w:val="auto"/>
                <w:sz w:val="18"/>
                <w:szCs w:val="18"/>
                <w:lang w:eastAsia="ru-RU"/>
              </w:rPr>
            </w:pPr>
            <w:r w:rsidRPr="00483598">
              <w:rPr>
                <w:rFonts w:eastAsiaTheme="minorEastAsia" w:cstheme="minorBidi"/>
                <w:bCs/>
                <w:color w:val="auto"/>
                <w:sz w:val="18"/>
                <w:szCs w:val="18"/>
                <w:lang w:eastAsia="ru-RU"/>
              </w:rPr>
              <w:t>G_38_ТЭ</w:t>
            </w:r>
          </w:p>
        </w:tc>
        <w:tc>
          <w:tcPr>
            <w:tcW w:w="439" w:type="pct"/>
            <w:tcBorders>
              <w:top w:val="nil"/>
              <w:left w:val="nil"/>
              <w:bottom w:val="single" w:sz="4" w:space="0" w:color="auto"/>
              <w:right w:val="single" w:sz="4" w:space="0" w:color="auto"/>
            </w:tcBorders>
            <w:shd w:val="clear" w:color="000000" w:fill="FFFFFF"/>
            <w:noWrap/>
            <w:vAlign w:val="center"/>
          </w:tcPr>
          <w:p w14:paraId="0045965F" w14:textId="77777777" w:rsidR="00483598" w:rsidRPr="00483598" w:rsidRDefault="00483598" w:rsidP="00483598">
            <w:pPr>
              <w:spacing w:after="0" w:line="240" w:lineRule="auto"/>
              <w:jc w:val="center"/>
              <w:rPr>
                <w:rFonts w:eastAsiaTheme="minorEastAsia" w:cstheme="minorBidi"/>
                <w:bCs/>
                <w:color w:val="auto"/>
                <w:sz w:val="18"/>
                <w:szCs w:val="18"/>
                <w:lang w:eastAsia="ru-RU"/>
              </w:rPr>
            </w:pPr>
            <w:r w:rsidRPr="00483598">
              <w:rPr>
                <w:rFonts w:eastAsiaTheme="minorEastAsia" w:cstheme="minorBidi"/>
                <w:bCs/>
                <w:color w:val="auto"/>
                <w:sz w:val="18"/>
                <w:szCs w:val="18"/>
                <w:lang w:eastAsia="ru-RU"/>
              </w:rPr>
              <w:t>0,00</w:t>
            </w:r>
          </w:p>
        </w:tc>
        <w:tc>
          <w:tcPr>
            <w:tcW w:w="500" w:type="pct"/>
            <w:tcBorders>
              <w:top w:val="nil"/>
              <w:left w:val="nil"/>
              <w:bottom w:val="single" w:sz="4" w:space="0" w:color="auto"/>
              <w:right w:val="single" w:sz="4" w:space="0" w:color="auto"/>
            </w:tcBorders>
            <w:shd w:val="clear" w:color="000000" w:fill="FFFFFF"/>
            <w:noWrap/>
            <w:vAlign w:val="center"/>
          </w:tcPr>
          <w:p w14:paraId="08A66287" w14:textId="77777777" w:rsidR="00483598" w:rsidRPr="00483598" w:rsidRDefault="00483598" w:rsidP="00483598">
            <w:pPr>
              <w:spacing w:after="0" w:line="240" w:lineRule="auto"/>
              <w:jc w:val="center"/>
              <w:rPr>
                <w:rFonts w:eastAsiaTheme="minorEastAsia" w:cstheme="minorBidi"/>
                <w:bCs/>
                <w:color w:val="auto"/>
                <w:sz w:val="18"/>
                <w:szCs w:val="18"/>
                <w:lang w:eastAsia="ru-RU"/>
              </w:rPr>
            </w:pPr>
            <w:r w:rsidRPr="00483598">
              <w:rPr>
                <w:rFonts w:eastAsiaTheme="minorEastAsia" w:cstheme="minorBidi"/>
                <w:bCs/>
                <w:color w:val="auto"/>
                <w:sz w:val="18"/>
                <w:szCs w:val="18"/>
                <w:lang w:eastAsia="ru-RU"/>
              </w:rPr>
              <w:t>0,924</w:t>
            </w:r>
          </w:p>
        </w:tc>
        <w:tc>
          <w:tcPr>
            <w:tcW w:w="358" w:type="pct"/>
            <w:tcBorders>
              <w:top w:val="single" w:sz="4" w:space="0" w:color="auto"/>
              <w:left w:val="nil"/>
              <w:bottom w:val="single" w:sz="4" w:space="0" w:color="auto"/>
              <w:right w:val="single" w:sz="4" w:space="0" w:color="auto"/>
            </w:tcBorders>
            <w:shd w:val="clear" w:color="000000" w:fill="FFFFFF"/>
            <w:noWrap/>
            <w:vAlign w:val="center"/>
          </w:tcPr>
          <w:p w14:paraId="721E885E" w14:textId="77777777" w:rsidR="00483598" w:rsidRPr="00483598" w:rsidRDefault="00483598" w:rsidP="00483598">
            <w:pPr>
              <w:spacing w:after="0" w:line="240" w:lineRule="auto"/>
              <w:jc w:val="center"/>
              <w:rPr>
                <w:rFonts w:eastAsiaTheme="minorEastAsia" w:cstheme="minorBidi"/>
                <w:bCs/>
                <w:color w:val="auto"/>
                <w:sz w:val="18"/>
                <w:szCs w:val="18"/>
                <w:lang w:eastAsia="ru-RU"/>
              </w:rPr>
            </w:pPr>
            <w:r w:rsidRPr="00483598">
              <w:rPr>
                <w:rFonts w:eastAsiaTheme="minorEastAsia" w:cstheme="minorBidi"/>
                <w:bCs/>
                <w:color w:val="auto"/>
                <w:sz w:val="18"/>
                <w:szCs w:val="18"/>
                <w:lang w:eastAsia="ru-RU"/>
              </w:rPr>
              <w:t>0,92</w:t>
            </w:r>
          </w:p>
        </w:tc>
        <w:tc>
          <w:tcPr>
            <w:tcW w:w="353" w:type="pct"/>
            <w:tcBorders>
              <w:top w:val="nil"/>
              <w:left w:val="nil"/>
              <w:bottom w:val="single" w:sz="4" w:space="0" w:color="auto"/>
              <w:right w:val="single" w:sz="4" w:space="0" w:color="auto"/>
            </w:tcBorders>
            <w:shd w:val="clear" w:color="auto" w:fill="auto"/>
            <w:noWrap/>
            <w:vAlign w:val="center"/>
          </w:tcPr>
          <w:p w14:paraId="186276A0" w14:textId="77777777" w:rsidR="00483598" w:rsidRPr="00483598" w:rsidRDefault="00483598" w:rsidP="00483598">
            <w:pPr>
              <w:spacing w:after="0" w:line="240" w:lineRule="auto"/>
              <w:jc w:val="center"/>
              <w:rPr>
                <w:rFonts w:eastAsiaTheme="minorEastAsia" w:cstheme="minorBidi"/>
                <w:bCs/>
                <w:color w:val="auto"/>
                <w:sz w:val="18"/>
                <w:szCs w:val="18"/>
                <w:lang w:eastAsia="ru-RU"/>
              </w:rPr>
            </w:pPr>
            <w:r w:rsidRPr="00483598">
              <w:rPr>
                <w:rFonts w:eastAsiaTheme="minorEastAsia" w:cstheme="minorBidi"/>
                <w:bCs/>
                <w:color w:val="auto"/>
                <w:sz w:val="18"/>
                <w:szCs w:val="18"/>
                <w:lang w:eastAsia="ru-RU"/>
              </w:rPr>
              <w:t>100%</w:t>
            </w:r>
          </w:p>
        </w:tc>
      </w:tr>
      <w:tr w:rsidR="00483598" w:rsidRPr="00483598" w14:paraId="3245AD84" w14:textId="77777777" w:rsidTr="00495A09">
        <w:trPr>
          <w:trHeight w:val="300"/>
        </w:trPr>
        <w:tc>
          <w:tcPr>
            <w:tcW w:w="269" w:type="pct"/>
            <w:tcBorders>
              <w:top w:val="nil"/>
              <w:left w:val="single" w:sz="4" w:space="0" w:color="auto"/>
              <w:bottom w:val="single" w:sz="4" w:space="0" w:color="auto"/>
              <w:right w:val="single" w:sz="4" w:space="0" w:color="auto"/>
            </w:tcBorders>
            <w:shd w:val="clear" w:color="auto" w:fill="auto"/>
            <w:noWrap/>
            <w:vAlign w:val="center"/>
            <w:hideMark/>
          </w:tcPr>
          <w:p w14:paraId="4D7F775A" w14:textId="77777777" w:rsidR="00483598" w:rsidRPr="00483598" w:rsidRDefault="00483598" w:rsidP="00483598">
            <w:pPr>
              <w:spacing w:after="0" w:line="240" w:lineRule="auto"/>
              <w:jc w:val="center"/>
              <w:rPr>
                <w:rFonts w:eastAsiaTheme="minorEastAsia" w:cstheme="minorBidi"/>
                <w:bCs/>
                <w:color w:val="auto"/>
                <w:sz w:val="18"/>
                <w:szCs w:val="18"/>
                <w:lang w:eastAsia="ru-RU"/>
              </w:rPr>
            </w:pPr>
            <w:r w:rsidRPr="00483598">
              <w:rPr>
                <w:rFonts w:eastAsiaTheme="minorEastAsia" w:cs="Calibri"/>
                <w:bCs/>
                <w:color w:val="auto"/>
                <w:sz w:val="18"/>
                <w:szCs w:val="18"/>
                <w:lang w:eastAsia="ru-RU"/>
              </w:rPr>
              <w:t>4</w:t>
            </w:r>
          </w:p>
        </w:tc>
        <w:tc>
          <w:tcPr>
            <w:tcW w:w="2508" w:type="pct"/>
            <w:tcBorders>
              <w:top w:val="nil"/>
              <w:left w:val="nil"/>
              <w:bottom w:val="single" w:sz="4" w:space="0" w:color="auto"/>
              <w:right w:val="single" w:sz="4" w:space="0" w:color="auto"/>
            </w:tcBorders>
            <w:shd w:val="clear" w:color="auto" w:fill="auto"/>
          </w:tcPr>
          <w:p w14:paraId="2E12A085" w14:textId="77777777" w:rsidR="00483598" w:rsidRPr="00483598" w:rsidRDefault="00483598" w:rsidP="00483598">
            <w:pPr>
              <w:spacing w:after="0" w:line="240" w:lineRule="auto"/>
              <w:rPr>
                <w:rFonts w:eastAsiaTheme="minorEastAsia" w:cstheme="minorBidi"/>
                <w:bCs/>
                <w:color w:val="auto"/>
                <w:sz w:val="18"/>
                <w:szCs w:val="18"/>
                <w:lang w:eastAsia="ru-RU"/>
              </w:rPr>
            </w:pPr>
            <w:r w:rsidRPr="00483598">
              <w:rPr>
                <w:rFonts w:eastAsiaTheme="minorEastAsia" w:cstheme="minorBidi"/>
                <w:bCs/>
                <w:color w:val="auto"/>
                <w:sz w:val="18"/>
                <w:szCs w:val="18"/>
                <w:lang w:eastAsia="ru-RU"/>
              </w:rPr>
              <w:t>Модернизация системы телемеханики и организация цифровых каналов связи на ПС 110/10 кВ «Элегест», ПС 110/35/10 «Сарыг-Сеп»</w:t>
            </w:r>
          </w:p>
        </w:tc>
        <w:tc>
          <w:tcPr>
            <w:tcW w:w="573" w:type="pct"/>
            <w:tcBorders>
              <w:top w:val="nil"/>
              <w:left w:val="nil"/>
              <w:bottom w:val="single" w:sz="4" w:space="0" w:color="auto"/>
              <w:right w:val="single" w:sz="4" w:space="0" w:color="auto"/>
            </w:tcBorders>
            <w:shd w:val="clear" w:color="auto" w:fill="auto"/>
            <w:noWrap/>
            <w:vAlign w:val="center"/>
          </w:tcPr>
          <w:p w14:paraId="1BA4EC94" w14:textId="77777777" w:rsidR="00483598" w:rsidRPr="00483598" w:rsidRDefault="00483598" w:rsidP="00483598">
            <w:pPr>
              <w:spacing w:after="0" w:line="240" w:lineRule="auto"/>
              <w:jc w:val="center"/>
              <w:rPr>
                <w:rFonts w:eastAsiaTheme="minorEastAsia" w:cstheme="minorBidi"/>
                <w:bCs/>
                <w:color w:val="auto"/>
                <w:sz w:val="18"/>
                <w:szCs w:val="18"/>
                <w:lang w:eastAsia="ru-RU"/>
              </w:rPr>
            </w:pPr>
            <w:r w:rsidRPr="00483598">
              <w:rPr>
                <w:rFonts w:eastAsiaTheme="minorEastAsia" w:cstheme="minorBidi"/>
                <w:bCs/>
                <w:color w:val="auto"/>
                <w:sz w:val="18"/>
                <w:szCs w:val="18"/>
                <w:lang w:eastAsia="ru-RU"/>
              </w:rPr>
              <w:t>G_39_ТЭ</w:t>
            </w:r>
          </w:p>
        </w:tc>
        <w:tc>
          <w:tcPr>
            <w:tcW w:w="439" w:type="pct"/>
            <w:tcBorders>
              <w:top w:val="nil"/>
              <w:left w:val="nil"/>
              <w:bottom w:val="single" w:sz="4" w:space="0" w:color="auto"/>
              <w:right w:val="single" w:sz="4" w:space="0" w:color="auto"/>
            </w:tcBorders>
            <w:shd w:val="clear" w:color="000000" w:fill="FFFFFF"/>
            <w:noWrap/>
            <w:vAlign w:val="center"/>
          </w:tcPr>
          <w:p w14:paraId="2114B093" w14:textId="77777777" w:rsidR="00483598" w:rsidRPr="00483598" w:rsidRDefault="00483598" w:rsidP="00483598">
            <w:pPr>
              <w:spacing w:after="0" w:line="240" w:lineRule="auto"/>
              <w:jc w:val="center"/>
              <w:rPr>
                <w:rFonts w:eastAsiaTheme="minorEastAsia" w:cstheme="minorBidi"/>
                <w:bCs/>
                <w:color w:val="auto"/>
                <w:sz w:val="18"/>
                <w:szCs w:val="18"/>
                <w:lang w:eastAsia="ru-RU"/>
              </w:rPr>
            </w:pPr>
            <w:r w:rsidRPr="00483598">
              <w:rPr>
                <w:rFonts w:eastAsiaTheme="minorEastAsia" w:cstheme="minorBidi"/>
                <w:bCs/>
                <w:color w:val="auto"/>
                <w:sz w:val="18"/>
                <w:szCs w:val="18"/>
                <w:lang w:eastAsia="ru-RU"/>
              </w:rPr>
              <w:t>0,00</w:t>
            </w:r>
          </w:p>
        </w:tc>
        <w:tc>
          <w:tcPr>
            <w:tcW w:w="500" w:type="pct"/>
            <w:tcBorders>
              <w:top w:val="nil"/>
              <w:left w:val="nil"/>
              <w:bottom w:val="single" w:sz="4" w:space="0" w:color="auto"/>
              <w:right w:val="single" w:sz="4" w:space="0" w:color="auto"/>
            </w:tcBorders>
            <w:shd w:val="clear" w:color="000000" w:fill="FFFFFF"/>
            <w:noWrap/>
            <w:vAlign w:val="center"/>
          </w:tcPr>
          <w:p w14:paraId="31C6C3D5" w14:textId="77777777" w:rsidR="00483598" w:rsidRPr="00483598" w:rsidRDefault="00483598" w:rsidP="00483598">
            <w:pPr>
              <w:spacing w:after="0" w:line="240" w:lineRule="auto"/>
              <w:jc w:val="center"/>
              <w:rPr>
                <w:rFonts w:eastAsiaTheme="minorEastAsia" w:cstheme="minorBidi"/>
                <w:bCs/>
                <w:color w:val="auto"/>
                <w:sz w:val="18"/>
                <w:szCs w:val="18"/>
                <w:lang w:eastAsia="ru-RU"/>
              </w:rPr>
            </w:pPr>
            <w:r w:rsidRPr="00483598">
              <w:rPr>
                <w:rFonts w:eastAsiaTheme="minorEastAsia" w:cstheme="minorBidi"/>
                <w:bCs/>
                <w:color w:val="auto"/>
                <w:sz w:val="18"/>
                <w:szCs w:val="18"/>
                <w:lang w:eastAsia="ru-RU"/>
              </w:rPr>
              <w:t>0,468</w:t>
            </w:r>
          </w:p>
        </w:tc>
        <w:tc>
          <w:tcPr>
            <w:tcW w:w="358" w:type="pct"/>
            <w:tcBorders>
              <w:top w:val="single" w:sz="4" w:space="0" w:color="auto"/>
              <w:left w:val="nil"/>
              <w:bottom w:val="single" w:sz="4" w:space="0" w:color="auto"/>
              <w:right w:val="single" w:sz="4" w:space="0" w:color="auto"/>
            </w:tcBorders>
            <w:shd w:val="clear" w:color="000000" w:fill="FFFFFF"/>
            <w:noWrap/>
            <w:vAlign w:val="center"/>
          </w:tcPr>
          <w:p w14:paraId="31538059" w14:textId="77777777" w:rsidR="00483598" w:rsidRPr="00483598" w:rsidRDefault="00483598" w:rsidP="00483598">
            <w:pPr>
              <w:spacing w:after="0" w:line="240" w:lineRule="auto"/>
              <w:jc w:val="center"/>
              <w:rPr>
                <w:rFonts w:eastAsiaTheme="minorEastAsia" w:cstheme="minorBidi"/>
                <w:bCs/>
                <w:color w:val="auto"/>
                <w:sz w:val="18"/>
                <w:szCs w:val="18"/>
                <w:lang w:eastAsia="ru-RU"/>
              </w:rPr>
            </w:pPr>
            <w:r w:rsidRPr="00483598">
              <w:rPr>
                <w:rFonts w:eastAsiaTheme="minorEastAsia" w:cstheme="minorBidi"/>
                <w:bCs/>
                <w:color w:val="auto"/>
                <w:sz w:val="18"/>
                <w:szCs w:val="18"/>
                <w:lang w:eastAsia="ru-RU"/>
              </w:rPr>
              <w:t>0,47</w:t>
            </w:r>
          </w:p>
        </w:tc>
        <w:tc>
          <w:tcPr>
            <w:tcW w:w="353" w:type="pct"/>
            <w:tcBorders>
              <w:top w:val="nil"/>
              <w:left w:val="nil"/>
              <w:bottom w:val="single" w:sz="4" w:space="0" w:color="auto"/>
              <w:right w:val="single" w:sz="4" w:space="0" w:color="auto"/>
            </w:tcBorders>
            <w:shd w:val="clear" w:color="auto" w:fill="auto"/>
            <w:noWrap/>
            <w:vAlign w:val="center"/>
          </w:tcPr>
          <w:p w14:paraId="6B6F921F" w14:textId="77777777" w:rsidR="00483598" w:rsidRPr="00483598" w:rsidRDefault="00483598" w:rsidP="00483598">
            <w:pPr>
              <w:spacing w:after="0" w:line="240" w:lineRule="auto"/>
              <w:jc w:val="center"/>
              <w:rPr>
                <w:rFonts w:eastAsiaTheme="minorEastAsia" w:cstheme="minorBidi"/>
                <w:bCs/>
                <w:color w:val="auto"/>
                <w:sz w:val="18"/>
                <w:szCs w:val="18"/>
                <w:lang w:eastAsia="ru-RU"/>
              </w:rPr>
            </w:pPr>
            <w:r w:rsidRPr="00483598">
              <w:rPr>
                <w:rFonts w:eastAsiaTheme="minorEastAsia" w:cstheme="minorBidi"/>
                <w:bCs/>
                <w:color w:val="auto"/>
                <w:sz w:val="18"/>
                <w:szCs w:val="18"/>
                <w:lang w:eastAsia="ru-RU"/>
              </w:rPr>
              <w:t>100%</w:t>
            </w:r>
          </w:p>
        </w:tc>
      </w:tr>
      <w:tr w:rsidR="00483598" w:rsidRPr="00483598" w14:paraId="12E9DC86" w14:textId="77777777" w:rsidTr="00495A09">
        <w:trPr>
          <w:trHeight w:val="300"/>
        </w:trPr>
        <w:tc>
          <w:tcPr>
            <w:tcW w:w="269" w:type="pct"/>
            <w:tcBorders>
              <w:top w:val="nil"/>
              <w:left w:val="single" w:sz="4" w:space="0" w:color="auto"/>
              <w:bottom w:val="single" w:sz="4" w:space="0" w:color="auto"/>
              <w:right w:val="single" w:sz="4" w:space="0" w:color="auto"/>
            </w:tcBorders>
            <w:shd w:val="clear" w:color="auto" w:fill="auto"/>
            <w:noWrap/>
            <w:vAlign w:val="center"/>
            <w:hideMark/>
          </w:tcPr>
          <w:p w14:paraId="361E7D57" w14:textId="77777777" w:rsidR="00483598" w:rsidRPr="00483598" w:rsidRDefault="00483598" w:rsidP="00483598">
            <w:pPr>
              <w:spacing w:after="0" w:line="240" w:lineRule="auto"/>
              <w:jc w:val="center"/>
              <w:rPr>
                <w:rFonts w:eastAsiaTheme="minorEastAsia" w:cstheme="minorBidi"/>
                <w:bCs/>
                <w:color w:val="auto"/>
                <w:sz w:val="18"/>
                <w:szCs w:val="18"/>
                <w:lang w:eastAsia="ru-RU"/>
              </w:rPr>
            </w:pPr>
            <w:r w:rsidRPr="00483598">
              <w:rPr>
                <w:rFonts w:eastAsiaTheme="minorEastAsia" w:cs="Calibri"/>
                <w:bCs/>
                <w:color w:val="auto"/>
                <w:sz w:val="18"/>
                <w:szCs w:val="18"/>
                <w:lang w:eastAsia="ru-RU"/>
              </w:rPr>
              <w:t>5</w:t>
            </w:r>
          </w:p>
        </w:tc>
        <w:tc>
          <w:tcPr>
            <w:tcW w:w="2508" w:type="pct"/>
            <w:tcBorders>
              <w:top w:val="nil"/>
              <w:left w:val="nil"/>
              <w:bottom w:val="single" w:sz="4" w:space="0" w:color="auto"/>
              <w:right w:val="single" w:sz="4" w:space="0" w:color="auto"/>
            </w:tcBorders>
            <w:shd w:val="clear" w:color="auto" w:fill="auto"/>
          </w:tcPr>
          <w:p w14:paraId="4ABB4B05" w14:textId="77777777" w:rsidR="00483598" w:rsidRPr="00483598" w:rsidRDefault="00483598" w:rsidP="00483598">
            <w:pPr>
              <w:spacing w:after="0" w:line="240" w:lineRule="auto"/>
              <w:rPr>
                <w:rFonts w:eastAsiaTheme="minorEastAsia" w:cstheme="minorBidi"/>
                <w:bCs/>
                <w:color w:val="auto"/>
                <w:sz w:val="18"/>
                <w:szCs w:val="18"/>
                <w:lang w:eastAsia="ru-RU"/>
              </w:rPr>
            </w:pPr>
            <w:r w:rsidRPr="00483598">
              <w:rPr>
                <w:rFonts w:eastAsiaTheme="minorEastAsia" w:cstheme="minorBidi"/>
                <w:bCs/>
                <w:color w:val="auto"/>
                <w:sz w:val="18"/>
                <w:szCs w:val="18"/>
                <w:lang w:eastAsia="ru-RU"/>
              </w:rPr>
              <w:t xml:space="preserve">Реконструкция ВЛ-0,4 ф.1, ф.2 с применением СИП,  отходящей от ТП 10/0,4 №16 г. Кызыл, </w:t>
            </w:r>
            <w:proofErr w:type="spellStart"/>
            <w:r w:rsidRPr="00483598">
              <w:rPr>
                <w:rFonts w:eastAsiaTheme="minorEastAsia" w:cstheme="minorBidi"/>
                <w:bCs/>
                <w:color w:val="auto"/>
                <w:sz w:val="18"/>
                <w:szCs w:val="18"/>
                <w:lang w:eastAsia="ru-RU"/>
              </w:rPr>
              <w:t>ул.Каа-Хем</w:t>
            </w:r>
            <w:proofErr w:type="spellEnd"/>
            <w:r w:rsidRPr="00483598">
              <w:rPr>
                <w:rFonts w:eastAsiaTheme="minorEastAsia" w:cstheme="minorBidi"/>
                <w:bCs/>
                <w:color w:val="auto"/>
                <w:sz w:val="18"/>
                <w:szCs w:val="18"/>
                <w:lang w:eastAsia="ru-RU"/>
              </w:rPr>
              <w:t xml:space="preserve">, </w:t>
            </w:r>
            <w:proofErr w:type="spellStart"/>
            <w:r w:rsidRPr="00483598">
              <w:rPr>
                <w:rFonts w:eastAsiaTheme="minorEastAsia" w:cstheme="minorBidi"/>
                <w:bCs/>
                <w:color w:val="auto"/>
                <w:sz w:val="18"/>
                <w:szCs w:val="18"/>
                <w:lang w:eastAsia="ru-RU"/>
              </w:rPr>
              <w:t>ул.Шевченко</w:t>
            </w:r>
            <w:proofErr w:type="spellEnd"/>
            <w:r w:rsidRPr="00483598">
              <w:rPr>
                <w:rFonts w:eastAsiaTheme="minorEastAsia" w:cstheme="minorBidi"/>
                <w:bCs/>
                <w:color w:val="auto"/>
                <w:sz w:val="18"/>
                <w:szCs w:val="18"/>
                <w:lang w:eastAsia="ru-RU"/>
              </w:rPr>
              <w:t xml:space="preserve">, </w:t>
            </w:r>
            <w:proofErr w:type="spellStart"/>
            <w:r w:rsidRPr="00483598">
              <w:rPr>
                <w:rFonts w:eastAsiaTheme="minorEastAsia" w:cstheme="minorBidi"/>
                <w:bCs/>
                <w:color w:val="auto"/>
                <w:sz w:val="18"/>
                <w:szCs w:val="18"/>
                <w:lang w:eastAsia="ru-RU"/>
              </w:rPr>
              <w:t>пер.Транспортный</w:t>
            </w:r>
            <w:proofErr w:type="spellEnd"/>
            <w:r w:rsidRPr="00483598">
              <w:rPr>
                <w:rFonts w:eastAsiaTheme="minorEastAsia" w:cstheme="minorBidi"/>
                <w:bCs/>
                <w:color w:val="auto"/>
                <w:sz w:val="18"/>
                <w:szCs w:val="18"/>
                <w:lang w:eastAsia="ru-RU"/>
              </w:rPr>
              <w:t xml:space="preserve">  2,772 км.</w:t>
            </w:r>
          </w:p>
        </w:tc>
        <w:tc>
          <w:tcPr>
            <w:tcW w:w="573" w:type="pct"/>
            <w:tcBorders>
              <w:top w:val="nil"/>
              <w:left w:val="nil"/>
              <w:bottom w:val="single" w:sz="4" w:space="0" w:color="auto"/>
              <w:right w:val="single" w:sz="4" w:space="0" w:color="auto"/>
            </w:tcBorders>
            <w:shd w:val="clear" w:color="auto" w:fill="auto"/>
            <w:noWrap/>
            <w:vAlign w:val="center"/>
          </w:tcPr>
          <w:p w14:paraId="0E39E58C" w14:textId="77777777" w:rsidR="00483598" w:rsidRPr="00483598" w:rsidRDefault="00483598" w:rsidP="00483598">
            <w:pPr>
              <w:spacing w:after="0" w:line="240" w:lineRule="auto"/>
              <w:jc w:val="center"/>
              <w:rPr>
                <w:rFonts w:eastAsiaTheme="minorEastAsia" w:cstheme="minorBidi"/>
                <w:bCs/>
                <w:color w:val="auto"/>
                <w:sz w:val="18"/>
                <w:szCs w:val="18"/>
                <w:lang w:eastAsia="ru-RU"/>
              </w:rPr>
            </w:pPr>
            <w:r w:rsidRPr="00483598">
              <w:rPr>
                <w:rFonts w:eastAsiaTheme="minorEastAsia" w:cstheme="minorBidi"/>
                <w:bCs/>
                <w:color w:val="auto"/>
                <w:sz w:val="18"/>
                <w:szCs w:val="18"/>
                <w:lang w:eastAsia="ru-RU"/>
              </w:rPr>
              <w:t>F_19-11_ТЭ</w:t>
            </w:r>
          </w:p>
        </w:tc>
        <w:tc>
          <w:tcPr>
            <w:tcW w:w="439" w:type="pct"/>
            <w:tcBorders>
              <w:top w:val="nil"/>
              <w:left w:val="nil"/>
              <w:bottom w:val="single" w:sz="4" w:space="0" w:color="auto"/>
              <w:right w:val="single" w:sz="4" w:space="0" w:color="auto"/>
            </w:tcBorders>
            <w:shd w:val="clear" w:color="000000" w:fill="FFFFFF"/>
            <w:noWrap/>
            <w:vAlign w:val="center"/>
          </w:tcPr>
          <w:p w14:paraId="5E27E075" w14:textId="77777777" w:rsidR="00483598" w:rsidRPr="00483598" w:rsidRDefault="00483598" w:rsidP="00483598">
            <w:pPr>
              <w:spacing w:after="0" w:line="240" w:lineRule="auto"/>
              <w:jc w:val="center"/>
              <w:rPr>
                <w:rFonts w:eastAsiaTheme="minorEastAsia" w:cstheme="minorBidi"/>
                <w:bCs/>
                <w:color w:val="auto"/>
                <w:sz w:val="18"/>
                <w:szCs w:val="18"/>
                <w:lang w:eastAsia="ru-RU"/>
              </w:rPr>
            </w:pPr>
            <w:r w:rsidRPr="00483598">
              <w:rPr>
                <w:rFonts w:eastAsiaTheme="minorEastAsia" w:cstheme="minorBidi"/>
                <w:bCs/>
                <w:color w:val="auto"/>
                <w:sz w:val="18"/>
                <w:szCs w:val="18"/>
                <w:lang w:eastAsia="ru-RU"/>
              </w:rPr>
              <w:t>3,73</w:t>
            </w:r>
          </w:p>
        </w:tc>
        <w:tc>
          <w:tcPr>
            <w:tcW w:w="500" w:type="pct"/>
            <w:tcBorders>
              <w:top w:val="single" w:sz="4" w:space="0" w:color="auto"/>
              <w:left w:val="nil"/>
              <w:bottom w:val="single" w:sz="4" w:space="0" w:color="auto"/>
              <w:right w:val="single" w:sz="4" w:space="0" w:color="auto"/>
            </w:tcBorders>
            <w:shd w:val="clear" w:color="000000" w:fill="FFFFFF"/>
            <w:noWrap/>
            <w:vAlign w:val="center"/>
          </w:tcPr>
          <w:p w14:paraId="3ADAD5FA" w14:textId="77777777" w:rsidR="00483598" w:rsidRPr="00483598" w:rsidRDefault="00483598" w:rsidP="00483598">
            <w:pPr>
              <w:spacing w:after="0" w:line="240" w:lineRule="auto"/>
              <w:jc w:val="center"/>
              <w:rPr>
                <w:rFonts w:eastAsiaTheme="minorEastAsia" w:cstheme="minorBidi"/>
                <w:bCs/>
                <w:color w:val="auto"/>
                <w:sz w:val="18"/>
                <w:szCs w:val="18"/>
                <w:lang w:eastAsia="ru-RU"/>
              </w:rPr>
            </w:pPr>
            <w:r w:rsidRPr="00483598">
              <w:rPr>
                <w:rFonts w:eastAsiaTheme="minorEastAsia" w:cstheme="minorBidi"/>
                <w:bCs/>
                <w:color w:val="auto"/>
                <w:sz w:val="18"/>
                <w:szCs w:val="18"/>
                <w:lang w:eastAsia="ru-RU"/>
              </w:rPr>
              <w:t>4,72</w:t>
            </w:r>
          </w:p>
        </w:tc>
        <w:tc>
          <w:tcPr>
            <w:tcW w:w="358" w:type="pct"/>
            <w:tcBorders>
              <w:top w:val="single" w:sz="4" w:space="0" w:color="auto"/>
              <w:left w:val="nil"/>
              <w:bottom w:val="single" w:sz="4" w:space="0" w:color="auto"/>
              <w:right w:val="single" w:sz="4" w:space="0" w:color="auto"/>
            </w:tcBorders>
            <w:shd w:val="clear" w:color="000000" w:fill="FFFFFF"/>
            <w:noWrap/>
            <w:vAlign w:val="center"/>
          </w:tcPr>
          <w:p w14:paraId="784F99C1" w14:textId="77777777" w:rsidR="00483598" w:rsidRPr="00483598" w:rsidRDefault="00483598" w:rsidP="00483598">
            <w:pPr>
              <w:spacing w:after="0" w:line="240" w:lineRule="auto"/>
              <w:jc w:val="center"/>
              <w:rPr>
                <w:rFonts w:eastAsiaTheme="minorEastAsia" w:cstheme="minorBidi"/>
                <w:bCs/>
                <w:color w:val="auto"/>
                <w:sz w:val="18"/>
                <w:szCs w:val="18"/>
                <w:lang w:eastAsia="ru-RU"/>
              </w:rPr>
            </w:pPr>
            <w:r w:rsidRPr="00483598">
              <w:rPr>
                <w:rFonts w:eastAsiaTheme="minorEastAsia" w:cstheme="minorBidi"/>
                <w:bCs/>
                <w:color w:val="auto"/>
                <w:sz w:val="18"/>
                <w:szCs w:val="18"/>
                <w:lang w:eastAsia="ru-RU"/>
              </w:rPr>
              <w:t>0,99</w:t>
            </w:r>
          </w:p>
        </w:tc>
        <w:tc>
          <w:tcPr>
            <w:tcW w:w="353" w:type="pct"/>
            <w:tcBorders>
              <w:top w:val="nil"/>
              <w:left w:val="nil"/>
              <w:bottom w:val="single" w:sz="4" w:space="0" w:color="auto"/>
              <w:right w:val="single" w:sz="4" w:space="0" w:color="auto"/>
            </w:tcBorders>
            <w:shd w:val="clear" w:color="auto" w:fill="auto"/>
            <w:noWrap/>
            <w:vAlign w:val="center"/>
          </w:tcPr>
          <w:p w14:paraId="20CA7B53" w14:textId="77777777" w:rsidR="00483598" w:rsidRPr="00483598" w:rsidRDefault="00483598" w:rsidP="00483598">
            <w:pPr>
              <w:spacing w:after="0" w:line="240" w:lineRule="auto"/>
              <w:jc w:val="center"/>
              <w:rPr>
                <w:rFonts w:eastAsiaTheme="minorEastAsia" w:cstheme="minorBidi"/>
                <w:bCs/>
                <w:color w:val="auto"/>
                <w:sz w:val="18"/>
                <w:szCs w:val="18"/>
                <w:lang w:eastAsia="ru-RU"/>
              </w:rPr>
            </w:pPr>
            <w:r w:rsidRPr="00483598">
              <w:rPr>
                <w:rFonts w:eastAsiaTheme="minorEastAsia" w:cstheme="minorBidi"/>
                <w:bCs/>
                <w:color w:val="auto"/>
                <w:sz w:val="18"/>
                <w:szCs w:val="18"/>
                <w:lang w:eastAsia="ru-RU"/>
              </w:rPr>
              <w:t>26%</w:t>
            </w:r>
          </w:p>
        </w:tc>
      </w:tr>
      <w:tr w:rsidR="00483598" w:rsidRPr="00483598" w14:paraId="65B270DC" w14:textId="77777777" w:rsidTr="00495A09">
        <w:trPr>
          <w:trHeight w:val="300"/>
        </w:trPr>
        <w:tc>
          <w:tcPr>
            <w:tcW w:w="269" w:type="pct"/>
            <w:tcBorders>
              <w:top w:val="nil"/>
              <w:left w:val="single" w:sz="4" w:space="0" w:color="auto"/>
              <w:bottom w:val="single" w:sz="4" w:space="0" w:color="auto"/>
              <w:right w:val="single" w:sz="4" w:space="0" w:color="auto"/>
            </w:tcBorders>
            <w:shd w:val="clear" w:color="auto" w:fill="auto"/>
            <w:noWrap/>
            <w:vAlign w:val="center"/>
            <w:hideMark/>
          </w:tcPr>
          <w:p w14:paraId="30BDAB17" w14:textId="77777777" w:rsidR="00483598" w:rsidRPr="00483598" w:rsidRDefault="00483598" w:rsidP="00483598">
            <w:pPr>
              <w:spacing w:after="0" w:line="240" w:lineRule="auto"/>
              <w:jc w:val="center"/>
              <w:rPr>
                <w:rFonts w:eastAsiaTheme="minorEastAsia" w:cstheme="minorBidi"/>
                <w:bCs/>
                <w:color w:val="auto"/>
                <w:sz w:val="18"/>
                <w:szCs w:val="18"/>
                <w:lang w:eastAsia="ru-RU"/>
              </w:rPr>
            </w:pPr>
            <w:r w:rsidRPr="00483598">
              <w:rPr>
                <w:rFonts w:eastAsiaTheme="minorEastAsia" w:cs="Calibri"/>
                <w:bCs/>
                <w:color w:val="auto"/>
                <w:sz w:val="18"/>
                <w:szCs w:val="18"/>
                <w:lang w:eastAsia="ru-RU"/>
              </w:rPr>
              <w:t>6</w:t>
            </w:r>
          </w:p>
        </w:tc>
        <w:tc>
          <w:tcPr>
            <w:tcW w:w="2508" w:type="pct"/>
            <w:tcBorders>
              <w:top w:val="nil"/>
              <w:left w:val="nil"/>
              <w:bottom w:val="single" w:sz="4" w:space="0" w:color="auto"/>
              <w:right w:val="single" w:sz="4" w:space="0" w:color="auto"/>
            </w:tcBorders>
            <w:shd w:val="clear" w:color="auto" w:fill="auto"/>
          </w:tcPr>
          <w:p w14:paraId="775963D9" w14:textId="77777777" w:rsidR="00483598" w:rsidRPr="00483598" w:rsidRDefault="00483598" w:rsidP="00483598">
            <w:pPr>
              <w:spacing w:after="0" w:line="240" w:lineRule="auto"/>
              <w:rPr>
                <w:rFonts w:eastAsiaTheme="minorEastAsia" w:cstheme="minorBidi"/>
                <w:bCs/>
                <w:color w:val="auto"/>
                <w:sz w:val="18"/>
                <w:szCs w:val="18"/>
                <w:lang w:eastAsia="ru-RU"/>
              </w:rPr>
            </w:pPr>
            <w:r w:rsidRPr="00483598">
              <w:rPr>
                <w:rFonts w:eastAsiaTheme="minorEastAsia" w:cstheme="minorBidi"/>
                <w:bCs/>
                <w:color w:val="auto"/>
                <w:sz w:val="18"/>
                <w:szCs w:val="18"/>
                <w:lang w:eastAsia="ru-RU"/>
              </w:rPr>
              <w:t xml:space="preserve">Модернизация технического учета электроэнергии на вводах трансформаторных подстанций 6-10/0,4 кВ, 906 точек учета </w:t>
            </w:r>
          </w:p>
        </w:tc>
        <w:tc>
          <w:tcPr>
            <w:tcW w:w="573" w:type="pct"/>
            <w:tcBorders>
              <w:top w:val="nil"/>
              <w:left w:val="nil"/>
              <w:bottom w:val="single" w:sz="4" w:space="0" w:color="auto"/>
              <w:right w:val="single" w:sz="4" w:space="0" w:color="auto"/>
            </w:tcBorders>
            <w:shd w:val="clear" w:color="auto" w:fill="auto"/>
            <w:noWrap/>
            <w:vAlign w:val="center"/>
          </w:tcPr>
          <w:p w14:paraId="3B587B83" w14:textId="77777777" w:rsidR="00483598" w:rsidRPr="00483598" w:rsidRDefault="00483598" w:rsidP="00483598">
            <w:pPr>
              <w:spacing w:after="0" w:line="240" w:lineRule="auto"/>
              <w:jc w:val="center"/>
              <w:rPr>
                <w:rFonts w:eastAsiaTheme="minorEastAsia" w:cstheme="minorBidi"/>
                <w:bCs/>
                <w:color w:val="auto"/>
                <w:sz w:val="18"/>
                <w:szCs w:val="18"/>
                <w:lang w:eastAsia="ru-RU"/>
              </w:rPr>
            </w:pPr>
            <w:r w:rsidRPr="00483598">
              <w:rPr>
                <w:rFonts w:eastAsiaTheme="minorEastAsia" w:cstheme="minorBidi"/>
                <w:bCs/>
                <w:color w:val="auto"/>
                <w:sz w:val="18"/>
                <w:szCs w:val="18"/>
                <w:lang w:eastAsia="ru-RU"/>
              </w:rPr>
              <w:t>I_25_ТЭ</w:t>
            </w:r>
          </w:p>
        </w:tc>
        <w:tc>
          <w:tcPr>
            <w:tcW w:w="439" w:type="pct"/>
            <w:tcBorders>
              <w:top w:val="nil"/>
              <w:left w:val="nil"/>
              <w:bottom w:val="single" w:sz="4" w:space="0" w:color="auto"/>
              <w:right w:val="single" w:sz="4" w:space="0" w:color="auto"/>
            </w:tcBorders>
            <w:shd w:val="clear" w:color="000000" w:fill="FFFFFF"/>
            <w:noWrap/>
            <w:vAlign w:val="center"/>
          </w:tcPr>
          <w:p w14:paraId="4C8717D9" w14:textId="77777777" w:rsidR="00483598" w:rsidRPr="00483598" w:rsidRDefault="00483598" w:rsidP="00483598">
            <w:pPr>
              <w:spacing w:after="0" w:line="240" w:lineRule="auto"/>
              <w:jc w:val="center"/>
              <w:rPr>
                <w:rFonts w:eastAsiaTheme="minorEastAsia" w:cstheme="minorBidi"/>
                <w:bCs/>
                <w:color w:val="auto"/>
                <w:sz w:val="18"/>
                <w:szCs w:val="18"/>
                <w:lang w:eastAsia="ru-RU"/>
              </w:rPr>
            </w:pPr>
            <w:r w:rsidRPr="00483598">
              <w:rPr>
                <w:rFonts w:eastAsiaTheme="minorEastAsia" w:cstheme="minorBidi"/>
                <w:bCs/>
                <w:color w:val="auto"/>
                <w:sz w:val="18"/>
                <w:szCs w:val="18"/>
                <w:lang w:eastAsia="ru-RU"/>
              </w:rPr>
              <w:t>0,00</w:t>
            </w:r>
          </w:p>
        </w:tc>
        <w:tc>
          <w:tcPr>
            <w:tcW w:w="500" w:type="pct"/>
            <w:tcBorders>
              <w:top w:val="nil"/>
              <w:left w:val="nil"/>
              <w:bottom w:val="single" w:sz="4" w:space="0" w:color="auto"/>
              <w:right w:val="single" w:sz="4" w:space="0" w:color="auto"/>
            </w:tcBorders>
            <w:shd w:val="clear" w:color="000000" w:fill="FFFFFF"/>
            <w:noWrap/>
            <w:vAlign w:val="center"/>
          </w:tcPr>
          <w:p w14:paraId="75AAAFB4" w14:textId="77777777" w:rsidR="00483598" w:rsidRPr="00483598" w:rsidRDefault="00483598" w:rsidP="00483598">
            <w:pPr>
              <w:spacing w:after="0" w:line="240" w:lineRule="auto"/>
              <w:jc w:val="center"/>
              <w:rPr>
                <w:rFonts w:eastAsiaTheme="minorEastAsia" w:cstheme="minorBidi"/>
                <w:bCs/>
                <w:color w:val="auto"/>
                <w:sz w:val="18"/>
                <w:szCs w:val="18"/>
                <w:lang w:eastAsia="ru-RU"/>
              </w:rPr>
            </w:pPr>
            <w:r w:rsidRPr="00483598">
              <w:rPr>
                <w:rFonts w:eastAsiaTheme="minorEastAsia" w:cstheme="minorBidi"/>
                <w:bCs/>
                <w:color w:val="auto"/>
                <w:sz w:val="18"/>
                <w:szCs w:val="18"/>
                <w:lang w:eastAsia="ru-RU"/>
              </w:rPr>
              <w:t>2,499</w:t>
            </w:r>
          </w:p>
        </w:tc>
        <w:tc>
          <w:tcPr>
            <w:tcW w:w="358" w:type="pct"/>
            <w:tcBorders>
              <w:top w:val="single" w:sz="4" w:space="0" w:color="auto"/>
              <w:left w:val="nil"/>
              <w:bottom w:val="single" w:sz="4" w:space="0" w:color="auto"/>
              <w:right w:val="single" w:sz="4" w:space="0" w:color="auto"/>
            </w:tcBorders>
            <w:shd w:val="clear" w:color="000000" w:fill="FFFFFF"/>
            <w:noWrap/>
            <w:vAlign w:val="center"/>
          </w:tcPr>
          <w:p w14:paraId="30237E5C" w14:textId="77777777" w:rsidR="00483598" w:rsidRPr="00483598" w:rsidRDefault="00483598" w:rsidP="00483598">
            <w:pPr>
              <w:spacing w:after="0" w:line="240" w:lineRule="auto"/>
              <w:jc w:val="center"/>
              <w:rPr>
                <w:rFonts w:eastAsiaTheme="minorEastAsia" w:cstheme="minorBidi"/>
                <w:bCs/>
                <w:color w:val="auto"/>
                <w:sz w:val="18"/>
                <w:szCs w:val="18"/>
                <w:lang w:eastAsia="ru-RU"/>
              </w:rPr>
            </w:pPr>
            <w:r w:rsidRPr="00483598">
              <w:rPr>
                <w:rFonts w:eastAsiaTheme="minorEastAsia" w:cstheme="minorBidi"/>
                <w:bCs/>
                <w:color w:val="auto"/>
                <w:sz w:val="18"/>
                <w:szCs w:val="18"/>
                <w:lang w:eastAsia="ru-RU"/>
              </w:rPr>
              <w:t>2,50</w:t>
            </w:r>
          </w:p>
        </w:tc>
        <w:tc>
          <w:tcPr>
            <w:tcW w:w="353" w:type="pct"/>
            <w:tcBorders>
              <w:top w:val="nil"/>
              <w:left w:val="nil"/>
              <w:bottom w:val="single" w:sz="4" w:space="0" w:color="auto"/>
              <w:right w:val="single" w:sz="4" w:space="0" w:color="auto"/>
            </w:tcBorders>
            <w:shd w:val="clear" w:color="auto" w:fill="auto"/>
            <w:noWrap/>
            <w:vAlign w:val="center"/>
          </w:tcPr>
          <w:p w14:paraId="5CB34D89" w14:textId="77777777" w:rsidR="00483598" w:rsidRPr="00483598" w:rsidRDefault="00483598" w:rsidP="00483598">
            <w:pPr>
              <w:spacing w:after="0" w:line="240" w:lineRule="auto"/>
              <w:jc w:val="center"/>
              <w:rPr>
                <w:rFonts w:eastAsiaTheme="minorEastAsia" w:cstheme="minorBidi"/>
                <w:bCs/>
                <w:color w:val="auto"/>
                <w:sz w:val="18"/>
                <w:szCs w:val="18"/>
                <w:lang w:eastAsia="ru-RU"/>
              </w:rPr>
            </w:pPr>
            <w:r w:rsidRPr="00483598">
              <w:rPr>
                <w:rFonts w:eastAsiaTheme="minorEastAsia" w:cstheme="minorBidi"/>
                <w:bCs/>
                <w:color w:val="auto"/>
                <w:sz w:val="18"/>
                <w:szCs w:val="18"/>
                <w:lang w:eastAsia="ru-RU"/>
              </w:rPr>
              <w:t>100%</w:t>
            </w:r>
          </w:p>
        </w:tc>
      </w:tr>
      <w:tr w:rsidR="00483598" w:rsidRPr="00483598" w14:paraId="11992210" w14:textId="77777777" w:rsidTr="00495A09">
        <w:trPr>
          <w:trHeight w:val="300"/>
        </w:trPr>
        <w:tc>
          <w:tcPr>
            <w:tcW w:w="269" w:type="pct"/>
            <w:tcBorders>
              <w:top w:val="nil"/>
              <w:left w:val="single" w:sz="4" w:space="0" w:color="auto"/>
              <w:bottom w:val="single" w:sz="4" w:space="0" w:color="auto"/>
              <w:right w:val="single" w:sz="4" w:space="0" w:color="auto"/>
            </w:tcBorders>
            <w:shd w:val="clear" w:color="auto" w:fill="auto"/>
            <w:noWrap/>
            <w:vAlign w:val="center"/>
            <w:hideMark/>
          </w:tcPr>
          <w:p w14:paraId="09A09DF0" w14:textId="77777777" w:rsidR="00483598" w:rsidRPr="00483598" w:rsidRDefault="00483598" w:rsidP="00483598">
            <w:pPr>
              <w:spacing w:after="0" w:line="240" w:lineRule="auto"/>
              <w:jc w:val="center"/>
              <w:rPr>
                <w:rFonts w:eastAsiaTheme="minorEastAsia" w:cstheme="minorBidi"/>
                <w:bCs/>
                <w:color w:val="auto"/>
                <w:sz w:val="18"/>
                <w:szCs w:val="18"/>
                <w:lang w:eastAsia="ru-RU"/>
              </w:rPr>
            </w:pPr>
            <w:r w:rsidRPr="00483598">
              <w:rPr>
                <w:rFonts w:eastAsiaTheme="minorEastAsia" w:cs="Calibri"/>
                <w:bCs/>
                <w:color w:val="auto"/>
                <w:sz w:val="18"/>
                <w:szCs w:val="18"/>
                <w:lang w:eastAsia="ru-RU"/>
              </w:rPr>
              <w:t>7</w:t>
            </w:r>
          </w:p>
        </w:tc>
        <w:tc>
          <w:tcPr>
            <w:tcW w:w="2508" w:type="pct"/>
            <w:tcBorders>
              <w:top w:val="nil"/>
              <w:left w:val="nil"/>
              <w:bottom w:val="single" w:sz="4" w:space="0" w:color="auto"/>
              <w:right w:val="single" w:sz="4" w:space="0" w:color="auto"/>
            </w:tcBorders>
            <w:shd w:val="clear" w:color="auto" w:fill="auto"/>
          </w:tcPr>
          <w:p w14:paraId="71D7B6E2" w14:textId="77777777" w:rsidR="00483598" w:rsidRPr="00483598" w:rsidRDefault="00483598" w:rsidP="00483598">
            <w:pPr>
              <w:spacing w:after="0" w:line="240" w:lineRule="auto"/>
              <w:rPr>
                <w:rFonts w:eastAsiaTheme="minorEastAsia" w:cstheme="minorBidi"/>
                <w:bCs/>
                <w:color w:val="auto"/>
                <w:sz w:val="18"/>
                <w:szCs w:val="18"/>
                <w:lang w:eastAsia="ru-RU"/>
              </w:rPr>
            </w:pPr>
            <w:r w:rsidRPr="00483598">
              <w:rPr>
                <w:rFonts w:eastAsiaTheme="minorEastAsia" w:cstheme="minorBidi"/>
                <w:bCs/>
                <w:color w:val="auto"/>
                <w:sz w:val="18"/>
                <w:szCs w:val="18"/>
                <w:lang w:eastAsia="ru-RU"/>
              </w:rPr>
              <w:t>Модернизация системы видеонаблюдения на ПС 110/10 кВ "Западная" с установкой видеокамер - 2 шт.</w:t>
            </w:r>
          </w:p>
        </w:tc>
        <w:tc>
          <w:tcPr>
            <w:tcW w:w="573" w:type="pct"/>
            <w:tcBorders>
              <w:top w:val="nil"/>
              <w:left w:val="nil"/>
              <w:bottom w:val="single" w:sz="4" w:space="0" w:color="auto"/>
              <w:right w:val="single" w:sz="4" w:space="0" w:color="auto"/>
            </w:tcBorders>
            <w:shd w:val="clear" w:color="auto" w:fill="auto"/>
            <w:noWrap/>
            <w:vAlign w:val="center"/>
          </w:tcPr>
          <w:p w14:paraId="7B8FECDE" w14:textId="77777777" w:rsidR="00483598" w:rsidRPr="00483598" w:rsidRDefault="00483598" w:rsidP="00483598">
            <w:pPr>
              <w:spacing w:after="0" w:line="240" w:lineRule="auto"/>
              <w:jc w:val="center"/>
              <w:rPr>
                <w:rFonts w:eastAsiaTheme="minorEastAsia" w:cstheme="minorBidi"/>
                <w:bCs/>
                <w:color w:val="auto"/>
                <w:sz w:val="18"/>
                <w:szCs w:val="18"/>
                <w:lang w:eastAsia="ru-RU"/>
              </w:rPr>
            </w:pPr>
            <w:r w:rsidRPr="00483598">
              <w:rPr>
                <w:rFonts w:eastAsiaTheme="minorEastAsia" w:cstheme="minorBidi"/>
                <w:bCs/>
                <w:color w:val="auto"/>
                <w:sz w:val="18"/>
                <w:szCs w:val="18"/>
                <w:lang w:eastAsia="ru-RU"/>
              </w:rPr>
              <w:t>I_24.1_ТЭ</w:t>
            </w:r>
          </w:p>
        </w:tc>
        <w:tc>
          <w:tcPr>
            <w:tcW w:w="439" w:type="pct"/>
            <w:tcBorders>
              <w:top w:val="nil"/>
              <w:left w:val="nil"/>
              <w:bottom w:val="single" w:sz="4" w:space="0" w:color="auto"/>
              <w:right w:val="single" w:sz="4" w:space="0" w:color="auto"/>
            </w:tcBorders>
            <w:shd w:val="clear" w:color="000000" w:fill="FFFFFF"/>
            <w:noWrap/>
            <w:vAlign w:val="center"/>
          </w:tcPr>
          <w:p w14:paraId="5B7EE8B9" w14:textId="77777777" w:rsidR="00483598" w:rsidRPr="00483598" w:rsidRDefault="00483598" w:rsidP="00483598">
            <w:pPr>
              <w:spacing w:after="0" w:line="240" w:lineRule="auto"/>
              <w:jc w:val="center"/>
              <w:rPr>
                <w:rFonts w:eastAsiaTheme="minorEastAsia" w:cstheme="minorBidi"/>
                <w:bCs/>
                <w:color w:val="auto"/>
                <w:sz w:val="18"/>
                <w:szCs w:val="18"/>
                <w:lang w:eastAsia="ru-RU"/>
              </w:rPr>
            </w:pPr>
            <w:r w:rsidRPr="00483598">
              <w:rPr>
                <w:rFonts w:eastAsiaTheme="minorEastAsia" w:cstheme="minorBidi"/>
                <w:bCs/>
                <w:color w:val="auto"/>
                <w:sz w:val="18"/>
                <w:szCs w:val="18"/>
                <w:lang w:eastAsia="ru-RU"/>
              </w:rPr>
              <w:t>0,19</w:t>
            </w:r>
          </w:p>
        </w:tc>
        <w:tc>
          <w:tcPr>
            <w:tcW w:w="500" w:type="pct"/>
            <w:tcBorders>
              <w:top w:val="nil"/>
              <w:left w:val="nil"/>
              <w:bottom w:val="single" w:sz="4" w:space="0" w:color="auto"/>
              <w:right w:val="single" w:sz="4" w:space="0" w:color="auto"/>
            </w:tcBorders>
            <w:shd w:val="clear" w:color="000000" w:fill="FFFFFF"/>
            <w:noWrap/>
            <w:vAlign w:val="center"/>
          </w:tcPr>
          <w:p w14:paraId="2EB2E696" w14:textId="77777777" w:rsidR="00483598" w:rsidRPr="00483598" w:rsidRDefault="00483598" w:rsidP="00483598">
            <w:pPr>
              <w:spacing w:after="0" w:line="240" w:lineRule="auto"/>
              <w:jc w:val="center"/>
              <w:rPr>
                <w:rFonts w:eastAsiaTheme="minorEastAsia" w:cstheme="minorBidi"/>
                <w:bCs/>
                <w:color w:val="auto"/>
                <w:sz w:val="18"/>
                <w:szCs w:val="18"/>
                <w:lang w:eastAsia="ru-RU"/>
              </w:rPr>
            </w:pPr>
            <w:r w:rsidRPr="00483598">
              <w:rPr>
                <w:rFonts w:eastAsiaTheme="minorEastAsia" w:cstheme="minorBidi"/>
                <w:bCs/>
                <w:color w:val="auto"/>
                <w:sz w:val="18"/>
                <w:szCs w:val="18"/>
                <w:lang w:eastAsia="ru-RU"/>
              </w:rPr>
              <w:t>0,208</w:t>
            </w:r>
          </w:p>
        </w:tc>
        <w:tc>
          <w:tcPr>
            <w:tcW w:w="358" w:type="pct"/>
            <w:tcBorders>
              <w:top w:val="single" w:sz="4" w:space="0" w:color="auto"/>
              <w:left w:val="nil"/>
              <w:bottom w:val="single" w:sz="4" w:space="0" w:color="auto"/>
              <w:right w:val="single" w:sz="4" w:space="0" w:color="auto"/>
            </w:tcBorders>
            <w:shd w:val="clear" w:color="000000" w:fill="FFFFFF"/>
            <w:noWrap/>
            <w:vAlign w:val="center"/>
          </w:tcPr>
          <w:p w14:paraId="2044D91E" w14:textId="77777777" w:rsidR="00483598" w:rsidRPr="00483598" w:rsidRDefault="00483598" w:rsidP="00483598">
            <w:pPr>
              <w:spacing w:after="0" w:line="240" w:lineRule="auto"/>
              <w:jc w:val="center"/>
              <w:rPr>
                <w:rFonts w:eastAsiaTheme="minorEastAsia" w:cstheme="minorBidi"/>
                <w:bCs/>
                <w:color w:val="auto"/>
                <w:sz w:val="18"/>
                <w:szCs w:val="18"/>
                <w:lang w:eastAsia="ru-RU"/>
              </w:rPr>
            </w:pPr>
            <w:r w:rsidRPr="00483598">
              <w:rPr>
                <w:rFonts w:eastAsiaTheme="minorEastAsia" w:cstheme="minorBidi"/>
                <w:bCs/>
                <w:color w:val="auto"/>
                <w:sz w:val="18"/>
                <w:szCs w:val="18"/>
                <w:lang w:eastAsia="ru-RU"/>
              </w:rPr>
              <w:t>0,02</w:t>
            </w:r>
          </w:p>
        </w:tc>
        <w:tc>
          <w:tcPr>
            <w:tcW w:w="353" w:type="pct"/>
            <w:tcBorders>
              <w:top w:val="nil"/>
              <w:left w:val="nil"/>
              <w:bottom w:val="single" w:sz="4" w:space="0" w:color="auto"/>
              <w:right w:val="single" w:sz="4" w:space="0" w:color="auto"/>
            </w:tcBorders>
            <w:shd w:val="clear" w:color="auto" w:fill="auto"/>
            <w:noWrap/>
            <w:vAlign w:val="center"/>
          </w:tcPr>
          <w:p w14:paraId="0C4A1876" w14:textId="77777777" w:rsidR="00483598" w:rsidRPr="00483598" w:rsidRDefault="00483598" w:rsidP="00483598">
            <w:pPr>
              <w:spacing w:after="0" w:line="240" w:lineRule="auto"/>
              <w:jc w:val="center"/>
              <w:rPr>
                <w:rFonts w:eastAsiaTheme="minorEastAsia" w:cstheme="minorBidi"/>
                <w:bCs/>
                <w:color w:val="auto"/>
                <w:sz w:val="18"/>
                <w:szCs w:val="18"/>
                <w:lang w:eastAsia="ru-RU"/>
              </w:rPr>
            </w:pPr>
            <w:r w:rsidRPr="00483598">
              <w:rPr>
                <w:rFonts w:eastAsiaTheme="minorEastAsia" w:cstheme="minorBidi"/>
                <w:bCs/>
                <w:color w:val="auto"/>
                <w:sz w:val="18"/>
                <w:szCs w:val="18"/>
                <w:lang w:eastAsia="ru-RU"/>
              </w:rPr>
              <w:t>8%</w:t>
            </w:r>
          </w:p>
        </w:tc>
      </w:tr>
      <w:tr w:rsidR="00483598" w:rsidRPr="00483598" w14:paraId="43BD7C47" w14:textId="77777777" w:rsidTr="00495A09">
        <w:trPr>
          <w:trHeight w:val="300"/>
        </w:trPr>
        <w:tc>
          <w:tcPr>
            <w:tcW w:w="269" w:type="pct"/>
            <w:tcBorders>
              <w:top w:val="nil"/>
              <w:left w:val="single" w:sz="4" w:space="0" w:color="auto"/>
              <w:bottom w:val="single" w:sz="4" w:space="0" w:color="auto"/>
              <w:right w:val="single" w:sz="4" w:space="0" w:color="auto"/>
            </w:tcBorders>
            <w:shd w:val="clear" w:color="auto" w:fill="auto"/>
            <w:noWrap/>
            <w:vAlign w:val="center"/>
            <w:hideMark/>
          </w:tcPr>
          <w:p w14:paraId="3ABC8652" w14:textId="77777777" w:rsidR="00483598" w:rsidRPr="00483598" w:rsidRDefault="00483598" w:rsidP="00483598">
            <w:pPr>
              <w:spacing w:after="0" w:line="240" w:lineRule="auto"/>
              <w:jc w:val="center"/>
              <w:rPr>
                <w:rFonts w:eastAsiaTheme="minorEastAsia" w:cstheme="minorBidi"/>
                <w:bCs/>
                <w:color w:val="auto"/>
                <w:sz w:val="18"/>
                <w:szCs w:val="18"/>
                <w:lang w:eastAsia="ru-RU"/>
              </w:rPr>
            </w:pPr>
            <w:r w:rsidRPr="00483598">
              <w:rPr>
                <w:rFonts w:eastAsiaTheme="minorEastAsia" w:cs="Calibri"/>
                <w:bCs/>
                <w:color w:val="auto"/>
                <w:sz w:val="18"/>
                <w:szCs w:val="18"/>
                <w:lang w:eastAsia="ru-RU"/>
              </w:rPr>
              <w:t>8</w:t>
            </w:r>
          </w:p>
        </w:tc>
        <w:tc>
          <w:tcPr>
            <w:tcW w:w="2508" w:type="pct"/>
            <w:tcBorders>
              <w:top w:val="nil"/>
              <w:left w:val="nil"/>
              <w:bottom w:val="single" w:sz="4" w:space="0" w:color="auto"/>
              <w:right w:val="single" w:sz="4" w:space="0" w:color="auto"/>
            </w:tcBorders>
            <w:shd w:val="clear" w:color="auto" w:fill="auto"/>
          </w:tcPr>
          <w:p w14:paraId="6D79CEB4" w14:textId="77777777" w:rsidR="00483598" w:rsidRPr="00483598" w:rsidRDefault="00483598" w:rsidP="00483598">
            <w:pPr>
              <w:spacing w:after="0" w:line="240" w:lineRule="auto"/>
              <w:rPr>
                <w:rFonts w:eastAsiaTheme="minorEastAsia" w:cstheme="minorBidi"/>
                <w:bCs/>
                <w:color w:val="auto"/>
                <w:sz w:val="18"/>
                <w:szCs w:val="18"/>
                <w:lang w:eastAsia="ru-RU"/>
              </w:rPr>
            </w:pPr>
            <w:r w:rsidRPr="00483598">
              <w:rPr>
                <w:rFonts w:eastAsiaTheme="minorEastAsia" w:cstheme="minorBidi"/>
                <w:bCs/>
                <w:color w:val="auto"/>
                <w:sz w:val="18"/>
                <w:szCs w:val="18"/>
                <w:lang w:eastAsia="ru-RU"/>
              </w:rPr>
              <w:t>Модернизация системы видеонаблюдения на ПС 110/35/10 кВ "Городская" с установкой видеокамер - 2 шт.</w:t>
            </w:r>
          </w:p>
        </w:tc>
        <w:tc>
          <w:tcPr>
            <w:tcW w:w="573" w:type="pct"/>
            <w:tcBorders>
              <w:top w:val="nil"/>
              <w:left w:val="nil"/>
              <w:bottom w:val="single" w:sz="4" w:space="0" w:color="auto"/>
              <w:right w:val="single" w:sz="4" w:space="0" w:color="auto"/>
            </w:tcBorders>
            <w:shd w:val="clear" w:color="auto" w:fill="auto"/>
            <w:noWrap/>
            <w:vAlign w:val="center"/>
          </w:tcPr>
          <w:p w14:paraId="74FBC433" w14:textId="77777777" w:rsidR="00483598" w:rsidRPr="00483598" w:rsidRDefault="00483598" w:rsidP="00483598">
            <w:pPr>
              <w:spacing w:after="0" w:line="240" w:lineRule="auto"/>
              <w:jc w:val="center"/>
              <w:rPr>
                <w:rFonts w:eastAsiaTheme="minorEastAsia" w:cstheme="minorBidi"/>
                <w:bCs/>
                <w:color w:val="auto"/>
                <w:sz w:val="18"/>
                <w:szCs w:val="18"/>
                <w:lang w:eastAsia="ru-RU"/>
              </w:rPr>
            </w:pPr>
            <w:r w:rsidRPr="00483598">
              <w:rPr>
                <w:rFonts w:eastAsiaTheme="minorEastAsia" w:cstheme="minorBidi"/>
                <w:bCs/>
                <w:color w:val="auto"/>
                <w:sz w:val="18"/>
                <w:szCs w:val="18"/>
                <w:lang w:eastAsia="ru-RU"/>
              </w:rPr>
              <w:t>F_24_ТЭ</w:t>
            </w:r>
          </w:p>
        </w:tc>
        <w:tc>
          <w:tcPr>
            <w:tcW w:w="439" w:type="pct"/>
            <w:tcBorders>
              <w:top w:val="nil"/>
              <w:left w:val="nil"/>
              <w:bottom w:val="single" w:sz="4" w:space="0" w:color="auto"/>
              <w:right w:val="single" w:sz="4" w:space="0" w:color="auto"/>
            </w:tcBorders>
            <w:shd w:val="clear" w:color="000000" w:fill="FFFFFF"/>
            <w:noWrap/>
            <w:vAlign w:val="center"/>
          </w:tcPr>
          <w:p w14:paraId="79A2DF9F" w14:textId="77777777" w:rsidR="00483598" w:rsidRPr="00483598" w:rsidRDefault="00483598" w:rsidP="00483598">
            <w:pPr>
              <w:spacing w:after="0" w:line="240" w:lineRule="auto"/>
              <w:jc w:val="center"/>
              <w:rPr>
                <w:rFonts w:eastAsiaTheme="minorEastAsia" w:cstheme="minorBidi"/>
                <w:bCs/>
                <w:color w:val="auto"/>
                <w:sz w:val="18"/>
                <w:szCs w:val="18"/>
                <w:lang w:eastAsia="ru-RU"/>
              </w:rPr>
            </w:pPr>
            <w:r w:rsidRPr="00483598">
              <w:rPr>
                <w:rFonts w:eastAsiaTheme="minorEastAsia" w:cstheme="minorBidi"/>
                <w:bCs/>
                <w:color w:val="auto"/>
                <w:sz w:val="18"/>
                <w:szCs w:val="18"/>
                <w:lang w:eastAsia="ru-RU"/>
              </w:rPr>
              <w:t>0,19</w:t>
            </w:r>
          </w:p>
        </w:tc>
        <w:tc>
          <w:tcPr>
            <w:tcW w:w="500" w:type="pct"/>
            <w:tcBorders>
              <w:top w:val="nil"/>
              <w:left w:val="nil"/>
              <w:bottom w:val="single" w:sz="4" w:space="0" w:color="auto"/>
              <w:right w:val="single" w:sz="4" w:space="0" w:color="auto"/>
            </w:tcBorders>
            <w:shd w:val="clear" w:color="000000" w:fill="FFFFFF"/>
            <w:noWrap/>
            <w:vAlign w:val="center"/>
          </w:tcPr>
          <w:p w14:paraId="7869C3C7" w14:textId="77777777" w:rsidR="00483598" w:rsidRPr="00483598" w:rsidRDefault="00483598" w:rsidP="00483598">
            <w:pPr>
              <w:spacing w:after="0" w:line="240" w:lineRule="auto"/>
              <w:jc w:val="center"/>
              <w:rPr>
                <w:rFonts w:eastAsiaTheme="minorEastAsia" w:cstheme="minorBidi"/>
                <w:bCs/>
                <w:color w:val="auto"/>
                <w:sz w:val="18"/>
                <w:szCs w:val="18"/>
                <w:lang w:eastAsia="ru-RU"/>
              </w:rPr>
            </w:pPr>
            <w:r w:rsidRPr="00483598">
              <w:rPr>
                <w:rFonts w:eastAsiaTheme="minorEastAsia" w:cstheme="minorBidi"/>
                <w:bCs/>
                <w:color w:val="auto"/>
                <w:sz w:val="18"/>
                <w:szCs w:val="18"/>
                <w:lang w:eastAsia="ru-RU"/>
              </w:rPr>
              <w:t>0,208</w:t>
            </w:r>
          </w:p>
        </w:tc>
        <w:tc>
          <w:tcPr>
            <w:tcW w:w="358" w:type="pct"/>
            <w:tcBorders>
              <w:top w:val="single" w:sz="4" w:space="0" w:color="auto"/>
              <w:left w:val="nil"/>
              <w:bottom w:val="single" w:sz="4" w:space="0" w:color="auto"/>
              <w:right w:val="single" w:sz="4" w:space="0" w:color="auto"/>
            </w:tcBorders>
            <w:shd w:val="clear" w:color="000000" w:fill="FFFFFF"/>
            <w:noWrap/>
            <w:vAlign w:val="center"/>
          </w:tcPr>
          <w:p w14:paraId="0C88B497" w14:textId="77777777" w:rsidR="00483598" w:rsidRPr="00483598" w:rsidRDefault="00483598" w:rsidP="00483598">
            <w:pPr>
              <w:spacing w:after="0" w:line="240" w:lineRule="auto"/>
              <w:jc w:val="center"/>
              <w:rPr>
                <w:rFonts w:eastAsiaTheme="minorEastAsia" w:cstheme="minorBidi"/>
                <w:bCs/>
                <w:color w:val="auto"/>
                <w:sz w:val="18"/>
                <w:szCs w:val="18"/>
                <w:lang w:eastAsia="ru-RU"/>
              </w:rPr>
            </w:pPr>
            <w:r w:rsidRPr="00483598">
              <w:rPr>
                <w:rFonts w:eastAsiaTheme="minorEastAsia" w:cstheme="minorBidi"/>
                <w:bCs/>
                <w:color w:val="auto"/>
                <w:sz w:val="18"/>
                <w:szCs w:val="18"/>
                <w:lang w:eastAsia="ru-RU"/>
              </w:rPr>
              <w:t>0,02</w:t>
            </w:r>
          </w:p>
        </w:tc>
        <w:tc>
          <w:tcPr>
            <w:tcW w:w="353" w:type="pct"/>
            <w:tcBorders>
              <w:top w:val="nil"/>
              <w:left w:val="nil"/>
              <w:bottom w:val="single" w:sz="4" w:space="0" w:color="auto"/>
              <w:right w:val="single" w:sz="4" w:space="0" w:color="auto"/>
            </w:tcBorders>
            <w:shd w:val="clear" w:color="auto" w:fill="auto"/>
            <w:noWrap/>
            <w:vAlign w:val="center"/>
          </w:tcPr>
          <w:p w14:paraId="7384ABBE" w14:textId="77777777" w:rsidR="00483598" w:rsidRPr="00483598" w:rsidRDefault="00483598" w:rsidP="00483598">
            <w:pPr>
              <w:spacing w:after="0" w:line="240" w:lineRule="auto"/>
              <w:jc w:val="center"/>
              <w:rPr>
                <w:rFonts w:eastAsiaTheme="minorEastAsia" w:cstheme="minorBidi"/>
                <w:bCs/>
                <w:color w:val="auto"/>
                <w:sz w:val="18"/>
                <w:szCs w:val="18"/>
                <w:lang w:eastAsia="ru-RU"/>
              </w:rPr>
            </w:pPr>
            <w:r w:rsidRPr="00483598">
              <w:rPr>
                <w:rFonts w:eastAsiaTheme="minorEastAsia" w:cstheme="minorBidi"/>
                <w:bCs/>
                <w:color w:val="auto"/>
                <w:sz w:val="18"/>
                <w:szCs w:val="18"/>
                <w:lang w:eastAsia="ru-RU"/>
              </w:rPr>
              <w:t>8%</w:t>
            </w:r>
          </w:p>
        </w:tc>
      </w:tr>
      <w:tr w:rsidR="00483598" w:rsidRPr="00483598" w14:paraId="09A6F829" w14:textId="77777777" w:rsidTr="00495A09">
        <w:trPr>
          <w:trHeight w:val="300"/>
        </w:trPr>
        <w:tc>
          <w:tcPr>
            <w:tcW w:w="269" w:type="pct"/>
            <w:tcBorders>
              <w:top w:val="nil"/>
              <w:left w:val="single" w:sz="4" w:space="0" w:color="auto"/>
              <w:bottom w:val="single" w:sz="4" w:space="0" w:color="auto"/>
              <w:right w:val="single" w:sz="4" w:space="0" w:color="auto"/>
            </w:tcBorders>
            <w:shd w:val="clear" w:color="auto" w:fill="auto"/>
            <w:noWrap/>
            <w:vAlign w:val="center"/>
            <w:hideMark/>
          </w:tcPr>
          <w:p w14:paraId="57558B21" w14:textId="77777777" w:rsidR="00483598" w:rsidRPr="00483598" w:rsidRDefault="00483598" w:rsidP="00483598">
            <w:pPr>
              <w:spacing w:after="0" w:line="240" w:lineRule="auto"/>
              <w:jc w:val="center"/>
              <w:rPr>
                <w:rFonts w:eastAsiaTheme="minorEastAsia" w:cstheme="minorBidi"/>
                <w:bCs/>
                <w:color w:val="auto"/>
                <w:sz w:val="18"/>
                <w:szCs w:val="18"/>
                <w:lang w:eastAsia="ru-RU"/>
              </w:rPr>
            </w:pPr>
            <w:r w:rsidRPr="00483598">
              <w:rPr>
                <w:rFonts w:eastAsiaTheme="minorEastAsia" w:cs="Calibri"/>
                <w:bCs/>
                <w:color w:val="auto"/>
                <w:sz w:val="18"/>
                <w:szCs w:val="18"/>
                <w:lang w:eastAsia="ru-RU"/>
              </w:rPr>
              <w:t>9</w:t>
            </w:r>
          </w:p>
        </w:tc>
        <w:tc>
          <w:tcPr>
            <w:tcW w:w="2508" w:type="pct"/>
            <w:tcBorders>
              <w:top w:val="nil"/>
              <w:left w:val="nil"/>
              <w:bottom w:val="single" w:sz="4" w:space="0" w:color="auto"/>
              <w:right w:val="single" w:sz="4" w:space="0" w:color="auto"/>
            </w:tcBorders>
            <w:shd w:val="clear" w:color="auto" w:fill="auto"/>
          </w:tcPr>
          <w:p w14:paraId="07C75AF1" w14:textId="77777777" w:rsidR="00483598" w:rsidRPr="00483598" w:rsidRDefault="00483598" w:rsidP="00483598">
            <w:pPr>
              <w:spacing w:after="0" w:line="240" w:lineRule="auto"/>
              <w:rPr>
                <w:rFonts w:eastAsiaTheme="minorEastAsia" w:cstheme="minorBidi"/>
                <w:bCs/>
                <w:color w:val="auto"/>
                <w:sz w:val="18"/>
                <w:szCs w:val="18"/>
                <w:lang w:eastAsia="ru-RU"/>
              </w:rPr>
            </w:pPr>
            <w:r w:rsidRPr="00483598">
              <w:rPr>
                <w:rFonts w:eastAsiaTheme="minorEastAsia" w:cstheme="minorBidi"/>
                <w:bCs/>
                <w:color w:val="auto"/>
                <w:sz w:val="18"/>
                <w:szCs w:val="18"/>
                <w:lang w:eastAsia="ru-RU"/>
              </w:rPr>
              <w:t>Покупка дизельных генераторов, электрических двигателей, в количестве 12 ед.</w:t>
            </w:r>
          </w:p>
        </w:tc>
        <w:tc>
          <w:tcPr>
            <w:tcW w:w="573" w:type="pct"/>
            <w:tcBorders>
              <w:top w:val="nil"/>
              <w:left w:val="nil"/>
              <w:bottom w:val="single" w:sz="4" w:space="0" w:color="auto"/>
              <w:right w:val="single" w:sz="4" w:space="0" w:color="auto"/>
            </w:tcBorders>
            <w:shd w:val="clear" w:color="auto" w:fill="auto"/>
            <w:noWrap/>
            <w:vAlign w:val="center"/>
          </w:tcPr>
          <w:p w14:paraId="05F87CE3" w14:textId="77777777" w:rsidR="00483598" w:rsidRPr="00483598" w:rsidRDefault="00483598" w:rsidP="00483598">
            <w:pPr>
              <w:spacing w:after="0" w:line="240" w:lineRule="auto"/>
              <w:jc w:val="center"/>
              <w:rPr>
                <w:rFonts w:eastAsiaTheme="minorEastAsia" w:cstheme="minorBidi"/>
                <w:bCs/>
                <w:color w:val="auto"/>
                <w:sz w:val="18"/>
                <w:szCs w:val="18"/>
                <w:lang w:eastAsia="ru-RU"/>
              </w:rPr>
            </w:pPr>
            <w:r w:rsidRPr="00483598">
              <w:rPr>
                <w:rFonts w:eastAsiaTheme="minorEastAsia" w:cstheme="minorBidi"/>
                <w:bCs/>
                <w:color w:val="auto"/>
                <w:sz w:val="18"/>
                <w:szCs w:val="18"/>
                <w:lang w:eastAsia="ru-RU"/>
              </w:rPr>
              <w:t>F_35_ТЭ</w:t>
            </w:r>
          </w:p>
        </w:tc>
        <w:tc>
          <w:tcPr>
            <w:tcW w:w="439" w:type="pct"/>
            <w:tcBorders>
              <w:top w:val="nil"/>
              <w:left w:val="nil"/>
              <w:bottom w:val="single" w:sz="4" w:space="0" w:color="auto"/>
              <w:right w:val="single" w:sz="4" w:space="0" w:color="auto"/>
            </w:tcBorders>
            <w:shd w:val="clear" w:color="000000" w:fill="FFFFFF"/>
            <w:noWrap/>
            <w:vAlign w:val="center"/>
          </w:tcPr>
          <w:p w14:paraId="28DBBFD2" w14:textId="77777777" w:rsidR="00483598" w:rsidRPr="00483598" w:rsidRDefault="00483598" w:rsidP="00483598">
            <w:pPr>
              <w:spacing w:after="0" w:line="240" w:lineRule="auto"/>
              <w:jc w:val="center"/>
              <w:rPr>
                <w:rFonts w:eastAsiaTheme="minorEastAsia" w:cstheme="minorBidi"/>
                <w:bCs/>
                <w:color w:val="auto"/>
                <w:sz w:val="18"/>
                <w:szCs w:val="18"/>
                <w:lang w:eastAsia="ru-RU"/>
              </w:rPr>
            </w:pPr>
            <w:r w:rsidRPr="00483598">
              <w:rPr>
                <w:rFonts w:eastAsiaTheme="minorEastAsia" w:cstheme="minorBidi"/>
                <w:bCs/>
                <w:color w:val="auto"/>
                <w:sz w:val="18"/>
                <w:szCs w:val="18"/>
                <w:lang w:eastAsia="ru-RU"/>
              </w:rPr>
              <w:t>1,57</w:t>
            </w:r>
          </w:p>
        </w:tc>
        <w:tc>
          <w:tcPr>
            <w:tcW w:w="500" w:type="pct"/>
            <w:tcBorders>
              <w:top w:val="nil"/>
              <w:left w:val="nil"/>
              <w:bottom w:val="single" w:sz="4" w:space="0" w:color="auto"/>
              <w:right w:val="single" w:sz="4" w:space="0" w:color="auto"/>
            </w:tcBorders>
            <w:shd w:val="clear" w:color="000000" w:fill="FFFFFF"/>
            <w:noWrap/>
            <w:vAlign w:val="center"/>
          </w:tcPr>
          <w:p w14:paraId="115AAD57" w14:textId="77777777" w:rsidR="00483598" w:rsidRPr="00483598" w:rsidRDefault="00483598" w:rsidP="00483598">
            <w:pPr>
              <w:spacing w:after="0" w:line="240" w:lineRule="auto"/>
              <w:jc w:val="center"/>
              <w:rPr>
                <w:rFonts w:eastAsiaTheme="minorEastAsia" w:cstheme="minorBidi"/>
                <w:bCs/>
                <w:color w:val="auto"/>
                <w:sz w:val="18"/>
                <w:szCs w:val="18"/>
                <w:lang w:eastAsia="ru-RU"/>
              </w:rPr>
            </w:pPr>
            <w:r w:rsidRPr="00483598">
              <w:rPr>
                <w:rFonts w:eastAsiaTheme="minorEastAsia" w:cstheme="minorBidi"/>
                <w:bCs/>
                <w:color w:val="auto"/>
                <w:sz w:val="18"/>
                <w:szCs w:val="18"/>
                <w:lang w:eastAsia="ru-RU"/>
              </w:rPr>
              <w:t>1,621</w:t>
            </w:r>
          </w:p>
        </w:tc>
        <w:tc>
          <w:tcPr>
            <w:tcW w:w="358" w:type="pct"/>
            <w:tcBorders>
              <w:top w:val="single" w:sz="4" w:space="0" w:color="auto"/>
              <w:left w:val="nil"/>
              <w:bottom w:val="single" w:sz="4" w:space="0" w:color="auto"/>
              <w:right w:val="single" w:sz="4" w:space="0" w:color="auto"/>
            </w:tcBorders>
            <w:shd w:val="clear" w:color="000000" w:fill="FFFFFF"/>
            <w:noWrap/>
            <w:vAlign w:val="center"/>
          </w:tcPr>
          <w:p w14:paraId="5EB8921C" w14:textId="77777777" w:rsidR="00483598" w:rsidRPr="00483598" w:rsidRDefault="00483598" w:rsidP="00483598">
            <w:pPr>
              <w:spacing w:after="0" w:line="240" w:lineRule="auto"/>
              <w:jc w:val="center"/>
              <w:rPr>
                <w:rFonts w:eastAsiaTheme="minorEastAsia" w:cstheme="minorBidi"/>
                <w:bCs/>
                <w:color w:val="auto"/>
                <w:sz w:val="18"/>
                <w:szCs w:val="18"/>
                <w:lang w:eastAsia="ru-RU"/>
              </w:rPr>
            </w:pPr>
            <w:r w:rsidRPr="00483598">
              <w:rPr>
                <w:rFonts w:eastAsiaTheme="minorEastAsia" w:cstheme="minorBidi"/>
                <w:bCs/>
                <w:color w:val="auto"/>
                <w:sz w:val="18"/>
                <w:szCs w:val="18"/>
                <w:lang w:eastAsia="ru-RU"/>
              </w:rPr>
              <w:t>0,05</w:t>
            </w:r>
          </w:p>
        </w:tc>
        <w:tc>
          <w:tcPr>
            <w:tcW w:w="353" w:type="pct"/>
            <w:tcBorders>
              <w:top w:val="nil"/>
              <w:left w:val="nil"/>
              <w:bottom w:val="single" w:sz="4" w:space="0" w:color="auto"/>
              <w:right w:val="single" w:sz="4" w:space="0" w:color="auto"/>
            </w:tcBorders>
            <w:shd w:val="clear" w:color="auto" w:fill="auto"/>
            <w:noWrap/>
            <w:vAlign w:val="center"/>
          </w:tcPr>
          <w:p w14:paraId="69CA1C27" w14:textId="77777777" w:rsidR="00483598" w:rsidRPr="00483598" w:rsidRDefault="00483598" w:rsidP="00483598">
            <w:pPr>
              <w:spacing w:after="0" w:line="240" w:lineRule="auto"/>
              <w:jc w:val="center"/>
              <w:rPr>
                <w:rFonts w:eastAsiaTheme="minorEastAsia" w:cstheme="minorBidi"/>
                <w:bCs/>
                <w:color w:val="auto"/>
                <w:sz w:val="18"/>
                <w:szCs w:val="18"/>
                <w:lang w:eastAsia="ru-RU"/>
              </w:rPr>
            </w:pPr>
            <w:r w:rsidRPr="00483598">
              <w:rPr>
                <w:rFonts w:eastAsiaTheme="minorEastAsia" w:cstheme="minorBidi"/>
                <w:bCs/>
                <w:color w:val="auto"/>
                <w:sz w:val="18"/>
                <w:szCs w:val="18"/>
                <w:lang w:eastAsia="ru-RU"/>
              </w:rPr>
              <w:t>3%</w:t>
            </w:r>
          </w:p>
        </w:tc>
      </w:tr>
      <w:tr w:rsidR="00483598" w:rsidRPr="00483598" w14:paraId="6EAB1AF0" w14:textId="77777777" w:rsidTr="00F94FED">
        <w:trPr>
          <w:trHeight w:val="300"/>
        </w:trPr>
        <w:tc>
          <w:tcPr>
            <w:tcW w:w="269" w:type="pct"/>
            <w:tcBorders>
              <w:top w:val="single" w:sz="4" w:space="0" w:color="auto"/>
              <w:left w:val="single" w:sz="4" w:space="0" w:color="auto"/>
              <w:bottom w:val="single" w:sz="4" w:space="0" w:color="auto"/>
              <w:right w:val="single" w:sz="4" w:space="0" w:color="auto"/>
            </w:tcBorders>
            <w:shd w:val="clear" w:color="auto" w:fill="D6E3BC" w:themeFill="accent3" w:themeFillTint="66"/>
            <w:noWrap/>
            <w:vAlign w:val="center"/>
          </w:tcPr>
          <w:p w14:paraId="658AF743" w14:textId="77777777" w:rsidR="00483598" w:rsidRPr="00483598" w:rsidRDefault="00483598" w:rsidP="00483598">
            <w:pPr>
              <w:spacing w:after="0" w:line="240" w:lineRule="auto"/>
              <w:jc w:val="center"/>
              <w:rPr>
                <w:rFonts w:eastAsiaTheme="minorEastAsia" w:cs="Calibri"/>
                <w:bCs/>
                <w:color w:val="auto"/>
                <w:sz w:val="18"/>
                <w:szCs w:val="18"/>
                <w:lang w:eastAsia="ru-RU"/>
              </w:rPr>
            </w:pPr>
          </w:p>
        </w:tc>
        <w:tc>
          <w:tcPr>
            <w:tcW w:w="2508" w:type="pct"/>
            <w:tcBorders>
              <w:top w:val="single" w:sz="4" w:space="0" w:color="auto"/>
              <w:left w:val="nil"/>
              <w:bottom w:val="single" w:sz="4" w:space="0" w:color="auto"/>
              <w:right w:val="single" w:sz="4" w:space="0" w:color="auto"/>
            </w:tcBorders>
            <w:shd w:val="clear" w:color="auto" w:fill="D6E3BC" w:themeFill="accent3" w:themeFillTint="66"/>
            <w:vAlign w:val="center"/>
          </w:tcPr>
          <w:p w14:paraId="1F3CB24A" w14:textId="77777777" w:rsidR="00483598" w:rsidRPr="00483598" w:rsidRDefault="00483598" w:rsidP="00483598">
            <w:pPr>
              <w:spacing w:after="0" w:line="240" w:lineRule="auto"/>
              <w:rPr>
                <w:rFonts w:eastAsiaTheme="minorEastAsia" w:cs="Calibri"/>
                <w:bCs/>
                <w:color w:val="auto"/>
                <w:sz w:val="18"/>
                <w:szCs w:val="18"/>
                <w:lang w:eastAsia="ru-RU"/>
              </w:rPr>
            </w:pPr>
            <w:r w:rsidRPr="00483598">
              <w:rPr>
                <w:rFonts w:eastAsiaTheme="minorEastAsia" w:cstheme="minorBidi"/>
                <w:b/>
                <w:color w:val="auto"/>
                <w:sz w:val="18"/>
                <w:szCs w:val="18"/>
                <w:lang w:eastAsia="ru-RU"/>
              </w:rPr>
              <w:t>Всего по инвестиционным проектам</w:t>
            </w:r>
          </w:p>
        </w:tc>
        <w:tc>
          <w:tcPr>
            <w:tcW w:w="573" w:type="pct"/>
            <w:tcBorders>
              <w:top w:val="single" w:sz="4" w:space="0" w:color="auto"/>
              <w:left w:val="nil"/>
              <w:bottom w:val="single" w:sz="4" w:space="0" w:color="auto"/>
              <w:right w:val="single" w:sz="4" w:space="0" w:color="auto"/>
            </w:tcBorders>
            <w:shd w:val="clear" w:color="auto" w:fill="D6E3BC" w:themeFill="accent3" w:themeFillTint="66"/>
            <w:noWrap/>
            <w:vAlign w:val="center"/>
          </w:tcPr>
          <w:p w14:paraId="76907867" w14:textId="77777777" w:rsidR="00483598" w:rsidRPr="00483598" w:rsidRDefault="00483598" w:rsidP="00483598">
            <w:pPr>
              <w:spacing w:after="0" w:line="240" w:lineRule="auto"/>
              <w:jc w:val="center"/>
              <w:rPr>
                <w:rFonts w:eastAsiaTheme="minorEastAsia" w:cs="Calibri"/>
                <w:b/>
                <w:color w:val="000000"/>
                <w:sz w:val="18"/>
                <w:szCs w:val="18"/>
                <w:lang w:eastAsia="ru-RU"/>
              </w:rPr>
            </w:pPr>
          </w:p>
        </w:tc>
        <w:tc>
          <w:tcPr>
            <w:tcW w:w="439" w:type="pct"/>
            <w:tcBorders>
              <w:top w:val="single" w:sz="4" w:space="0" w:color="auto"/>
              <w:left w:val="nil"/>
              <w:bottom w:val="single" w:sz="4" w:space="0" w:color="auto"/>
              <w:right w:val="single" w:sz="4" w:space="0" w:color="auto"/>
            </w:tcBorders>
            <w:shd w:val="clear" w:color="auto" w:fill="D6E3BC" w:themeFill="accent3" w:themeFillTint="66"/>
            <w:noWrap/>
          </w:tcPr>
          <w:p w14:paraId="1F67F81D" w14:textId="77777777" w:rsidR="00483598" w:rsidRPr="00483598" w:rsidRDefault="00483598" w:rsidP="00483598">
            <w:pPr>
              <w:spacing w:after="0" w:line="240" w:lineRule="auto"/>
              <w:jc w:val="center"/>
              <w:rPr>
                <w:rFonts w:eastAsiaTheme="minorEastAsia" w:cstheme="minorBidi"/>
                <w:b/>
                <w:color w:val="auto"/>
                <w:sz w:val="18"/>
                <w:szCs w:val="18"/>
                <w:lang w:eastAsia="ru-RU"/>
              </w:rPr>
            </w:pPr>
            <w:r w:rsidRPr="00483598">
              <w:rPr>
                <w:rFonts w:eastAsiaTheme="minorEastAsia" w:cstheme="minorBidi"/>
                <w:b/>
                <w:color w:val="auto"/>
                <w:sz w:val="18"/>
                <w:szCs w:val="18"/>
                <w:lang w:eastAsia="ru-RU"/>
              </w:rPr>
              <w:t>32,32</w:t>
            </w:r>
          </w:p>
        </w:tc>
        <w:tc>
          <w:tcPr>
            <w:tcW w:w="500" w:type="pct"/>
            <w:tcBorders>
              <w:top w:val="single" w:sz="4" w:space="0" w:color="auto"/>
              <w:left w:val="nil"/>
              <w:bottom w:val="single" w:sz="4" w:space="0" w:color="auto"/>
              <w:right w:val="single" w:sz="4" w:space="0" w:color="auto"/>
            </w:tcBorders>
            <w:shd w:val="clear" w:color="auto" w:fill="D6E3BC" w:themeFill="accent3" w:themeFillTint="66"/>
            <w:noWrap/>
          </w:tcPr>
          <w:p w14:paraId="72A62B34" w14:textId="77777777" w:rsidR="00483598" w:rsidRPr="00483598" w:rsidRDefault="00483598" w:rsidP="00483598">
            <w:pPr>
              <w:spacing w:after="0" w:line="240" w:lineRule="auto"/>
              <w:jc w:val="center"/>
              <w:rPr>
                <w:rFonts w:eastAsiaTheme="minorEastAsia" w:cstheme="minorBidi"/>
                <w:b/>
                <w:color w:val="auto"/>
                <w:sz w:val="18"/>
                <w:szCs w:val="18"/>
                <w:lang w:eastAsia="ru-RU"/>
              </w:rPr>
            </w:pPr>
            <w:r w:rsidRPr="00483598">
              <w:rPr>
                <w:rFonts w:eastAsiaTheme="minorEastAsia" w:cstheme="minorBidi"/>
                <w:b/>
                <w:color w:val="auto"/>
                <w:sz w:val="18"/>
                <w:szCs w:val="18"/>
                <w:lang w:eastAsia="ru-RU"/>
              </w:rPr>
              <w:t>66,08</w:t>
            </w:r>
          </w:p>
        </w:tc>
        <w:tc>
          <w:tcPr>
            <w:tcW w:w="358" w:type="pct"/>
            <w:tcBorders>
              <w:top w:val="single" w:sz="4" w:space="0" w:color="auto"/>
              <w:left w:val="nil"/>
              <w:bottom w:val="single" w:sz="4" w:space="0" w:color="auto"/>
              <w:right w:val="single" w:sz="4" w:space="0" w:color="auto"/>
            </w:tcBorders>
            <w:shd w:val="clear" w:color="auto" w:fill="D6E3BC" w:themeFill="accent3" w:themeFillTint="66"/>
            <w:noWrap/>
          </w:tcPr>
          <w:p w14:paraId="6BD44C58" w14:textId="77777777" w:rsidR="00483598" w:rsidRPr="00483598" w:rsidRDefault="00483598" w:rsidP="00483598">
            <w:pPr>
              <w:spacing w:after="0" w:line="240" w:lineRule="auto"/>
              <w:jc w:val="center"/>
              <w:rPr>
                <w:rFonts w:eastAsiaTheme="minorEastAsia" w:cstheme="minorBidi"/>
                <w:b/>
                <w:color w:val="auto"/>
                <w:sz w:val="18"/>
                <w:szCs w:val="18"/>
                <w:lang w:eastAsia="ru-RU"/>
              </w:rPr>
            </w:pPr>
            <w:r w:rsidRPr="00483598">
              <w:rPr>
                <w:rFonts w:eastAsiaTheme="minorEastAsia" w:cstheme="minorBidi"/>
                <w:b/>
                <w:color w:val="auto"/>
                <w:sz w:val="18"/>
                <w:szCs w:val="18"/>
                <w:lang w:eastAsia="ru-RU"/>
              </w:rPr>
              <w:t>33,76</w:t>
            </w:r>
          </w:p>
        </w:tc>
        <w:tc>
          <w:tcPr>
            <w:tcW w:w="353" w:type="pct"/>
            <w:tcBorders>
              <w:top w:val="single" w:sz="4" w:space="0" w:color="auto"/>
              <w:left w:val="nil"/>
              <w:bottom w:val="single" w:sz="4" w:space="0" w:color="auto"/>
              <w:right w:val="single" w:sz="4" w:space="0" w:color="auto"/>
            </w:tcBorders>
            <w:shd w:val="clear" w:color="auto" w:fill="D6E3BC" w:themeFill="accent3" w:themeFillTint="66"/>
            <w:noWrap/>
          </w:tcPr>
          <w:p w14:paraId="4A81BFE2" w14:textId="77777777" w:rsidR="00483598" w:rsidRPr="00483598" w:rsidRDefault="00483598" w:rsidP="00483598">
            <w:pPr>
              <w:spacing w:after="0" w:line="240" w:lineRule="auto"/>
              <w:jc w:val="center"/>
              <w:rPr>
                <w:rFonts w:eastAsiaTheme="minorEastAsia" w:cstheme="minorBidi"/>
                <w:b/>
                <w:color w:val="auto"/>
                <w:sz w:val="18"/>
                <w:szCs w:val="18"/>
                <w:lang w:eastAsia="ru-RU"/>
              </w:rPr>
            </w:pPr>
            <w:r w:rsidRPr="00483598">
              <w:rPr>
                <w:rFonts w:eastAsiaTheme="minorEastAsia" w:cstheme="minorBidi"/>
                <w:b/>
                <w:color w:val="auto"/>
                <w:sz w:val="18"/>
                <w:szCs w:val="18"/>
                <w:lang w:eastAsia="ru-RU"/>
              </w:rPr>
              <w:t>104%</w:t>
            </w:r>
          </w:p>
        </w:tc>
      </w:tr>
    </w:tbl>
    <w:p w14:paraId="35356139" w14:textId="77777777" w:rsidR="00483598" w:rsidRPr="00483598" w:rsidRDefault="00483598" w:rsidP="00483598">
      <w:pPr>
        <w:autoSpaceDE w:val="0"/>
        <w:autoSpaceDN w:val="0"/>
        <w:adjustRightInd w:val="0"/>
        <w:spacing w:after="0" w:line="360" w:lineRule="auto"/>
        <w:ind w:firstLine="567"/>
        <w:jc w:val="both"/>
        <w:rPr>
          <w:rFonts w:eastAsiaTheme="minorEastAsia" w:cstheme="minorBidi"/>
          <w:bCs/>
          <w:color w:val="auto"/>
          <w:sz w:val="26"/>
          <w:szCs w:val="26"/>
          <w:lang w:eastAsia="ru-RU"/>
        </w:rPr>
      </w:pPr>
    </w:p>
    <w:p w14:paraId="5BDFA13F" w14:textId="77777777" w:rsidR="00483598" w:rsidRPr="00483598" w:rsidRDefault="00483598" w:rsidP="00483598">
      <w:pPr>
        <w:autoSpaceDE w:val="0"/>
        <w:autoSpaceDN w:val="0"/>
        <w:adjustRightInd w:val="0"/>
        <w:spacing w:after="0" w:line="360" w:lineRule="auto"/>
        <w:ind w:firstLine="567"/>
        <w:jc w:val="both"/>
        <w:rPr>
          <w:rFonts w:eastAsiaTheme="minorEastAsia" w:cstheme="minorBidi"/>
          <w:bCs/>
          <w:color w:val="auto"/>
          <w:sz w:val="26"/>
          <w:szCs w:val="26"/>
          <w:lang w:eastAsia="ru-RU"/>
        </w:rPr>
      </w:pPr>
      <w:r w:rsidRPr="00483598">
        <w:rPr>
          <w:rFonts w:eastAsiaTheme="minorEastAsia" w:cstheme="minorBidi"/>
          <w:bCs/>
          <w:color w:val="auto"/>
          <w:sz w:val="26"/>
          <w:szCs w:val="26"/>
          <w:lang w:eastAsia="ru-RU"/>
        </w:rPr>
        <w:t xml:space="preserve">В рамках анализа фактического использования собственных тарифных источников, предполагаемых для финансирования инвестиционных проектов выявлено, что часть мероприятий инвестиционной программы профинансированы в 2019 году при отсутствии таковых в утвержденном плане финансирования. Данное отклонение в использовании средств, полученных от оказания услуг по регулируемым государством ценам (тарифам) составило 3 720 тыс. руб. без НДС, </w:t>
      </w:r>
      <w:proofErr w:type="spellStart"/>
      <w:r w:rsidRPr="00483598">
        <w:rPr>
          <w:rFonts w:eastAsiaTheme="minorEastAsia" w:cstheme="minorBidi"/>
          <w:bCs/>
          <w:color w:val="auto"/>
          <w:sz w:val="26"/>
          <w:szCs w:val="26"/>
          <w:lang w:eastAsia="ru-RU"/>
        </w:rPr>
        <w:t>пообъектный</w:t>
      </w:r>
      <w:proofErr w:type="spellEnd"/>
      <w:r w:rsidRPr="00483598">
        <w:rPr>
          <w:rFonts w:eastAsiaTheme="minorEastAsia" w:cstheme="minorBidi"/>
          <w:bCs/>
          <w:color w:val="auto"/>
          <w:sz w:val="26"/>
          <w:szCs w:val="26"/>
          <w:lang w:eastAsia="ru-RU"/>
        </w:rPr>
        <w:t xml:space="preserve"> анализ приведен в таблице:</w:t>
      </w:r>
    </w:p>
    <w:tbl>
      <w:tblPr>
        <w:tblW w:w="92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5103"/>
        <w:gridCol w:w="1598"/>
        <w:gridCol w:w="1598"/>
      </w:tblGrid>
      <w:tr w:rsidR="00483598" w:rsidRPr="00483598" w14:paraId="5D9647FD" w14:textId="77777777" w:rsidTr="00C85CF9">
        <w:trPr>
          <w:trHeight w:val="960"/>
          <w:tblHeader/>
          <w:jc w:val="center"/>
        </w:trPr>
        <w:tc>
          <w:tcPr>
            <w:tcW w:w="98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D39CA0D" w14:textId="77777777" w:rsidR="00483598" w:rsidRPr="00483598" w:rsidRDefault="00483598" w:rsidP="00483598">
            <w:pPr>
              <w:spacing w:after="0" w:line="240" w:lineRule="auto"/>
              <w:jc w:val="center"/>
              <w:rPr>
                <w:rFonts w:eastAsiaTheme="minorEastAsia" w:cs="Calibri"/>
                <w:b/>
                <w:color w:val="FFFFFF" w:themeColor="background1"/>
                <w:sz w:val="16"/>
                <w:szCs w:val="16"/>
                <w:lang w:eastAsia="ru-RU"/>
              </w:rPr>
            </w:pPr>
            <w:r w:rsidRPr="00483598">
              <w:rPr>
                <w:rFonts w:eastAsiaTheme="minorEastAsia" w:cs="Calibri"/>
                <w:b/>
                <w:color w:val="FFFFFF" w:themeColor="background1"/>
                <w:sz w:val="16"/>
                <w:szCs w:val="16"/>
                <w:lang w:eastAsia="ru-RU"/>
              </w:rPr>
              <w:t>№ п/п</w:t>
            </w:r>
          </w:p>
        </w:tc>
        <w:tc>
          <w:tcPr>
            <w:tcW w:w="510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D09183C" w14:textId="77777777" w:rsidR="00483598" w:rsidRPr="00483598" w:rsidRDefault="00483598" w:rsidP="00483598">
            <w:pPr>
              <w:spacing w:after="0" w:line="240" w:lineRule="auto"/>
              <w:jc w:val="center"/>
              <w:rPr>
                <w:rFonts w:eastAsiaTheme="minorEastAsia" w:cs="Calibri"/>
                <w:b/>
                <w:color w:val="FFFFFF" w:themeColor="background1"/>
                <w:sz w:val="16"/>
                <w:szCs w:val="16"/>
                <w:lang w:eastAsia="ru-RU"/>
              </w:rPr>
            </w:pPr>
            <w:r w:rsidRPr="00483598">
              <w:rPr>
                <w:rFonts w:eastAsiaTheme="minorEastAsia" w:cs="Calibri"/>
                <w:b/>
                <w:color w:val="FFFFFF" w:themeColor="background1"/>
                <w:sz w:val="16"/>
                <w:szCs w:val="16"/>
                <w:lang w:eastAsia="ru-RU"/>
              </w:rPr>
              <w:t>Наименование инвестиционного проекта</w:t>
            </w:r>
          </w:p>
        </w:tc>
        <w:tc>
          <w:tcPr>
            <w:tcW w:w="15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0F38287" w14:textId="77777777" w:rsidR="00483598" w:rsidRPr="00483598" w:rsidRDefault="00483598" w:rsidP="00483598">
            <w:pPr>
              <w:spacing w:after="0" w:line="240" w:lineRule="auto"/>
              <w:jc w:val="center"/>
              <w:rPr>
                <w:rFonts w:eastAsiaTheme="minorEastAsia" w:cs="Calibri"/>
                <w:b/>
                <w:color w:val="FFFFFF" w:themeColor="background1"/>
                <w:sz w:val="16"/>
                <w:szCs w:val="16"/>
                <w:lang w:eastAsia="ru-RU"/>
              </w:rPr>
            </w:pPr>
            <w:r w:rsidRPr="00483598">
              <w:rPr>
                <w:rFonts w:eastAsiaTheme="minorEastAsia" w:cs="Calibri"/>
                <w:b/>
                <w:color w:val="FFFFFF" w:themeColor="background1"/>
                <w:sz w:val="16"/>
                <w:szCs w:val="16"/>
                <w:lang w:eastAsia="ru-RU"/>
              </w:rPr>
              <w:t>Идентификатор инвестиционного проекта</w:t>
            </w:r>
          </w:p>
        </w:tc>
        <w:tc>
          <w:tcPr>
            <w:tcW w:w="15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8E32885" w14:textId="3E3D24B6" w:rsidR="00483598" w:rsidRPr="00483598" w:rsidRDefault="00483598" w:rsidP="00483598">
            <w:pPr>
              <w:spacing w:after="0" w:line="240" w:lineRule="auto"/>
              <w:jc w:val="center"/>
              <w:rPr>
                <w:rFonts w:eastAsiaTheme="minorEastAsia" w:cs="Calibri"/>
                <w:b/>
                <w:color w:val="FFFFFF" w:themeColor="background1"/>
                <w:sz w:val="16"/>
                <w:szCs w:val="16"/>
                <w:lang w:eastAsia="ru-RU"/>
              </w:rPr>
            </w:pPr>
            <w:r w:rsidRPr="00483598">
              <w:rPr>
                <w:rFonts w:eastAsiaTheme="minorEastAsia" w:cs="Calibri"/>
                <w:b/>
                <w:color w:val="FFFFFF" w:themeColor="background1"/>
                <w:sz w:val="16"/>
                <w:szCs w:val="16"/>
                <w:lang w:eastAsia="ru-RU"/>
              </w:rPr>
              <w:t xml:space="preserve">Фактический объем финансирования, </w:t>
            </w:r>
            <w:r w:rsidRPr="00483598">
              <w:rPr>
                <w:rFonts w:eastAsiaTheme="minorEastAsia" w:cs="Calibri"/>
                <w:b/>
                <w:color w:val="FFFFFF" w:themeColor="background1"/>
                <w:sz w:val="16"/>
                <w:szCs w:val="16"/>
                <w:lang w:eastAsia="ru-RU"/>
              </w:rPr>
              <w:br/>
              <w:t xml:space="preserve">млн. руб., </w:t>
            </w:r>
            <w:r w:rsidR="005E4B72">
              <w:rPr>
                <w:rFonts w:eastAsiaTheme="minorEastAsia" w:cs="Calibri"/>
                <w:b/>
                <w:color w:val="FFFFFF" w:themeColor="background1"/>
                <w:sz w:val="16"/>
                <w:szCs w:val="16"/>
                <w:lang w:eastAsia="ru-RU"/>
              </w:rPr>
              <w:t xml:space="preserve">без </w:t>
            </w:r>
            <w:r w:rsidRPr="00483598">
              <w:rPr>
                <w:rFonts w:eastAsiaTheme="minorEastAsia" w:cs="Calibri"/>
                <w:b/>
                <w:color w:val="FFFFFF" w:themeColor="background1"/>
                <w:sz w:val="16"/>
                <w:szCs w:val="16"/>
                <w:lang w:eastAsia="ru-RU"/>
              </w:rPr>
              <w:t>НДС</w:t>
            </w:r>
          </w:p>
        </w:tc>
      </w:tr>
      <w:tr w:rsidR="00483598" w:rsidRPr="00483598" w14:paraId="6F213858" w14:textId="77777777" w:rsidTr="00C85CF9">
        <w:trPr>
          <w:jc w:val="center"/>
        </w:trPr>
        <w:tc>
          <w:tcPr>
            <w:tcW w:w="988" w:type="dxa"/>
            <w:tcBorders>
              <w:top w:val="single" w:sz="4" w:space="0" w:color="FFFFFF" w:themeColor="background1"/>
              <w:left w:val="single" w:sz="4" w:space="0" w:color="auto"/>
              <w:bottom w:val="single" w:sz="4" w:space="0" w:color="auto"/>
              <w:right w:val="single" w:sz="4" w:space="0" w:color="auto"/>
            </w:tcBorders>
            <w:shd w:val="clear" w:color="000000" w:fill="FFFFFF"/>
            <w:vAlign w:val="center"/>
            <w:hideMark/>
          </w:tcPr>
          <w:p w14:paraId="695499CD" w14:textId="77777777" w:rsidR="00483598" w:rsidRPr="00483598" w:rsidRDefault="00483598" w:rsidP="00483598">
            <w:pPr>
              <w:spacing w:after="0" w:line="240" w:lineRule="auto"/>
              <w:jc w:val="center"/>
              <w:rPr>
                <w:rFonts w:eastAsia="Times New Roman" w:cs="Calibri"/>
                <w:bCs/>
                <w:color w:val="auto"/>
                <w:sz w:val="18"/>
                <w:szCs w:val="18"/>
                <w:lang w:eastAsia="ru-RU"/>
              </w:rPr>
            </w:pPr>
            <w:r w:rsidRPr="00483598">
              <w:rPr>
                <w:rFonts w:eastAsiaTheme="minorEastAsia" w:cs="Calibri"/>
                <w:bCs/>
                <w:color w:val="000000"/>
                <w:sz w:val="18"/>
                <w:szCs w:val="18"/>
                <w:lang w:eastAsia="ru-RU"/>
              </w:rPr>
              <w:t>1</w:t>
            </w:r>
          </w:p>
        </w:tc>
        <w:tc>
          <w:tcPr>
            <w:tcW w:w="5103" w:type="dxa"/>
            <w:tcBorders>
              <w:top w:val="single" w:sz="4" w:space="0" w:color="FFFFFF" w:themeColor="background1"/>
              <w:left w:val="nil"/>
              <w:bottom w:val="single" w:sz="4" w:space="0" w:color="auto"/>
              <w:right w:val="single" w:sz="4" w:space="0" w:color="auto"/>
            </w:tcBorders>
            <w:shd w:val="clear" w:color="000000" w:fill="FFFFFF"/>
          </w:tcPr>
          <w:p w14:paraId="6D9D2A62" w14:textId="77777777" w:rsidR="00483598" w:rsidRPr="00483598" w:rsidRDefault="00483598" w:rsidP="00483598">
            <w:pPr>
              <w:spacing w:after="0" w:line="240" w:lineRule="auto"/>
              <w:rPr>
                <w:rFonts w:eastAsiaTheme="minorEastAsia" w:cs="Calibri"/>
                <w:bCs/>
                <w:color w:val="000000"/>
                <w:sz w:val="18"/>
                <w:szCs w:val="18"/>
                <w:lang w:eastAsia="ru-RU"/>
              </w:rPr>
            </w:pPr>
            <w:r w:rsidRPr="00483598">
              <w:rPr>
                <w:rFonts w:eastAsiaTheme="minorEastAsia" w:cs="Calibri"/>
                <w:bCs/>
                <w:color w:val="000000"/>
                <w:sz w:val="18"/>
                <w:szCs w:val="18"/>
                <w:lang w:eastAsia="ru-RU"/>
              </w:rPr>
              <w:t>Реконструкция  ТП ТМГ-630кВа,г.Кызыл,ул.Московская,д.3</w:t>
            </w:r>
          </w:p>
        </w:tc>
        <w:tc>
          <w:tcPr>
            <w:tcW w:w="1598" w:type="dxa"/>
            <w:tcBorders>
              <w:top w:val="single" w:sz="4" w:space="0" w:color="FFFFFF" w:themeColor="background1"/>
              <w:left w:val="nil"/>
              <w:bottom w:val="single" w:sz="4" w:space="0" w:color="auto"/>
              <w:right w:val="single" w:sz="4" w:space="0" w:color="auto"/>
            </w:tcBorders>
            <w:shd w:val="clear" w:color="000000" w:fill="FFFFFF"/>
          </w:tcPr>
          <w:p w14:paraId="416FD46F" w14:textId="77777777" w:rsidR="00483598" w:rsidRPr="00483598" w:rsidRDefault="00483598" w:rsidP="00483598">
            <w:pPr>
              <w:spacing w:after="0" w:line="240" w:lineRule="auto"/>
              <w:jc w:val="center"/>
              <w:rPr>
                <w:rFonts w:eastAsiaTheme="minorEastAsia" w:cs="Calibri"/>
                <w:bCs/>
                <w:color w:val="000000"/>
                <w:sz w:val="18"/>
                <w:szCs w:val="18"/>
                <w:lang w:eastAsia="ru-RU"/>
              </w:rPr>
            </w:pPr>
            <w:r w:rsidRPr="00483598">
              <w:rPr>
                <w:rFonts w:eastAsiaTheme="minorEastAsia" w:cs="Calibri"/>
                <w:bCs/>
                <w:color w:val="000000"/>
                <w:sz w:val="18"/>
                <w:szCs w:val="18"/>
                <w:lang w:eastAsia="ru-RU"/>
              </w:rPr>
              <w:t>K_2119_ТЭ</w:t>
            </w:r>
          </w:p>
        </w:tc>
        <w:tc>
          <w:tcPr>
            <w:tcW w:w="1598" w:type="dxa"/>
            <w:tcBorders>
              <w:top w:val="single" w:sz="4" w:space="0" w:color="FFFFFF" w:themeColor="background1"/>
              <w:left w:val="nil"/>
              <w:bottom w:val="single" w:sz="4" w:space="0" w:color="auto"/>
              <w:right w:val="single" w:sz="4" w:space="0" w:color="auto"/>
            </w:tcBorders>
            <w:shd w:val="clear" w:color="auto" w:fill="auto"/>
          </w:tcPr>
          <w:p w14:paraId="7A357046" w14:textId="77777777" w:rsidR="00483598" w:rsidRPr="00483598" w:rsidRDefault="00483598" w:rsidP="00483598">
            <w:pPr>
              <w:spacing w:after="0" w:line="240" w:lineRule="auto"/>
              <w:jc w:val="center"/>
              <w:rPr>
                <w:rFonts w:eastAsiaTheme="minorEastAsia" w:cs="Calibri"/>
                <w:bCs/>
                <w:color w:val="000000"/>
                <w:sz w:val="18"/>
                <w:szCs w:val="18"/>
                <w:lang w:eastAsia="ru-RU"/>
              </w:rPr>
            </w:pPr>
            <w:r w:rsidRPr="00483598">
              <w:rPr>
                <w:rFonts w:eastAsiaTheme="minorEastAsia" w:cs="Calibri"/>
                <w:bCs/>
                <w:color w:val="000000"/>
                <w:sz w:val="18"/>
                <w:szCs w:val="18"/>
                <w:lang w:eastAsia="ru-RU"/>
              </w:rPr>
              <w:t>0,01</w:t>
            </w:r>
          </w:p>
        </w:tc>
      </w:tr>
      <w:tr w:rsidR="00483598" w:rsidRPr="00483598" w14:paraId="445F8A8B" w14:textId="77777777" w:rsidTr="00495A09">
        <w:trPr>
          <w:jc w:val="center"/>
        </w:trPr>
        <w:tc>
          <w:tcPr>
            <w:tcW w:w="988" w:type="dxa"/>
            <w:tcBorders>
              <w:top w:val="nil"/>
              <w:left w:val="single" w:sz="4" w:space="0" w:color="auto"/>
              <w:bottom w:val="single" w:sz="4" w:space="0" w:color="auto"/>
              <w:right w:val="single" w:sz="4" w:space="0" w:color="auto"/>
            </w:tcBorders>
            <w:shd w:val="clear" w:color="000000" w:fill="FFFFFF"/>
            <w:vAlign w:val="center"/>
            <w:hideMark/>
          </w:tcPr>
          <w:p w14:paraId="687B7F2D" w14:textId="77777777" w:rsidR="00483598" w:rsidRPr="00483598" w:rsidRDefault="00483598" w:rsidP="00483598">
            <w:pPr>
              <w:spacing w:after="0" w:line="240" w:lineRule="auto"/>
              <w:jc w:val="center"/>
              <w:rPr>
                <w:rFonts w:eastAsia="Times New Roman" w:cs="Calibri"/>
                <w:bCs/>
                <w:color w:val="auto"/>
                <w:sz w:val="18"/>
                <w:szCs w:val="18"/>
                <w:lang w:eastAsia="ru-RU"/>
              </w:rPr>
            </w:pPr>
            <w:r w:rsidRPr="00483598">
              <w:rPr>
                <w:rFonts w:eastAsiaTheme="minorEastAsia" w:cs="Calibri"/>
                <w:bCs/>
                <w:color w:val="000000"/>
                <w:sz w:val="18"/>
                <w:szCs w:val="18"/>
                <w:lang w:eastAsia="ru-RU"/>
              </w:rPr>
              <w:t>2</w:t>
            </w:r>
          </w:p>
        </w:tc>
        <w:tc>
          <w:tcPr>
            <w:tcW w:w="5103" w:type="dxa"/>
            <w:tcBorders>
              <w:top w:val="nil"/>
              <w:left w:val="nil"/>
              <w:bottom w:val="single" w:sz="4" w:space="0" w:color="auto"/>
              <w:right w:val="single" w:sz="4" w:space="0" w:color="auto"/>
            </w:tcBorders>
            <w:shd w:val="clear" w:color="000000" w:fill="FFFFFF"/>
          </w:tcPr>
          <w:p w14:paraId="64CAE140" w14:textId="77777777" w:rsidR="00483598" w:rsidRPr="00483598" w:rsidRDefault="00483598" w:rsidP="00483598">
            <w:pPr>
              <w:spacing w:after="0" w:line="240" w:lineRule="auto"/>
              <w:rPr>
                <w:rFonts w:eastAsiaTheme="minorEastAsia" w:cs="Calibri"/>
                <w:bCs/>
                <w:color w:val="000000"/>
                <w:sz w:val="18"/>
                <w:szCs w:val="18"/>
                <w:lang w:eastAsia="ru-RU"/>
              </w:rPr>
            </w:pPr>
            <w:r w:rsidRPr="00483598">
              <w:rPr>
                <w:rFonts w:eastAsiaTheme="minorEastAsia" w:cs="Calibri"/>
                <w:bCs/>
                <w:color w:val="000000"/>
                <w:sz w:val="18"/>
                <w:szCs w:val="18"/>
                <w:lang w:eastAsia="ru-RU"/>
              </w:rPr>
              <w:t xml:space="preserve">Реконструкция ВЛ-0,4 кВ с переустройством вводов от ТП №12 к потребителям, </w:t>
            </w:r>
            <w:proofErr w:type="spellStart"/>
            <w:r w:rsidRPr="00483598">
              <w:rPr>
                <w:rFonts w:eastAsiaTheme="minorEastAsia" w:cs="Calibri"/>
                <w:bCs/>
                <w:color w:val="000000"/>
                <w:sz w:val="18"/>
                <w:szCs w:val="18"/>
                <w:lang w:eastAsia="ru-RU"/>
              </w:rPr>
              <w:t>г.Кызыл</w:t>
            </w:r>
            <w:proofErr w:type="spellEnd"/>
            <w:r w:rsidRPr="00483598">
              <w:rPr>
                <w:rFonts w:eastAsiaTheme="minorEastAsia" w:cs="Calibri"/>
                <w:bCs/>
                <w:color w:val="000000"/>
                <w:sz w:val="18"/>
                <w:szCs w:val="18"/>
                <w:lang w:eastAsia="ru-RU"/>
              </w:rPr>
              <w:t>, 257 шт.</w:t>
            </w:r>
          </w:p>
        </w:tc>
        <w:tc>
          <w:tcPr>
            <w:tcW w:w="1598" w:type="dxa"/>
            <w:tcBorders>
              <w:top w:val="nil"/>
              <w:left w:val="nil"/>
              <w:bottom w:val="single" w:sz="4" w:space="0" w:color="auto"/>
              <w:right w:val="single" w:sz="4" w:space="0" w:color="auto"/>
            </w:tcBorders>
            <w:shd w:val="clear" w:color="000000" w:fill="FFFFFF"/>
          </w:tcPr>
          <w:p w14:paraId="56303069" w14:textId="77777777" w:rsidR="00483598" w:rsidRPr="00483598" w:rsidRDefault="00483598" w:rsidP="00483598">
            <w:pPr>
              <w:spacing w:after="0" w:line="240" w:lineRule="auto"/>
              <w:jc w:val="center"/>
              <w:rPr>
                <w:rFonts w:eastAsiaTheme="minorEastAsia" w:cs="Calibri"/>
                <w:bCs/>
                <w:color w:val="000000"/>
                <w:sz w:val="18"/>
                <w:szCs w:val="18"/>
                <w:lang w:eastAsia="ru-RU"/>
              </w:rPr>
            </w:pPr>
            <w:r w:rsidRPr="00483598">
              <w:rPr>
                <w:rFonts w:eastAsiaTheme="minorEastAsia" w:cs="Calibri"/>
                <w:bCs/>
                <w:color w:val="000000"/>
                <w:sz w:val="18"/>
                <w:szCs w:val="18"/>
                <w:lang w:eastAsia="ru-RU"/>
              </w:rPr>
              <w:t>J_21_ТЭ</w:t>
            </w:r>
          </w:p>
        </w:tc>
        <w:tc>
          <w:tcPr>
            <w:tcW w:w="1598" w:type="dxa"/>
            <w:tcBorders>
              <w:top w:val="nil"/>
              <w:left w:val="nil"/>
              <w:bottom w:val="single" w:sz="4" w:space="0" w:color="auto"/>
              <w:right w:val="single" w:sz="4" w:space="0" w:color="auto"/>
            </w:tcBorders>
            <w:shd w:val="clear" w:color="auto" w:fill="auto"/>
          </w:tcPr>
          <w:p w14:paraId="11BE1605" w14:textId="77777777" w:rsidR="00483598" w:rsidRPr="00483598" w:rsidRDefault="00483598" w:rsidP="00483598">
            <w:pPr>
              <w:spacing w:after="0" w:line="240" w:lineRule="auto"/>
              <w:jc w:val="center"/>
              <w:rPr>
                <w:rFonts w:eastAsiaTheme="minorEastAsia" w:cs="Calibri"/>
                <w:bCs/>
                <w:color w:val="000000"/>
                <w:sz w:val="18"/>
                <w:szCs w:val="18"/>
                <w:lang w:eastAsia="ru-RU"/>
              </w:rPr>
            </w:pPr>
            <w:r w:rsidRPr="00483598">
              <w:rPr>
                <w:rFonts w:eastAsiaTheme="minorEastAsia" w:cs="Calibri"/>
                <w:bCs/>
                <w:color w:val="000000"/>
                <w:sz w:val="18"/>
                <w:szCs w:val="18"/>
                <w:lang w:eastAsia="ru-RU"/>
              </w:rPr>
              <w:t>0,96</w:t>
            </w:r>
          </w:p>
        </w:tc>
      </w:tr>
      <w:tr w:rsidR="00483598" w:rsidRPr="00483598" w14:paraId="1B82FEE9" w14:textId="77777777" w:rsidTr="00495A09">
        <w:trPr>
          <w:jc w:val="center"/>
        </w:trPr>
        <w:tc>
          <w:tcPr>
            <w:tcW w:w="988" w:type="dxa"/>
            <w:tcBorders>
              <w:top w:val="nil"/>
              <w:left w:val="single" w:sz="4" w:space="0" w:color="auto"/>
              <w:bottom w:val="single" w:sz="4" w:space="0" w:color="auto"/>
              <w:right w:val="single" w:sz="4" w:space="0" w:color="auto"/>
            </w:tcBorders>
            <w:shd w:val="clear" w:color="000000" w:fill="FFFFFF"/>
            <w:vAlign w:val="center"/>
          </w:tcPr>
          <w:p w14:paraId="2052D056" w14:textId="77777777" w:rsidR="00483598" w:rsidRPr="00483598" w:rsidRDefault="00483598" w:rsidP="00483598">
            <w:pPr>
              <w:spacing w:after="0" w:line="240" w:lineRule="auto"/>
              <w:jc w:val="center"/>
              <w:rPr>
                <w:rFonts w:eastAsia="Times New Roman" w:cs="Calibri"/>
                <w:bCs/>
                <w:color w:val="auto"/>
                <w:sz w:val="18"/>
                <w:szCs w:val="18"/>
                <w:lang w:eastAsia="ru-RU"/>
              </w:rPr>
            </w:pPr>
            <w:r w:rsidRPr="00483598">
              <w:rPr>
                <w:rFonts w:eastAsiaTheme="minorEastAsia" w:cs="Calibri"/>
                <w:bCs/>
                <w:color w:val="000000"/>
                <w:sz w:val="18"/>
                <w:szCs w:val="18"/>
                <w:lang w:eastAsia="ru-RU"/>
              </w:rPr>
              <w:t>3</w:t>
            </w:r>
          </w:p>
        </w:tc>
        <w:tc>
          <w:tcPr>
            <w:tcW w:w="5103" w:type="dxa"/>
            <w:tcBorders>
              <w:top w:val="nil"/>
              <w:left w:val="nil"/>
              <w:bottom w:val="single" w:sz="4" w:space="0" w:color="auto"/>
              <w:right w:val="single" w:sz="4" w:space="0" w:color="auto"/>
            </w:tcBorders>
            <w:shd w:val="clear" w:color="000000" w:fill="FFFFFF"/>
          </w:tcPr>
          <w:p w14:paraId="240F44EB" w14:textId="77777777" w:rsidR="00483598" w:rsidRPr="00483598" w:rsidRDefault="00483598" w:rsidP="00483598">
            <w:pPr>
              <w:spacing w:after="0" w:line="240" w:lineRule="auto"/>
              <w:rPr>
                <w:rFonts w:eastAsiaTheme="minorEastAsia" w:cs="Calibri"/>
                <w:bCs/>
                <w:color w:val="000000"/>
                <w:sz w:val="18"/>
                <w:szCs w:val="18"/>
                <w:lang w:eastAsia="ru-RU"/>
              </w:rPr>
            </w:pPr>
            <w:r w:rsidRPr="00483598">
              <w:rPr>
                <w:rFonts w:eastAsiaTheme="minorEastAsia" w:cs="Calibri"/>
                <w:bCs/>
                <w:color w:val="000000"/>
                <w:sz w:val="18"/>
                <w:szCs w:val="18"/>
                <w:lang w:eastAsia="ru-RU"/>
              </w:rPr>
              <w:t xml:space="preserve">Покупка оборудования для повышения наблюдаемости на ПС 35кВ в Республике Тыва, 19 </w:t>
            </w:r>
            <w:proofErr w:type="spellStart"/>
            <w:r w:rsidRPr="00483598">
              <w:rPr>
                <w:rFonts w:eastAsiaTheme="minorEastAsia" w:cs="Calibri"/>
                <w:bCs/>
                <w:color w:val="000000"/>
                <w:sz w:val="18"/>
                <w:szCs w:val="18"/>
                <w:lang w:eastAsia="ru-RU"/>
              </w:rPr>
              <w:t>шт</w:t>
            </w:r>
            <w:proofErr w:type="spellEnd"/>
            <w:r w:rsidRPr="00483598">
              <w:rPr>
                <w:rFonts w:eastAsiaTheme="minorEastAsia" w:cs="Calibri"/>
                <w:bCs/>
                <w:color w:val="000000"/>
                <w:sz w:val="18"/>
                <w:szCs w:val="18"/>
                <w:lang w:eastAsia="ru-RU"/>
              </w:rPr>
              <w:t xml:space="preserve"> </w:t>
            </w:r>
          </w:p>
        </w:tc>
        <w:tc>
          <w:tcPr>
            <w:tcW w:w="1598" w:type="dxa"/>
            <w:tcBorders>
              <w:top w:val="nil"/>
              <w:left w:val="nil"/>
              <w:bottom w:val="single" w:sz="4" w:space="0" w:color="auto"/>
              <w:right w:val="single" w:sz="4" w:space="0" w:color="auto"/>
            </w:tcBorders>
            <w:shd w:val="clear" w:color="000000" w:fill="FFFFFF"/>
          </w:tcPr>
          <w:p w14:paraId="78D39E65" w14:textId="77777777" w:rsidR="00483598" w:rsidRPr="00483598" w:rsidRDefault="00483598" w:rsidP="00483598">
            <w:pPr>
              <w:spacing w:after="0" w:line="240" w:lineRule="auto"/>
              <w:jc w:val="center"/>
              <w:rPr>
                <w:rFonts w:eastAsiaTheme="minorEastAsia" w:cs="Calibri"/>
                <w:bCs/>
                <w:color w:val="000000"/>
                <w:sz w:val="18"/>
                <w:szCs w:val="18"/>
                <w:lang w:eastAsia="ru-RU"/>
              </w:rPr>
            </w:pPr>
            <w:r w:rsidRPr="00483598">
              <w:rPr>
                <w:rFonts w:eastAsiaTheme="minorEastAsia" w:cs="Calibri"/>
                <w:bCs/>
                <w:color w:val="000000"/>
                <w:sz w:val="18"/>
                <w:szCs w:val="18"/>
                <w:lang w:eastAsia="ru-RU"/>
              </w:rPr>
              <w:t>J_42_ТЭ</w:t>
            </w:r>
          </w:p>
        </w:tc>
        <w:tc>
          <w:tcPr>
            <w:tcW w:w="1598" w:type="dxa"/>
            <w:tcBorders>
              <w:top w:val="nil"/>
              <w:left w:val="nil"/>
              <w:bottom w:val="single" w:sz="4" w:space="0" w:color="auto"/>
              <w:right w:val="single" w:sz="4" w:space="0" w:color="auto"/>
            </w:tcBorders>
            <w:shd w:val="clear" w:color="auto" w:fill="auto"/>
          </w:tcPr>
          <w:p w14:paraId="69707D47" w14:textId="77777777" w:rsidR="00483598" w:rsidRPr="00483598" w:rsidRDefault="00483598" w:rsidP="00483598">
            <w:pPr>
              <w:spacing w:after="0" w:line="240" w:lineRule="auto"/>
              <w:jc w:val="center"/>
              <w:rPr>
                <w:rFonts w:eastAsiaTheme="minorEastAsia" w:cs="Calibri"/>
                <w:bCs/>
                <w:color w:val="000000"/>
                <w:sz w:val="18"/>
                <w:szCs w:val="18"/>
                <w:lang w:eastAsia="ru-RU"/>
              </w:rPr>
            </w:pPr>
            <w:r w:rsidRPr="00483598">
              <w:rPr>
                <w:rFonts w:eastAsiaTheme="minorEastAsia" w:cs="Calibri"/>
                <w:bCs/>
                <w:color w:val="000000"/>
                <w:sz w:val="18"/>
                <w:szCs w:val="18"/>
                <w:lang w:eastAsia="ru-RU"/>
              </w:rPr>
              <w:t>1,45</w:t>
            </w:r>
          </w:p>
        </w:tc>
      </w:tr>
      <w:tr w:rsidR="00483598" w:rsidRPr="00483598" w14:paraId="7C731EAB" w14:textId="77777777" w:rsidTr="00495A09">
        <w:trPr>
          <w:jc w:val="center"/>
        </w:trPr>
        <w:tc>
          <w:tcPr>
            <w:tcW w:w="988" w:type="dxa"/>
            <w:tcBorders>
              <w:top w:val="nil"/>
              <w:left w:val="single" w:sz="4" w:space="0" w:color="auto"/>
              <w:bottom w:val="single" w:sz="4" w:space="0" w:color="auto"/>
              <w:right w:val="single" w:sz="4" w:space="0" w:color="auto"/>
            </w:tcBorders>
            <w:shd w:val="clear" w:color="000000" w:fill="FFFFFF"/>
            <w:vAlign w:val="center"/>
          </w:tcPr>
          <w:p w14:paraId="0B79FCA0" w14:textId="77777777" w:rsidR="00483598" w:rsidRPr="00483598" w:rsidRDefault="00483598" w:rsidP="00483598">
            <w:pPr>
              <w:spacing w:after="0" w:line="240" w:lineRule="auto"/>
              <w:jc w:val="center"/>
              <w:rPr>
                <w:rFonts w:eastAsia="Times New Roman" w:cs="Calibri"/>
                <w:bCs/>
                <w:color w:val="auto"/>
                <w:sz w:val="18"/>
                <w:szCs w:val="18"/>
                <w:lang w:eastAsia="ru-RU"/>
              </w:rPr>
            </w:pPr>
            <w:r w:rsidRPr="00483598">
              <w:rPr>
                <w:rFonts w:eastAsiaTheme="minorEastAsia" w:cs="Calibri"/>
                <w:bCs/>
                <w:color w:val="000000"/>
                <w:sz w:val="18"/>
                <w:szCs w:val="18"/>
                <w:lang w:eastAsia="ru-RU"/>
              </w:rPr>
              <w:lastRenderedPageBreak/>
              <w:t>4</w:t>
            </w:r>
          </w:p>
        </w:tc>
        <w:tc>
          <w:tcPr>
            <w:tcW w:w="5103" w:type="dxa"/>
            <w:tcBorders>
              <w:top w:val="nil"/>
              <w:left w:val="nil"/>
              <w:bottom w:val="single" w:sz="4" w:space="0" w:color="auto"/>
              <w:right w:val="single" w:sz="4" w:space="0" w:color="auto"/>
            </w:tcBorders>
            <w:shd w:val="clear" w:color="000000" w:fill="FFFFFF"/>
          </w:tcPr>
          <w:p w14:paraId="61DD40A4" w14:textId="77777777" w:rsidR="00483598" w:rsidRPr="00483598" w:rsidRDefault="00483598" w:rsidP="00483598">
            <w:pPr>
              <w:spacing w:after="0" w:line="240" w:lineRule="auto"/>
              <w:rPr>
                <w:rFonts w:eastAsiaTheme="minorEastAsia" w:cs="Calibri"/>
                <w:bCs/>
                <w:color w:val="000000"/>
                <w:sz w:val="18"/>
                <w:szCs w:val="18"/>
                <w:lang w:eastAsia="ru-RU"/>
              </w:rPr>
            </w:pPr>
            <w:r w:rsidRPr="00483598">
              <w:rPr>
                <w:rFonts w:eastAsiaTheme="minorEastAsia" w:cs="Calibri"/>
                <w:bCs/>
                <w:color w:val="000000"/>
                <w:sz w:val="18"/>
                <w:szCs w:val="18"/>
                <w:lang w:eastAsia="ru-RU"/>
              </w:rPr>
              <w:t xml:space="preserve">Организация каналов связи для централизации функций ОТ и СУ, 25 шт.  </w:t>
            </w:r>
          </w:p>
        </w:tc>
        <w:tc>
          <w:tcPr>
            <w:tcW w:w="1598" w:type="dxa"/>
            <w:tcBorders>
              <w:top w:val="nil"/>
              <w:left w:val="nil"/>
              <w:bottom w:val="single" w:sz="4" w:space="0" w:color="auto"/>
              <w:right w:val="single" w:sz="4" w:space="0" w:color="auto"/>
            </w:tcBorders>
            <w:shd w:val="clear" w:color="000000" w:fill="FFFFFF"/>
          </w:tcPr>
          <w:p w14:paraId="0005CE77" w14:textId="77777777" w:rsidR="00483598" w:rsidRPr="00483598" w:rsidRDefault="00483598" w:rsidP="00483598">
            <w:pPr>
              <w:spacing w:after="0" w:line="240" w:lineRule="auto"/>
              <w:jc w:val="center"/>
              <w:rPr>
                <w:rFonts w:eastAsiaTheme="minorEastAsia" w:cs="Calibri"/>
                <w:bCs/>
                <w:color w:val="000000"/>
                <w:sz w:val="18"/>
                <w:szCs w:val="18"/>
                <w:lang w:eastAsia="ru-RU"/>
              </w:rPr>
            </w:pPr>
            <w:r w:rsidRPr="00483598">
              <w:rPr>
                <w:rFonts w:eastAsiaTheme="minorEastAsia" w:cs="Calibri"/>
                <w:bCs/>
                <w:color w:val="000000"/>
                <w:sz w:val="18"/>
                <w:szCs w:val="18"/>
                <w:lang w:eastAsia="ru-RU"/>
              </w:rPr>
              <w:t>J_43_ТЭ</w:t>
            </w:r>
          </w:p>
        </w:tc>
        <w:tc>
          <w:tcPr>
            <w:tcW w:w="1598" w:type="dxa"/>
            <w:tcBorders>
              <w:top w:val="nil"/>
              <w:left w:val="nil"/>
              <w:bottom w:val="single" w:sz="4" w:space="0" w:color="auto"/>
              <w:right w:val="single" w:sz="4" w:space="0" w:color="auto"/>
            </w:tcBorders>
            <w:shd w:val="clear" w:color="auto" w:fill="auto"/>
          </w:tcPr>
          <w:p w14:paraId="79CE5A82" w14:textId="77777777" w:rsidR="00483598" w:rsidRPr="00483598" w:rsidRDefault="00483598" w:rsidP="00483598">
            <w:pPr>
              <w:spacing w:after="0" w:line="240" w:lineRule="auto"/>
              <w:jc w:val="center"/>
              <w:rPr>
                <w:rFonts w:eastAsiaTheme="minorEastAsia" w:cs="Calibri"/>
                <w:bCs/>
                <w:color w:val="000000"/>
                <w:sz w:val="18"/>
                <w:szCs w:val="18"/>
                <w:lang w:eastAsia="ru-RU"/>
              </w:rPr>
            </w:pPr>
            <w:r w:rsidRPr="00483598">
              <w:rPr>
                <w:rFonts w:eastAsiaTheme="minorEastAsia" w:cs="Calibri"/>
                <w:bCs/>
                <w:color w:val="000000"/>
                <w:sz w:val="18"/>
                <w:szCs w:val="18"/>
                <w:lang w:eastAsia="ru-RU"/>
              </w:rPr>
              <w:t>1,21</w:t>
            </w:r>
          </w:p>
        </w:tc>
      </w:tr>
      <w:tr w:rsidR="00483598" w:rsidRPr="00483598" w14:paraId="15951A30" w14:textId="77777777" w:rsidTr="00495A09">
        <w:trPr>
          <w:jc w:val="center"/>
        </w:trPr>
        <w:tc>
          <w:tcPr>
            <w:tcW w:w="988" w:type="dxa"/>
            <w:tcBorders>
              <w:top w:val="nil"/>
              <w:left w:val="single" w:sz="4" w:space="0" w:color="auto"/>
              <w:bottom w:val="single" w:sz="4" w:space="0" w:color="auto"/>
              <w:right w:val="single" w:sz="4" w:space="0" w:color="auto"/>
            </w:tcBorders>
            <w:shd w:val="clear" w:color="000000" w:fill="FFFFFF"/>
            <w:vAlign w:val="center"/>
          </w:tcPr>
          <w:p w14:paraId="676C6E0B" w14:textId="77777777" w:rsidR="00483598" w:rsidRPr="00483598" w:rsidRDefault="00483598" w:rsidP="00483598">
            <w:pPr>
              <w:spacing w:after="0" w:line="240" w:lineRule="auto"/>
              <w:jc w:val="center"/>
              <w:rPr>
                <w:rFonts w:eastAsia="Times New Roman" w:cs="Calibri"/>
                <w:bCs/>
                <w:color w:val="auto"/>
                <w:sz w:val="18"/>
                <w:szCs w:val="18"/>
                <w:lang w:eastAsia="ru-RU"/>
              </w:rPr>
            </w:pPr>
            <w:r w:rsidRPr="00483598">
              <w:rPr>
                <w:rFonts w:eastAsiaTheme="minorEastAsia" w:cs="Calibri"/>
                <w:bCs/>
                <w:color w:val="000000"/>
                <w:sz w:val="18"/>
                <w:szCs w:val="18"/>
                <w:lang w:eastAsia="ru-RU"/>
              </w:rPr>
              <w:t>5</w:t>
            </w:r>
          </w:p>
        </w:tc>
        <w:tc>
          <w:tcPr>
            <w:tcW w:w="5103" w:type="dxa"/>
            <w:tcBorders>
              <w:top w:val="nil"/>
              <w:left w:val="nil"/>
              <w:bottom w:val="single" w:sz="4" w:space="0" w:color="auto"/>
              <w:right w:val="single" w:sz="4" w:space="0" w:color="auto"/>
            </w:tcBorders>
            <w:shd w:val="clear" w:color="000000" w:fill="FFFFFF"/>
          </w:tcPr>
          <w:p w14:paraId="45C699CD" w14:textId="77777777" w:rsidR="00483598" w:rsidRPr="00483598" w:rsidRDefault="00483598" w:rsidP="00483598">
            <w:pPr>
              <w:spacing w:after="0" w:line="240" w:lineRule="auto"/>
              <w:rPr>
                <w:rFonts w:eastAsiaTheme="minorEastAsia" w:cs="Calibri"/>
                <w:bCs/>
                <w:color w:val="000000"/>
                <w:sz w:val="18"/>
                <w:szCs w:val="18"/>
                <w:lang w:eastAsia="ru-RU"/>
              </w:rPr>
            </w:pPr>
            <w:r w:rsidRPr="00483598">
              <w:rPr>
                <w:rFonts w:eastAsiaTheme="minorEastAsia" w:cs="Calibri"/>
                <w:bCs/>
                <w:color w:val="000000"/>
                <w:sz w:val="18"/>
                <w:szCs w:val="18"/>
                <w:lang w:eastAsia="ru-RU"/>
              </w:rPr>
              <w:t xml:space="preserve">Приобретение пункта коммерческого учета, 1 </w:t>
            </w:r>
            <w:proofErr w:type="spellStart"/>
            <w:r w:rsidRPr="00483598">
              <w:rPr>
                <w:rFonts w:eastAsiaTheme="minorEastAsia" w:cs="Calibri"/>
                <w:bCs/>
                <w:color w:val="000000"/>
                <w:sz w:val="18"/>
                <w:szCs w:val="18"/>
                <w:lang w:eastAsia="ru-RU"/>
              </w:rPr>
              <w:t>шт</w:t>
            </w:r>
            <w:proofErr w:type="spellEnd"/>
          </w:p>
        </w:tc>
        <w:tc>
          <w:tcPr>
            <w:tcW w:w="1598" w:type="dxa"/>
            <w:tcBorders>
              <w:top w:val="nil"/>
              <w:left w:val="nil"/>
              <w:bottom w:val="single" w:sz="4" w:space="0" w:color="auto"/>
              <w:right w:val="single" w:sz="4" w:space="0" w:color="auto"/>
            </w:tcBorders>
            <w:shd w:val="clear" w:color="000000" w:fill="FFFFFF"/>
          </w:tcPr>
          <w:p w14:paraId="6F072656" w14:textId="77777777" w:rsidR="00483598" w:rsidRPr="00483598" w:rsidRDefault="00483598" w:rsidP="00483598">
            <w:pPr>
              <w:spacing w:after="0" w:line="240" w:lineRule="auto"/>
              <w:jc w:val="center"/>
              <w:rPr>
                <w:rFonts w:eastAsiaTheme="minorEastAsia" w:cs="Calibri"/>
                <w:bCs/>
                <w:color w:val="000000"/>
                <w:sz w:val="18"/>
                <w:szCs w:val="18"/>
                <w:lang w:eastAsia="ru-RU"/>
              </w:rPr>
            </w:pPr>
            <w:r w:rsidRPr="00483598">
              <w:rPr>
                <w:rFonts w:eastAsiaTheme="minorEastAsia" w:cs="Calibri"/>
                <w:bCs/>
                <w:color w:val="000000"/>
                <w:sz w:val="18"/>
                <w:szCs w:val="18"/>
                <w:lang w:eastAsia="ru-RU"/>
              </w:rPr>
              <w:t>K_58_ТЭ</w:t>
            </w:r>
          </w:p>
        </w:tc>
        <w:tc>
          <w:tcPr>
            <w:tcW w:w="1598" w:type="dxa"/>
            <w:tcBorders>
              <w:top w:val="nil"/>
              <w:left w:val="nil"/>
              <w:bottom w:val="single" w:sz="4" w:space="0" w:color="auto"/>
              <w:right w:val="single" w:sz="4" w:space="0" w:color="auto"/>
            </w:tcBorders>
            <w:shd w:val="clear" w:color="auto" w:fill="auto"/>
          </w:tcPr>
          <w:p w14:paraId="00569B6B" w14:textId="77777777" w:rsidR="00483598" w:rsidRPr="00483598" w:rsidRDefault="00483598" w:rsidP="00483598">
            <w:pPr>
              <w:spacing w:after="0" w:line="240" w:lineRule="auto"/>
              <w:jc w:val="center"/>
              <w:rPr>
                <w:rFonts w:eastAsiaTheme="minorEastAsia" w:cs="Calibri"/>
                <w:bCs/>
                <w:color w:val="000000"/>
                <w:sz w:val="18"/>
                <w:szCs w:val="18"/>
                <w:lang w:eastAsia="ru-RU"/>
              </w:rPr>
            </w:pPr>
            <w:r w:rsidRPr="00483598">
              <w:rPr>
                <w:rFonts w:eastAsiaTheme="minorEastAsia" w:cs="Calibri"/>
                <w:bCs/>
                <w:color w:val="000000"/>
                <w:sz w:val="18"/>
                <w:szCs w:val="18"/>
                <w:lang w:eastAsia="ru-RU"/>
              </w:rPr>
              <w:t>0,05</w:t>
            </w:r>
          </w:p>
        </w:tc>
      </w:tr>
      <w:tr w:rsidR="00483598" w:rsidRPr="00483598" w14:paraId="73AC5CB8" w14:textId="77777777" w:rsidTr="00495A09">
        <w:trPr>
          <w:jc w:val="center"/>
        </w:trPr>
        <w:tc>
          <w:tcPr>
            <w:tcW w:w="988" w:type="dxa"/>
            <w:tcBorders>
              <w:top w:val="nil"/>
              <w:left w:val="single" w:sz="4" w:space="0" w:color="auto"/>
              <w:bottom w:val="single" w:sz="4" w:space="0" w:color="auto"/>
              <w:right w:val="single" w:sz="4" w:space="0" w:color="auto"/>
            </w:tcBorders>
            <w:shd w:val="clear" w:color="000000" w:fill="FFFFFF"/>
            <w:vAlign w:val="center"/>
          </w:tcPr>
          <w:p w14:paraId="141A4D67" w14:textId="77777777" w:rsidR="00483598" w:rsidRPr="00483598" w:rsidRDefault="00483598" w:rsidP="00483598">
            <w:pPr>
              <w:spacing w:after="0" w:line="240" w:lineRule="auto"/>
              <w:jc w:val="center"/>
              <w:rPr>
                <w:rFonts w:eastAsia="Times New Roman" w:cs="Calibri"/>
                <w:bCs/>
                <w:color w:val="auto"/>
                <w:sz w:val="18"/>
                <w:szCs w:val="18"/>
                <w:lang w:eastAsia="ru-RU"/>
              </w:rPr>
            </w:pPr>
            <w:r w:rsidRPr="00483598">
              <w:rPr>
                <w:rFonts w:eastAsiaTheme="minorEastAsia" w:cs="Calibri"/>
                <w:bCs/>
                <w:color w:val="000000"/>
                <w:sz w:val="18"/>
                <w:szCs w:val="18"/>
                <w:lang w:eastAsia="ru-RU"/>
              </w:rPr>
              <w:t>6</w:t>
            </w:r>
          </w:p>
        </w:tc>
        <w:tc>
          <w:tcPr>
            <w:tcW w:w="5103" w:type="dxa"/>
            <w:tcBorders>
              <w:top w:val="nil"/>
              <w:left w:val="nil"/>
              <w:bottom w:val="single" w:sz="4" w:space="0" w:color="auto"/>
              <w:right w:val="single" w:sz="4" w:space="0" w:color="auto"/>
            </w:tcBorders>
            <w:shd w:val="clear" w:color="000000" w:fill="FFFFFF"/>
          </w:tcPr>
          <w:p w14:paraId="50181F79" w14:textId="77777777" w:rsidR="00483598" w:rsidRPr="00483598" w:rsidRDefault="00483598" w:rsidP="00483598">
            <w:pPr>
              <w:spacing w:after="0" w:line="240" w:lineRule="auto"/>
              <w:rPr>
                <w:rFonts w:eastAsiaTheme="minorEastAsia" w:cs="Calibri"/>
                <w:bCs/>
                <w:color w:val="000000"/>
                <w:sz w:val="18"/>
                <w:szCs w:val="18"/>
                <w:lang w:eastAsia="ru-RU"/>
              </w:rPr>
            </w:pPr>
            <w:r w:rsidRPr="00483598">
              <w:rPr>
                <w:rFonts w:eastAsiaTheme="minorEastAsia" w:cs="Calibri"/>
                <w:bCs/>
                <w:color w:val="000000"/>
                <w:sz w:val="18"/>
                <w:szCs w:val="18"/>
                <w:lang w:eastAsia="ru-RU"/>
              </w:rPr>
              <w:t xml:space="preserve">Приобретение электрогенератора , 1 </w:t>
            </w:r>
            <w:proofErr w:type="spellStart"/>
            <w:r w:rsidRPr="00483598">
              <w:rPr>
                <w:rFonts w:eastAsiaTheme="minorEastAsia" w:cs="Calibri"/>
                <w:bCs/>
                <w:color w:val="000000"/>
                <w:sz w:val="18"/>
                <w:szCs w:val="18"/>
                <w:lang w:eastAsia="ru-RU"/>
              </w:rPr>
              <w:t>шт</w:t>
            </w:r>
            <w:proofErr w:type="spellEnd"/>
          </w:p>
        </w:tc>
        <w:tc>
          <w:tcPr>
            <w:tcW w:w="1598" w:type="dxa"/>
            <w:tcBorders>
              <w:top w:val="nil"/>
              <w:left w:val="nil"/>
              <w:bottom w:val="single" w:sz="4" w:space="0" w:color="auto"/>
              <w:right w:val="single" w:sz="4" w:space="0" w:color="auto"/>
            </w:tcBorders>
            <w:shd w:val="clear" w:color="000000" w:fill="FFFFFF"/>
          </w:tcPr>
          <w:p w14:paraId="487C33B0" w14:textId="77777777" w:rsidR="00483598" w:rsidRPr="00483598" w:rsidRDefault="00483598" w:rsidP="00483598">
            <w:pPr>
              <w:spacing w:after="0" w:line="240" w:lineRule="auto"/>
              <w:jc w:val="center"/>
              <w:rPr>
                <w:rFonts w:eastAsiaTheme="minorEastAsia" w:cs="Calibri"/>
                <w:bCs/>
                <w:color w:val="000000"/>
                <w:sz w:val="18"/>
                <w:szCs w:val="18"/>
                <w:lang w:eastAsia="ru-RU"/>
              </w:rPr>
            </w:pPr>
            <w:r w:rsidRPr="00483598">
              <w:rPr>
                <w:rFonts w:eastAsiaTheme="minorEastAsia" w:cs="Calibri"/>
                <w:bCs/>
                <w:color w:val="000000"/>
                <w:sz w:val="18"/>
                <w:szCs w:val="18"/>
                <w:lang w:eastAsia="ru-RU"/>
              </w:rPr>
              <w:t xml:space="preserve">K_59_ТЭ </w:t>
            </w:r>
          </w:p>
        </w:tc>
        <w:tc>
          <w:tcPr>
            <w:tcW w:w="1598" w:type="dxa"/>
            <w:tcBorders>
              <w:top w:val="nil"/>
              <w:left w:val="nil"/>
              <w:bottom w:val="single" w:sz="4" w:space="0" w:color="auto"/>
              <w:right w:val="single" w:sz="4" w:space="0" w:color="auto"/>
            </w:tcBorders>
            <w:shd w:val="clear" w:color="auto" w:fill="auto"/>
          </w:tcPr>
          <w:p w14:paraId="5FD7C4F9" w14:textId="77777777" w:rsidR="00483598" w:rsidRPr="00483598" w:rsidRDefault="00483598" w:rsidP="00483598">
            <w:pPr>
              <w:spacing w:after="0" w:line="240" w:lineRule="auto"/>
              <w:jc w:val="center"/>
              <w:rPr>
                <w:rFonts w:eastAsiaTheme="minorEastAsia" w:cs="Calibri"/>
                <w:bCs/>
                <w:color w:val="000000"/>
                <w:sz w:val="18"/>
                <w:szCs w:val="18"/>
                <w:lang w:eastAsia="ru-RU"/>
              </w:rPr>
            </w:pPr>
            <w:r w:rsidRPr="00483598">
              <w:rPr>
                <w:rFonts w:eastAsiaTheme="minorEastAsia" w:cs="Calibri"/>
                <w:bCs/>
                <w:color w:val="000000"/>
                <w:sz w:val="18"/>
                <w:szCs w:val="18"/>
                <w:lang w:eastAsia="ru-RU"/>
              </w:rPr>
              <w:t>0,04</w:t>
            </w:r>
          </w:p>
        </w:tc>
      </w:tr>
      <w:tr w:rsidR="00483598" w:rsidRPr="00483598" w14:paraId="7FBFE487" w14:textId="77777777" w:rsidTr="00F94FED">
        <w:trPr>
          <w:jc w:val="center"/>
        </w:trPr>
        <w:tc>
          <w:tcPr>
            <w:tcW w:w="988" w:type="dxa"/>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tcPr>
          <w:p w14:paraId="366DFDFF" w14:textId="77777777" w:rsidR="00483598" w:rsidRPr="00483598" w:rsidRDefault="00483598" w:rsidP="00483598">
            <w:pPr>
              <w:spacing w:after="0" w:line="240" w:lineRule="auto"/>
              <w:jc w:val="center"/>
              <w:rPr>
                <w:rFonts w:eastAsia="Times New Roman" w:cs="Calibri"/>
                <w:bCs/>
                <w:color w:val="auto"/>
                <w:lang w:eastAsia="ru-RU"/>
              </w:rPr>
            </w:pPr>
          </w:p>
        </w:tc>
        <w:tc>
          <w:tcPr>
            <w:tcW w:w="5103" w:type="dxa"/>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tcPr>
          <w:p w14:paraId="34B602EB" w14:textId="77777777" w:rsidR="00483598" w:rsidRPr="00483598" w:rsidRDefault="00483598" w:rsidP="00483598">
            <w:pPr>
              <w:spacing w:after="0" w:line="240" w:lineRule="auto"/>
              <w:rPr>
                <w:rFonts w:eastAsiaTheme="minorEastAsia" w:cs="Calibri"/>
                <w:bCs/>
                <w:color w:val="000000"/>
                <w:lang w:eastAsia="ru-RU"/>
              </w:rPr>
            </w:pPr>
            <w:r w:rsidRPr="00483598">
              <w:rPr>
                <w:rFonts w:eastAsiaTheme="minorEastAsia" w:cstheme="minorBidi"/>
                <w:b/>
                <w:color w:val="auto"/>
                <w:lang w:eastAsia="ru-RU"/>
              </w:rPr>
              <w:t>Всего по инвестиционным проектам</w:t>
            </w:r>
          </w:p>
        </w:tc>
        <w:tc>
          <w:tcPr>
            <w:tcW w:w="1598" w:type="dxa"/>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tcPr>
          <w:p w14:paraId="459ABEB2" w14:textId="77777777" w:rsidR="00483598" w:rsidRPr="00483598" w:rsidRDefault="00483598" w:rsidP="00483598">
            <w:pPr>
              <w:spacing w:after="0" w:line="240" w:lineRule="auto"/>
              <w:jc w:val="center"/>
              <w:rPr>
                <w:rFonts w:eastAsiaTheme="minorEastAsia" w:cs="Calibri"/>
                <w:bCs/>
                <w:color w:val="auto"/>
                <w:lang w:eastAsia="ru-RU"/>
              </w:rPr>
            </w:pPr>
          </w:p>
        </w:tc>
        <w:tc>
          <w:tcPr>
            <w:tcW w:w="1598" w:type="dxa"/>
            <w:tcBorders>
              <w:top w:val="single" w:sz="4" w:space="0" w:color="auto"/>
              <w:left w:val="single" w:sz="4" w:space="0" w:color="auto"/>
              <w:bottom w:val="single" w:sz="4" w:space="0" w:color="auto"/>
              <w:right w:val="single" w:sz="4" w:space="0" w:color="auto"/>
            </w:tcBorders>
            <w:shd w:val="clear" w:color="auto" w:fill="D6E3BC" w:themeFill="accent3" w:themeFillTint="66"/>
            <w:vAlign w:val="bottom"/>
          </w:tcPr>
          <w:p w14:paraId="5C929DE3" w14:textId="77777777" w:rsidR="00483598" w:rsidRPr="00483598" w:rsidRDefault="00483598" w:rsidP="00483598">
            <w:pPr>
              <w:spacing w:after="0" w:line="240" w:lineRule="auto"/>
              <w:jc w:val="center"/>
              <w:rPr>
                <w:rFonts w:eastAsiaTheme="minorEastAsia" w:cs="Calibri"/>
                <w:b/>
                <w:color w:val="auto"/>
                <w:lang w:eastAsia="ru-RU"/>
              </w:rPr>
            </w:pPr>
            <w:r w:rsidRPr="00483598">
              <w:rPr>
                <w:rFonts w:eastAsiaTheme="minorEastAsia" w:cs="Calibri"/>
                <w:b/>
                <w:color w:val="000000"/>
                <w:lang w:eastAsia="ru-RU"/>
              </w:rPr>
              <w:t>3,72</w:t>
            </w:r>
          </w:p>
        </w:tc>
      </w:tr>
    </w:tbl>
    <w:p w14:paraId="7FAF11CA" w14:textId="7E82DFEF" w:rsidR="00483598" w:rsidRPr="0072390C" w:rsidRDefault="00483598" w:rsidP="00483598">
      <w:pPr>
        <w:autoSpaceDE w:val="0"/>
        <w:autoSpaceDN w:val="0"/>
        <w:adjustRightInd w:val="0"/>
        <w:spacing w:after="0" w:line="360" w:lineRule="auto"/>
        <w:ind w:firstLine="708"/>
        <w:jc w:val="both"/>
        <w:rPr>
          <w:rFonts w:eastAsiaTheme="minorEastAsia" w:cstheme="minorBidi"/>
          <w:bCs/>
          <w:color w:val="auto"/>
          <w:sz w:val="26"/>
          <w:szCs w:val="26"/>
          <w:lang w:eastAsia="ru-RU"/>
        </w:rPr>
      </w:pPr>
      <w:r w:rsidRPr="00483598">
        <w:rPr>
          <w:rFonts w:eastAsiaTheme="minorEastAsia" w:cstheme="minorBidi"/>
          <w:bCs/>
          <w:color w:val="auto"/>
          <w:sz w:val="26"/>
          <w:szCs w:val="26"/>
          <w:lang w:eastAsia="ru-RU"/>
        </w:rPr>
        <w:t xml:space="preserve">По результатам анализа Исполнителем определено 12 инвестиционный проект, в отношении которых тарифный источник для финансирования капитальных вложений недоиспользован в полном объеме относительно утвержденного планового размера или не использован совсем. Недофинансирование в части собственных средств, получаемых от реализации услуг по передаче электрической энергии, по данным инвестиционным проектам </w:t>
      </w:r>
      <w:r w:rsidRPr="0072390C">
        <w:rPr>
          <w:rFonts w:eastAsiaTheme="minorEastAsia" w:cstheme="minorBidi"/>
          <w:bCs/>
          <w:color w:val="auto"/>
          <w:sz w:val="26"/>
          <w:szCs w:val="26"/>
          <w:lang w:eastAsia="ru-RU"/>
        </w:rPr>
        <w:t>составило 9 685,39 тыс. руб. (</w:t>
      </w:r>
      <w:r w:rsidR="00F03C3E" w:rsidRPr="0072390C">
        <w:rPr>
          <w:rFonts w:eastAsiaTheme="minorEastAsia" w:cstheme="minorBidi"/>
          <w:bCs/>
          <w:color w:val="auto"/>
          <w:sz w:val="26"/>
          <w:szCs w:val="26"/>
          <w:lang w:eastAsia="ru-RU"/>
        </w:rPr>
        <w:t>без НДС</w:t>
      </w:r>
      <w:r w:rsidRPr="0072390C">
        <w:rPr>
          <w:rFonts w:eastAsiaTheme="minorEastAsia" w:cstheme="minorBidi"/>
          <w:bCs/>
          <w:color w:val="auto"/>
          <w:sz w:val="26"/>
          <w:szCs w:val="26"/>
          <w:lang w:eastAsia="ru-RU"/>
        </w:rPr>
        <w:t>).</w:t>
      </w:r>
    </w:p>
    <w:tbl>
      <w:tblPr>
        <w:tblW w:w="0" w:type="auto"/>
        <w:tblLook w:val="04A0" w:firstRow="1" w:lastRow="0" w:firstColumn="1" w:lastColumn="0" w:noHBand="0" w:noVBand="1"/>
      </w:tblPr>
      <w:tblGrid>
        <w:gridCol w:w="401"/>
        <w:gridCol w:w="4292"/>
        <w:gridCol w:w="1503"/>
        <w:gridCol w:w="910"/>
        <w:gridCol w:w="910"/>
        <w:gridCol w:w="615"/>
        <w:gridCol w:w="714"/>
      </w:tblGrid>
      <w:tr w:rsidR="00483598" w:rsidRPr="00483598" w14:paraId="2B1EA521" w14:textId="77777777" w:rsidTr="00495A09">
        <w:trPr>
          <w:trHeight w:val="1118"/>
          <w:tblHeader/>
        </w:trPr>
        <w:tc>
          <w:tcPr>
            <w:tcW w:w="0" w:type="auto"/>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A4A713C" w14:textId="77777777" w:rsidR="00483598" w:rsidRPr="00483598" w:rsidRDefault="00483598" w:rsidP="00483598">
            <w:pPr>
              <w:spacing w:after="0" w:line="240" w:lineRule="auto"/>
              <w:jc w:val="center"/>
              <w:rPr>
                <w:rFonts w:eastAsiaTheme="minorEastAsia" w:cs="Calibri"/>
                <w:b/>
                <w:color w:val="FFFFFF" w:themeColor="background1"/>
                <w:sz w:val="16"/>
                <w:szCs w:val="16"/>
                <w:lang w:eastAsia="ru-RU"/>
              </w:rPr>
            </w:pPr>
            <w:r w:rsidRPr="00483598">
              <w:rPr>
                <w:rFonts w:eastAsiaTheme="minorEastAsia" w:cs="Calibri"/>
                <w:b/>
                <w:color w:val="FFFFFF" w:themeColor="background1"/>
                <w:sz w:val="16"/>
                <w:szCs w:val="16"/>
                <w:lang w:eastAsia="ru-RU"/>
              </w:rPr>
              <w:t>№</w:t>
            </w:r>
          </w:p>
        </w:tc>
        <w:tc>
          <w:tcPr>
            <w:tcW w:w="0" w:type="auto"/>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4E6F892" w14:textId="77777777" w:rsidR="00483598" w:rsidRPr="00483598" w:rsidRDefault="00483598" w:rsidP="00483598">
            <w:pPr>
              <w:spacing w:after="0" w:line="240" w:lineRule="auto"/>
              <w:jc w:val="center"/>
              <w:rPr>
                <w:rFonts w:eastAsiaTheme="minorEastAsia" w:cs="Calibri"/>
                <w:b/>
                <w:color w:val="FFFFFF" w:themeColor="background1"/>
                <w:sz w:val="16"/>
                <w:szCs w:val="16"/>
                <w:lang w:eastAsia="ru-RU"/>
              </w:rPr>
            </w:pPr>
            <w:r w:rsidRPr="00483598">
              <w:rPr>
                <w:rFonts w:eastAsiaTheme="minorEastAsia" w:cs="Calibri"/>
                <w:b/>
                <w:color w:val="FFFFFF" w:themeColor="background1"/>
                <w:sz w:val="16"/>
                <w:szCs w:val="16"/>
                <w:lang w:eastAsia="ru-RU"/>
              </w:rPr>
              <w:t>Наименование инвестиционного проекта (группы инвестиционных проектов)</w:t>
            </w:r>
          </w:p>
        </w:tc>
        <w:tc>
          <w:tcPr>
            <w:tcW w:w="150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BDAB08F" w14:textId="77777777" w:rsidR="00483598" w:rsidRPr="00483598" w:rsidRDefault="00483598" w:rsidP="00483598">
            <w:pPr>
              <w:spacing w:after="0" w:line="240" w:lineRule="auto"/>
              <w:jc w:val="center"/>
              <w:rPr>
                <w:rFonts w:eastAsiaTheme="minorEastAsia" w:cs="Calibri"/>
                <w:b/>
                <w:color w:val="FFFFFF" w:themeColor="background1"/>
                <w:sz w:val="16"/>
                <w:szCs w:val="16"/>
                <w:lang w:eastAsia="ru-RU"/>
              </w:rPr>
            </w:pPr>
            <w:r w:rsidRPr="00483598">
              <w:rPr>
                <w:rFonts w:eastAsiaTheme="minorEastAsia" w:cs="Calibri"/>
                <w:b/>
                <w:color w:val="FFFFFF" w:themeColor="background1"/>
                <w:sz w:val="16"/>
                <w:szCs w:val="16"/>
                <w:lang w:eastAsia="ru-RU"/>
              </w:rPr>
              <w:t>Идентификатор инвестиционного проекта</w:t>
            </w:r>
          </w:p>
        </w:tc>
        <w:tc>
          <w:tcPr>
            <w:tcW w:w="0" w:type="auto"/>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FB44EA5" w14:textId="1E05B64F" w:rsidR="00483598" w:rsidRPr="00483598" w:rsidRDefault="00483598" w:rsidP="00483598">
            <w:pPr>
              <w:spacing w:after="0" w:line="240" w:lineRule="auto"/>
              <w:jc w:val="center"/>
              <w:rPr>
                <w:rFonts w:eastAsiaTheme="minorEastAsia" w:cs="Calibri"/>
                <w:b/>
                <w:color w:val="FFFFFF" w:themeColor="background1"/>
                <w:sz w:val="16"/>
                <w:szCs w:val="16"/>
                <w:lang w:eastAsia="ru-RU"/>
              </w:rPr>
            </w:pPr>
            <w:r w:rsidRPr="00483598">
              <w:rPr>
                <w:rFonts w:eastAsiaTheme="minorEastAsia" w:cs="Calibri"/>
                <w:b/>
                <w:color w:val="FFFFFF" w:themeColor="background1"/>
                <w:sz w:val="16"/>
                <w:szCs w:val="16"/>
                <w:lang w:eastAsia="ru-RU"/>
              </w:rPr>
              <w:t xml:space="preserve">Объем финансирования (в части тарифных источников), </w:t>
            </w:r>
            <w:r w:rsidRPr="00483598">
              <w:rPr>
                <w:rFonts w:eastAsiaTheme="minorEastAsia" w:cs="Calibri"/>
                <w:b/>
                <w:color w:val="FFFFFF" w:themeColor="background1"/>
                <w:sz w:val="16"/>
                <w:szCs w:val="16"/>
                <w:lang w:eastAsia="ru-RU"/>
              </w:rPr>
              <w:br/>
              <w:t xml:space="preserve">млн. руб. </w:t>
            </w:r>
            <w:r w:rsidR="005E4B72">
              <w:rPr>
                <w:rFonts w:eastAsiaTheme="minorEastAsia" w:cs="Calibri"/>
                <w:b/>
                <w:color w:val="FFFFFF" w:themeColor="background1"/>
                <w:sz w:val="16"/>
                <w:szCs w:val="16"/>
                <w:lang w:eastAsia="ru-RU"/>
              </w:rPr>
              <w:t xml:space="preserve"> без НДС</w:t>
            </w:r>
          </w:p>
        </w:tc>
        <w:tc>
          <w:tcPr>
            <w:tcW w:w="0" w:type="auto"/>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339CA9D" w14:textId="77777777" w:rsidR="00483598" w:rsidRPr="00483598" w:rsidRDefault="00483598" w:rsidP="00483598">
            <w:pPr>
              <w:spacing w:after="0" w:line="240" w:lineRule="auto"/>
              <w:jc w:val="center"/>
              <w:rPr>
                <w:rFonts w:eastAsiaTheme="minorEastAsia" w:cs="Calibri"/>
                <w:b/>
                <w:color w:val="FFFFFF" w:themeColor="background1"/>
                <w:sz w:val="16"/>
                <w:szCs w:val="16"/>
                <w:lang w:eastAsia="ru-RU"/>
              </w:rPr>
            </w:pPr>
            <w:r w:rsidRPr="00483598">
              <w:rPr>
                <w:rFonts w:eastAsiaTheme="minorEastAsia" w:cs="Calibri"/>
                <w:b/>
                <w:color w:val="FFFFFF" w:themeColor="background1"/>
                <w:sz w:val="16"/>
                <w:szCs w:val="16"/>
                <w:lang w:eastAsia="ru-RU"/>
              </w:rPr>
              <w:t>Отклонение (факт-план)</w:t>
            </w:r>
          </w:p>
        </w:tc>
      </w:tr>
      <w:tr w:rsidR="00483598" w:rsidRPr="00483598" w14:paraId="189FF590" w14:textId="77777777" w:rsidTr="00495A09">
        <w:trPr>
          <w:trHeight w:val="426"/>
          <w:tblHeader/>
        </w:trPr>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1B1B063" w14:textId="77777777" w:rsidR="00483598" w:rsidRPr="00483598" w:rsidRDefault="00483598" w:rsidP="00483598">
            <w:pPr>
              <w:spacing w:after="0" w:line="240" w:lineRule="auto"/>
              <w:jc w:val="center"/>
              <w:rPr>
                <w:rFonts w:eastAsiaTheme="minorEastAsia" w:cs="Calibri"/>
                <w:b/>
                <w:color w:val="FFFFFF" w:themeColor="background1"/>
                <w:sz w:val="16"/>
                <w:szCs w:val="16"/>
                <w:lang w:eastAsia="ru-RU"/>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8C8B828" w14:textId="77777777" w:rsidR="00483598" w:rsidRPr="00483598" w:rsidRDefault="00483598" w:rsidP="00483598">
            <w:pPr>
              <w:spacing w:after="0" w:line="240" w:lineRule="auto"/>
              <w:rPr>
                <w:rFonts w:eastAsiaTheme="minorEastAsia" w:cs="Calibri"/>
                <w:b/>
                <w:color w:val="FFFFFF" w:themeColor="background1"/>
                <w:sz w:val="16"/>
                <w:szCs w:val="16"/>
                <w:lang w:eastAsia="ru-RU"/>
              </w:rPr>
            </w:pPr>
          </w:p>
        </w:tc>
        <w:tc>
          <w:tcPr>
            <w:tcW w:w="150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74DA97A" w14:textId="77777777" w:rsidR="00483598" w:rsidRPr="00483598" w:rsidRDefault="00483598" w:rsidP="00483598">
            <w:pPr>
              <w:spacing w:after="0" w:line="240" w:lineRule="auto"/>
              <w:rPr>
                <w:rFonts w:eastAsiaTheme="minorEastAsia" w:cs="Calibri"/>
                <w:b/>
                <w:color w:val="FFFFFF" w:themeColor="background1"/>
                <w:sz w:val="16"/>
                <w:szCs w:val="16"/>
                <w:lang w:eastAsia="ru-RU"/>
              </w:rPr>
            </w:pP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96B8A15" w14:textId="77777777" w:rsidR="00483598" w:rsidRPr="00483598" w:rsidRDefault="00483598" w:rsidP="00483598">
            <w:pPr>
              <w:spacing w:after="0" w:line="240" w:lineRule="auto"/>
              <w:jc w:val="center"/>
              <w:rPr>
                <w:rFonts w:eastAsiaTheme="minorEastAsia" w:cs="Calibri"/>
                <w:b/>
                <w:color w:val="FFFFFF" w:themeColor="background1"/>
                <w:sz w:val="16"/>
                <w:szCs w:val="16"/>
                <w:lang w:eastAsia="ru-RU"/>
              </w:rPr>
            </w:pPr>
            <w:r w:rsidRPr="00483598">
              <w:rPr>
                <w:rFonts w:eastAsiaTheme="minorEastAsia" w:cs="Calibri"/>
                <w:b/>
                <w:color w:val="FFFFFF" w:themeColor="background1"/>
                <w:sz w:val="16"/>
                <w:szCs w:val="16"/>
                <w:lang w:eastAsia="ru-RU"/>
              </w:rPr>
              <w:t xml:space="preserve">План </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D9D1C85" w14:textId="77777777" w:rsidR="00483598" w:rsidRPr="00483598" w:rsidRDefault="00483598" w:rsidP="00483598">
            <w:pPr>
              <w:spacing w:after="0" w:line="240" w:lineRule="auto"/>
              <w:jc w:val="center"/>
              <w:rPr>
                <w:rFonts w:eastAsiaTheme="minorEastAsia" w:cs="Calibri"/>
                <w:b/>
                <w:color w:val="FFFFFF" w:themeColor="background1"/>
                <w:sz w:val="16"/>
                <w:szCs w:val="16"/>
                <w:lang w:eastAsia="ru-RU"/>
              </w:rPr>
            </w:pPr>
            <w:r w:rsidRPr="00483598">
              <w:rPr>
                <w:rFonts w:eastAsiaTheme="minorEastAsia" w:cs="Calibri"/>
                <w:b/>
                <w:color w:val="FFFFFF" w:themeColor="background1"/>
                <w:sz w:val="16"/>
                <w:szCs w:val="16"/>
                <w:lang w:eastAsia="ru-RU"/>
              </w:rPr>
              <w:t>Факт</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F5C12CD" w14:textId="77777777" w:rsidR="00483598" w:rsidRPr="00483598" w:rsidRDefault="00483598" w:rsidP="00483598">
            <w:pPr>
              <w:spacing w:after="0" w:line="240" w:lineRule="auto"/>
              <w:jc w:val="center"/>
              <w:rPr>
                <w:rFonts w:eastAsiaTheme="minorEastAsia" w:cs="Calibri"/>
                <w:b/>
                <w:color w:val="FFFFFF" w:themeColor="background1"/>
                <w:sz w:val="16"/>
                <w:szCs w:val="16"/>
                <w:lang w:eastAsia="ru-RU"/>
              </w:rPr>
            </w:pPr>
            <w:r w:rsidRPr="00483598">
              <w:rPr>
                <w:rFonts w:eastAsiaTheme="minorEastAsia" w:cs="Calibri"/>
                <w:b/>
                <w:color w:val="FFFFFF" w:themeColor="background1"/>
                <w:sz w:val="16"/>
                <w:szCs w:val="16"/>
                <w:lang w:eastAsia="ru-RU"/>
              </w:rPr>
              <w:t>млн. руб.</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A4A1F4F" w14:textId="77777777" w:rsidR="00483598" w:rsidRPr="00483598" w:rsidRDefault="00483598" w:rsidP="00483598">
            <w:pPr>
              <w:spacing w:after="0" w:line="240" w:lineRule="auto"/>
              <w:jc w:val="center"/>
              <w:rPr>
                <w:rFonts w:eastAsiaTheme="minorEastAsia" w:cs="Calibri"/>
                <w:b/>
                <w:color w:val="FFFFFF" w:themeColor="background1"/>
                <w:sz w:val="16"/>
                <w:szCs w:val="16"/>
                <w:lang w:eastAsia="ru-RU"/>
              </w:rPr>
            </w:pPr>
            <w:r w:rsidRPr="00483598">
              <w:rPr>
                <w:rFonts w:eastAsiaTheme="minorEastAsia" w:cs="Calibri"/>
                <w:b/>
                <w:color w:val="FFFFFF" w:themeColor="background1"/>
                <w:sz w:val="16"/>
                <w:szCs w:val="16"/>
                <w:lang w:eastAsia="ru-RU"/>
              </w:rPr>
              <w:t>%</w:t>
            </w:r>
          </w:p>
        </w:tc>
      </w:tr>
      <w:tr w:rsidR="00483598" w:rsidRPr="00483598" w14:paraId="412C04A6" w14:textId="77777777" w:rsidTr="00495A09">
        <w:trPr>
          <w:trHeight w:val="563"/>
        </w:trPr>
        <w:tc>
          <w:tcPr>
            <w:tcW w:w="0" w:type="auto"/>
            <w:tcBorders>
              <w:top w:val="single" w:sz="4" w:space="0" w:color="auto"/>
              <w:left w:val="single" w:sz="4" w:space="0" w:color="auto"/>
              <w:bottom w:val="single" w:sz="4" w:space="0" w:color="auto"/>
              <w:right w:val="single" w:sz="4" w:space="0" w:color="auto"/>
            </w:tcBorders>
            <w:noWrap/>
            <w:vAlign w:val="center"/>
            <w:hideMark/>
          </w:tcPr>
          <w:p w14:paraId="4B9C6350" w14:textId="77777777" w:rsidR="00483598" w:rsidRPr="00483598" w:rsidRDefault="00483598" w:rsidP="00483598">
            <w:pPr>
              <w:spacing w:after="0" w:line="240" w:lineRule="auto"/>
              <w:jc w:val="center"/>
              <w:rPr>
                <w:rFonts w:eastAsiaTheme="minorEastAsia" w:cstheme="minorBidi"/>
                <w:bCs/>
                <w:color w:val="000000"/>
                <w:sz w:val="18"/>
                <w:szCs w:val="18"/>
                <w:lang w:eastAsia="ru-RU"/>
              </w:rPr>
            </w:pPr>
            <w:r w:rsidRPr="00483598">
              <w:rPr>
                <w:rFonts w:eastAsiaTheme="minorEastAsia" w:cstheme="minorBidi"/>
                <w:bCs/>
                <w:color w:val="auto"/>
                <w:sz w:val="18"/>
                <w:szCs w:val="18"/>
                <w:lang w:eastAsia="ru-RU"/>
              </w:rPr>
              <w:t>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99AD146" w14:textId="77777777" w:rsidR="00483598" w:rsidRPr="00483598" w:rsidRDefault="00483598" w:rsidP="00483598">
            <w:pPr>
              <w:spacing w:after="0" w:line="240" w:lineRule="auto"/>
              <w:rPr>
                <w:rFonts w:eastAsiaTheme="minorEastAsia" w:cstheme="minorBidi"/>
                <w:bCs/>
                <w:color w:val="000000"/>
                <w:sz w:val="18"/>
                <w:szCs w:val="18"/>
                <w:lang w:eastAsia="ru-RU"/>
              </w:rPr>
            </w:pPr>
            <w:r w:rsidRPr="00483598">
              <w:rPr>
                <w:rFonts w:eastAsiaTheme="minorEastAsia" w:cs="Calibri"/>
                <w:bCs/>
                <w:color w:val="000000"/>
                <w:sz w:val="18"/>
                <w:szCs w:val="18"/>
                <w:lang w:eastAsia="ru-RU"/>
              </w:rPr>
              <w:t xml:space="preserve">Модернизация ПС 110/35/10 кВ "Бай-Хаак" с заменой масляных выключателей на вакуумные выключатели 10 кВ, 9 </w:t>
            </w:r>
            <w:proofErr w:type="spellStart"/>
            <w:r w:rsidRPr="00483598">
              <w:rPr>
                <w:rFonts w:eastAsiaTheme="minorEastAsia" w:cs="Calibri"/>
                <w:bCs/>
                <w:color w:val="000000"/>
                <w:sz w:val="18"/>
                <w:szCs w:val="18"/>
                <w:lang w:eastAsia="ru-RU"/>
              </w:rPr>
              <w:t>шт</w:t>
            </w:r>
            <w:proofErr w:type="spellEnd"/>
          </w:p>
        </w:tc>
        <w:tc>
          <w:tcPr>
            <w:tcW w:w="1503" w:type="dxa"/>
            <w:tcBorders>
              <w:top w:val="single" w:sz="4" w:space="0" w:color="auto"/>
              <w:left w:val="nil"/>
              <w:bottom w:val="single" w:sz="4" w:space="0" w:color="auto"/>
              <w:right w:val="single" w:sz="4" w:space="0" w:color="auto"/>
            </w:tcBorders>
            <w:shd w:val="clear" w:color="auto" w:fill="auto"/>
            <w:vAlign w:val="center"/>
          </w:tcPr>
          <w:p w14:paraId="535B42C5" w14:textId="77777777" w:rsidR="00483598" w:rsidRPr="00483598" w:rsidRDefault="00483598" w:rsidP="00483598">
            <w:pPr>
              <w:spacing w:after="0" w:line="240" w:lineRule="auto"/>
              <w:jc w:val="center"/>
              <w:rPr>
                <w:rFonts w:eastAsiaTheme="minorEastAsia" w:cstheme="minorBidi"/>
                <w:bCs/>
                <w:color w:val="000000"/>
                <w:sz w:val="18"/>
                <w:szCs w:val="18"/>
                <w:lang w:eastAsia="ru-RU"/>
              </w:rPr>
            </w:pPr>
            <w:r w:rsidRPr="00483598">
              <w:rPr>
                <w:rFonts w:eastAsiaTheme="minorEastAsia" w:cs="Calibri"/>
                <w:bCs/>
                <w:color w:val="auto"/>
                <w:sz w:val="18"/>
                <w:szCs w:val="18"/>
                <w:lang w:eastAsia="ru-RU"/>
              </w:rPr>
              <w:t>I_1_ТЭ</w:t>
            </w:r>
          </w:p>
        </w:tc>
        <w:tc>
          <w:tcPr>
            <w:tcW w:w="0" w:type="auto"/>
            <w:tcBorders>
              <w:top w:val="single" w:sz="4" w:space="0" w:color="auto"/>
              <w:left w:val="nil"/>
              <w:bottom w:val="single" w:sz="4" w:space="0" w:color="auto"/>
              <w:right w:val="single" w:sz="4" w:space="0" w:color="auto"/>
            </w:tcBorders>
            <w:shd w:val="clear" w:color="000000" w:fill="FFFFFF"/>
            <w:noWrap/>
            <w:vAlign w:val="center"/>
          </w:tcPr>
          <w:p w14:paraId="6F1D5F52" w14:textId="77777777" w:rsidR="00483598" w:rsidRPr="00483598" w:rsidRDefault="00483598" w:rsidP="00483598">
            <w:pPr>
              <w:spacing w:after="0" w:line="240" w:lineRule="auto"/>
              <w:jc w:val="center"/>
              <w:rPr>
                <w:rFonts w:eastAsiaTheme="minorEastAsia" w:cstheme="minorBidi"/>
                <w:bCs/>
                <w:color w:val="auto"/>
                <w:sz w:val="18"/>
                <w:szCs w:val="18"/>
                <w:lang w:eastAsia="ru-RU"/>
              </w:rPr>
            </w:pPr>
            <w:r w:rsidRPr="00483598">
              <w:rPr>
                <w:rFonts w:eastAsiaTheme="minorEastAsia" w:cs="Calibri"/>
                <w:bCs/>
                <w:color w:val="auto"/>
                <w:sz w:val="18"/>
                <w:szCs w:val="18"/>
                <w:lang w:eastAsia="ru-RU"/>
              </w:rPr>
              <w:t>5,55</w:t>
            </w:r>
          </w:p>
        </w:tc>
        <w:tc>
          <w:tcPr>
            <w:tcW w:w="0" w:type="auto"/>
            <w:tcBorders>
              <w:top w:val="single" w:sz="4" w:space="0" w:color="auto"/>
              <w:left w:val="nil"/>
              <w:bottom w:val="single" w:sz="4" w:space="0" w:color="auto"/>
              <w:right w:val="single" w:sz="4" w:space="0" w:color="auto"/>
            </w:tcBorders>
            <w:shd w:val="clear" w:color="000000" w:fill="FFFFFF"/>
            <w:noWrap/>
            <w:vAlign w:val="center"/>
          </w:tcPr>
          <w:p w14:paraId="54DED23C" w14:textId="77777777" w:rsidR="00483598" w:rsidRPr="00483598" w:rsidRDefault="00483598" w:rsidP="00483598">
            <w:pPr>
              <w:spacing w:after="0" w:line="240" w:lineRule="auto"/>
              <w:jc w:val="center"/>
              <w:rPr>
                <w:rFonts w:eastAsiaTheme="minorEastAsia" w:cstheme="minorBidi"/>
                <w:bCs/>
                <w:color w:val="auto"/>
                <w:sz w:val="18"/>
                <w:szCs w:val="18"/>
                <w:lang w:eastAsia="ru-RU"/>
              </w:rPr>
            </w:pPr>
            <w:r w:rsidRPr="00483598">
              <w:rPr>
                <w:rFonts w:eastAsiaTheme="minorEastAsia" w:cs="Calibri"/>
                <w:bCs/>
                <w:color w:val="auto"/>
                <w:sz w:val="18"/>
                <w:szCs w:val="18"/>
                <w:lang w:eastAsia="ru-RU"/>
              </w:rPr>
              <w:t>5,06</w:t>
            </w:r>
          </w:p>
        </w:tc>
        <w:tc>
          <w:tcPr>
            <w:tcW w:w="0" w:type="auto"/>
            <w:tcBorders>
              <w:top w:val="single" w:sz="4" w:space="0" w:color="auto"/>
              <w:left w:val="nil"/>
              <w:bottom w:val="single" w:sz="4" w:space="0" w:color="auto"/>
              <w:right w:val="single" w:sz="4" w:space="0" w:color="auto"/>
            </w:tcBorders>
            <w:shd w:val="clear" w:color="000000" w:fill="FFFFFF"/>
            <w:noWrap/>
            <w:vAlign w:val="center"/>
          </w:tcPr>
          <w:p w14:paraId="033434F9" w14:textId="77777777" w:rsidR="00483598" w:rsidRPr="00483598" w:rsidRDefault="00483598" w:rsidP="00483598">
            <w:pPr>
              <w:spacing w:after="0" w:line="240" w:lineRule="auto"/>
              <w:jc w:val="center"/>
              <w:rPr>
                <w:rFonts w:eastAsiaTheme="minorEastAsia" w:cstheme="minorBidi"/>
                <w:bCs/>
                <w:color w:val="auto"/>
                <w:sz w:val="18"/>
                <w:szCs w:val="18"/>
                <w:lang w:eastAsia="ru-RU"/>
              </w:rPr>
            </w:pPr>
            <w:r w:rsidRPr="00483598">
              <w:rPr>
                <w:rFonts w:eastAsiaTheme="minorEastAsia" w:cs="Calibri"/>
                <w:bCs/>
                <w:color w:val="auto"/>
                <w:sz w:val="18"/>
                <w:szCs w:val="18"/>
                <w:lang w:eastAsia="ru-RU"/>
              </w:rPr>
              <w:t>0,49</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04E0DA86" w14:textId="77777777" w:rsidR="00483598" w:rsidRPr="00483598" w:rsidRDefault="00483598" w:rsidP="00483598">
            <w:pPr>
              <w:spacing w:after="0" w:line="240" w:lineRule="auto"/>
              <w:jc w:val="center"/>
              <w:rPr>
                <w:rFonts w:eastAsiaTheme="minorEastAsia" w:cstheme="minorBidi"/>
                <w:bCs/>
                <w:color w:val="auto"/>
                <w:sz w:val="18"/>
                <w:szCs w:val="18"/>
                <w:lang w:eastAsia="ru-RU"/>
              </w:rPr>
            </w:pPr>
            <w:r w:rsidRPr="00483598">
              <w:rPr>
                <w:rFonts w:eastAsiaTheme="minorEastAsia" w:cs="Calibri"/>
                <w:bCs/>
                <w:color w:val="000000"/>
                <w:sz w:val="18"/>
                <w:szCs w:val="18"/>
                <w:lang w:eastAsia="ru-RU"/>
              </w:rPr>
              <w:t>-9%</w:t>
            </w:r>
          </w:p>
        </w:tc>
      </w:tr>
      <w:tr w:rsidR="00483598" w:rsidRPr="00483598" w14:paraId="44BD2512" w14:textId="77777777" w:rsidTr="00495A09">
        <w:trPr>
          <w:trHeight w:val="563"/>
        </w:trPr>
        <w:tc>
          <w:tcPr>
            <w:tcW w:w="0" w:type="auto"/>
            <w:tcBorders>
              <w:top w:val="single" w:sz="4" w:space="0" w:color="auto"/>
              <w:left w:val="single" w:sz="4" w:space="0" w:color="auto"/>
              <w:bottom w:val="single" w:sz="4" w:space="0" w:color="auto"/>
              <w:right w:val="single" w:sz="4" w:space="0" w:color="auto"/>
            </w:tcBorders>
            <w:noWrap/>
            <w:vAlign w:val="center"/>
            <w:hideMark/>
          </w:tcPr>
          <w:p w14:paraId="50BB2717" w14:textId="77777777" w:rsidR="00483598" w:rsidRPr="00483598" w:rsidRDefault="00483598" w:rsidP="00483598">
            <w:pPr>
              <w:spacing w:after="0" w:line="240" w:lineRule="auto"/>
              <w:jc w:val="center"/>
              <w:rPr>
                <w:rFonts w:eastAsiaTheme="minorEastAsia" w:cstheme="minorBidi"/>
                <w:bCs/>
                <w:color w:val="000000"/>
                <w:sz w:val="18"/>
                <w:szCs w:val="18"/>
                <w:lang w:eastAsia="ru-RU"/>
              </w:rPr>
            </w:pPr>
            <w:r w:rsidRPr="00483598">
              <w:rPr>
                <w:rFonts w:eastAsiaTheme="minorEastAsia" w:cstheme="minorBidi"/>
                <w:bCs/>
                <w:color w:val="auto"/>
                <w:sz w:val="18"/>
                <w:szCs w:val="18"/>
                <w:lang w:eastAsia="ru-RU"/>
              </w:rPr>
              <w:t>2</w:t>
            </w:r>
          </w:p>
        </w:tc>
        <w:tc>
          <w:tcPr>
            <w:tcW w:w="0" w:type="auto"/>
            <w:tcBorders>
              <w:top w:val="nil"/>
              <w:left w:val="single" w:sz="4" w:space="0" w:color="auto"/>
              <w:bottom w:val="single" w:sz="4" w:space="0" w:color="auto"/>
              <w:right w:val="single" w:sz="4" w:space="0" w:color="auto"/>
            </w:tcBorders>
            <w:shd w:val="clear" w:color="auto" w:fill="auto"/>
            <w:vAlign w:val="center"/>
          </w:tcPr>
          <w:p w14:paraId="36D78342" w14:textId="77777777" w:rsidR="00483598" w:rsidRPr="00483598" w:rsidRDefault="00483598" w:rsidP="00483598">
            <w:pPr>
              <w:spacing w:after="0" w:line="240" w:lineRule="auto"/>
              <w:rPr>
                <w:rFonts w:eastAsiaTheme="minorEastAsia" w:cstheme="minorBidi"/>
                <w:bCs/>
                <w:color w:val="000000"/>
                <w:sz w:val="18"/>
                <w:szCs w:val="18"/>
                <w:lang w:eastAsia="ru-RU"/>
              </w:rPr>
            </w:pPr>
            <w:r w:rsidRPr="00483598">
              <w:rPr>
                <w:rFonts w:eastAsiaTheme="minorEastAsia" w:cs="Calibri"/>
                <w:bCs/>
                <w:color w:val="000000"/>
                <w:sz w:val="18"/>
                <w:szCs w:val="18"/>
                <w:lang w:eastAsia="ru-RU"/>
              </w:rPr>
              <w:t xml:space="preserve">Модернизация  ПС 110/35/10 кВ "Шагонар" с заменой масляных выключателей на вакуумные 10 кВ , 16 </w:t>
            </w:r>
            <w:proofErr w:type="spellStart"/>
            <w:r w:rsidRPr="00483598">
              <w:rPr>
                <w:rFonts w:eastAsiaTheme="minorEastAsia" w:cs="Calibri"/>
                <w:bCs/>
                <w:color w:val="000000"/>
                <w:sz w:val="18"/>
                <w:szCs w:val="18"/>
                <w:lang w:eastAsia="ru-RU"/>
              </w:rPr>
              <w:t>шт</w:t>
            </w:r>
            <w:proofErr w:type="spellEnd"/>
          </w:p>
        </w:tc>
        <w:tc>
          <w:tcPr>
            <w:tcW w:w="1503" w:type="dxa"/>
            <w:tcBorders>
              <w:top w:val="nil"/>
              <w:left w:val="nil"/>
              <w:bottom w:val="single" w:sz="4" w:space="0" w:color="auto"/>
              <w:right w:val="single" w:sz="4" w:space="0" w:color="auto"/>
            </w:tcBorders>
            <w:shd w:val="clear" w:color="auto" w:fill="auto"/>
            <w:vAlign w:val="center"/>
          </w:tcPr>
          <w:p w14:paraId="04D35605" w14:textId="77777777" w:rsidR="00483598" w:rsidRPr="00483598" w:rsidRDefault="00483598" w:rsidP="00483598">
            <w:pPr>
              <w:spacing w:after="0" w:line="240" w:lineRule="auto"/>
              <w:jc w:val="center"/>
              <w:rPr>
                <w:rFonts w:eastAsiaTheme="minorEastAsia" w:cstheme="minorBidi"/>
                <w:bCs/>
                <w:color w:val="000000"/>
                <w:sz w:val="18"/>
                <w:szCs w:val="18"/>
                <w:lang w:eastAsia="ru-RU"/>
              </w:rPr>
            </w:pPr>
            <w:r w:rsidRPr="00483598">
              <w:rPr>
                <w:rFonts w:eastAsiaTheme="minorEastAsia" w:cs="Calibri"/>
                <w:bCs/>
                <w:color w:val="auto"/>
                <w:sz w:val="18"/>
                <w:szCs w:val="18"/>
                <w:lang w:eastAsia="ru-RU"/>
              </w:rPr>
              <w:t>I_8_ТЭ</w:t>
            </w:r>
          </w:p>
        </w:tc>
        <w:tc>
          <w:tcPr>
            <w:tcW w:w="0" w:type="auto"/>
            <w:tcBorders>
              <w:top w:val="nil"/>
              <w:left w:val="nil"/>
              <w:bottom w:val="single" w:sz="4" w:space="0" w:color="auto"/>
              <w:right w:val="single" w:sz="4" w:space="0" w:color="auto"/>
            </w:tcBorders>
            <w:shd w:val="clear" w:color="000000" w:fill="FFFFFF"/>
            <w:noWrap/>
            <w:vAlign w:val="center"/>
          </w:tcPr>
          <w:p w14:paraId="3A97A587" w14:textId="77777777" w:rsidR="00483598" w:rsidRPr="00483598" w:rsidRDefault="00483598" w:rsidP="00483598">
            <w:pPr>
              <w:spacing w:after="0" w:line="240" w:lineRule="auto"/>
              <w:jc w:val="center"/>
              <w:rPr>
                <w:rFonts w:eastAsiaTheme="minorEastAsia" w:cstheme="minorBidi"/>
                <w:bCs/>
                <w:color w:val="auto"/>
                <w:sz w:val="18"/>
                <w:szCs w:val="18"/>
                <w:lang w:eastAsia="ru-RU"/>
              </w:rPr>
            </w:pPr>
            <w:r w:rsidRPr="00483598">
              <w:rPr>
                <w:rFonts w:eastAsiaTheme="minorEastAsia" w:cs="Calibri"/>
                <w:bCs/>
                <w:color w:val="auto"/>
                <w:sz w:val="18"/>
                <w:szCs w:val="18"/>
                <w:lang w:eastAsia="ru-RU"/>
              </w:rPr>
              <w:t>9,74</w:t>
            </w:r>
          </w:p>
        </w:tc>
        <w:tc>
          <w:tcPr>
            <w:tcW w:w="0" w:type="auto"/>
            <w:tcBorders>
              <w:top w:val="nil"/>
              <w:left w:val="nil"/>
              <w:bottom w:val="single" w:sz="4" w:space="0" w:color="auto"/>
              <w:right w:val="single" w:sz="4" w:space="0" w:color="auto"/>
            </w:tcBorders>
            <w:shd w:val="clear" w:color="000000" w:fill="FFFFFF"/>
            <w:noWrap/>
            <w:vAlign w:val="center"/>
          </w:tcPr>
          <w:p w14:paraId="66B61038" w14:textId="77777777" w:rsidR="00483598" w:rsidRPr="00483598" w:rsidRDefault="00483598" w:rsidP="00483598">
            <w:pPr>
              <w:spacing w:after="0" w:line="240" w:lineRule="auto"/>
              <w:jc w:val="center"/>
              <w:rPr>
                <w:rFonts w:eastAsiaTheme="minorEastAsia" w:cstheme="minorBidi"/>
                <w:bCs/>
                <w:color w:val="auto"/>
                <w:sz w:val="18"/>
                <w:szCs w:val="18"/>
                <w:lang w:eastAsia="ru-RU"/>
              </w:rPr>
            </w:pPr>
            <w:r w:rsidRPr="00483598">
              <w:rPr>
                <w:rFonts w:eastAsiaTheme="minorEastAsia" w:cs="Calibri"/>
                <w:bCs/>
                <w:color w:val="auto"/>
                <w:sz w:val="18"/>
                <w:szCs w:val="18"/>
                <w:lang w:eastAsia="ru-RU"/>
              </w:rPr>
              <w:t>8,99</w:t>
            </w:r>
          </w:p>
        </w:tc>
        <w:tc>
          <w:tcPr>
            <w:tcW w:w="0" w:type="auto"/>
            <w:tcBorders>
              <w:top w:val="nil"/>
              <w:left w:val="nil"/>
              <w:bottom w:val="single" w:sz="4" w:space="0" w:color="auto"/>
              <w:right w:val="single" w:sz="4" w:space="0" w:color="auto"/>
            </w:tcBorders>
            <w:shd w:val="clear" w:color="000000" w:fill="FFFFFF"/>
            <w:noWrap/>
            <w:vAlign w:val="center"/>
          </w:tcPr>
          <w:p w14:paraId="71992EEC" w14:textId="77777777" w:rsidR="00483598" w:rsidRPr="00483598" w:rsidRDefault="00483598" w:rsidP="00483598">
            <w:pPr>
              <w:spacing w:after="0" w:line="240" w:lineRule="auto"/>
              <w:jc w:val="center"/>
              <w:rPr>
                <w:rFonts w:eastAsiaTheme="minorEastAsia" w:cstheme="minorBidi"/>
                <w:bCs/>
                <w:color w:val="auto"/>
                <w:sz w:val="18"/>
                <w:szCs w:val="18"/>
                <w:lang w:eastAsia="ru-RU"/>
              </w:rPr>
            </w:pPr>
            <w:r w:rsidRPr="00483598">
              <w:rPr>
                <w:rFonts w:eastAsiaTheme="minorEastAsia" w:cs="Calibri"/>
                <w:bCs/>
                <w:color w:val="auto"/>
                <w:sz w:val="18"/>
                <w:szCs w:val="18"/>
                <w:lang w:eastAsia="ru-RU"/>
              </w:rPr>
              <w:t>0,75</w:t>
            </w:r>
          </w:p>
        </w:tc>
        <w:tc>
          <w:tcPr>
            <w:tcW w:w="0" w:type="auto"/>
            <w:tcBorders>
              <w:top w:val="nil"/>
              <w:left w:val="single" w:sz="4" w:space="0" w:color="auto"/>
              <w:bottom w:val="single" w:sz="4" w:space="0" w:color="auto"/>
              <w:right w:val="single" w:sz="4" w:space="0" w:color="auto"/>
            </w:tcBorders>
            <w:shd w:val="clear" w:color="auto" w:fill="auto"/>
            <w:noWrap/>
            <w:vAlign w:val="center"/>
          </w:tcPr>
          <w:p w14:paraId="1CAA1A3C" w14:textId="77777777" w:rsidR="00483598" w:rsidRPr="00483598" w:rsidRDefault="00483598" w:rsidP="00483598">
            <w:pPr>
              <w:spacing w:after="0" w:line="240" w:lineRule="auto"/>
              <w:jc w:val="center"/>
              <w:rPr>
                <w:rFonts w:eastAsiaTheme="minorEastAsia" w:cstheme="minorBidi"/>
                <w:bCs/>
                <w:color w:val="auto"/>
                <w:sz w:val="18"/>
                <w:szCs w:val="18"/>
                <w:lang w:eastAsia="ru-RU"/>
              </w:rPr>
            </w:pPr>
            <w:r w:rsidRPr="00483598">
              <w:rPr>
                <w:rFonts w:eastAsiaTheme="minorEastAsia" w:cs="Calibri"/>
                <w:bCs/>
                <w:color w:val="000000"/>
                <w:sz w:val="18"/>
                <w:szCs w:val="18"/>
                <w:lang w:eastAsia="ru-RU"/>
              </w:rPr>
              <w:t>-8%</w:t>
            </w:r>
          </w:p>
        </w:tc>
      </w:tr>
      <w:tr w:rsidR="00483598" w:rsidRPr="00483598" w14:paraId="44CF6E77" w14:textId="77777777" w:rsidTr="00495A09">
        <w:trPr>
          <w:trHeight w:val="563"/>
        </w:trPr>
        <w:tc>
          <w:tcPr>
            <w:tcW w:w="0" w:type="auto"/>
            <w:tcBorders>
              <w:top w:val="single" w:sz="4" w:space="0" w:color="auto"/>
              <w:left w:val="single" w:sz="4" w:space="0" w:color="auto"/>
              <w:bottom w:val="single" w:sz="4" w:space="0" w:color="auto"/>
              <w:right w:val="single" w:sz="4" w:space="0" w:color="auto"/>
            </w:tcBorders>
            <w:noWrap/>
            <w:vAlign w:val="center"/>
            <w:hideMark/>
          </w:tcPr>
          <w:p w14:paraId="27440300" w14:textId="77777777" w:rsidR="00483598" w:rsidRPr="00483598" w:rsidRDefault="00483598" w:rsidP="00483598">
            <w:pPr>
              <w:spacing w:after="0" w:line="240" w:lineRule="auto"/>
              <w:jc w:val="center"/>
              <w:rPr>
                <w:rFonts w:eastAsiaTheme="minorEastAsia" w:cstheme="minorBidi"/>
                <w:bCs/>
                <w:color w:val="000000"/>
                <w:sz w:val="18"/>
                <w:szCs w:val="18"/>
                <w:lang w:eastAsia="ru-RU"/>
              </w:rPr>
            </w:pPr>
            <w:r w:rsidRPr="00483598">
              <w:rPr>
                <w:rFonts w:eastAsiaTheme="minorEastAsia" w:cstheme="minorBidi"/>
                <w:bCs/>
                <w:color w:val="auto"/>
                <w:sz w:val="18"/>
                <w:szCs w:val="18"/>
                <w:lang w:eastAsia="ru-RU"/>
              </w:rPr>
              <w:t>3</w:t>
            </w:r>
          </w:p>
        </w:tc>
        <w:tc>
          <w:tcPr>
            <w:tcW w:w="0" w:type="auto"/>
            <w:tcBorders>
              <w:top w:val="nil"/>
              <w:left w:val="single" w:sz="4" w:space="0" w:color="auto"/>
              <w:bottom w:val="single" w:sz="4" w:space="0" w:color="auto"/>
              <w:right w:val="single" w:sz="4" w:space="0" w:color="auto"/>
            </w:tcBorders>
            <w:shd w:val="clear" w:color="auto" w:fill="auto"/>
            <w:vAlign w:val="center"/>
          </w:tcPr>
          <w:p w14:paraId="7733DA35" w14:textId="77777777" w:rsidR="00483598" w:rsidRPr="00483598" w:rsidRDefault="00483598" w:rsidP="00483598">
            <w:pPr>
              <w:spacing w:after="0" w:line="240" w:lineRule="auto"/>
              <w:rPr>
                <w:rFonts w:eastAsiaTheme="minorEastAsia" w:cstheme="minorBidi"/>
                <w:bCs/>
                <w:color w:val="000000"/>
                <w:sz w:val="18"/>
                <w:szCs w:val="18"/>
                <w:lang w:eastAsia="ru-RU"/>
              </w:rPr>
            </w:pPr>
            <w:r w:rsidRPr="00483598">
              <w:rPr>
                <w:rFonts w:eastAsiaTheme="minorEastAsia" w:cs="Calibri"/>
                <w:bCs/>
                <w:color w:val="000000"/>
                <w:sz w:val="18"/>
                <w:szCs w:val="18"/>
                <w:lang w:eastAsia="ru-RU"/>
              </w:rPr>
              <w:t>Модернизация системы телемеханики и организация цифровых каналов связи на ПС 110/35/10 кВ «Балгазын»</w:t>
            </w:r>
          </w:p>
        </w:tc>
        <w:tc>
          <w:tcPr>
            <w:tcW w:w="1503" w:type="dxa"/>
            <w:tcBorders>
              <w:top w:val="nil"/>
              <w:left w:val="nil"/>
              <w:bottom w:val="single" w:sz="4" w:space="0" w:color="auto"/>
              <w:right w:val="single" w:sz="4" w:space="0" w:color="auto"/>
            </w:tcBorders>
            <w:shd w:val="clear" w:color="auto" w:fill="auto"/>
            <w:vAlign w:val="center"/>
          </w:tcPr>
          <w:p w14:paraId="1B4720D6" w14:textId="77777777" w:rsidR="00483598" w:rsidRPr="00483598" w:rsidRDefault="00483598" w:rsidP="00483598">
            <w:pPr>
              <w:spacing w:after="0" w:line="240" w:lineRule="auto"/>
              <w:jc w:val="center"/>
              <w:rPr>
                <w:rFonts w:eastAsiaTheme="minorEastAsia" w:cstheme="minorBidi"/>
                <w:bCs/>
                <w:color w:val="000000"/>
                <w:sz w:val="18"/>
                <w:szCs w:val="18"/>
                <w:lang w:eastAsia="ru-RU"/>
              </w:rPr>
            </w:pPr>
            <w:r w:rsidRPr="00483598">
              <w:rPr>
                <w:rFonts w:eastAsiaTheme="minorEastAsia" w:cs="Calibri"/>
                <w:bCs/>
                <w:color w:val="auto"/>
                <w:sz w:val="18"/>
                <w:szCs w:val="18"/>
                <w:lang w:eastAsia="ru-RU"/>
              </w:rPr>
              <w:t>G_40_ТЭ</w:t>
            </w:r>
          </w:p>
        </w:tc>
        <w:tc>
          <w:tcPr>
            <w:tcW w:w="0" w:type="auto"/>
            <w:tcBorders>
              <w:top w:val="nil"/>
              <w:left w:val="nil"/>
              <w:bottom w:val="single" w:sz="4" w:space="0" w:color="auto"/>
              <w:right w:val="single" w:sz="4" w:space="0" w:color="auto"/>
            </w:tcBorders>
            <w:shd w:val="clear" w:color="000000" w:fill="FFFFFF"/>
            <w:noWrap/>
            <w:vAlign w:val="center"/>
          </w:tcPr>
          <w:p w14:paraId="12C375B5" w14:textId="77777777" w:rsidR="00483598" w:rsidRPr="00483598" w:rsidRDefault="00483598" w:rsidP="00483598">
            <w:pPr>
              <w:spacing w:after="0" w:line="240" w:lineRule="auto"/>
              <w:jc w:val="center"/>
              <w:rPr>
                <w:rFonts w:eastAsiaTheme="minorEastAsia" w:cstheme="minorBidi"/>
                <w:bCs/>
                <w:color w:val="auto"/>
                <w:sz w:val="18"/>
                <w:szCs w:val="18"/>
                <w:lang w:eastAsia="ru-RU"/>
              </w:rPr>
            </w:pPr>
            <w:r w:rsidRPr="00483598">
              <w:rPr>
                <w:rFonts w:eastAsiaTheme="minorEastAsia" w:cs="Calibri"/>
                <w:bCs/>
                <w:color w:val="auto"/>
                <w:sz w:val="18"/>
                <w:szCs w:val="18"/>
                <w:lang w:eastAsia="ru-RU"/>
              </w:rPr>
              <w:t>4,36</w:t>
            </w:r>
          </w:p>
        </w:tc>
        <w:tc>
          <w:tcPr>
            <w:tcW w:w="0" w:type="auto"/>
            <w:tcBorders>
              <w:top w:val="single" w:sz="4" w:space="0" w:color="auto"/>
              <w:left w:val="nil"/>
              <w:bottom w:val="single" w:sz="4" w:space="0" w:color="auto"/>
              <w:right w:val="single" w:sz="4" w:space="0" w:color="auto"/>
            </w:tcBorders>
            <w:shd w:val="clear" w:color="000000" w:fill="FFFFFF"/>
            <w:noWrap/>
            <w:vAlign w:val="center"/>
          </w:tcPr>
          <w:p w14:paraId="6F874A90" w14:textId="77777777" w:rsidR="00483598" w:rsidRPr="00483598" w:rsidRDefault="00483598" w:rsidP="00483598">
            <w:pPr>
              <w:spacing w:after="0" w:line="240" w:lineRule="auto"/>
              <w:jc w:val="center"/>
              <w:rPr>
                <w:rFonts w:eastAsiaTheme="minorEastAsia" w:cstheme="minorBidi"/>
                <w:bCs/>
                <w:color w:val="auto"/>
                <w:sz w:val="18"/>
                <w:szCs w:val="18"/>
                <w:lang w:eastAsia="ru-RU"/>
              </w:rPr>
            </w:pPr>
            <w:r w:rsidRPr="00483598">
              <w:rPr>
                <w:rFonts w:eastAsiaTheme="minorEastAsia" w:cs="Calibri"/>
                <w:bCs/>
                <w:color w:val="auto"/>
                <w:sz w:val="18"/>
                <w:szCs w:val="18"/>
                <w:lang w:eastAsia="ru-RU"/>
              </w:rPr>
              <w:t>4,14</w:t>
            </w:r>
          </w:p>
        </w:tc>
        <w:tc>
          <w:tcPr>
            <w:tcW w:w="0" w:type="auto"/>
            <w:tcBorders>
              <w:top w:val="nil"/>
              <w:left w:val="nil"/>
              <w:bottom w:val="single" w:sz="4" w:space="0" w:color="auto"/>
              <w:right w:val="single" w:sz="4" w:space="0" w:color="auto"/>
            </w:tcBorders>
            <w:shd w:val="clear" w:color="000000" w:fill="FFFFFF"/>
            <w:noWrap/>
            <w:vAlign w:val="center"/>
          </w:tcPr>
          <w:p w14:paraId="34445DCA" w14:textId="77777777" w:rsidR="00483598" w:rsidRPr="00483598" w:rsidRDefault="00483598" w:rsidP="00483598">
            <w:pPr>
              <w:spacing w:after="0" w:line="240" w:lineRule="auto"/>
              <w:jc w:val="center"/>
              <w:rPr>
                <w:rFonts w:eastAsiaTheme="minorEastAsia" w:cstheme="minorBidi"/>
                <w:bCs/>
                <w:color w:val="auto"/>
                <w:sz w:val="18"/>
                <w:szCs w:val="18"/>
                <w:lang w:eastAsia="ru-RU"/>
              </w:rPr>
            </w:pPr>
            <w:r w:rsidRPr="00483598">
              <w:rPr>
                <w:rFonts w:eastAsiaTheme="minorEastAsia" w:cs="Calibri"/>
                <w:bCs/>
                <w:color w:val="auto"/>
                <w:sz w:val="18"/>
                <w:szCs w:val="18"/>
                <w:lang w:eastAsia="ru-RU"/>
              </w:rPr>
              <w:t>0,22</w:t>
            </w:r>
          </w:p>
        </w:tc>
        <w:tc>
          <w:tcPr>
            <w:tcW w:w="0" w:type="auto"/>
            <w:tcBorders>
              <w:top w:val="nil"/>
              <w:left w:val="single" w:sz="4" w:space="0" w:color="auto"/>
              <w:bottom w:val="single" w:sz="4" w:space="0" w:color="auto"/>
              <w:right w:val="single" w:sz="4" w:space="0" w:color="auto"/>
            </w:tcBorders>
            <w:shd w:val="clear" w:color="auto" w:fill="auto"/>
            <w:noWrap/>
            <w:vAlign w:val="center"/>
          </w:tcPr>
          <w:p w14:paraId="3DCEE261" w14:textId="77777777" w:rsidR="00483598" w:rsidRPr="00483598" w:rsidRDefault="00483598" w:rsidP="00483598">
            <w:pPr>
              <w:spacing w:after="0" w:line="240" w:lineRule="auto"/>
              <w:jc w:val="center"/>
              <w:rPr>
                <w:rFonts w:eastAsiaTheme="minorEastAsia" w:cstheme="minorBidi"/>
                <w:bCs/>
                <w:color w:val="auto"/>
                <w:sz w:val="18"/>
                <w:szCs w:val="18"/>
                <w:lang w:eastAsia="ru-RU"/>
              </w:rPr>
            </w:pPr>
            <w:r w:rsidRPr="00483598">
              <w:rPr>
                <w:rFonts w:eastAsiaTheme="minorEastAsia" w:cs="Calibri"/>
                <w:bCs/>
                <w:color w:val="000000"/>
                <w:sz w:val="18"/>
                <w:szCs w:val="18"/>
                <w:lang w:eastAsia="ru-RU"/>
              </w:rPr>
              <w:t>-5%</w:t>
            </w:r>
          </w:p>
        </w:tc>
      </w:tr>
      <w:tr w:rsidR="00483598" w:rsidRPr="00483598" w14:paraId="1F42436E" w14:textId="77777777" w:rsidTr="00495A09">
        <w:trPr>
          <w:trHeight w:val="563"/>
        </w:trPr>
        <w:tc>
          <w:tcPr>
            <w:tcW w:w="0" w:type="auto"/>
            <w:tcBorders>
              <w:top w:val="single" w:sz="4" w:space="0" w:color="auto"/>
              <w:left w:val="single" w:sz="4" w:space="0" w:color="auto"/>
              <w:bottom w:val="single" w:sz="4" w:space="0" w:color="auto"/>
              <w:right w:val="single" w:sz="4" w:space="0" w:color="auto"/>
            </w:tcBorders>
            <w:noWrap/>
            <w:vAlign w:val="center"/>
            <w:hideMark/>
          </w:tcPr>
          <w:p w14:paraId="64CDB327" w14:textId="77777777" w:rsidR="00483598" w:rsidRPr="00483598" w:rsidRDefault="00483598" w:rsidP="00483598">
            <w:pPr>
              <w:spacing w:after="0" w:line="240" w:lineRule="auto"/>
              <w:jc w:val="center"/>
              <w:rPr>
                <w:rFonts w:eastAsiaTheme="minorEastAsia" w:cstheme="minorBidi"/>
                <w:bCs/>
                <w:color w:val="000000"/>
                <w:sz w:val="18"/>
                <w:szCs w:val="18"/>
                <w:lang w:eastAsia="ru-RU"/>
              </w:rPr>
            </w:pPr>
            <w:r w:rsidRPr="00483598">
              <w:rPr>
                <w:rFonts w:eastAsiaTheme="minorEastAsia" w:cstheme="minorBidi"/>
                <w:bCs/>
                <w:color w:val="auto"/>
                <w:sz w:val="18"/>
                <w:szCs w:val="18"/>
                <w:lang w:eastAsia="ru-RU"/>
              </w:rPr>
              <w:t>4</w:t>
            </w:r>
          </w:p>
        </w:tc>
        <w:tc>
          <w:tcPr>
            <w:tcW w:w="0" w:type="auto"/>
            <w:tcBorders>
              <w:top w:val="nil"/>
              <w:left w:val="single" w:sz="4" w:space="0" w:color="auto"/>
              <w:bottom w:val="single" w:sz="4" w:space="0" w:color="auto"/>
              <w:right w:val="single" w:sz="4" w:space="0" w:color="auto"/>
            </w:tcBorders>
            <w:shd w:val="clear" w:color="auto" w:fill="auto"/>
            <w:vAlign w:val="center"/>
          </w:tcPr>
          <w:p w14:paraId="425EDCE6" w14:textId="77777777" w:rsidR="00483598" w:rsidRPr="00483598" w:rsidRDefault="00483598" w:rsidP="00483598">
            <w:pPr>
              <w:spacing w:after="0" w:line="240" w:lineRule="auto"/>
              <w:rPr>
                <w:rFonts w:eastAsiaTheme="minorEastAsia" w:cstheme="minorBidi"/>
                <w:bCs/>
                <w:color w:val="000000"/>
                <w:sz w:val="18"/>
                <w:szCs w:val="18"/>
                <w:lang w:eastAsia="ru-RU"/>
              </w:rPr>
            </w:pPr>
            <w:r w:rsidRPr="00483598">
              <w:rPr>
                <w:rFonts w:eastAsiaTheme="minorEastAsia" w:cs="Calibri"/>
                <w:bCs/>
                <w:color w:val="000000"/>
                <w:sz w:val="18"/>
                <w:szCs w:val="18"/>
                <w:lang w:eastAsia="ru-RU"/>
              </w:rPr>
              <w:t>Модернизация системы телемеханики и организация цифровых каналов связи на ПС 110/6/10 кВ «Хову-Аксы»</w:t>
            </w:r>
          </w:p>
        </w:tc>
        <w:tc>
          <w:tcPr>
            <w:tcW w:w="1503" w:type="dxa"/>
            <w:tcBorders>
              <w:top w:val="nil"/>
              <w:left w:val="nil"/>
              <w:bottom w:val="single" w:sz="4" w:space="0" w:color="auto"/>
              <w:right w:val="single" w:sz="4" w:space="0" w:color="auto"/>
            </w:tcBorders>
            <w:shd w:val="clear" w:color="auto" w:fill="auto"/>
            <w:vAlign w:val="center"/>
          </w:tcPr>
          <w:p w14:paraId="4C4D3573" w14:textId="77777777" w:rsidR="00483598" w:rsidRPr="00483598" w:rsidRDefault="00483598" w:rsidP="00483598">
            <w:pPr>
              <w:spacing w:after="0" w:line="240" w:lineRule="auto"/>
              <w:jc w:val="center"/>
              <w:rPr>
                <w:rFonts w:eastAsiaTheme="minorEastAsia" w:cstheme="minorBidi"/>
                <w:bCs/>
                <w:color w:val="000000"/>
                <w:sz w:val="18"/>
                <w:szCs w:val="18"/>
                <w:lang w:eastAsia="ru-RU"/>
              </w:rPr>
            </w:pPr>
            <w:r w:rsidRPr="00483598">
              <w:rPr>
                <w:rFonts w:eastAsiaTheme="minorEastAsia" w:cs="Calibri"/>
                <w:bCs/>
                <w:color w:val="auto"/>
                <w:sz w:val="18"/>
                <w:szCs w:val="18"/>
                <w:lang w:eastAsia="ru-RU"/>
              </w:rPr>
              <w:t>G_41_ТЭ</w:t>
            </w:r>
          </w:p>
        </w:tc>
        <w:tc>
          <w:tcPr>
            <w:tcW w:w="0" w:type="auto"/>
            <w:tcBorders>
              <w:top w:val="nil"/>
              <w:left w:val="nil"/>
              <w:bottom w:val="single" w:sz="4" w:space="0" w:color="auto"/>
              <w:right w:val="single" w:sz="4" w:space="0" w:color="auto"/>
            </w:tcBorders>
            <w:shd w:val="clear" w:color="000000" w:fill="FFFFFF"/>
            <w:noWrap/>
            <w:vAlign w:val="center"/>
          </w:tcPr>
          <w:p w14:paraId="49086B12" w14:textId="77777777" w:rsidR="00483598" w:rsidRPr="00483598" w:rsidRDefault="00483598" w:rsidP="00483598">
            <w:pPr>
              <w:spacing w:after="0" w:line="240" w:lineRule="auto"/>
              <w:jc w:val="center"/>
              <w:rPr>
                <w:rFonts w:eastAsiaTheme="minorEastAsia" w:cstheme="minorBidi"/>
                <w:bCs/>
                <w:color w:val="auto"/>
                <w:sz w:val="18"/>
                <w:szCs w:val="18"/>
                <w:lang w:eastAsia="ru-RU"/>
              </w:rPr>
            </w:pPr>
            <w:r w:rsidRPr="00483598">
              <w:rPr>
                <w:rFonts w:eastAsiaTheme="minorEastAsia" w:cs="Calibri"/>
                <w:bCs/>
                <w:color w:val="auto"/>
                <w:sz w:val="18"/>
                <w:szCs w:val="18"/>
                <w:lang w:eastAsia="ru-RU"/>
              </w:rPr>
              <w:t>0,05</w:t>
            </w:r>
          </w:p>
        </w:tc>
        <w:tc>
          <w:tcPr>
            <w:tcW w:w="0" w:type="auto"/>
            <w:tcBorders>
              <w:top w:val="nil"/>
              <w:left w:val="nil"/>
              <w:bottom w:val="single" w:sz="4" w:space="0" w:color="auto"/>
              <w:right w:val="single" w:sz="4" w:space="0" w:color="auto"/>
            </w:tcBorders>
            <w:shd w:val="clear" w:color="000000" w:fill="FFFFFF"/>
            <w:noWrap/>
            <w:vAlign w:val="center"/>
          </w:tcPr>
          <w:p w14:paraId="630079C3" w14:textId="77777777" w:rsidR="00483598" w:rsidRPr="00483598" w:rsidRDefault="00483598" w:rsidP="00483598">
            <w:pPr>
              <w:spacing w:after="0" w:line="240" w:lineRule="auto"/>
              <w:jc w:val="center"/>
              <w:rPr>
                <w:rFonts w:eastAsiaTheme="minorEastAsia" w:cstheme="minorBidi"/>
                <w:bCs/>
                <w:color w:val="auto"/>
                <w:sz w:val="18"/>
                <w:szCs w:val="18"/>
                <w:lang w:eastAsia="ru-RU"/>
              </w:rPr>
            </w:pPr>
            <w:r w:rsidRPr="00483598">
              <w:rPr>
                <w:rFonts w:eastAsiaTheme="minorEastAsia" w:cs="Calibri"/>
                <w:bCs/>
                <w:color w:val="auto"/>
                <w:sz w:val="18"/>
                <w:szCs w:val="18"/>
                <w:lang w:eastAsia="ru-RU"/>
              </w:rPr>
              <w:t>0,00</w:t>
            </w:r>
          </w:p>
        </w:tc>
        <w:tc>
          <w:tcPr>
            <w:tcW w:w="0" w:type="auto"/>
            <w:tcBorders>
              <w:top w:val="nil"/>
              <w:left w:val="nil"/>
              <w:bottom w:val="single" w:sz="4" w:space="0" w:color="auto"/>
              <w:right w:val="single" w:sz="4" w:space="0" w:color="auto"/>
            </w:tcBorders>
            <w:shd w:val="clear" w:color="000000" w:fill="FFFFFF"/>
            <w:noWrap/>
            <w:vAlign w:val="center"/>
          </w:tcPr>
          <w:p w14:paraId="244C2115" w14:textId="77777777" w:rsidR="00483598" w:rsidRPr="00483598" w:rsidRDefault="00483598" w:rsidP="00483598">
            <w:pPr>
              <w:spacing w:after="0" w:line="240" w:lineRule="auto"/>
              <w:jc w:val="center"/>
              <w:rPr>
                <w:rFonts w:eastAsiaTheme="minorEastAsia" w:cstheme="minorBidi"/>
                <w:bCs/>
                <w:color w:val="auto"/>
                <w:sz w:val="18"/>
                <w:szCs w:val="18"/>
                <w:lang w:eastAsia="ru-RU"/>
              </w:rPr>
            </w:pPr>
            <w:r w:rsidRPr="00483598">
              <w:rPr>
                <w:rFonts w:eastAsiaTheme="minorEastAsia" w:cs="Calibri"/>
                <w:bCs/>
                <w:color w:val="auto"/>
                <w:sz w:val="18"/>
                <w:szCs w:val="18"/>
                <w:lang w:eastAsia="ru-RU"/>
              </w:rPr>
              <w:t>0,05</w:t>
            </w:r>
          </w:p>
        </w:tc>
        <w:tc>
          <w:tcPr>
            <w:tcW w:w="0" w:type="auto"/>
            <w:tcBorders>
              <w:top w:val="nil"/>
              <w:left w:val="single" w:sz="4" w:space="0" w:color="auto"/>
              <w:bottom w:val="single" w:sz="4" w:space="0" w:color="auto"/>
              <w:right w:val="single" w:sz="4" w:space="0" w:color="auto"/>
            </w:tcBorders>
            <w:shd w:val="clear" w:color="auto" w:fill="auto"/>
            <w:noWrap/>
            <w:vAlign w:val="center"/>
          </w:tcPr>
          <w:p w14:paraId="179DE40B" w14:textId="77777777" w:rsidR="00483598" w:rsidRPr="00483598" w:rsidRDefault="00483598" w:rsidP="00483598">
            <w:pPr>
              <w:spacing w:after="0" w:line="240" w:lineRule="auto"/>
              <w:jc w:val="center"/>
              <w:rPr>
                <w:rFonts w:eastAsiaTheme="minorEastAsia" w:cstheme="minorBidi"/>
                <w:bCs/>
                <w:color w:val="auto"/>
                <w:sz w:val="18"/>
                <w:szCs w:val="18"/>
                <w:lang w:eastAsia="ru-RU"/>
              </w:rPr>
            </w:pPr>
            <w:r w:rsidRPr="00483598">
              <w:rPr>
                <w:rFonts w:eastAsiaTheme="minorEastAsia" w:cs="Calibri"/>
                <w:bCs/>
                <w:color w:val="000000"/>
                <w:sz w:val="18"/>
                <w:szCs w:val="18"/>
                <w:lang w:eastAsia="ru-RU"/>
              </w:rPr>
              <w:t>-100%</w:t>
            </w:r>
          </w:p>
        </w:tc>
      </w:tr>
      <w:tr w:rsidR="00483598" w:rsidRPr="00483598" w14:paraId="456B7849" w14:textId="77777777" w:rsidTr="00495A09">
        <w:trPr>
          <w:trHeight w:val="563"/>
        </w:trPr>
        <w:tc>
          <w:tcPr>
            <w:tcW w:w="0" w:type="auto"/>
            <w:tcBorders>
              <w:top w:val="single" w:sz="4" w:space="0" w:color="auto"/>
              <w:left w:val="single" w:sz="4" w:space="0" w:color="auto"/>
              <w:bottom w:val="single" w:sz="4" w:space="0" w:color="auto"/>
              <w:right w:val="single" w:sz="4" w:space="0" w:color="auto"/>
            </w:tcBorders>
            <w:noWrap/>
            <w:vAlign w:val="center"/>
            <w:hideMark/>
          </w:tcPr>
          <w:p w14:paraId="4C2186BC" w14:textId="77777777" w:rsidR="00483598" w:rsidRPr="00483598" w:rsidRDefault="00483598" w:rsidP="00483598">
            <w:pPr>
              <w:spacing w:after="0" w:line="240" w:lineRule="auto"/>
              <w:jc w:val="center"/>
              <w:rPr>
                <w:rFonts w:eastAsiaTheme="minorEastAsia" w:cstheme="minorBidi"/>
                <w:bCs/>
                <w:color w:val="000000"/>
                <w:sz w:val="18"/>
                <w:szCs w:val="18"/>
                <w:lang w:eastAsia="ru-RU"/>
              </w:rPr>
            </w:pPr>
            <w:r w:rsidRPr="00483598">
              <w:rPr>
                <w:rFonts w:eastAsiaTheme="minorEastAsia" w:cstheme="minorBidi"/>
                <w:bCs/>
                <w:color w:val="auto"/>
                <w:sz w:val="18"/>
                <w:szCs w:val="18"/>
                <w:lang w:eastAsia="ru-RU"/>
              </w:rPr>
              <w:t>5</w:t>
            </w:r>
          </w:p>
        </w:tc>
        <w:tc>
          <w:tcPr>
            <w:tcW w:w="0" w:type="auto"/>
            <w:tcBorders>
              <w:top w:val="nil"/>
              <w:left w:val="single" w:sz="4" w:space="0" w:color="auto"/>
              <w:bottom w:val="single" w:sz="4" w:space="0" w:color="auto"/>
              <w:right w:val="single" w:sz="4" w:space="0" w:color="auto"/>
            </w:tcBorders>
            <w:shd w:val="clear" w:color="auto" w:fill="auto"/>
            <w:vAlign w:val="center"/>
          </w:tcPr>
          <w:p w14:paraId="3D3AC7D8" w14:textId="77777777" w:rsidR="00483598" w:rsidRPr="00483598" w:rsidRDefault="00483598" w:rsidP="00483598">
            <w:pPr>
              <w:spacing w:after="0" w:line="240" w:lineRule="auto"/>
              <w:rPr>
                <w:rFonts w:eastAsiaTheme="minorEastAsia" w:cstheme="minorBidi"/>
                <w:bCs/>
                <w:color w:val="000000"/>
                <w:sz w:val="18"/>
                <w:szCs w:val="18"/>
                <w:lang w:eastAsia="ru-RU"/>
              </w:rPr>
            </w:pPr>
            <w:r w:rsidRPr="00483598">
              <w:rPr>
                <w:rFonts w:eastAsiaTheme="minorEastAsia" w:cs="Calibri"/>
                <w:bCs/>
                <w:color w:val="000000"/>
                <w:sz w:val="18"/>
                <w:szCs w:val="18"/>
                <w:lang w:eastAsia="ru-RU"/>
              </w:rPr>
              <w:t>Модернизация системы телемеханики и организация цифровых каналов связи на ПС 110/35/10 "Городская"</w:t>
            </w:r>
          </w:p>
        </w:tc>
        <w:tc>
          <w:tcPr>
            <w:tcW w:w="1503" w:type="dxa"/>
            <w:tcBorders>
              <w:top w:val="nil"/>
              <w:left w:val="nil"/>
              <w:bottom w:val="single" w:sz="4" w:space="0" w:color="auto"/>
              <w:right w:val="single" w:sz="4" w:space="0" w:color="auto"/>
            </w:tcBorders>
            <w:shd w:val="clear" w:color="auto" w:fill="auto"/>
            <w:vAlign w:val="center"/>
          </w:tcPr>
          <w:p w14:paraId="13117261" w14:textId="77777777" w:rsidR="00483598" w:rsidRPr="00483598" w:rsidRDefault="00483598" w:rsidP="00483598">
            <w:pPr>
              <w:spacing w:after="0" w:line="240" w:lineRule="auto"/>
              <w:jc w:val="center"/>
              <w:rPr>
                <w:rFonts w:eastAsiaTheme="minorEastAsia" w:cstheme="minorBidi"/>
                <w:bCs/>
                <w:color w:val="000000"/>
                <w:sz w:val="18"/>
                <w:szCs w:val="18"/>
                <w:lang w:eastAsia="ru-RU"/>
              </w:rPr>
            </w:pPr>
            <w:r w:rsidRPr="00483598">
              <w:rPr>
                <w:rFonts w:eastAsiaTheme="minorEastAsia" w:cs="Calibri"/>
                <w:bCs/>
                <w:color w:val="auto"/>
                <w:sz w:val="18"/>
                <w:szCs w:val="18"/>
                <w:lang w:eastAsia="ru-RU"/>
              </w:rPr>
              <w:t>I_41.1_ТЭ</w:t>
            </w:r>
          </w:p>
        </w:tc>
        <w:tc>
          <w:tcPr>
            <w:tcW w:w="0" w:type="auto"/>
            <w:tcBorders>
              <w:top w:val="nil"/>
              <w:left w:val="nil"/>
              <w:bottom w:val="single" w:sz="4" w:space="0" w:color="auto"/>
              <w:right w:val="single" w:sz="4" w:space="0" w:color="auto"/>
            </w:tcBorders>
            <w:shd w:val="clear" w:color="000000" w:fill="FFFFFF"/>
            <w:noWrap/>
            <w:vAlign w:val="center"/>
          </w:tcPr>
          <w:p w14:paraId="1F5D9C9A" w14:textId="77777777" w:rsidR="00483598" w:rsidRPr="00483598" w:rsidRDefault="00483598" w:rsidP="00483598">
            <w:pPr>
              <w:spacing w:after="0" w:line="240" w:lineRule="auto"/>
              <w:jc w:val="center"/>
              <w:rPr>
                <w:rFonts w:eastAsiaTheme="minorEastAsia" w:cstheme="minorBidi"/>
                <w:bCs/>
                <w:color w:val="auto"/>
                <w:sz w:val="18"/>
                <w:szCs w:val="18"/>
                <w:lang w:eastAsia="ru-RU"/>
              </w:rPr>
            </w:pPr>
            <w:r w:rsidRPr="00483598">
              <w:rPr>
                <w:rFonts w:eastAsiaTheme="minorEastAsia" w:cs="Calibri"/>
                <w:bCs/>
                <w:color w:val="auto"/>
                <w:sz w:val="18"/>
                <w:szCs w:val="18"/>
                <w:lang w:eastAsia="ru-RU"/>
              </w:rPr>
              <w:t>0,05</w:t>
            </w:r>
          </w:p>
        </w:tc>
        <w:tc>
          <w:tcPr>
            <w:tcW w:w="0" w:type="auto"/>
            <w:tcBorders>
              <w:top w:val="nil"/>
              <w:left w:val="nil"/>
              <w:bottom w:val="single" w:sz="4" w:space="0" w:color="auto"/>
              <w:right w:val="single" w:sz="4" w:space="0" w:color="auto"/>
            </w:tcBorders>
            <w:shd w:val="clear" w:color="000000" w:fill="FFFFFF"/>
            <w:noWrap/>
            <w:vAlign w:val="center"/>
          </w:tcPr>
          <w:p w14:paraId="654D7D9C" w14:textId="77777777" w:rsidR="00483598" w:rsidRPr="00483598" w:rsidRDefault="00483598" w:rsidP="00483598">
            <w:pPr>
              <w:spacing w:after="0" w:line="240" w:lineRule="auto"/>
              <w:jc w:val="center"/>
              <w:rPr>
                <w:rFonts w:eastAsiaTheme="minorEastAsia" w:cstheme="minorBidi"/>
                <w:bCs/>
                <w:color w:val="auto"/>
                <w:sz w:val="18"/>
                <w:szCs w:val="18"/>
                <w:lang w:eastAsia="ru-RU"/>
              </w:rPr>
            </w:pPr>
            <w:r w:rsidRPr="00483598">
              <w:rPr>
                <w:rFonts w:eastAsiaTheme="minorEastAsia" w:cs="Calibri"/>
                <w:bCs/>
                <w:color w:val="auto"/>
                <w:sz w:val="18"/>
                <w:szCs w:val="18"/>
                <w:lang w:eastAsia="ru-RU"/>
              </w:rPr>
              <w:t>0,00</w:t>
            </w:r>
          </w:p>
        </w:tc>
        <w:tc>
          <w:tcPr>
            <w:tcW w:w="0" w:type="auto"/>
            <w:tcBorders>
              <w:top w:val="nil"/>
              <w:left w:val="nil"/>
              <w:bottom w:val="single" w:sz="4" w:space="0" w:color="auto"/>
              <w:right w:val="single" w:sz="4" w:space="0" w:color="auto"/>
            </w:tcBorders>
            <w:shd w:val="clear" w:color="000000" w:fill="FFFFFF"/>
            <w:noWrap/>
            <w:vAlign w:val="center"/>
          </w:tcPr>
          <w:p w14:paraId="68D8B651" w14:textId="77777777" w:rsidR="00483598" w:rsidRPr="00483598" w:rsidRDefault="00483598" w:rsidP="00483598">
            <w:pPr>
              <w:spacing w:after="0" w:line="240" w:lineRule="auto"/>
              <w:jc w:val="center"/>
              <w:rPr>
                <w:rFonts w:eastAsiaTheme="minorEastAsia" w:cstheme="minorBidi"/>
                <w:bCs/>
                <w:color w:val="auto"/>
                <w:sz w:val="18"/>
                <w:szCs w:val="18"/>
                <w:lang w:eastAsia="ru-RU"/>
              </w:rPr>
            </w:pPr>
            <w:r w:rsidRPr="00483598">
              <w:rPr>
                <w:rFonts w:eastAsiaTheme="minorEastAsia" w:cs="Calibri"/>
                <w:bCs/>
                <w:color w:val="auto"/>
                <w:sz w:val="18"/>
                <w:szCs w:val="18"/>
                <w:lang w:eastAsia="ru-RU"/>
              </w:rPr>
              <w:t>0,05</w:t>
            </w:r>
          </w:p>
        </w:tc>
        <w:tc>
          <w:tcPr>
            <w:tcW w:w="0" w:type="auto"/>
            <w:tcBorders>
              <w:top w:val="nil"/>
              <w:left w:val="single" w:sz="4" w:space="0" w:color="auto"/>
              <w:bottom w:val="single" w:sz="4" w:space="0" w:color="auto"/>
              <w:right w:val="single" w:sz="4" w:space="0" w:color="auto"/>
            </w:tcBorders>
            <w:shd w:val="clear" w:color="auto" w:fill="auto"/>
            <w:noWrap/>
            <w:vAlign w:val="center"/>
          </w:tcPr>
          <w:p w14:paraId="5CD729CD" w14:textId="77777777" w:rsidR="00483598" w:rsidRPr="00483598" w:rsidRDefault="00483598" w:rsidP="00483598">
            <w:pPr>
              <w:spacing w:after="0" w:line="240" w:lineRule="auto"/>
              <w:jc w:val="center"/>
              <w:rPr>
                <w:rFonts w:eastAsiaTheme="minorEastAsia" w:cstheme="minorBidi"/>
                <w:bCs/>
                <w:color w:val="auto"/>
                <w:sz w:val="18"/>
                <w:szCs w:val="18"/>
                <w:lang w:eastAsia="ru-RU"/>
              </w:rPr>
            </w:pPr>
            <w:r w:rsidRPr="00483598">
              <w:rPr>
                <w:rFonts w:eastAsiaTheme="minorEastAsia" w:cs="Calibri"/>
                <w:bCs/>
                <w:color w:val="000000"/>
                <w:sz w:val="18"/>
                <w:szCs w:val="18"/>
                <w:lang w:eastAsia="ru-RU"/>
              </w:rPr>
              <w:t>-100%</w:t>
            </w:r>
          </w:p>
        </w:tc>
      </w:tr>
      <w:tr w:rsidR="00483598" w:rsidRPr="00483598" w14:paraId="191A6300" w14:textId="77777777" w:rsidTr="00495A09">
        <w:trPr>
          <w:trHeight w:val="563"/>
        </w:trPr>
        <w:tc>
          <w:tcPr>
            <w:tcW w:w="0" w:type="auto"/>
            <w:tcBorders>
              <w:top w:val="single" w:sz="4" w:space="0" w:color="auto"/>
              <w:left w:val="single" w:sz="4" w:space="0" w:color="auto"/>
              <w:bottom w:val="single" w:sz="4" w:space="0" w:color="auto"/>
              <w:right w:val="single" w:sz="4" w:space="0" w:color="auto"/>
            </w:tcBorders>
            <w:noWrap/>
            <w:vAlign w:val="center"/>
            <w:hideMark/>
          </w:tcPr>
          <w:p w14:paraId="46F2680E" w14:textId="77777777" w:rsidR="00483598" w:rsidRPr="00483598" w:rsidRDefault="00483598" w:rsidP="00483598">
            <w:pPr>
              <w:spacing w:after="0" w:line="240" w:lineRule="auto"/>
              <w:jc w:val="center"/>
              <w:rPr>
                <w:rFonts w:eastAsiaTheme="minorEastAsia" w:cstheme="minorBidi"/>
                <w:bCs/>
                <w:color w:val="000000"/>
                <w:sz w:val="18"/>
                <w:szCs w:val="18"/>
                <w:lang w:eastAsia="ru-RU"/>
              </w:rPr>
            </w:pPr>
            <w:r w:rsidRPr="00483598">
              <w:rPr>
                <w:rFonts w:eastAsiaTheme="minorEastAsia" w:cstheme="minorBidi"/>
                <w:bCs/>
                <w:color w:val="auto"/>
                <w:sz w:val="18"/>
                <w:szCs w:val="18"/>
                <w:lang w:eastAsia="ru-RU"/>
              </w:rPr>
              <w:t>6</w:t>
            </w:r>
          </w:p>
        </w:tc>
        <w:tc>
          <w:tcPr>
            <w:tcW w:w="0" w:type="auto"/>
            <w:tcBorders>
              <w:top w:val="nil"/>
              <w:left w:val="single" w:sz="4" w:space="0" w:color="auto"/>
              <w:bottom w:val="single" w:sz="4" w:space="0" w:color="auto"/>
              <w:right w:val="single" w:sz="4" w:space="0" w:color="auto"/>
            </w:tcBorders>
            <w:shd w:val="clear" w:color="auto" w:fill="auto"/>
            <w:vAlign w:val="center"/>
          </w:tcPr>
          <w:p w14:paraId="5C8EAB43" w14:textId="77777777" w:rsidR="00483598" w:rsidRPr="00483598" w:rsidRDefault="00483598" w:rsidP="00483598">
            <w:pPr>
              <w:spacing w:after="0" w:line="240" w:lineRule="auto"/>
              <w:rPr>
                <w:rFonts w:eastAsiaTheme="minorEastAsia" w:cstheme="minorBidi"/>
                <w:bCs/>
                <w:color w:val="000000"/>
                <w:sz w:val="18"/>
                <w:szCs w:val="18"/>
                <w:lang w:eastAsia="ru-RU"/>
              </w:rPr>
            </w:pPr>
            <w:r w:rsidRPr="00483598">
              <w:rPr>
                <w:rFonts w:eastAsiaTheme="minorEastAsia" w:cs="Calibri"/>
                <w:bCs/>
                <w:color w:val="000000"/>
                <w:sz w:val="18"/>
                <w:szCs w:val="18"/>
                <w:lang w:eastAsia="ru-RU"/>
              </w:rPr>
              <w:t xml:space="preserve">Реконструкция ВЛ-0,4 ф.1, ф.2 с применением СИП,  отходящей от ТП 10/0,4 №17 г. Кызыл ул. Щетинкина-Кравченко, </w:t>
            </w:r>
            <w:proofErr w:type="spellStart"/>
            <w:r w:rsidRPr="00483598">
              <w:rPr>
                <w:rFonts w:eastAsiaTheme="minorEastAsia" w:cs="Calibri"/>
                <w:bCs/>
                <w:color w:val="000000"/>
                <w:sz w:val="18"/>
                <w:szCs w:val="18"/>
                <w:lang w:eastAsia="ru-RU"/>
              </w:rPr>
              <w:t>ул.Безымянная</w:t>
            </w:r>
            <w:proofErr w:type="spellEnd"/>
            <w:r w:rsidRPr="00483598">
              <w:rPr>
                <w:rFonts w:eastAsiaTheme="minorEastAsia" w:cs="Calibri"/>
                <w:bCs/>
                <w:color w:val="000000"/>
                <w:sz w:val="18"/>
                <w:szCs w:val="18"/>
                <w:lang w:eastAsia="ru-RU"/>
              </w:rPr>
              <w:t xml:space="preserve">, </w:t>
            </w:r>
            <w:proofErr w:type="spellStart"/>
            <w:r w:rsidRPr="00483598">
              <w:rPr>
                <w:rFonts w:eastAsiaTheme="minorEastAsia" w:cs="Calibri"/>
                <w:bCs/>
                <w:color w:val="000000"/>
                <w:sz w:val="18"/>
                <w:szCs w:val="18"/>
                <w:lang w:eastAsia="ru-RU"/>
              </w:rPr>
              <w:t>ул.Титова</w:t>
            </w:r>
            <w:proofErr w:type="spellEnd"/>
            <w:r w:rsidRPr="00483598">
              <w:rPr>
                <w:rFonts w:eastAsiaTheme="minorEastAsia" w:cs="Calibri"/>
                <w:bCs/>
                <w:color w:val="000000"/>
                <w:sz w:val="18"/>
                <w:szCs w:val="18"/>
                <w:lang w:eastAsia="ru-RU"/>
              </w:rPr>
              <w:t xml:space="preserve">, </w:t>
            </w:r>
            <w:proofErr w:type="spellStart"/>
            <w:r w:rsidRPr="00483598">
              <w:rPr>
                <w:rFonts w:eastAsiaTheme="minorEastAsia" w:cs="Calibri"/>
                <w:bCs/>
                <w:color w:val="000000"/>
                <w:sz w:val="18"/>
                <w:szCs w:val="18"/>
                <w:lang w:eastAsia="ru-RU"/>
              </w:rPr>
              <w:t>пер.Речной</w:t>
            </w:r>
            <w:proofErr w:type="spellEnd"/>
            <w:r w:rsidRPr="00483598">
              <w:rPr>
                <w:rFonts w:eastAsiaTheme="minorEastAsia" w:cs="Calibri"/>
                <w:bCs/>
                <w:color w:val="000000"/>
                <w:sz w:val="18"/>
                <w:szCs w:val="18"/>
                <w:lang w:eastAsia="ru-RU"/>
              </w:rPr>
              <w:t>, 3,365 км.</w:t>
            </w:r>
          </w:p>
        </w:tc>
        <w:tc>
          <w:tcPr>
            <w:tcW w:w="1503" w:type="dxa"/>
            <w:tcBorders>
              <w:top w:val="nil"/>
              <w:left w:val="nil"/>
              <w:bottom w:val="single" w:sz="4" w:space="0" w:color="auto"/>
              <w:right w:val="single" w:sz="4" w:space="0" w:color="auto"/>
            </w:tcBorders>
            <w:shd w:val="clear" w:color="auto" w:fill="auto"/>
            <w:vAlign w:val="center"/>
          </w:tcPr>
          <w:p w14:paraId="684D22CC" w14:textId="77777777" w:rsidR="00483598" w:rsidRPr="00483598" w:rsidRDefault="00483598" w:rsidP="00483598">
            <w:pPr>
              <w:spacing w:after="0" w:line="240" w:lineRule="auto"/>
              <w:jc w:val="center"/>
              <w:rPr>
                <w:rFonts w:eastAsiaTheme="minorEastAsia" w:cstheme="minorBidi"/>
                <w:bCs/>
                <w:color w:val="000000"/>
                <w:sz w:val="18"/>
                <w:szCs w:val="18"/>
                <w:lang w:eastAsia="ru-RU"/>
              </w:rPr>
            </w:pPr>
            <w:r w:rsidRPr="00483598">
              <w:rPr>
                <w:rFonts w:eastAsiaTheme="minorEastAsia" w:cs="Calibri"/>
                <w:bCs/>
                <w:color w:val="auto"/>
                <w:sz w:val="18"/>
                <w:szCs w:val="18"/>
                <w:lang w:eastAsia="ru-RU"/>
              </w:rPr>
              <w:t>F_19-4_ТЭ</w:t>
            </w:r>
          </w:p>
        </w:tc>
        <w:tc>
          <w:tcPr>
            <w:tcW w:w="0" w:type="auto"/>
            <w:tcBorders>
              <w:top w:val="nil"/>
              <w:left w:val="nil"/>
              <w:bottom w:val="single" w:sz="4" w:space="0" w:color="auto"/>
              <w:right w:val="single" w:sz="4" w:space="0" w:color="auto"/>
            </w:tcBorders>
            <w:shd w:val="clear" w:color="000000" w:fill="FFFFFF"/>
            <w:noWrap/>
            <w:vAlign w:val="center"/>
          </w:tcPr>
          <w:p w14:paraId="723CD6CE" w14:textId="77777777" w:rsidR="00483598" w:rsidRPr="00483598" w:rsidRDefault="00483598" w:rsidP="00483598">
            <w:pPr>
              <w:spacing w:after="0" w:line="240" w:lineRule="auto"/>
              <w:jc w:val="center"/>
              <w:rPr>
                <w:rFonts w:eastAsiaTheme="minorEastAsia" w:cstheme="minorBidi"/>
                <w:bCs/>
                <w:color w:val="auto"/>
                <w:sz w:val="18"/>
                <w:szCs w:val="18"/>
                <w:lang w:eastAsia="ru-RU"/>
              </w:rPr>
            </w:pPr>
            <w:r w:rsidRPr="00483598">
              <w:rPr>
                <w:rFonts w:eastAsiaTheme="minorEastAsia" w:cs="Calibri"/>
                <w:bCs/>
                <w:color w:val="auto"/>
                <w:sz w:val="18"/>
                <w:szCs w:val="18"/>
                <w:lang w:eastAsia="ru-RU"/>
              </w:rPr>
              <w:t>4,53</w:t>
            </w:r>
          </w:p>
        </w:tc>
        <w:tc>
          <w:tcPr>
            <w:tcW w:w="0" w:type="auto"/>
            <w:tcBorders>
              <w:top w:val="nil"/>
              <w:left w:val="nil"/>
              <w:bottom w:val="single" w:sz="4" w:space="0" w:color="auto"/>
              <w:right w:val="single" w:sz="4" w:space="0" w:color="auto"/>
            </w:tcBorders>
            <w:shd w:val="clear" w:color="000000" w:fill="FFFFFF"/>
            <w:noWrap/>
            <w:vAlign w:val="center"/>
          </w:tcPr>
          <w:p w14:paraId="23098FDA" w14:textId="77777777" w:rsidR="00483598" w:rsidRPr="00483598" w:rsidRDefault="00483598" w:rsidP="00483598">
            <w:pPr>
              <w:spacing w:after="0" w:line="240" w:lineRule="auto"/>
              <w:jc w:val="center"/>
              <w:rPr>
                <w:rFonts w:eastAsiaTheme="minorEastAsia" w:cstheme="minorBidi"/>
                <w:bCs/>
                <w:color w:val="auto"/>
                <w:sz w:val="18"/>
                <w:szCs w:val="18"/>
                <w:lang w:eastAsia="ru-RU"/>
              </w:rPr>
            </w:pPr>
            <w:r w:rsidRPr="00483598">
              <w:rPr>
                <w:rFonts w:eastAsiaTheme="minorEastAsia" w:cs="Calibri"/>
                <w:bCs/>
                <w:color w:val="auto"/>
                <w:sz w:val="18"/>
                <w:szCs w:val="18"/>
                <w:lang w:eastAsia="ru-RU"/>
              </w:rPr>
              <w:t>3,24</w:t>
            </w:r>
          </w:p>
        </w:tc>
        <w:tc>
          <w:tcPr>
            <w:tcW w:w="0" w:type="auto"/>
            <w:tcBorders>
              <w:top w:val="nil"/>
              <w:left w:val="nil"/>
              <w:bottom w:val="single" w:sz="4" w:space="0" w:color="auto"/>
              <w:right w:val="single" w:sz="4" w:space="0" w:color="auto"/>
            </w:tcBorders>
            <w:shd w:val="clear" w:color="000000" w:fill="FFFFFF"/>
            <w:noWrap/>
            <w:vAlign w:val="center"/>
          </w:tcPr>
          <w:p w14:paraId="40E07124" w14:textId="77777777" w:rsidR="00483598" w:rsidRPr="00483598" w:rsidRDefault="00483598" w:rsidP="00483598">
            <w:pPr>
              <w:spacing w:after="0" w:line="240" w:lineRule="auto"/>
              <w:jc w:val="center"/>
              <w:rPr>
                <w:rFonts w:eastAsiaTheme="minorEastAsia" w:cstheme="minorBidi"/>
                <w:bCs/>
                <w:color w:val="auto"/>
                <w:sz w:val="18"/>
                <w:szCs w:val="18"/>
                <w:lang w:eastAsia="ru-RU"/>
              </w:rPr>
            </w:pPr>
            <w:r w:rsidRPr="00483598">
              <w:rPr>
                <w:rFonts w:eastAsiaTheme="minorEastAsia" w:cs="Calibri"/>
                <w:bCs/>
                <w:color w:val="auto"/>
                <w:sz w:val="18"/>
                <w:szCs w:val="18"/>
                <w:lang w:eastAsia="ru-RU"/>
              </w:rPr>
              <w:t>1,29</w:t>
            </w:r>
          </w:p>
        </w:tc>
        <w:tc>
          <w:tcPr>
            <w:tcW w:w="0" w:type="auto"/>
            <w:tcBorders>
              <w:top w:val="nil"/>
              <w:left w:val="single" w:sz="4" w:space="0" w:color="auto"/>
              <w:bottom w:val="single" w:sz="4" w:space="0" w:color="auto"/>
              <w:right w:val="single" w:sz="4" w:space="0" w:color="auto"/>
            </w:tcBorders>
            <w:shd w:val="clear" w:color="auto" w:fill="auto"/>
            <w:noWrap/>
            <w:vAlign w:val="center"/>
          </w:tcPr>
          <w:p w14:paraId="7D614ED6" w14:textId="77777777" w:rsidR="00483598" w:rsidRPr="00483598" w:rsidRDefault="00483598" w:rsidP="00483598">
            <w:pPr>
              <w:spacing w:after="0" w:line="240" w:lineRule="auto"/>
              <w:jc w:val="center"/>
              <w:rPr>
                <w:rFonts w:eastAsiaTheme="minorEastAsia" w:cstheme="minorBidi"/>
                <w:bCs/>
                <w:color w:val="auto"/>
                <w:sz w:val="18"/>
                <w:szCs w:val="18"/>
                <w:lang w:eastAsia="ru-RU"/>
              </w:rPr>
            </w:pPr>
            <w:r w:rsidRPr="00483598">
              <w:rPr>
                <w:rFonts w:eastAsiaTheme="minorEastAsia" w:cs="Calibri"/>
                <w:bCs/>
                <w:color w:val="000000"/>
                <w:sz w:val="18"/>
                <w:szCs w:val="18"/>
                <w:lang w:eastAsia="ru-RU"/>
              </w:rPr>
              <w:t>-28%</w:t>
            </w:r>
          </w:p>
        </w:tc>
      </w:tr>
      <w:tr w:rsidR="00483598" w:rsidRPr="00483598" w14:paraId="7398C1F5" w14:textId="77777777" w:rsidTr="00495A09">
        <w:trPr>
          <w:trHeight w:val="563"/>
        </w:trPr>
        <w:tc>
          <w:tcPr>
            <w:tcW w:w="0" w:type="auto"/>
            <w:tcBorders>
              <w:top w:val="single" w:sz="4" w:space="0" w:color="auto"/>
              <w:left w:val="single" w:sz="4" w:space="0" w:color="auto"/>
              <w:bottom w:val="single" w:sz="4" w:space="0" w:color="auto"/>
              <w:right w:val="single" w:sz="4" w:space="0" w:color="auto"/>
            </w:tcBorders>
            <w:noWrap/>
            <w:vAlign w:val="center"/>
            <w:hideMark/>
          </w:tcPr>
          <w:p w14:paraId="2454C933" w14:textId="77777777" w:rsidR="00483598" w:rsidRPr="00483598" w:rsidRDefault="00483598" w:rsidP="00483598">
            <w:pPr>
              <w:spacing w:after="0" w:line="240" w:lineRule="auto"/>
              <w:jc w:val="center"/>
              <w:rPr>
                <w:rFonts w:eastAsiaTheme="minorEastAsia" w:cstheme="minorBidi"/>
                <w:bCs/>
                <w:color w:val="000000"/>
                <w:sz w:val="18"/>
                <w:szCs w:val="18"/>
                <w:lang w:eastAsia="ru-RU"/>
              </w:rPr>
            </w:pPr>
            <w:r w:rsidRPr="00483598">
              <w:rPr>
                <w:rFonts w:eastAsiaTheme="minorEastAsia" w:cstheme="minorBidi"/>
                <w:bCs/>
                <w:color w:val="auto"/>
                <w:sz w:val="18"/>
                <w:szCs w:val="18"/>
                <w:lang w:eastAsia="ru-RU"/>
              </w:rPr>
              <w:t>7</w:t>
            </w:r>
          </w:p>
        </w:tc>
        <w:tc>
          <w:tcPr>
            <w:tcW w:w="0" w:type="auto"/>
            <w:tcBorders>
              <w:top w:val="nil"/>
              <w:left w:val="single" w:sz="4" w:space="0" w:color="auto"/>
              <w:bottom w:val="single" w:sz="4" w:space="0" w:color="auto"/>
              <w:right w:val="single" w:sz="4" w:space="0" w:color="auto"/>
            </w:tcBorders>
            <w:shd w:val="clear" w:color="auto" w:fill="auto"/>
            <w:vAlign w:val="center"/>
          </w:tcPr>
          <w:p w14:paraId="63B766F7" w14:textId="77777777" w:rsidR="00483598" w:rsidRPr="00483598" w:rsidRDefault="00483598" w:rsidP="00483598">
            <w:pPr>
              <w:spacing w:after="0" w:line="240" w:lineRule="auto"/>
              <w:rPr>
                <w:rFonts w:eastAsiaTheme="minorEastAsia" w:cstheme="minorBidi"/>
                <w:bCs/>
                <w:color w:val="000000"/>
                <w:sz w:val="18"/>
                <w:szCs w:val="18"/>
                <w:lang w:eastAsia="ru-RU"/>
              </w:rPr>
            </w:pPr>
            <w:r w:rsidRPr="00483598">
              <w:rPr>
                <w:rFonts w:eastAsiaTheme="minorEastAsia" w:cs="Calibri"/>
                <w:bCs/>
                <w:color w:val="000000"/>
                <w:sz w:val="18"/>
                <w:szCs w:val="18"/>
                <w:lang w:eastAsia="ru-RU"/>
              </w:rPr>
              <w:t xml:space="preserve">Реконструкция ВЛ-0,4 ф.1, ф.2 с применением СИП,  отходящей от ТП 10/0,4 №52 г. Кызыл, </w:t>
            </w:r>
            <w:proofErr w:type="spellStart"/>
            <w:r w:rsidRPr="00483598">
              <w:rPr>
                <w:rFonts w:eastAsiaTheme="minorEastAsia" w:cs="Calibri"/>
                <w:bCs/>
                <w:color w:val="000000"/>
                <w:sz w:val="18"/>
                <w:szCs w:val="18"/>
                <w:lang w:eastAsia="ru-RU"/>
              </w:rPr>
              <w:t>ул.Чургуй-оола</w:t>
            </w:r>
            <w:proofErr w:type="spellEnd"/>
            <w:r w:rsidRPr="00483598">
              <w:rPr>
                <w:rFonts w:eastAsiaTheme="minorEastAsia" w:cs="Calibri"/>
                <w:bCs/>
                <w:color w:val="000000"/>
                <w:sz w:val="18"/>
                <w:szCs w:val="18"/>
                <w:lang w:eastAsia="ru-RU"/>
              </w:rPr>
              <w:t xml:space="preserve">, </w:t>
            </w:r>
            <w:proofErr w:type="spellStart"/>
            <w:r w:rsidRPr="00483598">
              <w:rPr>
                <w:rFonts w:eastAsiaTheme="minorEastAsia" w:cs="Calibri"/>
                <w:bCs/>
                <w:color w:val="000000"/>
                <w:sz w:val="18"/>
                <w:szCs w:val="18"/>
                <w:lang w:eastAsia="ru-RU"/>
              </w:rPr>
              <w:t>ул.Рабочая</w:t>
            </w:r>
            <w:proofErr w:type="spellEnd"/>
            <w:r w:rsidRPr="00483598">
              <w:rPr>
                <w:rFonts w:eastAsiaTheme="minorEastAsia" w:cs="Calibri"/>
                <w:bCs/>
                <w:color w:val="000000"/>
                <w:sz w:val="18"/>
                <w:szCs w:val="18"/>
                <w:lang w:eastAsia="ru-RU"/>
              </w:rPr>
              <w:t xml:space="preserve">,  </w:t>
            </w:r>
            <w:proofErr w:type="spellStart"/>
            <w:r w:rsidRPr="00483598">
              <w:rPr>
                <w:rFonts w:eastAsiaTheme="minorEastAsia" w:cs="Calibri"/>
                <w:bCs/>
                <w:color w:val="000000"/>
                <w:sz w:val="18"/>
                <w:szCs w:val="18"/>
                <w:lang w:eastAsia="ru-RU"/>
              </w:rPr>
              <w:t>ул.Рихарда</w:t>
            </w:r>
            <w:proofErr w:type="spellEnd"/>
            <w:r w:rsidRPr="00483598">
              <w:rPr>
                <w:rFonts w:eastAsiaTheme="minorEastAsia" w:cs="Calibri"/>
                <w:bCs/>
                <w:color w:val="000000"/>
                <w:sz w:val="18"/>
                <w:szCs w:val="18"/>
                <w:lang w:eastAsia="ru-RU"/>
              </w:rPr>
              <w:t xml:space="preserve">-Зорге,  </w:t>
            </w:r>
            <w:proofErr w:type="spellStart"/>
            <w:r w:rsidRPr="00483598">
              <w:rPr>
                <w:rFonts w:eastAsiaTheme="minorEastAsia" w:cs="Calibri"/>
                <w:bCs/>
                <w:color w:val="000000"/>
                <w:sz w:val="18"/>
                <w:szCs w:val="18"/>
                <w:lang w:eastAsia="ru-RU"/>
              </w:rPr>
              <w:t>ул.Каа-Хем</w:t>
            </w:r>
            <w:proofErr w:type="spellEnd"/>
            <w:r w:rsidRPr="00483598">
              <w:rPr>
                <w:rFonts w:eastAsiaTheme="minorEastAsia" w:cs="Calibri"/>
                <w:bCs/>
                <w:color w:val="000000"/>
                <w:sz w:val="18"/>
                <w:szCs w:val="18"/>
                <w:lang w:eastAsia="ru-RU"/>
              </w:rPr>
              <w:t>,  3,281 км.</w:t>
            </w:r>
          </w:p>
        </w:tc>
        <w:tc>
          <w:tcPr>
            <w:tcW w:w="1503" w:type="dxa"/>
            <w:tcBorders>
              <w:top w:val="nil"/>
              <w:left w:val="nil"/>
              <w:bottom w:val="single" w:sz="4" w:space="0" w:color="auto"/>
              <w:right w:val="single" w:sz="4" w:space="0" w:color="auto"/>
            </w:tcBorders>
            <w:shd w:val="clear" w:color="auto" w:fill="auto"/>
            <w:vAlign w:val="center"/>
          </w:tcPr>
          <w:p w14:paraId="0DF60FD7" w14:textId="77777777" w:rsidR="00483598" w:rsidRPr="00483598" w:rsidRDefault="00483598" w:rsidP="00483598">
            <w:pPr>
              <w:spacing w:after="0" w:line="240" w:lineRule="auto"/>
              <w:jc w:val="center"/>
              <w:rPr>
                <w:rFonts w:eastAsiaTheme="minorEastAsia" w:cstheme="minorBidi"/>
                <w:bCs/>
                <w:color w:val="000000"/>
                <w:sz w:val="18"/>
                <w:szCs w:val="18"/>
                <w:lang w:eastAsia="ru-RU"/>
              </w:rPr>
            </w:pPr>
            <w:r w:rsidRPr="00483598">
              <w:rPr>
                <w:rFonts w:eastAsiaTheme="minorEastAsia" w:cs="Calibri"/>
                <w:bCs/>
                <w:color w:val="auto"/>
                <w:sz w:val="18"/>
                <w:szCs w:val="18"/>
                <w:lang w:eastAsia="ru-RU"/>
              </w:rPr>
              <w:t>F_19-6_ТЭ</w:t>
            </w:r>
          </w:p>
        </w:tc>
        <w:tc>
          <w:tcPr>
            <w:tcW w:w="0" w:type="auto"/>
            <w:tcBorders>
              <w:top w:val="nil"/>
              <w:left w:val="nil"/>
              <w:bottom w:val="single" w:sz="4" w:space="0" w:color="auto"/>
              <w:right w:val="single" w:sz="4" w:space="0" w:color="auto"/>
            </w:tcBorders>
            <w:shd w:val="clear" w:color="000000" w:fill="FFFFFF"/>
            <w:noWrap/>
            <w:vAlign w:val="center"/>
          </w:tcPr>
          <w:p w14:paraId="33CA531E" w14:textId="77777777" w:rsidR="00483598" w:rsidRPr="00483598" w:rsidRDefault="00483598" w:rsidP="00483598">
            <w:pPr>
              <w:spacing w:after="0" w:line="240" w:lineRule="auto"/>
              <w:jc w:val="center"/>
              <w:rPr>
                <w:rFonts w:eastAsiaTheme="minorEastAsia" w:cstheme="minorBidi"/>
                <w:bCs/>
                <w:color w:val="auto"/>
                <w:sz w:val="18"/>
                <w:szCs w:val="18"/>
                <w:lang w:eastAsia="ru-RU"/>
              </w:rPr>
            </w:pPr>
            <w:r w:rsidRPr="00483598">
              <w:rPr>
                <w:rFonts w:eastAsiaTheme="minorEastAsia" w:cs="Calibri"/>
                <w:bCs/>
                <w:color w:val="auto"/>
                <w:sz w:val="18"/>
                <w:szCs w:val="18"/>
                <w:lang w:eastAsia="ru-RU"/>
              </w:rPr>
              <w:t>4,41</w:t>
            </w:r>
          </w:p>
        </w:tc>
        <w:tc>
          <w:tcPr>
            <w:tcW w:w="0" w:type="auto"/>
            <w:tcBorders>
              <w:top w:val="nil"/>
              <w:left w:val="nil"/>
              <w:bottom w:val="single" w:sz="4" w:space="0" w:color="auto"/>
              <w:right w:val="single" w:sz="4" w:space="0" w:color="auto"/>
            </w:tcBorders>
            <w:shd w:val="clear" w:color="000000" w:fill="FFFFFF"/>
            <w:noWrap/>
            <w:vAlign w:val="center"/>
          </w:tcPr>
          <w:p w14:paraId="73E37F96" w14:textId="77777777" w:rsidR="00483598" w:rsidRPr="00483598" w:rsidRDefault="00483598" w:rsidP="00483598">
            <w:pPr>
              <w:spacing w:after="0" w:line="240" w:lineRule="auto"/>
              <w:jc w:val="center"/>
              <w:rPr>
                <w:rFonts w:eastAsiaTheme="minorEastAsia" w:cstheme="minorBidi"/>
                <w:bCs/>
                <w:color w:val="auto"/>
                <w:sz w:val="18"/>
                <w:szCs w:val="18"/>
                <w:lang w:eastAsia="ru-RU"/>
              </w:rPr>
            </w:pPr>
            <w:r w:rsidRPr="00483598">
              <w:rPr>
                <w:rFonts w:eastAsiaTheme="minorEastAsia" w:cs="Calibri"/>
                <w:bCs/>
                <w:color w:val="auto"/>
                <w:sz w:val="18"/>
                <w:szCs w:val="18"/>
                <w:lang w:eastAsia="ru-RU"/>
              </w:rPr>
              <w:t>3,32</w:t>
            </w:r>
          </w:p>
        </w:tc>
        <w:tc>
          <w:tcPr>
            <w:tcW w:w="0" w:type="auto"/>
            <w:tcBorders>
              <w:top w:val="nil"/>
              <w:left w:val="nil"/>
              <w:bottom w:val="single" w:sz="4" w:space="0" w:color="auto"/>
              <w:right w:val="single" w:sz="4" w:space="0" w:color="auto"/>
            </w:tcBorders>
            <w:shd w:val="clear" w:color="000000" w:fill="FFFFFF"/>
            <w:noWrap/>
            <w:vAlign w:val="center"/>
          </w:tcPr>
          <w:p w14:paraId="79A28796" w14:textId="77777777" w:rsidR="00483598" w:rsidRPr="00483598" w:rsidRDefault="00483598" w:rsidP="00483598">
            <w:pPr>
              <w:spacing w:after="0" w:line="240" w:lineRule="auto"/>
              <w:jc w:val="center"/>
              <w:rPr>
                <w:rFonts w:eastAsiaTheme="minorEastAsia" w:cstheme="minorBidi"/>
                <w:bCs/>
                <w:color w:val="auto"/>
                <w:sz w:val="18"/>
                <w:szCs w:val="18"/>
                <w:lang w:eastAsia="ru-RU"/>
              </w:rPr>
            </w:pPr>
            <w:r w:rsidRPr="00483598">
              <w:rPr>
                <w:rFonts w:eastAsiaTheme="minorEastAsia" w:cs="Calibri"/>
                <w:bCs/>
                <w:color w:val="auto"/>
                <w:sz w:val="18"/>
                <w:szCs w:val="18"/>
                <w:lang w:eastAsia="ru-RU"/>
              </w:rPr>
              <w:t>1,09</w:t>
            </w:r>
          </w:p>
        </w:tc>
        <w:tc>
          <w:tcPr>
            <w:tcW w:w="0" w:type="auto"/>
            <w:tcBorders>
              <w:top w:val="nil"/>
              <w:left w:val="single" w:sz="4" w:space="0" w:color="auto"/>
              <w:bottom w:val="single" w:sz="4" w:space="0" w:color="auto"/>
              <w:right w:val="single" w:sz="4" w:space="0" w:color="auto"/>
            </w:tcBorders>
            <w:shd w:val="clear" w:color="auto" w:fill="auto"/>
            <w:noWrap/>
            <w:vAlign w:val="center"/>
          </w:tcPr>
          <w:p w14:paraId="6B388D7C" w14:textId="77777777" w:rsidR="00483598" w:rsidRPr="00483598" w:rsidRDefault="00483598" w:rsidP="00483598">
            <w:pPr>
              <w:spacing w:after="0" w:line="240" w:lineRule="auto"/>
              <w:jc w:val="center"/>
              <w:rPr>
                <w:rFonts w:eastAsiaTheme="minorEastAsia" w:cstheme="minorBidi"/>
                <w:bCs/>
                <w:color w:val="auto"/>
                <w:sz w:val="18"/>
                <w:szCs w:val="18"/>
                <w:lang w:eastAsia="ru-RU"/>
              </w:rPr>
            </w:pPr>
            <w:r w:rsidRPr="00483598">
              <w:rPr>
                <w:rFonts w:eastAsiaTheme="minorEastAsia" w:cs="Calibri"/>
                <w:bCs/>
                <w:color w:val="000000"/>
                <w:sz w:val="18"/>
                <w:szCs w:val="18"/>
                <w:lang w:eastAsia="ru-RU"/>
              </w:rPr>
              <w:t>-25%</w:t>
            </w:r>
          </w:p>
        </w:tc>
      </w:tr>
      <w:tr w:rsidR="00483598" w:rsidRPr="00483598" w14:paraId="2E0BB0E9" w14:textId="77777777" w:rsidTr="00495A09">
        <w:trPr>
          <w:trHeight w:val="563"/>
        </w:trPr>
        <w:tc>
          <w:tcPr>
            <w:tcW w:w="0" w:type="auto"/>
            <w:tcBorders>
              <w:top w:val="single" w:sz="4" w:space="0" w:color="auto"/>
              <w:left w:val="single" w:sz="4" w:space="0" w:color="auto"/>
              <w:bottom w:val="single" w:sz="4" w:space="0" w:color="auto"/>
              <w:right w:val="single" w:sz="4" w:space="0" w:color="auto"/>
            </w:tcBorders>
            <w:noWrap/>
            <w:vAlign w:val="center"/>
            <w:hideMark/>
          </w:tcPr>
          <w:p w14:paraId="4655D435" w14:textId="77777777" w:rsidR="00483598" w:rsidRPr="00483598" w:rsidRDefault="00483598" w:rsidP="00483598">
            <w:pPr>
              <w:spacing w:after="0" w:line="240" w:lineRule="auto"/>
              <w:jc w:val="center"/>
              <w:rPr>
                <w:rFonts w:eastAsiaTheme="minorEastAsia" w:cstheme="minorBidi"/>
                <w:bCs/>
                <w:color w:val="000000"/>
                <w:sz w:val="18"/>
                <w:szCs w:val="18"/>
                <w:lang w:eastAsia="ru-RU"/>
              </w:rPr>
            </w:pPr>
            <w:r w:rsidRPr="00483598">
              <w:rPr>
                <w:rFonts w:eastAsiaTheme="minorEastAsia" w:cstheme="minorBidi"/>
                <w:bCs/>
                <w:color w:val="auto"/>
                <w:sz w:val="18"/>
                <w:szCs w:val="18"/>
                <w:lang w:eastAsia="ru-RU"/>
              </w:rPr>
              <w:t>8</w:t>
            </w:r>
          </w:p>
        </w:tc>
        <w:tc>
          <w:tcPr>
            <w:tcW w:w="0" w:type="auto"/>
            <w:tcBorders>
              <w:top w:val="nil"/>
              <w:left w:val="single" w:sz="4" w:space="0" w:color="auto"/>
              <w:bottom w:val="single" w:sz="4" w:space="0" w:color="auto"/>
              <w:right w:val="single" w:sz="4" w:space="0" w:color="auto"/>
            </w:tcBorders>
            <w:shd w:val="clear" w:color="auto" w:fill="auto"/>
            <w:vAlign w:val="center"/>
          </w:tcPr>
          <w:p w14:paraId="65BAC700" w14:textId="77777777" w:rsidR="00483598" w:rsidRPr="00483598" w:rsidRDefault="00483598" w:rsidP="00483598">
            <w:pPr>
              <w:spacing w:after="0" w:line="240" w:lineRule="auto"/>
              <w:rPr>
                <w:rFonts w:eastAsiaTheme="minorEastAsia" w:cstheme="minorBidi"/>
                <w:bCs/>
                <w:color w:val="000000"/>
                <w:sz w:val="18"/>
                <w:szCs w:val="18"/>
                <w:lang w:eastAsia="ru-RU"/>
              </w:rPr>
            </w:pPr>
            <w:r w:rsidRPr="00483598">
              <w:rPr>
                <w:rFonts w:eastAsiaTheme="minorEastAsia" w:cs="Calibri"/>
                <w:bCs/>
                <w:color w:val="000000"/>
                <w:sz w:val="18"/>
                <w:szCs w:val="18"/>
                <w:lang w:eastAsia="ru-RU"/>
              </w:rPr>
              <w:t xml:space="preserve">Реконструкция ВЛ-0,4 ф.1, ф.2 с применением СИП,  отходящей от ТП 10/0,4 №102 г. Кызыл, ул. Маяковского, </w:t>
            </w:r>
            <w:proofErr w:type="spellStart"/>
            <w:r w:rsidRPr="00483598">
              <w:rPr>
                <w:rFonts w:eastAsiaTheme="minorEastAsia" w:cs="Calibri"/>
                <w:bCs/>
                <w:color w:val="000000"/>
                <w:sz w:val="18"/>
                <w:szCs w:val="18"/>
                <w:lang w:eastAsia="ru-RU"/>
              </w:rPr>
              <w:t>ул.Оюна-Курседи</w:t>
            </w:r>
            <w:proofErr w:type="spellEnd"/>
            <w:r w:rsidRPr="00483598">
              <w:rPr>
                <w:rFonts w:eastAsiaTheme="minorEastAsia" w:cs="Calibri"/>
                <w:bCs/>
                <w:color w:val="000000"/>
                <w:sz w:val="18"/>
                <w:szCs w:val="18"/>
                <w:lang w:eastAsia="ru-RU"/>
              </w:rPr>
              <w:t xml:space="preserve">, </w:t>
            </w:r>
            <w:proofErr w:type="spellStart"/>
            <w:r w:rsidRPr="00483598">
              <w:rPr>
                <w:rFonts w:eastAsiaTheme="minorEastAsia" w:cs="Calibri"/>
                <w:bCs/>
                <w:color w:val="000000"/>
                <w:sz w:val="18"/>
                <w:szCs w:val="18"/>
                <w:lang w:eastAsia="ru-RU"/>
              </w:rPr>
              <w:t>ул.Карбышева</w:t>
            </w:r>
            <w:proofErr w:type="spellEnd"/>
            <w:r w:rsidRPr="00483598">
              <w:rPr>
                <w:rFonts w:eastAsiaTheme="minorEastAsia" w:cs="Calibri"/>
                <w:bCs/>
                <w:color w:val="000000"/>
                <w:sz w:val="18"/>
                <w:szCs w:val="18"/>
                <w:lang w:eastAsia="ru-RU"/>
              </w:rPr>
              <w:t xml:space="preserve">, </w:t>
            </w:r>
            <w:proofErr w:type="spellStart"/>
            <w:r w:rsidRPr="00483598">
              <w:rPr>
                <w:rFonts w:eastAsiaTheme="minorEastAsia" w:cs="Calibri"/>
                <w:bCs/>
                <w:color w:val="000000"/>
                <w:sz w:val="18"/>
                <w:szCs w:val="18"/>
                <w:lang w:eastAsia="ru-RU"/>
              </w:rPr>
              <w:t>ул.Фрунзе</w:t>
            </w:r>
            <w:proofErr w:type="spellEnd"/>
            <w:r w:rsidRPr="00483598">
              <w:rPr>
                <w:rFonts w:eastAsiaTheme="minorEastAsia" w:cs="Calibri"/>
                <w:bCs/>
                <w:color w:val="000000"/>
                <w:sz w:val="18"/>
                <w:szCs w:val="18"/>
                <w:lang w:eastAsia="ru-RU"/>
              </w:rPr>
              <w:t xml:space="preserve">, ул. Суворова,  </w:t>
            </w:r>
            <w:proofErr w:type="spellStart"/>
            <w:r w:rsidRPr="00483598">
              <w:rPr>
                <w:rFonts w:eastAsiaTheme="minorEastAsia" w:cs="Calibri"/>
                <w:bCs/>
                <w:color w:val="000000"/>
                <w:sz w:val="18"/>
                <w:szCs w:val="18"/>
                <w:lang w:eastAsia="ru-RU"/>
              </w:rPr>
              <w:t>ул.Туристическая</w:t>
            </w:r>
            <w:proofErr w:type="spellEnd"/>
            <w:r w:rsidRPr="00483598">
              <w:rPr>
                <w:rFonts w:eastAsiaTheme="minorEastAsia" w:cs="Calibri"/>
                <w:bCs/>
                <w:color w:val="000000"/>
                <w:sz w:val="18"/>
                <w:szCs w:val="18"/>
                <w:lang w:eastAsia="ru-RU"/>
              </w:rPr>
              <w:t>, 3,539 км.</w:t>
            </w:r>
          </w:p>
        </w:tc>
        <w:tc>
          <w:tcPr>
            <w:tcW w:w="1503" w:type="dxa"/>
            <w:tcBorders>
              <w:top w:val="nil"/>
              <w:left w:val="nil"/>
              <w:bottom w:val="single" w:sz="4" w:space="0" w:color="auto"/>
              <w:right w:val="single" w:sz="4" w:space="0" w:color="auto"/>
            </w:tcBorders>
            <w:shd w:val="clear" w:color="auto" w:fill="auto"/>
            <w:vAlign w:val="center"/>
          </w:tcPr>
          <w:p w14:paraId="49712B5C" w14:textId="77777777" w:rsidR="00483598" w:rsidRPr="00483598" w:rsidRDefault="00483598" w:rsidP="00483598">
            <w:pPr>
              <w:spacing w:after="0" w:line="240" w:lineRule="auto"/>
              <w:jc w:val="center"/>
              <w:rPr>
                <w:rFonts w:eastAsiaTheme="minorEastAsia" w:cstheme="minorBidi"/>
                <w:bCs/>
                <w:color w:val="000000"/>
                <w:sz w:val="18"/>
                <w:szCs w:val="18"/>
                <w:lang w:eastAsia="ru-RU"/>
              </w:rPr>
            </w:pPr>
            <w:r w:rsidRPr="00483598">
              <w:rPr>
                <w:rFonts w:eastAsiaTheme="minorEastAsia" w:cs="Calibri"/>
                <w:bCs/>
                <w:color w:val="auto"/>
                <w:sz w:val="18"/>
                <w:szCs w:val="18"/>
                <w:lang w:eastAsia="ru-RU"/>
              </w:rPr>
              <w:t>F_19-7_ТЭ</w:t>
            </w:r>
          </w:p>
        </w:tc>
        <w:tc>
          <w:tcPr>
            <w:tcW w:w="0" w:type="auto"/>
            <w:tcBorders>
              <w:top w:val="nil"/>
              <w:left w:val="nil"/>
              <w:bottom w:val="single" w:sz="4" w:space="0" w:color="auto"/>
              <w:right w:val="single" w:sz="4" w:space="0" w:color="auto"/>
            </w:tcBorders>
            <w:shd w:val="clear" w:color="000000" w:fill="FFFFFF"/>
            <w:noWrap/>
            <w:vAlign w:val="center"/>
          </w:tcPr>
          <w:p w14:paraId="15993287" w14:textId="77777777" w:rsidR="00483598" w:rsidRPr="00483598" w:rsidRDefault="00483598" w:rsidP="00483598">
            <w:pPr>
              <w:spacing w:after="0" w:line="240" w:lineRule="auto"/>
              <w:jc w:val="center"/>
              <w:rPr>
                <w:rFonts w:eastAsiaTheme="minorEastAsia" w:cstheme="minorBidi"/>
                <w:bCs/>
                <w:color w:val="auto"/>
                <w:sz w:val="18"/>
                <w:szCs w:val="18"/>
                <w:lang w:eastAsia="ru-RU"/>
              </w:rPr>
            </w:pPr>
            <w:r w:rsidRPr="00483598">
              <w:rPr>
                <w:rFonts w:eastAsiaTheme="minorEastAsia" w:cs="Calibri"/>
                <w:bCs/>
                <w:color w:val="auto"/>
                <w:sz w:val="18"/>
                <w:szCs w:val="18"/>
                <w:lang w:eastAsia="ru-RU"/>
              </w:rPr>
              <w:t>4,76</w:t>
            </w:r>
          </w:p>
        </w:tc>
        <w:tc>
          <w:tcPr>
            <w:tcW w:w="0" w:type="auto"/>
            <w:tcBorders>
              <w:top w:val="nil"/>
              <w:left w:val="nil"/>
              <w:bottom w:val="single" w:sz="4" w:space="0" w:color="auto"/>
              <w:right w:val="single" w:sz="4" w:space="0" w:color="auto"/>
            </w:tcBorders>
            <w:shd w:val="clear" w:color="000000" w:fill="FFFFFF"/>
            <w:noWrap/>
            <w:vAlign w:val="center"/>
          </w:tcPr>
          <w:p w14:paraId="3134312C" w14:textId="77777777" w:rsidR="00483598" w:rsidRPr="00483598" w:rsidRDefault="00483598" w:rsidP="00483598">
            <w:pPr>
              <w:spacing w:after="0" w:line="240" w:lineRule="auto"/>
              <w:jc w:val="center"/>
              <w:rPr>
                <w:rFonts w:eastAsiaTheme="minorEastAsia" w:cstheme="minorBidi"/>
                <w:bCs/>
                <w:color w:val="auto"/>
                <w:sz w:val="18"/>
                <w:szCs w:val="18"/>
                <w:lang w:eastAsia="ru-RU"/>
              </w:rPr>
            </w:pPr>
            <w:r w:rsidRPr="00483598">
              <w:rPr>
                <w:rFonts w:eastAsiaTheme="minorEastAsia" w:cs="Calibri"/>
                <w:bCs/>
                <w:color w:val="auto"/>
                <w:sz w:val="18"/>
                <w:szCs w:val="18"/>
                <w:lang w:eastAsia="ru-RU"/>
              </w:rPr>
              <w:t>3,91</w:t>
            </w:r>
          </w:p>
        </w:tc>
        <w:tc>
          <w:tcPr>
            <w:tcW w:w="0" w:type="auto"/>
            <w:tcBorders>
              <w:top w:val="nil"/>
              <w:left w:val="nil"/>
              <w:bottom w:val="single" w:sz="4" w:space="0" w:color="auto"/>
              <w:right w:val="single" w:sz="4" w:space="0" w:color="auto"/>
            </w:tcBorders>
            <w:shd w:val="clear" w:color="000000" w:fill="FFFFFF"/>
            <w:noWrap/>
            <w:vAlign w:val="center"/>
          </w:tcPr>
          <w:p w14:paraId="3A4F2D71" w14:textId="77777777" w:rsidR="00483598" w:rsidRPr="00483598" w:rsidRDefault="00483598" w:rsidP="00483598">
            <w:pPr>
              <w:spacing w:after="0" w:line="240" w:lineRule="auto"/>
              <w:jc w:val="center"/>
              <w:rPr>
                <w:rFonts w:eastAsiaTheme="minorEastAsia" w:cstheme="minorBidi"/>
                <w:bCs/>
                <w:color w:val="auto"/>
                <w:sz w:val="18"/>
                <w:szCs w:val="18"/>
                <w:lang w:eastAsia="ru-RU"/>
              </w:rPr>
            </w:pPr>
            <w:r w:rsidRPr="00483598">
              <w:rPr>
                <w:rFonts w:eastAsiaTheme="minorEastAsia" w:cs="Calibri"/>
                <w:bCs/>
                <w:color w:val="auto"/>
                <w:sz w:val="18"/>
                <w:szCs w:val="18"/>
                <w:lang w:eastAsia="ru-RU"/>
              </w:rPr>
              <w:t>0,85</w:t>
            </w:r>
          </w:p>
        </w:tc>
        <w:tc>
          <w:tcPr>
            <w:tcW w:w="0" w:type="auto"/>
            <w:tcBorders>
              <w:top w:val="nil"/>
              <w:left w:val="single" w:sz="4" w:space="0" w:color="auto"/>
              <w:bottom w:val="single" w:sz="4" w:space="0" w:color="auto"/>
              <w:right w:val="single" w:sz="4" w:space="0" w:color="auto"/>
            </w:tcBorders>
            <w:shd w:val="clear" w:color="auto" w:fill="auto"/>
            <w:noWrap/>
            <w:vAlign w:val="center"/>
          </w:tcPr>
          <w:p w14:paraId="0A8F1455" w14:textId="77777777" w:rsidR="00483598" w:rsidRPr="00483598" w:rsidRDefault="00483598" w:rsidP="00483598">
            <w:pPr>
              <w:spacing w:after="0" w:line="240" w:lineRule="auto"/>
              <w:jc w:val="center"/>
              <w:rPr>
                <w:rFonts w:eastAsiaTheme="minorEastAsia" w:cstheme="minorBidi"/>
                <w:bCs/>
                <w:color w:val="auto"/>
                <w:sz w:val="18"/>
                <w:szCs w:val="18"/>
                <w:lang w:eastAsia="ru-RU"/>
              </w:rPr>
            </w:pPr>
            <w:r w:rsidRPr="00483598">
              <w:rPr>
                <w:rFonts w:eastAsiaTheme="minorEastAsia" w:cs="Calibri"/>
                <w:bCs/>
                <w:color w:val="000000"/>
                <w:sz w:val="18"/>
                <w:szCs w:val="18"/>
                <w:lang w:eastAsia="ru-RU"/>
              </w:rPr>
              <w:t>-18%</w:t>
            </w:r>
          </w:p>
        </w:tc>
      </w:tr>
      <w:tr w:rsidR="00483598" w:rsidRPr="00483598" w14:paraId="1B85AEF5" w14:textId="77777777" w:rsidTr="00495A09">
        <w:trPr>
          <w:trHeight w:val="563"/>
        </w:trPr>
        <w:tc>
          <w:tcPr>
            <w:tcW w:w="0" w:type="auto"/>
            <w:tcBorders>
              <w:top w:val="single" w:sz="4" w:space="0" w:color="auto"/>
              <w:left w:val="single" w:sz="4" w:space="0" w:color="auto"/>
              <w:bottom w:val="single" w:sz="4" w:space="0" w:color="auto"/>
              <w:right w:val="single" w:sz="4" w:space="0" w:color="auto"/>
            </w:tcBorders>
            <w:noWrap/>
            <w:vAlign w:val="center"/>
            <w:hideMark/>
          </w:tcPr>
          <w:p w14:paraId="118E9EAF" w14:textId="77777777" w:rsidR="00483598" w:rsidRPr="00483598" w:rsidRDefault="00483598" w:rsidP="00483598">
            <w:pPr>
              <w:spacing w:after="0" w:line="240" w:lineRule="auto"/>
              <w:jc w:val="center"/>
              <w:rPr>
                <w:rFonts w:eastAsiaTheme="minorEastAsia" w:cstheme="minorBidi"/>
                <w:bCs/>
                <w:color w:val="000000"/>
                <w:sz w:val="18"/>
                <w:szCs w:val="18"/>
                <w:lang w:eastAsia="ru-RU"/>
              </w:rPr>
            </w:pPr>
            <w:r w:rsidRPr="00483598">
              <w:rPr>
                <w:rFonts w:eastAsiaTheme="minorEastAsia" w:cstheme="minorBidi"/>
                <w:bCs/>
                <w:color w:val="auto"/>
                <w:sz w:val="18"/>
                <w:szCs w:val="18"/>
                <w:lang w:eastAsia="ru-RU"/>
              </w:rPr>
              <w:t>9</w:t>
            </w:r>
          </w:p>
        </w:tc>
        <w:tc>
          <w:tcPr>
            <w:tcW w:w="0" w:type="auto"/>
            <w:tcBorders>
              <w:top w:val="nil"/>
              <w:left w:val="single" w:sz="4" w:space="0" w:color="auto"/>
              <w:bottom w:val="single" w:sz="4" w:space="0" w:color="auto"/>
              <w:right w:val="single" w:sz="4" w:space="0" w:color="auto"/>
            </w:tcBorders>
            <w:shd w:val="clear" w:color="auto" w:fill="auto"/>
            <w:vAlign w:val="center"/>
          </w:tcPr>
          <w:p w14:paraId="276A505B" w14:textId="77777777" w:rsidR="00483598" w:rsidRPr="00483598" w:rsidRDefault="00483598" w:rsidP="00483598">
            <w:pPr>
              <w:spacing w:after="0" w:line="240" w:lineRule="auto"/>
              <w:rPr>
                <w:rFonts w:eastAsiaTheme="minorEastAsia" w:cstheme="minorBidi"/>
                <w:bCs/>
                <w:color w:val="000000"/>
                <w:sz w:val="18"/>
                <w:szCs w:val="18"/>
                <w:lang w:eastAsia="ru-RU"/>
              </w:rPr>
            </w:pPr>
            <w:r w:rsidRPr="00483598">
              <w:rPr>
                <w:rFonts w:eastAsiaTheme="minorEastAsia" w:cs="Calibri"/>
                <w:bCs/>
                <w:color w:val="000000"/>
                <w:sz w:val="18"/>
                <w:szCs w:val="18"/>
                <w:lang w:eastAsia="ru-RU"/>
              </w:rPr>
              <w:t xml:space="preserve">Реконструкция ВЛ-0,4 ф.1, ф.2 с применением СИП,  отходящей от ТП 10/0,4 №36 г. Кызыл, </w:t>
            </w:r>
            <w:proofErr w:type="spellStart"/>
            <w:r w:rsidRPr="00483598">
              <w:rPr>
                <w:rFonts w:eastAsiaTheme="minorEastAsia" w:cs="Calibri"/>
                <w:bCs/>
                <w:color w:val="000000"/>
                <w:sz w:val="18"/>
                <w:szCs w:val="18"/>
                <w:lang w:eastAsia="ru-RU"/>
              </w:rPr>
              <w:t>ул.Малоенисейская</w:t>
            </w:r>
            <w:proofErr w:type="spellEnd"/>
            <w:r w:rsidRPr="00483598">
              <w:rPr>
                <w:rFonts w:eastAsiaTheme="minorEastAsia" w:cs="Calibri"/>
                <w:bCs/>
                <w:color w:val="000000"/>
                <w:sz w:val="18"/>
                <w:szCs w:val="18"/>
                <w:lang w:eastAsia="ru-RU"/>
              </w:rPr>
              <w:t xml:space="preserve">, </w:t>
            </w:r>
            <w:proofErr w:type="spellStart"/>
            <w:r w:rsidRPr="00483598">
              <w:rPr>
                <w:rFonts w:eastAsiaTheme="minorEastAsia" w:cs="Calibri"/>
                <w:bCs/>
                <w:color w:val="000000"/>
                <w:sz w:val="18"/>
                <w:szCs w:val="18"/>
                <w:lang w:eastAsia="ru-RU"/>
              </w:rPr>
              <w:t>ул.Лесная</w:t>
            </w:r>
            <w:proofErr w:type="spellEnd"/>
            <w:r w:rsidRPr="00483598">
              <w:rPr>
                <w:rFonts w:eastAsiaTheme="minorEastAsia" w:cs="Calibri"/>
                <w:bCs/>
                <w:color w:val="000000"/>
                <w:sz w:val="18"/>
                <w:szCs w:val="18"/>
                <w:lang w:eastAsia="ru-RU"/>
              </w:rPr>
              <w:t>, 3,555 км.</w:t>
            </w:r>
          </w:p>
        </w:tc>
        <w:tc>
          <w:tcPr>
            <w:tcW w:w="1503" w:type="dxa"/>
            <w:tcBorders>
              <w:top w:val="nil"/>
              <w:left w:val="nil"/>
              <w:bottom w:val="single" w:sz="4" w:space="0" w:color="auto"/>
              <w:right w:val="single" w:sz="4" w:space="0" w:color="auto"/>
            </w:tcBorders>
            <w:shd w:val="clear" w:color="auto" w:fill="auto"/>
            <w:vAlign w:val="center"/>
          </w:tcPr>
          <w:p w14:paraId="3499700D" w14:textId="77777777" w:rsidR="00483598" w:rsidRPr="00483598" w:rsidRDefault="00483598" w:rsidP="00483598">
            <w:pPr>
              <w:spacing w:after="0" w:line="240" w:lineRule="auto"/>
              <w:jc w:val="center"/>
              <w:rPr>
                <w:rFonts w:eastAsiaTheme="minorEastAsia" w:cstheme="minorBidi"/>
                <w:bCs/>
                <w:color w:val="000000"/>
                <w:sz w:val="18"/>
                <w:szCs w:val="18"/>
                <w:lang w:eastAsia="ru-RU"/>
              </w:rPr>
            </w:pPr>
            <w:r w:rsidRPr="00483598">
              <w:rPr>
                <w:rFonts w:eastAsiaTheme="minorEastAsia" w:cs="Calibri"/>
                <w:bCs/>
                <w:color w:val="auto"/>
                <w:sz w:val="18"/>
                <w:szCs w:val="18"/>
                <w:lang w:eastAsia="ru-RU"/>
              </w:rPr>
              <w:t>F_19-12_ТЭ</w:t>
            </w:r>
          </w:p>
        </w:tc>
        <w:tc>
          <w:tcPr>
            <w:tcW w:w="0" w:type="auto"/>
            <w:tcBorders>
              <w:top w:val="nil"/>
              <w:left w:val="nil"/>
              <w:bottom w:val="single" w:sz="4" w:space="0" w:color="auto"/>
              <w:right w:val="single" w:sz="4" w:space="0" w:color="auto"/>
            </w:tcBorders>
            <w:shd w:val="clear" w:color="000000" w:fill="FFFFFF"/>
            <w:noWrap/>
            <w:vAlign w:val="center"/>
          </w:tcPr>
          <w:p w14:paraId="7D6C7703" w14:textId="77777777" w:rsidR="00483598" w:rsidRPr="00483598" w:rsidRDefault="00483598" w:rsidP="00483598">
            <w:pPr>
              <w:spacing w:after="0" w:line="240" w:lineRule="auto"/>
              <w:jc w:val="center"/>
              <w:rPr>
                <w:rFonts w:eastAsiaTheme="minorEastAsia" w:cstheme="minorBidi"/>
                <w:bCs/>
                <w:color w:val="auto"/>
                <w:sz w:val="18"/>
                <w:szCs w:val="18"/>
                <w:lang w:eastAsia="ru-RU"/>
              </w:rPr>
            </w:pPr>
            <w:r w:rsidRPr="00483598">
              <w:rPr>
                <w:rFonts w:eastAsiaTheme="minorEastAsia" w:cs="Calibri"/>
                <w:bCs/>
                <w:color w:val="auto"/>
                <w:sz w:val="18"/>
                <w:szCs w:val="18"/>
                <w:lang w:eastAsia="ru-RU"/>
              </w:rPr>
              <w:t>4,79</w:t>
            </w:r>
          </w:p>
        </w:tc>
        <w:tc>
          <w:tcPr>
            <w:tcW w:w="0" w:type="auto"/>
            <w:tcBorders>
              <w:top w:val="nil"/>
              <w:left w:val="nil"/>
              <w:bottom w:val="single" w:sz="4" w:space="0" w:color="auto"/>
              <w:right w:val="single" w:sz="4" w:space="0" w:color="auto"/>
            </w:tcBorders>
            <w:shd w:val="clear" w:color="000000" w:fill="FFFFFF"/>
            <w:noWrap/>
            <w:vAlign w:val="center"/>
          </w:tcPr>
          <w:p w14:paraId="451EBB8E" w14:textId="77777777" w:rsidR="00483598" w:rsidRPr="00483598" w:rsidRDefault="00483598" w:rsidP="00483598">
            <w:pPr>
              <w:spacing w:after="0" w:line="240" w:lineRule="auto"/>
              <w:jc w:val="center"/>
              <w:rPr>
                <w:rFonts w:eastAsiaTheme="minorEastAsia" w:cstheme="minorBidi"/>
                <w:bCs/>
                <w:color w:val="auto"/>
                <w:sz w:val="18"/>
                <w:szCs w:val="18"/>
                <w:lang w:eastAsia="ru-RU"/>
              </w:rPr>
            </w:pPr>
            <w:r w:rsidRPr="00483598">
              <w:rPr>
                <w:rFonts w:eastAsiaTheme="minorEastAsia" w:cs="Calibri"/>
                <w:bCs/>
                <w:color w:val="auto"/>
                <w:sz w:val="18"/>
                <w:szCs w:val="18"/>
                <w:lang w:eastAsia="ru-RU"/>
              </w:rPr>
              <w:t>3,12</w:t>
            </w:r>
          </w:p>
        </w:tc>
        <w:tc>
          <w:tcPr>
            <w:tcW w:w="0" w:type="auto"/>
            <w:tcBorders>
              <w:top w:val="nil"/>
              <w:left w:val="nil"/>
              <w:bottom w:val="single" w:sz="4" w:space="0" w:color="auto"/>
              <w:right w:val="single" w:sz="4" w:space="0" w:color="auto"/>
            </w:tcBorders>
            <w:shd w:val="clear" w:color="000000" w:fill="FFFFFF"/>
            <w:noWrap/>
            <w:vAlign w:val="center"/>
          </w:tcPr>
          <w:p w14:paraId="470E0E07" w14:textId="77777777" w:rsidR="00483598" w:rsidRPr="00483598" w:rsidRDefault="00483598" w:rsidP="00483598">
            <w:pPr>
              <w:spacing w:after="0" w:line="240" w:lineRule="auto"/>
              <w:jc w:val="center"/>
              <w:rPr>
                <w:rFonts w:eastAsiaTheme="minorEastAsia" w:cstheme="minorBidi"/>
                <w:bCs/>
                <w:color w:val="auto"/>
                <w:sz w:val="18"/>
                <w:szCs w:val="18"/>
                <w:lang w:eastAsia="ru-RU"/>
              </w:rPr>
            </w:pPr>
            <w:r w:rsidRPr="00483598">
              <w:rPr>
                <w:rFonts w:eastAsiaTheme="minorEastAsia" w:cs="Calibri"/>
                <w:bCs/>
                <w:color w:val="auto"/>
                <w:sz w:val="18"/>
                <w:szCs w:val="18"/>
                <w:lang w:eastAsia="ru-RU"/>
              </w:rPr>
              <w:t>1,67</w:t>
            </w:r>
          </w:p>
        </w:tc>
        <w:tc>
          <w:tcPr>
            <w:tcW w:w="0" w:type="auto"/>
            <w:tcBorders>
              <w:top w:val="nil"/>
              <w:left w:val="single" w:sz="4" w:space="0" w:color="auto"/>
              <w:bottom w:val="single" w:sz="4" w:space="0" w:color="auto"/>
              <w:right w:val="single" w:sz="4" w:space="0" w:color="auto"/>
            </w:tcBorders>
            <w:shd w:val="clear" w:color="auto" w:fill="auto"/>
            <w:noWrap/>
            <w:vAlign w:val="center"/>
          </w:tcPr>
          <w:p w14:paraId="013CFB69" w14:textId="77777777" w:rsidR="00483598" w:rsidRPr="00483598" w:rsidRDefault="00483598" w:rsidP="00483598">
            <w:pPr>
              <w:spacing w:after="0" w:line="240" w:lineRule="auto"/>
              <w:jc w:val="center"/>
              <w:rPr>
                <w:rFonts w:eastAsiaTheme="minorEastAsia" w:cstheme="minorBidi"/>
                <w:bCs/>
                <w:color w:val="auto"/>
                <w:sz w:val="18"/>
                <w:szCs w:val="18"/>
                <w:lang w:eastAsia="ru-RU"/>
              </w:rPr>
            </w:pPr>
            <w:r w:rsidRPr="00483598">
              <w:rPr>
                <w:rFonts w:eastAsiaTheme="minorEastAsia" w:cs="Calibri"/>
                <w:bCs/>
                <w:color w:val="000000"/>
                <w:sz w:val="18"/>
                <w:szCs w:val="18"/>
                <w:lang w:eastAsia="ru-RU"/>
              </w:rPr>
              <w:t>-35%</w:t>
            </w:r>
          </w:p>
        </w:tc>
      </w:tr>
      <w:tr w:rsidR="00483598" w:rsidRPr="00483598" w14:paraId="6077D1C8" w14:textId="77777777" w:rsidTr="00495A09">
        <w:trPr>
          <w:trHeight w:val="563"/>
        </w:trPr>
        <w:tc>
          <w:tcPr>
            <w:tcW w:w="0" w:type="auto"/>
            <w:tcBorders>
              <w:top w:val="single" w:sz="4" w:space="0" w:color="auto"/>
              <w:left w:val="single" w:sz="4" w:space="0" w:color="auto"/>
              <w:bottom w:val="single" w:sz="4" w:space="0" w:color="auto"/>
              <w:right w:val="single" w:sz="4" w:space="0" w:color="auto"/>
            </w:tcBorders>
            <w:noWrap/>
            <w:vAlign w:val="center"/>
            <w:hideMark/>
          </w:tcPr>
          <w:p w14:paraId="7295AF3D" w14:textId="77777777" w:rsidR="00483598" w:rsidRPr="00483598" w:rsidRDefault="00483598" w:rsidP="00483598">
            <w:pPr>
              <w:spacing w:after="0" w:line="240" w:lineRule="auto"/>
              <w:jc w:val="center"/>
              <w:rPr>
                <w:rFonts w:eastAsiaTheme="minorEastAsia" w:cstheme="minorBidi"/>
                <w:bCs/>
                <w:color w:val="000000"/>
                <w:sz w:val="18"/>
                <w:szCs w:val="18"/>
                <w:lang w:eastAsia="ru-RU"/>
              </w:rPr>
            </w:pPr>
            <w:r w:rsidRPr="00483598">
              <w:rPr>
                <w:rFonts w:eastAsiaTheme="minorEastAsia" w:cstheme="minorBidi"/>
                <w:bCs/>
                <w:color w:val="auto"/>
                <w:sz w:val="18"/>
                <w:szCs w:val="18"/>
                <w:lang w:eastAsia="ru-RU"/>
              </w:rPr>
              <w:t>10</w:t>
            </w:r>
          </w:p>
        </w:tc>
        <w:tc>
          <w:tcPr>
            <w:tcW w:w="0" w:type="auto"/>
            <w:tcBorders>
              <w:top w:val="nil"/>
              <w:left w:val="single" w:sz="4" w:space="0" w:color="auto"/>
              <w:bottom w:val="single" w:sz="4" w:space="0" w:color="auto"/>
              <w:right w:val="single" w:sz="4" w:space="0" w:color="auto"/>
            </w:tcBorders>
            <w:shd w:val="clear" w:color="auto" w:fill="auto"/>
            <w:vAlign w:val="center"/>
          </w:tcPr>
          <w:p w14:paraId="7370B260" w14:textId="77777777" w:rsidR="00483598" w:rsidRPr="00483598" w:rsidRDefault="00483598" w:rsidP="00483598">
            <w:pPr>
              <w:spacing w:after="0" w:line="240" w:lineRule="auto"/>
              <w:rPr>
                <w:rFonts w:eastAsiaTheme="minorEastAsia" w:cstheme="minorBidi"/>
                <w:bCs/>
                <w:color w:val="000000"/>
                <w:sz w:val="18"/>
                <w:szCs w:val="18"/>
                <w:lang w:eastAsia="ru-RU"/>
              </w:rPr>
            </w:pPr>
            <w:r w:rsidRPr="00483598">
              <w:rPr>
                <w:rFonts w:eastAsiaTheme="minorEastAsia" w:cs="Calibri"/>
                <w:bCs/>
                <w:color w:val="000000"/>
                <w:sz w:val="18"/>
                <w:szCs w:val="18"/>
                <w:lang w:eastAsia="ru-RU"/>
              </w:rPr>
              <w:t>Покупка бурильно-крановых машин, в количестве 6 ед.: Автокран  - 2  ед.,  БКМ - 3 ед.; Автогидроподъемник - 1 ед.</w:t>
            </w:r>
          </w:p>
        </w:tc>
        <w:tc>
          <w:tcPr>
            <w:tcW w:w="1503" w:type="dxa"/>
            <w:tcBorders>
              <w:top w:val="nil"/>
              <w:left w:val="nil"/>
              <w:bottom w:val="single" w:sz="4" w:space="0" w:color="auto"/>
              <w:right w:val="single" w:sz="4" w:space="0" w:color="auto"/>
            </w:tcBorders>
            <w:shd w:val="clear" w:color="auto" w:fill="auto"/>
            <w:vAlign w:val="center"/>
          </w:tcPr>
          <w:p w14:paraId="4578152B" w14:textId="77777777" w:rsidR="00483598" w:rsidRPr="00483598" w:rsidRDefault="00483598" w:rsidP="00483598">
            <w:pPr>
              <w:spacing w:after="0" w:line="240" w:lineRule="auto"/>
              <w:jc w:val="center"/>
              <w:rPr>
                <w:rFonts w:eastAsiaTheme="minorEastAsia" w:cstheme="minorBidi"/>
                <w:bCs/>
                <w:color w:val="000000"/>
                <w:sz w:val="18"/>
                <w:szCs w:val="18"/>
                <w:lang w:eastAsia="ru-RU"/>
              </w:rPr>
            </w:pPr>
            <w:r w:rsidRPr="00483598">
              <w:rPr>
                <w:rFonts w:eastAsiaTheme="minorEastAsia" w:cs="Calibri"/>
                <w:bCs/>
                <w:color w:val="auto"/>
                <w:sz w:val="18"/>
                <w:szCs w:val="18"/>
                <w:lang w:eastAsia="ru-RU"/>
              </w:rPr>
              <w:t>F_05_ВН</w:t>
            </w:r>
          </w:p>
        </w:tc>
        <w:tc>
          <w:tcPr>
            <w:tcW w:w="0" w:type="auto"/>
            <w:tcBorders>
              <w:top w:val="nil"/>
              <w:left w:val="nil"/>
              <w:bottom w:val="single" w:sz="4" w:space="0" w:color="auto"/>
              <w:right w:val="single" w:sz="4" w:space="0" w:color="auto"/>
            </w:tcBorders>
            <w:shd w:val="clear" w:color="000000" w:fill="FFFFFF"/>
            <w:noWrap/>
            <w:vAlign w:val="center"/>
          </w:tcPr>
          <w:p w14:paraId="2AD0FC0C" w14:textId="77777777" w:rsidR="00483598" w:rsidRPr="00483598" w:rsidRDefault="00483598" w:rsidP="00483598">
            <w:pPr>
              <w:spacing w:after="0" w:line="240" w:lineRule="auto"/>
              <w:jc w:val="center"/>
              <w:rPr>
                <w:rFonts w:eastAsiaTheme="minorEastAsia" w:cstheme="minorBidi"/>
                <w:bCs/>
                <w:color w:val="auto"/>
                <w:sz w:val="18"/>
                <w:szCs w:val="18"/>
                <w:lang w:eastAsia="ru-RU"/>
              </w:rPr>
            </w:pPr>
            <w:r w:rsidRPr="00483598">
              <w:rPr>
                <w:rFonts w:eastAsiaTheme="minorEastAsia" w:cs="Calibri"/>
                <w:bCs/>
                <w:color w:val="auto"/>
                <w:sz w:val="18"/>
                <w:szCs w:val="18"/>
                <w:lang w:eastAsia="ru-RU"/>
              </w:rPr>
              <w:t>4,74</w:t>
            </w:r>
          </w:p>
        </w:tc>
        <w:tc>
          <w:tcPr>
            <w:tcW w:w="0" w:type="auto"/>
            <w:tcBorders>
              <w:top w:val="nil"/>
              <w:left w:val="nil"/>
              <w:bottom w:val="single" w:sz="4" w:space="0" w:color="auto"/>
              <w:right w:val="single" w:sz="4" w:space="0" w:color="auto"/>
            </w:tcBorders>
            <w:shd w:val="clear" w:color="000000" w:fill="FFFFFF"/>
            <w:noWrap/>
            <w:vAlign w:val="center"/>
          </w:tcPr>
          <w:p w14:paraId="2E6221A4" w14:textId="77777777" w:rsidR="00483598" w:rsidRPr="00483598" w:rsidRDefault="00483598" w:rsidP="00483598">
            <w:pPr>
              <w:spacing w:after="0" w:line="240" w:lineRule="auto"/>
              <w:jc w:val="center"/>
              <w:rPr>
                <w:rFonts w:eastAsiaTheme="minorEastAsia" w:cstheme="minorBidi"/>
                <w:bCs/>
                <w:color w:val="auto"/>
                <w:sz w:val="18"/>
                <w:szCs w:val="18"/>
                <w:lang w:eastAsia="ru-RU"/>
              </w:rPr>
            </w:pPr>
            <w:r w:rsidRPr="00483598">
              <w:rPr>
                <w:rFonts w:eastAsiaTheme="minorEastAsia" w:cs="Calibri"/>
                <w:bCs/>
                <w:color w:val="auto"/>
                <w:sz w:val="18"/>
                <w:szCs w:val="18"/>
                <w:lang w:eastAsia="ru-RU"/>
              </w:rPr>
              <w:t>3,70</w:t>
            </w:r>
          </w:p>
        </w:tc>
        <w:tc>
          <w:tcPr>
            <w:tcW w:w="0" w:type="auto"/>
            <w:tcBorders>
              <w:top w:val="nil"/>
              <w:left w:val="nil"/>
              <w:bottom w:val="single" w:sz="4" w:space="0" w:color="auto"/>
              <w:right w:val="single" w:sz="4" w:space="0" w:color="auto"/>
            </w:tcBorders>
            <w:shd w:val="clear" w:color="000000" w:fill="FFFFFF"/>
            <w:noWrap/>
            <w:vAlign w:val="center"/>
          </w:tcPr>
          <w:p w14:paraId="05B15CC9" w14:textId="77777777" w:rsidR="00483598" w:rsidRPr="00483598" w:rsidRDefault="00483598" w:rsidP="00483598">
            <w:pPr>
              <w:spacing w:after="0" w:line="240" w:lineRule="auto"/>
              <w:jc w:val="center"/>
              <w:rPr>
                <w:rFonts w:eastAsiaTheme="minorEastAsia" w:cstheme="minorBidi"/>
                <w:bCs/>
                <w:color w:val="auto"/>
                <w:sz w:val="18"/>
                <w:szCs w:val="18"/>
                <w:lang w:eastAsia="ru-RU"/>
              </w:rPr>
            </w:pPr>
            <w:r w:rsidRPr="00483598">
              <w:rPr>
                <w:rFonts w:eastAsiaTheme="minorEastAsia" w:cs="Calibri"/>
                <w:bCs/>
                <w:color w:val="auto"/>
                <w:sz w:val="18"/>
                <w:szCs w:val="18"/>
                <w:lang w:eastAsia="ru-RU"/>
              </w:rPr>
              <w:t>1,04</w:t>
            </w:r>
          </w:p>
        </w:tc>
        <w:tc>
          <w:tcPr>
            <w:tcW w:w="0" w:type="auto"/>
            <w:tcBorders>
              <w:top w:val="nil"/>
              <w:left w:val="single" w:sz="4" w:space="0" w:color="auto"/>
              <w:bottom w:val="single" w:sz="4" w:space="0" w:color="auto"/>
              <w:right w:val="single" w:sz="4" w:space="0" w:color="auto"/>
            </w:tcBorders>
            <w:shd w:val="clear" w:color="auto" w:fill="auto"/>
            <w:noWrap/>
            <w:vAlign w:val="center"/>
          </w:tcPr>
          <w:p w14:paraId="00413416" w14:textId="77777777" w:rsidR="00483598" w:rsidRPr="00483598" w:rsidRDefault="00483598" w:rsidP="00483598">
            <w:pPr>
              <w:spacing w:after="0" w:line="240" w:lineRule="auto"/>
              <w:jc w:val="center"/>
              <w:rPr>
                <w:rFonts w:eastAsiaTheme="minorEastAsia" w:cstheme="minorBidi"/>
                <w:bCs/>
                <w:color w:val="auto"/>
                <w:sz w:val="18"/>
                <w:szCs w:val="18"/>
                <w:lang w:eastAsia="ru-RU"/>
              </w:rPr>
            </w:pPr>
            <w:r w:rsidRPr="00483598">
              <w:rPr>
                <w:rFonts w:eastAsiaTheme="minorEastAsia" w:cs="Calibri"/>
                <w:bCs/>
                <w:color w:val="000000"/>
                <w:sz w:val="18"/>
                <w:szCs w:val="18"/>
                <w:lang w:eastAsia="ru-RU"/>
              </w:rPr>
              <w:t>-22%</w:t>
            </w:r>
          </w:p>
        </w:tc>
      </w:tr>
      <w:tr w:rsidR="00483598" w:rsidRPr="00483598" w14:paraId="0A55C2BE" w14:textId="77777777" w:rsidTr="00495A09">
        <w:trPr>
          <w:trHeight w:val="563"/>
        </w:trPr>
        <w:tc>
          <w:tcPr>
            <w:tcW w:w="0" w:type="auto"/>
            <w:tcBorders>
              <w:top w:val="single" w:sz="4" w:space="0" w:color="auto"/>
              <w:left w:val="single" w:sz="4" w:space="0" w:color="auto"/>
              <w:bottom w:val="single" w:sz="4" w:space="0" w:color="auto"/>
              <w:right w:val="single" w:sz="4" w:space="0" w:color="auto"/>
            </w:tcBorders>
            <w:noWrap/>
            <w:vAlign w:val="center"/>
            <w:hideMark/>
          </w:tcPr>
          <w:p w14:paraId="6FB7E2C9" w14:textId="77777777" w:rsidR="00483598" w:rsidRPr="00483598" w:rsidRDefault="00483598" w:rsidP="00483598">
            <w:pPr>
              <w:spacing w:after="0" w:line="240" w:lineRule="auto"/>
              <w:jc w:val="center"/>
              <w:rPr>
                <w:rFonts w:eastAsiaTheme="minorEastAsia" w:cstheme="minorBidi"/>
                <w:bCs/>
                <w:color w:val="000000"/>
                <w:sz w:val="18"/>
                <w:szCs w:val="18"/>
                <w:lang w:eastAsia="ru-RU"/>
              </w:rPr>
            </w:pPr>
            <w:r w:rsidRPr="00483598">
              <w:rPr>
                <w:rFonts w:eastAsiaTheme="minorEastAsia" w:cstheme="minorBidi"/>
                <w:bCs/>
                <w:color w:val="auto"/>
                <w:sz w:val="18"/>
                <w:szCs w:val="18"/>
                <w:lang w:eastAsia="ru-RU"/>
              </w:rPr>
              <w:lastRenderedPageBreak/>
              <w:t>11</w:t>
            </w:r>
          </w:p>
        </w:tc>
        <w:tc>
          <w:tcPr>
            <w:tcW w:w="0" w:type="auto"/>
            <w:tcBorders>
              <w:top w:val="nil"/>
              <w:left w:val="single" w:sz="4" w:space="0" w:color="auto"/>
              <w:bottom w:val="single" w:sz="4" w:space="0" w:color="auto"/>
              <w:right w:val="single" w:sz="4" w:space="0" w:color="auto"/>
            </w:tcBorders>
            <w:shd w:val="clear" w:color="auto" w:fill="auto"/>
            <w:vAlign w:val="center"/>
          </w:tcPr>
          <w:p w14:paraId="7C842E47" w14:textId="77777777" w:rsidR="00483598" w:rsidRPr="00483598" w:rsidRDefault="00483598" w:rsidP="00483598">
            <w:pPr>
              <w:spacing w:after="0" w:line="240" w:lineRule="auto"/>
              <w:rPr>
                <w:rFonts w:eastAsiaTheme="minorEastAsia" w:cstheme="minorBidi"/>
                <w:bCs/>
                <w:color w:val="000000"/>
                <w:sz w:val="18"/>
                <w:szCs w:val="18"/>
                <w:lang w:eastAsia="ru-RU"/>
              </w:rPr>
            </w:pPr>
            <w:r w:rsidRPr="00483598">
              <w:rPr>
                <w:rFonts w:eastAsiaTheme="minorEastAsia" w:cs="Calibri"/>
                <w:bCs/>
                <w:color w:val="000000"/>
                <w:sz w:val="18"/>
                <w:szCs w:val="18"/>
                <w:lang w:eastAsia="ru-RU"/>
              </w:rPr>
              <w:t>Покупка экскаваторов:  экскаватор-погрузчик в количестве 6 ед.</w:t>
            </w:r>
          </w:p>
        </w:tc>
        <w:tc>
          <w:tcPr>
            <w:tcW w:w="1503" w:type="dxa"/>
            <w:tcBorders>
              <w:top w:val="nil"/>
              <w:left w:val="nil"/>
              <w:bottom w:val="single" w:sz="4" w:space="0" w:color="auto"/>
              <w:right w:val="single" w:sz="4" w:space="0" w:color="auto"/>
            </w:tcBorders>
            <w:shd w:val="clear" w:color="auto" w:fill="auto"/>
            <w:vAlign w:val="center"/>
          </w:tcPr>
          <w:p w14:paraId="75F06455" w14:textId="77777777" w:rsidR="00483598" w:rsidRPr="00483598" w:rsidRDefault="00483598" w:rsidP="00483598">
            <w:pPr>
              <w:spacing w:after="0" w:line="240" w:lineRule="auto"/>
              <w:jc w:val="center"/>
              <w:rPr>
                <w:rFonts w:eastAsiaTheme="minorEastAsia" w:cstheme="minorBidi"/>
                <w:bCs/>
                <w:color w:val="000000"/>
                <w:sz w:val="18"/>
                <w:szCs w:val="18"/>
                <w:lang w:eastAsia="ru-RU"/>
              </w:rPr>
            </w:pPr>
            <w:r w:rsidRPr="00483598">
              <w:rPr>
                <w:rFonts w:eastAsiaTheme="minorEastAsia" w:cs="Calibri"/>
                <w:bCs/>
                <w:color w:val="auto"/>
                <w:sz w:val="18"/>
                <w:szCs w:val="18"/>
                <w:lang w:eastAsia="ru-RU"/>
              </w:rPr>
              <w:t>H_06_ВН</w:t>
            </w:r>
          </w:p>
        </w:tc>
        <w:tc>
          <w:tcPr>
            <w:tcW w:w="0" w:type="auto"/>
            <w:tcBorders>
              <w:top w:val="nil"/>
              <w:left w:val="nil"/>
              <w:bottom w:val="single" w:sz="4" w:space="0" w:color="auto"/>
              <w:right w:val="single" w:sz="4" w:space="0" w:color="auto"/>
            </w:tcBorders>
            <w:shd w:val="clear" w:color="000000" w:fill="FFFFFF"/>
            <w:noWrap/>
            <w:vAlign w:val="center"/>
          </w:tcPr>
          <w:p w14:paraId="22460B8A" w14:textId="77777777" w:rsidR="00483598" w:rsidRPr="00483598" w:rsidRDefault="00483598" w:rsidP="00483598">
            <w:pPr>
              <w:spacing w:after="0" w:line="240" w:lineRule="auto"/>
              <w:jc w:val="center"/>
              <w:rPr>
                <w:rFonts w:eastAsiaTheme="minorEastAsia" w:cstheme="minorBidi"/>
                <w:bCs/>
                <w:color w:val="auto"/>
                <w:sz w:val="18"/>
                <w:szCs w:val="18"/>
                <w:lang w:eastAsia="ru-RU"/>
              </w:rPr>
            </w:pPr>
            <w:r w:rsidRPr="00483598">
              <w:rPr>
                <w:rFonts w:eastAsiaTheme="minorEastAsia" w:cs="Calibri"/>
                <w:bCs/>
                <w:color w:val="auto"/>
                <w:sz w:val="18"/>
                <w:szCs w:val="18"/>
                <w:lang w:eastAsia="ru-RU"/>
              </w:rPr>
              <w:t>2,16</w:t>
            </w:r>
          </w:p>
        </w:tc>
        <w:tc>
          <w:tcPr>
            <w:tcW w:w="0" w:type="auto"/>
            <w:tcBorders>
              <w:top w:val="nil"/>
              <w:left w:val="nil"/>
              <w:bottom w:val="single" w:sz="4" w:space="0" w:color="auto"/>
              <w:right w:val="single" w:sz="4" w:space="0" w:color="auto"/>
            </w:tcBorders>
            <w:shd w:val="clear" w:color="000000" w:fill="FFFFFF"/>
            <w:noWrap/>
            <w:vAlign w:val="center"/>
          </w:tcPr>
          <w:p w14:paraId="74356DF1" w14:textId="77777777" w:rsidR="00483598" w:rsidRPr="00483598" w:rsidRDefault="00483598" w:rsidP="00483598">
            <w:pPr>
              <w:spacing w:after="0" w:line="240" w:lineRule="auto"/>
              <w:jc w:val="center"/>
              <w:rPr>
                <w:rFonts w:eastAsiaTheme="minorEastAsia" w:cstheme="minorBidi"/>
                <w:bCs/>
                <w:color w:val="auto"/>
                <w:sz w:val="18"/>
                <w:szCs w:val="18"/>
                <w:lang w:eastAsia="ru-RU"/>
              </w:rPr>
            </w:pPr>
            <w:r w:rsidRPr="00483598">
              <w:rPr>
                <w:rFonts w:eastAsiaTheme="minorEastAsia" w:cs="Calibri"/>
                <w:bCs/>
                <w:color w:val="auto"/>
                <w:sz w:val="18"/>
                <w:szCs w:val="18"/>
                <w:lang w:eastAsia="ru-RU"/>
              </w:rPr>
              <w:t>0,00</w:t>
            </w:r>
          </w:p>
        </w:tc>
        <w:tc>
          <w:tcPr>
            <w:tcW w:w="0" w:type="auto"/>
            <w:tcBorders>
              <w:top w:val="nil"/>
              <w:left w:val="nil"/>
              <w:bottom w:val="single" w:sz="4" w:space="0" w:color="auto"/>
              <w:right w:val="single" w:sz="4" w:space="0" w:color="auto"/>
            </w:tcBorders>
            <w:shd w:val="clear" w:color="000000" w:fill="FFFFFF"/>
            <w:noWrap/>
            <w:vAlign w:val="center"/>
          </w:tcPr>
          <w:p w14:paraId="40C7BB53" w14:textId="77777777" w:rsidR="00483598" w:rsidRPr="00483598" w:rsidRDefault="00483598" w:rsidP="00483598">
            <w:pPr>
              <w:spacing w:after="0" w:line="240" w:lineRule="auto"/>
              <w:jc w:val="center"/>
              <w:rPr>
                <w:rFonts w:eastAsiaTheme="minorEastAsia" w:cstheme="minorBidi"/>
                <w:bCs/>
                <w:color w:val="auto"/>
                <w:sz w:val="18"/>
                <w:szCs w:val="18"/>
                <w:lang w:eastAsia="ru-RU"/>
              </w:rPr>
            </w:pPr>
            <w:r w:rsidRPr="00483598">
              <w:rPr>
                <w:rFonts w:eastAsiaTheme="minorEastAsia" w:cs="Calibri"/>
                <w:bCs/>
                <w:color w:val="auto"/>
                <w:sz w:val="18"/>
                <w:szCs w:val="18"/>
                <w:lang w:eastAsia="ru-RU"/>
              </w:rPr>
              <w:t>2,16</w:t>
            </w:r>
          </w:p>
        </w:tc>
        <w:tc>
          <w:tcPr>
            <w:tcW w:w="0" w:type="auto"/>
            <w:tcBorders>
              <w:top w:val="nil"/>
              <w:left w:val="single" w:sz="4" w:space="0" w:color="auto"/>
              <w:bottom w:val="single" w:sz="4" w:space="0" w:color="auto"/>
              <w:right w:val="single" w:sz="4" w:space="0" w:color="auto"/>
            </w:tcBorders>
            <w:shd w:val="clear" w:color="auto" w:fill="auto"/>
            <w:noWrap/>
            <w:vAlign w:val="center"/>
          </w:tcPr>
          <w:p w14:paraId="496A33E5" w14:textId="77777777" w:rsidR="00483598" w:rsidRPr="00483598" w:rsidRDefault="00483598" w:rsidP="00483598">
            <w:pPr>
              <w:spacing w:after="0" w:line="240" w:lineRule="auto"/>
              <w:jc w:val="center"/>
              <w:rPr>
                <w:rFonts w:eastAsiaTheme="minorEastAsia" w:cstheme="minorBidi"/>
                <w:bCs/>
                <w:color w:val="auto"/>
                <w:sz w:val="18"/>
                <w:szCs w:val="18"/>
                <w:lang w:eastAsia="ru-RU"/>
              </w:rPr>
            </w:pPr>
            <w:r w:rsidRPr="00483598">
              <w:rPr>
                <w:rFonts w:eastAsiaTheme="minorEastAsia" w:cs="Calibri"/>
                <w:bCs/>
                <w:color w:val="000000"/>
                <w:sz w:val="18"/>
                <w:szCs w:val="18"/>
                <w:lang w:eastAsia="ru-RU"/>
              </w:rPr>
              <w:t>-100%</w:t>
            </w:r>
          </w:p>
        </w:tc>
      </w:tr>
      <w:tr w:rsidR="00483598" w:rsidRPr="00483598" w14:paraId="58790884" w14:textId="77777777" w:rsidTr="00495A09">
        <w:trPr>
          <w:trHeight w:val="563"/>
        </w:trPr>
        <w:tc>
          <w:tcPr>
            <w:tcW w:w="0" w:type="auto"/>
            <w:tcBorders>
              <w:top w:val="single" w:sz="4" w:space="0" w:color="auto"/>
              <w:left w:val="single" w:sz="4" w:space="0" w:color="auto"/>
              <w:bottom w:val="single" w:sz="4" w:space="0" w:color="auto"/>
              <w:right w:val="single" w:sz="4" w:space="0" w:color="auto"/>
            </w:tcBorders>
            <w:noWrap/>
            <w:vAlign w:val="center"/>
            <w:hideMark/>
          </w:tcPr>
          <w:p w14:paraId="171CB1BE" w14:textId="77777777" w:rsidR="00483598" w:rsidRPr="00483598" w:rsidRDefault="00483598" w:rsidP="00483598">
            <w:pPr>
              <w:spacing w:after="0" w:line="240" w:lineRule="auto"/>
              <w:jc w:val="center"/>
              <w:rPr>
                <w:rFonts w:eastAsiaTheme="minorEastAsia" w:cstheme="minorBidi"/>
                <w:bCs/>
                <w:color w:val="000000"/>
                <w:sz w:val="18"/>
                <w:szCs w:val="18"/>
                <w:lang w:eastAsia="ru-RU"/>
              </w:rPr>
            </w:pPr>
            <w:r w:rsidRPr="00483598">
              <w:rPr>
                <w:rFonts w:eastAsiaTheme="minorEastAsia" w:cstheme="minorBidi"/>
                <w:bCs/>
                <w:color w:val="auto"/>
                <w:sz w:val="18"/>
                <w:szCs w:val="18"/>
                <w:lang w:eastAsia="ru-RU"/>
              </w:rPr>
              <w:t>12</w:t>
            </w:r>
          </w:p>
        </w:tc>
        <w:tc>
          <w:tcPr>
            <w:tcW w:w="0" w:type="auto"/>
            <w:tcBorders>
              <w:top w:val="nil"/>
              <w:left w:val="single" w:sz="4" w:space="0" w:color="auto"/>
              <w:bottom w:val="single" w:sz="4" w:space="0" w:color="auto"/>
              <w:right w:val="single" w:sz="4" w:space="0" w:color="auto"/>
            </w:tcBorders>
            <w:shd w:val="clear" w:color="auto" w:fill="auto"/>
            <w:vAlign w:val="center"/>
          </w:tcPr>
          <w:p w14:paraId="42DB7AC6" w14:textId="77777777" w:rsidR="00483598" w:rsidRPr="00483598" w:rsidRDefault="00483598" w:rsidP="00483598">
            <w:pPr>
              <w:spacing w:after="0" w:line="240" w:lineRule="auto"/>
              <w:rPr>
                <w:rFonts w:eastAsiaTheme="minorEastAsia" w:cstheme="minorBidi"/>
                <w:bCs/>
                <w:color w:val="000000"/>
                <w:sz w:val="18"/>
                <w:szCs w:val="18"/>
                <w:lang w:eastAsia="ru-RU"/>
              </w:rPr>
            </w:pPr>
            <w:r w:rsidRPr="00483598">
              <w:rPr>
                <w:rFonts w:eastAsiaTheme="minorEastAsia" w:cs="Calibri"/>
                <w:bCs/>
                <w:color w:val="000000"/>
                <w:sz w:val="18"/>
                <w:szCs w:val="18"/>
                <w:lang w:eastAsia="ru-RU"/>
              </w:rPr>
              <w:t xml:space="preserve">Покупка диагностического и измерительного оборудования, приборов РЗА, в количестве 99 ед. (2016-2019 </w:t>
            </w:r>
            <w:proofErr w:type="spellStart"/>
            <w:r w:rsidRPr="00483598">
              <w:rPr>
                <w:rFonts w:eastAsiaTheme="minorEastAsia" w:cs="Calibri"/>
                <w:bCs/>
                <w:color w:val="000000"/>
                <w:sz w:val="18"/>
                <w:szCs w:val="18"/>
                <w:lang w:eastAsia="ru-RU"/>
              </w:rPr>
              <w:t>гг</w:t>
            </w:r>
            <w:proofErr w:type="spellEnd"/>
            <w:r w:rsidRPr="00483598">
              <w:rPr>
                <w:rFonts w:eastAsiaTheme="minorEastAsia" w:cs="Calibri"/>
                <w:bCs/>
                <w:color w:val="000000"/>
                <w:sz w:val="18"/>
                <w:szCs w:val="18"/>
                <w:lang w:eastAsia="ru-RU"/>
              </w:rPr>
              <w:t xml:space="preserve">): система расхода топлива и мониторинга транспорта - 72 </w:t>
            </w:r>
            <w:proofErr w:type="spellStart"/>
            <w:r w:rsidRPr="00483598">
              <w:rPr>
                <w:rFonts w:eastAsiaTheme="minorEastAsia" w:cs="Calibri"/>
                <w:bCs/>
                <w:color w:val="000000"/>
                <w:sz w:val="18"/>
                <w:szCs w:val="18"/>
                <w:lang w:eastAsia="ru-RU"/>
              </w:rPr>
              <w:t>шт</w:t>
            </w:r>
            <w:proofErr w:type="spellEnd"/>
            <w:r w:rsidRPr="00483598">
              <w:rPr>
                <w:rFonts w:eastAsiaTheme="minorEastAsia" w:cs="Calibri"/>
                <w:bCs/>
                <w:color w:val="000000"/>
                <w:sz w:val="18"/>
                <w:szCs w:val="18"/>
                <w:lang w:eastAsia="ru-RU"/>
              </w:rPr>
              <w:t xml:space="preserve">, дуговая защита "овод-м" - 19 </w:t>
            </w:r>
            <w:proofErr w:type="spellStart"/>
            <w:r w:rsidRPr="00483598">
              <w:rPr>
                <w:rFonts w:eastAsiaTheme="minorEastAsia" w:cs="Calibri"/>
                <w:bCs/>
                <w:color w:val="000000"/>
                <w:sz w:val="18"/>
                <w:szCs w:val="18"/>
                <w:lang w:eastAsia="ru-RU"/>
              </w:rPr>
              <w:t>шт</w:t>
            </w:r>
            <w:proofErr w:type="spellEnd"/>
            <w:r w:rsidRPr="00483598">
              <w:rPr>
                <w:rFonts w:eastAsiaTheme="minorEastAsia" w:cs="Calibri"/>
                <w:bCs/>
                <w:color w:val="000000"/>
                <w:sz w:val="18"/>
                <w:szCs w:val="18"/>
                <w:lang w:eastAsia="ru-RU"/>
              </w:rPr>
              <w:t xml:space="preserve">, тепловизор - 1 </w:t>
            </w:r>
            <w:proofErr w:type="spellStart"/>
            <w:r w:rsidRPr="00483598">
              <w:rPr>
                <w:rFonts w:eastAsiaTheme="minorEastAsia" w:cs="Calibri"/>
                <w:bCs/>
                <w:color w:val="000000"/>
                <w:sz w:val="18"/>
                <w:szCs w:val="18"/>
                <w:lang w:eastAsia="ru-RU"/>
              </w:rPr>
              <w:t>шт</w:t>
            </w:r>
            <w:proofErr w:type="spellEnd"/>
            <w:r w:rsidRPr="00483598">
              <w:rPr>
                <w:rFonts w:eastAsiaTheme="minorEastAsia" w:cs="Calibri"/>
                <w:bCs/>
                <w:color w:val="000000"/>
                <w:sz w:val="18"/>
                <w:szCs w:val="18"/>
                <w:lang w:eastAsia="ru-RU"/>
              </w:rPr>
              <w:t>, микропроцессорный блок  - 7 шт.</w:t>
            </w:r>
          </w:p>
        </w:tc>
        <w:tc>
          <w:tcPr>
            <w:tcW w:w="1503" w:type="dxa"/>
            <w:tcBorders>
              <w:top w:val="nil"/>
              <w:left w:val="nil"/>
              <w:bottom w:val="single" w:sz="4" w:space="0" w:color="auto"/>
              <w:right w:val="single" w:sz="4" w:space="0" w:color="auto"/>
            </w:tcBorders>
            <w:shd w:val="clear" w:color="auto" w:fill="auto"/>
            <w:vAlign w:val="center"/>
          </w:tcPr>
          <w:p w14:paraId="7901D2F8" w14:textId="77777777" w:rsidR="00483598" w:rsidRPr="00483598" w:rsidRDefault="00483598" w:rsidP="00483598">
            <w:pPr>
              <w:spacing w:after="0" w:line="240" w:lineRule="auto"/>
              <w:jc w:val="center"/>
              <w:rPr>
                <w:rFonts w:eastAsiaTheme="minorEastAsia" w:cstheme="minorBidi"/>
                <w:bCs/>
                <w:color w:val="000000"/>
                <w:sz w:val="18"/>
                <w:szCs w:val="18"/>
                <w:lang w:eastAsia="ru-RU"/>
              </w:rPr>
            </w:pPr>
            <w:r w:rsidRPr="00483598">
              <w:rPr>
                <w:rFonts w:eastAsiaTheme="minorEastAsia" w:cs="Calibri"/>
                <w:bCs/>
                <w:color w:val="auto"/>
                <w:sz w:val="18"/>
                <w:szCs w:val="18"/>
                <w:lang w:eastAsia="ru-RU"/>
              </w:rPr>
              <w:t>G_44_ТЭ</w:t>
            </w:r>
          </w:p>
        </w:tc>
        <w:tc>
          <w:tcPr>
            <w:tcW w:w="0" w:type="auto"/>
            <w:tcBorders>
              <w:top w:val="nil"/>
              <w:left w:val="nil"/>
              <w:bottom w:val="single" w:sz="4" w:space="0" w:color="auto"/>
              <w:right w:val="single" w:sz="4" w:space="0" w:color="auto"/>
            </w:tcBorders>
            <w:shd w:val="clear" w:color="000000" w:fill="FFFFFF"/>
            <w:noWrap/>
            <w:vAlign w:val="center"/>
          </w:tcPr>
          <w:p w14:paraId="56077A84" w14:textId="77777777" w:rsidR="00483598" w:rsidRPr="00483598" w:rsidRDefault="00483598" w:rsidP="00483598">
            <w:pPr>
              <w:spacing w:after="0" w:line="240" w:lineRule="auto"/>
              <w:jc w:val="center"/>
              <w:rPr>
                <w:rFonts w:eastAsiaTheme="minorEastAsia" w:cstheme="minorBidi"/>
                <w:bCs/>
                <w:color w:val="auto"/>
                <w:sz w:val="18"/>
                <w:szCs w:val="18"/>
                <w:lang w:eastAsia="ru-RU"/>
              </w:rPr>
            </w:pPr>
            <w:r w:rsidRPr="00483598">
              <w:rPr>
                <w:rFonts w:eastAsiaTheme="minorEastAsia" w:cs="Calibri"/>
                <w:bCs/>
                <w:color w:val="auto"/>
                <w:sz w:val="18"/>
                <w:szCs w:val="18"/>
                <w:lang w:eastAsia="ru-RU"/>
              </w:rPr>
              <w:t>0,18</w:t>
            </w:r>
          </w:p>
        </w:tc>
        <w:tc>
          <w:tcPr>
            <w:tcW w:w="0" w:type="auto"/>
            <w:tcBorders>
              <w:top w:val="nil"/>
              <w:left w:val="nil"/>
              <w:bottom w:val="single" w:sz="4" w:space="0" w:color="auto"/>
              <w:right w:val="single" w:sz="4" w:space="0" w:color="auto"/>
            </w:tcBorders>
            <w:shd w:val="clear" w:color="000000" w:fill="FFFFFF"/>
            <w:noWrap/>
            <w:vAlign w:val="center"/>
          </w:tcPr>
          <w:p w14:paraId="77F3EEB2" w14:textId="77777777" w:rsidR="00483598" w:rsidRPr="00483598" w:rsidRDefault="00483598" w:rsidP="00483598">
            <w:pPr>
              <w:spacing w:after="0" w:line="240" w:lineRule="auto"/>
              <w:jc w:val="center"/>
              <w:rPr>
                <w:rFonts w:eastAsiaTheme="minorEastAsia" w:cstheme="minorBidi"/>
                <w:bCs/>
                <w:color w:val="auto"/>
                <w:sz w:val="18"/>
                <w:szCs w:val="18"/>
                <w:lang w:eastAsia="ru-RU"/>
              </w:rPr>
            </w:pPr>
            <w:r w:rsidRPr="00483598">
              <w:rPr>
                <w:rFonts w:eastAsiaTheme="minorEastAsia" w:cs="Calibri"/>
                <w:bCs/>
                <w:color w:val="auto"/>
                <w:sz w:val="18"/>
                <w:szCs w:val="18"/>
                <w:lang w:eastAsia="ru-RU"/>
              </w:rPr>
              <w:t>0,15</w:t>
            </w:r>
          </w:p>
        </w:tc>
        <w:tc>
          <w:tcPr>
            <w:tcW w:w="0" w:type="auto"/>
            <w:tcBorders>
              <w:top w:val="nil"/>
              <w:left w:val="nil"/>
              <w:bottom w:val="single" w:sz="4" w:space="0" w:color="auto"/>
              <w:right w:val="single" w:sz="4" w:space="0" w:color="auto"/>
            </w:tcBorders>
            <w:shd w:val="clear" w:color="000000" w:fill="FFFFFF"/>
            <w:noWrap/>
            <w:vAlign w:val="center"/>
          </w:tcPr>
          <w:p w14:paraId="64190D36" w14:textId="77777777" w:rsidR="00483598" w:rsidRPr="00483598" w:rsidRDefault="00483598" w:rsidP="00483598">
            <w:pPr>
              <w:spacing w:after="0" w:line="240" w:lineRule="auto"/>
              <w:jc w:val="center"/>
              <w:rPr>
                <w:rFonts w:eastAsiaTheme="minorEastAsia" w:cstheme="minorBidi"/>
                <w:bCs/>
                <w:color w:val="auto"/>
                <w:sz w:val="18"/>
                <w:szCs w:val="18"/>
                <w:lang w:eastAsia="ru-RU"/>
              </w:rPr>
            </w:pPr>
            <w:r w:rsidRPr="00483598">
              <w:rPr>
                <w:rFonts w:eastAsiaTheme="minorEastAsia" w:cs="Calibri"/>
                <w:bCs/>
                <w:color w:val="auto"/>
                <w:sz w:val="18"/>
                <w:szCs w:val="18"/>
                <w:lang w:eastAsia="ru-RU"/>
              </w:rPr>
              <w:t>0,03</w:t>
            </w:r>
          </w:p>
        </w:tc>
        <w:tc>
          <w:tcPr>
            <w:tcW w:w="0" w:type="auto"/>
            <w:tcBorders>
              <w:top w:val="nil"/>
              <w:left w:val="single" w:sz="4" w:space="0" w:color="auto"/>
              <w:bottom w:val="single" w:sz="4" w:space="0" w:color="auto"/>
              <w:right w:val="single" w:sz="4" w:space="0" w:color="auto"/>
            </w:tcBorders>
            <w:shd w:val="clear" w:color="auto" w:fill="auto"/>
            <w:noWrap/>
            <w:vAlign w:val="center"/>
          </w:tcPr>
          <w:p w14:paraId="301CB5D9" w14:textId="77777777" w:rsidR="00483598" w:rsidRPr="00483598" w:rsidRDefault="00483598" w:rsidP="00483598">
            <w:pPr>
              <w:spacing w:after="0" w:line="240" w:lineRule="auto"/>
              <w:jc w:val="center"/>
              <w:rPr>
                <w:rFonts w:eastAsiaTheme="minorEastAsia" w:cstheme="minorBidi"/>
                <w:bCs/>
                <w:color w:val="auto"/>
                <w:sz w:val="18"/>
                <w:szCs w:val="18"/>
                <w:lang w:eastAsia="ru-RU"/>
              </w:rPr>
            </w:pPr>
            <w:r w:rsidRPr="00483598">
              <w:rPr>
                <w:rFonts w:eastAsiaTheme="minorEastAsia" w:cs="Calibri"/>
                <w:bCs/>
                <w:color w:val="000000"/>
                <w:sz w:val="18"/>
                <w:szCs w:val="18"/>
                <w:lang w:eastAsia="ru-RU"/>
              </w:rPr>
              <w:t>-15%</w:t>
            </w:r>
          </w:p>
        </w:tc>
      </w:tr>
      <w:tr w:rsidR="00483598" w:rsidRPr="00483598" w14:paraId="370D8C64" w14:textId="77777777" w:rsidTr="00F94FED">
        <w:trPr>
          <w:trHeight w:val="563"/>
        </w:trPr>
        <w:tc>
          <w:tcPr>
            <w:tcW w:w="0" w:type="auto"/>
            <w:tcBorders>
              <w:top w:val="single" w:sz="4" w:space="0" w:color="auto"/>
              <w:left w:val="single" w:sz="4" w:space="0" w:color="auto"/>
              <w:bottom w:val="single" w:sz="4" w:space="0" w:color="auto"/>
              <w:right w:val="single" w:sz="4" w:space="0" w:color="auto"/>
            </w:tcBorders>
            <w:shd w:val="clear" w:color="auto" w:fill="D6E3BC" w:themeFill="accent3" w:themeFillTint="66"/>
            <w:noWrap/>
            <w:vAlign w:val="center"/>
          </w:tcPr>
          <w:p w14:paraId="3648A31E" w14:textId="77777777" w:rsidR="00483598" w:rsidRPr="00483598" w:rsidRDefault="00483598" w:rsidP="00483598">
            <w:pPr>
              <w:spacing w:after="0" w:line="240" w:lineRule="auto"/>
              <w:jc w:val="center"/>
              <w:rPr>
                <w:rFonts w:eastAsiaTheme="minorEastAsia" w:cstheme="minorBidi"/>
                <w:bCs/>
                <w:color w:val="auto"/>
                <w:sz w:val="18"/>
                <w:szCs w:val="18"/>
                <w:lang w:eastAsia="ru-RU"/>
              </w:rPr>
            </w:pPr>
          </w:p>
        </w:tc>
        <w:tc>
          <w:tcPr>
            <w:tcW w:w="0" w:type="auto"/>
            <w:tcBorders>
              <w:top w:val="single" w:sz="4" w:space="0" w:color="auto"/>
              <w:left w:val="nil"/>
              <w:bottom w:val="single" w:sz="4" w:space="0" w:color="auto"/>
              <w:right w:val="single" w:sz="4" w:space="0" w:color="auto"/>
            </w:tcBorders>
            <w:shd w:val="clear" w:color="auto" w:fill="D6E3BC" w:themeFill="accent3" w:themeFillTint="66"/>
            <w:vAlign w:val="center"/>
          </w:tcPr>
          <w:p w14:paraId="1BA696B5" w14:textId="77777777" w:rsidR="00483598" w:rsidRPr="00483598" w:rsidRDefault="00483598" w:rsidP="00483598">
            <w:pPr>
              <w:spacing w:after="0" w:line="240" w:lineRule="auto"/>
              <w:rPr>
                <w:rFonts w:eastAsiaTheme="minorEastAsia" w:cstheme="minorBidi"/>
                <w:bCs/>
                <w:color w:val="000000"/>
                <w:sz w:val="18"/>
                <w:szCs w:val="18"/>
                <w:lang w:eastAsia="ru-RU"/>
              </w:rPr>
            </w:pPr>
            <w:r w:rsidRPr="00483598">
              <w:rPr>
                <w:rFonts w:eastAsiaTheme="minorEastAsia" w:cstheme="minorBidi"/>
                <w:b/>
                <w:color w:val="auto"/>
                <w:sz w:val="18"/>
                <w:szCs w:val="18"/>
                <w:lang w:eastAsia="ru-RU"/>
              </w:rPr>
              <w:t>Всего по инвестиционным проектам</w:t>
            </w:r>
          </w:p>
        </w:tc>
        <w:tc>
          <w:tcPr>
            <w:tcW w:w="1503" w:type="dxa"/>
            <w:tcBorders>
              <w:top w:val="single" w:sz="4" w:space="0" w:color="auto"/>
              <w:left w:val="nil"/>
              <w:bottom w:val="single" w:sz="4" w:space="0" w:color="auto"/>
              <w:right w:val="single" w:sz="4" w:space="0" w:color="auto"/>
            </w:tcBorders>
            <w:shd w:val="clear" w:color="auto" w:fill="D6E3BC" w:themeFill="accent3" w:themeFillTint="66"/>
            <w:vAlign w:val="center"/>
          </w:tcPr>
          <w:p w14:paraId="60F06B4E" w14:textId="77777777" w:rsidR="00483598" w:rsidRPr="00483598" w:rsidRDefault="00483598" w:rsidP="00483598">
            <w:pPr>
              <w:spacing w:after="0" w:line="240" w:lineRule="auto"/>
              <w:jc w:val="center"/>
              <w:rPr>
                <w:rFonts w:eastAsiaTheme="minorEastAsia" w:cstheme="minorBidi"/>
                <w:b/>
                <w:color w:val="auto"/>
                <w:sz w:val="18"/>
                <w:szCs w:val="18"/>
                <w:lang w:eastAsia="ru-RU"/>
              </w:rPr>
            </w:pPr>
          </w:p>
        </w:tc>
        <w:tc>
          <w:tcPr>
            <w:tcW w:w="0" w:type="auto"/>
            <w:tcBorders>
              <w:top w:val="single" w:sz="4" w:space="0" w:color="auto"/>
              <w:left w:val="nil"/>
              <w:bottom w:val="single" w:sz="4" w:space="0" w:color="auto"/>
              <w:right w:val="single" w:sz="4" w:space="0" w:color="auto"/>
            </w:tcBorders>
            <w:shd w:val="clear" w:color="auto" w:fill="D6E3BC" w:themeFill="accent3" w:themeFillTint="66"/>
            <w:noWrap/>
            <w:vAlign w:val="center"/>
          </w:tcPr>
          <w:p w14:paraId="0251691B" w14:textId="77777777" w:rsidR="00483598" w:rsidRPr="00483598" w:rsidRDefault="00483598" w:rsidP="00483598">
            <w:pPr>
              <w:spacing w:after="0" w:line="240" w:lineRule="auto"/>
              <w:jc w:val="center"/>
              <w:rPr>
                <w:rFonts w:eastAsiaTheme="minorEastAsia" w:cs="Calibri"/>
                <w:b/>
                <w:color w:val="auto"/>
                <w:sz w:val="18"/>
                <w:szCs w:val="18"/>
                <w:lang w:eastAsia="ru-RU"/>
              </w:rPr>
            </w:pPr>
            <w:r w:rsidRPr="00483598">
              <w:rPr>
                <w:rFonts w:eastAsiaTheme="minorEastAsia" w:cs="Calibri"/>
                <w:b/>
                <w:color w:val="auto"/>
                <w:sz w:val="18"/>
                <w:szCs w:val="18"/>
                <w:lang w:eastAsia="ru-RU"/>
              </w:rPr>
              <w:t>45,31</w:t>
            </w:r>
          </w:p>
        </w:tc>
        <w:tc>
          <w:tcPr>
            <w:tcW w:w="0" w:type="auto"/>
            <w:tcBorders>
              <w:top w:val="single" w:sz="4" w:space="0" w:color="auto"/>
              <w:left w:val="single" w:sz="4" w:space="0" w:color="auto"/>
              <w:bottom w:val="single" w:sz="4" w:space="0" w:color="auto"/>
              <w:right w:val="single" w:sz="4" w:space="0" w:color="auto"/>
            </w:tcBorders>
            <w:shd w:val="clear" w:color="auto" w:fill="D6E3BC" w:themeFill="accent3" w:themeFillTint="66"/>
            <w:noWrap/>
            <w:vAlign w:val="center"/>
          </w:tcPr>
          <w:p w14:paraId="0839D527" w14:textId="77777777" w:rsidR="00483598" w:rsidRPr="00483598" w:rsidRDefault="00483598" w:rsidP="00483598">
            <w:pPr>
              <w:spacing w:after="0" w:line="240" w:lineRule="auto"/>
              <w:jc w:val="center"/>
              <w:rPr>
                <w:rFonts w:eastAsiaTheme="minorEastAsia" w:cs="Calibri"/>
                <w:b/>
                <w:color w:val="auto"/>
                <w:sz w:val="18"/>
                <w:szCs w:val="18"/>
                <w:lang w:eastAsia="ru-RU"/>
              </w:rPr>
            </w:pPr>
            <w:r w:rsidRPr="00483598">
              <w:rPr>
                <w:rFonts w:eastAsiaTheme="minorEastAsia" w:cs="Calibri"/>
                <w:b/>
                <w:color w:val="auto"/>
                <w:sz w:val="18"/>
                <w:szCs w:val="18"/>
                <w:lang w:eastAsia="ru-RU"/>
              </w:rPr>
              <w:t>35,62</w:t>
            </w:r>
          </w:p>
        </w:tc>
        <w:tc>
          <w:tcPr>
            <w:tcW w:w="0" w:type="auto"/>
            <w:tcBorders>
              <w:top w:val="single" w:sz="4" w:space="0" w:color="auto"/>
              <w:left w:val="single" w:sz="4" w:space="0" w:color="auto"/>
              <w:bottom w:val="single" w:sz="4" w:space="0" w:color="auto"/>
              <w:right w:val="nil"/>
            </w:tcBorders>
            <w:shd w:val="clear" w:color="auto" w:fill="D6E3BC" w:themeFill="accent3" w:themeFillTint="66"/>
            <w:noWrap/>
            <w:vAlign w:val="center"/>
          </w:tcPr>
          <w:p w14:paraId="2DB2F052" w14:textId="77777777" w:rsidR="00483598" w:rsidRPr="00483598" w:rsidRDefault="00483598" w:rsidP="00483598">
            <w:pPr>
              <w:spacing w:after="0" w:line="240" w:lineRule="auto"/>
              <w:jc w:val="center"/>
              <w:rPr>
                <w:rFonts w:eastAsiaTheme="minorEastAsia" w:cs="Calibri"/>
                <w:b/>
                <w:color w:val="auto"/>
                <w:sz w:val="18"/>
                <w:szCs w:val="18"/>
                <w:lang w:eastAsia="ru-RU"/>
              </w:rPr>
            </w:pPr>
            <w:r w:rsidRPr="00483598">
              <w:rPr>
                <w:rFonts w:eastAsiaTheme="minorEastAsia" w:cs="Calibri"/>
                <w:b/>
                <w:color w:val="auto"/>
                <w:sz w:val="18"/>
                <w:szCs w:val="18"/>
                <w:lang w:eastAsia="ru-RU"/>
              </w:rPr>
              <w:t>9,69</w:t>
            </w:r>
          </w:p>
        </w:tc>
        <w:tc>
          <w:tcPr>
            <w:tcW w:w="0" w:type="auto"/>
            <w:tcBorders>
              <w:top w:val="single" w:sz="4" w:space="0" w:color="auto"/>
              <w:left w:val="single" w:sz="4" w:space="0" w:color="auto"/>
              <w:bottom w:val="single" w:sz="4" w:space="0" w:color="auto"/>
              <w:right w:val="single" w:sz="4" w:space="0" w:color="auto"/>
            </w:tcBorders>
            <w:shd w:val="clear" w:color="auto" w:fill="D6E3BC" w:themeFill="accent3" w:themeFillTint="66"/>
            <w:noWrap/>
            <w:vAlign w:val="center"/>
          </w:tcPr>
          <w:p w14:paraId="44BA3845" w14:textId="77777777" w:rsidR="00483598" w:rsidRPr="00483598" w:rsidRDefault="00483598" w:rsidP="00483598">
            <w:pPr>
              <w:spacing w:after="0" w:line="240" w:lineRule="auto"/>
              <w:jc w:val="center"/>
              <w:rPr>
                <w:rFonts w:eastAsiaTheme="minorEastAsia" w:cstheme="minorBidi"/>
                <w:b/>
                <w:color w:val="000000"/>
                <w:sz w:val="18"/>
                <w:szCs w:val="18"/>
                <w:lang w:eastAsia="ru-RU"/>
              </w:rPr>
            </w:pPr>
            <w:r w:rsidRPr="00483598">
              <w:rPr>
                <w:rFonts w:eastAsiaTheme="minorEastAsia" w:cstheme="minorBidi"/>
                <w:b/>
                <w:color w:val="auto"/>
                <w:sz w:val="18"/>
                <w:szCs w:val="18"/>
                <w:lang w:eastAsia="ru-RU"/>
              </w:rPr>
              <w:t>-31%</w:t>
            </w:r>
          </w:p>
        </w:tc>
      </w:tr>
    </w:tbl>
    <w:p w14:paraId="1DCFA7E8" w14:textId="77777777" w:rsidR="00483598" w:rsidRPr="00483598" w:rsidRDefault="00483598" w:rsidP="00483598">
      <w:pPr>
        <w:autoSpaceDE w:val="0"/>
        <w:autoSpaceDN w:val="0"/>
        <w:adjustRightInd w:val="0"/>
        <w:spacing w:after="0" w:line="360" w:lineRule="auto"/>
        <w:ind w:firstLine="567"/>
        <w:jc w:val="both"/>
        <w:rPr>
          <w:rFonts w:eastAsiaTheme="minorEastAsia" w:cstheme="minorBidi"/>
          <w:bCs/>
          <w:color w:val="auto"/>
          <w:sz w:val="26"/>
          <w:szCs w:val="26"/>
          <w:lang w:eastAsia="ru-RU"/>
        </w:rPr>
      </w:pPr>
    </w:p>
    <w:p w14:paraId="42691F03" w14:textId="4AA89166" w:rsidR="00483598" w:rsidRPr="00DF1D02" w:rsidRDefault="00483598" w:rsidP="00483598">
      <w:pPr>
        <w:autoSpaceDE w:val="0"/>
        <w:autoSpaceDN w:val="0"/>
        <w:adjustRightInd w:val="0"/>
        <w:spacing w:after="0" w:line="360" w:lineRule="auto"/>
        <w:ind w:firstLine="567"/>
        <w:jc w:val="both"/>
        <w:rPr>
          <w:rFonts w:eastAsiaTheme="minorEastAsia" w:cstheme="minorBidi"/>
          <w:bCs/>
          <w:color w:val="auto"/>
          <w:sz w:val="26"/>
          <w:szCs w:val="26"/>
          <w:lang w:eastAsia="ru-RU"/>
        </w:rPr>
      </w:pPr>
      <w:r w:rsidRPr="00483598">
        <w:rPr>
          <w:rFonts w:eastAsiaTheme="minorEastAsia" w:cstheme="minorBidi"/>
          <w:bCs/>
          <w:color w:val="auto"/>
          <w:sz w:val="26"/>
          <w:szCs w:val="26"/>
          <w:lang w:eastAsia="ru-RU"/>
        </w:rPr>
        <w:t>По результатам анализа исполнения инвестиционной программы</w:t>
      </w:r>
      <w:r w:rsidRPr="00483598">
        <w:rPr>
          <w:rFonts w:eastAsiaTheme="minorEastAsia" w:cstheme="minorBidi"/>
          <w:bCs/>
          <w:color w:val="auto"/>
          <w:sz w:val="26"/>
          <w:szCs w:val="26"/>
          <w:lang w:eastAsia="ru-RU"/>
        </w:rPr>
        <w:br/>
        <w:t xml:space="preserve">АО «Тываэнерго». Исполнитель отмечает, что недостижение показателей утвержденного плана по использованию собственных тарифных источников, учтенных регулирующим органом при принятии тарифно-балансовых решений и предназначенных для целей финансирования инвестиционной программы, обусловлено как недофинансированием инвестиционных проектов, предусмотренных утвержденной инвестиционной программы, так и финансированием новых инвестиционных проектов. Кроме этого, Исполнителем обнаружено превышение расходов на выполнение мероприятий инвестиционной программы свыше величины средств, определенных в утвержденной в установленном порядке инвестиционной </w:t>
      </w:r>
      <w:r w:rsidRPr="00DF1D02">
        <w:rPr>
          <w:rFonts w:eastAsiaTheme="minorEastAsia" w:cstheme="minorBidi"/>
          <w:bCs/>
          <w:color w:val="auto"/>
          <w:sz w:val="26"/>
          <w:szCs w:val="26"/>
          <w:lang w:eastAsia="ru-RU"/>
        </w:rPr>
        <w:t xml:space="preserve">программе. </w:t>
      </w:r>
      <w:r w:rsidRPr="00CE5659">
        <w:rPr>
          <w:rFonts w:eastAsiaTheme="minorEastAsia" w:cstheme="minorBidi"/>
          <w:bCs/>
          <w:color w:val="auto"/>
          <w:sz w:val="26"/>
          <w:szCs w:val="26"/>
          <w:lang w:eastAsia="ru-RU"/>
        </w:rPr>
        <w:t>Данный факт, в соответствии с позицией ФАС России, изложенной в письме от 20.04.2018 № ИА/28440/18,  считается, как нецелевое использование инвестиционных ресурсов, включенных в регулируемые государством цены (тарифы) и действующим законодательством в области государственного регулирования цен (тарифов) не предусмотрена возможность учета в необходимой валовой выручке территориальных сетевых организаций таких расходов.</w:t>
      </w:r>
      <w:r w:rsidR="00C407B7" w:rsidRPr="00CE5659">
        <w:rPr>
          <w:rFonts w:eastAsiaTheme="minorEastAsia" w:cstheme="minorBidi"/>
          <w:bCs/>
          <w:color w:val="auto"/>
          <w:sz w:val="26"/>
          <w:szCs w:val="26"/>
          <w:lang w:eastAsia="ru-RU"/>
        </w:rPr>
        <w:t xml:space="preserve"> </w:t>
      </w:r>
    </w:p>
    <w:p w14:paraId="55D7849D" w14:textId="77777777" w:rsidR="00483598" w:rsidRPr="00483598" w:rsidRDefault="00483598" w:rsidP="00483598">
      <w:pPr>
        <w:autoSpaceDE w:val="0"/>
        <w:autoSpaceDN w:val="0"/>
        <w:adjustRightInd w:val="0"/>
        <w:spacing w:after="0" w:line="360" w:lineRule="auto"/>
        <w:ind w:firstLine="567"/>
        <w:jc w:val="both"/>
        <w:rPr>
          <w:rFonts w:eastAsiaTheme="minorEastAsia" w:cstheme="minorBidi"/>
          <w:bCs/>
          <w:color w:val="auto"/>
          <w:sz w:val="26"/>
          <w:szCs w:val="26"/>
          <w:lang w:eastAsia="ru-RU"/>
        </w:rPr>
      </w:pPr>
      <w:bookmarkStart w:id="21" w:name="_Hlk40136476"/>
      <w:r w:rsidRPr="00483598">
        <w:rPr>
          <w:rFonts w:eastAsiaTheme="minorEastAsia" w:cstheme="minorBidi"/>
          <w:bCs/>
          <w:color w:val="auto"/>
          <w:sz w:val="26"/>
          <w:szCs w:val="26"/>
          <w:lang w:eastAsia="ru-RU"/>
        </w:rPr>
        <w:t xml:space="preserve">На основе отчетных данных о реализации инвестиционной программы за 2019 год и с учетом требований действующего законодательства Исполнителем определено предполагаемое отклонение фактического объема финансирования инвестиционной программы с учетом пообъектного анализа исполнения от </w:t>
      </w:r>
      <w:r w:rsidRPr="00483598">
        <w:rPr>
          <w:rFonts w:eastAsiaTheme="minorEastAsia" w:cstheme="minorBidi"/>
          <w:bCs/>
          <w:color w:val="auto"/>
          <w:sz w:val="26"/>
          <w:szCs w:val="26"/>
          <w:lang w:eastAsia="ru-RU"/>
        </w:rPr>
        <w:lastRenderedPageBreak/>
        <w:t>фактического объема финансирования в целом инвестиционной программы, представляющей собой совокупность инвестиционных проектов, утвержденной (скорректированной) в установленном порядке на 2019 год до его начала, за счет собственных средств (выручки от реализации товаров (услуг) по регулируемым ценам (тарифам)). Величина параметров, участвующих в расчете величины корректировки необходимой валовой выручки по результатам исполнения (неисполнения) инвестиционной программы за 2019 год согласно формуле п 11 Методических указаний № 98-э приведена ниже.</w:t>
      </w:r>
    </w:p>
    <w:bookmarkEnd w:id="21"/>
    <w:p w14:paraId="480762A9" w14:textId="77777777" w:rsidR="00483598" w:rsidRPr="00483598" w:rsidRDefault="00483598" w:rsidP="00483598">
      <w:pPr>
        <w:autoSpaceDE w:val="0"/>
        <w:autoSpaceDN w:val="0"/>
        <w:adjustRightInd w:val="0"/>
        <w:spacing w:after="0" w:line="360" w:lineRule="auto"/>
        <w:ind w:firstLine="720"/>
        <w:jc w:val="both"/>
        <w:rPr>
          <w:rFonts w:eastAsiaTheme="minorEastAsia" w:cs="Arial"/>
          <w:bCs/>
          <w:color w:val="auto"/>
          <w:sz w:val="26"/>
          <w:szCs w:val="26"/>
          <w:lang w:eastAsia="ru-RU"/>
        </w:rPr>
      </w:pPr>
      <w:r w:rsidRPr="00483598">
        <w:rPr>
          <w:rFonts w:eastAsiaTheme="minorEastAsia" w:cs="Arial"/>
          <w:bCs/>
          <w:color w:val="auto"/>
          <w:sz w:val="26"/>
          <w:szCs w:val="26"/>
          <w:lang w:eastAsia="ru-RU"/>
        </w:rPr>
        <w:t xml:space="preserve">По результатам анализа исполнения инвестиционной программы </w:t>
      </w:r>
      <w:r w:rsidRPr="00483598">
        <w:rPr>
          <w:rFonts w:eastAsiaTheme="minorEastAsia" w:cs="Arial"/>
          <w:bCs/>
          <w:color w:val="auto"/>
          <w:sz w:val="26"/>
          <w:szCs w:val="26"/>
          <w:lang w:eastAsia="ru-RU"/>
        </w:rPr>
        <w:br/>
        <w:t>АО «Тываэнерго» в 2019 году Исполнитель отмечает, что превышение показателей утвержденного плана по использованию собственных тарифных источников, учтенных регулирующим органом при принятии тарифно-балансовых решений и предназначенных для целей финансирования инвестиционной программы, обусловлено как недофинансированием инвестиционных проектов, предусмотренных утвержденной инвестиционной программой, так и финансированием новых инвестиционных проектов, в том числе включенных в инвестиционную программу в рамках корректировки утвержденной инвестиционной программы в 2019 году.</w:t>
      </w:r>
    </w:p>
    <w:p w14:paraId="5E60CF40" w14:textId="77777777" w:rsidR="00483598" w:rsidRPr="00483598" w:rsidRDefault="00483598" w:rsidP="00483598">
      <w:pPr>
        <w:autoSpaceDE w:val="0"/>
        <w:autoSpaceDN w:val="0"/>
        <w:adjustRightInd w:val="0"/>
        <w:spacing w:after="0" w:line="360" w:lineRule="auto"/>
        <w:ind w:firstLine="720"/>
        <w:jc w:val="both"/>
        <w:rPr>
          <w:rFonts w:eastAsiaTheme="minorEastAsia" w:cs="Arial"/>
          <w:bCs/>
          <w:color w:val="auto"/>
          <w:sz w:val="26"/>
          <w:szCs w:val="26"/>
          <w:lang w:eastAsia="ru-RU"/>
        </w:rPr>
      </w:pPr>
    </w:p>
    <w:p w14:paraId="42FBACA2" w14:textId="77777777" w:rsidR="00483598" w:rsidRPr="00483598" w:rsidRDefault="00483598" w:rsidP="00483598">
      <w:pPr>
        <w:spacing w:after="0" w:line="240" w:lineRule="auto"/>
        <w:jc w:val="center"/>
        <w:rPr>
          <w:rFonts w:eastAsia="Times New Roman"/>
          <w:b/>
          <w:color w:val="000000"/>
          <w:sz w:val="18"/>
          <w:szCs w:val="18"/>
          <w:lang w:eastAsia="ru-RU"/>
        </w:rPr>
        <w:sectPr w:rsidR="00483598" w:rsidRPr="00483598">
          <w:pgSz w:w="11906" w:h="16838"/>
          <w:pgMar w:top="1134" w:right="850" w:bottom="1134" w:left="1701" w:header="708" w:footer="708" w:gutter="0"/>
          <w:cols w:space="708"/>
          <w:docGrid w:linePitch="360"/>
        </w:sectPr>
      </w:pPr>
    </w:p>
    <w:tbl>
      <w:tblPr>
        <w:tblW w:w="5000" w:type="pct"/>
        <w:tblLook w:val="04A0" w:firstRow="1" w:lastRow="0" w:firstColumn="1" w:lastColumn="0" w:noHBand="0" w:noVBand="1"/>
      </w:tblPr>
      <w:tblGrid>
        <w:gridCol w:w="710"/>
        <w:gridCol w:w="4790"/>
        <w:gridCol w:w="1433"/>
        <w:gridCol w:w="1995"/>
        <w:gridCol w:w="1995"/>
        <w:gridCol w:w="2114"/>
        <w:gridCol w:w="1523"/>
      </w:tblGrid>
      <w:tr w:rsidR="0072390C" w:rsidRPr="0072390C" w14:paraId="0F1DB3D8" w14:textId="77777777" w:rsidTr="001D2691">
        <w:trPr>
          <w:trHeight w:val="960"/>
          <w:tblHeader/>
        </w:trPr>
        <w:tc>
          <w:tcPr>
            <w:tcW w:w="24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C1A8949" w14:textId="77777777" w:rsidR="00483598" w:rsidRPr="0072390C" w:rsidRDefault="00483598" w:rsidP="00483598">
            <w:pPr>
              <w:spacing w:after="0" w:line="240" w:lineRule="auto"/>
              <w:jc w:val="center"/>
              <w:rPr>
                <w:rFonts w:eastAsia="Times New Roman"/>
                <w:b/>
                <w:color w:val="FFFFFF" w:themeColor="background1"/>
                <w:sz w:val="16"/>
                <w:szCs w:val="16"/>
                <w:lang w:eastAsia="ru-RU"/>
              </w:rPr>
            </w:pPr>
            <w:r w:rsidRPr="0072390C">
              <w:rPr>
                <w:rFonts w:eastAsia="Times New Roman"/>
                <w:b/>
                <w:color w:val="FFFFFF" w:themeColor="background1"/>
                <w:sz w:val="16"/>
                <w:szCs w:val="16"/>
                <w:lang w:eastAsia="ru-RU"/>
              </w:rPr>
              <w:lastRenderedPageBreak/>
              <w:t>№ п/п</w:t>
            </w:r>
          </w:p>
        </w:tc>
        <w:tc>
          <w:tcPr>
            <w:tcW w:w="164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1118578" w14:textId="77777777" w:rsidR="00483598" w:rsidRPr="0072390C" w:rsidRDefault="00483598" w:rsidP="00483598">
            <w:pPr>
              <w:spacing w:after="0" w:line="240" w:lineRule="auto"/>
              <w:jc w:val="center"/>
              <w:rPr>
                <w:rFonts w:eastAsia="Times New Roman"/>
                <w:b/>
                <w:color w:val="FFFFFF" w:themeColor="background1"/>
                <w:sz w:val="16"/>
                <w:szCs w:val="16"/>
                <w:lang w:eastAsia="ru-RU"/>
              </w:rPr>
            </w:pPr>
            <w:r w:rsidRPr="0072390C">
              <w:rPr>
                <w:rFonts w:eastAsia="Times New Roman"/>
                <w:b/>
                <w:color w:val="FFFFFF" w:themeColor="background1"/>
                <w:sz w:val="16"/>
                <w:szCs w:val="16"/>
                <w:lang w:eastAsia="ru-RU"/>
              </w:rPr>
              <w:t>Наименование группы объектов</w:t>
            </w:r>
          </w:p>
        </w:tc>
        <w:tc>
          <w:tcPr>
            <w:tcW w:w="49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83A1F2B" w14:textId="77777777" w:rsidR="00483598" w:rsidRPr="0072390C" w:rsidRDefault="00483598" w:rsidP="00483598">
            <w:pPr>
              <w:spacing w:after="0" w:line="240" w:lineRule="auto"/>
              <w:jc w:val="center"/>
              <w:rPr>
                <w:rFonts w:eastAsia="Times New Roman"/>
                <w:b/>
                <w:color w:val="FFFFFF" w:themeColor="background1"/>
                <w:sz w:val="16"/>
                <w:szCs w:val="16"/>
                <w:lang w:eastAsia="ru-RU"/>
              </w:rPr>
            </w:pPr>
            <w:r w:rsidRPr="0072390C">
              <w:rPr>
                <w:rFonts w:eastAsia="Times New Roman"/>
                <w:b/>
                <w:color w:val="FFFFFF" w:themeColor="background1"/>
                <w:sz w:val="16"/>
                <w:szCs w:val="16"/>
                <w:lang w:eastAsia="ru-RU"/>
              </w:rPr>
              <w:t>Обозначение</w:t>
            </w:r>
          </w:p>
        </w:tc>
        <w:tc>
          <w:tcPr>
            <w:tcW w:w="68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8CA6E8B" w14:textId="77777777" w:rsidR="00483598" w:rsidRPr="0072390C" w:rsidRDefault="00483598" w:rsidP="00483598">
            <w:pPr>
              <w:spacing w:after="0" w:line="240" w:lineRule="auto"/>
              <w:jc w:val="center"/>
              <w:rPr>
                <w:rFonts w:eastAsia="Times New Roman"/>
                <w:b/>
                <w:color w:val="FFFFFF" w:themeColor="background1"/>
                <w:sz w:val="16"/>
                <w:szCs w:val="16"/>
                <w:lang w:eastAsia="ru-RU"/>
              </w:rPr>
            </w:pPr>
            <w:r w:rsidRPr="0072390C">
              <w:rPr>
                <w:rFonts w:eastAsia="Times New Roman"/>
                <w:b/>
                <w:color w:val="FFFFFF" w:themeColor="background1"/>
                <w:sz w:val="16"/>
                <w:szCs w:val="16"/>
                <w:lang w:eastAsia="ru-RU"/>
              </w:rPr>
              <w:t xml:space="preserve"> Финансирование, тыс. руб. без НДС </w:t>
            </w:r>
          </w:p>
        </w:tc>
        <w:tc>
          <w:tcPr>
            <w:tcW w:w="68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8FF8DA2" w14:textId="7DD5C111" w:rsidR="00483598" w:rsidRPr="0072390C" w:rsidRDefault="00483598" w:rsidP="00483598">
            <w:pPr>
              <w:spacing w:after="0" w:line="240" w:lineRule="auto"/>
              <w:jc w:val="center"/>
              <w:rPr>
                <w:rFonts w:eastAsia="Times New Roman"/>
                <w:b/>
                <w:color w:val="FFFFFF" w:themeColor="background1"/>
                <w:sz w:val="16"/>
                <w:szCs w:val="16"/>
                <w:lang w:eastAsia="ru-RU"/>
              </w:rPr>
            </w:pPr>
            <w:r w:rsidRPr="0072390C">
              <w:rPr>
                <w:rFonts w:eastAsia="Times New Roman"/>
                <w:b/>
                <w:color w:val="FFFFFF" w:themeColor="background1"/>
                <w:sz w:val="16"/>
                <w:szCs w:val="16"/>
                <w:lang w:eastAsia="ru-RU"/>
              </w:rPr>
              <w:t xml:space="preserve"> Объем планового финансирования, тыс. руб. </w:t>
            </w:r>
            <w:r w:rsidR="001065C9" w:rsidRPr="0072390C">
              <w:rPr>
                <w:rFonts w:eastAsia="Times New Roman"/>
                <w:b/>
                <w:color w:val="FFFFFF" w:themeColor="background1"/>
                <w:sz w:val="16"/>
                <w:szCs w:val="16"/>
                <w:lang w:eastAsia="ru-RU"/>
              </w:rPr>
              <w:t>без НДС</w:t>
            </w:r>
          </w:p>
        </w:tc>
        <w:tc>
          <w:tcPr>
            <w:tcW w:w="72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EE9501A" w14:textId="0C5CA316" w:rsidR="00483598" w:rsidRPr="0072390C" w:rsidRDefault="00483598" w:rsidP="00483598">
            <w:pPr>
              <w:spacing w:after="0" w:line="240" w:lineRule="auto"/>
              <w:jc w:val="center"/>
              <w:rPr>
                <w:rFonts w:eastAsia="Times New Roman"/>
                <w:b/>
                <w:color w:val="FFFFFF" w:themeColor="background1"/>
                <w:sz w:val="16"/>
                <w:szCs w:val="16"/>
                <w:lang w:eastAsia="ru-RU"/>
              </w:rPr>
            </w:pPr>
            <w:r w:rsidRPr="0072390C">
              <w:rPr>
                <w:rFonts w:eastAsia="Times New Roman"/>
                <w:b/>
                <w:color w:val="FFFFFF" w:themeColor="background1"/>
                <w:sz w:val="16"/>
                <w:szCs w:val="16"/>
                <w:lang w:eastAsia="ru-RU"/>
              </w:rPr>
              <w:t xml:space="preserve"> Объем фактического финансирования, тыс. руб. </w:t>
            </w:r>
            <w:r w:rsidR="001065C9" w:rsidRPr="0072390C">
              <w:rPr>
                <w:rFonts w:eastAsia="Times New Roman"/>
                <w:b/>
                <w:color w:val="FFFFFF" w:themeColor="background1"/>
                <w:sz w:val="16"/>
                <w:szCs w:val="16"/>
                <w:lang w:eastAsia="ru-RU"/>
              </w:rPr>
              <w:t>без НДС</w:t>
            </w:r>
          </w:p>
        </w:tc>
        <w:tc>
          <w:tcPr>
            <w:tcW w:w="52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7B2BD87" w14:textId="77777777" w:rsidR="00483598" w:rsidRPr="0072390C" w:rsidRDefault="00483598" w:rsidP="00483598">
            <w:pPr>
              <w:spacing w:after="0" w:line="240" w:lineRule="auto"/>
              <w:jc w:val="center"/>
              <w:rPr>
                <w:rFonts w:eastAsia="Times New Roman"/>
                <w:b/>
                <w:color w:val="FFFFFF" w:themeColor="background1"/>
                <w:sz w:val="16"/>
                <w:szCs w:val="16"/>
                <w:lang w:eastAsia="ru-RU"/>
              </w:rPr>
            </w:pPr>
            <w:r w:rsidRPr="0072390C">
              <w:rPr>
                <w:rFonts w:eastAsia="Times New Roman"/>
                <w:b/>
                <w:color w:val="FFFFFF" w:themeColor="background1"/>
                <w:sz w:val="16"/>
                <w:szCs w:val="16"/>
                <w:lang w:eastAsia="ru-RU"/>
              </w:rPr>
              <w:t xml:space="preserve"> Отклонение фактических показателей от плановых, тыс. руб. </w:t>
            </w:r>
          </w:p>
        </w:tc>
      </w:tr>
      <w:tr w:rsidR="0072390C" w:rsidRPr="0072390C" w14:paraId="7AF68563" w14:textId="77777777" w:rsidTr="00495A09">
        <w:trPr>
          <w:trHeight w:val="720"/>
        </w:trPr>
        <w:tc>
          <w:tcPr>
            <w:tcW w:w="244"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01892A1B" w14:textId="77777777" w:rsidR="00483598" w:rsidRPr="0072390C" w:rsidRDefault="00483598" w:rsidP="00483598">
            <w:pPr>
              <w:spacing w:after="0" w:line="240" w:lineRule="auto"/>
              <w:jc w:val="center"/>
              <w:rPr>
                <w:rFonts w:eastAsia="Times New Roman"/>
                <w:bCs/>
                <w:color w:val="auto"/>
                <w:sz w:val="16"/>
                <w:szCs w:val="16"/>
                <w:lang w:eastAsia="ru-RU"/>
              </w:rPr>
            </w:pPr>
            <w:r w:rsidRPr="0072390C">
              <w:rPr>
                <w:rFonts w:eastAsia="Times New Roman"/>
                <w:bCs/>
                <w:color w:val="auto"/>
                <w:sz w:val="16"/>
                <w:szCs w:val="16"/>
                <w:lang w:eastAsia="ru-RU"/>
              </w:rPr>
              <w:t>1</w:t>
            </w:r>
          </w:p>
        </w:tc>
        <w:tc>
          <w:tcPr>
            <w:tcW w:w="1645" w:type="pct"/>
            <w:tcBorders>
              <w:top w:val="single" w:sz="4" w:space="0" w:color="FFFFFF" w:themeColor="background1"/>
              <w:left w:val="nil"/>
              <w:bottom w:val="single" w:sz="4" w:space="0" w:color="auto"/>
              <w:right w:val="single" w:sz="4" w:space="0" w:color="auto"/>
            </w:tcBorders>
            <w:shd w:val="clear" w:color="auto" w:fill="auto"/>
            <w:vAlign w:val="center"/>
            <w:hideMark/>
          </w:tcPr>
          <w:p w14:paraId="06210FF9" w14:textId="77777777" w:rsidR="00483598" w:rsidRPr="0072390C" w:rsidRDefault="00483598" w:rsidP="00483598">
            <w:pPr>
              <w:spacing w:after="0" w:line="240" w:lineRule="auto"/>
              <w:jc w:val="both"/>
              <w:rPr>
                <w:rFonts w:eastAsia="Times New Roman"/>
                <w:bCs/>
                <w:color w:val="auto"/>
                <w:sz w:val="16"/>
                <w:szCs w:val="16"/>
                <w:lang w:eastAsia="ru-RU"/>
              </w:rPr>
            </w:pPr>
            <w:r w:rsidRPr="0072390C">
              <w:rPr>
                <w:rFonts w:eastAsia="Times New Roman"/>
                <w:bCs/>
                <w:color w:val="auto"/>
                <w:sz w:val="16"/>
                <w:szCs w:val="16"/>
                <w:lang w:eastAsia="ru-RU"/>
              </w:rPr>
              <w:t>Расчетная величина собственных средств регулируемой организации для финансирования инвестиционной программы, учтенная при установлении тарифов в 2019 году</w:t>
            </w:r>
          </w:p>
        </w:tc>
        <w:tc>
          <w:tcPr>
            <w:tcW w:w="492" w:type="pct"/>
            <w:tcBorders>
              <w:top w:val="single" w:sz="4" w:space="0" w:color="FFFFFF" w:themeColor="background1"/>
              <w:left w:val="nil"/>
              <w:bottom w:val="single" w:sz="4" w:space="0" w:color="auto"/>
              <w:right w:val="single" w:sz="4" w:space="0" w:color="auto"/>
            </w:tcBorders>
            <w:shd w:val="clear" w:color="auto" w:fill="auto"/>
            <w:hideMark/>
          </w:tcPr>
          <w:p w14:paraId="3D6E85D8" w14:textId="77777777" w:rsidR="00483598" w:rsidRPr="0072390C" w:rsidRDefault="00483598" w:rsidP="00483598">
            <w:pPr>
              <w:spacing w:after="0" w:line="240" w:lineRule="auto"/>
              <w:rPr>
                <w:rFonts w:eastAsia="Times New Roman"/>
                <w:bCs/>
                <w:color w:val="auto"/>
                <w:sz w:val="16"/>
                <w:szCs w:val="16"/>
                <w:lang w:eastAsia="ru-RU"/>
              </w:rPr>
            </w:pPr>
            <w:r w:rsidRPr="0072390C">
              <w:rPr>
                <w:rFonts w:eastAsia="Times New Roman"/>
                <w:bCs/>
                <w:noProof/>
                <w:color w:val="auto"/>
                <w:sz w:val="16"/>
                <w:szCs w:val="16"/>
                <w:lang w:eastAsia="ru-RU"/>
              </w:rPr>
              <w:drawing>
                <wp:anchor distT="0" distB="0" distL="114300" distR="114300" simplePos="0" relativeHeight="251662336" behindDoc="0" locked="0" layoutInCell="1" allowOverlap="1" wp14:anchorId="5139C37A" wp14:editId="300D0706">
                  <wp:simplePos x="0" y="0"/>
                  <wp:positionH relativeFrom="column">
                    <wp:posOffset>196850</wp:posOffset>
                  </wp:positionH>
                  <wp:positionV relativeFrom="paragraph">
                    <wp:posOffset>66675</wp:posOffset>
                  </wp:positionV>
                  <wp:extent cx="438150" cy="257175"/>
                  <wp:effectExtent l="0" t="0" r="0" b="0"/>
                  <wp:wrapNone/>
                  <wp:docPr id="17" name="Рисунок 17" descr="base_1_287253_32796">
                    <a:extLst xmlns:a="http://schemas.openxmlformats.org/drawingml/2006/main">
                      <a:ext uri="{FF2B5EF4-FFF2-40B4-BE49-F238E27FC236}">
                        <a16:creationId xmlns:a16="http://schemas.microsoft.com/office/drawing/2014/main" id="{5778D913-CDBE-473F-8FA5-80EFB7F12A81}"/>
                      </a:ext>
                    </a:extLst>
                  </wp:docPr>
                  <wp:cNvGraphicFramePr/>
                  <a:graphic xmlns:a="http://schemas.openxmlformats.org/drawingml/2006/main">
                    <a:graphicData uri="http://schemas.openxmlformats.org/drawingml/2006/picture">
                      <pic:pic xmlns:pic="http://schemas.openxmlformats.org/drawingml/2006/picture">
                        <pic:nvPicPr>
                          <pic:cNvPr id="2" name="Рисунок 102" descr="base_1_287253_32796">
                            <a:extLst>
                              <a:ext uri="{FF2B5EF4-FFF2-40B4-BE49-F238E27FC236}">
                                <a16:creationId xmlns:a16="http://schemas.microsoft.com/office/drawing/2014/main" id="{5778D913-CDBE-473F-8FA5-80EFB7F12A81}"/>
                              </a:ext>
                            </a:extLst>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8150" cy="25717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685" w:type="pct"/>
            <w:tcBorders>
              <w:top w:val="single" w:sz="4" w:space="0" w:color="FFFFFF" w:themeColor="background1"/>
              <w:left w:val="nil"/>
              <w:bottom w:val="single" w:sz="4" w:space="0" w:color="auto"/>
              <w:right w:val="single" w:sz="4" w:space="0" w:color="auto"/>
            </w:tcBorders>
            <w:shd w:val="clear" w:color="auto" w:fill="auto"/>
            <w:vAlign w:val="center"/>
            <w:hideMark/>
          </w:tcPr>
          <w:p w14:paraId="54119242" w14:textId="08E94818" w:rsidR="00483598" w:rsidRPr="0072390C" w:rsidRDefault="001065C9" w:rsidP="00483598">
            <w:pPr>
              <w:spacing w:after="0" w:line="240" w:lineRule="auto"/>
              <w:jc w:val="center"/>
              <w:rPr>
                <w:rFonts w:eastAsia="Times New Roman"/>
                <w:bCs/>
                <w:iCs/>
                <w:color w:val="auto"/>
                <w:sz w:val="16"/>
                <w:szCs w:val="16"/>
                <w:lang w:eastAsia="ru-RU"/>
              </w:rPr>
            </w:pPr>
            <w:r w:rsidRPr="0072390C">
              <w:rPr>
                <w:rFonts w:eastAsia="Times New Roman"/>
                <w:bCs/>
                <w:iCs/>
                <w:color w:val="auto"/>
                <w:sz w:val="16"/>
                <w:szCs w:val="16"/>
                <w:lang w:eastAsia="ru-RU"/>
              </w:rPr>
              <w:t>77 626</w:t>
            </w:r>
          </w:p>
        </w:tc>
        <w:tc>
          <w:tcPr>
            <w:tcW w:w="685" w:type="pct"/>
            <w:tcBorders>
              <w:top w:val="single" w:sz="4" w:space="0" w:color="FFFFFF" w:themeColor="background1"/>
              <w:left w:val="nil"/>
              <w:bottom w:val="single" w:sz="4" w:space="0" w:color="auto"/>
              <w:right w:val="single" w:sz="4" w:space="0" w:color="auto"/>
            </w:tcBorders>
            <w:shd w:val="clear" w:color="auto" w:fill="auto"/>
            <w:vAlign w:val="center"/>
            <w:hideMark/>
          </w:tcPr>
          <w:p w14:paraId="4124BFF3" w14:textId="77777777" w:rsidR="00483598" w:rsidRPr="0072390C" w:rsidRDefault="00483598" w:rsidP="00483598">
            <w:pPr>
              <w:spacing w:after="0" w:line="240" w:lineRule="auto"/>
              <w:jc w:val="center"/>
              <w:rPr>
                <w:rFonts w:eastAsia="Times New Roman"/>
                <w:bCs/>
                <w:color w:val="auto"/>
                <w:sz w:val="16"/>
                <w:szCs w:val="16"/>
                <w:lang w:eastAsia="ru-RU"/>
              </w:rPr>
            </w:pPr>
          </w:p>
        </w:tc>
        <w:tc>
          <w:tcPr>
            <w:tcW w:w="726" w:type="pct"/>
            <w:tcBorders>
              <w:top w:val="single" w:sz="4" w:space="0" w:color="FFFFFF" w:themeColor="background1"/>
              <w:left w:val="nil"/>
              <w:bottom w:val="single" w:sz="4" w:space="0" w:color="auto"/>
              <w:right w:val="single" w:sz="4" w:space="0" w:color="auto"/>
            </w:tcBorders>
            <w:shd w:val="clear" w:color="auto" w:fill="auto"/>
            <w:vAlign w:val="center"/>
            <w:hideMark/>
          </w:tcPr>
          <w:p w14:paraId="39E49C2D" w14:textId="77777777" w:rsidR="00483598" w:rsidRPr="0072390C" w:rsidRDefault="00483598" w:rsidP="00483598">
            <w:pPr>
              <w:spacing w:after="0" w:line="240" w:lineRule="auto"/>
              <w:jc w:val="center"/>
              <w:rPr>
                <w:rFonts w:eastAsia="Times New Roman"/>
                <w:bCs/>
                <w:color w:val="auto"/>
                <w:sz w:val="16"/>
                <w:szCs w:val="16"/>
                <w:lang w:eastAsia="ru-RU"/>
              </w:rPr>
            </w:pPr>
          </w:p>
        </w:tc>
        <w:tc>
          <w:tcPr>
            <w:tcW w:w="523" w:type="pct"/>
            <w:tcBorders>
              <w:top w:val="single" w:sz="4" w:space="0" w:color="FFFFFF" w:themeColor="background1"/>
              <w:left w:val="nil"/>
              <w:bottom w:val="single" w:sz="4" w:space="0" w:color="auto"/>
              <w:right w:val="single" w:sz="4" w:space="0" w:color="auto"/>
            </w:tcBorders>
            <w:shd w:val="clear" w:color="auto" w:fill="auto"/>
            <w:vAlign w:val="center"/>
            <w:hideMark/>
          </w:tcPr>
          <w:p w14:paraId="12484E74" w14:textId="77777777" w:rsidR="00483598" w:rsidRPr="0072390C" w:rsidRDefault="00483598" w:rsidP="00483598">
            <w:pPr>
              <w:spacing w:after="0" w:line="240" w:lineRule="auto"/>
              <w:jc w:val="center"/>
              <w:rPr>
                <w:rFonts w:eastAsia="Times New Roman"/>
                <w:bCs/>
                <w:color w:val="auto"/>
                <w:sz w:val="16"/>
                <w:szCs w:val="16"/>
                <w:lang w:eastAsia="ru-RU"/>
              </w:rPr>
            </w:pPr>
          </w:p>
        </w:tc>
      </w:tr>
      <w:tr w:rsidR="00483598" w:rsidRPr="00483598" w14:paraId="6EE5F4B8" w14:textId="77777777" w:rsidTr="00495A09">
        <w:trPr>
          <w:trHeight w:val="1200"/>
        </w:trPr>
        <w:tc>
          <w:tcPr>
            <w:tcW w:w="24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E683195" w14:textId="77777777" w:rsidR="00483598" w:rsidRPr="00483598" w:rsidRDefault="00483598" w:rsidP="00483598">
            <w:pPr>
              <w:spacing w:after="0" w:line="240" w:lineRule="auto"/>
              <w:jc w:val="center"/>
              <w:rPr>
                <w:rFonts w:eastAsia="Times New Roman"/>
                <w:bCs/>
                <w:color w:val="000000"/>
                <w:sz w:val="16"/>
                <w:szCs w:val="16"/>
                <w:lang w:eastAsia="ru-RU"/>
              </w:rPr>
            </w:pPr>
            <w:r w:rsidRPr="00483598">
              <w:rPr>
                <w:rFonts w:eastAsia="Times New Roman"/>
                <w:bCs/>
                <w:color w:val="000000"/>
                <w:sz w:val="16"/>
                <w:szCs w:val="16"/>
                <w:lang w:eastAsia="ru-RU"/>
              </w:rPr>
              <w:t>2</w:t>
            </w:r>
          </w:p>
        </w:tc>
        <w:tc>
          <w:tcPr>
            <w:tcW w:w="1645" w:type="pct"/>
            <w:tcBorders>
              <w:top w:val="single" w:sz="4" w:space="0" w:color="auto"/>
              <w:left w:val="nil"/>
              <w:bottom w:val="single" w:sz="4" w:space="0" w:color="auto"/>
              <w:right w:val="single" w:sz="4" w:space="0" w:color="auto"/>
            </w:tcBorders>
            <w:shd w:val="clear" w:color="auto" w:fill="auto"/>
            <w:vAlign w:val="center"/>
            <w:hideMark/>
          </w:tcPr>
          <w:p w14:paraId="5E42FC77" w14:textId="77777777" w:rsidR="00483598" w:rsidRPr="00483598" w:rsidRDefault="00483598" w:rsidP="00483598">
            <w:pPr>
              <w:spacing w:after="0" w:line="240" w:lineRule="auto"/>
              <w:jc w:val="both"/>
              <w:rPr>
                <w:rFonts w:eastAsia="Times New Roman"/>
                <w:bCs/>
                <w:color w:val="000000"/>
                <w:sz w:val="16"/>
                <w:szCs w:val="16"/>
                <w:lang w:eastAsia="ru-RU"/>
              </w:rPr>
            </w:pPr>
            <w:r w:rsidRPr="00483598">
              <w:rPr>
                <w:rFonts w:eastAsia="Times New Roman"/>
                <w:bCs/>
                <w:color w:val="000000"/>
                <w:sz w:val="16"/>
                <w:szCs w:val="16"/>
                <w:lang w:eastAsia="ru-RU"/>
              </w:rPr>
              <w:t>Плановый размер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2019 год до его начала, за счет собственных средств (выручки от реализации товаров (услуг) по регулируемым ценам (тарифам))</w:t>
            </w:r>
          </w:p>
        </w:tc>
        <w:tc>
          <w:tcPr>
            <w:tcW w:w="492" w:type="pct"/>
            <w:tcBorders>
              <w:top w:val="single" w:sz="4" w:space="0" w:color="auto"/>
              <w:left w:val="nil"/>
              <w:bottom w:val="single" w:sz="4" w:space="0" w:color="auto"/>
              <w:right w:val="single" w:sz="4" w:space="0" w:color="auto"/>
            </w:tcBorders>
            <w:shd w:val="clear" w:color="auto" w:fill="auto"/>
            <w:hideMark/>
          </w:tcPr>
          <w:p w14:paraId="4ADC4B2E" w14:textId="77777777" w:rsidR="00483598" w:rsidRPr="00483598" w:rsidRDefault="00483598" w:rsidP="00483598">
            <w:pPr>
              <w:spacing w:after="0" w:line="240" w:lineRule="auto"/>
              <w:rPr>
                <w:rFonts w:eastAsia="Times New Roman"/>
                <w:bCs/>
                <w:color w:val="000000"/>
                <w:sz w:val="16"/>
                <w:szCs w:val="16"/>
                <w:lang w:eastAsia="ru-RU"/>
              </w:rPr>
            </w:pPr>
            <w:r w:rsidRPr="00483598">
              <w:rPr>
                <w:rFonts w:eastAsia="Times New Roman"/>
                <w:bCs/>
                <w:noProof/>
                <w:color w:val="000000"/>
                <w:sz w:val="16"/>
                <w:szCs w:val="16"/>
                <w:lang w:eastAsia="ru-RU"/>
              </w:rPr>
              <w:drawing>
                <wp:anchor distT="0" distB="0" distL="114300" distR="114300" simplePos="0" relativeHeight="251663360" behindDoc="0" locked="0" layoutInCell="1" allowOverlap="1" wp14:anchorId="7ED333A3" wp14:editId="0770F8D7">
                  <wp:simplePos x="0" y="0"/>
                  <wp:positionH relativeFrom="column">
                    <wp:posOffset>139700</wp:posOffset>
                  </wp:positionH>
                  <wp:positionV relativeFrom="paragraph">
                    <wp:posOffset>276225</wp:posOffset>
                  </wp:positionV>
                  <wp:extent cx="495300" cy="257175"/>
                  <wp:effectExtent l="0" t="0" r="0" b="0"/>
                  <wp:wrapNone/>
                  <wp:docPr id="18" name="Рисунок 18" descr="base_1_287253_32797">
                    <a:extLst xmlns:a="http://schemas.openxmlformats.org/drawingml/2006/main">
                      <a:ext uri="{FF2B5EF4-FFF2-40B4-BE49-F238E27FC236}">
                        <a16:creationId xmlns:a16="http://schemas.microsoft.com/office/drawing/2014/main" id="{66124C4E-FDF3-481A-BAFE-7EB9A63EF91F}"/>
                      </a:ext>
                    </a:extLst>
                  </wp:docPr>
                  <wp:cNvGraphicFramePr/>
                  <a:graphic xmlns:a="http://schemas.openxmlformats.org/drawingml/2006/main">
                    <a:graphicData uri="http://schemas.openxmlformats.org/drawingml/2006/picture">
                      <pic:pic xmlns:pic="http://schemas.openxmlformats.org/drawingml/2006/picture">
                        <pic:nvPicPr>
                          <pic:cNvPr id="3" name="Рисунок 103" descr="base_1_287253_32797">
                            <a:extLst>
                              <a:ext uri="{FF2B5EF4-FFF2-40B4-BE49-F238E27FC236}">
                                <a16:creationId xmlns:a16="http://schemas.microsoft.com/office/drawing/2014/main" id="{66124C4E-FDF3-481A-BAFE-7EB9A63EF91F}"/>
                              </a:ext>
                            </a:extLst>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95300" cy="25717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685" w:type="pct"/>
            <w:tcBorders>
              <w:top w:val="single" w:sz="4" w:space="0" w:color="auto"/>
              <w:left w:val="nil"/>
              <w:bottom w:val="single" w:sz="4" w:space="0" w:color="auto"/>
              <w:right w:val="single" w:sz="4" w:space="0" w:color="auto"/>
            </w:tcBorders>
            <w:shd w:val="clear" w:color="auto" w:fill="auto"/>
            <w:vAlign w:val="center"/>
            <w:hideMark/>
          </w:tcPr>
          <w:p w14:paraId="003CF769" w14:textId="77777777" w:rsidR="00483598" w:rsidRPr="00483598" w:rsidRDefault="00483598" w:rsidP="00483598">
            <w:pPr>
              <w:spacing w:after="0" w:line="240" w:lineRule="auto"/>
              <w:jc w:val="center"/>
              <w:rPr>
                <w:rFonts w:eastAsia="Times New Roman"/>
                <w:bCs/>
                <w:color w:val="000000"/>
                <w:sz w:val="16"/>
                <w:szCs w:val="16"/>
                <w:lang w:eastAsia="ru-RU"/>
              </w:rPr>
            </w:pPr>
          </w:p>
        </w:tc>
        <w:tc>
          <w:tcPr>
            <w:tcW w:w="685" w:type="pct"/>
            <w:tcBorders>
              <w:top w:val="single" w:sz="4" w:space="0" w:color="auto"/>
              <w:left w:val="nil"/>
              <w:bottom w:val="single" w:sz="4" w:space="0" w:color="auto"/>
              <w:right w:val="single" w:sz="4" w:space="0" w:color="auto"/>
            </w:tcBorders>
            <w:shd w:val="clear" w:color="auto" w:fill="auto"/>
            <w:vAlign w:val="center"/>
            <w:hideMark/>
          </w:tcPr>
          <w:p w14:paraId="3DEC2680" w14:textId="77777777" w:rsidR="00483598" w:rsidRPr="00483598" w:rsidRDefault="00483598" w:rsidP="00483598">
            <w:pPr>
              <w:spacing w:after="0" w:line="240" w:lineRule="auto"/>
              <w:jc w:val="center"/>
              <w:rPr>
                <w:rFonts w:eastAsia="Times New Roman"/>
                <w:bCs/>
                <w:color w:val="000000"/>
                <w:sz w:val="16"/>
                <w:szCs w:val="16"/>
                <w:lang w:eastAsia="ru-RU"/>
              </w:rPr>
            </w:pPr>
            <w:r w:rsidRPr="00483598">
              <w:rPr>
                <w:rFonts w:eastAsia="Times New Roman"/>
                <w:bCs/>
                <w:color w:val="000000"/>
                <w:sz w:val="16"/>
                <w:szCs w:val="16"/>
                <w:lang w:eastAsia="ru-RU"/>
              </w:rPr>
              <w:t>77 626</w:t>
            </w:r>
          </w:p>
        </w:tc>
        <w:tc>
          <w:tcPr>
            <w:tcW w:w="726" w:type="pct"/>
            <w:tcBorders>
              <w:top w:val="single" w:sz="4" w:space="0" w:color="auto"/>
              <w:left w:val="nil"/>
              <w:bottom w:val="single" w:sz="4" w:space="0" w:color="auto"/>
              <w:right w:val="single" w:sz="4" w:space="0" w:color="auto"/>
            </w:tcBorders>
            <w:shd w:val="clear" w:color="auto" w:fill="auto"/>
            <w:vAlign w:val="center"/>
            <w:hideMark/>
          </w:tcPr>
          <w:p w14:paraId="278DCE8D" w14:textId="77777777" w:rsidR="00483598" w:rsidRPr="00483598" w:rsidRDefault="00483598" w:rsidP="00483598">
            <w:pPr>
              <w:spacing w:after="0" w:line="240" w:lineRule="auto"/>
              <w:jc w:val="center"/>
              <w:rPr>
                <w:rFonts w:eastAsia="Times New Roman"/>
                <w:bCs/>
                <w:color w:val="000000"/>
                <w:sz w:val="16"/>
                <w:szCs w:val="16"/>
                <w:lang w:eastAsia="ru-RU"/>
              </w:rPr>
            </w:pPr>
          </w:p>
        </w:tc>
        <w:tc>
          <w:tcPr>
            <w:tcW w:w="523" w:type="pct"/>
            <w:tcBorders>
              <w:top w:val="single" w:sz="4" w:space="0" w:color="auto"/>
              <w:left w:val="nil"/>
              <w:bottom w:val="single" w:sz="4" w:space="0" w:color="auto"/>
              <w:right w:val="single" w:sz="4" w:space="0" w:color="auto"/>
            </w:tcBorders>
            <w:shd w:val="clear" w:color="auto" w:fill="auto"/>
            <w:vAlign w:val="center"/>
            <w:hideMark/>
          </w:tcPr>
          <w:p w14:paraId="0639B51E" w14:textId="77777777" w:rsidR="00483598" w:rsidRPr="00483598" w:rsidRDefault="00483598" w:rsidP="00483598">
            <w:pPr>
              <w:spacing w:after="0" w:line="240" w:lineRule="auto"/>
              <w:jc w:val="center"/>
              <w:rPr>
                <w:rFonts w:eastAsia="Times New Roman"/>
                <w:bCs/>
                <w:color w:val="000000"/>
                <w:sz w:val="16"/>
                <w:szCs w:val="16"/>
                <w:lang w:eastAsia="ru-RU"/>
              </w:rPr>
            </w:pPr>
          </w:p>
        </w:tc>
      </w:tr>
      <w:tr w:rsidR="00483598" w:rsidRPr="00483598" w14:paraId="28364C71" w14:textId="77777777" w:rsidTr="00495A09">
        <w:trPr>
          <w:trHeight w:val="1440"/>
        </w:trPr>
        <w:tc>
          <w:tcPr>
            <w:tcW w:w="24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6EA3939" w14:textId="77777777" w:rsidR="00483598" w:rsidRPr="00483598" w:rsidRDefault="00483598" w:rsidP="00483598">
            <w:pPr>
              <w:spacing w:after="0" w:line="240" w:lineRule="auto"/>
              <w:jc w:val="center"/>
              <w:rPr>
                <w:rFonts w:eastAsia="Times New Roman"/>
                <w:bCs/>
                <w:color w:val="000000"/>
                <w:sz w:val="16"/>
                <w:szCs w:val="16"/>
                <w:lang w:eastAsia="ru-RU"/>
              </w:rPr>
            </w:pPr>
            <w:r w:rsidRPr="00483598">
              <w:rPr>
                <w:rFonts w:eastAsia="Times New Roman"/>
                <w:bCs/>
                <w:color w:val="000000"/>
                <w:sz w:val="16"/>
                <w:szCs w:val="16"/>
                <w:lang w:eastAsia="ru-RU"/>
              </w:rPr>
              <w:t>3</w:t>
            </w:r>
          </w:p>
        </w:tc>
        <w:tc>
          <w:tcPr>
            <w:tcW w:w="1645" w:type="pct"/>
            <w:tcBorders>
              <w:top w:val="single" w:sz="4" w:space="0" w:color="auto"/>
              <w:left w:val="nil"/>
              <w:bottom w:val="single" w:sz="4" w:space="0" w:color="auto"/>
              <w:right w:val="single" w:sz="4" w:space="0" w:color="auto"/>
            </w:tcBorders>
            <w:shd w:val="clear" w:color="auto" w:fill="auto"/>
            <w:vAlign w:val="center"/>
            <w:hideMark/>
          </w:tcPr>
          <w:p w14:paraId="62A1F547" w14:textId="77777777" w:rsidR="00483598" w:rsidRPr="00483598" w:rsidRDefault="00483598" w:rsidP="00483598">
            <w:pPr>
              <w:spacing w:after="0" w:line="240" w:lineRule="auto"/>
              <w:jc w:val="both"/>
              <w:rPr>
                <w:rFonts w:eastAsia="Times New Roman"/>
                <w:bCs/>
                <w:color w:val="000000"/>
                <w:sz w:val="16"/>
                <w:szCs w:val="16"/>
                <w:lang w:eastAsia="ru-RU"/>
              </w:rPr>
            </w:pPr>
            <w:r w:rsidRPr="00483598">
              <w:rPr>
                <w:rFonts w:eastAsia="Times New Roman"/>
                <w:bCs/>
                <w:color w:val="000000"/>
                <w:sz w:val="16"/>
                <w:szCs w:val="16"/>
                <w:lang w:eastAsia="ru-RU"/>
              </w:rPr>
              <w:t>Фактический объем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2019 год до его начала, за счет собственных средств (выручки от реализации товаров (услуг) по регулируемым ценам (тарифам)) всего, без учета пообъектного анализа исполнения инвестиционной программы)</w:t>
            </w:r>
          </w:p>
        </w:tc>
        <w:tc>
          <w:tcPr>
            <w:tcW w:w="492" w:type="pct"/>
            <w:tcBorders>
              <w:top w:val="single" w:sz="4" w:space="0" w:color="auto"/>
              <w:left w:val="nil"/>
              <w:bottom w:val="single" w:sz="4" w:space="0" w:color="auto"/>
              <w:right w:val="single" w:sz="4" w:space="0" w:color="auto"/>
            </w:tcBorders>
            <w:shd w:val="clear" w:color="auto" w:fill="auto"/>
            <w:hideMark/>
          </w:tcPr>
          <w:p w14:paraId="7A4BA01F" w14:textId="77777777" w:rsidR="00483598" w:rsidRPr="00483598" w:rsidRDefault="00483598" w:rsidP="00483598">
            <w:pPr>
              <w:spacing w:after="0" w:line="240" w:lineRule="auto"/>
              <w:rPr>
                <w:rFonts w:eastAsia="Times New Roman"/>
                <w:bCs/>
                <w:color w:val="000000"/>
                <w:sz w:val="16"/>
                <w:szCs w:val="16"/>
                <w:lang w:eastAsia="ru-RU"/>
              </w:rPr>
            </w:pPr>
            <w:r w:rsidRPr="00483598">
              <w:rPr>
                <w:rFonts w:eastAsia="Times New Roman"/>
                <w:bCs/>
                <w:noProof/>
                <w:color w:val="000000"/>
                <w:sz w:val="16"/>
                <w:szCs w:val="16"/>
                <w:lang w:eastAsia="ru-RU"/>
              </w:rPr>
              <w:drawing>
                <wp:anchor distT="0" distB="0" distL="114300" distR="114300" simplePos="0" relativeHeight="251664384" behindDoc="0" locked="0" layoutInCell="1" allowOverlap="1" wp14:anchorId="14071711" wp14:editId="6F0C9B2C">
                  <wp:simplePos x="0" y="0"/>
                  <wp:positionH relativeFrom="column">
                    <wp:posOffset>158750</wp:posOffset>
                  </wp:positionH>
                  <wp:positionV relativeFrom="paragraph">
                    <wp:posOffset>323850</wp:posOffset>
                  </wp:positionV>
                  <wp:extent cx="571500" cy="266700"/>
                  <wp:effectExtent l="0" t="0" r="0" b="0"/>
                  <wp:wrapNone/>
                  <wp:docPr id="19" name="Рисунок 19">
                    <a:extLst xmlns:a="http://schemas.openxmlformats.org/drawingml/2006/main">
                      <a:ext uri="{FF2B5EF4-FFF2-40B4-BE49-F238E27FC236}">
                        <a16:creationId xmlns:a16="http://schemas.microsoft.com/office/drawing/2014/main" id="{2E7B3968-AF7E-46B3-BEF2-E4EDDBF21BF1}"/>
                      </a:ext>
                    </a:extLst>
                  </wp:docPr>
                  <wp:cNvGraphicFramePr/>
                  <a:graphic xmlns:a="http://schemas.openxmlformats.org/drawingml/2006/main">
                    <a:graphicData uri="http://schemas.openxmlformats.org/drawingml/2006/picture">
                      <pic:pic xmlns:pic="http://schemas.openxmlformats.org/drawingml/2006/picture">
                        <pic:nvPicPr>
                          <pic:cNvPr id="4" name="Рисунок 448">
                            <a:extLst>
                              <a:ext uri="{FF2B5EF4-FFF2-40B4-BE49-F238E27FC236}">
                                <a16:creationId xmlns:a16="http://schemas.microsoft.com/office/drawing/2014/main" id="{2E7B3968-AF7E-46B3-BEF2-E4EDDBF21BF1}"/>
                              </a:ext>
                            </a:extLs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 cy="26670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685" w:type="pct"/>
            <w:tcBorders>
              <w:top w:val="single" w:sz="4" w:space="0" w:color="auto"/>
              <w:left w:val="nil"/>
              <w:bottom w:val="single" w:sz="4" w:space="0" w:color="auto"/>
              <w:right w:val="single" w:sz="4" w:space="0" w:color="auto"/>
            </w:tcBorders>
            <w:shd w:val="clear" w:color="auto" w:fill="auto"/>
            <w:vAlign w:val="center"/>
            <w:hideMark/>
          </w:tcPr>
          <w:p w14:paraId="424AC4B7" w14:textId="77777777" w:rsidR="00483598" w:rsidRPr="00483598" w:rsidRDefault="00483598" w:rsidP="00483598">
            <w:pPr>
              <w:spacing w:after="0" w:line="240" w:lineRule="auto"/>
              <w:jc w:val="center"/>
              <w:rPr>
                <w:rFonts w:eastAsia="Times New Roman"/>
                <w:bCs/>
                <w:color w:val="000000"/>
                <w:sz w:val="16"/>
                <w:szCs w:val="16"/>
                <w:lang w:eastAsia="ru-RU"/>
              </w:rPr>
            </w:pPr>
          </w:p>
        </w:tc>
        <w:tc>
          <w:tcPr>
            <w:tcW w:w="685" w:type="pct"/>
            <w:tcBorders>
              <w:top w:val="single" w:sz="4" w:space="0" w:color="auto"/>
              <w:left w:val="nil"/>
              <w:bottom w:val="single" w:sz="4" w:space="0" w:color="auto"/>
              <w:right w:val="single" w:sz="4" w:space="0" w:color="auto"/>
            </w:tcBorders>
            <w:shd w:val="clear" w:color="auto" w:fill="auto"/>
            <w:vAlign w:val="center"/>
            <w:hideMark/>
          </w:tcPr>
          <w:p w14:paraId="49697945" w14:textId="77777777" w:rsidR="00483598" w:rsidRPr="00483598" w:rsidRDefault="00483598" w:rsidP="00483598">
            <w:pPr>
              <w:spacing w:after="0" w:line="240" w:lineRule="auto"/>
              <w:jc w:val="center"/>
              <w:rPr>
                <w:rFonts w:eastAsia="Times New Roman"/>
                <w:bCs/>
                <w:color w:val="000000"/>
                <w:sz w:val="16"/>
                <w:szCs w:val="16"/>
                <w:lang w:eastAsia="ru-RU"/>
              </w:rPr>
            </w:pPr>
          </w:p>
        </w:tc>
        <w:tc>
          <w:tcPr>
            <w:tcW w:w="726" w:type="pct"/>
            <w:tcBorders>
              <w:top w:val="single" w:sz="4" w:space="0" w:color="auto"/>
              <w:left w:val="nil"/>
              <w:bottom w:val="single" w:sz="4" w:space="0" w:color="auto"/>
              <w:right w:val="single" w:sz="4" w:space="0" w:color="auto"/>
            </w:tcBorders>
            <w:shd w:val="clear" w:color="auto" w:fill="auto"/>
            <w:vAlign w:val="center"/>
            <w:hideMark/>
          </w:tcPr>
          <w:p w14:paraId="6E5E2F45" w14:textId="77777777" w:rsidR="00483598" w:rsidRPr="00483598" w:rsidRDefault="00483598" w:rsidP="00483598">
            <w:pPr>
              <w:spacing w:after="0" w:line="240" w:lineRule="auto"/>
              <w:jc w:val="center"/>
              <w:rPr>
                <w:rFonts w:eastAsia="Times New Roman"/>
                <w:bCs/>
                <w:color w:val="000000"/>
                <w:sz w:val="16"/>
                <w:szCs w:val="16"/>
                <w:lang w:eastAsia="ru-RU"/>
              </w:rPr>
            </w:pPr>
            <w:r w:rsidRPr="00483598">
              <w:rPr>
                <w:rFonts w:eastAsia="Times New Roman"/>
                <w:bCs/>
                <w:color w:val="000000"/>
                <w:sz w:val="16"/>
                <w:szCs w:val="16"/>
                <w:lang w:eastAsia="ru-RU"/>
              </w:rPr>
              <w:t>105 422</w:t>
            </w:r>
          </w:p>
        </w:tc>
        <w:tc>
          <w:tcPr>
            <w:tcW w:w="523" w:type="pct"/>
            <w:tcBorders>
              <w:top w:val="single" w:sz="4" w:space="0" w:color="auto"/>
              <w:left w:val="nil"/>
              <w:bottom w:val="single" w:sz="4" w:space="0" w:color="auto"/>
              <w:right w:val="single" w:sz="4" w:space="0" w:color="auto"/>
            </w:tcBorders>
            <w:shd w:val="clear" w:color="auto" w:fill="auto"/>
            <w:vAlign w:val="center"/>
            <w:hideMark/>
          </w:tcPr>
          <w:p w14:paraId="2E4856CA" w14:textId="77777777" w:rsidR="00483598" w:rsidRPr="00483598" w:rsidRDefault="00483598" w:rsidP="00483598">
            <w:pPr>
              <w:spacing w:after="0" w:line="240" w:lineRule="auto"/>
              <w:jc w:val="center"/>
              <w:rPr>
                <w:rFonts w:eastAsia="Times New Roman"/>
                <w:bCs/>
                <w:color w:val="000000"/>
                <w:sz w:val="16"/>
                <w:szCs w:val="16"/>
                <w:lang w:eastAsia="ru-RU"/>
              </w:rPr>
            </w:pPr>
          </w:p>
        </w:tc>
      </w:tr>
      <w:tr w:rsidR="00483598" w:rsidRPr="00483598" w14:paraId="156B78F3" w14:textId="77777777" w:rsidTr="00495A09">
        <w:trPr>
          <w:trHeight w:val="1920"/>
        </w:trPr>
        <w:tc>
          <w:tcPr>
            <w:tcW w:w="24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61F4259" w14:textId="77777777" w:rsidR="00483598" w:rsidRPr="00483598" w:rsidRDefault="00483598" w:rsidP="00483598">
            <w:pPr>
              <w:spacing w:after="0" w:line="240" w:lineRule="auto"/>
              <w:jc w:val="center"/>
              <w:rPr>
                <w:rFonts w:eastAsia="Times New Roman"/>
                <w:bCs/>
                <w:color w:val="000000"/>
                <w:sz w:val="16"/>
                <w:szCs w:val="16"/>
                <w:lang w:eastAsia="ru-RU"/>
              </w:rPr>
            </w:pPr>
            <w:r w:rsidRPr="00483598">
              <w:rPr>
                <w:rFonts w:eastAsia="Times New Roman"/>
                <w:bCs/>
                <w:color w:val="000000"/>
                <w:sz w:val="16"/>
                <w:szCs w:val="16"/>
                <w:lang w:eastAsia="ru-RU"/>
              </w:rPr>
              <w:t>4</w:t>
            </w:r>
          </w:p>
        </w:tc>
        <w:tc>
          <w:tcPr>
            <w:tcW w:w="1645" w:type="pct"/>
            <w:tcBorders>
              <w:top w:val="single" w:sz="4" w:space="0" w:color="auto"/>
              <w:left w:val="nil"/>
              <w:bottom w:val="single" w:sz="4" w:space="0" w:color="auto"/>
              <w:right w:val="single" w:sz="4" w:space="0" w:color="auto"/>
            </w:tcBorders>
            <w:shd w:val="clear" w:color="auto" w:fill="auto"/>
            <w:vAlign w:val="center"/>
            <w:hideMark/>
          </w:tcPr>
          <w:p w14:paraId="38412C1F" w14:textId="77777777" w:rsidR="00483598" w:rsidRPr="00483598" w:rsidRDefault="00483598" w:rsidP="00483598">
            <w:pPr>
              <w:spacing w:after="0" w:line="240" w:lineRule="auto"/>
              <w:jc w:val="both"/>
              <w:rPr>
                <w:rFonts w:eastAsia="Times New Roman"/>
                <w:bCs/>
                <w:color w:val="000000"/>
                <w:sz w:val="16"/>
                <w:szCs w:val="16"/>
                <w:lang w:eastAsia="ru-RU"/>
              </w:rPr>
            </w:pPr>
            <w:r w:rsidRPr="00483598">
              <w:rPr>
                <w:rFonts w:eastAsia="Times New Roman"/>
                <w:bCs/>
                <w:color w:val="000000"/>
                <w:sz w:val="16"/>
                <w:szCs w:val="16"/>
                <w:lang w:eastAsia="ru-RU"/>
              </w:rPr>
              <w:t>Фактический объем финансирования мероприятий инвестиционной программы, по которым выявлено превышение фактического финансирования над плановым финансированием, предусмотренного инвестиционной программой, представляющей собой совокупность инвестиционных проектов, утвержденной (скорректированной) в установленном порядке на 2019 год до его начала, за счет собственных средств выручки от реализации товаров (услуг) по регулируемым ценам (тарифам))</w:t>
            </w:r>
          </w:p>
        </w:tc>
        <w:tc>
          <w:tcPr>
            <w:tcW w:w="492" w:type="pct"/>
            <w:tcBorders>
              <w:top w:val="single" w:sz="4" w:space="0" w:color="auto"/>
              <w:left w:val="nil"/>
              <w:bottom w:val="single" w:sz="4" w:space="0" w:color="auto"/>
              <w:right w:val="single" w:sz="4" w:space="0" w:color="auto"/>
            </w:tcBorders>
            <w:shd w:val="clear" w:color="auto" w:fill="auto"/>
            <w:vAlign w:val="center"/>
            <w:hideMark/>
          </w:tcPr>
          <w:p w14:paraId="3746684B" w14:textId="77777777" w:rsidR="00483598" w:rsidRPr="00483598" w:rsidRDefault="00483598" w:rsidP="00483598">
            <w:pPr>
              <w:spacing w:after="0" w:line="240" w:lineRule="auto"/>
              <w:jc w:val="both"/>
              <w:rPr>
                <w:rFonts w:eastAsia="Times New Roman"/>
                <w:bCs/>
                <w:color w:val="000000"/>
                <w:sz w:val="16"/>
                <w:szCs w:val="16"/>
                <w:lang w:eastAsia="ru-RU"/>
              </w:rPr>
            </w:pPr>
            <w:r w:rsidRPr="00483598">
              <w:rPr>
                <w:rFonts w:eastAsia="Times New Roman"/>
                <w:bCs/>
                <w:color w:val="000000"/>
                <w:sz w:val="16"/>
                <w:szCs w:val="16"/>
                <w:lang w:eastAsia="ru-RU"/>
              </w:rPr>
              <w:t> </w:t>
            </w:r>
          </w:p>
        </w:tc>
        <w:tc>
          <w:tcPr>
            <w:tcW w:w="685" w:type="pct"/>
            <w:tcBorders>
              <w:top w:val="single" w:sz="4" w:space="0" w:color="auto"/>
              <w:left w:val="nil"/>
              <w:bottom w:val="single" w:sz="4" w:space="0" w:color="auto"/>
              <w:right w:val="single" w:sz="4" w:space="0" w:color="auto"/>
            </w:tcBorders>
            <w:shd w:val="clear" w:color="auto" w:fill="auto"/>
            <w:vAlign w:val="center"/>
            <w:hideMark/>
          </w:tcPr>
          <w:p w14:paraId="231BE694" w14:textId="77777777" w:rsidR="00483598" w:rsidRPr="00483598" w:rsidRDefault="00483598" w:rsidP="00483598">
            <w:pPr>
              <w:spacing w:after="0" w:line="240" w:lineRule="auto"/>
              <w:jc w:val="center"/>
              <w:rPr>
                <w:rFonts w:eastAsia="Times New Roman"/>
                <w:bCs/>
                <w:color w:val="000000"/>
                <w:sz w:val="16"/>
                <w:szCs w:val="16"/>
                <w:lang w:eastAsia="ru-RU"/>
              </w:rPr>
            </w:pPr>
          </w:p>
        </w:tc>
        <w:tc>
          <w:tcPr>
            <w:tcW w:w="685" w:type="pct"/>
            <w:tcBorders>
              <w:top w:val="single" w:sz="4" w:space="0" w:color="auto"/>
              <w:left w:val="nil"/>
              <w:bottom w:val="single" w:sz="4" w:space="0" w:color="auto"/>
              <w:right w:val="single" w:sz="4" w:space="0" w:color="auto"/>
            </w:tcBorders>
            <w:shd w:val="clear" w:color="auto" w:fill="auto"/>
            <w:vAlign w:val="center"/>
            <w:hideMark/>
          </w:tcPr>
          <w:p w14:paraId="006993BC" w14:textId="77777777" w:rsidR="00483598" w:rsidRPr="00483598" w:rsidRDefault="00483598" w:rsidP="00483598">
            <w:pPr>
              <w:spacing w:after="0" w:line="240" w:lineRule="auto"/>
              <w:jc w:val="center"/>
              <w:rPr>
                <w:rFonts w:eastAsia="Times New Roman"/>
                <w:bCs/>
                <w:color w:val="000000"/>
                <w:sz w:val="16"/>
                <w:szCs w:val="16"/>
                <w:lang w:eastAsia="ru-RU"/>
              </w:rPr>
            </w:pPr>
            <w:r w:rsidRPr="00483598">
              <w:rPr>
                <w:rFonts w:eastAsia="Times New Roman"/>
                <w:bCs/>
                <w:color w:val="000000"/>
                <w:sz w:val="16"/>
                <w:szCs w:val="16"/>
                <w:lang w:eastAsia="ru-RU"/>
              </w:rPr>
              <w:t>32 318,13</w:t>
            </w:r>
          </w:p>
        </w:tc>
        <w:tc>
          <w:tcPr>
            <w:tcW w:w="726" w:type="pct"/>
            <w:tcBorders>
              <w:top w:val="single" w:sz="4" w:space="0" w:color="auto"/>
              <w:left w:val="nil"/>
              <w:bottom w:val="single" w:sz="4" w:space="0" w:color="auto"/>
              <w:right w:val="single" w:sz="4" w:space="0" w:color="auto"/>
            </w:tcBorders>
            <w:shd w:val="clear" w:color="auto" w:fill="auto"/>
            <w:vAlign w:val="center"/>
            <w:hideMark/>
          </w:tcPr>
          <w:p w14:paraId="6D555036" w14:textId="77777777" w:rsidR="00483598" w:rsidRPr="00483598" w:rsidRDefault="00483598" w:rsidP="00483598">
            <w:pPr>
              <w:spacing w:after="0" w:line="240" w:lineRule="auto"/>
              <w:jc w:val="center"/>
              <w:rPr>
                <w:rFonts w:eastAsia="Times New Roman"/>
                <w:bCs/>
                <w:color w:val="000000"/>
                <w:sz w:val="16"/>
                <w:szCs w:val="16"/>
                <w:lang w:eastAsia="ru-RU"/>
              </w:rPr>
            </w:pPr>
            <w:r w:rsidRPr="00483598">
              <w:rPr>
                <w:rFonts w:eastAsia="Times New Roman"/>
                <w:bCs/>
                <w:color w:val="000000"/>
                <w:sz w:val="16"/>
                <w:szCs w:val="16"/>
                <w:lang w:eastAsia="ru-RU"/>
              </w:rPr>
              <w:t>66 079,00</w:t>
            </w:r>
          </w:p>
        </w:tc>
        <w:tc>
          <w:tcPr>
            <w:tcW w:w="523" w:type="pct"/>
            <w:tcBorders>
              <w:top w:val="single" w:sz="4" w:space="0" w:color="auto"/>
              <w:left w:val="nil"/>
              <w:bottom w:val="single" w:sz="4" w:space="0" w:color="auto"/>
              <w:right w:val="single" w:sz="4" w:space="0" w:color="auto"/>
            </w:tcBorders>
            <w:shd w:val="clear" w:color="auto" w:fill="auto"/>
            <w:vAlign w:val="center"/>
            <w:hideMark/>
          </w:tcPr>
          <w:p w14:paraId="7CF31B4E" w14:textId="787F6B5A" w:rsidR="00483598" w:rsidRPr="00483598" w:rsidRDefault="00483598" w:rsidP="00483598">
            <w:pPr>
              <w:spacing w:after="0" w:line="240" w:lineRule="auto"/>
              <w:jc w:val="center"/>
              <w:rPr>
                <w:rFonts w:eastAsia="Times New Roman"/>
                <w:bCs/>
                <w:color w:val="000000"/>
                <w:sz w:val="16"/>
                <w:szCs w:val="16"/>
                <w:lang w:eastAsia="ru-RU"/>
              </w:rPr>
            </w:pPr>
            <w:r w:rsidRPr="00483598">
              <w:rPr>
                <w:rFonts w:eastAsia="Times New Roman"/>
                <w:bCs/>
                <w:color w:val="000000"/>
                <w:sz w:val="16"/>
                <w:szCs w:val="16"/>
                <w:lang w:eastAsia="ru-RU"/>
              </w:rPr>
              <w:t>33 760,87</w:t>
            </w:r>
          </w:p>
        </w:tc>
      </w:tr>
      <w:tr w:rsidR="00483598" w:rsidRPr="00483598" w14:paraId="18FDFBC3" w14:textId="77777777" w:rsidTr="00495A09">
        <w:trPr>
          <w:trHeight w:val="1440"/>
        </w:trPr>
        <w:tc>
          <w:tcPr>
            <w:tcW w:w="24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70BAE42" w14:textId="77777777" w:rsidR="00483598" w:rsidRPr="00483598" w:rsidRDefault="00483598" w:rsidP="00483598">
            <w:pPr>
              <w:spacing w:after="0" w:line="240" w:lineRule="auto"/>
              <w:jc w:val="center"/>
              <w:rPr>
                <w:rFonts w:eastAsia="Times New Roman"/>
                <w:bCs/>
                <w:color w:val="000000"/>
                <w:sz w:val="16"/>
                <w:szCs w:val="16"/>
                <w:lang w:eastAsia="ru-RU"/>
              </w:rPr>
            </w:pPr>
            <w:r w:rsidRPr="00483598">
              <w:rPr>
                <w:rFonts w:eastAsia="Times New Roman"/>
                <w:bCs/>
                <w:color w:val="000000"/>
                <w:sz w:val="16"/>
                <w:szCs w:val="16"/>
                <w:lang w:eastAsia="ru-RU"/>
              </w:rPr>
              <w:t>5</w:t>
            </w:r>
          </w:p>
        </w:tc>
        <w:tc>
          <w:tcPr>
            <w:tcW w:w="1645" w:type="pct"/>
            <w:tcBorders>
              <w:top w:val="single" w:sz="4" w:space="0" w:color="auto"/>
              <w:left w:val="nil"/>
              <w:bottom w:val="single" w:sz="4" w:space="0" w:color="auto"/>
              <w:right w:val="single" w:sz="4" w:space="0" w:color="auto"/>
            </w:tcBorders>
            <w:shd w:val="clear" w:color="auto" w:fill="auto"/>
            <w:vAlign w:val="center"/>
            <w:hideMark/>
          </w:tcPr>
          <w:p w14:paraId="76290BB7" w14:textId="77777777" w:rsidR="00483598" w:rsidRPr="00483598" w:rsidRDefault="00483598" w:rsidP="00483598">
            <w:pPr>
              <w:spacing w:after="0" w:line="240" w:lineRule="auto"/>
              <w:jc w:val="both"/>
              <w:rPr>
                <w:rFonts w:eastAsia="Times New Roman"/>
                <w:bCs/>
                <w:color w:val="000000"/>
                <w:sz w:val="16"/>
                <w:szCs w:val="16"/>
                <w:lang w:eastAsia="ru-RU"/>
              </w:rPr>
            </w:pPr>
            <w:r w:rsidRPr="00483598">
              <w:rPr>
                <w:rFonts w:eastAsia="Times New Roman"/>
                <w:bCs/>
                <w:color w:val="000000"/>
                <w:sz w:val="16"/>
                <w:szCs w:val="16"/>
                <w:lang w:eastAsia="ru-RU"/>
              </w:rPr>
              <w:t>Фактический объем финансирования мероприятий инвестиционной программы, отсутствующие в инвестиционной программе, представляющей собой совокупность инвестиционных проектов, утвержденной (скорректированной) в установленном порядке на 2019 год до его начала, за счет собственных средств выручки от реализации товаров (услуг) по регулируемым ценам (тарифам))</w:t>
            </w:r>
          </w:p>
        </w:tc>
        <w:tc>
          <w:tcPr>
            <w:tcW w:w="492" w:type="pct"/>
            <w:tcBorders>
              <w:top w:val="single" w:sz="4" w:space="0" w:color="auto"/>
              <w:left w:val="nil"/>
              <w:bottom w:val="single" w:sz="4" w:space="0" w:color="auto"/>
              <w:right w:val="single" w:sz="4" w:space="0" w:color="auto"/>
            </w:tcBorders>
            <w:shd w:val="clear" w:color="auto" w:fill="auto"/>
            <w:vAlign w:val="center"/>
            <w:hideMark/>
          </w:tcPr>
          <w:p w14:paraId="1FB36158" w14:textId="77777777" w:rsidR="00483598" w:rsidRPr="00483598" w:rsidRDefault="00483598" w:rsidP="00483598">
            <w:pPr>
              <w:spacing w:after="0" w:line="240" w:lineRule="auto"/>
              <w:jc w:val="both"/>
              <w:rPr>
                <w:rFonts w:eastAsia="Times New Roman"/>
                <w:bCs/>
                <w:color w:val="000000"/>
                <w:sz w:val="16"/>
                <w:szCs w:val="16"/>
                <w:lang w:eastAsia="ru-RU"/>
              </w:rPr>
            </w:pPr>
            <w:r w:rsidRPr="00483598">
              <w:rPr>
                <w:rFonts w:eastAsia="Times New Roman"/>
                <w:bCs/>
                <w:color w:val="000000"/>
                <w:sz w:val="16"/>
                <w:szCs w:val="16"/>
                <w:lang w:eastAsia="ru-RU"/>
              </w:rPr>
              <w:t> </w:t>
            </w:r>
          </w:p>
        </w:tc>
        <w:tc>
          <w:tcPr>
            <w:tcW w:w="685" w:type="pct"/>
            <w:tcBorders>
              <w:top w:val="single" w:sz="4" w:space="0" w:color="auto"/>
              <w:left w:val="nil"/>
              <w:bottom w:val="single" w:sz="4" w:space="0" w:color="auto"/>
              <w:right w:val="single" w:sz="4" w:space="0" w:color="auto"/>
            </w:tcBorders>
            <w:shd w:val="clear" w:color="auto" w:fill="auto"/>
            <w:vAlign w:val="center"/>
            <w:hideMark/>
          </w:tcPr>
          <w:p w14:paraId="3FAA3C2B" w14:textId="77777777" w:rsidR="00483598" w:rsidRPr="00483598" w:rsidRDefault="00483598" w:rsidP="00483598">
            <w:pPr>
              <w:spacing w:after="0" w:line="240" w:lineRule="auto"/>
              <w:jc w:val="center"/>
              <w:rPr>
                <w:rFonts w:eastAsia="Times New Roman"/>
                <w:bCs/>
                <w:color w:val="000000"/>
                <w:sz w:val="16"/>
                <w:szCs w:val="16"/>
                <w:lang w:eastAsia="ru-RU"/>
              </w:rPr>
            </w:pPr>
          </w:p>
        </w:tc>
        <w:tc>
          <w:tcPr>
            <w:tcW w:w="685" w:type="pct"/>
            <w:tcBorders>
              <w:top w:val="single" w:sz="4" w:space="0" w:color="auto"/>
              <w:left w:val="nil"/>
              <w:bottom w:val="single" w:sz="4" w:space="0" w:color="auto"/>
              <w:right w:val="single" w:sz="4" w:space="0" w:color="auto"/>
            </w:tcBorders>
            <w:shd w:val="clear" w:color="auto" w:fill="auto"/>
            <w:vAlign w:val="center"/>
            <w:hideMark/>
          </w:tcPr>
          <w:p w14:paraId="00D3173D" w14:textId="77777777" w:rsidR="00483598" w:rsidRPr="00483598" w:rsidRDefault="00483598" w:rsidP="00483598">
            <w:pPr>
              <w:spacing w:after="0" w:line="240" w:lineRule="auto"/>
              <w:jc w:val="center"/>
              <w:rPr>
                <w:rFonts w:eastAsia="Times New Roman"/>
                <w:bCs/>
                <w:color w:val="000000"/>
                <w:sz w:val="16"/>
                <w:szCs w:val="16"/>
                <w:lang w:eastAsia="ru-RU"/>
              </w:rPr>
            </w:pPr>
            <w:r w:rsidRPr="00483598">
              <w:rPr>
                <w:rFonts w:eastAsia="Times New Roman"/>
                <w:bCs/>
                <w:color w:val="000000"/>
                <w:sz w:val="16"/>
                <w:szCs w:val="16"/>
                <w:lang w:eastAsia="ru-RU"/>
              </w:rPr>
              <w:t>-</w:t>
            </w:r>
          </w:p>
        </w:tc>
        <w:tc>
          <w:tcPr>
            <w:tcW w:w="726" w:type="pct"/>
            <w:tcBorders>
              <w:top w:val="single" w:sz="4" w:space="0" w:color="auto"/>
              <w:left w:val="nil"/>
              <w:bottom w:val="single" w:sz="4" w:space="0" w:color="auto"/>
              <w:right w:val="single" w:sz="4" w:space="0" w:color="auto"/>
            </w:tcBorders>
            <w:shd w:val="clear" w:color="auto" w:fill="auto"/>
            <w:vAlign w:val="center"/>
            <w:hideMark/>
          </w:tcPr>
          <w:p w14:paraId="3D2F3BED" w14:textId="77777777" w:rsidR="00483598" w:rsidRPr="00483598" w:rsidRDefault="00483598" w:rsidP="00483598">
            <w:pPr>
              <w:spacing w:after="0" w:line="240" w:lineRule="auto"/>
              <w:jc w:val="center"/>
              <w:rPr>
                <w:rFonts w:eastAsia="Times New Roman"/>
                <w:bCs/>
                <w:color w:val="000000"/>
                <w:sz w:val="16"/>
                <w:szCs w:val="16"/>
                <w:lang w:eastAsia="ru-RU"/>
              </w:rPr>
            </w:pPr>
            <w:r w:rsidRPr="00483598">
              <w:rPr>
                <w:rFonts w:eastAsia="Times New Roman"/>
                <w:bCs/>
                <w:color w:val="000000"/>
                <w:sz w:val="16"/>
                <w:szCs w:val="16"/>
                <w:lang w:eastAsia="ru-RU"/>
              </w:rPr>
              <w:t>3 720</w:t>
            </w:r>
          </w:p>
        </w:tc>
        <w:tc>
          <w:tcPr>
            <w:tcW w:w="523" w:type="pct"/>
            <w:tcBorders>
              <w:top w:val="single" w:sz="4" w:space="0" w:color="auto"/>
              <w:left w:val="nil"/>
              <w:bottom w:val="single" w:sz="4" w:space="0" w:color="auto"/>
              <w:right w:val="single" w:sz="4" w:space="0" w:color="auto"/>
            </w:tcBorders>
            <w:shd w:val="clear" w:color="auto" w:fill="auto"/>
            <w:vAlign w:val="center"/>
            <w:hideMark/>
          </w:tcPr>
          <w:p w14:paraId="581AD8DA" w14:textId="4B464319" w:rsidR="00483598" w:rsidRPr="00483598" w:rsidRDefault="00483598" w:rsidP="00483598">
            <w:pPr>
              <w:spacing w:after="0" w:line="240" w:lineRule="auto"/>
              <w:jc w:val="center"/>
              <w:rPr>
                <w:rFonts w:eastAsia="Times New Roman"/>
                <w:bCs/>
                <w:color w:val="000000"/>
                <w:sz w:val="16"/>
                <w:szCs w:val="16"/>
                <w:lang w:eastAsia="ru-RU"/>
              </w:rPr>
            </w:pPr>
            <w:r w:rsidRPr="00483598">
              <w:rPr>
                <w:rFonts w:eastAsia="Times New Roman"/>
                <w:bCs/>
                <w:color w:val="000000"/>
                <w:sz w:val="16"/>
                <w:szCs w:val="16"/>
                <w:lang w:eastAsia="ru-RU"/>
              </w:rPr>
              <w:t>3 720</w:t>
            </w:r>
          </w:p>
        </w:tc>
      </w:tr>
      <w:tr w:rsidR="00483598" w:rsidRPr="00483598" w14:paraId="22B018E7" w14:textId="77777777" w:rsidTr="00495A09">
        <w:trPr>
          <w:trHeight w:val="1680"/>
        </w:trPr>
        <w:tc>
          <w:tcPr>
            <w:tcW w:w="24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2B03623" w14:textId="77777777" w:rsidR="00483598" w:rsidRPr="00483598" w:rsidRDefault="00483598" w:rsidP="00483598">
            <w:pPr>
              <w:spacing w:after="0" w:line="240" w:lineRule="auto"/>
              <w:jc w:val="center"/>
              <w:rPr>
                <w:rFonts w:eastAsia="Times New Roman"/>
                <w:bCs/>
                <w:color w:val="000000"/>
                <w:sz w:val="16"/>
                <w:szCs w:val="16"/>
                <w:lang w:eastAsia="ru-RU"/>
              </w:rPr>
            </w:pPr>
            <w:r w:rsidRPr="00483598">
              <w:rPr>
                <w:rFonts w:eastAsia="Times New Roman"/>
                <w:bCs/>
                <w:color w:val="000000"/>
                <w:sz w:val="16"/>
                <w:szCs w:val="16"/>
                <w:lang w:eastAsia="ru-RU"/>
              </w:rPr>
              <w:lastRenderedPageBreak/>
              <w:t>6</w:t>
            </w:r>
          </w:p>
        </w:tc>
        <w:tc>
          <w:tcPr>
            <w:tcW w:w="1645" w:type="pct"/>
            <w:tcBorders>
              <w:top w:val="single" w:sz="4" w:space="0" w:color="auto"/>
              <w:left w:val="nil"/>
              <w:bottom w:val="single" w:sz="4" w:space="0" w:color="auto"/>
              <w:right w:val="single" w:sz="4" w:space="0" w:color="auto"/>
            </w:tcBorders>
            <w:shd w:val="clear" w:color="auto" w:fill="auto"/>
            <w:vAlign w:val="center"/>
            <w:hideMark/>
          </w:tcPr>
          <w:p w14:paraId="1D19D5CD" w14:textId="77777777" w:rsidR="00483598" w:rsidRPr="00483598" w:rsidRDefault="00483598" w:rsidP="00483598">
            <w:pPr>
              <w:spacing w:after="0" w:line="240" w:lineRule="auto"/>
              <w:jc w:val="both"/>
              <w:rPr>
                <w:rFonts w:eastAsia="Times New Roman"/>
                <w:bCs/>
                <w:color w:val="000000"/>
                <w:sz w:val="16"/>
                <w:szCs w:val="16"/>
                <w:lang w:eastAsia="ru-RU"/>
              </w:rPr>
            </w:pPr>
            <w:r w:rsidRPr="00483598">
              <w:rPr>
                <w:rFonts w:eastAsia="Times New Roman"/>
                <w:bCs/>
                <w:color w:val="000000"/>
                <w:sz w:val="16"/>
                <w:szCs w:val="16"/>
                <w:lang w:eastAsia="ru-RU"/>
              </w:rPr>
              <w:t>Фактический объем финансирования мероприятий инвестиционной программы, по которым выявлено неисполнение относительно планового финансирования, предусмотренного инвестиционной программой, представляющей собой совокупность инвестиционных проектов, утвержденной (скорректированной) в установленном порядке на 2019 год до его начала, за счет собственных средств выручки от реализации товаров (услуг) по регулируемым ценам (тарифам))</w:t>
            </w:r>
          </w:p>
        </w:tc>
        <w:tc>
          <w:tcPr>
            <w:tcW w:w="492" w:type="pct"/>
            <w:tcBorders>
              <w:top w:val="single" w:sz="4" w:space="0" w:color="auto"/>
              <w:left w:val="nil"/>
              <w:bottom w:val="single" w:sz="4" w:space="0" w:color="auto"/>
              <w:right w:val="single" w:sz="4" w:space="0" w:color="auto"/>
            </w:tcBorders>
            <w:shd w:val="clear" w:color="auto" w:fill="auto"/>
            <w:vAlign w:val="center"/>
            <w:hideMark/>
          </w:tcPr>
          <w:p w14:paraId="032BE155" w14:textId="77777777" w:rsidR="00483598" w:rsidRPr="00483598" w:rsidRDefault="00483598" w:rsidP="00483598">
            <w:pPr>
              <w:spacing w:after="0" w:line="240" w:lineRule="auto"/>
              <w:jc w:val="both"/>
              <w:rPr>
                <w:rFonts w:eastAsia="Times New Roman"/>
                <w:bCs/>
                <w:color w:val="000000"/>
                <w:sz w:val="16"/>
                <w:szCs w:val="16"/>
                <w:lang w:eastAsia="ru-RU"/>
              </w:rPr>
            </w:pPr>
            <w:r w:rsidRPr="00483598">
              <w:rPr>
                <w:rFonts w:eastAsia="Times New Roman"/>
                <w:bCs/>
                <w:color w:val="000000"/>
                <w:sz w:val="16"/>
                <w:szCs w:val="16"/>
                <w:lang w:eastAsia="ru-RU"/>
              </w:rPr>
              <w:t> </w:t>
            </w:r>
          </w:p>
        </w:tc>
        <w:tc>
          <w:tcPr>
            <w:tcW w:w="685" w:type="pct"/>
            <w:tcBorders>
              <w:top w:val="single" w:sz="4" w:space="0" w:color="auto"/>
              <w:left w:val="nil"/>
              <w:bottom w:val="single" w:sz="4" w:space="0" w:color="auto"/>
              <w:right w:val="single" w:sz="4" w:space="0" w:color="auto"/>
            </w:tcBorders>
            <w:shd w:val="clear" w:color="auto" w:fill="auto"/>
            <w:vAlign w:val="center"/>
            <w:hideMark/>
          </w:tcPr>
          <w:p w14:paraId="457034C6" w14:textId="77777777" w:rsidR="00483598" w:rsidRPr="00483598" w:rsidRDefault="00483598" w:rsidP="00483598">
            <w:pPr>
              <w:spacing w:after="0" w:line="240" w:lineRule="auto"/>
              <w:jc w:val="center"/>
              <w:rPr>
                <w:rFonts w:eastAsia="Times New Roman"/>
                <w:bCs/>
                <w:color w:val="000000"/>
                <w:sz w:val="16"/>
                <w:szCs w:val="16"/>
                <w:lang w:eastAsia="ru-RU"/>
              </w:rPr>
            </w:pPr>
          </w:p>
        </w:tc>
        <w:tc>
          <w:tcPr>
            <w:tcW w:w="685" w:type="pct"/>
            <w:tcBorders>
              <w:top w:val="single" w:sz="4" w:space="0" w:color="auto"/>
              <w:left w:val="nil"/>
              <w:bottom w:val="single" w:sz="4" w:space="0" w:color="auto"/>
              <w:right w:val="single" w:sz="4" w:space="0" w:color="auto"/>
            </w:tcBorders>
            <w:shd w:val="clear" w:color="auto" w:fill="auto"/>
            <w:vAlign w:val="center"/>
            <w:hideMark/>
          </w:tcPr>
          <w:p w14:paraId="7CA560ED" w14:textId="77777777" w:rsidR="00483598" w:rsidRPr="00483598" w:rsidRDefault="00483598" w:rsidP="00483598">
            <w:pPr>
              <w:spacing w:after="0" w:line="240" w:lineRule="auto"/>
              <w:jc w:val="center"/>
              <w:rPr>
                <w:rFonts w:eastAsia="Times New Roman"/>
                <w:bCs/>
                <w:color w:val="000000"/>
                <w:sz w:val="16"/>
                <w:szCs w:val="16"/>
                <w:lang w:eastAsia="ru-RU"/>
              </w:rPr>
            </w:pPr>
            <w:r w:rsidRPr="00483598">
              <w:rPr>
                <w:rFonts w:eastAsia="Times New Roman"/>
                <w:bCs/>
                <w:color w:val="000000"/>
                <w:sz w:val="16"/>
                <w:szCs w:val="16"/>
                <w:lang w:eastAsia="ru-RU"/>
              </w:rPr>
              <w:t>45 308,39</w:t>
            </w:r>
          </w:p>
        </w:tc>
        <w:tc>
          <w:tcPr>
            <w:tcW w:w="726" w:type="pct"/>
            <w:tcBorders>
              <w:top w:val="single" w:sz="4" w:space="0" w:color="auto"/>
              <w:left w:val="nil"/>
              <w:bottom w:val="single" w:sz="4" w:space="0" w:color="auto"/>
              <w:right w:val="single" w:sz="4" w:space="0" w:color="auto"/>
            </w:tcBorders>
            <w:shd w:val="clear" w:color="auto" w:fill="auto"/>
            <w:vAlign w:val="center"/>
            <w:hideMark/>
          </w:tcPr>
          <w:p w14:paraId="6F846280" w14:textId="77777777" w:rsidR="00483598" w:rsidRPr="00483598" w:rsidRDefault="00483598" w:rsidP="00483598">
            <w:pPr>
              <w:spacing w:after="0" w:line="240" w:lineRule="auto"/>
              <w:jc w:val="center"/>
              <w:rPr>
                <w:rFonts w:eastAsia="Times New Roman"/>
                <w:bCs/>
                <w:color w:val="000000"/>
                <w:sz w:val="16"/>
                <w:szCs w:val="16"/>
                <w:lang w:eastAsia="ru-RU"/>
              </w:rPr>
            </w:pPr>
            <w:r w:rsidRPr="00483598">
              <w:rPr>
                <w:rFonts w:eastAsia="Times New Roman"/>
                <w:bCs/>
                <w:color w:val="000000"/>
                <w:sz w:val="16"/>
                <w:szCs w:val="16"/>
                <w:lang w:eastAsia="ru-RU"/>
              </w:rPr>
              <w:t>35 623,00</w:t>
            </w:r>
          </w:p>
        </w:tc>
        <w:tc>
          <w:tcPr>
            <w:tcW w:w="523" w:type="pct"/>
            <w:tcBorders>
              <w:top w:val="single" w:sz="4" w:space="0" w:color="auto"/>
              <w:left w:val="nil"/>
              <w:bottom w:val="single" w:sz="4" w:space="0" w:color="auto"/>
              <w:right w:val="single" w:sz="4" w:space="0" w:color="auto"/>
            </w:tcBorders>
            <w:shd w:val="clear" w:color="auto" w:fill="auto"/>
            <w:vAlign w:val="center"/>
            <w:hideMark/>
          </w:tcPr>
          <w:p w14:paraId="44C3B2D3" w14:textId="77777777" w:rsidR="00483598" w:rsidRPr="00483598" w:rsidRDefault="00483598" w:rsidP="00483598">
            <w:pPr>
              <w:spacing w:after="0" w:line="240" w:lineRule="auto"/>
              <w:jc w:val="center"/>
              <w:rPr>
                <w:rFonts w:eastAsia="Times New Roman"/>
                <w:bCs/>
                <w:color w:val="000000"/>
                <w:sz w:val="16"/>
                <w:szCs w:val="16"/>
                <w:lang w:eastAsia="ru-RU"/>
              </w:rPr>
            </w:pPr>
            <w:r w:rsidRPr="00483598">
              <w:rPr>
                <w:rFonts w:eastAsia="Times New Roman"/>
                <w:bCs/>
                <w:color w:val="000000"/>
                <w:sz w:val="16"/>
                <w:szCs w:val="16"/>
                <w:lang w:eastAsia="ru-RU"/>
              </w:rPr>
              <w:t>-9 685,39</w:t>
            </w:r>
          </w:p>
        </w:tc>
      </w:tr>
      <w:tr w:rsidR="00483598" w:rsidRPr="00483598" w14:paraId="6D45DF8B" w14:textId="77777777" w:rsidTr="00495A09">
        <w:trPr>
          <w:trHeight w:val="1440"/>
        </w:trPr>
        <w:tc>
          <w:tcPr>
            <w:tcW w:w="24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8B81DFF" w14:textId="77777777" w:rsidR="00483598" w:rsidRPr="00483598" w:rsidRDefault="00483598" w:rsidP="00483598">
            <w:pPr>
              <w:spacing w:after="0" w:line="240" w:lineRule="auto"/>
              <w:jc w:val="center"/>
              <w:rPr>
                <w:rFonts w:eastAsia="Times New Roman"/>
                <w:bCs/>
                <w:color w:val="000000"/>
                <w:sz w:val="16"/>
                <w:szCs w:val="16"/>
                <w:lang w:eastAsia="ru-RU"/>
              </w:rPr>
            </w:pPr>
            <w:r w:rsidRPr="00483598">
              <w:rPr>
                <w:rFonts w:eastAsia="Times New Roman"/>
                <w:bCs/>
                <w:color w:val="000000"/>
                <w:sz w:val="16"/>
                <w:szCs w:val="16"/>
                <w:lang w:eastAsia="ru-RU"/>
              </w:rPr>
              <w:t>7</w:t>
            </w:r>
          </w:p>
        </w:tc>
        <w:tc>
          <w:tcPr>
            <w:tcW w:w="1645" w:type="pct"/>
            <w:tcBorders>
              <w:top w:val="single" w:sz="4" w:space="0" w:color="auto"/>
              <w:left w:val="nil"/>
              <w:bottom w:val="single" w:sz="4" w:space="0" w:color="auto"/>
              <w:right w:val="single" w:sz="4" w:space="0" w:color="auto"/>
            </w:tcBorders>
            <w:shd w:val="clear" w:color="auto" w:fill="auto"/>
            <w:vAlign w:val="center"/>
            <w:hideMark/>
          </w:tcPr>
          <w:p w14:paraId="2A63B5CD" w14:textId="77777777" w:rsidR="00483598" w:rsidRPr="00483598" w:rsidRDefault="00483598" w:rsidP="00483598">
            <w:pPr>
              <w:spacing w:after="0" w:line="240" w:lineRule="auto"/>
              <w:jc w:val="both"/>
              <w:rPr>
                <w:rFonts w:eastAsia="Times New Roman"/>
                <w:bCs/>
                <w:color w:val="000000"/>
                <w:sz w:val="16"/>
                <w:szCs w:val="16"/>
                <w:lang w:eastAsia="ru-RU"/>
              </w:rPr>
            </w:pPr>
            <w:r w:rsidRPr="00483598">
              <w:rPr>
                <w:rFonts w:eastAsia="Times New Roman"/>
                <w:bCs/>
                <w:color w:val="000000"/>
                <w:sz w:val="16"/>
                <w:szCs w:val="16"/>
                <w:lang w:eastAsia="ru-RU"/>
              </w:rPr>
              <w:t>Фактический объем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2019 год до его начала, за счет собственных средств (выручки от реализации товаров (услуг) по регулируемым ценам (тарифам)) (всего, с учетом пообъектного анализа исполнения инвестиционной программы)</w:t>
            </w:r>
          </w:p>
        </w:tc>
        <w:tc>
          <w:tcPr>
            <w:tcW w:w="492" w:type="pct"/>
            <w:tcBorders>
              <w:top w:val="single" w:sz="4" w:space="0" w:color="auto"/>
              <w:left w:val="nil"/>
              <w:bottom w:val="single" w:sz="4" w:space="0" w:color="auto"/>
              <w:right w:val="single" w:sz="4" w:space="0" w:color="auto"/>
            </w:tcBorders>
            <w:shd w:val="clear" w:color="auto" w:fill="auto"/>
            <w:vAlign w:val="center"/>
            <w:hideMark/>
          </w:tcPr>
          <w:p w14:paraId="4E423E1B" w14:textId="77777777" w:rsidR="00483598" w:rsidRPr="00483598" w:rsidRDefault="00483598" w:rsidP="00483598">
            <w:pPr>
              <w:spacing w:after="0" w:line="240" w:lineRule="auto"/>
              <w:jc w:val="both"/>
              <w:rPr>
                <w:rFonts w:eastAsia="Times New Roman"/>
                <w:bCs/>
                <w:color w:val="000000"/>
                <w:sz w:val="16"/>
                <w:szCs w:val="16"/>
                <w:lang w:eastAsia="ru-RU"/>
              </w:rPr>
            </w:pPr>
            <w:r w:rsidRPr="00483598">
              <w:rPr>
                <w:rFonts w:eastAsia="Times New Roman"/>
                <w:bCs/>
                <w:noProof/>
                <w:color w:val="000000"/>
                <w:sz w:val="16"/>
                <w:szCs w:val="16"/>
                <w:lang w:eastAsia="ru-RU"/>
              </w:rPr>
              <w:drawing>
                <wp:anchor distT="0" distB="0" distL="114300" distR="114300" simplePos="0" relativeHeight="251665408" behindDoc="0" locked="0" layoutInCell="1" allowOverlap="1" wp14:anchorId="51A9E96F" wp14:editId="7E6D2A4D">
                  <wp:simplePos x="0" y="0"/>
                  <wp:positionH relativeFrom="column">
                    <wp:posOffset>114300</wp:posOffset>
                  </wp:positionH>
                  <wp:positionV relativeFrom="paragraph">
                    <wp:posOffset>-112395</wp:posOffset>
                  </wp:positionV>
                  <wp:extent cx="581025" cy="257175"/>
                  <wp:effectExtent l="0" t="0" r="0" b="9525"/>
                  <wp:wrapNone/>
                  <wp:docPr id="20" name="Рисунок 20">
                    <a:extLst xmlns:a="http://schemas.openxmlformats.org/drawingml/2006/main">
                      <a:ext uri="{FF2B5EF4-FFF2-40B4-BE49-F238E27FC236}">
                        <a16:creationId xmlns:a16="http://schemas.microsoft.com/office/drawing/2014/main" id="{D26E7E6A-7B27-43B2-96C8-30EE20273BAB}"/>
                      </a:ext>
                    </a:extLst>
                  </wp:docPr>
                  <wp:cNvGraphicFramePr/>
                  <a:graphic xmlns:a="http://schemas.openxmlformats.org/drawingml/2006/main">
                    <a:graphicData uri="http://schemas.openxmlformats.org/drawingml/2006/picture">
                      <pic:pic xmlns:pic="http://schemas.openxmlformats.org/drawingml/2006/picture">
                        <pic:nvPicPr>
                          <pic:cNvPr id="5" name="Рисунок 448">
                            <a:extLst>
                              <a:ext uri="{FF2B5EF4-FFF2-40B4-BE49-F238E27FC236}">
                                <a16:creationId xmlns:a16="http://schemas.microsoft.com/office/drawing/2014/main" id="{D26E7E6A-7B27-43B2-96C8-30EE20273BAB}"/>
                              </a:ext>
                            </a:extLs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1025" cy="257175"/>
                          </a:xfrm>
                          <a:prstGeom prst="rect">
                            <a:avLst/>
                          </a:prstGeom>
                          <a:noFill/>
                        </pic:spPr>
                      </pic:pic>
                    </a:graphicData>
                  </a:graphic>
                  <wp14:sizeRelH relativeFrom="page">
                    <wp14:pctWidth>0</wp14:pctWidth>
                  </wp14:sizeRelH>
                  <wp14:sizeRelV relativeFrom="page">
                    <wp14:pctHeight>0</wp14:pctHeight>
                  </wp14:sizeRelV>
                </wp:anchor>
              </w:drawing>
            </w:r>
          </w:p>
        </w:tc>
        <w:tc>
          <w:tcPr>
            <w:tcW w:w="685" w:type="pct"/>
            <w:tcBorders>
              <w:top w:val="single" w:sz="4" w:space="0" w:color="auto"/>
              <w:left w:val="nil"/>
              <w:bottom w:val="single" w:sz="4" w:space="0" w:color="auto"/>
              <w:right w:val="single" w:sz="4" w:space="0" w:color="auto"/>
            </w:tcBorders>
            <w:shd w:val="clear" w:color="auto" w:fill="auto"/>
            <w:vAlign w:val="center"/>
            <w:hideMark/>
          </w:tcPr>
          <w:p w14:paraId="5E557A55" w14:textId="77777777" w:rsidR="00483598" w:rsidRPr="00483598" w:rsidRDefault="00483598" w:rsidP="00483598">
            <w:pPr>
              <w:spacing w:after="0" w:line="240" w:lineRule="auto"/>
              <w:jc w:val="center"/>
              <w:rPr>
                <w:rFonts w:eastAsia="Times New Roman"/>
                <w:bCs/>
                <w:color w:val="000000"/>
                <w:sz w:val="16"/>
                <w:szCs w:val="16"/>
                <w:lang w:eastAsia="ru-RU"/>
              </w:rPr>
            </w:pPr>
          </w:p>
        </w:tc>
        <w:tc>
          <w:tcPr>
            <w:tcW w:w="685" w:type="pct"/>
            <w:tcBorders>
              <w:top w:val="single" w:sz="4" w:space="0" w:color="auto"/>
              <w:left w:val="nil"/>
              <w:bottom w:val="single" w:sz="4" w:space="0" w:color="auto"/>
              <w:right w:val="single" w:sz="4" w:space="0" w:color="auto"/>
            </w:tcBorders>
            <w:shd w:val="clear" w:color="auto" w:fill="auto"/>
            <w:vAlign w:val="center"/>
            <w:hideMark/>
          </w:tcPr>
          <w:p w14:paraId="1042F7A2" w14:textId="77777777" w:rsidR="00483598" w:rsidRPr="00483598" w:rsidRDefault="00483598" w:rsidP="00483598">
            <w:pPr>
              <w:spacing w:after="0" w:line="240" w:lineRule="auto"/>
              <w:jc w:val="center"/>
              <w:rPr>
                <w:rFonts w:eastAsia="Times New Roman"/>
                <w:bCs/>
                <w:color w:val="000000"/>
                <w:sz w:val="16"/>
                <w:szCs w:val="16"/>
                <w:lang w:eastAsia="ru-RU"/>
              </w:rPr>
            </w:pPr>
          </w:p>
        </w:tc>
        <w:tc>
          <w:tcPr>
            <w:tcW w:w="726" w:type="pct"/>
            <w:tcBorders>
              <w:top w:val="single" w:sz="4" w:space="0" w:color="auto"/>
              <w:left w:val="nil"/>
              <w:bottom w:val="single" w:sz="4" w:space="0" w:color="auto"/>
              <w:right w:val="single" w:sz="4" w:space="0" w:color="auto"/>
            </w:tcBorders>
            <w:shd w:val="clear" w:color="auto" w:fill="auto"/>
            <w:vAlign w:val="center"/>
            <w:hideMark/>
          </w:tcPr>
          <w:p w14:paraId="7422B2C7" w14:textId="77777777" w:rsidR="00483598" w:rsidRPr="00483598" w:rsidRDefault="00483598" w:rsidP="00483598">
            <w:pPr>
              <w:spacing w:after="0" w:line="240" w:lineRule="auto"/>
              <w:jc w:val="center"/>
              <w:rPr>
                <w:rFonts w:eastAsia="Times New Roman" w:cs="Calibri"/>
                <w:bCs/>
                <w:color w:val="000000"/>
                <w:sz w:val="22"/>
                <w:szCs w:val="22"/>
                <w:lang w:eastAsia="ru-RU"/>
              </w:rPr>
            </w:pPr>
            <w:r w:rsidRPr="00483598">
              <w:rPr>
                <w:rFonts w:eastAsia="Times New Roman"/>
                <w:bCs/>
                <w:color w:val="000000"/>
                <w:sz w:val="16"/>
                <w:szCs w:val="16"/>
                <w:lang w:eastAsia="ru-RU"/>
              </w:rPr>
              <w:t>67 941,13</w:t>
            </w:r>
          </w:p>
        </w:tc>
        <w:tc>
          <w:tcPr>
            <w:tcW w:w="523" w:type="pct"/>
            <w:tcBorders>
              <w:top w:val="single" w:sz="4" w:space="0" w:color="auto"/>
              <w:left w:val="nil"/>
              <w:bottom w:val="single" w:sz="4" w:space="0" w:color="auto"/>
              <w:right w:val="single" w:sz="4" w:space="0" w:color="auto"/>
            </w:tcBorders>
            <w:shd w:val="clear" w:color="auto" w:fill="auto"/>
            <w:vAlign w:val="center"/>
            <w:hideMark/>
          </w:tcPr>
          <w:p w14:paraId="72316D95" w14:textId="77777777" w:rsidR="00483598" w:rsidRPr="00483598" w:rsidRDefault="00483598" w:rsidP="00483598">
            <w:pPr>
              <w:spacing w:after="0" w:line="240" w:lineRule="auto"/>
              <w:jc w:val="center"/>
              <w:rPr>
                <w:rFonts w:eastAsia="Times New Roman"/>
                <w:bCs/>
                <w:color w:val="000000"/>
                <w:sz w:val="16"/>
                <w:szCs w:val="16"/>
                <w:lang w:eastAsia="ru-RU"/>
              </w:rPr>
            </w:pPr>
          </w:p>
        </w:tc>
      </w:tr>
    </w:tbl>
    <w:p w14:paraId="2C9DBF6C" w14:textId="77777777" w:rsidR="00483598" w:rsidRPr="00483598" w:rsidRDefault="00483598" w:rsidP="00483598">
      <w:pPr>
        <w:autoSpaceDE w:val="0"/>
        <w:autoSpaceDN w:val="0"/>
        <w:adjustRightInd w:val="0"/>
        <w:spacing w:after="0" w:line="360" w:lineRule="auto"/>
        <w:ind w:firstLine="720"/>
        <w:jc w:val="both"/>
        <w:rPr>
          <w:rFonts w:eastAsiaTheme="minorEastAsia" w:cs="Arial"/>
          <w:bCs/>
          <w:color w:val="auto"/>
          <w:sz w:val="26"/>
          <w:szCs w:val="26"/>
          <w:lang w:eastAsia="ru-RU"/>
        </w:rPr>
        <w:sectPr w:rsidR="00483598" w:rsidRPr="00483598" w:rsidSect="00495A09">
          <w:pgSz w:w="16838" w:h="11906" w:orient="landscape"/>
          <w:pgMar w:top="1701" w:right="1134" w:bottom="851" w:left="1134" w:header="709" w:footer="709" w:gutter="0"/>
          <w:cols w:space="708"/>
          <w:docGrid w:linePitch="360"/>
        </w:sectPr>
      </w:pPr>
    </w:p>
    <w:p w14:paraId="3AC569AD" w14:textId="77777777" w:rsidR="00483598" w:rsidRPr="00483598" w:rsidRDefault="00483598" w:rsidP="00483598">
      <w:pPr>
        <w:autoSpaceDE w:val="0"/>
        <w:autoSpaceDN w:val="0"/>
        <w:adjustRightInd w:val="0"/>
        <w:spacing w:after="0" w:line="360" w:lineRule="auto"/>
        <w:ind w:firstLine="567"/>
        <w:jc w:val="both"/>
        <w:rPr>
          <w:rFonts w:eastAsiaTheme="minorEastAsia" w:cstheme="minorBidi"/>
          <w:bCs/>
          <w:color w:val="auto"/>
          <w:sz w:val="26"/>
          <w:szCs w:val="26"/>
          <w:lang w:eastAsia="ru-RU"/>
        </w:rPr>
      </w:pPr>
      <w:bookmarkStart w:id="22" w:name="_Hlk40136630"/>
      <w:r w:rsidRPr="00483598">
        <w:rPr>
          <w:rFonts w:eastAsiaTheme="minorEastAsia" w:cstheme="minorBidi"/>
          <w:bCs/>
          <w:color w:val="auto"/>
          <w:sz w:val="26"/>
          <w:szCs w:val="26"/>
          <w:lang w:eastAsia="ru-RU"/>
        </w:rPr>
        <w:lastRenderedPageBreak/>
        <w:t xml:space="preserve">На основе отчетных данных о реализации ИПР за 2019 год Исполнителем проведена оценка предполагаемой величины корректировки необходимой валовой выручки по результатам исполнения (неисполнения) ИПР за 2019 год в рамках тарифно-балансовых решений на 2021 год. Оценка выполнена согласно формуле пункта 11 Методических указаний № 98-э. </w:t>
      </w:r>
      <w:bookmarkStart w:id="23" w:name="_Hlk35893953"/>
      <w:r w:rsidRPr="00483598">
        <w:rPr>
          <w:rFonts w:eastAsiaTheme="minorEastAsia" w:cstheme="minorBidi"/>
          <w:bCs/>
          <w:color w:val="auto"/>
          <w:sz w:val="26"/>
          <w:szCs w:val="26"/>
          <w:lang w:eastAsia="ru-RU"/>
        </w:rPr>
        <w:t>Величина параметров, участвующих в расчете величины корректировки необходимой валовой выручки по результатам исполнения (неисполнения) ИПР за 2019 год, а также результаты оценки приведены ниже.</w:t>
      </w:r>
      <w:bookmarkEnd w:id="23"/>
    </w:p>
    <w:p w14:paraId="4273EAB6" w14:textId="77777777" w:rsidR="00483598" w:rsidRPr="00483598" w:rsidRDefault="00483598" w:rsidP="00483598">
      <w:pPr>
        <w:autoSpaceDE w:val="0"/>
        <w:autoSpaceDN w:val="0"/>
        <w:adjustRightInd w:val="0"/>
        <w:spacing w:after="0" w:line="360" w:lineRule="auto"/>
        <w:ind w:firstLine="567"/>
        <w:jc w:val="both"/>
        <w:rPr>
          <w:rFonts w:eastAsiaTheme="minorEastAsia" w:cstheme="minorBidi"/>
          <w:bCs/>
          <w:color w:val="auto"/>
          <w:sz w:val="26"/>
          <w:szCs w:val="26"/>
          <w:lang w:eastAsia="ru-RU"/>
        </w:rPr>
      </w:pPr>
      <w:r w:rsidRPr="00483598">
        <w:rPr>
          <w:rFonts w:eastAsiaTheme="minorEastAsia" w:cstheme="minorBidi"/>
          <w:bCs/>
          <w:color w:val="auto"/>
          <w:sz w:val="26"/>
          <w:szCs w:val="26"/>
          <w:lang w:eastAsia="ru-RU"/>
        </w:rPr>
        <w:t xml:space="preserve">Исполнитель отмечает, что согласно Методическим указаниям №98-э в расчете необходимой валовой выручки в связи с изменением (неисполнением) инвестиционной программы используются показатели планового и фактического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за счет собственных средств (выручки от реализации товаров (услуг) по регулируемым ценам (тарифам)) без НДС. </w:t>
      </w:r>
    </w:p>
    <w:tbl>
      <w:tblPr>
        <w:tblW w:w="5000" w:type="pct"/>
        <w:tblLook w:val="04A0" w:firstRow="1" w:lastRow="0" w:firstColumn="1" w:lastColumn="0" w:noHBand="0" w:noVBand="1"/>
      </w:tblPr>
      <w:tblGrid>
        <w:gridCol w:w="543"/>
        <w:gridCol w:w="3574"/>
        <w:gridCol w:w="2613"/>
        <w:gridCol w:w="2615"/>
      </w:tblGrid>
      <w:tr w:rsidR="00483598" w:rsidRPr="00F94FED" w14:paraId="38310129" w14:textId="77777777" w:rsidTr="00495A09">
        <w:trPr>
          <w:trHeight w:val="20"/>
          <w:tblHeader/>
        </w:trPr>
        <w:tc>
          <w:tcPr>
            <w:tcW w:w="29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4696297C" w14:textId="77777777" w:rsidR="00483598" w:rsidRPr="00F94FED" w:rsidRDefault="00483598" w:rsidP="00483598">
            <w:pPr>
              <w:spacing w:after="0" w:line="276" w:lineRule="auto"/>
              <w:jc w:val="center"/>
              <w:rPr>
                <w:rFonts w:eastAsiaTheme="minorEastAsia" w:cstheme="minorBidi"/>
                <w:b/>
                <w:color w:val="FFFFFF"/>
                <w:lang w:eastAsia="ru-RU"/>
              </w:rPr>
            </w:pPr>
            <w:r w:rsidRPr="00F94FED">
              <w:rPr>
                <w:rFonts w:eastAsiaTheme="minorEastAsia" w:cstheme="minorBidi"/>
                <w:b/>
                <w:color w:val="FFFFFF"/>
                <w:lang w:eastAsia="ru-RU"/>
              </w:rPr>
              <w:t>№ п/п</w:t>
            </w:r>
          </w:p>
        </w:tc>
        <w:tc>
          <w:tcPr>
            <w:tcW w:w="191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09C24368" w14:textId="77777777" w:rsidR="00483598" w:rsidRPr="00F94FED" w:rsidRDefault="00483598" w:rsidP="00483598">
            <w:pPr>
              <w:spacing w:after="0" w:line="276" w:lineRule="auto"/>
              <w:jc w:val="center"/>
              <w:rPr>
                <w:rFonts w:eastAsiaTheme="minorEastAsia" w:cstheme="minorBidi"/>
                <w:b/>
                <w:color w:val="FFFFFF"/>
                <w:lang w:eastAsia="ru-RU"/>
              </w:rPr>
            </w:pPr>
            <w:r w:rsidRPr="00F94FED">
              <w:rPr>
                <w:rFonts w:eastAsiaTheme="minorEastAsia" w:cstheme="minorBidi"/>
                <w:b/>
                <w:color w:val="FFFFFF"/>
                <w:lang w:eastAsia="ru-RU"/>
              </w:rPr>
              <w:t>Наименование показателя</w:t>
            </w:r>
          </w:p>
        </w:tc>
        <w:tc>
          <w:tcPr>
            <w:tcW w:w="2797"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7CA09996" w14:textId="77777777" w:rsidR="00483598" w:rsidRPr="00F94FED" w:rsidRDefault="00483598" w:rsidP="00483598">
            <w:pPr>
              <w:spacing w:after="0" w:line="276" w:lineRule="auto"/>
              <w:jc w:val="center"/>
              <w:rPr>
                <w:rFonts w:eastAsiaTheme="minorEastAsia" w:cstheme="minorBidi"/>
                <w:b/>
                <w:color w:val="FFFFFF"/>
                <w:lang w:eastAsia="ru-RU"/>
              </w:rPr>
            </w:pPr>
            <w:r w:rsidRPr="00F94FED">
              <w:rPr>
                <w:rFonts w:eastAsiaTheme="minorEastAsia" w:cstheme="minorBidi"/>
                <w:b/>
                <w:color w:val="FFFFFF"/>
                <w:lang w:eastAsia="ru-RU"/>
              </w:rPr>
              <w:t>Составляющая корректировки необходимой валовой выручки АО «Тываэнерго»</w:t>
            </w:r>
          </w:p>
        </w:tc>
      </w:tr>
      <w:tr w:rsidR="00483598" w:rsidRPr="00F94FED" w14:paraId="706C5876" w14:textId="77777777" w:rsidTr="00495A09">
        <w:trPr>
          <w:trHeight w:val="20"/>
          <w:tblHeader/>
        </w:trPr>
        <w:tc>
          <w:tcPr>
            <w:tcW w:w="29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B064A80" w14:textId="77777777" w:rsidR="00483598" w:rsidRPr="00F94FED" w:rsidRDefault="00483598" w:rsidP="00483598">
            <w:pPr>
              <w:spacing w:after="0" w:line="276" w:lineRule="auto"/>
              <w:rPr>
                <w:rFonts w:eastAsiaTheme="minorEastAsia" w:cstheme="minorBidi"/>
                <w:b/>
                <w:color w:val="FFFFFF"/>
                <w:lang w:eastAsia="ru-RU"/>
              </w:rPr>
            </w:pPr>
          </w:p>
        </w:tc>
        <w:tc>
          <w:tcPr>
            <w:tcW w:w="191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B64EAB7" w14:textId="77777777" w:rsidR="00483598" w:rsidRPr="00F94FED" w:rsidRDefault="00483598" w:rsidP="00483598">
            <w:pPr>
              <w:spacing w:after="0" w:line="276" w:lineRule="auto"/>
              <w:rPr>
                <w:rFonts w:eastAsiaTheme="minorEastAsia" w:cstheme="minorBidi"/>
                <w:b/>
                <w:color w:val="FFFFFF"/>
                <w:lang w:eastAsia="ru-RU"/>
              </w:rPr>
            </w:pPr>
          </w:p>
        </w:tc>
        <w:tc>
          <w:tcPr>
            <w:tcW w:w="139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798D3CA1" w14:textId="77777777" w:rsidR="00483598" w:rsidRPr="00F94FED" w:rsidRDefault="00483598" w:rsidP="00483598">
            <w:pPr>
              <w:spacing w:after="0" w:line="276" w:lineRule="auto"/>
              <w:jc w:val="center"/>
              <w:rPr>
                <w:rFonts w:eastAsiaTheme="minorEastAsia" w:cstheme="minorBidi"/>
                <w:b/>
                <w:color w:val="FFFFFF"/>
                <w:lang w:eastAsia="ru-RU"/>
              </w:rPr>
            </w:pPr>
            <w:r w:rsidRPr="00F94FED">
              <w:rPr>
                <w:rFonts w:eastAsiaTheme="minorEastAsia" w:cstheme="minorBidi"/>
                <w:b/>
                <w:color w:val="FFFFFF"/>
                <w:lang w:eastAsia="ru-RU"/>
              </w:rPr>
              <w:t>Отчет за 2019 год</w:t>
            </w:r>
          </w:p>
        </w:tc>
        <w:tc>
          <w:tcPr>
            <w:tcW w:w="139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3A5BD7A3" w14:textId="77777777" w:rsidR="00483598" w:rsidRPr="00F94FED" w:rsidRDefault="00483598" w:rsidP="00483598">
            <w:pPr>
              <w:spacing w:after="0" w:line="276" w:lineRule="auto"/>
              <w:jc w:val="center"/>
              <w:rPr>
                <w:rFonts w:eastAsiaTheme="minorEastAsia" w:cstheme="minorBidi"/>
                <w:b/>
                <w:color w:val="FFFFFF"/>
                <w:lang w:eastAsia="ru-RU"/>
              </w:rPr>
            </w:pPr>
            <w:r w:rsidRPr="00F94FED">
              <w:rPr>
                <w:rFonts w:eastAsiaTheme="minorEastAsia" w:cstheme="minorBidi"/>
                <w:b/>
                <w:color w:val="FFFFFF"/>
                <w:lang w:eastAsia="ru-RU"/>
              </w:rPr>
              <w:t>Отчет за 2019 год с учетом пообъектного анализа финансирования</w:t>
            </w:r>
          </w:p>
        </w:tc>
      </w:tr>
      <w:tr w:rsidR="0072390C" w:rsidRPr="0072390C" w14:paraId="292522AE" w14:textId="77777777" w:rsidTr="00495A09">
        <w:trPr>
          <w:trHeight w:val="20"/>
        </w:trPr>
        <w:tc>
          <w:tcPr>
            <w:tcW w:w="291"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078A9551" w14:textId="77777777" w:rsidR="00483598" w:rsidRPr="0072390C" w:rsidRDefault="00483598" w:rsidP="00483598">
            <w:pPr>
              <w:spacing w:after="0" w:line="276" w:lineRule="auto"/>
              <w:jc w:val="center"/>
              <w:rPr>
                <w:rFonts w:eastAsiaTheme="minorEastAsia" w:cs="Calibri"/>
                <w:bCs/>
                <w:color w:val="auto"/>
                <w:lang w:eastAsia="ru-RU"/>
              </w:rPr>
            </w:pPr>
            <w:r w:rsidRPr="0072390C">
              <w:rPr>
                <w:rFonts w:eastAsiaTheme="minorEastAsia" w:cs="Calibri"/>
                <w:bCs/>
                <w:color w:val="auto"/>
                <w:lang w:eastAsia="ru-RU"/>
              </w:rPr>
              <w:t>1</w:t>
            </w:r>
          </w:p>
        </w:tc>
        <w:tc>
          <w:tcPr>
            <w:tcW w:w="1912" w:type="pct"/>
            <w:tcBorders>
              <w:top w:val="single" w:sz="4" w:space="0" w:color="FFFFFF" w:themeColor="background1"/>
              <w:left w:val="nil"/>
              <w:bottom w:val="single" w:sz="4" w:space="0" w:color="auto"/>
              <w:right w:val="single" w:sz="4" w:space="0" w:color="auto"/>
            </w:tcBorders>
            <w:shd w:val="clear" w:color="auto" w:fill="auto"/>
            <w:vAlign w:val="center"/>
            <w:hideMark/>
          </w:tcPr>
          <w:p w14:paraId="6A8EEE02" w14:textId="77777777" w:rsidR="00483598" w:rsidRPr="0072390C" w:rsidRDefault="00483598" w:rsidP="00483598">
            <w:pPr>
              <w:spacing w:after="0" w:line="276" w:lineRule="auto"/>
              <w:rPr>
                <w:rFonts w:eastAsiaTheme="minorEastAsia" w:cs="Calibri"/>
                <w:bCs/>
                <w:color w:val="auto"/>
                <w:lang w:eastAsia="ru-RU"/>
              </w:rPr>
            </w:pPr>
            <w:r w:rsidRPr="0072390C">
              <w:rPr>
                <w:rFonts w:eastAsiaTheme="minorEastAsia" w:cs="Calibri"/>
                <w:bCs/>
                <w:color w:val="auto"/>
                <w:lang w:eastAsia="ru-RU"/>
              </w:rPr>
              <w:t>Расчетная величина собственных средств для финансирования инвестиционной программы, учтенная при установлении тарифов на 2019 год, тыс. руб. без НДС</w:t>
            </w:r>
          </w:p>
        </w:tc>
        <w:tc>
          <w:tcPr>
            <w:tcW w:w="2797" w:type="pct"/>
            <w:gridSpan w:val="2"/>
            <w:tcBorders>
              <w:top w:val="single" w:sz="4" w:space="0" w:color="FFFFFF" w:themeColor="background1"/>
              <w:left w:val="nil"/>
              <w:bottom w:val="single" w:sz="4" w:space="0" w:color="auto"/>
              <w:right w:val="single" w:sz="4" w:space="0" w:color="auto"/>
            </w:tcBorders>
            <w:shd w:val="clear" w:color="auto" w:fill="auto"/>
            <w:noWrap/>
            <w:vAlign w:val="center"/>
            <w:hideMark/>
          </w:tcPr>
          <w:p w14:paraId="084DBBAA" w14:textId="78CD1BDF" w:rsidR="00483598" w:rsidRPr="0072390C" w:rsidRDefault="00D53DA0" w:rsidP="00483598">
            <w:pPr>
              <w:spacing w:after="0" w:line="276" w:lineRule="auto"/>
              <w:jc w:val="center"/>
              <w:rPr>
                <w:rFonts w:eastAsiaTheme="minorEastAsia" w:cs="Calibri"/>
                <w:bCs/>
                <w:iCs/>
                <w:color w:val="auto"/>
                <w:lang w:eastAsia="ru-RU"/>
              </w:rPr>
            </w:pPr>
            <w:r w:rsidRPr="0072390C">
              <w:rPr>
                <w:rFonts w:eastAsiaTheme="minorEastAsia" w:cs="Calibri"/>
                <w:bCs/>
                <w:iCs/>
                <w:color w:val="auto"/>
                <w:lang w:eastAsia="ru-RU"/>
              </w:rPr>
              <w:t>77 626</w:t>
            </w:r>
          </w:p>
        </w:tc>
      </w:tr>
      <w:tr w:rsidR="0072390C" w:rsidRPr="0072390C" w14:paraId="2584D96B" w14:textId="77777777" w:rsidTr="00495A09">
        <w:trPr>
          <w:trHeight w:val="20"/>
        </w:trPr>
        <w:tc>
          <w:tcPr>
            <w:tcW w:w="291" w:type="pct"/>
            <w:tcBorders>
              <w:top w:val="nil"/>
              <w:left w:val="single" w:sz="4" w:space="0" w:color="auto"/>
              <w:bottom w:val="single" w:sz="4" w:space="0" w:color="auto"/>
              <w:right w:val="single" w:sz="4" w:space="0" w:color="auto"/>
            </w:tcBorders>
            <w:shd w:val="clear" w:color="auto" w:fill="auto"/>
            <w:noWrap/>
            <w:vAlign w:val="center"/>
            <w:hideMark/>
          </w:tcPr>
          <w:p w14:paraId="10B0305A" w14:textId="77777777" w:rsidR="00483598" w:rsidRPr="0072390C" w:rsidRDefault="00483598" w:rsidP="00483598">
            <w:pPr>
              <w:spacing w:after="0" w:line="276" w:lineRule="auto"/>
              <w:jc w:val="center"/>
              <w:rPr>
                <w:rFonts w:eastAsiaTheme="minorEastAsia" w:cs="Calibri"/>
                <w:bCs/>
                <w:color w:val="auto"/>
                <w:lang w:eastAsia="ru-RU"/>
              </w:rPr>
            </w:pPr>
            <w:r w:rsidRPr="0072390C">
              <w:rPr>
                <w:rFonts w:eastAsiaTheme="minorEastAsia" w:cs="Calibri"/>
                <w:bCs/>
                <w:color w:val="auto"/>
                <w:lang w:eastAsia="ru-RU"/>
              </w:rPr>
              <w:t>2</w:t>
            </w:r>
          </w:p>
        </w:tc>
        <w:tc>
          <w:tcPr>
            <w:tcW w:w="1912" w:type="pct"/>
            <w:tcBorders>
              <w:top w:val="nil"/>
              <w:left w:val="nil"/>
              <w:bottom w:val="single" w:sz="4" w:space="0" w:color="auto"/>
              <w:right w:val="single" w:sz="4" w:space="0" w:color="auto"/>
            </w:tcBorders>
            <w:shd w:val="clear" w:color="auto" w:fill="auto"/>
            <w:vAlign w:val="center"/>
            <w:hideMark/>
          </w:tcPr>
          <w:p w14:paraId="523B9694" w14:textId="4AC7368D" w:rsidR="00483598" w:rsidRPr="0072390C" w:rsidRDefault="00483598" w:rsidP="00483598">
            <w:pPr>
              <w:spacing w:after="0" w:line="276" w:lineRule="auto"/>
              <w:rPr>
                <w:rFonts w:eastAsiaTheme="minorEastAsia" w:cs="Calibri"/>
                <w:bCs/>
                <w:i/>
                <w:color w:val="auto"/>
                <w:lang w:eastAsia="ru-RU"/>
              </w:rPr>
            </w:pPr>
            <w:r w:rsidRPr="0072390C">
              <w:rPr>
                <w:rFonts w:eastAsiaTheme="minorEastAsia" w:cs="Calibri"/>
                <w:bCs/>
                <w:color w:val="auto"/>
                <w:lang w:eastAsia="ru-RU"/>
              </w:rPr>
              <w:t>Плановый размер финансирования инвестиционной программы на 2019 год за счет собственных средств (выручки от реализации товаров (услуг) по регулируемым ценам (тарифам)) (</w:t>
            </w:r>
            <w:proofErr w:type="spellStart"/>
            <w:r w:rsidRPr="0072390C">
              <w:rPr>
                <w:rFonts w:eastAsiaTheme="minorEastAsia" w:cs="Calibri"/>
                <w:bCs/>
                <w:color w:val="auto"/>
                <w:lang w:eastAsia="ru-RU"/>
              </w:rPr>
              <w:t>ИП</w:t>
            </w:r>
            <w:r w:rsidRPr="0072390C">
              <w:rPr>
                <w:rFonts w:eastAsiaTheme="minorEastAsia" w:cs="Calibri"/>
                <w:bCs/>
                <w:color w:val="auto"/>
                <w:vertAlign w:val="superscript"/>
                <w:lang w:eastAsia="ru-RU"/>
              </w:rPr>
              <w:t>заяв</w:t>
            </w:r>
            <w:proofErr w:type="spellEnd"/>
            <w:r w:rsidRPr="0072390C">
              <w:rPr>
                <w:rFonts w:eastAsiaTheme="minorEastAsia" w:cs="Calibri"/>
                <w:bCs/>
                <w:color w:val="auto"/>
                <w:lang w:eastAsia="ru-RU"/>
              </w:rPr>
              <w:t xml:space="preserve">), тыс. руб. </w:t>
            </w:r>
            <w:r w:rsidR="00D53DA0" w:rsidRPr="0072390C">
              <w:rPr>
                <w:rFonts w:eastAsiaTheme="minorEastAsia" w:cs="Calibri"/>
                <w:bCs/>
                <w:iCs/>
                <w:color w:val="auto"/>
                <w:lang w:eastAsia="ru-RU"/>
              </w:rPr>
              <w:t>без НДС</w:t>
            </w:r>
          </w:p>
        </w:tc>
        <w:tc>
          <w:tcPr>
            <w:tcW w:w="2797" w:type="pct"/>
            <w:gridSpan w:val="2"/>
            <w:tcBorders>
              <w:top w:val="single" w:sz="4" w:space="0" w:color="auto"/>
              <w:left w:val="nil"/>
              <w:bottom w:val="single" w:sz="4" w:space="0" w:color="auto"/>
              <w:right w:val="single" w:sz="4" w:space="0" w:color="auto"/>
            </w:tcBorders>
            <w:shd w:val="clear" w:color="auto" w:fill="auto"/>
            <w:noWrap/>
            <w:vAlign w:val="center"/>
            <w:hideMark/>
          </w:tcPr>
          <w:p w14:paraId="530C9A36" w14:textId="77777777" w:rsidR="00483598" w:rsidRPr="0072390C" w:rsidRDefault="00483598" w:rsidP="00483598">
            <w:pPr>
              <w:spacing w:after="0" w:line="276" w:lineRule="auto"/>
              <w:jc w:val="center"/>
              <w:rPr>
                <w:rFonts w:eastAsiaTheme="minorEastAsia" w:cs="Calibri"/>
                <w:bCs/>
                <w:color w:val="auto"/>
                <w:lang w:eastAsia="ru-RU"/>
              </w:rPr>
            </w:pPr>
            <w:r w:rsidRPr="0072390C">
              <w:rPr>
                <w:rFonts w:eastAsiaTheme="minorEastAsia" w:cs="Calibri"/>
                <w:bCs/>
                <w:color w:val="auto"/>
                <w:lang w:eastAsia="ru-RU"/>
              </w:rPr>
              <w:t>77 626</w:t>
            </w:r>
          </w:p>
        </w:tc>
      </w:tr>
      <w:tr w:rsidR="00483598" w:rsidRPr="00F94FED" w14:paraId="07B1D8C1" w14:textId="77777777" w:rsidTr="00495A09">
        <w:trPr>
          <w:trHeight w:val="20"/>
        </w:trPr>
        <w:tc>
          <w:tcPr>
            <w:tcW w:w="291" w:type="pct"/>
            <w:tcBorders>
              <w:top w:val="nil"/>
              <w:left w:val="single" w:sz="4" w:space="0" w:color="auto"/>
              <w:bottom w:val="single" w:sz="4" w:space="0" w:color="auto"/>
              <w:right w:val="single" w:sz="4" w:space="0" w:color="auto"/>
            </w:tcBorders>
            <w:shd w:val="clear" w:color="auto" w:fill="auto"/>
            <w:noWrap/>
            <w:vAlign w:val="center"/>
            <w:hideMark/>
          </w:tcPr>
          <w:p w14:paraId="7495A281" w14:textId="77777777" w:rsidR="00483598" w:rsidRPr="00F94FED" w:rsidRDefault="00483598" w:rsidP="00483598">
            <w:pPr>
              <w:spacing w:after="0" w:line="276" w:lineRule="auto"/>
              <w:jc w:val="center"/>
              <w:rPr>
                <w:rFonts w:eastAsiaTheme="minorEastAsia" w:cs="Calibri"/>
                <w:bCs/>
                <w:color w:val="000000"/>
                <w:lang w:eastAsia="ru-RU"/>
              </w:rPr>
            </w:pPr>
            <w:r w:rsidRPr="00F94FED">
              <w:rPr>
                <w:rFonts w:eastAsiaTheme="minorEastAsia" w:cs="Calibri"/>
                <w:bCs/>
                <w:color w:val="000000"/>
                <w:lang w:eastAsia="ru-RU"/>
              </w:rPr>
              <w:t>3</w:t>
            </w:r>
          </w:p>
        </w:tc>
        <w:tc>
          <w:tcPr>
            <w:tcW w:w="1912" w:type="pct"/>
            <w:tcBorders>
              <w:top w:val="nil"/>
              <w:left w:val="nil"/>
              <w:bottom w:val="single" w:sz="4" w:space="0" w:color="auto"/>
              <w:right w:val="single" w:sz="4" w:space="0" w:color="auto"/>
            </w:tcBorders>
            <w:shd w:val="clear" w:color="auto" w:fill="auto"/>
            <w:vAlign w:val="center"/>
            <w:hideMark/>
          </w:tcPr>
          <w:p w14:paraId="2B881764" w14:textId="5784995C" w:rsidR="00483598" w:rsidRPr="00F94FED" w:rsidRDefault="00483598" w:rsidP="00483598">
            <w:pPr>
              <w:spacing w:after="0" w:line="276" w:lineRule="auto"/>
              <w:rPr>
                <w:rFonts w:eastAsiaTheme="minorEastAsia" w:cs="Calibri"/>
                <w:bCs/>
                <w:color w:val="000000"/>
                <w:lang w:eastAsia="ru-RU"/>
              </w:rPr>
            </w:pPr>
            <w:r w:rsidRPr="00F94FED">
              <w:rPr>
                <w:rFonts w:eastAsiaTheme="minorEastAsia" w:cs="Calibri"/>
                <w:bCs/>
                <w:color w:val="000000"/>
                <w:lang w:eastAsia="ru-RU"/>
              </w:rPr>
              <w:t>Объем фактического финансирования инвестиционной программы в 2019 году за счет собственных средств (выручки от реализации товаров (услуг) по регулируемым ценам (тарифам)) (</w:t>
            </w:r>
            <w:proofErr w:type="spellStart"/>
            <w:r w:rsidRPr="00F94FED">
              <w:rPr>
                <w:rFonts w:eastAsiaTheme="minorEastAsia" w:cs="Calibri"/>
                <w:bCs/>
                <w:color w:val="000000"/>
                <w:lang w:eastAsia="ru-RU"/>
              </w:rPr>
              <w:t>ИП</w:t>
            </w:r>
            <w:r w:rsidRPr="00F94FED">
              <w:rPr>
                <w:rFonts w:eastAsiaTheme="minorEastAsia" w:cs="Calibri"/>
                <w:bCs/>
                <w:color w:val="000000"/>
                <w:vertAlign w:val="superscript"/>
                <w:lang w:eastAsia="ru-RU"/>
              </w:rPr>
              <w:t>факт</w:t>
            </w:r>
            <w:proofErr w:type="spellEnd"/>
            <w:r w:rsidRPr="00F94FED">
              <w:rPr>
                <w:rFonts w:eastAsiaTheme="minorEastAsia" w:cs="Calibri"/>
                <w:bCs/>
                <w:color w:val="000000"/>
                <w:lang w:eastAsia="ru-RU"/>
              </w:rPr>
              <w:t xml:space="preserve">), тыс. руб. </w:t>
            </w:r>
            <w:r w:rsidR="002A1F70">
              <w:rPr>
                <w:rFonts w:eastAsiaTheme="minorEastAsia" w:cs="Calibri"/>
                <w:bCs/>
                <w:color w:val="000000"/>
                <w:lang w:eastAsia="ru-RU"/>
              </w:rPr>
              <w:t>без</w:t>
            </w:r>
            <w:r w:rsidR="002A1F70" w:rsidRPr="00F94FED">
              <w:rPr>
                <w:rFonts w:eastAsiaTheme="minorEastAsia" w:cs="Calibri"/>
                <w:bCs/>
                <w:color w:val="000000"/>
                <w:lang w:eastAsia="ru-RU"/>
              </w:rPr>
              <w:t xml:space="preserve"> </w:t>
            </w:r>
            <w:r w:rsidRPr="00F94FED">
              <w:rPr>
                <w:rFonts w:eastAsiaTheme="minorEastAsia" w:cs="Calibri"/>
                <w:bCs/>
                <w:color w:val="000000"/>
                <w:lang w:eastAsia="ru-RU"/>
              </w:rPr>
              <w:t>НДС</w:t>
            </w:r>
          </w:p>
        </w:tc>
        <w:tc>
          <w:tcPr>
            <w:tcW w:w="1398" w:type="pct"/>
            <w:tcBorders>
              <w:top w:val="nil"/>
              <w:left w:val="nil"/>
              <w:bottom w:val="single" w:sz="4" w:space="0" w:color="auto"/>
              <w:right w:val="single" w:sz="4" w:space="0" w:color="auto"/>
            </w:tcBorders>
            <w:shd w:val="clear" w:color="auto" w:fill="auto"/>
            <w:noWrap/>
            <w:vAlign w:val="center"/>
            <w:hideMark/>
          </w:tcPr>
          <w:p w14:paraId="1EF619CB" w14:textId="77777777" w:rsidR="00483598" w:rsidRPr="00F94FED" w:rsidRDefault="00483598" w:rsidP="00483598">
            <w:pPr>
              <w:spacing w:after="0" w:line="276" w:lineRule="auto"/>
              <w:jc w:val="center"/>
              <w:rPr>
                <w:rFonts w:eastAsiaTheme="minorEastAsia" w:cs="Calibri"/>
                <w:bCs/>
                <w:color w:val="000000"/>
                <w:lang w:eastAsia="ru-RU"/>
              </w:rPr>
            </w:pPr>
            <w:r w:rsidRPr="00F94FED">
              <w:rPr>
                <w:rFonts w:eastAsiaTheme="minorEastAsia" w:cs="Calibri"/>
                <w:bCs/>
                <w:color w:val="000000"/>
                <w:lang w:eastAsia="ru-RU"/>
              </w:rPr>
              <w:t>105 422</w:t>
            </w:r>
          </w:p>
        </w:tc>
        <w:tc>
          <w:tcPr>
            <w:tcW w:w="1399" w:type="pct"/>
            <w:tcBorders>
              <w:top w:val="nil"/>
              <w:left w:val="nil"/>
              <w:bottom w:val="single" w:sz="4" w:space="0" w:color="auto"/>
              <w:right w:val="single" w:sz="4" w:space="0" w:color="auto"/>
            </w:tcBorders>
            <w:shd w:val="clear" w:color="auto" w:fill="auto"/>
            <w:noWrap/>
            <w:vAlign w:val="center"/>
            <w:hideMark/>
          </w:tcPr>
          <w:p w14:paraId="624838A4" w14:textId="77777777" w:rsidR="00483598" w:rsidRPr="00F94FED" w:rsidRDefault="00483598" w:rsidP="00483598">
            <w:pPr>
              <w:spacing w:after="0" w:line="276" w:lineRule="auto"/>
              <w:jc w:val="center"/>
              <w:rPr>
                <w:rFonts w:eastAsiaTheme="minorEastAsia" w:cs="Calibri"/>
                <w:bCs/>
                <w:color w:val="000000"/>
                <w:lang w:eastAsia="ru-RU"/>
              </w:rPr>
            </w:pPr>
            <w:r w:rsidRPr="00F94FED">
              <w:rPr>
                <w:rFonts w:eastAsiaTheme="minorEastAsia" w:cs="Calibri"/>
                <w:bCs/>
                <w:color w:val="000000"/>
                <w:lang w:eastAsia="ru-RU"/>
              </w:rPr>
              <w:t>67 941</w:t>
            </w:r>
          </w:p>
        </w:tc>
      </w:tr>
      <w:tr w:rsidR="00483598" w:rsidRPr="00F94FED" w14:paraId="5AB3BB00" w14:textId="77777777" w:rsidTr="00495A09">
        <w:trPr>
          <w:trHeight w:val="1288"/>
        </w:trPr>
        <w:tc>
          <w:tcPr>
            <w:tcW w:w="291" w:type="pct"/>
            <w:tcBorders>
              <w:top w:val="nil"/>
              <w:left w:val="single" w:sz="4" w:space="0" w:color="auto"/>
              <w:bottom w:val="single" w:sz="4" w:space="0" w:color="FFFFFF" w:themeColor="background1"/>
              <w:right w:val="single" w:sz="4" w:space="0" w:color="auto"/>
            </w:tcBorders>
            <w:shd w:val="clear" w:color="auto" w:fill="auto"/>
            <w:noWrap/>
            <w:vAlign w:val="center"/>
            <w:hideMark/>
          </w:tcPr>
          <w:p w14:paraId="4CD50A2D" w14:textId="77777777" w:rsidR="00483598" w:rsidRPr="00F94FED" w:rsidRDefault="00483598" w:rsidP="00483598">
            <w:pPr>
              <w:spacing w:after="0" w:line="276" w:lineRule="auto"/>
              <w:jc w:val="center"/>
              <w:rPr>
                <w:rFonts w:eastAsiaTheme="minorEastAsia" w:cs="Calibri"/>
                <w:bCs/>
                <w:color w:val="000000"/>
                <w:lang w:eastAsia="ru-RU"/>
              </w:rPr>
            </w:pPr>
            <w:r w:rsidRPr="00F94FED">
              <w:rPr>
                <w:rFonts w:eastAsiaTheme="minorEastAsia" w:cs="Calibri"/>
                <w:bCs/>
                <w:color w:val="000000"/>
                <w:lang w:eastAsia="ru-RU"/>
              </w:rPr>
              <w:lastRenderedPageBreak/>
              <w:t>4</w:t>
            </w:r>
          </w:p>
        </w:tc>
        <w:tc>
          <w:tcPr>
            <w:tcW w:w="1912" w:type="pct"/>
            <w:tcBorders>
              <w:top w:val="nil"/>
              <w:left w:val="nil"/>
              <w:bottom w:val="single" w:sz="4" w:space="0" w:color="FFFFFF" w:themeColor="background1"/>
              <w:right w:val="single" w:sz="4" w:space="0" w:color="auto"/>
            </w:tcBorders>
            <w:shd w:val="clear" w:color="auto" w:fill="auto"/>
            <w:vAlign w:val="center"/>
            <w:hideMark/>
          </w:tcPr>
          <w:p w14:paraId="23F444AE" w14:textId="77777777" w:rsidR="00483598" w:rsidRPr="00F94FED" w:rsidRDefault="00483598" w:rsidP="00483598">
            <w:pPr>
              <w:spacing w:after="0" w:line="276" w:lineRule="auto"/>
              <w:rPr>
                <w:rFonts w:eastAsiaTheme="minorEastAsia" w:cs="Calibri"/>
                <w:bCs/>
                <w:color w:val="000000"/>
                <w:lang w:eastAsia="ru-RU"/>
              </w:rPr>
            </w:pPr>
            <w:r w:rsidRPr="00F94FED">
              <w:rPr>
                <w:rFonts w:eastAsiaTheme="minorEastAsia"/>
                <w:bCs/>
                <w:noProof/>
                <w:color w:val="auto"/>
                <w:lang w:eastAsia="ru-RU"/>
              </w:rPr>
              <mc:AlternateContent>
                <mc:Choice Requires="wps">
                  <w:drawing>
                    <wp:anchor distT="0" distB="0" distL="114300" distR="114300" simplePos="0" relativeHeight="251666432" behindDoc="0" locked="0" layoutInCell="1" allowOverlap="1" wp14:anchorId="3CFCCA27" wp14:editId="48E40F83">
                      <wp:simplePos x="0" y="0"/>
                      <wp:positionH relativeFrom="column">
                        <wp:posOffset>423545</wp:posOffset>
                      </wp:positionH>
                      <wp:positionV relativeFrom="paragraph">
                        <wp:posOffset>59055</wp:posOffset>
                      </wp:positionV>
                      <wp:extent cx="1234440" cy="680720"/>
                      <wp:effectExtent l="0" t="0" r="3810" b="5080"/>
                      <wp:wrapNone/>
                      <wp:docPr id="15" name="Надпись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234440" cy="680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4F5A06" w14:textId="77777777" w:rsidR="00BD7E1C" w:rsidRPr="008F7A35" w:rsidRDefault="00B87291" w:rsidP="00483598">
                                  <w:pPr>
                                    <w:rPr>
                                      <w:sz w:val="28"/>
                                      <w:szCs w:val="28"/>
                                    </w:rPr>
                                  </w:pPr>
                                  <m:oMathPara>
                                    <m:oMathParaPr>
                                      <m:jc m:val="centerGroup"/>
                                    </m:oMathParaPr>
                                    <m:oMath>
                                      <m:f>
                                        <m:fPr>
                                          <m:ctrlPr>
                                            <w:rPr>
                                              <w:rFonts w:ascii="Cambria Math" w:hAnsi="Cambria Math"/>
                                              <w:i/>
                                              <w:iCs/>
                                              <w:sz w:val="32"/>
                                              <w:szCs w:val="32"/>
                                            </w:rPr>
                                          </m:ctrlPr>
                                        </m:fPr>
                                        <m:num>
                                          <m:sSubSup>
                                            <m:sSubSupPr>
                                              <m:ctrlPr>
                                                <w:rPr>
                                                  <w:rFonts w:ascii="Cambria Math" w:hAnsi="Cambria Math"/>
                                                  <w:i/>
                                                  <w:iCs/>
                                                  <w:sz w:val="32"/>
                                                  <w:szCs w:val="32"/>
                                                </w:rPr>
                                              </m:ctrlPr>
                                            </m:sSubSupPr>
                                            <m:e>
                                              <m:r>
                                                <w:rPr>
                                                  <w:rFonts w:ascii="Cambria Math" w:hAnsi="Cambria Math"/>
                                                  <w:sz w:val="32"/>
                                                  <w:szCs w:val="32"/>
                                                </w:rPr>
                                                <m:t>ИП</m:t>
                                              </m:r>
                                            </m:e>
                                            <m:sub>
                                              <m:r>
                                                <w:rPr>
                                                  <w:rFonts w:ascii="Cambria Math" w:hAnsi="Cambria Math"/>
                                                  <w:sz w:val="32"/>
                                                  <w:szCs w:val="32"/>
                                                </w:rPr>
                                                <m:t>2019</m:t>
                                              </m:r>
                                            </m:sub>
                                            <m:sup>
                                              <m:r>
                                                <w:rPr>
                                                  <w:rFonts w:ascii="Cambria Math" w:hAnsi="Cambria Math"/>
                                                  <w:sz w:val="32"/>
                                                  <w:szCs w:val="32"/>
                                                </w:rPr>
                                                <m:t>факт</m:t>
                                              </m:r>
                                            </m:sup>
                                          </m:sSubSup>
                                        </m:num>
                                        <m:den>
                                          <m:sSubSup>
                                            <m:sSubSupPr>
                                              <m:ctrlPr>
                                                <w:rPr>
                                                  <w:rFonts w:ascii="Cambria Math" w:hAnsi="Cambria Math"/>
                                                  <w:i/>
                                                  <w:iCs/>
                                                  <w:sz w:val="32"/>
                                                  <w:szCs w:val="32"/>
                                                </w:rPr>
                                              </m:ctrlPr>
                                            </m:sSubSupPr>
                                            <m:e>
                                              <m:r>
                                                <w:rPr>
                                                  <w:rFonts w:ascii="Cambria Math" w:hAnsi="Cambria Math"/>
                                                  <w:sz w:val="32"/>
                                                  <w:szCs w:val="32"/>
                                                </w:rPr>
                                                <m:t>ИП</m:t>
                                              </m:r>
                                            </m:e>
                                            <m:sub>
                                              <m:r>
                                                <w:rPr>
                                                  <w:rFonts w:ascii="Cambria Math" w:hAnsi="Cambria Math"/>
                                                  <w:sz w:val="32"/>
                                                  <w:szCs w:val="32"/>
                                                </w:rPr>
                                                <m:t>2019</m:t>
                                              </m:r>
                                            </m:sub>
                                            <m:sup>
                                              <m:r>
                                                <w:rPr>
                                                  <w:rFonts w:ascii="Cambria Math" w:hAnsi="Cambria Math"/>
                                                  <w:sz w:val="32"/>
                                                  <w:szCs w:val="32"/>
                                                </w:rPr>
                                                <m:t>заяв</m:t>
                                              </m:r>
                                            </m:sup>
                                          </m:sSubSup>
                                        </m:den>
                                      </m:f>
                                    </m:oMath>
                                  </m:oMathPara>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FCCA27" id="_x0000_t202" coordsize="21600,21600" o:spt="202" path="m,l,21600r21600,l21600,xe">
                      <v:stroke joinstyle="miter"/>
                      <v:path gradientshapeok="t" o:connecttype="rect"/>
                    </v:shapetype>
                    <v:shape id="Надпись 15" o:spid="_x0000_s1032" type="#_x0000_t202" style="position:absolute;margin-left:33.35pt;margin-top:4.65pt;width:97.2pt;height:53.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" filled="f" stroked="f">
                      <v:path arrowok="t"/>
                      <v:textbox inset="0,0,0,0">
                        <w:txbxContent>
                          <w:p w14:paraId="274F5A06" w14:textId="77777777" w:rsidR="00BD7E1C" w:rsidRPr="008F7A35" w:rsidRDefault="00BD7E1C" w:rsidP="00483598">
                            <w:pPr>
                              <w:rPr>
                                <w:sz w:val="28"/>
                                <w:szCs w:val="28"/>
                              </w:rPr>
                            </w:pPr>
                            <m:oMathPara>
                              <m:oMathParaPr>
                                <m:jc m:val="centerGroup"/>
                              </m:oMathParaPr>
                              <m:oMath>
                                <m:f>
                                  <m:fPr>
                                    <m:ctrlPr>
                                      <w:rPr>
                                        <w:rFonts w:ascii="Cambria Math" w:hAnsi="Cambria Math"/>
                                        <w:i/>
                                        <w:iCs/>
                                        <w:sz w:val="32"/>
                                        <w:szCs w:val="32"/>
                                      </w:rPr>
                                    </m:ctrlPr>
                                  </m:fPr>
                                  <m:num>
                                    <m:sSubSup>
                                      <m:sSubSupPr>
                                        <m:ctrlPr>
                                          <w:rPr>
                                            <w:rFonts w:ascii="Cambria Math" w:hAnsi="Cambria Math"/>
                                            <w:i/>
                                            <w:iCs/>
                                            <w:sz w:val="32"/>
                                            <w:szCs w:val="32"/>
                                          </w:rPr>
                                        </m:ctrlPr>
                                      </m:sSubSupPr>
                                      <m:e>
                                        <m:r>
                                          <w:rPr>
                                            <w:rFonts w:ascii="Cambria Math" w:hAnsi="Cambria Math"/>
                                            <w:sz w:val="32"/>
                                            <w:szCs w:val="32"/>
                                          </w:rPr>
                                          <m:t>ИП</m:t>
                                        </m:r>
                                      </m:e>
                                      <m:sub>
                                        <m:r>
                                          <w:rPr>
                                            <w:rFonts w:ascii="Cambria Math" w:hAnsi="Cambria Math"/>
                                            <w:sz w:val="32"/>
                                            <w:szCs w:val="32"/>
                                          </w:rPr>
                                          <m:t>2019</m:t>
                                        </m:r>
                                      </m:sub>
                                      <m:sup>
                                        <m:r>
                                          <w:rPr>
                                            <w:rFonts w:ascii="Cambria Math" w:hAnsi="Cambria Math"/>
                                            <w:sz w:val="32"/>
                                            <w:szCs w:val="32"/>
                                          </w:rPr>
                                          <m:t>факт</m:t>
                                        </m:r>
                                      </m:sup>
                                    </m:sSubSup>
                                  </m:num>
                                  <m:den>
                                    <m:sSubSup>
                                      <m:sSubSupPr>
                                        <m:ctrlPr>
                                          <w:rPr>
                                            <w:rFonts w:ascii="Cambria Math" w:hAnsi="Cambria Math"/>
                                            <w:i/>
                                            <w:iCs/>
                                            <w:sz w:val="32"/>
                                            <w:szCs w:val="32"/>
                                          </w:rPr>
                                        </m:ctrlPr>
                                      </m:sSubSupPr>
                                      <m:e>
                                        <m:r>
                                          <w:rPr>
                                            <w:rFonts w:ascii="Cambria Math" w:hAnsi="Cambria Math"/>
                                            <w:sz w:val="32"/>
                                            <w:szCs w:val="32"/>
                                          </w:rPr>
                                          <m:t>ИП</m:t>
                                        </m:r>
                                      </m:e>
                                      <m:sub>
                                        <m:r>
                                          <w:rPr>
                                            <w:rFonts w:ascii="Cambria Math" w:hAnsi="Cambria Math"/>
                                            <w:sz w:val="32"/>
                                            <w:szCs w:val="32"/>
                                          </w:rPr>
                                          <m:t>2019</m:t>
                                        </m:r>
                                      </m:sub>
                                      <m:sup>
                                        <m:r>
                                          <w:rPr>
                                            <w:rFonts w:ascii="Cambria Math" w:hAnsi="Cambria Math"/>
                                            <w:sz w:val="32"/>
                                            <w:szCs w:val="32"/>
                                          </w:rPr>
                                          <m:t>заяв</m:t>
                                        </m:r>
                                      </m:sup>
                                    </m:sSubSup>
                                  </m:den>
                                </m:f>
                              </m:oMath>
                            </m:oMathPara>
                          </w:p>
                        </w:txbxContent>
                      </v:textbox>
                    </v:shape>
                  </w:pict>
                </mc:Fallback>
              </mc:AlternateContent>
            </w:r>
            <w:r w:rsidRPr="00F94FED">
              <w:rPr>
                <w:rFonts w:eastAsiaTheme="minorEastAsia" w:cs="Calibri"/>
                <w:bCs/>
                <w:color w:val="000000"/>
                <w:lang w:eastAsia="ru-RU"/>
              </w:rPr>
              <w:t> </w:t>
            </w:r>
          </w:p>
        </w:tc>
        <w:tc>
          <w:tcPr>
            <w:tcW w:w="1398" w:type="pct"/>
            <w:tcBorders>
              <w:top w:val="nil"/>
              <w:left w:val="nil"/>
              <w:bottom w:val="single" w:sz="4" w:space="0" w:color="FFFFFF" w:themeColor="background1"/>
              <w:right w:val="single" w:sz="4" w:space="0" w:color="auto"/>
            </w:tcBorders>
            <w:shd w:val="clear" w:color="auto" w:fill="auto"/>
            <w:noWrap/>
            <w:vAlign w:val="center"/>
            <w:hideMark/>
          </w:tcPr>
          <w:p w14:paraId="6CFB8300" w14:textId="77777777" w:rsidR="00483598" w:rsidRPr="00F94FED" w:rsidRDefault="00483598" w:rsidP="00483598">
            <w:pPr>
              <w:spacing w:after="0" w:line="276" w:lineRule="auto"/>
              <w:jc w:val="center"/>
              <w:rPr>
                <w:rFonts w:eastAsiaTheme="minorEastAsia" w:cs="Calibri"/>
                <w:bCs/>
                <w:color w:val="000000"/>
                <w:lang w:eastAsia="ru-RU"/>
              </w:rPr>
            </w:pPr>
            <w:r w:rsidRPr="00F94FED">
              <w:rPr>
                <w:rFonts w:eastAsiaTheme="minorEastAsia" w:cs="Calibri"/>
                <w:bCs/>
                <w:color w:val="000000"/>
                <w:lang w:eastAsia="ru-RU"/>
              </w:rPr>
              <w:t>1,36</w:t>
            </w:r>
          </w:p>
        </w:tc>
        <w:tc>
          <w:tcPr>
            <w:tcW w:w="1399" w:type="pct"/>
            <w:tcBorders>
              <w:top w:val="nil"/>
              <w:left w:val="nil"/>
              <w:bottom w:val="single" w:sz="4" w:space="0" w:color="FFFFFF" w:themeColor="background1"/>
              <w:right w:val="single" w:sz="4" w:space="0" w:color="auto"/>
            </w:tcBorders>
            <w:shd w:val="clear" w:color="auto" w:fill="auto"/>
            <w:noWrap/>
            <w:vAlign w:val="center"/>
            <w:hideMark/>
          </w:tcPr>
          <w:p w14:paraId="07DD9542" w14:textId="77777777" w:rsidR="00483598" w:rsidRPr="00F94FED" w:rsidRDefault="00483598" w:rsidP="00483598">
            <w:pPr>
              <w:spacing w:after="0" w:line="276" w:lineRule="auto"/>
              <w:jc w:val="center"/>
              <w:rPr>
                <w:rFonts w:eastAsiaTheme="minorEastAsia" w:cs="Calibri"/>
                <w:bCs/>
                <w:color w:val="000000"/>
                <w:lang w:eastAsia="ru-RU"/>
              </w:rPr>
            </w:pPr>
            <w:r w:rsidRPr="00F94FED">
              <w:rPr>
                <w:rFonts w:eastAsiaTheme="minorEastAsia" w:cs="Calibri"/>
                <w:bCs/>
                <w:color w:val="000000"/>
                <w:lang w:eastAsia="ru-RU"/>
              </w:rPr>
              <w:t>0,88</w:t>
            </w:r>
          </w:p>
        </w:tc>
      </w:tr>
      <w:tr w:rsidR="00483598" w:rsidRPr="00F94FED" w14:paraId="419FCB4A" w14:textId="77777777" w:rsidTr="00495A09">
        <w:trPr>
          <w:trHeight w:val="20"/>
        </w:trPr>
        <w:tc>
          <w:tcPr>
            <w:tcW w:w="29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C19C76A" w14:textId="77777777" w:rsidR="00483598" w:rsidRPr="00F94FED" w:rsidRDefault="00483598" w:rsidP="00483598">
            <w:pPr>
              <w:spacing w:after="0" w:line="276" w:lineRule="auto"/>
              <w:jc w:val="center"/>
              <w:rPr>
                <w:rFonts w:eastAsiaTheme="minorEastAsia" w:cs="Calibri"/>
                <w:bCs/>
                <w:color w:val="FFFFFF" w:themeColor="background1"/>
                <w:lang w:eastAsia="ru-RU"/>
              </w:rPr>
            </w:pPr>
            <w:r w:rsidRPr="00F94FED">
              <w:rPr>
                <w:rFonts w:eastAsiaTheme="minorEastAsia" w:cs="Calibri"/>
                <w:bCs/>
                <w:color w:val="FFFFFF" w:themeColor="background1"/>
                <w:lang w:eastAsia="ru-RU"/>
              </w:rPr>
              <w:t>5</w:t>
            </w:r>
          </w:p>
        </w:tc>
        <w:tc>
          <w:tcPr>
            <w:tcW w:w="191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404143C" w14:textId="4F426E3B" w:rsidR="00483598" w:rsidRPr="00F94FED" w:rsidRDefault="00483598" w:rsidP="00483598">
            <w:pPr>
              <w:spacing w:after="0" w:line="276" w:lineRule="auto"/>
              <w:rPr>
                <w:rFonts w:eastAsiaTheme="minorEastAsia" w:cs="Calibri"/>
                <w:bCs/>
                <w:color w:val="FFFFFF" w:themeColor="background1"/>
                <w:lang w:eastAsia="ru-RU"/>
              </w:rPr>
            </w:pPr>
            <w:r w:rsidRPr="00F94FED">
              <w:rPr>
                <w:rFonts w:eastAsiaTheme="minorEastAsia" w:cs="Calibri"/>
                <w:bCs/>
                <w:color w:val="FFFFFF" w:themeColor="background1"/>
                <w:lang w:eastAsia="ru-RU"/>
              </w:rPr>
              <w:t>Величина корректировки НВВ в связи с изменением (неисполнением) инвестиционной программы, млн руб.</w:t>
            </w:r>
            <w:r w:rsidR="002A1F70">
              <w:rPr>
                <w:rFonts w:eastAsiaTheme="minorEastAsia" w:cs="Calibri"/>
                <w:bCs/>
                <w:color w:val="FFFFFF" w:themeColor="background1"/>
                <w:lang w:eastAsia="ru-RU"/>
              </w:rPr>
              <w:t xml:space="preserve"> без НДС</w:t>
            </w:r>
          </w:p>
        </w:tc>
        <w:tc>
          <w:tcPr>
            <w:tcW w:w="139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B891CC2" w14:textId="14FC4BF8" w:rsidR="00483598" w:rsidRPr="002A1F70" w:rsidRDefault="002A1F70" w:rsidP="00483598">
            <w:pPr>
              <w:spacing w:after="0" w:line="276" w:lineRule="auto"/>
              <w:jc w:val="center"/>
              <w:rPr>
                <w:rFonts w:eastAsiaTheme="minorEastAsia" w:cs="Calibri"/>
                <w:bCs/>
                <w:color w:val="FFFFFF" w:themeColor="background1"/>
                <w:lang w:eastAsia="ru-RU"/>
              </w:rPr>
            </w:pPr>
            <w:r w:rsidRPr="002A1F70">
              <w:rPr>
                <w:rFonts w:eastAsiaTheme="minorEastAsia" w:cs="Calibri"/>
                <w:bCs/>
                <w:color w:val="FFFFFF" w:themeColor="background1"/>
                <w:lang w:eastAsia="ru-RU"/>
              </w:rPr>
              <w:t>27</w:t>
            </w:r>
            <w:r>
              <w:rPr>
                <w:rFonts w:eastAsiaTheme="minorEastAsia" w:cs="Calibri"/>
                <w:bCs/>
                <w:color w:val="FFFFFF" w:themeColor="background1"/>
                <w:lang w:eastAsia="ru-RU"/>
              </w:rPr>
              <w:t> 796,00</w:t>
            </w:r>
          </w:p>
        </w:tc>
        <w:tc>
          <w:tcPr>
            <w:tcW w:w="139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6212BF3" w14:textId="2DFB3200" w:rsidR="00483598" w:rsidRPr="002A1F70" w:rsidRDefault="002A1F70" w:rsidP="00483598">
            <w:pPr>
              <w:spacing w:after="0" w:line="276" w:lineRule="auto"/>
              <w:jc w:val="center"/>
              <w:rPr>
                <w:rFonts w:eastAsiaTheme="minorEastAsia" w:cs="Calibri"/>
                <w:bCs/>
                <w:color w:val="FFFFFF" w:themeColor="background1"/>
                <w:lang w:eastAsia="ru-RU"/>
              </w:rPr>
            </w:pPr>
            <w:r w:rsidRPr="002A1F70">
              <w:rPr>
                <w:rFonts w:eastAsiaTheme="minorEastAsia" w:cs="Calibri"/>
                <w:bCs/>
                <w:color w:val="FFFFFF" w:themeColor="background1"/>
                <w:lang w:eastAsia="ru-RU"/>
              </w:rPr>
              <w:t>-9</w:t>
            </w:r>
            <w:r>
              <w:rPr>
                <w:rFonts w:eastAsiaTheme="minorEastAsia" w:cs="Calibri"/>
                <w:bCs/>
                <w:color w:val="FFFFFF" w:themeColor="background1"/>
                <w:lang w:eastAsia="ru-RU"/>
              </w:rPr>
              <w:t> 685,00</w:t>
            </w:r>
          </w:p>
        </w:tc>
      </w:tr>
      <w:bookmarkEnd w:id="22"/>
    </w:tbl>
    <w:p w14:paraId="2A46B0B3" w14:textId="77777777" w:rsidR="00483598" w:rsidRDefault="00483598" w:rsidP="00483598">
      <w:pPr>
        <w:autoSpaceDE w:val="0"/>
        <w:autoSpaceDN w:val="0"/>
        <w:adjustRightInd w:val="0"/>
        <w:spacing w:after="200" w:line="360" w:lineRule="auto"/>
        <w:ind w:firstLine="567"/>
        <w:jc w:val="both"/>
        <w:rPr>
          <w:rFonts w:eastAsiaTheme="minorEastAsia" w:cstheme="minorBidi"/>
          <w:bCs/>
          <w:color w:val="auto"/>
          <w:sz w:val="26"/>
          <w:szCs w:val="26"/>
          <w:lang w:eastAsia="ru-RU"/>
        </w:rPr>
      </w:pPr>
    </w:p>
    <w:p w14:paraId="74F57C32" w14:textId="77777777" w:rsidR="00483598" w:rsidRPr="00483598" w:rsidRDefault="00483598" w:rsidP="00483598">
      <w:pPr>
        <w:autoSpaceDE w:val="0"/>
        <w:autoSpaceDN w:val="0"/>
        <w:adjustRightInd w:val="0"/>
        <w:spacing w:after="0" w:line="360" w:lineRule="auto"/>
        <w:ind w:firstLine="567"/>
        <w:jc w:val="both"/>
        <w:rPr>
          <w:rFonts w:eastAsiaTheme="minorEastAsia" w:cstheme="minorBidi"/>
          <w:bCs/>
          <w:color w:val="auto"/>
          <w:sz w:val="26"/>
          <w:szCs w:val="26"/>
          <w:lang w:eastAsia="ru-RU"/>
        </w:rPr>
      </w:pPr>
      <w:r w:rsidRPr="00483598">
        <w:rPr>
          <w:rFonts w:eastAsiaTheme="minorEastAsia" w:cstheme="minorBidi"/>
          <w:bCs/>
          <w:color w:val="auto"/>
          <w:sz w:val="26"/>
          <w:szCs w:val="26"/>
          <w:lang w:eastAsia="ru-RU"/>
        </w:rPr>
        <w:t xml:space="preserve">С учетом результатов анализа исполнения инвестиционной программ </w:t>
      </w:r>
      <w:r w:rsidRPr="00483598">
        <w:rPr>
          <w:rFonts w:eastAsiaTheme="minorEastAsia" w:cstheme="minorBidi"/>
          <w:bCs/>
          <w:color w:val="auto"/>
          <w:sz w:val="26"/>
          <w:szCs w:val="26"/>
          <w:lang w:eastAsia="ru-RU"/>
        </w:rPr>
        <w:br/>
      </w:r>
      <w:r w:rsidRPr="00483598">
        <w:rPr>
          <w:rFonts w:eastAsiaTheme="minorEastAsia" w:cs="Arial"/>
          <w:bCs/>
          <w:color w:val="auto"/>
          <w:sz w:val="26"/>
          <w:szCs w:val="26"/>
          <w:lang w:eastAsia="ru-RU"/>
        </w:rPr>
        <w:t>АО «Тываэнерго» за 2019 год</w:t>
      </w:r>
      <w:r w:rsidRPr="00483598">
        <w:rPr>
          <w:rFonts w:eastAsiaTheme="minorEastAsia" w:cstheme="minorBidi"/>
          <w:bCs/>
          <w:color w:val="auto"/>
          <w:sz w:val="26"/>
          <w:szCs w:val="26"/>
          <w:lang w:eastAsia="ru-RU"/>
        </w:rPr>
        <w:t>, объем финансирования инвестиционной программы за счет собственных средств (выручки от реализации товаров (услуг) по регулируемым ценам (тарифам)) составляет:</w:t>
      </w:r>
    </w:p>
    <w:p w14:paraId="08AA7AB6" w14:textId="77777777" w:rsidR="00483598" w:rsidRPr="00483598" w:rsidRDefault="00483598" w:rsidP="00483598">
      <w:pPr>
        <w:numPr>
          <w:ilvl w:val="0"/>
          <w:numId w:val="48"/>
        </w:numPr>
        <w:autoSpaceDE w:val="0"/>
        <w:autoSpaceDN w:val="0"/>
        <w:adjustRightInd w:val="0"/>
        <w:spacing w:after="0" w:line="360" w:lineRule="auto"/>
        <w:ind w:left="1276" w:hanging="709"/>
        <w:contextualSpacing/>
        <w:jc w:val="both"/>
        <w:rPr>
          <w:rFonts w:eastAsiaTheme="minorEastAsia" w:cstheme="minorBidi"/>
          <w:bCs/>
          <w:color w:val="auto"/>
          <w:sz w:val="26"/>
          <w:szCs w:val="26"/>
          <w:lang w:eastAsia="ru-RU"/>
        </w:rPr>
      </w:pPr>
      <w:r w:rsidRPr="00483598">
        <w:rPr>
          <w:rFonts w:eastAsiaTheme="minorEastAsia" w:cstheme="minorBidi"/>
          <w:bCs/>
          <w:color w:val="auto"/>
          <w:sz w:val="26"/>
          <w:szCs w:val="26"/>
          <w:lang w:eastAsia="ru-RU"/>
        </w:rPr>
        <w:t>136% от утвержденного планового значения – при учете результатов финансирования новых инвестиционных проектов;</w:t>
      </w:r>
    </w:p>
    <w:p w14:paraId="0F324501" w14:textId="22FF7F1C" w:rsidR="00483598" w:rsidRPr="00483598" w:rsidRDefault="00483598" w:rsidP="00483598">
      <w:pPr>
        <w:numPr>
          <w:ilvl w:val="0"/>
          <w:numId w:val="48"/>
        </w:numPr>
        <w:autoSpaceDE w:val="0"/>
        <w:autoSpaceDN w:val="0"/>
        <w:adjustRightInd w:val="0"/>
        <w:spacing w:after="0" w:line="360" w:lineRule="auto"/>
        <w:ind w:left="1276" w:hanging="709"/>
        <w:contextualSpacing/>
        <w:jc w:val="both"/>
        <w:rPr>
          <w:rFonts w:eastAsiaTheme="minorEastAsia" w:cstheme="minorBidi"/>
          <w:bCs/>
          <w:color w:val="auto"/>
          <w:sz w:val="26"/>
          <w:szCs w:val="26"/>
          <w:lang w:eastAsia="ru-RU"/>
        </w:rPr>
      </w:pPr>
      <w:r w:rsidRPr="00483598">
        <w:rPr>
          <w:rFonts w:eastAsiaTheme="minorEastAsia" w:cstheme="minorBidi"/>
          <w:bCs/>
          <w:color w:val="auto"/>
          <w:sz w:val="26"/>
          <w:szCs w:val="26"/>
          <w:lang w:eastAsia="ru-RU"/>
        </w:rPr>
        <w:t xml:space="preserve">88% от утвержденного планового значения – при учете результатов финансирования инвестиционных проектов, предусмотренных утвержденной в установленном порядке инвестиционной программы от </w:t>
      </w:r>
      <w:r w:rsidR="00827944">
        <w:rPr>
          <w:rFonts w:eastAsiaTheme="minorEastAsia" w:cstheme="minorBidi"/>
          <w:bCs/>
          <w:color w:val="auto"/>
          <w:sz w:val="26"/>
          <w:szCs w:val="26"/>
          <w:lang w:eastAsia="ru-RU"/>
        </w:rPr>
        <w:t>17.10</w:t>
      </w:r>
      <w:r w:rsidRPr="00483598">
        <w:rPr>
          <w:rFonts w:eastAsiaTheme="minorEastAsia" w:cstheme="minorBidi"/>
          <w:bCs/>
          <w:color w:val="auto"/>
          <w:sz w:val="26"/>
          <w:szCs w:val="26"/>
          <w:lang w:eastAsia="ru-RU"/>
        </w:rPr>
        <w:t>.2018.</w:t>
      </w:r>
    </w:p>
    <w:p w14:paraId="168DE346" w14:textId="7D344B61" w:rsidR="00483598" w:rsidRPr="0072390C" w:rsidRDefault="00483598" w:rsidP="00483598">
      <w:pPr>
        <w:autoSpaceDE w:val="0"/>
        <w:autoSpaceDN w:val="0"/>
        <w:adjustRightInd w:val="0"/>
        <w:spacing w:after="0" w:line="360" w:lineRule="auto"/>
        <w:ind w:firstLine="567"/>
        <w:jc w:val="both"/>
        <w:rPr>
          <w:rFonts w:eastAsiaTheme="minorEastAsia" w:cstheme="minorBidi"/>
          <w:bCs/>
          <w:color w:val="auto"/>
          <w:sz w:val="26"/>
          <w:szCs w:val="26"/>
          <w:lang w:eastAsia="ru-RU"/>
        </w:rPr>
      </w:pPr>
      <w:r w:rsidRPr="0072390C">
        <w:rPr>
          <w:rFonts w:eastAsiaTheme="minorEastAsia" w:cstheme="minorBidi"/>
          <w:bCs/>
          <w:color w:val="auto"/>
          <w:sz w:val="26"/>
          <w:szCs w:val="26"/>
          <w:lang w:eastAsia="ru-RU"/>
        </w:rPr>
        <w:t xml:space="preserve">По оценке Исполнителя, величина корректировки НВВ по результатам исполнения (неисполнения) инвестиционной программы в 2019 году на основе данных об исполнении инвестиционной программы за 2019 год составит </w:t>
      </w:r>
      <w:r w:rsidR="002A1F70" w:rsidRPr="0072390C">
        <w:rPr>
          <w:rFonts w:eastAsiaTheme="minorEastAsia" w:cstheme="minorBidi"/>
          <w:bCs/>
          <w:color w:val="auto"/>
          <w:sz w:val="26"/>
          <w:szCs w:val="26"/>
          <w:lang w:eastAsia="ru-RU"/>
        </w:rPr>
        <w:t>27 796,00</w:t>
      </w:r>
      <w:r w:rsidRPr="0072390C">
        <w:rPr>
          <w:rFonts w:eastAsiaTheme="minorEastAsia" w:cstheme="minorBidi"/>
          <w:bCs/>
          <w:color w:val="auto"/>
          <w:sz w:val="26"/>
          <w:szCs w:val="26"/>
          <w:lang w:eastAsia="ru-RU"/>
        </w:rPr>
        <w:t xml:space="preserve"> тыс. руб. </w:t>
      </w:r>
    </w:p>
    <w:p w14:paraId="010E1F9B" w14:textId="585F55A5" w:rsidR="00E572A8" w:rsidRPr="0072390C" w:rsidRDefault="00E572A8" w:rsidP="00E572A8">
      <w:pPr>
        <w:autoSpaceDE w:val="0"/>
        <w:autoSpaceDN w:val="0"/>
        <w:adjustRightInd w:val="0"/>
        <w:spacing w:after="0" w:line="360" w:lineRule="auto"/>
        <w:ind w:firstLine="567"/>
        <w:jc w:val="both"/>
        <w:rPr>
          <w:rFonts w:eastAsiaTheme="minorEastAsia" w:cstheme="minorBidi"/>
          <w:bCs/>
          <w:color w:val="auto"/>
          <w:sz w:val="26"/>
          <w:szCs w:val="26"/>
          <w:lang w:eastAsia="ru-RU"/>
        </w:rPr>
      </w:pPr>
      <w:r w:rsidRPr="0072390C">
        <w:rPr>
          <w:rFonts w:eastAsiaTheme="minorEastAsia" w:cstheme="minorBidi"/>
          <w:bCs/>
          <w:color w:val="auto"/>
          <w:sz w:val="26"/>
          <w:szCs w:val="26"/>
          <w:lang w:eastAsia="ru-RU"/>
        </w:rPr>
        <w:t xml:space="preserve">При определении величины корректировки не учитывались положения пункта 32 Основ ценообразования с изменениями, вступившими в силу после принятия тарифного решения на 2019 год. </w:t>
      </w:r>
    </w:p>
    <w:p w14:paraId="5C54B8D6" w14:textId="77777777" w:rsidR="00483598" w:rsidRPr="00483598" w:rsidRDefault="00483598" w:rsidP="00483598">
      <w:pPr>
        <w:autoSpaceDE w:val="0"/>
        <w:autoSpaceDN w:val="0"/>
        <w:adjustRightInd w:val="0"/>
        <w:spacing w:after="0" w:line="360" w:lineRule="auto"/>
        <w:ind w:firstLine="720"/>
        <w:jc w:val="both"/>
        <w:rPr>
          <w:rFonts w:eastAsiaTheme="minorEastAsia" w:cs="Arial"/>
          <w:bCs/>
          <w:color w:val="auto"/>
          <w:sz w:val="26"/>
          <w:szCs w:val="26"/>
          <w:lang w:eastAsia="ru-RU"/>
        </w:rPr>
      </w:pPr>
      <w:r w:rsidRPr="0072390C">
        <w:rPr>
          <w:rFonts w:eastAsiaTheme="minorEastAsia" w:cs="Arial"/>
          <w:bCs/>
          <w:color w:val="auto"/>
          <w:sz w:val="26"/>
          <w:szCs w:val="26"/>
          <w:lang w:eastAsia="ru-RU"/>
        </w:rPr>
        <w:t xml:space="preserve">Согласно пункту 8 Методических указаний по определению размера платы за технологическое присоединение к электрическим сетям, утвержденных </w:t>
      </w:r>
      <w:r w:rsidRPr="00483598">
        <w:rPr>
          <w:rFonts w:eastAsiaTheme="minorEastAsia" w:cs="Arial"/>
          <w:bCs/>
          <w:color w:val="auto"/>
          <w:sz w:val="26"/>
          <w:szCs w:val="26"/>
          <w:lang w:eastAsia="ru-RU"/>
        </w:rPr>
        <w:t xml:space="preserve">приказом ФАС России от 29.08.2017 № 1135/17, инвестиционная составляющая на покрытие расходов, связанных с развитием существующей инфраструктуры, в том </w:t>
      </w:r>
      <w:r w:rsidRPr="00483598">
        <w:rPr>
          <w:rFonts w:eastAsiaTheme="minorEastAsia" w:cs="Arial"/>
          <w:bCs/>
          <w:color w:val="auto"/>
          <w:sz w:val="26"/>
          <w:szCs w:val="26"/>
          <w:lang w:eastAsia="ru-RU"/>
        </w:rPr>
        <w:lastRenderedPageBreak/>
        <w:t>числе связей между объектами территориальных сетевых организаций и объектами ЕНЭС, в целях присоединения новых и (или) увеличения мощности Устройств, присоединенных ранее, не учитывается при установлении платы за технологическое присоединение к электрическим сетям.</w:t>
      </w:r>
    </w:p>
    <w:p w14:paraId="3943E3BA" w14:textId="77777777" w:rsidR="00483598" w:rsidRPr="00483598" w:rsidRDefault="00483598" w:rsidP="00483598">
      <w:pPr>
        <w:autoSpaceDE w:val="0"/>
        <w:autoSpaceDN w:val="0"/>
        <w:adjustRightInd w:val="0"/>
        <w:spacing w:after="0" w:line="360" w:lineRule="auto"/>
        <w:ind w:firstLine="720"/>
        <w:jc w:val="both"/>
        <w:rPr>
          <w:rFonts w:eastAsiaTheme="minorEastAsia" w:cs="Arial"/>
          <w:bCs/>
          <w:color w:val="auto"/>
          <w:sz w:val="26"/>
          <w:szCs w:val="26"/>
          <w:lang w:eastAsia="ru-RU"/>
        </w:rPr>
      </w:pPr>
      <w:r w:rsidRPr="00483598">
        <w:rPr>
          <w:rFonts w:eastAsiaTheme="minorEastAsia" w:cs="Arial"/>
          <w:bCs/>
          <w:color w:val="auto"/>
          <w:sz w:val="26"/>
          <w:szCs w:val="26"/>
          <w:lang w:eastAsia="ru-RU"/>
        </w:rPr>
        <w:t>Абзацем 5 пункта 32 Основ ценообразования № 1178 определено, что расходы связанные с развитием существующей инфраструктуры, в том числе с развитием связей между объектами территориальных сетевых организаций и объектами единой национальной (общероссийской) электрической сети, расходов на реконструкцию линий электропередачи, подстанций, увеличение сечения проводов и кабелей, увеличение мощности трансформаторов, расширение распределительных устройств и установку компенсирующих устройств для обеспечения качества электрической энергии (объектов электросетевого хозяйства) в целях обеспечения надежности работы электрических станций, присоединяемых энергопринимающих устройств и ранее присоединенных потребителей, а также расходы на установку на принадлежащих сетевой организации объектах электросетевого хозяйства устройств компенсации и регулирования реактивной мощности и иных устройств, необходимых для поддержания требуемых параметров надежности и качества электрической энергии, включаются в цену (тариф) на услуги по передаче электрической энергии.</w:t>
      </w:r>
    </w:p>
    <w:p w14:paraId="7C842551" w14:textId="77777777" w:rsidR="00483598" w:rsidRPr="00483598" w:rsidRDefault="00483598" w:rsidP="00483598">
      <w:pPr>
        <w:autoSpaceDE w:val="0"/>
        <w:autoSpaceDN w:val="0"/>
        <w:adjustRightInd w:val="0"/>
        <w:spacing w:after="0" w:line="360" w:lineRule="auto"/>
        <w:ind w:firstLine="567"/>
        <w:jc w:val="both"/>
        <w:rPr>
          <w:rFonts w:eastAsiaTheme="minorEastAsia" w:cstheme="minorBidi"/>
          <w:bCs/>
          <w:sz w:val="26"/>
          <w:szCs w:val="26"/>
          <w:lang w:eastAsia="ru-RU"/>
        </w:rPr>
      </w:pPr>
      <w:r w:rsidRPr="00483598">
        <w:rPr>
          <w:rFonts w:eastAsiaTheme="minorEastAsia" w:cs="Arial"/>
          <w:bCs/>
          <w:color w:val="auto"/>
          <w:sz w:val="26"/>
          <w:szCs w:val="26"/>
          <w:lang w:eastAsia="ru-RU"/>
        </w:rPr>
        <w:t>Исполнитель отмечает, что выполнение мероприятий инвестиционной программы АО «Тываэнерго»</w:t>
      </w:r>
      <w:r w:rsidRPr="00483598">
        <w:rPr>
          <w:rFonts w:asciiTheme="minorHAnsi" w:eastAsiaTheme="minorEastAsia" w:hAnsiTheme="minorHAnsi" w:cstheme="minorBidi"/>
          <w:bCs/>
          <w:color w:val="auto"/>
          <w:sz w:val="22"/>
          <w:szCs w:val="22"/>
          <w:lang w:eastAsia="ru-RU"/>
        </w:rPr>
        <w:t xml:space="preserve"> </w:t>
      </w:r>
      <w:r w:rsidRPr="00483598">
        <w:rPr>
          <w:rFonts w:eastAsiaTheme="minorEastAsia" w:cs="Arial"/>
          <w:bCs/>
          <w:color w:val="auto"/>
          <w:sz w:val="26"/>
          <w:szCs w:val="26"/>
          <w:lang w:eastAsia="ru-RU"/>
        </w:rPr>
        <w:t>направлено на перспективное развитие электрических сетей и энергопринимающих устройств потребителей электрической энергии, а также направлено на достижение целевых показателей надежности и качества оказываемых услуг.</w:t>
      </w:r>
    </w:p>
    <w:p w14:paraId="749890F4" w14:textId="77777777" w:rsidR="00483598" w:rsidRPr="00483598" w:rsidRDefault="00483598" w:rsidP="00483598">
      <w:pPr>
        <w:autoSpaceDE w:val="0"/>
        <w:autoSpaceDN w:val="0"/>
        <w:adjustRightInd w:val="0"/>
        <w:spacing w:after="0" w:line="360" w:lineRule="auto"/>
        <w:ind w:firstLine="567"/>
        <w:jc w:val="both"/>
        <w:rPr>
          <w:rFonts w:eastAsiaTheme="minorEastAsia" w:cstheme="minorBidi"/>
          <w:bCs/>
          <w:sz w:val="26"/>
          <w:szCs w:val="26"/>
          <w:lang w:eastAsia="ru-RU"/>
        </w:rPr>
      </w:pPr>
      <w:r w:rsidRPr="00483598">
        <w:rPr>
          <w:rFonts w:eastAsiaTheme="minorEastAsia" w:cstheme="minorBidi"/>
          <w:bCs/>
          <w:sz w:val="26"/>
          <w:szCs w:val="26"/>
          <w:lang w:eastAsia="ru-RU"/>
        </w:rPr>
        <w:t>На основании изложенного, в целях минимизации риска отрицательной корректировки НВВ по результатам исполнения (неисполнения) инвестиционной программы в 2019 году Исполнитель рекомендует:</w:t>
      </w:r>
    </w:p>
    <w:p w14:paraId="1BFDDCA6" w14:textId="77777777" w:rsidR="00483598" w:rsidRPr="00483598" w:rsidRDefault="00483598" w:rsidP="00F94FED">
      <w:pPr>
        <w:numPr>
          <w:ilvl w:val="0"/>
          <w:numId w:val="45"/>
        </w:numPr>
        <w:spacing w:after="0" w:line="360" w:lineRule="auto"/>
        <w:ind w:left="1134" w:hanging="567"/>
        <w:jc w:val="both"/>
        <w:rPr>
          <w:rFonts w:eastAsiaTheme="minorEastAsia" w:cstheme="minorBidi"/>
          <w:bCs/>
          <w:sz w:val="26"/>
          <w:szCs w:val="26"/>
          <w:lang w:eastAsia="ru-RU"/>
        </w:rPr>
      </w:pPr>
      <w:r w:rsidRPr="00483598">
        <w:rPr>
          <w:rFonts w:eastAsiaTheme="minorEastAsia" w:cstheme="minorBidi"/>
          <w:bCs/>
          <w:sz w:val="26"/>
          <w:szCs w:val="26"/>
          <w:lang w:eastAsia="ru-RU"/>
        </w:rPr>
        <w:t>проводить своевременную корректировку параметров инвестиционной программы;</w:t>
      </w:r>
    </w:p>
    <w:p w14:paraId="75069774" w14:textId="77777777" w:rsidR="00483598" w:rsidRPr="00483598" w:rsidRDefault="00483598" w:rsidP="00F94FED">
      <w:pPr>
        <w:numPr>
          <w:ilvl w:val="0"/>
          <w:numId w:val="45"/>
        </w:numPr>
        <w:spacing w:after="0" w:line="360" w:lineRule="auto"/>
        <w:ind w:left="1134" w:hanging="567"/>
        <w:jc w:val="both"/>
        <w:rPr>
          <w:rFonts w:eastAsiaTheme="minorEastAsia" w:cstheme="minorBidi"/>
          <w:bCs/>
          <w:sz w:val="26"/>
          <w:szCs w:val="26"/>
          <w:lang w:eastAsia="ru-RU"/>
        </w:rPr>
      </w:pPr>
      <w:r w:rsidRPr="00483598">
        <w:rPr>
          <w:rFonts w:eastAsiaTheme="minorEastAsia" w:cstheme="minorBidi"/>
          <w:bCs/>
          <w:sz w:val="26"/>
          <w:szCs w:val="26"/>
          <w:lang w:eastAsia="ru-RU"/>
        </w:rPr>
        <w:t>усилить контроль за соблюдением графиков реализации инвестиционных проектов;</w:t>
      </w:r>
    </w:p>
    <w:p w14:paraId="18ED4477" w14:textId="77777777" w:rsidR="00483598" w:rsidRPr="00483598" w:rsidRDefault="00483598" w:rsidP="00F94FED">
      <w:pPr>
        <w:numPr>
          <w:ilvl w:val="0"/>
          <w:numId w:val="45"/>
        </w:numPr>
        <w:spacing w:after="0" w:line="360" w:lineRule="auto"/>
        <w:ind w:left="1134" w:hanging="567"/>
        <w:jc w:val="both"/>
        <w:rPr>
          <w:rFonts w:eastAsiaTheme="minorEastAsia" w:cstheme="minorBidi"/>
          <w:bCs/>
          <w:sz w:val="26"/>
          <w:szCs w:val="26"/>
          <w:lang w:eastAsia="ru-RU"/>
        </w:rPr>
      </w:pPr>
      <w:r w:rsidRPr="00483598">
        <w:rPr>
          <w:rFonts w:eastAsiaTheme="minorEastAsia" w:cstheme="minorBidi"/>
          <w:bCs/>
          <w:sz w:val="26"/>
          <w:szCs w:val="26"/>
          <w:lang w:eastAsia="ru-RU"/>
        </w:rPr>
        <w:lastRenderedPageBreak/>
        <w:t>в составе заявки об установлении тарифов на услуги по передаче электрической энергии на 2021 год приложить документы, подтверждающие факт финансирования и освоения капитальных вложений по инвестиционным проектам:</w:t>
      </w:r>
    </w:p>
    <w:p w14:paraId="7732BA52" w14:textId="77777777" w:rsidR="00483598" w:rsidRPr="00483598" w:rsidRDefault="00483598" w:rsidP="00F94FED">
      <w:pPr>
        <w:numPr>
          <w:ilvl w:val="0"/>
          <w:numId w:val="47"/>
        </w:numPr>
        <w:tabs>
          <w:tab w:val="left" w:pos="1843"/>
        </w:tabs>
        <w:autoSpaceDE w:val="0"/>
        <w:autoSpaceDN w:val="0"/>
        <w:adjustRightInd w:val="0"/>
        <w:spacing w:after="0" w:line="360" w:lineRule="auto"/>
        <w:ind w:left="1701" w:hanging="567"/>
        <w:contextualSpacing/>
        <w:jc w:val="both"/>
        <w:rPr>
          <w:rFonts w:eastAsiaTheme="minorEastAsia" w:cstheme="minorBidi"/>
          <w:bCs/>
          <w:sz w:val="26"/>
          <w:szCs w:val="26"/>
          <w:lang w:eastAsia="ru-RU"/>
        </w:rPr>
      </w:pPr>
      <w:r w:rsidRPr="00483598">
        <w:rPr>
          <w:rFonts w:eastAsiaTheme="minorEastAsia" w:cstheme="minorBidi"/>
          <w:bCs/>
          <w:sz w:val="26"/>
          <w:szCs w:val="26"/>
          <w:lang w:eastAsia="ru-RU"/>
        </w:rPr>
        <w:t>выписки из оборотно-сальдовой ведомости по счету (в т.ч в случае выполнения работ хоз. способом);</w:t>
      </w:r>
    </w:p>
    <w:p w14:paraId="7022C55C" w14:textId="77777777" w:rsidR="00483598" w:rsidRPr="00483598" w:rsidRDefault="00483598" w:rsidP="00F94FED">
      <w:pPr>
        <w:numPr>
          <w:ilvl w:val="0"/>
          <w:numId w:val="47"/>
        </w:numPr>
        <w:tabs>
          <w:tab w:val="left" w:pos="1843"/>
        </w:tabs>
        <w:autoSpaceDE w:val="0"/>
        <w:autoSpaceDN w:val="0"/>
        <w:adjustRightInd w:val="0"/>
        <w:spacing w:after="0" w:line="360" w:lineRule="auto"/>
        <w:ind w:left="1701" w:hanging="567"/>
        <w:contextualSpacing/>
        <w:jc w:val="both"/>
        <w:rPr>
          <w:rFonts w:eastAsiaTheme="minorEastAsia" w:cstheme="minorBidi"/>
          <w:bCs/>
          <w:sz w:val="26"/>
          <w:szCs w:val="26"/>
          <w:lang w:eastAsia="ru-RU"/>
        </w:rPr>
      </w:pPr>
      <w:r w:rsidRPr="00483598">
        <w:rPr>
          <w:rFonts w:eastAsiaTheme="minorEastAsia" w:cstheme="minorBidi"/>
          <w:bCs/>
          <w:sz w:val="26"/>
          <w:szCs w:val="26"/>
          <w:lang w:eastAsia="ru-RU"/>
        </w:rPr>
        <w:t>акты о приемке выполненных работ (по форме КС-2);</w:t>
      </w:r>
    </w:p>
    <w:p w14:paraId="00FA5815" w14:textId="77777777" w:rsidR="00483598" w:rsidRPr="00483598" w:rsidRDefault="00483598" w:rsidP="00F94FED">
      <w:pPr>
        <w:numPr>
          <w:ilvl w:val="0"/>
          <w:numId w:val="47"/>
        </w:numPr>
        <w:tabs>
          <w:tab w:val="left" w:pos="1843"/>
        </w:tabs>
        <w:autoSpaceDE w:val="0"/>
        <w:autoSpaceDN w:val="0"/>
        <w:adjustRightInd w:val="0"/>
        <w:spacing w:after="0" w:line="360" w:lineRule="auto"/>
        <w:ind w:left="1701" w:hanging="567"/>
        <w:contextualSpacing/>
        <w:jc w:val="both"/>
        <w:rPr>
          <w:rFonts w:eastAsiaTheme="minorEastAsia" w:cstheme="minorBidi"/>
          <w:bCs/>
          <w:sz w:val="26"/>
          <w:szCs w:val="26"/>
          <w:lang w:eastAsia="ru-RU"/>
        </w:rPr>
      </w:pPr>
      <w:r w:rsidRPr="00483598">
        <w:rPr>
          <w:rFonts w:eastAsiaTheme="minorEastAsia" w:cstheme="minorBidi"/>
          <w:bCs/>
          <w:sz w:val="26"/>
          <w:szCs w:val="26"/>
          <w:lang w:eastAsia="ru-RU"/>
        </w:rPr>
        <w:t>справка о стоимости выполненных работ (по форме КС-3);</w:t>
      </w:r>
    </w:p>
    <w:p w14:paraId="1F11C245" w14:textId="77777777" w:rsidR="00483598" w:rsidRPr="00483598" w:rsidRDefault="00483598" w:rsidP="00F94FED">
      <w:pPr>
        <w:numPr>
          <w:ilvl w:val="0"/>
          <w:numId w:val="47"/>
        </w:numPr>
        <w:tabs>
          <w:tab w:val="left" w:pos="1843"/>
        </w:tabs>
        <w:autoSpaceDE w:val="0"/>
        <w:autoSpaceDN w:val="0"/>
        <w:adjustRightInd w:val="0"/>
        <w:spacing w:after="0" w:line="360" w:lineRule="auto"/>
        <w:ind w:left="1701" w:hanging="567"/>
        <w:contextualSpacing/>
        <w:jc w:val="both"/>
        <w:rPr>
          <w:rFonts w:eastAsiaTheme="minorEastAsia" w:cstheme="minorBidi"/>
          <w:bCs/>
          <w:sz w:val="26"/>
          <w:szCs w:val="26"/>
          <w:lang w:eastAsia="ru-RU"/>
        </w:rPr>
      </w:pPr>
      <w:r w:rsidRPr="00483598">
        <w:rPr>
          <w:rFonts w:eastAsiaTheme="minorEastAsia" w:cstheme="minorBidi"/>
          <w:bCs/>
          <w:sz w:val="26"/>
          <w:szCs w:val="26"/>
          <w:lang w:eastAsia="ru-RU"/>
        </w:rPr>
        <w:t>товарные накладные;</w:t>
      </w:r>
    </w:p>
    <w:p w14:paraId="0756A418" w14:textId="77777777" w:rsidR="00483598" w:rsidRPr="00483598" w:rsidRDefault="00483598" w:rsidP="00F94FED">
      <w:pPr>
        <w:numPr>
          <w:ilvl w:val="0"/>
          <w:numId w:val="47"/>
        </w:numPr>
        <w:tabs>
          <w:tab w:val="left" w:pos="1843"/>
        </w:tabs>
        <w:autoSpaceDE w:val="0"/>
        <w:autoSpaceDN w:val="0"/>
        <w:adjustRightInd w:val="0"/>
        <w:spacing w:after="0" w:line="360" w:lineRule="auto"/>
        <w:ind w:left="1701" w:hanging="567"/>
        <w:contextualSpacing/>
        <w:jc w:val="both"/>
        <w:rPr>
          <w:rFonts w:eastAsiaTheme="minorEastAsia" w:cstheme="minorBidi"/>
          <w:bCs/>
          <w:sz w:val="26"/>
          <w:szCs w:val="26"/>
          <w:lang w:eastAsia="ru-RU"/>
        </w:rPr>
      </w:pPr>
      <w:r w:rsidRPr="00483598">
        <w:rPr>
          <w:rFonts w:eastAsiaTheme="minorEastAsia" w:cstheme="minorBidi"/>
          <w:bCs/>
          <w:sz w:val="26"/>
          <w:szCs w:val="26"/>
          <w:lang w:eastAsia="ru-RU"/>
        </w:rPr>
        <w:t>справки по распределению косвенных затрат.</w:t>
      </w:r>
    </w:p>
    <w:p w14:paraId="21E1CF3A" w14:textId="77777777" w:rsidR="00483598" w:rsidRPr="00483598" w:rsidRDefault="00483598" w:rsidP="00F94FED">
      <w:pPr>
        <w:numPr>
          <w:ilvl w:val="0"/>
          <w:numId w:val="45"/>
        </w:numPr>
        <w:spacing w:after="0" w:line="360" w:lineRule="auto"/>
        <w:ind w:left="1134" w:hanging="567"/>
        <w:jc w:val="both"/>
        <w:rPr>
          <w:rFonts w:eastAsiaTheme="minorEastAsia" w:cstheme="minorBidi"/>
          <w:bCs/>
          <w:sz w:val="26"/>
          <w:szCs w:val="26"/>
          <w:lang w:eastAsia="ru-RU"/>
        </w:rPr>
      </w:pPr>
      <w:r w:rsidRPr="00483598">
        <w:rPr>
          <w:rFonts w:eastAsiaTheme="minorEastAsia" w:cstheme="minorBidi"/>
          <w:bCs/>
          <w:sz w:val="26"/>
          <w:szCs w:val="26"/>
          <w:lang w:eastAsia="ru-RU"/>
        </w:rPr>
        <w:t>в составе заявки об установлении тарифов на услуги по передаче электрической энергии на 2021 год дополнительно приложить документы, подтверждающие необходимость и экономическую обоснованность финансирования новых инвестиционных проектов инвестиционной программы, такие как:</w:t>
      </w:r>
    </w:p>
    <w:p w14:paraId="6ED79D20" w14:textId="77777777" w:rsidR="00483598" w:rsidRPr="00483598" w:rsidRDefault="00483598" w:rsidP="00F94FED">
      <w:pPr>
        <w:numPr>
          <w:ilvl w:val="0"/>
          <w:numId w:val="47"/>
        </w:numPr>
        <w:tabs>
          <w:tab w:val="left" w:pos="993"/>
        </w:tabs>
        <w:autoSpaceDE w:val="0"/>
        <w:autoSpaceDN w:val="0"/>
        <w:adjustRightInd w:val="0"/>
        <w:spacing w:after="0" w:line="360" w:lineRule="auto"/>
        <w:ind w:left="1701" w:hanging="567"/>
        <w:contextualSpacing/>
        <w:jc w:val="both"/>
        <w:rPr>
          <w:rFonts w:eastAsiaTheme="minorEastAsia" w:cstheme="minorBidi"/>
          <w:bCs/>
          <w:sz w:val="26"/>
          <w:szCs w:val="26"/>
          <w:lang w:eastAsia="ru-RU"/>
        </w:rPr>
      </w:pPr>
      <w:r w:rsidRPr="00483598">
        <w:rPr>
          <w:rFonts w:eastAsiaTheme="minorEastAsia" w:cstheme="minorBidi"/>
          <w:bCs/>
          <w:sz w:val="26"/>
          <w:szCs w:val="26"/>
          <w:lang w:eastAsia="ru-RU"/>
        </w:rPr>
        <w:t>для инвестиционных проектов, реализующихся в рамках осуществления мероприятий по ТП – реестр и копии заключенных договоров на технологическое присоединение;</w:t>
      </w:r>
    </w:p>
    <w:p w14:paraId="60B3CDE5" w14:textId="77777777" w:rsidR="00483598" w:rsidRPr="00483598" w:rsidRDefault="00483598" w:rsidP="00F94FED">
      <w:pPr>
        <w:numPr>
          <w:ilvl w:val="0"/>
          <w:numId w:val="47"/>
        </w:numPr>
        <w:tabs>
          <w:tab w:val="left" w:pos="993"/>
        </w:tabs>
        <w:autoSpaceDE w:val="0"/>
        <w:autoSpaceDN w:val="0"/>
        <w:adjustRightInd w:val="0"/>
        <w:spacing w:after="0" w:line="360" w:lineRule="auto"/>
        <w:ind w:left="1701" w:hanging="567"/>
        <w:contextualSpacing/>
        <w:jc w:val="both"/>
        <w:rPr>
          <w:rFonts w:eastAsiaTheme="minorEastAsia" w:cstheme="minorBidi"/>
          <w:bCs/>
          <w:sz w:val="26"/>
          <w:szCs w:val="26"/>
          <w:lang w:eastAsia="ru-RU"/>
        </w:rPr>
      </w:pPr>
      <w:r w:rsidRPr="00483598">
        <w:rPr>
          <w:rFonts w:eastAsiaTheme="minorEastAsia" w:cstheme="minorBidi"/>
          <w:bCs/>
          <w:sz w:val="26"/>
          <w:szCs w:val="26"/>
          <w:lang w:eastAsia="ru-RU"/>
        </w:rPr>
        <w:t>для инвестиционных проектов, реализующихся в рамках модернизации, реконструкции или технического перевооружения –обосновывающие материалы, подтверждающие необходимость их реализации в целях ликвидации последствий аварий; предписания государственных надзорных и контролирующих органов, экспертные заключения о необходимости выполнения мероприятий;</w:t>
      </w:r>
    </w:p>
    <w:p w14:paraId="6CEEB6C3" w14:textId="77777777" w:rsidR="00483598" w:rsidRPr="00483598" w:rsidRDefault="00483598" w:rsidP="00F94FED">
      <w:pPr>
        <w:numPr>
          <w:ilvl w:val="0"/>
          <w:numId w:val="47"/>
        </w:numPr>
        <w:tabs>
          <w:tab w:val="left" w:pos="993"/>
        </w:tabs>
        <w:autoSpaceDE w:val="0"/>
        <w:autoSpaceDN w:val="0"/>
        <w:adjustRightInd w:val="0"/>
        <w:spacing w:after="0" w:line="360" w:lineRule="auto"/>
        <w:ind w:left="1701" w:hanging="567"/>
        <w:contextualSpacing/>
        <w:jc w:val="both"/>
        <w:rPr>
          <w:rFonts w:eastAsiaTheme="minorEastAsia" w:cstheme="minorBidi"/>
          <w:bCs/>
          <w:sz w:val="26"/>
          <w:szCs w:val="26"/>
          <w:lang w:eastAsia="ru-RU"/>
        </w:rPr>
      </w:pPr>
      <w:r w:rsidRPr="00483598">
        <w:rPr>
          <w:rFonts w:eastAsiaTheme="minorEastAsia" w:cstheme="minorBidi"/>
          <w:bCs/>
          <w:sz w:val="26"/>
          <w:szCs w:val="26"/>
          <w:lang w:eastAsia="ru-RU"/>
        </w:rPr>
        <w:t>инвестиционные проекты иных направлений реализации –соответствующие обосновывающие материалы, подтверждающие необходимость их реализации (решения органов исполнительной власти, указы Президента Российской Федерации и пр.);</w:t>
      </w:r>
    </w:p>
    <w:p w14:paraId="1CE63840" w14:textId="77777777" w:rsidR="00483598" w:rsidRPr="00483598" w:rsidRDefault="00483598" w:rsidP="00483598">
      <w:pPr>
        <w:numPr>
          <w:ilvl w:val="0"/>
          <w:numId w:val="45"/>
        </w:numPr>
        <w:spacing w:after="0" w:line="360" w:lineRule="auto"/>
        <w:ind w:left="0" w:firstLine="284"/>
        <w:jc w:val="both"/>
        <w:rPr>
          <w:rFonts w:eastAsiaTheme="minorEastAsia" w:cstheme="minorBidi"/>
          <w:bCs/>
          <w:sz w:val="26"/>
          <w:szCs w:val="26"/>
          <w:lang w:eastAsia="ru-RU"/>
        </w:rPr>
      </w:pPr>
      <w:r w:rsidRPr="00483598">
        <w:rPr>
          <w:rFonts w:eastAsiaTheme="minorEastAsia" w:cstheme="minorBidi"/>
          <w:bCs/>
          <w:sz w:val="26"/>
          <w:szCs w:val="26"/>
          <w:lang w:eastAsia="ru-RU"/>
        </w:rPr>
        <w:lastRenderedPageBreak/>
        <w:t>в составе заявки об установлении тарифов на услуги по передаче электрической энергии на 2021 год дополнительно приложить документы, подтверждающие полную стоимость новых инвестиционных проектов инвестиционной программы, такие как:</w:t>
      </w:r>
    </w:p>
    <w:p w14:paraId="4708A7D2" w14:textId="77777777" w:rsidR="00483598" w:rsidRPr="00483598" w:rsidRDefault="00483598" w:rsidP="00F94FED">
      <w:pPr>
        <w:numPr>
          <w:ilvl w:val="0"/>
          <w:numId w:val="47"/>
        </w:numPr>
        <w:tabs>
          <w:tab w:val="left" w:pos="993"/>
        </w:tabs>
        <w:autoSpaceDE w:val="0"/>
        <w:autoSpaceDN w:val="0"/>
        <w:adjustRightInd w:val="0"/>
        <w:spacing w:after="0" w:line="360" w:lineRule="auto"/>
        <w:ind w:left="1701" w:hanging="567"/>
        <w:contextualSpacing/>
        <w:jc w:val="both"/>
        <w:rPr>
          <w:rFonts w:eastAsiaTheme="minorEastAsia" w:cstheme="minorBidi"/>
          <w:bCs/>
          <w:sz w:val="26"/>
          <w:szCs w:val="26"/>
          <w:lang w:eastAsia="ru-RU"/>
        </w:rPr>
      </w:pPr>
      <w:r w:rsidRPr="00483598">
        <w:rPr>
          <w:rFonts w:eastAsiaTheme="minorEastAsia" w:cstheme="minorBidi"/>
          <w:bCs/>
          <w:sz w:val="26"/>
          <w:szCs w:val="26"/>
          <w:lang w:eastAsia="ru-RU"/>
        </w:rPr>
        <w:t xml:space="preserve">для инвестиционных проектов, имеющих утвержденную </w:t>
      </w:r>
      <w:proofErr w:type="spellStart"/>
      <w:r w:rsidRPr="00483598">
        <w:rPr>
          <w:rFonts w:eastAsiaTheme="minorEastAsia" w:cstheme="minorBidi"/>
          <w:bCs/>
          <w:sz w:val="26"/>
          <w:szCs w:val="26"/>
          <w:lang w:eastAsia="ru-RU"/>
        </w:rPr>
        <w:t>проектно</w:t>
      </w:r>
      <w:proofErr w:type="spellEnd"/>
      <w:r w:rsidRPr="00483598">
        <w:rPr>
          <w:rFonts w:eastAsiaTheme="minorEastAsia" w:cstheme="minorBidi"/>
          <w:bCs/>
          <w:sz w:val="26"/>
          <w:szCs w:val="26"/>
          <w:lang w:eastAsia="ru-RU"/>
        </w:rPr>
        <w:t xml:space="preserve"> -сметную документацию – свод затрат; сводный сметный расчет, разработанный в составе утвержденной в соответствии с законодательством о градостроительной деятельности проектной документации; пояснительная записка к сметной документации по инвестиционному проекту; копия решения об утверждении проектной документации.</w:t>
      </w:r>
    </w:p>
    <w:p w14:paraId="59B4EDC1" w14:textId="0DA27F06" w:rsidR="009A4C46" w:rsidRPr="00E72D6E" w:rsidRDefault="00483598" w:rsidP="00E72D6E">
      <w:pPr>
        <w:numPr>
          <w:ilvl w:val="0"/>
          <w:numId w:val="47"/>
        </w:numPr>
        <w:tabs>
          <w:tab w:val="left" w:pos="993"/>
        </w:tabs>
        <w:autoSpaceDE w:val="0"/>
        <w:autoSpaceDN w:val="0"/>
        <w:adjustRightInd w:val="0"/>
        <w:spacing w:after="0" w:line="360" w:lineRule="auto"/>
        <w:ind w:left="1701" w:hanging="567"/>
        <w:contextualSpacing/>
        <w:jc w:val="both"/>
        <w:rPr>
          <w:rFonts w:eastAsiaTheme="minorEastAsia" w:cstheme="minorBidi"/>
          <w:bCs/>
          <w:sz w:val="26"/>
          <w:szCs w:val="26"/>
          <w:lang w:eastAsia="ru-RU"/>
        </w:rPr>
      </w:pPr>
      <w:r w:rsidRPr="00E72D6E">
        <w:rPr>
          <w:rFonts w:eastAsiaTheme="minorEastAsia" w:cstheme="minorBidi"/>
          <w:bCs/>
          <w:sz w:val="26"/>
          <w:szCs w:val="26"/>
          <w:lang w:eastAsia="ru-RU"/>
        </w:rPr>
        <w:t>для инвестиционных проектов, не имеющих утвержденную проектно-сметную документацию - сметный расчет стоимости реализации инвестиционного проекта, составленный в ценах, сложившихся ко времени составления такого сметного расчета, в том числе с использованием укрупненных сметных нормативов и другой ценовой информации (в сметном расчете указываются использованные документы и источники ценовой информации); копии документов, использованных в качестве источников ценовой информации для подготовки сметного расчета по инвестиционному проекту.</w:t>
      </w:r>
      <w:r w:rsidR="009A4C46" w:rsidRPr="00E72D6E">
        <w:rPr>
          <w:rFonts w:eastAsiaTheme="minorEastAsia" w:cstheme="minorBidi"/>
          <w:bCs/>
          <w:sz w:val="26"/>
          <w:szCs w:val="26"/>
          <w:lang w:eastAsia="ru-RU"/>
        </w:rPr>
        <w:br w:type="page"/>
      </w:r>
    </w:p>
    <w:p w14:paraId="0D11FDC0" w14:textId="4E1406B1" w:rsidR="009A4C46" w:rsidRPr="00F94FED" w:rsidRDefault="009A4C46" w:rsidP="00F94FED">
      <w:pPr>
        <w:pStyle w:val="3"/>
        <w:numPr>
          <w:ilvl w:val="0"/>
          <w:numId w:val="1"/>
        </w:numPr>
        <w:spacing w:line="360" w:lineRule="auto"/>
        <w:ind w:left="567" w:hanging="567"/>
        <w:jc w:val="both"/>
        <w:rPr>
          <w:b/>
          <w:color w:val="4F6228" w:themeColor="accent3" w:themeShade="80"/>
          <w:sz w:val="28"/>
          <w:szCs w:val="28"/>
        </w:rPr>
      </w:pPr>
      <w:bookmarkStart w:id="24" w:name="_Toc40554845"/>
      <w:bookmarkStart w:id="25" w:name="_Toc40733180"/>
      <w:r w:rsidRPr="00F94FED">
        <w:rPr>
          <w:rFonts w:ascii="Myriad Pro" w:hAnsi="Myriad Pro"/>
          <w:b/>
          <w:color w:val="4F6228" w:themeColor="accent3" w:themeShade="80"/>
          <w:sz w:val="28"/>
          <w:szCs w:val="28"/>
        </w:rPr>
        <w:lastRenderedPageBreak/>
        <w:t>Экспертиза расчета необходимой валовой выручки</w:t>
      </w:r>
      <w:r w:rsidRPr="00F94FED">
        <w:rPr>
          <w:rFonts w:ascii="Myriad Pro" w:hAnsi="Myriad Pro"/>
          <w:b/>
          <w:color w:val="4F6228" w:themeColor="accent3" w:themeShade="80"/>
          <w:sz w:val="28"/>
          <w:szCs w:val="28"/>
        </w:rPr>
        <w:br/>
        <w:t>АО «Тываэнерго», сформированной на основе долгосрочных параметров регулирования деятельности, в том числе анализ фактических расходов на оплату услуг ТСО с календарной разбивкой по полугодиям 2019 года</w:t>
      </w:r>
      <w:bookmarkEnd w:id="24"/>
      <w:bookmarkEnd w:id="25"/>
    </w:p>
    <w:p w14:paraId="0640732A" w14:textId="77777777" w:rsidR="009A4C46" w:rsidRPr="00F94FED" w:rsidRDefault="009A4C46" w:rsidP="00F94FED">
      <w:pPr>
        <w:pStyle w:val="3"/>
        <w:numPr>
          <w:ilvl w:val="1"/>
          <w:numId w:val="1"/>
        </w:numPr>
        <w:spacing w:line="360" w:lineRule="auto"/>
        <w:ind w:left="567" w:hanging="567"/>
        <w:jc w:val="both"/>
        <w:rPr>
          <w:b/>
          <w:color w:val="4F6228" w:themeColor="accent3" w:themeShade="80"/>
          <w:sz w:val="28"/>
          <w:szCs w:val="28"/>
        </w:rPr>
      </w:pPr>
      <w:bookmarkStart w:id="26" w:name="_Toc40554846"/>
      <w:bookmarkStart w:id="27" w:name="_Toc40733181"/>
      <w:r w:rsidRPr="00F94FED">
        <w:rPr>
          <w:rFonts w:ascii="Myriad Pro" w:hAnsi="Myriad Pro"/>
          <w:b/>
          <w:color w:val="4F6228" w:themeColor="accent3" w:themeShade="80"/>
          <w:sz w:val="28"/>
          <w:szCs w:val="28"/>
        </w:rPr>
        <w:t>Анализ необходимой валовой выручки, учтенной при установлении тарифов на 2019 год</w:t>
      </w:r>
      <w:bookmarkEnd w:id="26"/>
      <w:bookmarkEnd w:id="27"/>
    </w:p>
    <w:p w14:paraId="718EBF83" w14:textId="77777777" w:rsidR="009A4C46" w:rsidRPr="00F94FED" w:rsidRDefault="009A4C46" w:rsidP="00F94FED">
      <w:pPr>
        <w:spacing w:after="0" w:line="360" w:lineRule="auto"/>
        <w:ind w:firstLine="567"/>
        <w:contextualSpacing/>
        <w:jc w:val="both"/>
        <w:rPr>
          <w:rFonts w:eastAsia="Calibri"/>
          <w:sz w:val="26"/>
          <w:szCs w:val="26"/>
          <w:lang w:eastAsia="ru-RU"/>
        </w:rPr>
      </w:pPr>
      <w:r w:rsidRPr="00F94FED">
        <w:rPr>
          <w:rFonts w:eastAsia="Calibri"/>
          <w:sz w:val="26"/>
          <w:szCs w:val="26"/>
          <w:lang w:eastAsia="ru-RU"/>
        </w:rPr>
        <w:t>Согласно пункту 38 Основ ценообразования №1178 тарифы на услуги по передаче электрической энергии, устанавливаемые с применением метода долгосрочной индексации необходимой валовой выручки, органами регулирования определяются в соответствии с методическими указаниями, утверждаемыми Федеральной антимонопольной службой, на основании следующих долгосрочных параметров регулирования:</w:t>
      </w:r>
    </w:p>
    <w:p w14:paraId="0C55F9B5" w14:textId="77777777" w:rsidR="009A4C46" w:rsidRPr="00F94FED" w:rsidRDefault="009A4C46" w:rsidP="00F94FED">
      <w:pPr>
        <w:spacing w:after="0" w:line="360" w:lineRule="auto"/>
        <w:ind w:firstLine="567"/>
        <w:contextualSpacing/>
        <w:jc w:val="both"/>
        <w:rPr>
          <w:rFonts w:eastAsia="Calibri"/>
          <w:sz w:val="26"/>
          <w:szCs w:val="26"/>
          <w:lang w:eastAsia="ru-RU"/>
        </w:rPr>
      </w:pPr>
      <w:r w:rsidRPr="00F94FED">
        <w:rPr>
          <w:rFonts w:eastAsia="Calibri"/>
          <w:sz w:val="26"/>
          <w:szCs w:val="26"/>
          <w:lang w:eastAsia="ru-RU"/>
        </w:rPr>
        <w:t>- базовый уровень подконтрольных расходов, устанавливаемый регулирующими органами;</w:t>
      </w:r>
    </w:p>
    <w:p w14:paraId="595944A2" w14:textId="77777777" w:rsidR="009A4C46" w:rsidRPr="00F94FED" w:rsidRDefault="009A4C46" w:rsidP="00F94FED">
      <w:pPr>
        <w:spacing w:after="0" w:line="360" w:lineRule="auto"/>
        <w:ind w:firstLine="567"/>
        <w:contextualSpacing/>
        <w:jc w:val="both"/>
        <w:rPr>
          <w:rFonts w:eastAsia="Calibri"/>
          <w:sz w:val="26"/>
          <w:szCs w:val="26"/>
          <w:lang w:eastAsia="ru-RU"/>
        </w:rPr>
      </w:pPr>
      <w:r w:rsidRPr="00F94FED">
        <w:rPr>
          <w:rFonts w:eastAsia="Calibri"/>
          <w:sz w:val="26"/>
          <w:szCs w:val="26"/>
          <w:lang w:eastAsia="ru-RU"/>
        </w:rPr>
        <w:t xml:space="preserve">- индекс эффективности подконтрольных расходов определяется регулирующими органами с использованием метода сравнения аналогов в соответствии с </w:t>
      </w:r>
      <w:hyperlink r:id="rId15" w:history="1">
        <w:r w:rsidRPr="00F94FED">
          <w:rPr>
            <w:rFonts w:eastAsia="Calibri"/>
            <w:sz w:val="26"/>
            <w:szCs w:val="26"/>
            <w:lang w:eastAsia="ru-RU"/>
          </w:rPr>
          <w:t>методическими указаниями</w:t>
        </w:r>
      </w:hyperlink>
      <w:r w:rsidRPr="00F94FED">
        <w:rPr>
          <w:rFonts w:eastAsia="Calibri"/>
          <w:sz w:val="26"/>
          <w:szCs w:val="26"/>
          <w:lang w:eastAsia="ru-RU"/>
        </w:rPr>
        <w:t xml:space="preserve">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утверждаемыми Федеральной антимонопольной службой;</w:t>
      </w:r>
    </w:p>
    <w:p w14:paraId="50AAD750" w14:textId="77777777" w:rsidR="009A4C46" w:rsidRPr="00F94FED" w:rsidRDefault="009A4C46" w:rsidP="00F94FED">
      <w:pPr>
        <w:spacing w:after="0" w:line="360" w:lineRule="auto"/>
        <w:ind w:firstLine="567"/>
        <w:contextualSpacing/>
        <w:jc w:val="both"/>
        <w:rPr>
          <w:rFonts w:eastAsia="Calibri"/>
          <w:sz w:val="26"/>
          <w:szCs w:val="26"/>
          <w:lang w:eastAsia="ru-RU"/>
        </w:rPr>
      </w:pPr>
      <w:r w:rsidRPr="00F94FED">
        <w:rPr>
          <w:rFonts w:eastAsia="Calibri"/>
          <w:sz w:val="26"/>
          <w:szCs w:val="26"/>
          <w:lang w:eastAsia="ru-RU"/>
        </w:rPr>
        <w:t>- коэффициент эластичности подконтрольных расходов по количеству активов, определяемый в соответствии с методическими указаниями по расчету тарифов на услуги по передаче электрической энергии с применением метода долгосрочной индексации необходимой валовой выручки, утверждаемыми Федеральной антимонопольной службой;</w:t>
      </w:r>
    </w:p>
    <w:p w14:paraId="4512F772" w14:textId="77777777" w:rsidR="009A4C46" w:rsidRPr="00F94FED" w:rsidRDefault="009A4C46" w:rsidP="00F94FED">
      <w:pPr>
        <w:spacing w:after="0" w:line="360" w:lineRule="auto"/>
        <w:ind w:firstLine="567"/>
        <w:contextualSpacing/>
        <w:jc w:val="both"/>
        <w:rPr>
          <w:rFonts w:eastAsia="Calibri"/>
          <w:sz w:val="26"/>
          <w:szCs w:val="26"/>
          <w:lang w:eastAsia="ru-RU"/>
        </w:rPr>
      </w:pPr>
      <w:r w:rsidRPr="00F94FED">
        <w:rPr>
          <w:rFonts w:eastAsia="Calibri"/>
          <w:sz w:val="26"/>
          <w:szCs w:val="26"/>
          <w:lang w:eastAsia="ru-RU"/>
        </w:rPr>
        <w:t xml:space="preserve"> - уровень потерь электрической энергии при ее передаче по электрическим сетям, определяемый в соответствии с </w:t>
      </w:r>
      <w:hyperlink r:id="rId16" w:history="1">
        <w:r w:rsidRPr="00F94FED">
          <w:rPr>
            <w:rFonts w:eastAsia="Calibri"/>
            <w:sz w:val="26"/>
            <w:szCs w:val="26"/>
            <w:lang w:eastAsia="ru-RU"/>
          </w:rPr>
          <w:t>пунктом 40(1)</w:t>
        </w:r>
      </w:hyperlink>
      <w:r w:rsidRPr="00F94FED">
        <w:rPr>
          <w:rFonts w:eastAsia="Calibri"/>
          <w:sz w:val="26"/>
          <w:szCs w:val="26"/>
          <w:lang w:eastAsia="ru-RU"/>
        </w:rPr>
        <w:t xml:space="preserve"> настоящего документа;</w:t>
      </w:r>
    </w:p>
    <w:p w14:paraId="03ABB306" w14:textId="77777777" w:rsidR="009A4C46" w:rsidRPr="00F94FED" w:rsidRDefault="009A4C46" w:rsidP="00F94FED">
      <w:pPr>
        <w:spacing w:after="0" w:line="360" w:lineRule="auto"/>
        <w:ind w:firstLine="567"/>
        <w:contextualSpacing/>
        <w:jc w:val="both"/>
        <w:rPr>
          <w:rFonts w:eastAsia="Calibri"/>
          <w:sz w:val="26"/>
          <w:szCs w:val="26"/>
          <w:lang w:eastAsia="ru-RU"/>
        </w:rPr>
      </w:pPr>
      <w:r w:rsidRPr="00F94FED">
        <w:rPr>
          <w:rFonts w:eastAsia="Calibri"/>
          <w:sz w:val="26"/>
          <w:szCs w:val="26"/>
          <w:lang w:eastAsia="ru-RU"/>
        </w:rPr>
        <w:lastRenderedPageBreak/>
        <w:t xml:space="preserve"> - уровень надежности и качества реализуемых товаров (услуг), устанавливаемый в соответствии с пунктом 8 Основ ценообразования и применяемый при регулировании тарифов с даты вступления в силу методических указаний по расчету уровня надежности и качества реализуемых товаров (услуг).</w:t>
      </w:r>
    </w:p>
    <w:p w14:paraId="6CFFA227" w14:textId="5CA393F4" w:rsidR="009A4C46" w:rsidRPr="003D7911" w:rsidRDefault="009A4C46" w:rsidP="00F94FED">
      <w:pPr>
        <w:spacing w:after="0" w:line="360" w:lineRule="auto"/>
        <w:ind w:firstLine="567"/>
        <w:contextualSpacing/>
        <w:jc w:val="both"/>
        <w:rPr>
          <w:rFonts w:eastAsia="Calibri"/>
          <w:color w:val="0000CC"/>
          <w:sz w:val="26"/>
          <w:szCs w:val="26"/>
          <w:lang w:eastAsia="ru-RU"/>
        </w:rPr>
      </w:pPr>
      <w:r w:rsidRPr="00F94FED">
        <w:rPr>
          <w:rFonts w:eastAsia="Calibri"/>
          <w:sz w:val="26"/>
          <w:szCs w:val="26"/>
          <w:lang w:eastAsia="ru-RU"/>
        </w:rPr>
        <w:t>Исполнитель отмечает, что нормами законодательства, действующими на момент утверждения долгосрочных параметров регулирования на 2012-2022 гг., индекс эффективности подконтрольных расходов, устанавливался регулирующими органами в размере от 1 до 3 процентов уровня подконтрольных расходов текущего года долгосрочного периода регулирования. В случае если при установлении тарифов с применением метода долгосрочной индексации необходимой валовой выручки рост базового уровня подконтрольных расходов организации на единицу количества активов, необходимых для осуществления регулируемой деятельности, по отношению к уровню аналогичных расходов, рассчитанных на единицу количества активов на основании данных, принятых при установлении тарифов на год, предшествующий году перехода к регулированию тарифов методом долгосрочной индексации необходимой валовой выручки, более чем в 2 раза превысил прогнозный индекс потребительских цен на 1-й год долгосрочного периода регулирования, в течение 1-го долгосрочного периода регулирования начиная с 2012 года индекс эффективности подконтрольных расходов для такой организации устанавливался регулирующим органом в размере 3 процентов на соответствующий долгосрочный период регулирования.</w:t>
      </w:r>
      <w:r w:rsidR="003D7911">
        <w:rPr>
          <w:rFonts w:eastAsia="Calibri"/>
          <w:sz w:val="26"/>
          <w:szCs w:val="26"/>
          <w:lang w:eastAsia="ru-RU"/>
        </w:rPr>
        <w:t xml:space="preserve"> </w:t>
      </w:r>
    </w:p>
    <w:p w14:paraId="25FC9C1E" w14:textId="77777777" w:rsidR="009A4C46" w:rsidRPr="00F94FED" w:rsidRDefault="009A4C46" w:rsidP="00F94FED">
      <w:pPr>
        <w:spacing w:after="0" w:line="360" w:lineRule="auto"/>
        <w:ind w:firstLine="567"/>
        <w:contextualSpacing/>
        <w:jc w:val="both"/>
        <w:rPr>
          <w:rFonts w:eastAsia="Calibri"/>
          <w:sz w:val="26"/>
          <w:szCs w:val="26"/>
          <w:lang w:eastAsia="ru-RU"/>
        </w:rPr>
      </w:pPr>
      <w:r w:rsidRPr="00F94FED">
        <w:rPr>
          <w:rFonts w:eastAsia="Calibri"/>
          <w:sz w:val="26"/>
          <w:szCs w:val="26"/>
          <w:lang w:eastAsia="ru-RU"/>
        </w:rPr>
        <w:t>Расчет необходимой валовой выручки на очередной период регулирования в течение долгосрочного периода регулирования, при применении метода индексации необходимой валовой выручки производится согласно формуле 2 пункта 11 Методических указаний № 98-э:</w:t>
      </w:r>
    </w:p>
    <w:p w14:paraId="66FDFEBE" w14:textId="77777777" w:rsidR="009A4C46" w:rsidRPr="00F94FED" w:rsidRDefault="009A4C46" w:rsidP="00F94FED">
      <w:pPr>
        <w:spacing w:after="0" w:line="360" w:lineRule="auto"/>
        <w:ind w:firstLine="567"/>
        <w:contextualSpacing/>
        <w:jc w:val="both"/>
        <w:rPr>
          <w:rFonts w:eastAsia="Calibri"/>
          <w:sz w:val="26"/>
          <w:szCs w:val="26"/>
          <w:lang w:eastAsia="ru-RU"/>
        </w:rPr>
      </w:pPr>
      <w:r w:rsidRPr="00F94FED">
        <w:rPr>
          <w:rFonts w:eastAsia="Times New Roman"/>
          <w:noProof/>
          <w:position w:val="-23"/>
          <w:sz w:val="26"/>
          <w:szCs w:val="26"/>
          <w:lang w:eastAsia="ru-RU"/>
        </w:rPr>
        <w:drawing>
          <wp:inline distT="0" distB="0" distL="0" distR="0" wp14:anchorId="5010BB7A" wp14:editId="2CF51642">
            <wp:extent cx="5303520" cy="457200"/>
            <wp:effectExtent l="0" t="0" r="0" b="0"/>
            <wp:docPr id="490" name="Рисунок 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303520" cy="457200"/>
                    </a:xfrm>
                    <a:prstGeom prst="rect">
                      <a:avLst/>
                    </a:prstGeom>
                    <a:noFill/>
                    <a:ln>
                      <a:noFill/>
                    </a:ln>
                  </pic:spPr>
                </pic:pic>
              </a:graphicData>
            </a:graphic>
          </wp:inline>
        </w:drawing>
      </w:r>
    </w:p>
    <w:p w14:paraId="3922A2AE" w14:textId="77777777" w:rsidR="009A4C46" w:rsidRPr="00F94FED" w:rsidRDefault="009A4C46" w:rsidP="00F94FED">
      <w:pPr>
        <w:spacing w:after="0" w:line="360" w:lineRule="auto"/>
        <w:ind w:firstLine="567"/>
        <w:contextualSpacing/>
        <w:jc w:val="both"/>
        <w:rPr>
          <w:rFonts w:eastAsia="Calibri"/>
          <w:sz w:val="26"/>
          <w:szCs w:val="26"/>
          <w:lang w:eastAsia="ru-RU"/>
        </w:rPr>
      </w:pPr>
      <w:r w:rsidRPr="00F94FED">
        <w:rPr>
          <w:rFonts w:eastAsia="Calibri"/>
          <w:sz w:val="26"/>
          <w:szCs w:val="26"/>
          <w:lang w:eastAsia="ru-RU"/>
        </w:rPr>
        <w:t xml:space="preserve">В соответствии с п.9. Методических указаний № 98-э, в течение долгосрочного периода регулирования регулирующими органами ежегодно производится корректировка необходимой валовой выручки, устанавливаемой на очередной расчетный период регулирования. По решению регулирующего органа такая </w:t>
      </w:r>
      <w:r w:rsidRPr="00F94FED">
        <w:rPr>
          <w:rFonts w:eastAsia="Calibri"/>
          <w:sz w:val="26"/>
          <w:szCs w:val="26"/>
          <w:lang w:eastAsia="ru-RU"/>
        </w:rPr>
        <w:lastRenderedPageBreak/>
        <w:t>корректировка может осуществляться с учетом отклонения фактических значений параметров расчета тарифов по итогам истекшего периода текущего года долгосрочного периода регулирования, за который известны фактические значения параметров расчета тарифов, от планировавшихся значений параметров расчета тарифов, а также изменение плановых показателей на следующие периоды.</w:t>
      </w:r>
    </w:p>
    <w:p w14:paraId="00C7B705" w14:textId="77777777" w:rsidR="009A4C46" w:rsidRPr="00F94FED" w:rsidRDefault="009A4C46" w:rsidP="00F94FED">
      <w:pPr>
        <w:spacing w:after="0" w:line="360" w:lineRule="auto"/>
        <w:ind w:firstLine="567"/>
        <w:contextualSpacing/>
        <w:jc w:val="both"/>
        <w:rPr>
          <w:rFonts w:eastAsia="Calibri"/>
          <w:bCs/>
          <w:sz w:val="26"/>
          <w:szCs w:val="26"/>
          <w:lang w:eastAsia="ru-RU"/>
        </w:rPr>
      </w:pPr>
    </w:p>
    <w:p w14:paraId="08C4EB13" w14:textId="7151A01F" w:rsidR="009A4C46" w:rsidRPr="00F94FED" w:rsidRDefault="00195CA9" w:rsidP="008B0B3C">
      <w:pPr>
        <w:spacing w:after="0" w:line="360" w:lineRule="auto"/>
        <w:contextualSpacing/>
        <w:jc w:val="both"/>
        <w:rPr>
          <w:rFonts w:eastAsia="Calibri"/>
          <w:b/>
          <w:sz w:val="26"/>
          <w:szCs w:val="26"/>
          <w:lang w:eastAsia="ru-RU"/>
        </w:rPr>
      </w:pPr>
      <w:r w:rsidRPr="00F94FED">
        <w:rPr>
          <w:rFonts w:eastAsia="Calibri"/>
          <w:b/>
          <w:sz w:val="26"/>
          <w:szCs w:val="26"/>
          <w:lang w:eastAsia="ru-RU"/>
        </w:rPr>
        <w:t>ПОЗИЦИЯ ТЕРРИТОРИАЛЬНОЙ СЕТЕВОЙ ОРГАНИЗАЦИИ</w:t>
      </w:r>
    </w:p>
    <w:p w14:paraId="057AEA7C" w14:textId="27AD010D" w:rsidR="009A4C46" w:rsidRPr="00F94FED" w:rsidRDefault="009A4C46" w:rsidP="00F94FED">
      <w:pPr>
        <w:spacing w:after="0" w:line="360" w:lineRule="auto"/>
        <w:ind w:firstLine="567"/>
        <w:contextualSpacing/>
        <w:jc w:val="both"/>
        <w:rPr>
          <w:rFonts w:eastAsia="Calibri"/>
          <w:sz w:val="26"/>
          <w:szCs w:val="26"/>
          <w:lang w:eastAsia="ru-RU"/>
        </w:rPr>
      </w:pPr>
      <w:r w:rsidRPr="00F94FED">
        <w:rPr>
          <w:rFonts w:eastAsia="Calibri"/>
          <w:sz w:val="26"/>
          <w:szCs w:val="26"/>
          <w:lang w:eastAsia="ru-RU"/>
        </w:rPr>
        <w:t>Первоначально АО «Тываэнерго» заявило на 2019 год экономически обоснованную НВВ (без учета оплаты потерь) в сумме 2</w:t>
      </w:r>
      <w:r w:rsidR="00FA50C9">
        <w:rPr>
          <w:rFonts w:eastAsia="Calibri"/>
          <w:sz w:val="26"/>
          <w:szCs w:val="26"/>
          <w:lang w:eastAsia="ru-RU"/>
        </w:rPr>
        <w:t> </w:t>
      </w:r>
      <w:r w:rsidRPr="00F94FED">
        <w:rPr>
          <w:rFonts w:eastAsia="Calibri"/>
          <w:sz w:val="26"/>
          <w:szCs w:val="26"/>
          <w:lang w:eastAsia="ru-RU"/>
        </w:rPr>
        <w:t>158</w:t>
      </w:r>
      <w:r w:rsidR="00FA50C9">
        <w:rPr>
          <w:rFonts w:eastAsia="Calibri"/>
          <w:sz w:val="26"/>
          <w:szCs w:val="26"/>
          <w:lang w:eastAsia="ru-RU"/>
        </w:rPr>
        <w:t> </w:t>
      </w:r>
      <w:r w:rsidRPr="00F94FED">
        <w:rPr>
          <w:rFonts w:eastAsia="Calibri"/>
          <w:sz w:val="26"/>
          <w:szCs w:val="26"/>
          <w:lang w:eastAsia="ru-RU"/>
        </w:rPr>
        <w:t>005,87 тыс. руб., в том числе</w:t>
      </w:r>
    </w:p>
    <w:p w14:paraId="578246F6" w14:textId="0A560F58" w:rsidR="009A4C46" w:rsidRPr="00F94FED" w:rsidRDefault="009A4C46" w:rsidP="00F94FED">
      <w:pPr>
        <w:pStyle w:val="a3"/>
        <w:numPr>
          <w:ilvl w:val="0"/>
          <w:numId w:val="30"/>
        </w:numPr>
        <w:spacing w:after="0" w:line="360" w:lineRule="auto"/>
        <w:jc w:val="both"/>
        <w:rPr>
          <w:sz w:val="26"/>
          <w:szCs w:val="26"/>
          <w:lang w:eastAsia="ru-RU"/>
        </w:rPr>
      </w:pPr>
      <w:r w:rsidRPr="00F94FED">
        <w:rPr>
          <w:rFonts w:ascii="Myriad Pro" w:hAnsi="Myriad Pro"/>
          <w:sz w:val="26"/>
          <w:szCs w:val="26"/>
          <w:lang w:eastAsia="ru-RU"/>
        </w:rPr>
        <w:t>подконтрольные расходы – 598</w:t>
      </w:r>
      <w:r w:rsidR="00FA50C9">
        <w:rPr>
          <w:rFonts w:ascii="Myriad Pro" w:hAnsi="Myriad Pro"/>
          <w:sz w:val="26"/>
          <w:szCs w:val="26"/>
          <w:lang w:eastAsia="ru-RU"/>
        </w:rPr>
        <w:t> </w:t>
      </w:r>
      <w:r w:rsidR="008B0B3C">
        <w:rPr>
          <w:rFonts w:ascii="Myriad Pro" w:hAnsi="Myriad Pro"/>
          <w:sz w:val="26"/>
          <w:szCs w:val="26"/>
          <w:lang w:eastAsia="ru-RU"/>
        </w:rPr>
        <w:t>5</w:t>
      </w:r>
      <w:r w:rsidRPr="00F94FED">
        <w:rPr>
          <w:rFonts w:ascii="Myriad Pro" w:hAnsi="Myriad Pro"/>
          <w:sz w:val="26"/>
          <w:szCs w:val="26"/>
          <w:lang w:eastAsia="ru-RU"/>
        </w:rPr>
        <w:t>77,30 тыс. руб.;</w:t>
      </w:r>
    </w:p>
    <w:p w14:paraId="3BE93E7F" w14:textId="512E5649" w:rsidR="009A4C46" w:rsidRPr="00F94FED" w:rsidRDefault="009A4C46" w:rsidP="00F94FED">
      <w:pPr>
        <w:pStyle w:val="a3"/>
        <w:numPr>
          <w:ilvl w:val="0"/>
          <w:numId w:val="30"/>
        </w:numPr>
        <w:spacing w:after="0" w:line="360" w:lineRule="auto"/>
        <w:jc w:val="both"/>
        <w:rPr>
          <w:sz w:val="26"/>
          <w:szCs w:val="26"/>
          <w:lang w:eastAsia="ru-RU"/>
        </w:rPr>
      </w:pPr>
      <w:r w:rsidRPr="00F94FED">
        <w:rPr>
          <w:rFonts w:ascii="Myriad Pro" w:hAnsi="Myriad Pro"/>
          <w:sz w:val="26"/>
          <w:szCs w:val="26"/>
          <w:lang w:eastAsia="ru-RU"/>
        </w:rPr>
        <w:t>неподконтрольные расходы – 1</w:t>
      </w:r>
      <w:r w:rsidR="00FA50C9">
        <w:rPr>
          <w:rFonts w:ascii="Myriad Pro" w:hAnsi="Myriad Pro"/>
          <w:sz w:val="26"/>
          <w:szCs w:val="26"/>
          <w:lang w:eastAsia="ru-RU"/>
        </w:rPr>
        <w:t> </w:t>
      </w:r>
      <w:r w:rsidRPr="00F94FED">
        <w:rPr>
          <w:rFonts w:ascii="Myriad Pro" w:hAnsi="Myriad Pro"/>
          <w:sz w:val="26"/>
          <w:szCs w:val="26"/>
          <w:lang w:eastAsia="ru-RU"/>
        </w:rPr>
        <w:t>252</w:t>
      </w:r>
      <w:r w:rsidR="00FA50C9">
        <w:rPr>
          <w:rFonts w:ascii="Myriad Pro" w:hAnsi="Myriad Pro"/>
          <w:sz w:val="26"/>
          <w:szCs w:val="26"/>
          <w:lang w:eastAsia="ru-RU"/>
        </w:rPr>
        <w:t> </w:t>
      </w:r>
      <w:r w:rsidRPr="00F94FED">
        <w:rPr>
          <w:rFonts w:ascii="Myriad Pro" w:hAnsi="Myriad Pro"/>
          <w:sz w:val="26"/>
          <w:szCs w:val="26"/>
          <w:lang w:eastAsia="ru-RU"/>
        </w:rPr>
        <w:t>815,06 тыс. руб.;</w:t>
      </w:r>
    </w:p>
    <w:p w14:paraId="7E0F5850" w14:textId="79B0FD91" w:rsidR="009A4C46" w:rsidRPr="00F94FED" w:rsidRDefault="009A4C46" w:rsidP="00F94FED">
      <w:pPr>
        <w:pStyle w:val="a3"/>
        <w:numPr>
          <w:ilvl w:val="0"/>
          <w:numId w:val="30"/>
        </w:numPr>
        <w:spacing w:after="0" w:line="360" w:lineRule="auto"/>
        <w:jc w:val="both"/>
        <w:rPr>
          <w:sz w:val="26"/>
          <w:szCs w:val="26"/>
          <w:lang w:eastAsia="ru-RU"/>
        </w:rPr>
      </w:pPr>
      <w:r w:rsidRPr="00F94FED">
        <w:rPr>
          <w:rFonts w:ascii="Myriad Pro" w:hAnsi="Myriad Pro"/>
          <w:sz w:val="26"/>
          <w:szCs w:val="26"/>
          <w:lang w:eastAsia="ru-RU"/>
        </w:rPr>
        <w:t>расходы, связанные с компенсацией незапланированных расходов или полученного избытка – 306</w:t>
      </w:r>
      <w:r w:rsidR="00FA50C9">
        <w:rPr>
          <w:rFonts w:ascii="Myriad Pro" w:hAnsi="Myriad Pro"/>
          <w:sz w:val="26"/>
          <w:szCs w:val="26"/>
          <w:lang w:eastAsia="ru-RU"/>
        </w:rPr>
        <w:t> </w:t>
      </w:r>
      <w:r w:rsidRPr="00F94FED">
        <w:rPr>
          <w:rFonts w:ascii="Myriad Pro" w:hAnsi="Myriad Pro"/>
          <w:sz w:val="26"/>
          <w:szCs w:val="26"/>
          <w:lang w:eastAsia="ru-RU"/>
        </w:rPr>
        <w:t>613,51 тыс. руб.</w:t>
      </w:r>
    </w:p>
    <w:p w14:paraId="2DBBEE86" w14:textId="77777777" w:rsidR="009A4C46" w:rsidRPr="00F94FED" w:rsidRDefault="009A4C46" w:rsidP="00F94FED">
      <w:pPr>
        <w:spacing w:after="0" w:line="360" w:lineRule="auto"/>
        <w:ind w:firstLine="567"/>
        <w:contextualSpacing/>
        <w:jc w:val="both"/>
        <w:rPr>
          <w:rFonts w:eastAsia="Calibri"/>
          <w:sz w:val="26"/>
          <w:szCs w:val="26"/>
          <w:lang w:eastAsia="ru-RU"/>
        </w:rPr>
      </w:pPr>
      <w:r w:rsidRPr="00F94FED">
        <w:rPr>
          <w:rFonts w:eastAsia="Calibri"/>
          <w:sz w:val="26"/>
          <w:szCs w:val="26"/>
          <w:lang w:eastAsia="ru-RU"/>
        </w:rPr>
        <w:t>Анализ расходов НВВ приведен ниже в соответствующих разделах.</w:t>
      </w:r>
    </w:p>
    <w:p w14:paraId="1DBA4F17" w14:textId="77777777" w:rsidR="009A4C46" w:rsidRPr="00F94FED" w:rsidRDefault="009A4C46" w:rsidP="00F94FED">
      <w:pPr>
        <w:spacing w:after="0" w:line="360" w:lineRule="auto"/>
        <w:ind w:firstLine="567"/>
        <w:contextualSpacing/>
        <w:jc w:val="both"/>
        <w:rPr>
          <w:rFonts w:eastAsia="Calibri"/>
          <w:sz w:val="26"/>
          <w:szCs w:val="26"/>
          <w:lang w:eastAsia="ru-RU"/>
        </w:rPr>
      </w:pPr>
      <w:r w:rsidRPr="00F94FED">
        <w:rPr>
          <w:rFonts w:eastAsia="Calibri"/>
          <w:sz w:val="26"/>
          <w:szCs w:val="26"/>
          <w:lang w:eastAsia="ru-RU"/>
        </w:rPr>
        <w:t>В таблице приведен расчет суммы подконтрольных расходов на 2019 год, представленный АО «Тываэнерго» в Службу по тарифам Республики Тыва.</w:t>
      </w:r>
    </w:p>
    <w:tbl>
      <w:tblPr>
        <w:tblW w:w="0" w:type="auto"/>
        <w:tblLayout w:type="fixed"/>
        <w:tblLook w:val="04A0" w:firstRow="1" w:lastRow="0" w:firstColumn="1" w:lastColumn="0" w:noHBand="0" w:noVBand="1"/>
      </w:tblPr>
      <w:tblGrid>
        <w:gridCol w:w="2778"/>
        <w:gridCol w:w="896"/>
        <w:gridCol w:w="1417"/>
        <w:gridCol w:w="1283"/>
        <w:gridCol w:w="1559"/>
        <w:gridCol w:w="1412"/>
      </w:tblGrid>
      <w:tr w:rsidR="004235C4" w:rsidRPr="00D27B56" w14:paraId="3A875747" w14:textId="77777777" w:rsidTr="004235C4">
        <w:trPr>
          <w:trHeight w:val="20"/>
          <w:tblHeader/>
        </w:trPr>
        <w:tc>
          <w:tcPr>
            <w:tcW w:w="277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182B132" w14:textId="77777777" w:rsidR="009A4C46" w:rsidRPr="00F94FED" w:rsidRDefault="009A4C46" w:rsidP="009A4C46">
            <w:pPr>
              <w:spacing w:after="0" w:line="240" w:lineRule="auto"/>
              <w:jc w:val="center"/>
              <w:rPr>
                <w:rFonts w:eastAsia="Times New Roman"/>
                <w:b/>
                <w:color w:val="FFFFFF" w:themeColor="background1"/>
                <w:lang w:eastAsia="ru-RU"/>
              </w:rPr>
            </w:pPr>
            <w:r w:rsidRPr="00F94FED">
              <w:rPr>
                <w:rFonts w:eastAsia="Times New Roman"/>
                <w:b/>
                <w:color w:val="FFFFFF" w:themeColor="background1"/>
                <w:lang w:eastAsia="ru-RU"/>
              </w:rPr>
              <w:t>Наименование статьи</w:t>
            </w:r>
          </w:p>
        </w:tc>
        <w:tc>
          <w:tcPr>
            <w:tcW w:w="89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DD4CA18" w14:textId="77777777" w:rsidR="009A4C46" w:rsidRPr="00F94FED" w:rsidRDefault="009A4C46" w:rsidP="009A4C46">
            <w:pPr>
              <w:spacing w:after="0" w:line="240" w:lineRule="auto"/>
              <w:jc w:val="center"/>
              <w:rPr>
                <w:rFonts w:eastAsia="Times New Roman"/>
                <w:b/>
                <w:color w:val="FFFFFF" w:themeColor="background1"/>
                <w:lang w:eastAsia="ru-RU"/>
              </w:rPr>
            </w:pPr>
            <w:r w:rsidRPr="00F94FED">
              <w:rPr>
                <w:rFonts w:eastAsia="Times New Roman"/>
                <w:b/>
                <w:color w:val="FFFFFF" w:themeColor="background1"/>
                <w:lang w:eastAsia="ru-RU"/>
              </w:rPr>
              <w:t>Ед. изм.</w:t>
            </w:r>
          </w:p>
        </w:tc>
        <w:tc>
          <w:tcPr>
            <w:tcW w:w="5671" w:type="dxa"/>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759C92C" w14:textId="77777777" w:rsidR="009A4C46" w:rsidRPr="00F94FED" w:rsidRDefault="009A4C46" w:rsidP="009A4C46">
            <w:pPr>
              <w:spacing w:after="0" w:line="240" w:lineRule="auto"/>
              <w:jc w:val="center"/>
              <w:rPr>
                <w:rFonts w:eastAsia="Times New Roman"/>
                <w:b/>
                <w:color w:val="FFFFFF" w:themeColor="background1"/>
                <w:lang w:eastAsia="ru-RU"/>
              </w:rPr>
            </w:pPr>
            <w:r w:rsidRPr="00F94FED">
              <w:rPr>
                <w:rFonts w:eastAsia="Times New Roman"/>
                <w:b/>
                <w:color w:val="FFFFFF" w:themeColor="background1"/>
                <w:lang w:eastAsia="ru-RU"/>
              </w:rPr>
              <w:t>Период</w:t>
            </w:r>
          </w:p>
        </w:tc>
      </w:tr>
      <w:tr w:rsidR="004235C4" w:rsidRPr="00D27B56" w14:paraId="3870A917" w14:textId="77777777" w:rsidTr="00F94FED">
        <w:trPr>
          <w:trHeight w:val="20"/>
          <w:tblHeader/>
        </w:trPr>
        <w:tc>
          <w:tcPr>
            <w:tcW w:w="277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52C24C4" w14:textId="77777777" w:rsidR="009A4C46" w:rsidRPr="00F94FED" w:rsidRDefault="009A4C46" w:rsidP="009A4C46">
            <w:pPr>
              <w:spacing w:after="0" w:line="240" w:lineRule="auto"/>
              <w:rPr>
                <w:rFonts w:eastAsia="Times New Roman"/>
                <w:b/>
                <w:color w:val="FFFFFF" w:themeColor="background1"/>
                <w:lang w:eastAsia="ru-RU"/>
              </w:rPr>
            </w:pPr>
          </w:p>
        </w:tc>
        <w:tc>
          <w:tcPr>
            <w:tcW w:w="89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98B7B93" w14:textId="77777777" w:rsidR="009A4C46" w:rsidRPr="00F94FED" w:rsidRDefault="009A4C46" w:rsidP="009A4C46">
            <w:pPr>
              <w:spacing w:after="0" w:line="240" w:lineRule="auto"/>
              <w:rPr>
                <w:rFonts w:eastAsia="Times New Roman"/>
                <w:b/>
                <w:color w:val="FFFFFF" w:themeColor="background1"/>
                <w:lang w:eastAsia="ru-RU"/>
              </w:rPr>
            </w:pP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hideMark/>
          </w:tcPr>
          <w:p w14:paraId="3710805C" w14:textId="77777777" w:rsidR="009A4C46" w:rsidRPr="00F94FED" w:rsidRDefault="009A4C46" w:rsidP="009A4C46">
            <w:pPr>
              <w:spacing w:after="0" w:line="240" w:lineRule="auto"/>
              <w:jc w:val="center"/>
              <w:rPr>
                <w:rFonts w:eastAsia="Times New Roman"/>
                <w:b/>
                <w:color w:val="FFFFFF" w:themeColor="background1"/>
                <w:lang w:eastAsia="ru-RU"/>
              </w:rPr>
            </w:pPr>
            <w:r w:rsidRPr="00F94FED">
              <w:rPr>
                <w:rFonts w:eastAsia="Times New Roman"/>
                <w:b/>
                <w:color w:val="FFFFFF" w:themeColor="background1"/>
                <w:lang w:eastAsia="ru-RU"/>
              </w:rPr>
              <w:t>Тарифно- балансовое решение на 2017 г.</w:t>
            </w:r>
          </w:p>
        </w:tc>
        <w:tc>
          <w:tcPr>
            <w:tcW w:w="12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hideMark/>
          </w:tcPr>
          <w:p w14:paraId="0F19079E" w14:textId="77777777" w:rsidR="009A4C46" w:rsidRPr="00F94FED" w:rsidRDefault="009A4C46" w:rsidP="009A4C46">
            <w:pPr>
              <w:spacing w:after="0" w:line="240" w:lineRule="auto"/>
              <w:jc w:val="center"/>
              <w:rPr>
                <w:rFonts w:eastAsia="Times New Roman"/>
                <w:b/>
                <w:color w:val="FFFFFF" w:themeColor="background1"/>
                <w:lang w:eastAsia="ru-RU"/>
              </w:rPr>
            </w:pPr>
            <w:r w:rsidRPr="00F94FED">
              <w:rPr>
                <w:rFonts w:eastAsia="Times New Roman"/>
                <w:b/>
                <w:color w:val="FFFFFF" w:themeColor="background1"/>
                <w:lang w:eastAsia="ru-RU"/>
              </w:rPr>
              <w:t>Тарифно- балансовое решение на 2018 г.</w:t>
            </w: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hideMark/>
          </w:tcPr>
          <w:p w14:paraId="4E45E2BB" w14:textId="77777777" w:rsidR="009A4C46" w:rsidRPr="00F94FED" w:rsidRDefault="009A4C46" w:rsidP="009A4C46">
            <w:pPr>
              <w:spacing w:after="0" w:line="240" w:lineRule="auto"/>
              <w:jc w:val="center"/>
              <w:rPr>
                <w:rFonts w:eastAsia="Times New Roman"/>
                <w:b/>
                <w:color w:val="FFFFFF" w:themeColor="background1"/>
                <w:lang w:eastAsia="ru-RU"/>
              </w:rPr>
            </w:pPr>
            <w:r w:rsidRPr="00F94FED">
              <w:rPr>
                <w:rFonts w:eastAsia="Times New Roman"/>
                <w:b/>
                <w:color w:val="FFFFFF" w:themeColor="background1"/>
                <w:lang w:eastAsia="ru-RU"/>
              </w:rPr>
              <w:t xml:space="preserve">Предложение </w:t>
            </w:r>
            <w:r w:rsidRPr="00F94FED">
              <w:rPr>
                <w:rFonts w:eastAsia="Times New Roman"/>
                <w:b/>
                <w:color w:val="FFFFFF" w:themeColor="background1"/>
                <w:lang w:eastAsia="ru-RU"/>
              </w:rPr>
              <w:br/>
              <w:t>АО «Тываэнерго» 2019 г.</w:t>
            </w:r>
          </w:p>
        </w:tc>
        <w:tc>
          <w:tcPr>
            <w:tcW w:w="141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6A1811D3" w14:textId="77777777" w:rsidR="009A4C46" w:rsidRPr="00F94FED" w:rsidRDefault="009A4C46" w:rsidP="009A4C46">
            <w:pPr>
              <w:spacing w:after="0" w:line="240" w:lineRule="auto"/>
              <w:jc w:val="center"/>
              <w:rPr>
                <w:rFonts w:eastAsia="Times New Roman"/>
                <w:b/>
                <w:color w:val="FFFFFF" w:themeColor="background1"/>
                <w:lang w:eastAsia="ru-RU"/>
              </w:rPr>
            </w:pPr>
            <w:r w:rsidRPr="00F94FED">
              <w:rPr>
                <w:rFonts w:eastAsia="Times New Roman"/>
                <w:b/>
                <w:color w:val="FFFFFF" w:themeColor="background1"/>
                <w:lang w:eastAsia="ru-RU"/>
              </w:rPr>
              <w:t>Отклонение</w:t>
            </w:r>
          </w:p>
        </w:tc>
      </w:tr>
      <w:tr w:rsidR="004235C4" w:rsidRPr="00D27B56" w14:paraId="3E300F0D" w14:textId="77777777" w:rsidTr="00F94FED">
        <w:trPr>
          <w:trHeight w:val="20"/>
          <w:tblHeader/>
        </w:trPr>
        <w:tc>
          <w:tcPr>
            <w:tcW w:w="27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5139E3D" w14:textId="77777777" w:rsidR="009A4C46" w:rsidRPr="00F94FED" w:rsidRDefault="009A4C46" w:rsidP="009A4C46">
            <w:pPr>
              <w:spacing w:after="0" w:line="240" w:lineRule="auto"/>
              <w:jc w:val="center"/>
              <w:rPr>
                <w:rFonts w:eastAsia="Times New Roman"/>
                <w:b/>
                <w:color w:val="FFFFFF" w:themeColor="background1"/>
                <w:lang w:eastAsia="ru-RU"/>
              </w:rPr>
            </w:pPr>
            <w:r w:rsidRPr="00F94FED">
              <w:rPr>
                <w:rFonts w:eastAsia="Times New Roman"/>
                <w:b/>
                <w:color w:val="FFFFFF" w:themeColor="background1"/>
                <w:lang w:eastAsia="ru-RU"/>
              </w:rPr>
              <w:t>1</w:t>
            </w:r>
          </w:p>
        </w:tc>
        <w:tc>
          <w:tcPr>
            <w:tcW w:w="89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CAA5D8E" w14:textId="77777777" w:rsidR="009A4C46" w:rsidRPr="00F94FED" w:rsidRDefault="009A4C46" w:rsidP="009A4C46">
            <w:pPr>
              <w:spacing w:after="0" w:line="240" w:lineRule="auto"/>
              <w:jc w:val="center"/>
              <w:rPr>
                <w:rFonts w:eastAsia="Times New Roman"/>
                <w:b/>
                <w:color w:val="FFFFFF" w:themeColor="background1"/>
                <w:lang w:eastAsia="ru-RU"/>
              </w:rPr>
            </w:pPr>
            <w:r w:rsidRPr="00F94FED">
              <w:rPr>
                <w:rFonts w:eastAsia="Times New Roman"/>
                <w:b/>
                <w:color w:val="FFFFFF" w:themeColor="background1"/>
                <w:lang w:eastAsia="ru-RU"/>
              </w:rPr>
              <w:t>2</w:t>
            </w: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ED3F0CB" w14:textId="77777777" w:rsidR="009A4C46" w:rsidRPr="00F94FED" w:rsidRDefault="009A4C46" w:rsidP="009A4C46">
            <w:pPr>
              <w:spacing w:after="0" w:line="240" w:lineRule="auto"/>
              <w:jc w:val="center"/>
              <w:rPr>
                <w:rFonts w:eastAsia="Times New Roman"/>
                <w:b/>
                <w:color w:val="FFFFFF" w:themeColor="background1"/>
                <w:lang w:eastAsia="ru-RU"/>
              </w:rPr>
            </w:pPr>
            <w:r w:rsidRPr="00F94FED">
              <w:rPr>
                <w:rFonts w:eastAsia="Times New Roman"/>
                <w:b/>
                <w:color w:val="FFFFFF" w:themeColor="background1"/>
                <w:lang w:eastAsia="ru-RU"/>
              </w:rPr>
              <w:t>3</w:t>
            </w:r>
          </w:p>
        </w:tc>
        <w:tc>
          <w:tcPr>
            <w:tcW w:w="12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3C97E48" w14:textId="77777777" w:rsidR="009A4C46" w:rsidRPr="00F94FED" w:rsidRDefault="009A4C46" w:rsidP="009A4C46">
            <w:pPr>
              <w:spacing w:after="0" w:line="240" w:lineRule="auto"/>
              <w:jc w:val="center"/>
              <w:rPr>
                <w:rFonts w:eastAsia="Times New Roman"/>
                <w:b/>
                <w:color w:val="FFFFFF" w:themeColor="background1"/>
                <w:lang w:eastAsia="ru-RU"/>
              </w:rPr>
            </w:pPr>
            <w:r w:rsidRPr="00F94FED">
              <w:rPr>
                <w:rFonts w:eastAsia="Times New Roman"/>
                <w:b/>
                <w:color w:val="FFFFFF" w:themeColor="background1"/>
                <w:lang w:eastAsia="ru-RU"/>
              </w:rPr>
              <w:t>4</w:t>
            </w: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3FE3E29" w14:textId="77777777" w:rsidR="009A4C46" w:rsidRPr="00F94FED" w:rsidRDefault="009A4C46" w:rsidP="009A4C46">
            <w:pPr>
              <w:spacing w:after="0" w:line="240" w:lineRule="auto"/>
              <w:jc w:val="center"/>
              <w:rPr>
                <w:rFonts w:eastAsia="Times New Roman"/>
                <w:b/>
                <w:color w:val="FFFFFF" w:themeColor="background1"/>
                <w:lang w:eastAsia="ru-RU"/>
              </w:rPr>
            </w:pPr>
            <w:r w:rsidRPr="00F94FED">
              <w:rPr>
                <w:rFonts w:eastAsia="Times New Roman"/>
                <w:b/>
                <w:color w:val="FFFFFF" w:themeColor="background1"/>
                <w:lang w:eastAsia="ru-RU"/>
              </w:rPr>
              <w:t>5</w:t>
            </w:r>
          </w:p>
        </w:tc>
        <w:tc>
          <w:tcPr>
            <w:tcW w:w="141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BA398F7" w14:textId="77777777" w:rsidR="009A4C46" w:rsidRPr="00F94FED" w:rsidRDefault="009A4C46" w:rsidP="009A4C46">
            <w:pPr>
              <w:spacing w:after="0" w:line="240" w:lineRule="auto"/>
              <w:jc w:val="center"/>
              <w:rPr>
                <w:rFonts w:eastAsia="Times New Roman"/>
                <w:b/>
                <w:color w:val="FFFFFF" w:themeColor="background1"/>
                <w:lang w:eastAsia="ru-RU"/>
              </w:rPr>
            </w:pPr>
            <w:r w:rsidRPr="00F94FED">
              <w:rPr>
                <w:rFonts w:eastAsia="Times New Roman"/>
                <w:b/>
                <w:color w:val="FFFFFF" w:themeColor="background1"/>
                <w:lang w:eastAsia="ru-RU"/>
              </w:rPr>
              <w:t>6=5-4</w:t>
            </w:r>
          </w:p>
        </w:tc>
      </w:tr>
      <w:tr w:rsidR="009A4C46" w:rsidRPr="00D27B56" w14:paraId="21824A05" w14:textId="77777777" w:rsidTr="008B0B3C">
        <w:trPr>
          <w:trHeight w:val="569"/>
        </w:trPr>
        <w:tc>
          <w:tcPr>
            <w:tcW w:w="9345" w:type="dxa"/>
            <w:gridSpan w:val="6"/>
            <w:tcBorders>
              <w:top w:val="single" w:sz="4" w:space="0" w:color="FFFFFF" w:themeColor="background1"/>
              <w:left w:val="single" w:sz="8" w:space="0" w:color="auto"/>
              <w:bottom w:val="single" w:sz="8" w:space="0" w:color="auto"/>
              <w:right w:val="single" w:sz="8" w:space="0" w:color="auto"/>
            </w:tcBorders>
            <w:shd w:val="clear" w:color="auto" w:fill="D6E3BC" w:themeFill="accent3" w:themeFillTint="66"/>
            <w:vAlign w:val="center"/>
            <w:hideMark/>
          </w:tcPr>
          <w:p w14:paraId="54BE3EF6" w14:textId="77777777" w:rsidR="009A4C46" w:rsidRPr="00D27B56" w:rsidRDefault="009A4C46" w:rsidP="009A4C46">
            <w:pPr>
              <w:spacing w:after="0" w:line="240" w:lineRule="auto"/>
              <w:jc w:val="center"/>
              <w:rPr>
                <w:rFonts w:eastAsia="Times New Roman"/>
                <w:lang w:eastAsia="ru-RU"/>
              </w:rPr>
            </w:pPr>
            <w:r w:rsidRPr="00E169B0">
              <w:rPr>
                <w:rFonts w:eastAsia="Times New Roman"/>
                <w:b/>
                <w:lang w:eastAsia="ru-RU"/>
              </w:rPr>
              <w:t xml:space="preserve">Расчет коэффициента </w:t>
            </w:r>
            <w:r w:rsidRPr="003E2802">
              <w:rPr>
                <w:rFonts w:eastAsia="Times New Roman"/>
                <w:b/>
                <w:lang w:eastAsia="ru-RU"/>
              </w:rPr>
              <w:t>индексации</w:t>
            </w:r>
          </w:p>
        </w:tc>
      </w:tr>
      <w:tr w:rsidR="00D27B56" w:rsidRPr="00D27B56" w14:paraId="057B0F9C" w14:textId="77777777" w:rsidTr="004235C4">
        <w:trPr>
          <w:trHeight w:val="411"/>
        </w:trPr>
        <w:tc>
          <w:tcPr>
            <w:tcW w:w="2778" w:type="dxa"/>
            <w:tcBorders>
              <w:top w:val="nil"/>
              <w:left w:val="single" w:sz="8" w:space="0" w:color="auto"/>
              <w:bottom w:val="single" w:sz="4" w:space="0" w:color="auto"/>
              <w:right w:val="single" w:sz="4" w:space="0" w:color="auto"/>
            </w:tcBorders>
            <w:shd w:val="clear" w:color="auto" w:fill="auto"/>
            <w:vAlign w:val="center"/>
            <w:hideMark/>
          </w:tcPr>
          <w:p w14:paraId="1E5E75D0" w14:textId="77777777" w:rsidR="009A4C46" w:rsidRPr="003E2802" w:rsidRDefault="009A4C46" w:rsidP="009A4C46">
            <w:pPr>
              <w:spacing w:after="0" w:line="240" w:lineRule="auto"/>
              <w:rPr>
                <w:rFonts w:eastAsia="Times New Roman"/>
                <w:lang w:eastAsia="ru-RU"/>
              </w:rPr>
            </w:pPr>
            <w:r w:rsidRPr="00E169B0">
              <w:rPr>
                <w:rFonts w:eastAsia="Times New Roman"/>
                <w:lang w:eastAsia="ru-RU"/>
              </w:rPr>
              <w:t>Инфляция</w:t>
            </w:r>
          </w:p>
        </w:tc>
        <w:tc>
          <w:tcPr>
            <w:tcW w:w="896" w:type="dxa"/>
            <w:tcBorders>
              <w:top w:val="nil"/>
              <w:left w:val="nil"/>
              <w:bottom w:val="single" w:sz="4" w:space="0" w:color="auto"/>
              <w:right w:val="nil"/>
            </w:tcBorders>
            <w:shd w:val="clear" w:color="auto" w:fill="auto"/>
            <w:noWrap/>
            <w:vAlign w:val="center"/>
            <w:hideMark/>
          </w:tcPr>
          <w:p w14:paraId="28DA77CB" w14:textId="77777777" w:rsidR="009A4C46" w:rsidRPr="00D27B56" w:rsidRDefault="009A4C46" w:rsidP="009A4C46">
            <w:pPr>
              <w:spacing w:after="0" w:line="240" w:lineRule="auto"/>
              <w:jc w:val="center"/>
              <w:rPr>
                <w:rFonts w:eastAsia="Times New Roman"/>
                <w:lang w:eastAsia="ru-RU"/>
              </w:rPr>
            </w:pPr>
            <w:r w:rsidRPr="00D27B56">
              <w:rPr>
                <w:rFonts w:eastAsia="Times New Roman"/>
                <w:lang w:eastAsia="ru-RU"/>
              </w:rPr>
              <w:t>%</w:t>
            </w:r>
          </w:p>
        </w:tc>
        <w:tc>
          <w:tcPr>
            <w:tcW w:w="1417" w:type="dxa"/>
            <w:tcBorders>
              <w:top w:val="nil"/>
              <w:left w:val="single" w:sz="4" w:space="0" w:color="auto"/>
              <w:bottom w:val="single" w:sz="4" w:space="0" w:color="auto"/>
              <w:right w:val="single" w:sz="4" w:space="0" w:color="auto"/>
            </w:tcBorders>
            <w:shd w:val="clear" w:color="auto" w:fill="auto"/>
            <w:noWrap/>
            <w:vAlign w:val="center"/>
            <w:hideMark/>
          </w:tcPr>
          <w:p w14:paraId="6032684F" w14:textId="77777777" w:rsidR="009A4C46" w:rsidRPr="00D27B56" w:rsidRDefault="009A4C46" w:rsidP="009A4C46">
            <w:pPr>
              <w:spacing w:after="0" w:line="240" w:lineRule="auto"/>
              <w:jc w:val="center"/>
              <w:rPr>
                <w:rFonts w:eastAsia="Times New Roman"/>
                <w:lang w:eastAsia="ru-RU"/>
              </w:rPr>
            </w:pPr>
            <w:r w:rsidRPr="00D27B56">
              <w:rPr>
                <w:rFonts w:eastAsia="Times New Roman"/>
                <w:lang w:eastAsia="ru-RU"/>
              </w:rPr>
              <w:t>4,90</w:t>
            </w:r>
          </w:p>
        </w:tc>
        <w:tc>
          <w:tcPr>
            <w:tcW w:w="1283" w:type="dxa"/>
            <w:tcBorders>
              <w:top w:val="nil"/>
              <w:left w:val="nil"/>
              <w:bottom w:val="single" w:sz="4" w:space="0" w:color="auto"/>
              <w:right w:val="nil"/>
            </w:tcBorders>
            <w:shd w:val="clear" w:color="auto" w:fill="auto"/>
            <w:noWrap/>
            <w:vAlign w:val="center"/>
            <w:hideMark/>
          </w:tcPr>
          <w:p w14:paraId="08D87612" w14:textId="77777777" w:rsidR="009A4C46" w:rsidRPr="00D27B56" w:rsidRDefault="009A4C46" w:rsidP="009A4C46">
            <w:pPr>
              <w:spacing w:after="0" w:line="240" w:lineRule="auto"/>
              <w:jc w:val="center"/>
              <w:rPr>
                <w:rFonts w:eastAsia="Times New Roman"/>
                <w:lang w:eastAsia="ru-RU"/>
              </w:rPr>
            </w:pPr>
            <w:r w:rsidRPr="00D27B56">
              <w:rPr>
                <w:rFonts w:eastAsia="Times New Roman"/>
                <w:lang w:eastAsia="ru-RU"/>
              </w:rPr>
              <w:t>4,00</w:t>
            </w:r>
          </w:p>
        </w:tc>
        <w:tc>
          <w:tcPr>
            <w:tcW w:w="1559" w:type="dxa"/>
            <w:tcBorders>
              <w:top w:val="nil"/>
              <w:left w:val="single" w:sz="4" w:space="0" w:color="auto"/>
              <w:bottom w:val="single" w:sz="4" w:space="0" w:color="auto"/>
              <w:right w:val="single" w:sz="8" w:space="0" w:color="auto"/>
            </w:tcBorders>
            <w:shd w:val="clear" w:color="auto" w:fill="auto"/>
            <w:noWrap/>
            <w:vAlign w:val="center"/>
            <w:hideMark/>
          </w:tcPr>
          <w:p w14:paraId="73363C12" w14:textId="77777777" w:rsidR="009A4C46" w:rsidRPr="00D27B56" w:rsidRDefault="009A4C46" w:rsidP="009A4C46">
            <w:pPr>
              <w:spacing w:after="0" w:line="240" w:lineRule="auto"/>
              <w:jc w:val="center"/>
              <w:rPr>
                <w:rFonts w:eastAsia="Times New Roman"/>
                <w:lang w:eastAsia="ru-RU"/>
              </w:rPr>
            </w:pPr>
            <w:r w:rsidRPr="00D27B56">
              <w:rPr>
                <w:rFonts w:eastAsia="Times New Roman"/>
                <w:lang w:eastAsia="ru-RU"/>
              </w:rPr>
              <w:t>4,00</w:t>
            </w:r>
          </w:p>
        </w:tc>
        <w:tc>
          <w:tcPr>
            <w:tcW w:w="1412" w:type="dxa"/>
            <w:tcBorders>
              <w:top w:val="nil"/>
              <w:left w:val="single" w:sz="4" w:space="0" w:color="auto"/>
              <w:bottom w:val="single" w:sz="4" w:space="0" w:color="auto"/>
              <w:right w:val="single" w:sz="8" w:space="0" w:color="auto"/>
            </w:tcBorders>
            <w:vAlign w:val="center"/>
          </w:tcPr>
          <w:p w14:paraId="02AB6CD6" w14:textId="77777777" w:rsidR="009A4C46" w:rsidRPr="00D27B56" w:rsidRDefault="009A4C46" w:rsidP="009A4C46">
            <w:pPr>
              <w:spacing w:after="0" w:line="240" w:lineRule="auto"/>
              <w:jc w:val="center"/>
              <w:rPr>
                <w:rFonts w:eastAsia="Times New Roman"/>
                <w:lang w:eastAsia="ru-RU"/>
              </w:rPr>
            </w:pPr>
            <w:r w:rsidRPr="00D27B56">
              <w:rPr>
                <w:rFonts w:eastAsia="Times New Roman"/>
                <w:lang w:eastAsia="ru-RU"/>
              </w:rPr>
              <w:t>-</w:t>
            </w:r>
          </w:p>
        </w:tc>
      </w:tr>
      <w:tr w:rsidR="00D27B56" w:rsidRPr="00D27B56" w14:paraId="29426363" w14:textId="77777777" w:rsidTr="004235C4">
        <w:trPr>
          <w:trHeight w:val="555"/>
        </w:trPr>
        <w:tc>
          <w:tcPr>
            <w:tcW w:w="2778" w:type="dxa"/>
            <w:tcBorders>
              <w:top w:val="nil"/>
              <w:left w:val="single" w:sz="8" w:space="0" w:color="auto"/>
              <w:bottom w:val="single" w:sz="4" w:space="0" w:color="auto"/>
              <w:right w:val="single" w:sz="4" w:space="0" w:color="auto"/>
            </w:tcBorders>
            <w:shd w:val="clear" w:color="auto" w:fill="auto"/>
            <w:vAlign w:val="center"/>
            <w:hideMark/>
          </w:tcPr>
          <w:p w14:paraId="5D127A30" w14:textId="77777777" w:rsidR="009A4C46" w:rsidRPr="00D27B56" w:rsidRDefault="009A4C46" w:rsidP="009A4C46">
            <w:pPr>
              <w:spacing w:after="0" w:line="240" w:lineRule="auto"/>
              <w:rPr>
                <w:rFonts w:eastAsia="Times New Roman"/>
                <w:lang w:eastAsia="ru-RU"/>
              </w:rPr>
            </w:pPr>
            <w:r w:rsidRPr="00E169B0">
              <w:rPr>
                <w:rFonts w:eastAsia="Times New Roman"/>
                <w:lang w:eastAsia="ru-RU"/>
              </w:rPr>
              <w:t>Индекс эффективности опер</w:t>
            </w:r>
            <w:r w:rsidRPr="003E2802">
              <w:rPr>
                <w:rFonts w:eastAsia="Times New Roman"/>
                <w:lang w:eastAsia="ru-RU"/>
              </w:rPr>
              <w:t>ационн</w:t>
            </w:r>
            <w:r w:rsidRPr="00D27B56">
              <w:rPr>
                <w:rFonts w:eastAsia="Times New Roman"/>
                <w:lang w:eastAsia="ru-RU"/>
              </w:rPr>
              <w:t>ых расходов</w:t>
            </w:r>
          </w:p>
        </w:tc>
        <w:tc>
          <w:tcPr>
            <w:tcW w:w="896" w:type="dxa"/>
            <w:tcBorders>
              <w:top w:val="nil"/>
              <w:left w:val="nil"/>
              <w:bottom w:val="single" w:sz="4" w:space="0" w:color="auto"/>
              <w:right w:val="nil"/>
            </w:tcBorders>
            <w:shd w:val="clear" w:color="auto" w:fill="auto"/>
            <w:noWrap/>
            <w:vAlign w:val="center"/>
            <w:hideMark/>
          </w:tcPr>
          <w:p w14:paraId="28E65BD8" w14:textId="77777777" w:rsidR="009A4C46" w:rsidRPr="00D27B56" w:rsidRDefault="009A4C46" w:rsidP="009A4C46">
            <w:pPr>
              <w:spacing w:after="0" w:line="240" w:lineRule="auto"/>
              <w:jc w:val="center"/>
              <w:rPr>
                <w:rFonts w:eastAsia="Times New Roman"/>
                <w:lang w:eastAsia="ru-RU"/>
              </w:rPr>
            </w:pPr>
            <w:r w:rsidRPr="00D27B56">
              <w:rPr>
                <w:rFonts w:eastAsia="Times New Roman"/>
                <w:lang w:eastAsia="ru-RU"/>
              </w:rPr>
              <w:t>%</w:t>
            </w:r>
          </w:p>
        </w:tc>
        <w:tc>
          <w:tcPr>
            <w:tcW w:w="1417" w:type="dxa"/>
            <w:tcBorders>
              <w:top w:val="nil"/>
              <w:left w:val="single" w:sz="4" w:space="0" w:color="auto"/>
              <w:bottom w:val="single" w:sz="4" w:space="0" w:color="auto"/>
              <w:right w:val="single" w:sz="4" w:space="0" w:color="auto"/>
            </w:tcBorders>
            <w:shd w:val="clear" w:color="auto" w:fill="auto"/>
            <w:noWrap/>
            <w:vAlign w:val="center"/>
            <w:hideMark/>
          </w:tcPr>
          <w:p w14:paraId="285E44E9" w14:textId="77777777" w:rsidR="009A4C46" w:rsidRPr="00D27B56" w:rsidRDefault="009A4C46" w:rsidP="009A4C46">
            <w:pPr>
              <w:spacing w:after="0" w:line="240" w:lineRule="auto"/>
              <w:jc w:val="center"/>
              <w:rPr>
                <w:rFonts w:eastAsia="Times New Roman"/>
                <w:lang w:eastAsia="ru-RU"/>
              </w:rPr>
            </w:pPr>
            <w:r w:rsidRPr="00D27B56">
              <w:rPr>
                <w:rFonts w:eastAsia="Times New Roman"/>
                <w:lang w:eastAsia="ru-RU"/>
              </w:rPr>
              <w:t>1%</w:t>
            </w:r>
          </w:p>
        </w:tc>
        <w:tc>
          <w:tcPr>
            <w:tcW w:w="1283" w:type="dxa"/>
            <w:tcBorders>
              <w:top w:val="nil"/>
              <w:left w:val="nil"/>
              <w:bottom w:val="single" w:sz="4" w:space="0" w:color="auto"/>
              <w:right w:val="single" w:sz="4" w:space="0" w:color="auto"/>
            </w:tcBorders>
            <w:shd w:val="clear" w:color="auto" w:fill="auto"/>
            <w:noWrap/>
            <w:vAlign w:val="center"/>
            <w:hideMark/>
          </w:tcPr>
          <w:p w14:paraId="43867782" w14:textId="77777777" w:rsidR="009A4C46" w:rsidRPr="00D27B56" w:rsidRDefault="009A4C46" w:rsidP="009A4C46">
            <w:pPr>
              <w:spacing w:after="0" w:line="240" w:lineRule="auto"/>
              <w:jc w:val="center"/>
              <w:rPr>
                <w:rFonts w:eastAsia="Times New Roman"/>
                <w:lang w:eastAsia="ru-RU"/>
              </w:rPr>
            </w:pPr>
            <w:r w:rsidRPr="00D27B56">
              <w:rPr>
                <w:rFonts w:eastAsia="Times New Roman"/>
                <w:lang w:eastAsia="ru-RU"/>
              </w:rPr>
              <w:t>1%</w:t>
            </w:r>
          </w:p>
        </w:tc>
        <w:tc>
          <w:tcPr>
            <w:tcW w:w="1559" w:type="dxa"/>
            <w:tcBorders>
              <w:top w:val="nil"/>
              <w:left w:val="nil"/>
              <w:bottom w:val="single" w:sz="4" w:space="0" w:color="auto"/>
              <w:right w:val="single" w:sz="8" w:space="0" w:color="auto"/>
            </w:tcBorders>
            <w:shd w:val="clear" w:color="auto" w:fill="auto"/>
            <w:noWrap/>
            <w:vAlign w:val="center"/>
            <w:hideMark/>
          </w:tcPr>
          <w:p w14:paraId="18A3A067" w14:textId="77777777" w:rsidR="009A4C46" w:rsidRPr="00D27B56" w:rsidRDefault="009A4C46" w:rsidP="009A4C46">
            <w:pPr>
              <w:spacing w:after="0" w:line="240" w:lineRule="auto"/>
              <w:jc w:val="center"/>
              <w:rPr>
                <w:rFonts w:eastAsia="Times New Roman"/>
                <w:lang w:eastAsia="ru-RU"/>
              </w:rPr>
            </w:pPr>
            <w:r w:rsidRPr="00D27B56">
              <w:rPr>
                <w:rFonts w:eastAsia="Times New Roman"/>
                <w:lang w:eastAsia="ru-RU"/>
              </w:rPr>
              <w:t>1%</w:t>
            </w:r>
          </w:p>
        </w:tc>
        <w:tc>
          <w:tcPr>
            <w:tcW w:w="1412" w:type="dxa"/>
            <w:tcBorders>
              <w:top w:val="nil"/>
              <w:left w:val="nil"/>
              <w:bottom w:val="single" w:sz="4" w:space="0" w:color="auto"/>
              <w:right w:val="single" w:sz="8" w:space="0" w:color="auto"/>
            </w:tcBorders>
            <w:vAlign w:val="center"/>
          </w:tcPr>
          <w:p w14:paraId="584D51A7" w14:textId="77777777" w:rsidR="009A4C46" w:rsidRPr="00D27B56" w:rsidRDefault="009A4C46" w:rsidP="009A4C46">
            <w:pPr>
              <w:spacing w:after="0" w:line="240" w:lineRule="auto"/>
              <w:jc w:val="center"/>
              <w:rPr>
                <w:rFonts w:eastAsia="Times New Roman"/>
                <w:lang w:eastAsia="ru-RU"/>
              </w:rPr>
            </w:pPr>
            <w:r w:rsidRPr="00D27B56">
              <w:rPr>
                <w:rFonts w:eastAsia="Times New Roman"/>
                <w:lang w:eastAsia="ru-RU"/>
              </w:rPr>
              <w:t>-</w:t>
            </w:r>
          </w:p>
        </w:tc>
      </w:tr>
      <w:tr w:rsidR="00D27B56" w:rsidRPr="00D27B56" w14:paraId="69CDBC22" w14:textId="77777777" w:rsidTr="004235C4">
        <w:trPr>
          <w:trHeight w:val="20"/>
        </w:trPr>
        <w:tc>
          <w:tcPr>
            <w:tcW w:w="2778" w:type="dxa"/>
            <w:tcBorders>
              <w:top w:val="nil"/>
              <w:left w:val="single" w:sz="8" w:space="0" w:color="auto"/>
              <w:bottom w:val="single" w:sz="4" w:space="0" w:color="auto"/>
              <w:right w:val="single" w:sz="4" w:space="0" w:color="auto"/>
            </w:tcBorders>
            <w:shd w:val="clear" w:color="auto" w:fill="auto"/>
            <w:vAlign w:val="center"/>
            <w:hideMark/>
          </w:tcPr>
          <w:p w14:paraId="72EBA022" w14:textId="77777777" w:rsidR="009A4C46" w:rsidRPr="00D27B56" w:rsidRDefault="009A4C46" w:rsidP="009A4C46">
            <w:pPr>
              <w:spacing w:after="0" w:line="240" w:lineRule="auto"/>
              <w:rPr>
                <w:rFonts w:eastAsia="Times New Roman"/>
                <w:lang w:eastAsia="ru-RU"/>
              </w:rPr>
            </w:pPr>
            <w:r w:rsidRPr="00E169B0">
              <w:rPr>
                <w:rFonts w:eastAsia="Times New Roman"/>
                <w:lang w:eastAsia="ru-RU"/>
              </w:rPr>
              <w:t>Количество активов, все</w:t>
            </w:r>
            <w:r w:rsidRPr="003E2802">
              <w:rPr>
                <w:rFonts w:eastAsia="Times New Roman"/>
                <w:lang w:eastAsia="ru-RU"/>
              </w:rPr>
              <w:t>го</w:t>
            </w:r>
          </w:p>
        </w:tc>
        <w:tc>
          <w:tcPr>
            <w:tcW w:w="896" w:type="dxa"/>
            <w:tcBorders>
              <w:top w:val="nil"/>
              <w:left w:val="nil"/>
              <w:bottom w:val="single" w:sz="4" w:space="0" w:color="auto"/>
              <w:right w:val="nil"/>
            </w:tcBorders>
            <w:shd w:val="clear" w:color="auto" w:fill="auto"/>
            <w:noWrap/>
            <w:vAlign w:val="center"/>
            <w:hideMark/>
          </w:tcPr>
          <w:p w14:paraId="546B2A04" w14:textId="77777777" w:rsidR="009A4C46" w:rsidRPr="00D27B56" w:rsidRDefault="009A4C46" w:rsidP="009A4C46">
            <w:pPr>
              <w:spacing w:after="0" w:line="240" w:lineRule="auto"/>
              <w:jc w:val="center"/>
              <w:rPr>
                <w:rFonts w:eastAsia="Times New Roman"/>
                <w:lang w:eastAsia="ru-RU"/>
              </w:rPr>
            </w:pPr>
            <w:r w:rsidRPr="00D27B56">
              <w:rPr>
                <w:rFonts w:eastAsia="Times New Roman"/>
                <w:lang w:eastAsia="ru-RU"/>
              </w:rPr>
              <w:t>у.е.</w:t>
            </w:r>
          </w:p>
        </w:tc>
        <w:tc>
          <w:tcPr>
            <w:tcW w:w="1417" w:type="dxa"/>
            <w:tcBorders>
              <w:top w:val="nil"/>
              <w:left w:val="single" w:sz="4" w:space="0" w:color="auto"/>
              <w:bottom w:val="single" w:sz="4" w:space="0" w:color="auto"/>
              <w:right w:val="single" w:sz="4" w:space="0" w:color="auto"/>
            </w:tcBorders>
            <w:shd w:val="clear" w:color="auto" w:fill="auto"/>
            <w:noWrap/>
            <w:vAlign w:val="center"/>
            <w:hideMark/>
          </w:tcPr>
          <w:p w14:paraId="2E37CA6C" w14:textId="77777777" w:rsidR="009A4C46" w:rsidRPr="00D27B56" w:rsidRDefault="009A4C46" w:rsidP="009A4C46">
            <w:pPr>
              <w:spacing w:after="0" w:line="240" w:lineRule="auto"/>
              <w:jc w:val="center"/>
              <w:rPr>
                <w:rFonts w:eastAsia="Times New Roman"/>
                <w:lang w:eastAsia="ru-RU"/>
              </w:rPr>
            </w:pPr>
            <w:r w:rsidRPr="00D27B56">
              <w:rPr>
                <w:rFonts w:eastAsia="Times New Roman"/>
                <w:lang w:eastAsia="ru-RU"/>
              </w:rPr>
              <w:t>29 988,00</w:t>
            </w:r>
          </w:p>
        </w:tc>
        <w:tc>
          <w:tcPr>
            <w:tcW w:w="1283" w:type="dxa"/>
            <w:tcBorders>
              <w:top w:val="nil"/>
              <w:left w:val="nil"/>
              <w:bottom w:val="single" w:sz="4" w:space="0" w:color="auto"/>
              <w:right w:val="single" w:sz="4" w:space="0" w:color="auto"/>
            </w:tcBorders>
            <w:shd w:val="clear" w:color="auto" w:fill="auto"/>
            <w:noWrap/>
            <w:vAlign w:val="center"/>
            <w:hideMark/>
          </w:tcPr>
          <w:p w14:paraId="2D5D6B73" w14:textId="77777777" w:rsidR="009A4C46" w:rsidRPr="00D27B56" w:rsidRDefault="009A4C46" w:rsidP="009A4C46">
            <w:pPr>
              <w:spacing w:after="0" w:line="240" w:lineRule="auto"/>
              <w:jc w:val="center"/>
              <w:rPr>
                <w:rFonts w:eastAsia="Times New Roman"/>
                <w:lang w:eastAsia="ru-RU"/>
              </w:rPr>
            </w:pPr>
            <w:r w:rsidRPr="00D27B56">
              <w:rPr>
                <w:rFonts w:eastAsia="Times New Roman"/>
                <w:lang w:eastAsia="ru-RU"/>
              </w:rPr>
              <w:t>29 988,00</w:t>
            </w:r>
          </w:p>
        </w:tc>
        <w:tc>
          <w:tcPr>
            <w:tcW w:w="1559" w:type="dxa"/>
            <w:tcBorders>
              <w:top w:val="nil"/>
              <w:left w:val="nil"/>
              <w:bottom w:val="single" w:sz="4" w:space="0" w:color="auto"/>
              <w:right w:val="single" w:sz="8" w:space="0" w:color="auto"/>
            </w:tcBorders>
            <w:shd w:val="clear" w:color="auto" w:fill="auto"/>
            <w:noWrap/>
            <w:vAlign w:val="center"/>
            <w:hideMark/>
          </w:tcPr>
          <w:p w14:paraId="73EFE8ED" w14:textId="77777777" w:rsidR="009A4C46" w:rsidRPr="00D27B56" w:rsidRDefault="009A4C46" w:rsidP="009A4C46">
            <w:pPr>
              <w:spacing w:after="0" w:line="240" w:lineRule="auto"/>
              <w:jc w:val="center"/>
              <w:rPr>
                <w:rFonts w:eastAsia="Times New Roman"/>
                <w:lang w:eastAsia="ru-RU"/>
              </w:rPr>
            </w:pPr>
            <w:r w:rsidRPr="00D27B56">
              <w:rPr>
                <w:rFonts w:eastAsia="Times New Roman"/>
                <w:lang w:eastAsia="ru-RU"/>
              </w:rPr>
              <w:t>29 988,00</w:t>
            </w:r>
          </w:p>
        </w:tc>
        <w:tc>
          <w:tcPr>
            <w:tcW w:w="1412" w:type="dxa"/>
            <w:tcBorders>
              <w:top w:val="nil"/>
              <w:left w:val="nil"/>
              <w:bottom w:val="single" w:sz="4" w:space="0" w:color="auto"/>
              <w:right w:val="single" w:sz="8" w:space="0" w:color="auto"/>
            </w:tcBorders>
            <w:vAlign w:val="center"/>
          </w:tcPr>
          <w:p w14:paraId="55C7B73E" w14:textId="77777777" w:rsidR="009A4C46" w:rsidRPr="00D27B56" w:rsidRDefault="009A4C46" w:rsidP="009A4C46">
            <w:pPr>
              <w:spacing w:after="0" w:line="240" w:lineRule="auto"/>
              <w:jc w:val="center"/>
              <w:rPr>
                <w:rFonts w:eastAsia="Times New Roman"/>
                <w:lang w:eastAsia="ru-RU"/>
              </w:rPr>
            </w:pPr>
            <w:r w:rsidRPr="00D27B56">
              <w:rPr>
                <w:rFonts w:eastAsia="Times New Roman"/>
                <w:lang w:eastAsia="ru-RU"/>
              </w:rPr>
              <w:t>-</w:t>
            </w:r>
          </w:p>
        </w:tc>
      </w:tr>
      <w:tr w:rsidR="00D27B56" w:rsidRPr="00D27B56" w14:paraId="27051540" w14:textId="77777777" w:rsidTr="004235C4">
        <w:trPr>
          <w:trHeight w:val="20"/>
        </w:trPr>
        <w:tc>
          <w:tcPr>
            <w:tcW w:w="2778" w:type="dxa"/>
            <w:tcBorders>
              <w:top w:val="nil"/>
              <w:left w:val="single" w:sz="8" w:space="0" w:color="auto"/>
              <w:bottom w:val="single" w:sz="4" w:space="0" w:color="auto"/>
              <w:right w:val="single" w:sz="4" w:space="0" w:color="auto"/>
            </w:tcBorders>
            <w:shd w:val="clear" w:color="auto" w:fill="auto"/>
            <w:vAlign w:val="center"/>
            <w:hideMark/>
          </w:tcPr>
          <w:p w14:paraId="14B752CD" w14:textId="77777777" w:rsidR="009A4C46" w:rsidRPr="003E2802" w:rsidRDefault="009A4C46" w:rsidP="009A4C46">
            <w:pPr>
              <w:spacing w:after="0" w:line="240" w:lineRule="auto"/>
              <w:rPr>
                <w:rFonts w:eastAsia="Times New Roman"/>
                <w:lang w:eastAsia="ru-RU"/>
              </w:rPr>
            </w:pPr>
            <w:r w:rsidRPr="00E169B0">
              <w:rPr>
                <w:rFonts w:eastAsia="Times New Roman"/>
                <w:lang w:eastAsia="ru-RU"/>
              </w:rPr>
              <w:t>ВН</w:t>
            </w:r>
          </w:p>
        </w:tc>
        <w:tc>
          <w:tcPr>
            <w:tcW w:w="896" w:type="dxa"/>
            <w:tcBorders>
              <w:top w:val="nil"/>
              <w:left w:val="nil"/>
              <w:bottom w:val="single" w:sz="4" w:space="0" w:color="auto"/>
              <w:right w:val="nil"/>
            </w:tcBorders>
            <w:shd w:val="clear" w:color="auto" w:fill="auto"/>
            <w:noWrap/>
            <w:vAlign w:val="center"/>
            <w:hideMark/>
          </w:tcPr>
          <w:p w14:paraId="57F02BE8" w14:textId="77777777" w:rsidR="009A4C46" w:rsidRPr="00D27B56" w:rsidRDefault="009A4C46" w:rsidP="009A4C46">
            <w:pPr>
              <w:spacing w:after="0" w:line="240" w:lineRule="auto"/>
              <w:jc w:val="center"/>
              <w:rPr>
                <w:rFonts w:eastAsia="Times New Roman"/>
                <w:lang w:eastAsia="ru-RU"/>
              </w:rPr>
            </w:pPr>
            <w:r w:rsidRPr="00D27B56">
              <w:rPr>
                <w:rFonts w:eastAsia="Times New Roman"/>
                <w:lang w:eastAsia="ru-RU"/>
              </w:rPr>
              <w:t>у.е.</w:t>
            </w:r>
          </w:p>
        </w:tc>
        <w:tc>
          <w:tcPr>
            <w:tcW w:w="1417" w:type="dxa"/>
            <w:tcBorders>
              <w:top w:val="nil"/>
              <w:left w:val="single" w:sz="4" w:space="0" w:color="auto"/>
              <w:bottom w:val="single" w:sz="4" w:space="0" w:color="auto"/>
              <w:right w:val="single" w:sz="4" w:space="0" w:color="auto"/>
            </w:tcBorders>
            <w:shd w:val="clear" w:color="auto" w:fill="auto"/>
            <w:noWrap/>
            <w:vAlign w:val="center"/>
            <w:hideMark/>
          </w:tcPr>
          <w:p w14:paraId="33D14E48" w14:textId="77777777" w:rsidR="009A4C46" w:rsidRPr="00D27B56" w:rsidRDefault="009A4C46" w:rsidP="009A4C46">
            <w:pPr>
              <w:spacing w:after="0" w:line="240" w:lineRule="auto"/>
              <w:jc w:val="center"/>
              <w:rPr>
                <w:rFonts w:eastAsia="Times New Roman"/>
                <w:lang w:eastAsia="ru-RU"/>
              </w:rPr>
            </w:pPr>
            <w:r w:rsidRPr="00D27B56">
              <w:rPr>
                <w:rFonts w:eastAsia="Times New Roman"/>
                <w:lang w:eastAsia="ru-RU"/>
              </w:rPr>
              <w:t>3 080,00</w:t>
            </w:r>
          </w:p>
        </w:tc>
        <w:tc>
          <w:tcPr>
            <w:tcW w:w="1283" w:type="dxa"/>
            <w:tcBorders>
              <w:top w:val="nil"/>
              <w:left w:val="nil"/>
              <w:bottom w:val="single" w:sz="4" w:space="0" w:color="auto"/>
              <w:right w:val="single" w:sz="4" w:space="0" w:color="auto"/>
            </w:tcBorders>
            <w:shd w:val="clear" w:color="auto" w:fill="auto"/>
            <w:noWrap/>
            <w:vAlign w:val="center"/>
            <w:hideMark/>
          </w:tcPr>
          <w:p w14:paraId="7FB4E250" w14:textId="77777777" w:rsidR="009A4C46" w:rsidRPr="00D27B56" w:rsidRDefault="009A4C46" w:rsidP="009A4C46">
            <w:pPr>
              <w:spacing w:after="0" w:line="240" w:lineRule="auto"/>
              <w:jc w:val="center"/>
              <w:rPr>
                <w:rFonts w:eastAsia="Times New Roman"/>
                <w:lang w:eastAsia="ru-RU"/>
              </w:rPr>
            </w:pPr>
            <w:r w:rsidRPr="00D27B56">
              <w:rPr>
                <w:rFonts w:eastAsia="Times New Roman"/>
                <w:lang w:eastAsia="ru-RU"/>
              </w:rPr>
              <w:t>3 080,00</w:t>
            </w:r>
          </w:p>
        </w:tc>
        <w:tc>
          <w:tcPr>
            <w:tcW w:w="1559" w:type="dxa"/>
            <w:tcBorders>
              <w:top w:val="nil"/>
              <w:left w:val="nil"/>
              <w:bottom w:val="single" w:sz="4" w:space="0" w:color="auto"/>
              <w:right w:val="single" w:sz="8" w:space="0" w:color="auto"/>
            </w:tcBorders>
            <w:shd w:val="clear" w:color="auto" w:fill="auto"/>
            <w:noWrap/>
            <w:vAlign w:val="center"/>
            <w:hideMark/>
          </w:tcPr>
          <w:p w14:paraId="595B262D" w14:textId="77777777" w:rsidR="009A4C46" w:rsidRPr="00D27B56" w:rsidRDefault="009A4C46" w:rsidP="009A4C46">
            <w:pPr>
              <w:spacing w:after="0" w:line="240" w:lineRule="auto"/>
              <w:jc w:val="center"/>
              <w:rPr>
                <w:rFonts w:eastAsia="Times New Roman"/>
                <w:lang w:eastAsia="ru-RU"/>
              </w:rPr>
            </w:pPr>
            <w:r w:rsidRPr="00D27B56">
              <w:rPr>
                <w:rFonts w:eastAsia="Times New Roman"/>
                <w:lang w:eastAsia="ru-RU"/>
              </w:rPr>
              <w:t>3 080,00</w:t>
            </w:r>
          </w:p>
        </w:tc>
        <w:tc>
          <w:tcPr>
            <w:tcW w:w="1412" w:type="dxa"/>
            <w:tcBorders>
              <w:top w:val="nil"/>
              <w:left w:val="nil"/>
              <w:bottom w:val="single" w:sz="4" w:space="0" w:color="auto"/>
              <w:right w:val="single" w:sz="8" w:space="0" w:color="auto"/>
            </w:tcBorders>
            <w:vAlign w:val="center"/>
          </w:tcPr>
          <w:p w14:paraId="18D463CB" w14:textId="77777777" w:rsidR="009A4C46" w:rsidRPr="00D27B56" w:rsidRDefault="009A4C46" w:rsidP="009A4C46">
            <w:pPr>
              <w:spacing w:after="0" w:line="240" w:lineRule="auto"/>
              <w:jc w:val="center"/>
              <w:rPr>
                <w:rFonts w:eastAsia="Times New Roman"/>
                <w:lang w:eastAsia="ru-RU"/>
              </w:rPr>
            </w:pPr>
            <w:r w:rsidRPr="00D27B56">
              <w:rPr>
                <w:rFonts w:eastAsia="Times New Roman"/>
                <w:lang w:eastAsia="ru-RU"/>
              </w:rPr>
              <w:t>-</w:t>
            </w:r>
          </w:p>
        </w:tc>
      </w:tr>
      <w:tr w:rsidR="00D27B56" w:rsidRPr="00D27B56" w14:paraId="0CEDAEF5" w14:textId="77777777" w:rsidTr="004235C4">
        <w:trPr>
          <w:trHeight w:val="20"/>
        </w:trPr>
        <w:tc>
          <w:tcPr>
            <w:tcW w:w="2778" w:type="dxa"/>
            <w:tcBorders>
              <w:top w:val="nil"/>
              <w:left w:val="single" w:sz="8" w:space="0" w:color="auto"/>
              <w:bottom w:val="single" w:sz="4" w:space="0" w:color="auto"/>
              <w:right w:val="single" w:sz="4" w:space="0" w:color="auto"/>
            </w:tcBorders>
            <w:shd w:val="clear" w:color="auto" w:fill="auto"/>
            <w:vAlign w:val="center"/>
            <w:hideMark/>
          </w:tcPr>
          <w:p w14:paraId="090CFC10" w14:textId="77777777" w:rsidR="009A4C46" w:rsidRPr="003E2802" w:rsidRDefault="009A4C46" w:rsidP="009A4C46">
            <w:pPr>
              <w:spacing w:after="0" w:line="240" w:lineRule="auto"/>
              <w:rPr>
                <w:rFonts w:eastAsia="Times New Roman"/>
                <w:lang w:eastAsia="ru-RU"/>
              </w:rPr>
            </w:pPr>
            <w:r w:rsidRPr="00E169B0">
              <w:rPr>
                <w:rFonts w:eastAsia="Times New Roman"/>
                <w:lang w:eastAsia="ru-RU"/>
              </w:rPr>
              <w:t>СН1</w:t>
            </w:r>
          </w:p>
        </w:tc>
        <w:tc>
          <w:tcPr>
            <w:tcW w:w="896" w:type="dxa"/>
            <w:tcBorders>
              <w:top w:val="nil"/>
              <w:left w:val="nil"/>
              <w:bottom w:val="single" w:sz="4" w:space="0" w:color="auto"/>
              <w:right w:val="nil"/>
            </w:tcBorders>
            <w:shd w:val="clear" w:color="auto" w:fill="auto"/>
            <w:noWrap/>
            <w:vAlign w:val="center"/>
            <w:hideMark/>
          </w:tcPr>
          <w:p w14:paraId="522EB40C" w14:textId="77777777" w:rsidR="009A4C46" w:rsidRPr="00D27B56" w:rsidRDefault="009A4C46" w:rsidP="009A4C46">
            <w:pPr>
              <w:spacing w:after="0" w:line="240" w:lineRule="auto"/>
              <w:jc w:val="center"/>
              <w:rPr>
                <w:rFonts w:eastAsia="Times New Roman"/>
                <w:lang w:eastAsia="ru-RU"/>
              </w:rPr>
            </w:pPr>
            <w:r w:rsidRPr="00D27B56">
              <w:rPr>
                <w:rFonts w:eastAsia="Times New Roman"/>
                <w:lang w:eastAsia="ru-RU"/>
              </w:rPr>
              <w:t>у.е.</w:t>
            </w:r>
          </w:p>
        </w:tc>
        <w:tc>
          <w:tcPr>
            <w:tcW w:w="1417" w:type="dxa"/>
            <w:tcBorders>
              <w:top w:val="nil"/>
              <w:left w:val="single" w:sz="4" w:space="0" w:color="auto"/>
              <w:bottom w:val="single" w:sz="4" w:space="0" w:color="auto"/>
              <w:right w:val="single" w:sz="4" w:space="0" w:color="auto"/>
            </w:tcBorders>
            <w:shd w:val="clear" w:color="auto" w:fill="auto"/>
            <w:noWrap/>
            <w:vAlign w:val="center"/>
            <w:hideMark/>
          </w:tcPr>
          <w:p w14:paraId="64BE2013" w14:textId="77777777" w:rsidR="009A4C46" w:rsidRPr="00D27B56" w:rsidRDefault="009A4C46" w:rsidP="009A4C46">
            <w:pPr>
              <w:spacing w:after="0" w:line="240" w:lineRule="auto"/>
              <w:jc w:val="center"/>
              <w:rPr>
                <w:rFonts w:eastAsia="Times New Roman"/>
                <w:lang w:eastAsia="ru-RU"/>
              </w:rPr>
            </w:pPr>
            <w:r w:rsidRPr="00D27B56">
              <w:rPr>
                <w:rFonts w:eastAsia="Times New Roman"/>
                <w:lang w:eastAsia="ru-RU"/>
              </w:rPr>
              <w:t>2 960,83</w:t>
            </w:r>
          </w:p>
        </w:tc>
        <w:tc>
          <w:tcPr>
            <w:tcW w:w="1283" w:type="dxa"/>
            <w:tcBorders>
              <w:top w:val="nil"/>
              <w:left w:val="nil"/>
              <w:bottom w:val="single" w:sz="4" w:space="0" w:color="auto"/>
              <w:right w:val="single" w:sz="4" w:space="0" w:color="auto"/>
            </w:tcBorders>
            <w:shd w:val="clear" w:color="auto" w:fill="auto"/>
            <w:noWrap/>
            <w:vAlign w:val="center"/>
            <w:hideMark/>
          </w:tcPr>
          <w:p w14:paraId="6CE1726F" w14:textId="77777777" w:rsidR="009A4C46" w:rsidRPr="00D27B56" w:rsidRDefault="009A4C46" w:rsidP="009A4C46">
            <w:pPr>
              <w:spacing w:after="0" w:line="240" w:lineRule="auto"/>
              <w:jc w:val="center"/>
              <w:rPr>
                <w:rFonts w:eastAsia="Times New Roman"/>
                <w:lang w:eastAsia="ru-RU"/>
              </w:rPr>
            </w:pPr>
            <w:r w:rsidRPr="00D27B56">
              <w:rPr>
                <w:rFonts w:eastAsia="Times New Roman"/>
                <w:lang w:eastAsia="ru-RU"/>
              </w:rPr>
              <w:t>2 960,83</w:t>
            </w:r>
          </w:p>
        </w:tc>
        <w:tc>
          <w:tcPr>
            <w:tcW w:w="1559" w:type="dxa"/>
            <w:tcBorders>
              <w:top w:val="nil"/>
              <w:left w:val="nil"/>
              <w:bottom w:val="single" w:sz="4" w:space="0" w:color="auto"/>
              <w:right w:val="single" w:sz="8" w:space="0" w:color="auto"/>
            </w:tcBorders>
            <w:shd w:val="clear" w:color="auto" w:fill="auto"/>
            <w:noWrap/>
            <w:vAlign w:val="center"/>
            <w:hideMark/>
          </w:tcPr>
          <w:p w14:paraId="1FEFFDFE" w14:textId="77777777" w:rsidR="009A4C46" w:rsidRPr="00D27B56" w:rsidRDefault="009A4C46" w:rsidP="009A4C46">
            <w:pPr>
              <w:spacing w:after="0" w:line="240" w:lineRule="auto"/>
              <w:jc w:val="center"/>
              <w:rPr>
                <w:rFonts w:eastAsia="Times New Roman"/>
                <w:lang w:eastAsia="ru-RU"/>
              </w:rPr>
            </w:pPr>
            <w:r w:rsidRPr="00D27B56">
              <w:rPr>
                <w:rFonts w:eastAsia="Times New Roman"/>
                <w:lang w:eastAsia="ru-RU"/>
              </w:rPr>
              <w:t>2 960,83</w:t>
            </w:r>
          </w:p>
        </w:tc>
        <w:tc>
          <w:tcPr>
            <w:tcW w:w="1412" w:type="dxa"/>
            <w:tcBorders>
              <w:top w:val="nil"/>
              <w:left w:val="nil"/>
              <w:bottom w:val="single" w:sz="4" w:space="0" w:color="auto"/>
              <w:right w:val="single" w:sz="8" w:space="0" w:color="auto"/>
            </w:tcBorders>
            <w:vAlign w:val="center"/>
          </w:tcPr>
          <w:p w14:paraId="54EFC1E1" w14:textId="77777777" w:rsidR="009A4C46" w:rsidRPr="00D27B56" w:rsidRDefault="009A4C46" w:rsidP="009A4C46">
            <w:pPr>
              <w:spacing w:after="0" w:line="240" w:lineRule="auto"/>
              <w:jc w:val="center"/>
              <w:rPr>
                <w:rFonts w:eastAsia="Times New Roman"/>
                <w:lang w:eastAsia="ru-RU"/>
              </w:rPr>
            </w:pPr>
            <w:r w:rsidRPr="00D27B56">
              <w:rPr>
                <w:rFonts w:eastAsia="Times New Roman"/>
                <w:lang w:eastAsia="ru-RU"/>
              </w:rPr>
              <w:t>-</w:t>
            </w:r>
          </w:p>
        </w:tc>
      </w:tr>
      <w:tr w:rsidR="00D27B56" w:rsidRPr="00D27B56" w14:paraId="37A06C09" w14:textId="77777777" w:rsidTr="004235C4">
        <w:trPr>
          <w:trHeight w:val="20"/>
        </w:trPr>
        <w:tc>
          <w:tcPr>
            <w:tcW w:w="2778" w:type="dxa"/>
            <w:tcBorders>
              <w:top w:val="nil"/>
              <w:left w:val="single" w:sz="8" w:space="0" w:color="auto"/>
              <w:bottom w:val="single" w:sz="4" w:space="0" w:color="auto"/>
              <w:right w:val="single" w:sz="4" w:space="0" w:color="auto"/>
            </w:tcBorders>
            <w:shd w:val="clear" w:color="auto" w:fill="auto"/>
            <w:vAlign w:val="center"/>
            <w:hideMark/>
          </w:tcPr>
          <w:p w14:paraId="155D94CB" w14:textId="77777777" w:rsidR="009A4C46" w:rsidRPr="003E2802" w:rsidRDefault="009A4C46" w:rsidP="009A4C46">
            <w:pPr>
              <w:spacing w:after="0" w:line="240" w:lineRule="auto"/>
              <w:rPr>
                <w:rFonts w:eastAsia="Times New Roman"/>
                <w:lang w:eastAsia="ru-RU"/>
              </w:rPr>
            </w:pPr>
            <w:r w:rsidRPr="00E169B0">
              <w:rPr>
                <w:rFonts w:eastAsia="Times New Roman"/>
                <w:lang w:eastAsia="ru-RU"/>
              </w:rPr>
              <w:t>СН2</w:t>
            </w:r>
          </w:p>
        </w:tc>
        <w:tc>
          <w:tcPr>
            <w:tcW w:w="896" w:type="dxa"/>
            <w:tcBorders>
              <w:top w:val="nil"/>
              <w:left w:val="nil"/>
              <w:bottom w:val="single" w:sz="4" w:space="0" w:color="auto"/>
              <w:right w:val="nil"/>
            </w:tcBorders>
            <w:shd w:val="clear" w:color="auto" w:fill="auto"/>
            <w:noWrap/>
            <w:vAlign w:val="center"/>
            <w:hideMark/>
          </w:tcPr>
          <w:p w14:paraId="4221F488" w14:textId="77777777" w:rsidR="009A4C46" w:rsidRPr="00D27B56" w:rsidRDefault="009A4C46" w:rsidP="009A4C46">
            <w:pPr>
              <w:spacing w:after="0" w:line="240" w:lineRule="auto"/>
              <w:jc w:val="center"/>
              <w:rPr>
                <w:rFonts w:eastAsia="Times New Roman"/>
                <w:lang w:eastAsia="ru-RU"/>
              </w:rPr>
            </w:pPr>
            <w:r w:rsidRPr="00D27B56">
              <w:rPr>
                <w:rFonts w:eastAsia="Times New Roman"/>
                <w:lang w:eastAsia="ru-RU"/>
              </w:rPr>
              <w:t>у.е.</w:t>
            </w:r>
          </w:p>
        </w:tc>
        <w:tc>
          <w:tcPr>
            <w:tcW w:w="1417" w:type="dxa"/>
            <w:tcBorders>
              <w:top w:val="nil"/>
              <w:left w:val="single" w:sz="4" w:space="0" w:color="auto"/>
              <w:bottom w:val="single" w:sz="4" w:space="0" w:color="auto"/>
              <w:right w:val="single" w:sz="4" w:space="0" w:color="auto"/>
            </w:tcBorders>
            <w:shd w:val="clear" w:color="auto" w:fill="auto"/>
            <w:noWrap/>
            <w:vAlign w:val="center"/>
            <w:hideMark/>
          </w:tcPr>
          <w:p w14:paraId="2BAED582" w14:textId="77777777" w:rsidR="009A4C46" w:rsidRPr="00D27B56" w:rsidRDefault="009A4C46" w:rsidP="009A4C46">
            <w:pPr>
              <w:spacing w:after="0" w:line="240" w:lineRule="auto"/>
              <w:jc w:val="center"/>
              <w:rPr>
                <w:rFonts w:eastAsia="Times New Roman"/>
                <w:lang w:eastAsia="ru-RU"/>
              </w:rPr>
            </w:pPr>
            <w:r w:rsidRPr="00D27B56">
              <w:rPr>
                <w:rFonts w:eastAsia="Times New Roman"/>
                <w:lang w:eastAsia="ru-RU"/>
              </w:rPr>
              <w:t>18 388,79</w:t>
            </w:r>
          </w:p>
        </w:tc>
        <w:tc>
          <w:tcPr>
            <w:tcW w:w="1283" w:type="dxa"/>
            <w:tcBorders>
              <w:top w:val="nil"/>
              <w:left w:val="nil"/>
              <w:bottom w:val="single" w:sz="4" w:space="0" w:color="auto"/>
              <w:right w:val="single" w:sz="4" w:space="0" w:color="auto"/>
            </w:tcBorders>
            <w:shd w:val="clear" w:color="auto" w:fill="auto"/>
            <w:noWrap/>
            <w:vAlign w:val="center"/>
            <w:hideMark/>
          </w:tcPr>
          <w:p w14:paraId="6D41965E" w14:textId="77777777" w:rsidR="009A4C46" w:rsidRPr="00D27B56" w:rsidRDefault="009A4C46" w:rsidP="009A4C46">
            <w:pPr>
              <w:spacing w:after="0" w:line="240" w:lineRule="auto"/>
              <w:jc w:val="center"/>
              <w:rPr>
                <w:rFonts w:eastAsia="Times New Roman"/>
                <w:lang w:eastAsia="ru-RU"/>
              </w:rPr>
            </w:pPr>
            <w:r w:rsidRPr="00D27B56">
              <w:rPr>
                <w:rFonts w:eastAsia="Times New Roman"/>
                <w:lang w:eastAsia="ru-RU"/>
              </w:rPr>
              <w:t>18 388,79</w:t>
            </w:r>
          </w:p>
        </w:tc>
        <w:tc>
          <w:tcPr>
            <w:tcW w:w="1559" w:type="dxa"/>
            <w:tcBorders>
              <w:top w:val="nil"/>
              <w:left w:val="nil"/>
              <w:bottom w:val="single" w:sz="4" w:space="0" w:color="auto"/>
              <w:right w:val="single" w:sz="8" w:space="0" w:color="auto"/>
            </w:tcBorders>
            <w:shd w:val="clear" w:color="auto" w:fill="auto"/>
            <w:noWrap/>
            <w:vAlign w:val="center"/>
            <w:hideMark/>
          </w:tcPr>
          <w:p w14:paraId="0832928E" w14:textId="77777777" w:rsidR="009A4C46" w:rsidRPr="00D27B56" w:rsidRDefault="009A4C46" w:rsidP="009A4C46">
            <w:pPr>
              <w:spacing w:after="0" w:line="240" w:lineRule="auto"/>
              <w:jc w:val="center"/>
              <w:rPr>
                <w:rFonts w:eastAsia="Times New Roman"/>
                <w:lang w:eastAsia="ru-RU"/>
              </w:rPr>
            </w:pPr>
            <w:r w:rsidRPr="00D27B56">
              <w:rPr>
                <w:rFonts w:eastAsia="Times New Roman"/>
                <w:lang w:eastAsia="ru-RU"/>
              </w:rPr>
              <w:t>18 388,79</w:t>
            </w:r>
          </w:p>
        </w:tc>
        <w:tc>
          <w:tcPr>
            <w:tcW w:w="1412" w:type="dxa"/>
            <w:tcBorders>
              <w:top w:val="nil"/>
              <w:left w:val="nil"/>
              <w:bottom w:val="single" w:sz="4" w:space="0" w:color="auto"/>
              <w:right w:val="single" w:sz="8" w:space="0" w:color="auto"/>
            </w:tcBorders>
            <w:vAlign w:val="center"/>
          </w:tcPr>
          <w:p w14:paraId="172D158C" w14:textId="77777777" w:rsidR="009A4C46" w:rsidRPr="00D27B56" w:rsidRDefault="009A4C46" w:rsidP="009A4C46">
            <w:pPr>
              <w:spacing w:after="0" w:line="240" w:lineRule="auto"/>
              <w:jc w:val="center"/>
              <w:rPr>
                <w:rFonts w:eastAsia="Times New Roman"/>
                <w:lang w:eastAsia="ru-RU"/>
              </w:rPr>
            </w:pPr>
            <w:r w:rsidRPr="00D27B56">
              <w:rPr>
                <w:rFonts w:eastAsia="Times New Roman"/>
                <w:lang w:eastAsia="ru-RU"/>
              </w:rPr>
              <w:t>-</w:t>
            </w:r>
          </w:p>
        </w:tc>
      </w:tr>
      <w:tr w:rsidR="00D27B56" w:rsidRPr="00D27B56" w14:paraId="2005EF03" w14:textId="77777777" w:rsidTr="004235C4">
        <w:trPr>
          <w:trHeight w:val="20"/>
        </w:trPr>
        <w:tc>
          <w:tcPr>
            <w:tcW w:w="2778" w:type="dxa"/>
            <w:tcBorders>
              <w:top w:val="nil"/>
              <w:left w:val="single" w:sz="8" w:space="0" w:color="auto"/>
              <w:bottom w:val="single" w:sz="4" w:space="0" w:color="auto"/>
              <w:right w:val="single" w:sz="4" w:space="0" w:color="auto"/>
            </w:tcBorders>
            <w:shd w:val="clear" w:color="auto" w:fill="auto"/>
            <w:vAlign w:val="center"/>
            <w:hideMark/>
          </w:tcPr>
          <w:p w14:paraId="205D5662" w14:textId="77777777" w:rsidR="009A4C46" w:rsidRPr="003E2802" w:rsidRDefault="009A4C46" w:rsidP="009A4C46">
            <w:pPr>
              <w:spacing w:after="0" w:line="240" w:lineRule="auto"/>
              <w:rPr>
                <w:rFonts w:eastAsia="Times New Roman"/>
                <w:lang w:eastAsia="ru-RU"/>
              </w:rPr>
            </w:pPr>
            <w:r w:rsidRPr="00E169B0">
              <w:rPr>
                <w:rFonts w:eastAsia="Times New Roman"/>
                <w:lang w:eastAsia="ru-RU"/>
              </w:rPr>
              <w:t>НН</w:t>
            </w:r>
          </w:p>
        </w:tc>
        <w:tc>
          <w:tcPr>
            <w:tcW w:w="896" w:type="dxa"/>
            <w:tcBorders>
              <w:top w:val="nil"/>
              <w:left w:val="nil"/>
              <w:bottom w:val="single" w:sz="4" w:space="0" w:color="auto"/>
              <w:right w:val="nil"/>
            </w:tcBorders>
            <w:shd w:val="clear" w:color="auto" w:fill="auto"/>
            <w:noWrap/>
            <w:vAlign w:val="center"/>
            <w:hideMark/>
          </w:tcPr>
          <w:p w14:paraId="37C7C186" w14:textId="77777777" w:rsidR="009A4C46" w:rsidRPr="00D27B56" w:rsidRDefault="009A4C46" w:rsidP="009A4C46">
            <w:pPr>
              <w:spacing w:after="0" w:line="240" w:lineRule="auto"/>
              <w:jc w:val="center"/>
              <w:rPr>
                <w:rFonts w:eastAsia="Times New Roman"/>
                <w:lang w:eastAsia="ru-RU"/>
              </w:rPr>
            </w:pPr>
            <w:r w:rsidRPr="00D27B56">
              <w:rPr>
                <w:rFonts w:eastAsia="Times New Roman"/>
                <w:lang w:eastAsia="ru-RU"/>
              </w:rPr>
              <w:t>у.е.</w:t>
            </w:r>
          </w:p>
        </w:tc>
        <w:tc>
          <w:tcPr>
            <w:tcW w:w="1417" w:type="dxa"/>
            <w:tcBorders>
              <w:top w:val="nil"/>
              <w:left w:val="single" w:sz="4" w:space="0" w:color="auto"/>
              <w:bottom w:val="single" w:sz="4" w:space="0" w:color="auto"/>
              <w:right w:val="single" w:sz="4" w:space="0" w:color="auto"/>
            </w:tcBorders>
            <w:shd w:val="clear" w:color="auto" w:fill="auto"/>
            <w:noWrap/>
            <w:vAlign w:val="center"/>
            <w:hideMark/>
          </w:tcPr>
          <w:p w14:paraId="0557F5F1" w14:textId="77777777" w:rsidR="009A4C46" w:rsidRPr="00D27B56" w:rsidRDefault="009A4C46" w:rsidP="009A4C46">
            <w:pPr>
              <w:spacing w:after="0" w:line="240" w:lineRule="auto"/>
              <w:jc w:val="center"/>
              <w:rPr>
                <w:rFonts w:eastAsia="Times New Roman"/>
                <w:lang w:eastAsia="ru-RU"/>
              </w:rPr>
            </w:pPr>
            <w:r w:rsidRPr="00D27B56">
              <w:rPr>
                <w:rFonts w:eastAsia="Times New Roman"/>
                <w:lang w:eastAsia="ru-RU"/>
              </w:rPr>
              <w:t>5 558,38</w:t>
            </w:r>
          </w:p>
        </w:tc>
        <w:tc>
          <w:tcPr>
            <w:tcW w:w="1283" w:type="dxa"/>
            <w:tcBorders>
              <w:top w:val="nil"/>
              <w:left w:val="nil"/>
              <w:bottom w:val="single" w:sz="4" w:space="0" w:color="auto"/>
              <w:right w:val="single" w:sz="4" w:space="0" w:color="auto"/>
            </w:tcBorders>
            <w:shd w:val="clear" w:color="auto" w:fill="auto"/>
            <w:noWrap/>
            <w:vAlign w:val="center"/>
            <w:hideMark/>
          </w:tcPr>
          <w:p w14:paraId="1A82E43D" w14:textId="77777777" w:rsidR="009A4C46" w:rsidRPr="00D27B56" w:rsidRDefault="009A4C46" w:rsidP="009A4C46">
            <w:pPr>
              <w:spacing w:after="0" w:line="240" w:lineRule="auto"/>
              <w:jc w:val="center"/>
              <w:rPr>
                <w:rFonts w:eastAsia="Times New Roman"/>
                <w:lang w:eastAsia="ru-RU"/>
              </w:rPr>
            </w:pPr>
            <w:r w:rsidRPr="00D27B56">
              <w:rPr>
                <w:rFonts w:eastAsia="Times New Roman"/>
                <w:lang w:eastAsia="ru-RU"/>
              </w:rPr>
              <w:t>5 558,38</w:t>
            </w:r>
          </w:p>
        </w:tc>
        <w:tc>
          <w:tcPr>
            <w:tcW w:w="1559" w:type="dxa"/>
            <w:tcBorders>
              <w:top w:val="nil"/>
              <w:left w:val="nil"/>
              <w:bottom w:val="single" w:sz="4" w:space="0" w:color="auto"/>
              <w:right w:val="single" w:sz="8" w:space="0" w:color="auto"/>
            </w:tcBorders>
            <w:shd w:val="clear" w:color="auto" w:fill="auto"/>
            <w:noWrap/>
            <w:vAlign w:val="center"/>
            <w:hideMark/>
          </w:tcPr>
          <w:p w14:paraId="2A7AA8CA" w14:textId="77777777" w:rsidR="009A4C46" w:rsidRPr="00D27B56" w:rsidRDefault="009A4C46" w:rsidP="009A4C46">
            <w:pPr>
              <w:spacing w:after="0" w:line="240" w:lineRule="auto"/>
              <w:jc w:val="center"/>
              <w:rPr>
                <w:rFonts w:eastAsia="Times New Roman"/>
                <w:lang w:eastAsia="ru-RU"/>
              </w:rPr>
            </w:pPr>
            <w:r w:rsidRPr="00D27B56">
              <w:rPr>
                <w:rFonts w:eastAsia="Times New Roman"/>
                <w:lang w:eastAsia="ru-RU"/>
              </w:rPr>
              <w:t>5 558,38</w:t>
            </w:r>
          </w:p>
        </w:tc>
        <w:tc>
          <w:tcPr>
            <w:tcW w:w="1412" w:type="dxa"/>
            <w:tcBorders>
              <w:top w:val="nil"/>
              <w:left w:val="nil"/>
              <w:bottom w:val="single" w:sz="4" w:space="0" w:color="auto"/>
              <w:right w:val="single" w:sz="8" w:space="0" w:color="auto"/>
            </w:tcBorders>
            <w:vAlign w:val="center"/>
          </w:tcPr>
          <w:p w14:paraId="3EAA22CD" w14:textId="77777777" w:rsidR="009A4C46" w:rsidRPr="00D27B56" w:rsidRDefault="009A4C46" w:rsidP="009A4C46">
            <w:pPr>
              <w:spacing w:after="0" w:line="240" w:lineRule="auto"/>
              <w:jc w:val="center"/>
              <w:rPr>
                <w:rFonts w:eastAsia="Times New Roman"/>
                <w:lang w:eastAsia="ru-RU"/>
              </w:rPr>
            </w:pPr>
            <w:r w:rsidRPr="00D27B56">
              <w:rPr>
                <w:rFonts w:eastAsia="Times New Roman"/>
                <w:lang w:eastAsia="ru-RU"/>
              </w:rPr>
              <w:t>-</w:t>
            </w:r>
          </w:p>
        </w:tc>
      </w:tr>
      <w:tr w:rsidR="00D27B56" w:rsidRPr="00D27B56" w14:paraId="548D9146" w14:textId="77777777" w:rsidTr="004235C4">
        <w:trPr>
          <w:trHeight w:val="20"/>
        </w:trPr>
        <w:tc>
          <w:tcPr>
            <w:tcW w:w="2778" w:type="dxa"/>
            <w:tcBorders>
              <w:top w:val="nil"/>
              <w:left w:val="single" w:sz="8" w:space="0" w:color="auto"/>
              <w:bottom w:val="single" w:sz="4" w:space="0" w:color="auto"/>
              <w:right w:val="single" w:sz="4" w:space="0" w:color="auto"/>
            </w:tcBorders>
            <w:shd w:val="clear" w:color="auto" w:fill="auto"/>
            <w:vAlign w:val="center"/>
            <w:hideMark/>
          </w:tcPr>
          <w:p w14:paraId="1EAF0615" w14:textId="77777777" w:rsidR="009A4C46" w:rsidRPr="00D27B56" w:rsidRDefault="009A4C46" w:rsidP="009A4C46">
            <w:pPr>
              <w:spacing w:after="0" w:line="240" w:lineRule="auto"/>
              <w:rPr>
                <w:rFonts w:eastAsia="Times New Roman"/>
                <w:lang w:eastAsia="ru-RU"/>
              </w:rPr>
            </w:pPr>
            <w:r w:rsidRPr="00E169B0">
              <w:rPr>
                <w:rFonts w:eastAsia="Times New Roman"/>
                <w:lang w:eastAsia="ru-RU"/>
              </w:rPr>
              <w:t>Инд</w:t>
            </w:r>
            <w:r w:rsidRPr="003E2802">
              <w:rPr>
                <w:rFonts w:eastAsia="Times New Roman"/>
                <w:lang w:eastAsia="ru-RU"/>
              </w:rPr>
              <w:t>екс</w:t>
            </w:r>
            <w:r w:rsidRPr="00D27B56">
              <w:rPr>
                <w:rFonts w:eastAsia="Times New Roman"/>
                <w:lang w:eastAsia="ru-RU"/>
              </w:rPr>
              <w:t xml:space="preserve"> изменения количества активов</w:t>
            </w:r>
          </w:p>
        </w:tc>
        <w:tc>
          <w:tcPr>
            <w:tcW w:w="896" w:type="dxa"/>
            <w:tcBorders>
              <w:top w:val="nil"/>
              <w:left w:val="nil"/>
              <w:bottom w:val="single" w:sz="4" w:space="0" w:color="auto"/>
              <w:right w:val="nil"/>
            </w:tcBorders>
            <w:shd w:val="clear" w:color="auto" w:fill="auto"/>
            <w:noWrap/>
            <w:vAlign w:val="center"/>
            <w:hideMark/>
          </w:tcPr>
          <w:p w14:paraId="3B890BC0" w14:textId="77777777" w:rsidR="009A4C46" w:rsidRPr="00D27B56" w:rsidRDefault="009A4C46" w:rsidP="009A4C46">
            <w:pPr>
              <w:spacing w:after="0" w:line="240" w:lineRule="auto"/>
              <w:jc w:val="center"/>
              <w:rPr>
                <w:rFonts w:eastAsia="Times New Roman"/>
                <w:lang w:eastAsia="ru-RU"/>
              </w:rPr>
            </w:pPr>
            <w:r w:rsidRPr="00D27B56">
              <w:rPr>
                <w:rFonts w:eastAsia="Times New Roman"/>
                <w:lang w:eastAsia="ru-RU"/>
              </w:rPr>
              <w:t>%</w:t>
            </w:r>
          </w:p>
        </w:tc>
        <w:tc>
          <w:tcPr>
            <w:tcW w:w="1417" w:type="dxa"/>
            <w:tcBorders>
              <w:top w:val="nil"/>
              <w:left w:val="single" w:sz="4" w:space="0" w:color="auto"/>
              <w:bottom w:val="single" w:sz="4" w:space="0" w:color="auto"/>
              <w:right w:val="single" w:sz="4" w:space="0" w:color="auto"/>
            </w:tcBorders>
            <w:shd w:val="clear" w:color="auto" w:fill="auto"/>
            <w:noWrap/>
            <w:vAlign w:val="center"/>
            <w:hideMark/>
          </w:tcPr>
          <w:p w14:paraId="1394A077" w14:textId="77777777" w:rsidR="009A4C46" w:rsidRPr="00D27B56" w:rsidRDefault="009A4C46" w:rsidP="009A4C46">
            <w:pPr>
              <w:spacing w:after="0" w:line="240" w:lineRule="auto"/>
              <w:jc w:val="center"/>
              <w:rPr>
                <w:rFonts w:eastAsia="Times New Roman"/>
                <w:lang w:eastAsia="ru-RU"/>
              </w:rPr>
            </w:pPr>
            <w:r w:rsidRPr="00D27B56">
              <w:rPr>
                <w:rFonts w:eastAsia="Times New Roman"/>
                <w:lang w:eastAsia="ru-RU"/>
              </w:rPr>
              <w:t>0,00%</w:t>
            </w:r>
          </w:p>
        </w:tc>
        <w:tc>
          <w:tcPr>
            <w:tcW w:w="1283" w:type="dxa"/>
            <w:tcBorders>
              <w:top w:val="nil"/>
              <w:left w:val="nil"/>
              <w:bottom w:val="single" w:sz="4" w:space="0" w:color="auto"/>
              <w:right w:val="single" w:sz="4" w:space="0" w:color="auto"/>
            </w:tcBorders>
            <w:shd w:val="clear" w:color="auto" w:fill="auto"/>
            <w:noWrap/>
            <w:vAlign w:val="center"/>
            <w:hideMark/>
          </w:tcPr>
          <w:p w14:paraId="47DCB54B" w14:textId="77777777" w:rsidR="009A4C46" w:rsidRPr="00D27B56" w:rsidRDefault="009A4C46" w:rsidP="009A4C46">
            <w:pPr>
              <w:spacing w:after="0" w:line="240" w:lineRule="auto"/>
              <w:jc w:val="center"/>
              <w:rPr>
                <w:rFonts w:eastAsia="Times New Roman"/>
                <w:lang w:eastAsia="ru-RU"/>
              </w:rPr>
            </w:pPr>
            <w:r w:rsidRPr="00D27B56">
              <w:rPr>
                <w:rFonts w:eastAsia="Times New Roman"/>
                <w:lang w:eastAsia="ru-RU"/>
              </w:rPr>
              <w:t>0,00%</w:t>
            </w:r>
          </w:p>
        </w:tc>
        <w:tc>
          <w:tcPr>
            <w:tcW w:w="1559" w:type="dxa"/>
            <w:tcBorders>
              <w:top w:val="nil"/>
              <w:left w:val="nil"/>
              <w:bottom w:val="single" w:sz="4" w:space="0" w:color="auto"/>
              <w:right w:val="single" w:sz="8" w:space="0" w:color="auto"/>
            </w:tcBorders>
            <w:shd w:val="clear" w:color="auto" w:fill="auto"/>
            <w:noWrap/>
            <w:vAlign w:val="center"/>
            <w:hideMark/>
          </w:tcPr>
          <w:p w14:paraId="7923E3B2" w14:textId="77777777" w:rsidR="009A4C46" w:rsidRPr="00D27B56" w:rsidRDefault="009A4C46" w:rsidP="009A4C46">
            <w:pPr>
              <w:spacing w:after="0" w:line="240" w:lineRule="auto"/>
              <w:jc w:val="center"/>
              <w:rPr>
                <w:rFonts w:eastAsia="Times New Roman"/>
                <w:lang w:eastAsia="ru-RU"/>
              </w:rPr>
            </w:pPr>
            <w:r w:rsidRPr="00D27B56">
              <w:rPr>
                <w:rFonts w:eastAsia="Times New Roman"/>
                <w:lang w:eastAsia="ru-RU"/>
              </w:rPr>
              <w:t>0,00%</w:t>
            </w:r>
          </w:p>
        </w:tc>
        <w:tc>
          <w:tcPr>
            <w:tcW w:w="1412" w:type="dxa"/>
            <w:tcBorders>
              <w:top w:val="nil"/>
              <w:left w:val="nil"/>
              <w:bottom w:val="single" w:sz="4" w:space="0" w:color="auto"/>
              <w:right w:val="single" w:sz="8" w:space="0" w:color="auto"/>
            </w:tcBorders>
            <w:vAlign w:val="center"/>
          </w:tcPr>
          <w:p w14:paraId="70E3219E" w14:textId="77777777" w:rsidR="009A4C46" w:rsidRPr="00D27B56" w:rsidRDefault="009A4C46" w:rsidP="009A4C46">
            <w:pPr>
              <w:spacing w:after="0" w:line="240" w:lineRule="auto"/>
              <w:jc w:val="center"/>
              <w:rPr>
                <w:rFonts w:eastAsia="Times New Roman"/>
                <w:lang w:eastAsia="ru-RU"/>
              </w:rPr>
            </w:pPr>
            <w:r w:rsidRPr="00D27B56">
              <w:rPr>
                <w:rFonts w:eastAsia="Times New Roman"/>
                <w:lang w:eastAsia="ru-RU"/>
              </w:rPr>
              <w:t>-</w:t>
            </w:r>
          </w:p>
        </w:tc>
      </w:tr>
      <w:tr w:rsidR="00D27B56" w:rsidRPr="00D27B56" w14:paraId="17081E9F" w14:textId="77777777" w:rsidTr="004235C4">
        <w:trPr>
          <w:trHeight w:val="20"/>
        </w:trPr>
        <w:tc>
          <w:tcPr>
            <w:tcW w:w="2778" w:type="dxa"/>
            <w:tcBorders>
              <w:top w:val="nil"/>
              <w:left w:val="single" w:sz="8" w:space="0" w:color="auto"/>
              <w:bottom w:val="single" w:sz="4" w:space="0" w:color="auto"/>
              <w:right w:val="single" w:sz="4" w:space="0" w:color="auto"/>
            </w:tcBorders>
            <w:shd w:val="clear" w:color="auto" w:fill="auto"/>
            <w:vAlign w:val="center"/>
            <w:hideMark/>
          </w:tcPr>
          <w:p w14:paraId="560B1367" w14:textId="77777777" w:rsidR="009A4C46" w:rsidRPr="00D27B56" w:rsidRDefault="009A4C46" w:rsidP="009A4C46">
            <w:pPr>
              <w:spacing w:after="0" w:line="240" w:lineRule="auto"/>
              <w:rPr>
                <w:rFonts w:eastAsia="Times New Roman"/>
                <w:lang w:eastAsia="ru-RU"/>
              </w:rPr>
            </w:pPr>
            <w:r w:rsidRPr="00E169B0">
              <w:rPr>
                <w:rFonts w:eastAsia="Times New Roman"/>
                <w:lang w:eastAsia="ru-RU"/>
              </w:rPr>
              <w:t>Коэффициент</w:t>
            </w:r>
            <w:r w:rsidRPr="003E2802">
              <w:rPr>
                <w:rFonts w:eastAsia="Times New Roman"/>
                <w:lang w:eastAsia="ru-RU"/>
              </w:rPr>
              <w:t xml:space="preserve"> эластичнос</w:t>
            </w:r>
            <w:r w:rsidRPr="00D27B56">
              <w:rPr>
                <w:rFonts w:eastAsia="Times New Roman"/>
                <w:lang w:eastAsia="ru-RU"/>
              </w:rPr>
              <w:t>ти затрат по росту активов</w:t>
            </w:r>
          </w:p>
        </w:tc>
        <w:tc>
          <w:tcPr>
            <w:tcW w:w="896" w:type="dxa"/>
            <w:tcBorders>
              <w:top w:val="nil"/>
              <w:left w:val="nil"/>
              <w:bottom w:val="single" w:sz="4" w:space="0" w:color="auto"/>
              <w:right w:val="nil"/>
            </w:tcBorders>
            <w:shd w:val="clear" w:color="auto" w:fill="auto"/>
            <w:noWrap/>
            <w:vAlign w:val="center"/>
            <w:hideMark/>
          </w:tcPr>
          <w:p w14:paraId="01F4429E" w14:textId="77777777" w:rsidR="009A4C46" w:rsidRPr="00D27B56" w:rsidRDefault="009A4C46" w:rsidP="009A4C46">
            <w:pPr>
              <w:spacing w:after="0" w:line="240" w:lineRule="auto"/>
              <w:jc w:val="center"/>
              <w:rPr>
                <w:rFonts w:eastAsia="Times New Roman"/>
                <w:lang w:eastAsia="ru-RU"/>
              </w:rPr>
            </w:pPr>
          </w:p>
        </w:tc>
        <w:tc>
          <w:tcPr>
            <w:tcW w:w="1417" w:type="dxa"/>
            <w:tcBorders>
              <w:top w:val="nil"/>
              <w:left w:val="single" w:sz="4" w:space="0" w:color="auto"/>
              <w:bottom w:val="single" w:sz="4" w:space="0" w:color="auto"/>
              <w:right w:val="single" w:sz="4" w:space="0" w:color="auto"/>
            </w:tcBorders>
            <w:shd w:val="clear" w:color="auto" w:fill="auto"/>
            <w:noWrap/>
            <w:vAlign w:val="center"/>
            <w:hideMark/>
          </w:tcPr>
          <w:p w14:paraId="12AC65F7" w14:textId="77777777" w:rsidR="009A4C46" w:rsidRPr="00D27B56" w:rsidRDefault="009A4C46" w:rsidP="009A4C46">
            <w:pPr>
              <w:spacing w:after="0" w:line="240" w:lineRule="auto"/>
              <w:jc w:val="center"/>
              <w:rPr>
                <w:rFonts w:eastAsia="Times New Roman"/>
                <w:lang w:eastAsia="ru-RU"/>
              </w:rPr>
            </w:pPr>
            <w:r w:rsidRPr="00D27B56">
              <w:rPr>
                <w:rFonts w:eastAsia="Times New Roman"/>
                <w:lang w:eastAsia="ru-RU"/>
              </w:rPr>
              <w:t>0,75</w:t>
            </w:r>
          </w:p>
        </w:tc>
        <w:tc>
          <w:tcPr>
            <w:tcW w:w="1283" w:type="dxa"/>
            <w:tcBorders>
              <w:top w:val="nil"/>
              <w:left w:val="nil"/>
              <w:bottom w:val="single" w:sz="4" w:space="0" w:color="auto"/>
              <w:right w:val="single" w:sz="4" w:space="0" w:color="auto"/>
            </w:tcBorders>
            <w:shd w:val="clear" w:color="auto" w:fill="auto"/>
            <w:noWrap/>
            <w:vAlign w:val="center"/>
            <w:hideMark/>
          </w:tcPr>
          <w:p w14:paraId="7AD081E8" w14:textId="77777777" w:rsidR="009A4C46" w:rsidRPr="00D27B56" w:rsidRDefault="009A4C46" w:rsidP="009A4C46">
            <w:pPr>
              <w:spacing w:after="0" w:line="240" w:lineRule="auto"/>
              <w:jc w:val="center"/>
              <w:rPr>
                <w:rFonts w:eastAsia="Times New Roman"/>
                <w:lang w:eastAsia="ru-RU"/>
              </w:rPr>
            </w:pPr>
            <w:r w:rsidRPr="00D27B56">
              <w:rPr>
                <w:rFonts w:eastAsia="Times New Roman"/>
                <w:lang w:eastAsia="ru-RU"/>
              </w:rPr>
              <w:t>0,75</w:t>
            </w:r>
          </w:p>
        </w:tc>
        <w:tc>
          <w:tcPr>
            <w:tcW w:w="1559" w:type="dxa"/>
            <w:tcBorders>
              <w:top w:val="nil"/>
              <w:left w:val="nil"/>
              <w:bottom w:val="single" w:sz="4" w:space="0" w:color="auto"/>
              <w:right w:val="single" w:sz="8" w:space="0" w:color="auto"/>
            </w:tcBorders>
            <w:shd w:val="clear" w:color="auto" w:fill="auto"/>
            <w:noWrap/>
            <w:vAlign w:val="center"/>
            <w:hideMark/>
          </w:tcPr>
          <w:p w14:paraId="2C149592" w14:textId="77777777" w:rsidR="009A4C46" w:rsidRPr="00D27B56" w:rsidRDefault="009A4C46" w:rsidP="009A4C46">
            <w:pPr>
              <w:spacing w:after="0" w:line="240" w:lineRule="auto"/>
              <w:jc w:val="center"/>
              <w:rPr>
                <w:rFonts w:eastAsia="Times New Roman"/>
                <w:lang w:eastAsia="ru-RU"/>
              </w:rPr>
            </w:pPr>
            <w:r w:rsidRPr="00D27B56">
              <w:rPr>
                <w:rFonts w:eastAsia="Times New Roman"/>
                <w:lang w:eastAsia="ru-RU"/>
              </w:rPr>
              <w:t>0,75</w:t>
            </w:r>
          </w:p>
        </w:tc>
        <w:tc>
          <w:tcPr>
            <w:tcW w:w="1412" w:type="dxa"/>
            <w:tcBorders>
              <w:top w:val="nil"/>
              <w:left w:val="nil"/>
              <w:bottom w:val="single" w:sz="4" w:space="0" w:color="auto"/>
              <w:right w:val="single" w:sz="8" w:space="0" w:color="auto"/>
            </w:tcBorders>
            <w:vAlign w:val="center"/>
          </w:tcPr>
          <w:p w14:paraId="2CBAD848" w14:textId="77777777" w:rsidR="009A4C46" w:rsidRPr="00D27B56" w:rsidRDefault="009A4C46" w:rsidP="009A4C46">
            <w:pPr>
              <w:spacing w:after="0" w:line="240" w:lineRule="auto"/>
              <w:jc w:val="center"/>
              <w:rPr>
                <w:rFonts w:eastAsia="Times New Roman"/>
                <w:lang w:eastAsia="ru-RU"/>
              </w:rPr>
            </w:pPr>
            <w:r w:rsidRPr="00D27B56">
              <w:rPr>
                <w:rFonts w:eastAsia="Times New Roman"/>
                <w:lang w:eastAsia="ru-RU"/>
              </w:rPr>
              <w:t>-</w:t>
            </w:r>
          </w:p>
        </w:tc>
      </w:tr>
      <w:tr w:rsidR="00D27B56" w:rsidRPr="00D27B56" w14:paraId="57E2DA18" w14:textId="77777777" w:rsidTr="004235C4">
        <w:trPr>
          <w:trHeight w:val="20"/>
        </w:trPr>
        <w:tc>
          <w:tcPr>
            <w:tcW w:w="2778" w:type="dxa"/>
            <w:tcBorders>
              <w:top w:val="nil"/>
              <w:left w:val="single" w:sz="8" w:space="0" w:color="auto"/>
              <w:bottom w:val="single" w:sz="8" w:space="0" w:color="auto"/>
              <w:right w:val="single" w:sz="4" w:space="0" w:color="auto"/>
            </w:tcBorders>
            <w:shd w:val="clear" w:color="auto" w:fill="auto"/>
            <w:vAlign w:val="center"/>
            <w:hideMark/>
          </w:tcPr>
          <w:p w14:paraId="2D8B72C9" w14:textId="77777777" w:rsidR="009A4C46" w:rsidRPr="003E2802" w:rsidRDefault="009A4C46" w:rsidP="009A4C46">
            <w:pPr>
              <w:spacing w:after="0" w:line="240" w:lineRule="auto"/>
              <w:rPr>
                <w:rFonts w:eastAsia="Times New Roman"/>
                <w:lang w:eastAsia="ru-RU"/>
              </w:rPr>
            </w:pPr>
            <w:r w:rsidRPr="00E169B0">
              <w:rPr>
                <w:rFonts w:eastAsia="Times New Roman"/>
                <w:lang w:eastAsia="ru-RU"/>
              </w:rPr>
              <w:t>Итого коэффициент индексации</w:t>
            </w:r>
          </w:p>
        </w:tc>
        <w:tc>
          <w:tcPr>
            <w:tcW w:w="896" w:type="dxa"/>
            <w:tcBorders>
              <w:top w:val="nil"/>
              <w:left w:val="nil"/>
              <w:bottom w:val="single" w:sz="8" w:space="0" w:color="auto"/>
              <w:right w:val="nil"/>
            </w:tcBorders>
            <w:shd w:val="clear" w:color="auto" w:fill="auto"/>
            <w:noWrap/>
            <w:vAlign w:val="center"/>
            <w:hideMark/>
          </w:tcPr>
          <w:p w14:paraId="59BF4543" w14:textId="77777777" w:rsidR="009A4C46" w:rsidRPr="00D27B56" w:rsidRDefault="009A4C46" w:rsidP="009A4C46">
            <w:pPr>
              <w:spacing w:after="0" w:line="240" w:lineRule="auto"/>
              <w:jc w:val="center"/>
              <w:rPr>
                <w:rFonts w:eastAsia="Times New Roman"/>
                <w:lang w:eastAsia="ru-RU"/>
              </w:rPr>
            </w:pPr>
          </w:p>
        </w:tc>
        <w:tc>
          <w:tcPr>
            <w:tcW w:w="1417" w:type="dxa"/>
            <w:tcBorders>
              <w:top w:val="nil"/>
              <w:left w:val="single" w:sz="4" w:space="0" w:color="auto"/>
              <w:bottom w:val="single" w:sz="8" w:space="0" w:color="auto"/>
              <w:right w:val="single" w:sz="4" w:space="0" w:color="auto"/>
            </w:tcBorders>
            <w:shd w:val="clear" w:color="auto" w:fill="auto"/>
            <w:noWrap/>
            <w:vAlign w:val="center"/>
            <w:hideMark/>
          </w:tcPr>
          <w:p w14:paraId="19D0F6AE" w14:textId="77777777" w:rsidR="009A4C46" w:rsidRPr="00D27B56" w:rsidRDefault="009A4C46" w:rsidP="009A4C46">
            <w:pPr>
              <w:spacing w:after="0" w:line="240" w:lineRule="auto"/>
              <w:jc w:val="center"/>
              <w:rPr>
                <w:rFonts w:eastAsia="Times New Roman"/>
                <w:lang w:eastAsia="ru-RU"/>
              </w:rPr>
            </w:pPr>
            <w:r w:rsidRPr="00D27B56">
              <w:rPr>
                <w:rFonts w:eastAsia="Times New Roman"/>
                <w:lang w:eastAsia="ru-RU"/>
              </w:rPr>
              <w:t>1,039</w:t>
            </w:r>
          </w:p>
        </w:tc>
        <w:tc>
          <w:tcPr>
            <w:tcW w:w="1283" w:type="dxa"/>
            <w:tcBorders>
              <w:top w:val="nil"/>
              <w:left w:val="nil"/>
              <w:bottom w:val="single" w:sz="8" w:space="0" w:color="auto"/>
              <w:right w:val="nil"/>
            </w:tcBorders>
            <w:shd w:val="clear" w:color="auto" w:fill="auto"/>
            <w:noWrap/>
            <w:vAlign w:val="center"/>
            <w:hideMark/>
          </w:tcPr>
          <w:p w14:paraId="009434CD" w14:textId="77777777" w:rsidR="009A4C46" w:rsidRPr="00D27B56" w:rsidRDefault="009A4C46" w:rsidP="009A4C46">
            <w:pPr>
              <w:spacing w:after="0" w:line="240" w:lineRule="auto"/>
              <w:jc w:val="center"/>
              <w:rPr>
                <w:rFonts w:eastAsia="Times New Roman"/>
                <w:lang w:eastAsia="ru-RU"/>
              </w:rPr>
            </w:pPr>
            <w:r w:rsidRPr="00D27B56">
              <w:rPr>
                <w:rFonts w:eastAsia="Times New Roman"/>
                <w:lang w:eastAsia="ru-RU"/>
              </w:rPr>
              <w:t>1,030</w:t>
            </w:r>
          </w:p>
        </w:tc>
        <w:tc>
          <w:tcPr>
            <w:tcW w:w="1559" w:type="dxa"/>
            <w:tcBorders>
              <w:top w:val="nil"/>
              <w:left w:val="single" w:sz="4" w:space="0" w:color="auto"/>
              <w:bottom w:val="single" w:sz="8" w:space="0" w:color="auto"/>
              <w:right w:val="single" w:sz="8" w:space="0" w:color="auto"/>
            </w:tcBorders>
            <w:shd w:val="clear" w:color="auto" w:fill="auto"/>
            <w:noWrap/>
            <w:vAlign w:val="center"/>
            <w:hideMark/>
          </w:tcPr>
          <w:p w14:paraId="50BA49CE" w14:textId="77777777" w:rsidR="009A4C46" w:rsidRPr="00D27B56" w:rsidRDefault="009A4C46" w:rsidP="009A4C46">
            <w:pPr>
              <w:spacing w:after="0" w:line="240" w:lineRule="auto"/>
              <w:jc w:val="center"/>
              <w:rPr>
                <w:rFonts w:eastAsia="Times New Roman"/>
                <w:lang w:eastAsia="ru-RU"/>
              </w:rPr>
            </w:pPr>
            <w:r w:rsidRPr="00D27B56">
              <w:rPr>
                <w:rFonts w:eastAsia="Times New Roman"/>
                <w:lang w:eastAsia="ru-RU"/>
              </w:rPr>
              <w:t>1,0296</w:t>
            </w:r>
          </w:p>
        </w:tc>
        <w:tc>
          <w:tcPr>
            <w:tcW w:w="1412" w:type="dxa"/>
            <w:tcBorders>
              <w:top w:val="nil"/>
              <w:left w:val="single" w:sz="4" w:space="0" w:color="auto"/>
              <w:bottom w:val="single" w:sz="8" w:space="0" w:color="auto"/>
              <w:right w:val="single" w:sz="8" w:space="0" w:color="auto"/>
            </w:tcBorders>
            <w:vAlign w:val="center"/>
          </w:tcPr>
          <w:p w14:paraId="15AE398F" w14:textId="77777777" w:rsidR="009A4C46" w:rsidRPr="00D27B56" w:rsidRDefault="009A4C46" w:rsidP="009A4C46">
            <w:pPr>
              <w:spacing w:after="0" w:line="240" w:lineRule="auto"/>
              <w:jc w:val="center"/>
              <w:rPr>
                <w:rFonts w:eastAsia="Times New Roman"/>
                <w:lang w:eastAsia="ru-RU"/>
              </w:rPr>
            </w:pPr>
            <w:r w:rsidRPr="00D27B56">
              <w:rPr>
                <w:rFonts w:eastAsia="Times New Roman"/>
                <w:lang w:eastAsia="ru-RU"/>
              </w:rPr>
              <w:t>-</w:t>
            </w:r>
          </w:p>
        </w:tc>
      </w:tr>
      <w:tr w:rsidR="009A4C46" w:rsidRPr="00D27B56" w14:paraId="070AA61A" w14:textId="77777777" w:rsidTr="008B0B3C">
        <w:trPr>
          <w:trHeight w:val="20"/>
        </w:trPr>
        <w:tc>
          <w:tcPr>
            <w:tcW w:w="9345" w:type="dxa"/>
            <w:gridSpan w:val="6"/>
            <w:tcBorders>
              <w:top w:val="nil"/>
              <w:left w:val="single" w:sz="8" w:space="0" w:color="auto"/>
              <w:bottom w:val="single" w:sz="4" w:space="0" w:color="auto"/>
              <w:right w:val="single" w:sz="8" w:space="0" w:color="auto"/>
            </w:tcBorders>
            <w:shd w:val="clear" w:color="auto" w:fill="D6E3BC" w:themeFill="accent3" w:themeFillTint="66"/>
            <w:vAlign w:val="center"/>
            <w:hideMark/>
          </w:tcPr>
          <w:p w14:paraId="34D5BEEF" w14:textId="77777777" w:rsidR="009A4C46" w:rsidRPr="003E2802" w:rsidRDefault="009A4C46" w:rsidP="009A4C46">
            <w:pPr>
              <w:spacing w:after="0" w:line="240" w:lineRule="auto"/>
              <w:jc w:val="center"/>
              <w:rPr>
                <w:rFonts w:eastAsia="Times New Roman"/>
                <w:lang w:eastAsia="ru-RU"/>
              </w:rPr>
            </w:pPr>
            <w:r w:rsidRPr="00E169B0">
              <w:rPr>
                <w:rFonts w:eastAsia="Times New Roman"/>
                <w:b/>
                <w:lang w:eastAsia="ru-RU"/>
              </w:rPr>
              <w:lastRenderedPageBreak/>
              <w:t>Расчет подконтрольных расходов</w:t>
            </w:r>
          </w:p>
        </w:tc>
      </w:tr>
      <w:tr w:rsidR="0072390C" w:rsidRPr="0072390C" w14:paraId="71B2E331" w14:textId="77777777" w:rsidTr="004235C4">
        <w:trPr>
          <w:trHeight w:val="20"/>
        </w:trPr>
        <w:tc>
          <w:tcPr>
            <w:tcW w:w="27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E92EDAA" w14:textId="77777777" w:rsidR="009A4C46" w:rsidRPr="0072390C" w:rsidRDefault="009A4C46" w:rsidP="009A4C46">
            <w:pPr>
              <w:spacing w:after="0" w:line="240" w:lineRule="auto"/>
              <w:rPr>
                <w:rFonts w:eastAsia="Times New Roman"/>
                <w:color w:val="auto"/>
                <w:lang w:eastAsia="ru-RU"/>
              </w:rPr>
            </w:pPr>
            <w:r w:rsidRPr="0072390C">
              <w:rPr>
                <w:rFonts w:eastAsia="Times New Roman"/>
                <w:color w:val="auto"/>
                <w:lang w:eastAsia="ru-RU"/>
              </w:rPr>
              <w:t>Материальные затраты, в том числе</w:t>
            </w:r>
          </w:p>
        </w:tc>
        <w:tc>
          <w:tcPr>
            <w:tcW w:w="896" w:type="dxa"/>
            <w:tcBorders>
              <w:top w:val="single" w:sz="4" w:space="0" w:color="auto"/>
              <w:left w:val="nil"/>
              <w:bottom w:val="single" w:sz="4" w:space="0" w:color="auto"/>
              <w:right w:val="nil"/>
            </w:tcBorders>
            <w:shd w:val="clear" w:color="auto" w:fill="auto"/>
            <w:noWrap/>
            <w:vAlign w:val="center"/>
            <w:hideMark/>
          </w:tcPr>
          <w:p w14:paraId="25B471C5" w14:textId="77777777" w:rsidR="009A4C46" w:rsidRPr="0072390C" w:rsidRDefault="009A4C46" w:rsidP="009A4C46">
            <w:pPr>
              <w:spacing w:after="0" w:line="240" w:lineRule="auto"/>
              <w:jc w:val="center"/>
              <w:rPr>
                <w:rFonts w:eastAsia="Times New Roman"/>
                <w:color w:val="auto"/>
                <w:lang w:eastAsia="ru-RU"/>
              </w:rPr>
            </w:pPr>
            <w:r w:rsidRPr="0072390C">
              <w:rPr>
                <w:rFonts w:eastAsia="Times New Roman"/>
                <w:color w:val="auto"/>
                <w:lang w:eastAsia="ru-RU"/>
              </w:rPr>
              <w:t>тыс. руб.</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7D5255" w14:textId="77777777" w:rsidR="009A4C46" w:rsidRPr="0072390C" w:rsidRDefault="009A4C46" w:rsidP="009A4C46">
            <w:pPr>
              <w:spacing w:after="0" w:line="240" w:lineRule="auto"/>
              <w:jc w:val="center"/>
              <w:rPr>
                <w:rFonts w:eastAsia="Times New Roman"/>
                <w:color w:val="auto"/>
                <w:lang w:eastAsia="ru-RU"/>
              </w:rPr>
            </w:pPr>
            <w:r w:rsidRPr="0072390C">
              <w:rPr>
                <w:rFonts w:eastAsia="Times New Roman"/>
                <w:color w:val="auto"/>
                <w:lang w:eastAsia="ru-RU"/>
              </w:rPr>
              <w:t>164 372,00</w:t>
            </w:r>
          </w:p>
        </w:tc>
        <w:tc>
          <w:tcPr>
            <w:tcW w:w="1283" w:type="dxa"/>
            <w:tcBorders>
              <w:top w:val="single" w:sz="4" w:space="0" w:color="auto"/>
              <w:left w:val="nil"/>
              <w:bottom w:val="single" w:sz="4" w:space="0" w:color="auto"/>
              <w:right w:val="single" w:sz="4" w:space="0" w:color="auto"/>
            </w:tcBorders>
            <w:shd w:val="clear" w:color="auto" w:fill="auto"/>
            <w:noWrap/>
            <w:vAlign w:val="center"/>
            <w:hideMark/>
          </w:tcPr>
          <w:p w14:paraId="60CC5075" w14:textId="4EAD8BD3" w:rsidR="005100A8" w:rsidRPr="0072390C" w:rsidRDefault="005100A8" w:rsidP="009A4C46">
            <w:pPr>
              <w:spacing w:after="0" w:line="240" w:lineRule="auto"/>
              <w:jc w:val="center"/>
              <w:rPr>
                <w:rFonts w:eastAsia="Times New Roman"/>
                <w:color w:val="auto"/>
                <w:lang w:eastAsia="ru-RU"/>
              </w:rPr>
            </w:pPr>
            <w:r w:rsidRPr="0072390C">
              <w:rPr>
                <w:rFonts w:eastAsia="Times New Roman"/>
                <w:color w:val="auto"/>
                <w:lang w:eastAsia="ru-RU"/>
              </w:rPr>
              <w:t>150 005,78</w:t>
            </w:r>
          </w:p>
        </w:tc>
        <w:tc>
          <w:tcPr>
            <w:tcW w:w="1559" w:type="dxa"/>
            <w:tcBorders>
              <w:top w:val="single" w:sz="4" w:space="0" w:color="auto"/>
              <w:left w:val="nil"/>
              <w:bottom w:val="single" w:sz="4" w:space="0" w:color="auto"/>
              <w:right w:val="single" w:sz="4" w:space="0" w:color="auto"/>
            </w:tcBorders>
            <w:shd w:val="clear" w:color="auto" w:fill="auto"/>
            <w:noWrap/>
            <w:vAlign w:val="center"/>
            <w:hideMark/>
          </w:tcPr>
          <w:p w14:paraId="19378095" w14:textId="77777777" w:rsidR="009A4C46" w:rsidRPr="0072390C" w:rsidRDefault="009A4C46" w:rsidP="009A4C46">
            <w:pPr>
              <w:spacing w:after="0" w:line="240" w:lineRule="auto"/>
              <w:jc w:val="center"/>
              <w:rPr>
                <w:rFonts w:eastAsia="Times New Roman"/>
                <w:color w:val="auto"/>
                <w:lang w:eastAsia="ru-RU"/>
              </w:rPr>
            </w:pPr>
            <w:r w:rsidRPr="0072390C">
              <w:rPr>
                <w:rFonts w:eastAsia="Times New Roman"/>
                <w:color w:val="auto"/>
                <w:lang w:eastAsia="ru-RU"/>
              </w:rPr>
              <w:t>146 490,49</w:t>
            </w:r>
          </w:p>
        </w:tc>
        <w:tc>
          <w:tcPr>
            <w:tcW w:w="1412" w:type="dxa"/>
            <w:tcBorders>
              <w:top w:val="single" w:sz="4" w:space="0" w:color="auto"/>
              <w:left w:val="single" w:sz="4" w:space="0" w:color="auto"/>
              <w:bottom w:val="single" w:sz="4" w:space="0" w:color="auto"/>
              <w:right w:val="single" w:sz="4" w:space="0" w:color="auto"/>
            </w:tcBorders>
            <w:shd w:val="clear" w:color="auto" w:fill="auto"/>
            <w:vAlign w:val="center"/>
          </w:tcPr>
          <w:p w14:paraId="014C9313" w14:textId="728991E7" w:rsidR="009A4C46" w:rsidRPr="0072390C" w:rsidRDefault="009A4C46" w:rsidP="00914992">
            <w:pPr>
              <w:spacing w:after="0" w:line="240" w:lineRule="auto"/>
              <w:jc w:val="center"/>
              <w:rPr>
                <w:rFonts w:eastAsia="Times New Roman"/>
                <w:color w:val="auto"/>
                <w:lang w:eastAsia="ru-RU"/>
              </w:rPr>
            </w:pPr>
            <w:r w:rsidRPr="0072390C">
              <w:rPr>
                <w:rFonts w:eastAsia="Times New Roman"/>
                <w:color w:val="auto"/>
                <w:lang w:eastAsia="ru-RU"/>
              </w:rPr>
              <w:t>-</w:t>
            </w:r>
            <w:r w:rsidR="00914992" w:rsidRPr="0072390C">
              <w:rPr>
                <w:rFonts w:eastAsia="Times New Roman"/>
                <w:color w:val="auto"/>
                <w:lang w:eastAsia="ru-RU"/>
              </w:rPr>
              <w:t>3 515,29</w:t>
            </w:r>
          </w:p>
        </w:tc>
      </w:tr>
      <w:tr w:rsidR="0072390C" w:rsidRPr="0072390C" w14:paraId="5F2442EF" w14:textId="77777777" w:rsidTr="004235C4">
        <w:trPr>
          <w:trHeight w:val="20"/>
        </w:trPr>
        <w:tc>
          <w:tcPr>
            <w:tcW w:w="2778" w:type="dxa"/>
            <w:tcBorders>
              <w:top w:val="nil"/>
              <w:left w:val="single" w:sz="8" w:space="0" w:color="auto"/>
              <w:bottom w:val="single" w:sz="4" w:space="0" w:color="auto"/>
              <w:right w:val="single" w:sz="4" w:space="0" w:color="auto"/>
            </w:tcBorders>
            <w:shd w:val="clear" w:color="auto" w:fill="auto"/>
            <w:vAlign w:val="center"/>
            <w:hideMark/>
          </w:tcPr>
          <w:p w14:paraId="76C2BDD8" w14:textId="7D2D6F91" w:rsidR="009A4C46" w:rsidRPr="0072390C" w:rsidRDefault="009A4C46" w:rsidP="009A4C46">
            <w:pPr>
              <w:spacing w:after="0" w:line="240" w:lineRule="auto"/>
              <w:rPr>
                <w:rFonts w:eastAsia="Times New Roman"/>
                <w:color w:val="auto"/>
                <w:lang w:eastAsia="ru-RU"/>
              </w:rPr>
            </w:pPr>
            <w:r w:rsidRPr="0072390C">
              <w:rPr>
                <w:rFonts w:eastAsia="Times New Roman"/>
                <w:color w:val="auto"/>
                <w:lang w:eastAsia="ru-RU"/>
              </w:rPr>
              <w:t>Сырье, материалы, запасные части, инструмент, топливо</w:t>
            </w:r>
          </w:p>
        </w:tc>
        <w:tc>
          <w:tcPr>
            <w:tcW w:w="896" w:type="dxa"/>
            <w:tcBorders>
              <w:top w:val="nil"/>
              <w:left w:val="nil"/>
              <w:bottom w:val="single" w:sz="4" w:space="0" w:color="auto"/>
              <w:right w:val="nil"/>
            </w:tcBorders>
            <w:shd w:val="clear" w:color="auto" w:fill="auto"/>
            <w:noWrap/>
            <w:vAlign w:val="center"/>
            <w:hideMark/>
          </w:tcPr>
          <w:p w14:paraId="27F9F431" w14:textId="77777777" w:rsidR="009A4C46" w:rsidRPr="0072390C" w:rsidRDefault="009A4C46" w:rsidP="009A4C46">
            <w:pPr>
              <w:spacing w:after="0" w:line="240" w:lineRule="auto"/>
              <w:jc w:val="center"/>
              <w:rPr>
                <w:rFonts w:eastAsia="Times New Roman"/>
                <w:color w:val="auto"/>
                <w:lang w:eastAsia="ru-RU"/>
              </w:rPr>
            </w:pPr>
            <w:r w:rsidRPr="0072390C">
              <w:rPr>
                <w:rFonts w:eastAsia="Times New Roman"/>
                <w:color w:val="auto"/>
                <w:lang w:eastAsia="ru-RU"/>
              </w:rPr>
              <w:t>тыс. руб.</w:t>
            </w:r>
          </w:p>
        </w:tc>
        <w:tc>
          <w:tcPr>
            <w:tcW w:w="1417" w:type="dxa"/>
            <w:tcBorders>
              <w:top w:val="nil"/>
              <w:left w:val="single" w:sz="4" w:space="0" w:color="auto"/>
              <w:bottom w:val="single" w:sz="4" w:space="0" w:color="auto"/>
              <w:right w:val="single" w:sz="4" w:space="0" w:color="auto"/>
            </w:tcBorders>
            <w:shd w:val="clear" w:color="auto" w:fill="auto"/>
            <w:noWrap/>
            <w:vAlign w:val="center"/>
            <w:hideMark/>
          </w:tcPr>
          <w:p w14:paraId="3B19C4DB" w14:textId="77777777" w:rsidR="009A4C46" w:rsidRPr="0072390C" w:rsidRDefault="009A4C46" w:rsidP="009A4C46">
            <w:pPr>
              <w:spacing w:after="0" w:line="240" w:lineRule="auto"/>
              <w:jc w:val="center"/>
              <w:rPr>
                <w:rFonts w:eastAsia="Times New Roman"/>
                <w:color w:val="auto"/>
                <w:lang w:eastAsia="ru-RU"/>
              </w:rPr>
            </w:pPr>
            <w:r w:rsidRPr="0072390C">
              <w:rPr>
                <w:rFonts w:eastAsia="Times New Roman"/>
                <w:color w:val="auto"/>
                <w:lang w:eastAsia="ru-RU"/>
              </w:rPr>
              <w:t>91 896,00</w:t>
            </w:r>
          </w:p>
        </w:tc>
        <w:tc>
          <w:tcPr>
            <w:tcW w:w="1283" w:type="dxa"/>
            <w:tcBorders>
              <w:top w:val="nil"/>
              <w:left w:val="nil"/>
              <w:bottom w:val="single" w:sz="4" w:space="0" w:color="auto"/>
              <w:right w:val="nil"/>
            </w:tcBorders>
            <w:shd w:val="clear" w:color="auto" w:fill="auto"/>
            <w:noWrap/>
            <w:vAlign w:val="center"/>
            <w:hideMark/>
          </w:tcPr>
          <w:p w14:paraId="66A1E338" w14:textId="77777777" w:rsidR="009A4C46" w:rsidRPr="0072390C" w:rsidRDefault="009A4C46" w:rsidP="009A4C46">
            <w:pPr>
              <w:spacing w:after="0" w:line="240" w:lineRule="auto"/>
              <w:jc w:val="center"/>
              <w:rPr>
                <w:rFonts w:eastAsia="Times New Roman"/>
                <w:color w:val="auto"/>
                <w:lang w:eastAsia="ru-RU"/>
              </w:rPr>
            </w:pPr>
            <w:r w:rsidRPr="0072390C">
              <w:rPr>
                <w:rFonts w:eastAsia="Times New Roman"/>
                <w:color w:val="auto"/>
                <w:lang w:eastAsia="ru-RU"/>
              </w:rPr>
              <w:t>94 616,12</w:t>
            </w:r>
          </w:p>
        </w:tc>
        <w:tc>
          <w:tcPr>
            <w:tcW w:w="1559" w:type="dxa"/>
            <w:tcBorders>
              <w:top w:val="nil"/>
              <w:left w:val="single" w:sz="4" w:space="0" w:color="auto"/>
              <w:bottom w:val="single" w:sz="4" w:space="0" w:color="auto"/>
              <w:right w:val="single" w:sz="4" w:space="0" w:color="auto"/>
            </w:tcBorders>
            <w:shd w:val="clear" w:color="auto" w:fill="auto"/>
            <w:noWrap/>
            <w:vAlign w:val="center"/>
            <w:hideMark/>
          </w:tcPr>
          <w:p w14:paraId="6B96B721" w14:textId="77777777" w:rsidR="009A4C46" w:rsidRPr="0072390C" w:rsidRDefault="009A4C46" w:rsidP="009A4C46">
            <w:pPr>
              <w:spacing w:after="0" w:line="240" w:lineRule="auto"/>
              <w:jc w:val="center"/>
              <w:rPr>
                <w:rFonts w:eastAsia="Times New Roman"/>
                <w:color w:val="auto"/>
                <w:lang w:eastAsia="ru-RU"/>
              </w:rPr>
            </w:pPr>
            <w:r w:rsidRPr="0072390C">
              <w:rPr>
                <w:rFonts w:eastAsia="Times New Roman"/>
                <w:color w:val="auto"/>
                <w:lang w:eastAsia="ru-RU"/>
              </w:rPr>
              <w:t>81 898,92</w:t>
            </w:r>
          </w:p>
        </w:tc>
        <w:tc>
          <w:tcPr>
            <w:tcW w:w="1412" w:type="dxa"/>
            <w:tcBorders>
              <w:top w:val="single" w:sz="4" w:space="0" w:color="auto"/>
              <w:left w:val="single" w:sz="4" w:space="0" w:color="auto"/>
              <w:bottom w:val="single" w:sz="4" w:space="0" w:color="auto"/>
              <w:right w:val="single" w:sz="4" w:space="0" w:color="auto"/>
            </w:tcBorders>
            <w:shd w:val="clear" w:color="auto" w:fill="auto"/>
            <w:vAlign w:val="center"/>
          </w:tcPr>
          <w:p w14:paraId="0FFC5A63" w14:textId="77777777" w:rsidR="009A4C46" w:rsidRPr="0072390C" w:rsidRDefault="009A4C46" w:rsidP="009A4C46">
            <w:pPr>
              <w:spacing w:after="0" w:line="240" w:lineRule="auto"/>
              <w:jc w:val="center"/>
              <w:rPr>
                <w:rFonts w:eastAsia="Times New Roman"/>
                <w:color w:val="auto"/>
                <w:lang w:eastAsia="ru-RU"/>
              </w:rPr>
            </w:pPr>
            <w:r w:rsidRPr="0072390C">
              <w:rPr>
                <w:rFonts w:eastAsia="Times New Roman"/>
                <w:color w:val="auto"/>
                <w:lang w:eastAsia="ru-RU"/>
              </w:rPr>
              <w:t>-12 717,20</w:t>
            </w:r>
          </w:p>
        </w:tc>
      </w:tr>
      <w:tr w:rsidR="0072390C" w:rsidRPr="0072390C" w14:paraId="79E0790F" w14:textId="77777777" w:rsidTr="004235C4">
        <w:trPr>
          <w:trHeight w:val="20"/>
        </w:trPr>
        <w:tc>
          <w:tcPr>
            <w:tcW w:w="2778" w:type="dxa"/>
            <w:tcBorders>
              <w:top w:val="nil"/>
              <w:left w:val="single" w:sz="8" w:space="0" w:color="auto"/>
              <w:bottom w:val="single" w:sz="4" w:space="0" w:color="auto"/>
              <w:right w:val="single" w:sz="4" w:space="0" w:color="auto"/>
            </w:tcBorders>
            <w:shd w:val="clear" w:color="auto" w:fill="auto"/>
            <w:vAlign w:val="center"/>
            <w:hideMark/>
          </w:tcPr>
          <w:p w14:paraId="0D28A2CB" w14:textId="77777777" w:rsidR="009A4C46" w:rsidRPr="0072390C" w:rsidRDefault="009A4C46" w:rsidP="009A4C46">
            <w:pPr>
              <w:spacing w:after="0" w:line="240" w:lineRule="auto"/>
              <w:rPr>
                <w:rFonts w:eastAsia="Times New Roman"/>
                <w:color w:val="auto"/>
                <w:lang w:eastAsia="ru-RU"/>
              </w:rPr>
            </w:pPr>
            <w:r w:rsidRPr="0072390C">
              <w:rPr>
                <w:rFonts w:eastAsia="Times New Roman"/>
                <w:color w:val="auto"/>
                <w:lang w:eastAsia="ru-RU"/>
              </w:rPr>
              <w:t>Работы и услуги производственного характера (в т.ч. услуги сторонних организаций по содержанию сетей и распределительных устройств)</w:t>
            </w:r>
          </w:p>
        </w:tc>
        <w:tc>
          <w:tcPr>
            <w:tcW w:w="896" w:type="dxa"/>
            <w:tcBorders>
              <w:top w:val="nil"/>
              <w:left w:val="nil"/>
              <w:bottom w:val="single" w:sz="4" w:space="0" w:color="auto"/>
              <w:right w:val="nil"/>
            </w:tcBorders>
            <w:shd w:val="clear" w:color="auto" w:fill="auto"/>
            <w:noWrap/>
            <w:vAlign w:val="center"/>
            <w:hideMark/>
          </w:tcPr>
          <w:p w14:paraId="6AFA02A9" w14:textId="77777777" w:rsidR="009A4C46" w:rsidRPr="0072390C" w:rsidRDefault="009A4C46" w:rsidP="009A4C46">
            <w:pPr>
              <w:spacing w:after="0" w:line="240" w:lineRule="auto"/>
              <w:jc w:val="center"/>
              <w:rPr>
                <w:rFonts w:eastAsia="Times New Roman"/>
                <w:color w:val="auto"/>
                <w:lang w:eastAsia="ru-RU"/>
              </w:rPr>
            </w:pPr>
            <w:r w:rsidRPr="0072390C">
              <w:rPr>
                <w:rFonts w:eastAsia="Times New Roman"/>
                <w:color w:val="auto"/>
                <w:lang w:eastAsia="ru-RU"/>
              </w:rPr>
              <w:t>тыс. руб.</w:t>
            </w:r>
          </w:p>
        </w:tc>
        <w:tc>
          <w:tcPr>
            <w:tcW w:w="1417" w:type="dxa"/>
            <w:tcBorders>
              <w:top w:val="nil"/>
              <w:left w:val="single" w:sz="4" w:space="0" w:color="auto"/>
              <w:bottom w:val="single" w:sz="4" w:space="0" w:color="auto"/>
              <w:right w:val="single" w:sz="4" w:space="0" w:color="auto"/>
            </w:tcBorders>
            <w:shd w:val="clear" w:color="auto" w:fill="auto"/>
            <w:noWrap/>
            <w:vAlign w:val="center"/>
            <w:hideMark/>
          </w:tcPr>
          <w:p w14:paraId="14450116" w14:textId="77777777" w:rsidR="009A4C46" w:rsidRPr="0072390C" w:rsidRDefault="009A4C46" w:rsidP="009A4C46">
            <w:pPr>
              <w:spacing w:after="0" w:line="240" w:lineRule="auto"/>
              <w:jc w:val="center"/>
              <w:rPr>
                <w:rFonts w:eastAsia="Times New Roman"/>
                <w:color w:val="auto"/>
                <w:lang w:eastAsia="ru-RU"/>
              </w:rPr>
            </w:pPr>
            <w:r w:rsidRPr="0072390C">
              <w:rPr>
                <w:rFonts w:eastAsia="Times New Roman"/>
                <w:color w:val="auto"/>
                <w:lang w:eastAsia="ru-RU"/>
              </w:rPr>
              <w:t>72 476,00</w:t>
            </w:r>
          </w:p>
        </w:tc>
        <w:tc>
          <w:tcPr>
            <w:tcW w:w="1283" w:type="dxa"/>
            <w:tcBorders>
              <w:top w:val="nil"/>
              <w:left w:val="nil"/>
              <w:bottom w:val="single" w:sz="4" w:space="0" w:color="auto"/>
              <w:right w:val="nil"/>
            </w:tcBorders>
            <w:shd w:val="clear" w:color="auto" w:fill="auto"/>
            <w:noWrap/>
            <w:vAlign w:val="center"/>
            <w:hideMark/>
          </w:tcPr>
          <w:p w14:paraId="36476DDA" w14:textId="3D52BA59" w:rsidR="005100A8" w:rsidRPr="0072390C" w:rsidRDefault="005100A8" w:rsidP="009A4C46">
            <w:pPr>
              <w:spacing w:after="0" w:line="240" w:lineRule="auto"/>
              <w:jc w:val="center"/>
              <w:rPr>
                <w:rFonts w:eastAsia="Times New Roman"/>
                <w:color w:val="auto"/>
                <w:lang w:eastAsia="ru-RU"/>
              </w:rPr>
            </w:pPr>
            <w:r w:rsidRPr="0072390C">
              <w:rPr>
                <w:rFonts w:eastAsia="Times New Roman"/>
                <w:color w:val="auto"/>
                <w:lang w:eastAsia="ru-RU"/>
              </w:rPr>
              <w:t>55 389,65</w:t>
            </w:r>
          </w:p>
        </w:tc>
        <w:tc>
          <w:tcPr>
            <w:tcW w:w="1559" w:type="dxa"/>
            <w:tcBorders>
              <w:top w:val="nil"/>
              <w:left w:val="single" w:sz="4" w:space="0" w:color="auto"/>
              <w:bottom w:val="single" w:sz="4" w:space="0" w:color="auto"/>
              <w:right w:val="single" w:sz="4" w:space="0" w:color="auto"/>
            </w:tcBorders>
            <w:shd w:val="clear" w:color="auto" w:fill="auto"/>
            <w:noWrap/>
            <w:vAlign w:val="center"/>
            <w:hideMark/>
          </w:tcPr>
          <w:p w14:paraId="6D4E1B42" w14:textId="77777777" w:rsidR="009A4C46" w:rsidRPr="0072390C" w:rsidRDefault="009A4C46" w:rsidP="009A4C46">
            <w:pPr>
              <w:spacing w:after="0" w:line="240" w:lineRule="auto"/>
              <w:jc w:val="center"/>
              <w:rPr>
                <w:rFonts w:eastAsia="Times New Roman"/>
                <w:color w:val="auto"/>
                <w:lang w:eastAsia="ru-RU"/>
              </w:rPr>
            </w:pPr>
            <w:r w:rsidRPr="0072390C">
              <w:rPr>
                <w:rFonts w:eastAsia="Times New Roman"/>
                <w:color w:val="auto"/>
                <w:lang w:eastAsia="ru-RU"/>
              </w:rPr>
              <w:t>64 591,56</w:t>
            </w:r>
          </w:p>
        </w:tc>
        <w:tc>
          <w:tcPr>
            <w:tcW w:w="1412" w:type="dxa"/>
            <w:tcBorders>
              <w:top w:val="single" w:sz="4" w:space="0" w:color="auto"/>
              <w:left w:val="single" w:sz="4" w:space="0" w:color="auto"/>
              <w:bottom w:val="single" w:sz="4" w:space="0" w:color="auto"/>
              <w:right w:val="single" w:sz="4" w:space="0" w:color="auto"/>
            </w:tcBorders>
            <w:shd w:val="clear" w:color="auto" w:fill="auto"/>
            <w:vAlign w:val="center"/>
          </w:tcPr>
          <w:p w14:paraId="6878B5B9" w14:textId="31AC24D3" w:rsidR="009A4C46" w:rsidRPr="0072390C" w:rsidRDefault="00914992" w:rsidP="009A4C46">
            <w:pPr>
              <w:spacing w:after="0" w:line="240" w:lineRule="auto"/>
              <w:jc w:val="center"/>
              <w:rPr>
                <w:rFonts w:eastAsia="Times New Roman"/>
                <w:color w:val="auto"/>
                <w:lang w:eastAsia="ru-RU"/>
              </w:rPr>
            </w:pPr>
            <w:r w:rsidRPr="0072390C">
              <w:rPr>
                <w:rFonts w:eastAsia="Times New Roman"/>
                <w:color w:val="auto"/>
                <w:lang w:eastAsia="ru-RU"/>
              </w:rPr>
              <w:t>9 201,91</w:t>
            </w:r>
          </w:p>
        </w:tc>
      </w:tr>
      <w:tr w:rsidR="0072390C" w:rsidRPr="0072390C" w14:paraId="5D867667" w14:textId="77777777" w:rsidTr="004235C4">
        <w:trPr>
          <w:trHeight w:val="20"/>
        </w:trPr>
        <w:tc>
          <w:tcPr>
            <w:tcW w:w="2778" w:type="dxa"/>
            <w:tcBorders>
              <w:top w:val="nil"/>
              <w:left w:val="single" w:sz="8" w:space="0" w:color="auto"/>
              <w:bottom w:val="single" w:sz="4" w:space="0" w:color="auto"/>
              <w:right w:val="single" w:sz="4" w:space="0" w:color="auto"/>
            </w:tcBorders>
            <w:shd w:val="clear" w:color="auto" w:fill="auto"/>
            <w:vAlign w:val="center"/>
            <w:hideMark/>
          </w:tcPr>
          <w:p w14:paraId="33912225" w14:textId="1E7DDBD6" w:rsidR="009A4C46" w:rsidRPr="0072390C" w:rsidRDefault="009A4C46" w:rsidP="009A4C46">
            <w:pPr>
              <w:spacing w:after="0" w:line="240" w:lineRule="auto"/>
              <w:rPr>
                <w:rFonts w:eastAsia="Times New Roman"/>
                <w:color w:val="auto"/>
                <w:lang w:eastAsia="ru-RU"/>
              </w:rPr>
            </w:pPr>
            <w:r w:rsidRPr="0072390C">
              <w:rPr>
                <w:rFonts w:eastAsia="Times New Roman"/>
                <w:color w:val="auto"/>
                <w:lang w:eastAsia="ru-RU"/>
              </w:rPr>
              <w:t>Расходы на оплату труда</w:t>
            </w:r>
          </w:p>
        </w:tc>
        <w:tc>
          <w:tcPr>
            <w:tcW w:w="896" w:type="dxa"/>
            <w:tcBorders>
              <w:top w:val="nil"/>
              <w:left w:val="nil"/>
              <w:bottom w:val="single" w:sz="4" w:space="0" w:color="auto"/>
              <w:right w:val="nil"/>
            </w:tcBorders>
            <w:shd w:val="clear" w:color="auto" w:fill="auto"/>
            <w:noWrap/>
            <w:vAlign w:val="center"/>
            <w:hideMark/>
          </w:tcPr>
          <w:p w14:paraId="61D7BC48" w14:textId="77777777" w:rsidR="009A4C46" w:rsidRPr="0072390C" w:rsidRDefault="009A4C46" w:rsidP="009A4C46">
            <w:pPr>
              <w:spacing w:after="0" w:line="240" w:lineRule="auto"/>
              <w:jc w:val="center"/>
              <w:rPr>
                <w:rFonts w:eastAsia="Times New Roman"/>
                <w:color w:val="auto"/>
                <w:lang w:eastAsia="ru-RU"/>
              </w:rPr>
            </w:pPr>
            <w:r w:rsidRPr="0072390C">
              <w:rPr>
                <w:rFonts w:eastAsia="Times New Roman"/>
                <w:color w:val="auto"/>
                <w:lang w:eastAsia="ru-RU"/>
              </w:rPr>
              <w:t>тыс. руб.</w:t>
            </w:r>
          </w:p>
        </w:tc>
        <w:tc>
          <w:tcPr>
            <w:tcW w:w="1417" w:type="dxa"/>
            <w:tcBorders>
              <w:top w:val="nil"/>
              <w:left w:val="single" w:sz="4" w:space="0" w:color="auto"/>
              <w:bottom w:val="single" w:sz="4" w:space="0" w:color="auto"/>
              <w:right w:val="single" w:sz="4" w:space="0" w:color="auto"/>
            </w:tcBorders>
            <w:shd w:val="clear" w:color="auto" w:fill="auto"/>
            <w:noWrap/>
            <w:vAlign w:val="center"/>
            <w:hideMark/>
          </w:tcPr>
          <w:p w14:paraId="2C5F0401" w14:textId="77777777" w:rsidR="009A4C46" w:rsidRPr="0072390C" w:rsidRDefault="009A4C46" w:rsidP="009A4C46">
            <w:pPr>
              <w:spacing w:after="0" w:line="240" w:lineRule="auto"/>
              <w:jc w:val="center"/>
              <w:rPr>
                <w:rFonts w:eastAsia="Times New Roman"/>
                <w:color w:val="auto"/>
                <w:lang w:eastAsia="ru-RU"/>
              </w:rPr>
            </w:pPr>
            <w:r w:rsidRPr="0072390C">
              <w:rPr>
                <w:rFonts w:eastAsia="Times New Roman"/>
                <w:color w:val="auto"/>
                <w:lang w:eastAsia="ru-RU"/>
              </w:rPr>
              <w:t>328 842,00</w:t>
            </w:r>
          </w:p>
        </w:tc>
        <w:tc>
          <w:tcPr>
            <w:tcW w:w="1283" w:type="dxa"/>
            <w:tcBorders>
              <w:top w:val="nil"/>
              <w:left w:val="nil"/>
              <w:bottom w:val="single" w:sz="4" w:space="0" w:color="auto"/>
              <w:right w:val="nil"/>
            </w:tcBorders>
            <w:shd w:val="clear" w:color="auto" w:fill="auto"/>
            <w:noWrap/>
            <w:vAlign w:val="center"/>
            <w:hideMark/>
          </w:tcPr>
          <w:p w14:paraId="542958C7" w14:textId="120A2115" w:rsidR="005100A8" w:rsidRPr="0072390C" w:rsidRDefault="005100A8" w:rsidP="009A4C46">
            <w:pPr>
              <w:spacing w:after="0" w:line="240" w:lineRule="auto"/>
              <w:jc w:val="center"/>
              <w:rPr>
                <w:rFonts w:eastAsia="Times New Roman"/>
                <w:color w:val="auto"/>
                <w:lang w:eastAsia="ru-RU"/>
              </w:rPr>
            </w:pPr>
            <w:r w:rsidRPr="0072390C">
              <w:rPr>
                <w:rFonts w:eastAsia="Times New Roman"/>
                <w:color w:val="auto"/>
                <w:lang w:eastAsia="ru-RU"/>
              </w:rPr>
              <w:t>357 807,36</w:t>
            </w:r>
          </w:p>
        </w:tc>
        <w:tc>
          <w:tcPr>
            <w:tcW w:w="1559" w:type="dxa"/>
            <w:tcBorders>
              <w:top w:val="nil"/>
              <w:left w:val="single" w:sz="4" w:space="0" w:color="auto"/>
              <w:bottom w:val="single" w:sz="4" w:space="0" w:color="auto"/>
              <w:right w:val="single" w:sz="4" w:space="0" w:color="auto"/>
            </w:tcBorders>
            <w:shd w:val="clear" w:color="auto" w:fill="auto"/>
            <w:noWrap/>
            <w:vAlign w:val="center"/>
            <w:hideMark/>
          </w:tcPr>
          <w:p w14:paraId="513FAFE5" w14:textId="77777777" w:rsidR="009A4C46" w:rsidRPr="0072390C" w:rsidRDefault="009A4C46" w:rsidP="009A4C46">
            <w:pPr>
              <w:spacing w:after="0" w:line="240" w:lineRule="auto"/>
              <w:jc w:val="center"/>
              <w:rPr>
                <w:rFonts w:eastAsia="Times New Roman"/>
                <w:color w:val="auto"/>
                <w:lang w:eastAsia="ru-RU"/>
              </w:rPr>
            </w:pPr>
            <w:r w:rsidRPr="0072390C">
              <w:rPr>
                <w:rFonts w:eastAsia="Times New Roman"/>
                <w:color w:val="auto"/>
                <w:lang w:eastAsia="ru-RU"/>
              </w:rPr>
              <w:t>381 359,52</w:t>
            </w:r>
          </w:p>
        </w:tc>
        <w:tc>
          <w:tcPr>
            <w:tcW w:w="1412" w:type="dxa"/>
            <w:tcBorders>
              <w:top w:val="single" w:sz="4" w:space="0" w:color="auto"/>
              <w:left w:val="single" w:sz="4" w:space="0" w:color="auto"/>
              <w:bottom w:val="single" w:sz="4" w:space="0" w:color="auto"/>
              <w:right w:val="single" w:sz="4" w:space="0" w:color="auto"/>
            </w:tcBorders>
            <w:shd w:val="clear" w:color="auto" w:fill="auto"/>
            <w:vAlign w:val="center"/>
          </w:tcPr>
          <w:p w14:paraId="134BC9B9" w14:textId="17105229" w:rsidR="009A4C46" w:rsidRPr="0072390C" w:rsidRDefault="00914992" w:rsidP="009A4C46">
            <w:pPr>
              <w:spacing w:after="0" w:line="240" w:lineRule="auto"/>
              <w:jc w:val="center"/>
              <w:rPr>
                <w:rFonts w:eastAsia="Times New Roman"/>
                <w:color w:val="auto"/>
                <w:lang w:eastAsia="ru-RU"/>
              </w:rPr>
            </w:pPr>
            <w:r w:rsidRPr="0072390C">
              <w:rPr>
                <w:rFonts w:eastAsia="Times New Roman"/>
                <w:color w:val="auto"/>
                <w:lang w:eastAsia="ru-RU"/>
              </w:rPr>
              <w:t>23 552,16</w:t>
            </w:r>
          </w:p>
        </w:tc>
      </w:tr>
      <w:tr w:rsidR="0072390C" w:rsidRPr="0072390C" w14:paraId="5A680FEA" w14:textId="77777777" w:rsidTr="004235C4">
        <w:trPr>
          <w:trHeight w:val="20"/>
        </w:trPr>
        <w:tc>
          <w:tcPr>
            <w:tcW w:w="2778" w:type="dxa"/>
            <w:tcBorders>
              <w:top w:val="nil"/>
              <w:left w:val="single" w:sz="8" w:space="0" w:color="auto"/>
              <w:bottom w:val="single" w:sz="4" w:space="0" w:color="auto"/>
              <w:right w:val="single" w:sz="4" w:space="0" w:color="auto"/>
            </w:tcBorders>
            <w:shd w:val="clear" w:color="auto" w:fill="auto"/>
            <w:vAlign w:val="center"/>
            <w:hideMark/>
          </w:tcPr>
          <w:p w14:paraId="0A79301A" w14:textId="2D303C25" w:rsidR="009A4C46" w:rsidRPr="0072390C" w:rsidRDefault="009A4C46" w:rsidP="009A4C46">
            <w:pPr>
              <w:spacing w:after="0" w:line="240" w:lineRule="auto"/>
              <w:rPr>
                <w:rFonts w:eastAsia="Times New Roman"/>
                <w:color w:val="auto"/>
                <w:lang w:eastAsia="ru-RU"/>
              </w:rPr>
            </w:pPr>
            <w:r w:rsidRPr="0072390C">
              <w:rPr>
                <w:rFonts w:eastAsia="Times New Roman"/>
                <w:color w:val="auto"/>
                <w:lang w:eastAsia="ru-RU"/>
              </w:rPr>
              <w:t>Прочие расходы, всего, в том числе:</w:t>
            </w:r>
          </w:p>
        </w:tc>
        <w:tc>
          <w:tcPr>
            <w:tcW w:w="896" w:type="dxa"/>
            <w:tcBorders>
              <w:top w:val="nil"/>
              <w:left w:val="nil"/>
              <w:bottom w:val="single" w:sz="4" w:space="0" w:color="auto"/>
              <w:right w:val="nil"/>
            </w:tcBorders>
            <w:shd w:val="clear" w:color="auto" w:fill="auto"/>
            <w:noWrap/>
            <w:vAlign w:val="center"/>
            <w:hideMark/>
          </w:tcPr>
          <w:p w14:paraId="66371163" w14:textId="77777777" w:rsidR="009A4C46" w:rsidRPr="0072390C" w:rsidRDefault="009A4C46" w:rsidP="009A4C46">
            <w:pPr>
              <w:spacing w:after="0" w:line="240" w:lineRule="auto"/>
              <w:jc w:val="center"/>
              <w:rPr>
                <w:rFonts w:eastAsia="Times New Roman"/>
                <w:color w:val="auto"/>
                <w:lang w:eastAsia="ru-RU"/>
              </w:rPr>
            </w:pPr>
            <w:r w:rsidRPr="0072390C">
              <w:rPr>
                <w:rFonts w:eastAsia="Times New Roman"/>
                <w:color w:val="auto"/>
                <w:lang w:eastAsia="ru-RU"/>
              </w:rPr>
              <w:t>тыс. руб.</w:t>
            </w:r>
          </w:p>
        </w:tc>
        <w:tc>
          <w:tcPr>
            <w:tcW w:w="1417" w:type="dxa"/>
            <w:tcBorders>
              <w:top w:val="nil"/>
              <w:left w:val="single" w:sz="4" w:space="0" w:color="auto"/>
              <w:bottom w:val="single" w:sz="4" w:space="0" w:color="auto"/>
              <w:right w:val="single" w:sz="4" w:space="0" w:color="auto"/>
            </w:tcBorders>
            <w:shd w:val="clear" w:color="auto" w:fill="auto"/>
            <w:noWrap/>
            <w:vAlign w:val="center"/>
            <w:hideMark/>
          </w:tcPr>
          <w:p w14:paraId="69A2E8CA" w14:textId="77777777" w:rsidR="009A4C46" w:rsidRPr="0072390C" w:rsidRDefault="009A4C46" w:rsidP="009A4C46">
            <w:pPr>
              <w:spacing w:after="0" w:line="240" w:lineRule="auto"/>
              <w:jc w:val="center"/>
              <w:rPr>
                <w:rFonts w:eastAsia="Times New Roman"/>
                <w:color w:val="auto"/>
                <w:lang w:eastAsia="ru-RU"/>
              </w:rPr>
            </w:pPr>
            <w:r w:rsidRPr="0072390C">
              <w:rPr>
                <w:rFonts w:eastAsia="Times New Roman"/>
                <w:color w:val="auto"/>
                <w:lang w:eastAsia="ru-RU"/>
              </w:rPr>
              <w:t>71 441,00</w:t>
            </w:r>
          </w:p>
        </w:tc>
        <w:tc>
          <w:tcPr>
            <w:tcW w:w="1283" w:type="dxa"/>
            <w:tcBorders>
              <w:top w:val="nil"/>
              <w:left w:val="nil"/>
              <w:bottom w:val="single" w:sz="4" w:space="0" w:color="auto"/>
              <w:right w:val="single" w:sz="4" w:space="0" w:color="auto"/>
            </w:tcBorders>
            <w:shd w:val="clear" w:color="auto" w:fill="auto"/>
            <w:noWrap/>
            <w:vAlign w:val="center"/>
            <w:hideMark/>
          </w:tcPr>
          <w:p w14:paraId="29C987D1" w14:textId="77777777" w:rsidR="009A4C46" w:rsidRPr="0072390C" w:rsidRDefault="009A4C46" w:rsidP="009A4C46">
            <w:pPr>
              <w:spacing w:after="0" w:line="240" w:lineRule="auto"/>
              <w:jc w:val="center"/>
              <w:rPr>
                <w:rFonts w:eastAsia="Times New Roman"/>
                <w:color w:val="auto"/>
                <w:lang w:eastAsia="ru-RU"/>
              </w:rPr>
            </w:pPr>
            <w:r w:rsidRPr="0072390C">
              <w:rPr>
                <w:rFonts w:eastAsia="Times New Roman"/>
                <w:color w:val="auto"/>
                <w:lang w:eastAsia="ru-RU"/>
              </w:rPr>
              <w:t>73 555,65</w:t>
            </w:r>
          </w:p>
        </w:tc>
        <w:tc>
          <w:tcPr>
            <w:tcW w:w="1559" w:type="dxa"/>
            <w:tcBorders>
              <w:top w:val="nil"/>
              <w:left w:val="nil"/>
              <w:bottom w:val="single" w:sz="4" w:space="0" w:color="auto"/>
              <w:right w:val="single" w:sz="4" w:space="0" w:color="auto"/>
            </w:tcBorders>
            <w:shd w:val="clear" w:color="auto" w:fill="auto"/>
            <w:noWrap/>
            <w:vAlign w:val="center"/>
            <w:hideMark/>
          </w:tcPr>
          <w:p w14:paraId="336C2F20" w14:textId="77777777" w:rsidR="009A4C46" w:rsidRPr="0072390C" w:rsidRDefault="009A4C46" w:rsidP="009A4C46">
            <w:pPr>
              <w:spacing w:after="0" w:line="240" w:lineRule="auto"/>
              <w:jc w:val="center"/>
              <w:rPr>
                <w:rFonts w:eastAsia="Times New Roman"/>
                <w:color w:val="auto"/>
                <w:lang w:eastAsia="ru-RU"/>
              </w:rPr>
            </w:pPr>
            <w:r w:rsidRPr="0072390C">
              <w:rPr>
                <w:rFonts w:eastAsia="Times New Roman"/>
                <w:color w:val="auto"/>
                <w:lang w:eastAsia="ru-RU"/>
              </w:rPr>
              <w:t>70 727,29</w:t>
            </w:r>
          </w:p>
        </w:tc>
        <w:tc>
          <w:tcPr>
            <w:tcW w:w="1412" w:type="dxa"/>
            <w:tcBorders>
              <w:top w:val="single" w:sz="4" w:space="0" w:color="auto"/>
              <w:left w:val="single" w:sz="4" w:space="0" w:color="auto"/>
              <w:bottom w:val="single" w:sz="4" w:space="0" w:color="auto"/>
              <w:right w:val="single" w:sz="4" w:space="0" w:color="auto"/>
            </w:tcBorders>
            <w:shd w:val="clear" w:color="auto" w:fill="auto"/>
            <w:vAlign w:val="center"/>
          </w:tcPr>
          <w:p w14:paraId="58589C11" w14:textId="77777777" w:rsidR="009A4C46" w:rsidRPr="0072390C" w:rsidRDefault="009A4C46" w:rsidP="009A4C46">
            <w:pPr>
              <w:spacing w:after="0" w:line="240" w:lineRule="auto"/>
              <w:jc w:val="center"/>
              <w:rPr>
                <w:rFonts w:eastAsia="Times New Roman"/>
                <w:color w:val="auto"/>
                <w:lang w:eastAsia="ru-RU"/>
              </w:rPr>
            </w:pPr>
            <w:r w:rsidRPr="0072390C">
              <w:rPr>
                <w:rFonts w:eastAsia="Times New Roman"/>
                <w:color w:val="auto"/>
                <w:lang w:eastAsia="ru-RU"/>
              </w:rPr>
              <w:t>-2 828,36</w:t>
            </w:r>
          </w:p>
        </w:tc>
      </w:tr>
      <w:tr w:rsidR="00D27B56" w:rsidRPr="00D27B56" w14:paraId="5251F9E3" w14:textId="77777777" w:rsidTr="004235C4">
        <w:trPr>
          <w:trHeight w:val="20"/>
        </w:trPr>
        <w:tc>
          <w:tcPr>
            <w:tcW w:w="2778" w:type="dxa"/>
            <w:tcBorders>
              <w:top w:val="nil"/>
              <w:left w:val="single" w:sz="8" w:space="0" w:color="auto"/>
              <w:bottom w:val="single" w:sz="4" w:space="0" w:color="auto"/>
              <w:right w:val="single" w:sz="4" w:space="0" w:color="auto"/>
            </w:tcBorders>
            <w:shd w:val="clear" w:color="auto" w:fill="auto"/>
            <w:vAlign w:val="center"/>
            <w:hideMark/>
          </w:tcPr>
          <w:p w14:paraId="653778BF" w14:textId="77777777" w:rsidR="009A4C46" w:rsidRPr="00D27B56" w:rsidRDefault="009A4C46" w:rsidP="009A4C46">
            <w:pPr>
              <w:spacing w:after="0" w:line="240" w:lineRule="auto"/>
              <w:rPr>
                <w:rFonts w:eastAsia="Times New Roman"/>
                <w:lang w:eastAsia="ru-RU"/>
              </w:rPr>
            </w:pPr>
            <w:r w:rsidRPr="00E169B0">
              <w:rPr>
                <w:rFonts w:eastAsia="Times New Roman"/>
                <w:lang w:eastAsia="ru-RU"/>
              </w:rPr>
              <w:t xml:space="preserve">Ремонт основных </w:t>
            </w:r>
            <w:r w:rsidRPr="003E2802">
              <w:rPr>
                <w:rFonts w:eastAsia="Times New Roman"/>
                <w:lang w:eastAsia="ru-RU"/>
              </w:rPr>
              <w:t>фондов</w:t>
            </w:r>
          </w:p>
        </w:tc>
        <w:tc>
          <w:tcPr>
            <w:tcW w:w="896" w:type="dxa"/>
            <w:tcBorders>
              <w:top w:val="nil"/>
              <w:left w:val="nil"/>
              <w:bottom w:val="single" w:sz="4" w:space="0" w:color="auto"/>
              <w:right w:val="nil"/>
            </w:tcBorders>
            <w:shd w:val="clear" w:color="auto" w:fill="auto"/>
            <w:noWrap/>
            <w:vAlign w:val="center"/>
            <w:hideMark/>
          </w:tcPr>
          <w:p w14:paraId="1C201114" w14:textId="77777777" w:rsidR="009A4C46" w:rsidRPr="00D27B56" w:rsidRDefault="009A4C46" w:rsidP="009A4C46">
            <w:pPr>
              <w:spacing w:after="0" w:line="240" w:lineRule="auto"/>
              <w:jc w:val="center"/>
              <w:rPr>
                <w:rFonts w:eastAsia="Times New Roman"/>
                <w:lang w:eastAsia="ru-RU"/>
              </w:rPr>
            </w:pPr>
            <w:r w:rsidRPr="00D27B56">
              <w:rPr>
                <w:rFonts w:eastAsia="Times New Roman"/>
                <w:lang w:eastAsia="ru-RU"/>
              </w:rPr>
              <w:t>тыс. руб.</w:t>
            </w:r>
          </w:p>
        </w:tc>
        <w:tc>
          <w:tcPr>
            <w:tcW w:w="1417" w:type="dxa"/>
            <w:tcBorders>
              <w:top w:val="nil"/>
              <w:left w:val="single" w:sz="4" w:space="0" w:color="auto"/>
              <w:bottom w:val="single" w:sz="4" w:space="0" w:color="auto"/>
              <w:right w:val="single" w:sz="4" w:space="0" w:color="auto"/>
            </w:tcBorders>
            <w:shd w:val="clear" w:color="auto" w:fill="auto"/>
            <w:noWrap/>
            <w:vAlign w:val="center"/>
          </w:tcPr>
          <w:p w14:paraId="153BF001" w14:textId="77777777" w:rsidR="009A4C46" w:rsidRPr="00D27B56" w:rsidRDefault="009A4C46" w:rsidP="009A4C46">
            <w:pPr>
              <w:spacing w:after="0" w:line="240" w:lineRule="auto"/>
              <w:jc w:val="center"/>
              <w:rPr>
                <w:rFonts w:eastAsia="Times New Roman"/>
                <w:lang w:eastAsia="ru-RU"/>
              </w:rPr>
            </w:pPr>
            <w:r w:rsidRPr="00D27B56">
              <w:rPr>
                <w:rFonts w:eastAsia="Times New Roman"/>
                <w:lang w:eastAsia="ru-RU"/>
              </w:rPr>
              <w:t>-</w:t>
            </w:r>
          </w:p>
        </w:tc>
        <w:tc>
          <w:tcPr>
            <w:tcW w:w="1283" w:type="dxa"/>
            <w:tcBorders>
              <w:top w:val="nil"/>
              <w:left w:val="nil"/>
              <w:bottom w:val="single" w:sz="4" w:space="0" w:color="auto"/>
              <w:right w:val="nil"/>
            </w:tcBorders>
            <w:shd w:val="clear" w:color="auto" w:fill="auto"/>
            <w:noWrap/>
            <w:vAlign w:val="center"/>
          </w:tcPr>
          <w:p w14:paraId="377311A2" w14:textId="77777777" w:rsidR="009A4C46" w:rsidRPr="00D27B56" w:rsidRDefault="009A4C46" w:rsidP="009A4C46">
            <w:pPr>
              <w:spacing w:after="0" w:line="240" w:lineRule="auto"/>
              <w:jc w:val="center"/>
              <w:rPr>
                <w:rFonts w:eastAsia="Times New Roman"/>
                <w:lang w:eastAsia="ru-RU"/>
              </w:rPr>
            </w:pPr>
            <w:r w:rsidRPr="00D27B56">
              <w:rPr>
                <w:rFonts w:eastAsia="Times New Roman"/>
                <w:lang w:eastAsia="ru-RU"/>
              </w:rPr>
              <w:t>-</w:t>
            </w:r>
          </w:p>
        </w:tc>
        <w:tc>
          <w:tcPr>
            <w:tcW w:w="1559" w:type="dxa"/>
            <w:tcBorders>
              <w:top w:val="nil"/>
              <w:left w:val="single" w:sz="4" w:space="0" w:color="auto"/>
              <w:bottom w:val="single" w:sz="4" w:space="0" w:color="auto"/>
              <w:right w:val="single" w:sz="4" w:space="0" w:color="auto"/>
            </w:tcBorders>
            <w:shd w:val="clear" w:color="auto" w:fill="auto"/>
            <w:noWrap/>
            <w:vAlign w:val="center"/>
          </w:tcPr>
          <w:p w14:paraId="54784154" w14:textId="77777777" w:rsidR="009A4C46" w:rsidRPr="00D27B56" w:rsidRDefault="009A4C46" w:rsidP="009A4C46">
            <w:pPr>
              <w:spacing w:after="0" w:line="240" w:lineRule="auto"/>
              <w:jc w:val="center"/>
              <w:rPr>
                <w:rFonts w:eastAsia="Times New Roman"/>
                <w:lang w:eastAsia="ru-RU"/>
              </w:rPr>
            </w:pPr>
            <w:r w:rsidRPr="00D27B56">
              <w:rPr>
                <w:rFonts w:eastAsia="Times New Roman"/>
                <w:lang w:eastAsia="ru-RU"/>
              </w:rPr>
              <w:t>-</w:t>
            </w:r>
          </w:p>
        </w:tc>
        <w:tc>
          <w:tcPr>
            <w:tcW w:w="1412" w:type="dxa"/>
            <w:tcBorders>
              <w:top w:val="single" w:sz="4" w:space="0" w:color="auto"/>
              <w:left w:val="single" w:sz="4" w:space="0" w:color="auto"/>
              <w:bottom w:val="single" w:sz="4" w:space="0" w:color="auto"/>
              <w:right w:val="single" w:sz="4" w:space="0" w:color="auto"/>
            </w:tcBorders>
            <w:shd w:val="clear" w:color="auto" w:fill="auto"/>
            <w:vAlign w:val="center"/>
          </w:tcPr>
          <w:p w14:paraId="246F0650" w14:textId="77777777" w:rsidR="009A4C46" w:rsidRPr="00D27B56" w:rsidRDefault="009A4C46" w:rsidP="009A4C46">
            <w:pPr>
              <w:spacing w:after="0" w:line="240" w:lineRule="auto"/>
              <w:jc w:val="center"/>
              <w:rPr>
                <w:rFonts w:eastAsia="Times New Roman"/>
                <w:lang w:eastAsia="ru-RU"/>
              </w:rPr>
            </w:pPr>
            <w:r w:rsidRPr="00D27B56">
              <w:rPr>
                <w:rFonts w:eastAsia="Times New Roman"/>
                <w:lang w:eastAsia="ru-RU"/>
              </w:rPr>
              <w:t>-</w:t>
            </w:r>
          </w:p>
        </w:tc>
      </w:tr>
      <w:tr w:rsidR="00D27B56" w:rsidRPr="00D27B56" w14:paraId="42AD91A9" w14:textId="77777777" w:rsidTr="004235C4">
        <w:trPr>
          <w:trHeight w:val="20"/>
        </w:trPr>
        <w:tc>
          <w:tcPr>
            <w:tcW w:w="2778" w:type="dxa"/>
            <w:tcBorders>
              <w:top w:val="nil"/>
              <w:left w:val="single" w:sz="8" w:space="0" w:color="auto"/>
              <w:bottom w:val="single" w:sz="4" w:space="0" w:color="auto"/>
              <w:right w:val="single" w:sz="4" w:space="0" w:color="auto"/>
            </w:tcBorders>
            <w:shd w:val="clear" w:color="auto" w:fill="auto"/>
            <w:vAlign w:val="center"/>
            <w:hideMark/>
          </w:tcPr>
          <w:p w14:paraId="2DEC569A" w14:textId="77777777" w:rsidR="009A4C46" w:rsidRPr="00D27B56" w:rsidRDefault="009A4C46" w:rsidP="009A4C46">
            <w:pPr>
              <w:spacing w:after="0" w:line="240" w:lineRule="auto"/>
              <w:rPr>
                <w:rFonts w:eastAsia="Times New Roman"/>
                <w:lang w:eastAsia="ru-RU"/>
              </w:rPr>
            </w:pPr>
            <w:r w:rsidRPr="00E169B0">
              <w:rPr>
                <w:rFonts w:eastAsia="Times New Roman"/>
                <w:lang w:eastAsia="ru-RU"/>
              </w:rPr>
              <w:t>Оплата работ и услуг сторонни</w:t>
            </w:r>
            <w:r w:rsidRPr="003E2802">
              <w:rPr>
                <w:rFonts w:eastAsia="Times New Roman"/>
                <w:lang w:eastAsia="ru-RU"/>
              </w:rPr>
              <w:t>х организаци</w:t>
            </w:r>
            <w:r w:rsidRPr="00D27B56">
              <w:rPr>
                <w:rFonts w:eastAsia="Times New Roman"/>
                <w:lang w:eastAsia="ru-RU"/>
              </w:rPr>
              <w:t>й</w:t>
            </w:r>
          </w:p>
        </w:tc>
        <w:tc>
          <w:tcPr>
            <w:tcW w:w="896" w:type="dxa"/>
            <w:tcBorders>
              <w:top w:val="nil"/>
              <w:left w:val="nil"/>
              <w:bottom w:val="single" w:sz="4" w:space="0" w:color="auto"/>
              <w:right w:val="nil"/>
            </w:tcBorders>
            <w:shd w:val="clear" w:color="auto" w:fill="auto"/>
            <w:noWrap/>
            <w:vAlign w:val="center"/>
            <w:hideMark/>
          </w:tcPr>
          <w:p w14:paraId="5EC32351" w14:textId="77777777" w:rsidR="009A4C46" w:rsidRPr="00D27B56" w:rsidRDefault="009A4C46" w:rsidP="009A4C46">
            <w:pPr>
              <w:spacing w:after="0" w:line="240" w:lineRule="auto"/>
              <w:jc w:val="center"/>
              <w:rPr>
                <w:rFonts w:eastAsia="Times New Roman"/>
                <w:lang w:eastAsia="ru-RU"/>
              </w:rPr>
            </w:pPr>
            <w:r w:rsidRPr="00D27B56">
              <w:rPr>
                <w:rFonts w:eastAsia="Times New Roman"/>
                <w:lang w:eastAsia="ru-RU"/>
              </w:rPr>
              <w:t>тыс. руб.</w:t>
            </w:r>
          </w:p>
        </w:tc>
        <w:tc>
          <w:tcPr>
            <w:tcW w:w="1417" w:type="dxa"/>
            <w:tcBorders>
              <w:top w:val="nil"/>
              <w:left w:val="single" w:sz="4" w:space="0" w:color="auto"/>
              <w:bottom w:val="single" w:sz="4" w:space="0" w:color="auto"/>
              <w:right w:val="single" w:sz="4" w:space="0" w:color="auto"/>
            </w:tcBorders>
            <w:shd w:val="clear" w:color="auto" w:fill="auto"/>
            <w:noWrap/>
            <w:vAlign w:val="center"/>
            <w:hideMark/>
          </w:tcPr>
          <w:p w14:paraId="7F2EBE4D" w14:textId="77777777" w:rsidR="009A4C46" w:rsidRPr="00D27B56" w:rsidRDefault="009A4C46" w:rsidP="009A4C46">
            <w:pPr>
              <w:spacing w:after="0" w:line="240" w:lineRule="auto"/>
              <w:jc w:val="center"/>
              <w:rPr>
                <w:rFonts w:eastAsia="Times New Roman"/>
                <w:lang w:eastAsia="ru-RU"/>
              </w:rPr>
            </w:pPr>
            <w:r w:rsidRPr="00D27B56">
              <w:rPr>
                <w:rFonts w:eastAsia="Times New Roman"/>
                <w:lang w:eastAsia="ru-RU"/>
              </w:rPr>
              <w:t>29 497,00</w:t>
            </w:r>
          </w:p>
        </w:tc>
        <w:tc>
          <w:tcPr>
            <w:tcW w:w="1283" w:type="dxa"/>
            <w:tcBorders>
              <w:top w:val="nil"/>
              <w:left w:val="nil"/>
              <w:bottom w:val="single" w:sz="4" w:space="0" w:color="auto"/>
              <w:right w:val="single" w:sz="4" w:space="0" w:color="auto"/>
            </w:tcBorders>
            <w:shd w:val="clear" w:color="auto" w:fill="auto"/>
            <w:noWrap/>
            <w:vAlign w:val="center"/>
            <w:hideMark/>
          </w:tcPr>
          <w:p w14:paraId="3F47950C" w14:textId="77777777" w:rsidR="009A4C46" w:rsidRPr="00D27B56" w:rsidRDefault="009A4C46" w:rsidP="009A4C46">
            <w:pPr>
              <w:spacing w:after="0" w:line="240" w:lineRule="auto"/>
              <w:jc w:val="center"/>
              <w:rPr>
                <w:rFonts w:eastAsia="Times New Roman"/>
                <w:lang w:eastAsia="ru-RU"/>
              </w:rPr>
            </w:pPr>
            <w:r w:rsidRPr="00D27B56">
              <w:rPr>
                <w:rFonts w:eastAsia="Times New Roman"/>
                <w:lang w:eastAsia="ru-RU"/>
              </w:rPr>
              <w:t>30 370,11</w:t>
            </w:r>
          </w:p>
        </w:tc>
        <w:tc>
          <w:tcPr>
            <w:tcW w:w="1559" w:type="dxa"/>
            <w:tcBorders>
              <w:top w:val="nil"/>
              <w:left w:val="nil"/>
              <w:bottom w:val="single" w:sz="4" w:space="0" w:color="auto"/>
              <w:right w:val="single" w:sz="4" w:space="0" w:color="auto"/>
            </w:tcBorders>
            <w:shd w:val="clear" w:color="auto" w:fill="auto"/>
            <w:noWrap/>
            <w:vAlign w:val="center"/>
            <w:hideMark/>
          </w:tcPr>
          <w:p w14:paraId="382DB79D" w14:textId="77777777" w:rsidR="009A4C46" w:rsidRPr="00D27B56" w:rsidRDefault="009A4C46" w:rsidP="009A4C46">
            <w:pPr>
              <w:spacing w:after="0" w:line="240" w:lineRule="auto"/>
              <w:jc w:val="center"/>
              <w:rPr>
                <w:rFonts w:eastAsia="Times New Roman"/>
                <w:lang w:eastAsia="ru-RU"/>
              </w:rPr>
            </w:pPr>
            <w:r w:rsidRPr="00D27B56">
              <w:rPr>
                <w:rFonts w:eastAsia="Times New Roman"/>
                <w:lang w:eastAsia="ru-RU"/>
              </w:rPr>
              <w:t>31 269,07</w:t>
            </w:r>
          </w:p>
        </w:tc>
        <w:tc>
          <w:tcPr>
            <w:tcW w:w="1412" w:type="dxa"/>
            <w:tcBorders>
              <w:top w:val="single" w:sz="4" w:space="0" w:color="auto"/>
              <w:left w:val="single" w:sz="4" w:space="0" w:color="auto"/>
              <w:bottom w:val="single" w:sz="4" w:space="0" w:color="auto"/>
              <w:right w:val="single" w:sz="4" w:space="0" w:color="auto"/>
            </w:tcBorders>
            <w:shd w:val="clear" w:color="auto" w:fill="auto"/>
            <w:vAlign w:val="center"/>
          </w:tcPr>
          <w:p w14:paraId="4CE9DC19" w14:textId="77777777" w:rsidR="009A4C46" w:rsidRPr="00D27B56" w:rsidRDefault="009A4C46" w:rsidP="009A4C46">
            <w:pPr>
              <w:spacing w:after="0" w:line="240" w:lineRule="auto"/>
              <w:jc w:val="center"/>
              <w:rPr>
                <w:rFonts w:eastAsia="Times New Roman"/>
                <w:lang w:eastAsia="ru-RU"/>
              </w:rPr>
            </w:pPr>
            <w:r w:rsidRPr="00D27B56">
              <w:rPr>
                <w:rFonts w:eastAsia="Times New Roman"/>
                <w:lang w:eastAsia="ru-RU"/>
              </w:rPr>
              <w:t>898,96</w:t>
            </w:r>
          </w:p>
        </w:tc>
      </w:tr>
      <w:tr w:rsidR="00D27B56" w:rsidRPr="00D27B56" w14:paraId="7C0F15DB" w14:textId="77777777" w:rsidTr="004235C4">
        <w:trPr>
          <w:trHeight w:val="20"/>
        </w:trPr>
        <w:tc>
          <w:tcPr>
            <w:tcW w:w="2778" w:type="dxa"/>
            <w:tcBorders>
              <w:top w:val="nil"/>
              <w:left w:val="single" w:sz="8" w:space="0" w:color="auto"/>
              <w:bottom w:val="single" w:sz="4" w:space="0" w:color="auto"/>
              <w:right w:val="single" w:sz="4" w:space="0" w:color="auto"/>
            </w:tcBorders>
            <w:shd w:val="clear" w:color="auto" w:fill="auto"/>
            <w:vAlign w:val="center"/>
            <w:hideMark/>
          </w:tcPr>
          <w:p w14:paraId="17B9CD6C" w14:textId="77777777" w:rsidR="009A4C46" w:rsidRPr="003E2802" w:rsidRDefault="009A4C46" w:rsidP="009A4C46">
            <w:pPr>
              <w:spacing w:after="0" w:line="240" w:lineRule="auto"/>
              <w:rPr>
                <w:rFonts w:eastAsia="Times New Roman"/>
                <w:lang w:eastAsia="ru-RU"/>
              </w:rPr>
            </w:pPr>
            <w:r w:rsidRPr="00E169B0">
              <w:rPr>
                <w:rFonts w:eastAsia="Times New Roman"/>
                <w:lang w:eastAsia="ru-RU"/>
              </w:rPr>
              <w:t>Услуги связи</w:t>
            </w:r>
          </w:p>
        </w:tc>
        <w:tc>
          <w:tcPr>
            <w:tcW w:w="896" w:type="dxa"/>
            <w:tcBorders>
              <w:top w:val="nil"/>
              <w:left w:val="nil"/>
              <w:bottom w:val="single" w:sz="4" w:space="0" w:color="auto"/>
              <w:right w:val="nil"/>
            </w:tcBorders>
            <w:shd w:val="clear" w:color="auto" w:fill="auto"/>
            <w:noWrap/>
            <w:vAlign w:val="center"/>
            <w:hideMark/>
          </w:tcPr>
          <w:p w14:paraId="4E0A7795" w14:textId="77777777" w:rsidR="009A4C46" w:rsidRPr="00D27B56" w:rsidRDefault="009A4C46" w:rsidP="009A4C46">
            <w:pPr>
              <w:spacing w:after="0" w:line="240" w:lineRule="auto"/>
              <w:jc w:val="center"/>
              <w:rPr>
                <w:rFonts w:eastAsia="Times New Roman"/>
                <w:lang w:eastAsia="ru-RU"/>
              </w:rPr>
            </w:pPr>
            <w:r w:rsidRPr="00D27B56">
              <w:rPr>
                <w:rFonts w:eastAsia="Times New Roman"/>
                <w:lang w:eastAsia="ru-RU"/>
              </w:rPr>
              <w:t>тыс. руб.</w:t>
            </w:r>
          </w:p>
        </w:tc>
        <w:tc>
          <w:tcPr>
            <w:tcW w:w="1417" w:type="dxa"/>
            <w:tcBorders>
              <w:top w:val="nil"/>
              <w:left w:val="single" w:sz="4" w:space="0" w:color="auto"/>
              <w:bottom w:val="single" w:sz="4" w:space="0" w:color="auto"/>
              <w:right w:val="single" w:sz="4" w:space="0" w:color="auto"/>
            </w:tcBorders>
            <w:shd w:val="clear" w:color="auto" w:fill="auto"/>
            <w:noWrap/>
            <w:vAlign w:val="center"/>
            <w:hideMark/>
          </w:tcPr>
          <w:p w14:paraId="029A76AF" w14:textId="77777777" w:rsidR="009A4C46" w:rsidRPr="00D27B56" w:rsidRDefault="009A4C46" w:rsidP="009A4C46">
            <w:pPr>
              <w:spacing w:after="0" w:line="240" w:lineRule="auto"/>
              <w:jc w:val="center"/>
              <w:rPr>
                <w:rFonts w:eastAsia="Times New Roman"/>
                <w:lang w:eastAsia="ru-RU"/>
              </w:rPr>
            </w:pPr>
            <w:r w:rsidRPr="00D27B56">
              <w:rPr>
                <w:rFonts w:eastAsia="Times New Roman"/>
                <w:lang w:eastAsia="ru-RU"/>
              </w:rPr>
              <w:t>8 246,00</w:t>
            </w:r>
          </w:p>
        </w:tc>
        <w:tc>
          <w:tcPr>
            <w:tcW w:w="1283" w:type="dxa"/>
            <w:tcBorders>
              <w:top w:val="nil"/>
              <w:left w:val="nil"/>
              <w:bottom w:val="single" w:sz="4" w:space="0" w:color="auto"/>
              <w:right w:val="nil"/>
            </w:tcBorders>
            <w:shd w:val="clear" w:color="auto" w:fill="auto"/>
            <w:noWrap/>
            <w:vAlign w:val="center"/>
            <w:hideMark/>
          </w:tcPr>
          <w:p w14:paraId="7AC7CC18" w14:textId="77777777" w:rsidR="009A4C46" w:rsidRPr="00D27B56" w:rsidRDefault="009A4C46" w:rsidP="009A4C46">
            <w:pPr>
              <w:spacing w:after="0" w:line="240" w:lineRule="auto"/>
              <w:jc w:val="center"/>
              <w:rPr>
                <w:rFonts w:eastAsia="Times New Roman"/>
                <w:lang w:eastAsia="ru-RU"/>
              </w:rPr>
            </w:pPr>
            <w:r w:rsidRPr="00D27B56">
              <w:rPr>
                <w:rFonts w:eastAsia="Times New Roman"/>
                <w:lang w:eastAsia="ru-RU"/>
              </w:rPr>
              <w:t>8 490,08</w:t>
            </w:r>
          </w:p>
        </w:tc>
        <w:tc>
          <w:tcPr>
            <w:tcW w:w="1559" w:type="dxa"/>
            <w:tcBorders>
              <w:top w:val="nil"/>
              <w:left w:val="single" w:sz="4" w:space="0" w:color="auto"/>
              <w:bottom w:val="single" w:sz="4" w:space="0" w:color="auto"/>
              <w:right w:val="single" w:sz="4" w:space="0" w:color="auto"/>
            </w:tcBorders>
            <w:shd w:val="clear" w:color="auto" w:fill="auto"/>
            <w:noWrap/>
            <w:vAlign w:val="center"/>
            <w:hideMark/>
          </w:tcPr>
          <w:p w14:paraId="5DEDC196" w14:textId="77777777" w:rsidR="009A4C46" w:rsidRPr="00D27B56" w:rsidRDefault="009A4C46" w:rsidP="009A4C46">
            <w:pPr>
              <w:spacing w:after="0" w:line="240" w:lineRule="auto"/>
              <w:jc w:val="center"/>
              <w:rPr>
                <w:rFonts w:eastAsia="Times New Roman"/>
                <w:lang w:eastAsia="ru-RU"/>
              </w:rPr>
            </w:pPr>
            <w:r w:rsidRPr="00D27B56">
              <w:rPr>
                <w:rFonts w:eastAsia="Times New Roman"/>
                <w:lang w:eastAsia="ru-RU"/>
              </w:rPr>
              <w:t>8 741,39</w:t>
            </w:r>
          </w:p>
        </w:tc>
        <w:tc>
          <w:tcPr>
            <w:tcW w:w="1412" w:type="dxa"/>
            <w:tcBorders>
              <w:top w:val="single" w:sz="4" w:space="0" w:color="auto"/>
              <w:left w:val="single" w:sz="4" w:space="0" w:color="auto"/>
              <w:bottom w:val="single" w:sz="4" w:space="0" w:color="auto"/>
              <w:right w:val="single" w:sz="4" w:space="0" w:color="auto"/>
            </w:tcBorders>
            <w:shd w:val="clear" w:color="auto" w:fill="auto"/>
            <w:vAlign w:val="center"/>
          </w:tcPr>
          <w:p w14:paraId="052874A2" w14:textId="77777777" w:rsidR="009A4C46" w:rsidRPr="00D27B56" w:rsidRDefault="009A4C46" w:rsidP="009A4C46">
            <w:pPr>
              <w:spacing w:after="0" w:line="240" w:lineRule="auto"/>
              <w:jc w:val="center"/>
              <w:rPr>
                <w:rFonts w:eastAsia="Times New Roman"/>
                <w:lang w:eastAsia="ru-RU"/>
              </w:rPr>
            </w:pPr>
            <w:r w:rsidRPr="00D27B56">
              <w:rPr>
                <w:rFonts w:eastAsia="Times New Roman"/>
                <w:lang w:eastAsia="ru-RU"/>
              </w:rPr>
              <w:t>251,31</w:t>
            </w:r>
          </w:p>
        </w:tc>
      </w:tr>
      <w:tr w:rsidR="00D27B56" w:rsidRPr="00D27B56" w14:paraId="760484E4" w14:textId="77777777" w:rsidTr="004235C4">
        <w:trPr>
          <w:trHeight w:val="20"/>
        </w:trPr>
        <w:tc>
          <w:tcPr>
            <w:tcW w:w="2778" w:type="dxa"/>
            <w:tcBorders>
              <w:top w:val="nil"/>
              <w:left w:val="single" w:sz="8" w:space="0" w:color="auto"/>
              <w:bottom w:val="single" w:sz="4" w:space="0" w:color="auto"/>
              <w:right w:val="single" w:sz="4" w:space="0" w:color="auto"/>
            </w:tcBorders>
            <w:shd w:val="clear" w:color="auto" w:fill="auto"/>
            <w:vAlign w:val="center"/>
            <w:hideMark/>
          </w:tcPr>
          <w:p w14:paraId="69C67CCD" w14:textId="77777777" w:rsidR="009A4C46" w:rsidRPr="003E2802" w:rsidRDefault="009A4C46" w:rsidP="009A4C46">
            <w:pPr>
              <w:spacing w:after="0" w:line="240" w:lineRule="auto"/>
              <w:rPr>
                <w:rFonts w:eastAsia="Times New Roman"/>
                <w:lang w:eastAsia="ru-RU"/>
              </w:rPr>
            </w:pPr>
            <w:r w:rsidRPr="00E169B0">
              <w:rPr>
                <w:rFonts w:eastAsia="Times New Roman"/>
                <w:lang w:eastAsia="ru-RU"/>
              </w:rPr>
              <w:t>Расходы на услуги вневедомственной охраны и коммунального хозяйства</w:t>
            </w:r>
          </w:p>
        </w:tc>
        <w:tc>
          <w:tcPr>
            <w:tcW w:w="896" w:type="dxa"/>
            <w:tcBorders>
              <w:top w:val="nil"/>
              <w:left w:val="nil"/>
              <w:bottom w:val="single" w:sz="4" w:space="0" w:color="auto"/>
              <w:right w:val="nil"/>
            </w:tcBorders>
            <w:shd w:val="clear" w:color="auto" w:fill="auto"/>
            <w:noWrap/>
            <w:vAlign w:val="center"/>
            <w:hideMark/>
          </w:tcPr>
          <w:p w14:paraId="7EAEA341" w14:textId="77777777" w:rsidR="009A4C46" w:rsidRPr="00D27B56" w:rsidRDefault="009A4C46" w:rsidP="009A4C46">
            <w:pPr>
              <w:spacing w:after="0" w:line="240" w:lineRule="auto"/>
              <w:jc w:val="center"/>
              <w:rPr>
                <w:rFonts w:eastAsia="Times New Roman"/>
                <w:lang w:eastAsia="ru-RU"/>
              </w:rPr>
            </w:pPr>
            <w:r w:rsidRPr="00D27B56">
              <w:rPr>
                <w:rFonts w:eastAsia="Times New Roman"/>
                <w:lang w:eastAsia="ru-RU"/>
              </w:rPr>
              <w:t>тыс. руб.</w:t>
            </w:r>
          </w:p>
        </w:tc>
        <w:tc>
          <w:tcPr>
            <w:tcW w:w="1417" w:type="dxa"/>
            <w:tcBorders>
              <w:top w:val="nil"/>
              <w:left w:val="single" w:sz="4" w:space="0" w:color="auto"/>
              <w:bottom w:val="single" w:sz="4" w:space="0" w:color="auto"/>
              <w:right w:val="single" w:sz="4" w:space="0" w:color="auto"/>
            </w:tcBorders>
            <w:shd w:val="clear" w:color="auto" w:fill="auto"/>
            <w:noWrap/>
            <w:vAlign w:val="center"/>
            <w:hideMark/>
          </w:tcPr>
          <w:p w14:paraId="0CB9EC34" w14:textId="77777777" w:rsidR="009A4C46" w:rsidRPr="00D27B56" w:rsidRDefault="009A4C46" w:rsidP="009A4C46">
            <w:pPr>
              <w:spacing w:after="0" w:line="240" w:lineRule="auto"/>
              <w:jc w:val="center"/>
              <w:rPr>
                <w:rFonts w:eastAsia="Times New Roman"/>
                <w:lang w:eastAsia="ru-RU"/>
              </w:rPr>
            </w:pPr>
            <w:r w:rsidRPr="00D27B56">
              <w:rPr>
                <w:rFonts w:eastAsia="Times New Roman"/>
                <w:lang w:eastAsia="ru-RU"/>
              </w:rPr>
              <w:t>2 623,00</w:t>
            </w:r>
          </w:p>
        </w:tc>
        <w:tc>
          <w:tcPr>
            <w:tcW w:w="1283" w:type="dxa"/>
            <w:tcBorders>
              <w:top w:val="nil"/>
              <w:left w:val="nil"/>
              <w:bottom w:val="single" w:sz="4" w:space="0" w:color="auto"/>
              <w:right w:val="nil"/>
            </w:tcBorders>
            <w:shd w:val="clear" w:color="auto" w:fill="auto"/>
            <w:noWrap/>
            <w:vAlign w:val="center"/>
            <w:hideMark/>
          </w:tcPr>
          <w:p w14:paraId="53A73678" w14:textId="77777777" w:rsidR="009A4C46" w:rsidRPr="00D27B56" w:rsidRDefault="009A4C46" w:rsidP="009A4C46">
            <w:pPr>
              <w:spacing w:after="0" w:line="240" w:lineRule="auto"/>
              <w:jc w:val="center"/>
              <w:rPr>
                <w:rFonts w:eastAsia="Times New Roman"/>
                <w:lang w:eastAsia="ru-RU"/>
              </w:rPr>
            </w:pPr>
            <w:r w:rsidRPr="00D27B56">
              <w:rPr>
                <w:rFonts w:eastAsia="Times New Roman"/>
                <w:lang w:eastAsia="ru-RU"/>
              </w:rPr>
              <w:t>2 700,64</w:t>
            </w:r>
          </w:p>
        </w:tc>
        <w:tc>
          <w:tcPr>
            <w:tcW w:w="1559" w:type="dxa"/>
            <w:tcBorders>
              <w:top w:val="nil"/>
              <w:left w:val="single" w:sz="4" w:space="0" w:color="auto"/>
              <w:bottom w:val="single" w:sz="4" w:space="0" w:color="auto"/>
              <w:right w:val="single" w:sz="4" w:space="0" w:color="auto"/>
            </w:tcBorders>
            <w:shd w:val="clear" w:color="auto" w:fill="auto"/>
            <w:noWrap/>
            <w:vAlign w:val="center"/>
            <w:hideMark/>
          </w:tcPr>
          <w:p w14:paraId="50E1808B" w14:textId="77777777" w:rsidR="009A4C46" w:rsidRPr="00D27B56" w:rsidRDefault="009A4C46" w:rsidP="009A4C46">
            <w:pPr>
              <w:spacing w:after="0" w:line="240" w:lineRule="auto"/>
              <w:jc w:val="center"/>
              <w:rPr>
                <w:rFonts w:eastAsia="Times New Roman"/>
                <w:lang w:eastAsia="ru-RU"/>
              </w:rPr>
            </w:pPr>
            <w:r w:rsidRPr="00D27B56">
              <w:rPr>
                <w:rFonts w:eastAsia="Times New Roman"/>
                <w:lang w:eastAsia="ru-RU"/>
              </w:rPr>
              <w:t>2 780,58</w:t>
            </w:r>
          </w:p>
        </w:tc>
        <w:tc>
          <w:tcPr>
            <w:tcW w:w="1412" w:type="dxa"/>
            <w:tcBorders>
              <w:top w:val="single" w:sz="4" w:space="0" w:color="auto"/>
              <w:left w:val="single" w:sz="4" w:space="0" w:color="auto"/>
              <w:bottom w:val="single" w:sz="4" w:space="0" w:color="auto"/>
              <w:right w:val="single" w:sz="4" w:space="0" w:color="auto"/>
            </w:tcBorders>
            <w:shd w:val="clear" w:color="auto" w:fill="auto"/>
            <w:vAlign w:val="center"/>
          </w:tcPr>
          <w:p w14:paraId="760D445C" w14:textId="77777777" w:rsidR="009A4C46" w:rsidRPr="00D27B56" w:rsidRDefault="009A4C46" w:rsidP="009A4C46">
            <w:pPr>
              <w:spacing w:after="0" w:line="240" w:lineRule="auto"/>
              <w:jc w:val="center"/>
              <w:rPr>
                <w:rFonts w:eastAsia="Times New Roman"/>
                <w:lang w:eastAsia="ru-RU"/>
              </w:rPr>
            </w:pPr>
            <w:r w:rsidRPr="00D27B56">
              <w:rPr>
                <w:rFonts w:eastAsia="Times New Roman"/>
                <w:lang w:eastAsia="ru-RU"/>
              </w:rPr>
              <w:t>79,94</w:t>
            </w:r>
          </w:p>
        </w:tc>
      </w:tr>
      <w:tr w:rsidR="00D27B56" w:rsidRPr="00D27B56" w14:paraId="0948AE47" w14:textId="77777777" w:rsidTr="004235C4">
        <w:trPr>
          <w:trHeight w:val="20"/>
        </w:trPr>
        <w:tc>
          <w:tcPr>
            <w:tcW w:w="2778" w:type="dxa"/>
            <w:tcBorders>
              <w:top w:val="nil"/>
              <w:left w:val="single" w:sz="8" w:space="0" w:color="auto"/>
              <w:bottom w:val="single" w:sz="4" w:space="0" w:color="auto"/>
              <w:right w:val="single" w:sz="4" w:space="0" w:color="auto"/>
            </w:tcBorders>
            <w:shd w:val="clear" w:color="auto" w:fill="auto"/>
            <w:vAlign w:val="center"/>
            <w:hideMark/>
          </w:tcPr>
          <w:p w14:paraId="266B0841" w14:textId="77777777" w:rsidR="009A4C46" w:rsidRPr="00D27B56" w:rsidRDefault="009A4C46" w:rsidP="009A4C46">
            <w:pPr>
              <w:spacing w:after="0" w:line="240" w:lineRule="auto"/>
              <w:rPr>
                <w:rFonts w:eastAsia="Times New Roman"/>
                <w:lang w:eastAsia="ru-RU"/>
              </w:rPr>
            </w:pPr>
            <w:r w:rsidRPr="00E169B0">
              <w:rPr>
                <w:rFonts w:eastAsia="Times New Roman"/>
                <w:lang w:eastAsia="ru-RU"/>
              </w:rPr>
              <w:t>Расходы на юридические и</w:t>
            </w:r>
            <w:r w:rsidRPr="003E2802">
              <w:rPr>
                <w:rFonts w:eastAsia="Times New Roman"/>
                <w:lang w:eastAsia="ru-RU"/>
              </w:rPr>
              <w:t xml:space="preserve"> информацион</w:t>
            </w:r>
            <w:r w:rsidRPr="00D27B56">
              <w:rPr>
                <w:rFonts w:eastAsia="Times New Roman"/>
                <w:lang w:eastAsia="ru-RU"/>
              </w:rPr>
              <w:t>ные услуги</w:t>
            </w:r>
          </w:p>
        </w:tc>
        <w:tc>
          <w:tcPr>
            <w:tcW w:w="896" w:type="dxa"/>
            <w:tcBorders>
              <w:top w:val="nil"/>
              <w:left w:val="nil"/>
              <w:bottom w:val="single" w:sz="4" w:space="0" w:color="auto"/>
              <w:right w:val="nil"/>
            </w:tcBorders>
            <w:shd w:val="clear" w:color="auto" w:fill="auto"/>
            <w:noWrap/>
            <w:vAlign w:val="center"/>
            <w:hideMark/>
          </w:tcPr>
          <w:p w14:paraId="73286EF7" w14:textId="77777777" w:rsidR="009A4C46" w:rsidRPr="00D27B56" w:rsidRDefault="009A4C46" w:rsidP="009A4C46">
            <w:pPr>
              <w:spacing w:after="0" w:line="240" w:lineRule="auto"/>
              <w:jc w:val="center"/>
              <w:rPr>
                <w:rFonts w:eastAsia="Times New Roman"/>
                <w:lang w:eastAsia="ru-RU"/>
              </w:rPr>
            </w:pPr>
            <w:r w:rsidRPr="00D27B56">
              <w:rPr>
                <w:rFonts w:eastAsia="Times New Roman"/>
                <w:lang w:eastAsia="ru-RU"/>
              </w:rPr>
              <w:t>тыс. руб.</w:t>
            </w:r>
          </w:p>
        </w:tc>
        <w:tc>
          <w:tcPr>
            <w:tcW w:w="1417" w:type="dxa"/>
            <w:tcBorders>
              <w:top w:val="nil"/>
              <w:left w:val="single" w:sz="4" w:space="0" w:color="auto"/>
              <w:bottom w:val="single" w:sz="4" w:space="0" w:color="auto"/>
              <w:right w:val="single" w:sz="4" w:space="0" w:color="auto"/>
            </w:tcBorders>
            <w:shd w:val="clear" w:color="auto" w:fill="auto"/>
            <w:noWrap/>
            <w:vAlign w:val="center"/>
            <w:hideMark/>
          </w:tcPr>
          <w:p w14:paraId="7135F343" w14:textId="77777777" w:rsidR="009A4C46" w:rsidRPr="00D27B56" w:rsidRDefault="009A4C46" w:rsidP="009A4C46">
            <w:pPr>
              <w:spacing w:after="0" w:line="240" w:lineRule="auto"/>
              <w:jc w:val="center"/>
              <w:rPr>
                <w:rFonts w:eastAsia="Times New Roman"/>
                <w:lang w:eastAsia="ru-RU"/>
              </w:rPr>
            </w:pPr>
            <w:r w:rsidRPr="00D27B56">
              <w:rPr>
                <w:rFonts w:eastAsia="Times New Roman"/>
                <w:lang w:eastAsia="ru-RU"/>
              </w:rPr>
              <w:t>3 111,00</w:t>
            </w:r>
          </w:p>
        </w:tc>
        <w:tc>
          <w:tcPr>
            <w:tcW w:w="1283" w:type="dxa"/>
            <w:tcBorders>
              <w:top w:val="nil"/>
              <w:left w:val="nil"/>
              <w:bottom w:val="single" w:sz="4" w:space="0" w:color="auto"/>
              <w:right w:val="nil"/>
            </w:tcBorders>
            <w:shd w:val="clear" w:color="auto" w:fill="auto"/>
            <w:noWrap/>
            <w:vAlign w:val="center"/>
            <w:hideMark/>
          </w:tcPr>
          <w:p w14:paraId="3DC24328" w14:textId="77777777" w:rsidR="009A4C46" w:rsidRPr="00D27B56" w:rsidRDefault="009A4C46" w:rsidP="009A4C46">
            <w:pPr>
              <w:spacing w:after="0" w:line="240" w:lineRule="auto"/>
              <w:jc w:val="center"/>
              <w:rPr>
                <w:rFonts w:eastAsia="Times New Roman"/>
                <w:lang w:eastAsia="ru-RU"/>
              </w:rPr>
            </w:pPr>
            <w:r w:rsidRPr="00D27B56">
              <w:rPr>
                <w:rFonts w:eastAsia="Times New Roman"/>
                <w:lang w:eastAsia="ru-RU"/>
              </w:rPr>
              <w:t>3 203,09</w:t>
            </w:r>
          </w:p>
        </w:tc>
        <w:tc>
          <w:tcPr>
            <w:tcW w:w="1559" w:type="dxa"/>
            <w:tcBorders>
              <w:top w:val="nil"/>
              <w:left w:val="single" w:sz="4" w:space="0" w:color="auto"/>
              <w:bottom w:val="single" w:sz="4" w:space="0" w:color="auto"/>
              <w:right w:val="single" w:sz="4" w:space="0" w:color="auto"/>
            </w:tcBorders>
            <w:shd w:val="clear" w:color="auto" w:fill="auto"/>
            <w:noWrap/>
            <w:vAlign w:val="center"/>
            <w:hideMark/>
          </w:tcPr>
          <w:p w14:paraId="60972C12" w14:textId="77777777" w:rsidR="009A4C46" w:rsidRPr="00D27B56" w:rsidRDefault="009A4C46" w:rsidP="009A4C46">
            <w:pPr>
              <w:spacing w:after="0" w:line="240" w:lineRule="auto"/>
              <w:jc w:val="center"/>
              <w:rPr>
                <w:rFonts w:eastAsia="Times New Roman"/>
                <w:lang w:eastAsia="ru-RU"/>
              </w:rPr>
            </w:pPr>
            <w:r w:rsidRPr="00D27B56">
              <w:rPr>
                <w:rFonts w:eastAsia="Times New Roman"/>
                <w:lang w:eastAsia="ru-RU"/>
              </w:rPr>
              <w:t>3 297,90</w:t>
            </w:r>
          </w:p>
        </w:tc>
        <w:tc>
          <w:tcPr>
            <w:tcW w:w="1412" w:type="dxa"/>
            <w:tcBorders>
              <w:top w:val="single" w:sz="4" w:space="0" w:color="auto"/>
              <w:left w:val="single" w:sz="4" w:space="0" w:color="auto"/>
              <w:bottom w:val="single" w:sz="4" w:space="0" w:color="auto"/>
              <w:right w:val="single" w:sz="4" w:space="0" w:color="auto"/>
            </w:tcBorders>
            <w:shd w:val="clear" w:color="auto" w:fill="auto"/>
            <w:vAlign w:val="center"/>
          </w:tcPr>
          <w:p w14:paraId="2282A6E0" w14:textId="77777777" w:rsidR="009A4C46" w:rsidRPr="00D27B56" w:rsidRDefault="009A4C46" w:rsidP="009A4C46">
            <w:pPr>
              <w:spacing w:after="0" w:line="240" w:lineRule="auto"/>
              <w:jc w:val="center"/>
              <w:rPr>
                <w:rFonts w:eastAsia="Times New Roman"/>
                <w:lang w:eastAsia="ru-RU"/>
              </w:rPr>
            </w:pPr>
            <w:r w:rsidRPr="00D27B56">
              <w:rPr>
                <w:rFonts w:eastAsia="Times New Roman"/>
                <w:lang w:eastAsia="ru-RU"/>
              </w:rPr>
              <w:t>94,81</w:t>
            </w:r>
          </w:p>
        </w:tc>
      </w:tr>
      <w:tr w:rsidR="00D27B56" w:rsidRPr="00D27B56" w14:paraId="299EB939" w14:textId="77777777" w:rsidTr="004235C4">
        <w:trPr>
          <w:trHeight w:val="20"/>
        </w:trPr>
        <w:tc>
          <w:tcPr>
            <w:tcW w:w="2778" w:type="dxa"/>
            <w:tcBorders>
              <w:top w:val="nil"/>
              <w:left w:val="single" w:sz="8" w:space="0" w:color="auto"/>
              <w:bottom w:val="single" w:sz="4" w:space="0" w:color="auto"/>
              <w:right w:val="single" w:sz="4" w:space="0" w:color="auto"/>
            </w:tcBorders>
            <w:shd w:val="clear" w:color="auto" w:fill="auto"/>
            <w:vAlign w:val="center"/>
            <w:hideMark/>
          </w:tcPr>
          <w:p w14:paraId="44529789" w14:textId="77777777" w:rsidR="009A4C46" w:rsidRPr="00D27B56" w:rsidRDefault="009A4C46" w:rsidP="009A4C46">
            <w:pPr>
              <w:spacing w:after="0" w:line="240" w:lineRule="auto"/>
              <w:rPr>
                <w:rFonts w:eastAsia="Times New Roman"/>
                <w:lang w:eastAsia="ru-RU"/>
              </w:rPr>
            </w:pPr>
            <w:r w:rsidRPr="00E169B0">
              <w:rPr>
                <w:rFonts w:eastAsia="Times New Roman"/>
                <w:lang w:eastAsia="ru-RU"/>
              </w:rPr>
              <w:t xml:space="preserve">Расходы на </w:t>
            </w:r>
            <w:r w:rsidRPr="003E2802">
              <w:rPr>
                <w:rFonts w:eastAsia="Times New Roman"/>
                <w:lang w:eastAsia="ru-RU"/>
              </w:rPr>
              <w:t>аудиторские и консультационные услуги</w:t>
            </w:r>
          </w:p>
        </w:tc>
        <w:tc>
          <w:tcPr>
            <w:tcW w:w="896" w:type="dxa"/>
            <w:tcBorders>
              <w:top w:val="nil"/>
              <w:left w:val="nil"/>
              <w:bottom w:val="single" w:sz="4" w:space="0" w:color="auto"/>
              <w:right w:val="nil"/>
            </w:tcBorders>
            <w:shd w:val="clear" w:color="auto" w:fill="auto"/>
            <w:noWrap/>
            <w:vAlign w:val="center"/>
            <w:hideMark/>
          </w:tcPr>
          <w:p w14:paraId="2F8C3006" w14:textId="77777777" w:rsidR="009A4C46" w:rsidRPr="00D27B56" w:rsidRDefault="009A4C46" w:rsidP="009A4C46">
            <w:pPr>
              <w:spacing w:after="0" w:line="240" w:lineRule="auto"/>
              <w:jc w:val="center"/>
              <w:rPr>
                <w:rFonts w:eastAsia="Times New Roman"/>
                <w:lang w:eastAsia="ru-RU"/>
              </w:rPr>
            </w:pPr>
            <w:r w:rsidRPr="00D27B56">
              <w:rPr>
                <w:rFonts w:eastAsia="Times New Roman"/>
                <w:lang w:eastAsia="ru-RU"/>
              </w:rPr>
              <w:t>тыс. руб.</w:t>
            </w:r>
          </w:p>
        </w:tc>
        <w:tc>
          <w:tcPr>
            <w:tcW w:w="1417" w:type="dxa"/>
            <w:tcBorders>
              <w:top w:val="nil"/>
              <w:left w:val="single" w:sz="4" w:space="0" w:color="auto"/>
              <w:bottom w:val="single" w:sz="4" w:space="0" w:color="auto"/>
              <w:right w:val="single" w:sz="4" w:space="0" w:color="auto"/>
            </w:tcBorders>
            <w:shd w:val="clear" w:color="auto" w:fill="auto"/>
            <w:noWrap/>
            <w:vAlign w:val="center"/>
            <w:hideMark/>
          </w:tcPr>
          <w:p w14:paraId="301B1412" w14:textId="77777777" w:rsidR="009A4C46" w:rsidRPr="00D27B56" w:rsidRDefault="009A4C46" w:rsidP="009A4C46">
            <w:pPr>
              <w:spacing w:after="0" w:line="240" w:lineRule="auto"/>
              <w:jc w:val="center"/>
              <w:rPr>
                <w:rFonts w:eastAsia="Times New Roman"/>
                <w:lang w:eastAsia="ru-RU"/>
              </w:rPr>
            </w:pPr>
            <w:r w:rsidRPr="00D27B56">
              <w:rPr>
                <w:rFonts w:eastAsia="Times New Roman"/>
                <w:lang w:eastAsia="ru-RU"/>
              </w:rPr>
              <w:t>377,00</w:t>
            </w:r>
          </w:p>
        </w:tc>
        <w:tc>
          <w:tcPr>
            <w:tcW w:w="1283" w:type="dxa"/>
            <w:tcBorders>
              <w:top w:val="nil"/>
              <w:left w:val="nil"/>
              <w:bottom w:val="single" w:sz="4" w:space="0" w:color="auto"/>
              <w:right w:val="nil"/>
            </w:tcBorders>
            <w:shd w:val="clear" w:color="auto" w:fill="auto"/>
            <w:noWrap/>
            <w:vAlign w:val="center"/>
            <w:hideMark/>
          </w:tcPr>
          <w:p w14:paraId="19DDD1BB" w14:textId="77777777" w:rsidR="009A4C46" w:rsidRPr="00D27B56" w:rsidRDefault="009A4C46" w:rsidP="009A4C46">
            <w:pPr>
              <w:spacing w:after="0" w:line="240" w:lineRule="auto"/>
              <w:jc w:val="center"/>
              <w:rPr>
                <w:rFonts w:eastAsia="Times New Roman"/>
                <w:lang w:eastAsia="ru-RU"/>
              </w:rPr>
            </w:pPr>
            <w:r w:rsidRPr="00D27B56">
              <w:rPr>
                <w:rFonts w:eastAsia="Times New Roman"/>
                <w:lang w:eastAsia="ru-RU"/>
              </w:rPr>
              <w:t>388,16</w:t>
            </w:r>
          </w:p>
        </w:tc>
        <w:tc>
          <w:tcPr>
            <w:tcW w:w="1559" w:type="dxa"/>
            <w:tcBorders>
              <w:top w:val="nil"/>
              <w:left w:val="single" w:sz="4" w:space="0" w:color="auto"/>
              <w:bottom w:val="single" w:sz="4" w:space="0" w:color="auto"/>
              <w:right w:val="single" w:sz="4" w:space="0" w:color="auto"/>
            </w:tcBorders>
            <w:shd w:val="clear" w:color="auto" w:fill="auto"/>
            <w:noWrap/>
            <w:vAlign w:val="center"/>
            <w:hideMark/>
          </w:tcPr>
          <w:p w14:paraId="6DC3A894" w14:textId="77777777" w:rsidR="009A4C46" w:rsidRPr="00D27B56" w:rsidRDefault="009A4C46" w:rsidP="009A4C46">
            <w:pPr>
              <w:spacing w:after="0" w:line="240" w:lineRule="auto"/>
              <w:jc w:val="center"/>
              <w:rPr>
                <w:rFonts w:eastAsia="Times New Roman"/>
                <w:lang w:eastAsia="ru-RU"/>
              </w:rPr>
            </w:pPr>
            <w:r w:rsidRPr="00D27B56">
              <w:rPr>
                <w:rFonts w:eastAsia="Times New Roman"/>
                <w:lang w:eastAsia="ru-RU"/>
              </w:rPr>
              <w:t>399,65</w:t>
            </w:r>
          </w:p>
        </w:tc>
        <w:tc>
          <w:tcPr>
            <w:tcW w:w="1412" w:type="dxa"/>
            <w:tcBorders>
              <w:top w:val="single" w:sz="4" w:space="0" w:color="auto"/>
              <w:left w:val="single" w:sz="4" w:space="0" w:color="auto"/>
              <w:bottom w:val="single" w:sz="4" w:space="0" w:color="auto"/>
              <w:right w:val="single" w:sz="4" w:space="0" w:color="auto"/>
            </w:tcBorders>
            <w:shd w:val="clear" w:color="auto" w:fill="auto"/>
            <w:vAlign w:val="center"/>
          </w:tcPr>
          <w:p w14:paraId="06273812" w14:textId="77777777" w:rsidR="009A4C46" w:rsidRPr="00D27B56" w:rsidRDefault="009A4C46" w:rsidP="009A4C46">
            <w:pPr>
              <w:spacing w:after="0" w:line="240" w:lineRule="auto"/>
              <w:jc w:val="center"/>
              <w:rPr>
                <w:rFonts w:eastAsia="Times New Roman"/>
                <w:lang w:eastAsia="ru-RU"/>
              </w:rPr>
            </w:pPr>
            <w:r w:rsidRPr="00D27B56">
              <w:rPr>
                <w:rFonts w:eastAsia="Times New Roman"/>
                <w:lang w:eastAsia="ru-RU"/>
              </w:rPr>
              <w:t>11,49</w:t>
            </w:r>
          </w:p>
        </w:tc>
      </w:tr>
      <w:tr w:rsidR="00D27B56" w:rsidRPr="00D27B56" w14:paraId="22B38466" w14:textId="77777777" w:rsidTr="004235C4">
        <w:trPr>
          <w:trHeight w:val="20"/>
        </w:trPr>
        <w:tc>
          <w:tcPr>
            <w:tcW w:w="2778" w:type="dxa"/>
            <w:tcBorders>
              <w:top w:val="nil"/>
              <w:left w:val="single" w:sz="8" w:space="0" w:color="auto"/>
              <w:bottom w:val="single" w:sz="4" w:space="0" w:color="auto"/>
              <w:right w:val="single" w:sz="4" w:space="0" w:color="auto"/>
            </w:tcBorders>
            <w:shd w:val="clear" w:color="auto" w:fill="auto"/>
            <w:vAlign w:val="center"/>
            <w:hideMark/>
          </w:tcPr>
          <w:p w14:paraId="49347967" w14:textId="77777777" w:rsidR="009A4C46" w:rsidRPr="003E2802" w:rsidRDefault="009A4C46" w:rsidP="009A4C46">
            <w:pPr>
              <w:spacing w:after="0" w:line="240" w:lineRule="auto"/>
              <w:rPr>
                <w:rFonts w:eastAsia="Times New Roman"/>
                <w:lang w:eastAsia="ru-RU"/>
              </w:rPr>
            </w:pPr>
            <w:r w:rsidRPr="00E169B0">
              <w:rPr>
                <w:rFonts w:eastAsia="Times New Roman"/>
                <w:lang w:eastAsia="ru-RU"/>
              </w:rPr>
              <w:t>Транспортные услуги</w:t>
            </w:r>
          </w:p>
        </w:tc>
        <w:tc>
          <w:tcPr>
            <w:tcW w:w="896" w:type="dxa"/>
            <w:tcBorders>
              <w:top w:val="nil"/>
              <w:left w:val="nil"/>
              <w:bottom w:val="single" w:sz="4" w:space="0" w:color="auto"/>
              <w:right w:val="nil"/>
            </w:tcBorders>
            <w:shd w:val="clear" w:color="auto" w:fill="auto"/>
            <w:noWrap/>
            <w:vAlign w:val="center"/>
            <w:hideMark/>
          </w:tcPr>
          <w:p w14:paraId="7D223902" w14:textId="77777777" w:rsidR="009A4C46" w:rsidRPr="00D27B56" w:rsidRDefault="009A4C46" w:rsidP="009A4C46">
            <w:pPr>
              <w:spacing w:after="0" w:line="240" w:lineRule="auto"/>
              <w:jc w:val="center"/>
              <w:rPr>
                <w:rFonts w:eastAsia="Times New Roman"/>
                <w:lang w:eastAsia="ru-RU"/>
              </w:rPr>
            </w:pPr>
            <w:r w:rsidRPr="00D27B56">
              <w:rPr>
                <w:rFonts w:eastAsia="Times New Roman"/>
                <w:lang w:eastAsia="ru-RU"/>
              </w:rPr>
              <w:t>тыс. руб.</w:t>
            </w:r>
          </w:p>
        </w:tc>
        <w:tc>
          <w:tcPr>
            <w:tcW w:w="1417" w:type="dxa"/>
            <w:tcBorders>
              <w:top w:val="nil"/>
              <w:left w:val="single" w:sz="4" w:space="0" w:color="auto"/>
              <w:bottom w:val="single" w:sz="4" w:space="0" w:color="auto"/>
              <w:right w:val="single" w:sz="4" w:space="0" w:color="auto"/>
            </w:tcBorders>
            <w:shd w:val="clear" w:color="auto" w:fill="auto"/>
            <w:noWrap/>
            <w:vAlign w:val="center"/>
            <w:hideMark/>
          </w:tcPr>
          <w:p w14:paraId="24F204B4" w14:textId="77777777" w:rsidR="009A4C46" w:rsidRPr="00D27B56" w:rsidRDefault="009A4C46" w:rsidP="009A4C46">
            <w:pPr>
              <w:spacing w:after="0" w:line="240" w:lineRule="auto"/>
              <w:jc w:val="center"/>
              <w:rPr>
                <w:rFonts w:eastAsia="Times New Roman"/>
                <w:lang w:eastAsia="ru-RU"/>
              </w:rPr>
            </w:pPr>
            <w:r w:rsidRPr="00D27B56">
              <w:rPr>
                <w:rFonts w:eastAsia="Times New Roman"/>
                <w:lang w:eastAsia="ru-RU"/>
              </w:rPr>
              <w:t>134,00</w:t>
            </w:r>
          </w:p>
        </w:tc>
        <w:tc>
          <w:tcPr>
            <w:tcW w:w="1283" w:type="dxa"/>
            <w:tcBorders>
              <w:top w:val="nil"/>
              <w:left w:val="nil"/>
              <w:bottom w:val="single" w:sz="4" w:space="0" w:color="auto"/>
              <w:right w:val="nil"/>
            </w:tcBorders>
            <w:shd w:val="clear" w:color="auto" w:fill="auto"/>
            <w:noWrap/>
            <w:vAlign w:val="center"/>
            <w:hideMark/>
          </w:tcPr>
          <w:p w14:paraId="73AB3458" w14:textId="77777777" w:rsidR="009A4C46" w:rsidRPr="00D27B56" w:rsidRDefault="009A4C46" w:rsidP="009A4C46">
            <w:pPr>
              <w:spacing w:after="0" w:line="240" w:lineRule="auto"/>
              <w:jc w:val="center"/>
              <w:rPr>
                <w:rFonts w:eastAsia="Times New Roman"/>
                <w:lang w:eastAsia="ru-RU"/>
              </w:rPr>
            </w:pPr>
            <w:r w:rsidRPr="00D27B56">
              <w:rPr>
                <w:rFonts w:eastAsia="Times New Roman"/>
                <w:lang w:eastAsia="ru-RU"/>
              </w:rPr>
              <w:t>137,97</w:t>
            </w:r>
          </w:p>
        </w:tc>
        <w:tc>
          <w:tcPr>
            <w:tcW w:w="1559" w:type="dxa"/>
            <w:tcBorders>
              <w:top w:val="nil"/>
              <w:left w:val="single" w:sz="4" w:space="0" w:color="auto"/>
              <w:bottom w:val="single" w:sz="4" w:space="0" w:color="auto"/>
              <w:right w:val="single" w:sz="4" w:space="0" w:color="auto"/>
            </w:tcBorders>
            <w:shd w:val="clear" w:color="auto" w:fill="auto"/>
            <w:noWrap/>
            <w:vAlign w:val="center"/>
            <w:hideMark/>
          </w:tcPr>
          <w:p w14:paraId="0A0414B3" w14:textId="77777777" w:rsidR="009A4C46" w:rsidRPr="00D27B56" w:rsidRDefault="009A4C46" w:rsidP="009A4C46">
            <w:pPr>
              <w:spacing w:after="0" w:line="240" w:lineRule="auto"/>
              <w:jc w:val="center"/>
              <w:rPr>
                <w:rFonts w:eastAsia="Times New Roman"/>
                <w:lang w:eastAsia="ru-RU"/>
              </w:rPr>
            </w:pPr>
            <w:r w:rsidRPr="00D27B56">
              <w:rPr>
                <w:rFonts w:eastAsia="Times New Roman"/>
                <w:lang w:eastAsia="ru-RU"/>
              </w:rPr>
              <w:t>142,05</w:t>
            </w:r>
          </w:p>
        </w:tc>
        <w:tc>
          <w:tcPr>
            <w:tcW w:w="1412" w:type="dxa"/>
            <w:tcBorders>
              <w:top w:val="single" w:sz="4" w:space="0" w:color="auto"/>
              <w:left w:val="single" w:sz="4" w:space="0" w:color="auto"/>
              <w:bottom w:val="single" w:sz="4" w:space="0" w:color="auto"/>
              <w:right w:val="single" w:sz="4" w:space="0" w:color="auto"/>
            </w:tcBorders>
            <w:shd w:val="clear" w:color="auto" w:fill="auto"/>
            <w:vAlign w:val="center"/>
          </w:tcPr>
          <w:p w14:paraId="599ACCE6" w14:textId="77777777" w:rsidR="009A4C46" w:rsidRPr="00D27B56" w:rsidRDefault="009A4C46" w:rsidP="009A4C46">
            <w:pPr>
              <w:spacing w:after="0" w:line="240" w:lineRule="auto"/>
              <w:jc w:val="center"/>
              <w:rPr>
                <w:rFonts w:eastAsia="Times New Roman"/>
                <w:lang w:eastAsia="ru-RU"/>
              </w:rPr>
            </w:pPr>
            <w:r w:rsidRPr="00D27B56">
              <w:rPr>
                <w:rFonts w:eastAsia="Times New Roman"/>
                <w:lang w:eastAsia="ru-RU"/>
              </w:rPr>
              <w:t>4,08</w:t>
            </w:r>
          </w:p>
        </w:tc>
      </w:tr>
      <w:tr w:rsidR="00D27B56" w:rsidRPr="00D27B56" w14:paraId="74B990F4" w14:textId="77777777" w:rsidTr="004235C4">
        <w:trPr>
          <w:trHeight w:val="20"/>
        </w:trPr>
        <w:tc>
          <w:tcPr>
            <w:tcW w:w="2778" w:type="dxa"/>
            <w:tcBorders>
              <w:top w:val="nil"/>
              <w:left w:val="single" w:sz="8" w:space="0" w:color="auto"/>
              <w:bottom w:val="single" w:sz="4" w:space="0" w:color="auto"/>
              <w:right w:val="single" w:sz="4" w:space="0" w:color="auto"/>
            </w:tcBorders>
            <w:shd w:val="clear" w:color="auto" w:fill="auto"/>
            <w:vAlign w:val="center"/>
            <w:hideMark/>
          </w:tcPr>
          <w:p w14:paraId="5BEB05A9" w14:textId="77777777" w:rsidR="009A4C46" w:rsidRPr="003E2802" w:rsidRDefault="009A4C46" w:rsidP="009A4C46">
            <w:pPr>
              <w:spacing w:after="0" w:line="240" w:lineRule="auto"/>
              <w:rPr>
                <w:rFonts w:eastAsia="Times New Roman"/>
                <w:lang w:eastAsia="ru-RU"/>
              </w:rPr>
            </w:pPr>
            <w:r w:rsidRPr="00E169B0">
              <w:rPr>
                <w:rFonts w:eastAsia="Times New Roman"/>
                <w:lang w:eastAsia="ru-RU"/>
              </w:rPr>
              <w:t>Прочие услуги сторонних организаций</w:t>
            </w:r>
          </w:p>
        </w:tc>
        <w:tc>
          <w:tcPr>
            <w:tcW w:w="896" w:type="dxa"/>
            <w:tcBorders>
              <w:top w:val="nil"/>
              <w:left w:val="nil"/>
              <w:bottom w:val="single" w:sz="4" w:space="0" w:color="auto"/>
              <w:right w:val="nil"/>
            </w:tcBorders>
            <w:shd w:val="clear" w:color="auto" w:fill="auto"/>
            <w:noWrap/>
            <w:vAlign w:val="center"/>
            <w:hideMark/>
          </w:tcPr>
          <w:p w14:paraId="6244FE9B" w14:textId="77777777" w:rsidR="009A4C46" w:rsidRPr="00D27B56" w:rsidRDefault="009A4C46" w:rsidP="009A4C46">
            <w:pPr>
              <w:spacing w:after="0" w:line="240" w:lineRule="auto"/>
              <w:jc w:val="center"/>
              <w:rPr>
                <w:rFonts w:eastAsia="Times New Roman"/>
                <w:lang w:eastAsia="ru-RU"/>
              </w:rPr>
            </w:pPr>
            <w:r w:rsidRPr="00D27B56">
              <w:rPr>
                <w:rFonts w:eastAsia="Times New Roman"/>
                <w:lang w:eastAsia="ru-RU"/>
              </w:rPr>
              <w:t>тыс. руб.</w:t>
            </w:r>
          </w:p>
        </w:tc>
        <w:tc>
          <w:tcPr>
            <w:tcW w:w="1417" w:type="dxa"/>
            <w:tcBorders>
              <w:top w:val="nil"/>
              <w:left w:val="single" w:sz="4" w:space="0" w:color="auto"/>
              <w:bottom w:val="single" w:sz="4" w:space="0" w:color="auto"/>
              <w:right w:val="single" w:sz="4" w:space="0" w:color="auto"/>
            </w:tcBorders>
            <w:shd w:val="clear" w:color="auto" w:fill="auto"/>
            <w:noWrap/>
            <w:vAlign w:val="center"/>
            <w:hideMark/>
          </w:tcPr>
          <w:p w14:paraId="0BE874D3" w14:textId="77777777" w:rsidR="009A4C46" w:rsidRPr="00D27B56" w:rsidRDefault="009A4C46" w:rsidP="009A4C46">
            <w:pPr>
              <w:spacing w:after="0" w:line="240" w:lineRule="auto"/>
              <w:jc w:val="center"/>
              <w:rPr>
                <w:rFonts w:eastAsia="Times New Roman"/>
                <w:lang w:eastAsia="ru-RU"/>
              </w:rPr>
            </w:pPr>
            <w:r w:rsidRPr="00D27B56">
              <w:rPr>
                <w:rFonts w:eastAsia="Times New Roman"/>
                <w:lang w:eastAsia="ru-RU"/>
              </w:rPr>
              <w:t>15 006,00</w:t>
            </w:r>
          </w:p>
        </w:tc>
        <w:tc>
          <w:tcPr>
            <w:tcW w:w="1283" w:type="dxa"/>
            <w:tcBorders>
              <w:top w:val="nil"/>
              <w:left w:val="nil"/>
              <w:bottom w:val="single" w:sz="4" w:space="0" w:color="auto"/>
              <w:right w:val="nil"/>
            </w:tcBorders>
            <w:shd w:val="clear" w:color="auto" w:fill="auto"/>
            <w:noWrap/>
            <w:vAlign w:val="center"/>
            <w:hideMark/>
          </w:tcPr>
          <w:p w14:paraId="6FD6876F" w14:textId="77777777" w:rsidR="009A4C46" w:rsidRPr="00D27B56" w:rsidRDefault="009A4C46" w:rsidP="009A4C46">
            <w:pPr>
              <w:spacing w:after="0" w:line="240" w:lineRule="auto"/>
              <w:jc w:val="center"/>
              <w:rPr>
                <w:rFonts w:eastAsia="Times New Roman"/>
                <w:lang w:eastAsia="ru-RU"/>
              </w:rPr>
            </w:pPr>
            <w:r w:rsidRPr="00D27B56">
              <w:rPr>
                <w:rFonts w:eastAsia="Times New Roman"/>
                <w:lang w:eastAsia="ru-RU"/>
              </w:rPr>
              <w:t>15 450,18</w:t>
            </w:r>
          </w:p>
        </w:tc>
        <w:tc>
          <w:tcPr>
            <w:tcW w:w="1559" w:type="dxa"/>
            <w:tcBorders>
              <w:top w:val="nil"/>
              <w:left w:val="single" w:sz="4" w:space="0" w:color="auto"/>
              <w:bottom w:val="single" w:sz="4" w:space="0" w:color="auto"/>
              <w:right w:val="single" w:sz="4" w:space="0" w:color="auto"/>
            </w:tcBorders>
            <w:shd w:val="clear" w:color="auto" w:fill="auto"/>
            <w:noWrap/>
            <w:vAlign w:val="center"/>
            <w:hideMark/>
          </w:tcPr>
          <w:p w14:paraId="1416A3CA" w14:textId="77777777" w:rsidR="009A4C46" w:rsidRPr="00D27B56" w:rsidRDefault="009A4C46" w:rsidP="009A4C46">
            <w:pPr>
              <w:spacing w:after="0" w:line="240" w:lineRule="auto"/>
              <w:jc w:val="center"/>
              <w:rPr>
                <w:rFonts w:eastAsia="Times New Roman"/>
                <w:lang w:eastAsia="ru-RU"/>
              </w:rPr>
            </w:pPr>
            <w:r w:rsidRPr="00D27B56">
              <w:rPr>
                <w:rFonts w:eastAsia="Times New Roman"/>
                <w:lang w:eastAsia="ru-RU"/>
              </w:rPr>
              <w:t>15 907,50</w:t>
            </w:r>
          </w:p>
        </w:tc>
        <w:tc>
          <w:tcPr>
            <w:tcW w:w="1412" w:type="dxa"/>
            <w:tcBorders>
              <w:top w:val="single" w:sz="4" w:space="0" w:color="auto"/>
              <w:left w:val="single" w:sz="4" w:space="0" w:color="auto"/>
              <w:bottom w:val="single" w:sz="4" w:space="0" w:color="auto"/>
              <w:right w:val="single" w:sz="4" w:space="0" w:color="auto"/>
            </w:tcBorders>
            <w:shd w:val="clear" w:color="auto" w:fill="auto"/>
            <w:vAlign w:val="center"/>
          </w:tcPr>
          <w:p w14:paraId="4396369A" w14:textId="77777777" w:rsidR="009A4C46" w:rsidRPr="00D27B56" w:rsidRDefault="009A4C46" w:rsidP="009A4C46">
            <w:pPr>
              <w:spacing w:after="0" w:line="240" w:lineRule="auto"/>
              <w:jc w:val="center"/>
              <w:rPr>
                <w:rFonts w:eastAsia="Times New Roman"/>
                <w:lang w:eastAsia="ru-RU"/>
              </w:rPr>
            </w:pPr>
            <w:r w:rsidRPr="00D27B56">
              <w:rPr>
                <w:rFonts w:eastAsia="Times New Roman"/>
                <w:lang w:eastAsia="ru-RU"/>
              </w:rPr>
              <w:t>457,33</w:t>
            </w:r>
          </w:p>
        </w:tc>
      </w:tr>
      <w:tr w:rsidR="00D27B56" w:rsidRPr="00D27B56" w14:paraId="486B98E1" w14:textId="77777777" w:rsidTr="004235C4">
        <w:trPr>
          <w:trHeight w:val="20"/>
        </w:trPr>
        <w:tc>
          <w:tcPr>
            <w:tcW w:w="2778" w:type="dxa"/>
            <w:tcBorders>
              <w:top w:val="nil"/>
              <w:left w:val="single" w:sz="8" w:space="0" w:color="auto"/>
              <w:bottom w:val="single" w:sz="4" w:space="0" w:color="auto"/>
              <w:right w:val="single" w:sz="4" w:space="0" w:color="auto"/>
            </w:tcBorders>
            <w:shd w:val="clear" w:color="auto" w:fill="auto"/>
            <w:vAlign w:val="center"/>
            <w:hideMark/>
          </w:tcPr>
          <w:p w14:paraId="0DFAC6C5" w14:textId="77777777" w:rsidR="009A4C46" w:rsidRPr="00D27B56" w:rsidRDefault="009A4C46" w:rsidP="009A4C46">
            <w:pPr>
              <w:spacing w:after="0" w:line="240" w:lineRule="auto"/>
              <w:rPr>
                <w:rFonts w:eastAsia="Times New Roman"/>
                <w:lang w:eastAsia="ru-RU"/>
              </w:rPr>
            </w:pPr>
            <w:r w:rsidRPr="00E169B0">
              <w:rPr>
                <w:rFonts w:eastAsia="Times New Roman"/>
                <w:lang w:eastAsia="ru-RU"/>
              </w:rPr>
              <w:t xml:space="preserve">Расходы на командировки и прочие </w:t>
            </w:r>
            <w:r w:rsidRPr="003E2802">
              <w:rPr>
                <w:rFonts w:eastAsia="Times New Roman"/>
                <w:lang w:eastAsia="ru-RU"/>
              </w:rPr>
              <w:t>подотчетные суммы</w:t>
            </w:r>
          </w:p>
        </w:tc>
        <w:tc>
          <w:tcPr>
            <w:tcW w:w="896" w:type="dxa"/>
            <w:tcBorders>
              <w:top w:val="nil"/>
              <w:left w:val="nil"/>
              <w:bottom w:val="single" w:sz="4" w:space="0" w:color="auto"/>
              <w:right w:val="nil"/>
            </w:tcBorders>
            <w:shd w:val="clear" w:color="auto" w:fill="auto"/>
            <w:noWrap/>
            <w:vAlign w:val="center"/>
            <w:hideMark/>
          </w:tcPr>
          <w:p w14:paraId="68A83D38" w14:textId="77777777" w:rsidR="009A4C46" w:rsidRPr="00D27B56" w:rsidRDefault="009A4C46" w:rsidP="009A4C46">
            <w:pPr>
              <w:spacing w:after="0" w:line="240" w:lineRule="auto"/>
              <w:jc w:val="center"/>
              <w:rPr>
                <w:rFonts w:eastAsia="Times New Roman"/>
                <w:lang w:eastAsia="ru-RU"/>
              </w:rPr>
            </w:pPr>
            <w:r w:rsidRPr="00D27B56">
              <w:rPr>
                <w:rFonts w:eastAsia="Times New Roman"/>
                <w:lang w:eastAsia="ru-RU"/>
              </w:rPr>
              <w:t>тыс. руб.</w:t>
            </w:r>
          </w:p>
        </w:tc>
        <w:tc>
          <w:tcPr>
            <w:tcW w:w="1417" w:type="dxa"/>
            <w:tcBorders>
              <w:top w:val="nil"/>
              <w:left w:val="single" w:sz="4" w:space="0" w:color="auto"/>
              <w:bottom w:val="single" w:sz="4" w:space="0" w:color="auto"/>
              <w:right w:val="single" w:sz="4" w:space="0" w:color="auto"/>
            </w:tcBorders>
            <w:shd w:val="clear" w:color="auto" w:fill="auto"/>
            <w:noWrap/>
            <w:vAlign w:val="center"/>
            <w:hideMark/>
          </w:tcPr>
          <w:p w14:paraId="19417C64" w14:textId="77777777" w:rsidR="009A4C46" w:rsidRPr="00D27B56" w:rsidRDefault="009A4C46" w:rsidP="009A4C46">
            <w:pPr>
              <w:spacing w:after="0" w:line="240" w:lineRule="auto"/>
              <w:jc w:val="center"/>
              <w:rPr>
                <w:rFonts w:eastAsia="Times New Roman"/>
                <w:lang w:eastAsia="ru-RU"/>
              </w:rPr>
            </w:pPr>
            <w:r w:rsidRPr="00D27B56">
              <w:rPr>
                <w:rFonts w:eastAsia="Times New Roman"/>
                <w:lang w:eastAsia="ru-RU"/>
              </w:rPr>
              <w:t>5 960,00</w:t>
            </w:r>
          </w:p>
        </w:tc>
        <w:tc>
          <w:tcPr>
            <w:tcW w:w="1283" w:type="dxa"/>
            <w:tcBorders>
              <w:top w:val="nil"/>
              <w:left w:val="nil"/>
              <w:bottom w:val="single" w:sz="4" w:space="0" w:color="auto"/>
              <w:right w:val="nil"/>
            </w:tcBorders>
            <w:shd w:val="clear" w:color="auto" w:fill="auto"/>
            <w:noWrap/>
            <w:vAlign w:val="center"/>
            <w:hideMark/>
          </w:tcPr>
          <w:p w14:paraId="004DC327" w14:textId="77777777" w:rsidR="009A4C46" w:rsidRPr="00D27B56" w:rsidRDefault="009A4C46" w:rsidP="009A4C46">
            <w:pPr>
              <w:spacing w:after="0" w:line="240" w:lineRule="auto"/>
              <w:jc w:val="center"/>
              <w:rPr>
                <w:rFonts w:eastAsia="Times New Roman"/>
                <w:lang w:eastAsia="ru-RU"/>
              </w:rPr>
            </w:pPr>
            <w:r w:rsidRPr="00D27B56">
              <w:rPr>
                <w:rFonts w:eastAsia="Times New Roman"/>
                <w:lang w:eastAsia="ru-RU"/>
              </w:rPr>
              <w:t>6 136,42</w:t>
            </w:r>
          </w:p>
        </w:tc>
        <w:tc>
          <w:tcPr>
            <w:tcW w:w="1559" w:type="dxa"/>
            <w:tcBorders>
              <w:top w:val="nil"/>
              <w:left w:val="single" w:sz="4" w:space="0" w:color="auto"/>
              <w:bottom w:val="single" w:sz="4" w:space="0" w:color="auto"/>
              <w:right w:val="single" w:sz="4" w:space="0" w:color="auto"/>
            </w:tcBorders>
            <w:shd w:val="clear" w:color="auto" w:fill="auto"/>
            <w:noWrap/>
            <w:vAlign w:val="center"/>
            <w:hideMark/>
          </w:tcPr>
          <w:p w14:paraId="424452D6" w14:textId="77777777" w:rsidR="009A4C46" w:rsidRPr="00D27B56" w:rsidRDefault="009A4C46" w:rsidP="009A4C46">
            <w:pPr>
              <w:spacing w:after="0" w:line="240" w:lineRule="auto"/>
              <w:jc w:val="center"/>
              <w:rPr>
                <w:rFonts w:eastAsia="Times New Roman"/>
                <w:lang w:eastAsia="ru-RU"/>
              </w:rPr>
            </w:pPr>
            <w:r w:rsidRPr="00D27B56">
              <w:rPr>
                <w:rFonts w:eastAsia="Times New Roman"/>
                <w:lang w:eastAsia="ru-RU"/>
              </w:rPr>
              <w:t>6 318,05</w:t>
            </w:r>
          </w:p>
        </w:tc>
        <w:tc>
          <w:tcPr>
            <w:tcW w:w="1412" w:type="dxa"/>
            <w:tcBorders>
              <w:top w:val="single" w:sz="4" w:space="0" w:color="auto"/>
              <w:left w:val="single" w:sz="4" w:space="0" w:color="auto"/>
              <w:bottom w:val="single" w:sz="4" w:space="0" w:color="auto"/>
              <w:right w:val="single" w:sz="4" w:space="0" w:color="auto"/>
            </w:tcBorders>
            <w:shd w:val="clear" w:color="auto" w:fill="auto"/>
            <w:vAlign w:val="center"/>
          </w:tcPr>
          <w:p w14:paraId="522AA0E7" w14:textId="77777777" w:rsidR="009A4C46" w:rsidRPr="00D27B56" w:rsidRDefault="009A4C46" w:rsidP="009A4C46">
            <w:pPr>
              <w:spacing w:after="0" w:line="240" w:lineRule="auto"/>
              <w:jc w:val="center"/>
              <w:rPr>
                <w:rFonts w:eastAsia="Times New Roman"/>
                <w:lang w:eastAsia="ru-RU"/>
              </w:rPr>
            </w:pPr>
            <w:r w:rsidRPr="00D27B56">
              <w:rPr>
                <w:rFonts w:eastAsia="Times New Roman"/>
                <w:lang w:eastAsia="ru-RU"/>
              </w:rPr>
              <w:t>181,64</w:t>
            </w:r>
          </w:p>
        </w:tc>
      </w:tr>
      <w:tr w:rsidR="00D27B56" w:rsidRPr="00D27B56" w14:paraId="57868009" w14:textId="77777777" w:rsidTr="004235C4">
        <w:trPr>
          <w:trHeight w:val="20"/>
        </w:trPr>
        <w:tc>
          <w:tcPr>
            <w:tcW w:w="2778" w:type="dxa"/>
            <w:tcBorders>
              <w:top w:val="nil"/>
              <w:left w:val="single" w:sz="8" w:space="0" w:color="auto"/>
              <w:bottom w:val="single" w:sz="4" w:space="0" w:color="auto"/>
              <w:right w:val="single" w:sz="4" w:space="0" w:color="auto"/>
            </w:tcBorders>
            <w:shd w:val="clear" w:color="auto" w:fill="auto"/>
            <w:vAlign w:val="center"/>
            <w:hideMark/>
          </w:tcPr>
          <w:p w14:paraId="62D4DD35" w14:textId="77777777" w:rsidR="009A4C46" w:rsidRPr="003E2802" w:rsidRDefault="009A4C46" w:rsidP="009A4C46">
            <w:pPr>
              <w:spacing w:after="0" w:line="240" w:lineRule="auto"/>
              <w:rPr>
                <w:rFonts w:eastAsia="Times New Roman"/>
                <w:lang w:eastAsia="ru-RU"/>
              </w:rPr>
            </w:pPr>
            <w:r w:rsidRPr="00E169B0">
              <w:rPr>
                <w:rFonts w:eastAsia="Times New Roman"/>
                <w:lang w:eastAsia="ru-RU"/>
              </w:rPr>
              <w:t>Расходы на подготовку кадров</w:t>
            </w:r>
          </w:p>
        </w:tc>
        <w:tc>
          <w:tcPr>
            <w:tcW w:w="896" w:type="dxa"/>
            <w:tcBorders>
              <w:top w:val="nil"/>
              <w:left w:val="nil"/>
              <w:bottom w:val="single" w:sz="4" w:space="0" w:color="auto"/>
              <w:right w:val="nil"/>
            </w:tcBorders>
            <w:shd w:val="clear" w:color="auto" w:fill="auto"/>
            <w:noWrap/>
            <w:vAlign w:val="center"/>
            <w:hideMark/>
          </w:tcPr>
          <w:p w14:paraId="1B37228F" w14:textId="77777777" w:rsidR="009A4C46" w:rsidRPr="00D27B56" w:rsidRDefault="009A4C46" w:rsidP="009A4C46">
            <w:pPr>
              <w:spacing w:after="0" w:line="240" w:lineRule="auto"/>
              <w:jc w:val="center"/>
              <w:rPr>
                <w:rFonts w:eastAsia="Times New Roman"/>
                <w:lang w:eastAsia="ru-RU"/>
              </w:rPr>
            </w:pPr>
            <w:r w:rsidRPr="00D27B56">
              <w:rPr>
                <w:rFonts w:eastAsia="Times New Roman"/>
                <w:lang w:eastAsia="ru-RU"/>
              </w:rPr>
              <w:t>тыс. руб.</w:t>
            </w:r>
          </w:p>
        </w:tc>
        <w:tc>
          <w:tcPr>
            <w:tcW w:w="1417" w:type="dxa"/>
            <w:tcBorders>
              <w:top w:val="nil"/>
              <w:left w:val="single" w:sz="4" w:space="0" w:color="auto"/>
              <w:bottom w:val="single" w:sz="4" w:space="0" w:color="auto"/>
              <w:right w:val="single" w:sz="4" w:space="0" w:color="auto"/>
            </w:tcBorders>
            <w:shd w:val="clear" w:color="auto" w:fill="auto"/>
            <w:noWrap/>
            <w:vAlign w:val="center"/>
            <w:hideMark/>
          </w:tcPr>
          <w:p w14:paraId="2D35756F" w14:textId="77777777" w:rsidR="009A4C46" w:rsidRPr="00D27B56" w:rsidRDefault="009A4C46" w:rsidP="009A4C46">
            <w:pPr>
              <w:spacing w:after="0" w:line="240" w:lineRule="auto"/>
              <w:jc w:val="center"/>
              <w:rPr>
                <w:rFonts w:eastAsia="Times New Roman"/>
                <w:lang w:eastAsia="ru-RU"/>
              </w:rPr>
            </w:pPr>
            <w:r w:rsidRPr="00D27B56">
              <w:rPr>
                <w:rFonts w:eastAsia="Times New Roman"/>
                <w:lang w:eastAsia="ru-RU"/>
              </w:rPr>
              <w:t>3 099,00</w:t>
            </w:r>
          </w:p>
        </w:tc>
        <w:tc>
          <w:tcPr>
            <w:tcW w:w="1283" w:type="dxa"/>
            <w:tcBorders>
              <w:top w:val="nil"/>
              <w:left w:val="nil"/>
              <w:bottom w:val="single" w:sz="4" w:space="0" w:color="auto"/>
              <w:right w:val="nil"/>
            </w:tcBorders>
            <w:shd w:val="clear" w:color="auto" w:fill="auto"/>
            <w:noWrap/>
            <w:vAlign w:val="center"/>
            <w:hideMark/>
          </w:tcPr>
          <w:p w14:paraId="76E6E09D" w14:textId="77777777" w:rsidR="009A4C46" w:rsidRPr="00D27B56" w:rsidRDefault="009A4C46" w:rsidP="009A4C46">
            <w:pPr>
              <w:spacing w:after="0" w:line="240" w:lineRule="auto"/>
              <w:jc w:val="center"/>
              <w:rPr>
                <w:rFonts w:eastAsia="Times New Roman"/>
                <w:lang w:eastAsia="ru-RU"/>
              </w:rPr>
            </w:pPr>
            <w:r w:rsidRPr="00D27B56">
              <w:rPr>
                <w:rFonts w:eastAsia="Times New Roman"/>
                <w:lang w:eastAsia="ru-RU"/>
              </w:rPr>
              <w:t>3 190,73</w:t>
            </w:r>
          </w:p>
        </w:tc>
        <w:tc>
          <w:tcPr>
            <w:tcW w:w="1559" w:type="dxa"/>
            <w:tcBorders>
              <w:top w:val="nil"/>
              <w:left w:val="single" w:sz="4" w:space="0" w:color="auto"/>
              <w:bottom w:val="single" w:sz="4" w:space="0" w:color="auto"/>
              <w:right w:val="single" w:sz="4" w:space="0" w:color="auto"/>
            </w:tcBorders>
            <w:shd w:val="clear" w:color="auto" w:fill="auto"/>
            <w:noWrap/>
            <w:vAlign w:val="center"/>
            <w:hideMark/>
          </w:tcPr>
          <w:p w14:paraId="1243D735" w14:textId="77777777" w:rsidR="009A4C46" w:rsidRPr="00D27B56" w:rsidRDefault="009A4C46" w:rsidP="009A4C46">
            <w:pPr>
              <w:spacing w:after="0" w:line="240" w:lineRule="auto"/>
              <w:jc w:val="center"/>
              <w:rPr>
                <w:rFonts w:eastAsia="Times New Roman"/>
                <w:lang w:eastAsia="ru-RU"/>
              </w:rPr>
            </w:pPr>
            <w:r w:rsidRPr="00D27B56">
              <w:rPr>
                <w:rFonts w:eastAsia="Times New Roman"/>
                <w:lang w:eastAsia="ru-RU"/>
              </w:rPr>
              <w:t>3 285,18</w:t>
            </w:r>
          </w:p>
        </w:tc>
        <w:tc>
          <w:tcPr>
            <w:tcW w:w="1412" w:type="dxa"/>
            <w:tcBorders>
              <w:top w:val="single" w:sz="4" w:space="0" w:color="auto"/>
              <w:left w:val="single" w:sz="4" w:space="0" w:color="auto"/>
              <w:bottom w:val="single" w:sz="4" w:space="0" w:color="auto"/>
              <w:right w:val="single" w:sz="4" w:space="0" w:color="auto"/>
            </w:tcBorders>
            <w:shd w:val="clear" w:color="auto" w:fill="auto"/>
            <w:vAlign w:val="center"/>
          </w:tcPr>
          <w:p w14:paraId="4FA3BC95" w14:textId="77777777" w:rsidR="009A4C46" w:rsidRPr="00D27B56" w:rsidRDefault="009A4C46" w:rsidP="009A4C46">
            <w:pPr>
              <w:spacing w:after="0" w:line="240" w:lineRule="auto"/>
              <w:jc w:val="center"/>
              <w:rPr>
                <w:rFonts w:eastAsia="Times New Roman"/>
                <w:lang w:eastAsia="ru-RU"/>
              </w:rPr>
            </w:pPr>
            <w:r w:rsidRPr="00D27B56">
              <w:rPr>
                <w:rFonts w:eastAsia="Times New Roman"/>
                <w:lang w:eastAsia="ru-RU"/>
              </w:rPr>
              <w:t>94,45</w:t>
            </w:r>
          </w:p>
        </w:tc>
      </w:tr>
      <w:tr w:rsidR="00D27B56" w:rsidRPr="00D27B56" w14:paraId="7B916DAB" w14:textId="77777777" w:rsidTr="004235C4">
        <w:trPr>
          <w:trHeight w:val="20"/>
        </w:trPr>
        <w:tc>
          <w:tcPr>
            <w:tcW w:w="27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DEAC64A" w14:textId="77777777" w:rsidR="009A4C46" w:rsidRPr="00D27B56" w:rsidRDefault="009A4C46" w:rsidP="009A4C46">
            <w:pPr>
              <w:spacing w:after="0" w:line="240" w:lineRule="auto"/>
              <w:rPr>
                <w:rFonts w:eastAsia="Times New Roman"/>
                <w:lang w:eastAsia="ru-RU"/>
              </w:rPr>
            </w:pPr>
            <w:r w:rsidRPr="00E169B0">
              <w:rPr>
                <w:rFonts w:eastAsia="Times New Roman"/>
                <w:lang w:eastAsia="ru-RU"/>
              </w:rPr>
              <w:t xml:space="preserve">Расходы на обеспечение нормальных условий труда </w:t>
            </w:r>
            <w:r w:rsidRPr="003E2802">
              <w:rPr>
                <w:rFonts w:eastAsia="Times New Roman"/>
                <w:lang w:eastAsia="ru-RU"/>
              </w:rPr>
              <w:t>и мер по тех</w:t>
            </w:r>
            <w:r w:rsidRPr="00D27B56">
              <w:rPr>
                <w:rFonts w:eastAsia="Times New Roman"/>
                <w:lang w:eastAsia="ru-RU"/>
              </w:rPr>
              <w:t>нике безопасности</w:t>
            </w:r>
          </w:p>
        </w:tc>
        <w:tc>
          <w:tcPr>
            <w:tcW w:w="896" w:type="dxa"/>
            <w:tcBorders>
              <w:top w:val="single" w:sz="4" w:space="0" w:color="auto"/>
              <w:left w:val="nil"/>
              <w:bottom w:val="single" w:sz="4" w:space="0" w:color="auto"/>
              <w:right w:val="nil"/>
            </w:tcBorders>
            <w:shd w:val="clear" w:color="auto" w:fill="auto"/>
            <w:noWrap/>
            <w:vAlign w:val="center"/>
            <w:hideMark/>
          </w:tcPr>
          <w:p w14:paraId="12C5E9BD" w14:textId="77777777" w:rsidR="009A4C46" w:rsidRPr="00D27B56" w:rsidRDefault="009A4C46" w:rsidP="009A4C46">
            <w:pPr>
              <w:spacing w:after="0" w:line="240" w:lineRule="auto"/>
              <w:jc w:val="center"/>
              <w:rPr>
                <w:rFonts w:eastAsia="Times New Roman"/>
                <w:lang w:eastAsia="ru-RU"/>
              </w:rPr>
            </w:pPr>
            <w:r w:rsidRPr="00D27B56">
              <w:rPr>
                <w:rFonts w:eastAsia="Times New Roman"/>
                <w:lang w:eastAsia="ru-RU"/>
              </w:rPr>
              <w:t>тыс. руб.</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A4BDDE" w14:textId="77777777" w:rsidR="009A4C46" w:rsidRPr="00D27B56" w:rsidRDefault="009A4C46" w:rsidP="009A4C46">
            <w:pPr>
              <w:spacing w:after="0" w:line="240" w:lineRule="auto"/>
              <w:jc w:val="center"/>
              <w:rPr>
                <w:rFonts w:eastAsia="Times New Roman"/>
                <w:lang w:eastAsia="ru-RU"/>
              </w:rPr>
            </w:pPr>
            <w:r w:rsidRPr="00D27B56">
              <w:rPr>
                <w:rFonts w:eastAsia="Times New Roman"/>
                <w:lang w:eastAsia="ru-RU"/>
              </w:rPr>
              <w:t>2 018,00</w:t>
            </w:r>
          </w:p>
        </w:tc>
        <w:tc>
          <w:tcPr>
            <w:tcW w:w="1283" w:type="dxa"/>
            <w:tcBorders>
              <w:top w:val="single" w:sz="4" w:space="0" w:color="auto"/>
              <w:left w:val="nil"/>
              <w:bottom w:val="single" w:sz="4" w:space="0" w:color="auto"/>
              <w:right w:val="nil"/>
            </w:tcBorders>
            <w:shd w:val="clear" w:color="auto" w:fill="auto"/>
            <w:noWrap/>
            <w:vAlign w:val="center"/>
            <w:hideMark/>
          </w:tcPr>
          <w:p w14:paraId="4414CF0E" w14:textId="77777777" w:rsidR="009A4C46" w:rsidRPr="00D27B56" w:rsidRDefault="009A4C46" w:rsidP="009A4C46">
            <w:pPr>
              <w:spacing w:after="0" w:line="240" w:lineRule="auto"/>
              <w:jc w:val="center"/>
              <w:rPr>
                <w:rFonts w:eastAsia="Times New Roman"/>
                <w:lang w:eastAsia="ru-RU"/>
              </w:rPr>
            </w:pPr>
            <w:r w:rsidRPr="00D27B56">
              <w:rPr>
                <w:rFonts w:eastAsia="Times New Roman"/>
                <w:lang w:eastAsia="ru-RU"/>
              </w:rPr>
              <w:t>2 077,73</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582B05" w14:textId="77777777" w:rsidR="009A4C46" w:rsidRPr="00D27B56" w:rsidRDefault="009A4C46" w:rsidP="009A4C46">
            <w:pPr>
              <w:spacing w:after="0" w:line="240" w:lineRule="auto"/>
              <w:jc w:val="center"/>
              <w:rPr>
                <w:rFonts w:eastAsia="Times New Roman"/>
                <w:lang w:eastAsia="ru-RU"/>
              </w:rPr>
            </w:pPr>
            <w:r w:rsidRPr="00D27B56">
              <w:rPr>
                <w:rFonts w:eastAsia="Times New Roman"/>
                <w:lang w:eastAsia="ru-RU"/>
              </w:rPr>
              <w:t>2 139,23</w:t>
            </w:r>
          </w:p>
        </w:tc>
        <w:tc>
          <w:tcPr>
            <w:tcW w:w="1412" w:type="dxa"/>
            <w:tcBorders>
              <w:top w:val="single" w:sz="4" w:space="0" w:color="auto"/>
              <w:left w:val="single" w:sz="4" w:space="0" w:color="auto"/>
              <w:bottom w:val="single" w:sz="4" w:space="0" w:color="auto"/>
              <w:right w:val="single" w:sz="4" w:space="0" w:color="auto"/>
            </w:tcBorders>
            <w:shd w:val="clear" w:color="auto" w:fill="auto"/>
            <w:vAlign w:val="center"/>
          </w:tcPr>
          <w:p w14:paraId="6A773DF9" w14:textId="77777777" w:rsidR="009A4C46" w:rsidRPr="00D27B56" w:rsidRDefault="009A4C46" w:rsidP="009A4C46">
            <w:pPr>
              <w:spacing w:after="0" w:line="240" w:lineRule="auto"/>
              <w:jc w:val="center"/>
              <w:rPr>
                <w:rFonts w:eastAsia="Times New Roman"/>
                <w:lang w:eastAsia="ru-RU"/>
              </w:rPr>
            </w:pPr>
            <w:r w:rsidRPr="00D27B56">
              <w:rPr>
                <w:rFonts w:eastAsia="Times New Roman"/>
                <w:lang w:eastAsia="ru-RU"/>
              </w:rPr>
              <w:t>61,50</w:t>
            </w:r>
          </w:p>
        </w:tc>
      </w:tr>
      <w:tr w:rsidR="00D27B56" w:rsidRPr="00D27B56" w14:paraId="6DEAC175" w14:textId="77777777" w:rsidTr="004235C4">
        <w:trPr>
          <w:trHeight w:val="20"/>
        </w:trPr>
        <w:tc>
          <w:tcPr>
            <w:tcW w:w="2778" w:type="dxa"/>
            <w:tcBorders>
              <w:top w:val="nil"/>
              <w:left w:val="single" w:sz="8" w:space="0" w:color="auto"/>
              <w:bottom w:val="single" w:sz="4" w:space="0" w:color="auto"/>
              <w:right w:val="single" w:sz="4" w:space="0" w:color="auto"/>
            </w:tcBorders>
            <w:shd w:val="clear" w:color="auto" w:fill="auto"/>
            <w:vAlign w:val="center"/>
            <w:hideMark/>
          </w:tcPr>
          <w:p w14:paraId="15292EC3" w14:textId="77777777" w:rsidR="009A4C46" w:rsidRPr="003E2802" w:rsidRDefault="009A4C46" w:rsidP="009A4C46">
            <w:pPr>
              <w:spacing w:after="0" w:line="240" w:lineRule="auto"/>
              <w:rPr>
                <w:rFonts w:eastAsia="Times New Roman"/>
                <w:lang w:eastAsia="ru-RU"/>
              </w:rPr>
            </w:pPr>
            <w:r w:rsidRPr="00E169B0">
              <w:rPr>
                <w:rFonts w:eastAsia="Times New Roman"/>
                <w:lang w:eastAsia="ru-RU"/>
              </w:rPr>
              <w:t>Расходы на страхование</w:t>
            </w:r>
          </w:p>
        </w:tc>
        <w:tc>
          <w:tcPr>
            <w:tcW w:w="896" w:type="dxa"/>
            <w:tcBorders>
              <w:top w:val="nil"/>
              <w:left w:val="nil"/>
              <w:bottom w:val="single" w:sz="4" w:space="0" w:color="auto"/>
              <w:right w:val="nil"/>
            </w:tcBorders>
            <w:shd w:val="clear" w:color="auto" w:fill="auto"/>
            <w:noWrap/>
            <w:vAlign w:val="center"/>
            <w:hideMark/>
          </w:tcPr>
          <w:p w14:paraId="67F3A935" w14:textId="77777777" w:rsidR="009A4C46" w:rsidRPr="00D27B56" w:rsidRDefault="009A4C46" w:rsidP="009A4C46">
            <w:pPr>
              <w:spacing w:after="0" w:line="240" w:lineRule="auto"/>
              <w:jc w:val="center"/>
              <w:rPr>
                <w:rFonts w:eastAsia="Times New Roman"/>
                <w:lang w:eastAsia="ru-RU"/>
              </w:rPr>
            </w:pPr>
            <w:r w:rsidRPr="00D27B56">
              <w:rPr>
                <w:rFonts w:eastAsia="Times New Roman"/>
                <w:lang w:eastAsia="ru-RU"/>
              </w:rPr>
              <w:t>тыс. руб.</w:t>
            </w:r>
          </w:p>
        </w:tc>
        <w:tc>
          <w:tcPr>
            <w:tcW w:w="1417" w:type="dxa"/>
            <w:tcBorders>
              <w:top w:val="nil"/>
              <w:left w:val="single" w:sz="4" w:space="0" w:color="auto"/>
              <w:bottom w:val="single" w:sz="4" w:space="0" w:color="auto"/>
              <w:right w:val="single" w:sz="4" w:space="0" w:color="auto"/>
            </w:tcBorders>
            <w:shd w:val="clear" w:color="auto" w:fill="auto"/>
            <w:noWrap/>
            <w:vAlign w:val="center"/>
            <w:hideMark/>
          </w:tcPr>
          <w:p w14:paraId="09AF4334" w14:textId="77777777" w:rsidR="009A4C46" w:rsidRPr="00D27B56" w:rsidRDefault="009A4C46" w:rsidP="009A4C46">
            <w:pPr>
              <w:spacing w:after="0" w:line="240" w:lineRule="auto"/>
              <w:jc w:val="center"/>
              <w:rPr>
                <w:rFonts w:eastAsia="Times New Roman"/>
                <w:lang w:eastAsia="ru-RU"/>
              </w:rPr>
            </w:pPr>
            <w:r w:rsidRPr="00D27B56">
              <w:rPr>
                <w:rFonts w:eastAsia="Times New Roman"/>
                <w:lang w:eastAsia="ru-RU"/>
              </w:rPr>
              <w:t>1 224,00</w:t>
            </w:r>
          </w:p>
        </w:tc>
        <w:tc>
          <w:tcPr>
            <w:tcW w:w="1283" w:type="dxa"/>
            <w:tcBorders>
              <w:top w:val="nil"/>
              <w:left w:val="nil"/>
              <w:bottom w:val="single" w:sz="4" w:space="0" w:color="auto"/>
              <w:right w:val="nil"/>
            </w:tcBorders>
            <w:shd w:val="clear" w:color="auto" w:fill="auto"/>
            <w:noWrap/>
            <w:vAlign w:val="center"/>
            <w:hideMark/>
          </w:tcPr>
          <w:p w14:paraId="23B1D96A" w14:textId="77777777" w:rsidR="009A4C46" w:rsidRPr="00D27B56" w:rsidRDefault="009A4C46" w:rsidP="009A4C46">
            <w:pPr>
              <w:spacing w:after="0" w:line="240" w:lineRule="auto"/>
              <w:jc w:val="center"/>
              <w:rPr>
                <w:rFonts w:eastAsia="Times New Roman"/>
                <w:lang w:eastAsia="ru-RU"/>
              </w:rPr>
            </w:pPr>
            <w:r w:rsidRPr="00D27B56">
              <w:rPr>
                <w:rFonts w:eastAsia="Times New Roman"/>
                <w:lang w:eastAsia="ru-RU"/>
              </w:rPr>
              <w:t>1 260,23</w:t>
            </w:r>
          </w:p>
        </w:tc>
        <w:tc>
          <w:tcPr>
            <w:tcW w:w="1559" w:type="dxa"/>
            <w:tcBorders>
              <w:top w:val="nil"/>
              <w:left w:val="single" w:sz="4" w:space="0" w:color="auto"/>
              <w:bottom w:val="single" w:sz="4" w:space="0" w:color="auto"/>
              <w:right w:val="single" w:sz="4" w:space="0" w:color="auto"/>
            </w:tcBorders>
            <w:shd w:val="clear" w:color="auto" w:fill="auto"/>
            <w:noWrap/>
            <w:vAlign w:val="center"/>
            <w:hideMark/>
          </w:tcPr>
          <w:p w14:paraId="78EE81D5" w14:textId="77777777" w:rsidR="009A4C46" w:rsidRPr="00D27B56" w:rsidRDefault="009A4C46" w:rsidP="009A4C46">
            <w:pPr>
              <w:spacing w:after="0" w:line="240" w:lineRule="auto"/>
              <w:jc w:val="center"/>
              <w:rPr>
                <w:rFonts w:eastAsia="Times New Roman"/>
                <w:lang w:eastAsia="ru-RU"/>
              </w:rPr>
            </w:pPr>
            <w:r w:rsidRPr="00D27B56">
              <w:rPr>
                <w:rFonts w:eastAsia="Times New Roman"/>
                <w:lang w:eastAsia="ru-RU"/>
              </w:rPr>
              <w:t>1 297,53</w:t>
            </w:r>
          </w:p>
        </w:tc>
        <w:tc>
          <w:tcPr>
            <w:tcW w:w="1412" w:type="dxa"/>
            <w:tcBorders>
              <w:top w:val="single" w:sz="4" w:space="0" w:color="auto"/>
              <w:left w:val="single" w:sz="4" w:space="0" w:color="auto"/>
              <w:bottom w:val="single" w:sz="4" w:space="0" w:color="auto"/>
              <w:right w:val="single" w:sz="4" w:space="0" w:color="auto"/>
            </w:tcBorders>
            <w:shd w:val="clear" w:color="auto" w:fill="auto"/>
            <w:vAlign w:val="center"/>
          </w:tcPr>
          <w:p w14:paraId="70F7CFC6" w14:textId="77777777" w:rsidR="009A4C46" w:rsidRPr="00D27B56" w:rsidRDefault="009A4C46" w:rsidP="009A4C46">
            <w:pPr>
              <w:spacing w:after="0" w:line="240" w:lineRule="auto"/>
              <w:jc w:val="center"/>
              <w:rPr>
                <w:rFonts w:eastAsia="Times New Roman"/>
                <w:lang w:eastAsia="ru-RU"/>
              </w:rPr>
            </w:pPr>
            <w:r w:rsidRPr="00D27B56">
              <w:rPr>
                <w:rFonts w:eastAsia="Times New Roman"/>
                <w:lang w:eastAsia="ru-RU"/>
              </w:rPr>
              <w:t>37,30</w:t>
            </w:r>
          </w:p>
        </w:tc>
      </w:tr>
      <w:tr w:rsidR="00D27B56" w:rsidRPr="00D27B56" w14:paraId="034B7EC9" w14:textId="77777777" w:rsidTr="004235C4">
        <w:trPr>
          <w:trHeight w:val="20"/>
        </w:trPr>
        <w:tc>
          <w:tcPr>
            <w:tcW w:w="2778" w:type="dxa"/>
            <w:tcBorders>
              <w:top w:val="nil"/>
              <w:left w:val="single" w:sz="8" w:space="0" w:color="auto"/>
              <w:bottom w:val="single" w:sz="4" w:space="0" w:color="auto"/>
              <w:right w:val="single" w:sz="4" w:space="0" w:color="auto"/>
            </w:tcBorders>
            <w:shd w:val="clear" w:color="auto" w:fill="auto"/>
            <w:vAlign w:val="center"/>
            <w:hideMark/>
          </w:tcPr>
          <w:p w14:paraId="620CA04F" w14:textId="77777777" w:rsidR="009A4C46" w:rsidRPr="003E2802" w:rsidRDefault="009A4C46" w:rsidP="009A4C46">
            <w:pPr>
              <w:spacing w:after="0" w:line="240" w:lineRule="auto"/>
              <w:rPr>
                <w:rFonts w:eastAsia="Times New Roman"/>
                <w:lang w:eastAsia="ru-RU"/>
              </w:rPr>
            </w:pPr>
            <w:r w:rsidRPr="00E169B0">
              <w:rPr>
                <w:rFonts w:eastAsia="Times New Roman"/>
                <w:lang w:eastAsia="ru-RU"/>
              </w:rPr>
              <w:t>Другие прочие расходы</w:t>
            </w:r>
          </w:p>
        </w:tc>
        <w:tc>
          <w:tcPr>
            <w:tcW w:w="896" w:type="dxa"/>
            <w:tcBorders>
              <w:top w:val="nil"/>
              <w:left w:val="nil"/>
              <w:bottom w:val="single" w:sz="4" w:space="0" w:color="auto"/>
              <w:right w:val="nil"/>
            </w:tcBorders>
            <w:shd w:val="clear" w:color="auto" w:fill="auto"/>
            <w:noWrap/>
            <w:vAlign w:val="center"/>
            <w:hideMark/>
          </w:tcPr>
          <w:p w14:paraId="196EEBD1" w14:textId="77777777" w:rsidR="009A4C46" w:rsidRPr="00D27B56" w:rsidRDefault="009A4C46" w:rsidP="009A4C46">
            <w:pPr>
              <w:spacing w:after="0" w:line="240" w:lineRule="auto"/>
              <w:jc w:val="center"/>
              <w:rPr>
                <w:rFonts w:eastAsia="Times New Roman"/>
                <w:lang w:eastAsia="ru-RU"/>
              </w:rPr>
            </w:pPr>
            <w:r w:rsidRPr="00D27B56">
              <w:rPr>
                <w:rFonts w:eastAsia="Times New Roman"/>
                <w:lang w:eastAsia="ru-RU"/>
              </w:rPr>
              <w:t>тыс. руб.</w:t>
            </w:r>
          </w:p>
        </w:tc>
        <w:tc>
          <w:tcPr>
            <w:tcW w:w="1417" w:type="dxa"/>
            <w:tcBorders>
              <w:top w:val="nil"/>
              <w:left w:val="single" w:sz="4" w:space="0" w:color="auto"/>
              <w:bottom w:val="single" w:sz="4" w:space="0" w:color="auto"/>
              <w:right w:val="single" w:sz="4" w:space="0" w:color="auto"/>
            </w:tcBorders>
            <w:shd w:val="clear" w:color="auto" w:fill="auto"/>
            <w:noWrap/>
            <w:vAlign w:val="center"/>
            <w:hideMark/>
          </w:tcPr>
          <w:p w14:paraId="4F5960BB" w14:textId="77777777" w:rsidR="009A4C46" w:rsidRPr="00D27B56" w:rsidRDefault="009A4C46" w:rsidP="009A4C46">
            <w:pPr>
              <w:spacing w:after="0" w:line="240" w:lineRule="auto"/>
              <w:jc w:val="center"/>
              <w:rPr>
                <w:rFonts w:eastAsia="Times New Roman"/>
                <w:lang w:eastAsia="ru-RU"/>
              </w:rPr>
            </w:pPr>
            <w:r w:rsidRPr="00D27B56">
              <w:rPr>
                <w:rFonts w:eastAsia="Times New Roman"/>
                <w:lang w:eastAsia="ru-RU"/>
              </w:rPr>
              <w:t>6 052,00</w:t>
            </w:r>
          </w:p>
        </w:tc>
        <w:tc>
          <w:tcPr>
            <w:tcW w:w="1283" w:type="dxa"/>
            <w:tcBorders>
              <w:top w:val="nil"/>
              <w:left w:val="nil"/>
              <w:bottom w:val="single" w:sz="4" w:space="0" w:color="auto"/>
              <w:right w:val="nil"/>
            </w:tcBorders>
            <w:shd w:val="clear" w:color="auto" w:fill="auto"/>
            <w:noWrap/>
            <w:vAlign w:val="center"/>
            <w:hideMark/>
          </w:tcPr>
          <w:p w14:paraId="32E0BB6E" w14:textId="77777777" w:rsidR="009A4C46" w:rsidRPr="00D27B56" w:rsidRDefault="009A4C46" w:rsidP="009A4C46">
            <w:pPr>
              <w:spacing w:after="0" w:line="240" w:lineRule="auto"/>
              <w:jc w:val="center"/>
              <w:rPr>
                <w:rFonts w:eastAsia="Times New Roman"/>
                <w:lang w:eastAsia="ru-RU"/>
              </w:rPr>
            </w:pPr>
            <w:r w:rsidRPr="00D27B56">
              <w:rPr>
                <w:rFonts w:eastAsia="Times New Roman"/>
                <w:lang w:eastAsia="ru-RU"/>
              </w:rPr>
              <w:t>6 231,14</w:t>
            </w:r>
          </w:p>
        </w:tc>
        <w:tc>
          <w:tcPr>
            <w:tcW w:w="1559" w:type="dxa"/>
            <w:tcBorders>
              <w:top w:val="nil"/>
              <w:left w:val="single" w:sz="4" w:space="0" w:color="auto"/>
              <w:bottom w:val="single" w:sz="4" w:space="0" w:color="auto"/>
              <w:right w:val="single" w:sz="4" w:space="0" w:color="auto"/>
            </w:tcBorders>
            <w:shd w:val="clear" w:color="auto" w:fill="auto"/>
            <w:noWrap/>
            <w:vAlign w:val="center"/>
            <w:hideMark/>
          </w:tcPr>
          <w:p w14:paraId="7283281A" w14:textId="77777777" w:rsidR="009A4C46" w:rsidRPr="00D27B56" w:rsidRDefault="009A4C46" w:rsidP="009A4C46">
            <w:pPr>
              <w:spacing w:after="0" w:line="240" w:lineRule="auto"/>
              <w:jc w:val="center"/>
              <w:rPr>
                <w:rFonts w:eastAsia="Times New Roman"/>
                <w:lang w:eastAsia="ru-RU"/>
              </w:rPr>
            </w:pPr>
            <w:r w:rsidRPr="00D27B56">
              <w:rPr>
                <w:rFonts w:eastAsia="Times New Roman"/>
                <w:lang w:eastAsia="ru-RU"/>
              </w:rPr>
              <w:t>5 393,62</w:t>
            </w:r>
          </w:p>
        </w:tc>
        <w:tc>
          <w:tcPr>
            <w:tcW w:w="1412" w:type="dxa"/>
            <w:tcBorders>
              <w:top w:val="single" w:sz="4" w:space="0" w:color="auto"/>
              <w:left w:val="single" w:sz="4" w:space="0" w:color="auto"/>
              <w:bottom w:val="single" w:sz="4" w:space="0" w:color="auto"/>
              <w:right w:val="single" w:sz="4" w:space="0" w:color="auto"/>
            </w:tcBorders>
            <w:shd w:val="clear" w:color="auto" w:fill="auto"/>
            <w:vAlign w:val="center"/>
          </w:tcPr>
          <w:p w14:paraId="2CA64FAE" w14:textId="77777777" w:rsidR="009A4C46" w:rsidRPr="00D27B56" w:rsidRDefault="009A4C46" w:rsidP="009A4C46">
            <w:pPr>
              <w:spacing w:after="0" w:line="240" w:lineRule="auto"/>
              <w:jc w:val="center"/>
              <w:rPr>
                <w:rFonts w:eastAsia="Times New Roman"/>
                <w:lang w:eastAsia="ru-RU"/>
              </w:rPr>
            </w:pPr>
            <w:r w:rsidRPr="00D27B56">
              <w:rPr>
                <w:rFonts w:eastAsia="Times New Roman"/>
                <w:lang w:eastAsia="ru-RU"/>
              </w:rPr>
              <w:t>-837,52</w:t>
            </w:r>
          </w:p>
        </w:tc>
      </w:tr>
      <w:tr w:rsidR="00D27B56" w:rsidRPr="00D27B56" w14:paraId="6BB26866" w14:textId="77777777" w:rsidTr="004235C4">
        <w:trPr>
          <w:trHeight w:val="20"/>
        </w:trPr>
        <w:tc>
          <w:tcPr>
            <w:tcW w:w="27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24B9DD2" w14:textId="77777777" w:rsidR="009A4C46" w:rsidRPr="003E2802" w:rsidRDefault="009A4C46" w:rsidP="009A4C46">
            <w:pPr>
              <w:spacing w:after="0" w:line="240" w:lineRule="auto"/>
              <w:rPr>
                <w:rFonts w:eastAsia="Times New Roman"/>
                <w:lang w:eastAsia="ru-RU"/>
              </w:rPr>
            </w:pPr>
            <w:r w:rsidRPr="00E169B0">
              <w:rPr>
                <w:rFonts w:eastAsia="Times New Roman"/>
                <w:lang w:eastAsia="ru-RU"/>
              </w:rPr>
              <w:t>Подконтрольные расходы из прибыли</w:t>
            </w:r>
          </w:p>
        </w:tc>
        <w:tc>
          <w:tcPr>
            <w:tcW w:w="896" w:type="dxa"/>
            <w:tcBorders>
              <w:top w:val="single" w:sz="4" w:space="0" w:color="auto"/>
              <w:left w:val="nil"/>
              <w:bottom w:val="single" w:sz="4" w:space="0" w:color="auto"/>
              <w:right w:val="nil"/>
            </w:tcBorders>
            <w:shd w:val="clear" w:color="auto" w:fill="auto"/>
            <w:noWrap/>
            <w:vAlign w:val="center"/>
            <w:hideMark/>
          </w:tcPr>
          <w:p w14:paraId="29F228A1" w14:textId="77777777" w:rsidR="009A4C46" w:rsidRPr="00D27B56" w:rsidRDefault="009A4C46" w:rsidP="009A4C46">
            <w:pPr>
              <w:spacing w:after="0" w:line="240" w:lineRule="auto"/>
              <w:jc w:val="center"/>
              <w:rPr>
                <w:rFonts w:eastAsia="Times New Roman"/>
                <w:lang w:eastAsia="ru-RU"/>
              </w:rPr>
            </w:pPr>
            <w:r w:rsidRPr="00D27B56">
              <w:rPr>
                <w:rFonts w:eastAsia="Times New Roman"/>
                <w:lang w:eastAsia="ru-RU"/>
              </w:rPr>
              <w:t>тыс. руб.</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0D80D3" w14:textId="77777777" w:rsidR="009A4C46" w:rsidRPr="00D27B56" w:rsidRDefault="009A4C46" w:rsidP="009A4C46">
            <w:pPr>
              <w:spacing w:after="0" w:line="240" w:lineRule="auto"/>
              <w:jc w:val="center"/>
              <w:rPr>
                <w:rFonts w:eastAsia="Times New Roman"/>
                <w:lang w:eastAsia="ru-RU"/>
              </w:rPr>
            </w:pPr>
            <w:r w:rsidRPr="00D27B56">
              <w:rPr>
                <w:rFonts w:eastAsia="Times New Roman"/>
                <w:lang w:eastAsia="ru-RU"/>
              </w:rPr>
              <w:t>23 591,00</w:t>
            </w:r>
          </w:p>
        </w:tc>
        <w:tc>
          <w:tcPr>
            <w:tcW w:w="1283" w:type="dxa"/>
            <w:tcBorders>
              <w:top w:val="single" w:sz="4" w:space="0" w:color="auto"/>
              <w:left w:val="nil"/>
              <w:bottom w:val="single" w:sz="4" w:space="0" w:color="auto"/>
              <w:right w:val="nil"/>
            </w:tcBorders>
            <w:shd w:val="clear" w:color="auto" w:fill="auto"/>
            <w:noWrap/>
            <w:vAlign w:val="center"/>
            <w:hideMark/>
          </w:tcPr>
          <w:p w14:paraId="0313F6C6" w14:textId="77777777" w:rsidR="009A4C46" w:rsidRPr="00D27B56" w:rsidRDefault="009A4C46" w:rsidP="009A4C46">
            <w:pPr>
              <w:spacing w:after="0" w:line="240" w:lineRule="auto"/>
              <w:jc w:val="center"/>
              <w:rPr>
                <w:rFonts w:eastAsia="Times New Roman"/>
                <w:lang w:eastAsia="ru-RU"/>
              </w:rPr>
            </w:pPr>
            <w:r w:rsidRPr="00D27B56">
              <w:rPr>
                <w:rFonts w:eastAsia="Times New Roman"/>
                <w:lang w:eastAsia="ru-RU"/>
              </w:rPr>
              <w:t>24 289,29</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EEAE6C" w14:textId="77777777" w:rsidR="009A4C46" w:rsidRPr="00D27B56" w:rsidRDefault="009A4C46" w:rsidP="009A4C46">
            <w:pPr>
              <w:spacing w:after="0" w:line="240" w:lineRule="auto"/>
              <w:jc w:val="center"/>
              <w:rPr>
                <w:rFonts w:eastAsia="Times New Roman"/>
                <w:lang w:eastAsia="ru-RU"/>
              </w:rPr>
            </w:pPr>
            <w:r w:rsidRPr="00D27B56">
              <w:rPr>
                <w:rFonts w:eastAsia="Times New Roman"/>
                <w:lang w:eastAsia="ru-RU"/>
              </w:rPr>
              <w:t>21 024,61</w:t>
            </w:r>
          </w:p>
        </w:tc>
        <w:tc>
          <w:tcPr>
            <w:tcW w:w="1412" w:type="dxa"/>
            <w:tcBorders>
              <w:top w:val="single" w:sz="4" w:space="0" w:color="auto"/>
              <w:left w:val="single" w:sz="4" w:space="0" w:color="auto"/>
              <w:bottom w:val="single" w:sz="4" w:space="0" w:color="auto"/>
              <w:right w:val="single" w:sz="4" w:space="0" w:color="auto"/>
            </w:tcBorders>
            <w:shd w:val="clear" w:color="auto" w:fill="auto"/>
            <w:vAlign w:val="center"/>
          </w:tcPr>
          <w:p w14:paraId="72A62A51" w14:textId="77777777" w:rsidR="009A4C46" w:rsidRPr="00D27B56" w:rsidRDefault="009A4C46" w:rsidP="009A4C46">
            <w:pPr>
              <w:spacing w:after="0" w:line="240" w:lineRule="auto"/>
              <w:jc w:val="center"/>
              <w:rPr>
                <w:rFonts w:eastAsia="Times New Roman"/>
                <w:lang w:eastAsia="ru-RU"/>
              </w:rPr>
            </w:pPr>
            <w:r w:rsidRPr="00D27B56">
              <w:rPr>
                <w:rFonts w:eastAsia="Times New Roman"/>
                <w:lang w:eastAsia="ru-RU"/>
              </w:rPr>
              <w:t>-3 264,68</w:t>
            </w:r>
          </w:p>
        </w:tc>
      </w:tr>
      <w:tr w:rsidR="00D27B56" w:rsidRPr="00D27B56" w14:paraId="77FBC29A" w14:textId="77777777" w:rsidTr="008B0B3C">
        <w:trPr>
          <w:trHeight w:val="20"/>
        </w:trPr>
        <w:tc>
          <w:tcPr>
            <w:tcW w:w="2778" w:type="dxa"/>
            <w:tcBorders>
              <w:top w:val="single" w:sz="4" w:space="0" w:color="auto"/>
              <w:left w:val="single" w:sz="8" w:space="0" w:color="auto"/>
              <w:bottom w:val="single" w:sz="8" w:space="0" w:color="auto"/>
              <w:right w:val="single" w:sz="4" w:space="0" w:color="auto"/>
            </w:tcBorders>
            <w:shd w:val="clear" w:color="auto" w:fill="D6E3BC" w:themeFill="accent3" w:themeFillTint="66"/>
            <w:vAlign w:val="center"/>
            <w:hideMark/>
          </w:tcPr>
          <w:p w14:paraId="365BFE60" w14:textId="77777777" w:rsidR="009A4C46" w:rsidRPr="003E2802" w:rsidRDefault="009A4C46" w:rsidP="009A4C46">
            <w:pPr>
              <w:spacing w:after="0" w:line="240" w:lineRule="auto"/>
              <w:rPr>
                <w:rFonts w:eastAsia="Times New Roman"/>
                <w:b/>
                <w:lang w:eastAsia="ru-RU"/>
              </w:rPr>
            </w:pPr>
            <w:r w:rsidRPr="00E169B0">
              <w:rPr>
                <w:rFonts w:eastAsia="Times New Roman"/>
                <w:b/>
                <w:lang w:eastAsia="ru-RU"/>
              </w:rPr>
              <w:t>ИТОГО</w:t>
            </w:r>
          </w:p>
          <w:p w14:paraId="023A8351" w14:textId="77777777" w:rsidR="009A4C46" w:rsidRPr="00D27B56" w:rsidRDefault="009A4C46" w:rsidP="009A4C46">
            <w:pPr>
              <w:spacing w:after="0" w:line="240" w:lineRule="auto"/>
              <w:rPr>
                <w:rFonts w:eastAsia="Times New Roman"/>
                <w:b/>
                <w:lang w:eastAsia="ru-RU"/>
              </w:rPr>
            </w:pPr>
            <w:r w:rsidRPr="00D27B56">
              <w:rPr>
                <w:rFonts w:eastAsia="Times New Roman"/>
                <w:b/>
                <w:lang w:eastAsia="ru-RU"/>
              </w:rPr>
              <w:t>подконтрольные расходы</w:t>
            </w:r>
          </w:p>
        </w:tc>
        <w:tc>
          <w:tcPr>
            <w:tcW w:w="896" w:type="dxa"/>
            <w:tcBorders>
              <w:top w:val="single" w:sz="4" w:space="0" w:color="auto"/>
              <w:left w:val="nil"/>
              <w:bottom w:val="single" w:sz="8" w:space="0" w:color="auto"/>
              <w:right w:val="nil"/>
            </w:tcBorders>
            <w:shd w:val="clear" w:color="auto" w:fill="D6E3BC" w:themeFill="accent3" w:themeFillTint="66"/>
            <w:noWrap/>
            <w:vAlign w:val="center"/>
            <w:hideMark/>
          </w:tcPr>
          <w:p w14:paraId="19CC771F" w14:textId="77777777" w:rsidR="009A4C46" w:rsidRPr="00D27B56" w:rsidRDefault="009A4C46" w:rsidP="009A4C46">
            <w:pPr>
              <w:spacing w:after="0" w:line="240" w:lineRule="auto"/>
              <w:jc w:val="center"/>
              <w:rPr>
                <w:rFonts w:eastAsia="Times New Roman"/>
                <w:b/>
                <w:lang w:eastAsia="ru-RU"/>
              </w:rPr>
            </w:pPr>
            <w:r w:rsidRPr="00D27B56">
              <w:rPr>
                <w:rFonts w:eastAsia="Times New Roman"/>
                <w:b/>
                <w:lang w:eastAsia="ru-RU"/>
              </w:rPr>
              <w:t>тыс. руб.</w:t>
            </w:r>
          </w:p>
        </w:tc>
        <w:tc>
          <w:tcPr>
            <w:tcW w:w="1417" w:type="dxa"/>
            <w:tcBorders>
              <w:top w:val="single" w:sz="4" w:space="0" w:color="auto"/>
              <w:left w:val="single" w:sz="4" w:space="0" w:color="auto"/>
              <w:bottom w:val="single" w:sz="8" w:space="0" w:color="auto"/>
              <w:right w:val="single" w:sz="4" w:space="0" w:color="auto"/>
            </w:tcBorders>
            <w:shd w:val="clear" w:color="auto" w:fill="D6E3BC" w:themeFill="accent3" w:themeFillTint="66"/>
            <w:noWrap/>
            <w:vAlign w:val="center"/>
            <w:hideMark/>
          </w:tcPr>
          <w:p w14:paraId="540298AF" w14:textId="77777777" w:rsidR="009A4C46" w:rsidRPr="00D27B56" w:rsidRDefault="009A4C46" w:rsidP="009A4C46">
            <w:pPr>
              <w:spacing w:after="0" w:line="240" w:lineRule="auto"/>
              <w:jc w:val="center"/>
              <w:rPr>
                <w:rFonts w:eastAsia="Times New Roman"/>
                <w:b/>
                <w:lang w:eastAsia="ru-RU"/>
              </w:rPr>
            </w:pPr>
            <w:r w:rsidRPr="00D27B56">
              <w:rPr>
                <w:rFonts w:eastAsia="Times New Roman"/>
                <w:b/>
                <w:lang w:eastAsia="ru-RU"/>
              </w:rPr>
              <w:t>564 655,00</w:t>
            </w:r>
          </w:p>
        </w:tc>
        <w:tc>
          <w:tcPr>
            <w:tcW w:w="1283" w:type="dxa"/>
            <w:tcBorders>
              <w:top w:val="single" w:sz="4" w:space="0" w:color="auto"/>
              <w:left w:val="nil"/>
              <w:bottom w:val="single" w:sz="8" w:space="0" w:color="auto"/>
              <w:right w:val="single" w:sz="4" w:space="0" w:color="auto"/>
            </w:tcBorders>
            <w:shd w:val="clear" w:color="auto" w:fill="D6E3BC" w:themeFill="accent3" w:themeFillTint="66"/>
            <w:noWrap/>
            <w:vAlign w:val="center"/>
            <w:hideMark/>
          </w:tcPr>
          <w:p w14:paraId="02A859CE" w14:textId="77777777" w:rsidR="009A4C46" w:rsidRPr="00D27B56" w:rsidRDefault="009A4C46" w:rsidP="009A4C46">
            <w:pPr>
              <w:spacing w:after="0" w:line="240" w:lineRule="auto"/>
              <w:jc w:val="center"/>
              <w:rPr>
                <w:rFonts w:eastAsia="Times New Roman"/>
                <w:b/>
                <w:lang w:eastAsia="ru-RU"/>
              </w:rPr>
            </w:pPr>
            <w:r w:rsidRPr="00D27B56">
              <w:rPr>
                <w:rFonts w:eastAsia="Times New Roman"/>
                <w:b/>
                <w:lang w:eastAsia="ru-RU"/>
              </w:rPr>
              <w:t>581 368,79</w:t>
            </w:r>
          </w:p>
        </w:tc>
        <w:tc>
          <w:tcPr>
            <w:tcW w:w="1559" w:type="dxa"/>
            <w:tcBorders>
              <w:top w:val="single" w:sz="4" w:space="0" w:color="auto"/>
              <w:left w:val="nil"/>
              <w:bottom w:val="single" w:sz="8" w:space="0" w:color="auto"/>
              <w:right w:val="single" w:sz="4" w:space="0" w:color="auto"/>
            </w:tcBorders>
            <w:shd w:val="clear" w:color="auto" w:fill="D6E3BC" w:themeFill="accent3" w:themeFillTint="66"/>
            <w:noWrap/>
            <w:vAlign w:val="center"/>
            <w:hideMark/>
          </w:tcPr>
          <w:p w14:paraId="0F89DA5A" w14:textId="77777777" w:rsidR="009A4C46" w:rsidRPr="00D27B56" w:rsidRDefault="009A4C46" w:rsidP="009A4C46">
            <w:pPr>
              <w:spacing w:after="0" w:line="240" w:lineRule="auto"/>
              <w:jc w:val="center"/>
              <w:rPr>
                <w:rFonts w:eastAsia="Times New Roman"/>
                <w:b/>
                <w:lang w:eastAsia="ru-RU"/>
              </w:rPr>
            </w:pPr>
            <w:r w:rsidRPr="00D27B56">
              <w:rPr>
                <w:rFonts w:eastAsia="Times New Roman"/>
                <w:b/>
                <w:lang w:eastAsia="ru-RU"/>
              </w:rPr>
              <w:t>598 577,30</w:t>
            </w:r>
          </w:p>
        </w:tc>
        <w:tc>
          <w:tcPr>
            <w:tcW w:w="1412" w:type="dxa"/>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tcPr>
          <w:p w14:paraId="368A701C" w14:textId="77777777" w:rsidR="009A4C46" w:rsidRPr="00D27B56" w:rsidRDefault="009A4C46" w:rsidP="009A4C46">
            <w:pPr>
              <w:spacing w:after="0" w:line="240" w:lineRule="auto"/>
              <w:jc w:val="center"/>
              <w:rPr>
                <w:rFonts w:eastAsia="Times New Roman"/>
                <w:b/>
                <w:lang w:eastAsia="ru-RU"/>
              </w:rPr>
            </w:pPr>
            <w:r w:rsidRPr="00D27B56">
              <w:rPr>
                <w:rFonts w:eastAsia="Times New Roman"/>
                <w:b/>
                <w:lang w:eastAsia="ru-RU"/>
              </w:rPr>
              <w:t>17 208,52</w:t>
            </w:r>
          </w:p>
        </w:tc>
      </w:tr>
    </w:tbl>
    <w:p w14:paraId="10658562" w14:textId="77777777" w:rsidR="009A4C46" w:rsidRPr="00F94FED" w:rsidRDefault="009A4C46" w:rsidP="009A4C46">
      <w:pPr>
        <w:spacing w:after="32" w:line="360" w:lineRule="auto"/>
        <w:ind w:firstLine="567"/>
        <w:contextualSpacing/>
        <w:jc w:val="both"/>
        <w:rPr>
          <w:rFonts w:eastAsia="Calibri"/>
          <w:sz w:val="26"/>
          <w:szCs w:val="26"/>
        </w:rPr>
      </w:pPr>
    </w:p>
    <w:p w14:paraId="21BAC8C2" w14:textId="77777777" w:rsidR="009A4C46" w:rsidRPr="00F94FED" w:rsidRDefault="009A4C46" w:rsidP="009A4C46">
      <w:pPr>
        <w:spacing w:after="32" w:line="360" w:lineRule="auto"/>
        <w:ind w:firstLine="567"/>
        <w:contextualSpacing/>
        <w:jc w:val="both"/>
        <w:rPr>
          <w:rFonts w:eastAsia="Calibri"/>
          <w:sz w:val="26"/>
          <w:szCs w:val="26"/>
        </w:rPr>
      </w:pPr>
      <w:r w:rsidRPr="00F94FED">
        <w:rPr>
          <w:rFonts w:eastAsia="Calibri"/>
          <w:sz w:val="26"/>
          <w:szCs w:val="26"/>
        </w:rPr>
        <w:lastRenderedPageBreak/>
        <w:t>По предложению АО «Тываэнерго» сумма подконтрольных расходов на 2019 год должна составлять 598 577,30 тыс. руб.</w:t>
      </w:r>
    </w:p>
    <w:p w14:paraId="4B34DE66" w14:textId="2FCCD474" w:rsidR="009A4C46" w:rsidRPr="00F94FED" w:rsidRDefault="009A4C46" w:rsidP="00F94FED">
      <w:pPr>
        <w:spacing w:after="32" w:line="360" w:lineRule="auto"/>
        <w:ind w:firstLine="567"/>
        <w:contextualSpacing/>
        <w:jc w:val="both"/>
        <w:rPr>
          <w:rFonts w:eastAsia="Calibri"/>
          <w:bCs/>
          <w:i/>
          <w:sz w:val="26"/>
          <w:szCs w:val="26"/>
        </w:rPr>
      </w:pPr>
      <w:r w:rsidRPr="00F94FED">
        <w:rPr>
          <w:rFonts w:eastAsia="Calibri"/>
          <w:sz w:val="26"/>
          <w:szCs w:val="26"/>
        </w:rPr>
        <w:t>Согласно предложению АО «Тываэнерго», увеличение подконтрольных расходов на 2019 год относительно утвержденных Службой по тарифам Республики Тыва на 2018 год составило 17 208,52 тыс. руб.</w:t>
      </w:r>
    </w:p>
    <w:tbl>
      <w:tblPr>
        <w:tblW w:w="5006" w:type="pct"/>
        <w:tblLayout w:type="fixed"/>
        <w:tblLook w:val="04A0" w:firstRow="1" w:lastRow="0" w:firstColumn="1" w:lastColumn="0" w:noHBand="0" w:noVBand="1"/>
      </w:tblPr>
      <w:tblGrid>
        <w:gridCol w:w="2403"/>
        <w:gridCol w:w="1117"/>
        <w:gridCol w:w="1456"/>
        <w:gridCol w:w="1458"/>
        <w:gridCol w:w="1504"/>
        <w:gridCol w:w="1418"/>
      </w:tblGrid>
      <w:tr w:rsidR="009A4C46" w:rsidRPr="009A4C46" w14:paraId="5A2208D4" w14:textId="77777777" w:rsidTr="00F94FED">
        <w:trPr>
          <w:trHeight w:val="300"/>
          <w:tblHeader/>
        </w:trPr>
        <w:tc>
          <w:tcPr>
            <w:tcW w:w="128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644D7F4" w14:textId="77777777" w:rsidR="009A4C46" w:rsidRPr="00F94FED" w:rsidRDefault="009A4C46" w:rsidP="00E169B0">
            <w:pPr>
              <w:spacing w:after="0" w:line="240" w:lineRule="auto"/>
              <w:jc w:val="center"/>
              <w:rPr>
                <w:rFonts w:eastAsia="Times New Roman"/>
                <w:b/>
                <w:color w:val="FFFFFF" w:themeColor="background1"/>
                <w:lang w:eastAsia="ru-RU"/>
              </w:rPr>
            </w:pPr>
            <w:r w:rsidRPr="00F94FED">
              <w:rPr>
                <w:rFonts w:eastAsia="Times New Roman"/>
                <w:b/>
                <w:color w:val="FFFFFF" w:themeColor="background1"/>
                <w:lang w:eastAsia="ru-RU"/>
              </w:rPr>
              <w:t>Наименование статьи</w:t>
            </w:r>
          </w:p>
        </w:tc>
        <w:tc>
          <w:tcPr>
            <w:tcW w:w="59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A1D90DE" w14:textId="77777777" w:rsidR="009A4C46" w:rsidRPr="00F94FED" w:rsidRDefault="009A4C46" w:rsidP="003E2802">
            <w:pPr>
              <w:spacing w:after="0" w:line="240" w:lineRule="auto"/>
              <w:jc w:val="center"/>
              <w:rPr>
                <w:rFonts w:eastAsia="Times New Roman"/>
                <w:b/>
                <w:color w:val="FFFFFF" w:themeColor="background1"/>
                <w:lang w:eastAsia="ru-RU"/>
              </w:rPr>
            </w:pPr>
            <w:r w:rsidRPr="00F94FED">
              <w:rPr>
                <w:rFonts w:eastAsia="Times New Roman"/>
                <w:b/>
                <w:color w:val="FFFFFF" w:themeColor="background1"/>
                <w:lang w:eastAsia="ru-RU"/>
              </w:rPr>
              <w:t>Ед. изм.</w:t>
            </w:r>
          </w:p>
        </w:tc>
        <w:tc>
          <w:tcPr>
            <w:tcW w:w="3119" w:type="pct"/>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B4B7DB3" w14:textId="77777777" w:rsidR="009A4C46" w:rsidRPr="00F94FED" w:rsidRDefault="009A4C46">
            <w:pPr>
              <w:spacing w:after="0" w:line="240" w:lineRule="auto"/>
              <w:jc w:val="center"/>
              <w:rPr>
                <w:rFonts w:eastAsia="Times New Roman"/>
                <w:b/>
                <w:color w:val="FFFFFF" w:themeColor="background1"/>
                <w:lang w:eastAsia="ru-RU"/>
              </w:rPr>
            </w:pPr>
            <w:r w:rsidRPr="00F94FED">
              <w:rPr>
                <w:rFonts w:eastAsia="Times New Roman"/>
                <w:b/>
                <w:color w:val="FFFFFF" w:themeColor="background1"/>
                <w:lang w:eastAsia="ru-RU"/>
              </w:rPr>
              <w:t>Период</w:t>
            </w:r>
          </w:p>
        </w:tc>
      </w:tr>
      <w:tr w:rsidR="009A4C46" w:rsidRPr="009A4C46" w14:paraId="426C9267" w14:textId="77777777" w:rsidTr="00F94FED">
        <w:trPr>
          <w:trHeight w:val="315"/>
          <w:tblHeader/>
        </w:trPr>
        <w:tc>
          <w:tcPr>
            <w:tcW w:w="128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6B98DD2" w14:textId="77777777" w:rsidR="009A4C46" w:rsidRPr="00F94FED" w:rsidRDefault="009A4C46" w:rsidP="00F94FED">
            <w:pPr>
              <w:spacing w:after="0" w:line="240" w:lineRule="auto"/>
              <w:jc w:val="center"/>
              <w:rPr>
                <w:rFonts w:eastAsia="Times New Roman"/>
                <w:b/>
                <w:color w:val="FFFFFF" w:themeColor="background1"/>
                <w:lang w:eastAsia="ru-RU"/>
              </w:rPr>
            </w:pPr>
          </w:p>
        </w:tc>
        <w:tc>
          <w:tcPr>
            <w:tcW w:w="59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782A533" w14:textId="77777777" w:rsidR="009A4C46" w:rsidRPr="00F94FED" w:rsidRDefault="009A4C46" w:rsidP="00F94FED">
            <w:pPr>
              <w:spacing w:after="0" w:line="240" w:lineRule="auto"/>
              <w:jc w:val="center"/>
              <w:rPr>
                <w:rFonts w:eastAsia="Times New Roman"/>
                <w:b/>
                <w:color w:val="FFFFFF" w:themeColor="background1"/>
                <w:lang w:eastAsia="ru-RU"/>
              </w:rPr>
            </w:pPr>
          </w:p>
        </w:tc>
        <w:tc>
          <w:tcPr>
            <w:tcW w:w="77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A0895A7" w14:textId="77777777" w:rsidR="009A4C46" w:rsidRPr="00F94FED" w:rsidRDefault="009A4C46" w:rsidP="00E169B0">
            <w:pPr>
              <w:spacing w:after="0" w:line="240" w:lineRule="auto"/>
              <w:jc w:val="center"/>
              <w:rPr>
                <w:rFonts w:eastAsia="Times New Roman"/>
                <w:b/>
                <w:color w:val="FFFFFF" w:themeColor="background1"/>
                <w:lang w:eastAsia="ru-RU"/>
              </w:rPr>
            </w:pPr>
            <w:r w:rsidRPr="00F94FED">
              <w:rPr>
                <w:rFonts w:eastAsia="Times New Roman"/>
                <w:b/>
                <w:color w:val="FFFFFF" w:themeColor="background1"/>
                <w:lang w:eastAsia="ru-RU"/>
              </w:rPr>
              <w:t>Тарифно-балансовое решение на 2017 г.</w:t>
            </w:r>
          </w:p>
        </w:tc>
        <w:tc>
          <w:tcPr>
            <w:tcW w:w="77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66218E2" w14:textId="77777777" w:rsidR="009A4C46" w:rsidRPr="00F94FED" w:rsidRDefault="009A4C46" w:rsidP="003E2802">
            <w:pPr>
              <w:spacing w:after="0" w:line="240" w:lineRule="auto"/>
              <w:jc w:val="center"/>
              <w:rPr>
                <w:rFonts w:eastAsia="Times New Roman"/>
                <w:b/>
                <w:color w:val="FFFFFF" w:themeColor="background1"/>
                <w:lang w:eastAsia="ru-RU"/>
              </w:rPr>
            </w:pPr>
            <w:r w:rsidRPr="00F94FED">
              <w:rPr>
                <w:rFonts w:eastAsia="Times New Roman"/>
                <w:b/>
                <w:color w:val="FFFFFF" w:themeColor="background1"/>
                <w:lang w:eastAsia="ru-RU"/>
              </w:rPr>
              <w:t>Тарифно-балансовое решение на 2018 г.</w:t>
            </w:r>
          </w:p>
        </w:tc>
        <w:tc>
          <w:tcPr>
            <w:tcW w:w="8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C61818C" w14:textId="77777777" w:rsidR="009A4C46" w:rsidRPr="00F94FED" w:rsidRDefault="009A4C46">
            <w:pPr>
              <w:spacing w:after="0" w:line="240" w:lineRule="auto"/>
              <w:jc w:val="center"/>
              <w:rPr>
                <w:rFonts w:eastAsia="Times New Roman"/>
                <w:b/>
                <w:color w:val="FFFFFF" w:themeColor="background1"/>
                <w:lang w:eastAsia="ru-RU"/>
              </w:rPr>
            </w:pPr>
            <w:r w:rsidRPr="00F94FED">
              <w:rPr>
                <w:rFonts w:eastAsia="Times New Roman"/>
                <w:b/>
                <w:color w:val="FFFFFF" w:themeColor="background1"/>
                <w:lang w:eastAsia="ru-RU"/>
              </w:rPr>
              <w:t>Предложение АО «Тываэнерго» 2019 г.</w:t>
            </w:r>
          </w:p>
        </w:tc>
        <w:tc>
          <w:tcPr>
            <w:tcW w:w="7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3B3C3D5" w14:textId="77777777" w:rsidR="009A4C46" w:rsidRPr="00F94FED" w:rsidRDefault="009A4C46">
            <w:pPr>
              <w:spacing w:after="0" w:line="240" w:lineRule="auto"/>
              <w:jc w:val="center"/>
              <w:rPr>
                <w:rFonts w:eastAsia="Times New Roman"/>
                <w:b/>
                <w:color w:val="FFFFFF" w:themeColor="background1"/>
                <w:lang w:eastAsia="ru-RU"/>
              </w:rPr>
            </w:pPr>
            <w:r w:rsidRPr="00F94FED">
              <w:rPr>
                <w:rFonts w:eastAsia="Times New Roman"/>
                <w:b/>
                <w:color w:val="FFFFFF" w:themeColor="background1"/>
                <w:lang w:eastAsia="ru-RU"/>
              </w:rPr>
              <w:t>Отклонение</w:t>
            </w:r>
          </w:p>
        </w:tc>
      </w:tr>
      <w:tr w:rsidR="009A4C46" w:rsidRPr="009A4C46" w14:paraId="7C08C938" w14:textId="77777777" w:rsidTr="00F94FED">
        <w:trPr>
          <w:trHeight w:val="147"/>
          <w:tblHeader/>
        </w:trPr>
        <w:tc>
          <w:tcPr>
            <w:tcW w:w="128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A3952F5" w14:textId="77777777" w:rsidR="009A4C46" w:rsidRPr="00F94FED" w:rsidRDefault="009A4C46" w:rsidP="00E169B0">
            <w:pPr>
              <w:spacing w:after="0" w:line="240" w:lineRule="auto"/>
              <w:jc w:val="center"/>
              <w:rPr>
                <w:rFonts w:eastAsia="Times New Roman"/>
                <w:color w:val="FFFFFF" w:themeColor="background1"/>
                <w:lang w:eastAsia="ru-RU"/>
              </w:rPr>
            </w:pPr>
            <w:r w:rsidRPr="00F94FED">
              <w:rPr>
                <w:rFonts w:eastAsia="Times New Roman"/>
                <w:color w:val="FFFFFF" w:themeColor="background1"/>
                <w:lang w:eastAsia="ru-RU"/>
              </w:rPr>
              <w:t>1</w:t>
            </w:r>
          </w:p>
        </w:tc>
        <w:tc>
          <w:tcPr>
            <w:tcW w:w="59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4305D2A" w14:textId="77777777" w:rsidR="009A4C46" w:rsidRPr="00F94FED" w:rsidRDefault="009A4C46" w:rsidP="003E2802">
            <w:pPr>
              <w:spacing w:after="0" w:line="240" w:lineRule="auto"/>
              <w:jc w:val="center"/>
              <w:rPr>
                <w:rFonts w:eastAsia="Times New Roman"/>
                <w:color w:val="FFFFFF" w:themeColor="background1"/>
                <w:lang w:eastAsia="ru-RU"/>
              </w:rPr>
            </w:pPr>
            <w:r w:rsidRPr="00F94FED">
              <w:rPr>
                <w:rFonts w:eastAsia="Times New Roman"/>
                <w:color w:val="FFFFFF" w:themeColor="background1"/>
                <w:lang w:eastAsia="ru-RU"/>
              </w:rPr>
              <w:t>2</w:t>
            </w:r>
          </w:p>
        </w:tc>
        <w:tc>
          <w:tcPr>
            <w:tcW w:w="77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E72FE22" w14:textId="77777777" w:rsidR="009A4C46" w:rsidRPr="00F94FED" w:rsidRDefault="009A4C46">
            <w:pPr>
              <w:spacing w:after="0" w:line="240" w:lineRule="auto"/>
              <w:jc w:val="center"/>
              <w:rPr>
                <w:rFonts w:eastAsia="Times New Roman"/>
                <w:color w:val="FFFFFF" w:themeColor="background1"/>
                <w:lang w:eastAsia="ru-RU"/>
              </w:rPr>
            </w:pPr>
            <w:r w:rsidRPr="00F94FED">
              <w:rPr>
                <w:rFonts w:eastAsia="Times New Roman"/>
                <w:color w:val="FFFFFF" w:themeColor="background1"/>
                <w:lang w:eastAsia="ru-RU"/>
              </w:rPr>
              <w:t>3</w:t>
            </w:r>
          </w:p>
        </w:tc>
        <w:tc>
          <w:tcPr>
            <w:tcW w:w="77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C8C2B15" w14:textId="77777777" w:rsidR="009A4C46" w:rsidRPr="00F94FED" w:rsidRDefault="009A4C46">
            <w:pPr>
              <w:spacing w:after="0" w:line="240" w:lineRule="auto"/>
              <w:jc w:val="center"/>
              <w:rPr>
                <w:rFonts w:eastAsia="Times New Roman"/>
                <w:color w:val="FFFFFF" w:themeColor="background1"/>
                <w:lang w:eastAsia="ru-RU"/>
              </w:rPr>
            </w:pPr>
            <w:r w:rsidRPr="00F94FED">
              <w:rPr>
                <w:rFonts w:eastAsia="Times New Roman"/>
                <w:color w:val="FFFFFF" w:themeColor="background1"/>
                <w:lang w:eastAsia="ru-RU"/>
              </w:rPr>
              <w:t>4</w:t>
            </w:r>
          </w:p>
        </w:tc>
        <w:tc>
          <w:tcPr>
            <w:tcW w:w="8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85D781A" w14:textId="77777777" w:rsidR="009A4C46" w:rsidRPr="00F94FED" w:rsidRDefault="009A4C46">
            <w:pPr>
              <w:spacing w:after="0" w:line="240" w:lineRule="auto"/>
              <w:jc w:val="center"/>
              <w:rPr>
                <w:rFonts w:eastAsia="Times New Roman"/>
                <w:color w:val="FFFFFF" w:themeColor="background1"/>
                <w:lang w:eastAsia="ru-RU"/>
              </w:rPr>
            </w:pPr>
            <w:r w:rsidRPr="00F94FED">
              <w:rPr>
                <w:rFonts w:eastAsia="Times New Roman"/>
                <w:color w:val="FFFFFF" w:themeColor="background1"/>
                <w:lang w:eastAsia="ru-RU"/>
              </w:rPr>
              <w:t>5</w:t>
            </w:r>
          </w:p>
        </w:tc>
        <w:tc>
          <w:tcPr>
            <w:tcW w:w="7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4D5757B" w14:textId="77777777" w:rsidR="009A4C46" w:rsidRPr="00F94FED" w:rsidRDefault="009A4C46">
            <w:pPr>
              <w:spacing w:after="0" w:line="240" w:lineRule="auto"/>
              <w:jc w:val="center"/>
              <w:rPr>
                <w:rFonts w:eastAsia="Times New Roman"/>
                <w:color w:val="FFFFFF" w:themeColor="background1"/>
                <w:lang w:eastAsia="ru-RU"/>
              </w:rPr>
            </w:pPr>
            <w:r w:rsidRPr="00F94FED">
              <w:rPr>
                <w:rFonts w:eastAsia="Times New Roman"/>
                <w:color w:val="FFFFFF" w:themeColor="background1"/>
                <w:lang w:eastAsia="ru-RU"/>
              </w:rPr>
              <w:t>6=5-4</w:t>
            </w:r>
          </w:p>
        </w:tc>
      </w:tr>
      <w:tr w:rsidR="009A4C46" w:rsidRPr="009A4C46" w14:paraId="75630DAB" w14:textId="77777777" w:rsidTr="008B0B3C">
        <w:trPr>
          <w:trHeight w:val="300"/>
        </w:trPr>
        <w:tc>
          <w:tcPr>
            <w:tcW w:w="5000" w:type="pct"/>
            <w:gridSpan w:val="6"/>
            <w:tcBorders>
              <w:top w:val="single" w:sz="4" w:space="0" w:color="FFFFFF" w:themeColor="background1"/>
              <w:left w:val="single" w:sz="8" w:space="0" w:color="auto"/>
              <w:bottom w:val="single" w:sz="8" w:space="0" w:color="auto"/>
              <w:right w:val="single" w:sz="8" w:space="0" w:color="auto"/>
            </w:tcBorders>
            <w:shd w:val="clear" w:color="auto" w:fill="D6E3BC" w:themeFill="accent3" w:themeFillTint="66"/>
            <w:vAlign w:val="center"/>
            <w:hideMark/>
          </w:tcPr>
          <w:p w14:paraId="781C6BDE" w14:textId="77777777" w:rsidR="009A4C46" w:rsidRPr="009A4C46" w:rsidRDefault="009A4C46" w:rsidP="00E169B0">
            <w:pPr>
              <w:spacing w:after="0" w:line="240" w:lineRule="auto"/>
              <w:jc w:val="center"/>
              <w:rPr>
                <w:rFonts w:eastAsia="Times New Roman"/>
                <w:lang w:eastAsia="ru-RU"/>
              </w:rPr>
            </w:pPr>
            <w:r w:rsidRPr="009A4C46">
              <w:rPr>
                <w:rFonts w:eastAsia="Times New Roman"/>
                <w:b/>
                <w:bCs/>
                <w:lang w:eastAsia="ru-RU"/>
              </w:rPr>
              <w:t>Расчет неподконтрольных расходов</w:t>
            </w:r>
          </w:p>
        </w:tc>
      </w:tr>
      <w:tr w:rsidR="009A4C46" w:rsidRPr="009A4C46" w14:paraId="46AE0122" w14:textId="77777777" w:rsidTr="00F94FED">
        <w:trPr>
          <w:trHeight w:val="300"/>
        </w:trPr>
        <w:tc>
          <w:tcPr>
            <w:tcW w:w="1284" w:type="pct"/>
            <w:tcBorders>
              <w:top w:val="single" w:sz="8" w:space="0" w:color="auto"/>
              <w:left w:val="single" w:sz="8" w:space="0" w:color="auto"/>
              <w:bottom w:val="single" w:sz="4" w:space="0" w:color="auto"/>
              <w:right w:val="single" w:sz="4" w:space="0" w:color="auto"/>
            </w:tcBorders>
            <w:shd w:val="clear" w:color="auto" w:fill="auto"/>
            <w:vAlign w:val="center"/>
          </w:tcPr>
          <w:p w14:paraId="74105A38" w14:textId="77777777" w:rsidR="009A4C46" w:rsidRPr="009A4C46" w:rsidRDefault="009A4C46" w:rsidP="00E169B0">
            <w:pPr>
              <w:spacing w:after="0" w:line="240" w:lineRule="auto"/>
              <w:rPr>
                <w:rFonts w:eastAsia="Times New Roman"/>
                <w:lang w:eastAsia="ru-RU"/>
              </w:rPr>
            </w:pPr>
            <w:r w:rsidRPr="009A4C46">
              <w:rPr>
                <w:rFonts w:eastAsia="Times New Roman"/>
                <w:lang w:eastAsia="ru-RU"/>
              </w:rPr>
              <w:t>Оплата услуг ПАО «ФСК ЕЭС»</w:t>
            </w:r>
          </w:p>
        </w:tc>
        <w:tc>
          <w:tcPr>
            <w:tcW w:w="597" w:type="pct"/>
            <w:tcBorders>
              <w:top w:val="single" w:sz="8" w:space="0" w:color="auto"/>
              <w:left w:val="nil"/>
              <w:bottom w:val="single" w:sz="4" w:space="0" w:color="auto"/>
              <w:right w:val="nil"/>
            </w:tcBorders>
            <w:shd w:val="clear" w:color="auto" w:fill="auto"/>
            <w:noWrap/>
            <w:vAlign w:val="center"/>
          </w:tcPr>
          <w:p w14:paraId="32621559" w14:textId="77777777" w:rsidR="009A4C46" w:rsidRPr="009A4C46" w:rsidRDefault="009A4C46" w:rsidP="003E2802">
            <w:pPr>
              <w:spacing w:after="0" w:line="240" w:lineRule="auto"/>
              <w:jc w:val="center"/>
              <w:rPr>
                <w:rFonts w:eastAsia="Times New Roman"/>
                <w:lang w:eastAsia="ru-RU"/>
              </w:rPr>
            </w:pPr>
            <w:r w:rsidRPr="009A4C46">
              <w:rPr>
                <w:rFonts w:eastAsia="Times New Roman"/>
                <w:lang w:eastAsia="ru-RU"/>
              </w:rPr>
              <w:t>тыс. руб.</w:t>
            </w:r>
          </w:p>
        </w:tc>
        <w:tc>
          <w:tcPr>
            <w:tcW w:w="778" w:type="pct"/>
            <w:tcBorders>
              <w:top w:val="single" w:sz="8" w:space="0" w:color="auto"/>
              <w:left w:val="single" w:sz="4" w:space="0" w:color="auto"/>
              <w:bottom w:val="single" w:sz="4" w:space="0" w:color="auto"/>
              <w:right w:val="single" w:sz="4" w:space="0" w:color="auto"/>
            </w:tcBorders>
            <w:shd w:val="clear" w:color="auto" w:fill="auto"/>
            <w:noWrap/>
            <w:vAlign w:val="center"/>
          </w:tcPr>
          <w:p w14:paraId="77D9CCAC" w14:textId="77777777" w:rsidR="009A4C46" w:rsidRPr="009A4C46" w:rsidRDefault="009A4C46">
            <w:pPr>
              <w:spacing w:after="0" w:line="240" w:lineRule="auto"/>
              <w:jc w:val="center"/>
              <w:rPr>
                <w:rFonts w:eastAsia="Times New Roman"/>
                <w:lang w:eastAsia="ru-RU"/>
              </w:rPr>
            </w:pPr>
            <w:r w:rsidRPr="009A4C46">
              <w:rPr>
                <w:rFonts w:eastAsia="Times New Roman"/>
                <w:lang w:eastAsia="ru-RU"/>
              </w:rPr>
              <w:t>202 527,26</w:t>
            </w:r>
          </w:p>
        </w:tc>
        <w:tc>
          <w:tcPr>
            <w:tcW w:w="779" w:type="pct"/>
            <w:tcBorders>
              <w:top w:val="single" w:sz="8" w:space="0" w:color="auto"/>
              <w:left w:val="nil"/>
              <w:bottom w:val="single" w:sz="4" w:space="0" w:color="auto"/>
              <w:right w:val="nil"/>
            </w:tcBorders>
            <w:shd w:val="clear" w:color="auto" w:fill="auto"/>
            <w:noWrap/>
            <w:vAlign w:val="center"/>
          </w:tcPr>
          <w:p w14:paraId="798DDE6A" w14:textId="77777777" w:rsidR="009A4C46" w:rsidRPr="009A4C46" w:rsidRDefault="009A4C46">
            <w:pPr>
              <w:spacing w:after="0" w:line="240" w:lineRule="auto"/>
              <w:jc w:val="center"/>
              <w:rPr>
                <w:rFonts w:eastAsia="Times New Roman"/>
                <w:lang w:eastAsia="ru-RU"/>
              </w:rPr>
            </w:pPr>
            <w:r w:rsidRPr="009A4C46">
              <w:rPr>
                <w:rFonts w:eastAsia="Times New Roman"/>
                <w:lang w:eastAsia="ru-RU"/>
              </w:rPr>
              <w:t>230 485,84</w:t>
            </w:r>
          </w:p>
        </w:tc>
        <w:tc>
          <w:tcPr>
            <w:tcW w:w="804" w:type="pct"/>
            <w:tcBorders>
              <w:top w:val="single" w:sz="8" w:space="0" w:color="auto"/>
              <w:left w:val="single" w:sz="4" w:space="0" w:color="auto"/>
              <w:bottom w:val="single" w:sz="4" w:space="0" w:color="auto"/>
              <w:right w:val="single" w:sz="4" w:space="0" w:color="auto"/>
            </w:tcBorders>
            <w:shd w:val="clear" w:color="auto" w:fill="auto"/>
            <w:noWrap/>
            <w:vAlign w:val="center"/>
          </w:tcPr>
          <w:p w14:paraId="529A7321" w14:textId="77777777" w:rsidR="009A4C46" w:rsidRPr="009A4C46" w:rsidRDefault="009A4C46">
            <w:pPr>
              <w:spacing w:after="0" w:line="240" w:lineRule="auto"/>
              <w:jc w:val="center"/>
              <w:rPr>
                <w:rFonts w:eastAsia="Times New Roman"/>
                <w:lang w:eastAsia="ru-RU"/>
              </w:rPr>
            </w:pPr>
            <w:r w:rsidRPr="009A4C46">
              <w:rPr>
                <w:rFonts w:eastAsia="Times New Roman"/>
                <w:lang w:eastAsia="ru-RU"/>
              </w:rPr>
              <w:t>227 435,63</w:t>
            </w:r>
          </w:p>
        </w:tc>
        <w:tc>
          <w:tcPr>
            <w:tcW w:w="759" w:type="pct"/>
            <w:tcBorders>
              <w:top w:val="single" w:sz="4" w:space="0" w:color="auto"/>
              <w:left w:val="single" w:sz="4" w:space="0" w:color="auto"/>
              <w:bottom w:val="single" w:sz="4" w:space="0" w:color="auto"/>
              <w:right w:val="single" w:sz="4" w:space="0" w:color="auto"/>
            </w:tcBorders>
            <w:shd w:val="clear" w:color="auto" w:fill="auto"/>
            <w:vAlign w:val="center"/>
          </w:tcPr>
          <w:p w14:paraId="0A3FA51D" w14:textId="77777777" w:rsidR="009A4C46" w:rsidRPr="009A4C46" w:rsidRDefault="009A4C46">
            <w:pPr>
              <w:spacing w:after="0" w:line="240" w:lineRule="auto"/>
              <w:jc w:val="center"/>
              <w:rPr>
                <w:rFonts w:eastAsia="Times New Roman"/>
                <w:lang w:eastAsia="ru-RU"/>
              </w:rPr>
            </w:pPr>
            <w:r w:rsidRPr="009A4C46">
              <w:rPr>
                <w:rFonts w:eastAsia="Times New Roman"/>
                <w:bCs/>
                <w:lang w:eastAsia="ru-RU"/>
              </w:rPr>
              <w:t>-3 050,21</w:t>
            </w:r>
          </w:p>
        </w:tc>
      </w:tr>
      <w:tr w:rsidR="00F94FED" w:rsidRPr="009A4C46" w14:paraId="7428026B" w14:textId="77777777" w:rsidTr="00F94FED">
        <w:trPr>
          <w:trHeight w:val="300"/>
        </w:trPr>
        <w:tc>
          <w:tcPr>
            <w:tcW w:w="1284" w:type="pct"/>
            <w:tcBorders>
              <w:top w:val="nil"/>
              <w:left w:val="single" w:sz="8" w:space="0" w:color="auto"/>
              <w:bottom w:val="single" w:sz="4" w:space="0" w:color="auto"/>
              <w:right w:val="single" w:sz="4" w:space="0" w:color="auto"/>
            </w:tcBorders>
            <w:shd w:val="clear" w:color="auto" w:fill="auto"/>
            <w:vAlign w:val="center"/>
          </w:tcPr>
          <w:p w14:paraId="1C6E46A7" w14:textId="77777777" w:rsidR="009A4C46" w:rsidRPr="009A4C46" w:rsidRDefault="009A4C46" w:rsidP="00E169B0">
            <w:pPr>
              <w:spacing w:after="0" w:line="240" w:lineRule="auto"/>
              <w:rPr>
                <w:rFonts w:eastAsia="Times New Roman"/>
                <w:lang w:eastAsia="ru-RU"/>
              </w:rPr>
            </w:pPr>
            <w:r w:rsidRPr="009A4C46">
              <w:rPr>
                <w:rFonts w:eastAsia="Times New Roman"/>
                <w:lang w:eastAsia="ru-RU"/>
              </w:rPr>
              <w:t>в том числе</w:t>
            </w:r>
          </w:p>
        </w:tc>
        <w:tc>
          <w:tcPr>
            <w:tcW w:w="597" w:type="pct"/>
            <w:tcBorders>
              <w:top w:val="nil"/>
              <w:left w:val="nil"/>
              <w:bottom w:val="single" w:sz="4" w:space="0" w:color="auto"/>
              <w:right w:val="nil"/>
            </w:tcBorders>
            <w:shd w:val="clear" w:color="auto" w:fill="auto"/>
            <w:noWrap/>
            <w:vAlign w:val="center"/>
          </w:tcPr>
          <w:p w14:paraId="4D992B37" w14:textId="77777777" w:rsidR="009A4C46" w:rsidRPr="009A4C46" w:rsidRDefault="009A4C46" w:rsidP="003E2802">
            <w:pPr>
              <w:spacing w:after="0" w:line="240" w:lineRule="auto"/>
              <w:jc w:val="center"/>
              <w:rPr>
                <w:rFonts w:eastAsia="Times New Roman"/>
                <w:lang w:eastAsia="ru-RU"/>
              </w:rPr>
            </w:pPr>
          </w:p>
        </w:tc>
        <w:tc>
          <w:tcPr>
            <w:tcW w:w="778" w:type="pct"/>
            <w:tcBorders>
              <w:top w:val="nil"/>
              <w:left w:val="single" w:sz="4" w:space="0" w:color="auto"/>
              <w:bottom w:val="single" w:sz="4" w:space="0" w:color="auto"/>
              <w:right w:val="single" w:sz="4" w:space="0" w:color="auto"/>
            </w:tcBorders>
            <w:shd w:val="clear" w:color="auto" w:fill="auto"/>
            <w:noWrap/>
            <w:vAlign w:val="center"/>
          </w:tcPr>
          <w:p w14:paraId="081BBFD1" w14:textId="77777777" w:rsidR="009A4C46" w:rsidRPr="009A4C46" w:rsidRDefault="009A4C46">
            <w:pPr>
              <w:spacing w:after="0" w:line="240" w:lineRule="auto"/>
              <w:jc w:val="center"/>
              <w:rPr>
                <w:rFonts w:eastAsia="Times New Roman"/>
                <w:lang w:eastAsia="ru-RU"/>
              </w:rPr>
            </w:pPr>
          </w:p>
        </w:tc>
        <w:tc>
          <w:tcPr>
            <w:tcW w:w="779" w:type="pct"/>
            <w:tcBorders>
              <w:top w:val="nil"/>
              <w:left w:val="nil"/>
              <w:bottom w:val="single" w:sz="4" w:space="0" w:color="auto"/>
              <w:right w:val="nil"/>
            </w:tcBorders>
            <w:shd w:val="clear" w:color="auto" w:fill="auto"/>
            <w:noWrap/>
            <w:vAlign w:val="center"/>
          </w:tcPr>
          <w:p w14:paraId="2B9A5872" w14:textId="77777777" w:rsidR="009A4C46" w:rsidRPr="009A4C46" w:rsidRDefault="009A4C46">
            <w:pPr>
              <w:spacing w:after="0" w:line="240" w:lineRule="auto"/>
              <w:jc w:val="center"/>
              <w:rPr>
                <w:rFonts w:eastAsia="Times New Roman"/>
                <w:lang w:eastAsia="ru-RU"/>
              </w:rPr>
            </w:pPr>
          </w:p>
        </w:tc>
        <w:tc>
          <w:tcPr>
            <w:tcW w:w="804" w:type="pct"/>
            <w:tcBorders>
              <w:top w:val="nil"/>
              <w:left w:val="single" w:sz="4" w:space="0" w:color="auto"/>
              <w:bottom w:val="single" w:sz="4" w:space="0" w:color="auto"/>
              <w:right w:val="single" w:sz="4" w:space="0" w:color="auto"/>
            </w:tcBorders>
            <w:shd w:val="clear" w:color="auto" w:fill="auto"/>
            <w:noWrap/>
            <w:vAlign w:val="center"/>
          </w:tcPr>
          <w:p w14:paraId="5B3FC4A3" w14:textId="77777777" w:rsidR="009A4C46" w:rsidRPr="009A4C46" w:rsidRDefault="009A4C46">
            <w:pPr>
              <w:spacing w:after="0" w:line="240" w:lineRule="auto"/>
              <w:jc w:val="center"/>
              <w:rPr>
                <w:rFonts w:eastAsia="Times New Roman"/>
                <w:lang w:eastAsia="ru-RU"/>
              </w:rPr>
            </w:pPr>
          </w:p>
        </w:tc>
        <w:tc>
          <w:tcPr>
            <w:tcW w:w="759" w:type="pct"/>
            <w:tcBorders>
              <w:top w:val="single" w:sz="4" w:space="0" w:color="auto"/>
              <w:left w:val="single" w:sz="4" w:space="0" w:color="auto"/>
              <w:bottom w:val="single" w:sz="4" w:space="0" w:color="auto"/>
              <w:right w:val="single" w:sz="4" w:space="0" w:color="auto"/>
            </w:tcBorders>
            <w:shd w:val="clear" w:color="auto" w:fill="auto"/>
            <w:vAlign w:val="center"/>
          </w:tcPr>
          <w:p w14:paraId="38677609" w14:textId="77777777" w:rsidR="009A4C46" w:rsidRPr="009A4C46" w:rsidRDefault="009A4C46">
            <w:pPr>
              <w:spacing w:after="0" w:line="240" w:lineRule="auto"/>
              <w:jc w:val="center"/>
              <w:rPr>
                <w:rFonts w:eastAsia="Times New Roman"/>
                <w:lang w:eastAsia="ru-RU"/>
              </w:rPr>
            </w:pPr>
          </w:p>
        </w:tc>
      </w:tr>
      <w:tr w:rsidR="00F94FED" w:rsidRPr="009A4C46" w14:paraId="67E5F9FE" w14:textId="77777777" w:rsidTr="00F94FED">
        <w:trPr>
          <w:trHeight w:val="373"/>
        </w:trPr>
        <w:tc>
          <w:tcPr>
            <w:tcW w:w="1284" w:type="pct"/>
            <w:tcBorders>
              <w:top w:val="nil"/>
              <w:left w:val="single" w:sz="8" w:space="0" w:color="auto"/>
              <w:bottom w:val="single" w:sz="4" w:space="0" w:color="auto"/>
              <w:right w:val="single" w:sz="4" w:space="0" w:color="auto"/>
            </w:tcBorders>
            <w:shd w:val="clear" w:color="auto" w:fill="auto"/>
            <w:vAlign w:val="center"/>
          </w:tcPr>
          <w:p w14:paraId="3DF1CA31" w14:textId="77777777" w:rsidR="009A4C46" w:rsidRPr="009A4C46" w:rsidRDefault="009A4C46" w:rsidP="00E169B0">
            <w:pPr>
              <w:spacing w:after="0" w:line="240" w:lineRule="auto"/>
              <w:rPr>
                <w:rFonts w:eastAsia="Times New Roman"/>
                <w:lang w:eastAsia="ru-RU"/>
              </w:rPr>
            </w:pPr>
            <w:r w:rsidRPr="009A4C46">
              <w:rPr>
                <w:rFonts w:eastAsia="Times New Roman"/>
                <w:lang w:eastAsia="ru-RU"/>
              </w:rPr>
              <w:t>Оплата услуг ПАО «ФСК ЕЭС» 1 полугодие</w:t>
            </w:r>
          </w:p>
        </w:tc>
        <w:tc>
          <w:tcPr>
            <w:tcW w:w="597" w:type="pct"/>
            <w:tcBorders>
              <w:top w:val="nil"/>
              <w:left w:val="nil"/>
              <w:bottom w:val="single" w:sz="4" w:space="0" w:color="auto"/>
              <w:right w:val="nil"/>
            </w:tcBorders>
            <w:shd w:val="clear" w:color="auto" w:fill="auto"/>
            <w:noWrap/>
            <w:vAlign w:val="center"/>
          </w:tcPr>
          <w:p w14:paraId="7FE6956F" w14:textId="77777777" w:rsidR="009A4C46" w:rsidRPr="009A4C46" w:rsidRDefault="009A4C46" w:rsidP="003E2802">
            <w:pPr>
              <w:spacing w:after="0" w:line="240" w:lineRule="auto"/>
              <w:jc w:val="center"/>
              <w:rPr>
                <w:rFonts w:eastAsia="Times New Roman"/>
                <w:lang w:eastAsia="ru-RU"/>
              </w:rPr>
            </w:pPr>
            <w:r w:rsidRPr="009A4C46">
              <w:rPr>
                <w:rFonts w:eastAsia="Times New Roman"/>
                <w:lang w:eastAsia="ru-RU"/>
              </w:rPr>
              <w:t>тыс. руб.</w:t>
            </w:r>
          </w:p>
        </w:tc>
        <w:tc>
          <w:tcPr>
            <w:tcW w:w="778" w:type="pct"/>
            <w:tcBorders>
              <w:top w:val="nil"/>
              <w:left w:val="single" w:sz="4" w:space="0" w:color="auto"/>
              <w:bottom w:val="single" w:sz="4" w:space="0" w:color="auto"/>
              <w:right w:val="single" w:sz="4" w:space="0" w:color="auto"/>
            </w:tcBorders>
            <w:shd w:val="clear" w:color="auto" w:fill="auto"/>
            <w:noWrap/>
            <w:vAlign w:val="center"/>
          </w:tcPr>
          <w:p w14:paraId="4BFFC925" w14:textId="77777777" w:rsidR="009A4C46" w:rsidRPr="009A4C46" w:rsidRDefault="009A4C46">
            <w:pPr>
              <w:spacing w:after="0" w:line="240" w:lineRule="auto"/>
              <w:jc w:val="center"/>
              <w:rPr>
                <w:rFonts w:eastAsia="Times New Roman"/>
                <w:lang w:eastAsia="ru-RU"/>
              </w:rPr>
            </w:pPr>
            <w:r w:rsidRPr="009A4C46">
              <w:rPr>
                <w:rFonts w:eastAsia="Times New Roman"/>
                <w:lang w:eastAsia="ru-RU"/>
              </w:rPr>
              <w:t>101 032,92</w:t>
            </w:r>
          </w:p>
        </w:tc>
        <w:tc>
          <w:tcPr>
            <w:tcW w:w="779" w:type="pct"/>
            <w:tcBorders>
              <w:top w:val="nil"/>
              <w:left w:val="nil"/>
              <w:bottom w:val="single" w:sz="4" w:space="0" w:color="auto"/>
              <w:right w:val="nil"/>
            </w:tcBorders>
            <w:shd w:val="clear" w:color="auto" w:fill="auto"/>
            <w:noWrap/>
            <w:vAlign w:val="center"/>
          </w:tcPr>
          <w:p w14:paraId="2ED47A2B" w14:textId="77777777" w:rsidR="009A4C46" w:rsidRPr="009A4C46" w:rsidRDefault="009A4C46">
            <w:pPr>
              <w:spacing w:after="0" w:line="240" w:lineRule="auto"/>
              <w:jc w:val="center"/>
              <w:rPr>
                <w:rFonts w:eastAsia="Times New Roman"/>
                <w:lang w:eastAsia="ru-RU"/>
              </w:rPr>
            </w:pPr>
            <w:r w:rsidRPr="009A4C46">
              <w:rPr>
                <w:rFonts w:eastAsia="Times New Roman"/>
                <w:lang w:eastAsia="ru-RU"/>
              </w:rPr>
              <w:t>115 432,31</w:t>
            </w:r>
          </w:p>
        </w:tc>
        <w:tc>
          <w:tcPr>
            <w:tcW w:w="804" w:type="pct"/>
            <w:tcBorders>
              <w:top w:val="nil"/>
              <w:left w:val="single" w:sz="4" w:space="0" w:color="auto"/>
              <w:bottom w:val="single" w:sz="4" w:space="0" w:color="auto"/>
              <w:right w:val="single" w:sz="4" w:space="0" w:color="auto"/>
            </w:tcBorders>
            <w:shd w:val="clear" w:color="auto" w:fill="auto"/>
            <w:noWrap/>
            <w:vAlign w:val="center"/>
          </w:tcPr>
          <w:p w14:paraId="285F826A" w14:textId="77777777" w:rsidR="009A4C46" w:rsidRPr="009A4C46" w:rsidRDefault="009A4C46">
            <w:pPr>
              <w:spacing w:after="0" w:line="240" w:lineRule="auto"/>
              <w:jc w:val="center"/>
              <w:rPr>
                <w:rFonts w:eastAsia="Times New Roman"/>
                <w:lang w:eastAsia="ru-RU"/>
              </w:rPr>
            </w:pPr>
            <w:r w:rsidRPr="009A4C46">
              <w:rPr>
                <w:rFonts w:eastAsia="Times New Roman"/>
                <w:lang w:eastAsia="ru-RU"/>
              </w:rPr>
              <w:t>114 500,56</w:t>
            </w:r>
          </w:p>
        </w:tc>
        <w:tc>
          <w:tcPr>
            <w:tcW w:w="759" w:type="pct"/>
            <w:tcBorders>
              <w:top w:val="single" w:sz="4" w:space="0" w:color="auto"/>
              <w:left w:val="single" w:sz="4" w:space="0" w:color="auto"/>
              <w:bottom w:val="single" w:sz="4" w:space="0" w:color="auto"/>
              <w:right w:val="single" w:sz="4" w:space="0" w:color="auto"/>
            </w:tcBorders>
            <w:shd w:val="clear" w:color="auto" w:fill="auto"/>
            <w:vAlign w:val="center"/>
          </w:tcPr>
          <w:p w14:paraId="731AD839" w14:textId="77777777" w:rsidR="009A4C46" w:rsidRPr="009A4C46" w:rsidRDefault="009A4C46">
            <w:pPr>
              <w:spacing w:after="0" w:line="240" w:lineRule="auto"/>
              <w:jc w:val="center"/>
              <w:rPr>
                <w:rFonts w:eastAsia="Times New Roman"/>
                <w:lang w:eastAsia="ru-RU"/>
              </w:rPr>
            </w:pPr>
            <w:r w:rsidRPr="009A4C46">
              <w:rPr>
                <w:rFonts w:eastAsia="Times New Roman"/>
                <w:bCs/>
                <w:lang w:eastAsia="ru-RU"/>
              </w:rPr>
              <w:t>-931,75</w:t>
            </w:r>
          </w:p>
        </w:tc>
      </w:tr>
      <w:tr w:rsidR="00F94FED" w:rsidRPr="009A4C46" w14:paraId="492C9E68" w14:textId="77777777" w:rsidTr="00F94FED">
        <w:trPr>
          <w:trHeight w:val="300"/>
        </w:trPr>
        <w:tc>
          <w:tcPr>
            <w:tcW w:w="1284" w:type="pct"/>
            <w:tcBorders>
              <w:top w:val="nil"/>
              <w:left w:val="single" w:sz="8" w:space="0" w:color="auto"/>
              <w:bottom w:val="single" w:sz="4" w:space="0" w:color="auto"/>
              <w:right w:val="single" w:sz="4" w:space="0" w:color="auto"/>
            </w:tcBorders>
            <w:shd w:val="clear" w:color="auto" w:fill="auto"/>
            <w:vAlign w:val="center"/>
          </w:tcPr>
          <w:p w14:paraId="7CB465B4" w14:textId="77777777" w:rsidR="009A4C46" w:rsidRPr="009A4C46" w:rsidRDefault="009A4C46" w:rsidP="00E169B0">
            <w:pPr>
              <w:spacing w:after="0" w:line="240" w:lineRule="auto"/>
              <w:rPr>
                <w:rFonts w:eastAsia="Times New Roman"/>
                <w:lang w:eastAsia="ru-RU"/>
              </w:rPr>
            </w:pPr>
            <w:r w:rsidRPr="009A4C46">
              <w:rPr>
                <w:rFonts w:eastAsia="Times New Roman"/>
                <w:lang w:eastAsia="ru-RU"/>
              </w:rPr>
              <w:t>Оплата услуг ПАО «ФСК ЕЭС» 2 полугодие</w:t>
            </w:r>
          </w:p>
        </w:tc>
        <w:tc>
          <w:tcPr>
            <w:tcW w:w="597" w:type="pct"/>
            <w:tcBorders>
              <w:top w:val="nil"/>
              <w:left w:val="nil"/>
              <w:bottom w:val="single" w:sz="4" w:space="0" w:color="auto"/>
              <w:right w:val="nil"/>
            </w:tcBorders>
            <w:shd w:val="clear" w:color="auto" w:fill="auto"/>
            <w:noWrap/>
            <w:vAlign w:val="center"/>
          </w:tcPr>
          <w:p w14:paraId="2FAEA1D4" w14:textId="77777777" w:rsidR="009A4C46" w:rsidRPr="009A4C46" w:rsidRDefault="009A4C46" w:rsidP="003E2802">
            <w:pPr>
              <w:spacing w:after="0" w:line="240" w:lineRule="auto"/>
              <w:jc w:val="center"/>
              <w:rPr>
                <w:rFonts w:eastAsia="Times New Roman"/>
                <w:lang w:eastAsia="ru-RU"/>
              </w:rPr>
            </w:pPr>
            <w:r w:rsidRPr="009A4C46">
              <w:rPr>
                <w:rFonts w:eastAsia="Times New Roman"/>
                <w:lang w:eastAsia="ru-RU"/>
              </w:rPr>
              <w:t>тыс. руб.</w:t>
            </w:r>
          </w:p>
        </w:tc>
        <w:tc>
          <w:tcPr>
            <w:tcW w:w="778" w:type="pct"/>
            <w:tcBorders>
              <w:top w:val="nil"/>
              <w:left w:val="single" w:sz="4" w:space="0" w:color="auto"/>
              <w:bottom w:val="single" w:sz="4" w:space="0" w:color="auto"/>
              <w:right w:val="single" w:sz="4" w:space="0" w:color="auto"/>
            </w:tcBorders>
            <w:shd w:val="clear" w:color="auto" w:fill="auto"/>
            <w:noWrap/>
            <w:vAlign w:val="center"/>
          </w:tcPr>
          <w:p w14:paraId="59830A2C" w14:textId="77777777" w:rsidR="009A4C46" w:rsidRPr="009A4C46" w:rsidRDefault="009A4C46">
            <w:pPr>
              <w:spacing w:after="0" w:line="240" w:lineRule="auto"/>
              <w:jc w:val="center"/>
              <w:rPr>
                <w:rFonts w:eastAsia="Times New Roman"/>
                <w:lang w:eastAsia="ru-RU"/>
              </w:rPr>
            </w:pPr>
            <w:r w:rsidRPr="009A4C46">
              <w:rPr>
                <w:rFonts w:eastAsia="Times New Roman"/>
                <w:lang w:eastAsia="ru-RU"/>
              </w:rPr>
              <w:t>101 494,34</w:t>
            </w:r>
          </w:p>
        </w:tc>
        <w:tc>
          <w:tcPr>
            <w:tcW w:w="779" w:type="pct"/>
            <w:tcBorders>
              <w:top w:val="nil"/>
              <w:left w:val="nil"/>
              <w:bottom w:val="single" w:sz="4" w:space="0" w:color="auto"/>
              <w:right w:val="nil"/>
            </w:tcBorders>
            <w:shd w:val="clear" w:color="auto" w:fill="auto"/>
            <w:noWrap/>
            <w:vAlign w:val="center"/>
          </w:tcPr>
          <w:p w14:paraId="132A10C1" w14:textId="77777777" w:rsidR="009A4C46" w:rsidRPr="009A4C46" w:rsidRDefault="009A4C46">
            <w:pPr>
              <w:spacing w:after="0" w:line="240" w:lineRule="auto"/>
              <w:jc w:val="center"/>
              <w:rPr>
                <w:rFonts w:eastAsia="Times New Roman"/>
                <w:lang w:eastAsia="ru-RU"/>
              </w:rPr>
            </w:pPr>
            <w:r w:rsidRPr="009A4C46">
              <w:rPr>
                <w:rFonts w:eastAsia="Times New Roman"/>
                <w:lang w:eastAsia="ru-RU"/>
              </w:rPr>
              <w:t>115 053,52</w:t>
            </w:r>
          </w:p>
        </w:tc>
        <w:tc>
          <w:tcPr>
            <w:tcW w:w="804" w:type="pct"/>
            <w:tcBorders>
              <w:top w:val="nil"/>
              <w:left w:val="single" w:sz="4" w:space="0" w:color="auto"/>
              <w:bottom w:val="single" w:sz="4" w:space="0" w:color="auto"/>
              <w:right w:val="single" w:sz="4" w:space="0" w:color="auto"/>
            </w:tcBorders>
            <w:shd w:val="clear" w:color="auto" w:fill="auto"/>
            <w:noWrap/>
            <w:vAlign w:val="center"/>
          </w:tcPr>
          <w:p w14:paraId="4FD17CA0" w14:textId="77777777" w:rsidR="009A4C46" w:rsidRPr="009A4C46" w:rsidRDefault="009A4C46">
            <w:pPr>
              <w:spacing w:after="0" w:line="240" w:lineRule="auto"/>
              <w:jc w:val="center"/>
              <w:rPr>
                <w:rFonts w:eastAsia="Times New Roman"/>
                <w:lang w:eastAsia="ru-RU"/>
              </w:rPr>
            </w:pPr>
            <w:r w:rsidRPr="009A4C46">
              <w:rPr>
                <w:rFonts w:eastAsia="Times New Roman"/>
                <w:lang w:eastAsia="ru-RU"/>
              </w:rPr>
              <w:t>112 935,07</w:t>
            </w:r>
          </w:p>
        </w:tc>
        <w:tc>
          <w:tcPr>
            <w:tcW w:w="759" w:type="pct"/>
            <w:tcBorders>
              <w:top w:val="single" w:sz="4" w:space="0" w:color="auto"/>
              <w:left w:val="single" w:sz="4" w:space="0" w:color="auto"/>
              <w:bottom w:val="single" w:sz="4" w:space="0" w:color="auto"/>
              <w:right w:val="single" w:sz="4" w:space="0" w:color="auto"/>
            </w:tcBorders>
            <w:shd w:val="clear" w:color="auto" w:fill="auto"/>
            <w:vAlign w:val="center"/>
          </w:tcPr>
          <w:p w14:paraId="32A6EF07" w14:textId="77777777" w:rsidR="009A4C46" w:rsidRPr="009A4C46" w:rsidRDefault="009A4C46">
            <w:pPr>
              <w:spacing w:after="0" w:line="240" w:lineRule="auto"/>
              <w:jc w:val="center"/>
              <w:rPr>
                <w:rFonts w:eastAsia="Times New Roman"/>
                <w:lang w:eastAsia="ru-RU"/>
              </w:rPr>
            </w:pPr>
            <w:r w:rsidRPr="009A4C46">
              <w:rPr>
                <w:rFonts w:eastAsia="Times New Roman"/>
                <w:bCs/>
                <w:lang w:eastAsia="ru-RU"/>
              </w:rPr>
              <w:t>-2 118,46</w:t>
            </w:r>
          </w:p>
        </w:tc>
      </w:tr>
      <w:tr w:rsidR="00F94FED" w:rsidRPr="009A4C46" w14:paraId="6B0BDE04" w14:textId="77777777" w:rsidTr="00F94FED">
        <w:trPr>
          <w:trHeight w:val="300"/>
        </w:trPr>
        <w:tc>
          <w:tcPr>
            <w:tcW w:w="1284" w:type="pct"/>
            <w:tcBorders>
              <w:top w:val="nil"/>
              <w:left w:val="single" w:sz="8" w:space="0" w:color="auto"/>
              <w:bottom w:val="single" w:sz="4" w:space="0" w:color="auto"/>
              <w:right w:val="single" w:sz="4" w:space="0" w:color="auto"/>
            </w:tcBorders>
            <w:shd w:val="clear" w:color="000000" w:fill="FFFFFF"/>
            <w:vAlign w:val="center"/>
          </w:tcPr>
          <w:p w14:paraId="4FC5E4D4" w14:textId="77777777" w:rsidR="009A4C46" w:rsidRPr="009A4C46" w:rsidRDefault="009A4C46" w:rsidP="00E169B0">
            <w:pPr>
              <w:spacing w:after="0" w:line="240" w:lineRule="auto"/>
              <w:rPr>
                <w:rFonts w:eastAsia="Times New Roman"/>
                <w:lang w:eastAsia="ru-RU"/>
              </w:rPr>
            </w:pPr>
            <w:r w:rsidRPr="009A4C46">
              <w:rPr>
                <w:rFonts w:eastAsia="Times New Roman"/>
                <w:lang w:eastAsia="ru-RU"/>
              </w:rPr>
              <w:t>Энергия на хозяйственные нужды</w:t>
            </w:r>
          </w:p>
        </w:tc>
        <w:tc>
          <w:tcPr>
            <w:tcW w:w="597" w:type="pct"/>
            <w:tcBorders>
              <w:top w:val="nil"/>
              <w:left w:val="nil"/>
              <w:bottom w:val="single" w:sz="4" w:space="0" w:color="auto"/>
              <w:right w:val="nil"/>
            </w:tcBorders>
            <w:shd w:val="clear" w:color="auto" w:fill="auto"/>
            <w:noWrap/>
            <w:vAlign w:val="center"/>
          </w:tcPr>
          <w:p w14:paraId="75E88C2D" w14:textId="77777777" w:rsidR="009A4C46" w:rsidRPr="009A4C46" w:rsidRDefault="009A4C46" w:rsidP="003E2802">
            <w:pPr>
              <w:spacing w:after="0" w:line="240" w:lineRule="auto"/>
              <w:jc w:val="center"/>
              <w:rPr>
                <w:rFonts w:eastAsia="Times New Roman"/>
                <w:lang w:eastAsia="ru-RU"/>
              </w:rPr>
            </w:pPr>
            <w:r w:rsidRPr="009A4C46">
              <w:rPr>
                <w:rFonts w:eastAsia="Times New Roman"/>
                <w:lang w:eastAsia="ru-RU"/>
              </w:rPr>
              <w:t>тыс. руб.</w:t>
            </w:r>
          </w:p>
        </w:tc>
        <w:tc>
          <w:tcPr>
            <w:tcW w:w="778" w:type="pct"/>
            <w:tcBorders>
              <w:top w:val="nil"/>
              <w:left w:val="single" w:sz="4" w:space="0" w:color="auto"/>
              <w:bottom w:val="single" w:sz="4" w:space="0" w:color="auto"/>
              <w:right w:val="single" w:sz="4" w:space="0" w:color="auto"/>
            </w:tcBorders>
            <w:shd w:val="clear" w:color="auto" w:fill="auto"/>
            <w:noWrap/>
            <w:vAlign w:val="center"/>
          </w:tcPr>
          <w:p w14:paraId="7556A184" w14:textId="77777777" w:rsidR="009A4C46" w:rsidRPr="009A4C46" w:rsidRDefault="009A4C46">
            <w:pPr>
              <w:spacing w:after="0" w:line="240" w:lineRule="auto"/>
              <w:jc w:val="center"/>
              <w:rPr>
                <w:rFonts w:eastAsia="Times New Roman"/>
                <w:lang w:eastAsia="ru-RU"/>
              </w:rPr>
            </w:pPr>
            <w:r w:rsidRPr="009A4C46">
              <w:rPr>
                <w:rFonts w:eastAsia="Times New Roman"/>
                <w:lang w:eastAsia="ru-RU"/>
              </w:rPr>
              <w:t>19 256,00</w:t>
            </w:r>
          </w:p>
        </w:tc>
        <w:tc>
          <w:tcPr>
            <w:tcW w:w="779" w:type="pct"/>
            <w:tcBorders>
              <w:top w:val="nil"/>
              <w:left w:val="nil"/>
              <w:bottom w:val="single" w:sz="4" w:space="0" w:color="auto"/>
              <w:right w:val="nil"/>
            </w:tcBorders>
            <w:shd w:val="clear" w:color="auto" w:fill="auto"/>
            <w:noWrap/>
            <w:vAlign w:val="center"/>
          </w:tcPr>
          <w:p w14:paraId="177F38DF" w14:textId="77777777" w:rsidR="009A4C46" w:rsidRPr="009A4C46" w:rsidRDefault="009A4C46">
            <w:pPr>
              <w:spacing w:after="0" w:line="240" w:lineRule="auto"/>
              <w:jc w:val="center"/>
              <w:rPr>
                <w:rFonts w:eastAsia="Times New Roman"/>
                <w:lang w:eastAsia="ru-RU"/>
              </w:rPr>
            </w:pPr>
            <w:r w:rsidRPr="009A4C46">
              <w:rPr>
                <w:rFonts w:eastAsia="Times New Roman"/>
                <w:lang w:eastAsia="ru-RU"/>
              </w:rPr>
              <w:t>14 052,00</w:t>
            </w:r>
          </w:p>
        </w:tc>
        <w:tc>
          <w:tcPr>
            <w:tcW w:w="804" w:type="pct"/>
            <w:tcBorders>
              <w:top w:val="nil"/>
              <w:left w:val="single" w:sz="4" w:space="0" w:color="auto"/>
              <w:bottom w:val="single" w:sz="4" w:space="0" w:color="auto"/>
              <w:right w:val="single" w:sz="4" w:space="0" w:color="auto"/>
            </w:tcBorders>
            <w:shd w:val="clear" w:color="auto" w:fill="auto"/>
            <w:noWrap/>
            <w:vAlign w:val="center"/>
          </w:tcPr>
          <w:p w14:paraId="06B5767E" w14:textId="77777777" w:rsidR="009A4C46" w:rsidRPr="009A4C46" w:rsidRDefault="009A4C46">
            <w:pPr>
              <w:spacing w:after="0" w:line="240" w:lineRule="auto"/>
              <w:jc w:val="center"/>
              <w:rPr>
                <w:rFonts w:eastAsia="Times New Roman"/>
                <w:lang w:eastAsia="ru-RU"/>
              </w:rPr>
            </w:pPr>
            <w:r w:rsidRPr="009A4C46">
              <w:rPr>
                <w:rFonts w:eastAsia="Times New Roman"/>
                <w:lang w:eastAsia="ru-RU"/>
              </w:rPr>
              <w:t>15 807,44</w:t>
            </w:r>
          </w:p>
        </w:tc>
        <w:tc>
          <w:tcPr>
            <w:tcW w:w="759" w:type="pct"/>
            <w:tcBorders>
              <w:top w:val="single" w:sz="4" w:space="0" w:color="auto"/>
              <w:left w:val="single" w:sz="4" w:space="0" w:color="auto"/>
              <w:bottom w:val="single" w:sz="4" w:space="0" w:color="auto"/>
              <w:right w:val="single" w:sz="4" w:space="0" w:color="auto"/>
            </w:tcBorders>
            <w:shd w:val="clear" w:color="auto" w:fill="auto"/>
            <w:vAlign w:val="center"/>
          </w:tcPr>
          <w:p w14:paraId="7A8F6B14" w14:textId="77777777" w:rsidR="009A4C46" w:rsidRPr="009A4C46" w:rsidRDefault="009A4C46">
            <w:pPr>
              <w:spacing w:after="0" w:line="240" w:lineRule="auto"/>
              <w:jc w:val="center"/>
              <w:rPr>
                <w:rFonts w:eastAsia="Times New Roman"/>
                <w:lang w:eastAsia="ru-RU"/>
              </w:rPr>
            </w:pPr>
            <w:r w:rsidRPr="009A4C46">
              <w:rPr>
                <w:rFonts w:eastAsia="Times New Roman"/>
                <w:bCs/>
                <w:lang w:eastAsia="ru-RU"/>
              </w:rPr>
              <w:t>1 755,44</w:t>
            </w:r>
          </w:p>
        </w:tc>
      </w:tr>
      <w:tr w:rsidR="00F94FED" w:rsidRPr="009A4C46" w14:paraId="40AD6AC6" w14:textId="77777777" w:rsidTr="00F94FED">
        <w:trPr>
          <w:trHeight w:val="300"/>
        </w:trPr>
        <w:tc>
          <w:tcPr>
            <w:tcW w:w="1284" w:type="pct"/>
            <w:tcBorders>
              <w:top w:val="nil"/>
              <w:left w:val="single" w:sz="8" w:space="0" w:color="auto"/>
              <w:bottom w:val="single" w:sz="4" w:space="0" w:color="auto"/>
              <w:right w:val="single" w:sz="4" w:space="0" w:color="auto"/>
            </w:tcBorders>
            <w:shd w:val="clear" w:color="auto" w:fill="auto"/>
            <w:vAlign w:val="center"/>
          </w:tcPr>
          <w:p w14:paraId="4151341E" w14:textId="77777777" w:rsidR="009A4C46" w:rsidRPr="009A4C46" w:rsidRDefault="009A4C46" w:rsidP="00E169B0">
            <w:pPr>
              <w:spacing w:after="0" w:line="240" w:lineRule="auto"/>
              <w:rPr>
                <w:rFonts w:eastAsia="Times New Roman"/>
                <w:lang w:eastAsia="ru-RU"/>
              </w:rPr>
            </w:pPr>
            <w:r w:rsidRPr="009A4C46">
              <w:rPr>
                <w:rFonts w:eastAsia="Times New Roman"/>
                <w:lang w:eastAsia="ru-RU"/>
              </w:rPr>
              <w:t>Аренда, всего</w:t>
            </w:r>
          </w:p>
        </w:tc>
        <w:tc>
          <w:tcPr>
            <w:tcW w:w="597" w:type="pct"/>
            <w:tcBorders>
              <w:top w:val="nil"/>
              <w:left w:val="nil"/>
              <w:bottom w:val="single" w:sz="4" w:space="0" w:color="auto"/>
              <w:right w:val="nil"/>
            </w:tcBorders>
            <w:shd w:val="clear" w:color="auto" w:fill="auto"/>
            <w:noWrap/>
            <w:vAlign w:val="center"/>
          </w:tcPr>
          <w:p w14:paraId="634935B1" w14:textId="77777777" w:rsidR="009A4C46" w:rsidRPr="009A4C46" w:rsidRDefault="009A4C46" w:rsidP="003E2802">
            <w:pPr>
              <w:spacing w:after="0" w:line="240" w:lineRule="auto"/>
              <w:jc w:val="center"/>
              <w:rPr>
                <w:rFonts w:eastAsia="Times New Roman"/>
                <w:lang w:eastAsia="ru-RU"/>
              </w:rPr>
            </w:pPr>
            <w:r w:rsidRPr="009A4C46">
              <w:rPr>
                <w:rFonts w:eastAsia="Times New Roman"/>
                <w:lang w:eastAsia="ru-RU"/>
              </w:rPr>
              <w:t>тыс. руб.</w:t>
            </w:r>
          </w:p>
        </w:tc>
        <w:tc>
          <w:tcPr>
            <w:tcW w:w="778" w:type="pct"/>
            <w:tcBorders>
              <w:top w:val="nil"/>
              <w:left w:val="single" w:sz="4" w:space="0" w:color="auto"/>
              <w:bottom w:val="single" w:sz="4" w:space="0" w:color="auto"/>
              <w:right w:val="single" w:sz="4" w:space="0" w:color="auto"/>
            </w:tcBorders>
            <w:shd w:val="clear" w:color="auto" w:fill="auto"/>
            <w:noWrap/>
            <w:vAlign w:val="center"/>
          </w:tcPr>
          <w:p w14:paraId="0A9DBC7E" w14:textId="77777777" w:rsidR="009A4C46" w:rsidRPr="009A4C46" w:rsidRDefault="009A4C46">
            <w:pPr>
              <w:spacing w:after="0" w:line="240" w:lineRule="auto"/>
              <w:jc w:val="center"/>
              <w:rPr>
                <w:rFonts w:eastAsia="Times New Roman"/>
                <w:lang w:eastAsia="ru-RU"/>
              </w:rPr>
            </w:pPr>
            <w:r w:rsidRPr="009A4C46">
              <w:rPr>
                <w:rFonts w:eastAsia="Times New Roman"/>
                <w:lang w:eastAsia="ru-RU"/>
              </w:rPr>
              <w:t>20 881,00</w:t>
            </w:r>
          </w:p>
        </w:tc>
        <w:tc>
          <w:tcPr>
            <w:tcW w:w="779" w:type="pct"/>
            <w:tcBorders>
              <w:top w:val="nil"/>
              <w:left w:val="nil"/>
              <w:bottom w:val="single" w:sz="4" w:space="0" w:color="auto"/>
              <w:right w:val="nil"/>
            </w:tcBorders>
            <w:shd w:val="clear" w:color="auto" w:fill="auto"/>
            <w:noWrap/>
            <w:vAlign w:val="center"/>
          </w:tcPr>
          <w:p w14:paraId="6054E48B" w14:textId="77777777" w:rsidR="009A4C46" w:rsidRPr="009A4C46" w:rsidRDefault="009A4C46">
            <w:pPr>
              <w:spacing w:after="0" w:line="240" w:lineRule="auto"/>
              <w:jc w:val="center"/>
              <w:rPr>
                <w:rFonts w:eastAsia="Times New Roman"/>
                <w:lang w:eastAsia="ru-RU"/>
              </w:rPr>
            </w:pPr>
            <w:r w:rsidRPr="009A4C46">
              <w:rPr>
                <w:rFonts w:eastAsia="Times New Roman"/>
                <w:lang w:eastAsia="ru-RU"/>
              </w:rPr>
              <w:t>16 294,80</w:t>
            </w:r>
          </w:p>
        </w:tc>
        <w:tc>
          <w:tcPr>
            <w:tcW w:w="804" w:type="pct"/>
            <w:tcBorders>
              <w:top w:val="nil"/>
              <w:left w:val="single" w:sz="4" w:space="0" w:color="auto"/>
              <w:bottom w:val="single" w:sz="4" w:space="0" w:color="auto"/>
              <w:right w:val="single" w:sz="4" w:space="0" w:color="auto"/>
            </w:tcBorders>
            <w:shd w:val="clear" w:color="auto" w:fill="auto"/>
            <w:noWrap/>
            <w:vAlign w:val="center"/>
          </w:tcPr>
          <w:p w14:paraId="33D0A03C" w14:textId="77777777" w:rsidR="009A4C46" w:rsidRPr="009A4C46" w:rsidRDefault="009A4C46">
            <w:pPr>
              <w:spacing w:after="0" w:line="240" w:lineRule="auto"/>
              <w:jc w:val="center"/>
              <w:rPr>
                <w:rFonts w:eastAsia="Times New Roman"/>
                <w:lang w:eastAsia="ru-RU"/>
              </w:rPr>
            </w:pPr>
            <w:r w:rsidRPr="009A4C46">
              <w:rPr>
                <w:rFonts w:eastAsia="Times New Roman"/>
                <w:lang w:eastAsia="ru-RU"/>
              </w:rPr>
              <w:t>15 817,86</w:t>
            </w:r>
          </w:p>
        </w:tc>
        <w:tc>
          <w:tcPr>
            <w:tcW w:w="759" w:type="pct"/>
            <w:tcBorders>
              <w:top w:val="single" w:sz="4" w:space="0" w:color="auto"/>
              <w:left w:val="single" w:sz="4" w:space="0" w:color="auto"/>
              <w:bottom w:val="single" w:sz="4" w:space="0" w:color="auto"/>
              <w:right w:val="single" w:sz="4" w:space="0" w:color="auto"/>
            </w:tcBorders>
            <w:shd w:val="clear" w:color="auto" w:fill="auto"/>
            <w:vAlign w:val="center"/>
          </w:tcPr>
          <w:p w14:paraId="659FDB50" w14:textId="77777777" w:rsidR="009A4C46" w:rsidRPr="009A4C46" w:rsidRDefault="009A4C46">
            <w:pPr>
              <w:spacing w:after="0" w:line="240" w:lineRule="auto"/>
              <w:jc w:val="center"/>
              <w:rPr>
                <w:rFonts w:eastAsia="Times New Roman"/>
                <w:lang w:eastAsia="ru-RU"/>
              </w:rPr>
            </w:pPr>
            <w:r w:rsidRPr="009A4C46">
              <w:rPr>
                <w:rFonts w:eastAsia="Times New Roman"/>
                <w:bCs/>
                <w:lang w:eastAsia="ru-RU"/>
              </w:rPr>
              <w:t>-476,94</w:t>
            </w:r>
          </w:p>
        </w:tc>
      </w:tr>
      <w:tr w:rsidR="009A4C46" w:rsidRPr="009A4C46" w14:paraId="2C16BA5C" w14:textId="77777777" w:rsidTr="00F94FED">
        <w:trPr>
          <w:trHeight w:val="300"/>
        </w:trPr>
        <w:tc>
          <w:tcPr>
            <w:tcW w:w="1284" w:type="pct"/>
            <w:tcBorders>
              <w:top w:val="nil"/>
              <w:left w:val="single" w:sz="8" w:space="0" w:color="auto"/>
              <w:bottom w:val="single" w:sz="4" w:space="0" w:color="auto"/>
              <w:right w:val="single" w:sz="4" w:space="0" w:color="auto"/>
            </w:tcBorders>
            <w:shd w:val="clear" w:color="auto" w:fill="auto"/>
            <w:vAlign w:val="center"/>
          </w:tcPr>
          <w:p w14:paraId="57E5F82F" w14:textId="77777777" w:rsidR="009A4C46" w:rsidRPr="009A4C46" w:rsidRDefault="009A4C46" w:rsidP="00E169B0">
            <w:pPr>
              <w:spacing w:after="0" w:line="240" w:lineRule="auto"/>
              <w:rPr>
                <w:rFonts w:eastAsia="Times New Roman"/>
                <w:lang w:eastAsia="ru-RU"/>
              </w:rPr>
            </w:pPr>
            <w:r w:rsidRPr="009A4C46">
              <w:rPr>
                <w:rFonts w:eastAsia="Times New Roman"/>
                <w:lang w:eastAsia="ru-RU"/>
              </w:rPr>
              <w:t>в том числе аренда объектов электросетевого комплекса</w:t>
            </w:r>
          </w:p>
        </w:tc>
        <w:tc>
          <w:tcPr>
            <w:tcW w:w="597" w:type="pct"/>
            <w:tcBorders>
              <w:top w:val="nil"/>
              <w:left w:val="nil"/>
              <w:bottom w:val="single" w:sz="4" w:space="0" w:color="auto"/>
              <w:right w:val="nil"/>
            </w:tcBorders>
            <w:shd w:val="clear" w:color="auto" w:fill="auto"/>
            <w:noWrap/>
            <w:vAlign w:val="center"/>
          </w:tcPr>
          <w:p w14:paraId="2C6EFD24" w14:textId="77777777" w:rsidR="009A4C46" w:rsidRPr="009A4C46" w:rsidRDefault="009A4C46" w:rsidP="003E2802">
            <w:pPr>
              <w:spacing w:after="0" w:line="240" w:lineRule="auto"/>
              <w:jc w:val="center"/>
              <w:rPr>
                <w:rFonts w:eastAsia="Times New Roman"/>
                <w:lang w:eastAsia="ru-RU"/>
              </w:rPr>
            </w:pPr>
            <w:r w:rsidRPr="009A4C46">
              <w:rPr>
                <w:rFonts w:eastAsia="Times New Roman"/>
                <w:lang w:eastAsia="ru-RU"/>
              </w:rPr>
              <w:t>тыс. руб.</w:t>
            </w:r>
          </w:p>
        </w:tc>
        <w:tc>
          <w:tcPr>
            <w:tcW w:w="778" w:type="pct"/>
            <w:tcBorders>
              <w:top w:val="nil"/>
              <w:left w:val="single" w:sz="4" w:space="0" w:color="auto"/>
              <w:bottom w:val="single" w:sz="4" w:space="0" w:color="auto"/>
              <w:right w:val="single" w:sz="4" w:space="0" w:color="auto"/>
            </w:tcBorders>
            <w:shd w:val="clear" w:color="auto" w:fill="auto"/>
            <w:noWrap/>
            <w:vAlign w:val="center"/>
          </w:tcPr>
          <w:p w14:paraId="38F20E4B" w14:textId="77777777" w:rsidR="009A4C46" w:rsidRPr="009A4C46" w:rsidRDefault="009A4C46">
            <w:pPr>
              <w:spacing w:after="0" w:line="240" w:lineRule="auto"/>
              <w:jc w:val="center"/>
              <w:rPr>
                <w:rFonts w:eastAsia="Times New Roman"/>
                <w:lang w:eastAsia="ru-RU"/>
              </w:rPr>
            </w:pPr>
            <w:r w:rsidRPr="009A4C46">
              <w:rPr>
                <w:rFonts w:eastAsia="Times New Roman"/>
                <w:lang w:eastAsia="ru-RU"/>
              </w:rPr>
              <w:t>-</w:t>
            </w:r>
          </w:p>
        </w:tc>
        <w:tc>
          <w:tcPr>
            <w:tcW w:w="779" w:type="pct"/>
            <w:tcBorders>
              <w:top w:val="nil"/>
              <w:left w:val="nil"/>
              <w:bottom w:val="single" w:sz="4" w:space="0" w:color="auto"/>
              <w:right w:val="single" w:sz="4" w:space="0" w:color="auto"/>
            </w:tcBorders>
            <w:shd w:val="clear" w:color="auto" w:fill="auto"/>
            <w:noWrap/>
            <w:vAlign w:val="center"/>
          </w:tcPr>
          <w:p w14:paraId="391B2046" w14:textId="77777777" w:rsidR="009A4C46" w:rsidRPr="009A4C46" w:rsidRDefault="009A4C46">
            <w:pPr>
              <w:spacing w:after="0" w:line="240" w:lineRule="auto"/>
              <w:jc w:val="center"/>
              <w:rPr>
                <w:rFonts w:eastAsia="Times New Roman"/>
                <w:lang w:eastAsia="ru-RU"/>
              </w:rPr>
            </w:pPr>
            <w:r w:rsidRPr="009A4C46">
              <w:rPr>
                <w:rFonts w:eastAsia="Times New Roman"/>
                <w:lang w:eastAsia="ru-RU"/>
              </w:rPr>
              <w:t>-</w:t>
            </w:r>
          </w:p>
        </w:tc>
        <w:tc>
          <w:tcPr>
            <w:tcW w:w="804" w:type="pct"/>
            <w:tcBorders>
              <w:top w:val="nil"/>
              <w:left w:val="nil"/>
              <w:bottom w:val="single" w:sz="4" w:space="0" w:color="auto"/>
              <w:right w:val="single" w:sz="4" w:space="0" w:color="auto"/>
            </w:tcBorders>
            <w:shd w:val="clear" w:color="auto" w:fill="auto"/>
            <w:noWrap/>
            <w:vAlign w:val="center"/>
          </w:tcPr>
          <w:p w14:paraId="60B1ECC7" w14:textId="77777777" w:rsidR="009A4C46" w:rsidRPr="009A4C46" w:rsidRDefault="009A4C46">
            <w:pPr>
              <w:spacing w:after="0" w:line="240" w:lineRule="auto"/>
              <w:jc w:val="center"/>
              <w:rPr>
                <w:rFonts w:eastAsia="Times New Roman"/>
                <w:lang w:eastAsia="ru-RU"/>
              </w:rPr>
            </w:pPr>
            <w:r w:rsidRPr="009A4C46">
              <w:rPr>
                <w:rFonts w:eastAsia="Times New Roman"/>
                <w:lang w:eastAsia="ru-RU"/>
              </w:rPr>
              <w:t>10 082,71</w:t>
            </w:r>
          </w:p>
        </w:tc>
        <w:tc>
          <w:tcPr>
            <w:tcW w:w="759" w:type="pct"/>
            <w:tcBorders>
              <w:top w:val="single" w:sz="4" w:space="0" w:color="auto"/>
              <w:left w:val="single" w:sz="4" w:space="0" w:color="auto"/>
              <w:bottom w:val="single" w:sz="4" w:space="0" w:color="auto"/>
              <w:right w:val="single" w:sz="4" w:space="0" w:color="auto"/>
            </w:tcBorders>
            <w:shd w:val="clear" w:color="auto" w:fill="auto"/>
            <w:vAlign w:val="center"/>
          </w:tcPr>
          <w:p w14:paraId="24D575D9" w14:textId="77777777" w:rsidR="009A4C46" w:rsidRPr="009A4C46" w:rsidRDefault="009A4C46">
            <w:pPr>
              <w:spacing w:after="0" w:line="240" w:lineRule="auto"/>
              <w:jc w:val="center"/>
              <w:rPr>
                <w:rFonts w:eastAsia="Times New Roman"/>
                <w:lang w:eastAsia="ru-RU"/>
              </w:rPr>
            </w:pPr>
            <w:r w:rsidRPr="009A4C46">
              <w:rPr>
                <w:rFonts w:eastAsia="Times New Roman"/>
                <w:bCs/>
                <w:lang w:eastAsia="ru-RU"/>
              </w:rPr>
              <w:t>10 082,71</w:t>
            </w:r>
          </w:p>
        </w:tc>
      </w:tr>
      <w:tr w:rsidR="00F94FED" w:rsidRPr="009A4C46" w14:paraId="6AF90E2D" w14:textId="77777777" w:rsidTr="00F94FED">
        <w:trPr>
          <w:trHeight w:val="300"/>
        </w:trPr>
        <w:tc>
          <w:tcPr>
            <w:tcW w:w="1284" w:type="pct"/>
            <w:tcBorders>
              <w:top w:val="nil"/>
              <w:left w:val="single" w:sz="8" w:space="0" w:color="auto"/>
              <w:bottom w:val="single" w:sz="4" w:space="0" w:color="auto"/>
              <w:right w:val="single" w:sz="4" w:space="0" w:color="auto"/>
            </w:tcBorders>
            <w:shd w:val="clear" w:color="auto" w:fill="auto"/>
            <w:vAlign w:val="center"/>
          </w:tcPr>
          <w:p w14:paraId="7EF81B8F" w14:textId="77777777" w:rsidR="009A4C46" w:rsidRPr="009A4C46" w:rsidRDefault="009A4C46" w:rsidP="00E169B0">
            <w:pPr>
              <w:spacing w:after="0" w:line="240" w:lineRule="auto"/>
              <w:rPr>
                <w:rFonts w:eastAsia="Times New Roman"/>
                <w:lang w:eastAsia="ru-RU"/>
              </w:rPr>
            </w:pPr>
            <w:r w:rsidRPr="009A4C46">
              <w:rPr>
                <w:rFonts w:eastAsia="Times New Roman"/>
                <w:lang w:eastAsia="ru-RU"/>
              </w:rPr>
              <w:t>Налоги (без учета налога на прибыль), всего, в том числе:</w:t>
            </w:r>
          </w:p>
        </w:tc>
        <w:tc>
          <w:tcPr>
            <w:tcW w:w="597" w:type="pct"/>
            <w:tcBorders>
              <w:top w:val="nil"/>
              <w:left w:val="nil"/>
              <w:bottom w:val="single" w:sz="4" w:space="0" w:color="auto"/>
              <w:right w:val="nil"/>
            </w:tcBorders>
            <w:shd w:val="clear" w:color="auto" w:fill="auto"/>
            <w:noWrap/>
            <w:vAlign w:val="center"/>
          </w:tcPr>
          <w:p w14:paraId="0F462960" w14:textId="77777777" w:rsidR="009A4C46" w:rsidRPr="009A4C46" w:rsidRDefault="009A4C46" w:rsidP="003E2802">
            <w:pPr>
              <w:spacing w:after="0" w:line="240" w:lineRule="auto"/>
              <w:jc w:val="center"/>
              <w:rPr>
                <w:rFonts w:eastAsia="Times New Roman"/>
                <w:lang w:eastAsia="ru-RU"/>
              </w:rPr>
            </w:pPr>
            <w:r w:rsidRPr="009A4C46">
              <w:rPr>
                <w:rFonts w:eastAsia="Times New Roman"/>
                <w:lang w:eastAsia="ru-RU"/>
              </w:rPr>
              <w:t>тыс. руб.</w:t>
            </w:r>
          </w:p>
        </w:tc>
        <w:tc>
          <w:tcPr>
            <w:tcW w:w="778" w:type="pct"/>
            <w:tcBorders>
              <w:top w:val="nil"/>
              <w:left w:val="single" w:sz="4" w:space="0" w:color="auto"/>
              <w:bottom w:val="single" w:sz="4" w:space="0" w:color="auto"/>
              <w:right w:val="single" w:sz="4" w:space="0" w:color="auto"/>
            </w:tcBorders>
            <w:shd w:val="clear" w:color="auto" w:fill="auto"/>
            <w:noWrap/>
            <w:vAlign w:val="center"/>
          </w:tcPr>
          <w:p w14:paraId="11ADF50F" w14:textId="77777777" w:rsidR="009A4C46" w:rsidRPr="009A4C46" w:rsidRDefault="009A4C46">
            <w:pPr>
              <w:spacing w:after="0" w:line="240" w:lineRule="auto"/>
              <w:jc w:val="center"/>
              <w:rPr>
                <w:rFonts w:eastAsia="Times New Roman"/>
                <w:lang w:eastAsia="ru-RU"/>
              </w:rPr>
            </w:pPr>
            <w:r w:rsidRPr="009A4C46">
              <w:rPr>
                <w:rFonts w:eastAsia="Times New Roman"/>
                <w:lang w:eastAsia="ru-RU"/>
              </w:rPr>
              <w:t>9 303,00</w:t>
            </w:r>
          </w:p>
        </w:tc>
        <w:tc>
          <w:tcPr>
            <w:tcW w:w="779" w:type="pct"/>
            <w:tcBorders>
              <w:top w:val="nil"/>
              <w:left w:val="nil"/>
              <w:bottom w:val="single" w:sz="4" w:space="0" w:color="auto"/>
              <w:right w:val="nil"/>
            </w:tcBorders>
            <w:shd w:val="clear" w:color="auto" w:fill="auto"/>
            <w:noWrap/>
            <w:vAlign w:val="center"/>
          </w:tcPr>
          <w:p w14:paraId="599F083B" w14:textId="77777777" w:rsidR="009A4C46" w:rsidRPr="009A4C46" w:rsidRDefault="009A4C46">
            <w:pPr>
              <w:spacing w:after="0" w:line="240" w:lineRule="auto"/>
              <w:jc w:val="center"/>
              <w:rPr>
                <w:rFonts w:eastAsia="Times New Roman"/>
                <w:lang w:eastAsia="ru-RU"/>
              </w:rPr>
            </w:pPr>
            <w:r w:rsidRPr="009A4C46">
              <w:rPr>
                <w:rFonts w:eastAsia="Times New Roman"/>
                <w:lang w:eastAsia="ru-RU"/>
              </w:rPr>
              <w:t>19 812,00</w:t>
            </w:r>
          </w:p>
        </w:tc>
        <w:tc>
          <w:tcPr>
            <w:tcW w:w="804" w:type="pct"/>
            <w:tcBorders>
              <w:top w:val="nil"/>
              <w:left w:val="single" w:sz="4" w:space="0" w:color="auto"/>
              <w:bottom w:val="single" w:sz="4" w:space="0" w:color="auto"/>
              <w:right w:val="single" w:sz="4" w:space="0" w:color="auto"/>
            </w:tcBorders>
            <w:shd w:val="clear" w:color="auto" w:fill="auto"/>
            <w:noWrap/>
            <w:vAlign w:val="center"/>
          </w:tcPr>
          <w:p w14:paraId="450B99B9" w14:textId="77777777" w:rsidR="009A4C46" w:rsidRPr="009A4C46" w:rsidRDefault="009A4C46">
            <w:pPr>
              <w:spacing w:after="0" w:line="240" w:lineRule="auto"/>
              <w:jc w:val="center"/>
              <w:rPr>
                <w:rFonts w:eastAsia="Times New Roman"/>
                <w:lang w:eastAsia="ru-RU"/>
              </w:rPr>
            </w:pPr>
            <w:r w:rsidRPr="009A4C46">
              <w:rPr>
                <w:rFonts w:eastAsia="Times New Roman"/>
                <w:lang w:eastAsia="ru-RU"/>
              </w:rPr>
              <w:t>25 177,04</w:t>
            </w:r>
          </w:p>
        </w:tc>
        <w:tc>
          <w:tcPr>
            <w:tcW w:w="759" w:type="pct"/>
            <w:tcBorders>
              <w:top w:val="single" w:sz="4" w:space="0" w:color="auto"/>
              <w:left w:val="single" w:sz="4" w:space="0" w:color="auto"/>
              <w:bottom w:val="single" w:sz="4" w:space="0" w:color="auto"/>
              <w:right w:val="single" w:sz="4" w:space="0" w:color="auto"/>
            </w:tcBorders>
            <w:shd w:val="clear" w:color="auto" w:fill="auto"/>
            <w:vAlign w:val="center"/>
          </w:tcPr>
          <w:p w14:paraId="69152353" w14:textId="77777777" w:rsidR="009A4C46" w:rsidRPr="009A4C46" w:rsidRDefault="009A4C46">
            <w:pPr>
              <w:spacing w:after="0" w:line="240" w:lineRule="auto"/>
              <w:jc w:val="center"/>
              <w:rPr>
                <w:rFonts w:eastAsia="Times New Roman"/>
                <w:lang w:eastAsia="ru-RU"/>
              </w:rPr>
            </w:pPr>
            <w:r w:rsidRPr="009A4C46">
              <w:rPr>
                <w:rFonts w:eastAsia="Times New Roman"/>
                <w:bCs/>
                <w:lang w:eastAsia="ru-RU"/>
              </w:rPr>
              <w:t>5 365,04</w:t>
            </w:r>
          </w:p>
        </w:tc>
      </w:tr>
      <w:tr w:rsidR="00F94FED" w:rsidRPr="009A4C46" w14:paraId="336F978B" w14:textId="77777777" w:rsidTr="00F94FED">
        <w:trPr>
          <w:trHeight w:val="429"/>
        </w:trPr>
        <w:tc>
          <w:tcPr>
            <w:tcW w:w="1284" w:type="pct"/>
            <w:tcBorders>
              <w:top w:val="nil"/>
              <w:left w:val="single" w:sz="8" w:space="0" w:color="auto"/>
              <w:bottom w:val="single" w:sz="4" w:space="0" w:color="auto"/>
              <w:right w:val="single" w:sz="4" w:space="0" w:color="auto"/>
            </w:tcBorders>
            <w:shd w:val="clear" w:color="auto" w:fill="auto"/>
            <w:vAlign w:val="center"/>
          </w:tcPr>
          <w:p w14:paraId="6FA1CB2E" w14:textId="77777777" w:rsidR="009A4C46" w:rsidRPr="009A4C46" w:rsidRDefault="009A4C46" w:rsidP="00E169B0">
            <w:pPr>
              <w:spacing w:after="0" w:line="240" w:lineRule="auto"/>
              <w:rPr>
                <w:rFonts w:eastAsia="Times New Roman"/>
                <w:lang w:eastAsia="ru-RU"/>
              </w:rPr>
            </w:pPr>
            <w:r w:rsidRPr="009A4C46">
              <w:rPr>
                <w:rFonts w:eastAsia="Times New Roman"/>
                <w:lang w:eastAsia="ru-RU"/>
              </w:rPr>
              <w:t>Плата за землю</w:t>
            </w:r>
          </w:p>
        </w:tc>
        <w:tc>
          <w:tcPr>
            <w:tcW w:w="597" w:type="pct"/>
            <w:tcBorders>
              <w:top w:val="nil"/>
              <w:left w:val="nil"/>
              <w:bottom w:val="single" w:sz="4" w:space="0" w:color="auto"/>
              <w:right w:val="nil"/>
            </w:tcBorders>
            <w:shd w:val="clear" w:color="auto" w:fill="auto"/>
            <w:noWrap/>
            <w:vAlign w:val="center"/>
          </w:tcPr>
          <w:p w14:paraId="2CFCA736" w14:textId="77777777" w:rsidR="009A4C46" w:rsidRPr="009A4C46" w:rsidRDefault="009A4C46" w:rsidP="003E2802">
            <w:pPr>
              <w:spacing w:after="0" w:line="240" w:lineRule="auto"/>
              <w:jc w:val="center"/>
              <w:rPr>
                <w:rFonts w:eastAsia="Times New Roman"/>
                <w:lang w:eastAsia="ru-RU"/>
              </w:rPr>
            </w:pPr>
            <w:r w:rsidRPr="009A4C46">
              <w:rPr>
                <w:rFonts w:eastAsia="Times New Roman"/>
                <w:lang w:eastAsia="ru-RU"/>
              </w:rPr>
              <w:t>тыс. руб.</w:t>
            </w:r>
          </w:p>
        </w:tc>
        <w:tc>
          <w:tcPr>
            <w:tcW w:w="778" w:type="pct"/>
            <w:tcBorders>
              <w:top w:val="nil"/>
              <w:left w:val="single" w:sz="4" w:space="0" w:color="auto"/>
              <w:bottom w:val="single" w:sz="4" w:space="0" w:color="auto"/>
              <w:right w:val="single" w:sz="4" w:space="0" w:color="auto"/>
            </w:tcBorders>
            <w:shd w:val="clear" w:color="auto" w:fill="auto"/>
            <w:noWrap/>
            <w:vAlign w:val="center"/>
          </w:tcPr>
          <w:p w14:paraId="73A79410" w14:textId="77777777" w:rsidR="009A4C46" w:rsidRPr="009A4C46" w:rsidRDefault="009A4C46">
            <w:pPr>
              <w:spacing w:after="0" w:line="240" w:lineRule="auto"/>
              <w:jc w:val="center"/>
              <w:rPr>
                <w:rFonts w:eastAsia="Times New Roman"/>
                <w:lang w:eastAsia="ru-RU"/>
              </w:rPr>
            </w:pPr>
            <w:r w:rsidRPr="009A4C46">
              <w:rPr>
                <w:rFonts w:eastAsia="Times New Roman"/>
                <w:lang w:eastAsia="ru-RU"/>
              </w:rPr>
              <w:t>634,00</w:t>
            </w:r>
          </w:p>
        </w:tc>
        <w:tc>
          <w:tcPr>
            <w:tcW w:w="779" w:type="pct"/>
            <w:tcBorders>
              <w:top w:val="nil"/>
              <w:left w:val="nil"/>
              <w:bottom w:val="single" w:sz="4" w:space="0" w:color="auto"/>
              <w:right w:val="nil"/>
            </w:tcBorders>
            <w:shd w:val="clear" w:color="auto" w:fill="auto"/>
            <w:noWrap/>
            <w:vAlign w:val="center"/>
          </w:tcPr>
          <w:p w14:paraId="7EE814A8" w14:textId="77777777" w:rsidR="009A4C46" w:rsidRPr="009A4C46" w:rsidRDefault="009A4C46">
            <w:pPr>
              <w:spacing w:after="0" w:line="240" w:lineRule="auto"/>
              <w:jc w:val="center"/>
              <w:rPr>
                <w:rFonts w:eastAsia="Times New Roman"/>
                <w:lang w:eastAsia="ru-RU"/>
              </w:rPr>
            </w:pPr>
            <w:r w:rsidRPr="009A4C46">
              <w:rPr>
                <w:rFonts w:eastAsia="Times New Roman"/>
                <w:lang w:eastAsia="ru-RU"/>
              </w:rPr>
              <w:t>331,00</w:t>
            </w:r>
          </w:p>
        </w:tc>
        <w:tc>
          <w:tcPr>
            <w:tcW w:w="804" w:type="pct"/>
            <w:tcBorders>
              <w:top w:val="nil"/>
              <w:left w:val="single" w:sz="4" w:space="0" w:color="auto"/>
              <w:bottom w:val="single" w:sz="4" w:space="0" w:color="auto"/>
              <w:right w:val="single" w:sz="4" w:space="0" w:color="auto"/>
            </w:tcBorders>
            <w:shd w:val="clear" w:color="auto" w:fill="auto"/>
            <w:noWrap/>
            <w:vAlign w:val="center"/>
          </w:tcPr>
          <w:p w14:paraId="286D7222" w14:textId="77777777" w:rsidR="009A4C46" w:rsidRPr="009A4C46" w:rsidRDefault="009A4C46">
            <w:pPr>
              <w:spacing w:after="0" w:line="240" w:lineRule="auto"/>
              <w:jc w:val="center"/>
              <w:rPr>
                <w:rFonts w:eastAsia="Times New Roman"/>
                <w:lang w:eastAsia="ru-RU"/>
              </w:rPr>
            </w:pPr>
            <w:r w:rsidRPr="009A4C46">
              <w:rPr>
                <w:rFonts w:eastAsia="Times New Roman"/>
                <w:lang w:eastAsia="ru-RU"/>
              </w:rPr>
              <w:t>331,39</w:t>
            </w:r>
          </w:p>
        </w:tc>
        <w:tc>
          <w:tcPr>
            <w:tcW w:w="759" w:type="pct"/>
            <w:tcBorders>
              <w:top w:val="single" w:sz="4" w:space="0" w:color="auto"/>
              <w:left w:val="single" w:sz="4" w:space="0" w:color="auto"/>
              <w:bottom w:val="single" w:sz="4" w:space="0" w:color="auto"/>
              <w:right w:val="single" w:sz="4" w:space="0" w:color="auto"/>
            </w:tcBorders>
            <w:shd w:val="clear" w:color="auto" w:fill="auto"/>
            <w:vAlign w:val="center"/>
          </w:tcPr>
          <w:p w14:paraId="09C05AFF" w14:textId="77777777" w:rsidR="009A4C46" w:rsidRPr="009A4C46" w:rsidRDefault="009A4C46">
            <w:pPr>
              <w:spacing w:after="0" w:line="240" w:lineRule="auto"/>
              <w:jc w:val="center"/>
              <w:rPr>
                <w:rFonts w:eastAsia="Times New Roman"/>
                <w:lang w:eastAsia="ru-RU"/>
              </w:rPr>
            </w:pPr>
            <w:r w:rsidRPr="009A4C46">
              <w:rPr>
                <w:rFonts w:eastAsia="Times New Roman"/>
                <w:bCs/>
                <w:lang w:eastAsia="ru-RU"/>
              </w:rPr>
              <w:t>0,39</w:t>
            </w:r>
          </w:p>
        </w:tc>
      </w:tr>
      <w:tr w:rsidR="00F94FED" w:rsidRPr="009A4C46" w14:paraId="5408BA79" w14:textId="77777777" w:rsidTr="00F94FED">
        <w:trPr>
          <w:trHeight w:val="645"/>
        </w:trPr>
        <w:tc>
          <w:tcPr>
            <w:tcW w:w="1284" w:type="pct"/>
            <w:tcBorders>
              <w:top w:val="nil"/>
              <w:left w:val="single" w:sz="8" w:space="0" w:color="auto"/>
              <w:bottom w:val="single" w:sz="4" w:space="0" w:color="auto"/>
              <w:right w:val="single" w:sz="4" w:space="0" w:color="auto"/>
            </w:tcBorders>
            <w:shd w:val="clear" w:color="auto" w:fill="auto"/>
            <w:vAlign w:val="center"/>
          </w:tcPr>
          <w:p w14:paraId="5B157E18" w14:textId="77777777" w:rsidR="009A4C46" w:rsidRPr="009A4C46" w:rsidDel="00F32A57" w:rsidRDefault="009A4C46" w:rsidP="00E169B0">
            <w:pPr>
              <w:spacing w:after="0" w:line="240" w:lineRule="auto"/>
              <w:rPr>
                <w:rFonts w:eastAsia="Times New Roman"/>
                <w:lang w:eastAsia="ru-RU"/>
              </w:rPr>
            </w:pPr>
            <w:r w:rsidRPr="009A4C46">
              <w:rPr>
                <w:rFonts w:eastAsia="Times New Roman"/>
                <w:lang w:eastAsia="ru-RU"/>
              </w:rPr>
              <w:t>Налог на имущество</w:t>
            </w:r>
          </w:p>
        </w:tc>
        <w:tc>
          <w:tcPr>
            <w:tcW w:w="597" w:type="pct"/>
            <w:tcBorders>
              <w:top w:val="nil"/>
              <w:left w:val="nil"/>
              <w:bottom w:val="single" w:sz="4" w:space="0" w:color="auto"/>
              <w:right w:val="nil"/>
            </w:tcBorders>
            <w:shd w:val="clear" w:color="auto" w:fill="auto"/>
            <w:noWrap/>
            <w:vAlign w:val="center"/>
          </w:tcPr>
          <w:p w14:paraId="62934D50" w14:textId="77777777" w:rsidR="009A4C46" w:rsidRPr="009A4C46" w:rsidDel="00F32A57" w:rsidRDefault="009A4C46" w:rsidP="003E2802">
            <w:pPr>
              <w:spacing w:after="0" w:line="240" w:lineRule="auto"/>
              <w:jc w:val="center"/>
              <w:rPr>
                <w:rFonts w:eastAsia="Times New Roman"/>
                <w:lang w:eastAsia="ru-RU"/>
              </w:rPr>
            </w:pPr>
            <w:r w:rsidRPr="009A4C46">
              <w:rPr>
                <w:rFonts w:eastAsia="Times New Roman"/>
                <w:lang w:eastAsia="ru-RU"/>
              </w:rPr>
              <w:t>тыс. руб.</w:t>
            </w:r>
          </w:p>
        </w:tc>
        <w:tc>
          <w:tcPr>
            <w:tcW w:w="778" w:type="pct"/>
            <w:tcBorders>
              <w:top w:val="nil"/>
              <w:left w:val="single" w:sz="4" w:space="0" w:color="auto"/>
              <w:bottom w:val="single" w:sz="4" w:space="0" w:color="auto"/>
              <w:right w:val="single" w:sz="4" w:space="0" w:color="auto"/>
            </w:tcBorders>
            <w:shd w:val="clear" w:color="000000" w:fill="FFFFFF"/>
            <w:noWrap/>
            <w:vAlign w:val="center"/>
          </w:tcPr>
          <w:p w14:paraId="4809D3CC" w14:textId="77777777" w:rsidR="009A4C46" w:rsidRPr="009A4C46" w:rsidDel="00F32A57" w:rsidRDefault="009A4C46">
            <w:pPr>
              <w:spacing w:after="0" w:line="240" w:lineRule="auto"/>
              <w:jc w:val="center"/>
              <w:rPr>
                <w:rFonts w:eastAsia="Times New Roman"/>
                <w:lang w:eastAsia="ru-RU"/>
              </w:rPr>
            </w:pPr>
            <w:r w:rsidRPr="009A4C46">
              <w:rPr>
                <w:rFonts w:eastAsia="Times New Roman"/>
                <w:lang w:eastAsia="ru-RU"/>
              </w:rPr>
              <w:t>7 619,00</w:t>
            </w:r>
          </w:p>
        </w:tc>
        <w:tc>
          <w:tcPr>
            <w:tcW w:w="779" w:type="pct"/>
            <w:tcBorders>
              <w:top w:val="nil"/>
              <w:left w:val="nil"/>
              <w:bottom w:val="single" w:sz="4" w:space="0" w:color="auto"/>
              <w:right w:val="nil"/>
            </w:tcBorders>
            <w:shd w:val="clear" w:color="auto" w:fill="auto"/>
            <w:noWrap/>
            <w:vAlign w:val="center"/>
          </w:tcPr>
          <w:p w14:paraId="3C0F1BDE" w14:textId="77777777" w:rsidR="009A4C46" w:rsidRPr="009A4C46" w:rsidDel="00F32A57" w:rsidRDefault="009A4C46">
            <w:pPr>
              <w:spacing w:after="0" w:line="240" w:lineRule="auto"/>
              <w:jc w:val="center"/>
              <w:rPr>
                <w:rFonts w:eastAsia="Times New Roman"/>
                <w:lang w:eastAsia="ru-RU"/>
              </w:rPr>
            </w:pPr>
            <w:r w:rsidRPr="009A4C46">
              <w:rPr>
                <w:rFonts w:eastAsia="Times New Roman"/>
                <w:lang w:eastAsia="ru-RU"/>
              </w:rPr>
              <w:t>18 744,00</w:t>
            </w:r>
          </w:p>
        </w:tc>
        <w:tc>
          <w:tcPr>
            <w:tcW w:w="804" w:type="pct"/>
            <w:tcBorders>
              <w:top w:val="nil"/>
              <w:left w:val="single" w:sz="4" w:space="0" w:color="auto"/>
              <w:bottom w:val="single" w:sz="4" w:space="0" w:color="auto"/>
              <w:right w:val="single" w:sz="4" w:space="0" w:color="auto"/>
            </w:tcBorders>
            <w:shd w:val="clear" w:color="auto" w:fill="auto"/>
            <w:noWrap/>
            <w:vAlign w:val="center"/>
          </w:tcPr>
          <w:p w14:paraId="2AACD690" w14:textId="77777777" w:rsidR="009A4C46" w:rsidRPr="009A4C46" w:rsidDel="00F32A57" w:rsidRDefault="009A4C46">
            <w:pPr>
              <w:spacing w:after="0" w:line="240" w:lineRule="auto"/>
              <w:jc w:val="center"/>
              <w:rPr>
                <w:rFonts w:eastAsia="Times New Roman"/>
                <w:lang w:eastAsia="ru-RU"/>
              </w:rPr>
            </w:pPr>
            <w:r w:rsidRPr="009A4C46">
              <w:rPr>
                <w:rFonts w:eastAsia="Times New Roman"/>
                <w:lang w:eastAsia="ru-RU"/>
              </w:rPr>
              <w:t>23 871,49</w:t>
            </w:r>
          </w:p>
        </w:tc>
        <w:tc>
          <w:tcPr>
            <w:tcW w:w="759" w:type="pct"/>
            <w:tcBorders>
              <w:top w:val="single" w:sz="4" w:space="0" w:color="auto"/>
              <w:left w:val="single" w:sz="4" w:space="0" w:color="auto"/>
              <w:bottom w:val="single" w:sz="4" w:space="0" w:color="auto"/>
              <w:right w:val="single" w:sz="4" w:space="0" w:color="auto"/>
            </w:tcBorders>
            <w:shd w:val="clear" w:color="auto" w:fill="auto"/>
            <w:vAlign w:val="center"/>
          </w:tcPr>
          <w:p w14:paraId="43B00DA8" w14:textId="77777777" w:rsidR="009A4C46" w:rsidRPr="009A4C46" w:rsidDel="00F32A57" w:rsidRDefault="009A4C46">
            <w:pPr>
              <w:spacing w:after="0" w:line="240" w:lineRule="auto"/>
              <w:jc w:val="center"/>
              <w:rPr>
                <w:rFonts w:eastAsia="Times New Roman"/>
                <w:bCs/>
                <w:lang w:eastAsia="ru-RU"/>
              </w:rPr>
            </w:pPr>
            <w:r w:rsidRPr="009A4C46">
              <w:rPr>
                <w:rFonts w:eastAsia="Times New Roman"/>
                <w:bCs/>
                <w:lang w:eastAsia="ru-RU"/>
              </w:rPr>
              <w:t>5 127,49</w:t>
            </w:r>
          </w:p>
        </w:tc>
      </w:tr>
      <w:tr w:rsidR="009A4C46" w:rsidRPr="009A4C46" w14:paraId="0295F09C" w14:textId="77777777" w:rsidTr="00F94FED">
        <w:trPr>
          <w:trHeight w:val="300"/>
        </w:trPr>
        <w:tc>
          <w:tcPr>
            <w:tcW w:w="1284" w:type="pct"/>
            <w:tcBorders>
              <w:top w:val="single" w:sz="4" w:space="0" w:color="auto"/>
              <w:left w:val="single" w:sz="4" w:space="0" w:color="auto"/>
              <w:bottom w:val="single" w:sz="4" w:space="0" w:color="auto"/>
              <w:right w:val="single" w:sz="4" w:space="0" w:color="auto"/>
            </w:tcBorders>
            <w:shd w:val="clear" w:color="auto" w:fill="auto"/>
            <w:vAlign w:val="center"/>
          </w:tcPr>
          <w:p w14:paraId="6DE6A8FE" w14:textId="77777777" w:rsidR="009A4C46" w:rsidRPr="009A4C46" w:rsidRDefault="009A4C46" w:rsidP="00E169B0">
            <w:pPr>
              <w:spacing w:after="0" w:line="240" w:lineRule="auto"/>
              <w:rPr>
                <w:rFonts w:eastAsia="Times New Roman"/>
                <w:lang w:eastAsia="ru-RU"/>
              </w:rPr>
            </w:pPr>
            <w:r w:rsidRPr="009A4C46">
              <w:rPr>
                <w:rFonts w:eastAsia="Times New Roman"/>
                <w:lang w:eastAsia="ru-RU"/>
              </w:rPr>
              <w:t>Прочие налоги и сборы</w:t>
            </w:r>
          </w:p>
        </w:tc>
        <w:tc>
          <w:tcPr>
            <w:tcW w:w="597" w:type="pct"/>
            <w:tcBorders>
              <w:top w:val="single" w:sz="4" w:space="0" w:color="auto"/>
              <w:left w:val="nil"/>
              <w:bottom w:val="single" w:sz="4" w:space="0" w:color="auto"/>
              <w:right w:val="nil"/>
            </w:tcBorders>
            <w:shd w:val="clear" w:color="auto" w:fill="auto"/>
            <w:noWrap/>
            <w:vAlign w:val="center"/>
          </w:tcPr>
          <w:p w14:paraId="44EE0DD6" w14:textId="77777777" w:rsidR="009A4C46" w:rsidRPr="009A4C46" w:rsidRDefault="009A4C46" w:rsidP="003E2802">
            <w:pPr>
              <w:spacing w:after="0" w:line="240" w:lineRule="auto"/>
              <w:jc w:val="center"/>
              <w:rPr>
                <w:rFonts w:eastAsia="Times New Roman"/>
                <w:lang w:eastAsia="ru-RU"/>
              </w:rPr>
            </w:pPr>
            <w:r w:rsidRPr="009A4C46">
              <w:rPr>
                <w:rFonts w:eastAsia="Times New Roman"/>
                <w:lang w:eastAsia="ru-RU"/>
              </w:rPr>
              <w:t>тыс. руб.</w:t>
            </w:r>
          </w:p>
        </w:tc>
        <w:tc>
          <w:tcPr>
            <w:tcW w:w="77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B95A46E" w14:textId="77777777" w:rsidR="009A4C46" w:rsidRPr="009A4C46" w:rsidRDefault="009A4C46">
            <w:pPr>
              <w:spacing w:after="0" w:line="240" w:lineRule="auto"/>
              <w:jc w:val="center"/>
              <w:rPr>
                <w:rFonts w:eastAsia="Times New Roman"/>
                <w:lang w:eastAsia="ru-RU"/>
              </w:rPr>
            </w:pPr>
            <w:r w:rsidRPr="009A4C46">
              <w:rPr>
                <w:rFonts w:eastAsia="Times New Roman"/>
                <w:lang w:eastAsia="ru-RU"/>
              </w:rPr>
              <w:t>1 050,00</w:t>
            </w:r>
          </w:p>
        </w:tc>
        <w:tc>
          <w:tcPr>
            <w:tcW w:w="779" w:type="pct"/>
            <w:tcBorders>
              <w:top w:val="single" w:sz="4" w:space="0" w:color="auto"/>
              <w:left w:val="nil"/>
              <w:bottom w:val="single" w:sz="4" w:space="0" w:color="auto"/>
              <w:right w:val="nil"/>
            </w:tcBorders>
            <w:shd w:val="clear" w:color="auto" w:fill="auto"/>
            <w:noWrap/>
            <w:vAlign w:val="center"/>
          </w:tcPr>
          <w:p w14:paraId="36D1FA0F" w14:textId="77777777" w:rsidR="009A4C46" w:rsidRPr="009A4C46" w:rsidRDefault="009A4C46">
            <w:pPr>
              <w:spacing w:after="0" w:line="240" w:lineRule="auto"/>
              <w:jc w:val="center"/>
              <w:rPr>
                <w:rFonts w:eastAsia="Times New Roman"/>
                <w:lang w:eastAsia="ru-RU"/>
              </w:rPr>
            </w:pPr>
            <w:r w:rsidRPr="009A4C46">
              <w:rPr>
                <w:rFonts w:eastAsia="Times New Roman"/>
                <w:lang w:eastAsia="ru-RU"/>
              </w:rPr>
              <w:t>737,00</w:t>
            </w:r>
          </w:p>
        </w:tc>
        <w:tc>
          <w:tcPr>
            <w:tcW w:w="804"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072F315" w14:textId="77777777" w:rsidR="009A4C46" w:rsidRPr="009A4C46" w:rsidRDefault="009A4C46">
            <w:pPr>
              <w:spacing w:after="0" w:line="240" w:lineRule="auto"/>
              <w:jc w:val="center"/>
              <w:rPr>
                <w:rFonts w:eastAsia="Times New Roman"/>
                <w:lang w:eastAsia="ru-RU"/>
              </w:rPr>
            </w:pPr>
            <w:r w:rsidRPr="009A4C46">
              <w:rPr>
                <w:rFonts w:eastAsia="Times New Roman"/>
                <w:lang w:eastAsia="ru-RU"/>
              </w:rPr>
              <w:t>974,16</w:t>
            </w:r>
          </w:p>
        </w:tc>
        <w:tc>
          <w:tcPr>
            <w:tcW w:w="759" w:type="pct"/>
            <w:tcBorders>
              <w:top w:val="single" w:sz="4" w:space="0" w:color="auto"/>
              <w:left w:val="single" w:sz="4" w:space="0" w:color="auto"/>
              <w:bottom w:val="single" w:sz="4" w:space="0" w:color="auto"/>
              <w:right w:val="single" w:sz="4" w:space="0" w:color="auto"/>
            </w:tcBorders>
            <w:shd w:val="clear" w:color="auto" w:fill="auto"/>
            <w:vAlign w:val="center"/>
          </w:tcPr>
          <w:p w14:paraId="44E43A1B" w14:textId="77777777" w:rsidR="009A4C46" w:rsidRPr="009A4C46" w:rsidRDefault="009A4C46">
            <w:pPr>
              <w:spacing w:after="0" w:line="240" w:lineRule="auto"/>
              <w:jc w:val="center"/>
              <w:rPr>
                <w:rFonts w:eastAsia="Times New Roman"/>
                <w:lang w:eastAsia="ru-RU"/>
              </w:rPr>
            </w:pPr>
            <w:r w:rsidRPr="009A4C46">
              <w:rPr>
                <w:rFonts w:eastAsia="Times New Roman"/>
                <w:bCs/>
                <w:lang w:eastAsia="ru-RU"/>
              </w:rPr>
              <w:t>237,16</w:t>
            </w:r>
          </w:p>
        </w:tc>
      </w:tr>
      <w:tr w:rsidR="0072390C" w:rsidRPr="0072390C" w14:paraId="23CD5F68" w14:textId="77777777" w:rsidTr="00F94FED">
        <w:trPr>
          <w:trHeight w:val="300"/>
        </w:trPr>
        <w:tc>
          <w:tcPr>
            <w:tcW w:w="1284" w:type="pct"/>
            <w:tcBorders>
              <w:top w:val="single" w:sz="4" w:space="0" w:color="auto"/>
              <w:left w:val="single" w:sz="4" w:space="0" w:color="auto"/>
              <w:bottom w:val="single" w:sz="4" w:space="0" w:color="auto"/>
              <w:right w:val="single" w:sz="4" w:space="0" w:color="auto"/>
            </w:tcBorders>
            <w:shd w:val="clear" w:color="auto" w:fill="auto"/>
            <w:vAlign w:val="center"/>
          </w:tcPr>
          <w:p w14:paraId="4D3C3922" w14:textId="77777777" w:rsidR="009A4C46" w:rsidRPr="0072390C" w:rsidRDefault="009A4C46" w:rsidP="00E169B0">
            <w:pPr>
              <w:spacing w:after="0" w:line="240" w:lineRule="auto"/>
              <w:rPr>
                <w:rFonts w:eastAsia="Times New Roman"/>
                <w:color w:val="auto"/>
                <w:lang w:eastAsia="ru-RU"/>
              </w:rPr>
            </w:pPr>
            <w:r w:rsidRPr="0072390C">
              <w:rPr>
                <w:rFonts w:eastAsia="Times New Roman"/>
                <w:color w:val="auto"/>
                <w:lang w:eastAsia="ru-RU"/>
              </w:rPr>
              <w:t>Отчисления на социальные нужды (ЕСН)</w:t>
            </w:r>
          </w:p>
        </w:tc>
        <w:tc>
          <w:tcPr>
            <w:tcW w:w="597" w:type="pct"/>
            <w:tcBorders>
              <w:top w:val="single" w:sz="4" w:space="0" w:color="auto"/>
              <w:left w:val="nil"/>
              <w:bottom w:val="single" w:sz="4" w:space="0" w:color="auto"/>
              <w:right w:val="nil"/>
            </w:tcBorders>
            <w:shd w:val="clear" w:color="auto" w:fill="auto"/>
            <w:noWrap/>
            <w:vAlign w:val="center"/>
          </w:tcPr>
          <w:p w14:paraId="1A68AA7E" w14:textId="77777777" w:rsidR="009A4C46" w:rsidRPr="0072390C" w:rsidRDefault="009A4C46" w:rsidP="003E2802">
            <w:pPr>
              <w:spacing w:after="0" w:line="240" w:lineRule="auto"/>
              <w:jc w:val="center"/>
              <w:rPr>
                <w:rFonts w:eastAsia="Times New Roman"/>
                <w:color w:val="auto"/>
                <w:lang w:eastAsia="ru-RU"/>
              </w:rPr>
            </w:pPr>
            <w:r w:rsidRPr="0072390C">
              <w:rPr>
                <w:rFonts w:eastAsia="Times New Roman"/>
                <w:color w:val="auto"/>
                <w:lang w:eastAsia="ru-RU"/>
              </w:rPr>
              <w:t>тыс. руб.</w:t>
            </w:r>
          </w:p>
        </w:tc>
        <w:tc>
          <w:tcPr>
            <w:tcW w:w="77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C6165C9" w14:textId="77777777" w:rsidR="009A4C46" w:rsidRPr="0072390C" w:rsidRDefault="009A4C46">
            <w:pPr>
              <w:spacing w:after="0" w:line="240" w:lineRule="auto"/>
              <w:jc w:val="center"/>
              <w:rPr>
                <w:rFonts w:eastAsia="Times New Roman"/>
                <w:color w:val="auto"/>
                <w:lang w:eastAsia="ru-RU"/>
              </w:rPr>
            </w:pPr>
            <w:r w:rsidRPr="0072390C">
              <w:rPr>
                <w:rFonts w:eastAsia="Times New Roman"/>
                <w:color w:val="auto"/>
                <w:lang w:eastAsia="ru-RU"/>
              </w:rPr>
              <w:t>106 014,00</w:t>
            </w:r>
          </w:p>
        </w:tc>
        <w:tc>
          <w:tcPr>
            <w:tcW w:w="779" w:type="pct"/>
            <w:tcBorders>
              <w:top w:val="single" w:sz="4" w:space="0" w:color="auto"/>
              <w:left w:val="nil"/>
              <w:bottom w:val="single" w:sz="4" w:space="0" w:color="auto"/>
              <w:right w:val="nil"/>
            </w:tcBorders>
            <w:shd w:val="clear" w:color="auto" w:fill="auto"/>
            <w:noWrap/>
            <w:vAlign w:val="center"/>
          </w:tcPr>
          <w:p w14:paraId="7F8AAAD4" w14:textId="79F2E59D" w:rsidR="008C55ED" w:rsidRPr="0072390C" w:rsidRDefault="008C55ED">
            <w:pPr>
              <w:spacing w:after="0" w:line="240" w:lineRule="auto"/>
              <w:jc w:val="center"/>
              <w:rPr>
                <w:rFonts w:eastAsia="Times New Roman"/>
                <w:color w:val="auto"/>
                <w:lang w:eastAsia="ru-RU"/>
              </w:rPr>
            </w:pPr>
            <w:r w:rsidRPr="0072390C">
              <w:rPr>
                <w:rFonts w:eastAsia="Times New Roman"/>
                <w:color w:val="auto"/>
                <w:lang w:eastAsia="ru-RU"/>
              </w:rPr>
              <w:t>108 773,44</w:t>
            </w:r>
          </w:p>
        </w:tc>
        <w:tc>
          <w:tcPr>
            <w:tcW w:w="804"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5C88CEB" w14:textId="77777777" w:rsidR="009A4C46" w:rsidRPr="0072390C" w:rsidRDefault="009A4C46">
            <w:pPr>
              <w:spacing w:after="0" w:line="240" w:lineRule="auto"/>
              <w:jc w:val="center"/>
              <w:rPr>
                <w:rFonts w:eastAsia="Times New Roman"/>
                <w:color w:val="auto"/>
                <w:lang w:eastAsia="ru-RU"/>
              </w:rPr>
            </w:pPr>
            <w:r w:rsidRPr="0072390C">
              <w:rPr>
                <w:rFonts w:eastAsia="Times New Roman"/>
                <w:color w:val="auto"/>
                <w:lang w:eastAsia="ru-RU"/>
              </w:rPr>
              <w:t>115 933,29</w:t>
            </w:r>
          </w:p>
        </w:tc>
        <w:tc>
          <w:tcPr>
            <w:tcW w:w="759" w:type="pct"/>
            <w:tcBorders>
              <w:top w:val="single" w:sz="4" w:space="0" w:color="auto"/>
              <w:left w:val="single" w:sz="4" w:space="0" w:color="auto"/>
              <w:bottom w:val="single" w:sz="4" w:space="0" w:color="auto"/>
              <w:right w:val="single" w:sz="4" w:space="0" w:color="auto"/>
            </w:tcBorders>
            <w:shd w:val="clear" w:color="auto" w:fill="auto"/>
            <w:vAlign w:val="center"/>
          </w:tcPr>
          <w:p w14:paraId="79D2B742" w14:textId="6BB414E1" w:rsidR="009A4C46" w:rsidRPr="0072390C" w:rsidRDefault="00EB17AE">
            <w:pPr>
              <w:spacing w:after="0" w:line="240" w:lineRule="auto"/>
              <w:jc w:val="center"/>
              <w:rPr>
                <w:rFonts w:eastAsia="Times New Roman"/>
                <w:color w:val="auto"/>
                <w:lang w:eastAsia="ru-RU"/>
              </w:rPr>
            </w:pPr>
            <w:r w:rsidRPr="0072390C">
              <w:rPr>
                <w:rFonts w:eastAsia="Times New Roman"/>
                <w:bCs/>
                <w:color w:val="auto"/>
                <w:lang w:eastAsia="ru-RU"/>
              </w:rPr>
              <w:t>7 159,85</w:t>
            </w:r>
          </w:p>
        </w:tc>
      </w:tr>
      <w:tr w:rsidR="0072390C" w:rsidRPr="0072390C" w14:paraId="7680B541" w14:textId="77777777" w:rsidTr="00F94FED">
        <w:trPr>
          <w:trHeight w:val="300"/>
        </w:trPr>
        <w:tc>
          <w:tcPr>
            <w:tcW w:w="1284" w:type="pct"/>
            <w:tcBorders>
              <w:top w:val="nil"/>
              <w:left w:val="single" w:sz="8" w:space="0" w:color="auto"/>
              <w:bottom w:val="single" w:sz="4" w:space="0" w:color="auto"/>
              <w:right w:val="single" w:sz="4" w:space="0" w:color="auto"/>
            </w:tcBorders>
            <w:shd w:val="clear" w:color="auto" w:fill="auto"/>
            <w:vAlign w:val="center"/>
          </w:tcPr>
          <w:p w14:paraId="18D1D926" w14:textId="13BA8410" w:rsidR="009A4C46" w:rsidRPr="0072390C" w:rsidRDefault="009A4C46" w:rsidP="00E169B0">
            <w:pPr>
              <w:spacing w:after="0" w:line="240" w:lineRule="auto"/>
              <w:rPr>
                <w:rFonts w:eastAsia="Times New Roman"/>
                <w:color w:val="auto"/>
                <w:lang w:eastAsia="ru-RU"/>
              </w:rPr>
            </w:pPr>
            <w:r w:rsidRPr="0072390C">
              <w:rPr>
                <w:rFonts w:eastAsia="Times New Roman"/>
                <w:color w:val="auto"/>
                <w:lang w:eastAsia="ru-RU"/>
              </w:rPr>
              <w:t>Прочие неподконтрольные расходы</w:t>
            </w:r>
          </w:p>
        </w:tc>
        <w:tc>
          <w:tcPr>
            <w:tcW w:w="597" w:type="pct"/>
            <w:tcBorders>
              <w:top w:val="nil"/>
              <w:left w:val="nil"/>
              <w:bottom w:val="single" w:sz="4" w:space="0" w:color="auto"/>
              <w:right w:val="nil"/>
            </w:tcBorders>
            <w:shd w:val="clear" w:color="auto" w:fill="auto"/>
            <w:noWrap/>
            <w:vAlign w:val="center"/>
          </w:tcPr>
          <w:p w14:paraId="45843B68" w14:textId="77777777" w:rsidR="009A4C46" w:rsidRPr="0072390C" w:rsidRDefault="009A4C46" w:rsidP="003E2802">
            <w:pPr>
              <w:spacing w:after="0" w:line="240" w:lineRule="auto"/>
              <w:jc w:val="center"/>
              <w:rPr>
                <w:rFonts w:eastAsia="Times New Roman"/>
                <w:color w:val="auto"/>
                <w:lang w:eastAsia="ru-RU"/>
              </w:rPr>
            </w:pPr>
            <w:r w:rsidRPr="0072390C">
              <w:rPr>
                <w:rFonts w:eastAsia="Times New Roman"/>
                <w:color w:val="auto"/>
                <w:lang w:eastAsia="ru-RU"/>
              </w:rPr>
              <w:t>тыс. руб.</w:t>
            </w:r>
          </w:p>
        </w:tc>
        <w:tc>
          <w:tcPr>
            <w:tcW w:w="778" w:type="pct"/>
            <w:tcBorders>
              <w:top w:val="nil"/>
              <w:left w:val="single" w:sz="4" w:space="0" w:color="auto"/>
              <w:bottom w:val="single" w:sz="4" w:space="0" w:color="auto"/>
              <w:right w:val="single" w:sz="4" w:space="0" w:color="auto"/>
            </w:tcBorders>
            <w:shd w:val="clear" w:color="auto" w:fill="auto"/>
            <w:noWrap/>
            <w:vAlign w:val="center"/>
          </w:tcPr>
          <w:p w14:paraId="7CE7CBE3" w14:textId="77777777" w:rsidR="009A4C46" w:rsidRPr="0072390C" w:rsidRDefault="009A4C46">
            <w:pPr>
              <w:spacing w:after="0" w:line="240" w:lineRule="auto"/>
              <w:jc w:val="center"/>
              <w:rPr>
                <w:rFonts w:eastAsia="Times New Roman"/>
                <w:color w:val="auto"/>
                <w:lang w:eastAsia="ru-RU"/>
              </w:rPr>
            </w:pPr>
            <w:r w:rsidRPr="0072390C">
              <w:rPr>
                <w:rFonts w:eastAsia="Times New Roman"/>
                <w:color w:val="auto"/>
                <w:lang w:eastAsia="ru-RU"/>
              </w:rPr>
              <w:t>70 571,00</w:t>
            </w:r>
          </w:p>
        </w:tc>
        <w:tc>
          <w:tcPr>
            <w:tcW w:w="779" w:type="pct"/>
            <w:tcBorders>
              <w:top w:val="nil"/>
              <w:left w:val="nil"/>
              <w:bottom w:val="single" w:sz="4" w:space="0" w:color="auto"/>
              <w:right w:val="nil"/>
            </w:tcBorders>
            <w:shd w:val="clear" w:color="auto" w:fill="auto"/>
            <w:noWrap/>
            <w:vAlign w:val="center"/>
          </w:tcPr>
          <w:p w14:paraId="6385ABC3" w14:textId="575BD725" w:rsidR="008C55ED" w:rsidRPr="0072390C" w:rsidRDefault="008C55ED">
            <w:pPr>
              <w:spacing w:after="0" w:line="240" w:lineRule="auto"/>
              <w:jc w:val="center"/>
              <w:rPr>
                <w:rFonts w:eastAsia="Times New Roman"/>
                <w:color w:val="auto"/>
                <w:lang w:eastAsia="ru-RU"/>
              </w:rPr>
            </w:pPr>
            <w:r w:rsidRPr="0072390C">
              <w:rPr>
                <w:rFonts w:eastAsia="Times New Roman"/>
                <w:color w:val="auto"/>
                <w:lang w:eastAsia="ru-RU"/>
              </w:rPr>
              <w:t>58 927,14</w:t>
            </w:r>
          </w:p>
        </w:tc>
        <w:tc>
          <w:tcPr>
            <w:tcW w:w="804" w:type="pct"/>
            <w:tcBorders>
              <w:top w:val="nil"/>
              <w:left w:val="single" w:sz="4" w:space="0" w:color="auto"/>
              <w:bottom w:val="single" w:sz="4" w:space="0" w:color="auto"/>
              <w:right w:val="single" w:sz="4" w:space="0" w:color="auto"/>
            </w:tcBorders>
            <w:shd w:val="clear" w:color="auto" w:fill="auto"/>
            <w:noWrap/>
            <w:vAlign w:val="center"/>
          </w:tcPr>
          <w:p w14:paraId="1A1B520D" w14:textId="77777777" w:rsidR="009A4C46" w:rsidRPr="0072390C" w:rsidRDefault="009A4C46">
            <w:pPr>
              <w:spacing w:after="0" w:line="240" w:lineRule="auto"/>
              <w:jc w:val="center"/>
              <w:rPr>
                <w:rFonts w:eastAsia="Times New Roman"/>
                <w:color w:val="auto"/>
                <w:lang w:eastAsia="ru-RU"/>
              </w:rPr>
            </w:pPr>
            <w:r w:rsidRPr="0072390C">
              <w:rPr>
                <w:rFonts w:eastAsia="Times New Roman"/>
                <w:color w:val="auto"/>
                <w:lang w:eastAsia="ru-RU"/>
              </w:rPr>
              <w:t>711 064,63</w:t>
            </w:r>
          </w:p>
        </w:tc>
        <w:tc>
          <w:tcPr>
            <w:tcW w:w="759" w:type="pct"/>
            <w:tcBorders>
              <w:top w:val="single" w:sz="4" w:space="0" w:color="auto"/>
              <w:left w:val="single" w:sz="4" w:space="0" w:color="auto"/>
              <w:bottom w:val="single" w:sz="4" w:space="0" w:color="auto"/>
              <w:right w:val="single" w:sz="4" w:space="0" w:color="auto"/>
            </w:tcBorders>
            <w:shd w:val="clear" w:color="auto" w:fill="auto"/>
            <w:vAlign w:val="center"/>
          </w:tcPr>
          <w:p w14:paraId="25277A04" w14:textId="5746070F" w:rsidR="009A4C46" w:rsidRPr="0072390C" w:rsidRDefault="00EB17AE">
            <w:pPr>
              <w:spacing w:after="0" w:line="240" w:lineRule="auto"/>
              <w:jc w:val="center"/>
              <w:rPr>
                <w:rFonts w:eastAsia="Times New Roman"/>
                <w:color w:val="auto"/>
                <w:lang w:eastAsia="ru-RU"/>
              </w:rPr>
            </w:pPr>
            <w:r w:rsidRPr="0072390C">
              <w:rPr>
                <w:rFonts w:eastAsia="Times New Roman"/>
                <w:bCs/>
                <w:color w:val="auto"/>
                <w:lang w:eastAsia="ru-RU"/>
              </w:rPr>
              <w:t>652 137,49</w:t>
            </w:r>
          </w:p>
        </w:tc>
      </w:tr>
      <w:tr w:rsidR="00F94FED" w:rsidRPr="0072390C" w14:paraId="3F665429" w14:textId="77777777" w:rsidTr="00F94FED">
        <w:trPr>
          <w:trHeight w:val="300"/>
        </w:trPr>
        <w:tc>
          <w:tcPr>
            <w:tcW w:w="1284" w:type="pct"/>
            <w:tcBorders>
              <w:top w:val="nil"/>
              <w:left w:val="single" w:sz="8" w:space="0" w:color="auto"/>
              <w:bottom w:val="single" w:sz="4" w:space="0" w:color="auto"/>
              <w:right w:val="single" w:sz="4" w:space="0" w:color="auto"/>
            </w:tcBorders>
            <w:shd w:val="clear" w:color="auto" w:fill="auto"/>
            <w:vAlign w:val="center"/>
          </w:tcPr>
          <w:p w14:paraId="42B67B98" w14:textId="22810039" w:rsidR="009A4C46" w:rsidRPr="0072390C" w:rsidRDefault="009A4C46" w:rsidP="00E169B0">
            <w:pPr>
              <w:spacing w:after="0" w:line="240" w:lineRule="auto"/>
              <w:rPr>
                <w:rFonts w:eastAsia="Times New Roman"/>
                <w:lang w:eastAsia="ru-RU"/>
              </w:rPr>
            </w:pPr>
            <w:r w:rsidRPr="0072390C">
              <w:rPr>
                <w:rFonts w:eastAsia="Times New Roman"/>
                <w:lang w:eastAsia="ru-RU"/>
              </w:rPr>
              <w:t>Налог на прибыль, в том числе:</w:t>
            </w:r>
          </w:p>
        </w:tc>
        <w:tc>
          <w:tcPr>
            <w:tcW w:w="597" w:type="pct"/>
            <w:tcBorders>
              <w:top w:val="nil"/>
              <w:left w:val="nil"/>
              <w:bottom w:val="single" w:sz="4" w:space="0" w:color="auto"/>
              <w:right w:val="nil"/>
            </w:tcBorders>
            <w:shd w:val="clear" w:color="auto" w:fill="auto"/>
            <w:noWrap/>
            <w:vAlign w:val="center"/>
          </w:tcPr>
          <w:p w14:paraId="6DB04F28" w14:textId="77777777" w:rsidR="009A4C46" w:rsidRPr="0072390C" w:rsidRDefault="009A4C46" w:rsidP="003E2802">
            <w:pPr>
              <w:spacing w:after="0" w:line="240" w:lineRule="auto"/>
              <w:jc w:val="center"/>
              <w:rPr>
                <w:rFonts w:eastAsia="Times New Roman"/>
                <w:lang w:eastAsia="ru-RU"/>
              </w:rPr>
            </w:pPr>
            <w:r w:rsidRPr="0072390C">
              <w:rPr>
                <w:rFonts w:eastAsia="Times New Roman"/>
                <w:lang w:eastAsia="ru-RU"/>
              </w:rPr>
              <w:t>тыс. руб.</w:t>
            </w:r>
          </w:p>
        </w:tc>
        <w:tc>
          <w:tcPr>
            <w:tcW w:w="778" w:type="pct"/>
            <w:tcBorders>
              <w:top w:val="nil"/>
              <w:left w:val="single" w:sz="4" w:space="0" w:color="auto"/>
              <w:bottom w:val="single" w:sz="4" w:space="0" w:color="auto"/>
              <w:right w:val="single" w:sz="4" w:space="0" w:color="auto"/>
            </w:tcBorders>
            <w:shd w:val="clear" w:color="auto" w:fill="auto"/>
            <w:noWrap/>
            <w:vAlign w:val="center"/>
          </w:tcPr>
          <w:p w14:paraId="1FD9A2AD" w14:textId="77777777" w:rsidR="009A4C46" w:rsidRPr="0072390C" w:rsidRDefault="009A4C46">
            <w:pPr>
              <w:spacing w:after="0" w:line="240" w:lineRule="auto"/>
              <w:jc w:val="center"/>
              <w:rPr>
                <w:rFonts w:eastAsia="Times New Roman"/>
                <w:lang w:eastAsia="ru-RU"/>
              </w:rPr>
            </w:pPr>
            <w:r w:rsidRPr="0072390C">
              <w:rPr>
                <w:rFonts w:eastAsia="Times New Roman"/>
                <w:lang w:eastAsia="ru-RU"/>
              </w:rPr>
              <w:t>11 954,00</w:t>
            </w:r>
          </w:p>
        </w:tc>
        <w:tc>
          <w:tcPr>
            <w:tcW w:w="779" w:type="pct"/>
            <w:tcBorders>
              <w:top w:val="nil"/>
              <w:left w:val="nil"/>
              <w:bottom w:val="single" w:sz="4" w:space="0" w:color="auto"/>
              <w:right w:val="nil"/>
            </w:tcBorders>
            <w:shd w:val="clear" w:color="auto" w:fill="auto"/>
            <w:noWrap/>
            <w:vAlign w:val="center"/>
          </w:tcPr>
          <w:p w14:paraId="7B42851C" w14:textId="77777777" w:rsidR="009A4C46" w:rsidRPr="0072390C" w:rsidRDefault="009A4C46">
            <w:pPr>
              <w:spacing w:after="0" w:line="240" w:lineRule="auto"/>
              <w:jc w:val="center"/>
              <w:rPr>
                <w:rFonts w:eastAsia="Times New Roman"/>
                <w:lang w:eastAsia="ru-RU"/>
              </w:rPr>
            </w:pPr>
            <w:r w:rsidRPr="0072390C">
              <w:rPr>
                <w:rFonts w:eastAsia="Times New Roman"/>
                <w:lang w:eastAsia="ru-RU"/>
              </w:rPr>
              <w:t>2 071,00</w:t>
            </w:r>
          </w:p>
        </w:tc>
        <w:tc>
          <w:tcPr>
            <w:tcW w:w="804" w:type="pct"/>
            <w:tcBorders>
              <w:top w:val="nil"/>
              <w:left w:val="single" w:sz="4" w:space="0" w:color="auto"/>
              <w:bottom w:val="single" w:sz="4" w:space="0" w:color="auto"/>
              <w:right w:val="single" w:sz="4" w:space="0" w:color="auto"/>
            </w:tcBorders>
            <w:shd w:val="clear" w:color="auto" w:fill="auto"/>
            <w:noWrap/>
            <w:vAlign w:val="center"/>
          </w:tcPr>
          <w:p w14:paraId="41F98134" w14:textId="77777777" w:rsidR="009A4C46" w:rsidRPr="0072390C" w:rsidRDefault="009A4C46">
            <w:pPr>
              <w:spacing w:after="0" w:line="240" w:lineRule="auto"/>
              <w:jc w:val="center"/>
              <w:rPr>
                <w:rFonts w:eastAsia="Times New Roman"/>
                <w:lang w:eastAsia="ru-RU"/>
              </w:rPr>
            </w:pPr>
            <w:r w:rsidRPr="0072390C">
              <w:rPr>
                <w:rFonts w:eastAsia="Times New Roman"/>
                <w:lang w:eastAsia="ru-RU"/>
              </w:rPr>
              <w:t>-</w:t>
            </w:r>
          </w:p>
        </w:tc>
        <w:tc>
          <w:tcPr>
            <w:tcW w:w="759" w:type="pct"/>
            <w:tcBorders>
              <w:top w:val="single" w:sz="4" w:space="0" w:color="auto"/>
              <w:left w:val="single" w:sz="4" w:space="0" w:color="auto"/>
              <w:bottom w:val="single" w:sz="4" w:space="0" w:color="auto"/>
              <w:right w:val="single" w:sz="4" w:space="0" w:color="auto"/>
            </w:tcBorders>
            <w:shd w:val="clear" w:color="auto" w:fill="auto"/>
            <w:vAlign w:val="center"/>
          </w:tcPr>
          <w:p w14:paraId="1BDE6F73" w14:textId="77777777" w:rsidR="009A4C46" w:rsidRPr="0072390C" w:rsidRDefault="009A4C46">
            <w:pPr>
              <w:spacing w:after="0" w:line="240" w:lineRule="auto"/>
              <w:jc w:val="center"/>
              <w:rPr>
                <w:rFonts w:eastAsia="Times New Roman"/>
                <w:lang w:eastAsia="ru-RU"/>
              </w:rPr>
            </w:pPr>
            <w:r w:rsidRPr="0072390C">
              <w:rPr>
                <w:rFonts w:eastAsia="Times New Roman"/>
                <w:bCs/>
                <w:lang w:eastAsia="ru-RU"/>
              </w:rPr>
              <w:t>-2 071,00</w:t>
            </w:r>
          </w:p>
        </w:tc>
      </w:tr>
      <w:tr w:rsidR="009A4C46" w:rsidRPr="009A4C46" w14:paraId="38E81C5C" w14:textId="77777777" w:rsidTr="00F94FED">
        <w:trPr>
          <w:trHeight w:val="300"/>
        </w:trPr>
        <w:tc>
          <w:tcPr>
            <w:tcW w:w="1284" w:type="pct"/>
            <w:tcBorders>
              <w:top w:val="single" w:sz="4" w:space="0" w:color="auto"/>
              <w:left w:val="single" w:sz="4" w:space="0" w:color="auto"/>
              <w:bottom w:val="single" w:sz="4" w:space="0" w:color="auto"/>
              <w:right w:val="single" w:sz="4" w:space="0" w:color="auto"/>
            </w:tcBorders>
            <w:shd w:val="clear" w:color="auto" w:fill="auto"/>
            <w:vAlign w:val="center"/>
          </w:tcPr>
          <w:p w14:paraId="53B78A60" w14:textId="77777777" w:rsidR="009A4C46" w:rsidRPr="009A4C46" w:rsidRDefault="009A4C46" w:rsidP="00E169B0">
            <w:pPr>
              <w:spacing w:after="0" w:line="240" w:lineRule="auto"/>
              <w:rPr>
                <w:rFonts w:eastAsia="Times New Roman"/>
                <w:lang w:eastAsia="ru-RU"/>
              </w:rPr>
            </w:pPr>
            <w:r w:rsidRPr="009A4C46">
              <w:rPr>
                <w:rFonts w:eastAsia="Times New Roman"/>
                <w:lang w:eastAsia="ru-RU"/>
              </w:rPr>
              <w:t xml:space="preserve">налог на прибыль на капитальные вложения </w:t>
            </w:r>
          </w:p>
        </w:tc>
        <w:tc>
          <w:tcPr>
            <w:tcW w:w="597" w:type="pct"/>
            <w:tcBorders>
              <w:top w:val="single" w:sz="4" w:space="0" w:color="auto"/>
              <w:left w:val="nil"/>
              <w:bottom w:val="single" w:sz="4" w:space="0" w:color="auto"/>
              <w:right w:val="nil"/>
            </w:tcBorders>
            <w:shd w:val="clear" w:color="auto" w:fill="auto"/>
            <w:noWrap/>
            <w:vAlign w:val="center"/>
          </w:tcPr>
          <w:p w14:paraId="43446AC7" w14:textId="77777777" w:rsidR="009A4C46" w:rsidRPr="009A4C46" w:rsidRDefault="009A4C46" w:rsidP="003E2802">
            <w:pPr>
              <w:spacing w:after="0" w:line="240" w:lineRule="auto"/>
              <w:jc w:val="center"/>
              <w:rPr>
                <w:rFonts w:eastAsia="Times New Roman"/>
                <w:lang w:eastAsia="ru-RU"/>
              </w:rPr>
            </w:pPr>
            <w:r w:rsidRPr="009A4C46">
              <w:rPr>
                <w:rFonts w:eastAsia="Times New Roman"/>
                <w:lang w:eastAsia="ru-RU"/>
              </w:rPr>
              <w:t>тыс. руб.</w:t>
            </w:r>
          </w:p>
        </w:tc>
        <w:tc>
          <w:tcPr>
            <w:tcW w:w="77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2C12F55" w14:textId="77777777" w:rsidR="009A4C46" w:rsidRPr="009A4C46" w:rsidRDefault="009A4C46">
            <w:pPr>
              <w:spacing w:after="0" w:line="240" w:lineRule="auto"/>
              <w:jc w:val="center"/>
              <w:rPr>
                <w:rFonts w:eastAsia="Times New Roman"/>
                <w:lang w:eastAsia="ru-RU"/>
              </w:rPr>
            </w:pPr>
            <w:r w:rsidRPr="009A4C46">
              <w:rPr>
                <w:rFonts w:eastAsia="Times New Roman"/>
                <w:lang w:eastAsia="ru-RU"/>
              </w:rPr>
              <w:t>-</w:t>
            </w:r>
          </w:p>
        </w:tc>
        <w:tc>
          <w:tcPr>
            <w:tcW w:w="779" w:type="pct"/>
            <w:tcBorders>
              <w:top w:val="single" w:sz="4" w:space="0" w:color="auto"/>
              <w:left w:val="nil"/>
              <w:bottom w:val="single" w:sz="4" w:space="0" w:color="auto"/>
              <w:right w:val="nil"/>
            </w:tcBorders>
            <w:shd w:val="clear" w:color="auto" w:fill="auto"/>
            <w:noWrap/>
            <w:vAlign w:val="center"/>
          </w:tcPr>
          <w:p w14:paraId="38419DF4" w14:textId="77777777" w:rsidR="009A4C46" w:rsidRPr="009A4C46" w:rsidRDefault="009A4C46">
            <w:pPr>
              <w:spacing w:after="0" w:line="240" w:lineRule="auto"/>
              <w:jc w:val="center"/>
              <w:rPr>
                <w:rFonts w:eastAsia="Times New Roman"/>
                <w:lang w:eastAsia="ru-RU"/>
              </w:rPr>
            </w:pPr>
            <w:r w:rsidRPr="009A4C46">
              <w:rPr>
                <w:rFonts w:eastAsia="Times New Roman"/>
                <w:lang w:eastAsia="ru-RU"/>
              </w:rPr>
              <w:t>-</w:t>
            </w:r>
          </w:p>
        </w:tc>
        <w:tc>
          <w:tcPr>
            <w:tcW w:w="804"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8557DD2" w14:textId="77777777" w:rsidR="009A4C46" w:rsidRPr="009A4C46" w:rsidRDefault="009A4C46">
            <w:pPr>
              <w:spacing w:after="0" w:line="240" w:lineRule="auto"/>
              <w:jc w:val="center"/>
              <w:rPr>
                <w:rFonts w:eastAsia="Times New Roman"/>
                <w:lang w:eastAsia="ru-RU"/>
              </w:rPr>
            </w:pPr>
            <w:r w:rsidRPr="009A4C46">
              <w:rPr>
                <w:rFonts w:eastAsia="Times New Roman"/>
                <w:lang w:eastAsia="ru-RU"/>
              </w:rPr>
              <w:t>-</w:t>
            </w:r>
          </w:p>
        </w:tc>
        <w:tc>
          <w:tcPr>
            <w:tcW w:w="759" w:type="pct"/>
            <w:tcBorders>
              <w:top w:val="single" w:sz="4" w:space="0" w:color="auto"/>
              <w:left w:val="single" w:sz="4" w:space="0" w:color="auto"/>
              <w:bottom w:val="single" w:sz="4" w:space="0" w:color="auto"/>
              <w:right w:val="single" w:sz="4" w:space="0" w:color="auto"/>
            </w:tcBorders>
            <w:shd w:val="clear" w:color="auto" w:fill="auto"/>
            <w:vAlign w:val="center"/>
          </w:tcPr>
          <w:p w14:paraId="12C8B583" w14:textId="77777777" w:rsidR="009A4C46" w:rsidRPr="009A4C46" w:rsidRDefault="009A4C46">
            <w:pPr>
              <w:spacing w:after="0" w:line="240" w:lineRule="auto"/>
              <w:jc w:val="center"/>
              <w:rPr>
                <w:rFonts w:eastAsia="Times New Roman"/>
                <w:lang w:eastAsia="ru-RU"/>
              </w:rPr>
            </w:pPr>
            <w:r w:rsidRPr="009A4C46">
              <w:rPr>
                <w:rFonts w:eastAsia="Times New Roman"/>
                <w:bCs/>
                <w:lang w:eastAsia="ru-RU"/>
              </w:rPr>
              <w:t>-</w:t>
            </w:r>
          </w:p>
        </w:tc>
      </w:tr>
      <w:tr w:rsidR="00F94FED" w:rsidRPr="009A4C46" w14:paraId="066DF958" w14:textId="77777777" w:rsidTr="00F94FED">
        <w:trPr>
          <w:trHeight w:val="300"/>
        </w:trPr>
        <w:tc>
          <w:tcPr>
            <w:tcW w:w="1284" w:type="pct"/>
            <w:tcBorders>
              <w:top w:val="nil"/>
              <w:left w:val="single" w:sz="8" w:space="0" w:color="auto"/>
              <w:bottom w:val="single" w:sz="4" w:space="0" w:color="auto"/>
              <w:right w:val="single" w:sz="4" w:space="0" w:color="auto"/>
            </w:tcBorders>
            <w:shd w:val="clear" w:color="auto" w:fill="auto"/>
            <w:vAlign w:val="center"/>
          </w:tcPr>
          <w:p w14:paraId="3B94D0FC" w14:textId="77777777" w:rsidR="009A4C46" w:rsidRPr="009A4C46" w:rsidRDefault="009A4C46" w:rsidP="00E169B0">
            <w:pPr>
              <w:spacing w:after="0" w:line="240" w:lineRule="auto"/>
              <w:rPr>
                <w:rFonts w:eastAsia="Times New Roman"/>
                <w:lang w:eastAsia="ru-RU"/>
              </w:rPr>
            </w:pPr>
            <w:r w:rsidRPr="009A4C46">
              <w:rPr>
                <w:rFonts w:eastAsia="Times New Roman"/>
                <w:lang w:eastAsia="ru-RU"/>
              </w:rPr>
              <w:t>Выпадающие доходы по п.87 Основ ценообразования</w:t>
            </w:r>
          </w:p>
        </w:tc>
        <w:tc>
          <w:tcPr>
            <w:tcW w:w="597" w:type="pct"/>
            <w:tcBorders>
              <w:top w:val="nil"/>
              <w:left w:val="nil"/>
              <w:bottom w:val="single" w:sz="4" w:space="0" w:color="auto"/>
              <w:right w:val="nil"/>
            </w:tcBorders>
            <w:shd w:val="clear" w:color="auto" w:fill="auto"/>
            <w:noWrap/>
            <w:vAlign w:val="center"/>
          </w:tcPr>
          <w:p w14:paraId="57222C09" w14:textId="77777777" w:rsidR="009A4C46" w:rsidRPr="009A4C46" w:rsidRDefault="009A4C46" w:rsidP="003E2802">
            <w:pPr>
              <w:spacing w:after="0" w:line="240" w:lineRule="auto"/>
              <w:jc w:val="center"/>
              <w:rPr>
                <w:rFonts w:eastAsia="Times New Roman"/>
                <w:lang w:eastAsia="ru-RU"/>
              </w:rPr>
            </w:pPr>
            <w:r w:rsidRPr="009A4C46">
              <w:rPr>
                <w:rFonts w:eastAsia="Times New Roman"/>
                <w:lang w:eastAsia="ru-RU"/>
              </w:rPr>
              <w:t>тыс. руб.</w:t>
            </w:r>
          </w:p>
        </w:tc>
        <w:tc>
          <w:tcPr>
            <w:tcW w:w="778" w:type="pct"/>
            <w:tcBorders>
              <w:top w:val="nil"/>
              <w:left w:val="single" w:sz="4" w:space="0" w:color="auto"/>
              <w:bottom w:val="single" w:sz="4" w:space="0" w:color="auto"/>
              <w:right w:val="single" w:sz="4" w:space="0" w:color="auto"/>
            </w:tcBorders>
            <w:shd w:val="clear" w:color="auto" w:fill="auto"/>
            <w:noWrap/>
            <w:vAlign w:val="center"/>
          </w:tcPr>
          <w:p w14:paraId="550042F7" w14:textId="77777777" w:rsidR="009A4C46" w:rsidRPr="009A4C46" w:rsidRDefault="009A4C46">
            <w:pPr>
              <w:spacing w:after="0" w:line="240" w:lineRule="auto"/>
              <w:jc w:val="center"/>
              <w:rPr>
                <w:rFonts w:eastAsia="Times New Roman"/>
                <w:lang w:eastAsia="ru-RU"/>
              </w:rPr>
            </w:pPr>
            <w:r w:rsidRPr="009A4C46">
              <w:rPr>
                <w:rFonts w:eastAsia="Times New Roman"/>
                <w:lang w:eastAsia="ru-RU"/>
              </w:rPr>
              <w:t>40 461,00</w:t>
            </w:r>
          </w:p>
        </w:tc>
        <w:tc>
          <w:tcPr>
            <w:tcW w:w="779" w:type="pct"/>
            <w:tcBorders>
              <w:top w:val="nil"/>
              <w:left w:val="nil"/>
              <w:bottom w:val="single" w:sz="4" w:space="0" w:color="auto"/>
              <w:right w:val="nil"/>
            </w:tcBorders>
            <w:shd w:val="clear" w:color="auto" w:fill="auto"/>
            <w:noWrap/>
            <w:vAlign w:val="center"/>
          </w:tcPr>
          <w:p w14:paraId="0615D494" w14:textId="77777777" w:rsidR="009A4C46" w:rsidRPr="009A4C46" w:rsidRDefault="009A4C46">
            <w:pPr>
              <w:spacing w:after="0" w:line="240" w:lineRule="auto"/>
              <w:jc w:val="center"/>
              <w:rPr>
                <w:rFonts w:eastAsia="Times New Roman"/>
                <w:lang w:eastAsia="ru-RU"/>
              </w:rPr>
            </w:pPr>
            <w:r w:rsidRPr="009A4C46">
              <w:rPr>
                <w:rFonts w:eastAsia="Times New Roman"/>
                <w:lang w:eastAsia="ru-RU"/>
              </w:rPr>
              <w:t>71 827,64</w:t>
            </w:r>
          </w:p>
        </w:tc>
        <w:tc>
          <w:tcPr>
            <w:tcW w:w="804" w:type="pct"/>
            <w:tcBorders>
              <w:top w:val="nil"/>
              <w:left w:val="single" w:sz="4" w:space="0" w:color="auto"/>
              <w:bottom w:val="single" w:sz="4" w:space="0" w:color="auto"/>
              <w:right w:val="single" w:sz="4" w:space="0" w:color="auto"/>
            </w:tcBorders>
            <w:shd w:val="clear" w:color="auto" w:fill="auto"/>
            <w:noWrap/>
            <w:vAlign w:val="center"/>
          </w:tcPr>
          <w:p w14:paraId="0E88D2E3" w14:textId="77777777" w:rsidR="009A4C46" w:rsidRPr="009A4C46" w:rsidRDefault="009A4C46">
            <w:pPr>
              <w:spacing w:after="0" w:line="240" w:lineRule="auto"/>
              <w:jc w:val="center"/>
              <w:rPr>
                <w:rFonts w:eastAsia="Times New Roman"/>
                <w:lang w:eastAsia="ru-RU"/>
              </w:rPr>
            </w:pPr>
            <w:r w:rsidRPr="009A4C46">
              <w:rPr>
                <w:rFonts w:eastAsia="Times New Roman"/>
                <w:lang w:eastAsia="ru-RU"/>
              </w:rPr>
              <w:t>36 157,17</w:t>
            </w:r>
          </w:p>
        </w:tc>
        <w:tc>
          <w:tcPr>
            <w:tcW w:w="759" w:type="pct"/>
            <w:tcBorders>
              <w:top w:val="single" w:sz="4" w:space="0" w:color="auto"/>
              <w:left w:val="single" w:sz="4" w:space="0" w:color="auto"/>
              <w:bottom w:val="single" w:sz="4" w:space="0" w:color="auto"/>
              <w:right w:val="single" w:sz="4" w:space="0" w:color="auto"/>
            </w:tcBorders>
            <w:shd w:val="clear" w:color="auto" w:fill="auto"/>
            <w:vAlign w:val="center"/>
          </w:tcPr>
          <w:p w14:paraId="320F0CE2" w14:textId="77777777" w:rsidR="009A4C46" w:rsidRPr="009A4C46" w:rsidRDefault="009A4C46">
            <w:pPr>
              <w:spacing w:after="0" w:line="240" w:lineRule="auto"/>
              <w:jc w:val="center"/>
              <w:rPr>
                <w:rFonts w:eastAsia="Times New Roman"/>
                <w:lang w:eastAsia="ru-RU"/>
              </w:rPr>
            </w:pPr>
            <w:r w:rsidRPr="009A4C46">
              <w:rPr>
                <w:rFonts w:eastAsia="Times New Roman"/>
                <w:bCs/>
                <w:lang w:eastAsia="ru-RU"/>
              </w:rPr>
              <w:t>-35 670,46</w:t>
            </w:r>
          </w:p>
        </w:tc>
      </w:tr>
      <w:tr w:rsidR="009A4C46" w:rsidRPr="009A4C46" w14:paraId="53E26379" w14:textId="77777777" w:rsidTr="00F94FED">
        <w:trPr>
          <w:trHeight w:val="615"/>
        </w:trPr>
        <w:tc>
          <w:tcPr>
            <w:tcW w:w="1284" w:type="pct"/>
            <w:tcBorders>
              <w:top w:val="nil"/>
              <w:left w:val="single" w:sz="8" w:space="0" w:color="auto"/>
              <w:bottom w:val="single" w:sz="4" w:space="0" w:color="auto"/>
              <w:right w:val="single" w:sz="4" w:space="0" w:color="auto"/>
            </w:tcBorders>
            <w:shd w:val="clear" w:color="auto" w:fill="auto"/>
            <w:vAlign w:val="center"/>
          </w:tcPr>
          <w:p w14:paraId="44036422" w14:textId="77777777" w:rsidR="009A4C46" w:rsidRPr="009A4C46" w:rsidRDefault="009A4C46" w:rsidP="00E169B0">
            <w:pPr>
              <w:spacing w:after="0" w:line="240" w:lineRule="auto"/>
              <w:rPr>
                <w:rFonts w:eastAsia="Times New Roman"/>
                <w:lang w:eastAsia="ru-RU"/>
              </w:rPr>
            </w:pPr>
            <w:r w:rsidRPr="009A4C46">
              <w:rPr>
                <w:rFonts w:eastAsia="Times New Roman"/>
                <w:lang w:eastAsia="ru-RU"/>
              </w:rPr>
              <w:t>Амортизация ОС</w:t>
            </w:r>
          </w:p>
        </w:tc>
        <w:tc>
          <w:tcPr>
            <w:tcW w:w="597" w:type="pct"/>
            <w:tcBorders>
              <w:top w:val="nil"/>
              <w:left w:val="nil"/>
              <w:bottom w:val="single" w:sz="4" w:space="0" w:color="auto"/>
              <w:right w:val="nil"/>
            </w:tcBorders>
            <w:shd w:val="clear" w:color="auto" w:fill="auto"/>
            <w:noWrap/>
            <w:vAlign w:val="center"/>
          </w:tcPr>
          <w:p w14:paraId="51254AE9" w14:textId="77777777" w:rsidR="009A4C46" w:rsidRPr="009A4C46" w:rsidRDefault="009A4C46" w:rsidP="003E2802">
            <w:pPr>
              <w:spacing w:after="0" w:line="240" w:lineRule="auto"/>
              <w:jc w:val="center"/>
              <w:rPr>
                <w:rFonts w:eastAsia="Times New Roman"/>
                <w:lang w:eastAsia="ru-RU"/>
              </w:rPr>
            </w:pPr>
            <w:r w:rsidRPr="009A4C46">
              <w:rPr>
                <w:rFonts w:eastAsia="Times New Roman"/>
                <w:lang w:eastAsia="ru-RU"/>
              </w:rPr>
              <w:t>тыс. руб.</w:t>
            </w:r>
          </w:p>
        </w:tc>
        <w:tc>
          <w:tcPr>
            <w:tcW w:w="778" w:type="pct"/>
            <w:tcBorders>
              <w:top w:val="nil"/>
              <w:left w:val="single" w:sz="4" w:space="0" w:color="auto"/>
              <w:bottom w:val="single" w:sz="4" w:space="0" w:color="auto"/>
              <w:right w:val="nil"/>
            </w:tcBorders>
            <w:shd w:val="clear" w:color="auto" w:fill="auto"/>
            <w:noWrap/>
            <w:vAlign w:val="center"/>
          </w:tcPr>
          <w:p w14:paraId="1EB7AF54" w14:textId="77777777" w:rsidR="009A4C46" w:rsidRPr="009A4C46" w:rsidRDefault="009A4C46">
            <w:pPr>
              <w:spacing w:after="0" w:line="240" w:lineRule="auto"/>
              <w:jc w:val="center"/>
              <w:rPr>
                <w:rFonts w:eastAsia="Times New Roman"/>
                <w:lang w:eastAsia="ru-RU"/>
              </w:rPr>
            </w:pPr>
            <w:r w:rsidRPr="009A4C46">
              <w:rPr>
                <w:rFonts w:eastAsia="Times New Roman"/>
                <w:lang w:eastAsia="ru-RU"/>
              </w:rPr>
              <w:t>78 756,00</w:t>
            </w:r>
          </w:p>
        </w:tc>
        <w:tc>
          <w:tcPr>
            <w:tcW w:w="779" w:type="pct"/>
            <w:tcBorders>
              <w:top w:val="nil"/>
              <w:left w:val="single" w:sz="4" w:space="0" w:color="auto"/>
              <w:bottom w:val="single" w:sz="4" w:space="0" w:color="auto"/>
              <w:right w:val="nil"/>
            </w:tcBorders>
            <w:shd w:val="clear" w:color="auto" w:fill="auto"/>
            <w:noWrap/>
            <w:vAlign w:val="center"/>
          </w:tcPr>
          <w:p w14:paraId="07CDE576" w14:textId="77777777" w:rsidR="009A4C46" w:rsidRPr="009A4C46" w:rsidRDefault="009A4C46">
            <w:pPr>
              <w:spacing w:after="0" w:line="240" w:lineRule="auto"/>
              <w:jc w:val="center"/>
              <w:rPr>
                <w:rFonts w:eastAsia="Times New Roman"/>
                <w:lang w:eastAsia="ru-RU"/>
              </w:rPr>
            </w:pPr>
            <w:r w:rsidRPr="009A4C46">
              <w:rPr>
                <w:rFonts w:eastAsia="Times New Roman"/>
                <w:lang w:eastAsia="ru-RU"/>
              </w:rPr>
              <w:t>71 847,77</w:t>
            </w:r>
          </w:p>
        </w:tc>
        <w:tc>
          <w:tcPr>
            <w:tcW w:w="804" w:type="pct"/>
            <w:tcBorders>
              <w:top w:val="nil"/>
              <w:left w:val="single" w:sz="4" w:space="0" w:color="auto"/>
              <w:bottom w:val="single" w:sz="4" w:space="0" w:color="auto"/>
              <w:right w:val="single" w:sz="4" w:space="0" w:color="auto"/>
            </w:tcBorders>
            <w:shd w:val="clear" w:color="auto" w:fill="auto"/>
            <w:noWrap/>
            <w:vAlign w:val="center"/>
          </w:tcPr>
          <w:p w14:paraId="00E89F56" w14:textId="77777777" w:rsidR="009A4C46" w:rsidRPr="009A4C46" w:rsidRDefault="009A4C46">
            <w:pPr>
              <w:spacing w:after="0" w:line="240" w:lineRule="auto"/>
              <w:jc w:val="center"/>
              <w:rPr>
                <w:rFonts w:eastAsia="Times New Roman"/>
                <w:lang w:eastAsia="ru-RU"/>
              </w:rPr>
            </w:pPr>
            <w:r w:rsidRPr="009A4C46">
              <w:rPr>
                <w:rFonts w:eastAsia="Times New Roman"/>
                <w:lang w:eastAsia="ru-RU"/>
              </w:rPr>
              <w:t>105 422,01</w:t>
            </w:r>
          </w:p>
        </w:tc>
        <w:tc>
          <w:tcPr>
            <w:tcW w:w="759" w:type="pct"/>
            <w:tcBorders>
              <w:top w:val="single" w:sz="4" w:space="0" w:color="auto"/>
              <w:left w:val="single" w:sz="4" w:space="0" w:color="auto"/>
              <w:bottom w:val="single" w:sz="4" w:space="0" w:color="auto"/>
              <w:right w:val="single" w:sz="4" w:space="0" w:color="auto"/>
            </w:tcBorders>
            <w:shd w:val="clear" w:color="auto" w:fill="auto"/>
            <w:vAlign w:val="center"/>
          </w:tcPr>
          <w:p w14:paraId="773553F2" w14:textId="77777777" w:rsidR="009A4C46" w:rsidRPr="009A4C46" w:rsidRDefault="009A4C46">
            <w:pPr>
              <w:spacing w:after="0" w:line="240" w:lineRule="auto"/>
              <w:jc w:val="center"/>
              <w:rPr>
                <w:rFonts w:eastAsia="Times New Roman"/>
                <w:lang w:eastAsia="ru-RU"/>
              </w:rPr>
            </w:pPr>
            <w:r w:rsidRPr="009A4C46">
              <w:rPr>
                <w:rFonts w:eastAsia="Times New Roman"/>
                <w:bCs/>
                <w:lang w:eastAsia="ru-RU"/>
              </w:rPr>
              <w:t>33 574,24</w:t>
            </w:r>
          </w:p>
        </w:tc>
      </w:tr>
      <w:tr w:rsidR="00F94FED" w:rsidRPr="009A4C46" w14:paraId="1BA17327" w14:textId="77777777" w:rsidTr="00F94FED">
        <w:trPr>
          <w:trHeight w:val="300"/>
        </w:trPr>
        <w:tc>
          <w:tcPr>
            <w:tcW w:w="1284" w:type="pct"/>
            <w:tcBorders>
              <w:top w:val="nil"/>
              <w:left w:val="single" w:sz="8" w:space="0" w:color="auto"/>
              <w:bottom w:val="single" w:sz="4" w:space="0" w:color="auto"/>
              <w:right w:val="single" w:sz="4" w:space="0" w:color="auto"/>
            </w:tcBorders>
            <w:shd w:val="clear" w:color="auto" w:fill="auto"/>
            <w:vAlign w:val="center"/>
          </w:tcPr>
          <w:p w14:paraId="2F0F0860" w14:textId="77777777" w:rsidR="009A4C46" w:rsidRPr="009A4C46" w:rsidRDefault="009A4C46" w:rsidP="00E169B0">
            <w:pPr>
              <w:spacing w:after="0" w:line="240" w:lineRule="auto"/>
              <w:rPr>
                <w:rFonts w:eastAsia="Times New Roman"/>
                <w:lang w:eastAsia="ru-RU"/>
              </w:rPr>
            </w:pPr>
            <w:r w:rsidRPr="009A4C46">
              <w:rPr>
                <w:rFonts w:eastAsia="Times New Roman"/>
                <w:lang w:eastAsia="ru-RU"/>
              </w:rPr>
              <w:t>Прибыль на капитальные вложения</w:t>
            </w:r>
          </w:p>
        </w:tc>
        <w:tc>
          <w:tcPr>
            <w:tcW w:w="597" w:type="pct"/>
            <w:tcBorders>
              <w:top w:val="nil"/>
              <w:left w:val="nil"/>
              <w:bottom w:val="single" w:sz="4" w:space="0" w:color="auto"/>
              <w:right w:val="nil"/>
            </w:tcBorders>
            <w:shd w:val="clear" w:color="auto" w:fill="auto"/>
            <w:noWrap/>
            <w:vAlign w:val="center"/>
          </w:tcPr>
          <w:p w14:paraId="6EC12888" w14:textId="77777777" w:rsidR="009A4C46" w:rsidRPr="009A4C46" w:rsidRDefault="009A4C46" w:rsidP="003E2802">
            <w:pPr>
              <w:spacing w:after="0" w:line="240" w:lineRule="auto"/>
              <w:jc w:val="center"/>
              <w:rPr>
                <w:rFonts w:eastAsia="Times New Roman"/>
                <w:lang w:eastAsia="ru-RU"/>
              </w:rPr>
            </w:pPr>
            <w:r w:rsidRPr="009A4C46">
              <w:rPr>
                <w:rFonts w:eastAsia="Times New Roman"/>
                <w:lang w:eastAsia="ru-RU"/>
              </w:rPr>
              <w:t>тыс. руб.</w:t>
            </w:r>
          </w:p>
        </w:tc>
        <w:tc>
          <w:tcPr>
            <w:tcW w:w="778" w:type="pct"/>
            <w:tcBorders>
              <w:top w:val="nil"/>
              <w:left w:val="single" w:sz="4" w:space="0" w:color="auto"/>
              <w:bottom w:val="single" w:sz="4" w:space="0" w:color="auto"/>
              <w:right w:val="single" w:sz="4" w:space="0" w:color="auto"/>
            </w:tcBorders>
            <w:shd w:val="clear" w:color="auto" w:fill="auto"/>
            <w:noWrap/>
            <w:vAlign w:val="center"/>
          </w:tcPr>
          <w:p w14:paraId="033CEB90" w14:textId="77777777" w:rsidR="009A4C46" w:rsidRPr="009A4C46" w:rsidRDefault="009A4C46">
            <w:pPr>
              <w:spacing w:after="0" w:line="240" w:lineRule="auto"/>
              <w:jc w:val="center"/>
              <w:rPr>
                <w:rFonts w:eastAsia="Times New Roman"/>
                <w:lang w:eastAsia="ru-RU"/>
              </w:rPr>
            </w:pPr>
            <w:r w:rsidRPr="009A4C46">
              <w:rPr>
                <w:rFonts w:eastAsia="Times New Roman"/>
                <w:lang w:eastAsia="ru-RU"/>
              </w:rPr>
              <w:t>-</w:t>
            </w:r>
          </w:p>
        </w:tc>
        <w:tc>
          <w:tcPr>
            <w:tcW w:w="779" w:type="pct"/>
            <w:tcBorders>
              <w:top w:val="nil"/>
              <w:left w:val="nil"/>
              <w:bottom w:val="single" w:sz="4" w:space="0" w:color="auto"/>
              <w:right w:val="nil"/>
            </w:tcBorders>
            <w:shd w:val="clear" w:color="auto" w:fill="auto"/>
            <w:noWrap/>
            <w:vAlign w:val="center"/>
          </w:tcPr>
          <w:p w14:paraId="5325940E" w14:textId="77777777" w:rsidR="009A4C46" w:rsidRPr="009A4C46" w:rsidRDefault="009A4C46">
            <w:pPr>
              <w:spacing w:after="0" w:line="240" w:lineRule="auto"/>
              <w:jc w:val="center"/>
              <w:rPr>
                <w:rFonts w:eastAsia="Times New Roman"/>
                <w:lang w:eastAsia="ru-RU"/>
              </w:rPr>
            </w:pPr>
            <w:r w:rsidRPr="009A4C46">
              <w:rPr>
                <w:rFonts w:eastAsia="Times New Roman"/>
                <w:lang w:eastAsia="ru-RU"/>
              </w:rPr>
              <w:t>-</w:t>
            </w:r>
          </w:p>
        </w:tc>
        <w:tc>
          <w:tcPr>
            <w:tcW w:w="804" w:type="pct"/>
            <w:tcBorders>
              <w:top w:val="nil"/>
              <w:left w:val="single" w:sz="4" w:space="0" w:color="auto"/>
              <w:bottom w:val="single" w:sz="4" w:space="0" w:color="auto"/>
              <w:right w:val="single" w:sz="4" w:space="0" w:color="auto"/>
            </w:tcBorders>
            <w:shd w:val="clear" w:color="auto" w:fill="auto"/>
            <w:noWrap/>
            <w:vAlign w:val="center"/>
          </w:tcPr>
          <w:p w14:paraId="63ADC563" w14:textId="77777777" w:rsidR="009A4C46" w:rsidRPr="009A4C46" w:rsidRDefault="009A4C46">
            <w:pPr>
              <w:spacing w:after="0" w:line="240" w:lineRule="auto"/>
              <w:jc w:val="center"/>
              <w:rPr>
                <w:rFonts w:eastAsia="Times New Roman"/>
                <w:lang w:eastAsia="ru-RU"/>
              </w:rPr>
            </w:pPr>
            <w:r w:rsidRPr="009A4C46">
              <w:rPr>
                <w:rFonts w:eastAsia="Times New Roman"/>
                <w:lang w:eastAsia="ru-RU"/>
              </w:rPr>
              <w:t>-</w:t>
            </w:r>
          </w:p>
        </w:tc>
        <w:tc>
          <w:tcPr>
            <w:tcW w:w="759" w:type="pct"/>
            <w:tcBorders>
              <w:top w:val="single" w:sz="4" w:space="0" w:color="auto"/>
              <w:left w:val="single" w:sz="4" w:space="0" w:color="auto"/>
              <w:bottom w:val="single" w:sz="4" w:space="0" w:color="auto"/>
              <w:right w:val="single" w:sz="4" w:space="0" w:color="auto"/>
            </w:tcBorders>
            <w:shd w:val="clear" w:color="auto" w:fill="auto"/>
            <w:vAlign w:val="center"/>
          </w:tcPr>
          <w:p w14:paraId="1C7A51D1" w14:textId="77777777" w:rsidR="009A4C46" w:rsidRPr="009A4C46" w:rsidRDefault="009A4C46">
            <w:pPr>
              <w:spacing w:after="0" w:line="240" w:lineRule="auto"/>
              <w:jc w:val="center"/>
              <w:rPr>
                <w:rFonts w:eastAsia="Times New Roman"/>
                <w:lang w:eastAsia="ru-RU"/>
              </w:rPr>
            </w:pPr>
            <w:r w:rsidRPr="009A4C46">
              <w:rPr>
                <w:rFonts w:eastAsia="Times New Roman"/>
                <w:lang w:eastAsia="ru-RU"/>
              </w:rPr>
              <w:t>-</w:t>
            </w:r>
          </w:p>
        </w:tc>
      </w:tr>
      <w:tr w:rsidR="00F94FED" w:rsidRPr="009A4C46" w14:paraId="11991A17" w14:textId="77777777" w:rsidTr="00F94FED">
        <w:trPr>
          <w:trHeight w:val="300"/>
        </w:trPr>
        <w:tc>
          <w:tcPr>
            <w:tcW w:w="1284" w:type="pct"/>
            <w:tcBorders>
              <w:top w:val="nil"/>
              <w:left w:val="single" w:sz="8" w:space="0" w:color="auto"/>
              <w:bottom w:val="single" w:sz="4" w:space="0" w:color="auto"/>
              <w:right w:val="single" w:sz="4" w:space="0" w:color="auto"/>
            </w:tcBorders>
            <w:shd w:val="clear" w:color="auto" w:fill="auto"/>
            <w:vAlign w:val="center"/>
          </w:tcPr>
          <w:p w14:paraId="1BCB69CD" w14:textId="77777777" w:rsidR="009A4C46" w:rsidRPr="009A4C46" w:rsidRDefault="009A4C46" w:rsidP="00E169B0">
            <w:pPr>
              <w:spacing w:after="0" w:line="240" w:lineRule="auto"/>
              <w:rPr>
                <w:rFonts w:eastAsia="Times New Roman"/>
                <w:lang w:eastAsia="ru-RU"/>
              </w:rPr>
            </w:pPr>
            <w:r w:rsidRPr="009A4C46">
              <w:rPr>
                <w:rFonts w:eastAsia="Times New Roman"/>
                <w:lang w:eastAsia="ru-RU"/>
              </w:rPr>
              <w:lastRenderedPageBreak/>
              <w:t>Возврат заемных средств, направляемый на финансирование капитальных вложений</w:t>
            </w:r>
          </w:p>
        </w:tc>
        <w:tc>
          <w:tcPr>
            <w:tcW w:w="597" w:type="pct"/>
            <w:tcBorders>
              <w:top w:val="nil"/>
              <w:left w:val="nil"/>
              <w:bottom w:val="single" w:sz="4" w:space="0" w:color="auto"/>
              <w:right w:val="nil"/>
            </w:tcBorders>
            <w:shd w:val="clear" w:color="auto" w:fill="auto"/>
            <w:noWrap/>
            <w:vAlign w:val="center"/>
          </w:tcPr>
          <w:p w14:paraId="65A68DA6" w14:textId="77777777" w:rsidR="009A4C46" w:rsidRPr="009A4C46" w:rsidRDefault="009A4C46" w:rsidP="003E2802">
            <w:pPr>
              <w:spacing w:after="0" w:line="240" w:lineRule="auto"/>
              <w:jc w:val="center"/>
              <w:rPr>
                <w:rFonts w:eastAsia="Times New Roman"/>
                <w:lang w:eastAsia="ru-RU"/>
              </w:rPr>
            </w:pPr>
            <w:r w:rsidRPr="009A4C46">
              <w:rPr>
                <w:rFonts w:eastAsia="Times New Roman"/>
                <w:lang w:eastAsia="ru-RU"/>
              </w:rPr>
              <w:t>тыс. руб.</w:t>
            </w:r>
          </w:p>
        </w:tc>
        <w:tc>
          <w:tcPr>
            <w:tcW w:w="778" w:type="pct"/>
            <w:tcBorders>
              <w:top w:val="nil"/>
              <w:left w:val="single" w:sz="4" w:space="0" w:color="auto"/>
              <w:bottom w:val="single" w:sz="4" w:space="0" w:color="auto"/>
              <w:right w:val="single" w:sz="4" w:space="0" w:color="auto"/>
            </w:tcBorders>
            <w:shd w:val="clear" w:color="auto" w:fill="auto"/>
            <w:noWrap/>
            <w:vAlign w:val="center"/>
          </w:tcPr>
          <w:p w14:paraId="419511A4" w14:textId="77777777" w:rsidR="009A4C46" w:rsidRPr="009A4C46" w:rsidRDefault="009A4C46">
            <w:pPr>
              <w:spacing w:after="0" w:line="240" w:lineRule="auto"/>
              <w:jc w:val="center"/>
              <w:rPr>
                <w:rFonts w:eastAsia="Times New Roman"/>
                <w:lang w:eastAsia="ru-RU"/>
              </w:rPr>
            </w:pPr>
            <w:r w:rsidRPr="009A4C46">
              <w:rPr>
                <w:rFonts w:eastAsia="Times New Roman"/>
                <w:lang w:eastAsia="ru-RU"/>
              </w:rPr>
              <w:t>-</w:t>
            </w:r>
          </w:p>
        </w:tc>
        <w:tc>
          <w:tcPr>
            <w:tcW w:w="779" w:type="pct"/>
            <w:tcBorders>
              <w:top w:val="nil"/>
              <w:left w:val="nil"/>
              <w:bottom w:val="single" w:sz="4" w:space="0" w:color="auto"/>
              <w:right w:val="nil"/>
            </w:tcBorders>
            <w:shd w:val="clear" w:color="auto" w:fill="auto"/>
            <w:noWrap/>
            <w:vAlign w:val="center"/>
          </w:tcPr>
          <w:p w14:paraId="0ED28F7B" w14:textId="77777777" w:rsidR="009A4C46" w:rsidRPr="009A4C46" w:rsidRDefault="009A4C46">
            <w:pPr>
              <w:spacing w:after="0" w:line="240" w:lineRule="auto"/>
              <w:jc w:val="center"/>
              <w:rPr>
                <w:rFonts w:eastAsia="Times New Roman"/>
                <w:lang w:eastAsia="ru-RU"/>
              </w:rPr>
            </w:pPr>
            <w:r w:rsidRPr="009A4C46">
              <w:rPr>
                <w:rFonts w:eastAsia="Times New Roman"/>
                <w:lang w:eastAsia="ru-RU"/>
              </w:rPr>
              <w:t>-</w:t>
            </w:r>
          </w:p>
        </w:tc>
        <w:tc>
          <w:tcPr>
            <w:tcW w:w="804" w:type="pct"/>
            <w:tcBorders>
              <w:top w:val="nil"/>
              <w:left w:val="single" w:sz="4" w:space="0" w:color="auto"/>
              <w:bottom w:val="single" w:sz="4" w:space="0" w:color="auto"/>
              <w:right w:val="single" w:sz="4" w:space="0" w:color="auto"/>
            </w:tcBorders>
            <w:shd w:val="clear" w:color="auto" w:fill="auto"/>
            <w:noWrap/>
            <w:vAlign w:val="center"/>
          </w:tcPr>
          <w:p w14:paraId="3ED71F6D" w14:textId="77777777" w:rsidR="009A4C46" w:rsidRPr="009A4C46" w:rsidRDefault="009A4C46">
            <w:pPr>
              <w:spacing w:after="0" w:line="240" w:lineRule="auto"/>
              <w:jc w:val="center"/>
              <w:rPr>
                <w:rFonts w:eastAsia="Times New Roman"/>
                <w:lang w:eastAsia="ru-RU"/>
              </w:rPr>
            </w:pPr>
            <w:r w:rsidRPr="009A4C46">
              <w:rPr>
                <w:rFonts w:eastAsia="Times New Roman"/>
                <w:lang w:eastAsia="ru-RU"/>
              </w:rPr>
              <w:t>-</w:t>
            </w:r>
          </w:p>
        </w:tc>
        <w:tc>
          <w:tcPr>
            <w:tcW w:w="759" w:type="pct"/>
            <w:tcBorders>
              <w:top w:val="single" w:sz="4" w:space="0" w:color="auto"/>
              <w:left w:val="single" w:sz="4" w:space="0" w:color="auto"/>
              <w:bottom w:val="single" w:sz="4" w:space="0" w:color="auto"/>
              <w:right w:val="single" w:sz="4" w:space="0" w:color="auto"/>
            </w:tcBorders>
            <w:shd w:val="clear" w:color="auto" w:fill="auto"/>
            <w:vAlign w:val="center"/>
          </w:tcPr>
          <w:p w14:paraId="5DDD65D9" w14:textId="77777777" w:rsidR="009A4C46" w:rsidRPr="009A4C46" w:rsidRDefault="009A4C46">
            <w:pPr>
              <w:spacing w:after="0" w:line="240" w:lineRule="auto"/>
              <w:jc w:val="center"/>
              <w:rPr>
                <w:rFonts w:eastAsia="Times New Roman"/>
                <w:lang w:eastAsia="ru-RU"/>
              </w:rPr>
            </w:pPr>
            <w:r w:rsidRPr="009A4C46">
              <w:rPr>
                <w:rFonts w:eastAsia="Times New Roman"/>
                <w:lang w:eastAsia="ru-RU"/>
              </w:rPr>
              <w:t>-</w:t>
            </w:r>
          </w:p>
        </w:tc>
      </w:tr>
      <w:tr w:rsidR="009A4C46" w:rsidRPr="009A4C46" w14:paraId="2AD76ED4" w14:textId="77777777" w:rsidTr="00F94FED">
        <w:trPr>
          <w:trHeight w:val="300"/>
        </w:trPr>
        <w:tc>
          <w:tcPr>
            <w:tcW w:w="1284" w:type="pct"/>
            <w:tcBorders>
              <w:top w:val="nil"/>
              <w:left w:val="single" w:sz="8" w:space="0" w:color="auto"/>
              <w:bottom w:val="single" w:sz="4" w:space="0" w:color="auto"/>
              <w:right w:val="single" w:sz="4" w:space="0" w:color="auto"/>
            </w:tcBorders>
            <w:shd w:val="clear" w:color="auto" w:fill="auto"/>
            <w:vAlign w:val="center"/>
          </w:tcPr>
          <w:p w14:paraId="398A992E" w14:textId="77777777" w:rsidR="009A4C46" w:rsidRPr="009A4C46" w:rsidRDefault="009A4C46" w:rsidP="00E169B0">
            <w:pPr>
              <w:spacing w:after="0" w:line="240" w:lineRule="auto"/>
              <w:rPr>
                <w:rFonts w:eastAsia="Times New Roman"/>
                <w:lang w:eastAsia="ru-RU"/>
              </w:rPr>
            </w:pPr>
            <w:r w:rsidRPr="009A4C46">
              <w:rPr>
                <w:rFonts w:eastAsia="Times New Roman"/>
                <w:lang w:eastAsia="ru-RU"/>
              </w:rPr>
              <w:t>Проверка прибыли на капитальные вложения (не более 12% от НВВ на содержание сетей)</w:t>
            </w:r>
          </w:p>
        </w:tc>
        <w:tc>
          <w:tcPr>
            <w:tcW w:w="597" w:type="pct"/>
            <w:tcBorders>
              <w:top w:val="nil"/>
              <w:left w:val="nil"/>
              <w:bottom w:val="single" w:sz="4" w:space="0" w:color="auto"/>
              <w:right w:val="nil"/>
            </w:tcBorders>
            <w:shd w:val="clear" w:color="auto" w:fill="auto"/>
            <w:noWrap/>
            <w:vAlign w:val="center"/>
          </w:tcPr>
          <w:p w14:paraId="152355BA" w14:textId="77777777" w:rsidR="009A4C46" w:rsidRPr="009A4C46" w:rsidRDefault="009A4C46" w:rsidP="003E2802">
            <w:pPr>
              <w:spacing w:after="0" w:line="240" w:lineRule="auto"/>
              <w:jc w:val="center"/>
              <w:rPr>
                <w:rFonts w:eastAsia="Times New Roman"/>
                <w:lang w:eastAsia="ru-RU"/>
              </w:rPr>
            </w:pPr>
            <w:r w:rsidRPr="009A4C46">
              <w:rPr>
                <w:rFonts w:eastAsia="Times New Roman"/>
                <w:lang w:eastAsia="ru-RU"/>
              </w:rPr>
              <w:t>тыс. руб.</w:t>
            </w:r>
          </w:p>
        </w:tc>
        <w:tc>
          <w:tcPr>
            <w:tcW w:w="778" w:type="pct"/>
            <w:tcBorders>
              <w:top w:val="nil"/>
              <w:left w:val="single" w:sz="4" w:space="0" w:color="auto"/>
              <w:bottom w:val="single" w:sz="4" w:space="0" w:color="auto"/>
              <w:right w:val="single" w:sz="4" w:space="0" w:color="auto"/>
            </w:tcBorders>
            <w:shd w:val="clear" w:color="auto" w:fill="auto"/>
            <w:noWrap/>
            <w:vAlign w:val="center"/>
          </w:tcPr>
          <w:p w14:paraId="079C7626" w14:textId="77777777" w:rsidR="009A4C46" w:rsidRPr="009A4C46" w:rsidRDefault="009A4C46">
            <w:pPr>
              <w:spacing w:after="0" w:line="240" w:lineRule="auto"/>
              <w:jc w:val="center"/>
              <w:rPr>
                <w:rFonts w:eastAsia="Times New Roman"/>
                <w:lang w:eastAsia="ru-RU"/>
              </w:rPr>
            </w:pPr>
            <w:r w:rsidRPr="009A4C46">
              <w:rPr>
                <w:rFonts w:eastAsia="Times New Roman"/>
                <w:lang w:eastAsia="ru-RU"/>
              </w:rPr>
              <w:t>0,00%</w:t>
            </w:r>
          </w:p>
        </w:tc>
        <w:tc>
          <w:tcPr>
            <w:tcW w:w="779" w:type="pct"/>
            <w:tcBorders>
              <w:top w:val="nil"/>
              <w:left w:val="nil"/>
              <w:bottom w:val="single" w:sz="4" w:space="0" w:color="auto"/>
              <w:right w:val="single" w:sz="4" w:space="0" w:color="auto"/>
            </w:tcBorders>
            <w:shd w:val="clear" w:color="auto" w:fill="auto"/>
            <w:noWrap/>
            <w:vAlign w:val="center"/>
          </w:tcPr>
          <w:p w14:paraId="186D3E6A" w14:textId="77777777" w:rsidR="009A4C46" w:rsidRPr="009A4C46" w:rsidRDefault="009A4C46">
            <w:pPr>
              <w:spacing w:after="0" w:line="240" w:lineRule="auto"/>
              <w:jc w:val="center"/>
              <w:rPr>
                <w:rFonts w:eastAsia="Times New Roman"/>
                <w:lang w:eastAsia="ru-RU"/>
              </w:rPr>
            </w:pPr>
            <w:r w:rsidRPr="009A4C46">
              <w:rPr>
                <w:rFonts w:eastAsia="Times New Roman"/>
                <w:lang w:eastAsia="ru-RU"/>
              </w:rPr>
              <w:t>0,00%</w:t>
            </w:r>
          </w:p>
        </w:tc>
        <w:tc>
          <w:tcPr>
            <w:tcW w:w="804" w:type="pct"/>
            <w:tcBorders>
              <w:top w:val="nil"/>
              <w:left w:val="nil"/>
              <w:bottom w:val="single" w:sz="4" w:space="0" w:color="auto"/>
              <w:right w:val="single" w:sz="4" w:space="0" w:color="auto"/>
            </w:tcBorders>
            <w:shd w:val="clear" w:color="auto" w:fill="auto"/>
            <w:noWrap/>
            <w:vAlign w:val="center"/>
          </w:tcPr>
          <w:p w14:paraId="32001B3C" w14:textId="77777777" w:rsidR="009A4C46" w:rsidRPr="009A4C46" w:rsidRDefault="009A4C46">
            <w:pPr>
              <w:spacing w:after="0" w:line="240" w:lineRule="auto"/>
              <w:jc w:val="center"/>
              <w:rPr>
                <w:rFonts w:eastAsia="Times New Roman"/>
                <w:lang w:eastAsia="ru-RU"/>
              </w:rPr>
            </w:pPr>
            <w:r w:rsidRPr="009A4C46">
              <w:rPr>
                <w:rFonts w:eastAsia="Times New Roman"/>
                <w:lang w:eastAsia="ru-RU"/>
              </w:rPr>
              <w:t>0,00%</w:t>
            </w:r>
          </w:p>
        </w:tc>
        <w:tc>
          <w:tcPr>
            <w:tcW w:w="759" w:type="pct"/>
            <w:tcBorders>
              <w:top w:val="single" w:sz="4" w:space="0" w:color="auto"/>
              <w:left w:val="single" w:sz="4" w:space="0" w:color="auto"/>
              <w:bottom w:val="single" w:sz="4" w:space="0" w:color="auto"/>
              <w:right w:val="single" w:sz="4" w:space="0" w:color="auto"/>
            </w:tcBorders>
            <w:shd w:val="clear" w:color="auto" w:fill="auto"/>
            <w:vAlign w:val="center"/>
          </w:tcPr>
          <w:p w14:paraId="4921A583" w14:textId="77777777" w:rsidR="009A4C46" w:rsidRPr="009A4C46" w:rsidRDefault="009A4C46">
            <w:pPr>
              <w:spacing w:after="0" w:line="240" w:lineRule="auto"/>
              <w:jc w:val="center"/>
              <w:rPr>
                <w:rFonts w:eastAsia="Times New Roman"/>
                <w:lang w:eastAsia="ru-RU"/>
              </w:rPr>
            </w:pPr>
            <w:r w:rsidRPr="009A4C46">
              <w:rPr>
                <w:rFonts w:eastAsia="Times New Roman"/>
                <w:lang w:eastAsia="ru-RU"/>
              </w:rPr>
              <w:t>-</w:t>
            </w:r>
          </w:p>
        </w:tc>
      </w:tr>
      <w:tr w:rsidR="00F94FED" w:rsidRPr="009A4C46" w14:paraId="0F07A1F9" w14:textId="77777777" w:rsidTr="008B0B3C">
        <w:trPr>
          <w:trHeight w:val="300"/>
        </w:trPr>
        <w:tc>
          <w:tcPr>
            <w:tcW w:w="1284" w:type="pct"/>
            <w:tcBorders>
              <w:top w:val="nil"/>
              <w:left w:val="single" w:sz="8" w:space="0" w:color="auto"/>
              <w:bottom w:val="single" w:sz="4" w:space="0" w:color="auto"/>
              <w:right w:val="single" w:sz="4" w:space="0" w:color="auto"/>
            </w:tcBorders>
            <w:shd w:val="clear" w:color="auto" w:fill="D6E3BC" w:themeFill="accent3" w:themeFillTint="66"/>
            <w:vAlign w:val="center"/>
          </w:tcPr>
          <w:p w14:paraId="25C3857F" w14:textId="77777777" w:rsidR="009A4C46" w:rsidRPr="009A4C46" w:rsidRDefault="009A4C46" w:rsidP="00E169B0">
            <w:pPr>
              <w:spacing w:after="0" w:line="240" w:lineRule="auto"/>
              <w:rPr>
                <w:rFonts w:eastAsia="Times New Roman"/>
                <w:lang w:eastAsia="ru-RU"/>
              </w:rPr>
            </w:pPr>
            <w:r w:rsidRPr="009A4C46">
              <w:rPr>
                <w:rFonts w:eastAsia="Times New Roman"/>
                <w:b/>
                <w:lang w:eastAsia="ru-RU"/>
              </w:rPr>
              <w:t>ИТОГО неподконтрольных расходов</w:t>
            </w:r>
          </w:p>
        </w:tc>
        <w:tc>
          <w:tcPr>
            <w:tcW w:w="597" w:type="pct"/>
            <w:tcBorders>
              <w:top w:val="nil"/>
              <w:left w:val="nil"/>
              <w:bottom w:val="single" w:sz="4" w:space="0" w:color="auto"/>
              <w:right w:val="nil"/>
            </w:tcBorders>
            <w:shd w:val="clear" w:color="auto" w:fill="D6E3BC" w:themeFill="accent3" w:themeFillTint="66"/>
            <w:noWrap/>
            <w:vAlign w:val="center"/>
          </w:tcPr>
          <w:p w14:paraId="58E521BE" w14:textId="77777777" w:rsidR="009A4C46" w:rsidRPr="009A4C46" w:rsidRDefault="009A4C46" w:rsidP="003E2802">
            <w:pPr>
              <w:spacing w:after="0" w:line="240" w:lineRule="auto"/>
              <w:jc w:val="center"/>
              <w:rPr>
                <w:rFonts w:eastAsia="Times New Roman"/>
                <w:lang w:eastAsia="ru-RU"/>
              </w:rPr>
            </w:pPr>
            <w:r w:rsidRPr="009A4C46">
              <w:rPr>
                <w:rFonts w:eastAsia="Times New Roman"/>
                <w:b/>
                <w:lang w:eastAsia="ru-RU"/>
              </w:rPr>
              <w:t>тыс. руб.</w:t>
            </w:r>
          </w:p>
        </w:tc>
        <w:tc>
          <w:tcPr>
            <w:tcW w:w="778" w:type="pct"/>
            <w:tcBorders>
              <w:top w:val="nil"/>
              <w:left w:val="single" w:sz="4" w:space="0" w:color="auto"/>
              <w:bottom w:val="single" w:sz="4" w:space="0" w:color="auto"/>
              <w:right w:val="single" w:sz="4" w:space="0" w:color="auto"/>
            </w:tcBorders>
            <w:shd w:val="clear" w:color="auto" w:fill="D6E3BC" w:themeFill="accent3" w:themeFillTint="66"/>
            <w:noWrap/>
            <w:vAlign w:val="center"/>
          </w:tcPr>
          <w:p w14:paraId="694C503C" w14:textId="77777777" w:rsidR="009A4C46" w:rsidRPr="009A4C46" w:rsidRDefault="009A4C46">
            <w:pPr>
              <w:spacing w:after="0" w:line="240" w:lineRule="auto"/>
              <w:jc w:val="center"/>
              <w:rPr>
                <w:rFonts w:eastAsia="Times New Roman"/>
                <w:lang w:eastAsia="ru-RU"/>
              </w:rPr>
            </w:pPr>
            <w:r w:rsidRPr="009A4C46">
              <w:rPr>
                <w:rFonts w:eastAsia="Times New Roman"/>
                <w:b/>
                <w:lang w:eastAsia="ru-RU"/>
              </w:rPr>
              <w:t>559 723,00</w:t>
            </w:r>
          </w:p>
        </w:tc>
        <w:tc>
          <w:tcPr>
            <w:tcW w:w="779" w:type="pct"/>
            <w:tcBorders>
              <w:top w:val="nil"/>
              <w:left w:val="nil"/>
              <w:bottom w:val="single" w:sz="4" w:space="0" w:color="auto"/>
              <w:right w:val="nil"/>
            </w:tcBorders>
            <w:shd w:val="clear" w:color="auto" w:fill="D6E3BC" w:themeFill="accent3" w:themeFillTint="66"/>
            <w:noWrap/>
            <w:vAlign w:val="center"/>
          </w:tcPr>
          <w:p w14:paraId="2FAF0250" w14:textId="77777777" w:rsidR="009A4C46" w:rsidRPr="009A4C46" w:rsidRDefault="009A4C46">
            <w:pPr>
              <w:spacing w:after="0" w:line="240" w:lineRule="auto"/>
              <w:jc w:val="center"/>
              <w:rPr>
                <w:rFonts w:eastAsia="Times New Roman"/>
                <w:lang w:eastAsia="ru-RU"/>
              </w:rPr>
            </w:pPr>
            <w:r w:rsidRPr="009A4C46">
              <w:rPr>
                <w:rFonts w:eastAsia="Times New Roman"/>
                <w:b/>
                <w:lang w:eastAsia="ru-RU"/>
              </w:rPr>
              <w:t>582 627,80</w:t>
            </w:r>
          </w:p>
        </w:tc>
        <w:tc>
          <w:tcPr>
            <w:tcW w:w="804" w:type="pct"/>
            <w:tcBorders>
              <w:top w:val="nil"/>
              <w:left w:val="single" w:sz="4" w:space="0" w:color="auto"/>
              <w:bottom w:val="single" w:sz="4" w:space="0" w:color="auto"/>
              <w:right w:val="single" w:sz="4" w:space="0" w:color="auto"/>
            </w:tcBorders>
            <w:shd w:val="clear" w:color="auto" w:fill="D6E3BC" w:themeFill="accent3" w:themeFillTint="66"/>
            <w:noWrap/>
            <w:vAlign w:val="center"/>
          </w:tcPr>
          <w:p w14:paraId="67F87BD8" w14:textId="77777777" w:rsidR="009A4C46" w:rsidRPr="009A4C46" w:rsidRDefault="009A4C46">
            <w:pPr>
              <w:spacing w:after="0" w:line="240" w:lineRule="auto"/>
              <w:jc w:val="center"/>
              <w:rPr>
                <w:rFonts w:eastAsia="Times New Roman"/>
                <w:lang w:eastAsia="ru-RU"/>
              </w:rPr>
            </w:pPr>
            <w:r w:rsidRPr="009A4C46">
              <w:rPr>
                <w:rFonts w:eastAsia="Times New Roman"/>
                <w:b/>
                <w:lang w:eastAsia="ru-RU"/>
              </w:rPr>
              <w:t xml:space="preserve">1 252 815,06 </w:t>
            </w:r>
          </w:p>
        </w:tc>
        <w:tc>
          <w:tcPr>
            <w:tcW w:w="759" w:type="pc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tcPr>
          <w:p w14:paraId="42B403EE" w14:textId="77777777" w:rsidR="009A4C46" w:rsidRPr="009A4C46" w:rsidRDefault="009A4C46">
            <w:pPr>
              <w:spacing w:after="0" w:line="240" w:lineRule="auto"/>
              <w:jc w:val="center"/>
              <w:rPr>
                <w:rFonts w:eastAsia="Times New Roman"/>
                <w:lang w:eastAsia="ru-RU"/>
              </w:rPr>
            </w:pPr>
            <w:r w:rsidRPr="009A4C46">
              <w:rPr>
                <w:rFonts w:eastAsia="Times New Roman"/>
                <w:b/>
                <w:bCs/>
                <w:lang w:eastAsia="ru-RU"/>
              </w:rPr>
              <w:t>670 187,27</w:t>
            </w:r>
          </w:p>
        </w:tc>
      </w:tr>
      <w:tr w:rsidR="009A4C46" w:rsidRPr="009A4C46" w14:paraId="05BC1C16" w14:textId="77777777" w:rsidTr="008B0B3C">
        <w:trPr>
          <w:trHeight w:val="300"/>
        </w:trPr>
        <w:tc>
          <w:tcPr>
            <w:tcW w:w="1284" w:type="pct"/>
            <w:tcBorders>
              <w:top w:val="nil"/>
              <w:left w:val="single" w:sz="8" w:space="0" w:color="auto"/>
              <w:bottom w:val="single" w:sz="4" w:space="0" w:color="auto"/>
              <w:right w:val="single" w:sz="4" w:space="0" w:color="auto"/>
            </w:tcBorders>
            <w:shd w:val="clear" w:color="auto" w:fill="D6E3BC" w:themeFill="accent3" w:themeFillTint="66"/>
            <w:vAlign w:val="center"/>
          </w:tcPr>
          <w:p w14:paraId="32DD7F23" w14:textId="77777777" w:rsidR="009A4C46" w:rsidRPr="009A4C46" w:rsidRDefault="009A4C46" w:rsidP="00E169B0">
            <w:pPr>
              <w:spacing w:after="0" w:line="240" w:lineRule="auto"/>
              <w:rPr>
                <w:rFonts w:eastAsia="Times New Roman"/>
                <w:b/>
                <w:lang w:eastAsia="ru-RU"/>
              </w:rPr>
            </w:pPr>
            <w:r w:rsidRPr="009A4C46">
              <w:rPr>
                <w:rFonts w:eastAsia="Times New Roman"/>
                <w:b/>
                <w:lang w:eastAsia="ru-RU"/>
              </w:rPr>
              <w:t>Итого подконтрольные и неподконтрольные расходы</w:t>
            </w:r>
          </w:p>
        </w:tc>
        <w:tc>
          <w:tcPr>
            <w:tcW w:w="597" w:type="pct"/>
            <w:tcBorders>
              <w:top w:val="single" w:sz="4" w:space="0" w:color="auto"/>
              <w:left w:val="nil"/>
              <w:bottom w:val="single" w:sz="4" w:space="0" w:color="auto"/>
              <w:right w:val="single" w:sz="4" w:space="0" w:color="auto"/>
            </w:tcBorders>
            <w:shd w:val="clear" w:color="auto" w:fill="D6E3BC" w:themeFill="accent3" w:themeFillTint="66"/>
            <w:noWrap/>
            <w:vAlign w:val="center"/>
          </w:tcPr>
          <w:p w14:paraId="76632599" w14:textId="77777777" w:rsidR="009A4C46" w:rsidRPr="009A4C46" w:rsidRDefault="009A4C46" w:rsidP="003E2802">
            <w:pPr>
              <w:spacing w:after="0" w:line="240" w:lineRule="auto"/>
              <w:jc w:val="center"/>
              <w:rPr>
                <w:rFonts w:eastAsia="Times New Roman"/>
                <w:b/>
                <w:lang w:eastAsia="ru-RU"/>
              </w:rPr>
            </w:pPr>
            <w:r w:rsidRPr="009A4C46">
              <w:rPr>
                <w:rFonts w:eastAsia="Times New Roman"/>
                <w:b/>
                <w:lang w:eastAsia="ru-RU"/>
              </w:rPr>
              <w:t>тыс. руб.</w:t>
            </w:r>
          </w:p>
        </w:tc>
        <w:tc>
          <w:tcPr>
            <w:tcW w:w="778" w:type="pct"/>
            <w:tcBorders>
              <w:top w:val="single" w:sz="4" w:space="0" w:color="auto"/>
              <w:left w:val="single" w:sz="4" w:space="0" w:color="auto"/>
              <w:bottom w:val="single" w:sz="4" w:space="0" w:color="auto"/>
              <w:right w:val="single" w:sz="4" w:space="0" w:color="auto"/>
            </w:tcBorders>
            <w:shd w:val="clear" w:color="auto" w:fill="D6E3BC" w:themeFill="accent3" w:themeFillTint="66"/>
            <w:noWrap/>
            <w:vAlign w:val="center"/>
          </w:tcPr>
          <w:p w14:paraId="54A64E26" w14:textId="77777777" w:rsidR="009A4C46" w:rsidRPr="009A4C46" w:rsidRDefault="009A4C46">
            <w:pPr>
              <w:spacing w:after="0" w:line="240" w:lineRule="auto"/>
              <w:rPr>
                <w:rFonts w:eastAsia="Times New Roman"/>
                <w:b/>
                <w:lang w:eastAsia="ru-RU"/>
              </w:rPr>
            </w:pPr>
            <w:r w:rsidRPr="009A4C46">
              <w:rPr>
                <w:rFonts w:eastAsia="Times New Roman"/>
                <w:b/>
                <w:lang w:eastAsia="ru-RU"/>
              </w:rPr>
              <w:t>1 124 378,00</w:t>
            </w:r>
          </w:p>
        </w:tc>
        <w:tc>
          <w:tcPr>
            <w:tcW w:w="779" w:type="pct"/>
            <w:tcBorders>
              <w:top w:val="single" w:sz="4" w:space="0" w:color="auto"/>
              <w:left w:val="single" w:sz="4" w:space="0" w:color="auto"/>
              <w:bottom w:val="single" w:sz="4" w:space="0" w:color="auto"/>
              <w:right w:val="single" w:sz="4" w:space="0" w:color="auto"/>
            </w:tcBorders>
            <w:shd w:val="clear" w:color="auto" w:fill="D6E3BC" w:themeFill="accent3" w:themeFillTint="66"/>
            <w:noWrap/>
            <w:vAlign w:val="center"/>
          </w:tcPr>
          <w:p w14:paraId="0B10F37B" w14:textId="77777777" w:rsidR="009A4C46" w:rsidRPr="009A4C46" w:rsidRDefault="009A4C46">
            <w:pPr>
              <w:spacing w:after="0" w:line="240" w:lineRule="auto"/>
              <w:rPr>
                <w:rFonts w:eastAsia="Times New Roman"/>
                <w:b/>
                <w:lang w:eastAsia="ru-RU"/>
              </w:rPr>
            </w:pPr>
            <w:r w:rsidRPr="009A4C46">
              <w:rPr>
                <w:rFonts w:eastAsia="Times New Roman"/>
                <w:b/>
                <w:lang w:eastAsia="ru-RU"/>
              </w:rPr>
              <w:t>1 163 996,58</w:t>
            </w:r>
          </w:p>
        </w:tc>
        <w:tc>
          <w:tcPr>
            <w:tcW w:w="804" w:type="pct"/>
            <w:tcBorders>
              <w:top w:val="single" w:sz="4" w:space="0" w:color="auto"/>
              <w:left w:val="single" w:sz="4" w:space="0" w:color="auto"/>
              <w:bottom w:val="single" w:sz="4" w:space="0" w:color="auto"/>
              <w:right w:val="single" w:sz="4" w:space="0" w:color="auto"/>
            </w:tcBorders>
            <w:shd w:val="clear" w:color="auto" w:fill="D6E3BC" w:themeFill="accent3" w:themeFillTint="66"/>
            <w:noWrap/>
            <w:vAlign w:val="center"/>
          </w:tcPr>
          <w:p w14:paraId="245969D6" w14:textId="77777777" w:rsidR="009A4C46" w:rsidRPr="009A4C46" w:rsidRDefault="009A4C46">
            <w:pPr>
              <w:spacing w:after="0" w:line="240" w:lineRule="auto"/>
              <w:jc w:val="center"/>
              <w:rPr>
                <w:rFonts w:eastAsia="Times New Roman"/>
                <w:b/>
                <w:lang w:eastAsia="ru-RU"/>
              </w:rPr>
            </w:pPr>
            <w:r w:rsidRPr="009A4C46">
              <w:rPr>
                <w:rFonts w:eastAsia="Times New Roman"/>
                <w:b/>
                <w:lang w:eastAsia="ru-RU"/>
              </w:rPr>
              <w:t>1 851 392,37</w:t>
            </w:r>
          </w:p>
        </w:tc>
        <w:tc>
          <w:tcPr>
            <w:tcW w:w="759" w:type="pc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tcPr>
          <w:p w14:paraId="153DFA68" w14:textId="77777777" w:rsidR="009A4C46" w:rsidRPr="009A4C46" w:rsidRDefault="009A4C46">
            <w:pPr>
              <w:spacing w:after="0" w:line="240" w:lineRule="auto"/>
              <w:jc w:val="center"/>
              <w:rPr>
                <w:rFonts w:eastAsia="Times New Roman"/>
                <w:b/>
                <w:bCs/>
                <w:lang w:eastAsia="ru-RU"/>
              </w:rPr>
            </w:pPr>
            <w:r w:rsidRPr="009A4C46">
              <w:rPr>
                <w:rFonts w:eastAsia="Times New Roman"/>
                <w:b/>
                <w:bCs/>
                <w:lang w:eastAsia="ru-RU"/>
              </w:rPr>
              <w:t>687 395,78</w:t>
            </w:r>
          </w:p>
        </w:tc>
      </w:tr>
      <w:tr w:rsidR="009A4C46" w:rsidRPr="009A4C46" w14:paraId="4B74439C" w14:textId="77777777" w:rsidTr="00F94FED">
        <w:trPr>
          <w:trHeight w:val="300"/>
        </w:trPr>
        <w:tc>
          <w:tcPr>
            <w:tcW w:w="1284" w:type="pct"/>
            <w:tcBorders>
              <w:top w:val="nil"/>
              <w:left w:val="single" w:sz="8" w:space="0" w:color="auto"/>
              <w:bottom w:val="single" w:sz="4" w:space="0" w:color="auto"/>
              <w:right w:val="single" w:sz="4" w:space="0" w:color="auto"/>
            </w:tcBorders>
            <w:shd w:val="clear" w:color="auto" w:fill="auto"/>
            <w:vAlign w:val="center"/>
          </w:tcPr>
          <w:p w14:paraId="1C8E233A" w14:textId="77777777" w:rsidR="009A4C46" w:rsidRPr="009A4C46" w:rsidRDefault="009A4C46" w:rsidP="00E169B0">
            <w:pPr>
              <w:spacing w:after="0" w:line="240" w:lineRule="auto"/>
              <w:rPr>
                <w:rFonts w:eastAsia="Times New Roman"/>
                <w:lang w:eastAsia="ru-RU"/>
              </w:rPr>
            </w:pPr>
            <w:r w:rsidRPr="009A4C46">
              <w:rPr>
                <w:rFonts w:eastAsia="Times New Roman"/>
                <w:lang w:eastAsia="ru-RU"/>
              </w:rPr>
              <w:t>Расходы, связанные с компенсацией незапланированных расходов или полученного избытка</w:t>
            </w:r>
          </w:p>
        </w:tc>
        <w:tc>
          <w:tcPr>
            <w:tcW w:w="597" w:type="pct"/>
            <w:tcBorders>
              <w:top w:val="single" w:sz="4" w:space="0" w:color="auto"/>
              <w:left w:val="nil"/>
              <w:bottom w:val="single" w:sz="4" w:space="0" w:color="auto"/>
              <w:right w:val="single" w:sz="4" w:space="0" w:color="auto"/>
            </w:tcBorders>
            <w:shd w:val="clear" w:color="auto" w:fill="auto"/>
            <w:noWrap/>
            <w:vAlign w:val="center"/>
          </w:tcPr>
          <w:p w14:paraId="13EA3A7F" w14:textId="77777777" w:rsidR="009A4C46" w:rsidRPr="009A4C46" w:rsidRDefault="009A4C46" w:rsidP="003E2802">
            <w:pPr>
              <w:spacing w:after="0" w:line="240" w:lineRule="auto"/>
              <w:jc w:val="center"/>
              <w:rPr>
                <w:rFonts w:eastAsia="Times New Roman"/>
                <w:lang w:eastAsia="ru-RU"/>
              </w:rPr>
            </w:pPr>
            <w:r w:rsidRPr="009A4C46">
              <w:rPr>
                <w:rFonts w:eastAsia="Times New Roman"/>
                <w:lang w:eastAsia="ru-RU"/>
              </w:rPr>
              <w:t>тыс. руб.</w:t>
            </w:r>
          </w:p>
        </w:tc>
        <w:tc>
          <w:tcPr>
            <w:tcW w:w="77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BD2C61F" w14:textId="77777777" w:rsidR="009A4C46" w:rsidRPr="009A4C46" w:rsidRDefault="009A4C46">
            <w:pPr>
              <w:spacing w:after="0" w:line="240" w:lineRule="auto"/>
              <w:jc w:val="center"/>
              <w:rPr>
                <w:rFonts w:eastAsia="Times New Roman"/>
                <w:lang w:eastAsia="ru-RU"/>
              </w:rPr>
            </w:pPr>
            <w:r w:rsidRPr="009A4C46">
              <w:rPr>
                <w:rFonts w:eastAsia="Times New Roman"/>
                <w:lang w:eastAsia="ru-RU"/>
              </w:rPr>
              <w:t>42 843,05</w:t>
            </w:r>
          </w:p>
        </w:tc>
        <w:tc>
          <w:tcPr>
            <w:tcW w:w="77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0075EA5" w14:textId="77777777" w:rsidR="009A4C46" w:rsidRPr="009A4C46" w:rsidRDefault="009A4C46">
            <w:pPr>
              <w:spacing w:after="0" w:line="240" w:lineRule="auto"/>
              <w:jc w:val="center"/>
              <w:rPr>
                <w:rFonts w:eastAsia="Times New Roman"/>
                <w:lang w:eastAsia="ru-RU"/>
              </w:rPr>
            </w:pPr>
            <w:r w:rsidRPr="009A4C46">
              <w:rPr>
                <w:rFonts w:eastAsia="Times New Roman"/>
                <w:lang w:eastAsia="ru-RU"/>
              </w:rPr>
              <w:t>48 026,47</w:t>
            </w:r>
          </w:p>
        </w:tc>
        <w:tc>
          <w:tcPr>
            <w:tcW w:w="804"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5C68914" w14:textId="77777777" w:rsidR="009A4C46" w:rsidRPr="009A4C46" w:rsidRDefault="009A4C46">
            <w:pPr>
              <w:spacing w:after="0" w:line="240" w:lineRule="auto"/>
              <w:jc w:val="center"/>
              <w:rPr>
                <w:rFonts w:eastAsia="Times New Roman"/>
                <w:lang w:eastAsia="ru-RU"/>
              </w:rPr>
            </w:pPr>
            <w:r w:rsidRPr="009A4C46">
              <w:rPr>
                <w:rFonts w:eastAsia="Times New Roman"/>
                <w:lang w:eastAsia="ru-RU"/>
              </w:rPr>
              <w:t>306 613,51</w:t>
            </w:r>
          </w:p>
        </w:tc>
        <w:tc>
          <w:tcPr>
            <w:tcW w:w="759" w:type="pct"/>
            <w:tcBorders>
              <w:top w:val="single" w:sz="4" w:space="0" w:color="auto"/>
              <w:left w:val="single" w:sz="4" w:space="0" w:color="auto"/>
              <w:bottom w:val="single" w:sz="4" w:space="0" w:color="auto"/>
              <w:right w:val="single" w:sz="4" w:space="0" w:color="auto"/>
            </w:tcBorders>
            <w:shd w:val="clear" w:color="auto" w:fill="auto"/>
            <w:vAlign w:val="center"/>
          </w:tcPr>
          <w:p w14:paraId="1C859365" w14:textId="77777777" w:rsidR="009A4C46" w:rsidRPr="009A4C46" w:rsidRDefault="009A4C46">
            <w:pPr>
              <w:spacing w:after="0" w:line="240" w:lineRule="auto"/>
              <w:jc w:val="center"/>
              <w:rPr>
                <w:rFonts w:eastAsia="Times New Roman"/>
                <w:bCs/>
                <w:lang w:eastAsia="ru-RU"/>
              </w:rPr>
            </w:pPr>
            <w:r w:rsidRPr="009A4C46">
              <w:rPr>
                <w:rFonts w:eastAsia="Times New Roman"/>
                <w:lang w:eastAsia="ru-RU"/>
              </w:rPr>
              <w:t>258 587,04</w:t>
            </w:r>
          </w:p>
        </w:tc>
      </w:tr>
      <w:tr w:rsidR="00F94FED" w:rsidRPr="009A4C46" w14:paraId="1FBBEE78" w14:textId="77777777" w:rsidTr="008B0B3C">
        <w:trPr>
          <w:trHeight w:val="300"/>
        </w:trPr>
        <w:tc>
          <w:tcPr>
            <w:tcW w:w="1284" w:type="pct"/>
            <w:tcBorders>
              <w:top w:val="nil"/>
              <w:left w:val="single" w:sz="8" w:space="0" w:color="auto"/>
              <w:bottom w:val="single" w:sz="4" w:space="0" w:color="auto"/>
              <w:right w:val="single" w:sz="4" w:space="0" w:color="auto"/>
            </w:tcBorders>
            <w:shd w:val="clear" w:color="auto" w:fill="D6E3BC" w:themeFill="accent3" w:themeFillTint="66"/>
            <w:vAlign w:val="center"/>
          </w:tcPr>
          <w:p w14:paraId="4652A12C" w14:textId="77777777" w:rsidR="009A4C46" w:rsidRPr="009A4C46" w:rsidRDefault="009A4C46" w:rsidP="00E169B0">
            <w:pPr>
              <w:spacing w:after="0" w:line="240" w:lineRule="auto"/>
              <w:rPr>
                <w:rFonts w:eastAsia="Times New Roman"/>
                <w:b/>
                <w:lang w:eastAsia="ru-RU"/>
              </w:rPr>
            </w:pPr>
            <w:r w:rsidRPr="009A4C46">
              <w:rPr>
                <w:rFonts w:eastAsia="Times New Roman"/>
                <w:b/>
                <w:lang w:eastAsia="ru-RU"/>
              </w:rPr>
              <w:t>Итого НВВ на содержание сетей</w:t>
            </w:r>
          </w:p>
        </w:tc>
        <w:tc>
          <w:tcPr>
            <w:tcW w:w="597" w:type="pct"/>
            <w:tcBorders>
              <w:top w:val="single" w:sz="4" w:space="0" w:color="auto"/>
              <w:left w:val="nil"/>
              <w:bottom w:val="single" w:sz="4" w:space="0" w:color="auto"/>
              <w:right w:val="nil"/>
            </w:tcBorders>
            <w:shd w:val="clear" w:color="auto" w:fill="D6E3BC" w:themeFill="accent3" w:themeFillTint="66"/>
            <w:noWrap/>
            <w:vAlign w:val="center"/>
          </w:tcPr>
          <w:p w14:paraId="6AFDE53B" w14:textId="77777777" w:rsidR="009A4C46" w:rsidRPr="009A4C46" w:rsidRDefault="009A4C46" w:rsidP="003E2802">
            <w:pPr>
              <w:spacing w:after="0" w:line="240" w:lineRule="auto"/>
              <w:jc w:val="center"/>
              <w:rPr>
                <w:rFonts w:eastAsia="Times New Roman"/>
                <w:b/>
                <w:lang w:eastAsia="ru-RU"/>
              </w:rPr>
            </w:pPr>
            <w:r w:rsidRPr="009A4C46">
              <w:rPr>
                <w:rFonts w:eastAsia="Times New Roman"/>
                <w:b/>
                <w:lang w:eastAsia="ru-RU"/>
              </w:rPr>
              <w:t>тыс. руб.</w:t>
            </w:r>
          </w:p>
        </w:tc>
        <w:tc>
          <w:tcPr>
            <w:tcW w:w="778" w:type="pct"/>
            <w:tcBorders>
              <w:top w:val="single" w:sz="4" w:space="0" w:color="auto"/>
              <w:left w:val="single" w:sz="4" w:space="0" w:color="auto"/>
              <w:bottom w:val="single" w:sz="4" w:space="0" w:color="auto"/>
              <w:right w:val="single" w:sz="4" w:space="0" w:color="auto"/>
            </w:tcBorders>
            <w:shd w:val="clear" w:color="auto" w:fill="D6E3BC" w:themeFill="accent3" w:themeFillTint="66"/>
            <w:noWrap/>
            <w:vAlign w:val="center"/>
          </w:tcPr>
          <w:p w14:paraId="294FF6E1" w14:textId="77777777" w:rsidR="009A4C46" w:rsidRPr="009A4C46" w:rsidRDefault="009A4C46">
            <w:pPr>
              <w:spacing w:after="0" w:line="240" w:lineRule="auto"/>
              <w:jc w:val="center"/>
              <w:rPr>
                <w:rFonts w:eastAsia="Times New Roman"/>
                <w:b/>
                <w:lang w:eastAsia="ru-RU"/>
              </w:rPr>
            </w:pPr>
            <w:r w:rsidRPr="009A4C46">
              <w:rPr>
                <w:rFonts w:eastAsia="Times New Roman"/>
                <w:b/>
                <w:lang w:eastAsia="ru-RU"/>
              </w:rPr>
              <w:t>1 167 221,05</w:t>
            </w:r>
          </w:p>
        </w:tc>
        <w:tc>
          <w:tcPr>
            <w:tcW w:w="779" w:type="pct"/>
            <w:tcBorders>
              <w:top w:val="single" w:sz="4" w:space="0" w:color="auto"/>
              <w:left w:val="nil"/>
              <w:bottom w:val="single" w:sz="4" w:space="0" w:color="auto"/>
              <w:right w:val="nil"/>
            </w:tcBorders>
            <w:shd w:val="clear" w:color="auto" w:fill="D6E3BC" w:themeFill="accent3" w:themeFillTint="66"/>
            <w:noWrap/>
            <w:vAlign w:val="center"/>
          </w:tcPr>
          <w:p w14:paraId="7BBEE5AF" w14:textId="77777777" w:rsidR="009A4C46" w:rsidRPr="009A4C46" w:rsidRDefault="009A4C46">
            <w:pPr>
              <w:spacing w:after="0" w:line="240" w:lineRule="auto"/>
              <w:jc w:val="center"/>
              <w:rPr>
                <w:rFonts w:eastAsia="Times New Roman"/>
                <w:b/>
                <w:lang w:eastAsia="ru-RU"/>
              </w:rPr>
            </w:pPr>
            <w:r w:rsidRPr="009A4C46">
              <w:rPr>
                <w:rFonts w:eastAsia="Times New Roman"/>
                <w:b/>
                <w:lang w:eastAsia="ru-RU"/>
              </w:rPr>
              <w:t>1 212 023,06</w:t>
            </w:r>
          </w:p>
        </w:tc>
        <w:tc>
          <w:tcPr>
            <w:tcW w:w="804" w:type="pct"/>
            <w:tcBorders>
              <w:top w:val="single" w:sz="4" w:space="0" w:color="auto"/>
              <w:left w:val="single" w:sz="4" w:space="0" w:color="auto"/>
              <w:bottom w:val="single" w:sz="4" w:space="0" w:color="auto"/>
              <w:right w:val="single" w:sz="8" w:space="0" w:color="auto"/>
            </w:tcBorders>
            <w:shd w:val="clear" w:color="auto" w:fill="D6E3BC" w:themeFill="accent3" w:themeFillTint="66"/>
            <w:noWrap/>
            <w:vAlign w:val="center"/>
          </w:tcPr>
          <w:p w14:paraId="657E6382" w14:textId="77777777" w:rsidR="009A4C46" w:rsidRPr="009A4C46" w:rsidRDefault="009A4C46">
            <w:pPr>
              <w:spacing w:after="0" w:line="240" w:lineRule="auto"/>
              <w:jc w:val="center"/>
              <w:rPr>
                <w:rFonts w:eastAsia="Times New Roman"/>
                <w:b/>
                <w:lang w:eastAsia="ru-RU"/>
              </w:rPr>
            </w:pPr>
            <w:r w:rsidRPr="009A4C46">
              <w:rPr>
                <w:rFonts w:eastAsia="Times New Roman"/>
                <w:b/>
                <w:lang w:eastAsia="ru-RU"/>
              </w:rPr>
              <w:t>2 158 005,87</w:t>
            </w:r>
          </w:p>
        </w:tc>
        <w:tc>
          <w:tcPr>
            <w:tcW w:w="759" w:type="pc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tcPr>
          <w:p w14:paraId="3CBC52A9" w14:textId="77777777" w:rsidR="009A4C46" w:rsidRPr="009A4C46" w:rsidRDefault="009A4C46">
            <w:pPr>
              <w:spacing w:after="0" w:line="240" w:lineRule="auto"/>
              <w:jc w:val="center"/>
              <w:rPr>
                <w:rFonts w:eastAsia="Times New Roman"/>
                <w:b/>
                <w:bCs/>
                <w:lang w:eastAsia="ru-RU"/>
              </w:rPr>
            </w:pPr>
            <w:r w:rsidRPr="009A4C46">
              <w:rPr>
                <w:rFonts w:eastAsia="Times New Roman"/>
                <w:b/>
                <w:bCs/>
                <w:lang w:eastAsia="ru-RU"/>
              </w:rPr>
              <w:t>945 982,82</w:t>
            </w:r>
          </w:p>
        </w:tc>
      </w:tr>
    </w:tbl>
    <w:p w14:paraId="418691C7" w14:textId="5E4931B9" w:rsidR="009A4C46" w:rsidRPr="00F94FED" w:rsidRDefault="009A4C46" w:rsidP="009A4C46">
      <w:pPr>
        <w:spacing w:after="32" w:line="360" w:lineRule="auto"/>
        <w:ind w:firstLine="567"/>
        <w:contextualSpacing/>
        <w:jc w:val="both"/>
        <w:rPr>
          <w:rFonts w:eastAsia="Calibri"/>
          <w:sz w:val="26"/>
          <w:szCs w:val="26"/>
        </w:rPr>
      </w:pPr>
      <w:r w:rsidRPr="00F94FED">
        <w:rPr>
          <w:rFonts w:eastAsia="Calibri"/>
          <w:sz w:val="26"/>
          <w:szCs w:val="26"/>
        </w:rPr>
        <w:t>По предложению АО «Тываэнерго» сумма неподконтрольных расходов на 2019 год составила 1</w:t>
      </w:r>
      <w:r w:rsidR="00FA50C9">
        <w:rPr>
          <w:rFonts w:eastAsia="Calibri"/>
          <w:sz w:val="26"/>
          <w:szCs w:val="26"/>
        </w:rPr>
        <w:t> </w:t>
      </w:r>
      <w:r w:rsidRPr="00F94FED">
        <w:rPr>
          <w:rFonts w:eastAsia="Calibri"/>
          <w:sz w:val="26"/>
          <w:szCs w:val="26"/>
        </w:rPr>
        <w:t>252</w:t>
      </w:r>
      <w:r w:rsidR="00FA50C9">
        <w:rPr>
          <w:rFonts w:eastAsia="Calibri"/>
          <w:sz w:val="26"/>
          <w:szCs w:val="26"/>
        </w:rPr>
        <w:t> </w:t>
      </w:r>
      <w:r w:rsidRPr="00F94FED">
        <w:rPr>
          <w:rFonts w:eastAsia="Calibri"/>
          <w:sz w:val="26"/>
          <w:szCs w:val="26"/>
        </w:rPr>
        <w:t>815,06 тыс. руб.</w:t>
      </w:r>
    </w:p>
    <w:p w14:paraId="6293480C" w14:textId="77777777" w:rsidR="009A4C46" w:rsidRPr="00F94FED" w:rsidRDefault="009A4C46" w:rsidP="009A4C46">
      <w:pPr>
        <w:spacing w:after="32" w:line="360" w:lineRule="auto"/>
        <w:ind w:firstLine="567"/>
        <w:contextualSpacing/>
        <w:jc w:val="both"/>
        <w:rPr>
          <w:rFonts w:eastAsia="Calibri"/>
          <w:sz w:val="26"/>
          <w:szCs w:val="26"/>
        </w:rPr>
      </w:pPr>
      <w:r w:rsidRPr="00F94FED">
        <w:rPr>
          <w:rFonts w:eastAsia="Calibri"/>
          <w:sz w:val="26"/>
          <w:szCs w:val="26"/>
        </w:rPr>
        <w:t>Согласно первоначальному предложению АО «Тываэнерго», увеличение неподконтрольных расходов на 2019 год относительно утвержденных Службой по тарифам Республики Тыва на 2018 года составило 670 187,27тыс. руб.</w:t>
      </w:r>
    </w:p>
    <w:p w14:paraId="473FDC82" w14:textId="2FA6C749" w:rsidR="009A4C46" w:rsidRPr="00F94FED" w:rsidRDefault="009A4C46" w:rsidP="009A4C46">
      <w:pPr>
        <w:spacing w:after="32" w:line="360" w:lineRule="auto"/>
        <w:ind w:firstLine="567"/>
        <w:contextualSpacing/>
        <w:jc w:val="both"/>
        <w:rPr>
          <w:rFonts w:eastAsia="Calibri"/>
          <w:sz w:val="26"/>
          <w:szCs w:val="26"/>
        </w:rPr>
      </w:pPr>
      <w:r w:rsidRPr="00F94FED">
        <w:rPr>
          <w:rFonts w:eastAsia="Calibri"/>
          <w:sz w:val="26"/>
          <w:szCs w:val="26"/>
        </w:rPr>
        <w:t>Всего общая сумма НВВ на содержание сетей предлагалась на уровне 2</w:t>
      </w:r>
      <w:r w:rsidR="00FA50C9">
        <w:rPr>
          <w:rFonts w:eastAsia="Calibri"/>
          <w:sz w:val="26"/>
          <w:szCs w:val="26"/>
        </w:rPr>
        <w:t> </w:t>
      </w:r>
      <w:r w:rsidRPr="00F94FED">
        <w:rPr>
          <w:rFonts w:eastAsia="Calibri"/>
          <w:sz w:val="26"/>
          <w:szCs w:val="26"/>
        </w:rPr>
        <w:t>158</w:t>
      </w:r>
      <w:r w:rsidR="00FA50C9">
        <w:rPr>
          <w:rFonts w:eastAsia="Calibri"/>
          <w:sz w:val="26"/>
          <w:szCs w:val="26"/>
        </w:rPr>
        <w:t> </w:t>
      </w:r>
      <w:r w:rsidRPr="00F94FED">
        <w:rPr>
          <w:rFonts w:eastAsia="Calibri"/>
          <w:sz w:val="26"/>
          <w:szCs w:val="26"/>
        </w:rPr>
        <w:t>005,87 тыс. руб., с ростом относительно утвержденного на 2018 года на 945</w:t>
      </w:r>
      <w:r w:rsidR="00FA50C9">
        <w:rPr>
          <w:rFonts w:eastAsia="Calibri"/>
          <w:sz w:val="26"/>
          <w:szCs w:val="26"/>
        </w:rPr>
        <w:t> </w:t>
      </w:r>
      <w:r w:rsidRPr="00F94FED">
        <w:rPr>
          <w:rFonts w:eastAsia="Calibri"/>
          <w:sz w:val="26"/>
          <w:szCs w:val="26"/>
        </w:rPr>
        <w:t>982,82 тыс. руб.</w:t>
      </w:r>
    </w:p>
    <w:p w14:paraId="77FB537F" w14:textId="388294F2" w:rsidR="009A4C46" w:rsidRPr="00F94FED" w:rsidRDefault="009A4C46" w:rsidP="009A4C46">
      <w:pPr>
        <w:spacing w:after="32" w:line="360" w:lineRule="auto"/>
        <w:ind w:firstLine="567"/>
        <w:contextualSpacing/>
        <w:jc w:val="both"/>
        <w:rPr>
          <w:rFonts w:eastAsia="Calibri"/>
          <w:sz w:val="26"/>
          <w:szCs w:val="26"/>
        </w:rPr>
      </w:pPr>
      <w:r w:rsidRPr="00F94FED">
        <w:rPr>
          <w:rFonts w:eastAsia="Calibri"/>
          <w:sz w:val="26"/>
          <w:szCs w:val="26"/>
        </w:rPr>
        <w:t>В последующем АО «Тываэнерго» скорректировало предложение по сумме НВВ до 7</w:t>
      </w:r>
      <w:r w:rsidR="00FA50C9">
        <w:rPr>
          <w:rFonts w:eastAsia="Calibri"/>
          <w:sz w:val="26"/>
          <w:szCs w:val="26"/>
        </w:rPr>
        <w:t> </w:t>
      </w:r>
      <w:r w:rsidRPr="00F94FED">
        <w:rPr>
          <w:rFonts w:eastAsia="Calibri"/>
          <w:sz w:val="26"/>
          <w:szCs w:val="26"/>
        </w:rPr>
        <w:t>293</w:t>
      </w:r>
      <w:r w:rsidR="00FA50C9">
        <w:rPr>
          <w:rFonts w:eastAsia="Calibri"/>
          <w:sz w:val="26"/>
          <w:szCs w:val="26"/>
        </w:rPr>
        <w:t> </w:t>
      </w:r>
      <w:r w:rsidRPr="00F94FED">
        <w:rPr>
          <w:rFonts w:eastAsia="Calibri"/>
          <w:sz w:val="26"/>
          <w:szCs w:val="26"/>
        </w:rPr>
        <w:t>583 тыс. руб., увеличив уровень неподконтрольных расходов с 1</w:t>
      </w:r>
      <w:r w:rsidR="00FA50C9">
        <w:rPr>
          <w:rFonts w:eastAsia="Calibri"/>
          <w:sz w:val="26"/>
          <w:szCs w:val="26"/>
        </w:rPr>
        <w:t> </w:t>
      </w:r>
      <w:r w:rsidRPr="00F94FED">
        <w:rPr>
          <w:rFonts w:eastAsia="Calibri"/>
          <w:sz w:val="26"/>
          <w:szCs w:val="26"/>
        </w:rPr>
        <w:t>252</w:t>
      </w:r>
      <w:r w:rsidR="00FA50C9">
        <w:rPr>
          <w:rFonts w:eastAsia="Calibri"/>
          <w:sz w:val="26"/>
          <w:szCs w:val="26"/>
        </w:rPr>
        <w:t> </w:t>
      </w:r>
      <w:r w:rsidRPr="00F94FED">
        <w:rPr>
          <w:rFonts w:eastAsia="Calibri"/>
          <w:sz w:val="26"/>
          <w:szCs w:val="26"/>
        </w:rPr>
        <w:t>815 тыс. руб. до 6</w:t>
      </w:r>
      <w:r w:rsidR="00FA50C9">
        <w:rPr>
          <w:rFonts w:eastAsia="Calibri"/>
          <w:sz w:val="26"/>
          <w:szCs w:val="26"/>
        </w:rPr>
        <w:t> </w:t>
      </w:r>
      <w:r w:rsidRPr="00F94FED">
        <w:rPr>
          <w:rFonts w:eastAsia="Calibri"/>
          <w:sz w:val="26"/>
          <w:szCs w:val="26"/>
        </w:rPr>
        <w:t>695</w:t>
      </w:r>
      <w:r w:rsidR="00FA50C9">
        <w:rPr>
          <w:rFonts w:eastAsia="Calibri"/>
          <w:sz w:val="26"/>
          <w:szCs w:val="26"/>
        </w:rPr>
        <w:t> </w:t>
      </w:r>
      <w:r w:rsidRPr="00F94FED">
        <w:rPr>
          <w:rFonts w:eastAsia="Calibri"/>
          <w:sz w:val="26"/>
          <w:szCs w:val="26"/>
        </w:rPr>
        <w:t>006 тыс. руб.</w:t>
      </w:r>
    </w:p>
    <w:p w14:paraId="7FBF1B08" w14:textId="7810DB2C" w:rsidR="009A4C46" w:rsidRPr="00F94FED" w:rsidRDefault="009A4C46" w:rsidP="009A4C46">
      <w:pPr>
        <w:spacing w:after="32" w:line="360" w:lineRule="auto"/>
        <w:ind w:firstLine="567"/>
        <w:contextualSpacing/>
        <w:jc w:val="both"/>
        <w:rPr>
          <w:rFonts w:eastAsia="Calibri"/>
          <w:bCs/>
          <w:color w:val="auto"/>
          <w:sz w:val="26"/>
          <w:szCs w:val="26"/>
        </w:rPr>
      </w:pPr>
      <w:r w:rsidRPr="00F94FED">
        <w:rPr>
          <w:rFonts w:eastAsia="Calibri"/>
          <w:bCs/>
          <w:color w:val="auto"/>
          <w:sz w:val="26"/>
          <w:szCs w:val="26"/>
        </w:rPr>
        <w:t>Величина расходов на покупку потерь, заявленная АО «Тываэнерго» в соответствии с таблицей «Расчет расходов на покупку потерь электрической энергии с учетом реализации положений статьи 36 Федерального закона от 26.03.2003 № 35-ФЗ «Об электроэнергетике» составила 325</w:t>
      </w:r>
      <w:r w:rsidR="00FA50C9">
        <w:rPr>
          <w:rFonts w:eastAsia="Calibri"/>
          <w:sz w:val="26"/>
          <w:szCs w:val="26"/>
        </w:rPr>
        <w:t> </w:t>
      </w:r>
      <w:r w:rsidRPr="00F94FED">
        <w:rPr>
          <w:rFonts w:eastAsia="Calibri"/>
          <w:bCs/>
          <w:color w:val="auto"/>
          <w:sz w:val="26"/>
          <w:szCs w:val="26"/>
        </w:rPr>
        <w:t xml:space="preserve">219тыс. руб. </w:t>
      </w:r>
    </w:p>
    <w:tbl>
      <w:tblPr>
        <w:tblW w:w="5000" w:type="pct"/>
        <w:tblLayout w:type="fixed"/>
        <w:tblLook w:val="04A0" w:firstRow="1" w:lastRow="0" w:firstColumn="1" w:lastColumn="0" w:noHBand="0" w:noVBand="1"/>
      </w:tblPr>
      <w:tblGrid>
        <w:gridCol w:w="2971"/>
        <w:gridCol w:w="1419"/>
        <w:gridCol w:w="1275"/>
        <w:gridCol w:w="1377"/>
        <w:gridCol w:w="1155"/>
        <w:gridCol w:w="1148"/>
      </w:tblGrid>
      <w:tr w:rsidR="009A4C46" w:rsidRPr="009A4C46" w14:paraId="44356F15" w14:textId="77777777" w:rsidTr="00F94FED">
        <w:trPr>
          <w:trHeight w:val="765"/>
          <w:tblHeader/>
        </w:trPr>
        <w:tc>
          <w:tcPr>
            <w:tcW w:w="159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17CF153" w14:textId="77777777" w:rsidR="009A4C46" w:rsidRPr="00F94FED" w:rsidRDefault="009A4C46" w:rsidP="00E169B0">
            <w:pPr>
              <w:spacing w:after="0" w:line="240" w:lineRule="auto"/>
              <w:jc w:val="center"/>
              <w:rPr>
                <w:rFonts w:eastAsia="Calibri"/>
                <w:b/>
                <w:color w:val="FFFFFF" w:themeColor="background1"/>
              </w:rPr>
            </w:pPr>
            <w:r w:rsidRPr="00F94FED">
              <w:rPr>
                <w:rFonts w:eastAsia="Calibri"/>
                <w:b/>
                <w:color w:val="FFFFFF" w:themeColor="background1"/>
              </w:rPr>
              <w:lastRenderedPageBreak/>
              <w:t>Наименование</w:t>
            </w:r>
          </w:p>
        </w:tc>
        <w:tc>
          <w:tcPr>
            <w:tcW w:w="7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142DAE4" w14:textId="77777777" w:rsidR="009A4C46" w:rsidRPr="00F94FED" w:rsidRDefault="009A4C46" w:rsidP="003E2802">
            <w:pPr>
              <w:spacing w:after="0" w:line="240" w:lineRule="auto"/>
              <w:jc w:val="center"/>
              <w:rPr>
                <w:rFonts w:eastAsia="Calibri"/>
                <w:b/>
                <w:color w:val="FFFFFF" w:themeColor="background1"/>
              </w:rPr>
            </w:pPr>
            <w:r w:rsidRPr="00F94FED">
              <w:rPr>
                <w:rFonts w:eastAsia="Calibri"/>
                <w:b/>
                <w:color w:val="FFFFFF" w:themeColor="background1"/>
              </w:rPr>
              <w:t>Ед. изм.</w:t>
            </w:r>
          </w:p>
        </w:tc>
        <w:tc>
          <w:tcPr>
            <w:tcW w:w="68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CD41938" w14:textId="77777777" w:rsidR="009A4C46" w:rsidRPr="00F94FED" w:rsidRDefault="009A4C46">
            <w:pPr>
              <w:spacing w:after="0" w:line="240" w:lineRule="auto"/>
              <w:jc w:val="center"/>
              <w:rPr>
                <w:rFonts w:eastAsia="Calibri"/>
                <w:b/>
                <w:color w:val="FFFFFF" w:themeColor="background1"/>
              </w:rPr>
            </w:pPr>
            <w:r w:rsidRPr="00F94FED">
              <w:rPr>
                <w:rFonts w:eastAsia="Calibri"/>
                <w:b/>
                <w:color w:val="FFFFFF" w:themeColor="background1"/>
              </w:rPr>
              <w:t>1 полугодие</w:t>
            </w:r>
          </w:p>
        </w:tc>
        <w:tc>
          <w:tcPr>
            <w:tcW w:w="73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FD8629D" w14:textId="77777777" w:rsidR="009A4C46" w:rsidRPr="00F94FED" w:rsidRDefault="009A4C46">
            <w:pPr>
              <w:spacing w:after="0" w:line="240" w:lineRule="auto"/>
              <w:jc w:val="center"/>
              <w:rPr>
                <w:rFonts w:eastAsia="Calibri"/>
                <w:b/>
                <w:color w:val="FFFFFF" w:themeColor="background1"/>
              </w:rPr>
            </w:pPr>
            <w:r w:rsidRPr="00F94FED">
              <w:rPr>
                <w:rFonts w:eastAsia="Calibri"/>
                <w:b/>
                <w:color w:val="FFFFFF" w:themeColor="background1"/>
              </w:rPr>
              <w:t>2 полугодие</w:t>
            </w:r>
          </w:p>
        </w:tc>
        <w:tc>
          <w:tcPr>
            <w:tcW w:w="61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B4C291B" w14:textId="77777777" w:rsidR="009A4C46" w:rsidRPr="00F94FED" w:rsidRDefault="009A4C46">
            <w:pPr>
              <w:spacing w:after="0" w:line="240" w:lineRule="auto"/>
              <w:jc w:val="center"/>
              <w:rPr>
                <w:rFonts w:eastAsia="Calibri"/>
                <w:b/>
                <w:color w:val="FFFFFF" w:themeColor="background1"/>
              </w:rPr>
            </w:pPr>
            <w:r w:rsidRPr="00F94FED">
              <w:rPr>
                <w:rFonts w:eastAsia="Calibri"/>
                <w:b/>
                <w:color w:val="FFFFFF" w:themeColor="background1"/>
              </w:rPr>
              <w:t>2019 год</w:t>
            </w:r>
          </w:p>
        </w:tc>
        <w:tc>
          <w:tcPr>
            <w:tcW w:w="6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3D1C541" w14:textId="39B50CBD" w:rsidR="009A4C46" w:rsidRPr="00F94FED" w:rsidRDefault="004640DA">
            <w:pPr>
              <w:spacing w:after="0" w:line="240" w:lineRule="auto"/>
              <w:jc w:val="center"/>
              <w:rPr>
                <w:rFonts w:eastAsia="Calibri"/>
                <w:b/>
                <w:color w:val="FFFFFF" w:themeColor="background1"/>
              </w:rPr>
            </w:pPr>
            <w:r w:rsidRPr="00F94FED">
              <w:rPr>
                <w:rFonts w:eastAsia="Calibri"/>
                <w:b/>
                <w:color w:val="FFFFFF" w:themeColor="background1"/>
              </w:rPr>
              <w:t>И</w:t>
            </w:r>
            <w:r w:rsidR="009A4C46" w:rsidRPr="00F94FED">
              <w:rPr>
                <w:rFonts w:eastAsia="Calibri"/>
                <w:b/>
                <w:color w:val="FFFFFF" w:themeColor="background1"/>
              </w:rPr>
              <w:t>ндекс 2019/</w:t>
            </w:r>
          </w:p>
          <w:p w14:paraId="41891D4A" w14:textId="77777777" w:rsidR="009A4C46" w:rsidRPr="00F94FED" w:rsidRDefault="009A4C46">
            <w:pPr>
              <w:spacing w:after="0" w:line="240" w:lineRule="auto"/>
              <w:jc w:val="center"/>
              <w:rPr>
                <w:rFonts w:eastAsia="Calibri"/>
                <w:b/>
                <w:color w:val="FFFFFF" w:themeColor="background1"/>
              </w:rPr>
            </w:pPr>
            <w:r w:rsidRPr="00F94FED">
              <w:rPr>
                <w:rFonts w:eastAsia="Calibri"/>
                <w:b/>
                <w:color w:val="FFFFFF" w:themeColor="background1"/>
              </w:rPr>
              <w:t xml:space="preserve">2018, </w:t>
            </w:r>
            <w:r w:rsidRPr="00F94FED">
              <w:rPr>
                <w:rFonts w:eastAsia="Calibri"/>
                <w:b/>
                <w:color w:val="FFFFFF" w:themeColor="background1"/>
              </w:rPr>
              <w:br/>
              <w:t>%</w:t>
            </w:r>
          </w:p>
        </w:tc>
      </w:tr>
      <w:tr w:rsidR="009A4C46" w:rsidRPr="009A4C46" w14:paraId="4DB15580" w14:textId="77777777" w:rsidTr="00F94FED">
        <w:trPr>
          <w:trHeight w:val="360"/>
        </w:trPr>
        <w:tc>
          <w:tcPr>
            <w:tcW w:w="1590" w:type="pct"/>
            <w:tcBorders>
              <w:top w:val="single" w:sz="4" w:space="0" w:color="FFFFFF" w:themeColor="background1"/>
              <w:left w:val="single" w:sz="4" w:space="0" w:color="auto"/>
              <w:bottom w:val="single" w:sz="4" w:space="0" w:color="auto"/>
              <w:right w:val="single" w:sz="4" w:space="0" w:color="auto"/>
            </w:tcBorders>
            <w:noWrap/>
            <w:vAlign w:val="center"/>
            <w:hideMark/>
          </w:tcPr>
          <w:p w14:paraId="50F3523E" w14:textId="77777777" w:rsidR="009A4C46" w:rsidRPr="009A4C46" w:rsidRDefault="009A4C46" w:rsidP="009A4C46">
            <w:pPr>
              <w:spacing w:after="0" w:line="240" w:lineRule="auto"/>
              <w:rPr>
                <w:rFonts w:eastAsia="Calibri"/>
                <w:color w:val="000000"/>
              </w:rPr>
            </w:pPr>
            <w:r w:rsidRPr="009A4C46">
              <w:rPr>
                <w:rFonts w:eastAsia="Calibri"/>
                <w:color w:val="000000"/>
              </w:rPr>
              <w:t xml:space="preserve">объем </w:t>
            </w:r>
          </w:p>
        </w:tc>
        <w:tc>
          <w:tcPr>
            <w:tcW w:w="759" w:type="pct"/>
            <w:tcBorders>
              <w:top w:val="single" w:sz="4" w:space="0" w:color="FFFFFF" w:themeColor="background1"/>
              <w:left w:val="single" w:sz="4" w:space="0" w:color="auto"/>
              <w:bottom w:val="single" w:sz="4" w:space="0" w:color="auto"/>
              <w:right w:val="single" w:sz="4" w:space="0" w:color="auto"/>
            </w:tcBorders>
            <w:noWrap/>
            <w:vAlign w:val="center"/>
            <w:hideMark/>
          </w:tcPr>
          <w:p w14:paraId="21A6F7A8" w14:textId="71B67BE9" w:rsidR="009A4C46" w:rsidRPr="009A4C46" w:rsidRDefault="009A4C46" w:rsidP="009A4C46">
            <w:pPr>
              <w:spacing w:after="0" w:line="240" w:lineRule="auto"/>
              <w:jc w:val="center"/>
              <w:rPr>
                <w:rFonts w:eastAsia="Calibri"/>
                <w:color w:val="000000"/>
              </w:rPr>
            </w:pPr>
            <w:r w:rsidRPr="009A4C46">
              <w:rPr>
                <w:rFonts w:eastAsia="Calibri"/>
                <w:color w:val="000000"/>
              </w:rPr>
              <w:t>млн. кВт</w:t>
            </w:r>
            <w:r w:rsidR="00D27B56">
              <w:rPr>
                <w:rFonts w:eastAsia="Calibri"/>
                <w:color w:val="000000"/>
              </w:rPr>
              <w:t>*</w:t>
            </w:r>
            <w:r w:rsidRPr="009A4C46">
              <w:rPr>
                <w:rFonts w:eastAsia="Calibri"/>
                <w:color w:val="000000"/>
              </w:rPr>
              <w:t>ч</w:t>
            </w:r>
          </w:p>
        </w:tc>
        <w:tc>
          <w:tcPr>
            <w:tcW w:w="682" w:type="pct"/>
            <w:tcBorders>
              <w:top w:val="single" w:sz="4" w:space="0" w:color="FFFFFF" w:themeColor="background1"/>
              <w:left w:val="single" w:sz="4" w:space="0" w:color="auto"/>
              <w:bottom w:val="single" w:sz="4" w:space="0" w:color="auto"/>
              <w:right w:val="single" w:sz="4" w:space="0" w:color="auto"/>
            </w:tcBorders>
            <w:noWrap/>
            <w:vAlign w:val="center"/>
            <w:hideMark/>
          </w:tcPr>
          <w:p w14:paraId="1D77A76C" w14:textId="77777777" w:rsidR="009A4C46" w:rsidRPr="009A4C46" w:rsidRDefault="009A4C46" w:rsidP="009A4C46">
            <w:pPr>
              <w:spacing w:after="0" w:line="240" w:lineRule="auto"/>
              <w:jc w:val="center"/>
              <w:rPr>
                <w:rFonts w:eastAsia="Calibri"/>
                <w:color w:val="000000"/>
              </w:rPr>
            </w:pPr>
            <w:r w:rsidRPr="009A4C46">
              <w:rPr>
                <w:rFonts w:eastAsia="Calibri"/>
                <w:color w:val="000000"/>
              </w:rPr>
              <w:t>144,64</w:t>
            </w:r>
          </w:p>
        </w:tc>
        <w:tc>
          <w:tcPr>
            <w:tcW w:w="737" w:type="pct"/>
            <w:tcBorders>
              <w:top w:val="single" w:sz="4" w:space="0" w:color="FFFFFF" w:themeColor="background1"/>
              <w:left w:val="single" w:sz="4" w:space="0" w:color="auto"/>
              <w:bottom w:val="single" w:sz="4" w:space="0" w:color="auto"/>
              <w:right w:val="single" w:sz="4" w:space="0" w:color="auto"/>
            </w:tcBorders>
            <w:noWrap/>
            <w:vAlign w:val="center"/>
            <w:hideMark/>
          </w:tcPr>
          <w:p w14:paraId="125EA757" w14:textId="77777777" w:rsidR="009A4C46" w:rsidRPr="009A4C46" w:rsidRDefault="009A4C46" w:rsidP="009A4C46">
            <w:pPr>
              <w:spacing w:after="0" w:line="240" w:lineRule="auto"/>
              <w:jc w:val="center"/>
              <w:rPr>
                <w:rFonts w:eastAsia="Calibri"/>
                <w:color w:val="000000"/>
              </w:rPr>
            </w:pPr>
            <w:r w:rsidRPr="009A4C46">
              <w:rPr>
                <w:rFonts w:eastAsia="Calibri"/>
                <w:color w:val="000000"/>
              </w:rPr>
              <w:t>110,76</w:t>
            </w:r>
          </w:p>
        </w:tc>
        <w:tc>
          <w:tcPr>
            <w:tcW w:w="618" w:type="pct"/>
            <w:tcBorders>
              <w:top w:val="single" w:sz="4" w:space="0" w:color="FFFFFF" w:themeColor="background1"/>
              <w:left w:val="single" w:sz="4" w:space="0" w:color="auto"/>
              <w:bottom w:val="single" w:sz="4" w:space="0" w:color="auto"/>
              <w:right w:val="single" w:sz="4" w:space="0" w:color="auto"/>
            </w:tcBorders>
            <w:noWrap/>
            <w:vAlign w:val="center"/>
            <w:hideMark/>
          </w:tcPr>
          <w:p w14:paraId="5446648F" w14:textId="77777777" w:rsidR="009A4C46" w:rsidRPr="009A4C46" w:rsidRDefault="009A4C46" w:rsidP="009A4C46">
            <w:pPr>
              <w:spacing w:after="0" w:line="240" w:lineRule="auto"/>
              <w:jc w:val="center"/>
              <w:rPr>
                <w:rFonts w:eastAsia="Calibri"/>
                <w:color w:val="000000"/>
              </w:rPr>
            </w:pPr>
            <w:r w:rsidRPr="009A4C46">
              <w:rPr>
                <w:rFonts w:eastAsia="Calibri"/>
                <w:color w:val="000000"/>
              </w:rPr>
              <w:t>255,4</w:t>
            </w:r>
          </w:p>
        </w:tc>
        <w:tc>
          <w:tcPr>
            <w:tcW w:w="614" w:type="pct"/>
            <w:tcBorders>
              <w:top w:val="single" w:sz="4" w:space="0" w:color="FFFFFF" w:themeColor="background1"/>
              <w:left w:val="single" w:sz="4" w:space="0" w:color="auto"/>
              <w:bottom w:val="single" w:sz="4" w:space="0" w:color="auto"/>
              <w:right w:val="single" w:sz="4" w:space="0" w:color="auto"/>
            </w:tcBorders>
            <w:noWrap/>
            <w:vAlign w:val="center"/>
            <w:hideMark/>
          </w:tcPr>
          <w:p w14:paraId="2B8CA561" w14:textId="77777777" w:rsidR="009A4C46" w:rsidRPr="009A4C46" w:rsidRDefault="009A4C46" w:rsidP="009A4C46">
            <w:pPr>
              <w:spacing w:after="0" w:line="240" w:lineRule="auto"/>
              <w:jc w:val="center"/>
              <w:rPr>
                <w:rFonts w:eastAsia="Calibri"/>
                <w:color w:val="000000"/>
              </w:rPr>
            </w:pPr>
          </w:p>
        </w:tc>
      </w:tr>
      <w:tr w:rsidR="009A4C46" w:rsidRPr="009A4C46" w14:paraId="42981496" w14:textId="77777777" w:rsidTr="00F94FED">
        <w:trPr>
          <w:trHeight w:val="300"/>
        </w:trPr>
        <w:tc>
          <w:tcPr>
            <w:tcW w:w="1590" w:type="pct"/>
            <w:tcBorders>
              <w:top w:val="nil"/>
              <w:left w:val="single" w:sz="4" w:space="0" w:color="auto"/>
              <w:bottom w:val="single" w:sz="4" w:space="0" w:color="auto"/>
              <w:right w:val="single" w:sz="4" w:space="0" w:color="auto"/>
            </w:tcBorders>
            <w:noWrap/>
            <w:vAlign w:val="center"/>
            <w:hideMark/>
          </w:tcPr>
          <w:p w14:paraId="2729F27B" w14:textId="77777777" w:rsidR="009A4C46" w:rsidRPr="009A4C46" w:rsidRDefault="009A4C46" w:rsidP="009A4C46">
            <w:pPr>
              <w:spacing w:after="0" w:line="240" w:lineRule="auto"/>
              <w:rPr>
                <w:rFonts w:eastAsia="Calibri"/>
                <w:color w:val="000000"/>
              </w:rPr>
            </w:pPr>
            <w:r w:rsidRPr="009A4C46">
              <w:rPr>
                <w:rFonts w:eastAsia="Calibri"/>
                <w:color w:val="000000"/>
              </w:rPr>
              <w:t>Тариф покупки потерь, в том числе:</w:t>
            </w:r>
          </w:p>
        </w:tc>
        <w:tc>
          <w:tcPr>
            <w:tcW w:w="759" w:type="pct"/>
            <w:tcBorders>
              <w:top w:val="nil"/>
              <w:left w:val="single" w:sz="4" w:space="0" w:color="auto"/>
              <w:bottom w:val="single" w:sz="4" w:space="0" w:color="auto"/>
              <w:right w:val="single" w:sz="4" w:space="0" w:color="auto"/>
            </w:tcBorders>
            <w:noWrap/>
            <w:vAlign w:val="center"/>
            <w:hideMark/>
          </w:tcPr>
          <w:p w14:paraId="0F483081" w14:textId="00BC7DE7" w:rsidR="009A4C46" w:rsidRPr="009A4C46" w:rsidRDefault="009A4C46" w:rsidP="009A4C46">
            <w:pPr>
              <w:spacing w:after="0" w:line="240" w:lineRule="auto"/>
              <w:jc w:val="center"/>
              <w:rPr>
                <w:rFonts w:eastAsia="Calibri"/>
                <w:color w:val="000000"/>
              </w:rPr>
            </w:pPr>
            <w:r w:rsidRPr="009A4C46">
              <w:rPr>
                <w:rFonts w:eastAsia="Calibri"/>
                <w:color w:val="000000"/>
              </w:rPr>
              <w:t>руб./МВт</w:t>
            </w:r>
            <w:r w:rsidR="00D27B56">
              <w:rPr>
                <w:rFonts w:eastAsia="Calibri"/>
                <w:color w:val="000000"/>
              </w:rPr>
              <w:t>*</w:t>
            </w:r>
            <w:r w:rsidRPr="009A4C46">
              <w:rPr>
                <w:rFonts w:eastAsia="Calibri"/>
                <w:color w:val="000000"/>
              </w:rPr>
              <w:t>ч</w:t>
            </w:r>
          </w:p>
        </w:tc>
        <w:tc>
          <w:tcPr>
            <w:tcW w:w="682" w:type="pct"/>
            <w:tcBorders>
              <w:top w:val="nil"/>
              <w:left w:val="single" w:sz="4" w:space="0" w:color="auto"/>
              <w:bottom w:val="single" w:sz="4" w:space="0" w:color="auto"/>
              <w:right w:val="single" w:sz="4" w:space="0" w:color="auto"/>
            </w:tcBorders>
            <w:noWrap/>
            <w:vAlign w:val="center"/>
            <w:hideMark/>
          </w:tcPr>
          <w:p w14:paraId="5F7973D7" w14:textId="77777777" w:rsidR="009A4C46" w:rsidRPr="009A4C46" w:rsidRDefault="009A4C46" w:rsidP="009A4C46">
            <w:pPr>
              <w:spacing w:after="0" w:line="240" w:lineRule="auto"/>
              <w:jc w:val="center"/>
              <w:rPr>
                <w:rFonts w:eastAsia="Calibri"/>
                <w:color w:val="000000"/>
              </w:rPr>
            </w:pPr>
            <w:r w:rsidRPr="009A4C46">
              <w:rPr>
                <w:rFonts w:eastAsia="Calibri"/>
                <w:color w:val="000000"/>
              </w:rPr>
              <w:t>1 147,82</w:t>
            </w:r>
          </w:p>
        </w:tc>
        <w:tc>
          <w:tcPr>
            <w:tcW w:w="737" w:type="pct"/>
            <w:tcBorders>
              <w:top w:val="nil"/>
              <w:left w:val="single" w:sz="4" w:space="0" w:color="auto"/>
              <w:bottom w:val="single" w:sz="4" w:space="0" w:color="auto"/>
              <w:right w:val="single" w:sz="4" w:space="0" w:color="auto"/>
            </w:tcBorders>
            <w:noWrap/>
            <w:vAlign w:val="center"/>
            <w:hideMark/>
          </w:tcPr>
          <w:p w14:paraId="515DFB09" w14:textId="77777777" w:rsidR="009A4C46" w:rsidRPr="009A4C46" w:rsidRDefault="009A4C46" w:rsidP="009A4C46">
            <w:pPr>
              <w:spacing w:after="0" w:line="240" w:lineRule="auto"/>
              <w:jc w:val="center"/>
              <w:rPr>
                <w:rFonts w:eastAsia="Calibri"/>
                <w:color w:val="000000"/>
              </w:rPr>
            </w:pPr>
            <w:r w:rsidRPr="009A4C46">
              <w:rPr>
                <w:rFonts w:eastAsia="Calibri"/>
                <w:color w:val="000000"/>
              </w:rPr>
              <w:t>1 437,33</w:t>
            </w:r>
          </w:p>
        </w:tc>
        <w:tc>
          <w:tcPr>
            <w:tcW w:w="618" w:type="pct"/>
            <w:tcBorders>
              <w:top w:val="nil"/>
              <w:left w:val="single" w:sz="4" w:space="0" w:color="auto"/>
              <w:bottom w:val="single" w:sz="4" w:space="0" w:color="auto"/>
              <w:right w:val="single" w:sz="4" w:space="0" w:color="auto"/>
            </w:tcBorders>
            <w:noWrap/>
            <w:vAlign w:val="center"/>
            <w:hideMark/>
          </w:tcPr>
          <w:p w14:paraId="1D7472BF" w14:textId="77777777" w:rsidR="009A4C46" w:rsidRPr="009A4C46" w:rsidRDefault="009A4C46" w:rsidP="009A4C46">
            <w:pPr>
              <w:spacing w:after="0" w:line="240" w:lineRule="auto"/>
              <w:jc w:val="center"/>
              <w:rPr>
                <w:rFonts w:eastAsia="Calibri"/>
                <w:color w:val="000000"/>
              </w:rPr>
            </w:pPr>
            <w:r w:rsidRPr="009A4C46">
              <w:rPr>
                <w:rFonts w:eastAsia="Calibri"/>
                <w:color w:val="000000"/>
              </w:rPr>
              <w:t>1 273,37</w:t>
            </w:r>
          </w:p>
        </w:tc>
        <w:tc>
          <w:tcPr>
            <w:tcW w:w="614" w:type="pct"/>
            <w:tcBorders>
              <w:top w:val="nil"/>
              <w:left w:val="single" w:sz="4" w:space="0" w:color="auto"/>
              <w:bottom w:val="single" w:sz="4" w:space="0" w:color="auto"/>
              <w:right w:val="single" w:sz="4" w:space="0" w:color="auto"/>
            </w:tcBorders>
            <w:noWrap/>
            <w:vAlign w:val="center"/>
            <w:hideMark/>
          </w:tcPr>
          <w:p w14:paraId="1762C123" w14:textId="77777777" w:rsidR="009A4C46" w:rsidRPr="009A4C46" w:rsidRDefault="009A4C46" w:rsidP="009A4C46">
            <w:pPr>
              <w:spacing w:after="0" w:line="276" w:lineRule="auto"/>
              <w:jc w:val="center"/>
              <w:rPr>
                <w:rFonts w:eastAsia="Calibri"/>
              </w:rPr>
            </w:pPr>
            <w:r w:rsidRPr="009A4C46">
              <w:rPr>
                <w:rFonts w:eastAsia="Calibri"/>
              </w:rPr>
              <w:t>34,5%</w:t>
            </w:r>
          </w:p>
        </w:tc>
      </w:tr>
      <w:tr w:rsidR="009A4C46" w:rsidRPr="009A4C46" w14:paraId="4B022DE3" w14:textId="77777777" w:rsidTr="00F94FED">
        <w:trPr>
          <w:trHeight w:val="300"/>
        </w:trPr>
        <w:tc>
          <w:tcPr>
            <w:tcW w:w="1590" w:type="pct"/>
            <w:tcBorders>
              <w:top w:val="nil"/>
              <w:left w:val="single" w:sz="4" w:space="0" w:color="auto"/>
              <w:bottom w:val="single" w:sz="4" w:space="0" w:color="auto"/>
              <w:right w:val="single" w:sz="4" w:space="0" w:color="auto"/>
            </w:tcBorders>
            <w:noWrap/>
            <w:vAlign w:val="center"/>
            <w:hideMark/>
          </w:tcPr>
          <w:p w14:paraId="5F5A9329" w14:textId="77777777" w:rsidR="009A4C46" w:rsidRPr="009A4C46" w:rsidRDefault="009A4C46" w:rsidP="009A4C46">
            <w:pPr>
              <w:spacing w:after="0" w:line="240" w:lineRule="auto"/>
              <w:rPr>
                <w:rFonts w:eastAsia="Calibri"/>
                <w:color w:val="000000"/>
              </w:rPr>
            </w:pPr>
            <w:r w:rsidRPr="009A4C46">
              <w:rPr>
                <w:rFonts w:eastAsia="Calibri"/>
                <w:color w:val="000000"/>
              </w:rPr>
              <w:t xml:space="preserve">цена на покупку </w:t>
            </w:r>
          </w:p>
        </w:tc>
        <w:tc>
          <w:tcPr>
            <w:tcW w:w="759" w:type="pct"/>
            <w:tcBorders>
              <w:top w:val="nil"/>
              <w:left w:val="single" w:sz="4" w:space="0" w:color="auto"/>
              <w:bottom w:val="single" w:sz="4" w:space="0" w:color="auto"/>
              <w:right w:val="single" w:sz="4" w:space="0" w:color="auto"/>
            </w:tcBorders>
            <w:noWrap/>
            <w:vAlign w:val="center"/>
            <w:hideMark/>
          </w:tcPr>
          <w:p w14:paraId="30CC6F7A" w14:textId="5A36BBE4" w:rsidR="009A4C46" w:rsidRPr="009A4C46" w:rsidRDefault="009A4C46" w:rsidP="009A4C46">
            <w:pPr>
              <w:spacing w:after="0" w:line="240" w:lineRule="auto"/>
              <w:jc w:val="center"/>
              <w:rPr>
                <w:rFonts w:eastAsia="Calibri"/>
                <w:color w:val="000000"/>
              </w:rPr>
            </w:pPr>
            <w:r w:rsidRPr="009A4C46">
              <w:rPr>
                <w:rFonts w:eastAsia="Calibri"/>
                <w:color w:val="000000"/>
              </w:rPr>
              <w:t>руб./МВт</w:t>
            </w:r>
            <w:r w:rsidR="00D27B56">
              <w:rPr>
                <w:rFonts w:eastAsia="Calibri"/>
                <w:color w:val="000000"/>
              </w:rPr>
              <w:t>*</w:t>
            </w:r>
            <w:r w:rsidRPr="009A4C46">
              <w:rPr>
                <w:rFonts w:eastAsia="Calibri"/>
                <w:color w:val="000000"/>
              </w:rPr>
              <w:t>ч</w:t>
            </w:r>
          </w:p>
        </w:tc>
        <w:tc>
          <w:tcPr>
            <w:tcW w:w="682" w:type="pct"/>
            <w:tcBorders>
              <w:top w:val="nil"/>
              <w:left w:val="single" w:sz="4" w:space="0" w:color="auto"/>
              <w:bottom w:val="single" w:sz="4" w:space="0" w:color="auto"/>
              <w:right w:val="single" w:sz="4" w:space="0" w:color="auto"/>
            </w:tcBorders>
            <w:noWrap/>
            <w:vAlign w:val="center"/>
            <w:hideMark/>
          </w:tcPr>
          <w:p w14:paraId="2DDD5E28" w14:textId="77777777" w:rsidR="009A4C46" w:rsidRPr="009A4C46" w:rsidRDefault="009A4C46" w:rsidP="009A4C46">
            <w:pPr>
              <w:spacing w:after="0" w:line="240" w:lineRule="auto"/>
              <w:jc w:val="center"/>
              <w:rPr>
                <w:rFonts w:eastAsia="Calibri"/>
                <w:color w:val="000000"/>
              </w:rPr>
            </w:pPr>
            <w:r w:rsidRPr="009A4C46">
              <w:rPr>
                <w:rFonts w:eastAsia="Calibri"/>
                <w:color w:val="000000"/>
              </w:rPr>
              <w:t>967,55</w:t>
            </w:r>
          </w:p>
        </w:tc>
        <w:tc>
          <w:tcPr>
            <w:tcW w:w="737" w:type="pct"/>
            <w:tcBorders>
              <w:top w:val="nil"/>
              <w:left w:val="single" w:sz="4" w:space="0" w:color="auto"/>
              <w:bottom w:val="single" w:sz="4" w:space="0" w:color="auto"/>
              <w:right w:val="single" w:sz="4" w:space="0" w:color="auto"/>
            </w:tcBorders>
            <w:noWrap/>
            <w:vAlign w:val="center"/>
            <w:hideMark/>
          </w:tcPr>
          <w:p w14:paraId="2071FF46" w14:textId="77777777" w:rsidR="009A4C46" w:rsidRPr="009A4C46" w:rsidRDefault="009A4C46" w:rsidP="009A4C46">
            <w:pPr>
              <w:spacing w:after="0" w:line="240" w:lineRule="auto"/>
              <w:jc w:val="center"/>
              <w:rPr>
                <w:rFonts w:eastAsia="Calibri"/>
                <w:color w:val="000000"/>
              </w:rPr>
            </w:pPr>
            <w:r w:rsidRPr="009A4C46">
              <w:rPr>
                <w:rFonts w:eastAsia="Calibri"/>
                <w:color w:val="000000"/>
              </w:rPr>
              <w:t>1 126,42</w:t>
            </w:r>
          </w:p>
        </w:tc>
        <w:tc>
          <w:tcPr>
            <w:tcW w:w="618" w:type="pct"/>
            <w:tcBorders>
              <w:top w:val="nil"/>
              <w:left w:val="single" w:sz="4" w:space="0" w:color="auto"/>
              <w:bottom w:val="single" w:sz="4" w:space="0" w:color="auto"/>
              <w:right w:val="single" w:sz="4" w:space="0" w:color="auto"/>
            </w:tcBorders>
            <w:noWrap/>
            <w:vAlign w:val="center"/>
            <w:hideMark/>
          </w:tcPr>
          <w:p w14:paraId="505AD2A2" w14:textId="77777777" w:rsidR="009A4C46" w:rsidRPr="009A4C46" w:rsidRDefault="009A4C46" w:rsidP="009A4C46">
            <w:pPr>
              <w:spacing w:after="0" w:line="240" w:lineRule="auto"/>
              <w:jc w:val="center"/>
              <w:rPr>
                <w:rFonts w:eastAsia="Calibri"/>
                <w:color w:val="000000"/>
              </w:rPr>
            </w:pPr>
          </w:p>
        </w:tc>
        <w:tc>
          <w:tcPr>
            <w:tcW w:w="614" w:type="pct"/>
            <w:tcBorders>
              <w:top w:val="nil"/>
              <w:left w:val="single" w:sz="4" w:space="0" w:color="auto"/>
              <w:bottom w:val="single" w:sz="4" w:space="0" w:color="auto"/>
              <w:right w:val="single" w:sz="4" w:space="0" w:color="auto"/>
            </w:tcBorders>
            <w:noWrap/>
            <w:vAlign w:val="center"/>
            <w:hideMark/>
          </w:tcPr>
          <w:p w14:paraId="474F5F27" w14:textId="77777777" w:rsidR="009A4C46" w:rsidRPr="009A4C46" w:rsidRDefault="009A4C46" w:rsidP="009A4C46">
            <w:pPr>
              <w:spacing w:after="0" w:line="240" w:lineRule="auto"/>
              <w:jc w:val="center"/>
              <w:rPr>
                <w:rFonts w:eastAsia="Calibri"/>
                <w:color w:val="000000"/>
              </w:rPr>
            </w:pPr>
          </w:p>
        </w:tc>
      </w:tr>
      <w:tr w:rsidR="009A4C46" w:rsidRPr="009A4C46" w14:paraId="27A8F8E0" w14:textId="77777777" w:rsidTr="00F94FED">
        <w:trPr>
          <w:trHeight w:val="300"/>
        </w:trPr>
        <w:tc>
          <w:tcPr>
            <w:tcW w:w="1590" w:type="pct"/>
            <w:tcBorders>
              <w:top w:val="nil"/>
              <w:left w:val="single" w:sz="4" w:space="0" w:color="auto"/>
              <w:bottom w:val="single" w:sz="4" w:space="0" w:color="auto"/>
              <w:right w:val="single" w:sz="4" w:space="0" w:color="auto"/>
            </w:tcBorders>
            <w:noWrap/>
            <w:vAlign w:val="center"/>
            <w:hideMark/>
          </w:tcPr>
          <w:p w14:paraId="2DA74BB0" w14:textId="77777777" w:rsidR="009A4C46" w:rsidRPr="009A4C46" w:rsidRDefault="009A4C46" w:rsidP="009A4C46">
            <w:pPr>
              <w:spacing w:after="0" w:line="240" w:lineRule="auto"/>
              <w:rPr>
                <w:rFonts w:eastAsia="Calibri"/>
                <w:color w:val="000000"/>
              </w:rPr>
            </w:pPr>
            <w:r w:rsidRPr="009A4C46">
              <w:rPr>
                <w:rFonts w:eastAsia="Calibri"/>
                <w:color w:val="000000"/>
              </w:rPr>
              <w:t>сбытовая надбавка</w:t>
            </w:r>
          </w:p>
        </w:tc>
        <w:tc>
          <w:tcPr>
            <w:tcW w:w="759" w:type="pct"/>
            <w:tcBorders>
              <w:top w:val="nil"/>
              <w:left w:val="single" w:sz="4" w:space="0" w:color="auto"/>
              <w:bottom w:val="single" w:sz="4" w:space="0" w:color="auto"/>
              <w:right w:val="single" w:sz="4" w:space="0" w:color="auto"/>
            </w:tcBorders>
            <w:noWrap/>
            <w:vAlign w:val="center"/>
            <w:hideMark/>
          </w:tcPr>
          <w:p w14:paraId="060F59D6" w14:textId="00D303C8" w:rsidR="009A4C46" w:rsidRPr="009A4C46" w:rsidRDefault="009A4C46" w:rsidP="009A4C46">
            <w:pPr>
              <w:spacing w:after="0" w:line="240" w:lineRule="auto"/>
              <w:jc w:val="center"/>
              <w:rPr>
                <w:rFonts w:eastAsia="Calibri"/>
                <w:color w:val="000000"/>
              </w:rPr>
            </w:pPr>
            <w:r w:rsidRPr="009A4C46">
              <w:rPr>
                <w:rFonts w:eastAsia="Calibri"/>
                <w:color w:val="000000"/>
              </w:rPr>
              <w:t>руб./МВт</w:t>
            </w:r>
            <w:r w:rsidR="00D27B56">
              <w:rPr>
                <w:rFonts w:eastAsia="Calibri"/>
                <w:color w:val="000000"/>
              </w:rPr>
              <w:t>*</w:t>
            </w:r>
            <w:r w:rsidRPr="009A4C46">
              <w:rPr>
                <w:rFonts w:eastAsia="Calibri"/>
                <w:color w:val="000000"/>
              </w:rPr>
              <w:t>ч</w:t>
            </w:r>
          </w:p>
        </w:tc>
        <w:tc>
          <w:tcPr>
            <w:tcW w:w="682" w:type="pct"/>
            <w:tcBorders>
              <w:top w:val="nil"/>
              <w:left w:val="single" w:sz="4" w:space="0" w:color="auto"/>
              <w:bottom w:val="single" w:sz="4" w:space="0" w:color="auto"/>
              <w:right w:val="single" w:sz="4" w:space="0" w:color="auto"/>
            </w:tcBorders>
            <w:noWrap/>
            <w:vAlign w:val="center"/>
            <w:hideMark/>
          </w:tcPr>
          <w:p w14:paraId="15F61161" w14:textId="77777777" w:rsidR="009A4C46" w:rsidRPr="009A4C46" w:rsidRDefault="009A4C46" w:rsidP="009A4C46">
            <w:pPr>
              <w:spacing w:after="0" w:line="240" w:lineRule="auto"/>
              <w:jc w:val="center"/>
              <w:rPr>
                <w:rFonts w:eastAsia="Calibri"/>
                <w:color w:val="000000"/>
              </w:rPr>
            </w:pPr>
            <w:r w:rsidRPr="009A4C46">
              <w:rPr>
                <w:rFonts w:eastAsia="Calibri"/>
                <w:color w:val="000000"/>
              </w:rPr>
              <w:t>172,14</w:t>
            </w:r>
          </w:p>
        </w:tc>
        <w:tc>
          <w:tcPr>
            <w:tcW w:w="737" w:type="pct"/>
            <w:tcBorders>
              <w:top w:val="nil"/>
              <w:left w:val="single" w:sz="4" w:space="0" w:color="auto"/>
              <w:bottom w:val="single" w:sz="4" w:space="0" w:color="auto"/>
              <w:right w:val="single" w:sz="4" w:space="0" w:color="auto"/>
            </w:tcBorders>
            <w:noWrap/>
            <w:vAlign w:val="center"/>
            <w:hideMark/>
          </w:tcPr>
          <w:p w14:paraId="1C057747" w14:textId="77777777" w:rsidR="009A4C46" w:rsidRPr="009A4C46" w:rsidRDefault="009A4C46" w:rsidP="009A4C46">
            <w:pPr>
              <w:spacing w:after="0" w:line="240" w:lineRule="auto"/>
              <w:jc w:val="center"/>
              <w:rPr>
                <w:rFonts w:eastAsia="Calibri"/>
                <w:color w:val="000000"/>
              </w:rPr>
            </w:pPr>
            <w:r w:rsidRPr="009A4C46">
              <w:rPr>
                <w:rFonts w:eastAsia="Calibri"/>
                <w:color w:val="000000"/>
              </w:rPr>
              <w:t>302,73</w:t>
            </w:r>
          </w:p>
        </w:tc>
        <w:tc>
          <w:tcPr>
            <w:tcW w:w="618" w:type="pct"/>
            <w:tcBorders>
              <w:top w:val="nil"/>
              <w:left w:val="single" w:sz="4" w:space="0" w:color="auto"/>
              <w:bottom w:val="single" w:sz="4" w:space="0" w:color="auto"/>
              <w:right w:val="single" w:sz="4" w:space="0" w:color="auto"/>
            </w:tcBorders>
            <w:noWrap/>
            <w:vAlign w:val="center"/>
            <w:hideMark/>
          </w:tcPr>
          <w:p w14:paraId="18BDABBF" w14:textId="77777777" w:rsidR="009A4C46" w:rsidRPr="009A4C46" w:rsidRDefault="009A4C46" w:rsidP="009A4C46">
            <w:pPr>
              <w:spacing w:after="0" w:line="240" w:lineRule="auto"/>
              <w:jc w:val="center"/>
              <w:rPr>
                <w:rFonts w:eastAsia="Calibri"/>
                <w:color w:val="000000"/>
              </w:rPr>
            </w:pPr>
          </w:p>
        </w:tc>
        <w:tc>
          <w:tcPr>
            <w:tcW w:w="614" w:type="pct"/>
            <w:tcBorders>
              <w:top w:val="nil"/>
              <w:left w:val="single" w:sz="4" w:space="0" w:color="auto"/>
              <w:bottom w:val="single" w:sz="4" w:space="0" w:color="auto"/>
              <w:right w:val="single" w:sz="4" w:space="0" w:color="auto"/>
            </w:tcBorders>
            <w:noWrap/>
            <w:vAlign w:val="center"/>
            <w:hideMark/>
          </w:tcPr>
          <w:p w14:paraId="3F7286C5" w14:textId="77777777" w:rsidR="009A4C46" w:rsidRPr="009A4C46" w:rsidRDefault="009A4C46" w:rsidP="009A4C46">
            <w:pPr>
              <w:spacing w:after="0" w:line="240" w:lineRule="auto"/>
              <w:jc w:val="center"/>
              <w:rPr>
                <w:rFonts w:eastAsia="Calibri"/>
                <w:color w:val="000000"/>
              </w:rPr>
            </w:pPr>
          </w:p>
        </w:tc>
      </w:tr>
      <w:tr w:rsidR="009A4C46" w:rsidRPr="009A4C46" w14:paraId="4B2A4A02" w14:textId="77777777" w:rsidTr="00F94FED">
        <w:trPr>
          <w:trHeight w:val="300"/>
        </w:trPr>
        <w:tc>
          <w:tcPr>
            <w:tcW w:w="1590" w:type="pct"/>
            <w:tcBorders>
              <w:top w:val="nil"/>
              <w:left w:val="single" w:sz="4" w:space="0" w:color="auto"/>
              <w:bottom w:val="single" w:sz="4" w:space="0" w:color="auto"/>
              <w:right w:val="single" w:sz="4" w:space="0" w:color="auto"/>
            </w:tcBorders>
            <w:noWrap/>
            <w:vAlign w:val="center"/>
            <w:hideMark/>
          </w:tcPr>
          <w:p w14:paraId="186083E4" w14:textId="77777777" w:rsidR="009A4C46" w:rsidRPr="009A4C46" w:rsidRDefault="009A4C46" w:rsidP="009A4C46">
            <w:pPr>
              <w:spacing w:after="0" w:line="240" w:lineRule="auto"/>
              <w:rPr>
                <w:rFonts w:eastAsia="Calibri"/>
                <w:color w:val="000000"/>
              </w:rPr>
            </w:pPr>
            <w:r w:rsidRPr="009A4C46">
              <w:rPr>
                <w:rFonts w:eastAsia="Calibri"/>
                <w:color w:val="000000"/>
              </w:rPr>
              <w:t>инфраструктурные платежи</w:t>
            </w:r>
          </w:p>
        </w:tc>
        <w:tc>
          <w:tcPr>
            <w:tcW w:w="759" w:type="pct"/>
            <w:tcBorders>
              <w:top w:val="nil"/>
              <w:left w:val="single" w:sz="4" w:space="0" w:color="auto"/>
              <w:bottom w:val="single" w:sz="4" w:space="0" w:color="auto"/>
              <w:right w:val="single" w:sz="4" w:space="0" w:color="auto"/>
            </w:tcBorders>
            <w:noWrap/>
            <w:vAlign w:val="center"/>
            <w:hideMark/>
          </w:tcPr>
          <w:p w14:paraId="49B0857D" w14:textId="3A44C874" w:rsidR="009A4C46" w:rsidRPr="009A4C46" w:rsidRDefault="009A4C46" w:rsidP="009A4C46">
            <w:pPr>
              <w:spacing w:after="0" w:line="240" w:lineRule="auto"/>
              <w:jc w:val="center"/>
              <w:rPr>
                <w:rFonts w:eastAsia="Calibri"/>
                <w:color w:val="000000"/>
              </w:rPr>
            </w:pPr>
            <w:r w:rsidRPr="009A4C46">
              <w:rPr>
                <w:rFonts w:eastAsia="Calibri"/>
                <w:color w:val="000000"/>
              </w:rPr>
              <w:t>руб./МВт</w:t>
            </w:r>
            <w:r w:rsidR="00D27B56">
              <w:rPr>
                <w:rFonts w:eastAsia="Calibri"/>
                <w:color w:val="000000"/>
              </w:rPr>
              <w:t>*</w:t>
            </w:r>
            <w:r w:rsidRPr="009A4C46">
              <w:rPr>
                <w:rFonts w:eastAsia="Calibri"/>
                <w:color w:val="000000"/>
              </w:rPr>
              <w:t>ч</w:t>
            </w:r>
          </w:p>
        </w:tc>
        <w:tc>
          <w:tcPr>
            <w:tcW w:w="682" w:type="pct"/>
            <w:tcBorders>
              <w:top w:val="nil"/>
              <w:left w:val="single" w:sz="4" w:space="0" w:color="auto"/>
              <w:bottom w:val="single" w:sz="4" w:space="0" w:color="auto"/>
              <w:right w:val="single" w:sz="4" w:space="0" w:color="auto"/>
            </w:tcBorders>
            <w:noWrap/>
            <w:vAlign w:val="center"/>
            <w:hideMark/>
          </w:tcPr>
          <w:p w14:paraId="13FDE714" w14:textId="77777777" w:rsidR="009A4C46" w:rsidRPr="009A4C46" w:rsidRDefault="009A4C46" w:rsidP="009A4C46">
            <w:pPr>
              <w:spacing w:after="0" w:line="240" w:lineRule="auto"/>
              <w:jc w:val="center"/>
              <w:rPr>
                <w:rFonts w:eastAsia="Calibri"/>
                <w:color w:val="000000"/>
              </w:rPr>
            </w:pPr>
            <w:r w:rsidRPr="009A4C46">
              <w:rPr>
                <w:rFonts w:eastAsia="Calibri"/>
                <w:color w:val="000000"/>
              </w:rPr>
              <w:t>2,96</w:t>
            </w:r>
          </w:p>
        </w:tc>
        <w:tc>
          <w:tcPr>
            <w:tcW w:w="737" w:type="pct"/>
            <w:tcBorders>
              <w:top w:val="nil"/>
              <w:left w:val="single" w:sz="4" w:space="0" w:color="auto"/>
              <w:bottom w:val="single" w:sz="4" w:space="0" w:color="auto"/>
              <w:right w:val="single" w:sz="4" w:space="0" w:color="auto"/>
            </w:tcBorders>
            <w:noWrap/>
            <w:vAlign w:val="center"/>
            <w:hideMark/>
          </w:tcPr>
          <w:p w14:paraId="0E969581" w14:textId="77777777" w:rsidR="009A4C46" w:rsidRPr="009A4C46" w:rsidRDefault="009A4C46" w:rsidP="009A4C46">
            <w:pPr>
              <w:spacing w:after="0" w:line="240" w:lineRule="auto"/>
              <w:jc w:val="center"/>
              <w:rPr>
                <w:rFonts w:eastAsia="Calibri"/>
                <w:color w:val="000000"/>
              </w:rPr>
            </w:pPr>
            <w:r w:rsidRPr="009A4C46">
              <w:rPr>
                <w:rFonts w:eastAsia="Calibri"/>
                <w:color w:val="000000"/>
              </w:rPr>
              <w:t>3,01</w:t>
            </w:r>
          </w:p>
        </w:tc>
        <w:tc>
          <w:tcPr>
            <w:tcW w:w="618" w:type="pct"/>
            <w:tcBorders>
              <w:top w:val="nil"/>
              <w:left w:val="single" w:sz="4" w:space="0" w:color="auto"/>
              <w:bottom w:val="single" w:sz="4" w:space="0" w:color="auto"/>
              <w:right w:val="single" w:sz="4" w:space="0" w:color="auto"/>
            </w:tcBorders>
            <w:noWrap/>
            <w:vAlign w:val="center"/>
            <w:hideMark/>
          </w:tcPr>
          <w:p w14:paraId="41F221EC" w14:textId="77777777" w:rsidR="009A4C46" w:rsidRPr="009A4C46" w:rsidRDefault="009A4C46" w:rsidP="009A4C46">
            <w:pPr>
              <w:spacing w:after="0" w:line="240" w:lineRule="auto"/>
              <w:jc w:val="center"/>
              <w:rPr>
                <w:rFonts w:eastAsia="Calibri"/>
                <w:color w:val="000000"/>
              </w:rPr>
            </w:pPr>
          </w:p>
        </w:tc>
        <w:tc>
          <w:tcPr>
            <w:tcW w:w="614" w:type="pct"/>
            <w:tcBorders>
              <w:top w:val="nil"/>
              <w:left w:val="single" w:sz="4" w:space="0" w:color="auto"/>
              <w:bottom w:val="single" w:sz="4" w:space="0" w:color="auto"/>
              <w:right w:val="single" w:sz="4" w:space="0" w:color="auto"/>
            </w:tcBorders>
            <w:noWrap/>
            <w:vAlign w:val="center"/>
            <w:hideMark/>
          </w:tcPr>
          <w:p w14:paraId="010C2D16" w14:textId="77777777" w:rsidR="009A4C46" w:rsidRPr="009A4C46" w:rsidRDefault="009A4C46" w:rsidP="009A4C46">
            <w:pPr>
              <w:spacing w:after="0" w:line="240" w:lineRule="auto"/>
              <w:jc w:val="center"/>
              <w:rPr>
                <w:rFonts w:eastAsia="Calibri"/>
                <w:color w:val="000000"/>
              </w:rPr>
            </w:pPr>
          </w:p>
        </w:tc>
      </w:tr>
      <w:tr w:rsidR="009A4C46" w:rsidRPr="009A4C46" w14:paraId="264C5F8A" w14:textId="77777777" w:rsidTr="008B0B3C">
        <w:trPr>
          <w:trHeight w:val="300"/>
        </w:trPr>
        <w:tc>
          <w:tcPr>
            <w:tcW w:w="1590" w:type="pct"/>
            <w:tcBorders>
              <w:top w:val="single" w:sz="4" w:space="0" w:color="auto"/>
              <w:left w:val="single" w:sz="4" w:space="0" w:color="auto"/>
              <w:bottom w:val="single" w:sz="4" w:space="0" w:color="auto"/>
              <w:right w:val="single" w:sz="4" w:space="0" w:color="auto"/>
            </w:tcBorders>
            <w:shd w:val="clear" w:color="auto" w:fill="D6E3BC" w:themeFill="accent3" w:themeFillTint="66"/>
            <w:noWrap/>
            <w:vAlign w:val="center"/>
            <w:hideMark/>
          </w:tcPr>
          <w:p w14:paraId="3065FE3A" w14:textId="77777777" w:rsidR="009A4C46" w:rsidRPr="009A4C46" w:rsidRDefault="009A4C46" w:rsidP="009A4C46">
            <w:pPr>
              <w:spacing w:after="0" w:line="240" w:lineRule="auto"/>
              <w:rPr>
                <w:rFonts w:eastAsia="Calibri"/>
                <w:b/>
                <w:color w:val="000000"/>
              </w:rPr>
            </w:pPr>
            <w:r w:rsidRPr="009A4C46">
              <w:rPr>
                <w:rFonts w:eastAsia="Calibri"/>
                <w:b/>
                <w:color w:val="000000"/>
              </w:rPr>
              <w:t>Расходы на покупку потерь</w:t>
            </w:r>
          </w:p>
        </w:tc>
        <w:tc>
          <w:tcPr>
            <w:tcW w:w="759" w:type="pct"/>
            <w:tcBorders>
              <w:top w:val="single" w:sz="4" w:space="0" w:color="auto"/>
              <w:left w:val="single" w:sz="4" w:space="0" w:color="auto"/>
              <w:bottom w:val="single" w:sz="4" w:space="0" w:color="auto"/>
              <w:right w:val="single" w:sz="4" w:space="0" w:color="auto"/>
            </w:tcBorders>
            <w:shd w:val="clear" w:color="auto" w:fill="D6E3BC" w:themeFill="accent3" w:themeFillTint="66"/>
            <w:noWrap/>
            <w:vAlign w:val="center"/>
            <w:hideMark/>
          </w:tcPr>
          <w:p w14:paraId="53D6D1A8" w14:textId="77777777" w:rsidR="009A4C46" w:rsidRPr="009A4C46" w:rsidRDefault="009A4C46" w:rsidP="009A4C46">
            <w:pPr>
              <w:spacing w:after="0" w:line="240" w:lineRule="auto"/>
              <w:jc w:val="center"/>
              <w:rPr>
                <w:rFonts w:eastAsia="Calibri"/>
                <w:b/>
                <w:color w:val="000000"/>
              </w:rPr>
            </w:pPr>
            <w:r w:rsidRPr="009A4C46">
              <w:rPr>
                <w:rFonts w:eastAsia="Calibri"/>
                <w:b/>
                <w:color w:val="000000"/>
              </w:rPr>
              <w:t>тыс. руб.</w:t>
            </w:r>
          </w:p>
        </w:tc>
        <w:tc>
          <w:tcPr>
            <w:tcW w:w="682" w:type="pct"/>
            <w:tcBorders>
              <w:top w:val="single" w:sz="4" w:space="0" w:color="auto"/>
              <w:left w:val="single" w:sz="4" w:space="0" w:color="auto"/>
              <w:bottom w:val="single" w:sz="4" w:space="0" w:color="auto"/>
              <w:right w:val="single" w:sz="4" w:space="0" w:color="auto"/>
            </w:tcBorders>
            <w:shd w:val="clear" w:color="auto" w:fill="D6E3BC" w:themeFill="accent3" w:themeFillTint="66"/>
            <w:noWrap/>
            <w:vAlign w:val="center"/>
            <w:hideMark/>
          </w:tcPr>
          <w:p w14:paraId="73360B05" w14:textId="77777777" w:rsidR="009A4C46" w:rsidRPr="009A4C46" w:rsidRDefault="009A4C46" w:rsidP="009A4C46">
            <w:pPr>
              <w:spacing w:after="0" w:line="240" w:lineRule="auto"/>
              <w:jc w:val="center"/>
              <w:rPr>
                <w:rFonts w:eastAsia="Calibri"/>
                <w:b/>
                <w:color w:val="000000"/>
              </w:rPr>
            </w:pPr>
            <w:r w:rsidRPr="009A4C46">
              <w:rPr>
                <w:rFonts w:eastAsia="Calibri"/>
                <w:b/>
                <w:color w:val="000000"/>
              </w:rPr>
              <w:t>166 018</w:t>
            </w:r>
          </w:p>
        </w:tc>
        <w:tc>
          <w:tcPr>
            <w:tcW w:w="737" w:type="pct"/>
            <w:tcBorders>
              <w:top w:val="single" w:sz="4" w:space="0" w:color="auto"/>
              <w:left w:val="single" w:sz="4" w:space="0" w:color="auto"/>
              <w:bottom w:val="single" w:sz="4" w:space="0" w:color="auto"/>
              <w:right w:val="single" w:sz="4" w:space="0" w:color="auto"/>
            </w:tcBorders>
            <w:shd w:val="clear" w:color="auto" w:fill="D6E3BC" w:themeFill="accent3" w:themeFillTint="66"/>
            <w:noWrap/>
            <w:vAlign w:val="center"/>
            <w:hideMark/>
          </w:tcPr>
          <w:p w14:paraId="7B51BBB8" w14:textId="77777777" w:rsidR="009A4C46" w:rsidRPr="009A4C46" w:rsidRDefault="009A4C46" w:rsidP="009A4C46">
            <w:pPr>
              <w:spacing w:after="0" w:line="240" w:lineRule="auto"/>
              <w:jc w:val="center"/>
              <w:rPr>
                <w:rFonts w:eastAsia="Calibri"/>
                <w:b/>
                <w:color w:val="000000"/>
              </w:rPr>
            </w:pPr>
            <w:r w:rsidRPr="009A4C46">
              <w:rPr>
                <w:rFonts w:eastAsia="Calibri"/>
                <w:b/>
                <w:color w:val="000000"/>
              </w:rPr>
              <w:t>159 201</w:t>
            </w:r>
          </w:p>
        </w:tc>
        <w:tc>
          <w:tcPr>
            <w:tcW w:w="618" w:type="pct"/>
            <w:tcBorders>
              <w:top w:val="single" w:sz="4" w:space="0" w:color="auto"/>
              <w:left w:val="single" w:sz="4" w:space="0" w:color="auto"/>
              <w:bottom w:val="single" w:sz="4" w:space="0" w:color="auto"/>
              <w:right w:val="single" w:sz="4" w:space="0" w:color="auto"/>
            </w:tcBorders>
            <w:shd w:val="clear" w:color="auto" w:fill="D6E3BC" w:themeFill="accent3" w:themeFillTint="66"/>
            <w:noWrap/>
            <w:vAlign w:val="center"/>
            <w:hideMark/>
          </w:tcPr>
          <w:p w14:paraId="099B7A42" w14:textId="77777777" w:rsidR="009A4C46" w:rsidRPr="009A4C46" w:rsidRDefault="009A4C46" w:rsidP="009A4C46">
            <w:pPr>
              <w:spacing w:after="0" w:line="240" w:lineRule="auto"/>
              <w:jc w:val="center"/>
              <w:rPr>
                <w:rFonts w:eastAsia="Calibri"/>
                <w:b/>
                <w:color w:val="000000"/>
              </w:rPr>
            </w:pPr>
            <w:r w:rsidRPr="009A4C46">
              <w:rPr>
                <w:rFonts w:eastAsia="Calibri"/>
                <w:b/>
                <w:color w:val="000000"/>
              </w:rPr>
              <w:t>325 219</w:t>
            </w:r>
          </w:p>
        </w:tc>
        <w:tc>
          <w:tcPr>
            <w:tcW w:w="614" w:type="pct"/>
            <w:tcBorders>
              <w:top w:val="single" w:sz="4" w:space="0" w:color="auto"/>
              <w:left w:val="single" w:sz="4" w:space="0" w:color="auto"/>
              <w:bottom w:val="single" w:sz="4" w:space="0" w:color="auto"/>
              <w:right w:val="single" w:sz="4" w:space="0" w:color="auto"/>
            </w:tcBorders>
            <w:shd w:val="clear" w:color="auto" w:fill="D6E3BC" w:themeFill="accent3" w:themeFillTint="66"/>
            <w:noWrap/>
            <w:vAlign w:val="center"/>
            <w:hideMark/>
          </w:tcPr>
          <w:p w14:paraId="2CADE58F" w14:textId="77777777" w:rsidR="009A4C46" w:rsidRPr="009A4C46" w:rsidRDefault="009A4C46" w:rsidP="009A4C46">
            <w:pPr>
              <w:spacing w:after="0" w:line="240" w:lineRule="auto"/>
              <w:jc w:val="center"/>
              <w:rPr>
                <w:rFonts w:eastAsia="Calibri"/>
                <w:b/>
                <w:color w:val="000000"/>
              </w:rPr>
            </w:pPr>
            <w:r w:rsidRPr="009A4C46">
              <w:rPr>
                <w:rFonts w:eastAsia="Calibri"/>
                <w:b/>
                <w:color w:val="000000"/>
              </w:rPr>
              <w:t>34,2</w:t>
            </w:r>
          </w:p>
        </w:tc>
      </w:tr>
    </w:tbl>
    <w:p w14:paraId="5AF9FAA3" w14:textId="77777777" w:rsidR="009A4C46" w:rsidRPr="00F94FED" w:rsidRDefault="009A4C46" w:rsidP="00F94FED">
      <w:pPr>
        <w:spacing w:after="0" w:line="360" w:lineRule="auto"/>
        <w:ind w:firstLine="567"/>
        <w:contextualSpacing/>
        <w:jc w:val="both"/>
        <w:rPr>
          <w:rFonts w:eastAsia="Calibri"/>
          <w:sz w:val="26"/>
          <w:szCs w:val="26"/>
        </w:rPr>
      </w:pPr>
    </w:p>
    <w:p w14:paraId="43112052" w14:textId="5BC8183B" w:rsidR="009A4C46" w:rsidRPr="00F94FED" w:rsidRDefault="009A4C46" w:rsidP="00F94FED">
      <w:pPr>
        <w:spacing w:after="0" w:line="360" w:lineRule="auto"/>
        <w:ind w:firstLine="567"/>
        <w:contextualSpacing/>
        <w:jc w:val="both"/>
        <w:rPr>
          <w:rFonts w:eastAsia="Calibri"/>
          <w:sz w:val="26"/>
          <w:szCs w:val="26"/>
        </w:rPr>
      </w:pPr>
      <w:r w:rsidRPr="00F94FED">
        <w:rPr>
          <w:rFonts w:eastAsia="Calibri"/>
          <w:sz w:val="26"/>
          <w:szCs w:val="26"/>
        </w:rPr>
        <w:t>Корректировка HBB, рассчитанная в соответствии с методическими указаниями №98-э за 2017 год заявлена АО «Тываэнерго» размере 306 614 тыс. руб. (д</w:t>
      </w:r>
      <w:r w:rsidR="008B0B3C">
        <w:rPr>
          <w:rFonts w:eastAsia="Calibri"/>
          <w:sz w:val="26"/>
          <w:szCs w:val="26"/>
        </w:rPr>
        <w:t>ета</w:t>
      </w:r>
      <w:r w:rsidRPr="00F94FED">
        <w:rPr>
          <w:rFonts w:eastAsia="Calibri"/>
          <w:sz w:val="26"/>
          <w:szCs w:val="26"/>
        </w:rPr>
        <w:t xml:space="preserve">льный анализ величины корректировки НВВ по итогам 2017 года </w:t>
      </w:r>
      <w:r w:rsidRPr="00F94FED">
        <w:rPr>
          <w:rFonts w:eastAsia="Times New Roman"/>
          <w:sz w:val="26"/>
          <w:szCs w:val="26"/>
          <w:lang w:eastAsia="ru-RU"/>
        </w:rPr>
        <w:t>отражен в соответствующих разделах настоящего Отчета</w:t>
      </w:r>
      <w:r w:rsidRPr="00F94FED">
        <w:rPr>
          <w:rFonts w:eastAsia="Calibri"/>
          <w:sz w:val="26"/>
          <w:szCs w:val="26"/>
        </w:rPr>
        <w:t>)</w:t>
      </w:r>
    </w:p>
    <w:p w14:paraId="0311D338" w14:textId="77777777" w:rsidR="009A4C46" w:rsidRPr="00F94FED" w:rsidRDefault="009A4C46" w:rsidP="00F94FED">
      <w:pPr>
        <w:spacing w:after="0" w:line="360" w:lineRule="auto"/>
        <w:ind w:firstLine="567"/>
        <w:contextualSpacing/>
        <w:jc w:val="both"/>
        <w:rPr>
          <w:rFonts w:eastAsia="Calibri"/>
          <w:sz w:val="26"/>
          <w:szCs w:val="26"/>
        </w:rPr>
      </w:pPr>
      <w:r w:rsidRPr="00F94FED">
        <w:rPr>
          <w:rFonts w:eastAsia="Calibri"/>
          <w:sz w:val="26"/>
          <w:szCs w:val="26"/>
        </w:rPr>
        <w:t>На основании изложенного выше, размер НВВ на 2019 год (с учетом расходов на покупку потерь) заявлен АО «Тываэнерго» в размере 7 618 802 тыс. руб.</w:t>
      </w:r>
    </w:p>
    <w:tbl>
      <w:tblPr>
        <w:tblW w:w="4927" w:type="pct"/>
        <w:tblLayout w:type="fixed"/>
        <w:tblLook w:val="04A0" w:firstRow="1" w:lastRow="0" w:firstColumn="1" w:lastColumn="0" w:noHBand="0" w:noVBand="1"/>
      </w:tblPr>
      <w:tblGrid>
        <w:gridCol w:w="5100"/>
        <w:gridCol w:w="1702"/>
        <w:gridCol w:w="2407"/>
      </w:tblGrid>
      <w:tr w:rsidR="00A55EED" w:rsidRPr="00A55EED" w14:paraId="0A4C4131" w14:textId="77777777" w:rsidTr="00A55EED">
        <w:trPr>
          <w:trHeight w:val="765"/>
          <w:tblHeader/>
        </w:trPr>
        <w:tc>
          <w:tcPr>
            <w:tcW w:w="276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DE0AE42" w14:textId="77777777" w:rsidR="009A4C46" w:rsidRPr="00F94FED" w:rsidRDefault="009A4C46" w:rsidP="009A4C46">
            <w:pPr>
              <w:spacing w:after="0" w:line="240" w:lineRule="auto"/>
              <w:jc w:val="center"/>
              <w:rPr>
                <w:rFonts w:eastAsia="Calibri"/>
                <w:b/>
                <w:color w:val="FFFFFF" w:themeColor="background1"/>
              </w:rPr>
            </w:pPr>
            <w:r w:rsidRPr="00F94FED">
              <w:rPr>
                <w:rFonts w:eastAsia="Calibri"/>
                <w:b/>
                <w:color w:val="FFFFFF" w:themeColor="background1"/>
              </w:rPr>
              <w:t>Наименование</w:t>
            </w:r>
          </w:p>
        </w:tc>
        <w:tc>
          <w:tcPr>
            <w:tcW w:w="92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F8A0C8C" w14:textId="77777777" w:rsidR="009A4C46" w:rsidRPr="00F94FED" w:rsidRDefault="009A4C46" w:rsidP="00E169B0">
            <w:pPr>
              <w:spacing w:after="0" w:line="240" w:lineRule="auto"/>
              <w:jc w:val="center"/>
              <w:rPr>
                <w:rFonts w:eastAsia="Calibri"/>
                <w:b/>
                <w:color w:val="FFFFFF" w:themeColor="background1"/>
              </w:rPr>
            </w:pPr>
            <w:r w:rsidRPr="00F94FED">
              <w:rPr>
                <w:rFonts w:eastAsia="Calibri"/>
                <w:b/>
                <w:color w:val="FFFFFF" w:themeColor="background1"/>
              </w:rPr>
              <w:t>Ед. изм.</w:t>
            </w:r>
          </w:p>
        </w:tc>
        <w:tc>
          <w:tcPr>
            <w:tcW w:w="130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E1016EC" w14:textId="77777777" w:rsidR="009A4C46" w:rsidRPr="00F94FED" w:rsidRDefault="009A4C46" w:rsidP="003E2802">
            <w:pPr>
              <w:spacing w:after="0" w:line="240" w:lineRule="auto"/>
              <w:jc w:val="center"/>
              <w:rPr>
                <w:rFonts w:eastAsia="Calibri"/>
                <w:b/>
                <w:color w:val="FFFFFF" w:themeColor="background1"/>
              </w:rPr>
            </w:pPr>
            <w:r w:rsidRPr="00F94FED">
              <w:rPr>
                <w:rFonts w:eastAsia="Calibri"/>
                <w:b/>
                <w:color w:val="FFFFFF" w:themeColor="background1"/>
              </w:rPr>
              <w:t>2019 год</w:t>
            </w:r>
          </w:p>
        </w:tc>
      </w:tr>
      <w:tr w:rsidR="009A4C46" w:rsidRPr="009A4C46" w14:paraId="795C96E7" w14:textId="77777777" w:rsidTr="00F94FED">
        <w:trPr>
          <w:trHeight w:val="491"/>
        </w:trPr>
        <w:tc>
          <w:tcPr>
            <w:tcW w:w="2769" w:type="pct"/>
            <w:tcBorders>
              <w:top w:val="single" w:sz="4" w:space="0" w:color="FFFFFF" w:themeColor="background1"/>
              <w:left w:val="single" w:sz="4" w:space="0" w:color="auto"/>
              <w:bottom w:val="single" w:sz="4" w:space="0" w:color="auto"/>
              <w:right w:val="single" w:sz="4" w:space="0" w:color="auto"/>
            </w:tcBorders>
            <w:noWrap/>
            <w:vAlign w:val="center"/>
            <w:hideMark/>
          </w:tcPr>
          <w:p w14:paraId="2A6DA608" w14:textId="77777777" w:rsidR="009A4C46" w:rsidRPr="009A4C46" w:rsidRDefault="009A4C46" w:rsidP="009A4C46">
            <w:pPr>
              <w:spacing w:after="0" w:line="240" w:lineRule="auto"/>
              <w:rPr>
                <w:rFonts w:eastAsia="Calibri"/>
                <w:color w:val="000000"/>
              </w:rPr>
            </w:pPr>
            <w:r w:rsidRPr="009A4C46">
              <w:rPr>
                <w:rFonts w:eastAsia="Calibri"/>
                <w:color w:val="000000"/>
              </w:rPr>
              <w:t>Подконтрольные расходы</w:t>
            </w:r>
          </w:p>
        </w:tc>
        <w:tc>
          <w:tcPr>
            <w:tcW w:w="924" w:type="pct"/>
            <w:tcBorders>
              <w:top w:val="single" w:sz="4" w:space="0" w:color="FFFFFF" w:themeColor="background1"/>
              <w:left w:val="single" w:sz="4" w:space="0" w:color="auto"/>
              <w:bottom w:val="single" w:sz="4" w:space="0" w:color="auto"/>
              <w:right w:val="single" w:sz="4" w:space="0" w:color="auto"/>
            </w:tcBorders>
            <w:noWrap/>
            <w:vAlign w:val="center"/>
            <w:hideMark/>
          </w:tcPr>
          <w:p w14:paraId="4B874158" w14:textId="77777777" w:rsidR="009A4C46" w:rsidRPr="009A4C46" w:rsidRDefault="009A4C46" w:rsidP="00E169B0">
            <w:pPr>
              <w:spacing w:after="0" w:line="240" w:lineRule="auto"/>
              <w:jc w:val="center"/>
              <w:rPr>
                <w:rFonts w:eastAsia="Calibri"/>
                <w:color w:val="000000"/>
              </w:rPr>
            </w:pPr>
            <w:r w:rsidRPr="009A4C46">
              <w:rPr>
                <w:rFonts w:eastAsia="Calibri"/>
                <w:color w:val="000000"/>
              </w:rPr>
              <w:t>тыс. руб.</w:t>
            </w:r>
          </w:p>
        </w:tc>
        <w:tc>
          <w:tcPr>
            <w:tcW w:w="1307" w:type="pct"/>
            <w:tcBorders>
              <w:top w:val="single" w:sz="4" w:space="0" w:color="FFFFFF" w:themeColor="background1"/>
              <w:left w:val="single" w:sz="4" w:space="0" w:color="auto"/>
              <w:bottom w:val="single" w:sz="4" w:space="0" w:color="auto"/>
              <w:right w:val="single" w:sz="4" w:space="0" w:color="auto"/>
            </w:tcBorders>
            <w:noWrap/>
            <w:vAlign w:val="center"/>
          </w:tcPr>
          <w:p w14:paraId="1EE2AEE7" w14:textId="77777777" w:rsidR="009A4C46" w:rsidRPr="009A4C46" w:rsidRDefault="009A4C46" w:rsidP="003E2802">
            <w:pPr>
              <w:spacing w:after="0" w:line="240" w:lineRule="auto"/>
              <w:jc w:val="center"/>
              <w:rPr>
                <w:rFonts w:eastAsia="Calibri"/>
                <w:color w:val="000000"/>
              </w:rPr>
            </w:pPr>
            <w:r w:rsidRPr="009A4C46">
              <w:rPr>
                <w:rFonts w:eastAsia="Calibri"/>
                <w:color w:val="000000"/>
              </w:rPr>
              <w:t>598 577</w:t>
            </w:r>
          </w:p>
        </w:tc>
      </w:tr>
      <w:tr w:rsidR="009A4C46" w:rsidRPr="009A4C46" w14:paraId="50CFEA4C" w14:textId="77777777" w:rsidTr="00F94FED">
        <w:trPr>
          <w:trHeight w:val="300"/>
        </w:trPr>
        <w:tc>
          <w:tcPr>
            <w:tcW w:w="2769" w:type="pct"/>
            <w:tcBorders>
              <w:top w:val="nil"/>
              <w:left w:val="single" w:sz="4" w:space="0" w:color="auto"/>
              <w:bottom w:val="single" w:sz="4" w:space="0" w:color="auto"/>
              <w:right w:val="single" w:sz="4" w:space="0" w:color="auto"/>
            </w:tcBorders>
            <w:noWrap/>
            <w:vAlign w:val="center"/>
            <w:hideMark/>
          </w:tcPr>
          <w:p w14:paraId="70160497" w14:textId="77777777" w:rsidR="009A4C46" w:rsidRPr="009A4C46" w:rsidRDefault="009A4C46" w:rsidP="009A4C46">
            <w:pPr>
              <w:spacing w:after="0" w:line="240" w:lineRule="auto"/>
              <w:rPr>
                <w:rFonts w:eastAsia="Calibri"/>
                <w:color w:val="000000"/>
              </w:rPr>
            </w:pPr>
            <w:r w:rsidRPr="009A4C46">
              <w:rPr>
                <w:rFonts w:eastAsia="Calibri"/>
                <w:color w:val="000000"/>
              </w:rPr>
              <w:t>Неподконтрольные расходы</w:t>
            </w:r>
          </w:p>
        </w:tc>
        <w:tc>
          <w:tcPr>
            <w:tcW w:w="924" w:type="pct"/>
            <w:tcBorders>
              <w:top w:val="nil"/>
              <w:left w:val="single" w:sz="4" w:space="0" w:color="auto"/>
              <w:bottom w:val="single" w:sz="4" w:space="0" w:color="auto"/>
              <w:right w:val="single" w:sz="4" w:space="0" w:color="auto"/>
            </w:tcBorders>
            <w:noWrap/>
            <w:vAlign w:val="center"/>
            <w:hideMark/>
          </w:tcPr>
          <w:p w14:paraId="17BB0B9F" w14:textId="77777777" w:rsidR="009A4C46" w:rsidRPr="009A4C46" w:rsidRDefault="009A4C46" w:rsidP="00E169B0">
            <w:pPr>
              <w:spacing w:after="0" w:line="240" w:lineRule="auto"/>
              <w:jc w:val="center"/>
              <w:rPr>
                <w:rFonts w:eastAsia="Calibri"/>
                <w:color w:val="000000"/>
              </w:rPr>
            </w:pPr>
            <w:r w:rsidRPr="009A4C46">
              <w:rPr>
                <w:rFonts w:eastAsia="Calibri"/>
                <w:color w:val="000000"/>
              </w:rPr>
              <w:t>тыс. руб.</w:t>
            </w:r>
          </w:p>
        </w:tc>
        <w:tc>
          <w:tcPr>
            <w:tcW w:w="1307" w:type="pct"/>
            <w:tcBorders>
              <w:top w:val="nil"/>
              <w:left w:val="single" w:sz="4" w:space="0" w:color="auto"/>
              <w:bottom w:val="single" w:sz="4" w:space="0" w:color="auto"/>
              <w:right w:val="single" w:sz="4" w:space="0" w:color="auto"/>
            </w:tcBorders>
            <w:noWrap/>
            <w:vAlign w:val="center"/>
          </w:tcPr>
          <w:p w14:paraId="7DB9827D" w14:textId="77777777" w:rsidR="009A4C46" w:rsidRPr="009A4C46" w:rsidRDefault="009A4C46" w:rsidP="003E2802">
            <w:pPr>
              <w:spacing w:after="0" w:line="240" w:lineRule="auto"/>
              <w:jc w:val="center"/>
              <w:rPr>
                <w:rFonts w:eastAsia="Calibri"/>
                <w:color w:val="000000"/>
              </w:rPr>
            </w:pPr>
            <w:r w:rsidRPr="009A4C46">
              <w:rPr>
                <w:rFonts w:eastAsia="Calibri"/>
                <w:color w:val="000000"/>
              </w:rPr>
              <w:t>6 695 006</w:t>
            </w:r>
          </w:p>
        </w:tc>
      </w:tr>
      <w:tr w:rsidR="009A4C46" w:rsidRPr="009A4C46" w14:paraId="172EF628" w14:textId="77777777" w:rsidTr="00F94FED">
        <w:trPr>
          <w:trHeight w:val="300"/>
        </w:trPr>
        <w:tc>
          <w:tcPr>
            <w:tcW w:w="2769" w:type="pct"/>
            <w:tcBorders>
              <w:top w:val="nil"/>
              <w:left w:val="single" w:sz="4" w:space="0" w:color="auto"/>
              <w:bottom w:val="single" w:sz="4" w:space="0" w:color="auto"/>
              <w:right w:val="single" w:sz="4" w:space="0" w:color="auto"/>
            </w:tcBorders>
            <w:noWrap/>
            <w:vAlign w:val="center"/>
          </w:tcPr>
          <w:p w14:paraId="535C4D3C" w14:textId="77777777" w:rsidR="009A4C46" w:rsidRPr="009A4C46" w:rsidRDefault="009A4C46" w:rsidP="009A4C46">
            <w:pPr>
              <w:spacing w:after="0" w:line="240" w:lineRule="auto"/>
              <w:rPr>
                <w:rFonts w:eastAsia="Calibri"/>
                <w:color w:val="000000"/>
              </w:rPr>
            </w:pPr>
            <w:r w:rsidRPr="009A4C46">
              <w:rPr>
                <w:rFonts w:eastAsia="Calibri"/>
                <w:color w:val="000000"/>
              </w:rPr>
              <w:t>НВВ на содержание</w:t>
            </w:r>
          </w:p>
        </w:tc>
        <w:tc>
          <w:tcPr>
            <w:tcW w:w="924" w:type="pct"/>
            <w:tcBorders>
              <w:top w:val="nil"/>
              <w:left w:val="single" w:sz="4" w:space="0" w:color="auto"/>
              <w:bottom w:val="single" w:sz="4" w:space="0" w:color="auto"/>
              <w:right w:val="single" w:sz="4" w:space="0" w:color="auto"/>
            </w:tcBorders>
            <w:noWrap/>
            <w:vAlign w:val="center"/>
          </w:tcPr>
          <w:p w14:paraId="170BD8A8" w14:textId="77777777" w:rsidR="009A4C46" w:rsidRPr="009A4C46" w:rsidRDefault="009A4C46" w:rsidP="00E169B0">
            <w:pPr>
              <w:spacing w:after="0" w:line="240" w:lineRule="auto"/>
              <w:jc w:val="center"/>
              <w:rPr>
                <w:rFonts w:eastAsia="Calibri"/>
                <w:color w:val="000000"/>
              </w:rPr>
            </w:pPr>
            <w:r w:rsidRPr="009A4C46">
              <w:rPr>
                <w:rFonts w:eastAsia="Calibri"/>
                <w:color w:val="000000"/>
              </w:rPr>
              <w:t>тыс. руб.</w:t>
            </w:r>
          </w:p>
        </w:tc>
        <w:tc>
          <w:tcPr>
            <w:tcW w:w="1307" w:type="pct"/>
            <w:tcBorders>
              <w:top w:val="nil"/>
              <w:left w:val="single" w:sz="4" w:space="0" w:color="auto"/>
              <w:bottom w:val="single" w:sz="4" w:space="0" w:color="auto"/>
              <w:right w:val="single" w:sz="4" w:space="0" w:color="auto"/>
            </w:tcBorders>
            <w:noWrap/>
            <w:vAlign w:val="center"/>
          </w:tcPr>
          <w:p w14:paraId="3C83610D" w14:textId="77777777" w:rsidR="009A4C46" w:rsidRPr="009A4C46" w:rsidRDefault="009A4C46" w:rsidP="003E2802">
            <w:pPr>
              <w:spacing w:after="0" w:line="240" w:lineRule="auto"/>
              <w:jc w:val="center"/>
              <w:rPr>
                <w:rFonts w:eastAsia="Calibri"/>
                <w:color w:val="000000"/>
              </w:rPr>
            </w:pPr>
            <w:r w:rsidRPr="009A4C46">
              <w:rPr>
                <w:rFonts w:eastAsia="Calibri"/>
                <w:color w:val="000000"/>
              </w:rPr>
              <w:t>7 293 583</w:t>
            </w:r>
          </w:p>
        </w:tc>
      </w:tr>
      <w:tr w:rsidR="009A4C46" w:rsidRPr="009A4C46" w14:paraId="3FDFE86F" w14:textId="77777777" w:rsidTr="00F94FED">
        <w:trPr>
          <w:trHeight w:val="300"/>
        </w:trPr>
        <w:tc>
          <w:tcPr>
            <w:tcW w:w="2769" w:type="pct"/>
            <w:tcBorders>
              <w:top w:val="nil"/>
              <w:left w:val="single" w:sz="4" w:space="0" w:color="auto"/>
              <w:bottom w:val="single" w:sz="4" w:space="0" w:color="auto"/>
              <w:right w:val="single" w:sz="4" w:space="0" w:color="auto"/>
            </w:tcBorders>
            <w:noWrap/>
            <w:vAlign w:val="center"/>
            <w:hideMark/>
          </w:tcPr>
          <w:p w14:paraId="7FA62C7A" w14:textId="77777777" w:rsidR="009A4C46" w:rsidRPr="009A4C46" w:rsidRDefault="009A4C46" w:rsidP="009A4C46">
            <w:pPr>
              <w:spacing w:after="0" w:line="240" w:lineRule="auto"/>
              <w:rPr>
                <w:rFonts w:eastAsia="Calibri"/>
                <w:color w:val="000000"/>
              </w:rPr>
            </w:pPr>
            <w:r w:rsidRPr="009A4C46">
              <w:rPr>
                <w:rFonts w:eastAsia="Calibri"/>
                <w:color w:val="000000"/>
              </w:rPr>
              <w:t xml:space="preserve">Расходы на покупку потерь </w:t>
            </w:r>
          </w:p>
        </w:tc>
        <w:tc>
          <w:tcPr>
            <w:tcW w:w="924" w:type="pct"/>
            <w:tcBorders>
              <w:top w:val="nil"/>
              <w:left w:val="single" w:sz="4" w:space="0" w:color="auto"/>
              <w:bottom w:val="single" w:sz="4" w:space="0" w:color="auto"/>
              <w:right w:val="single" w:sz="4" w:space="0" w:color="auto"/>
            </w:tcBorders>
            <w:noWrap/>
            <w:vAlign w:val="center"/>
            <w:hideMark/>
          </w:tcPr>
          <w:p w14:paraId="25053D42" w14:textId="77777777" w:rsidR="009A4C46" w:rsidRPr="009A4C46" w:rsidRDefault="009A4C46" w:rsidP="00E169B0">
            <w:pPr>
              <w:spacing w:after="0" w:line="240" w:lineRule="auto"/>
              <w:jc w:val="center"/>
              <w:rPr>
                <w:rFonts w:eastAsia="Calibri"/>
                <w:color w:val="000000"/>
              </w:rPr>
            </w:pPr>
            <w:r w:rsidRPr="009A4C46">
              <w:rPr>
                <w:rFonts w:eastAsia="Calibri"/>
                <w:color w:val="000000"/>
              </w:rPr>
              <w:t>тыс. руб.</w:t>
            </w:r>
          </w:p>
        </w:tc>
        <w:tc>
          <w:tcPr>
            <w:tcW w:w="1307" w:type="pct"/>
            <w:tcBorders>
              <w:top w:val="nil"/>
              <w:left w:val="single" w:sz="4" w:space="0" w:color="auto"/>
              <w:bottom w:val="single" w:sz="4" w:space="0" w:color="auto"/>
              <w:right w:val="single" w:sz="4" w:space="0" w:color="auto"/>
            </w:tcBorders>
            <w:noWrap/>
            <w:vAlign w:val="center"/>
          </w:tcPr>
          <w:p w14:paraId="550BC70C" w14:textId="77777777" w:rsidR="009A4C46" w:rsidRPr="009A4C46" w:rsidRDefault="009A4C46" w:rsidP="003E2802">
            <w:pPr>
              <w:spacing w:after="0" w:line="240" w:lineRule="auto"/>
              <w:jc w:val="center"/>
              <w:rPr>
                <w:rFonts w:eastAsia="Calibri"/>
                <w:color w:val="000000"/>
              </w:rPr>
            </w:pPr>
            <w:r w:rsidRPr="009A4C46">
              <w:rPr>
                <w:rFonts w:eastAsia="Calibri"/>
                <w:color w:val="000000"/>
              </w:rPr>
              <w:t>325 219</w:t>
            </w:r>
          </w:p>
        </w:tc>
      </w:tr>
      <w:tr w:rsidR="009A4C46" w:rsidRPr="009A4C46" w14:paraId="60915029" w14:textId="77777777" w:rsidTr="00F94FED">
        <w:trPr>
          <w:trHeight w:val="300"/>
        </w:trPr>
        <w:tc>
          <w:tcPr>
            <w:tcW w:w="2769" w:type="pct"/>
            <w:tcBorders>
              <w:top w:val="nil"/>
              <w:left w:val="single" w:sz="4" w:space="0" w:color="auto"/>
              <w:bottom w:val="single" w:sz="4" w:space="0" w:color="auto"/>
              <w:right w:val="single" w:sz="4" w:space="0" w:color="auto"/>
            </w:tcBorders>
            <w:noWrap/>
            <w:vAlign w:val="center"/>
          </w:tcPr>
          <w:p w14:paraId="0BE4B255" w14:textId="77777777" w:rsidR="009A4C46" w:rsidRPr="009A4C46" w:rsidRDefault="009A4C46" w:rsidP="009A4C46">
            <w:pPr>
              <w:spacing w:after="0" w:line="240" w:lineRule="auto"/>
              <w:rPr>
                <w:rFonts w:eastAsia="Calibri"/>
                <w:color w:val="000000"/>
              </w:rPr>
            </w:pPr>
            <w:r w:rsidRPr="009A4C46">
              <w:rPr>
                <w:rFonts w:eastAsia="Calibri"/>
                <w:color w:val="000000"/>
              </w:rPr>
              <w:t>Корректировка НВВ по итогам 2017 года</w:t>
            </w:r>
          </w:p>
        </w:tc>
        <w:tc>
          <w:tcPr>
            <w:tcW w:w="924" w:type="pct"/>
            <w:tcBorders>
              <w:top w:val="nil"/>
              <w:left w:val="single" w:sz="4" w:space="0" w:color="auto"/>
              <w:bottom w:val="single" w:sz="4" w:space="0" w:color="auto"/>
              <w:right w:val="single" w:sz="4" w:space="0" w:color="auto"/>
            </w:tcBorders>
            <w:noWrap/>
            <w:vAlign w:val="center"/>
          </w:tcPr>
          <w:p w14:paraId="5F9A2FB5" w14:textId="77777777" w:rsidR="009A4C46" w:rsidRPr="009A4C46" w:rsidRDefault="009A4C46" w:rsidP="00E169B0">
            <w:pPr>
              <w:spacing w:after="0" w:line="240" w:lineRule="auto"/>
              <w:jc w:val="center"/>
              <w:rPr>
                <w:rFonts w:eastAsia="Calibri"/>
                <w:color w:val="000000"/>
              </w:rPr>
            </w:pPr>
            <w:r w:rsidRPr="009A4C46">
              <w:rPr>
                <w:rFonts w:eastAsia="Calibri"/>
                <w:color w:val="000000"/>
              </w:rPr>
              <w:t>тыс. руб.</w:t>
            </w:r>
          </w:p>
        </w:tc>
        <w:tc>
          <w:tcPr>
            <w:tcW w:w="1307" w:type="pct"/>
            <w:tcBorders>
              <w:top w:val="nil"/>
              <w:left w:val="single" w:sz="4" w:space="0" w:color="auto"/>
              <w:bottom w:val="single" w:sz="4" w:space="0" w:color="auto"/>
              <w:right w:val="single" w:sz="4" w:space="0" w:color="auto"/>
            </w:tcBorders>
            <w:noWrap/>
            <w:vAlign w:val="center"/>
          </w:tcPr>
          <w:p w14:paraId="392521E0" w14:textId="77777777" w:rsidR="009A4C46" w:rsidRPr="009A4C46" w:rsidRDefault="009A4C46" w:rsidP="003E2802">
            <w:pPr>
              <w:spacing w:after="0" w:line="240" w:lineRule="auto"/>
              <w:jc w:val="center"/>
              <w:rPr>
                <w:rFonts w:eastAsia="Calibri"/>
                <w:color w:val="000000"/>
              </w:rPr>
            </w:pPr>
            <w:r w:rsidRPr="009A4C46">
              <w:rPr>
                <w:rFonts w:eastAsia="Calibri"/>
                <w:color w:val="000000"/>
              </w:rPr>
              <w:t>306 614</w:t>
            </w:r>
          </w:p>
        </w:tc>
      </w:tr>
      <w:tr w:rsidR="009A4C46" w:rsidRPr="009A4C46" w14:paraId="72AA7726" w14:textId="77777777" w:rsidTr="008B0B3C">
        <w:trPr>
          <w:trHeight w:val="300"/>
        </w:trPr>
        <w:tc>
          <w:tcPr>
            <w:tcW w:w="2769" w:type="pct"/>
            <w:tcBorders>
              <w:top w:val="nil"/>
              <w:left w:val="single" w:sz="4" w:space="0" w:color="auto"/>
              <w:bottom w:val="single" w:sz="4" w:space="0" w:color="auto"/>
              <w:right w:val="single" w:sz="4" w:space="0" w:color="auto"/>
            </w:tcBorders>
            <w:shd w:val="clear" w:color="auto" w:fill="D6E3BC" w:themeFill="accent3" w:themeFillTint="66"/>
            <w:noWrap/>
            <w:vAlign w:val="center"/>
          </w:tcPr>
          <w:p w14:paraId="41BD212B" w14:textId="77777777" w:rsidR="009A4C46" w:rsidRPr="009A4C46" w:rsidRDefault="009A4C46" w:rsidP="009A4C46">
            <w:pPr>
              <w:spacing w:after="0" w:line="240" w:lineRule="auto"/>
              <w:rPr>
                <w:rFonts w:eastAsia="Calibri"/>
                <w:b/>
                <w:color w:val="000000"/>
              </w:rPr>
            </w:pPr>
            <w:r w:rsidRPr="009A4C46">
              <w:rPr>
                <w:rFonts w:eastAsia="Calibri"/>
                <w:b/>
                <w:color w:val="000000"/>
              </w:rPr>
              <w:t>ИТОГО НВВ на 2019 год</w:t>
            </w:r>
          </w:p>
        </w:tc>
        <w:tc>
          <w:tcPr>
            <w:tcW w:w="924" w:type="pct"/>
            <w:tcBorders>
              <w:top w:val="nil"/>
              <w:left w:val="single" w:sz="4" w:space="0" w:color="auto"/>
              <w:bottom w:val="single" w:sz="4" w:space="0" w:color="auto"/>
              <w:right w:val="single" w:sz="4" w:space="0" w:color="auto"/>
            </w:tcBorders>
            <w:shd w:val="clear" w:color="auto" w:fill="D6E3BC" w:themeFill="accent3" w:themeFillTint="66"/>
            <w:noWrap/>
            <w:vAlign w:val="center"/>
            <w:hideMark/>
          </w:tcPr>
          <w:p w14:paraId="0FAE3428" w14:textId="77777777" w:rsidR="009A4C46" w:rsidRPr="009A4C46" w:rsidRDefault="009A4C46" w:rsidP="00E169B0">
            <w:pPr>
              <w:spacing w:after="0" w:line="240" w:lineRule="auto"/>
              <w:jc w:val="center"/>
              <w:rPr>
                <w:rFonts w:eastAsia="Calibri"/>
                <w:b/>
                <w:color w:val="000000"/>
              </w:rPr>
            </w:pPr>
            <w:r w:rsidRPr="009A4C46">
              <w:rPr>
                <w:rFonts w:eastAsia="Calibri"/>
                <w:b/>
                <w:color w:val="000000"/>
              </w:rPr>
              <w:t>тыс. руб.</w:t>
            </w:r>
          </w:p>
        </w:tc>
        <w:tc>
          <w:tcPr>
            <w:tcW w:w="1307" w:type="pct"/>
            <w:tcBorders>
              <w:top w:val="nil"/>
              <w:left w:val="single" w:sz="4" w:space="0" w:color="auto"/>
              <w:bottom w:val="single" w:sz="4" w:space="0" w:color="auto"/>
              <w:right w:val="single" w:sz="4" w:space="0" w:color="auto"/>
            </w:tcBorders>
            <w:shd w:val="clear" w:color="auto" w:fill="D6E3BC" w:themeFill="accent3" w:themeFillTint="66"/>
            <w:noWrap/>
            <w:vAlign w:val="center"/>
          </w:tcPr>
          <w:p w14:paraId="2913AB97" w14:textId="77777777" w:rsidR="009A4C46" w:rsidRPr="009A4C46" w:rsidRDefault="009A4C46" w:rsidP="003E2802">
            <w:pPr>
              <w:spacing w:after="0" w:line="240" w:lineRule="auto"/>
              <w:jc w:val="center"/>
              <w:rPr>
                <w:rFonts w:eastAsia="Calibri"/>
                <w:b/>
                <w:color w:val="000000"/>
              </w:rPr>
            </w:pPr>
            <w:r w:rsidRPr="009A4C46">
              <w:rPr>
                <w:rFonts w:eastAsia="Calibri"/>
                <w:b/>
                <w:color w:val="000000"/>
              </w:rPr>
              <w:t>7 925 416</w:t>
            </w:r>
          </w:p>
        </w:tc>
      </w:tr>
    </w:tbl>
    <w:p w14:paraId="10A9EEF5" w14:textId="77777777" w:rsidR="009A4C46" w:rsidRPr="00F94FED" w:rsidRDefault="009A4C46" w:rsidP="00F94FED">
      <w:pPr>
        <w:spacing w:after="0" w:line="360" w:lineRule="auto"/>
        <w:ind w:firstLine="567"/>
        <w:contextualSpacing/>
        <w:jc w:val="both"/>
        <w:rPr>
          <w:rFonts w:eastAsia="Calibri"/>
          <w:sz w:val="26"/>
          <w:szCs w:val="26"/>
        </w:rPr>
      </w:pPr>
    </w:p>
    <w:p w14:paraId="6240F41C" w14:textId="2A2D4D4E" w:rsidR="009A4C46" w:rsidRPr="008B0B3C" w:rsidRDefault="00A55EED" w:rsidP="008B0B3C">
      <w:pPr>
        <w:spacing w:after="0" w:line="360" w:lineRule="auto"/>
        <w:contextualSpacing/>
        <w:jc w:val="both"/>
        <w:rPr>
          <w:rFonts w:eastAsia="Calibri"/>
          <w:b/>
          <w:sz w:val="26"/>
          <w:szCs w:val="26"/>
          <w:lang w:eastAsia="ru-RU"/>
        </w:rPr>
      </w:pPr>
      <w:r w:rsidRPr="008B0B3C">
        <w:rPr>
          <w:rFonts w:eastAsia="Calibri"/>
          <w:b/>
          <w:sz w:val="26"/>
          <w:szCs w:val="26"/>
          <w:lang w:eastAsia="ru-RU"/>
        </w:rPr>
        <w:t>ПОЗИЦИЯ ОРГАНА РЕГУЛИРОВАНИЯ</w:t>
      </w:r>
    </w:p>
    <w:p w14:paraId="70E1BE78" w14:textId="77777777" w:rsidR="009A4C46" w:rsidRPr="00F94FED" w:rsidRDefault="009A4C46" w:rsidP="00F94FED">
      <w:pPr>
        <w:spacing w:after="0" w:line="360" w:lineRule="auto"/>
        <w:ind w:firstLine="567"/>
        <w:jc w:val="both"/>
        <w:rPr>
          <w:rFonts w:eastAsia="Calibri"/>
          <w:sz w:val="26"/>
          <w:szCs w:val="26"/>
          <w:lang w:eastAsia="ru-RU"/>
        </w:rPr>
      </w:pPr>
      <w:r w:rsidRPr="00F94FED">
        <w:rPr>
          <w:rFonts w:eastAsia="Calibri"/>
          <w:sz w:val="26"/>
          <w:szCs w:val="26"/>
          <w:lang w:eastAsia="ru-RU"/>
        </w:rPr>
        <w:t>Позиция органа регулирования по установлению НВВ АО «Тываэнерго» отражена в экспертном заключении Службы по тарифам Республики Тыва от 29.12.2018г. по предложениям об установлении тарифов на услуги по передаче электрической энергии по электрическим сетям АО «Тываэнерго» на 2019 год.</w:t>
      </w:r>
    </w:p>
    <w:p w14:paraId="1F54FBCE" w14:textId="51DECA7E" w:rsidR="009A4C46" w:rsidRDefault="009A4C46" w:rsidP="00A55EED">
      <w:pPr>
        <w:spacing w:after="0" w:line="360" w:lineRule="auto"/>
        <w:ind w:firstLine="567"/>
        <w:jc w:val="both"/>
        <w:rPr>
          <w:rFonts w:eastAsia="Calibri"/>
          <w:bCs/>
          <w:sz w:val="26"/>
          <w:szCs w:val="26"/>
          <w:lang w:eastAsia="ru-RU"/>
        </w:rPr>
      </w:pPr>
      <w:r w:rsidRPr="00F94FED">
        <w:rPr>
          <w:rFonts w:eastAsia="Calibri"/>
          <w:sz w:val="26"/>
          <w:szCs w:val="26"/>
          <w:lang w:eastAsia="ru-RU"/>
        </w:rPr>
        <w:t>В таблице приведен сравнительный анализ размера НВВ на 2019 год, утвержденного Службой по тарифам Республики Тыва от величины, заявленной АО «Тываэнерго».</w:t>
      </w:r>
    </w:p>
    <w:p w14:paraId="6B0B1E36" w14:textId="77777777" w:rsidR="00A55EED" w:rsidRPr="00F94FED" w:rsidRDefault="00A55EED" w:rsidP="00F94FED">
      <w:pPr>
        <w:spacing w:after="0" w:line="360" w:lineRule="auto"/>
        <w:ind w:firstLine="567"/>
        <w:jc w:val="both"/>
        <w:rPr>
          <w:rFonts w:eastAsia="Calibri"/>
          <w:sz w:val="26"/>
          <w:szCs w:val="26"/>
          <w:lang w:eastAsia="ru-RU"/>
        </w:rPr>
      </w:pPr>
    </w:p>
    <w:p w14:paraId="1A4CCB34" w14:textId="77777777" w:rsidR="009A4C46" w:rsidRPr="008B0B3C" w:rsidRDefault="009A4C46" w:rsidP="00F94FED">
      <w:pPr>
        <w:spacing w:after="0" w:line="360" w:lineRule="auto"/>
        <w:ind w:firstLine="567"/>
        <w:jc w:val="center"/>
        <w:rPr>
          <w:rFonts w:eastAsia="Calibri"/>
          <w:b/>
          <w:bCs/>
          <w:iCs/>
          <w:sz w:val="26"/>
          <w:szCs w:val="26"/>
          <w:lang w:eastAsia="ru-RU" w:bidi="ru-RU"/>
        </w:rPr>
      </w:pPr>
      <w:r w:rsidRPr="008B0B3C">
        <w:rPr>
          <w:rFonts w:eastAsia="Calibri"/>
          <w:b/>
          <w:bCs/>
          <w:iCs/>
          <w:sz w:val="26"/>
          <w:szCs w:val="26"/>
          <w:lang w:eastAsia="ru-RU" w:bidi="ru-RU"/>
        </w:rPr>
        <w:lastRenderedPageBreak/>
        <w:t>Расчет НВВ (без учета затрат на оплату услуг по передаче электрической энергии территориальных сетевых организаций) на 2019 год</w:t>
      </w:r>
    </w:p>
    <w:tbl>
      <w:tblPr>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824"/>
        <w:gridCol w:w="2086"/>
        <w:gridCol w:w="979"/>
        <w:gridCol w:w="979"/>
        <w:gridCol w:w="979"/>
        <w:gridCol w:w="1260"/>
        <w:gridCol w:w="1120"/>
        <w:gridCol w:w="1118"/>
      </w:tblGrid>
      <w:tr w:rsidR="009A4C46" w:rsidRPr="00A55EED" w14:paraId="5DF8E2D1" w14:textId="77777777" w:rsidTr="00F94FED">
        <w:trPr>
          <w:trHeight w:val="403"/>
          <w:tblHeader/>
        </w:trPr>
        <w:tc>
          <w:tcPr>
            <w:tcW w:w="44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F1C5AAB" w14:textId="77777777" w:rsidR="009A4C46" w:rsidRPr="00F94FED" w:rsidRDefault="009A4C46" w:rsidP="00E169B0">
            <w:pPr>
              <w:spacing w:after="0" w:line="240" w:lineRule="auto"/>
              <w:jc w:val="center"/>
              <w:rPr>
                <w:rFonts w:eastAsia="Calibri"/>
                <w:b/>
                <w:color w:val="FFFFFF" w:themeColor="background1"/>
                <w:lang w:eastAsia="ru-RU" w:bidi="ru-RU"/>
              </w:rPr>
            </w:pPr>
            <w:r w:rsidRPr="00F94FED">
              <w:rPr>
                <w:rFonts w:eastAsia="Calibri"/>
                <w:b/>
                <w:color w:val="FFFFFF" w:themeColor="background1"/>
                <w:lang w:eastAsia="ru-RU" w:bidi="ru-RU"/>
              </w:rPr>
              <w:t>№ н/п</w:t>
            </w:r>
          </w:p>
        </w:tc>
        <w:tc>
          <w:tcPr>
            <w:tcW w:w="111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DCEFE41" w14:textId="77777777" w:rsidR="009A4C46" w:rsidRPr="00F94FED" w:rsidRDefault="009A4C46" w:rsidP="003E2802">
            <w:pPr>
              <w:spacing w:after="0" w:line="240" w:lineRule="auto"/>
              <w:jc w:val="center"/>
              <w:rPr>
                <w:rFonts w:eastAsia="Calibri"/>
                <w:b/>
                <w:color w:val="FFFFFF" w:themeColor="background1"/>
                <w:lang w:eastAsia="ru-RU" w:bidi="ru-RU"/>
              </w:rPr>
            </w:pPr>
            <w:r w:rsidRPr="00F94FED">
              <w:rPr>
                <w:rFonts w:eastAsia="Calibri"/>
                <w:b/>
                <w:color w:val="FFFFFF" w:themeColor="background1"/>
                <w:lang w:eastAsia="ru-RU" w:bidi="ru-RU"/>
              </w:rPr>
              <w:t>Показатель</w:t>
            </w:r>
          </w:p>
        </w:tc>
        <w:tc>
          <w:tcPr>
            <w:tcW w:w="52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8FCDCEE" w14:textId="77777777" w:rsidR="009A4C46" w:rsidRPr="00F94FED" w:rsidRDefault="009A4C46">
            <w:pPr>
              <w:spacing w:after="0" w:line="240" w:lineRule="auto"/>
              <w:jc w:val="center"/>
              <w:rPr>
                <w:rFonts w:eastAsia="Calibri"/>
                <w:b/>
                <w:color w:val="FFFFFF" w:themeColor="background1"/>
                <w:lang w:eastAsia="ru-RU" w:bidi="ru-RU"/>
              </w:rPr>
            </w:pPr>
            <w:r w:rsidRPr="00F94FED">
              <w:rPr>
                <w:rFonts w:eastAsia="Calibri"/>
                <w:b/>
                <w:color w:val="FFFFFF" w:themeColor="background1"/>
                <w:lang w:eastAsia="ru-RU" w:bidi="ru-RU"/>
              </w:rPr>
              <w:t>Ед. изм.</w:t>
            </w:r>
          </w:p>
        </w:tc>
        <w:tc>
          <w:tcPr>
            <w:tcW w:w="52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7B45DB8" w14:textId="77777777" w:rsidR="009A4C46" w:rsidRPr="00F94FED" w:rsidRDefault="009A4C46">
            <w:pPr>
              <w:spacing w:after="0" w:line="240" w:lineRule="auto"/>
              <w:jc w:val="center"/>
              <w:rPr>
                <w:rFonts w:eastAsia="Calibri"/>
                <w:b/>
                <w:color w:val="FFFFFF" w:themeColor="background1"/>
                <w:lang w:eastAsia="ru-RU" w:bidi="ru-RU"/>
              </w:rPr>
            </w:pPr>
            <w:r w:rsidRPr="00F94FED">
              <w:rPr>
                <w:rFonts w:eastAsia="Calibri"/>
                <w:b/>
                <w:color w:val="FFFFFF" w:themeColor="background1"/>
                <w:lang w:eastAsia="ru-RU" w:bidi="ru-RU"/>
              </w:rPr>
              <w:t>2017 год</w:t>
            </w:r>
          </w:p>
        </w:tc>
        <w:tc>
          <w:tcPr>
            <w:tcW w:w="52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D7C2BB8" w14:textId="77777777" w:rsidR="009A4C46" w:rsidRPr="00F94FED" w:rsidRDefault="009A4C46">
            <w:pPr>
              <w:spacing w:after="0" w:line="240" w:lineRule="auto"/>
              <w:jc w:val="center"/>
              <w:rPr>
                <w:rFonts w:eastAsia="Calibri"/>
                <w:b/>
                <w:color w:val="FFFFFF" w:themeColor="background1"/>
                <w:lang w:eastAsia="ru-RU" w:bidi="ru-RU"/>
              </w:rPr>
            </w:pPr>
            <w:r w:rsidRPr="00F94FED">
              <w:rPr>
                <w:rFonts w:eastAsia="Calibri"/>
                <w:b/>
                <w:color w:val="FFFFFF" w:themeColor="background1"/>
                <w:lang w:eastAsia="ru-RU" w:bidi="ru-RU"/>
              </w:rPr>
              <w:t>2018 год</w:t>
            </w:r>
          </w:p>
        </w:tc>
        <w:tc>
          <w:tcPr>
            <w:tcW w:w="1871"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FA5FD72" w14:textId="77777777" w:rsidR="009A4C46" w:rsidRPr="00F94FED" w:rsidRDefault="009A4C46">
            <w:pPr>
              <w:spacing w:after="0" w:line="240" w:lineRule="auto"/>
              <w:jc w:val="center"/>
              <w:rPr>
                <w:rFonts w:eastAsia="Calibri"/>
                <w:b/>
                <w:color w:val="FFFFFF" w:themeColor="background1"/>
                <w:lang w:eastAsia="ru-RU" w:bidi="ru-RU"/>
              </w:rPr>
            </w:pPr>
            <w:r w:rsidRPr="00F94FED">
              <w:rPr>
                <w:rFonts w:eastAsia="Calibri"/>
                <w:b/>
                <w:color w:val="FFFFFF" w:themeColor="background1"/>
                <w:lang w:eastAsia="ru-RU" w:bidi="ru-RU"/>
              </w:rPr>
              <w:t>2019 год</w:t>
            </w:r>
          </w:p>
        </w:tc>
      </w:tr>
      <w:tr w:rsidR="00F94FED" w:rsidRPr="00A55EED" w14:paraId="78C9A029" w14:textId="77777777" w:rsidTr="00F94FED">
        <w:trPr>
          <w:trHeight w:val="624"/>
          <w:tblHeader/>
        </w:trPr>
        <w:tc>
          <w:tcPr>
            <w:tcW w:w="44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022550D" w14:textId="77777777" w:rsidR="009A4C46" w:rsidRPr="00F94FED" w:rsidRDefault="009A4C46">
            <w:pPr>
              <w:spacing w:after="0" w:line="240" w:lineRule="auto"/>
              <w:jc w:val="center"/>
              <w:rPr>
                <w:rFonts w:eastAsia="Calibri"/>
                <w:b/>
                <w:color w:val="FFFFFF" w:themeColor="background1"/>
                <w:lang w:eastAsia="ru-RU" w:bidi="ru-RU"/>
              </w:rPr>
            </w:pPr>
          </w:p>
        </w:tc>
        <w:tc>
          <w:tcPr>
            <w:tcW w:w="111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025A77E" w14:textId="77777777" w:rsidR="009A4C46" w:rsidRPr="00F94FED" w:rsidRDefault="009A4C46">
            <w:pPr>
              <w:spacing w:after="0" w:line="240" w:lineRule="auto"/>
              <w:jc w:val="center"/>
              <w:rPr>
                <w:rFonts w:eastAsia="Calibri"/>
                <w:b/>
                <w:color w:val="FFFFFF" w:themeColor="background1"/>
                <w:lang w:eastAsia="ru-RU" w:bidi="ru-RU"/>
              </w:rPr>
            </w:pPr>
          </w:p>
        </w:tc>
        <w:tc>
          <w:tcPr>
            <w:tcW w:w="52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F976976" w14:textId="77777777" w:rsidR="009A4C46" w:rsidRPr="00F94FED" w:rsidRDefault="009A4C46">
            <w:pPr>
              <w:spacing w:after="0" w:line="240" w:lineRule="auto"/>
              <w:jc w:val="center"/>
              <w:rPr>
                <w:rFonts w:eastAsia="Calibri"/>
                <w:b/>
                <w:color w:val="FFFFFF" w:themeColor="background1"/>
                <w:lang w:eastAsia="ru-RU" w:bidi="ru-RU"/>
              </w:rPr>
            </w:pPr>
          </w:p>
        </w:tc>
        <w:tc>
          <w:tcPr>
            <w:tcW w:w="52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EB5A1CB" w14:textId="77777777" w:rsidR="009A4C46" w:rsidRPr="00F94FED" w:rsidRDefault="009A4C46">
            <w:pPr>
              <w:spacing w:after="0" w:line="240" w:lineRule="auto"/>
              <w:jc w:val="center"/>
              <w:rPr>
                <w:rFonts w:eastAsia="Calibri"/>
                <w:b/>
                <w:color w:val="FFFFFF" w:themeColor="background1"/>
                <w:lang w:eastAsia="ru-RU" w:bidi="ru-RU"/>
              </w:rPr>
            </w:pPr>
            <w:r w:rsidRPr="00F94FED">
              <w:rPr>
                <w:rFonts w:eastAsia="Calibri"/>
                <w:b/>
                <w:color w:val="FFFFFF" w:themeColor="background1"/>
                <w:lang w:eastAsia="ru-RU" w:bidi="ru-RU"/>
              </w:rPr>
              <w:t>Факт</w:t>
            </w:r>
          </w:p>
        </w:tc>
        <w:tc>
          <w:tcPr>
            <w:tcW w:w="52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90CBEFC" w14:textId="77777777" w:rsidR="009A4C46" w:rsidRPr="00F94FED" w:rsidRDefault="009A4C46">
            <w:pPr>
              <w:spacing w:after="0" w:line="240" w:lineRule="auto"/>
              <w:jc w:val="center"/>
              <w:rPr>
                <w:rFonts w:eastAsia="Calibri"/>
                <w:b/>
                <w:color w:val="FFFFFF" w:themeColor="background1"/>
                <w:lang w:eastAsia="ru-RU" w:bidi="ru-RU"/>
              </w:rPr>
            </w:pPr>
            <w:r w:rsidRPr="00F94FED">
              <w:rPr>
                <w:rFonts w:eastAsia="Calibri"/>
                <w:b/>
                <w:color w:val="FFFFFF" w:themeColor="background1"/>
                <w:lang w:eastAsia="ru-RU" w:bidi="ru-RU"/>
              </w:rPr>
              <w:t>Утверждено</w:t>
            </w:r>
          </w:p>
        </w:tc>
        <w:tc>
          <w:tcPr>
            <w:tcW w:w="67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907CC5E" w14:textId="77777777" w:rsidR="009A4C46" w:rsidRPr="00F94FED" w:rsidRDefault="009A4C46">
            <w:pPr>
              <w:spacing w:after="0" w:line="240" w:lineRule="auto"/>
              <w:jc w:val="center"/>
              <w:rPr>
                <w:rFonts w:eastAsia="Calibri"/>
                <w:b/>
                <w:color w:val="FFFFFF" w:themeColor="background1"/>
                <w:lang w:eastAsia="ru-RU" w:bidi="ru-RU"/>
              </w:rPr>
            </w:pPr>
            <w:r w:rsidRPr="00F94FED">
              <w:rPr>
                <w:rFonts w:eastAsia="Calibri"/>
                <w:b/>
                <w:color w:val="FFFFFF" w:themeColor="background1"/>
                <w:lang w:eastAsia="ru-RU" w:bidi="ru-RU"/>
              </w:rPr>
              <w:t>Предложение</w:t>
            </w:r>
          </w:p>
          <w:p w14:paraId="3B38380C" w14:textId="77777777" w:rsidR="009A4C46" w:rsidRPr="00F94FED" w:rsidRDefault="009A4C46">
            <w:pPr>
              <w:spacing w:after="0" w:line="240" w:lineRule="auto"/>
              <w:jc w:val="center"/>
              <w:rPr>
                <w:rFonts w:eastAsia="Calibri"/>
                <w:b/>
                <w:color w:val="FFFFFF" w:themeColor="background1"/>
                <w:lang w:eastAsia="ru-RU" w:bidi="ru-RU"/>
              </w:rPr>
            </w:pPr>
            <w:r w:rsidRPr="00F94FED">
              <w:rPr>
                <w:rFonts w:eastAsia="Calibri"/>
                <w:b/>
                <w:color w:val="FFFFFF" w:themeColor="background1"/>
                <w:lang w:eastAsia="ru-RU" w:bidi="ru-RU"/>
              </w:rPr>
              <w:t>АО</w:t>
            </w:r>
          </w:p>
          <w:p w14:paraId="76CAEE9C" w14:textId="77777777" w:rsidR="009A4C46" w:rsidRPr="00F94FED" w:rsidRDefault="009A4C46">
            <w:pPr>
              <w:spacing w:after="0" w:line="240" w:lineRule="auto"/>
              <w:jc w:val="center"/>
              <w:rPr>
                <w:rFonts w:eastAsia="Calibri"/>
                <w:b/>
                <w:color w:val="FFFFFF" w:themeColor="background1"/>
                <w:lang w:eastAsia="ru-RU" w:bidi="ru-RU"/>
              </w:rPr>
            </w:pPr>
            <w:r w:rsidRPr="00F94FED">
              <w:rPr>
                <w:rFonts w:eastAsia="Calibri"/>
                <w:b/>
                <w:color w:val="FFFFFF" w:themeColor="background1"/>
                <w:lang w:eastAsia="ru-RU" w:bidi="ru-RU"/>
              </w:rPr>
              <w:t>«Тываэнерго</w:t>
            </w:r>
          </w:p>
        </w:tc>
        <w:tc>
          <w:tcPr>
            <w:tcW w:w="59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230D719" w14:textId="11510B5D" w:rsidR="009A4C46" w:rsidRPr="00F94FED" w:rsidRDefault="009A4C46">
            <w:pPr>
              <w:spacing w:after="0" w:line="240" w:lineRule="auto"/>
              <w:jc w:val="center"/>
              <w:rPr>
                <w:rFonts w:eastAsia="Calibri"/>
                <w:b/>
                <w:color w:val="FFFFFF" w:themeColor="background1"/>
                <w:lang w:eastAsia="ru-RU" w:bidi="ru-RU"/>
              </w:rPr>
            </w:pPr>
            <w:r w:rsidRPr="00F94FED">
              <w:rPr>
                <w:rFonts w:eastAsia="Calibri"/>
                <w:b/>
                <w:color w:val="FFFFFF" w:themeColor="background1"/>
                <w:lang w:eastAsia="ru-RU" w:bidi="ru-RU"/>
              </w:rPr>
              <w:t xml:space="preserve">Утверждено </w:t>
            </w:r>
            <w:r w:rsidR="008B0B3C">
              <w:rPr>
                <w:rFonts w:eastAsia="Calibri"/>
                <w:b/>
                <w:color w:val="FFFFFF" w:themeColor="background1"/>
                <w:lang w:eastAsia="ru-RU" w:bidi="ru-RU"/>
              </w:rPr>
              <w:t>Службой</w:t>
            </w:r>
          </w:p>
        </w:tc>
        <w:tc>
          <w:tcPr>
            <w:tcW w:w="59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6B8C0D0" w14:textId="77777777" w:rsidR="009A4C46" w:rsidRPr="00F94FED" w:rsidRDefault="009A4C46">
            <w:pPr>
              <w:spacing w:after="0" w:line="240" w:lineRule="auto"/>
              <w:jc w:val="center"/>
              <w:rPr>
                <w:rFonts w:eastAsia="Calibri"/>
                <w:b/>
                <w:color w:val="FFFFFF" w:themeColor="background1"/>
                <w:lang w:eastAsia="ru-RU" w:bidi="ru-RU"/>
              </w:rPr>
            </w:pPr>
            <w:r w:rsidRPr="00F94FED">
              <w:rPr>
                <w:rFonts w:eastAsia="Calibri"/>
                <w:b/>
                <w:color w:val="FFFFFF" w:themeColor="background1"/>
                <w:lang w:eastAsia="ru-RU" w:bidi="ru-RU"/>
              </w:rPr>
              <w:t>Отклонение</w:t>
            </w:r>
          </w:p>
        </w:tc>
      </w:tr>
      <w:tr w:rsidR="00F94FED" w:rsidRPr="00A55EED" w14:paraId="217E6BFC" w14:textId="77777777" w:rsidTr="00F94FED">
        <w:trPr>
          <w:trHeight w:val="136"/>
          <w:tblHeader/>
        </w:trPr>
        <w:tc>
          <w:tcPr>
            <w:tcW w:w="44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A12325D" w14:textId="77777777" w:rsidR="009A4C46" w:rsidRPr="00F94FED" w:rsidRDefault="009A4C46" w:rsidP="00E169B0">
            <w:pPr>
              <w:spacing w:after="0" w:line="240" w:lineRule="auto"/>
              <w:jc w:val="center"/>
              <w:rPr>
                <w:rFonts w:eastAsia="Calibri"/>
                <w:b/>
                <w:color w:val="FFFFFF" w:themeColor="background1"/>
                <w:lang w:eastAsia="ru-RU" w:bidi="ru-RU"/>
              </w:rPr>
            </w:pPr>
            <w:r w:rsidRPr="00F94FED">
              <w:rPr>
                <w:rFonts w:eastAsia="Calibri"/>
                <w:b/>
                <w:color w:val="FFFFFF" w:themeColor="background1"/>
                <w:lang w:eastAsia="ru-RU" w:bidi="ru-RU"/>
              </w:rPr>
              <w:t>1</w:t>
            </w:r>
          </w:p>
        </w:tc>
        <w:tc>
          <w:tcPr>
            <w:tcW w:w="111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7230229" w14:textId="77777777" w:rsidR="009A4C46" w:rsidRPr="00F94FED" w:rsidRDefault="009A4C46" w:rsidP="003E2802">
            <w:pPr>
              <w:spacing w:after="0" w:line="240" w:lineRule="auto"/>
              <w:jc w:val="center"/>
              <w:rPr>
                <w:rFonts w:eastAsia="Calibri"/>
                <w:b/>
                <w:color w:val="FFFFFF" w:themeColor="background1"/>
                <w:lang w:eastAsia="ru-RU" w:bidi="ru-RU"/>
              </w:rPr>
            </w:pPr>
            <w:r w:rsidRPr="00F94FED">
              <w:rPr>
                <w:rFonts w:eastAsia="Calibri"/>
                <w:b/>
                <w:color w:val="FFFFFF" w:themeColor="background1"/>
                <w:lang w:eastAsia="ru-RU" w:bidi="ru-RU"/>
              </w:rPr>
              <w:t>2</w:t>
            </w:r>
          </w:p>
        </w:tc>
        <w:tc>
          <w:tcPr>
            <w:tcW w:w="52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516B9B4" w14:textId="77777777" w:rsidR="009A4C46" w:rsidRPr="00F94FED" w:rsidRDefault="009A4C46">
            <w:pPr>
              <w:spacing w:after="0" w:line="240" w:lineRule="auto"/>
              <w:jc w:val="center"/>
              <w:rPr>
                <w:rFonts w:eastAsia="Calibri"/>
                <w:b/>
                <w:color w:val="FFFFFF" w:themeColor="background1"/>
                <w:lang w:eastAsia="ru-RU" w:bidi="ru-RU"/>
              </w:rPr>
            </w:pPr>
            <w:r w:rsidRPr="00F94FED">
              <w:rPr>
                <w:rFonts w:eastAsia="Calibri"/>
                <w:b/>
                <w:color w:val="FFFFFF" w:themeColor="background1"/>
                <w:lang w:eastAsia="ru-RU" w:bidi="ru-RU"/>
              </w:rPr>
              <w:t>3</w:t>
            </w:r>
          </w:p>
        </w:tc>
        <w:tc>
          <w:tcPr>
            <w:tcW w:w="52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3DF344B" w14:textId="77777777" w:rsidR="009A4C46" w:rsidRPr="00F94FED" w:rsidRDefault="009A4C46">
            <w:pPr>
              <w:spacing w:after="0" w:line="240" w:lineRule="auto"/>
              <w:jc w:val="center"/>
              <w:rPr>
                <w:rFonts w:eastAsia="Calibri"/>
                <w:b/>
                <w:color w:val="FFFFFF" w:themeColor="background1"/>
                <w:lang w:eastAsia="ru-RU" w:bidi="ru-RU"/>
              </w:rPr>
            </w:pPr>
            <w:r w:rsidRPr="00F94FED">
              <w:rPr>
                <w:rFonts w:eastAsia="Calibri"/>
                <w:b/>
                <w:color w:val="FFFFFF" w:themeColor="background1"/>
                <w:lang w:eastAsia="ru-RU" w:bidi="ru-RU"/>
              </w:rPr>
              <w:t>4</w:t>
            </w:r>
          </w:p>
        </w:tc>
        <w:tc>
          <w:tcPr>
            <w:tcW w:w="52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4E5C524" w14:textId="77777777" w:rsidR="009A4C46" w:rsidRPr="00F94FED" w:rsidRDefault="009A4C46">
            <w:pPr>
              <w:spacing w:after="0" w:line="240" w:lineRule="auto"/>
              <w:jc w:val="center"/>
              <w:rPr>
                <w:rFonts w:eastAsia="Calibri"/>
                <w:b/>
                <w:color w:val="FFFFFF" w:themeColor="background1"/>
                <w:lang w:eastAsia="ru-RU" w:bidi="ru-RU"/>
              </w:rPr>
            </w:pPr>
            <w:r w:rsidRPr="00F94FED">
              <w:rPr>
                <w:rFonts w:eastAsia="Calibri"/>
                <w:b/>
                <w:color w:val="FFFFFF" w:themeColor="background1"/>
                <w:lang w:eastAsia="ru-RU" w:bidi="ru-RU"/>
              </w:rPr>
              <w:t>5</w:t>
            </w:r>
          </w:p>
        </w:tc>
        <w:tc>
          <w:tcPr>
            <w:tcW w:w="67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DC8A9C8" w14:textId="77777777" w:rsidR="009A4C46" w:rsidRPr="00F94FED" w:rsidRDefault="009A4C46">
            <w:pPr>
              <w:spacing w:after="0" w:line="240" w:lineRule="auto"/>
              <w:jc w:val="center"/>
              <w:rPr>
                <w:rFonts w:eastAsia="Calibri"/>
                <w:b/>
                <w:color w:val="FFFFFF" w:themeColor="background1"/>
                <w:lang w:eastAsia="ru-RU" w:bidi="ru-RU"/>
              </w:rPr>
            </w:pPr>
            <w:r w:rsidRPr="00F94FED">
              <w:rPr>
                <w:rFonts w:eastAsia="Calibri"/>
                <w:b/>
                <w:color w:val="FFFFFF" w:themeColor="background1"/>
                <w:lang w:eastAsia="ru-RU" w:bidi="ru-RU"/>
              </w:rPr>
              <w:t>6</w:t>
            </w:r>
          </w:p>
        </w:tc>
        <w:tc>
          <w:tcPr>
            <w:tcW w:w="59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6261DDF" w14:textId="77777777" w:rsidR="009A4C46" w:rsidRPr="00F94FED" w:rsidRDefault="009A4C46">
            <w:pPr>
              <w:spacing w:after="0" w:line="240" w:lineRule="auto"/>
              <w:jc w:val="center"/>
              <w:rPr>
                <w:rFonts w:eastAsia="Calibri"/>
                <w:b/>
                <w:color w:val="FFFFFF" w:themeColor="background1"/>
                <w:lang w:eastAsia="ru-RU" w:bidi="ru-RU"/>
              </w:rPr>
            </w:pPr>
            <w:r w:rsidRPr="00F94FED">
              <w:rPr>
                <w:rFonts w:eastAsia="Calibri"/>
                <w:b/>
                <w:color w:val="FFFFFF" w:themeColor="background1"/>
                <w:lang w:eastAsia="ru-RU" w:bidi="ru-RU"/>
              </w:rPr>
              <w:t>7</w:t>
            </w:r>
          </w:p>
        </w:tc>
        <w:tc>
          <w:tcPr>
            <w:tcW w:w="59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F54C109" w14:textId="77777777" w:rsidR="009A4C46" w:rsidRPr="00F94FED" w:rsidRDefault="009A4C46">
            <w:pPr>
              <w:spacing w:after="0" w:line="240" w:lineRule="auto"/>
              <w:jc w:val="center"/>
              <w:rPr>
                <w:rFonts w:eastAsia="Calibri"/>
                <w:b/>
                <w:color w:val="FFFFFF" w:themeColor="background1"/>
                <w:lang w:eastAsia="ru-RU" w:bidi="ru-RU"/>
              </w:rPr>
            </w:pPr>
            <w:r w:rsidRPr="00F94FED">
              <w:rPr>
                <w:rFonts w:eastAsia="Calibri"/>
                <w:b/>
                <w:color w:val="FFFFFF" w:themeColor="background1"/>
                <w:lang w:eastAsia="ru-RU" w:bidi="ru-RU"/>
              </w:rPr>
              <w:t>8=7-6</w:t>
            </w:r>
          </w:p>
        </w:tc>
      </w:tr>
      <w:tr w:rsidR="00F94FED" w:rsidRPr="00A55EED" w14:paraId="34FEC5CC" w14:textId="77777777" w:rsidTr="00F94FED">
        <w:trPr>
          <w:trHeight w:val="624"/>
        </w:trPr>
        <w:tc>
          <w:tcPr>
            <w:tcW w:w="441" w:type="pct"/>
            <w:tcBorders>
              <w:top w:val="single" w:sz="4" w:space="0" w:color="FFFFFF" w:themeColor="background1"/>
            </w:tcBorders>
            <w:shd w:val="clear" w:color="auto" w:fill="FFFFFF"/>
            <w:vAlign w:val="center"/>
          </w:tcPr>
          <w:p w14:paraId="0A0163D0" w14:textId="77777777" w:rsidR="009A4C46" w:rsidRPr="003E2802" w:rsidRDefault="009A4C46" w:rsidP="009A4C46">
            <w:pPr>
              <w:spacing w:after="0" w:line="240" w:lineRule="auto"/>
              <w:jc w:val="center"/>
              <w:rPr>
                <w:rFonts w:eastAsia="Calibri"/>
                <w:lang w:eastAsia="ru-RU" w:bidi="ru-RU"/>
              </w:rPr>
            </w:pPr>
            <w:r w:rsidRPr="00E169B0">
              <w:rPr>
                <w:rFonts w:eastAsia="Calibri"/>
                <w:lang w:eastAsia="ru-RU" w:bidi="ru-RU"/>
              </w:rPr>
              <w:t>1</w:t>
            </w:r>
          </w:p>
        </w:tc>
        <w:tc>
          <w:tcPr>
            <w:tcW w:w="1116" w:type="pct"/>
            <w:tcBorders>
              <w:top w:val="single" w:sz="4" w:space="0" w:color="FFFFFF" w:themeColor="background1"/>
            </w:tcBorders>
            <w:shd w:val="clear" w:color="auto" w:fill="FFFFFF"/>
            <w:vAlign w:val="center"/>
          </w:tcPr>
          <w:p w14:paraId="725EDE0E" w14:textId="77777777" w:rsidR="009A4C46" w:rsidRPr="00A55EED" w:rsidRDefault="009A4C46" w:rsidP="009A4C46">
            <w:pPr>
              <w:spacing w:after="0" w:line="240" w:lineRule="auto"/>
              <w:rPr>
                <w:rFonts w:eastAsia="Calibri"/>
                <w:lang w:eastAsia="ru-RU" w:bidi="ru-RU"/>
              </w:rPr>
            </w:pPr>
            <w:r w:rsidRPr="00A55EED">
              <w:rPr>
                <w:rFonts w:eastAsia="Calibri"/>
                <w:lang w:eastAsia="ru-RU" w:bidi="ru-RU"/>
              </w:rPr>
              <w:t xml:space="preserve">Необходимая валовая выручка </w:t>
            </w:r>
          </w:p>
        </w:tc>
        <w:tc>
          <w:tcPr>
            <w:tcW w:w="524" w:type="pct"/>
            <w:tcBorders>
              <w:top w:val="single" w:sz="4" w:space="0" w:color="FFFFFF" w:themeColor="background1"/>
            </w:tcBorders>
            <w:shd w:val="clear" w:color="auto" w:fill="FFFFFF"/>
            <w:vAlign w:val="center"/>
          </w:tcPr>
          <w:p w14:paraId="3C79A178" w14:textId="77777777" w:rsidR="009A4C46" w:rsidRPr="00A55EED" w:rsidRDefault="009A4C46" w:rsidP="009A4C46">
            <w:pPr>
              <w:spacing w:after="0" w:line="240" w:lineRule="auto"/>
              <w:jc w:val="center"/>
              <w:rPr>
                <w:rFonts w:eastAsia="Calibri"/>
                <w:lang w:eastAsia="ru-RU" w:bidi="ru-RU"/>
              </w:rPr>
            </w:pPr>
            <w:r w:rsidRPr="00A55EED">
              <w:rPr>
                <w:rFonts w:eastAsia="Calibri"/>
                <w:lang w:eastAsia="ru-RU" w:bidi="ru-RU"/>
              </w:rPr>
              <w:t>тыс. руб.</w:t>
            </w:r>
          </w:p>
        </w:tc>
        <w:tc>
          <w:tcPr>
            <w:tcW w:w="524" w:type="pct"/>
            <w:tcBorders>
              <w:top w:val="single" w:sz="4" w:space="0" w:color="FFFFFF" w:themeColor="background1"/>
              <w:left w:val="nil"/>
              <w:bottom w:val="single" w:sz="8" w:space="0" w:color="auto"/>
              <w:right w:val="single" w:sz="8" w:space="0" w:color="auto"/>
            </w:tcBorders>
            <w:shd w:val="clear" w:color="000000" w:fill="FFFFFF"/>
            <w:vAlign w:val="center"/>
          </w:tcPr>
          <w:p w14:paraId="21343F1A" w14:textId="77777777" w:rsidR="009A4C46" w:rsidRPr="00A55EED" w:rsidRDefault="009A4C46" w:rsidP="009A4C46">
            <w:pPr>
              <w:spacing w:after="0" w:line="240" w:lineRule="auto"/>
              <w:jc w:val="center"/>
              <w:rPr>
                <w:rFonts w:eastAsia="Calibri"/>
                <w:lang w:eastAsia="ru-RU" w:bidi="ru-RU"/>
              </w:rPr>
            </w:pPr>
            <w:r w:rsidRPr="00A55EED">
              <w:rPr>
                <w:rFonts w:eastAsia="Times New Roman"/>
                <w:lang w:eastAsia="ru-RU"/>
              </w:rPr>
              <w:t>1 386 594</w:t>
            </w:r>
          </w:p>
        </w:tc>
        <w:tc>
          <w:tcPr>
            <w:tcW w:w="524" w:type="pct"/>
            <w:tcBorders>
              <w:top w:val="single" w:sz="4" w:space="0" w:color="FFFFFF" w:themeColor="background1"/>
              <w:left w:val="nil"/>
              <w:bottom w:val="single" w:sz="8" w:space="0" w:color="auto"/>
              <w:right w:val="single" w:sz="8" w:space="0" w:color="auto"/>
            </w:tcBorders>
            <w:shd w:val="clear" w:color="auto" w:fill="auto"/>
            <w:vAlign w:val="center"/>
          </w:tcPr>
          <w:p w14:paraId="6C659F5C" w14:textId="77777777" w:rsidR="009A4C46" w:rsidRPr="00A55EED" w:rsidRDefault="009A4C46" w:rsidP="009A4C46">
            <w:pPr>
              <w:spacing w:after="0" w:line="240" w:lineRule="auto"/>
              <w:jc w:val="center"/>
              <w:rPr>
                <w:rFonts w:eastAsia="Calibri"/>
                <w:lang w:eastAsia="ru-RU" w:bidi="ru-RU"/>
              </w:rPr>
            </w:pPr>
            <w:r w:rsidRPr="00A55EED">
              <w:rPr>
                <w:rFonts w:eastAsia="Times New Roman"/>
                <w:lang w:eastAsia="ru-RU"/>
              </w:rPr>
              <w:t>1 374 943</w:t>
            </w:r>
          </w:p>
        </w:tc>
        <w:tc>
          <w:tcPr>
            <w:tcW w:w="674" w:type="pct"/>
            <w:tcBorders>
              <w:top w:val="single" w:sz="4" w:space="0" w:color="FFFFFF" w:themeColor="background1"/>
              <w:left w:val="nil"/>
              <w:bottom w:val="single" w:sz="8" w:space="0" w:color="auto"/>
              <w:right w:val="single" w:sz="8" w:space="0" w:color="auto"/>
            </w:tcBorders>
            <w:shd w:val="clear" w:color="auto" w:fill="auto"/>
            <w:vAlign w:val="center"/>
          </w:tcPr>
          <w:p w14:paraId="119F813D" w14:textId="77777777" w:rsidR="009A4C46" w:rsidRPr="00A55EED" w:rsidRDefault="009A4C46" w:rsidP="009A4C46">
            <w:pPr>
              <w:spacing w:after="0" w:line="240" w:lineRule="auto"/>
              <w:jc w:val="center"/>
              <w:rPr>
                <w:rFonts w:eastAsia="Calibri"/>
                <w:lang w:eastAsia="ru-RU" w:bidi="ru-RU"/>
              </w:rPr>
            </w:pPr>
            <w:r w:rsidRPr="00A55EED">
              <w:rPr>
                <w:rFonts w:eastAsia="Times New Roman"/>
                <w:color w:val="000000"/>
                <w:lang w:eastAsia="ru-RU"/>
              </w:rPr>
              <w:t>7 925 416</w:t>
            </w:r>
          </w:p>
        </w:tc>
        <w:tc>
          <w:tcPr>
            <w:tcW w:w="599" w:type="pct"/>
            <w:tcBorders>
              <w:top w:val="single" w:sz="4" w:space="0" w:color="FFFFFF" w:themeColor="background1"/>
              <w:left w:val="nil"/>
              <w:bottom w:val="single" w:sz="8" w:space="0" w:color="auto"/>
              <w:right w:val="single" w:sz="8" w:space="0" w:color="auto"/>
            </w:tcBorders>
            <w:shd w:val="clear" w:color="auto" w:fill="auto"/>
            <w:vAlign w:val="center"/>
          </w:tcPr>
          <w:p w14:paraId="2F2DBB88" w14:textId="77777777" w:rsidR="009A4C46" w:rsidRPr="00A55EED" w:rsidRDefault="009A4C46" w:rsidP="009A4C46">
            <w:pPr>
              <w:spacing w:after="0" w:line="240" w:lineRule="auto"/>
              <w:jc w:val="center"/>
              <w:rPr>
                <w:rFonts w:eastAsia="Calibri"/>
                <w:lang w:eastAsia="ru-RU" w:bidi="ru-RU"/>
              </w:rPr>
            </w:pPr>
            <w:r w:rsidRPr="00A55EED">
              <w:rPr>
                <w:rFonts w:eastAsia="Times New Roman"/>
                <w:color w:val="000000"/>
                <w:lang w:eastAsia="ru-RU"/>
              </w:rPr>
              <w:t>1 486 148</w:t>
            </w:r>
          </w:p>
        </w:tc>
        <w:tc>
          <w:tcPr>
            <w:tcW w:w="599" w:type="pct"/>
            <w:tcBorders>
              <w:top w:val="single" w:sz="4" w:space="0" w:color="FFFFFF" w:themeColor="background1"/>
              <w:left w:val="nil"/>
              <w:bottom w:val="single" w:sz="8" w:space="0" w:color="auto"/>
              <w:right w:val="single" w:sz="8" w:space="0" w:color="auto"/>
            </w:tcBorders>
            <w:shd w:val="clear" w:color="000000" w:fill="FFFFFF"/>
            <w:vAlign w:val="center"/>
          </w:tcPr>
          <w:p w14:paraId="088016FE" w14:textId="77777777" w:rsidR="009A4C46" w:rsidRPr="00A55EED" w:rsidRDefault="009A4C46" w:rsidP="009A4C46">
            <w:pPr>
              <w:spacing w:after="0" w:line="240" w:lineRule="auto"/>
              <w:jc w:val="center"/>
              <w:rPr>
                <w:rFonts w:eastAsia="Calibri"/>
                <w:lang w:eastAsia="ru-RU" w:bidi="ru-RU"/>
              </w:rPr>
            </w:pPr>
            <w:r w:rsidRPr="00A55EED">
              <w:rPr>
                <w:rFonts w:eastAsia="Calibri"/>
                <w:color w:val="000000"/>
                <w:lang w:eastAsia="ru-RU" w:bidi="ru-RU"/>
              </w:rPr>
              <w:t>-6 439 268</w:t>
            </w:r>
          </w:p>
        </w:tc>
      </w:tr>
      <w:tr w:rsidR="00F94FED" w:rsidRPr="00A55EED" w14:paraId="452FD0D7" w14:textId="77777777" w:rsidTr="00F94FED">
        <w:trPr>
          <w:trHeight w:val="624"/>
        </w:trPr>
        <w:tc>
          <w:tcPr>
            <w:tcW w:w="441" w:type="pct"/>
            <w:shd w:val="clear" w:color="auto" w:fill="FFFFFF"/>
            <w:vAlign w:val="center"/>
          </w:tcPr>
          <w:p w14:paraId="2CF6ED71" w14:textId="77777777" w:rsidR="009A4C46" w:rsidRPr="003E2802" w:rsidRDefault="009A4C46" w:rsidP="009A4C46">
            <w:pPr>
              <w:spacing w:after="0" w:line="240" w:lineRule="auto"/>
              <w:jc w:val="center"/>
              <w:rPr>
                <w:rFonts w:eastAsia="Calibri"/>
                <w:lang w:eastAsia="ru-RU" w:bidi="ru-RU"/>
              </w:rPr>
            </w:pPr>
            <w:r w:rsidRPr="00E169B0">
              <w:rPr>
                <w:rFonts w:eastAsia="Calibri"/>
                <w:lang w:eastAsia="ru-RU" w:bidi="ru-RU"/>
              </w:rPr>
              <w:t>1.1.</w:t>
            </w:r>
          </w:p>
        </w:tc>
        <w:tc>
          <w:tcPr>
            <w:tcW w:w="1116" w:type="pct"/>
            <w:shd w:val="clear" w:color="auto" w:fill="FFFFFF"/>
            <w:vAlign w:val="center"/>
          </w:tcPr>
          <w:p w14:paraId="17FFC2B9" w14:textId="77777777" w:rsidR="009A4C46" w:rsidRPr="00A55EED" w:rsidRDefault="009A4C46" w:rsidP="009A4C46">
            <w:pPr>
              <w:spacing w:after="0" w:line="240" w:lineRule="auto"/>
              <w:rPr>
                <w:rFonts w:eastAsia="Calibri"/>
                <w:lang w:eastAsia="ru-RU" w:bidi="ru-RU"/>
              </w:rPr>
            </w:pPr>
            <w:r w:rsidRPr="00A55EED">
              <w:rPr>
                <w:rFonts w:eastAsia="Calibri"/>
                <w:lang w:eastAsia="ru-RU" w:bidi="ru-RU"/>
              </w:rPr>
              <w:t xml:space="preserve">Расходы на покупку потерь электрической энергии </w:t>
            </w:r>
          </w:p>
        </w:tc>
        <w:tc>
          <w:tcPr>
            <w:tcW w:w="524" w:type="pct"/>
            <w:shd w:val="clear" w:color="auto" w:fill="FFFFFF"/>
            <w:vAlign w:val="center"/>
          </w:tcPr>
          <w:p w14:paraId="49DDEF4D" w14:textId="77777777" w:rsidR="009A4C46" w:rsidRPr="00A55EED" w:rsidRDefault="009A4C46" w:rsidP="009A4C46">
            <w:pPr>
              <w:spacing w:after="0" w:line="240" w:lineRule="auto"/>
              <w:jc w:val="center"/>
              <w:rPr>
                <w:rFonts w:eastAsia="Calibri"/>
                <w:lang w:eastAsia="ru-RU" w:bidi="ru-RU"/>
              </w:rPr>
            </w:pPr>
            <w:r w:rsidRPr="00A55EED">
              <w:rPr>
                <w:rFonts w:eastAsia="Calibri"/>
                <w:lang w:eastAsia="ru-RU" w:bidi="ru-RU"/>
              </w:rPr>
              <w:t>тыс. руб.</w:t>
            </w:r>
          </w:p>
        </w:tc>
        <w:tc>
          <w:tcPr>
            <w:tcW w:w="524" w:type="pct"/>
            <w:tcBorders>
              <w:top w:val="nil"/>
              <w:left w:val="nil"/>
              <w:bottom w:val="single" w:sz="8" w:space="0" w:color="auto"/>
              <w:right w:val="single" w:sz="8" w:space="0" w:color="auto"/>
            </w:tcBorders>
            <w:shd w:val="clear" w:color="000000" w:fill="FFFFFF"/>
            <w:vAlign w:val="center"/>
          </w:tcPr>
          <w:p w14:paraId="62322A5F" w14:textId="77777777" w:rsidR="009A4C46" w:rsidRPr="00A55EED" w:rsidRDefault="009A4C46" w:rsidP="009A4C46">
            <w:pPr>
              <w:spacing w:after="0" w:line="240" w:lineRule="auto"/>
              <w:jc w:val="center"/>
              <w:rPr>
                <w:rFonts w:eastAsia="Calibri"/>
                <w:lang w:eastAsia="ru-RU" w:bidi="ru-RU"/>
              </w:rPr>
            </w:pPr>
            <w:r w:rsidRPr="00A55EED">
              <w:rPr>
                <w:rFonts w:eastAsia="Calibri"/>
                <w:color w:val="000000"/>
                <w:lang w:eastAsia="ru-RU" w:bidi="ru-RU"/>
              </w:rPr>
              <w:t>210 587</w:t>
            </w:r>
          </w:p>
        </w:tc>
        <w:tc>
          <w:tcPr>
            <w:tcW w:w="524" w:type="pct"/>
            <w:tcBorders>
              <w:top w:val="nil"/>
              <w:left w:val="nil"/>
              <w:bottom w:val="single" w:sz="8" w:space="0" w:color="auto"/>
              <w:right w:val="single" w:sz="8" w:space="0" w:color="auto"/>
            </w:tcBorders>
            <w:shd w:val="clear" w:color="auto" w:fill="auto"/>
            <w:vAlign w:val="center"/>
          </w:tcPr>
          <w:p w14:paraId="399070B4" w14:textId="77777777" w:rsidR="009A4C46" w:rsidRPr="00A55EED" w:rsidRDefault="009A4C46" w:rsidP="009A4C46">
            <w:pPr>
              <w:spacing w:after="0" w:line="240" w:lineRule="auto"/>
              <w:jc w:val="center"/>
              <w:rPr>
                <w:rFonts w:eastAsia="Calibri"/>
                <w:lang w:eastAsia="ru-RU" w:bidi="ru-RU"/>
              </w:rPr>
            </w:pPr>
            <w:r w:rsidRPr="00A55EED">
              <w:rPr>
                <w:rFonts w:eastAsia="Calibri"/>
                <w:color w:val="000000"/>
                <w:lang w:eastAsia="ru-RU" w:bidi="ru-RU"/>
              </w:rPr>
              <w:t>151 456</w:t>
            </w:r>
          </w:p>
        </w:tc>
        <w:tc>
          <w:tcPr>
            <w:tcW w:w="674" w:type="pct"/>
            <w:tcBorders>
              <w:top w:val="nil"/>
              <w:left w:val="nil"/>
              <w:bottom w:val="single" w:sz="8" w:space="0" w:color="auto"/>
              <w:right w:val="single" w:sz="8" w:space="0" w:color="auto"/>
            </w:tcBorders>
            <w:shd w:val="clear" w:color="auto" w:fill="auto"/>
            <w:vAlign w:val="center"/>
          </w:tcPr>
          <w:p w14:paraId="75407C55" w14:textId="77777777" w:rsidR="009A4C46" w:rsidRPr="00A55EED" w:rsidRDefault="009A4C46" w:rsidP="009A4C46">
            <w:pPr>
              <w:spacing w:after="0" w:line="240" w:lineRule="auto"/>
              <w:jc w:val="center"/>
              <w:rPr>
                <w:rFonts w:eastAsia="Calibri"/>
                <w:lang w:eastAsia="ru-RU" w:bidi="ru-RU"/>
              </w:rPr>
            </w:pPr>
            <w:r w:rsidRPr="00A55EED">
              <w:rPr>
                <w:rFonts w:eastAsia="Calibri"/>
                <w:color w:val="000000"/>
                <w:lang w:eastAsia="ru-RU" w:bidi="ru-RU"/>
              </w:rPr>
              <w:t>325 219</w:t>
            </w:r>
          </w:p>
        </w:tc>
        <w:tc>
          <w:tcPr>
            <w:tcW w:w="599" w:type="pct"/>
            <w:tcBorders>
              <w:top w:val="nil"/>
              <w:left w:val="nil"/>
              <w:bottom w:val="single" w:sz="8" w:space="0" w:color="auto"/>
              <w:right w:val="single" w:sz="8" w:space="0" w:color="auto"/>
            </w:tcBorders>
            <w:shd w:val="clear" w:color="auto" w:fill="auto"/>
            <w:vAlign w:val="center"/>
          </w:tcPr>
          <w:p w14:paraId="45EECC01" w14:textId="77777777" w:rsidR="009A4C46" w:rsidRPr="00A55EED" w:rsidRDefault="009A4C46" w:rsidP="009A4C46">
            <w:pPr>
              <w:spacing w:after="0" w:line="240" w:lineRule="auto"/>
              <w:jc w:val="center"/>
              <w:rPr>
                <w:rFonts w:eastAsia="Calibri"/>
                <w:lang w:eastAsia="ru-RU" w:bidi="ru-RU"/>
              </w:rPr>
            </w:pPr>
            <w:r w:rsidRPr="00A55EED">
              <w:rPr>
                <w:rFonts w:eastAsia="Calibri"/>
                <w:color w:val="000000"/>
                <w:lang w:eastAsia="ru-RU" w:bidi="ru-RU"/>
              </w:rPr>
              <w:t>164 116</w:t>
            </w:r>
          </w:p>
        </w:tc>
        <w:tc>
          <w:tcPr>
            <w:tcW w:w="599" w:type="pct"/>
            <w:tcBorders>
              <w:top w:val="nil"/>
              <w:left w:val="nil"/>
              <w:bottom w:val="single" w:sz="8" w:space="0" w:color="auto"/>
              <w:right w:val="single" w:sz="8" w:space="0" w:color="auto"/>
            </w:tcBorders>
            <w:shd w:val="clear" w:color="000000" w:fill="FFFFFF"/>
            <w:vAlign w:val="center"/>
          </w:tcPr>
          <w:p w14:paraId="75151767" w14:textId="77777777" w:rsidR="009A4C46" w:rsidRPr="00A55EED" w:rsidRDefault="009A4C46" w:rsidP="009A4C46">
            <w:pPr>
              <w:spacing w:after="0" w:line="240" w:lineRule="auto"/>
              <w:jc w:val="center"/>
              <w:rPr>
                <w:rFonts w:eastAsia="Calibri"/>
                <w:lang w:eastAsia="ru-RU" w:bidi="ru-RU"/>
              </w:rPr>
            </w:pPr>
            <w:r w:rsidRPr="00A55EED">
              <w:rPr>
                <w:rFonts w:eastAsia="Calibri"/>
                <w:color w:val="000000"/>
                <w:lang w:eastAsia="ru-RU" w:bidi="ru-RU"/>
              </w:rPr>
              <w:t>-161 103</w:t>
            </w:r>
          </w:p>
        </w:tc>
      </w:tr>
      <w:tr w:rsidR="00F94FED" w:rsidRPr="00A55EED" w14:paraId="033B0647" w14:textId="77777777" w:rsidTr="00F94FED">
        <w:trPr>
          <w:trHeight w:val="605"/>
        </w:trPr>
        <w:tc>
          <w:tcPr>
            <w:tcW w:w="441" w:type="pct"/>
            <w:shd w:val="clear" w:color="auto" w:fill="FFFFFF"/>
            <w:vAlign w:val="center"/>
          </w:tcPr>
          <w:p w14:paraId="566B9CD9" w14:textId="77777777" w:rsidR="009A4C46" w:rsidRPr="003E2802" w:rsidRDefault="009A4C46" w:rsidP="009A4C46">
            <w:pPr>
              <w:spacing w:after="0" w:line="240" w:lineRule="auto"/>
              <w:jc w:val="center"/>
              <w:rPr>
                <w:rFonts w:eastAsia="Calibri"/>
                <w:lang w:eastAsia="ru-RU" w:bidi="ru-RU"/>
              </w:rPr>
            </w:pPr>
            <w:r w:rsidRPr="00E169B0">
              <w:rPr>
                <w:rFonts w:eastAsia="Calibri"/>
                <w:lang w:eastAsia="ru-RU" w:bidi="ru-RU"/>
              </w:rPr>
              <w:t>1.2.</w:t>
            </w:r>
          </w:p>
        </w:tc>
        <w:tc>
          <w:tcPr>
            <w:tcW w:w="1116" w:type="pct"/>
            <w:shd w:val="clear" w:color="auto" w:fill="FFFFFF"/>
            <w:vAlign w:val="center"/>
          </w:tcPr>
          <w:p w14:paraId="796D1B60" w14:textId="77777777" w:rsidR="009A4C46" w:rsidRPr="00A55EED" w:rsidRDefault="009A4C46" w:rsidP="009A4C46">
            <w:pPr>
              <w:spacing w:after="0" w:line="240" w:lineRule="auto"/>
              <w:rPr>
                <w:rFonts w:eastAsia="Calibri"/>
                <w:lang w:eastAsia="ru-RU" w:bidi="ru-RU"/>
              </w:rPr>
            </w:pPr>
            <w:r w:rsidRPr="00A55EED">
              <w:rPr>
                <w:rFonts w:eastAsia="Calibri"/>
                <w:lang w:eastAsia="ru-RU" w:bidi="ru-RU"/>
              </w:rPr>
              <w:t>НВВ на содержание электрических сетей</w:t>
            </w:r>
          </w:p>
        </w:tc>
        <w:tc>
          <w:tcPr>
            <w:tcW w:w="524" w:type="pct"/>
            <w:shd w:val="clear" w:color="auto" w:fill="FFFFFF"/>
            <w:vAlign w:val="center"/>
          </w:tcPr>
          <w:p w14:paraId="69C03D50" w14:textId="77777777" w:rsidR="009A4C46" w:rsidRPr="00A55EED" w:rsidRDefault="009A4C46" w:rsidP="009A4C46">
            <w:pPr>
              <w:spacing w:after="0" w:line="240" w:lineRule="auto"/>
              <w:jc w:val="center"/>
              <w:rPr>
                <w:rFonts w:eastAsia="Calibri"/>
                <w:lang w:eastAsia="ru-RU" w:bidi="ru-RU"/>
              </w:rPr>
            </w:pPr>
            <w:r w:rsidRPr="00A55EED">
              <w:rPr>
                <w:rFonts w:eastAsia="Calibri"/>
                <w:lang w:eastAsia="ru-RU" w:bidi="ru-RU"/>
              </w:rPr>
              <w:t>тыс. руб.</w:t>
            </w:r>
          </w:p>
        </w:tc>
        <w:tc>
          <w:tcPr>
            <w:tcW w:w="524" w:type="pct"/>
            <w:tcBorders>
              <w:top w:val="nil"/>
              <w:left w:val="nil"/>
              <w:bottom w:val="single" w:sz="8" w:space="0" w:color="auto"/>
              <w:right w:val="single" w:sz="8" w:space="0" w:color="auto"/>
            </w:tcBorders>
            <w:shd w:val="clear" w:color="000000" w:fill="FFFFFF"/>
            <w:vAlign w:val="center"/>
          </w:tcPr>
          <w:p w14:paraId="0EFD279E" w14:textId="77777777" w:rsidR="009A4C46" w:rsidRPr="00A55EED" w:rsidRDefault="009A4C46" w:rsidP="009A4C46">
            <w:pPr>
              <w:spacing w:after="0" w:line="240" w:lineRule="auto"/>
              <w:jc w:val="center"/>
              <w:rPr>
                <w:rFonts w:eastAsia="Calibri"/>
                <w:lang w:eastAsia="ru-RU" w:bidi="ru-RU"/>
              </w:rPr>
            </w:pPr>
            <w:r w:rsidRPr="00A55EED">
              <w:rPr>
                <w:rFonts w:eastAsia="Calibri"/>
                <w:color w:val="000000"/>
                <w:lang w:eastAsia="ru-RU" w:bidi="ru-RU"/>
              </w:rPr>
              <w:t>1 176 007</w:t>
            </w:r>
          </w:p>
        </w:tc>
        <w:tc>
          <w:tcPr>
            <w:tcW w:w="524" w:type="pct"/>
            <w:tcBorders>
              <w:top w:val="nil"/>
              <w:left w:val="nil"/>
              <w:bottom w:val="single" w:sz="8" w:space="0" w:color="auto"/>
              <w:right w:val="single" w:sz="8" w:space="0" w:color="auto"/>
            </w:tcBorders>
            <w:shd w:val="clear" w:color="auto" w:fill="auto"/>
            <w:vAlign w:val="center"/>
          </w:tcPr>
          <w:p w14:paraId="20E58E0D" w14:textId="77777777" w:rsidR="009A4C46" w:rsidRPr="00A55EED" w:rsidRDefault="009A4C46" w:rsidP="009A4C46">
            <w:pPr>
              <w:spacing w:after="0" w:line="240" w:lineRule="auto"/>
              <w:jc w:val="center"/>
              <w:rPr>
                <w:rFonts w:eastAsia="Calibri"/>
                <w:lang w:eastAsia="ru-RU" w:bidi="ru-RU"/>
              </w:rPr>
            </w:pPr>
            <w:r w:rsidRPr="00A55EED">
              <w:rPr>
                <w:rFonts w:eastAsia="Calibri"/>
                <w:color w:val="000000"/>
                <w:lang w:eastAsia="ru-RU" w:bidi="ru-RU"/>
              </w:rPr>
              <w:t>1 175 461</w:t>
            </w:r>
          </w:p>
        </w:tc>
        <w:tc>
          <w:tcPr>
            <w:tcW w:w="674" w:type="pct"/>
            <w:tcBorders>
              <w:top w:val="nil"/>
              <w:left w:val="nil"/>
              <w:bottom w:val="single" w:sz="8" w:space="0" w:color="auto"/>
              <w:right w:val="single" w:sz="8" w:space="0" w:color="auto"/>
            </w:tcBorders>
            <w:shd w:val="clear" w:color="auto" w:fill="auto"/>
            <w:vAlign w:val="center"/>
          </w:tcPr>
          <w:p w14:paraId="21873E4C" w14:textId="77777777" w:rsidR="009A4C46" w:rsidRPr="00A55EED" w:rsidRDefault="009A4C46" w:rsidP="009A4C46">
            <w:pPr>
              <w:spacing w:after="0" w:line="240" w:lineRule="auto"/>
              <w:jc w:val="center"/>
              <w:rPr>
                <w:rFonts w:eastAsia="Calibri"/>
                <w:lang w:eastAsia="ru-RU" w:bidi="ru-RU"/>
              </w:rPr>
            </w:pPr>
            <w:r w:rsidRPr="00A55EED">
              <w:rPr>
                <w:rFonts w:eastAsia="Calibri"/>
                <w:color w:val="000000"/>
                <w:lang w:eastAsia="ru-RU" w:bidi="ru-RU"/>
              </w:rPr>
              <w:t>7 293 583</w:t>
            </w:r>
          </w:p>
        </w:tc>
        <w:tc>
          <w:tcPr>
            <w:tcW w:w="599" w:type="pct"/>
            <w:tcBorders>
              <w:top w:val="nil"/>
              <w:left w:val="nil"/>
              <w:bottom w:val="single" w:sz="8" w:space="0" w:color="auto"/>
              <w:right w:val="single" w:sz="8" w:space="0" w:color="auto"/>
            </w:tcBorders>
            <w:shd w:val="clear" w:color="auto" w:fill="auto"/>
            <w:vAlign w:val="center"/>
          </w:tcPr>
          <w:p w14:paraId="5C6DBE94" w14:textId="77777777" w:rsidR="009A4C46" w:rsidRPr="00A55EED" w:rsidRDefault="009A4C46" w:rsidP="009A4C46">
            <w:pPr>
              <w:spacing w:after="0" w:line="240" w:lineRule="auto"/>
              <w:jc w:val="center"/>
              <w:rPr>
                <w:rFonts w:eastAsia="Calibri"/>
                <w:lang w:eastAsia="ru-RU" w:bidi="ru-RU"/>
              </w:rPr>
            </w:pPr>
            <w:r w:rsidRPr="00A55EED">
              <w:rPr>
                <w:rFonts w:eastAsia="Calibri"/>
                <w:color w:val="000000"/>
                <w:lang w:eastAsia="ru-RU" w:bidi="ru-RU"/>
              </w:rPr>
              <w:t>1 269 683</w:t>
            </w:r>
          </w:p>
        </w:tc>
        <w:tc>
          <w:tcPr>
            <w:tcW w:w="599" w:type="pct"/>
            <w:tcBorders>
              <w:top w:val="nil"/>
              <w:left w:val="nil"/>
              <w:bottom w:val="single" w:sz="8" w:space="0" w:color="auto"/>
              <w:right w:val="single" w:sz="8" w:space="0" w:color="auto"/>
            </w:tcBorders>
            <w:shd w:val="clear" w:color="000000" w:fill="FFFFFF"/>
            <w:vAlign w:val="center"/>
          </w:tcPr>
          <w:p w14:paraId="79350CDA" w14:textId="77777777" w:rsidR="009A4C46" w:rsidRPr="00A55EED" w:rsidRDefault="009A4C46" w:rsidP="009A4C46">
            <w:pPr>
              <w:spacing w:after="0" w:line="240" w:lineRule="auto"/>
              <w:jc w:val="center"/>
              <w:rPr>
                <w:rFonts w:eastAsia="Calibri"/>
                <w:lang w:eastAsia="ru-RU" w:bidi="ru-RU"/>
              </w:rPr>
            </w:pPr>
            <w:r w:rsidRPr="00A55EED">
              <w:rPr>
                <w:rFonts w:eastAsia="Calibri"/>
                <w:color w:val="000000"/>
                <w:lang w:eastAsia="ru-RU" w:bidi="ru-RU"/>
              </w:rPr>
              <w:t>-6 023 900</w:t>
            </w:r>
          </w:p>
        </w:tc>
      </w:tr>
      <w:tr w:rsidR="00F94FED" w:rsidRPr="00A55EED" w14:paraId="2EC1DAEB" w14:textId="77777777" w:rsidTr="00F94FED">
        <w:trPr>
          <w:trHeight w:val="557"/>
        </w:trPr>
        <w:tc>
          <w:tcPr>
            <w:tcW w:w="441" w:type="pct"/>
            <w:shd w:val="clear" w:color="auto" w:fill="FFFFFF"/>
            <w:vAlign w:val="center"/>
          </w:tcPr>
          <w:p w14:paraId="0A6C87AC" w14:textId="77777777" w:rsidR="009A4C46" w:rsidRPr="003E2802" w:rsidRDefault="009A4C46" w:rsidP="009A4C46">
            <w:pPr>
              <w:spacing w:after="0" w:line="240" w:lineRule="auto"/>
              <w:jc w:val="center"/>
              <w:rPr>
                <w:rFonts w:eastAsia="Calibri"/>
                <w:lang w:eastAsia="ru-RU" w:bidi="ru-RU"/>
              </w:rPr>
            </w:pPr>
            <w:r w:rsidRPr="00E169B0">
              <w:rPr>
                <w:rFonts w:eastAsia="Calibri"/>
                <w:lang w:eastAsia="ru-RU" w:bidi="ru-RU"/>
              </w:rPr>
              <w:t>1.2.1.</w:t>
            </w:r>
          </w:p>
        </w:tc>
        <w:tc>
          <w:tcPr>
            <w:tcW w:w="1116" w:type="pct"/>
            <w:shd w:val="clear" w:color="auto" w:fill="FFFFFF"/>
            <w:vAlign w:val="center"/>
          </w:tcPr>
          <w:p w14:paraId="009D759B" w14:textId="77777777" w:rsidR="009A4C46" w:rsidRPr="00A55EED" w:rsidRDefault="009A4C46" w:rsidP="009A4C46">
            <w:pPr>
              <w:spacing w:after="0" w:line="240" w:lineRule="auto"/>
              <w:rPr>
                <w:rFonts w:eastAsia="Calibri"/>
                <w:lang w:eastAsia="ru-RU" w:bidi="ru-RU"/>
              </w:rPr>
            </w:pPr>
            <w:r w:rsidRPr="00A55EED">
              <w:rPr>
                <w:rFonts w:eastAsia="Calibri"/>
                <w:lang w:eastAsia="ru-RU" w:bidi="ru-RU"/>
              </w:rPr>
              <w:t>Подконтрольные расходы</w:t>
            </w:r>
          </w:p>
        </w:tc>
        <w:tc>
          <w:tcPr>
            <w:tcW w:w="524" w:type="pct"/>
            <w:shd w:val="clear" w:color="auto" w:fill="FFFFFF"/>
            <w:vAlign w:val="center"/>
          </w:tcPr>
          <w:p w14:paraId="33B5748C" w14:textId="77777777" w:rsidR="009A4C46" w:rsidRPr="00A55EED" w:rsidRDefault="009A4C46" w:rsidP="009A4C46">
            <w:pPr>
              <w:spacing w:after="0" w:line="240" w:lineRule="auto"/>
              <w:jc w:val="center"/>
              <w:rPr>
                <w:rFonts w:eastAsia="Calibri"/>
                <w:lang w:eastAsia="ru-RU" w:bidi="ru-RU"/>
              </w:rPr>
            </w:pPr>
            <w:r w:rsidRPr="00A55EED">
              <w:rPr>
                <w:rFonts w:eastAsia="Calibri"/>
                <w:lang w:eastAsia="ru-RU" w:bidi="ru-RU"/>
              </w:rPr>
              <w:t>тыс. руб.</w:t>
            </w:r>
          </w:p>
        </w:tc>
        <w:tc>
          <w:tcPr>
            <w:tcW w:w="524" w:type="pct"/>
            <w:tcBorders>
              <w:top w:val="nil"/>
              <w:left w:val="nil"/>
              <w:bottom w:val="single" w:sz="8" w:space="0" w:color="auto"/>
              <w:right w:val="single" w:sz="8" w:space="0" w:color="auto"/>
            </w:tcBorders>
            <w:shd w:val="clear" w:color="000000" w:fill="FFFFFF"/>
            <w:vAlign w:val="center"/>
          </w:tcPr>
          <w:p w14:paraId="5344E0C0" w14:textId="77777777" w:rsidR="009A4C46" w:rsidRPr="00A55EED" w:rsidRDefault="009A4C46" w:rsidP="009A4C46">
            <w:pPr>
              <w:spacing w:after="0" w:line="240" w:lineRule="auto"/>
              <w:jc w:val="center"/>
              <w:rPr>
                <w:rFonts w:eastAsia="Calibri"/>
                <w:lang w:eastAsia="ru-RU" w:bidi="ru-RU"/>
              </w:rPr>
            </w:pPr>
            <w:r w:rsidRPr="00A55EED">
              <w:rPr>
                <w:rFonts w:eastAsia="Calibri"/>
                <w:color w:val="000000"/>
                <w:lang w:eastAsia="ru-RU" w:bidi="ru-RU"/>
              </w:rPr>
              <w:t>418 423</w:t>
            </w:r>
          </w:p>
        </w:tc>
        <w:tc>
          <w:tcPr>
            <w:tcW w:w="524" w:type="pct"/>
            <w:tcBorders>
              <w:top w:val="nil"/>
              <w:left w:val="nil"/>
              <w:bottom w:val="single" w:sz="8" w:space="0" w:color="auto"/>
              <w:right w:val="single" w:sz="8" w:space="0" w:color="auto"/>
            </w:tcBorders>
            <w:shd w:val="clear" w:color="auto" w:fill="auto"/>
            <w:vAlign w:val="center"/>
          </w:tcPr>
          <w:p w14:paraId="146F058C" w14:textId="77777777" w:rsidR="009A4C46" w:rsidRPr="00A55EED" w:rsidRDefault="009A4C46" w:rsidP="009A4C46">
            <w:pPr>
              <w:spacing w:after="0" w:line="240" w:lineRule="auto"/>
              <w:jc w:val="center"/>
              <w:rPr>
                <w:rFonts w:eastAsia="Calibri"/>
                <w:lang w:eastAsia="ru-RU" w:bidi="ru-RU"/>
              </w:rPr>
            </w:pPr>
            <w:r w:rsidRPr="00A55EED">
              <w:rPr>
                <w:rFonts w:eastAsia="Calibri"/>
                <w:color w:val="000000"/>
                <w:lang w:eastAsia="ru-RU" w:bidi="ru-RU"/>
              </w:rPr>
              <w:t>581 369</w:t>
            </w:r>
          </w:p>
        </w:tc>
        <w:tc>
          <w:tcPr>
            <w:tcW w:w="674" w:type="pct"/>
            <w:tcBorders>
              <w:top w:val="nil"/>
              <w:left w:val="nil"/>
              <w:bottom w:val="single" w:sz="8" w:space="0" w:color="auto"/>
              <w:right w:val="single" w:sz="8" w:space="0" w:color="auto"/>
            </w:tcBorders>
            <w:shd w:val="clear" w:color="auto" w:fill="auto"/>
            <w:vAlign w:val="center"/>
          </w:tcPr>
          <w:p w14:paraId="02349B4A" w14:textId="77777777" w:rsidR="009A4C46" w:rsidRPr="00A55EED" w:rsidRDefault="009A4C46" w:rsidP="009A4C46">
            <w:pPr>
              <w:spacing w:after="0" w:line="240" w:lineRule="auto"/>
              <w:jc w:val="center"/>
              <w:rPr>
                <w:rFonts w:eastAsia="Calibri"/>
                <w:lang w:eastAsia="ru-RU" w:bidi="ru-RU"/>
              </w:rPr>
            </w:pPr>
            <w:r w:rsidRPr="00A55EED">
              <w:rPr>
                <w:rFonts w:eastAsia="Calibri"/>
                <w:color w:val="000000"/>
                <w:lang w:eastAsia="ru-RU" w:bidi="ru-RU"/>
              </w:rPr>
              <w:t>598 577</w:t>
            </w:r>
          </w:p>
        </w:tc>
        <w:tc>
          <w:tcPr>
            <w:tcW w:w="599" w:type="pct"/>
            <w:tcBorders>
              <w:top w:val="nil"/>
              <w:left w:val="nil"/>
              <w:bottom w:val="single" w:sz="8" w:space="0" w:color="auto"/>
              <w:right w:val="single" w:sz="8" w:space="0" w:color="auto"/>
            </w:tcBorders>
            <w:shd w:val="clear" w:color="auto" w:fill="auto"/>
            <w:vAlign w:val="center"/>
          </w:tcPr>
          <w:p w14:paraId="373607AD" w14:textId="77777777" w:rsidR="009A4C46" w:rsidRPr="00A55EED" w:rsidRDefault="009A4C46" w:rsidP="009A4C46">
            <w:pPr>
              <w:spacing w:after="0" w:line="240" w:lineRule="auto"/>
              <w:jc w:val="center"/>
              <w:rPr>
                <w:rFonts w:eastAsia="Calibri"/>
                <w:lang w:eastAsia="ru-RU" w:bidi="ru-RU"/>
              </w:rPr>
            </w:pPr>
            <w:r w:rsidRPr="00A55EED">
              <w:rPr>
                <w:rFonts w:eastAsia="Calibri"/>
                <w:color w:val="000000"/>
                <w:lang w:eastAsia="ru-RU" w:bidi="ru-RU"/>
              </w:rPr>
              <w:t>602 031</w:t>
            </w:r>
          </w:p>
        </w:tc>
        <w:tc>
          <w:tcPr>
            <w:tcW w:w="599" w:type="pct"/>
            <w:tcBorders>
              <w:top w:val="nil"/>
              <w:left w:val="nil"/>
              <w:bottom w:val="single" w:sz="8" w:space="0" w:color="auto"/>
              <w:right w:val="single" w:sz="8" w:space="0" w:color="auto"/>
            </w:tcBorders>
            <w:shd w:val="clear" w:color="000000" w:fill="FFFFFF"/>
            <w:vAlign w:val="center"/>
          </w:tcPr>
          <w:p w14:paraId="2ED14E9E" w14:textId="77777777" w:rsidR="009A4C46" w:rsidRPr="00A55EED" w:rsidRDefault="009A4C46" w:rsidP="009A4C46">
            <w:pPr>
              <w:spacing w:after="0" w:line="240" w:lineRule="auto"/>
              <w:jc w:val="center"/>
              <w:rPr>
                <w:rFonts w:eastAsia="Calibri"/>
                <w:lang w:eastAsia="ru-RU" w:bidi="ru-RU"/>
              </w:rPr>
            </w:pPr>
            <w:r w:rsidRPr="00A55EED">
              <w:rPr>
                <w:rFonts w:eastAsia="Calibri"/>
                <w:color w:val="000000"/>
                <w:lang w:eastAsia="ru-RU" w:bidi="ru-RU"/>
              </w:rPr>
              <w:t>3 454</w:t>
            </w:r>
          </w:p>
        </w:tc>
      </w:tr>
      <w:tr w:rsidR="00F94FED" w:rsidRPr="00A55EED" w14:paraId="4E3120ED" w14:textId="77777777" w:rsidTr="00F94FED">
        <w:trPr>
          <w:trHeight w:val="562"/>
        </w:trPr>
        <w:tc>
          <w:tcPr>
            <w:tcW w:w="441" w:type="pct"/>
            <w:shd w:val="clear" w:color="auto" w:fill="FFFFFF"/>
            <w:vAlign w:val="center"/>
          </w:tcPr>
          <w:p w14:paraId="5DF822D7" w14:textId="77777777" w:rsidR="009A4C46" w:rsidRPr="003E2802" w:rsidRDefault="009A4C46" w:rsidP="009A4C46">
            <w:pPr>
              <w:spacing w:after="0" w:line="240" w:lineRule="auto"/>
              <w:jc w:val="center"/>
              <w:rPr>
                <w:rFonts w:eastAsia="Calibri"/>
                <w:lang w:eastAsia="ru-RU" w:bidi="ru-RU"/>
              </w:rPr>
            </w:pPr>
            <w:r w:rsidRPr="00E169B0">
              <w:rPr>
                <w:rFonts w:eastAsia="Calibri"/>
                <w:lang w:eastAsia="ru-RU" w:bidi="ru-RU"/>
              </w:rPr>
              <w:t>1.2.2.</w:t>
            </w:r>
          </w:p>
        </w:tc>
        <w:tc>
          <w:tcPr>
            <w:tcW w:w="1116" w:type="pct"/>
            <w:shd w:val="clear" w:color="auto" w:fill="FFFFFF"/>
            <w:vAlign w:val="center"/>
          </w:tcPr>
          <w:p w14:paraId="135D7829" w14:textId="77777777" w:rsidR="009A4C46" w:rsidRPr="00A55EED" w:rsidRDefault="009A4C46" w:rsidP="009A4C46">
            <w:pPr>
              <w:spacing w:after="0" w:line="240" w:lineRule="auto"/>
              <w:rPr>
                <w:rFonts w:eastAsia="Calibri"/>
                <w:lang w:eastAsia="ru-RU" w:bidi="ru-RU"/>
              </w:rPr>
            </w:pPr>
            <w:r w:rsidRPr="00A55EED">
              <w:rPr>
                <w:rFonts w:eastAsia="Calibri"/>
                <w:lang w:eastAsia="ru-RU" w:bidi="ru-RU"/>
              </w:rPr>
              <w:t>Неподконтрольные расходы</w:t>
            </w:r>
          </w:p>
        </w:tc>
        <w:tc>
          <w:tcPr>
            <w:tcW w:w="524" w:type="pct"/>
            <w:shd w:val="clear" w:color="auto" w:fill="FFFFFF"/>
            <w:vAlign w:val="center"/>
          </w:tcPr>
          <w:p w14:paraId="03D77F83" w14:textId="77777777" w:rsidR="009A4C46" w:rsidRPr="00A55EED" w:rsidRDefault="009A4C46" w:rsidP="009A4C46">
            <w:pPr>
              <w:spacing w:after="0" w:line="240" w:lineRule="auto"/>
              <w:jc w:val="center"/>
              <w:rPr>
                <w:rFonts w:eastAsia="Calibri"/>
                <w:lang w:eastAsia="ru-RU" w:bidi="ru-RU"/>
              </w:rPr>
            </w:pPr>
            <w:r w:rsidRPr="00A55EED">
              <w:rPr>
                <w:rFonts w:eastAsia="Calibri"/>
                <w:lang w:eastAsia="ru-RU" w:bidi="ru-RU"/>
              </w:rPr>
              <w:t>тыс. руб.</w:t>
            </w:r>
          </w:p>
        </w:tc>
        <w:tc>
          <w:tcPr>
            <w:tcW w:w="524" w:type="pct"/>
            <w:tcBorders>
              <w:top w:val="nil"/>
              <w:left w:val="nil"/>
              <w:bottom w:val="single" w:sz="8" w:space="0" w:color="auto"/>
              <w:right w:val="single" w:sz="8" w:space="0" w:color="auto"/>
            </w:tcBorders>
            <w:shd w:val="clear" w:color="000000" w:fill="FFFFFF"/>
            <w:vAlign w:val="center"/>
          </w:tcPr>
          <w:p w14:paraId="7D43640E" w14:textId="77777777" w:rsidR="009A4C46" w:rsidRPr="00A55EED" w:rsidRDefault="009A4C46" w:rsidP="009A4C46">
            <w:pPr>
              <w:spacing w:after="0" w:line="240" w:lineRule="auto"/>
              <w:jc w:val="center"/>
              <w:rPr>
                <w:rFonts w:eastAsia="Calibri"/>
                <w:lang w:eastAsia="ru-RU" w:bidi="ru-RU"/>
              </w:rPr>
            </w:pPr>
            <w:r w:rsidRPr="00A55EED">
              <w:rPr>
                <w:rFonts w:eastAsia="Calibri"/>
                <w:color w:val="000000"/>
                <w:lang w:eastAsia="ru-RU" w:bidi="ru-RU"/>
              </w:rPr>
              <w:t>757 584</w:t>
            </w:r>
          </w:p>
        </w:tc>
        <w:tc>
          <w:tcPr>
            <w:tcW w:w="524" w:type="pct"/>
            <w:tcBorders>
              <w:top w:val="nil"/>
              <w:left w:val="nil"/>
              <w:bottom w:val="single" w:sz="8" w:space="0" w:color="auto"/>
              <w:right w:val="single" w:sz="8" w:space="0" w:color="auto"/>
            </w:tcBorders>
            <w:shd w:val="clear" w:color="auto" w:fill="auto"/>
            <w:vAlign w:val="center"/>
          </w:tcPr>
          <w:p w14:paraId="1D627861" w14:textId="77777777" w:rsidR="009A4C46" w:rsidRPr="00A55EED" w:rsidRDefault="009A4C46" w:rsidP="009A4C46">
            <w:pPr>
              <w:spacing w:after="0" w:line="240" w:lineRule="auto"/>
              <w:jc w:val="center"/>
              <w:rPr>
                <w:rFonts w:eastAsia="Calibri"/>
                <w:lang w:eastAsia="ru-RU" w:bidi="ru-RU"/>
              </w:rPr>
            </w:pPr>
            <w:r w:rsidRPr="00A55EED">
              <w:rPr>
                <w:rFonts w:eastAsia="Calibri"/>
                <w:color w:val="000000"/>
                <w:lang w:eastAsia="ru-RU" w:bidi="ru-RU"/>
              </w:rPr>
              <w:t>594 092</w:t>
            </w:r>
          </w:p>
        </w:tc>
        <w:tc>
          <w:tcPr>
            <w:tcW w:w="674" w:type="pct"/>
            <w:tcBorders>
              <w:top w:val="nil"/>
              <w:left w:val="nil"/>
              <w:bottom w:val="single" w:sz="8" w:space="0" w:color="auto"/>
              <w:right w:val="single" w:sz="8" w:space="0" w:color="auto"/>
            </w:tcBorders>
            <w:shd w:val="clear" w:color="auto" w:fill="auto"/>
            <w:vAlign w:val="center"/>
          </w:tcPr>
          <w:p w14:paraId="65B0EE7D" w14:textId="77777777" w:rsidR="009A4C46" w:rsidRPr="00A55EED" w:rsidRDefault="009A4C46" w:rsidP="009A4C46">
            <w:pPr>
              <w:spacing w:after="0" w:line="240" w:lineRule="auto"/>
              <w:jc w:val="center"/>
              <w:rPr>
                <w:rFonts w:eastAsia="Calibri"/>
                <w:lang w:eastAsia="ru-RU" w:bidi="ru-RU"/>
              </w:rPr>
            </w:pPr>
            <w:r w:rsidRPr="00A55EED">
              <w:rPr>
                <w:rFonts w:eastAsia="Calibri"/>
                <w:color w:val="000000"/>
                <w:lang w:eastAsia="ru-RU" w:bidi="ru-RU"/>
              </w:rPr>
              <w:t>6 695 006</w:t>
            </w:r>
          </w:p>
        </w:tc>
        <w:tc>
          <w:tcPr>
            <w:tcW w:w="599" w:type="pct"/>
            <w:tcBorders>
              <w:top w:val="nil"/>
              <w:left w:val="nil"/>
              <w:bottom w:val="single" w:sz="8" w:space="0" w:color="auto"/>
              <w:right w:val="single" w:sz="8" w:space="0" w:color="auto"/>
            </w:tcBorders>
            <w:shd w:val="clear" w:color="auto" w:fill="auto"/>
            <w:vAlign w:val="center"/>
          </w:tcPr>
          <w:p w14:paraId="4FBA15AA" w14:textId="77777777" w:rsidR="009A4C46" w:rsidRPr="00A55EED" w:rsidRDefault="009A4C46" w:rsidP="009A4C46">
            <w:pPr>
              <w:spacing w:after="0" w:line="240" w:lineRule="auto"/>
              <w:jc w:val="center"/>
              <w:rPr>
                <w:rFonts w:eastAsia="Calibri"/>
                <w:lang w:eastAsia="ru-RU" w:bidi="ru-RU"/>
              </w:rPr>
            </w:pPr>
            <w:r w:rsidRPr="00A55EED">
              <w:rPr>
                <w:rFonts w:eastAsia="Calibri"/>
                <w:color w:val="000000"/>
                <w:lang w:eastAsia="ru-RU" w:bidi="ru-RU"/>
              </w:rPr>
              <w:t>667 652</w:t>
            </w:r>
          </w:p>
        </w:tc>
        <w:tc>
          <w:tcPr>
            <w:tcW w:w="599" w:type="pct"/>
            <w:tcBorders>
              <w:top w:val="nil"/>
              <w:left w:val="nil"/>
              <w:bottom w:val="single" w:sz="8" w:space="0" w:color="auto"/>
              <w:right w:val="single" w:sz="8" w:space="0" w:color="auto"/>
            </w:tcBorders>
            <w:shd w:val="clear" w:color="000000" w:fill="FFFFFF"/>
            <w:vAlign w:val="center"/>
          </w:tcPr>
          <w:p w14:paraId="30DDF5F2" w14:textId="77777777" w:rsidR="009A4C46" w:rsidRPr="00A55EED" w:rsidRDefault="009A4C46" w:rsidP="009A4C46">
            <w:pPr>
              <w:spacing w:after="0" w:line="240" w:lineRule="auto"/>
              <w:jc w:val="center"/>
              <w:rPr>
                <w:rFonts w:eastAsia="Calibri"/>
                <w:lang w:eastAsia="ru-RU" w:bidi="ru-RU"/>
              </w:rPr>
            </w:pPr>
            <w:r w:rsidRPr="00A55EED">
              <w:rPr>
                <w:rFonts w:eastAsia="Calibri"/>
                <w:color w:val="000000"/>
                <w:lang w:eastAsia="ru-RU" w:bidi="ru-RU"/>
              </w:rPr>
              <w:t>-6 027 354</w:t>
            </w:r>
          </w:p>
        </w:tc>
      </w:tr>
      <w:tr w:rsidR="00F94FED" w:rsidRPr="00A55EED" w14:paraId="551B92B6" w14:textId="77777777" w:rsidTr="00F94FED">
        <w:trPr>
          <w:trHeight w:val="547"/>
        </w:trPr>
        <w:tc>
          <w:tcPr>
            <w:tcW w:w="441" w:type="pct"/>
            <w:shd w:val="clear" w:color="auto" w:fill="FFFFFF"/>
            <w:vAlign w:val="center"/>
          </w:tcPr>
          <w:p w14:paraId="4DC90009" w14:textId="77777777" w:rsidR="009A4C46" w:rsidRPr="003E2802" w:rsidRDefault="009A4C46" w:rsidP="009A4C46">
            <w:pPr>
              <w:spacing w:after="0" w:line="240" w:lineRule="auto"/>
              <w:jc w:val="center"/>
              <w:rPr>
                <w:rFonts w:eastAsia="Calibri"/>
                <w:lang w:eastAsia="ru-RU" w:bidi="ru-RU"/>
              </w:rPr>
            </w:pPr>
            <w:r w:rsidRPr="00E169B0">
              <w:rPr>
                <w:rFonts w:eastAsia="Calibri"/>
                <w:lang w:eastAsia="ru-RU" w:bidi="ru-RU"/>
              </w:rPr>
              <w:t>1.3.</w:t>
            </w:r>
          </w:p>
        </w:tc>
        <w:tc>
          <w:tcPr>
            <w:tcW w:w="1116" w:type="pct"/>
            <w:shd w:val="clear" w:color="auto" w:fill="FFFFFF"/>
            <w:vAlign w:val="center"/>
          </w:tcPr>
          <w:p w14:paraId="33132E3D" w14:textId="77777777" w:rsidR="009A4C46" w:rsidRPr="00A55EED" w:rsidRDefault="009A4C46" w:rsidP="009A4C46">
            <w:pPr>
              <w:spacing w:after="0" w:line="240" w:lineRule="auto"/>
              <w:rPr>
                <w:rFonts w:eastAsia="Calibri"/>
                <w:lang w:eastAsia="ru-RU" w:bidi="ru-RU"/>
              </w:rPr>
            </w:pPr>
            <w:r w:rsidRPr="00A55EED">
              <w:rPr>
                <w:rFonts w:eastAsia="Calibri"/>
                <w:lang w:eastAsia="ru-RU" w:bidi="ru-RU"/>
              </w:rPr>
              <w:t xml:space="preserve">Корректировки НВВ по итогам 2017 года </w:t>
            </w:r>
          </w:p>
        </w:tc>
        <w:tc>
          <w:tcPr>
            <w:tcW w:w="524" w:type="pct"/>
            <w:shd w:val="clear" w:color="auto" w:fill="FFFFFF"/>
            <w:vAlign w:val="center"/>
          </w:tcPr>
          <w:p w14:paraId="01E1B341" w14:textId="77777777" w:rsidR="009A4C46" w:rsidRPr="00A55EED" w:rsidRDefault="009A4C46" w:rsidP="009A4C46">
            <w:pPr>
              <w:spacing w:after="0" w:line="240" w:lineRule="auto"/>
              <w:jc w:val="center"/>
              <w:rPr>
                <w:rFonts w:eastAsia="Calibri"/>
                <w:lang w:eastAsia="ru-RU" w:bidi="ru-RU"/>
              </w:rPr>
            </w:pPr>
            <w:r w:rsidRPr="00A55EED">
              <w:rPr>
                <w:rFonts w:eastAsia="Calibri"/>
                <w:lang w:eastAsia="ru-RU" w:bidi="ru-RU"/>
              </w:rPr>
              <w:t>тыс. руб.</w:t>
            </w:r>
          </w:p>
        </w:tc>
        <w:tc>
          <w:tcPr>
            <w:tcW w:w="524" w:type="pct"/>
            <w:tcBorders>
              <w:top w:val="nil"/>
              <w:left w:val="nil"/>
              <w:bottom w:val="single" w:sz="8" w:space="0" w:color="auto"/>
              <w:right w:val="single" w:sz="8" w:space="0" w:color="auto"/>
            </w:tcBorders>
            <w:shd w:val="clear" w:color="000000" w:fill="FFFFFF"/>
            <w:vAlign w:val="center"/>
          </w:tcPr>
          <w:p w14:paraId="4AA676F7" w14:textId="77777777" w:rsidR="009A4C46" w:rsidRPr="00A55EED" w:rsidRDefault="009A4C46" w:rsidP="009A4C46">
            <w:pPr>
              <w:spacing w:after="0" w:line="240" w:lineRule="auto"/>
              <w:jc w:val="center"/>
              <w:rPr>
                <w:rFonts w:eastAsia="Calibri"/>
                <w:lang w:eastAsia="ru-RU" w:bidi="ru-RU"/>
              </w:rPr>
            </w:pPr>
            <w:r w:rsidRPr="00A55EED">
              <w:rPr>
                <w:rFonts w:eastAsia="Calibri"/>
                <w:color w:val="000000"/>
                <w:lang w:eastAsia="ru-RU" w:bidi="ru-RU"/>
              </w:rPr>
              <w:t>-</w:t>
            </w:r>
          </w:p>
        </w:tc>
        <w:tc>
          <w:tcPr>
            <w:tcW w:w="524" w:type="pct"/>
            <w:tcBorders>
              <w:top w:val="nil"/>
              <w:left w:val="nil"/>
              <w:bottom w:val="single" w:sz="8" w:space="0" w:color="auto"/>
              <w:right w:val="single" w:sz="8" w:space="0" w:color="auto"/>
            </w:tcBorders>
            <w:shd w:val="clear" w:color="auto" w:fill="auto"/>
            <w:vAlign w:val="center"/>
          </w:tcPr>
          <w:p w14:paraId="6F2EBDF8" w14:textId="77777777" w:rsidR="009A4C46" w:rsidRPr="00A55EED" w:rsidRDefault="009A4C46" w:rsidP="009A4C46">
            <w:pPr>
              <w:spacing w:after="0" w:line="240" w:lineRule="auto"/>
              <w:jc w:val="center"/>
              <w:rPr>
                <w:rFonts w:eastAsia="Calibri"/>
                <w:lang w:eastAsia="ru-RU" w:bidi="ru-RU"/>
              </w:rPr>
            </w:pPr>
            <w:r w:rsidRPr="00A55EED">
              <w:rPr>
                <w:rFonts w:eastAsia="Calibri"/>
                <w:color w:val="000000"/>
                <w:lang w:eastAsia="ru-RU" w:bidi="ru-RU"/>
              </w:rPr>
              <w:t>48 026</w:t>
            </w:r>
          </w:p>
        </w:tc>
        <w:tc>
          <w:tcPr>
            <w:tcW w:w="674" w:type="pct"/>
            <w:tcBorders>
              <w:top w:val="nil"/>
              <w:left w:val="nil"/>
              <w:bottom w:val="single" w:sz="8" w:space="0" w:color="auto"/>
              <w:right w:val="single" w:sz="8" w:space="0" w:color="auto"/>
            </w:tcBorders>
            <w:shd w:val="clear" w:color="auto" w:fill="auto"/>
            <w:vAlign w:val="center"/>
          </w:tcPr>
          <w:p w14:paraId="6F3AB493" w14:textId="77777777" w:rsidR="009A4C46" w:rsidRPr="00A55EED" w:rsidRDefault="009A4C46" w:rsidP="009A4C46">
            <w:pPr>
              <w:spacing w:after="0" w:line="240" w:lineRule="auto"/>
              <w:jc w:val="center"/>
              <w:rPr>
                <w:rFonts w:eastAsia="Calibri"/>
                <w:lang w:eastAsia="ru-RU" w:bidi="ru-RU"/>
              </w:rPr>
            </w:pPr>
            <w:r w:rsidRPr="00A55EED">
              <w:rPr>
                <w:rFonts w:eastAsia="Calibri"/>
                <w:color w:val="000000"/>
                <w:lang w:eastAsia="ru-RU" w:bidi="ru-RU"/>
              </w:rPr>
              <w:t>306 614</w:t>
            </w:r>
          </w:p>
        </w:tc>
        <w:tc>
          <w:tcPr>
            <w:tcW w:w="599" w:type="pct"/>
            <w:tcBorders>
              <w:top w:val="nil"/>
              <w:left w:val="nil"/>
              <w:bottom w:val="single" w:sz="8" w:space="0" w:color="auto"/>
              <w:right w:val="single" w:sz="8" w:space="0" w:color="auto"/>
            </w:tcBorders>
            <w:shd w:val="clear" w:color="auto" w:fill="auto"/>
            <w:vAlign w:val="center"/>
          </w:tcPr>
          <w:p w14:paraId="3A2E5161" w14:textId="77777777" w:rsidR="009A4C46" w:rsidRPr="00A55EED" w:rsidRDefault="009A4C46" w:rsidP="009A4C46">
            <w:pPr>
              <w:spacing w:after="0" w:line="240" w:lineRule="auto"/>
              <w:jc w:val="center"/>
              <w:rPr>
                <w:rFonts w:eastAsia="Calibri"/>
                <w:lang w:eastAsia="ru-RU" w:bidi="ru-RU"/>
              </w:rPr>
            </w:pPr>
            <w:r w:rsidRPr="00A55EED">
              <w:rPr>
                <w:rFonts w:eastAsia="Calibri"/>
                <w:color w:val="000000"/>
                <w:lang w:eastAsia="ru-RU" w:bidi="ru-RU"/>
              </w:rPr>
              <w:t>52 349</w:t>
            </w:r>
          </w:p>
        </w:tc>
        <w:tc>
          <w:tcPr>
            <w:tcW w:w="599" w:type="pct"/>
            <w:tcBorders>
              <w:top w:val="nil"/>
              <w:left w:val="nil"/>
              <w:bottom w:val="single" w:sz="8" w:space="0" w:color="auto"/>
              <w:right w:val="single" w:sz="8" w:space="0" w:color="auto"/>
            </w:tcBorders>
            <w:shd w:val="clear" w:color="000000" w:fill="FFFFFF"/>
            <w:vAlign w:val="center"/>
          </w:tcPr>
          <w:p w14:paraId="1DF4D852" w14:textId="77777777" w:rsidR="009A4C46" w:rsidRPr="00A55EED" w:rsidRDefault="009A4C46" w:rsidP="009A4C46">
            <w:pPr>
              <w:spacing w:after="0" w:line="240" w:lineRule="auto"/>
              <w:jc w:val="center"/>
              <w:rPr>
                <w:rFonts w:eastAsia="Calibri"/>
                <w:lang w:eastAsia="ru-RU" w:bidi="ru-RU"/>
              </w:rPr>
            </w:pPr>
            <w:r w:rsidRPr="00A55EED">
              <w:rPr>
                <w:rFonts w:eastAsia="Calibri"/>
                <w:color w:val="000000"/>
                <w:lang w:eastAsia="ru-RU" w:bidi="ru-RU"/>
              </w:rPr>
              <w:t>-254 265</w:t>
            </w:r>
          </w:p>
        </w:tc>
      </w:tr>
    </w:tbl>
    <w:p w14:paraId="1DD8308D" w14:textId="77777777" w:rsidR="009A4C46" w:rsidRPr="008B0B3C" w:rsidRDefault="009A4C46" w:rsidP="009A4C46">
      <w:pPr>
        <w:spacing w:after="0" w:line="240" w:lineRule="auto"/>
        <w:ind w:firstLine="567"/>
        <w:jc w:val="both"/>
        <w:rPr>
          <w:rFonts w:eastAsia="Calibri"/>
          <w:bCs/>
          <w:i/>
          <w:iCs/>
          <w:lang w:eastAsia="ru-RU" w:bidi="ru-RU"/>
        </w:rPr>
      </w:pPr>
      <w:r w:rsidRPr="008B0B3C">
        <w:rPr>
          <w:rFonts w:eastAsia="Calibri"/>
          <w:bCs/>
          <w:i/>
          <w:iCs/>
          <w:lang w:eastAsia="ru-RU" w:bidi="ru-RU"/>
        </w:rPr>
        <w:t>* Для сопоставимости параметров тарифного регулирования фактические данные приведены без снятия нагрузочных потерь.</w:t>
      </w:r>
    </w:p>
    <w:p w14:paraId="09CB624C" w14:textId="2BF6DB0F" w:rsidR="009A4C46" w:rsidRPr="008B0B3C" w:rsidRDefault="009A4C46" w:rsidP="00A55EED">
      <w:pPr>
        <w:spacing w:after="0" w:line="240" w:lineRule="auto"/>
        <w:ind w:firstLine="567"/>
        <w:jc w:val="both"/>
        <w:rPr>
          <w:rFonts w:eastAsia="Calibri"/>
          <w:bCs/>
          <w:i/>
          <w:iCs/>
          <w:lang w:eastAsia="ru-RU" w:bidi="ru-RU"/>
        </w:rPr>
      </w:pPr>
      <w:r w:rsidRPr="008B0B3C">
        <w:rPr>
          <w:rFonts w:eastAsia="Calibri"/>
          <w:bCs/>
          <w:i/>
          <w:iCs/>
          <w:lang w:eastAsia="ru-RU" w:bidi="ru-RU"/>
        </w:rPr>
        <w:t>** В 2017-2018 гг. приведены данные по инвестициям за счет амортизации, на 2019 г. - планируемые расходы на амортизацию.</w:t>
      </w:r>
    </w:p>
    <w:p w14:paraId="383E975B" w14:textId="77777777" w:rsidR="00A55EED" w:rsidRPr="009A4C46" w:rsidRDefault="00A55EED" w:rsidP="00E169B0">
      <w:pPr>
        <w:spacing w:after="0" w:line="240" w:lineRule="auto"/>
        <w:ind w:firstLine="567"/>
        <w:jc w:val="both"/>
        <w:rPr>
          <w:rFonts w:eastAsia="Calibri"/>
          <w:bCs/>
          <w:lang w:eastAsia="ru-RU" w:bidi="ru-RU"/>
        </w:rPr>
      </w:pPr>
    </w:p>
    <w:p w14:paraId="5A86C59D" w14:textId="36EAD1CC" w:rsidR="009A4C46" w:rsidRPr="00F94FED" w:rsidRDefault="009A4C46" w:rsidP="00F94FED">
      <w:pPr>
        <w:spacing w:after="0" w:line="360" w:lineRule="auto"/>
        <w:ind w:firstLine="567"/>
        <w:jc w:val="both"/>
        <w:rPr>
          <w:rFonts w:eastAsia="Calibri"/>
          <w:sz w:val="26"/>
          <w:szCs w:val="26"/>
          <w:lang w:eastAsia="ru-RU" w:bidi="ru-RU"/>
        </w:rPr>
      </w:pPr>
      <w:r w:rsidRPr="00F94FED">
        <w:rPr>
          <w:rFonts w:eastAsia="Calibri"/>
          <w:sz w:val="26"/>
          <w:szCs w:val="26"/>
          <w:lang w:eastAsia="ru-RU" w:bidi="ru-RU"/>
        </w:rPr>
        <w:t>Регул</w:t>
      </w:r>
      <w:r w:rsidR="008B0B3C">
        <w:rPr>
          <w:rFonts w:eastAsia="Calibri"/>
          <w:sz w:val="26"/>
          <w:szCs w:val="26"/>
          <w:lang w:eastAsia="ru-RU" w:bidi="ru-RU"/>
        </w:rPr>
        <w:t>ирующим органом</w:t>
      </w:r>
      <w:r w:rsidRPr="00F94FED">
        <w:rPr>
          <w:rFonts w:eastAsia="Calibri"/>
          <w:sz w:val="26"/>
          <w:szCs w:val="26"/>
          <w:lang w:eastAsia="ru-RU" w:bidi="ru-RU"/>
        </w:rPr>
        <w:t xml:space="preserve"> установлено, что на 2019 год АО «Тываэнерго» заявлена необходимая валовая выручка в размере 7 925 416 тыс. руб., в том числе</w:t>
      </w:r>
    </w:p>
    <w:p w14:paraId="7F58073A" w14:textId="77777777" w:rsidR="009A4C46" w:rsidRPr="00F94FED" w:rsidRDefault="009A4C46" w:rsidP="00F94FED">
      <w:pPr>
        <w:numPr>
          <w:ilvl w:val="0"/>
          <w:numId w:val="13"/>
        </w:numPr>
        <w:spacing w:after="0" w:line="360" w:lineRule="auto"/>
        <w:ind w:left="1134" w:hanging="567"/>
        <w:contextualSpacing/>
        <w:jc w:val="both"/>
        <w:rPr>
          <w:rFonts w:eastAsia="Calibri"/>
          <w:sz w:val="26"/>
          <w:szCs w:val="26"/>
          <w:lang w:bidi="ru-RU"/>
        </w:rPr>
      </w:pPr>
      <w:r w:rsidRPr="00F94FED">
        <w:rPr>
          <w:rFonts w:eastAsia="Calibri"/>
          <w:sz w:val="26"/>
          <w:szCs w:val="26"/>
          <w:lang w:bidi="ru-RU"/>
        </w:rPr>
        <w:t>расходы на оплату потерь – 325 219 тыс. руб.;</w:t>
      </w:r>
    </w:p>
    <w:p w14:paraId="6F1A2B30" w14:textId="77777777" w:rsidR="009A4C46" w:rsidRPr="00F94FED" w:rsidRDefault="009A4C46" w:rsidP="00F94FED">
      <w:pPr>
        <w:numPr>
          <w:ilvl w:val="0"/>
          <w:numId w:val="13"/>
        </w:numPr>
        <w:spacing w:after="0" w:line="360" w:lineRule="auto"/>
        <w:ind w:left="1134" w:hanging="567"/>
        <w:contextualSpacing/>
        <w:jc w:val="both"/>
        <w:rPr>
          <w:rFonts w:eastAsia="Calibri"/>
          <w:sz w:val="26"/>
          <w:szCs w:val="26"/>
          <w:lang w:bidi="ru-RU"/>
        </w:rPr>
      </w:pPr>
      <w:r w:rsidRPr="00F94FED">
        <w:rPr>
          <w:rFonts w:eastAsia="Calibri"/>
          <w:sz w:val="26"/>
          <w:szCs w:val="26"/>
          <w:lang w:bidi="ru-RU"/>
        </w:rPr>
        <w:t>расходы на содержание – 7 293 583 тыс. руб., из них</w:t>
      </w:r>
    </w:p>
    <w:p w14:paraId="59F7B8A9" w14:textId="77777777" w:rsidR="009A4C46" w:rsidRPr="00F94FED" w:rsidRDefault="009A4C46" w:rsidP="00F94FED">
      <w:pPr>
        <w:numPr>
          <w:ilvl w:val="0"/>
          <w:numId w:val="13"/>
        </w:numPr>
        <w:spacing w:after="0" w:line="360" w:lineRule="auto"/>
        <w:ind w:left="1134" w:hanging="567"/>
        <w:contextualSpacing/>
        <w:jc w:val="both"/>
        <w:rPr>
          <w:rFonts w:eastAsia="Calibri"/>
          <w:sz w:val="26"/>
          <w:szCs w:val="26"/>
          <w:lang w:bidi="ru-RU"/>
        </w:rPr>
      </w:pPr>
      <w:r w:rsidRPr="00F94FED">
        <w:rPr>
          <w:rFonts w:eastAsia="Calibri"/>
          <w:sz w:val="26"/>
          <w:szCs w:val="26"/>
          <w:lang w:bidi="ru-RU"/>
        </w:rPr>
        <w:t>подконтрольные – 598 577 тыс. руб.;</w:t>
      </w:r>
    </w:p>
    <w:p w14:paraId="0F741EB6" w14:textId="77777777" w:rsidR="009A4C46" w:rsidRPr="00F94FED" w:rsidRDefault="009A4C46" w:rsidP="00F94FED">
      <w:pPr>
        <w:numPr>
          <w:ilvl w:val="0"/>
          <w:numId w:val="13"/>
        </w:numPr>
        <w:spacing w:after="0" w:line="360" w:lineRule="auto"/>
        <w:ind w:left="1134" w:hanging="567"/>
        <w:contextualSpacing/>
        <w:jc w:val="both"/>
        <w:rPr>
          <w:rFonts w:eastAsia="Calibri"/>
          <w:sz w:val="26"/>
          <w:szCs w:val="26"/>
          <w:lang w:bidi="ru-RU"/>
        </w:rPr>
      </w:pPr>
      <w:r w:rsidRPr="00F94FED">
        <w:rPr>
          <w:rFonts w:eastAsia="Calibri"/>
          <w:sz w:val="26"/>
          <w:szCs w:val="26"/>
          <w:lang w:bidi="ru-RU"/>
        </w:rPr>
        <w:t>неподконтрольные – 6 695 006 тыс. руб.</w:t>
      </w:r>
    </w:p>
    <w:p w14:paraId="74CAF47F" w14:textId="77777777" w:rsidR="009A4C46" w:rsidRPr="00F94FED" w:rsidRDefault="009A4C46" w:rsidP="00F94FED">
      <w:pPr>
        <w:numPr>
          <w:ilvl w:val="0"/>
          <w:numId w:val="13"/>
        </w:numPr>
        <w:spacing w:after="0" w:line="360" w:lineRule="auto"/>
        <w:ind w:left="1134" w:hanging="567"/>
        <w:contextualSpacing/>
        <w:jc w:val="both"/>
        <w:rPr>
          <w:rFonts w:eastAsia="Calibri"/>
          <w:sz w:val="26"/>
          <w:szCs w:val="26"/>
          <w:lang w:bidi="ru-RU"/>
        </w:rPr>
      </w:pPr>
      <w:r w:rsidRPr="00F94FED">
        <w:rPr>
          <w:rFonts w:eastAsia="Calibri"/>
          <w:sz w:val="26"/>
          <w:szCs w:val="26"/>
          <w:lang w:bidi="ru-RU"/>
        </w:rPr>
        <w:t>корректировки НВВ – 306 614 тыс. руб.</w:t>
      </w:r>
    </w:p>
    <w:p w14:paraId="291297CF" w14:textId="3B694188" w:rsidR="009A4C46" w:rsidRPr="00F94FED" w:rsidRDefault="009A4C46" w:rsidP="00F94FED">
      <w:pPr>
        <w:spacing w:after="0" w:line="360" w:lineRule="auto"/>
        <w:ind w:firstLine="567"/>
        <w:jc w:val="both"/>
        <w:rPr>
          <w:rFonts w:eastAsia="Calibri"/>
          <w:sz w:val="26"/>
          <w:szCs w:val="26"/>
          <w:lang w:eastAsia="ru-RU" w:bidi="ru-RU"/>
        </w:rPr>
      </w:pPr>
      <w:r w:rsidRPr="00F94FED">
        <w:rPr>
          <w:rFonts w:eastAsia="Calibri"/>
          <w:sz w:val="26"/>
          <w:szCs w:val="26"/>
          <w:lang w:eastAsia="ru-RU" w:bidi="ru-RU"/>
        </w:rPr>
        <w:t>Необходимая валовая выручка АО «Тываэнерго» утвержден</w:t>
      </w:r>
      <w:r w:rsidR="008B0B3C">
        <w:rPr>
          <w:rFonts w:eastAsia="Calibri"/>
          <w:sz w:val="26"/>
          <w:szCs w:val="26"/>
          <w:lang w:eastAsia="ru-RU" w:bidi="ru-RU"/>
        </w:rPr>
        <w:t>а</w:t>
      </w:r>
      <w:r w:rsidRPr="00F94FED">
        <w:rPr>
          <w:rFonts w:eastAsia="Calibri"/>
          <w:sz w:val="26"/>
          <w:szCs w:val="26"/>
          <w:lang w:eastAsia="ru-RU" w:bidi="ru-RU"/>
        </w:rPr>
        <w:t xml:space="preserve"> Службой по тарифам Республики Тыва на 2019 год в размере 1 486 148 тыс. руб., в том числе:</w:t>
      </w:r>
    </w:p>
    <w:p w14:paraId="4956BACA" w14:textId="77777777" w:rsidR="009A4C46" w:rsidRPr="00F94FED" w:rsidRDefault="009A4C46" w:rsidP="00F94FED">
      <w:pPr>
        <w:numPr>
          <w:ilvl w:val="0"/>
          <w:numId w:val="13"/>
        </w:numPr>
        <w:spacing w:after="0" w:line="360" w:lineRule="auto"/>
        <w:ind w:left="1134" w:hanging="567"/>
        <w:contextualSpacing/>
        <w:jc w:val="both"/>
        <w:rPr>
          <w:rFonts w:eastAsia="Calibri"/>
          <w:sz w:val="26"/>
          <w:szCs w:val="26"/>
          <w:lang w:bidi="ru-RU"/>
        </w:rPr>
      </w:pPr>
      <w:r w:rsidRPr="00F94FED">
        <w:rPr>
          <w:rFonts w:eastAsia="Calibri"/>
          <w:sz w:val="26"/>
          <w:szCs w:val="26"/>
          <w:lang w:bidi="ru-RU"/>
        </w:rPr>
        <w:t>расходы на оплату потерь – 164 116 тыс. руб.;</w:t>
      </w:r>
    </w:p>
    <w:p w14:paraId="1F48A204" w14:textId="77777777" w:rsidR="009A4C46" w:rsidRPr="00F94FED" w:rsidRDefault="009A4C46" w:rsidP="00F94FED">
      <w:pPr>
        <w:numPr>
          <w:ilvl w:val="0"/>
          <w:numId w:val="13"/>
        </w:numPr>
        <w:spacing w:after="0" w:line="360" w:lineRule="auto"/>
        <w:ind w:left="1134" w:hanging="567"/>
        <w:contextualSpacing/>
        <w:jc w:val="both"/>
        <w:rPr>
          <w:rFonts w:eastAsia="Calibri"/>
          <w:sz w:val="26"/>
          <w:szCs w:val="26"/>
          <w:lang w:bidi="ru-RU"/>
        </w:rPr>
      </w:pPr>
      <w:r w:rsidRPr="00F94FED">
        <w:rPr>
          <w:rFonts w:eastAsia="Calibri"/>
          <w:sz w:val="26"/>
          <w:szCs w:val="26"/>
          <w:lang w:bidi="ru-RU"/>
        </w:rPr>
        <w:t>расходы на содержание – 1 269 683 тыс. руб., из них</w:t>
      </w:r>
    </w:p>
    <w:p w14:paraId="407C23A2" w14:textId="77777777" w:rsidR="009A4C46" w:rsidRPr="00F94FED" w:rsidRDefault="009A4C46" w:rsidP="00F94FED">
      <w:pPr>
        <w:numPr>
          <w:ilvl w:val="0"/>
          <w:numId w:val="13"/>
        </w:numPr>
        <w:spacing w:after="0" w:line="360" w:lineRule="auto"/>
        <w:ind w:left="1134" w:hanging="567"/>
        <w:contextualSpacing/>
        <w:jc w:val="both"/>
        <w:rPr>
          <w:rFonts w:eastAsia="Calibri"/>
          <w:sz w:val="26"/>
          <w:szCs w:val="26"/>
          <w:lang w:bidi="ru-RU"/>
        </w:rPr>
      </w:pPr>
      <w:r w:rsidRPr="00F94FED">
        <w:rPr>
          <w:rFonts w:eastAsia="Calibri"/>
          <w:sz w:val="26"/>
          <w:szCs w:val="26"/>
          <w:lang w:bidi="ru-RU"/>
        </w:rPr>
        <w:t>подконтрольные –602 031 тыс. руб.;</w:t>
      </w:r>
    </w:p>
    <w:p w14:paraId="756FCFD2" w14:textId="77777777" w:rsidR="009A4C46" w:rsidRPr="00F94FED" w:rsidRDefault="009A4C46" w:rsidP="00F94FED">
      <w:pPr>
        <w:numPr>
          <w:ilvl w:val="0"/>
          <w:numId w:val="13"/>
        </w:numPr>
        <w:spacing w:after="0" w:line="360" w:lineRule="auto"/>
        <w:ind w:left="1134" w:hanging="567"/>
        <w:contextualSpacing/>
        <w:jc w:val="both"/>
        <w:rPr>
          <w:rFonts w:eastAsia="Calibri"/>
          <w:sz w:val="26"/>
          <w:szCs w:val="26"/>
          <w:lang w:bidi="ru-RU"/>
        </w:rPr>
      </w:pPr>
      <w:r w:rsidRPr="00F94FED">
        <w:rPr>
          <w:rFonts w:eastAsia="Calibri"/>
          <w:sz w:val="26"/>
          <w:szCs w:val="26"/>
          <w:lang w:bidi="ru-RU"/>
        </w:rPr>
        <w:t>неподконтрольные – 667 652 тыс. руб.;</w:t>
      </w:r>
    </w:p>
    <w:p w14:paraId="5D84A08D" w14:textId="77777777" w:rsidR="009A4C46" w:rsidRPr="00F94FED" w:rsidRDefault="009A4C46" w:rsidP="00F94FED">
      <w:pPr>
        <w:numPr>
          <w:ilvl w:val="0"/>
          <w:numId w:val="13"/>
        </w:numPr>
        <w:spacing w:after="0" w:line="360" w:lineRule="auto"/>
        <w:ind w:left="1134" w:hanging="567"/>
        <w:contextualSpacing/>
        <w:jc w:val="both"/>
        <w:rPr>
          <w:rFonts w:eastAsia="Calibri"/>
          <w:sz w:val="26"/>
          <w:szCs w:val="26"/>
          <w:lang w:bidi="ru-RU"/>
        </w:rPr>
      </w:pPr>
      <w:r w:rsidRPr="00F94FED">
        <w:rPr>
          <w:rFonts w:eastAsia="Calibri"/>
          <w:sz w:val="26"/>
          <w:szCs w:val="26"/>
          <w:lang w:bidi="ru-RU"/>
        </w:rPr>
        <w:t>корректировки НВВ – 52 349 тыс. руб.</w:t>
      </w:r>
    </w:p>
    <w:p w14:paraId="44102567" w14:textId="7BCAD7D7" w:rsidR="009A4C46" w:rsidRDefault="009A4C46" w:rsidP="00E169B0">
      <w:pPr>
        <w:spacing w:after="0" w:line="360" w:lineRule="auto"/>
        <w:ind w:firstLine="567"/>
        <w:jc w:val="both"/>
        <w:rPr>
          <w:rFonts w:eastAsia="Calibri"/>
          <w:bCs/>
          <w:sz w:val="26"/>
          <w:szCs w:val="26"/>
          <w:lang w:eastAsia="ru-RU" w:bidi="ru-RU"/>
        </w:rPr>
      </w:pPr>
      <w:r w:rsidRPr="00F94FED">
        <w:rPr>
          <w:rFonts w:eastAsia="Calibri"/>
          <w:sz w:val="26"/>
          <w:szCs w:val="26"/>
          <w:lang w:eastAsia="ru-RU" w:bidi="ru-RU"/>
        </w:rPr>
        <w:lastRenderedPageBreak/>
        <w:t>Основные отклонения расходов, учтенных Службой по тарифам Республики Тыва на 2019 год относительно заявленных АО «Тываэнерго» сложились по статьям затрат «Расходы на оплату потерь электрической энергии», «Налоги (без учета налога на прибыль)», «Налог на прибыль», «Прочие неподконтрольные расходы», «Корректировка по итогам предыдущего периода регулирования». Согласно экспертному заключению на 2019 год Службой по тарифам Республики Тыва не учтены заявленные АО «Тываэнерго» затраты по причине ограничения роста тарифов, а также в связи с тем, что при проведении экспертизы расходы признаны экономически не обоснованными в связи с отсутствием достаточности обосновывающих материалов.</w:t>
      </w:r>
    </w:p>
    <w:p w14:paraId="048C33E9" w14:textId="77777777" w:rsidR="00A55EED" w:rsidRPr="00F94FED" w:rsidRDefault="00A55EED" w:rsidP="00F94FED">
      <w:pPr>
        <w:spacing w:after="0" w:line="360" w:lineRule="auto"/>
        <w:ind w:firstLine="567"/>
        <w:jc w:val="both"/>
        <w:rPr>
          <w:rFonts w:eastAsia="Calibri"/>
          <w:sz w:val="26"/>
          <w:szCs w:val="26"/>
          <w:lang w:eastAsia="ru-RU" w:bidi="ru-RU"/>
        </w:rPr>
      </w:pPr>
    </w:p>
    <w:p w14:paraId="3A77B4A3" w14:textId="4E1B03EF" w:rsidR="009A4C46" w:rsidRPr="00F94FED" w:rsidRDefault="00A55EED" w:rsidP="001D2691">
      <w:pPr>
        <w:spacing w:after="0" w:line="360" w:lineRule="auto"/>
        <w:jc w:val="both"/>
        <w:rPr>
          <w:rFonts w:eastAsia="Times New Roman"/>
          <w:b/>
          <w:bCs/>
          <w:sz w:val="26"/>
          <w:szCs w:val="26"/>
          <w:lang w:eastAsia="ru-RU"/>
        </w:rPr>
      </w:pPr>
      <w:r w:rsidRPr="00F94FED">
        <w:rPr>
          <w:rFonts w:eastAsia="Times New Roman"/>
          <w:b/>
          <w:bCs/>
          <w:sz w:val="26"/>
          <w:szCs w:val="26"/>
          <w:lang w:eastAsia="ru-RU"/>
        </w:rPr>
        <w:t>ПОЗИЦИЯ ИСПОЛНИТЕЛЯ</w:t>
      </w:r>
    </w:p>
    <w:p w14:paraId="1D59B15A" w14:textId="3FE4AB0A" w:rsidR="009A4C46" w:rsidRPr="00F94FED" w:rsidRDefault="009A4C46" w:rsidP="00F94FED">
      <w:pPr>
        <w:spacing w:after="0" w:line="360" w:lineRule="auto"/>
        <w:ind w:firstLine="567"/>
        <w:contextualSpacing/>
        <w:jc w:val="both"/>
        <w:rPr>
          <w:rFonts w:eastAsia="Calibri"/>
          <w:sz w:val="26"/>
          <w:szCs w:val="26"/>
          <w:lang w:eastAsia="ru-RU"/>
        </w:rPr>
      </w:pPr>
      <w:r w:rsidRPr="00F94FED">
        <w:rPr>
          <w:rFonts w:eastAsia="Calibri"/>
          <w:sz w:val="26"/>
          <w:szCs w:val="26"/>
          <w:lang w:eastAsia="ru-RU"/>
        </w:rPr>
        <w:t xml:space="preserve">Исполнителем проведен анализ заявленного уровня НВВ на 2019 год </w:t>
      </w:r>
      <w:r w:rsidR="008B0B3C">
        <w:rPr>
          <w:rFonts w:eastAsia="Calibri"/>
          <w:sz w:val="26"/>
          <w:szCs w:val="26"/>
          <w:lang w:eastAsia="ru-RU"/>
        </w:rPr>
        <w:br/>
      </w:r>
      <w:r w:rsidRPr="00F94FED">
        <w:rPr>
          <w:rFonts w:eastAsia="Calibri"/>
          <w:sz w:val="26"/>
          <w:szCs w:val="26"/>
          <w:lang w:eastAsia="ru-RU"/>
        </w:rPr>
        <w:t xml:space="preserve">АО «Тываэнерго» и принятых Службой по тарифам Республики Тыва при расчете единых котловых тарифов на услуги по передаче электрической энергии. В таблице представлен сравнительный анализ уровня НВВ на 2019 год для </w:t>
      </w:r>
      <w:r w:rsidR="008B0B3C">
        <w:rPr>
          <w:rFonts w:eastAsia="Calibri"/>
          <w:sz w:val="26"/>
          <w:szCs w:val="26"/>
          <w:lang w:eastAsia="ru-RU"/>
        </w:rPr>
        <w:br/>
      </w:r>
      <w:r w:rsidRPr="00F94FED">
        <w:rPr>
          <w:rFonts w:eastAsia="Calibri"/>
          <w:sz w:val="26"/>
          <w:szCs w:val="26"/>
          <w:lang w:eastAsia="ru-RU"/>
        </w:rPr>
        <w:t>АО «Тываэнерго».</w:t>
      </w:r>
    </w:p>
    <w:p w14:paraId="14F57EE6" w14:textId="42827C38" w:rsidR="009A4C46" w:rsidRPr="00F94FED" w:rsidRDefault="009A4C46" w:rsidP="00F94FED">
      <w:pPr>
        <w:spacing w:after="0" w:line="360" w:lineRule="auto"/>
        <w:ind w:firstLine="567"/>
        <w:contextualSpacing/>
        <w:jc w:val="both"/>
        <w:rPr>
          <w:rFonts w:eastAsia="Times New Roman"/>
          <w:sz w:val="26"/>
          <w:szCs w:val="26"/>
          <w:lang w:eastAsia="ru-RU"/>
        </w:rPr>
      </w:pPr>
      <w:r w:rsidRPr="00F94FED">
        <w:rPr>
          <w:rFonts w:eastAsia="Calibri"/>
          <w:sz w:val="26"/>
          <w:szCs w:val="26"/>
          <w:lang w:eastAsia="ru-RU"/>
        </w:rPr>
        <w:t xml:space="preserve">Отклонение размера подконтрольных расходов, заявленных </w:t>
      </w:r>
      <w:r w:rsidR="008B0B3C">
        <w:rPr>
          <w:rFonts w:eastAsia="Calibri"/>
          <w:sz w:val="26"/>
          <w:szCs w:val="26"/>
          <w:lang w:eastAsia="ru-RU"/>
        </w:rPr>
        <w:br/>
      </w:r>
      <w:r w:rsidRPr="00F94FED">
        <w:rPr>
          <w:rFonts w:eastAsia="Calibri"/>
          <w:sz w:val="26"/>
          <w:szCs w:val="26"/>
          <w:lang w:eastAsia="ru-RU"/>
        </w:rPr>
        <w:t xml:space="preserve">АО «Тываэнерго» относительно принятых Службой по тарифам Республики Тыва составило 3 454 тыс. руб. Отклонение обусловлено тем, что Службой по тарифам Республики Тыва принят актуальный, на момент утверждения единых котловых тарифов на услуги по передаче электрической энергии, индекс потребительских цен, </w:t>
      </w:r>
      <w:r w:rsidRPr="00F94FED">
        <w:rPr>
          <w:rFonts w:eastAsia="Times New Roman"/>
          <w:sz w:val="26"/>
          <w:szCs w:val="26"/>
          <w:lang w:eastAsia="ru-RU"/>
        </w:rPr>
        <w:t>опубликованный на сайте Минэкономразвития России от 01.10.2018</w:t>
      </w:r>
      <w:r w:rsidR="00A55EED">
        <w:rPr>
          <w:rFonts w:eastAsia="Times New Roman"/>
          <w:sz w:val="26"/>
          <w:szCs w:val="26"/>
          <w:lang w:eastAsia="ru-RU"/>
        </w:rPr>
        <w:t>.</w:t>
      </w:r>
      <w:r w:rsidRPr="00F94FED">
        <w:rPr>
          <w:rFonts w:eastAsia="Times New Roman"/>
          <w:sz w:val="26"/>
          <w:szCs w:val="26"/>
          <w:lang w:eastAsia="ru-RU"/>
        </w:rPr>
        <w:t xml:space="preserve"> Исполнителем подтверждается актуальность принятого Службой по тарифам Республики Тыва принятого индекса потребительских цен. </w:t>
      </w:r>
    </w:p>
    <w:tbl>
      <w:tblPr>
        <w:tblW w:w="483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13"/>
        <w:gridCol w:w="728"/>
        <w:gridCol w:w="1457"/>
        <w:gridCol w:w="1297"/>
        <w:gridCol w:w="1338"/>
        <w:gridCol w:w="1096"/>
      </w:tblGrid>
      <w:tr w:rsidR="00836098" w:rsidRPr="00A753B1" w14:paraId="341F6F1E" w14:textId="77777777" w:rsidTr="0072390C">
        <w:trPr>
          <w:trHeight w:val="300"/>
          <w:tblHeader/>
        </w:trPr>
        <w:tc>
          <w:tcPr>
            <w:tcW w:w="172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911EFAF" w14:textId="77777777" w:rsidR="00836098" w:rsidRPr="00F94FED" w:rsidRDefault="00836098" w:rsidP="009A4C46">
            <w:pPr>
              <w:spacing w:after="0" w:line="240" w:lineRule="auto"/>
              <w:jc w:val="center"/>
              <w:rPr>
                <w:rFonts w:eastAsia="Times New Roman"/>
                <w:color w:val="FFFFFF" w:themeColor="background1"/>
                <w:sz w:val="18"/>
                <w:szCs w:val="18"/>
                <w:lang w:eastAsia="ru-RU"/>
              </w:rPr>
            </w:pPr>
            <w:r w:rsidRPr="00F94FED">
              <w:rPr>
                <w:rFonts w:eastAsia="Times New Roman"/>
                <w:b/>
                <w:color w:val="FFFFFF" w:themeColor="background1"/>
                <w:sz w:val="18"/>
                <w:szCs w:val="18"/>
                <w:lang w:eastAsia="ru-RU"/>
              </w:rPr>
              <w:t>Наименование статьи</w:t>
            </w:r>
          </w:p>
        </w:tc>
        <w:tc>
          <w:tcPr>
            <w:tcW w:w="40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3024D3E8" w14:textId="77777777" w:rsidR="00836098" w:rsidRPr="00F94FED" w:rsidRDefault="00836098" w:rsidP="009A4C46">
            <w:pPr>
              <w:spacing w:after="0" w:line="240" w:lineRule="auto"/>
              <w:jc w:val="center"/>
              <w:rPr>
                <w:rFonts w:eastAsia="Times New Roman"/>
                <w:color w:val="FFFFFF" w:themeColor="background1"/>
                <w:sz w:val="18"/>
                <w:szCs w:val="18"/>
                <w:lang w:eastAsia="ru-RU"/>
              </w:rPr>
            </w:pPr>
            <w:r w:rsidRPr="00F94FED">
              <w:rPr>
                <w:rFonts w:eastAsia="Times New Roman"/>
                <w:b/>
                <w:color w:val="FFFFFF" w:themeColor="background1"/>
                <w:sz w:val="18"/>
                <w:szCs w:val="18"/>
                <w:lang w:eastAsia="ru-RU"/>
              </w:rPr>
              <w:t>Ед. изм.</w:t>
            </w:r>
          </w:p>
        </w:tc>
        <w:tc>
          <w:tcPr>
            <w:tcW w:w="80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0FE24220" w14:textId="77777777" w:rsidR="00836098" w:rsidRPr="00F94FED" w:rsidRDefault="00836098" w:rsidP="009A4C46">
            <w:pPr>
              <w:spacing w:after="0" w:line="240" w:lineRule="auto"/>
              <w:jc w:val="center"/>
              <w:rPr>
                <w:rFonts w:eastAsia="Times New Roman"/>
                <w:b/>
                <w:color w:val="FFFFFF" w:themeColor="background1"/>
                <w:sz w:val="18"/>
                <w:szCs w:val="18"/>
                <w:lang w:eastAsia="ru-RU"/>
              </w:rPr>
            </w:pPr>
            <w:r w:rsidRPr="00F94FED">
              <w:rPr>
                <w:rFonts w:eastAsia="Times New Roman"/>
                <w:b/>
                <w:color w:val="FFFFFF" w:themeColor="background1"/>
                <w:sz w:val="18"/>
                <w:szCs w:val="18"/>
                <w:lang w:eastAsia="ru-RU"/>
              </w:rPr>
              <w:t>Предложение АО «Тываэнерго»</w:t>
            </w:r>
          </w:p>
        </w:tc>
        <w:tc>
          <w:tcPr>
            <w:tcW w:w="71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760F8D1B" w14:textId="5B1C9ED3" w:rsidR="00836098" w:rsidRPr="00F94FED" w:rsidRDefault="00836098" w:rsidP="009A4C46">
            <w:pPr>
              <w:spacing w:after="0" w:line="240" w:lineRule="auto"/>
              <w:jc w:val="center"/>
              <w:rPr>
                <w:rFonts w:eastAsia="Times New Roman"/>
                <w:b/>
                <w:color w:val="FFFFFF" w:themeColor="background1"/>
                <w:sz w:val="18"/>
                <w:szCs w:val="18"/>
                <w:lang w:eastAsia="ru-RU"/>
              </w:rPr>
            </w:pPr>
            <w:r w:rsidRPr="00F94FED">
              <w:rPr>
                <w:rFonts w:eastAsia="Times New Roman"/>
                <w:b/>
                <w:color w:val="FFFFFF" w:themeColor="background1"/>
                <w:sz w:val="18"/>
                <w:szCs w:val="18"/>
                <w:lang w:eastAsia="ru-RU"/>
              </w:rPr>
              <w:t xml:space="preserve">Утверждено </w:t>
            </w:r>
            <w:r>
              <w:rPr>
                <w:rFonts w:eastAsia="Times New Roman"/>
                <w:b/>
                <w:color w:val="FFFFFF" w:themeColor="background1"/>
                <w:sz w:val="18"/>
                <w:szCs w:val="18"/>
                <w:lang w:eastAsia="ru-RU"/>
              </w:rPr>
              <w:t>Службой</w:t>
            </w:r>
          </w:p>
        </w:tc>
        <w:tc>
          <w:tcPr>
            <w:tcW w:w="74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4DA52996" w14:textId="14B237EB" w:rsidR="00836098" w:rsidRPr="00F94FED" w:rsidRDefault="00836098" w:rsidP="009A4C46">
            <w:pPr>
              <w:spacing w:after="0" w:line="240" w:lineRule="auto"/>
              <w:jc w:val="center"/>
              <w:rPr>
                <w:rFonts w:eastAsia="Times New Roman"/>
                <w:b/>
                <w:color w:val="FFFFFF" w:themeColor="background1"/>
                <w:sz w:val="18"/>
                <w:szCs w:val="18"/>
                <w:lang w:eastAsia="ru-RU"/>
              </w:rPr>
            </w:pPr>
            <w:r w:rsidRPr="00F94FED">
              <w:rPr>
                <w:rFonts w:eastAsia="Times New Roman"/>
                <w:b/>
                <w:color w:val="FFFFFF" w:themeColor="background1"/>
                <w:sz w:val="18"/>
                <w:szCs w:val="18"/>
                <w:lang w:eastAsia="ru-RU"/>
              </w:rPr>
              <w:t>Расчет Исполнителя</w:t>
            </w:r>
          </w:p>
        </w:tc>
        <w:tc>
          <w:tcPr>
            <w:tcW w:w="6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439452B" w14:textId="77777777" w:rsidR="00836098" w:rsidRPr="00F94FED" w:rsidRDefault="00836098" w:rsidP="009A4C46">
            <w:pPr>
              <w:spacing w:after="0" w:line="240" w:lineRule="auto"/>
              <w:jc w:val="center"/>
              <w:rPr>
                <w:rFonts w:eastAsia="Times New Roman"/>
                <w:color w:val="FFFFFF" w:themeColor="background1"/>
                <w:sz w:val="18"/>
                <w:szCs w:val="18"/>
                <w:lang w:eastAsia="ru-RU"/>
              </w:rPr>
            </w:pPr>
            <w:r w:rsidRPr="00F94FED">
              <w:rPr>
                <w:rFonts w:eastAsia="Times New Roman"/>
                <w:b/>
                <w:color w:val="FFFFFF" w:themeColor="background1"/>
                <w:sz w:val="18"/>
                <w:szCs w:val="18"/>
                <w:lang w:eastAsia="ru-RU"/>
              </w:rPr>
              <w:t>Отклонение</w:t>
            </w:r>
          </w:p>
        </w:tc>
      </w:tr>
      <w:tr w:rsidR="00836098" w:rsidRPr="00A753B1" w14:paraId="7496AF23" w14:textId="77777777" w:rsidTr="0072390C">
        <w:trPr>
          <w:trHeight w:val="197"/>
          <w:tblHeader/>
        </w:trPr>
        <w:tc>
          <w:tcPr>
            <w:tcW w:w="172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4F6AC56" w14:textId="77777777" w:rsidR="00836098" w:rsidRPr="00F94FED" w:rsidRDefault="00836098" w:rsidP="009A4C46">
            <w:pPr>
              <w:spacing w:after="0" w:line="240" w:lineRule="auto"/>
              <w:jc w:val="center"/>
              <w:rPr>
                <w:rFonts w:eastAsia="Times New Roman"/>
                <w:color w:val="FFFFFF" w:themeColor="background1"/>
                <w:sz w:val="18"/>
                <w:szCs w:val="18"/>
                <w:lang w:eastAsia="ru-RU"/>
              </w:rPr>
            </w:pPr>
            <w:r w:rsidRPr="00F94FED">
              <w:rPr>
                <w:rFonts w:eastAsia="Times New Roman"/>
                <w:color w:val="FFFFFF" w:themeColor="background1"/>
                <w:sz w:val="18"/>
                <w:szCs w:val="18"/>
                <w:lang w:eastAsia="ru-RU"/>
              </w:rPr>
              <w:t>1</w:t>
            </w:r>
          </w:p>
        </w:tc>
        <w:tc>
          <w:tcPr>
            <w:tcW w:w="40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763E424B" w14:textId="77777777" w:rsidR="00836098" w:rsidRPr="00F94FED" w:rsidRDefault="00836098" w:rsidP="009A4C46">
            <w:pPr>
              <w:spacing w:after="0" w:line="240" w:lineRule="auto"/>
              <w:jc w:val="center"/>
              <w:rPr>
                <w:rFonts w:eastAsia="Times New Roman"/>
                <w:color w:val="FFFFFF" w:themeColor="background1"/>
                <w:sz w:val="18"/>
                <w:szCs w:val="18"/>
                <w:lang w:eastAsia="ru-RU"/>
              </w:rPr>
            </w:pPr>
            <w:r w:rsidRPr="00F94FED">
              <w:rPr>
                <w:rFonts w:eastAsia="Times New Roman"/>
                <w:color w:val="FFFFFF" w:themeColor="background1"/>
                <w:sz w:val="18"/>
                <w:szCs w:val="18"/>
                <w:lang w:eastAsia="ru-RU"/>
              </w:rPr>
              <w:t>2</w:t>
            </w:r>
          </w:p>
        </w:tc>
        <w:tc>
          <w:tcPr>
            <w:tcW w:w="80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4D823C65" w14:textId="77777777" w:rsidR="00836098" w:rsidRPr="00F94FED" w:rsidRDefault="00836098" w:rsidP="009A4C46">
            <w:pPr>
              <w:spacing w:after="0" w:line="240" w:lineRule="auto"/>
              <w:jc w:val="center"/>
              <w:rPr>
                <w:rFonts w:eastAsia="Times New Roman"/>
                <w:color w:val="FFFFFF" w:themeColor="background1"/>
                <w:sz w:val="18"/>
                <w:szCs w:val="18"/>
                <w:lang w:eastAsia="ru-RU"/>
              </w:rPr>
            </w:pPr>
            <w:r w:rsidRPr="00F94FED">
              <w:rPr>
                <w:rFonts w:eastAsia="Times New Roman"/>
                <w:color w:val="FFFFFF" w:themeColor="background1"/>
                <w:sz w:val="18"/>
                <w:szCs w:val="18"/>
                <w:lang w:eastAsia="ru-RU"/>
              </w:rPr>
              <w:t>3</w:t>
            </w:r>
          </w:p>
        </w:tc>
        <w:tc>
          <w:tcPr>
            <w:tcW w:w="71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1853BFFE" w14:textId="77777777" w:rsidR="00836098" w:rsidRPr="00F94FED" w:rsidRDefault="00836098" w:rsidP="009A4C46">
            <w:pPr>
              <w:spacing w:after="0" w:line="240" w:lineRule="auto"/>
              <w:jc w:val="center"/>
              <w:rPr>
                <w:rFonts w:eastAsia="Times New Roman"/>
                <w:color w:val="FFFFFF" w:themeColor="background1"/>
                <w:sz w:val="18"/>
                <w:szCs w:val="18"/>
                <w:lang w:eastAsia="ru-RU"/>
              </w:rPr>
            </w:pPr>
            <w:r w:rsidRPr="00F94FED">
              <w:rPr>
                <w:rFonts w:eastAsia="Times New Roman"/>
                <w:color w:val="FFFFFF" w:themeColor="background1"/>
                <w:sz w:val="18"/>
                <w:szCs w:val="18"/>
                <w:lang w:eastAsia="ru-RU"/>
              </w:rPr>
              <w:t>4</w:t>
            </w:r>
          </w:p>
        </w:tc>
        <w:tc>
          <w:tcPr>
            <w:tcW w:w="74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5FF929D2" w14:textId="762F6C9A" w:rsidR="00836098" w:rsidRPr="00F94FED" w:rsidRDefault="00836098" w:rsidP="009A4C46">
            <w:pPr>
              <w:spacing w:after="0" w:line="240" w:lineRule="auto"/>
              <w:jc w:val="center"/>
              <w:rPr>
                <w:rFonts w:eastAsia="Times New Roman"/>
                <w:color w:val="FFFFFF" w:themeColor="background1"/>
                <w:sz w:val="18"/>
                <w:szCs w:val="18"/>
                <w:lang w:eastAsia="ru-RU"/>
              </w:rPr>
            </w:pPr>
            <w:r w:rsidRPr="00F94FED">
              <w:rPr>
                <w:rFonts w:eastAsia="Times New Roman"/>
                <w:color w:val="FFFFFF" w:themeColor="background1"/>
                <w:sz w:val="18"/>
                <w:szCs w:val="18"/>
                <w:lang w:eastAsia="ru-RU"/>
              </w:rPr>
              <w:t>5</w:t>
            </w:r>
          </w:p>
        </w:tc>
        <w:tc>
          <w:tcPr>
            <w:tcW w:w="6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4C6401E" w14:textId="77777777" w:rsidR="00836098" w:rsidRPr="00F94FED" w:rsidRDefault="00836098" w:rsidP="009A4C46">
            <w:pPr>
              <w:spacing w:after="0" w:line="240" w:lineRule="auto"/>
              <w:jc w:val="center"/>
              <w:rPr>
                <w:rFonts w:eastAsia="Times New Roman"/>
                <w:color w:val="FFFFFF" w:themeColor="background1"/>
                <w:sz w:val="18"/>
                <w:szCs w:val="18"/>
                <w:lang w:eastAsia="ru-RU"/>
              </w:rPr>
            </w:pPr>
            <w:r w:rsidRPr="00F94FED">
              <w:rPr>
                <w:rFonts w:eastAsia="Times New Roman"/>
                <w:color w:val="FFFFFF" w:themeColor="background1"/>
                <w:sz w:val="18"/>
                <w:szCs w:val="18"/>
                <w:lang w:eastAsia="ru-RU"/>
              </w:rPr>
              <w:t>6=5-4</w:t>
            </w:r>
          </w:p>
        </w:tc>
      </w:tr>
      <w:tr w:rsidR="00836098" w:rsidRPr="00A55EED" w14:paraId="011C6F66" w14:textId="77777777" w:rsidTr="0072390C">
        <w:trPr>
          <w:trHeight w:val="300"/>
        </w:trPr>
        <w:tc>
          <w:tcPr>
            <w:tcW w:w="5000" w:type="pct"/>
            <w:gridSpan w:val="6"/>
            <w:tcBorders>
              <w:top w:val="single" w:sz="4" w:space="0" w:color="FFFFFF" w:themeColor="background1"/>
            </w:tcBorders>
            <w:shd w:val="clear" w:color="auto" w:fill="D6E3BC" w:themeFill="accent3" w:themeFillTint="66"/>
          </w:tcPr>
          <w:p w14:paraId="07A3207C" w14:textId="77777777" w:rsidR="00836098" w:rsidRPr="00A55EED" w:rsidRDefault="00836098" w:rsidP="009A4C46">
            <w:pPr>
              <w:spacing w:after="0" w:line="240" w:lineRule="auto"/>
              <w:jc w:val="center"/>
              <w:rPr>
                <w:rFonts w:eastAsia="Times New Roman"/>
                <w:b/>
                <w:sz w:val="18"/>
                <w:szCs w:val="18"/>
                <w:lang w:eastAsia="ru-RU"/>
              </w:rPr>
            </w:pPr>
          </w:p>
        </w:tc>
      </w:tr>
      <w:tr w:rsidR="0072390C" w:rsidRPr="0072390C" w14:paraId="0CD82316" w14:textId="77777777" w:rsidTr="0072390C">
        <w:trPr>
          <w:trHeight w:val="300"/>
        </w:trPr>
        <w:tc>
          <w:tcPr>
            <w:tcW w:w="1724" w:type="pct"/>
            <w:shd w:val="clear" w:color="auto" w:fill="auto"/>
            <w:vAlign w:val="center"/>
          </w:tcPr>
          <w:p w14:paraId="3AEA3F92" w14:textId="77777777" w:rsidR="00836098" w:rsidRPr="0072390C" w:rsidRDefault="00836098" w:rsidP="009A4C46">
            <w:pPr>
              <w:spacing w:after="0" w:line="240" w:lineRule="auto"/>
              <w:rPr>
                <w:rFonts w:eastAsia="Times New Roman"/>
                <w:color w:val="auto"/>
                <w:sz w:val="18"/>
                <w:szCs w:val="18"/>
                <w:lang w:eastAsia="ru-RU"/>
              </w:rPr>
            </w:pPr>
            <w:r w:rsidRPr="0072390C">
              <w:rPr>
                <w:rFonts w:eastAsia="Times New Roman"/>
                <w:color w:val="auto"/>
                <w:sz w:val="18"/>
                <w:szCs w:val="18"/>
                <w:lang w:eastAsia="ru-RU"/>
              </w:rPr>
              <w:t>Материальные затраты</w:t>
            </w:r>
          </w:p>
        </w:tc>
        <w:tc>
          <w:tcPr>
            <w:tcW w:w="403" w:type="pct"/>
            <w:shd w:val="clear" w:color="auto" w:fill="auto"/>
            <w:noWrap/>
            <w:vAlign w:val="center"/>
          </w:tcPr>
          <w:p w14:paraId="4795A1A0" w14:textId="77777777" w:rsidR="00836098" w:rsidRPr="0072390C" w:rsidRDefault="00836098" w:rsidP="009A4C46">
            <w:pPr>
              <w:spacing w:after="0" w:line="240" w:lineRule="auto"/>
              <w:jc w:val="center"/>
              <w:rPr>
                <w:rFonts w:eastAsia="Times New Roman"/>
                <w:color w:val="auto"/>
                <w:sz w:val="18"/>
                <w:szCs w:val="18"/>
                <w:lang w:eastAsia="ru-RU"/>
              </w:rPr>
            </w:pPr>
            <w:r w:rsidRPr="0072390C">
              <w:rPr>
                <w:rFonts w:eastAsia="Times New Roman"/>
                <w:color w:val="auto"/>
                <w:sz w:val="18"/>
                <w:szCs w:val="18"/>
                <w:lang w:eastAsia="ru-RU"/>
              </w:rPr>
              <w:t>тыс. руб.</w:t>
            </w:r>
          </w:p>
        </w:tc>
        <w:tc>
          <w:tcPr>
            <w:tcW w:w="807" w:type="pct"/>
            <w:shd w:val="clear" w:color="auto" w:fill="auto"/>
            <w:noWrap/>
            <w:vAlign w:val="center"/>
          </w:tcPr>
          <w:p w14:paraId="52665768" w14:textId="77777777" w:rsidR="00836098" w:rsidRPr="0072390C" w:rsidRDefault="00836098" w:rsidP="009A4C46">
            <w:pPr>
              <w:spacing w:after="0" w:line="240" w:lineRule="auto"/>
              <w:jc w:val="center"/>
              <w:rPr>
                <w:rFonts w:eastAsia="Times New Roman"/>
                <w:color w:val="auto"/>
                <w:sz w:val="18"/>
                <w:szCs w:val="18"/>
                <w:lang w:eastAsia="ru-RU"/>
              </w:rPr>
            </w:pPr>
            <w:r w:rsidRPr="0072390C">
              <w:rPr>
                <w:rFonts w:eastAsia="Times New Roman"/>
                <w:color w:val="auto"/>
                <w:sz w:val="18"/>
                <w:szCs w:val="18"/>
                <w:lang w:eastAsia="ru-RU"/>
              </w:rPr>
              <w:t>146 490</w:t>
            </w:r>
          </w:p>
        </w:tc>
        <w:tc>
          <w:tcPr>
            <w:tcW w:w="718" w:type="pct"/>
            <w:shd w:val="clear" w:color="auto" w:fill="auto"/>
            <w:noWrap/>
            <w:vAlign w:val="center"/>
          </w:tcPr>
          <w:p w14:paraId="3B341A48" w14:textId="5DFE9B57" w:rsidR="00836098" w:rsidRPr="0072390C" w:rsidRDefault="00836098" w:rsidP="009A4C46">
            <w:pPr>
              <w:spacing w:after="0" w:line="240" w:lineRule="auto"/>
              <w:jc w:val="center"/>
              <w:rPr>
                <w:rFonts w:eastAsia="Times New Roman"/>
                <w:color w:val="auto"/>
                <w:sz w:val="18"/>
                <w:szCs w:val="18"/>
                <w:lang w:eastAsia="ru-RU"/>
              </w:rPr>
            </w:pPr>
            <w:r w:rsidRPr="0072390C">
              <w:rPr>
                <w:color w:val="auto"/>
                <w:sz w:val="18"/>
                <w:szCs w:val="18"/>
              </w:rPr>
              <w:t>135 851</w:t>
            </w:r>
          </w:p>
        </w:tc>
        <w:tc>
          <w:tcPr>
            <w:tcW w:w="741" w:type="pct"/>
            <w:shd w:val="clear" w:color="auto" w:fill="auto"/>
            <w:noWrap/>
            <w:vAlign w:val="center"/>
          </w:tcPr>
          <w:p w14:paraId="58E10C67" w14:textId="1821E155" w:rsidR="00836098" w:rsidRPr="0072390C" w:rsidRDefault="00836098" w:rsidP="009A4C46">
            <w:pPr>
              <w:spacing w:after="0" w:line="240" w:lineRule="auto"/>
              <w:jc w:val="center"/>
              <w:rPr>
                <w:rFonts w:eastAsia="Times New Roman"/>
                <w:color w:val="auto"/>
                <w:sz w:val="18"/>
                <w:szCs w:val="18"/>
                <w:lang w:eastAsia="ru-RU"/>
              </w:rPr>
            </w:pPr>
            <w:r w:rsidRPr="0072390C">
              <w:rPr>
                <w:rFonts w:eastAsia="Times New Roman"/>
                <w:color w:val="auto"/>
                <w:sz w:val="18"/>
                <w:szCs w:val="18"/>
                <w:lang w:eastAsia="ru-RU"/>
              </w:rPr>
              <w:t>155 337</w:t>
            </w:r>
          </w:p>
        </w:tc>
        <w:tc>
          <w:tcPr>
            <w:tcW w:w="604" w:type="pct"/>
            <w:shd w:val="clear" w:color="auto" w:fill="auto"/>
            <w:vAlign w:val="center"/>
          </w:tcPr>
          <w:p w14:paraId="4CA5B9DD" w14:textId="5FCC8510" w:rsidR="00836098" w:rsidRPr="0072390C" w:rsidRDefault="008B3791" w:rsidP="009A4C46">
            <w:pPr>
              <w:spacing w:after="0" w:line="240" w:lineRule="auto"/>
              <w:jc w:val="center"/>
              <w:rPr>
                <w:rFonts w:eastAsia="Times New Roman"/>
                <w:color w:val="auto"/>
                <w:sz w:val="18"/>
                <w:szCs w:val="18"/>
                <w:lang w:eastAsia="ru-RU"/>
              </w:rPr>
            </w:pPr>
            <w:r w:rsidRPr="0072390C">
              <w:rPr>
                <w:rFonts w:eastAsia="Times New Roman"/>
                <w:color w:val="auto"/>
                <w:sz w:val="18"/>
                <w:szCs w:val="18"/>
                <w:lang w:eastAsia="ru-RU"/>
              </w:rPr>
              <w:t>19 486</w:t>
            </w:r>
          </w:p>
        </w:tc>
      </w:tr>
      <w:tr w:rsidR="0072390C" w:rsidRPr="0072390C" w14:paraId="71AAA739" w14:textId="77777777" w:rsidTr="0072390C">
        <w:trPr>
          <w:trHeight w:val="300"/>
        </w:trPr>
        <w:tc>
          <w:tcPr>
            <w:tcW w:w="1724" w:type="pct"/>
            <w:shd w:val="clear" w:color="auto" w:fill="auto"/>
            <w:vAlign w:val="center"/>
            <w:hideMark/>
          </w:tcPr>
          <w:p w14:paraId="5AC6C7A0" w14:textId="77777777" w:rsidR="00836098" w:rsidRPr="0072390C" w:rsidRDefault="00836098" w:rsidP="009A4C46">
            <w:pPr>
              <w:spacing w:after="0" w:line="240" w:lineRule="auto"/>
              <w:rPr>
                <w:rFonts w:eastAsia="Times New Roman"/>
                <w:color w:val="auto"/>
                <w:sz w:val="18"/>
                <w:szCs w:val="18"/>
                <w:lang w:eastAsia="ru-RU"/>
              </w:rPr>
            </w:pPr>
            <w:r w:rsidRPr="0072390C">
              <w:rPr>
                <w:rFonts w:eastAsia="Times New Roman"/>
                <w:color w:val="auto"/>
                <w:sz w:val="18"/>
                <w:szCs w:val="18"/>
                <w:lang w:eastAsia="ru-RU"/>
              </w:rPr>
              <w:t>Сырье, материалы, запасные части, инструмент, топливо</w:t>
            </w:r>
          </w:p>
        </w:tc>
        <w:tc>
          <w:tcPr>
            <w:tcW w:w="403" w:type="pct"/>
            <w:shd w:val="clear" w:color="auto" w:fill="auto"/>
            <w:noWrap/>
            <w:vAlign w:val="center"/>
            <w:hideMark/>
          </w:tcPr>
          <w:p w14:paraId="16E52DA7" w14:textId="77777777" w:rsidR="00836098" w:rsidRPr="0072390C" w:rsidRDefault="00836098" w:rsidP="009A4C46">
            <w:pPr>
              <w:spacing w:after="0" w:line="240" w:lineRule="auto"/>
              <w:jc w:val="center"/>
              <w:rPr>
                <w:rFonts w:eastAsia="Times New Roman"/>
                <w:color w:val="auto"/>
                <w:sz w:val="18"/>
                <w:szCs w:val="18"/>
                <w:lang w:eastAsia="ru-RU"/>
              </w:rPr>
            </w:pPr>
            <w:r w:rsidRPr="0072390C">
              <w:rPr>
                <w:rFonts w:eastAsia="Times New Roman"/>
                <w:color w:val="auto"/>
                <w:sz w:val="18"/>
                <w:szCs w:val="18"/>
                <w:lang w:eastAsia="ru-RU"/>
              </w:rPr>
              <w:t>тыс. руб.</w:t>
            </w:r>
          </w:p>
        </w:tc>
        <w:tc>
          <w:tcPr>
            <w:tcW w:w="807" w:type="pct"/>
            <w:shd w:val="clear" w:color="auto" w:fill="auto"/>
            <w:noWrap/>
            <w:vAlign w:val="center"/>
          </w:tcPr>
          <w:p w14:paraId="7115220D" w14:textId="77777777" w:rsidR="00836098" w:rsidRPr="0072390C" w:rsidRDefault="00836098" w:rsidP="009A4C46">
            <w:pPr>
              <w:spacing w:after="0" w:line="240" w:lineRule="auto"/>
              <w:jc w:val="center"/>
              <w:rPr>
                <w:rFonts w:eastAsia="Times New Roman"/>
                <w:color w:val="auto"/>
                <w:sz w:val="18"/>
                <w:szCs w:val="18"/>
                <w:lang w:eastAsia="ru-RU"/>
              </w:rPr>
            </w:pPr>
            <w:r w:rsidRPr="0072390C">
              <w:rPr>
                <w:rFonts w:eastAsia="Times New Roman"/>
                <w:color w:val="auto"/>
                <w:sz w:val="18"/>
                <w:szCs w:val="18"/>
                <w:lang w:eastAsia="ru-RU"/>
              </w:rPr>
              <w:t>81 899</w:t>
            </w:r>
          </w:p>
        </w:tc>
        <w:tc>
          <w:tcPr>
            <w:tcW w:w="718" w:type="pct"/>
            <w:shd w:val="clear" w:color="auto" w:fill="auto"/>
            <w:noWrap/>
            <w:vAlign w:val="center"/>
          </w:tcPr>
          <w:p w14:paraId="52C84A60" w14:textId="51FA903A" w:rsidR="00836098" w:rsidRPr="0072390C" w:rsidRDefault="00836098" w:rsidP="009A4C46">
            <w:pPr>
              <w:spacing w:after="0" w:line="240" w:lineRule="auto"/>
              <w:jc w:val="center"/>
              <w:rPr>
                <w:rFonts w:eastAsia="Times New Roman"/>
                <w:color w:val="auto"/>
                <w:sz w:val="18"/>
                <w:szCs w:val="18"/>
                <w:lang w:eastAsia="ru-RU"/>
              </w:rPr>
            </w:pPr>
            <w:r w:rsidRPr="0072390C">
              <w:rPr>
                <w:color w:val="auto"/>
                <w:sz w:val="18"/>
                <w:szCs w:val="18"/>
              </w:rPr>
              <w:t>97 979</w:t>
            </w:r>
          </w:p>
        </w:tc>
        <w:tc>
          <w:tcPr>
            <w:tcW w:w="741" w:type="pct"/>
            <w:shd w:val="clear" w:color="auto" w:fill="auto"/>
            <w:noWrap/>
            <w:vAlign w:val="center"/>
          </w:tcPr>
          <w:p w14:paraId="68DA363D" w14:textId="10B15696" w:rsidR="00836098" w:rsidRPr="0072390C" w:rsidRDefault="00836098" w:rsidP="009A4C46">
            <w:pPr>
              <w:spacing w:after="0" w:line="240" w:lineRule="auto"/>
              <w:jc w:val="center"/>
              <w:rPr>
                <w:rFonts w:eastAsia="Times New Roman"/>
                <w:color w:val="auto"/>
                <w:sz w:val="18"/>
                <w:szCs w:val="18"/>
                <w:lang w:eastAsia="ru-RU"/>
              </w:rPr>
            </w:pPr>
            <w:r w:rsidRPr="0072390C">
              <w:rPr>
                <w:rFonts w:eastAsia="Times New Roman"/>
                <w:color w:val="auto"/>
                <w:sz w:val="18"/>
                <w:szCs w:val="18"/>
                <w:lang w:eastAsia="ru-RU"/>
              </w:rPr>
              <w:t>97 979</w:t>
            </w:r>
          </w:p>
        </w:tc>
        <w:tc>
          <w:tcPr>
            <w:tcW w:w="604" w:type="pct"/>
            <w:shd w:val="clear" w:color="auto" w:fill="auto"/>
            <w:vAlign w:val="center"/>
          </w:tcPr>
          <w:p w14:paraId="165FBB8C" w14:textId="280FCE2A" w:rsidR="00836098" w:rsidRPr="0072390C" w:rsidRDefault="008B3791" w:rsidP="009A4C46">
            <w:pPr>
              <w:spacing w:after="0" w:line="240" w:lineRule="auto"/>
              <w:jc w:val="center"/>
              <w:rPr>
                <w:rFonts w:eastAsia="Times New Roman"/>
                <w:color w:val="auto"/>
                <w:sz w:val="18"/>
                <w:szCs w:val="18"/>
                <w:lang w:eastAsia="ru-RU"/>
              </w:rPr>
            </w:pPr>
            <w:r w:rsidRPr="0072390C">
              <w:rPr>
                <w:rFonts w:eastAsia="Times New Roman"/>
                <w:color w:val="auto"/>
                <w:sz w:val="18"/>
                <w:szCs w:val="18"/>
                <w:lang w:eastAsia="ru-RU"/>
              </w:rPr>
              <w:t>0</w:t>
            </w:r>
          </w:p>
        </w:tc>
      </w:tr>
      <w:tr w:rsidR="0072390C" w:rsidRPr="0072390C" w14:paraId="0FF6EF88" w14:textId="77777777" w:rsidTr="0072390C">
        <w:trPr>
          <w:trHeight w:val="1005"/>
        </w:trPr>
        <w:tc>
          <w:tcPr>
            <w:tcW w:w="1724" w:type="pct"/>
            <w:shd w:val="clear" w:color="auto" w:fill="auto"/>
            <w:vAlign w:val="center"/>
            <w:hideMark/>
          </w:tcPr>
          <w:p w14:paraId="3ADE2CD8" w14:textId="77777777" w:rsidR="00836098" w:rsidRPr="0072390C" w:rsidRDefault="00836098" w:rsidP="009A4C46">
            <w:pPr>
              <w:spacing w:after="0" w:line="240" w:lineRule="auto"/>
              <w:rPr>
                <w:rFonts w:eastAsia="Times New Roman"/>
                <w:color w:val="auto"/>
                <w:sz w:val="18"/>
                <w:szCs w:val="18"/>
                <w:lang w:eastAsia="ru-RU"/>
              </w:rPr>
            </w:pPr>
            <w:r w:rsidRPr="0072390C">
              <w:rPr>
                <w:rFonts w:eastAsia="Times New Roman"/>
                <w:color w:val="auto"/>
                <w:sz w:val="18"/>
                <w:szCs w:val="18"/>
                <w:lang w:eastAsia="ru-RU"/>
              </w:rPr>
              <w:lastRenderedPageBreak/>
              <w:t>Работы и услуги производственного характера (в т.ч. услуги сторонних организаций по содержанию сетей и распределительных устройств)</w:t>
            </w:r>
          </w:p>
        </w:tc>
        <w:tc>
          <w:tcPr>
            <w:tcW w:w="403" w:type="pct"/>
            <w:shd w:val="clear" w:color="auto" w:fill="auto"/>
            <w:noWrap/>
            <w:vAlign w:val="center"/>
            <w:hideMark/>
          </w:tcPr>
          <w:p w14:paraId="786B2D1D" w14:textId="77777777" w:rsidR="00836098" w:rsidRPr="0072390C" w:rsidRDefault="00836098" w:rsidP="009A4C46">
            <w:pPr>
              <w:spacing w:after="0" w:line="240" w:lineRule="auto"/>
              <w:jc w:val="center"/>
              <w:rPr>
                <w:rFonts w:eastAsia="Times New Roman"/>
                <w:color w:val="auto"/>
                <w:sz w:val="18"/>
                <w:szCs w:val="18"/>
                <w:lang w:eastAsia="ru-RU"/>
              </w:rPr>
            </w:pPr>
            <w:r w:rsidRPr="0072390C">
              <w:rPr>
                <w:rFonts w:eastAsia="Times New Roman"/>
                <w:color w:val="auto"/>
                <w:sz w:val="18"/>
                <w:szCs w:val="18"/>
                <w:lang w:eastAsia="ru-RU"/>
              </w:rPr>
              <w:t>тыс. руб.</w:t>
            </w:r>
          </w:p>
        </w:tc>
        <w:tc>
          <w:tcPr>
            <w:tcW w:w="807" w:type="pct"/>
            <w:shd w:val="clear" w:color="auto" w:fill="auto"/>
            <w:noWrap/>
            <w:vAlign w:val="center"/>
          </w:tcPr>
          <w:p w14:paraId="42AE98C9" w14:textId="77777777" w:rsidR="00836098" w:rsidRPr="0072390C" w:rsidRDefault="00836098" w:rsidP="009A4C46">
            <w:pPr>
              <w:spacing w:after="0" w:line="240" w:lineRule="auto"/>
              <w:jc w:val="center"/>
              <w:rPr>
                <w:rFonts w:eastAsia="Times New Roman"/>
                <w:color w:val="auto"/>
                <w:sz w:val="18"/>
                <w:szCs w:val="18"/>
                <w:lang w:eastAsia="ru-RU"/>
              </w:rPr>
            </w:pPr>
            <w:r w:rsidRPr="0072390C">
              <w:rPr>
                <w:rFonts w:eastAsia="Times New Roman"/>
                <w:color w:val="auto"/>
                <w:sz w:val="18"/>
                <w:szCs w:val="18"/>
                <w:lang w:eastAsia="ru-RU"/>
              </w:rPr>
              <w:t>64 592</w:t>
            </w:r>
          </w:p>
        </w:tc>
        <w:tc>
          <w:tcPr>
            <w:tcW w:w="718" w:type="pct"/>
            <w:shd w:val="clear" w:color="auto" w:fill="auto"/>
            <w:noWrap/>
            <w:vAlign w:val="center"/>
          </w:tcPr>
          <w:p w14:paraId="3F283C8C" w14:textId="55A58846" w:rsidR="00836098" w:rsidRPr="0072390C" w:rsidRDefault="00836098" w:rsidP="009A4C46">
            <w:pPr>
              <w:spacing w:after="0" w:line="240" w:lineRule="auto"/>
              <w:jc w:val="center"/>
              <w:rPr>
                <w:rFonts w:eastAsia="Times New Roman"/>
                <w:color w:val="auto"/>
                <w:sz w:val="18"/>
                <w:szCs w:val="18"/>
                <w:lang w:eastAsia="ru-RU"/>
              </w:rPr>
            </w:pPr>
            <w:r w:rsidRPr="0072390C">
              <w:rPr>
                <w:color w:val="auto"/>
                <w:sz w:val="18"/>
                <w:szCs w:val="18"/>
              </w:rPr>
              <w:t>37 872</w:t>
            </w:r>
          </w:p>
        </w:tc>
        <w:tc>
          <w:tcPr>
            <w:tcW w:w="741" w:type="pct"/>
            <w:shd w:val="clear" w:color="auto" w:fill="auto"/>
            <w:noWrap/>
            <w:vAlign w:val="center"/>
          </w:tcPr>
          <w:p w14:paraId="05A7A56C" w14:textId="60004AAC" w:rsidR="00836098" w:rsidRPr="0072390C" w:rsidRDefault="00836098" w:rsidP="009A4C46">
            <w:pPr>
              <w:spacing w:after="0" w:line="240" w:lineRule="auto"/>
              <w:jc w:val="center"/>
              <w:rPr>
                <w:rFonts w:eastAsia="Times New Roman"/>
                <w:color w:val="auto"/>
                <w:sz w:val="18"/>
                <w:szCs w:val="18"/>
                <w:lang w:eastAsia="ru-RU"/>
              </w:rPr>
            </w:pPr>
            <w:r w:rsidRPr="0072390C">
              <w:rPr>
                <w:rFonts w:eastAsia="Times New Roman"/>
                <w:color w:val="auto"/>
                <w:sz w:val="18"/>
                <w:szCs w:val="18"/>
                <w:lang w:eastAsia="ru-RU"/>
              </w:rPr>
              <w:t>57 359</w:t>
            </w:r>
          </w:p>
        </w:tc>
        <w:tc>
          <w:tcPr>
            <w:tcW w:w="604" w:type="pct"/>
            <w:shd w:val="clear" w:color="auto" w:fill="auto"/>
            <w:vAlign w:val="center"/>
          </w:tcPr>
          <w:p w14:paraId="0B81DC8E" w14:textId="7460F0D6" w:rsidR="00836098" w:rsidRPr="0072390C" w:rsidRDefault="008B3791" w:rsidP="009A4C46">
            <w:pPr>
              <w:spacing w:after="0" w:line="240" w:lineRule="auto"/>
              <w:jc w:val="center"/>
              <w:rPr>
                <w:rFonts w:eastAsia="Times New Roman"/>
                <w:color w:val="auto"/>
                <w:sz w:val="18"/>
                <w:szCs w:val="18"/>
                <w:lang w:eastAsia="ru-RU"/>
              </w:rPr>
            </w:pPr>
            <w:r w:rsidRPr="0072390C">
              <w:rPr>
                <w:rFonts w:eastAsia="Times New Roman"/>
                <w:color w:val="auto"/>
                <w:sz w:val="18"/>
                <w:szCs w:val="18"/>
                <w:lang w:eastAsia="ru-RU"/>
              </w:rPr>
              <w:t>19 487</w:t>
            </w:r>
          </w:p>
        </w:tc>
      </w:tr>
      <w:tr w:rsidR="0072390C" w:rsidRPr="0072390C" w14:paraId="146A6608" w14:textId="77777777" w:rsidTr="0072390C">
        <w:trPr>
          <w:trHeight w:val="300"/>
        </w:trPr>
        <w:tc>
          <w:tcPr>
            <w:tcW w:w="1724" w:type="pct"/>
            <w:shd w:val="clear" w:color="auto" w:fill="auto"/>
            <w:vAlign w:val="center"/>
            <w:hideMark/>
          </w:tcPr>
          <w:p w14:paraId="0F4FF3E0" w14:textId="77777777" w:rsidR="00836098" w:rsidRPr="0072390C" w:rsidRDefault="00836098" w:rsidP="009A4C46">
            <w:pPr>
              <w:spacing w:after="0" w:line="240" w:lineRule="auto"/>
              <w:rPr>
                <w:rFonts w:eastAsia="Times New Roman"/>
                <w:color w:val="auto"/>
                <w:sz w:val="18"/>
                <w:szCs w:val="18"/>
                <w:lang w:eastAsia="ru-RU"/>
              </w:rPr>
            </w:pPr>
            <w:r w:rsidRPr="0072390C">
              <w:rPr>
                <w:rFonts w:eastAsia="Times New Roman"/>
                <w:color w:val="auto"/>
                <w:sz w:val="18"/>
                <w:szCs w:val="18"/>
                <w:lang w:eastAsia="ru-RU"/>
              </w:rPr>
              <w:t>Расходы на оплату труда</w:t>
            </w:r>
          </w:p>
        </w:tc>
        <w:tc>
          <w:tcPr>
            <w:tcW w:w="403" w:type="pct"/>
            <w:shd w:val="clear" w:color="auto" w:fill="auto"/>
            <w:noWrap/>
            <w:vAlign w:val="center"/>
            <w:hideMark/>
          </w:tcPr>
          <w:p w14:paraId="094B8616" w14:textId="77777777" w:rsidR="00836098" w:rsidRPr="0072390C" w:rsidRDefault="00836098" w:rsidP="009A4C46">
            <w:pPr>
              <w:spacing w:after="0" w:line="240" w:lineRule="auto"/>
              <w:jc w:val="center"/>
              <w:rPr>
                <w:rFonts w:eastAsia="Times New Roman"/>
                <w:color w:val="auto"/>
                <w:sz w:val="18"/>
                <w:szCs w:val="18"/>
                <w:lang w:eastAsia="ru-RU"/>
              </w:rPr>
            </w:pPr>
            <w:r w:rsidRPr="0072390C">
              <w:rPr>
                <w:rFonts w:eastAsia="Times New Roman"/>
                <w:color w:val="auto"/>
                <w:sz w:val="18"/>
                <w:szCs w:val="18"/>
                <w:lang w:eastAsia="ru-RU"/>
              </w:rPr>
              <w:t>тыс. руб.</w:t>
            </w:r>
          </w:p>
        </w:tc>
        <w:tc>
          <w:tcPr>
            <w:tcW w:w="807" w:type="pct"/>
            <w:shd w:val="clear" w:color="auto" w:fill="auto"/>
            <w:noWrap/>
            <w:vAlign w:val="center"/>
          </w:tcPr>
          <w:p w14:paraId="3163A5D4" w14:textId="77777777" w:rsidR="00836098" w:rsidRPr="0072390C" w:rsidRDefault="00836098" w:rsidP="009A4C46">
            <w:pPr>
              <w:spacing w:after="0" w:line="240" w:lineRule="auto"/>
              <w:jc w:val="center"/>
              <w:rPr>
                <w:rFonts w:eastAsia="Times New Roman"/>
                <w:color w:val="auto"/>
                <w:sz w:val="18"/>
                <w:szCs w:val="18"/>
                <w:lang w:eastAsia="ru-RU"/>
              </w:rPr>
            </w:pPr>
            <w:r w:rsidRPr="0072390C">
              <w:rPr>
                <w:rFonts w:eastAsia="Times New Roman"/>
                <w:color w:val="auto"/>
                <w:sz w:val="18"/>
                <w:szCs w:val="18"/>
                <w:lang w:eastAsia="ru-RU"/>
              </w:rPr>
              <w:t>381 360</w:t>
            </w:r>
          </w:p>
        </w:tc>
        <w:tc>
          <w:tcPr>
            <w:tcW w:w="718" w:type="pct"/>
            <w:shd w:val="clear" w:color="auto" w:fill="auto"/>
            <w:noWrap/>
            <w:vAlign w:val="center"/>
          </w:tcPr>
          <w:p w14:paraId="56DD7375" w14:textId="1020EF62" w:rsidR="00836098" w:rsidRPr="0072390C" w:rsidRDefault="00836098" w:rsidP="009A4C46">
            <w:pPr>
              <w:spacing w:after="0" w:line="240" w:lineRule="auto"/>
              <w:jc w:val="center"/>
              <w:rPr>
                <w:rFonts w:eastAsia="Times New Roman"/>
                <w:color w:val="auto"/>
                <w:sz w:val="18"/>
                <w:szCs w:val="18"/>
                <w:lang w:eastAsia="ru-RU"/>
              </w:rPr>
            </w:pPr>
            <w:r w:rsidRPr="0072390C">
              <w:rPr>
                <w:color w:val="auto"/>
                <w:sz w:val="18"/>
                <w:szCs w:val="18"/>
              </w:rPr>
              <w:t>390 010</w:t>
            </w:r>
          </w:p>
        </w:tc>
        <w:tc>
          <w:tcPr>
            <w:tcW w:w="741" w:type="pct"/>
            <w:shd w:val="clear" w:color="auto" w:fill="auto"/>
            <w:noWrap/>
            <w:vAlign w:val="center"/>
          </w:tcPr>
          <w:p w14:paraId="08A32740" w14:textId="01E86E61" w:rsidR="00836098" w:rsidRPr="0072390C" w:rsidRDefault="00836098" w:rsidP="009A4C46">
            <w:pPr>
              <w:spacing w:after="0" w:line="240" w:lineRule="auto"/>
              <w:jc w:val="center"/>
              <w:rPr>
                <w:rFonts w:eastAsia="Times New Roman"/>
                <w:color w:val="auto"/>
                <w:sz w:val="18"/>
                <w:szCs w:val="18"/>
                <w:lang w:eastAsia="ru-RU"/>
              </w:rPr>
            </w:pPr>
            <w:r w:rsidRPr="0072390C">
              <w:rPr>
                <w:rFonts w:eastAsia="Times New Roman"/>
                <w:color w:val="auto"/>
                <w:sz w:val="18"/>
                <w:szCs w:val="18"/>
                <w:lang w:eastAsia="ru-RU"/>
              </w:rPr>
              <w:t>370 523</w:t>
            </w:r>
          </w:p>
        </w:tc>
        <w:tc>
          <w:tcPr>
            <w:tcW w:w="604" w:type="pct"/>
            <w:shd w:val="clear" w:color="auto" w:fill="auto"/>
            <w:vAlign w:val="center"/>
          </w:tcPr>
          <w:p w14:paraId="76256A42" w14:textId="6FFFE1E2" w:rsidR="00836098" w:rsidRPr="0072390C" w:rsidRDefault="008B3791" w:rsidP="009A4C46">
            <w:pPr>
              <w:spacing w:after="0" w:line="240" w:lineRule="auto"/>
              <w:jc w:val="center"/>
              <w:rPr>
                <w:rFonts w:eastAsia="Times New Roman"/>
                <w:color w:val="auto"/>
                <w:sz w:val="18"/>
                <w:szCs w:val="18"/>
                <w:lang w:eastAsia="ru-RU"/>
              </w:rPr>
            </w:pPr>
            <w:r w:rsidRPr="0072390C">
              <w:rPr>
                <w:rFonts w:eastAsia="Times New Roman"/>
                <w:color w:val="auto"/>
                <w:sz w:val="18"/>
                <w:szCs w:val="18"/>
                <w:lang w:eastAsia="ru-RU"/>
              </w:rPr>
              <w:t>-19 487</w:t>
            </w:r>
          </w:p>
        </w:tc>
      </w:tr>
      <w:tr w:rsidR="0072390C" w:rsidRPr="0072390C" w14:paraId="3628277D" w14:textId="77777777" w:rsidTr="0072390C">
        <w:trPr>
          <w:trHeight w:val="300"/>
        </w:trPr>
        <w:tc>
          <w:tcPr>
            <w:tcW w:w="1724" w:type="pct"/>
            <w:shd w:val="clear" w:color="auto" w:fill="auto"/>
            <w:vAlign w:val="center"/>
            <w:hideMark/>
          </w:tcPr>
          <w:p w14:paraId="50D904B7" w14:textId="77777777" w:rsidR="00836098" w:rsidRPr="0072390C" w:rsidRDefault="00836098" w:rsidP="009A4C46">
            <w:pPr>
              <w:spacing w:after="0" w:line="240" w:lineRule="auto"/>
              <w:rPr>
                <w:rFonts w:eastAsia="Times New Roman"/>
                <w:color w:val="auto"/>
                <w:sz w:val="18"/>
                <w:szCs w:val="18"/>
                <w:lang w:eastAsia="ru-RU"/>
              </w:rPr>
            </w:pPr>
            <w:r w:rsidRPr="0072390C">
              <w:rPr>
                <w:rFonts w:eastAsia="Times New Roman"/>
                <w:color w:val="auto"/>
                <w:sz w:val="18"/>
                <w:szCs w:val="18"/>
                <w:lang w:eastAsia="ru-RU"/>
              </w:rPr>
              <w:t>Прочие расходы, всего, в том числе:</w:t>
            </w:r>
          </w:p>
        </w:tc>
        <w:tc>
          <w:tcPr>
            <w:tcW w:w="403" w:type="pct"/>
            <w:shd w:val="clear" w:color="auto" w:fill="auto"/>
            <w:noWrap/>
            <w:vAlign w:val="center"/>
            <w:hideMark/>
          </w:tcPr>
          <w:p w14:paraId="3096C915" w14:textId="77777777" w:rsidR="00836098" w:rsidRPr="0072390C" w:rsidRDefault="00836098" w:rsidP="009A4C46">
            <w:pPr>
              <w:spacing w:after="0" w:line="240" w:lineRule="auto"/>
              <w:jc w:val="center"/>
              <w:rPr>
                <w:rFonts w:eastAsia="Times New Roman"/>
                <w:color w:val="auto"/>
                <w:sz w:val="18"/>
                <w:szCs w:val="18"/>
                <w:lang w:eastAsia="ru-RU"/>
              </w:rPr>
            </w:pPr>
            <w:r w:rsidRPr="0072390C">
              <w:rPr>
                <w:rFonts w:eastAsia="Times New Roman"/>
                <w:color w:val="auto"/>
                <w:sz w:val="18"/>
                <w:szCs w:val="18"/>
                <w:lang w:eastAsia="ru-RU"/>
              </w:rPr>
              <w:t>тыс. руб.</w:t>
            </w:r>
          </w:p>
        </w:tc>
        <w:tc>
          <w:tcPr>
            <w:tcW w:w="807" w:type="pct"/>
            <w:shd w:val="clear" w:color="auto" w:fill="auto"/>
            <w:noWrap/>
            <w:vAlign w:val="center"/>
          </w:tcPr>
          <w:p w14:paraId="23ACF3FC" w14:textId="77777777" w:rsidR="00836098" w:rsidRPr="0072390C" w:rsidRDefault="00836098" w:rsidP="009A4C46">
            <w:pPr>
              <w:spacing w:after="0" w:line="240" w:lineRule="auto"/>
              <w:jc w:val="center"/>
              <w:rPr>
                <w:rFonts w:eastAsia="Times New Roman"/>
                <w:color w:val="auto"/>
                <w:sz w:val="18"/>
                <w:szCs w:val="18"/>
                <w:lang w:eastAsia="ru-RU"/>
              </w:rPr>
            </w:pPr>
            <w:r w:rsidRPr="0072390C">
              <w:rPr>
                <w:rFonts w:eastAsia="Times New Roman"/>
                <w:color w:val="auto"/>
                <w:sz w:val="18"/>
                <w:szCs w:val="18"/>
                <w:lang w:eastAsia="ru-RU"/>
              </w:rPr>
              <w:t>70 727</w:t>
            </w:r>
          </w:p>
        </w:tc>
        <w:tc>
          <w:tcPr>
            <w:tcW w:w="718" w:type="pct"/>
            <w:shd w:val="clear" w:color="auto" w:fill="auto"/>
            <w:noWrap/>
            <w:vAlign w:val="center"/>
          </w:tcPr>
          <w:p w14:paraId="3D18DDB8" w14:textId="57C0B764" w:rsidR="00836098" w:rsidRPr="0072390C" w:rsidRDefault="00836098" w:rsidP="009A4C46">
            <w:pPr>
              <w:spacing w:after="0" w:line="240" w:lineRule="auto"/>
              <w:jc w:val="center"/>
              <w:rPr>
                <w:rFonts w:eastAsia="Times New Roman"/>
                <w:color w:val="auto"/>
                <w:sz w:val="18"/>
                <w:szCs w:val="18"/>
                <w:lang w:eastAsia="ru-RU"/>
              </w:rPr>
            </w:pPr>
            <w:r w:rsidRPr="0072390C">
              <w:rPr>
                <w:color w:val="auto"/>
                <w:sz w:val="18"/>
                <w:szCs w:val="18"/>
              </w:rPr>
              <w:t>76 170</w:t>
            </w:r>
          </w:p>
        </w:tc>
        <w:tc>
          <w:tcPr>
            <w:tcW w:w="741" w:type="pct"/>
            <w:shd w:val="clear" w:color="auto" w:fill="auto"/>
            <w:noWrap/>
            <w:vAlign w:val="center"/>
          </w:tcPr>
          <w:p w14:paraId="7DFEA725" w14:textId="289B3450" w:rsidR="00836098" w:rsidRPr="0072390C" w:rsidRDefault="00836098" w:rsidP="009A4C46">
            <w:pPr>
              <w:spacing w:after="0" w:line="240" w:lineRule="auto"/>
              <w:jc w:val="center"/>
              <w:rPr>
                <w:rFonts w:eastAsia="Times New Roman"/>
                <w:color w:val="auto"/>
                <w:sz w:val="18"/>
                <w:szCs w:val="18"/>
                <w:lang w:eastAsia="ru-RU"/>
              </w:rPr>
            </w:pPr>
            <w:r w:rsidRPr="0072390C">
              <w:rPr>
                <w:rFonts w:eastAsia="Times New Roman"/>
                <w:color w:val="auto"/>
                <w:sz w:val="18"/>
                <w:szCs w:val="18"/>
                <w:lang w:eastAsia="ru-RU"/>
              </w:rPr>
              <w:t>76 170</w:t>
            </w:r>
          </w:p>
        </w:tc>
        <w:tc>
          <w:tcPr>
            <w:tcW w:w="604" w:type="pct"/>
            <w:shd w:val="clear" w:color="auto" w:fill="auto"/>
            <w:vAlign w:val="center"/>
          </w:tcPr>
          <w:p w14:paraId="2D5F2556" w14:textId="568AE1CD" w:rsidR="00836098" w:rsidRPr="0072390C" w:rsidRDefault="008B3791" w:rsidP="009A4C46">
            <w:pPr>
              <w:spacing w:after="0" w:line="240" w:lineRule="auto"/>
              <w:jc w:val="center"/>
              <w:rPr>
                <w:rFonts w:eastAsia="Times New Roman"/>
                <w:color w:val="auto"/>
                <w:sz w:val="18"/>
                <w:szCs w:val="18"/>
                <w:lang w:eastAsia="ru-RU"/>
              </w:rPr>
            </w:pPr>
            <w:r w:rsidRPr="0072390C">
              <w:rPr>
                <w:rFonts w:eastAsia="Times New Roman"/>
                <w:color w:val="auto"/>
                <w:sz w:val="18"/>
                <w:szCs w:val="18"/>
                <w:lang w:eastAsia="ru-RU"/>
              </w:rPr>
              <w:t>0</w:t>
            </w:r>
          </w:p>
        </w:tc>
      </w:tr>
      <w:tr w:rsidR="0072390C" w:rsidRPr="0072390C" w14:paraId="4B96BEA3" w14:textId="77777777" w:rsidTr="0072390C">
        <w:trPr>
          <w:trHeight w:val="300"/>
        </w:trPr>
        <w:tc>
          <w:tcPr>
            <w:tcW w:w="1724" w:type="pct"/>
            <w:shd w:val="clear" w:color="auto" w:fill="auto"/>
            <w:vAlign w:val="center"/>
            <w:hideMark/>
          </w:tcPr>
          <w:p w14:paraId="3D7FB8AF" w14:textId="77777777" w:rsidR="00836098" w:rsidRPr="0072390C" w:rsidRDefault="00836098" w:rsidP="009A4C46">
            <w:pPr>
              <w:spacing w:after="0" w:line="240" w:lineRule="auto"/>
              <w:rPr>
                <w:rFonts w:eastAsia="Times New Roman"/>
                <w:color w:val="auto"/>
                <w:sz w:val="18"/>
                <w:szCs w:val="18"/>
                <w:lang w:eastAsia="ru-RU"/>
              </w:rPr>
            </w:pPr>
            <w:r w:rsidRPr="0072390C">
              <w:rPr>
                <w:rFonts w:eastAsia="Times New Roman"/>
                <w:color w:val="auto"/>
                <w:sz w:val="18"/>
                <w:szCs w:val="18"/>
                <w:lang w:eastAsia="ru-RU"/>
              </w:rPr>
              <w:t>Ремонт основных фондов</w:t>
            </w:r>
          </w:p>
        </w:tc>
        <w:tc>
          <w:tcPr>
            <w:tcW w:w="403" w:type="pct"/>
            <w:shd w:val="clear" w:color="auto" w:fill="auto"/>
            <w:noWrap/>
            <w:vAlign w:val="center"/>
            <w:hideMark/>
          </w:tcPr>
          <w:p w14:paraId="67DCD5FB" w14:textId="77777777" w:rsidR="00836098" w:rsidRPr="0072390C" w:rsidRDefault="00836098" w:rsidP="009A4C46">
            <w:pPr>
              <w:spacing w:after="0" w:line="240" w:lineRule="auto"/>
              <w:jc w:val="center"/>
              <w:rPr>
                <w:rFonts w:eastAsia="Times New Roman"/>
                <w:color w:val="auto"/>
                <w:sz w:val="18"/>
                <w:szCs w:val="18"/>
                <w:lang w:eastAsia="ru-RU"/>
              </w:rPr>
            </w:pPr>
            <w:r w:rsidRPr="0072390C">
              <w:rPr>
                <w:rFonts w:eastAsia="Times New Roman"/>
                <w:color w:val="auto"/>
                <w:sz w:val="18"/>
                <w:szCs w:val="18"/>
                <w:lang w:eastAsia="ru-RU"/>
              </w:rPr>
              <w:t>тыс. руб.</w:t>
            </w:r>
          </w:p>
        </w:tc>
        <w:tc>
          <w:tcPr>
            <w:tcW w:w="807" w:type="pct"/>
            <w:shd w:val="clear" w:color="auto" w:fill="auto"/>
            <w:noWrap/>
            <w:vAlign w:val="center"/>
          </w:tcPr>
          <w:p w14:paraId="1E09F82B" w14:textId="77777777" w:rsidR="00836098" w:rsidRPr="0072390C" w:rsidRDefault="00836098" w:rsidP="009A4C46">
            <w:pPr>
              <w:spacing w:after="0" w:line="240" w:lineRule="auto"/>
              <w:jc w:val="center"/>
              <w:rPr>
                <w:rFonts w:eastAsia="Times New Roman"/>
                <w:color w:val="auto"/>
                <w:sz w:val="18"/>
                <w:szCs w:val="18"/>
                <w:lang w:eastAsia="ru-RU"/>
              </w:rPr>
            </w:pPr>
            <w:r w:rsidRPr="0072390C">
              <w:rPr>
                <w:rFonts w:eastAsia="Times New Roman"/>
                <w:color w:val="auto"/>
                <w:sz w:val="18"/>
                <w:szCs w:val="18"/>
                <w:lang w:eastAsia="ru-RU"/>
              </w:rPr>
              <w:t>-</w:t>
            </w:r>
          </w:p>
        </w:tc>
        <w:tc>
          <w:tcPr>
            <w:tcW w:w="718" w:type="pct"/>
            <w:shd w:val="clear" w:color="auto" w:fill="auto"/>
            <w:noWrap/>
            <w:vAlign w:val="center"/>
          </w:tcPr>
          <w:p w14:paraId="7F82585E" w14:textId="77777777" w:rsidR="00836098" w:rsidRPr="0072390C" w:rsidRDefault="00836098" w:rsidP="009A4C46">
            <w:pPr>
              <w:spacing w:after="0" w:line="240" w:lineRule="auto"/>
              <w:jc w:val="center"/>
              <w:rPr>
                <w:rFonts w:eastAsia="Times New Roman"/>
                <w:color w:val="auto"/>
                <w:sz w:val="18"/>
                <w:szCs w:val="18"/>
                <w:lang w:eastAsia="ru-RU"/>
              </w:rPr>
            </w:pPr>
            <w:r w:rsidRPr="0072390C">
              <w:rPr>
                <w:rFonts w:eastAsia="Times New Roman"/>
                <w:color w:val="auto"/>
                <w:sz w:val="18"/>
                <w:szCs w:val="18"/>
                <w:lang w:eastAsia="ru-RU"/>
              </w:rPr>
              <w:t>-</w:t>
            </w:r>
          </w:p>
        </w:tc>
        <w:tc>
          <w:tcPr>
            <w:tcW w:w="741" w:type="pct"/>
            <w:shd w:val="clear" w:color="auto" w:fill="auto"/>
            <w:noWrap/>
            <w:vAlign w:val="center"/>
          </w:tcPr>
          <w:p w14:paraId="46850AAE" w14:textId="646A3669" w:rsidR="00836098" w:rsidRPr="0072390C" w:rsidRDefault="00836098" w:rsidP="009A4C46">
            <w:pPr>
              <w:spacing w:after="0" w:line="240" w:lineRule="auto"/>
              <w:jc w:val="center"/>
              <w:rPr>
                <w:rFonts w:eastAsia="Times New Roman"/>
                <w:color w:val="auto"/>
                <w:sz w:val="18"/>
                <w:szCs w:val="18"/>
                <w:lang w:eastAsia="ru-RU"/>
              </w:rPr>
            </w:pPr>
            <w:r w:rsidRPr="0072390C">
              <w:rPr>
                <w:rFonts w:eastAsia="Times New Roman"/>
                <w:color w:val="auto"/>
                <w:sz w:val="18"/>
                <w:szCs w:val="18"/>
                <w:lang w:eastAsia="ru-RU"/>
              </w:rPr>
              <w:t>0</w:t>
            </w:r>
          </w:p>
        </w:tc>
        <w:tc>
          <w:tcPr>
            <w:tcW w:w="604" w:type="pct"/>
            <w:shd w:val="clear" w:color="auto" w:fill="auto"/>
            <w:vAlign w:val="center"/>
          </w:tcPr>
          <w:p w14:paraId="78F78ADA" w14:textId="79C2C54E" w:rsidR="00836098" w:rsidRPr="0072390C" w:rsidRDefault="008B3791" w:rsidP="009A4C46">
            <w:pPr>
              <w:spacing w:after="0" w:line="240" w:lineRule="auto"/>
              <w:jc w:val="center"/>
              <w:rPr>
                <w:rFonts w:eastAsia="Times New Roman"/>
                <w:color w:val="auto"/>
                <w:sz w:val="18"/>
                <w:szCs w:val="18"/>
                <w:lang w:eastAsia="ru-RU"/>
              </w:rPr>
            </w:pPr>
            <w:r w:rsidRPr="0072390C">
              <w:rPr>
                <w:rFonts w:eastAsia="Times New Roman"/>
                <w:color w:val="auto"/>
                <w:sz w:val="18"/>
                <w:szCs w:val="18"/>
                <w:lang w:eastAsia="ru-RU"/>
              </w:rPr>
              <w:t>0</w:t>
            </w:r>
          </w:p>
        </w:tc>
      </w:tr>
      <w:tr w:rsidR="0072390C" w:rsidRPr="0072390C" w14:paraId="600C9DF8" w14:textId="77777777" w:rsidTr="0072390C">
        <w:trPr>
          <w:trHeight w:val="300"/>
        </w:trPr>
        <w:tc>
          <w:tcPr>
            <w:tcW w:w="1724" w:type="pct"/>
            <w:shd w:val="clear" w:color="auto" w:fill="auto"/>
            <w:vAlign w:val="center"/>
            <w:hideMark/>
          </w:tcPr>
          <w:p w14:paraId="711C4D5A" w14:textId="77777777" w:rsidR="00836098" w:rsidRPr="0072390C" w:rsidRDefault="00836098" w:rsidP="009A4C46">
            <w:pPr>
              <w:spacing w:after="0" w:line="240" w:lineRule="auto"/>
              <w:rPr>
                <w:rFonts w:eastAsia="Times New Roman"/>
                <w:color w:val="auto"/>
                <w:sz w:val="18"/>
                <w:szCs w:val="18"/>
                <w:lang w:eastAsia="ru-RU"/>
              </w:rPr>
            </w:pPr>
            <w:r w:rsidRPr="0072390C">
              <w:rPr>
                <w:rFonts w:eastAsia="Times New Roman"/>
                <w:color w:val="auto"/>
                <w:sz w:val="18"/>
                <w:szCs w:val="18"/>
                <w:lang w:eastAsia="ru-RU"/>
              </w:rPr>
              <w:t>Оплата работ и услуг сторонних организаций</w:t>
            </w:r>
          </w:p>
        </w:tc>
        <w:tc>
          <w:tcPr>
            <w:tcW w:w="403" w:type="pct"/>
            <w:shd w:val="clear" w:color="auto" w:fill="auto"/>
            <w:noWrap/>
            <w:vAlign w:val="center"/>
            <w:hideMark/>
          </w:tcPr>
          <w:p w14:paraId="65D0633D" w14:textId="77777777" w:rsidR="00836098" w:rsidRPr="0072390C" w:rsidRDefault="00836098" w:rsidP="009A4C46">
            <w:pPr>
              <w:spacing w:after="0" w:line="240" w:lineRule="auto"/>
              <w:jc w:val="center"/>
              <w:rPr>
                <w:rFonts w:eastAsia="Times New Roman"/>
                <w:color w:val="auto"/>
                <w:sz w:val="18"/>
                <w:szCs w:val="18"/>
                <w:lang w:eastAsia="ru-RU"/>
              </w:rPr>
            </w:pPr>
            <w:r w:rsidRPr="0072390C">
              <w:rPr>
                <w:rFonts w:eastAsia="Times New Roman"/>
                <w:color w:val="auto"/>
                <w:sz w:val="18"/>
                <w:szCs w:val="18"/>
                <w:lang w:eastAsia="ru-RU"/>
              </w:rPr>
              <w:t>тыс. руб.</w:t>
            </w:r>
          </w:p>
        </w:tc>
        <w:tc>
          <w:tcPr>
            <w:tcW w:w="807" w:type="pct"/>
            <w:shd w:val="clear" w:color="auto" w:fill="auto"/>
            <w:noWrap/>
            <w:vAlign w:val="center"/>
          </w:tcPr>
          <w:p w14:paraId="067C0A95" w14:textId="77777777" w:rsidR="00836098" w:rsidRPr="0072390C" w:rsidRDefault="00836098" w:rsidP="009A4C46">
            <w:pPr>
              <w:spacing w:after="0" w:line="240" w:lineRule="auto"/>
              <w:jc w:val="center"/>
              <w:rPr>
                <w:rFonts w:eastAsia="Times New Roman"/>
                <w:color w:val="auto"/>
                <w:sz w:val="18"/>
                <w:szCs w:val="18"/>
                <w:lang w:eastAsia="ru-RU"/>
              </w:rPr>
            </w:pPr>
            <w:r w:rsidRPr="0072390C">
              <w:rPr>
                <w:rFonts w:eastAsia="Times New Roman"/>
                <w:color w:val="auto"/>
                <w:sz w:val="18"/>
                <w:szCs w:val="18"/>
                <w:lang w:eastAsia="ru-RU"/>
              </w:rPr>
              <w:t>31 269</w:t>
            </w:r>
          </w:p>
        </w:tc>
        <w:tc>
          <w:tcPr>
            <w:tcW w:w="718" w:type="pct"/>
            <w:shd w:val="clear" w:color="auto" w:fill="auto"/>
            <w:noWrap/>
            <w:vAlign w:val="center"/>
          </w:tcPr>
          <w:p w14:paraId="5FAEAD6D" w14:textId="3876A111" w:rsidR="00836098" w:rsidRPr="0072390C" w:rsidRDefault="00836098" w:rsidP="009A4C46">
            <w:pPr>
              <w:spacing w:after="0" w:line="240" w:lineRule="auto"/>
              <w:jc w:val="center"/>
              <w:rPr>
                <w:rFonts w:eastAsia="Times New Roman"/>
                <w:color w:val="auto"/>
                <w:sz w:val="18"/>
                <w:szCs w:val="18"/>
                <w:lang w:eastAsia="ru-RU"/>
              </w:rPr>
            </w:pPr>
            <w:r w:rsidRPr="0072390C">
              <w:rPr>
                <w:color w:val="auto"/>
                <w:sz w:val="18"/>
                <w:szCs w:val="18"/>
              </w:rPr>
              <w:t>31 449</w:t>
            </w:r>
          </w:p>
        </w:tc>
        <w:tc>
          <w:tcPr>
            <w:tcW w:w="741" w:type="pct"/>
            <w:shd w:val="clear" w:color="auto" w:fill="auto"/>
            <w:noWrap/>
            <w:vAlign w:val="center"/>
          </w:tcPr>
          <w:p w14:paraId="4B400A62" w14:textId="3F95E978" w:rsidR="00836098" w:rsidRPr="0072390C" w:rsidRDefault="00836098" w:rsidP="009A4C46">
            <w:pPr>
              <w:spacing w:after="0" w:line="240" w:lineRule="auto"/>
              <w:jc w:val="center"/>
              <w:rPr>
                <w:rFonts w:eastAsia="Times New Roman"/>
                <w:color w:val="auto"/>
                <w:sz w:val="18"/>
                <w:szCs w:val="18"/>
                <w:lang w:eastAsia="ru-RU"/>
              </w:rPr>
            </w:pPr>
            <w:r w:rsidRPr="0072390C">
              <w:rPr>
                <w:rFonts w:eastAsia="Times New Roman"/>
                <w:color w:val="auto"/>
                <w:sz w:val="18"/>
                <w:szCs w:val="18"/>
                <w:lang w:eastAsia="ru-RU"/>
              </w:rPr>
              <w:t>31 449</w:t>
            </w:r>
          </w:p>
        </w:tc>
        <w:tc>
          <w:tcPr>
            <w:tcW w:w="604" w:type="pct"/>
            <w:shd w:val="clear" w:color="auto" w:fill="auto"/>
            <w:vAlign w:val="center"/>
          </w:tcPr>
          <w:p w14:paraId="72DB3EFE" w14:textId="3FA3DC7F" w:rsidR="00836098" w:rsidRPr="0072390C" w:rsidRDefault="008B3791" w:rsidP="009A4C46">
            <w:pPr>
              <w:spacing w:after="0" w:line="240" w:lineRule="auto"/>
              <w:jc w:val="center"/>
              <w:rPr>
                <w:rFonts w:eastAsia="Times New Roman"/>
                <w:color w:val="auto"/>
                <w:sz w:val="18"/>
                <w:szCs w:val="18"/>
                <w:lang w:eastAsia="ru-RU"/>
              </w:rPr>
            </w:pPr>
            <w:r w:rsidRPr="0072390C">
              <w:rPr>
                <w:rFonts w:eastAsia="Times New Roman"/>
                <w:color w:val="auto"/>
                <w:sz w:val="18"/>
                <w:szCs w:val="18"/>
                <w:lang w:eastAsia="ru-RU"/>
              </w:rPr>
              <w:t>0</w:t>
            </w:r>
          </w:p>
        </w:tc>
      </w:tr>
      <w:tr w:rsidR="0072390C" w:rsidRPr="0072390C" w14:paraId="350EF02D" w14:textId="77777777" w:rsidTr="0072390C">
        <w:trPr>
          <w:trHeight w:val="300"/>
        </w:trPr>
        <w:tc>
          <w:tcPr>
            <w:tcW w:w="1724" w:type="pct"/>
            <w:shd w:val="clear" w:color="auto" w:fill="auto"/>
            <w:vAlign w:val="center"/>
            <w:hideMark/>
          </w:tcPr>
          <w:p w14:paraId="5F150B22" w14:textId="77777777" w:rsidR="00836098" w:rsidRPr="0072390C" w:rsidRDefault="00836098" w:rsidP="009A4C46">
            <w:pPr>
              <w:spacing w:after="0" w:line="240" w:lineRule="auto"/>
              <w:rPr>
                <w:rFonts w:eastAsia="Times New Roman"/>
                <w:color w:val="auto"/>
                <w:sz w:val="18"/>
                <w:szCs w:val="18"/>
                <w:lang w:eastAsia="ru-RU"/>
              </w:rPr>
            </w:pPr>
            <w:r w:rsidRPr="0072390C">
              <w:rPr>
                <w:rFonts w:eastAsia="Times New Roman"/>
                <w:color w:val="auto"/>
                <w:sz w:val="18"/>
                <w:szCs w:val="18"/>
                <w:lang w:eastAsia="ru-RU"/>
              </w:rPr>
              <w:t>Услуги связи</w:t>
            </w:r>
          </w:p>
        </w:tc>
        <w:tc>
          <w:tcPr>
            <w:tcW w:w="403" w:type="pct"/>
            <w:shd w:val="clear" w:color="auto" w:fill="auto"/>
            <w:noWrap/>
            <w:vAlign w:val="center"/>
            <w:hideMark/>
          </w:tcPr>
          <w:p w14:paraId="4559019A" w14:textId="77777777" w:rsidR="00836098" w:rsidRPr="0072390C" w:rsidRDefault="00836098" w:rsidP="009A4C46">
            <w:pPr>
              <w:spacing w:after="0" w:line="240" w:lineRule="auto"/>
              <w:jc w:val="center"/>
              <w:rPr>
                <w:rFonts w:eastAsia="Times New Roman"/>
                <w:color w:val="auto"/>
                <w:sz w:val="18"/>
                <w:szCs w:val="18"/>
                <w:lang w:eastAsia="ru-RU"/>
              </w:rPr>
            </w:pPr>
            <w:r w:rsidRPr="0072390C">
              <w:rPr>
                <w:rFonts w:eastAsia="Times New Roman"/>
                <w:color w:val="auto"/>
                <w:sz w:val="18"/>
                <w:szCs w:val="18"/>
                <w:lang w:eastAsia="ru-RU"/>
              </w:rPr>
              <w:t>тыс. руб.</w:t>
            </w:r>
          </w:p>
        </w:tc>
        <w:tc>
          <w:tcPr>
            <w:tcW w:w="807" w:type="pct"/>
            <w:shd w:val="clear" w:color="auto" w:fill="auto"/>
            <w:noWrap/>
            <w:vAlign w:val="center"/>
          </w:tcPr>
          <w:p w14:paraId="029F3A28" w14:textId="77777777" w:rsidR="00836098" w:rsidRPr="0072390C" w:rsidRDefault="00836098" w:rsidP="009A4C46">
            <w:pPr>
              <w:spacing w:after="0" w:line="240" w:lineRule="auto"/>
              <w:jc w:val="center"/>
              <w:rPr>
                <w:rFonts w:eastAsia="Times New Roman"/>
                <w:color w:val="auto"/>
                <w:sz w:val="18"/>
                <w:szCs w:val="18"/>
                <w:lang w:eastAsia="ru-RU"/>
              </w:rPr>
            </w:pPr>
            <w:r w:rsidRPr="0072390C">
              <w:rPr>
                <w:rFonts w:eastAsia="Times New Roman"/>
                <w:color w:val="auto"/>
                <w:sz w:val="18"/>
                <w:szCs w:val="18"/>
                <w:lang w:eastAsia="ru-RU"/>
              </w:rPr>
              <w:t>8 741</w:t>
            </w:r>
          </w:p>
        </w:tc>
        <w:tc>
          <w:tcPr>
            <w:tcW w:w="718" w:type="pct"/>
            <w:shd w:val="clear" w:color="auto" w:fill="auto"/>
            <w:noWrap/>
            <w:vAlign w:val="center"/>
          </w:tcPr>
          <w:p w14:paraId="3186AF67" w14:textId="33420547" w:rsidR="00836098" w:rsidRPr="0072390C" w:rsidRDefault="00836098" w:rsidP="009A4C46">
            <w:pPr>
              <w:spacing w:after="0" w:line="240" w:lineRule="auto"/>
              <w:jc w:val="center"/>
              <w:rPr>
                <w:rFonts w:eastAsia="Times New Roman"/>
                <w:color w:val="auto"/>
                <w:sz w:val="18"/>
                <w:szCs w:val="18"/>
                <w:lang w:eastAsia="ru-RU"/>
              </w:rPr>
            </w:pPr>
            <w:r w:rsidRPr="0072390C">
              <w:rPr>
                <w:i/>
                <w:iCs/>
                <w:color w:val="auto"/>
                <w:sz w:val="18"/>
                <w:szCs w:val="18"/>
              </w:rPr>
              <w:t>8 490</w:t>
            </w:r>
          </w:p>
        </w:tc>
        <w:tc>
          <w:tcPr>
            <w:tcW w:w="741" w:type="pct"/>
            <w:shd w:val="clear" w:color="auto" w:fill="auto"/>
            <w:noWrap/>
            <w:vAlign w:val="center"/>
          </w:tcPr>
          <w:p w14:paraId="1703D5F8" w14:textId="76468CEC" w:rsidR="00836098" w:rsidRPr="0072390C" w:rsidRDefault="00836098" w:rsidP="009A4C46">
            <w:pPr>
              <w:spacing w:after="0" w:line="240" w:lineRule="auto"/>
              <w:jc w:val="center"/>
              <w:rPr>
                <w:rFonts w:eastAsia="Times New Roman"/>
                <w:color w:val="auto"/>
                <w:sz w:val="18"/>
                <w:szCs w:val="18"/>
                <w:lang w:eastAsia="ru-RU"/>
              </w:rPr>
            </w:pPr>
            <w:r w:rsidRPr="0072390C">
              <w:rPr>
                <w:rFonts w:eastAsia="Times New Roman"/>
                <w:color w:val="auto"/>
                <w:sz w:val="18"/>
                <w:szCs w:val="18"/>
                <w:lang w:eastAsia="ru-RU"/>
              </w:rPr>
              <w:t>8 792</w:t>
            </w:r>
          </w:p>
        </w:tc>
        <w:tc>
          <w:tcPr>
            <w:tcW w:w="604" w:type="pct"/>
            <w:shd w:val="clear" w:color="auto" w:fill="auto"/>
            <w:vAlign w:val="center"/>
          </w:tcPr>
          <w:p w14:paraId="09344385" w14:textId="227C020E" w:rsidR="00836098" w:rsidRPr="0072390C" w:rsidRDefault="008B3791" w:rsidP="009A4C46">
            <w:pPr>
              <w:spacing w:after="0" w:line="240" w:lineRule="auto"/>
              <w:jc w:val="center"/>
              <w:rPr>
                <w:rFonts w:eastAsia="Times New Roman"/>
                <w:color w:val="auto"/>
                <w:sz w:val="18"/>
                <w:szCs w:val="18"/>
                <w:lang w:eastAsia="ru-RU"/>
              </w:rPr>
            </w:pPr>
            <w:r w:rsidRPr="0072390C">
              <w:rPr>
                <w:rFonts w:eastAsia="Times New Roman"/>
                <w:color w:val="auto"/>
                <w:sz w:val="18"/>
                <w:szCs w:val="18"/>
                <w:lang w:eastAsia="ru-RU"/>
              </w:rPr>
              <w:t>302</w:t>
            </w:r>
          </w:p>
        </w:tc>
      </w:tr>
      <w:tr w:rsidR="0072390C" w:rsidRPr="0072390C" w14:paraId="03668CE8" w14:textId="77777777" w:rsidTr="0072390C">
        <w:trPr>
          <w:trHeight w:val="645"/>
        </w:trPr>
        <w:tc>
          <w:tcPr>
            <w:tcW w:w="1724" w:type="pct"/>
            <w:shd w:val="clear" w:color="auto" w:fill="auto"/>
            <w:vAlign w:val="center"/>
            <w:hideMark/>
          </w:tcPr>
          <w:p w14:paraId="1920C44B" w14:textId="77777777" w:rsidR="00836098" w:rsidRPr="0072390C" w:rsidRDefault="00836098" w:rsidP="009A4C46">
            <w:pPr>
              <w:spacing w:after="0" w:line="240" w:lineRule="auto"/>
              <w:rPr>
                <w:rFonts w:eastAsia="Times New Roman"/>
                <w:color w:val="auto"/>
                <w:sz w:val="18"/>
                <w:szCs w:val="18"/>
                <w:lang w:eastAsia="ru-RU"/>
              </w:rPr>
            </w:pPr>
            <w:r w:rsidRPr="0072390C">
              <w:rPr>
                <w:rFonts w:eastAsia="Times New Roman"/>
                <w:color w:val="auto"/>
                <w:sz w:val="18"/>
                <w:szCs w:val="18"/>
                <w:lang w:eastAsia="ru-RU"/>
              </w:rPr>
              <w:t>Расходы на услуги вневедомственной охраны и коммунального хозяйства</w:t>
            </w:r>
          </w:p>
        </w:tc>
        <w:tc>
          <w:tcPr>
            <w:tcW w:w="403" w:type="pct"/>
            <w:shd w:val="clear" w:color="auto" w:fill="auto"/>
            <w:noWrap/>
            <w:vAlign w:val="center"/>
            <w:hideMark/>
          </w:tcPr>
          <w:p w14:paraId="191731D6" w14:textId="77777777" w:rsidR="00836098" w:rsidRPr="0072390C" w:rsidRDefault="00836098" w:rsidP="009A4C46">
            <w:pPr>
              <w:spacing w:after="0" w:line="240" w:lineRule="auto"/>
              <w:jc w:val="center"/>
              <w:rPr>
                <w:rFonts w:eastAsia="Times New Roman"/>
                <w:color w:val="auto"/>
                <w:sz w:val="18"/>
                <w:szCs w:val="18"/>
                <w:lang w:eastAsia="ru-RU"/>
              </w:rPr>
            </w:pPr>
            <w:r w:rsidRPr="0072390C">
              <w:rPr>
                <w:rFonts w:eastAsia="Times New Roman"/>
                <w:color w:val="auto"/>
                <w:sz w:val="18"/>
                <w:szCs w:val="18"/>
                <w:lang w:eastAsia="ru-RU"/>
              </w:rPr>
              <w:t>тыс. руб.</w:t>
            </w:r>
          </w:p>
        </w:tc>
        <w:tc>
          <w:tcPr>
            <w:tcW w:w="807" w:type="pct"/>
            <w:shd w:val="clear" w:color="auto" w:fill="auto"/>
            <w:noWrap/>
            <w:vAlign w:val="center"/>
          </w:tcPr>
          <w:p w14:paraId="29DFA840" w14:textId="77777777" w:rsidR="00836098" w:rsidRPr="0072390C" w:rsidRDefault="00836098" w:rsidP="009A4C46">
            <w:pPr>
              <w:spacing w:after="0" w:line="240" w:lineRule="auto"/>
              <w:jc w:val="center"/>
              <w:rPr>
                <w:rFonts w:eastAsia="Times New Roman"/>
                <w:color w:val="auto"/>
                <w:sz w:val="18"/>
                <w:szCs w:val="18"/>
                <w:lang w:eastAsia="ru-RU"/>
              </w:rPr>
            </w:pPr>
            <w:r w:rsidRPr="0072390C">
              <w:rPr>
                <w:rFonts w:eastAsia="Times New Roman"/>
                <w:color w:val="auto"/>
                <w:sz w:val="18"/>
                <w:szCs w:val="18"/>
                <w:lang w:eastAsia="ru-RU"/>
              </w:rPr>
              <w:t>2 781</w:t>
            </w:r>
          </w:p>
        </w:tc>
        <w:tc>
          <w:tcPr>
            <w:tcW w:w="718" w:type="pct"/>
            <w:shd w:val="clear" w:color="auto" w:fill="auto"/>
            <w:noWrap/>
            <w:vAlign w:val="center"/>
          </w:tcPr>
          <w:p w14:paraId="044659FF" w14:textId="72C45A6B" w:rsidR="00836098" w:rsidRPr="0072390C" w:rsidRDefault="00836098" w:rsidP="009A4C46">
            <w:pPr>
              <w:spacing w:after="0" w:line="240" w:lineRule="auto"/>
              <w:jc w:val="center"/>
              <w:rPr>
                <w:rFonts w:eastAsia="Times New Roman"/>
                <w:color w:val="auto"/>
                <w:sz w:val="18"/>
                <w:szCs w:val="18"/>
                <w:lang w:eastAsia="ru-RU"/>
              </w:rPr>
            </w:pPr>
            <w:r w:rsidRPr="0072390C">
              <w:rPr>
                <w:i/>
                <w:iCs/>
                <w:color w:val="auto"/>
                <w:sz w:val="18"/>
                <w:szCs w:val="18"/>
              </w:rPr>
              <w:t>2 701</w:t>
            </w:r>
          </w:p>
        </w:tc>
        <w:tc>
          <w:tcPr>
            <w:tcW w:w="741" w:type="pct"/>
            <w:shd w:val="clear" w:color="auto" w:fill="auto"/>
            <w:noWrap/>
            <w:vAlign w:val="center"/>
          </w:tcPr>
          <w:p w14:paraId="19F74EB3" w14:textId="0C6DEAAF" w:rsidR="00836098" w:rsidRPr="0072390C" w:rsidRDefault="00836098" w:rsidP="009A4C46">
            <w:pPr>
              <w:spacing w:after="0" w:line="240" w:lineRule="auto"/>
              <w:jc w:val="center"/>
              <w:rPr>
                <w:rFonts w:eastAsia="Times New Roman"/>
                <w:color w:val="auto"/>
                <w:sz w:val="18"/>
                <w:szCs w:val="18"/>
                <w:lang w:eastAsia="ru-RU"/>
              </w:rPr>
            </w:pPr>
            <w:r w:rsidRPr="0072390C">
              <w:rPr>
                <w:rFonts w:eastAsia="Times New Roman"/>
                <w:color w:val="auto"/>
                <w:sz w:val="18"/>
                <w:szCs w:val="18"/>
                <w:lang w:eastAsia="ru-RU"/>
              </w:rPr>
              <w:t>2 797</w:t>
            </w:r>
          </w:p>
        </w:tc>
        <w:tc>
          <w:tcPr>
            <w:tcW w:w="604" w:type="pct"/>
            <w:shd w:val="clear" w:color="auto" w:fill="auto"/>
            <w:vAlign w:val="center"/>
          </w:tcPr>
          <w:p w14:paraId="3F92F24F" w14:textId="45C5D609" w:rsidR="00836098" w:rsidRPr="0072390C" w:rsidRDefault="008B3791" w:rsidP="009A4C46">
            <w:pPr>
              <w:spacing w:after="0" w:line="240" w:lineRule="auto"/>
              <w:jc w:val="center"/>
              <w:rPr>
                <w:rFonts w:eastAsia="Times New Roman"/>
                <w:color w:val="auto"/>
                <w:sz w:val="18"/>
                <w:szCs w:val="18"/>
                <w:lang w:eastAsia="ru-RU"/>
              </w:rPr>
            </w:pPr>
            <w:r w:rsidRPr="0072390C">
              <w:rPr>
                <w:rFonts w:eastAsia="Times New Roman"/>
                <w:color w:val="auto"/>
                <w:sz w:val="18"/>
                <w:szCs w:val="18"/>
                <w:lang w:eastAsia="ru-RU"/>
              </w:rPr>
              <w:t>96</w:t>
            </w:r>
          </w:p>
        </w:tc>
      </w:tr>
      <w:tr w:rsidR="0072390C" w:rsidRPr="0072390C" w14:paraId="4CE680CC" w14:textId="77777777" w:rsidTr="0072390C">
        <w:trPr>
          <w:trHeight w:val="300"/>
        </w:trPr>
        <w:tc>
          <w:tcPr>
            <w:tcW w:w="1724" w:type="pct"/>
            <w:shd w:val="clear" w:color="auto" w:fill="auto"/>
            <w:vAlign w:val="center"/>
            <w:hideMark/>
          </w:tcPr>
          <w:p w14:paraId="10384958" w14:textId="77777777" w:rsidR="00836098" w:rsidRPr="0072390C" w:rsidRDefault="00836098" w:rsidP="009A4C46">
            <w:pPr>
              <w:spacing w:after="0" w:line="240" w:lineRule="auto"/>
              <w:rPr>
                <w:rFonts w:eastAsia="Times New Roman"/>
                <w:color w:val="auto"/>
                <w:sz w:val="18"/>
                <w:szCs w:val="18"/>
                <w:lang w:eastAsia="ru-RU"/>
              </w:rPr>
            </w:pPr>
            <w:r w:rsidRPr="0072390C">
              <w:rPr>
                <w:rFonts w:eastAsia="Times New Roman"/>
                <w:color w:val="auto"/>
                <w:sz w:val="18"/>
                <w:szCs w:val="18"/>
                <w:lang w:eastAsia="ru-RU"/>
              </w:rPr>
              <w:t>Расходы на юридические и информационные услуги</w:t>
            </w:r>
          </w:p>
        </w:tc>
        <w:tc>
          <w:tcPr>
            <w:tcW w:w="403" w:type="pct"/>
            <w:shd w:val="clear" w:color="auto" w:fill="auto"/>
            <w:noWrap/>
            <w:vAlign w:val="center"/>
            <w:hideMark/>
          </w:tcPr>
          <w:p w14:paraId="5A627D20" w14:textId="77777777" w:rsidR="00836098" w:rsidRPr="0072390C" w:rsidRDefault="00836098" w:rsidP="009A4C46">
            <w:pPr>
              <w:spacing w:after="0" w:line="240" w:lineRule="auto"/>
              <w:jc w:val="center"/>
              <w:rPr>
                <w:rFonts w:eastAsia="Times New Roman"/>
                <w:color w:val="auto"/>
                <w:sz w:val="18"/>
                <w:szCs w:val="18"/>
                <w:lang w:eastAsia="ru-RU"/>
              </w:rPr>
            </w:pPr>
            <w:r w:rsidRPr="0072390C">
              <w:rPr>
                <w:rFonts w:eastAsia="Times New Roman"/>
                <w:color w:val="auto"/>
                <w:sz w:val="18"/>
                <w:szCs w:val="18"/>
                <w:lang w:eastAsia="ru-RU"/>
              </w:rPr>
              <w:t>тыс. руб.</w:t>
            </w:r>
          </w:p>
        </w:tc>
        <w:tc>
          <w:tcPr>
            <w:tcW w:w="807" w:type="pct"/>
            <w:shd w:val="clear" w:color="auto" w:fill="auto"/>
            <w:noWrap/>
            <w:vAlign w:val="center"/>
          </w:tcPr>
          <w:p w14:paraId="0F670B65" w14:textId="77777777" w:rsidR="00836098" w:rsidRPr="0072390C" w:rsidRDefault="00836098" w:rsidP="009A4C46">
            <w:pPr>
              <w:spacing w:after="0" w:line="240" w:lineRule="auto"/>
              <w:jc w:val="center"/>
              <w:rPr>
                <w:rFonts w:eastAsia="Times New Roman"/>
                <w:color w:val="auto"/>
                <w:sz w:val="18"/>
                <w:szCs w:val="18"/>
                <w:lang w:eastAsia="ru-RU"/>
              </w:rPr>
            </w:pPr>
            <w:r w:rsidRPr="0072390C">
              <w:rPr>
                <w:rFonts w:eastAsia="Times New Roman"/>
                <w:color w:val="auto"/>
                <w:sz w:val="18"/>
                <w:szCs w:val="18"/>
                <w:lang w:eastAsia="ru-RU"/>
              </w:rPr>
              <w:t>3 298</w:t>
            </w:r>
          </w:p>
        </w:tc>
        <w:tc>
          <w:tcPr>
            <w:tcW w:w="718" w:type="pct"/>
            <w:shd w:val="clear" w:color="auto" w:fill="auto"/>
            <w:noWrap/>
            <w:vAlign w:val="center"/>
          </w:tcPr>
          <w:p w14:paraId="7F2CE233" w14:textId="48FA19FD" w:rsidR="00836098" w:rsidRPr="0072390C" w:rsidRDefault="00836098" w:rsidP="009A4C46">
            <w:pPr>
              <w:spacing w:after="0" w:line="240" w:lineRule="auto"/>
              <w:jc w:val="center"/>
              <w:rPr>
                <w:rFonts w:eastAsia="Times New Roman"/>
                <w:color w:val="auto"/>
                <w:sz w:val="18"/>
                <w:szCs w:val="18"/>
                <w:lang w:eastAsia="ru-RU"/>
              </w:rPr>
            </w:pPr>
            <w:r w:rsidRPr="0072390C">
              <w:rPr>
                <w:i/>
                <w:iCs/>
                <w:color w:val="auto"/>
                <w:sz w:val="18"/>
                <w:szCs w:val="18"/>
              </w:rPr>
              <w:t>3 015</w:t>
            </w:r>
          </w:p>
        </w:tc>
        <w:tc>
          <w:tcPr>
            <w:tcW w:w="741" w:type="pct"/>
            <w:shd w:val="clear" w:color="auto" w:fill="auto"/>
            <w:noWrap/>
            <w:vAlign w:val="center"/>
          </w:tcPr>
          <w:p w14:paraId="77EECDCA" w14:textId="3F60E106" w:rsidR="00836098" w:rsidRPr="0072390C" w:rsidRDefault="00836098" w:rsidP="009A4C46">
            <w:pPr>
              <w:spacing w:after="0" w:line="240" w:lineRule="auto"/>
              <w:jc w:val="center"/>
              <w:rPr>
                <w:rFonts w:eastAsia="Times New Roman"/>
                <w:color w:val="auto"/>
                <w:sz w:val="18"/>
                <w:szCs w:val="18"/>
                <w:lang w:eastAsia="ru-RU"/>
              </w:rPr>
            </w:pPr>
            <w:r w:rsidRPr="0072390C">
              <w:rPr>
                <w:rFonts w:eastAsia="Times New Roman"/>
                <w:color w:val="auto"/>
                <w:sz w:val="18"/>
                <w:szCs w:val="18"/>
                <w:lang w:eastAsia="ru-RU"/>
              </w:rPr>
              <w:t>3 317</w:t>
            </w:r>
          </w:p>
        </w:tc>
        <w:tc>
          <w:tcPr>
            <w:tcW w:w="604" w:type="pct"/>
            <w:shd w:val="clear" w:color="auto" w:fill="auto"/>
            <w:vAlign w:val="center"/>
          </w:tcPr>
          <w:p w14:paraId="1F59A39D" w14:textId="1805373C" w:rsidR="00836098" w:rsidRPr="0072390C" w:rsidRDefault="008B3791" w:rsidP="009A4C46">
            <w:pPr>
              <w:spacing w:after="0" w:line="240" w:lineRule="auto"/>
              <w:jc w:val="center"/>
              <w:rPr>
                <w:rFonts w:eastAsia="Times New Roman"/>
                <w:color w:val="auto"/>
                <w:sz w:val="18"/>
                <w:szCs w:val="18"/>
                <w:lang w:eastAsia="ru-RU"/>
              </w:rPr>
            </w:pPr>
            <w:r w:rsidRPr="0072390C">
              <w:rPr>
                <w:rFonts w:eastAsia="Times New Roman"/>
                <w:color w:val="auto"/>
                <w:sz w:val="18"/>
                <w:szCs w:val="18"/>
                <w:lang w:eastAsia="ru-RU"/>
              </w:rPr>
              <w:t>302</w:t>
            </w:r>
          </w:p>
        </w:tc>
      </w:tr>
      <w:tr w:rsidR="0072390C" w:rsidRPr="0072390C" w14:paraId="52DCB677" w14:textId="77777777" w:rsidTr="0072390C">
        <w:trPr>
          <w:trHeight w:val="300"/>
        </w:trPr>
        <w:tc>
          <w:tcPr>
            <w:tcW w:w="1724" w:type="pct"/>
            <w:shd w:val="clear" w:color="auto" w:fill="auto"/>
            <w:vAlign w:val="center"/>
            <w:hideMark/>
          </w:tcPr>
          <w:p w14:paraId="41E7E5E1" w14:textId="77777777" w:rsidR="00836098" w:rsidRPr="0072390C" w:rsidRDefault="00836098" w:rsidP="009A4C46">
            <w:pPr>
              <w:spacing w:after="0" w:line="240" w:lineRule="auto"/>
              <w:rPr>
                <w:rFonts w:eastAsia="Times New Roman"/>
                <w:color w:val="auto"/>
                <w:sz w:val="18"/>
                <w:szCs w:val="18"/>
                <w:lang w:eastAsia="ru-RU"/>
              </w:rPr>
            </w:pPr>
            <w:r w:rsidRPr="0072390C">
              <w:rPr>
                <w:rFonts w:eastAsia="Times New Roman"/>
                <w:color w:val="auto"/>
                <w:sz w:val="18"/>
                <w:szCs w:val="18"/>
                <w:lang w:eastAsia="ru-RU"/>
              </w:rPr>
              <w:t>Расходы на аудиторские и консультационные услуги</w:t>
            </w:r>
          </w:p>
        </w:tc>
        <w:tc>
          <w:tcPr>
            <w:tcW w:w="403" w:type="pct"/>
            <w:shd w:val="clear" w:color="auto" w:fill="auto"/>
            <w:noWrap/>
            <w:vAlign w:val="center"/>
            <w:hideMark/>
          </w:tcPr>
          <w:p w14:paraId="786AC56C" w14:textId="77777777" w:rsidR="00836098" w:rsidRPr="0072390C" w:rsidRDefault="00836098" w:rsidP="009A4C46">
            <w:pPr>
              <w:spacing w:after="0" w:line="240" w:lineRule="auto"/>
              <w:jc w:val="center"/>
              <w:rPr>
                <w:rFonts w:eastAsia="Times New Roman"/>
                <w:color w:val="auto"/>
                <w:sz w:val="18"/>
                <w:szCs w:val="18"/>
                <w:lang w:eastAsia="ru-RU"/>
              </w:rPr>
            </w:pPr>
            <w:r w:rsidRPr="0072390C">
              <w:rPr>
                <w:rFonts w:eastAsia="Times New Roman"/>
                <w:color w:val="auto"/>
                <w:sz w:val="18"/>
                <w:szCs w:val="18"/>
                <w:lang w:eastAsia="ru-RU"/>
              </w:rPr>
              <w:t>тыс. руб.</w:t>
            </w:r>
          </w:p>
        </w:tc>
        <w:tc>
          <w:tcPr>
            <w:tcW w:w="807" w:type="pct"/>
            <w:shd w:val="clear" w:color="auto" w:fill="auto"/>
            <w:noWrap/>
            <w:vAlign w:val="center"/>
          </w:tcPr>
          <w:p w14:paraId="3324B486" w14:textId="77777777" w:rsidR="00836098" w:rsidRPr="0072390C" w:rsidRDefault="00836098" w:rsidP="009A4C46">
            <w:pPr>
              <w:spacing w:after="0" w:line="240" w:lineRule="auto"/>
              <w:jc w:val="center"/>
              <w:rPr>
                <w:rFonts w:eastAsia="Times New Roman"/>
                <w:color w:val="auto"/>
                <w:sz w:val="18"/>
                <w:szCs w:val="18"/>
                <w:lang w:eastAsia="ru-RU"/>
              </w:rPr>
            </w:pPr>
            <w:r w:rsidRPr="0072390C">
              <w:rPr>
                <w:rFonts w:eastAsia="Times New Roman"/>
                <w:color w:val="auto"/>
                <w:sz w:val="18"/>
                <w:szCs w:val="18"/>
                <w:lang w:eastAsia="ru-RU"/>
              </w:rPr>
              <w:t>400</w:t>
            </w:r>
          </w:p>
        </w:tc>
        <w:tc>
          <w:tcPr>
            <w:tcW w:w="718" w:type="pct"/>
            <w:shd w:val="clear" w:color="auto" w:fill="auto"/>
            <w:noWrap/>
            <w:vAlign w:val="center"/>
          </w:tcPr>
          <w:p w14:paraId="222E4EED" w14:textId="6E3CB678" w:rsidR="00836098" w:rsidRPr="0072390C" w:rsidRDefault="00836098" w:rsidP="009A4C46">
            <w:pPr>
              <w:spacing w:after="0" w:line="240" w:lineRule="auto"/>
              <w:jc w:val="center"/>
              <w:rPr>
                <w:rFonts w:eastAsia="Times New Roman"/>
                <w:color w:val="auto"/>
                <w:sz w:val="18"/>
                <w:szCs w:val="18"/>
                <w:lang w:eastAsia="ru-RU"/>
              </w:rPr>
            </w:pPr>
            <w:r w:rsidRPr="0072390C">
              <w:rPr>
                <w:i/>
                <w:iCs/>
                <w:color w:val="auto"/>
                <w:sz w:val="18"/>
                <w:szCs w:val="18"/>
              </w:rPr>
              <w:t>1 102</w:t>
            </w:r>
          </w:p>
        </w:tc>
        <w:tc>
          <w:tcPr>
            <w:tcW w:w="741" w:type="pct"/>
            <w:shd w:val="clear" w:color="auto" w:fill="auto"/>
            <w:noWrap/>
            <w:vAlign w:val="center"/>
          </w:tcPr>
          <w:p w14:paraId="65969032" w14:textId="1E5021CE" w:rsidR="00836098" w:rsidRPr="0072390C" w:rsidRDefault="00836098" w:rsidP="009A4C46">
            <w:pPr>
              <w:spacing w:after="0" w:line="240" w:lineRule="auto"/>
              <w:jc w:val="center"/>
              <w:rPr>
                <w:rFonts w:eastAsia="Times New Roman"/>
                <w:color w:val="auto"/>
                <w:sz w:val="18"/>
                <w:szCs w:val="18"/>
                <w:lang w:eastAsia="ru-RU"/>
              </w:rPr>
            </w:pPr>
            <w:r w:rsidRPr="0072390C">
              <w:rPr>
                <w:rFonts w:eastAsia="Times New Roman"/>
                <w:color w:val="auto"/>
                <w:sz w:val="18"/>
                <w:szCs w:val="18"/>
                <w:lang w:eastAsia="ru-RU"/>
              </w:rPr>
              <w:t>402</w:t>
            </w:r>
          </w:p>
        </w:tc>
        <w:tc>
          <w:tcPr>
            <w:tcW w:w="604" w:type="pct"/>
            <w:shd w:val="clear" w:color="auto" w:fill="auto"/>
            <w:vAlign w:val="center"/>
          </w:tcPr>
          <w:p w14:paraId="5C26AD8C" w14:textId="044A7CCE" w:rsidR="00836098" w:rsidRPr="0072390C" w:rsidRDefault="008B3791" w:rsidP="009A4C46">
            <w:pPr>
              <w:spacing w:after="0" w:line="240" w:lineRule="auto"/>
              <w:jc w:val="center"/>
              <w:rPr>
                <w:rFonts w:eastAsia="Times New Roman"/>
                <w:color w:val="auto"/>
                <w:sz w:val="18"/>
                <w:szCs w:val="18"/>
                <w:lang w:eastAsia="ru-RU"/>
              </w:rPr>
            </w:pPr>
            <w:r w:rsidRPr="0072390C">
              <w:rPr>
                <w:rFonts w:eastAsia="Times New Roman"/>
                <w:color w:val="auto"/>
                <w:sz w:val="18"/>
                <w:szCs w:val="18"/>
                <w:lang w:eastAsia="ru-RU"/>
              </w:rPr>
              <w:t>-700</w:t>
            </w:r>
          </w:p>
        </w:tc>
      </w:tr>
      <w:tr w:rsidR="0072390C" w:rsidRPr="0072390C" w14:paraId="7C20147B" w14:textId="77777777" w:rsidTr="0072390C">
        <w:trPr>
          <w:trHeight w:val="300"/>
        </w:trPr>
        <w:tc>
          <w:tcPr>
            <w:tcW w:w="1724" w:type="pct"/>
            <w:shd w:val="clear" w:color="auto" w:fill="auto"/>
            <w:vAlign w:val="center"/>
            <w:hideMark/>
          </w:tcPr>
          <w:p w14:paraId="7850CE91" w14:textId="77777777" w:rsidR="00836098" w:rsidRPr="0072390C" w:rsidRDefault="00836098" w:rsidP="009A4C46">
            <w:pPr>
              <w:spacing w:after="0" w:line="240" w:lineRule="auto"/>
              <w:rPr>
                <w:rFonts w:eastAsia="Times New Roman"/>
                <w:color w:val="auto"/>
                <w:sz w:val="18"/>
                <w:szCs w:val="18"/>
                <w:lang w:eastAsia="ru-RU"/>
              </w:rPr>
            </w:pPr>
            <w:r w:rsidRPr="0072390C">
              <w:rPr>
                <w:rFonts w:eastAsia="Times New Roman"/>
                <w:color w:val="auto"/>
                <w:sz w:val="18"/>
                <w:szCs w:val="18"/>
                <w:lang w:eastAsia="ru-RU"/>
              </w:rPr>
              <w:t>Транспортные услуги</w:t>
            </w:r>
          </w:p>
        </w:tc>
        <w:tc>
          <w:tcPr>
            <w:tcW w:w="403" w:type="pct"/>
            <w:shd w:val="clear" w:color="auto" w:fill="auto"/>
            <w:noWrap/>
            <w:vAlign w:val="center"/>
            <w:hideMark/>
          </w:tcPr>
          <w:p w14:paraId="4F117AA0" w14:textId="77777777" w:rsidR="00836098" w:rsidRPr="0072390C" w:rsidRDefault="00836098" w:rsidP="009A4C46">
            <w:pPr>
              <w:spacing w:after="0" w:line="240" w:lineRule="auto"/>
              <w:jc w:val="center"/>
              <w:rPr>
                <w:rFonts w:eastAsia="Times New Roman"/>
                <w:color w:val="auto"/>
                <w:sz w:val="18"/>
                <w:szCs w:val="18"/>
                <w:lang w:eastAsia="ru-RU"/>
              </w:rPr>
            </w:pPr>
            <w:r w:rsidRPr="0072390C">
              <w:rPr>
                <w:rFonts w:eastAsia="Times New Roman"/>
                <w:color w:val="auto"/>
                <w:sz w:val="18"/>
                <w:szCs w:val="18"/>
                <w:lang w:eastAsia="ru-RU"/>
              </w:rPr>
              <w:t>тыс. руб.</w:t>
            </w:r>
          </w:p>
        </w:tc>
        <w:tc>
          <w:tcPr>
            <w:tcW w:w="807" w:type="pct"/>
            <w:shd w:val="clear" w:color="auto" w:fill="auto"/>
            <w:noWrap/>
            <w:vAlign w:val="center"/>
          </w:tcPr>
          <w:p w14:paraId="6C9A1FF8" w14:textId="77777777" w:rsidR="00836098" w:rsidRPr="0072390C" w:rsidRDefault="00836098" w:rsidP="009A4C46">
            <w:pPr>
              <w:spacing w:after="0" w:line="240" w:lineRule="auto"/>
              <w:jc w:val="center"/>
              <w:rPr>
                <w:rFonts w:eastAsia="Times New Roman"/>
                <w:color w:val="auto"/>
                <w:sz w:val="18"/>
                <w:szCs w:val="18"/>
                <w:lang w:eastAsia="ru-RU"/>
              </w:rPr>
            </w:pPr>
            <w:r w:rsidRPr="0072390C">
              <w:rPr>
                <w:rFonts w:eastAsia="Times New Roman"/>
                <w:color w:val="auto"/>
                <w:sz w:val="18"/>
                <w:szCs w:val="18"/>
                <w:lang w:eastAsia="ru-RU"/>
              </w:rPr>
              <w:t>142</w:t>
            </w:r>
          </w:p>
        </w:tc>
        <w:tc>
          <w:tcPr>
            <w:tcW w:w="718" w:type="pct"/>
            <w:shd w:val="clear" w:color="auto" w:fill="auto"/>
            <w:noWrap/>
            <w:vAlign w:val="center"/>
          </w:tcPr>
          <w:p w14:paraId="6FC950BF" w14:textId="6A214145" w:rsidR="00836098" w:rsidRPr="0072390C" w:rsidRDefault="00836098" w:rsidP="009A4C46">
            <w:pPr>
              <w:spacing w:after="0" w:line="240" w:lineRule="auto"/>
              <w:jc w:val="center"/>
              <w:rPr>
                <w:rFonts w:eastAsia="Times New Roman"/>
                <w:color w:val="auto"/>
                <w:sz w:val="18"/>
                <w:szCs w:val="18"/>
                <w:lang w:eastAsia="ru-RU"/>
              </w:rPr>
            </w:pPr>
            <w:r w:rsidRPr="0072390C">
              <w:rPr>
                <w:i/>
                <w:iCs/>
                <w:color w:val="auto"/>
                <w:sz w:val="18"/>
                <w:szCs w:val="18"/>
              </w:rPr>
              <w:t>143</w:t>
            </w:r>
          </w:p>
        </w:tc>
        <w:tc>
          <w:tcPr>
            <w:tcW w:w="741" w:type="pct"/>
            <w:shd w:val="clear" w:color="auto" w:fill="auto"/>
            <w:noWrap/>
            <w:vAlign w:val="center"/>
          </w:tcPr>
          <w:p w14:paraId="192B9FB5" w14:textId="09946E10" w:rsidR="00836098" w:rsidRPr="0072390C" w:rsidRDefault="00836098" w:rsidP="009A4C46">
            <w:pPr>
              <w:spacing w:after="0" w:line="240" w:lineRule="auto"/>
              <w:jc w:val="center"/>
              <w:rPr>
                <w:rFonts w:eastAsia="Times New Roman"/>
                <w:color w:val="auto"/>
                <w:sz w:val="18"/>
                <w:szCs w:val="18"/>
                <w:lang w:eastAsia="ru-RU"/>
              </w:rPr>
            </w:pPr>
            <w:r w:rsidRPr="0072390C">
              <w:rPr>
                <w:rFonts w:eastAsia="Times New Roman"/>
                <w:color w:val="auto"/>
                <w:sz w:val="18"/>
                <w:szCs w:val="18"/>
                <w:lang w:eastAsia="ru-RU"/>
              </w:rPr>
              <w:t>143</w:t>
            </w:r>
          </w:p>
        </w:tc>
        <w:tc>
          <w:tcPr>
            <w:tcW w:w="604" w:type="pct"/>
            <w:shd w:val="clear" w:color="auto" w:fill="auto"/>
            <w:vAlign w:val="center"/>
          </w:tcPr>
          <w:p w14:paraId="399AA105" w14:textId="526F2B6C" w:rsidR="00836098" w:rsidRPr="0072390C" w:rsidRDefault="008B3791" w:rsidP="009A4C46">
            <w:pPr>
              <w:spacing w:after="0" w:line="240" w:lineRule="auto"/>
              <w:jc w:val="center"/>
              <w:rPr>
                <w:rFonts w:eastAsia="Times New Roman"/>
                <w:color w:val="auto"/>
                <w:sz w:val="18"/>
                <w:szCs w:val="18"/>
                <w:lang w:eastAsia="ru-RU"/>
              </w:rPr>
            </w:pPr>
            <w:r w:rsidRPr="0072390C">
              <w:rPr>
                <w:rFonts w:eastAsia="Times New Roman"/>
                <w:color w:val="auto"/>
                <w:sz w:val="18"/>
                <w:szCs w:val="18"/>
                <w:lang w:eastAsia="ru-RU"/>
              </w:rPr>
              <w:t>0</w:t>
            </w:r>
          </w:p>
        </w:tc>
      </w:tr>
      <w:tr w:rsidR="0072390C" w:rsidRPr="0072390C" w14:paraId="7B8DF0A5" w14:textId="77777777" w:rsidTr="0072390C">
        <w:trPr>
          <w:trHeight w:val="300"/>
        </w:trPr>
        <w:tc>
          <w:tcPr>
            <w:tcW w:w="1724" w:type="pct"/>
            <w:shd w:val="clear" w:color="auto" w:fill="auto"/>
            <w:vAlign w:val="center"/>
            <w:hideMark/>
          </w:tcPr>
          <w:p w14:paraId="75BEA073" w14:textId="77777777" w:rsidR="00836098" w:rsidRPr="0072390C" w:rsidRDefault="00836098" w:rsidP="009A4C46">
            <w:pPr>
              <w:spacing w:after="0" w:line="240" w:lineRule="auto"/>
              <w:rPr>
                <w:rFonts w:eastAsia="Times New Roman"/>
                <w:color w:val="auto"/>
                <w:sz w:val="18"/>
                <w:szCs w:val="18"/>
                <w:lang w:eastAsia="ru-RU"/>
              </w:rPr>
            </w:pPr>
            <w:r w:rsidRPr="0072390C">
              <w:rPr>
                <w:rFonts w:eastAsia="Times New Roman"/>
                <w:color w:val="auto"/>
                <w:sz w:val="18"/>
                <w:szCs w:val="18"/>
                <w:lang w:eastAsia="ru-RU"/>
              </w:rPr>
              <w:t>Прочие услуги сторонних организаций</w:t>
            </w:r>
          </w:p>
        </w:tc>
        <w:tc>
          <w:tcPr>
            <w:tcW w:w="403" w:type="pct"/>
            <w:shd w:val="clear" w:color="auto" w:fill="auto"/>
            <w:noWrap/>
            <w:vAlign w:val="center"/>
            <w:hideMark/>
          </w:tcPr>
          <w:p w14:paraId="2D1E6007" w14:textId="77777777" w:rsidR="00836098" w:rsidRPr="0072390C" w:rsidRDefault="00836098" w:rsidP="009A4C46">
            <w:pPr>
              <w:spacing w:after="0" w:line="240" w:lineRule="auto"/>
              <w:jc w:val="center"/>
              <w:rPr>
                <w:rFonts w:eastAsia="Times New Roman"/>
                <w:color w:val="auto"/>
                <w:sz w:val="18"/>
                <w:szCs w:val="18"/>
                <w:lang w:eastAsia="ru-RU"/>
              </w:rPr>
            </w:pPr>
            <w:r w:rsidRPr="0072390C">
              <w:rPr>
                <w:rFonts w:eastAsia="Times New Roman"/>
                <w:color w:val="auto"/>
                <w:sz w:val="18"/>
                <w:szCs w:val="18"/>
                <w:lang w:eastAsia="ru-RU"/>
              </w:rPr>
              <w:t>тыс. руб.</w:t>
            </w:r>
          </w:p>
        </w:tc>
        <w:tc>
          <w:tcPr>
            <w:tcW w:w="807" w:type="pct"/>
            <w:shd w:val="clear" w:color="auto" w:fill="auto"/>
            <w:noWrap/>
            <w:vAlign w:val="center"/>
          </w:tcPr>
          <w:p w14:paraId="0156B6F3" w14:textId="77777777" w:rsidR="00836098" w:rsidRPr="0072390C" w:rsidRDefault="00836098" w:rsidP="009A4C46">
            <w:pPr>
              <w:spacing w:after="0" w:line="240" w:lineRule="auto"/>
              <w:jc w:val="center"/>
              <w:rPr>
                <w:rFonts w:eastAsia="Times New Roman"/>
                <w:color w:val="auto"/>
                <w:sz w:val="18"/>
                <w:szCs w:val="18"/>
                <w:lang w:eastAsia="ru-RU"/>
              </w:rPr>
            </w:pPr>
            <w:r w:rsidRPr="0072390C">
              <w:rPr>
                <w:rFonts w:eastAsia="Times New Roman"/>
                <w:color w:val="auto"/>
                <w:sz w:val="18"/>
                <w:szCs w:val="18"/>
                <w:lang w:eastAsia="ru-RU"/>
              </w:rPr>
              <w:t>15 908</w:t>
            </w:r>
          </w:p>
        </w:tc>
        <w:tc>
          <w:tcPr>
            <w:tcW w:w="718" w:type="pct"/>
            <w:shd w:val="clear" w:color="auto" w:fill="auto"/>
            <w:noWrap/>
            <w:vAlign w:val="center"/>
          </w:tcPr>
          <w:p w14:paraId="76B549E9" w14:textId="348A1DE6" w:rsidR="00836098" w:rsidRPr="0072390C" w:rsidRDefault="00836098" w:rsidP="009A4C46">
            <w:pPr>
              <w:spacing w:after="0" w:line="240" w:lineRule="auto"/>
              <w:jc w:val="center"/>
              <w:rPr>
                <w:rFonts w:eastAsia="Times New Roman"/>
                <w:color w:val="auto"/>
                <w:sz w:val="18"/>
                <w:szCs w:val="18"/>
                <w:lang w:eastAsia="ru-RU"/>
              </w:rPr>
            </w:pPr>
            <w:r w:rsidRPr="0072390C">
              <w:rPr>
                <w:i/>
                <w:iCs/>
                <w:color w:val="auto"/>
                <w:sz w:val="18"/>
                <w:szCs w:val="18"/>
              </w:rPr>
              <w:t>15 999</w:t>
            </w:r>
          </w:p>
        </w:tc>
        <w:tc>
          <w:tcPr>
            <w:tcW w:w="741" w:type="pct"/>
            <w:shd w:val="clear" w:color="auto" w:fill="auto"/>
            <w:noWrap/>
            <w:vAlign w:val="center"/>
          </w:tcPr>
          <w:p w14:paraId="23E17459" w14:textId="5BC7FE80" w:rsidR="00836098" w:rsidRPr="0072390C" w:rsidRDefault="00836098" w:rsidP="009A4C46">
            <w:pPr>
              <w:spacing w:after="0" w:line="240" w:lineRule="auto"/>
              <w:jc w:val="center"/>
              <w:rPr>
                <w:rFonts w:eastAsia="Times New Roman"/>
                <w:color w:val="auto"/>
                <w:sz w:val="18"/>
                <w:szCs w:val="18"/>
                <w:lang w:eastAsia="ru-RU"/>
              </w:rPr>
            </w:pPr>
            <w:r w:rsidRPr="0072390C">
              <w:rPr>
                <w:rFonts w:eastAsia="Times New Roman"/>
                <w:color w:val="auto"/>
                <w:sz w:val="18"/>
                <w:szCs w:val="18"/>
                <w:lang w:eastAsia="ru-RU"/>
              </w:rPr>
              <w:t>15 999</w:t>
            </w:r>
          </w:p>
        </w:tc>
        <w:tc>
          <w:tcPr>
            <w:tcW w:w="604" w:type="pct"/>
            <w:shd w:val="clear" w:color="auto" w:fill="auto"/>
            <w:vAlign w:val="center"/>
          </w:tcPr>
          <w:p w14:paraId="1B392D5C" w14:textId="7F4E1654" w:rsidR="00836098" w:rsidRPr="0072390C" w:rsidRDefault="008B3791" w:rsidP="009A4C46">
            <w:pPr>
              <w:spacing w:after="0" w:line="240" w:lineRule="auto"/>
              <w:jc w:val="center"/>
              <w:rPr>
                <w:rFonts w:eastAsia="Times New Roman"/>
                <w:color w:val="auto"/>
                <w:sz w:val="18"/>
                <w:szCs w:val="18"/>
                <w:lang w:eastAsia="ru-RU"/>
              </w:rPr>
            </w:pPr>
            <w:r w:rsidRPr="0072390C">
              <w:rPr>
                <w:rFonts w:eastAsia="Times New Roman"/>
                <w:color w:val="auto"/>
                <w:sz w:val="18"/>
                <w:szCs w:val="18"/>
                <w:lang w:eastAsia="ru-RU"/>
              </w:rPr>
              <w:t>0</w:t>
            </w:r>
          </w:p>
        </w:tc>
      </w:tr>
      <w:tr w:rsidR="0072390C" w:rsidRPr="0072390C" w14:paraId="06757BE1" w14:textId="77777777" w:rsidTr="0072390C">
        <w:trPr>
          <w:trHeight w:val="300"/>
        </w:trPr>
        <w:tc>
          <w:tcPr>
            <w:tcW w:w="1724" w:type="pct"/>
            <w:shd w:val="clear" w:color="auto" w:fill="auto"/>
            <w:vAlign w:val="center"/>
            <w:hideMark/>
          </w:tcPr>
          <w:p w14:paraId="0F55DC0F" w14:textId="77777777" w:rsidR="00836098" w:rsidRPr="0072390C" w:rsidRDefault="00836098" w:rsidP="009A4C46">
            <w:pPr>
              <w:spacing w:after="0" w:line="240" w:lineRule="auto"/>
              <w:rPr>
                <w:rFonts w:eastAsia="Times New Roman"/>
                <w:color w:val="auto"/>
                <w:sz w:val="18"/>
                <w:szCs w:val="18"/>
                <w:lang w:eastAsia="ru-RU"/>
              </w:rPr>
            </w:pPr>
            <w:r w:rsidRPr="0072390C">
              <w:rPr>
                <w:rFonts w:eastAsia="Times New Roman"/>
                <w:color w:val="auto"/>
                <w:sz w:val="18"/>
                <w:szCs w:val="18"/>
                <w:lang w:eastAsia="ru-RU"/>
              </w:rPr>
              <w:t>Расходы на командировки и прочие подотчетные суммы</w:t>
            </w:r>
          </w:p>
        </w:tc>
        <w:tc>
          <w:tcPr>
            <w:tcW w:w="403" w:type="pct"/>
            <w:shd w:val="clear" w:color="auto" w:fill="auto"/>
            <w:noWrap/>
            <w:vAlign w:val="center"/>
            <w:hideMark/>
          </w:tcPr>
          <w:p w14:paraId="6BE7F780" w14:textId="77777777" w:rsidR="00836098" w:rsidRPr="0072390C" w:rsidRDefault="00836098" w:rsidP="009A4C46">
            <w:pPr>
              <w:spacing w:after="0" w:line="240" w:lineRule="auto"/>
              <w:jc w:val="center"/>
              <w:rPr>
                <w:rFonts w:eastAsia="Times New Roman"/>
                <w:color w:val="auto"/>
                <w:sz w:val="18"/>
                <w:szCs w:val="18"/>
                <w:lang w:eastAsia="ru-RU"/>
              </w:rPr>
            </w:pPr>
            <w:r w:rsidRPr="0072390C">
              <w:rPr>
                <w:rFonts w:eastAsia="Times New Roman"/>
                <w:color w:val="auto"/>
                <w:sz w:val="18"/>
                <w:szCs w:val="18"/>
                <w:lang w:eastAsia="ru-RU"/>
              </w:rPr>
              <w:t>тыс. руб.</w:t>
            </w:r>
          </w:p>
        </w:tc>
        <w:tc>
          <w:tcPr>
            <w:tcW w:w="807" w:type="pct"/>
            <w:shd w:val="clear" w:color="auto" w:fill="auto"/>
            <w:noWrap/>
            <w:vAlign w:val="center"/>
          </w:tcPr>
          <w:p w14:paraId="3D0ED15A" w14:textId="77777777" w:rsidR="00836098" w:rsidRPr="0072390C" w:rsidRDefault="00836098" w:rsidP="009A4C46">
            <w:pPr>
              <w:spacing w:after="0" w:line="240" w:lineRule="auto"/>
              <w:jc w:val="center"/>
              <w:rPr>
                <w:rFonts w:eastAsia="Times New Roman"/>
                <w:color w:val="auto"/>
                <w:sz w:val="18"/>
                <w:szCs w:val="18"/>
                <w:lang w:eastAsia="ru-RU"/>
              </w:rPr>
            </w:pPr>
            <w:r w:rsidRPr="0072390C">
              <w:rPr>
                <w:rFonts w:eastAsia="Times New Roman"/>
                <w:color w:val="auto"/>
                <w:sz w:val="18"/>
                <w:szCs w:val="18"/>
                <w:lang w:eastAsia="ru-RU"/>
              </w:rPr>
              <w:t>6 318</w:t>
            </w:r>
          </w:p>
        </w:tc>
        <w:tc>
          <w:tcPr>
            <w:tcW w:w="718" w:type="pct"/>
            <w:shd w:val="clear" w:color="auto" w:fill="auto"/>
            <w:noWrap/>
            <w:vAlign w:val="center"/>
          </w:tcPr>
          <w:p w14:paraId="7C823A3D" w14:textId="392B2629" w:rsidR="00836098" w:rsidRPr="0072390C" w:rsidRDefault="00836098" w:rsidP="009A4C46">
            <w:pPr>
              <w:spacing w:after="0" w:line="240" w:lineRule="auto"/>
              <w:jc w:val="center"/>
              <w:rPr>
                <w:rFonts w:eastAsia="Times New Roman"/>
                <w:color w:val="auto"/>
                <w:sz w:val="18"/>
                <w:szCs w:val="18"/>
                <w:lang w:eastAsia="ru-RU"/>
              </w:rPr>
            </w:pPr>
            <w:r w:rsidRPr="0072390C">
              <w:rPr>
                <w:color w:val="auto"/>
                <w:sz w:val="18"/>
                <w:szCs w:val="18"/>
              </w:rPr>
              <w:t>7 405</w:t>
            </w:r>
          </w:p>
        </w:tc>
        <w:tc>
          <w:tcPr>
            <w:tcW w:w="741" w:type="pct"/>
            <w:shd w:val="clear" w:color="auto" w:fill="auto"/>
            <w:noWrap/>
            <w:vAlign w:val="center"/>
          </w:tcPr>
          <w:p w14:paraId="2B01407B" w14:textId="7385729D" w:rsidR="00836098" w:rsidRPr="0072390C" w:rsidRDefault="00836098" w:rsidP="009A4C46">
            <w:pPr>
              <w:spacing w:after="0" w:line="240" w:lineRule="auto"/>
              <w:jc w:val="center"/>
              <w:rPr>
                <w:rFonts w:eastAsia="Times New Roman"/>
                <w:color w:val="auto"/>
                <w:sz w:val="18"/>
                <w:szCs w:val="18"/>
                <w:lang w:eastAsia="ru-RU"/>
              </w:rPr>
            </w:pPr>
            <w:r w:rsidRPr="0072390C">
              <w:rPr>
                <w:rFonts w:eastAsia="Times New Roman"/>
                <w:color w:val="auto"/>
                <w:sz w:val="18"/>
                <w:szCs w:val="18"/>
                <w:lang w:eastAsia="ru-RU"/>
              </w:rPr>
              <w:t>6 354</w:t>
            </w:r>
          </w:p>
        </w:tc>
        <w:tc>
          <w:tcPr>
            <w:tcW w:w="604" w:type="pct"/>
            <w:shd w:val="clear" w:color="auto" w:fill="auto"/>
            <w:vAlign w:val="center"/>
          </w:tcPr>
          <w:p w14:paraId="6A136E25" w14:textId="410FEDBB" w:rsidR="00836098" w:rsidRPr="0072390C" w:rsidRDefault="008B3791" w:rsidP="009A4C46">
            <w:pPr>
              <w:spacing w:after="0" w:line="240" w:lineRule="auto"/>
              <w:jc w:val="center"/>
              <w:rPr>
                <w:rFonts w:eastAsia="Times New Roman"/>
                <w:color w:val="auto"/>
                <w:sz w:val="18"/>
                <w:szCs w:val="18"/>
                <w:lang w:eastAsia="ru-RU"/>
              </w:rPr>
            </w:pPr>
            <w:r w:rsidRPr="0072390C">
              <w:rPr>
                <w:rFonts w:eastAsia="Times New Roman"/>
                <w:color w:val="auto"/>
                <w:sz w:val="18"/>
                <w:szCs w:val="18"/>
                <w:lang w:eastAsia="ru-RU"/>
              </w:rPr>
              <w:t>-1 051</w:t>
            </w:r>
          </w:p>
        </w:tc>
      </w:tr>
      <w:tr w:rsidR="0072390C" w:rsidRPr="0072390C" w14:paraId="53AB0810" w14:textId="77777777" w:rsidTr="0072390C">
        <w:trPr>
          <w:trHeight w:val="300"/>
        </w:trPr>
        <w:tc>
          <w:tcPr>
            <w:tcW w:w="1724" w:type="pct"/>
            <w:shd w:val="clear" w:color="auto" w:fill="auto"/>
            <w:vAlign w:val="center"/>
            <w:hideMark/>
          </w:tcPr>
          <w:p w14:paraId="641E1292" w14:textId="77777777" w:rsidR="00836098" w:rsidRPr="0072390C" w:rsidRDefault="00836098" w:rsidP="009A4C46">
            <w:pPr>
              <w:spacing w:after="0" w:line="240" w:lineRule="auto"/>
              <w:rPr>
                <w:rFonts w:eastAsia="Times New Roman"/>
                <w:color w:val="auto"/>
                <w:sz w:val="18"/>
                <w:szCs w:val="18"/>
                <w:lang w:eastAsia="ru-RU"/>
              </w:rPr>
            </w:pPr>
            <w:r w:rsidRPr="0072390C">
              <w:rPr>
                <w:rFonts w:eastAsia="Times New Roman"/>
                <w:color w:val="auto"/>
                <w:sz w:val="18"/>
                <w:szCs w:val="18"/>
                <w:lang w:eastAsia="ru-RU"/>
              </w:rPr>
              <w:t>Расходы на подготовку кадров</w:t>
            </w:r>
          </w:p>
        </w:tc>
        <w:tc>
          <w:tcPr>
            <w:tcW w:w="403" w:type="pct"/>
            <w:shd w:val="clear" w:color="auto" w:fill="auto"/>
            <w:noWrap/>
            <w:vAlign w:val="center"/>
            <w:hideMark/>
          </w:tcPr>
          <w:p w14:paraId="70BB4ED7" w14:textId="77777777" w:rsidR="00836098" w:rsidRPr="0072390C" w:rsidRDefault="00836098" w:rsidP="009A4C46">
            <w:pPr>
              <w:spacing w:after="0" w:line="240" w:lineRule="auto"/>
              <w:jc w:val="center"/>
              <w:rPr>
                <w:rFonts w:eastAsia="Times New Roman"/>
                <w:color w:val="auto"/>
                <w:sz w:val="18"/>
                <w:szCs w:val="18"/>
                <w:lang w:eastAsia="ru-RU"/>
              </w:rPr>
            </w:pPr>
            <w:r w:rsidRPr="0072390C">
              <w:rPr>
                <w:rFonts w:eastAsia="Times New Roman"/>
                <w:color w:val="auto"/>
                <w:sz w:val="18"/>
                <w:szCs w:val="18"/>
                <w:lang w:eastAsia="ru-RU"/>
              </w:rPr>
              <w:t>тыс. руб.</w:t>
            </w:r>
          </w:p>
        </w:tc>
        <w:tc>
          <w:tcPr>
            <w:tcW w:w="807" w:type="pct"/>
            <w:shd w:val="clear" w:color="auto" w:fill="auto"/>
            <w:noWrap/>
            <w:vAlign w:val="center"/>
          </w:tcPr>
          <w:p w14:paraId="5CCC8C35" w14:textId="77777777" w:rsidR="00836098" w:rsidRPr="0072390C" w:rsidRDefault="00836098" w:rsidP="009A4C46">
            <w:pPr>
              <w:spacing w:after="0" w:line="240" w:lineRule="auto"/>
              <w:jc w:val="center"/>
              <w:rPr>
                <w:rFonts w:eastAsia="Times New Roman"/>
                <w:color w:val="auto"/>
                <w:sz w:val="18"/>
                <w:szCs w:val="18"/>
                <w:lang w:eastAsia="ru-RU"/>
              </w:rPr>
            </w:pPr>
            <w:r w:rsidRPr="0072390C">
              <w:rPr>
                <w:rFonts w:eastAsia="Times New Roman"/>
                <w:color w:val="auto"/>
                <w:sz w:val="18"/>
                <w:szCs w:val="18"/>
                <w:lang w:eastAsia="ru-RU"/>
              </w:rPr>
              <w:t>3 285</w:t>
            </w:r>
          </w:p>
        </w:tc>
        <w:tc>
          <w:tcPr>
            <w:tcW w:w="718" w:type="pct"/>
            <w:shd w:val="clear" w:color="auto" w:fill="auto"/>
            <w:noWrap/>
            <w:vAlign w:val="center"/>
          </w:tcPr>
          <w:p w14:paraId="2E2BC212" w14:textId="3E06D5C3" w:rsidR="00836098" w:rsidRPr="0072390C" w:rsidRDefault="00836098" w:rsidP="009A4C46">
            <w:pPr>
              <w:spacing w:after="0" w:line="240" w:lineRule="auto"/>
              <w:jc w:val="center"/>
              <w:rPr>
                <w:rFonts w:eastAsia="Times New Roman"/>
                <w:color w:val="auto"/>
                <w:sz w:val="18"/>
                <w:szCs w:val="18"/>
                <w:lang w:eastAsia="ru-RU"/>
              </w:rPr>
            </w:pPr>
            <w:r w:rsidRPr="0072390C">
              <w:rPr>
                <w:color w:val="auto"/>
                <w:sz w:val="18"/>
                <w:szCs w:val="18"/>
              </w:rPr>
              <w:t>5 004</w:t>
            </w:r>
          </w:p>
        </w:tc>
        <w:tc>
          <w:tcPr>
            <w:tcW w:w="741" w:type="pct"/>
            <w:shd w:val="clear" w:color="auto" w:fill="auto"/>
            <w:noWrap/>
            <w:vAlign w:val="center"/>
          </w:tcPr>
          <w:p w14:paraId="5FC0E6D5" w14:textId="2B527787" w:rsidR="00836098" w:rsidRPr="0072390C" w:rsidRDefault="00836098" w:rsidP="009A4C46">
            <w:pPr>
              <w:spacing w:after="0" w:line="240" w:lineRule="auto"/>
              <w:jc w:val="center"/>
              <w:rPr>
                <w:rFonts w:eastAsia="Times New Roman"/>
                <w:color w:val="auto"/>
                <w:sz w:val="18"/>
                <w:szCs w:val="18"/>
                <w:lang w:eastAsia="ru-RU"/>
              </w:rPr>
            </w:pPr>
            <w:r w:rsidRPr="0072390C">
              <w:rPr>
                <w:rFonts w:eastAsia="Times New Roman"/>
                <w:color w:val="auto"/>
                <w:sz w:val="18"/>
                <w:szCs w:val="18"/>
                <w:lang w:eastAsia="ru-RU"/>
              </w:rPr>
              <w:t>3 304</w:t>
            </w:r>
          </w:p>
        </w:tc>
        <w:tc>
          <w:tcPr>
            <w:tcW w:w="604" w:type="pct"/>
            <w:shd w:val="clear" w:color="auto" w:fill="auto"/>
            <w:vAlign w:val="center"/>
          </w:tcPr>
          <w:p w14:paraId="06645F5C" w14:textId="01452568" w:rsidR="00836098" w:rsidRPr="0072390C" w:rsidRDefault="008B3791" w:rsidP="009A4C46">
            <w:pPr>
              <w:spacing w:after="0" w:line="240" w:lineRule="auto"/>
              <w:jc w:val="center"/>
              <w:rPr>
                <w:rFonts w:eastAsia="Times New Roman"/>
                <w:color w:val="auto"/>
                <w:sz w:val="18"/>
                <w:szCs w:val="18"/>
                <w:lang w:eastAsia="ru-RU"/>
              </w:rPr>
            </w:pPr>
            <w:r w:rsidRPr="0072390C">
              <w:rPr>
                <w:rFonts w:eastAsia="Times New Roman"/>
                <w:color w:val="auto"/>
                <w:sz w:val="18"/>
                <w:szCs w:val="18"/>
                <w:lang w:eastAsia="ru-RU"/>
              </w:rPr>
              <w:t>-1 700</w:t>
            </w:r>
          </w:p>
        </w:tc>
      </w:tr>
      <w:tr w:rsidR="0072390C" w:rsidRPr="0072390C" w14:paraId="3A9BC5E4" w14:textId="77777777" w:rsidTr="0072390C">
        <w:trPr>
          <w:trHeight w:val="615"/>
        </w:trPr>
        <w:tc>
          <w:tcPr>
            <w:tcW w:w="1724" w:type="pct"/>
            <w:shd w:val="clear" w:color="auto" w:fill="auto"/>
            <w:vAlign w:val="center"/>
            <w:hideMark/>
          </w:tcPr>
          <w:p w14:paraId="63613E21" w14:textId="77777777" w:rsidR="00836098" w:rsidRPr="0072390C" w:rsidRDefault="00836098" w:rsidP="009A4C46">
            <w:pPr>
              <w:spacing w:after="0" w:line="240" w:lineRule="auto"/>
              <w:rPr>
                <w:rFonts w:eastAsia="Times New Roman"/>
                <w:color w:val="auto"/>
                <w:sz w:val="18"/>
                <w:szCs w:val="18"/>
                <w:lang w:eastAsia="ru-RU"/>
              </w:rPr>
            </w:pPr>
            <w:r w:rsidRPr="0072390C">
              <w:rPr>
                <w:rFonts w:eastAsia="Times New Roman"/>
                <w:color w:val="auto"/>
                <w:sz w:val="18"/>
                <w:szCs w:val="18"/>
                <w:lang w:eastAsia="ru-RU"/>
              </w:rPr>
              <w:t>Расходы на обеспечение нормальных условий труда и мер по технике безопасности</w:t>
            </w:r>
          </w:p>
        </w:tc>
        <w:tc>
          <w:tcPr>
            <w:tcW w:w="403" w:type="pct"/>
            <w:shd w:val="clear" w:color="auto" w:fill="auto"/>
            <w:noWrap/>
            <w:vAlign w:val="center"/>
            <w:hideMark/>
          </w:tcPr>
          <w:p w14:paraId="24995C8B" w14:textId="77777777" w:rsidR="00836098" w:rsidRPr="0072390C" w:rsidRDefault="00836098" w:rsidP="009A4C46">
            <w:pPr>
              <w:spacing w:after="0" w:line="240" w:lineRule="auto"/>
              <w:jc w:val="center"/>
              <w:rPr>
                <w:rFonts w:eastAsia="Times New Roman"/>
                <w:color w:val="auto"/>
                <w:sz w:val="18"/>
                <w:szCs w:val="18"/>
                <w:lang w:eastAsia="ru-RU"/>
              </w:rPr>
            </w:pPr>
            <w:r w:rsidRPr="0072390C">
              <w:rPr>
                <w:rFonts w:eastAsia="Times New Roman"/>
                <w:color w:val="auto"/>
                <w:sz w:val="18"/>
                <w:szCs w:val="18"/>
                <w:lang w:eastAsia="ru-RU"/>
              </w:rPr>
              <w:t>тыс. руб.</w:t>
            </w:r>
          </w:p>
        </w:tc>
        <w:tc>
          <w:tcPr>
            <w:tcW w:w="807" w:type="pct"/>
            <w:shd w:val="clear" w:color="auto" w:fill="auto"/>
            <w:noWrap/>
            <w:vAlign w:val="center"/>
          </w:tcPr>
          <w:p w14:paraId="2A801132" w14:textId="77777777" w:rsidR="00836098" w:rsidRPr="0072390C" w:rsidRDefault="00836098" w:rsidP="009A4C46">
            <w:pPr>
              <w:spacing w:after="0" w:line="240" w:lineRule="auto"/>
              <w:jc w:val="center"/>
              <w:rPr>
                <w:rFonts w:eastAsia="Times New Roman"/>
                <w:color w:val="auto"/>
                <w:sz w:val="18"/>
                <w:szCs w:val="18"/>
                <w:lang w:eastAsia="ru-RU"/>
              </w:rPr>
            </w:pPr>
            <w:r w:rsidRPr="0072390C">
              <w:rPr>
                <w:rFonts w:eastAsia="Times New Roman"/>
                <w:color w:val="auto"/>
                <w:sz w:val="18"/>
                <w:szCs w:val="18"/>
                <w:lang w:eastAsia="ru-RU"/>
              </w:rPr>
              <w:t>2 139</w:t>
            </w:r>
          </w:p>
        </w:tc>
        <w:tc>
          <w:tcPr>
            <w:tcW w:w="718" w:type="pct"/>
            <w:shd w:val="clear" w:color="auto" w:fill="auto"/>
            <w:noWrap/>
            <w:vAlign w:val="center"/>
          </w:tcPr>
          <w:p w14:paraId="0E2076B2" w14:textId="5AC9E3F5" w:rsidR="00836098" w:rsidRPr="0072390C" w:rsidRDefault="00836098" w:rsidP="009A4C46">
            <w:pPr>
              <w:spacing w:after="0" w:line="240" w:lineRule="auto"/>
              <w:jc w:val="center"/>
              <w:rPr>
                <w:rFonts w:eastAsia="Times New Roman"/>
                <w:color w:val="auto"/>
                <w:sz w:val="18"/>
                <w:szCs w:val="18"/>
                <w:lang w:eastAsia="ru-RU"/>
              </w:rPr>
            </w:pPr>
            <w:r w:rsidRPr="0072390C">
              <w:rPr>
                <w:color w:val="auto"/>
                <w:sz w:val="18"/>
                <w:szCs w:val="18"/>
              </w:rPr>
              <w:t>2 152</w:t>
            </w:r>
          </w:p>
        </w:tc>
        <w:tc>
          <w:tcPr>
            <w:tcW w:w="741" w:type="pct"/>
            <w:shd w:val="clear" w:color="auto" w:fill="auto"/>
            <w:noWrap/>
            <w:vAlign w:val="center"/>
          </w:tcPr>
          <w:p w14:paraId="0E7641BD" w14:textId="0C249587" w:rsidR="00836098" w:rsidRPr="0072390C" w:rsidRDefault="00836098" w:rsidP="009A4C46">
            <w:pPr>
              <w:spacing w:after="0" w:line="240" w:lineRule="auto"/>
              <w:jc w:val="center"/>
              <w:rPr>
                <w:rFonts w:eastAsia="Times New Roman"/>
                <w:color w:val="auto"/>
                <w:sz w:val="18"/>
                <w:szCs w:val="18"/>
                <w:lang w:eastAsia="ru-RU"/>
              </w:rPr>
            </w:pPr>
            <w:r w:rsidRPr="0072390C">
              <w:rPr>
                <w:rFonts w:eastAsia="Times New Roman"/>
                <w:color w:val="auto"/>
                <w:sz w:val="18"/>
                <w:szCs w:val="18"/>
                <w:lang w:eastAsia="ru-RU"/>
              </w:rPr>
              <w:t>2 152</w:t>
            </w:r>
          </w:p>
        </w:tc>
        <w:tc>
          <w:tcPr>
            <w:tcW w:w="604" w:type="pct"/>
            <w:shd w:val="clear" w:color="auto" w:fill="auto"/>
            <w:vAlign w:val="center"/>
          </w:tcPr>
          <w:p w14:paraId="69C4B68A" w14:textId="49C300C8" w:rsidR="00836098" w:rsidRPr="0072390C" w:rsidRDefault="008B3791" w:rsidP="009A4C46">
            <w:pPr>
              <w:spacing w:after="0" w:line="240" w:lineRule="auto"/>
              <w:jc w:val="center"/>
              <w:rPr>
                <w:rFonts w:eastAsia="Times New Roman"/>
                <w:color w:val="auto"/>
                <w:sz w:val="18"/>
                <w:szCs w:val="18"/>
                <w:lang w:eastAsia="ru-RU"/>
              </w:rPr>
            </w:pPr>
            <w:r w:rsidRPr="0072390C">
              <w:rPr>
                <w:rFonts w:eastAsia="Times New Roman"/>
                <w:color w:val="auto"/>
                <w:sz w:val="18"/>
                <w:szCs w:val="18"/>
                <w:lang w:eastAsia="ru-RU"/>
              </w:rPr>
              <w:t>0</w:t>
            </w:r>
          </w:p>
        </w:tc>
      </w:tr>
      <w:tr w:rsidR="0072390C" w:rsidRPr="0072390C" w14:paraId="7D1B038D" w14:textId="77777777" w:rsidTr="0072390C">
        <w:trPr>
          <w:trHeight w:val="300"/>
        </w:trPr>
        <w:tc>
          <w:tcPr>
            <w:tcW w:w="1724" w:type="pct"/>
            <w:shd w:val="clear" w:color="auto" w:fill="auto"/>
            <w:vAlign w:val="center"/>
            <w:hideMark/>
          </w:tcPr>
          <w:p w14:paraId="05039C0A" w14:textId="77777777" w:rsidR="00836098" w:rsidRPr="0072390C" w:rsidRDefault="00836098" w:rsidP="009A4C46">
            <w:pPr>
              <w:spacing w:after="0" w:line="240" w:lineRule="auto"/>
              <w:rPr>
                <w:rFonts w:eastAsia="Times New Roman"/>
                <w:color w:val="auto"/>
                <w:sz w:val="18"/>
                <w:szCs w:val="18"/>
                <w:lang w:eastAsia="ru-RU"/>
              </w:rPr>
            </w:pPr>
            <w:r w:rsidRPr="0072390C">
              <w:rPr>
                <w:rFonts w:eastAsia="Times New Roman"/>
                <w:color w:val="auto"/>
                <w:sz w:val="18"/>
                <w:szCs w:val="18"/>
                <w:lang w:eastAsia="ru-RU"/>
              </w:rPr>
              <w:t>Расходы на страхование</w:t>
            </w:r>
          </w:p>
        </w:tc>
        <w:tc>
          <w:tcPr>
            <w:tcW w:w="403" w:type="pct"/>
            <w:shd w:val="clear" w:color="auto" w:fill="auto"/>
            <w:noWrap/>
            <w:vAlign w:val="center"/>
            <w:hideMark/>
          </w:tcPr>
          <w:p w14:paraId="7685E7CC" w14:textId="77777777" w:rsidR="00836098" w:rsidRPr="0072390C" w:rsidRDefault="00836098" w:rsidP="009A4C46">
            <w:pPr>
              <w:spacing w:after="0" w:line="240" w:lineRule="auto"/>
              <w:jc w:val="center"/>
              <w:rPr>
                <w:rFonts w:eastAsia="Times New Roman"/>
                <w:color w:val="auto"/>
                <w:sz w:val="18"/>
                <w:szCs w:val="18"/>
                <w:lang w:eastAsia="ru-RU"/>
              </w:rPr>
            </w:pPr>
            <w:r w:rsidRPr="0072390C">
              <w:rPr>
                <w:rFonts w:eastAsia="Times New Roman"/>
                <w:color w:val="auto"/>
                <w:sz w:val="18"/>
                <w:szCs w:val="18"/>
                <w:lang w:eastAsia="ru-RU"/>
              </w:rPr>
              <w:t>тыс. руб.</w:t>
            </w:r>
          </w:p>
        </w:tc>
        <w:tc>
          <w:tcPr>
            <w:tcW w:w="807" w:type="pct"/>
            <w:shd w:val="clear" w:color="auto" w:fill="auto"/>
            <w:noWrap/>
            <w:vAlign w:val="center"/>
          </w:tcPr>
          <w:p w14:paraId="0A1A77D8" w14:textId="77777777" w:rsidR="00836098" w:rsidRPr="0072390C" w:rsidRDefault="00836098" w:rsidP="009A4C46">
            <w:pPr>
              <w:spacing w:after="0" w:line="240" w:lineRule="auto"/>
              <w:jc w:val="center"/>
              <w:rPr>
                <w:rFonts w:eastAsia="Times New Roman"/>
                <w:color w:val="auto"/>
                <w:sz w:val="18"/>
                <w:szCs w:val="18"/>
                <w:lang w:eastAsia="ru-RU"/>
              </w:rPr>
            </w:pPr>
            <w:r w:rsidRPr="0072390C">
              <w:rPr>
                <w:rFonts w:eastAsia="Times New Roman"/>
                <w:color w:val="auto"/>
                <w:sz w:val="18"/>
                <w:szCs w:val="18"/>
                <w:lang w:eastAsia="ru-RU"/>
              </w:rPr>
              <w:t>1 298</w:t>
            </w:r>
          </w:p>
        </w:tc>
        <w:tc>
          <w:tcPr>
            <w:tcW w:w="718" w:type="pct"/>
            <w:shd w:val="clear" w:color="auto" w:fill="auto"/>
            <w:noWrap/>
            <w:vAlign w:val="center"/>
          </w:tcPr>
          <w:p w14:paraId="34746153" w14:textId="27BDA21B" w:rsidR="00836098" w:rsidRPr="0072390C" w:rsidRDefault="00836098" w:rsidP="009A4C46">
            <w:pPr>
              <w:spacing w:after="0" w:line="240" w:lineRule="auto"/>
              <w:jc w:val="center"/>
              <w:rPr>
                <w:rFonts w:eastAsia="Times New Roman"/>
                <w:color w:val="auto"/>
                <w:sz w:val="18"/>
                <w:szCs w:val="18"/>
                <w:lang w:eastAsia="ru-RU"/>
              </w:rPr>
            </w:pPr>
            <w:r w:rsidRPr="0072390C">
              <w:rPr>
                <w:color w:val="auto"/>
                <w:sz w:val="18"/>
                <w:szCs w:val="18"/>
              </w:rPr>
              <w:t>1 555</w:t>
            </w:r>
          </w:p>
        </w:tc>
        <w:tc>
          <w:tcPr>
            <w:tcW w:w="741" w:type="pct"/>
            <w:shd w:val="clear" w:color="auto" w:fill="auto"/>
            <w:noWrap/>
            <w:vAlign w:val="center"/>
          </w:tcPr>
          <w:p w14:paraId="6FC68E68" w14:textId="1263ED9E" w:rsidR="00836098" w:rsidRPr="0072390C" w:rsidRDefault="00836098" w:rsidP="009A4C46">
            <w:pPr>
              <w:spacing w:after="0" w:line="240" w:lineRule="auto"/>
              <w:jc w:val="center"/>
              <w:rPr>
                <w:rFonts w:eastAsia="Times New Roman"/>
                <w:color w:val="auto"/>
                <w:sz w:val="18"/>
                <w:szCs w:val="18"/>
                <w:lang w:eastAsia="ru-RU"/>
              </w:rPr>
            </w:pPr>
            <w:r w:rsidRPr="0072390C">
              <w:rPr>
                <w:rFonts w:eastAsia="Times New Roman"/>
                <w:color w:val="auto"/>
                <w:sz w:val="18"/>
                <w:szCs w:val="18"/>
                <w:lang w:eastAsia="ru-RU"/>
              </w:rPr>
              <w:t>1 305</w:t>
            </w:r>
          </w:p>
        </w:tc>
        <w:tc>
          <w:tcPr>
            <w:tcW w:w="604" w:type="pct"/>
            <w:shd w:val="clear" w:color="auto" w:fill="auto"/>
            <w:vAlign w:val="center"/>
          </w:tcPr>
          <w:p w14:paraId="2F522325" w14:textId="33D01C83" w:rsidR="00836098" w:rsidRPr="0072390C" w:rsidRDefault="008B3791" w:rsidP="009A4C46">
            <w:pPr>
              <w:spacing w:after="0" w:line="240" w:lineRule="auto"/>
              <w:jc w:val="center"/>
              <w:rPr>
                <w:rFonts w:eastAsia="Times New Roman"/>
                <w:color w:val="auto"/>
                <w:sz w:val="18"/>
                <w:szCs w:val="18"/>
                <w:lang w:eastAsia="ru-RU"/>
              </w:rPr>
            </w:pPr>
            <w:r w:rsidRPr="0072390C">
              <w:rPr>
                <w:rFonts w:eastAsia="Times New Roman"/>
                <w:color w:val="auto"/>
                <w:sz w:val="18"/>
                <w:szCs w:val="18"/>
                <w:lang w:eastAsia="ru-RU"/>
              </w:rPr>
              <w:t>-250</w:t>
            </w:r>
          </w:p>
        </w:tc>
      </w:tr>
      <w:tr w:rsidR="0072390C" w:rsidRPr="0072390C" w14:paraId="6B476F17" w14:textId="77777777" w:rsidTr="0072390C">
        <w:trPr>
          <w:trHeight w:val="300"/>
        </w:trPr>
        <w:tc>
          <w:tcPr>
            <w:tcW w:w="1724" w:type="pct"/>
            <w:shd w:val="clear" w:color="auto" w:fill="auto"/>
            <w:vAlign w:val="center"/>
            <w:hideMark/>
          </w:tcPr>
          <w:p w14:paraId="10643282" w14:textId="77777777" w:rsidR="00836098" w:rsidRPr="0072390C" w:rsidRDefault="00836098" w:rsidP="009A4C46">
            <w:pPr>
              <w:spacing w:after="0" w:line="240" w:lineRule="auto"/>
              <w:rPr>
                <w:rFonts w:eastAsia="Times New Roman"/>
                <w:color w:val="auto"/>
                <w:sz w:val="18"/>
                <w:szCs w:val="18"/>
                <w:lang w:eastAsia="ru-RU"/>
              </w:rPr>
            </w:pPr>
            <w:r w:rsidRPr="0072390C">
              <w:rPr>
                <w:rFonts w:eastAsia="Times New Roman"/>
                <w:color w:val="auto"/>
                <w:sz w:val="18"/>
                <w:szCs w:val="18"/>
                <w:lang w:eastAsia="ru-RU"/>
              </w:rPr>
              <w:t>Другие прочие расходы</w:t>
            </w:r>
          </w:p>
        </w:tc>
        <w:tc>
          <w:tcPr>
            <w:tcW w:w="403" w:type="pct"/>
            <w:shd w:val="clear" w:color="auto" w:fill="auto"/>
            <w:noWrap/>
            <w:vAlign w:val="center"/>
            <w:hideMark/>
          </w:tcPr>
          <w:p w14:paraId="6EF2697C" w14:textId="77777777" w:rsidR="00836098" w:rsidRPr="0072390C" w:rsidRDefault="00836098" w:rsidP="009A4C46">
            <w:pPr>
              <w:spacing w:after="0" w:line="240" w:lineRule="auto"/>
              <w:jc w:val="center"/>
              <w:rPr>
                <w:rFonts w:eastAsia="Times New Roman"/>
                <w:color w:val="auto"/>
                <w:sz w:val="18"/>
                <w:szCs w:val="18"/>
                <w:lang w:eastAsia="ru-RU"/>
              </w:rPr>
            </w:pPr>
            <w:r w:rsidRPr="0072390C">
              <w:rPr>
                <w:rFonts w:eastAsia="Times New Roman"/>
                <w:color w:val="auto"/>
                <w:sz w:val="18"/>
                <w:szCs w:val="18"/>
                <w:lang w:eastAsia="ru-RU"/>
              </w:rPr>
              <w:t>тыс. руб.</w:t>
            </w:r>
          </w:p>
        </w:tc>
        <w:tc>
          <w:tcPr>
            <w:tcW w:w="807" w:type="pct"/>
            <w:shd w:val="clear" w:color="auto" w:fill="auto"/>
            <w:noWrap/>
            <w:vAlign w:val="center"/>
          </w:tcPr>
          <w:p w14:paraId="64C5A617" w14:textId="77777777" w:rsidR="00836098" w:rsidRPr="0072390C" w:rsidRDefault="00836098" w:rsidP="009A4C46">
            <w:pPr>
              <w:spacing w:after="0" w:line="240" w:lineRule="auto"/>
              <w:jc w:val="center"/>
              <w:rPr>
                <w:rFonts w:eastAsia="Times New Roman"/>
                <w:color w:val="auto"/>
                <w:sz w:val="18"/>
                <w:szCs w:val="18"/>
                <w:lang w:eastAsia="ru-RU"/>
              </w:rPr>
            </w:pPr>
            <w:r w:rsidRPr="0072390C">
              <w:rPr>
                <w:rFonts w:eastAsia="Times New Roman"/>
                <w:color w:val="auto"/>
                <w:sz w:val="18"/>
                <w:szCs w:val="18"/>
                <w:lang w:eastAsia="ru-RU"/>
              </w:rPr>
              <w:t>5 394</w:t>
            </w:r>
          </w:p>
        </w:tc>
        <w:tc>
          <w:tcPr>
            <w:tcW w:w="718" w:type="pct"/>
            <w:shd w:val="clear" w:color="auto" w:fill="auto"/>
            <w:noWrap/>
            <w:vAlign w:val="center"/>
          </w:tcPr>
          <w:p w14:paraId="0D81BDDD" w14:textId="29E86177" w:rsidR="00836098" w:rsidRPr="0072390C" w:rsidRDefault="00836098" w:rsidP="009A4C46">
            <w:pPr>
              <w:spacing w:after="0" w:line="240" w:lineRule="auto"/>
              <w:jc w:val="center"/>
              <w:rPr>
                <w:rFonts w:eastAsia="Times New Roman"/>
                <w:color w:val="auto"/>
                <w:sz w:val="18"/>
                <w:szCs w:val="18"/>
                <w:lang w:eastAsia="ru-RU"/>
              </w:rPr>
            </w:pPr>
            <w:r w:rsidRPr="0072390C">
              <w:rPr>
                <w:color w:val="auto"/>
                <w:sz w:val="18"/>
                <w:szCs w:val="18"/>
              </w:rPr>
              <w:t>6 453</w:t>
            </w:r>
          </w:p>
        </w:tc>
        <w:tc>
          <w:tcPr>
            <w:tcW w:w="741" w:type="pct"/>
            <w:shd w:val="clear" w:color="auto" w:fill="auto"/>
            <w:noWrap/>
            <w:vAlign w:val="center"/>
          </w:tcPr>
          <w:p w14:paraId="455D8447" w14:textId="66C2DBAA" w:rsidR="00836098" w:rsidRPr="0072390C" w:rsidRDefault="00836098" w:rsidP="009A4C46">
            <w:pPr>
              <w:spacing w:after="0" w:line="240" w:lineRule="auto"/>
              <w:jc w:val="center"/>
              <w:rPr>
                <w:rFonts w:eastAsia="Times New Roman"/>
                <w:color w:val="auto"/>
                <w:sz w:val="18"/>
                <w:szCs w:val="18"/>
                <w:lang w:eastAsia="ru-RU"/>
              </w:rPr>
            </w:pPr>
            <w:r w:rsidRPr="0072390C">
              <w:rPr>
                <w:rFonts w:eastAsia="Times New Roman"/>
                <w:color w:val="auto"/>
                <w:sz w:val="18"/>
                <w:szCs w:val="18"/>
                <w:lang w:eastAsia="ru-RU"/>
              </w:rPr>
              <w:t>6 453</w:t>
            </w:r>
          </w:p>
        </w:tc>
        <w:tc>
          <w:tcPr>
            <w:tcW w:w="604" w:type="pct"/>
            <w:shd w:val="clear" w:color="auto" w:fill="auto"/>
            <w:vAlign w:val="center"/>
          </w:tcPr>
          <w:p w14:paraId="2FA86C17" w14:textId="67A72D72" w:rsidR="00836098" w:rsidRPr="0072390C" w:rsidRDefault="009E7B7D" w:rsidP="009A4C46">
            <w:pPr>
              <w:spacing w:after="0" w:line="240" w:lineRule="auto"/>
              <w:jc w:val="center"/>
              <w:rPr>
                <w:rFonts w:eastAsia="Times New Roman"/>
                <w:color w:val="auto"/>
                <w:sz w:val="18"/>
                <w:szCs w:val="18"/>
                <w:lang w:eastAsia="ru-RU"/>
              </w:rPr>
            </w:pPr>
            <w:r w:rsidRPr="0072390C">
              <w:rPr>
                <w:rFonts w:eastAsia="Times New Roman"/>
                <w:color w:val="auto"/>
                <w:sz w:val="18"/>
                <w:szCs w:val="18"/>
                <w:lang w:eastAsia="ru-RU"/>
              </w:rPr>
              <w:t>0</w:t>
            </w:r>
          </w:p>
        </w:tc>
      </w:tr>
      <w:tr w:rsidR="0072390C" w:rsidRPr="0072390C" w14:paraId="63B8C12C" w14:textId="77777777" w:rsidTr="0072390C">
        <w:trPr>
          <w:trHeight w:val="300"/>
        </w:trPr>
        <w:tc>
          <w:tcPr>
            <w:tcW w:w="1724" w:type="pct"/>
            <w:shd w:val="clear" w:color="auto" w:fill="auto"/>
            <w:vAlign w:val="center"/>
            <w:hideMark/>
          </w:tcPr>
          <w:p w14:paraId="2E7DC329" w14:textId="77777777" w:rsidR="00836098" w:rsidRPr="0072390C" w:rsidRDefault="00836098" w:rsidP="009A4C46">
            <w:pPr>
              <w:spacing w:after="0" w:line="240" w:lineRule="auto"/>
              <w:rPr>
                <w:rFonts w:eastAsia="Times New Roman"/>
                <w:color w:val="auto"/>
                <w:sz w:val="18"/>
                <w:szCs w:val="18"/>
                <w:lang w:eastAsia="ru-RU"/>
              </w:rPr>
            </w:pPr>
            <w:r w:rsidRPr="0072390C">
              <w:rPr>
                <w:rFonts w:eastAsia="Times New Roman"/>
                <w:color w:val="auto"/>
                <w:sz w:val="18"/>
                <w:szCs w:val="18"/>
                <w:lang w:eastAsia="ru-RU"/>
              </w:rPr>
              <w:t>Подконтрольные расходы из прибыли</w:t>
            </w:r>
          </w:p>
        </w:tc>
        <w:tc>
          <w:tcPr>
            <w:tcW w:w="403" w:type="pct"/>
            <w:shd w:val="clear" w:color="auto" w:fill="auto"/>
            <w:noWrap/>
            <w:vAlign w:val="center"/>
            <w:hideMark/>
          </w:tcPr>
          <w:p w14:paraId="29B4D4D6" w14:textId="77777777" w:rsidR="00836098" w:rsidRPr="0072390C" w:rsidRDefault="00836098" w:rsidP="009A4C46">
            <w:pPr>
              <w:spacing w:after="0" w:line="240" w:lineRule="auto"/>
              <w:jc w:val="center"/>
              <w:rPr>
                <w:rFonts w:eastAsia="Times New Roman"/>
                <w:color w:val="auto"/>
                <w:sz w:val="18"/>
                <w:szCs w:val="18"/>
                <w:lang w:eastAsia="ru-RU"/>
              </w:rPr>
            </w:pPr>
            <w:r w:rsidRPr="0072390C">
              <w:rPr>
                <w:rFonts w:eastAsia="Times New Roman"/>
                <w:color w:val="auto"/>
                <w:sz w:val="18"/>
                <w:szCs w:val="18"/>
                <w:lang w:eastAsia="ru-RU"/>
              </w:rPr>
              <w:t>тыс. руб.</w:t>
            </w:r>
          </w:p>
        </w:tc>
        <w:tc>
          <w:tcPr>
            <w:tcW w:w="807" w:type="pct"/>
            <w:shd w:val="clear" w:color="auto" w:fill="auto"/>
            <w:noWrap/>
            <w:vAlign w:val="center"/>
          </w:tcPr>
          <w:p w14:paraId="1955E086" w14:textId="77777777" w:rsidR="00836098" w:rsidRPr="0072390C" w:rsidRDefault="00836098" w:rsidP="009A4C46">
            <w:pPr>
              <w:spacing w:after="0" w:line="240" w:lineRule="auto"/>
              <w:jc w:val="center"/>
              <w:rPr>
                <w:rFonts w:eastAsia="Times New Roman"/>
                <w:color w:val="auto"/>
                <w:sz w:val="18"/>
                <w:szCs w:val="18"/>
                <w:lang w:eastAsia="ru-RU"/>
              </w:rPr>
            </w:pPr>
            <w:r w:rsidRPr="0072390C">
              <w:rPr>
                <w:rFonts w:eastAsia="Times New Roman"/>
                <w:color w:val="auto"/>
                <w:sz w:val="18"/>
                <w:szCs w:val="18"/>
                <w:lang w:eastAsia="ru-RU"/>
              </w:rPr>
              <w:t>21 025</w:t>
            </w:r>
          </w:p>
        </w:tc>
        <w:tc>
          <w:tcPr>
            <w:tcW w:w="718" w:type="pct"/>
            <w:shd w:val="clear" w:color="auto" w:fill="auto"/>
            <w:noWrap/>
            <w:vAlign w:val="center"/>
          </w:tcPr>
          <w:p w14:paraId="0E9332CC" w14:textId="3C092DAA" w:rsidR="00836098" w:rsidRPr="0072390C" w:rsidRDefault="00836098" w:rsidP="009A4C46">
            <w:pPr>
              <w:spacing w:after="0" w:line="240" w:lineRule="auto"/>
              <w:jc w:val="center"/>
              <w:rPr>
                <w:rFonts w:eastAsia="Times New Roman"/>
                <w:color w:val="auto"/>
                <w:sz w:val="18"/>
                <w:szCs w:val="18"/>
                <w:lang w:eastAsia="ru-RU"/>
              </w:rPr>
            </w:pPr>
            <w:r w:rsidRPr="0072390C">
              <w:rPr>
                <w:color w:val="auto"/>
                <w:sz w:val="18"/>
                <w:szCs w:val="18"/>
              </w:rPr>
              <w:t>22 153</w:t>
            </w:r>
          </w:p>
        </w:tc>
        <w:tc>
          <w:tcPr>
            <w:tcW w:w="741" w:type="pct"/>
            <w:shd w:val="clear" w:color="auto" w:fill="auto"/>
            <w:noWrap/>
            <w:vAlign w:val="center"/>
          </w:tcPr>
          <w:p w14:paraId="401085D7" w14:textId="1DC8D74D" w:rsidR="00836098" w:rsidRPr="0072390C" w:rsidRDefault="00836098" w:rsidP="009A4C46">
            <w:pPr>
              <w:spacing w:after="0" w:line="240" w:lineRule="auto"/>
              <w:jc w:val="center"/>
              <w:rPr>
                <w:rFonts w:eastAsia="Times New Roman"/>
                <w:color w:val="auto"/>
                <w:sz w:val="18"/>
                <w:szCs w:val="18"/>
                <w:lang w:eastAsia="ru-RU"/>
              </w:rPr>
            </w:pPr>
            <w:r w:rsidRPr="0072390C">
              <w:rPr>
                <w:rFonts w:eastAsia="Times New Roman"/>
                <w:color w:val="auto"/>
                <w:sz w:val="18"/>
                <w:szCs w:val="18"/>
                <w:lang w:eastAsia="ru-RU"/>
              </w:rPr>
              <w:t>25 153</w:t>
            </w:r>
          </w:p>
        </w:tc>
        <w:tc>
          <w:tcPr>
            <w:tcW w:w="604" w:type="pct"/>
            <w:shd w:val="clear" w:color="auto" w:fill="auto"/>
            <w:vAlign w:val="center"/>
          </w:tcPr>
          <w:p w14:paraId="54EB58C1" w14:textId="29B4F5E3" w:rsidR="00836098" w:rsidRPr="0072390C" w:rsidRDefault="009E7B7D" w:rsidP="009A4C46">
            <w:pPr>
              <w:spacing w:after="0" w:line="240" w:lineRule="auto"/>
              <w:jc w:val="center"/>
              <w:rPr>
                <w:rFonts w:eastAsia="Times New Roman"/>
                <w:color w:val="auto"/>
                <w:sz w:val="18"/>
                <w:szCs w:val="18"/>
                <w:lang w:eastAsia="ru-RU"/>
              </w:rPr>
            </w:pPr>
            <w:r w:rsidRPr="0072390C">
              <w:rPr>
                <w:rFonts w:eastAsia="Times New Roman"/>
                <w:color w:val="auto"/>
                <w:sz w:val="18"/>
                <w:szCs w:val="18"/>
                <w:lang w:eastAsia="ru-RU"/>
              </w:rPr>
              <w:t>3 000</w:t>
            </w:r>
          </w:p>
        </w:tc>
      </w:tr>
      <w:tr w:rsidR="00836098" w:rsidRPr="00A55EED" w14:paraId="32EEB42F" w14:textId="77777777" w:rsidTr="0072390C">
        <w:trPr>
          <w:trHeight w:val="300"/>
        </w:trPr>
        <w:tc>
          <w:tcPr>
            <w:tcW w:w="1724" w:type="pct"/>
            <w:shd w:val="clear" w:color="auto" w:fill="D6E3BC" w:themeFill="accent3" w:themeFillTint="66"/>
            <w:vAlign w:val="center"/>
            <w:hideMark/>
          </w:tcPr>
          <w:p w14:paraId="41D7A5C0" w14:textId="77777777" w:rsidR="00836098" w:rsidRPr="00A55EED" w:rsidRDefault="00836098" w:rsidP="009A4C46">
            <w:pPr>
              <w:spacing w:after="0" w:line="240" w:lineRule="auto"/>
              <w:rPr>
                <w:rFonts w:eastAsia="Times New Roman"/>
                <w:b/>
                <w:sz w:val="18"/>
                <w:szCs w:val="18"/>
                <w:lang w:eastAsia="ru-RU"/>
              </w:rPr>
            </w:pPr>
            <w:r w:rsidRPr="00A55EED">
              <w:rPr>
                <w:rFonts w:eastAsia="Times New Roman"/>
                <w:b/>
                <w:sz w:val="18"/>
                <w:szCs w:val="18"/>
                <w:lang w:eastAsia="ru-RU"/>
              </w:rPr>
              <w:t>ИТОГО</w:t>
            </w:r>
          </w:p>
          <w:p w14:paraId="08FE9EC1" w14:textId="77777777" w:rsidR="00836098" w:rsidRPr="00A55EED" w:rsidRDefault="00836098" w:rsidP="009A4C46">
            <w:pPr>
              <w:spacing w:after="0" w:line="240" w:lineRule="auto"/>
              <w:rPr>
                <w:rFonts w:eastAsia="Times New Roman"/>
                <w:b/>
                <w:sz w:val="18"/>
                <w:szCs w:val="18"/>
                <w:lang w:eastAsia="ru-RU"/>
              </w:rPr>
            </w:pPr>
            <w:r w:rsidRPr="00A55EED">
              <w:rPr>
                <w:rFonts w:eastAsia="Times New Roman"/>
                <w:b/>
                <w:sz w:val="18"/>
                <w:szCs w:val="18"/>
                <w:lang w:eastAsia="ru-RU"/>
              </w:rPr>
              <w:t>подконтрольные расходы</w:t>
            </w:r>
          </w:p>
        </w:tc>
        <w:tc>
          <w:tcPr>
            <w:tcW w:w="403" w:type="pct"/>
            <w:shd w:val="clear" w:color="auto" w:fill="D6E3BC" w:themeFill="accent3" w:themeFillTint="66"/>
            <w:noWrap/>
            <w:vAlign w:val="center"/>
            <w:hideMark/>
          </w:tcPr>
          <w:p w14:paraId="2B1D0A16" w14:textId="77777777" w:rsidR="00836098" w:rsidRPr="00A55EED" w:rsidRDefault="00836098" w:rsidP="009A4C46">
            <w:pPr>
              <w:spacing w:after="0" w:line="240" w:lineRule="auto"/>
              <w:jc w:val="center"/>
              <w:rPr>
                <w:rFonts w:eastAsia="Times New Roman"/>
                <w:b/>
                <w:sz w:val="18"/>
                <w:szCs w:val="18"/>
                <w:lang w:eastAsia="ru-RU"/>
              </w:rPr>
            </w:pPr>
            <w:r w:rsidRPr="00A55EED">
              <w:rPr>
                <w:rFonts w:eastAsia="Times New Roman"/>
                <w:b/>
                <w:sz w:val="18"/>
                <w:szCs w:val="18"/>
                <w:lang w:eastAsia="ru-RU"/>
              </w:rPr>
              <w:t>тыс. руб.</w:t>
            </w:r>
          </w:p>
        </w:tc>
        <w:tc>
          <w:tcPr>
            <w:tcW w:w="807" w:type="pct"/>
            <w:shd w:val="clear" w:color="auto" w:fill="D6E3BC" w:themeFill="accent3" w:themeFillTint="66"/>
            <w:noWrap/>
            <w:vAlign w:val="center"/>
          </w:tcPr>
          <w:p w14:paraId="1418BBC5" w14:textId="77777777" w:rsidR="00836098" w:rsidRPr="00A55EED" w:rsidRDefault="00836098" w:rsidP="009A4C46">
            <w:pPr>
              <w:spacing w:after="0" w:line="240" w:lineRule="auto"/>
              <w:jc w:val="center"/>
              <w:rPr>
                <w:rFonts w:eastAsia="Times New Roman"/>
                <w:b/>
                <w:sz w:val="18"/>
                <w:szCs w:val="18"/>
                <w:lang w:eastAsia="ru-RU"/>
              </w:rPr>
            </w:pPr>
            <w:r w:rsidRPr="00A55EED">
              <w:rPr>
                <w:rFonts w:eastAsia="Times New Roman"/>
                <w:b/>
                <w:color w:val="000000"/>
                <w:sz w:val="18"/>
                <w:szCs w:val="18"/>
                <w:lang w:eastAsia="ru-RU"/>
              </w:rPr>
              <w:t>598 577</w:t>
            </w:r>
          </w:p>
        </w:tc>
        <w:tc>
          <w:tcPr>
            <w:tcW w:w="718" w:type="pct"/>
            <w:shd w:val="clear" w:color="auto" w:fill="D6E3BC" w:themeFill="accent3" w:themeFillTint="66"/>
            <w:noWrap/>
            <w:vAlign w:val="center"/>
          </w:tcPr>
          <w:p w14:paraId="13E83CE0" w14:textId="77777777" w:rsidR="00836098" w:rsidRPr="00A55EED" w:rsidRDefault="00836098" w:rsidP="009A4C46">
            <w:pPr>
              <w:spacing w:after="0" w:line="240" w:lineRule="auto"/>
              <w:jc w:val="center"/>
              <w:rPr>
                <w:rFonts w:eastAsia="Times New Roman"/>
                <w:b/>
                <w:sz w:val="18"/>
                <w:szCs w:val="18"/>
                <w:lang w:eastAsia="ru-RU"/>
              </w:rPr>
            </w:pPr>
            <w:r w:rsidRPr="00A55EED">
              <w:rPr>
                <w:rFonts w:eastAsia="Times New Roman"/>
                <w:b/>
                <w:color w:val="000000"/>
                <w:sz w:val="18"/>
                <w:szCs w:val="18"/>
                <w:lang w:eastAsia="ru-RU"/>
              </w:rPr>
              <w:t>602 031</w:t>
            </w:r>
          </w:p>
        </w:tc>
        <w:tc>
          <w:tcPr>
            <w:tcW w:w="741" w:type="pct"/>
            <w:shd w:val="clear" w:color="auto" w:fill="D6E3BC" w:themeFill="accent3" w:themeFillTint="66"/>
            <w:noWrap/>
            <w:vAlign w:val="center"/>
          </w:tcPr>
          <w:p w14:paraId="4F741BB7" w14:textId="1F90F800" w:rsidR="00836098" w:rsidRPr="00A55EED" w:rsidRDefault="00836098" w:rsidP="009A4C46">
            <w:pPr>
              <w:spacing w:after="0" w:line="240" w:lineRule="auto"/>
              <w:jc w:val="center"/>
              <w:rPr>
                <w:rFonts w:eastAsia="Times New Roman"/>
                <w:b/>
                <w:color w:val="000000"/>
                <w:sz w:val="18"/>
                <w:szCs w:val="18"/>
                <w:lang w:eastAsia="ru-RU"/>
              </w:rPr>
            </w:pPr>
            <w:r w:rsidRPr="00A55EED">
              <w:rPr>
                <w:rFonts w:eastAsia="Times New Roman"/>
                <w:b/>
                <w:color w:val="000000"/>
                <w:sz w:val="18"/>
                <w:szCs w:val="18"/>
                <w:lang w:eastAsia="ru-RU"/>
              </w:rPr>
              <w:t>602 031</w:t>
            </w:r>
          </w:p>
        </w:tc>
        <w:tc>
          <w:tcPr>
            <w:tcW w:w="604" w:type="pct"/>
            <w:shd w:val="clear" w:color="auto" w:fill="D6E3BC" w:themeFill="accent3" w:themeFillTint="66"/>
            <w:vAlign w:val="center"/>
          </w:tcPr>
          <w:p w14:paraId="34581A1E" w14:textId="77777777" w:rsidR="00836098" w:rsidRPr="00A55EED" w:rsidRDefault="00836098" w:rsidP="009A4C46">
            <w:pPr>
              <w:spacing w:after="0" w:line="240" w:lineRule="auto"/>
              <w:jc w:val="center"/>
              <w:rPr>
                <w:rFonts w:eastAsia="Times New Roman"/>
                <w:color w:val="000000"/>
                <w:sz w:val="18"/>
                <w:szCs w:val="18"/>
                <w:lang w:eastAsia="ru-RU"/>
              </w:rPr>
            </w:pPr>
            <w:r w:rsidRPr="00A55EED">
              <w:rPr>
                <w:rFonts w:eastAsia="Times New Roman"/>
                <w:color w:val="000000"/>
                <w:sz w:val="18"/>
                <w:szCs w:val="18"/>
                <w:lang w:eastAsia="ru-RU"/>
              </w:rPr>
              <w:t>0</w:t>
            </w:r>
          </w:p>
        </w:tc>
      </w:tr>
    </w:tbl>
    <w:p w14:paraId="0A834D43" w14:textId="77777777" w:rsidR="009A4C46" w:rsidRPr="00F94FED" w:rsidRDefault="009A4C46" w:rsidP="009A4C46">
      <w:pPr>
        <w:spacing w:afterLines="32" w:after="76" w:line="360" w:lineRule="auto"/>
        <w:ind w:firstLine="567"/>
        <w:contextualSpacing/>
        <w:jc w:val="both"/>
        <w:rPr>
          <w:rFonts w:eastAsia="Times New Roman"/>
          <w:sz w:val="26"/>
          <w:szCs w:val="26"/>
          <w:lang w:eastAsia="ru-RU"/>
        </w:rPr>
      </w:pPr>
    </w:p>
    <w:p w14:paraId="6A37C32D" w14:textId="0ADFA5F4" w:rsidR="009A4C46" w:rsidRPr="00F94FED" w:rsidRDefault="009A4C46" w:rsidP="009A4C46">
      <w:pPr>
        <w:spacing w:after="32" w:line="360" w:lineRule="auto"/>
        <w:ind w:firstLine="567"/>
        <w:jc w:val="both"/>
        <w:rPr>
          <w:rFonts w:eastAsia="Calibri"/>
          <w:sz w:val="26"/>
          <w:szCs w:val="26"/>
        </w:rPr>
      </w:pPr>
      <w:r w:rsidRPr="00F94FED">
        <w:rPr>
          <w:rFonts w:eastAsia="Calibri"/>
          <w:sz w:val="26"/>
          <w:szCs w:val="26"/>
        </w:rPr>
        <w:t>Исполнитель отмечает, что согласно экспертному заключению на 2019 год Службой по тарифам Республики Тыва представлена динамика подконтрольных расходов, в том числе размер условных единиц на 2012-2019 г</w:t>
      </w:r>
      <w:r w:rsidR="00A753B1">
        <w:rPr>
          <w:rFonts w:eastAsia="Calibri"/>
          <w:sz w:val="26"/>
          <w:szCs w:val="26"/>
        </w:rPr>
        <w:t>оды</w:t>
      </w:r>
      <w:r w:rsidRPr="00F94FED">
        <w:rPr>
          <w:rFonts w:eastAsia="Calibri"/>
          <w:sz w:val="26"/>
          <w:szCs w:val="26"/>
        </w:rPr>
        <w:t xml:space="preserve"> принимается органом регулирования на одном и том же уровне в размере 29 988 у.е., из чего можно сделать вывод о том, что Служба по тарифам Республики Тыва не учитывает объем фактического состава оборудования АО «Тываэнерго». В связи с этим, индекс изменения количества активов рассчитан некорректно.</w:t>
      </w:r>
    </w:p>
    <w:p w14:paraId="78478C41" w14:textId="0CAC7AC2" w:rsidR="009A4C46" w:rsidRPr="00F94FED" w:rsidRDefault="009A4C46" w:rsidP="00F94FED">
      <w:pPr>
        <w:spacing w:after="0" w:line="360" w:lineRule="auto"/>
        <w:ind w:firstLine="567"/>
        <w:contextualSpacing/>
        <w:jc w:val="both"/>
        <w:rPr>
          <w:rFonts w:eastAsia="Calibri"/>
          <w:sz w:val="26"/>
          <w:szCs w:val="26"/>
          <w:lang w:eastAsia="ru-RU"/>
        </w:rPr>
      </w:pPr>
      <w:r w:rsidRPr="00F94FED">
        <w:rPr>
          <w:rFonts w:eastAsia="Calibri"/>
          <w:sz w:val="26"/>
          <w:szCs w:val="26"/>
        </w:rPr>
        <w:lastRenderedPageBreak/>
        <w:t>Так же, необходимо отметить, что из представленных в экспертном заключении на 2019 год расчетов по определению величины подконтрольных расходов на 2012-2019 г</w:t>
      </w:r>
      <w:r w:rsidR="00A753B1">
        <w:rPr>
          <w:rFonts w:eastAsia="Calibri"/>
          <w:sz w:val="26"/>
          <w:szCs w:val="26"/>
        </w:rPr>
        <w:t>оды</w:t>
      </w:r>
      <w:r w:rsidRPr="00F94FED">
        <w:rPr>
          <w:rFonts w:eastAsia="Calibri"/>
          <w:sz w:val="26"/>
          <w:szCs w:val="26"/>
        </w:rPr>
        <w:t xml:space="preserve"> выявлено, что индексы потребительских цен, учтенные Службой по тарифам Республики Тыва при определении подконтрольных расходов на 2013-2018 г</w:t>
      </w:r>
      <w:r w:rsidR="00A753B1">
        <w:rPr>
          <w:rFonts w:eastAsia="Calibri"/>
          <w:sz w:val="26"/>
          <w:szCs w:val="26"/>
        </w:rPr>
        <w:t>оды</w:t>
      </w:r>
      <w:r w:rsidRPr="00F94FED">
        <w:rPr>
          <w:rFonts w:eastAsia="Calibri"/>
          <w:sz w:val="26"/>
          <w:szCs w:val="26"/>
        </w:rPr>
        <w:t xml:space="preserve"> не соответствуют опубликованным индексам потребительских цен на момент утверждения НВВ.</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8"/>
        <w:gridCol w:w="921"/>
        <w:gridCol w:w="921"/>
        <w:gridCol w:w="921"/>
        <w:gridCol w:w="921"/>
        <w:gridCol w:w="921"/>
        <w:gridCol w:w="921"/>
        <w:gridCol w:w="921"/>
        <w:gridCol w:w="920"/>
      </w:tblGrid>
      <w:tr w:rsidR="00A753B1" w:rsidRPr="009A4C46" w14:paraId="4137ABCC" w14:textId="77777777" w:rsidTr="00F94FED">
        <w:trPr>
          <w:trHeight w:val="865"/>
          <w:tblHeader/>
        </w:trPr>
        <w:tc>
          <w:tcPr>
            <w:tcW w:w="105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BDCA3EE" w14:textId="77777777" w:rsidR="009A4C46" w:rsidRPr="00F94FED" w:rsidRDefault="009A4C46" w:rsidP="009A4C46">
            <w:pPr>
              <w:spacing w:after="0" w:line="240" w:lineRule="auto"/>
              <w:jc w:val="center"/>
              <w:rPr>
                <w:rFonts w:eastAsia="Times New Roman"/>
                <w:b/>
                <w:color w:val="FFFFFF" w:themeColor="background1"/>
                <w:sz w:val="18"/>
                <w:szCs w:val="18"/>
                <w:lang w:eastAsia="ru-RU"/>
              </w:rPr>
            </w:pPr>
            <w:r w:rsidRPr="00F94FED">
              <w:rPr>
                <w:rFonts w:eastAsia="Times New Roman"/>
                <w:b/>
                <w:color w:val="FFFFFF" w:themeColor="background1"/>
                <w:sz w:val="18"/>
                <w:szCs w:val="18"/>
                <w:lang w:eastAsia="ru-RU"/>
              </w:rPr>
              <w:t>Наименование статьи</w:t>
            </w:r>
          </w:p>
        </w:tc>
        <w:tc>
          <w:tcPr>
            <w:tcW w:w="49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A89C74B" w14:textId="77777777" w:rsidR="009A4C46" w:rsidRPr="00F94FED" w:rsidRDefault="009A4C46" w:rsidP="009A4C46">
            <w:pPr>
              <w:spacing w:after="0" w:line="240" w:lineRule="auto"/>
              <w:jc w:val="center"/>
              <w:rPr>
                <w:rFonts w:eastAsia="Times New Roman"/>
                <w:b/>
                <w:color w:val="FFFFFF" w:themeColor="background1"/>
                <w:sz w:val="18"/>
                <w:szCs w:val="18"/>
                <w:lang w:eastAsia="ru-RU"/>
              </w:rPr>
            </w:pPr>
            <w:r w:rsidRPr="00F94FED">
              <w:rPr>
                <w:rFonts w:eastAsia="Times New Roman"/>
                <w:b/>
                <w:color w:val="FFFFFF" w:themeColor="background1"/>
                <w:sz w:val="18"/>
                <w:szCs w:val="18"/>
                <w:lang w:eastAsia="ru-RU"/>
              </w:rPr>
              <w:t>2012</w:t>
            </w:r>
          </w:p>
        </w:tc>
        <w:tc>
          <w:tcPr>
            <w:tcW w:w="49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2AF3607" w14:textId="77777777" w:rsidR="009A4C46" w:rsidRPr="00F94FED" w:rsidRDefault="009A4C46" w:rsidP="009A4C46">
            <w:pPr>
              <w:spacing w:after="0" w:line="240" w:lineRule="auto"/>
              <w:jc w:val="center"/>
              <w:rPr>
                <w:rFonts w:eastAsia="Times New Roman"/>
                <w:b/>
                <w:color w:val="FFFFFF" w:themeColor="background1"/>
                <w:sz w:val="18"/>
                <w:szCs w:val="18"/>
                <w:lang w:eastAsia="ru-RU"/>
              </w:rPr>
            </w:pPr>
            <w:r w:rsidRPr="00F94FED">
              <w:rPr>
                <w:rFonts w:eastAsia="Times New Roman"/>
                <w:b/>
                <w:color w:val="FFFFFF" w:themeColor="background1"/>
                <w:sz w:val="18"/>
                <w:szCs w:val="18"/>
                <w:lang w:eastAsia="ru-RU"/>
              </w:rPr>
              <w:t>2013</w:t>
            </w:r>
          </w:p>
        </w:tc>
        <w:tc>
          <w:tcPr>
            <w:tcW w:w="49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6B883B4" w14:textId="77777777" w:rsidR="009A4C46" w:rsidRPr="00F94FED" w:rsidRDefault="009A4C46" w:rsidP="009A4C46">
            <w:pPr>
              <w:spacing w:after="0" w:line="240" w:lineRule="auto"/>
              <w:jc w:val="center"/>
              <w:rPr>
                <w:rFonts w:eastAsia="Times New Roman"/>
                <w:b/>
                <w:color w:val="FFFFFF" w:themeColor="background1"/>
                <w:sz w:val="18"/>
                <w:szCs w:val="18"/>
                <w:lang w:eastAsia="ru-RU"/>
              </w:rPr>
            </w:pPr>
            <w:r w:rsidRPr="00F94FED">
              <w:rPr>
                <w:rFonts w:eastAsia="Times New Roman"/>
                <w:b/>
                <w:color w:val="FFFFFF" w:themeColor="background1"/>
                <w:sz w:val="18"/>
                <w:szCs w:val="18"/>
                <w:lang w:eastAsia="ru-RU"/>
              </w:rPr>
              <w:t>2014</w:t>
            </w:r>
          </w:p>
        </w:tc>
        <w:tc>
          <w:tcPr>
            <w:tcW w:w="49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FA19671" w14:textId="77777777" w:rsidR="009A4C46" w:rsidRPr="00F94FED" w:rsidRDefault="009A4C46" w:rsidP="009A4C46">
            <w:pPr>
              <w:spacing w:after="0" w:line="240" w:lineRule="auto"/>
              <w:jc w:val="center"/>
              <w:rPr>
                <w:rFonts w:eastAsia="Times New Roman"/>
                <w:b/>
                <w:color w:val="FFFFFF" w:themeColor="background1"/>
                <w:sz w:val="18"/>
                <w:szCs w:val="18"/>
                <w:lang w:eastAsia="ru-RU"/>
              </w:rPr>
            </w:pPr>
            <w:r w:rsidRPr="00F94FED">
              <w:rPr>
                <w:rFonts w:eastAsia="Times New Roman"/>
                <w:b/>
                <w:color w:val="FFFFFF" w:themeColor="background1"/>
                <w:sz w:val="18"/>
                <w:szCs w:val="18"/>
                <w:lang w:eastAsia="ru-RU"/>
              </w:rPr>
              <w:t>2015</w:t>
            </w:r>
          </w:p>
        </w:tc>
        <w:tc>
          <w:tcPr>
            <w:tcW w:w="49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5151EE2" w14:textId="77777777" w:rsidR="009A4C46" w:rsidRPr="00F94FED" w:rsidRDefault="009A4C46" w:rsidP="009A4C46">
            <w:pPr>
              <w:spacing w:after="0" w:line="240" w:lineRule="auto"/>
              <w:jc w:val="center"/>
              <w:rPr>
                <w:rFonts w:eastAsia="Times New Roman"/>
                <w:b/>
                <w:color w:val="FFFFFF" w:themeColor="background1"/>
                <w:sz w:val="18"/>
                <w:szCs w:val="18"/>
                <w:lang w:eastAsia="ru-RU"/>
              </w:rPr>
            </w:pPr>
            <w:r w:rsidRPr="00F94FED">
              <w:rPr>
                <w:rFonts w:eastAsia="Times New Roman"/>
                <w:b/>
                <w:color w:val="FFFFFF" w:themeColor="background1"/>
                <w:sz w:val="18"/>
                <w:szCs w:val="18"/>
                <w:lang w:eastAsia="ru-RU"/>
              </w:rPr>
              <w:t>2016</w:t>
            </w:r>
          </w:p>
        </w:tc>
        <w:tc>
          <w:tcPr>
            <w:tcW w:w="49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64E6F8F" w14:textId="77777777" w:rsidR="009A4C46" w:rsidRPr="00F94FED" w:rsidRDefault="009A4C46" w:rsidP="009A4C46">
            <w:pPr>
              <w:spacing w:after="0" w:line="240" w:lineRule="auto"/>
              <w:jc w:val="center"/>
              <w:rPr>
                <w:rFonts w:eastAsia="Times New Roman"/>
                <w:b/>
                <w:color w:val="FFFFFF" w:themeColor="background1"/>
                <w:sz w:val="18"/>
                <w:szCs w:val="18"/>
                <w:lang w:eastAsia="ru-RU"/>
              </w:rPr>
            </w:pPr>
            <w:r w:rsidRPr="00F94FED">
              <w:rPr>
                <w:rFonts w:eastAsia="Times New Roman"/>
                <w:b/>
                <w:color w:val="FFFFFF" w:themeColor="background1"/>
                <w:sz w:val="18"/>
                <w:szCs w:val="18"/>
                <w:lang w:eastAsia="ru-RU"/>
              </w:rPr>
              <w:t>2017</w:t>
            </w:r>
          </w:p>
        </w:tc>
        <w:tc>
          <w:tcPr>
            <w:tcW w:w="49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A1AA846" w14:textId="77777777" w:rsidR="009A4C46" w:rsidRPr="00F94FED" w:rsidRDefault="009A4C46" w:rsidP="009A4C46">
            <w:pPr>
              <w:spacing w:after="0" w:line="240" w:lineRule="auto"/>
              <w:jc w:val="center"/>
              <w:rPr>
                <w:rFonts w:eastAsia="Times New Roman"/>
                <w:b/>
                <w:color w:val="FFFFFF" w:themeColor="background1"/>
                <w:sz w:val="18"/>
                <w:szCs w:val="18"/>
                <w:lang w:eastAsia="ru-RU"/>
              </w:rPr>
            </w:pPr>
            <w:r w:rsidRPr="00F94FED">
              <w:rPr>
                <w:rFonts w:eastAsia="Times New Roman"/>
                <w:b/>
                <w:color w:val="FFFFFF" w:themeColor="background1"/>
                <w:sz w:val="18"/>
                <w:szCs w:val="18"/>
                <w:lang w:eastAsia="ru-RU"/>
              </w:rPr>
              <w:t>2018</w:t>
            </w:r>
          </w:p>
        </w:tc>
        <w:tc>
          <w:tcPr>
            <w:tcW w:w="49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BB671C7" w14:textId="77777777" w:rsidR="009A4C46" w:rsidRPr="00F94FED" w:rsidRDefault="009A4C46" w:rsidP="009A4C46">
            <w:pPr>
              <w:spacing w:after="0" w:line="240" w:lineRule="auto"/>
              <w:jc w:val="center"/>
              <w:rPr>
                <w:rFonts w:eastAsia="Times New Roman"/>
                <w:b/>
                <w:color w:val="FFFFFF" w:themeColor="background1"/>
                <w:sz w:val="18"/>
                <w:szCs w:val="18"/>
                <w:lang w:eastAsia="ru-RU"/>
              </w:rPr>
            </w:pPr>
            <w:r w:rsidRPr="00F94FED">
              <w:rPr>
                <w:rFonts w:eastAsia="Times New Roman"/>
                <w:b/>
                <w:color w:val="FFFFFF" w:themeColor="background1"/>
                <w:sz w:val="18"/>
                <w:szCs w:val="18"/>
                <w:lang w:eastAsia="ru-RU"/>
              </w:rPr>
              <w:t>2019</w:t>
            </w:r>
          </w:p>
        </w:tc>
      </w:tr>
      <w:tr w:rsidR="00A753B1" w:rsidRPr="009A4C46" w14:paraId="7D2814FC" w14:textId="77777777" w:rsidTr="00F94FED">
        <w:trPr>
          <w:trHeight w:val="267"/>
          <w:tblHeader/>
        </w:trPr>
        <w:tc>
          <w:tcPr>
            <w:tcW w:w="105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FC6760C" w14:textId="77777777" w:rsidR="009A4C46" w:rsidRPr="00F94FED" w:rsidRDefault="009A4C46" w:rsidP="009A4C46">
            <w:pPr>
              <w:spacing w:after="0" w:line="240" w:lineRule="auto"/>
              <w:jc w:val="center"/>
              <w:rPr>
                <w:rFonts w:eastAsia="Times New Roman"/>
                <w:color w:val="FFFFFF" w:themeColor="background1"/>
                <w:sz w:val="18"/>
                <w:szCs w:val="18"/>
                <w:lang w:eastAsia="ru-RU"/>
              </w:rPr>
            </w:pPr>
            <w:r w:rsidRPr="00F94FED">
              <w:rPr>
                <w:rFonts w:eastAsia="Times New Roman"/>
                <w:color w:val="FFFFFF" w:themeColor="background1"/>
                <w:sz w:val="18"/>
                <w:szCs w:val="18"/>
                <w:lang w:eastAsia="ru-RU"/>
              </w:rPr>
              <w:t>1</w:t>
            </w:r>
          </w:p>
        </w:tc>
        <w:tc>
          <w:tcPr>
            <w:tcW w:w="49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BAB6208" w14:textId="77777777" w:rsidR="009A4C46" w:rsidRPr="00F94FED" w:rsidRDefault="009A4C46" w:rsidP="009A4C46">
            <w:pPr>
              <w:spacing w:after="0" w:line="240" w:lineRule="auto"/>
              <w:jc w:val="center"/>
              <w:rPr>
                <w:rFonts w:eastAsia="Times New Roman"/>
                <w:color w:val="FFFFFF" w:themeColor="background1"/>
                <w:sz w:val="18"/>
                <w:szCs w:val="18"/>
                <w:lang w:eastAsia="ru-RU"/>
              </w:rPr>
            </w:pPr>
            <w:r w:rsidRPr="00F94FED">
              <w:rPr>
                <w:rFonts w:eastAsia="Times New Roman"/>
                <w:color w:val="FFFFFF" w:themeColor="background1"/>
                <w:sz w:val="18"/>
                <w:szCs w:val="18"/>
                <w:lang w:eastAsia="ru-RU"/>
              </w:rPr>
              <w:t>3</w:t>
            </w:r>
          </w:p>
        </w:tc>
        <w:tc>
          <w:tcPr>
            <w:tcW w:w="49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8DCA52D" w14:textId="77777777" w:rsidR="009A4C46" w:rsidRPr="00F94FED" w:rsidRDefault="009A4C46" w:rsidP="009A4C46">
            <w:pPr>
              <w:spacing w:after="0" w:line="240" w:lineRule="auto"/>
              <w:jc w:val="center"/>
              <w:rPr>
                <w:rFonts w:eastAsia="Times New Roman"/>
                <w:color w:val="FFFFFF" w:themeColor="background1"/>
                <w:sz w:val="18"/>
                <w:szCs w:val="18"/>
                <w:lang w:eastAsia="ru-RU"/>
              </w:rPr>
            </w:pPr>
            <w:r w:rsidRPr="00F94FED">
              <w:rPr>
                <w:rFonts w:eastAsia="Times New Roman"/>
                <w:color w:val="FFFFFF" w:themeColor="background1"/>
                <w:sz w:val="18"/>
                <w:szCs w:val="18"/>
                <w:lang w:eastAsia="ru-RU"/>
              </w:rPr>
              <w:t>4</w:t>
            </w:r>
          </w:p>
        </w:tc>
        <w:tc>
          <w:tcPr>
            <w:tcW w:w="49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3B961C7" w14:textId="77777777" w:rsidR="009A4C46" w:rsidRPr="00F94FED" w:rsidRDefault="009A4C46" w:rsidP="009A4C46">
            <w:pPr>
              <w:spacing w:after="0" w:line="240" w:lineRule="auto"/>
              <w:jc w:val="center"/>
              <w:rPr>
                <w:rFonts w:eastAsia="Times New Roman"/>
                <w:color w:val="FFFFFF" w:themeColor="background1"/>
                <w:sz w:val="18"/>
                <w:szCs w:val="18"/>
                <w:lang w:eastAsia="ru-RU"/>
              </w:rPr>
            </w:pPr>
            <w:r w:rsidRPr="00F94FED">
              <w:rPr>
                <w:rFonts w:eastAsia="Times New Roman"/>
                <w:color w:val="FFFFFF" w:themeColor="background1"/>
                <w:sz w:val="18"/>
                <w:szCs w:val="18"/>
                <w:lang w:eastAsia="ru-RU"/>
              </w:rPr>
              <w:t>5</w:t>
            </w:r>
          </w:p>
        </w:tc>
        <w:tc>
          <w:tcPr>
            <w:tcW w:w="49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9E8CC22" w14:textId="77777777" w:rsidR="009A4C46" w:rsidRPr="00F94FED" w:rsidRDefault="009A4C46" w:rsidP="009A4C46">
            <w:pPr>
              <w:spacing w:after="0" w:line="240" w:lineRule="auto"/>
              <w:jc w:val="center"/>
              <w:rPr>
                <w:rFonts w:eastAsia="Times New Roman"/>
                <w:color w:val="FFFFFF" w:themeColor="background1"/>
                <w:sz w:val="18"/>
                <w:szCs w:val="18"/>
                <w:lang w:eastAsia="ru-RU"/>
              </w:rPr>
            </w:pPr>
            <w:r w:rsidRPr="00F94FED">
              <w:rPr>
                <w:rFonts w:eastAsia="Times New Roman"/>
                <w:color w:val="FFFFFF" w:themeColor="background1"/>
                <w:sz w:val="18"/>
                <w:szCs w:val="18"/>
                <w:lang w:eastAsia="ru-RU"/>
              </w:rPr>
              <w:t>6</w:t>
            </w:r>
          </w:p>
        </w:tc>
        <w:tc>
          <w:tcPr>
            <w:tcW w:w="49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2EC2114" w14:textId="77777777" w:rsidR="009A4C46" w:rsidRPr="00F94FED" w:rsidRDefault="009A4C46" w:rsidP="009A4C46">
            <w:pPr>
              <w:spacing w:after="0" w:line="240" w:lineRule="auto"/>
              <w:jc w:val="center"/>
              <w:rPr>
                <w:rFonts w:eastAsia="Times New Roman"/>
                <w:color w:val="FFFFFF" w:themeColor="background1"/>
                <w:sz w:val="18"/>
                <w:szCs w:val="18"/>
                <w:lang w:eastAsia="ru-RU"/>
              </w:rPr>
            </w:pPr>
            <w:r w:rsidRPr="00F94FED">
              <w:rPr>
                <w:rFonts w:eastAsia="Times New Roman"/>
                <w:color w:val="FFFFFF" w:themeColor="background1"/>
                <w:sz w:val="18"/>
                <w:szCs w:val="18"/>
                <w:lang w:eastAsia="ru-RU"/>
              </w:rPr>
              <w:t>7</w:t>
            </w:r>
          </w:p>
        </w:tc>
        <w:tc>
          <w:tcPr>
            <w:tcW w:w="49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7BD9EE2" w14:textId="77777777" w:rsidR="009A4C46" w:rsidRPr="00F94FED" w:rsidRDefault="009A4C46" w:rsidP="009A4C46">
            <w:pPr>
              <w:spacing w:after="0" w:line="240" w:lineRule="auto"/>
              <w:jc w:val="center"/>
              <w:rPr>
                <w:rFonts w:eastAsia="Times New Roman"/>
                <w:color w:val="FFFFFF" w:themeColor="background1"/>
                <w:sz w:val="18"/>
                <w:szCs w:val="18"/>
                <w:lang w:eastAsia="ru-RU"/>
              </w:rPr>
            </w:pPr>
            <w:r w:rsidRPr="00F94FED">
              <w:rPr>
                <w:rFonts w:eastAsia="Times New Roman"/>
                <w:color w:val="FFFFFF" w:themeColor="background1"/>
                <w:sz w:val="18"/>
                <w:szCs w:val="18"/>
                <w:lang w:eastAsia="ru-RU"/>
              </w:rPr>
              <w:t>8</w:t>
            </w:r>
          </w:p>
        </w:tc>
        <w:tc>
          <w:tcPr>
            <w:tcW w:w="49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0851ACD" w14:textId="77777777" w:rsidR="009A4C46" w:rsidRPr="00F94FED" w:rsidRDefault="009A4C46" w:rsidP="009A4C46">
            <w:pPr>
              <w:spacing w:after="0" w:line="240" w:lineRule="auto"/>
              <w:jc w:val="center"/>
              <w:rPr>
                <w:rFonts w:eastAsia="Times New Roman"/>
                <w:color w:val="FFFFFF" w:themeColor="background1"/>
                <w:sz w:val="18"/>
                <w:szCs w:val="18"/>
                <w:lang w:eastAsia="ru-RU"/>
              </w:rPr>
            </w:pPr>
            <w:r w:rsidRPr="00F94FED">
              <w:rPr>
                <w:rFonts w:eastAsia="Times New Roman"/>
                <w:color w:val="FFFFFF" w:themeColor="background1"/>
                <w:sz w:val="18"/>
                <w:szCs w:val="18"/>
                <w:lang w:eastAsia="ru-RU"/>
              </w:rPr>
              <w:t>9</w:t>
            </w:r>
          </w:p>
        </w:tc>
        <w:tc>
          <w:tcPr>
            <w:tcW w:w="49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D61D4A9" w14:textId="77777777" w:rsidR="009A4C46" w:rsidRPr="00F94FED" w:rsidRDefault="009A4C46" w:rsidP="009A4C46">
            <w:pPr>
              <w:spacing w:after="0" w:line="240" w:lineRule="auto"/>
              <w:jc w:val="center"/>
              <w:rPr>
                <w:rFonts w:eastAsia="Times New Roman"/>
                <w:color w:val="FFFFFF" w:themeColor="background1"/>
                <w:sz w:val="18"/>
                <w:szCs w:val="18"/>
                <w:lang w:eastAsia="ru-RU"/>
              </w:rPr>
            </w:pPr>
            <w:r w:rsidRPr="00F94FED">
              <w:rPr>
                <w:rFonts w:eastAsia="Times New Roman"/>
                <w:color w:val="FFFFFF" w:themeColor="background1"/>
                <w:sz w:val="18"/>
                <w:szCs w:val="18"/>
                <w:lang w:eastAsia="ru-RU"/>
              </w:rPr>
              <w:t>10</w:t>
            </w:r>
          </w:p>
        </w:tc>
      </w:tr>
      <w:tr w:rsidR="00A753B1" w:rsidRPr="009A4C46" w14:paraId="2FF85F6A" w14:textId="77777777" w:rsidTr="00F94FED">
        <w:trPr>
          <w:trHeight w:val="697"/>
        </w:trPr>
        <w:tc>
          <w:tcPr>
            <w:tcW w:w="1058" w:type="pct"/>
            <w:tcBorders>
              <w:top w:val="single" w:sz="4" w:space="0" w:color="FFFFFF" w:themeColor="background1"/>
            </w:tcBorders>
            <w:shd w:val="clear" w:color="auto" w:fill="auto"/>
            <w:vAlign w:val="center"/>
            <w:hideMark/>
          </w:tcPr>
          <w:p w14:paraId="05B9F8BB" w14:textId="77777777" w:rsidR="009A4C46" w:rsidRPr="009A4C46" w:rsidRDefault="009A4C46" w:rsidP="009A4C46">
            <w:pPr>
              <w:spacing w:after="0" w:line="240" w:lineRule="auto"/>
              <w:rPr>
                <w:rFonts w:eastAsia="Times New Roman"/>
                <w:sz w:val="18"/>
                <w:szCs w:val="18"/>
                <w:lang w:eastAsia="ru-RU"/>
              </w:rPr>
            </w:pPr>
            <w:r w:rsidRPr="009A4C46">
              <w:rPr>
                <w:rFonts w:eastAsia="Times New Roman"/>
                <w:sz w:val="18"/>
                <w:szCs w:val="18"/>
                <w:lang w:eastAsia="ru-RU"/>
              </w:rPr>
              <w:t>Инфляция, учтенная Службой по тарифам Республики Тыва, %</w:t>
            </w:r>
          </w:p>
        </w:tc>
        <w:tc>
          <w:tcPr>
            <w:tcW w:w="492" w:type="pct"/>
            <w:tcBorders>
              <w:top w:val="single" w:sz="4" w:space="0" w:color="FFFFFF" w:themeColor="background1"/>
            </w:tcBorders>
            <w:shd w:val="clear" w:color="auto" w:fill="auto"/>
            <w:noWrap/>
            <w:vAlign w:val="center"/>
            <w:hideMark/>
          </w:tcPr>
          <w:p w14:paraId="4A87CC77" w14:textId="77777777" w:rsidR="009A4C46" w:rsidRPr="009A4C46" w:rsidRDefault="009A4C46" w:rsidP="009A4C46">
            <w:pPr>
              <w:spacing w:after="0" w:line="240" w:lineRule="auto"/>
              <w:jc w:val="center"/>
              <w:rPr>
                <w:rFonts w:eastAsia="Times New Roman"/>
                <w:sz w:val="18"/>
                <w:szCs w:val="18"/>
                <w:lang w:eastAsia="ru-RU"/>
              </w:rPr>
            </w:pPr>
            <w:r w:rsidRPr="009A4C46">
              <w:rPr>
                <w:rFonts w:eastAsia="Times New Roman"/>
                <w:sz w:val="18"/>
                <w:szCs w:val="18"/>
                <w:lang w:eastAsia="ru-RU"/>
              </w:rPr>
              <w:t>6,0</w:t>
            </w:r>
          </w:p>
        </w:tc>
        <w:tc>
          <w:tcPr>
            <w:tcW w:w="493" w:type="pct"/>
            <w:tcBorders>
              <w:top w:val="single" w:sz="4" w:space="0" w:color="FFFFFF" w:themeColor="background1"/>
            </w:tcBorders>
            <w:shd w:val="clear" w:color="auto" w:fill="auto"/>
            <w:noWrap/>
            <w:vAlign w:val="center"/>
            <w:hideMark/>
          </w:tcPr>
          <w:p w14:paraId="56BBC35A" w14:textId="77777777" w:rsidR="009A4C46" w:rsidRPr="009A4C46" w:rsidRDefault="009A4C46" w:rsidP="009A4C46">
            <w:pPr>
              <w:spacing w:after="0" w:line="240" w:lineRule="auto"/>
              <w:jc w:val="center"/>
              <w:rPr>
                <w:rFonts w:eastAsia="Times New Roman"/>
                <w:sz w:val="18"/>
                <w:szCs w:val="18"/>
                <w:lang w:eastAsia="ru-RU"/>
              </w:rPr>
            </w:pPr>
            <w:r w:rsidRPr="009A4C46">
              <w:rPr>
                <w:rFonts w:eastAsia="Times New Roman"/>
                <w:sz w:val="18"/>
                <w:szCs w:val="18"/>
                <w:lang w:eastAsia="ru-RU"/>
              </w:rPr>
              <w:t>6,2</w:t>
            </w:r>
          </w:p>
        </w:tc>
        <w:tc>
          <w:tcPr>
            <w:tcW w:w="493" w:type="pct"/>
            <w:tcBorders>
              <w:top w:val="single" w:sz="4" w:space="0" w:color="FFFFFF" w:themeColor="background1"/>
            </w:tcBorders>
            <w:shd w:val="clear" w:color="auto" w:fill="auto"/>
            <w:noWrap/>
            <w:vAlign w:val="center"/>
            <w:hideMark/>
          </w:tcPr>
          <w:p w14:paraId="7C423087" w14:textId="77777777" w:rsidR="009A4C46" w:rsidRPr="009A4C46" w:rsidRDefault="009A4C46" w:rsidP="009A4C46">
            <w:pPr>
              <w:spacing w:after="0" w:line="240" w:lineRule="auto"/>
              <w:jc w:val="center"/>
              <w:rPr>
                <w:rFonts w:eastAsia="Times New Roman"/>
                <w:sz w:val="18"/>
                <w:szCs w:val="18"/>
                <w:lang w:eastAsia="ru-RU"/>
              </w:rPr>
            </w:pPr>
            <w:r w:rsidRPr="009A4C46">
              <w:rPr>
                <w:rFonts w:eastAsia="Times New Roman"/>
                <w:sz w:val="18"/>
                <w:szCs w:val="18"/>
                <w:lang w:eastAsia="ru-RU"/>
              </w:rPr>
              <w:t>5,2</w:t>
            </w:r>
          </w:p>
        </w:tc>
        <w:tc>
          <w:tcPr>
            <w:tcW w:w="493" w:type="pct"/>
            <w:tcBorders>
              <w:top w:val="single" w:sz="4" w:space="0" w:color="FFFFFF" w:themeColor="background1"/>
            </w:tcBorders>
            <w:vAlign w:val="center"/>
          </w:tcPr>
          <w:p w14:paraId="124CAD45" w14:textId="77777777" w:rsidR="009A4C46" w:rsidRPr="009A4C46" w:rsidRDefault="009A4C46" w:rsidP="009A4C46">
            <w:pPr>
              <w:spacing w:after="0" w:line="240" w:lineRule="auto"/>
              <w:jc w:val="center"/>
              <w:rPr>
                <w:rFonts w:eastAsia="Times New Roman"/>
                <w:sz w:val="18"/>
                <w:szCs w:val="18"/>
                <w:lang w:eastAsia="ru-RU"/>
              </w:rPr>
            </w:pPr>
            <w:r w:rsidRPr="009A4C46">
              <w:rPr>
                <w:rFonts w:eastAsia="Times New Roman"/>
                <w:sz w:val="18"/>
                <w:szCs w:val="18"/>
                <w:lang w:eastAsia="ru-RU"/>
              </w:rPr>
              <w:t>4,9</w:t>
            </w:r>
          </w:p>
        </w:tc>
        <w:tc>
          <w:tcPr>
            <w:tcW w:w="493" w:type="pct"/>
            <w:tcBorders>
              <w:top w:val="single" w:sz="4" w:space="0" w:color="FFFFFF" w:themeColor="background1"/>
            </w:tcBorders>
            <w:vAlign w:val="center"/>
          </w:tcPr>
          <w:p w14:paraId="229FFE38" w14:textId="77777777" w:rsidR="009A4C46" w:rsidRPr="009A4C46" w:rsidRDefault="009A4C46" w:rsidP="009A4C46">
            <w:pPr>
              <w:spacing w:after="0" w:line="240" w:lineRule="auto"/>
              <w:jc w:val="center"/>
              <w:rPr>
                <w:rFonts w:eastAsia="Times New Roman"/>
                <w:sz w:val="18"/>
                <w:szCs w:val="18"/>
                <w:lang w:eastAsia="ru-RU"/>
              </w:rPr>
            </w:pPr>
            <w:r w:rsidRPr="009A4C46">
              <w:rPr>
                <w:rFonts w:eastAsia="Times New Roman"/>
                <w:sz w:val="18"/>
                <w:szCs w:val="18"/>
                <w:lang w:eastAsia="ru-RU"/>
              </w:rPr>
              <w:t>4,9</w:t>
            </w:r>
          </w:p>
        </w:tc>
        <w:tc>
          <w:tcPr>
            <w:tcW w:w="493" w:type="pct"/>
            <w:tcBorders>
              <w:top w:val="single" w:sz="4" w:space="0" w:color="FFFFFF" w:themeColor="background1"/>
            </w:tcBorders>
            <w:vAlign w:val="center"/>
          </w:tcPr>
          <w:p w14:paraId="6EE86F20" w14:textId="77777777" w:rsidR="009A4C46" w:rsidRPr="009A4C46" w:rsidRDefault="009A4C46" w:rsidP="009A4C46">
            <w:pPr>
              <w:spacing w:after="0" w:line="240" w:lineRule="auto"/>
              <w:jc w:val="center"/>
              <w:rPr>
                <w:rFonts w:eastAsia="Times New Roman"/>
                <w:sz w:val="18"/>
                <w:szCs w:val="18"/>
                <w:lang w:eastAsia="ru-RU"/>
              </w:rPr>
            </w:pPr>
            <w:r w:rsidRPr="009A4C46">
              <w:rPr>
                <w:rFonts w:eastAsia="Times New Roman"/>
                <w:sz w:val="18"/>
                <w:szCs w:val="18"/>
                <w:lang w:eastAsia="ru-RU"/>
              </w:rPr>
              <w:t>4,9</w:t>
            </w:r>
          </w:p>
        </w:tc>
        <w:tc>
          <w:tcPr>
            <w:tcW w:w="493" w:type="pct"/>
            <w:tcBorders>
              <w:top w:val="single" w:sz="4" w:space="0" w:color="FFFFFF" w:themeColor="background1"/>
            </w:tcBorders>
            <w:vAlign w:val="center"/>
          </w:tcPr>
          <w:p w14:paraId="65FC1516" w14:textId="77777777" w:rsidR="009A4C46" w:rsidRPr="009A4C46" w:rsidRDefault="009A4C46" w:rsidP="009A4C46">
            <w:pPr>
              <w:spacing w:after="0" w:line="240" w:lineRule="auto"/>
              <w:jc w:val="center"/>
              <w:rPr>
                <w:rFonts w:eastAsia="Times New Roman"/>
                <w:sz w:val="18"/>
                <w:szCs w:val="18"/>
                <w:lang w:eastAsia="ru-RU"/>
              </w:rPr>
            </w:pPr>
            <w:r w:rsidRPr="009A4C46">
              <w:rPr>
                <w:rFonts w:eastAsia="Times New Roman"/>
                <w:sz w:val="18"/>
                <w:szCs w:val="18"/>
                <w:lang w:eastAsia="ru-RU"/>
              </w:rPr>
              <w:t>4,0</w:t>
            </w:r>
          </w:p>
        </w:tc>
        <w:tc>
          <w:tcPr>
            <w:tcW w:w="493" w:type="pct"/>
            <w:tcBorders>
              <w:top w:val="single" w:sz="4" w:space="0" w:color="FFFFFF" w:themeColor="background1"/>
            </w:tcBorders>
            <w:vAlign w:val="center"/>
          </w:tcPr>
          <w:p w14:paraId="12C1CD94" w14:textId="77777777" w:rsidR="009A4C46" w:rsidRPr="009A4C46" w:rsidRDefault="009A4C46" w:rsidP="009A4C46">
            <w:pPr>
              <w:spacing w:after="0" w:line="240" w:lineRule="auto"/>
              <w:jc w:val="center"/>
              <w:rPr>
                <w:rFonts w:eastAsia="Times New Roman"/>
                <w:sz w:val="18"/>
                <w:szCs w:val="18"/>
                <w:lang w:eastAsia="ru-RU"/>
              </w:rPr>
            </w:pPr>
            <w:r w:rsidRPr="009A4C46">
              <w:rPr>
                <w:rFonts w:eastAsia="Times New Roman"/>
                <w:sz w:val="18"/>
                <w:szCs w:val="18"/>
                <w:lang w:eastAsia="ru-RU"/>
              </w:rPr>
              <w:t>4,6</w:t>
            </w:r>
          </w:p>
        </w:tc>
      </w:tr>
      <w:tr w:rsidR="00A753B1" w:rsidRPr="009A4C46" w14:paraId="3ED025B1" w14:textId="77777777" w:rsidTr="00A753B1">
        <w:trPr>
          <w:trHeight w:val="865"/>
        </w:trPr>
        <w:tc>
          <w:tcPr>
            <w:tcW w:w="1058" w:type="pct"/>
            <w:shd w:val="clear" w:color="auto" w:fill="auto"/>
            <w:vAlign w:val="center"/>
            <w:hideMark/>
          </w:tcPr>
          <w:p w14:paraId="66712545" w14:textId="77777777" w:rsidR="009A4C46" w:rsidRPr="009A4C46" w:rsidRDefault="009A4C46" w:rsidP="009A4C46">
            <w:pPr>
              <w:spacing w:after="0" w:line="240" w:lineRule="auto"/>
              <w:rPr>
                <w:rFonts w:eastAsia="Times New Roman"/>
                <w:sz w:val="18"/>
                <w:szCs w:val="18"/>
                <w:lang w:eastAsia="ru-RU"/>
              </w:rPr>
            </w:pPr>
            <w:r w:rsidRPr="009A4C46">
              <w:rPr>
                <w:rFonts w:eastAsia="Times New Roman"/>
                <w:sz w:val="18"/>
                <w:szCs w:val="18"/>
                <w:lang w:eastAsia="ru-RU"/>
              </w:rPr>
              <w:t>Актуальная на момент принятия решения инфляция, %</w:t>
            </w:r>
          </w:p>
        </w:tc>
        <w:tc>
          <w:tcPr>
            <w:tcW w:w="492" w:type="pct"/>
            <w:shd w:val="clear" w:color="auto" w:fill="auto"/>
            <w:noWrap/>
            <w:vAlign w:val="center"/>
          </w:tcPr>
          <w:p w14:paraId="1DAFB803" w14:textId="77777777" w:rsidR="009A4C46" w:rsidRPr="009A4C46" w:rsidRDefault="009A4C46" w:rsidP="009A4C46">
            <w:pPr>
              <w:spacing w:after="0" w:line="240" w:lineRule="auto"/>
              <w:jc w:val="center"/>
              <w:rPr>
                <w:rFonts w:eastAsia="Times New Roman"/>
                <w:sz w:val="18"/>
                <w:szCs w:val="18"/>
                <w:lang w:eastAsia="ru-RU"/>
              </w:rPr>
            </w:pPr>
            <w:r w:rsidRPr="009A4C46">
              <w:rPr>
                <w:rFonts w:eastAsia="Times New Roman"/>
                <w:sz w:val="18"/>
                <w:szCs w:val="18"/>
                <w:lang w:eastAsia="ru-RU"/>
              </w:rPr>
              <w:t>5,1</w:t>
            </w:r>
          </w:p>
        </w:tc>
        <w:tc>
          <w:tcPr>
            <w:tcW w:w="493" w:type="pct"/>
            <w:shd w:val="clear" w:color="auto" w:fill="auto"/>
            <w:noWrap/>
            <w:vAlign w:val="center"/>
          </w:tcPr>
          <w:p w14:paraId="79330CCC" w14:textId="77777777" w:rsidR="009A4C46" w:rsidRPr="009A4C46" w:rsidRDefault="009A4C46" w:rsidP="009A4C46">
            <w:pPr>
              <w:spacing w:after="0" w:line="240" w:lineRule="auto"/>
              <w:jc w:val="center"/>
              <w:rPr>
                <w:rFonts w:eastAsia="Times New Roman"/>
                <w:sz w:val="18"/>
                <w:szCs w:val="18"/>
                <w:lang w:eastAsia="ru-RU"/>
              </w:rPr>
            </w:pPr>
            <w:r w:rsidRPr="009A4C46">
              <w:rPr>
                <w:rFonts w:eastAsia="Times New Roman"/>
                <w:sz w:val="18"/>
                <w:szCs w:val="18"/>
                <w:lang w:eastAsia="ru-RU"/>
              </w:rPr>
              <w:t>6,7</w:t>
            </w:r>
          </w:p>
        </w:tc>
        <w:tc>
          <w:tcPr>
            <w:tcW w:w="493" w:type="pct"/>
            <w:shd w:val="clear" w:color="auto" w:fill="auto"/>
            <w:noWrap/>
            <w:vAlign w:val="center"/>
          </w:tcPr>
          <w:p w14:paraId="367EF9C7" w14:textId="77777777" w:rsidR="009A4C46" w:rsidRPr="009A4C46" w:rsidRDefault="009A4C46" w:rsidP="009A4C46">
            <w:pPr>
              <w:spacing w:after="0" w:line="240" w:lineRule="auto"/>
              <w:jc w:val="center"/>
              <w:rPr>
                <w:rFonts w:eastAsia="Times New Roman"/>
                <w:sz w:val="18"/>
                <w:szCs w:val="18"/>
                <w:lang w:eastAsia="ru-RU"/>
              </w:rPr>
            </w:pPr>
            <w:r w:rsidRPr="009A4C46">
              <w:rPr>
                <w:rFonts w:eastAsia="Times New Roman"/>
                <w:sz w:val="18"/>
                <w:szCs w:val="18"/>
                <w:lang w:eastAsia="ru-RU"/>
              </w:rPr>
              <w:t>5,6</w:t>
            </w:r>
          </w:p>
        </w:tc>
        <w:tc>
          <w:tcPr>
            <w:tcW w:w="493" w:type="pct"/>
            <w:vAlign w:val="center"/>
          </w:tcPr>
          <w:p w14:paraId="404110F3" w14:textId="77777777" w:rsidR="009A4C46" w:rsidRPr="009A4C46" w:rsidRDefault="009A4C46" w:rsidP="009A4C46">
            <w:pPr>
              <w:spacing w:after="0" w:line="240" w:lineRule="auto"/>
              <w:jc w:val="center"/>
              <w:rPr>
                <w:rFonts w:eastAsia="Times New Roman"/>
                <w:sz w:val="18"/>
                <w:szCs w:val="18"/>
                <w:lang w:eastAsia="ru-RU"/>
              </w:rPr>
            </w:pPr>
            <w:r w:rsidRPr="009A4C46">
              <w:rPr>
                <w:rFonts w:eastAsia="Times New Roman"/>
                <w:sz w:val="18"/>
                <w:szCs w:val="18"/>
                <w:lang w:eastAsia="ru-RU"/>
              </w:rPr>
              <w:t>6,7</w:t>
            </w:r>
          </w:p>
        </w:tc>
        <w:tc>
          <w:tcPr>
            <w:tcW w:w="493" w:type="pct"/>
            <w:vAlign w:val="center"/>
          </w:tcPr>
          <w:p w14:paraId="1B3402F6" w14:textId="77777777" w:rsidR="009A4C46" w:rsidRPr="009A4C46" w:rsidRDefault="009A4C46" w:rsidP="009A4C46">
            <w:pPr>
              <w:spacing w:after="0" w:line="240" w:lineRule="auto"/>
              <w:jc w:val="center"/>
              <w:rPr>
                <w:rFonts w:eastAsia="Times New Roman"/>
                <w:sz w:val="18"/>
                <w:szCs w:val="18"/>
                <w:lang w:eastAsia="ru-RU"/>
              </w:rPr>
            </w:pPr>
            <w:r w:rsidRPr="009A4C46">
              <w:rPr>
                <w:rFonts w:eastAsia="Times New Roman"/>
                <w:sz w:val="18"/>
                <w:szCs w:val="18"/>
                <w:lang w:eastAsia="ru-RU"/>
              </w:rPr>
              <w:t>7,4</w:t>
            </w:r>
          </w:p>
        </w:tc>
        <w:tc>
          <w:tcPr>
            <w:tcW w:w="493" w:type="pct"/>
            <w:vAlign w:val="center"/>
          </w:tcPr>
          <w:p w14:paraId="35625230" w14:textId="77777777" w:rsidR="009A4C46" w:rsidRPr="009A4C46" w:rsidRDefault="009A4C46" w:rsidP="009A4C46">
            <w:pPr>
              <w:spacing w:after="0" w:line="240" w:lineRule="auto"/>
              <w:jc w:val="center"/>
              <w:rPr>
                <w:rFonts w:eastAsia="Times New Roman"/>
                <w:sz w:val="18"/>
                <w:szCs w:val="18"/>
                <w:lang w:eastAsia="ru-RU"/>
              </w:rPr>
            </w:pPr>
            <w:r w:rsidRPr="009A4C46">
              <w:rPr>
                <w:rFonts w:eastAsia="Times New Roman"/>
                <w:sz w:val="18"/>
                <w:szCs w:val="18"/>
                <w:lang w:eastAsia="ru-RU"/>
              </w:rPr>
              <w:t>4,7</w:t>
            </w:r>
          </w:p>
        </w:tc>
        <w:tc>
          <w:tcPr>
            <w:tcW w:w="493" w:type="pct"/>
            <w:vAlign w:val="center"/>
          </w:tcPr>
          <w:p w14:paraId="17F7C578" w14:textId="77777777" w:rsidR="009A4C46" w:rsidRPr="009A4C46" w:rsidRDefault="009A4C46" w:rsidP="009A4C46">
            <w:pPr>
              <w:spacing w:after="0" w:line="240" w:lineRule="auto"/>
              <w:jc w:val="center"/>
              <w:rPr>
                <w:rFonts w:eastAsia="Times New Roman"/>
                <w:sz w:val="18"/>
                <w:szCs w:val="18"/>
                <w:lang w:eastAsia="ru-RU"/>
              </w:rPr>
            </w:pPr>
            <w:r w:rsidRPr="009A4C46">
              <w:rPr>
                <w:rFonts w:eastAsia="Times New Roman"/>
                <w:sz w:val="18"/>
                <w:szCs w:val="18"/>
                <w:lang w:eastAsia="ru-RU"/>
              </w:rPr>
              <w:t>3,7</w:t>
            </w:r>
          </w:p>
        </w:tc>
        <w:tc>
          <w:tcPr>
            <w:tcW w:w="493" w:type="pct"/>
            <w:vAlign w:val="center"/>
          </w:tcPr>
          <w:p w14:paraId="175F51C1" w14:textId="77777777" w:rsidR="009A4C46" w:rsidRPr="009A4C46" w:rsidRDefault="009A4C46" w:rsidP="009A4C46">
            <w:pPr>
              <w:spacing w:after="0" w:line="240" w:lineRule="auto"/>
              <w:jc w:val="center"/>
              <w:rPr>
                <w:rFonts w:eastAsia="Times New Roman"/>
                <w:sz w:val="18"/>
                <w:szCs w:val="18"/>
                <w:lang w:eastAsia="ru-RU"/>
              </w:rPr>
            </w:pPr>
            <w:r w:rsidRPr="009A4C46">
              <w:rPr>
                <w:rFonts w:eastAsia="Times New Roman"/>
                <w:sz w:val="18"/>
                <w:szCs w:val="18"/>
                <w:lang w:eastAsia="ru-RU"/>
              </w:rPr>
              <w:t>4,6</w:t>
            </w:r>
          </w:p>
        </w:tc>
      </w:tr>
      <w:tr w:rsidR="00A753B1" w:rsidRPr="009A4C46" w14:paraId="52C542D4" w14:textId="77777777" w:rsidTr="00F94FED">
        <w:trPr>
          <w:trHeight w:val="535"/>
        </w:trPr>
        <w:tc>
          <w:tcPr>
            <w:tcW w:w="1058" w:type="pct"/>
            <w:shd w:val="clear" w:color="auto" w:fill="auto"/>
            <w:vAlign w:val="center"/>
            <w:hideMark/>
          </w:tcPr>
          <w:p w14:paraId="5242C334" w14:textId="77777777" w:rsidR="009A4C46" w:rsidRPr="009A4C46" w:rsidRDefault="009A4C46" w:rsidP="009A4C46">
            <w:pPr>
              <w:spacing w:after="0" w:line="240" w:lineRule="auto"/>
              <w:rPr>
                <w:rFonts w:eastAsia="Times New Roman"/>
                <w:sz w:val="18"/>
                <w:szCs w:val="18"/>
                <w:lang w:eastAsia="ru-RU"/>
              </w:rPr>
            </w:pPr>
            <w:r w:rsidRPr="009A4C46">
              <w:rPr>
                <w:rFonts w:eastAsia="Times New Roman"/>
                <w:sz w:val="18"/>
                <w:szCs w:val="18"/>
                <w:lang w:eastAsia="ru-RU"/>
              </w:rPr>
              <w:t>Дата опубликования</w:t>
            </w:r>
          </w:p>
        </w:tc>
        <w:tc>
          <w:tcPr>
            <w:tcW w:w="492" w:type="pct"/>
            <w:shd w:val="clear" w:color="auto" w:fill="auto"/>
            <w:noWrap/>
            <w:vAlign w:val="bottom"/>
          </w:tcPr>
          <w:p w14:paraId="66477BCD" w14:textId="77777777" w:rsidR="009A4C46" w:rsidRPr="009A4C46" w:rsidRDefault="009A4C46" w:rsidP="009A4C46">
            <w:pPr>
              <w:spacing w:after="0" w:line="240" w:lineRule="auto"/>
              <w:jc w:val="center"/>
              <w:rPr>
                <w:rFonts w:eastAsia="Times New Roman"/>
                <w:sz w:val="18"/>
                <w:szCs w:val="18"/>
                <w:lang w:eastAsia="ru-RU"/>
              </w:rPr>
            </w:pPr>
            <w:r w:rsidRPr="009A4C46">
              <w:rPr>
                <w:rFonts w:eastAsia="Times New Roman"/>
                <w:sz w:val="18"/>
                <w:szCs w:val="18"/>
                <w:lang w:eastAsia="ru-RU"/>
              </w:rPr>
              <w:t>06.10.11</w:t>
            </w:r>
          </w:p>
        </w:tc>
        <w:tc>
          <w:tcPr>
            <w:tcW w:w="493" w:type="pct"/>
            <w:shd w:val="clear" w:color="auto" w:fill="auto"/>
            <w:noWrap/>
            <w:vAlign w:val="bottom"/>
          </w:tcPr>
          <w:p w14:paraId="5F656679" w14:textId="77777777" w:rsidR="009A4C46" w:rsidRPr="009A4C46" w:rsidRDefault="009A4C46" w:rsidP="009A4C46">
            <w:pPr>
              <w:spacing w:after="0" w:line="240" w:lineRule="auto"/>
              <w:jc w:val="center"/>
              <w:rPr>
                <w:rFonts w:eastAsia="Times New Roman"/>
                <w:sz w:val="18"/>
                <w:szCs w:val="18"/>
                <w:lang w:eastAsia="ru-RU"/>
              </w:rPr>
            </w:pPr>
            <w:r w:rsidRPr="009A4C46">
              <w:rPr>
                <w:rFonts w:eastAsia="Times New Roman"/>
                <w:sz w:val="18"/>
                <w:szCs w:val="18"/>
                <w:lang w:eastAsia="ru-RU"/>
              </w:rPr>
              <w:t>14.12.12</w:t>
            </w:r>
          </w:p>
        </w:tc>
        <w:tc>
          <w:tcPr>
            <w:tcW w:w="493" w:type="pct"/>
            <w:shd w:val="clear" w:color="auto" w:fill="auto"/>
            <w:noWrap/>
            <w:vAlign w:val="bottom"/>
          </w:tcPr>
          <w:p w14:paraId="50192B97" w14:textId="77777777" w:rsidR="009A4C46" w:rsidRPr="009A4C46" w:rsidRDefault="009A4C46" w:rsidP="009A4C46">
            <w:pPr>
              <w:spacing w:after="0" w:line="240" w:lineRule="auto"/>
              <w:jc w:val="center"/>
              <w:rPr>
                <w:rFonts w:eastAsia="Times New Roman"/>
                <w:sz w:val="18"/>
                <w:szCs w:val="18"/>
                <w:lang w:eastAsia="ru-RU"/>
              </w:rPr>
            </w:pPr>
            <w:r w:rsidRPr="009A4C46">
              <w:rPr>
                <w:rFonts w:eastAsia="Times New Roman"/>
                <w:sz w:val="18"/>
                <w:szCs w:val="18"/>
                <w:lang w:eastAsia="ru-RU"/>
              </w:rPr>
              <w:t>23.10.13</w:t>
            </w:r>
          </w:p>
        </w:tc>
        <w:tc>
          <w:tcPr>
            <w:tcW w:w="493" w:type="pct"/>
            <w:shd w:val="clear" w:color="auto" w:fill="auto"/>
            <w:vAlign w:val="bottom"/>
          </w:tcPr>
          <w:p w14:paraId="70AA0E74" w14:textId="77777777" w:rsidR="009A4C46" w:rsidRPr="009A4C46" w:rsidRDefault="009A4C46" w:rsidP="009A4C46">
            <w:pPr>
              <w:spacing w:after="0" w:line="240" w:lineRule="auto"/>
              <w:jc w:val="center"/>
              <w:rPr>
                <w:rFonts w:eastAsia="Times New Roman"/>
                <w:sz w:val="18"/>
                <w:szCs w:val="18"/>
                <w:lang w:eastAsia="ru-RU"/>
              </w:rPr>
            </w:pPr>
            <w:r w:rsidRPr="009A4C46">
              <w:rPr>
                <w:rFonts w:eastAsia="Times New Roman"/>
                <w:sz w:val="18"/>
                <w:szCs w:val="18"/>
                <w:lang w:eastAsia="ru-RU"/>
              </w:rPr>
              <w:t>26.09.14</w:t>
            </w:r>
          </w:p>
        </w:tc>
        <w:tc>
          <w:tcPr>
            <w:tcW w:w="493" w:type="pct"/>
            <w:shd w:val="clear" w:color="auto" w:fill="auto"/>
            <w:vAlign w:val="bottom"/>
          </w:tcPr>
          <w:p w14:paraId="46F966BC" w14:textId="77777777" w:rsidR="009A4C46" w:rsidRPr="009A4C46" w:rsidRDefault="009A4C46" w:rsidP="009A4C46">
            <w:pPr>
              <w:spacing w:after="0" w:line="240" w:lineRule="auto"/>
              <w:jc w:val="center"/>
              <w:rPr>
                <w:rFonts w:eastAsia="Times New Roman"/>
                <w:sz w:val="18"/>
                <w:szCs w:val="18"/>
                <w:lang w:eastAsia="ru-RU"/>
              </w:rPr>
            </w:pPr>
            <w:r w:rsidRPr="009A4C46">
              <w:rPr>
                <w:rFonts w:eastAsia="Times New Roman"/>
                <w:sz w:val="18"/>
                <w:szCs w:val="18"/>
                <w:lang w:eastAsia="ru-RU"/>
              </w:rPr>
              <w:t>26.10.15</w:t>
            </w:r>
          </w:p>
        </w:tc>
        <w:tc>
          <w:tcPr>
            <w:tcW w:w="493" w:type="pct"/>
            <w:shd w:val="clear" w:color="auto" w:fill="auto"/>
            <w:vAlign w:val="bottom"/>
          </w:tcPr>
          <w:p w14:paraId="68E71808" w14:textId="77777777" w:rsidR="009A4C46" w:rsidRPr="009A4C46" w:rsidRDefault="009A4C46" w:rsidP="009A4C46">
            <w:pPr>
              <w:spacing w:after="0" w:line="240" w:lineRule="auto"/>
              <w:jc w:val="center"/>
              <w:rPr>
                <w:rFonts w:eastAsia="Times New Roman"/>
                <w:sz w:val="18"/>
                <w:szCs w:val="18"/>
                <w:lang w:eastAsia="ru-RU"/>
              </w:rPr>
            </w:pPr>
            <w:r w:rsidRPr="009A4C46">
              <w:rPr>
                <w:rFonts w:eastAsia="Times New Roman"/>
                <w:sz w:val="18"/>
                <w:szCs w:val="18"/>
                <w:lang w:eastAsia="ru-RU"/>
              </w:rPr>
              <w:t>24.11.16</w:t>
            </w:r>
          </w:p>
        </w:tc>
        <w:tc>
          <w:tcPr>
            <w:tcW w:w="493" w:type="pct"/>
            <w:shd w:val="clear" w:color="auto" w:fill="auto"/>
            <w:vAlign w:val="bottom"/>
          </w:tcPr>
          <w:p w14:paraId="0491CDAA" w14:textId="77777777" w:rsidR="009A4C46" w:rsidRPr="009A4C46" w:rsidRDefault="009A4C46" w:rsidP="009A4C46">
            <w:pPr>
              <w:spacing w:after="0" w:line="240" w:lineRule="auto"/>
              <w:jc w:val="center"/>
              <w:rPr>
                <w:rFonts w:eastAsia="Times New Roman"/>
                <w:sz w:val="18"/>
                <w:szCs w:val="18"/>
                <w:lang w:eastAsia="ru-RU"/>
              </w:rPr>
            </w:pPr>
            <w:r w:rsidRPr="009A4C46">
              <w:rPr>
                <w:rFonts w:eastAsia="Times New Roman"/>
                <w:sz w:val="18"/>
                <w:szCs w:val="18"/>
                <w:lang w:eastAsia="ru-RU"/>
              </w:rPr>
              <w:t>27.10.17</w:t>
            </w:r>
          </w:p>
        </w:tc>
        <w:tc>
          <w:tcPr>
            <w:tcW w:w="493" w:type="pct"/>
            <w:shd w:val="clear" w:color="auto" w:fill="auto"/>
            <w:vAlign w:val="bottom"/>
          </w:tcPr>
          <w:p w14:paraId="688BB5AB" w14:textId="77777777" w:rsidR="009A4C46" w:rsidRPr="009A4C46" w:rsidRDefault="009A4C46" w:rsidP="009A4C46">
            <w:pPr>
              <w:spacing w:after="0" w:line="240" w:lineRule="auto"/>
              <w:jc w:val="center"/>
              <w:rPr>
                <w:rFonts w:eastAsia="Times New Roman"/>
                <w:sz w:val="18"/>
                <w:szCs w:val="18"/>
                <w:lang w:eastAsia="ru-RU"/>
              </w:rPr>
            </w:pPr>
            <w:r w:rsidRPr="009A4C46">
              <w:rPr>
                <w:rFonts w:eastAsia="Times New Roman"/>
                <w:sz w:val="18"/>
                <w:szCs w:val="18"/>
                <w:lang w:eastAsia="ru-RU"/>
              </w:rPr>
              <w:t>01.10.18</w:t>
            </w:r>
          </w:p>
        </w:tc>
      </w:tr>
      <w:tr w:rsidR="00A753B1" w:rsidRPr="009A4C46" w14:paraId="0B1FE796" w14:textId="77777777" w:rsidTr="00A753B1">
        <w:trPr>
          <w:trHeight w:val="865"/>
        </w:trPr>
        <w:tc>
          <w:tcPr>
            <w:tcW w:w="1058" w:type="pct"/>
            <w:shd w:val="clear" w:color="auto" w:fill="auto"/>
            <w:vAlign w:val="center"/>
            <w:hideMark/>
          </w:tcPr>
          <w:p w14:paraId="74A19375" w14:textId="77777777" w:rsidR="009A4C46" w:rsidRPr="009A4C46" w:rsidRDefault="009A4C46" w:rsidP="009A4C46">
            <w:pPr>
              <w:spacing w:after="0" w:line="240" w:lineRule="auto"/>
              <w:rPr>
                <w:rFonts w:eastAsia="Times New Roman"/>
                <w:sz w:val="18"/>
                <w:szCs w:val="18"/>
                <w:lang w:eastAsia="ru-RU"/>
              </w:rPr>
            </w:pPr>
            <w:r w:rsidRPr="009A4C46">
              <w:rPr>
                <w:rFonts w:eastAsia="Times New Roman"/>
                <w:sz w:val="18"/>
                <w:szCs w:val="18"/>
                <w:lang w:eastAsia="ru-RU"/>
              </w:rPr>
              <w:t>Дата принятия решения</w:t>
            </w:r>
          </w:p>
        </w:tc>
        <w:tc>
          <w:tcPr>
            <w:tcW w:w="492" w:type="pct"/>
            <w:shd w:val="clear" w:color="auto" w:fill="auto"/>
            <w:noWrap/>
            <w:vAlign w:val="center"/>
          </w:tcPr>
          <w:p w14:paraId="75A2E48A" w14:textId="77777777" w:rsidR="009A4C46" w:rsidRPr="009A4C46" w:rsidRDefault="009A4C46" w:rsidP="009A4C46">
            <w:pPr>
              <w:spacing w:after="0" w:line="240" w:lineRule="auto"/>
              <w:jc w:val="center"/>
              <w:rPr>
                <w:rFonts w:eastAsia="Times New Roman"/>
                <w:sz w:val="18"/>
                <w:szCs w:val="18"/>
                <w:lang w:eastAsia="ru-RU"/>
              </w:rPr>
            </w:pPr>
            <w:r w:rsidRPr="009A4C46">
              <w:rPr>
                <w:rFonts w:eastAsia="Times New Roman"/>
                <w:sz w:val="18"/>
                <w:szCs w:val="18"/>
                <w:lang w:eastAsia="ru-RU"/>
              </w:rPr>
              <w:t>30.03.12</w:t>
            </w:r>
          </w:p>
        </w:tc>
        <w:tc>
          <w:tcPr>
            <w:tcW w:w="493" w:type="pct"/>
            <w:shd w:val="clear" w:color="auto" w:fill="auto"/>
            <w:noWrap/>
            <w:vAlign w:val="center"/>
          </w:tcPr>
          <w:p w14:paraId="052677D9" w14:textId="77777777" w:rsidR="009A4C46" w:rsidRPr="009A4C46" w:rsidRDefault="009A4C46" w:rsidP="009A4C46">
            <w:pPr>
              <w:spacing w:after="0" w:line="240" w:lineRule="auto"/>
              <w:jc w:val="center"/>
              <w:rPr>
                <w:rFonts w:eastAsia="Times New Roman"/>
                <w:sz w:val="18"/>
                <w:szCs w:val="18"/>
                <w:lang w:eastAsia="ru-RU"/>
              </w:rPr>
            </w:pPr>
            <w:r w:rsidRPr="009A4C46">
              <w:rPr>
                <w:rFonts w:eastAsia="Times New Roman"/>
                <w:sz w:val="18"/>
                <w:szCs w:val="18"/>
                <w:lang w:eastAsia="ru-RU"/>
              </w:rPr>
              <w:t>28.12.12</w:t>
            </w:r>
          </w:p>
        </w:tc>
        <w:tc>
          <w:tcPr>
            <w:tcW w:w="493" w:type="pct"/>
            <w:shd w:val="clear" w:color="auto" w:fill="auto"/>
            <w:noWrap/>
            <w:vAlign w:val="center"/>
          </w:tcPr>
          <w:p w14:paraId="2FD08119" w14:textId="77777777" w:rsidR="009A4C46" w:rsidRPr="009A4C46" w:rsidRDefault="009A4C46" w:rsidP="009A4C46">
            <w:pPr>
              <w:spacing w:after="0" w:line="240" w:lineRule="auto"/>
              <w:jc w:val="center"/>
              <w:rPr>
                <w:rFonts w:eastAsia="Times New Roman"/>
                <w:sz w:val="18"/>
                <w:szCs w:val="18"/>
                <w:lang w:eastAsia="ru-RU"/>
              </w:rPr>
            </w:pPr>
            <w:r w:rsidRPr="009A4C46">
              <w:rPr>
                <w:rFonts w:eastAsia="Times New Roman"/>
                <w:sz w:val="18"/>
                <w:szCs w:val="18"/>
                <w:lang w:eastAsia="ru-RU"/>
              </w:rPr>
              <w:t>30.12.13 (в ред. 27.03.14)</w:t>
            </w:r>
          </w:p>
        </w:tc>
        <w:tc>
          <w:tcPr>
            <w:tcW w:w="493" w:type="pct"/>
            <w:vAlign w:val="center"/>
          </w:tcPr>
          <w:p w14:paraId="6CF55793" w14:textId="77777777" w:rsidR="009A4C46" w:rsidRPr="009A4C46" w:rsidRDefault="009A4C46" w:rsidP="009A4C46">
            <w:pPr>
              <w:spacing w:after="0" w:line="240" w:lineRule="auto"/>
              <w:jc w:val="center"/>
              <w:rPr>
                <w:rFonts w:eastAsia="Times New Roman"/>
                <w:sz w:val="18"/>
                <w:szCs w:val="18"/>
                <w:lang w:eastAsia="ru-RU"/>
              </w:rPr>
            </w:pPr>
            <w:r w:rsidRPr="009A4C46">
              <w:rPr>
                <w:rFonts w:eastAsia="Times New Roman"/>
                <w:sz w:val="18"/>
                <w:szCs w:val="18"/>
                <w:lang w:eastAsia="ru-RU"/>
              </w:rPr>
              <w:t>30.12.14 (в ред. 30.06.15)</w:t>
            </w:r>
          </w:p>
        </w:tc>
        <w:tc>
          <w:tcPr>
            <w:tcW w:w="493" w:type="pct"/>
            <w:vAlign w:val="center"/>
          </w:tcPr>
          <w:p w14:paraId="1B2D84C9" w14:textId="77777777" w:rsidR="009A4C46" w:rsidRPr="009A4C46" w:rsidRDefault="009A4C46" w:rsidP="009A4C46">
            <w:pPr>
              <w:spacing w:after="0" w:line="240" w:lineRule="auto"/>
              <w:jc w:val="center"/>
              <w:rPr>
                <w:rFonts w:eastAsia="Times New Roman"/>
                <w:sz w:val="18"/>
                <w:szCs w:val="18"/>
                <w:lang w:eastAsia="ru-RU"/>
              </w:rPr>
            </w:pPr>
            <w:r w:rsidRPr="009A4C46">
              <w:rPr>
                <w:rFonts w:eastAsia="Times New Roman"/>
                <w:sz w:val="18"/>
                <w:szCs w:val="18"/>
                <w:lang w:eastAsia="ru-RU"/>
              </w:rPr>
              <w:t>29.12.15</w:t>
            </w:r>
          </w:p>
        </w:tc>
        <w:tc>
          <w:tcPr>
            <w:tcW w:w="493" w:type="pct"/>
            <w:vAlign w:val="center"/>
          </w:tcPr>
          <w:p w14:paraId="3C4BD987" w14:textId="77777777" w:rsidR="009A4C46" w:rsidRPr="009A4C46" w:rsidRDefault="009A4C46" w:rsidP="009A4C46">
            <w:pPr>
              <w:spacing w:after="0" w:line="240" w:lineRule="auto"/>
              <w:jc w:val="center"/>
              <w:rPr>
                <w:rFonts w:eastAsia="Times New Roman"/>
                <w:sz w:val="18"/>
                <w:szCs w:val="18"/>
                <w:lang w:eastAsia="ru-RU"/>
              </w:rPr>
            </w:pPr>
            <w:r w:rsidRPr="009A4C46">
              <w:rPr>
                <w:rFonts w:eastAsia="Times New Roman"/>
                <w:sz w:val="18"/>
                <w:szCs w:val="18"/>
                <w:lang w:eastAsia="ru-RU"/>
              </w:rPr>
              <w:t>30.12.16</w:t>
            </w:r>
          </w:p>
        </w:tc>
        <w:tc>
          <w:tcPr>
            <w:tcW w:w="493" w:type="pct"/>
            <w:vAlign w:val="center"/>
          </w:tcPr>
          <w:p w14:paraId="44E4E6F6" w14:textId="77777777" w:rsidR="009A4C46" w:rsidRPr="009A4C46" w:rsidRDefault="009A4C46" w:rsidP="009A4C46">
            <w:pPr>
              <w:spacing w:after="0" w:line="240" w:lineRule="auto"/>
              <w:jc w:val="center"/>
              <w:rPr>
                <w:rFonts w:eastAsia="Times New Roman"/>
                <w:sz w:val="18"/>
                <w:szCs w:val="18"/>
                <w:lang w:eastAsia="ru-RU"/>
              </w:rPr>
            </w:pPr>
            <w:r w:rsidRPr="009A4C46">
              <w:rPr>
                <w:rFonts w:eastAsia="Times New Roman"/>
                <w:sz w:val="18"/>
                <w:szCs w:val="18"/>
                <w:lang w:eastAsia="ru-RU"/>
              </w:rPr>
              <w:t>29.12.17 (в ред. 29.06.18)</w:t>
            </w:r>
          </w:p>
        </w:tc>
        <w:tc>
          <w:tcPr>
            <w:tcW w:w="493" w:type="pct"/>
            <w:vAlign w:val="center"/>
          </w:tcPr>
          <w:p w14:paraId="1C7D39D2" w14:textId="77777777" w:rsidR="009A4C46" w:rsidRPr="009A4C46" w:rsidRDefault="009A4C46" w:rsidP="009A4C46">
            <w:pPr>
              <w:spacing w:after="0" w:line="240" w:lineRule="auto"/>
              <w:jc w:val="center"/>
              <w:rPr>
                <w:rFonts w:eastAsia="Times New Roman"/>
                <w:sz w:val="18"/>
                <w:szCs w:val="18"/>
                <w:lang w:eastAsia="ru-RU"/>
              </w:rPr>
            </w:pPr>
            <w:r w:rsidRPr="009A4C46">
              <w:rPr>
                <w:rFonts w:eastAsia="Times New Roman"/>
                <w:sz w:val="18"/>
                <w:szCs w:val="18"/>
                <w:lang w:eastAsia="ru-RU"/>
              </w:rPr>
              <w:t>29.12.18</w:t>
            </w:r>
          </w:p>
        </w:tc>
      </w:tr>
    </w:tbl>
    <w:p w14:paraId="6204251B" w14:textId="77777777" w:rsidR="009A4C46" w:rsidRPr="00F94FED" w:rsidRDefault="009A4C46" w:rsidP="00F94FED">
      <w:pPr>
        <w:spacing w:after="0" w:line="360" w:lineRule="auto"/>
        <w:ind w:firstLine="567"/>
        <w:contextualSpacing/>
        <w:jc w:val="both"/>
        <w:rPr>
          <w:rFonts w:eastAsia="Calibri"/>
          <w:sz w:val="26"/>
          <w:szCs w:val="26"/>
        </w:rPr>
      </w:pPr>
    </w:p>
    <w:p w14:paraId="54105ED0" w14:textId="5E59B58D" w:rsidR="009A4C46" w:rsidRPr="00F94FED" w:rsidRDefault="009A4C46" w:rsidP="00F94FED">
      <w:pPr>
        <w:spacing w:after="0" w:line="360" w:lineRule="auto"/>
        <w:ind w:firstLine="567"/>
        <w:contextualSpacing/>
        <w:jc w:val="both"/>
        <w:rPr>
          <w:rFonts w:eastAsia="Calibri"/>
          <w:sz w:val="26"/>
          <w:szCs w:val="26"/>
        </w:rPr>
      </w:pPr>
      <w:r w:rsidRPr="00F94FED">
        <w:rPr>
          <w:rFonts w:eastAsia="Calibri"/>
          <w:sz w:val="26"/>
          <w:szCs w:val="26"/>
        </w:rPr>
        <w:t>На основании вышеизложенного, Исполнитель делает вывод, что уровень подконтрольных расходов на 2019 год занижен, так как в предшествующие годы долгосрочного периода регулирования учитывались заниженные параметры индекса изменения количества активов и индекса потребительских цен. В связи с отсутствием данных по фактическому количеству условных единиц за 2012-2016 гг. рассчитать размер отклонения по уровню подконтрольных расходов в долгосрочном периоде регулирования не представляется возможным, подконтрольные расходы приняты Исполнителем на уровне</w:t>
      </w:r>
      <w:r w:rsidR="00A753B1">
        <w:rPr>
          <w:rFonts w:eastAsia="Calibri"/>
          <w:sz w:val="26"/>
          <w:szCs w:val="26"/>
        </w:rPr>
        <w:t>,</w:t>
      </w:r>
      <w:r w:rsidRPr="00F94FED">
        <w:rPr>
          <w:rFonts w:eastAsia="Calibri"/>
          <w:sz w:val="26"/>
          <w:szCs w:val="26"/>
        </w:rPr>
        <w:t xml:space="preserve"> учтенном Службой по тарифам Республики Тыва в размере 602 031 тыс. руб. </w:t>
      </w:r>
    </w:p>
    <w:p w14:paraId="131241E2" w14:textId="77777777" w:rsidR="009A4C46" w:rsidRPr="00F94FED" w:rsidRDefault="009A4C46" w:rsidP="00F94FED">
      <w:pPr>
        <w:spacing w:after="0" w:line="360" w:lineRule="auto"/>
        <w:ind w:firstLine="567"/>
        <w:contextualSpacing/>
        <w:jc w:val="both"/>
        <w:rPr>
          <w:rFonts w:eastAsia="Calibri"/>
          <w:sz w:val="26"/>
          <w:szCs w:val="26"/>
        </w:rPr>
      </w:pPr>
      <w:r w:rsidRPr="00F94FED">
        <w:rPr>
          <w:rFonts w:eastAsia="Calibri"/>
          <w:sz w:val="26"/>
          <w:szCs w:val="26"/>
        </w:rPr>
        <w:t>На основании постатейного анализа неподконтрольных расходов Исполнитель делает следующий вывод:</w:t>
      </w:r>
    </w:p>
    <w:p w14:paraId="3E76394B" w14:textId="04B1CF8B" w:rsidR="009A4C46" w:rsidRPr="00F94FED" w:rsidRDefault="009A4C46" w:rsidP="00F94FED">
      <w:pPr>
        <w:numPr>
          <w:ilvl w:val="0"/>
          <w:numId w:val="15"/>
        </w:numPr>
        <w:spacing w:after="32" w:line="360" w:lineRule="auto"/>
        <w:ind w:left="1134" w:hanging="567"/>
        <w:contextualSpacing/>
        <w:jc w:val="both"/>
        <w:rPr>
          <w:rFonts w:eastAsia="Times New Roman"/>
          <w:sz w:val="26"/>
          <w:szCs w:val="26"/>
          <w:lang w:eastAsia="ru-RU"/>
        </w:rPr>
      </w:pPr>
      <w:r w:rsidRPr="00F94FED">
        <w:rPr>
          <w:rFonts w:eastAsia="Times New Roman"/>
          <w:sz w:val="26"/>
          <w:szCs w:val="26"/>
          <w:lang w:eastAsia="ru-RU"/>
        </w:rPr>
        <w:t>Затраты по статье «Оплата услуг ПАО «ФСК ЕЭС» по расчетам Исполнителя составили 232 318 тыс. руб., что соответствует размеру затрат</w:t>
      </w:r>
      <w:r w:rsidR="00A753B1">
        <w:rPr>
          <w:rFonts w:eastAsia="Times New Roman"/>
          <w:sz w:val="26"/>
          <w:szCs w:val="26"/>
          <w:lang w:eastAsia="ru-RU"/>
        </w:rPr>
        <w:t>,</w:t>
      </w:r>
      <w:r w:rsidRPr="00F94FED">
        <w:rPr>
          <w:rFonts w:eastAsia="Times New Roman"/>
          <w:sz w:val="26"/>
          <w:szCs w:val="26"/>
          <w:lang w:eastAsia="ru-RU"/>
        </w:rPr>
        <w:t xml:space="preserve"> спрогнозированным Службой по тарифам Республики Тыва. </w:t>
      </w:r>
      <w:r w:rsidRPr="00F94FED">
        <w:rPr>
          <w:rFonts w:eastAsia="Times New Roman"/>
          <w:sz w:val="26"/>
          <w:szCs w:val="26"/>
          <w:lang w:eastAsia="ru-RU"/>
        </w:rPr>
        <w:lastRenderedPageBreak/>
        <w:t>Отклонени</w:t>
      </w:r>
      <w:r w:rsidR="006136CF">
        <w:rPr>
          <w:rFonts w:eastAsia="Times New Roman"/>
          <w:sz w:val="26"/>
          <w:szCs w:val="26"/>
          <w:lang w:eastAsia="ru-RU"/>
        </w:rPr>
        <w:t>е</w:t>
      </w:r>
      <w:r w:rsidRPr="00F94FED">
        <w:rPr>
          <w:rFonts w:eastAsia="Times New Roman"/>
          <w:sz w:val="26"/>
          <w:szCs w:val="26"/>
          <w:lang w:eastAsia="ru-RU"/>
        </w:rPr>
        <w:t xml:space="preserve"> относительно расчетов АО «Тываэнерго» составили +4</w:t>
      </w:r>
      <w:r w:rsidR="00A753B1">
        <w:rPr>
          <w:rFonts w:eastAsia="Times New Roman"/>
          <w:sz w:val="26"/>
          <w:szCs w:val="26"/>
          <w:lang w:eastAsia="ru-RU"/>
        </w:rPr>
        <w:t> </w:t>
      </w:r>
      <w:r w:rsidRPr="00F94FED">
        <w:rPr>
          <w:rFonts w:eastAsia="Times New Roman"/>
          <w:sz w:val="26"/>
          <w:szCs w:val="26"/>
          <w:lang w:eastAsia="ru-RU"/>
        </w:rPr>
        <w:t>822 тыс. руб.</w:t>
      </w:r>
    </w:p>
    <w:p w14:paraId="5880C2F1" w14:textId="77777777" w:rsidR="009A4C46" w:rsidRPr="00F94FED" w:rsidRDefault="009A4C46" w:rsidP="00F94FED">
      <w:pPr>
        <w:numPr>
          <w:ilvl w:val="0"/>
          <w:numId w:val="15"/>
        </w:numPr>
        <w:spacing w:after="32" w:line="360" w:lineRule="auto"/>
        <w:ind w:left="1134" w:hanging="567"/>
        <w:contextualSpacing/>
        <w:jc w:val="both"/>
        <w:rPr>
          <w:rFonts w:eastAsia="Times New Roman"/>
          <w:sz w:val="26"/>
          <w:szCs w:val="26"/>
          <w:lang w:eastAsia="ru-RU"/>
        </w:rPr>
      </w:pPr>
      <w:r w:rsidRPr="00F94FED">
        <w:rPr>
          <w:rFonts w:eastAsia="Times New Roman"/>
          <w:sz w:val="26"/>
          <w:szCs w:val="26"/>
          <w:lang w:eastAsia="ru-RU"/>
        </w:rPr>
        <w:t>Затраты по статье «Энергия на хозяйственные нужды» по расчетам Исполнителя составили 16 299 тыс. руб., отклонение относительно расчетов АО «Тываэнерго» и Службой по тарифам Республики Тыва, учтенных в НВВ на 2019 год составили +492 тыс. руб.</w:t>
      </w:r>
    </w:p>
    <w:p w14:paraId="5EC38971" w14:textId="77777777" w:rsidR="009A4C46" w:rsidRPr="00F94FED" w:rsidRDefault="009A4C46" w:rsidP="00F94FED">
      <w:pPr>
        <w:numPr>
          <w:ilvl w:val="0"/>
          <w:numId w:val="15"/>
        </w:numPr>
        <w:spacing w:after="32" w:line="360" w:lineRule="auto"/>
        <w:ind w:left="1134" w:hanging="567"/>
        <w:contextualSpacing/>
        <w:jc w:val="both"/>
        <w:rPr>
          <w:rFonts w:eastAsia="Times New Roman"/>
          <w:sz w:val="26"/>
          <w:szCs w:val="26"/>
          <w:lang w:eastAsia="ru-RU"/>
        </w:rPr>
      </w:pPr>
      <w:r w:rsidRPr="00F94FED">
        <w:rPr>
          <w:rFonts w:eastAsia="Times New Roman"/>
          <w:sz w:val="26"/>
          <w:szCs w:val="26"/>
          <w:lang w:eastAsia="ru-RU"/>
        </w:rPr>
        <w:t>Затраты по статье «Арендная плата» приняты Исполнителем на уровне, учтенном Службой по тарифам Республики Тыва в размере 15 818 тыс. руб. При этом Исполнитель отмечает, что со стороны АО «Тываэнерго» отсутствует документарное подтверждение, в связи с чем Исполнителем оценен риск возможного изъятия расходов со стороны федерального органа исполнительной власти в размере 14 649 тыс. руб.</w:t>
      </w:r>
    </w:p>
    <w:p w14:paraId="0E7C917D" w14:textId="77777777" w:rsidR="009A4C46" w:rsidRPr="00F94FED" w:rsidRDefault="009A4C46" w:rsidP="00F94FED">
      <w:pPr>
        <w:numPr>
          <w:ilvl w:val="0"/>
          <w:numId w:val="15"/>
        </w:numPr>
        <w:spacing w:after="32" w:line="360" w:lineRule="auto"/>
        <w:ind w:left="1134" w:hanging="567"/>
        <w:contextualSpacing/>
        <w:jc w:val="both"/>
        <w:rPr>
          <w:rFonts w:eastAsia="Times New Roman"/>
          <w:sz w:val="26"/>
          <w:szCs w:val="26"/>
          <w:lang w:eastAsia="ru-RU"/>
        </w:rPr>
      </w:pPr>
      <w:r w:rsidRPr="00F94FED">
        <w:rPr>
          <w:rFonts w:eastAsia="Times New Roman"/>
          <w:sz w:val="26"/>
          <w:szCs w:val="26"/>
          <w:lang w:eastAsia="ru-RU"/>
        </w:rPr>
        <w:t xml:space="preserve">Затраты по статье «Налоги (без учета налога на прибыль)» на 2019 год по расчетам Исполнителя составили 19 559 тыс. руб., отклонение относительно расчетов АО «Тываэнерго» составили (-7 329) тыс. руб. </w:t>
      </w:r>
    </w:p>
    <w:p w14:paraId="5BE62F4A" w14:textId="55B9410F" w:rsidR="009A4C46" w:rsidRPr="00F94FED" w:rsidRDefault="009A4C46" w:rsidP="00F94FED">
      <w:pPr>
        <w:numPr>
          <w:ilvl w:val="0"/>
          <w:numId w:val="15"/>
        </w:numPr>
        <w:spacing w:after="32" w:line="360" w:lineRule="auto"/>
        <w:ind w:left="1134" w:hanging="567"/>
        <w:contextualSpacing/>
        <w:jc w:val="both"/>
        <w:rPr>
          <w:rFonts w:eastAsia="Times New Roman"/>
          <w:sz w:val="26"/>
          <w:szCs w:val="26"/>
          <w:lang w:eastAsia="ru-RU"/>
        </w:rPr>
      </w:pPr>
      <w:r w:rsidRPr="00F94FED">
        <w:rPr>
          <w:rFonts w:eastAsia="Times New Roman"/>
          <w:sz w:val="26"/>
          <w:szCs w:val="26"/>
          <w:lang w:eastAsia="ru-RU"/>
        </w:rPr>
        <w:t>Затраты по статье «</w:t>
      </w:r>
      <w:r w:rsidRPr="00F94FED">
        <w:rPr>
          <w:rFonts w:eastAsia="Calibri"/>
          <w:sz w:val="26"/>
          <w:szCs w:val="26"/>
        </w:rPr>
        <w:t>Отчисления на страховые взносы» на 2019 год по расчетам Исполнителя составили 111 543 тыс. руб., отклонени</w:t>
      </w:r>
      <w:r w:rsidR="006136CF">
        <w:rPr>
          <w:rFonts w:eastAsia="Calibri"/>
          <w:sz w:val="26"/>
          <w:szCs w:val="26"/>
        </w:rPr>
        <w:t>е</w:t>
      </w:r>
      <w:r w:rsidRPr="00F94FED">
        <w:rPr>
          <w:rFonts w:eastAsia="Calibri"/>
          <w:sz w:val="26"/>
          <w:szCs w:val="26"/>
        </w:rPr>
        <w:t xml:space="preserve"> относительно расчетов АО «Тываэнерго» и Службы по тарифам Республики Тыва, учтенных в НВВ на 2019 год составили (-4 390) тыс. руб.</w:t>
      </w:r>
    </w:p>
    <w:p w14:paraId="28B123A5" w14:textId="43EE1630" w:rsidR="009A4C46" w:rsidRPr="00F94FED" w:rsidRDefault="009A4C46" w:rsidP="00F94FED">
      <w:pPr>
        <w:numPr>
          <w:ilvl w:val="0"/>
          <w:numId w:val="15"/>
        </w:numPr>
        <w:spacing w:after="32" w:line="360" w:lineRule="auto"/>
        <w:ind w:left="1134" w:hanging="567"/>
        <w:contextualSpacing/>
        <w:jc w:val="both"/>
        <w:rPr>
          <w:rFonts w:eastAsia="Times New Roman"/>
          <w:sz w:val="26"/>
          <w:szCs w:val="26"/>
          <w:lang w:eastAsia="ru-RU"/>
        </w:rPr>
      </w:pPr>
      <w:r w:rsidRPr="00F94FED">
        <w:rPr>
          <w:rFonts w:eastAsia="Times New Roman"/>
          <w:sz w:val="26"/>
          <w:szCs w:val="26"/>
          <w:lang w:eastAsia="ru-RU"/>
        </w:rPr>
        <w:t>Затраты по статье «Прочие неподконтрольные расходы» по расчетам Исполнителя составили 72 925 тыс. руб., отклонени</w:t>
      </w:r>
      <w:r w:rsidR="006136CF">
        <w:rPr>
          <w:rFonts w:eastAsia="Times New Roman"/>
          <w:sz w:val="26"/>
          <w:szCs w:val="26"/>
          <w:lang w:eastAsia="ru-RU"/>
        </w:rPr>
        <w:t>е</w:t>
      </w:r>
      <w:r w:rsidRPr="00F94FED">
        <w:rPr>
          <w:rFonts w:eastAsia="Times New Roman"/>
          <w:sz w:val="26"/>
          <w:szCs w:val="26"/>
          <w:lang w:eastAsia="ru-RU"/>
        </w:rPr>
        <w:t xml:space="preserve"> относительно заявленных АО «Тываэнерго» составили (-5</w:t>
      </w:r>
      <w:r w:rsidR="00BC370C">
        <w:rPr>
          <w:rFonts w:eastAsia="Times New Roman"/>
          <w:sz w:val="26"/>
          <w:szCs w:val="26"/>
          <w:lang w:eastAsia="ru-RU"/>
        </w:rPr>
        <w:t> </w:t>
      </w:r>
      <w:r w:rsidRPr="00F94FED">
        <w:rPr>
          <w:rFonts w:eastAsia="Times New Roman"/>
          <w:sz w:val="26"/>
          <w:szCs w:val="26"/>
          <w:lang w:eastAsia="ru-RU"/>
        </w:rPr>
        <w:t>941</w:t>
      </w:r>
      <w:r w:rsidR="00BC370C">
        <w:rPr>
          <w:rFonts w:eastAsia="Times New Roman"/>
          <w:sz w:val="26"/>
          <w:szCs w:val="26"/>
          <w:lang w:eastAsia="ru-RU"/>
        </w:rPr>
        <w:t> </w:t>
      </w:r>
      <w:r w:rsidRPr="00F94FED">
        <w:rPr>
          <w:rFonts w:eastAsia="Times New Roman"/>
          <w:sz w:val="26"/>
          <w:szCs w:val="26"/>
          <w:lang w:eastAsia="ru-RU"/>
        </w:rPr>
        <w:t>438) тыс. руб., относительно учтенных Службой по тарифам Республики Тыва</w:t>
      </w:r>
      <w:r w:rsidR="00BC370C">
        <w:rPr>
          <w:rFonts w:eastAsia="Times New Roman"/>
          <w:sz w:val="26"/>
          <w:szCs w:val="26"/>
          <w:lang w:eastAsia="ru-RU"/>
        </w:rPr>
        <w:t xml:space="preserve"> в размере</w:t>
      </w:r>
      <w:r w:rsidRPr="00F94FED">
        <w:rPr>
          <w:rFonts w:eastAsia="Times New Roman"/>
          <w:sz w:val="26"/>
          <w:szCs w:val="26"/>
          <w:lang w:eastAsia="ru-RU"/>
        </w:rPr>
        <w:t xml:space="preserve"> +34 890 тыс. руб.</w:t>
      </w:r>
    </w:p>
    <w:p w14:paraId="2EB12ACA" w14:textId="3B85D554" w:rsidR="009A4C46" w:rsidRPr="00F94FED" w:rsidRDefault="009A4C46" w:rsidP="00F94FED">
      <w:pPr>
        <w:numPr>
          <w:ilvl w:val="0"/>
          <w:numId w:val="15"/>
        </w:numPr>
        <w:spacing w:after="32" w:line="360" w:lineRule="auto"/>
        <w:ind w:left="1134" w:hanging="567"/>
        <w:contextualSpacing/>
        <w:jc w:val="both"/>
        <w:rPr>
          <w:rFonts w:eastAsia="Times New Roman"/>
          <w:sz w:val="26"/>
          <w:szCs w:val="26"/>
          <w:lang w:eastAsia="ru-RU"/>
        </w:rPr>
      </w:pPr>
      <w:r w:rsidRPr="00F94FED">
        <w:rPr>
          <w:rFonts w:eastAsia="Times New Roman"/>
          <w:sz w:val="26"/>
          <w:szCs w:val="26"/>
          <w:lang w:eastAsia="ru-RU"/>
        </w:rPr>
        <w:t>Затраты по статье «Списание дебиторской задолженности» приняты Исполнителем на уровне, учтенном Службой по тарифам Республики Тыва в размере 72</w:t>
      </w:r>
      <w:r w:rsidR="00BC370C">
        <w:rPr>
          <w:rFonts w:eastAsia="Times New Roman"/>
          <w:sz w:val="26"/>
          <w:szCs w:val="26"/>
          <w:lang w:eastAsia="ru-RU"/>
        </w:rPr>
        <w:t> </w:t>
      </w:r>
      <w:r w:rsidRPr="00F94FED">
        <w:rPr>
          <w:rFonts w:eastAsia="Times New Roman"/>
          <w:sz w:val="26"/>
          <w:szCs w:val="26"/>
          <w:lang w:eastAsia="ru-RU"/>
        </w:rPr>
        <w:t>794 тыс. руб.</w:t>
      </w:r>
    </w:p>
    <w:p w14:paraId="5DC3438C" w14:textId="48B09EC1" w:rsidR="009A4C46" w:rsidRPr="00F94FED" w:rsidRDefault="009A4C46" w:rsidP="00F94FED">
      <w:pPr>
        <w:numPr>
          <w:ilvl w:val="0"/>
          <w:numId w:val="15"/>
        </w:numPr>
        <w:spacing w:after="32" w:line="360" w:lineRule="auto"/>
        <w:ind w:left="1134" w:hanging="567"/>
        <w:contextualSpacing/>
        <w:jc w:val="both"/>
        <w:rPr>
          <w:rFonts w:eastAsia="Times New Roman"/>
          <w:sz w:val="26"/>
          <w:szCs w:val="26"/>
          <w:lang w:eastAsia="ru-RU"/>
        </w:rPr>
      </w:pPr>
      <w:r w:rsidRPr="00F94FED">
        <w:rPr>
          <w:rFonts w:eastAsia="Times New Roman"/>
          <w:sz w:val="26"/>
          <w:szCs w:val="26"/>
          <w:lang w:eastAsia="ru-RU"/>
        </w:rPr>
        <w:t>Затраты по статье «Налог на прибыль» по расчетам Исполнителя соответствую затратам, заявленным АО «Тываэнерго» и составили 112</w:t>
      </w:r>
      <w:r w:rsidR="00BC370C">
        <w:rPr>
          <w:rFonts w:eastAsia="Times New Roman"/>
          <w:sz w:val="26"/>
          <w:szCs w:val="26"/>
          <w:lang w:eastAsia="ru-RU"/>
        </w:rPr>
        <w:t> </w:t>
      </w:r>
      <w:r w:rsidRPr="00F94FED">
        <w:rPr>
          <w:rFonts w:eastAsia="Times New Roman"/>
          <w:sz w:val="26"/>
          <w:szCs w:val="26"/>
          <w:lang w:eastAsia="ru-RU"/>
        </w:rPr>
        <w:t>229 тыс. руб., отклонени</w:t>
      </w:r>
      <w:r w:rsidR="006136CF">
        <w:rPr>
          <w:rFonts w:eastAsia="Times New Roman"/>
          <w:sz w:val="26"/>
          <w:szCs w:val="26"/>
          <w:lang w:eastAsia="ru-RU"/>
        </w:rPr>
        <w:t>е</w:t>
      </w:r>
      <w:r w:rsidRPr="00F94FED">
        <w:rPr>
          <w:rFonts w:eastAsia="Times New Roman"/>
          <w:sz w:val="26"/>
          <w:szCs w:val="26"/>
          <w:lang w:eastAsia="ru-RU"/>
        </w:rPr>
        <w:t xml:space="preserve"> относительно учтенных Службой по тарифам Республики Тыва +112</w:t>
      </w:r>
      <w:r w:rsidR="00BC370C">
        <w:rPr>
          <w:rFonts w:eastAsia="Times New Roman"/>
          <w:sz w:val="26"/>
          <w:szCs w:val="26"/>
          <w:lang w:eastAsia="ru-RU"/>
        </w:rPr>
        <w:t> </w:t>
      </w:r>
      <w:r w:rsidRPr="00F94FED">
        <w:rPr>
          <w:rFonts w:eastAsia="Times New Roman"/>
          <w:sz w:val="26"/>
          <w:szCs w:val="26"/>
          <w:lang w:eastAsia="ru-RU"/>
        </w:rPr>
        <w:t xml:space="preserve">229 тыс. руб. </w:t>
      </w:r>
    </w:p>
    <w:p w14:paraId="27034C98" w14:textId="2BD9BD22" w:rsidR="009A4C46" w:rsidRPr="00F94FED" w:rsidRDefault="009A4C46" w:rsidP="00F94FED">
      <w:pPr>
        <w:numPr>
          <w:ilvl w:val="0"/>
          <w:numId w:val="15"/>
        </w:numPr>
        <w:spacing w:after="32" w:line="360" w:lineRule="auto"/>
        <w:ind w:left="1134" w:hanging="567"/>
        <w:contextualSpacing/>
        <w:jc w:val="both"/>
        <w:rPr>
          <w:rFonts w:eastAsia="Times New Roman"/>
          <w:sz w:val="26"/>
          <w:szCs w:val="26"/>
          <w:lang w:eastAsia="ru-RU"/>
        </w:rPr>
      </w:pPr>
      <w:r w:rsidRPr="00F94FED">
        <w:rPr>
          <w:rFonts w:eastAsia="Times New Roman"/>
          <w:sz w:val="26"/>
          <w:szCs w:val="26"/>
          <w:lang w:eastAsia="ru-RU"/>
        </w:rPr>
        <w:lastRenderedPageBreak/>
        <w:t>Затраты по статье «Выпадающие доходы от льготного ТП» по расчетам Исполнителя составили 65 202 тыс. руб., отклонени</w:t>
      </w:r>
      <w:r w:rsidR="006136CF">
        <w:rPr>
          <w:rFonts w:eastAsia="Times New Roman"/>
          <w:sz w:val="26"/>
          <w:szCs w:val="26"/>
          <w:lang w:eastAsia="ru-RU"/>
        </w:rPr>
        <w:t>е</w:t>
      </w:r>
      <w:r w:rsidRPr="00F94FED">
        <w:rPr>
          <w:rFonts w:eastAsia="Times New Roman"/>
          <w:sz w:val="26"/>
          <w:szCs w:val="26"/>
          <w:lang w:eastAsia="ru-RU"/>
        </w:rPr>
        <w:t xml:space="preserve"> относительно заявленных АО «Тываэнерго» составили +8 580 тыс. руб., относительно учтенных Службой по тарифам Республики Тыва +14</w:t>
      </w:r>
      <w:r w:rsidR="00BC370C">
        <w:rPr>
          <w:rFonts w:eastAsia="Times New Roman"/>
          <w:sz w:val="26"/>
          <w:szCs w:val="26"/>
          <w:lang w:eastAsia="ru-RU"/>
        </w:rPr>
        <w:t> </w:t>
      </w:r>
      <w:r w:rsidRPr="00F94FED">
        <w:rPr>
          <w:rFonts w:eastAsia="Times New Roman"/>
          <w:sz w:val="26"/>
          <w:szCs w:val="26"/>
          <w:lang w:eastAsia="ru-RU"/>
        </w:rPr>
        <w:t>550 тыс. руб.</w:t>
      </w:r>
    </w:p>
    <w:p w14:paraId="449E2AED" w14:textId="77777777" w:rsidR="009A4C46" w:rsidRPr="00F94FED" w:rsidRDefault="009A4C46" w:rsidP="00F94FED">
      <w:pPr>
        <w:numPr>
          <w:ilvl w:val="0"/>
          <w:numId w:val="15"/>
        </w:numPr>
        <w:spacing w:after="32" w:line="360" w:lineRule="auto"/>
        <w:ind w:left="1134" w:hanging="567"/>
        <w:contextualSpacing/>
        <w:jc w:val="both"/>
        <w:rPr>
          <w:rFonts w:eastAsia="Times New Roman"/>
          <w:sz w:val="26"/>
          <w:szCs w:val="26"/>
          <w:lang w:eastAsia="ru-RU"/>
        </w:rPr>
      </w:pPr>
      <w:r w:rsidRPr="00F94FED">
        <w:rPr>
          <w:rFonts w:eastAsia="Times New Roman"/>
          <w:sz w:val="26"/>
          <w:szCs w:val="26"/>
          <w:lang w:eastAsia="ru-RU"/>
        </w:rPr>
        <w:t xml:space="preserve">Затраты по статье «Амортизационные отчисления» приняты Исполнителем на уровне, учтенном Службой по тарифам Республики Тыва в размере 105 422 тыс. руб.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58"/>
        <w:gridCol w:w="1090"/>
        <w:gridCol w:w="1394"/>
        <w:gridCol w:w="1342"/>
        <w:gridCol w:w="1383"/>
        <w:gridCol w:w="1114"/>
        <w:gridCol w:w="964"/>
      </w:tblGrid>
      <w:tr w:rsidR="00BC370C" w:rsidRPr="00BC370C" w14:paraId="1D69B0A7" w14:textId="77777777" w:rsidTr="00BC370C">
        <w:trPr>
          <w:trHeight w:val="315"/>
        </w:trPr>
        <w:tc>
          <w:tcPr>
            <w:tcW w:w="110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2E1996C" w14:textId="77777777" w:rsidR="009A4C46" w:rsidRPr="00F94FED" w:rsidRDefault="009A4C46" w:rsidP="009A4C46">
            <w:pPr>
              <w:spacing w:after="0" w:line="240" w:lineRule="auto"/>
              <w:jc w:val="center"/>
              <w:rPr>
                <w:rFonts w:eastAsia="Times New Roman"/>
                <w:b/>
                <w:color w:val="FFFFFF" w:themeColor="background1"/>
                <w:sz w:val="18"/>
                <w:szCs w:val="18"/>
                <w:lang w:eastAsia="ru-RU"/>
              </w:rPr>
            </w:pPr>
            <w:r w:rsidRPr="00F94FED">
              <w:rPr>
                <w:rFonts w:eastAsia="Times New Roman"/>
                <w:b/>
                <w:color w:val="FFFFFF" w:themeColor="background1"/>
                <w:sz w:val="18"/>
                <w:szCs w:val="18"/>
                <w:lang w:eastAsia="ru-RU"/>
              </w:rPr>
              <w:t>Показатель</w:t>
            </w:r>
          </w:p>
        </w:tc>
        <w:tc>
          <w:tcPr>
            <w:tcW w:w="58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3C7771D" w14:textId="77777777" w:rsidR="009A4C46" w:rsidRPr="00F94FED" w:rsidRDefault="009A4C46" w:rsidP="009A4C46">
            <w:pPr>
              <w:spacing w:after="0" w:line="240" w:lineRule="auto"/>
              <w:jc w:val="center"/>
              <w:rPr>
                <w:rFonts w:eastAsia="Times New Roman"/>
                <w:b/>
                <w:color w:val="FFFFFF" w:themeColor="background1"/>
                <w:sz w:val="18"/>
                <w:szCs w:val="18"/>
                <w:lang w:eastAsia="ru-RU"/>
              </w:rPr>
            </w:pPr>
            <w:r w:rsidRPr="00F94FED">
              <w:rPr>
                <w:rFonts w:eastAsia="Times New Roman"/>
                <w:b/>
                <w:color w:val="FFFFFF" w:themeColor="background1"/>
                <w:sz w:val="18"/>
                <w:szCs w:val="18"/>
                <w:lang w:eastAsia="ru-RU"/>
              </w:rPr>
              <w:t>Ед. изм.</w:t>
            </w:r>
          </w:p>
        </w:tc>
        <w:tc>
          <w:tcPr>
            <w:tcW w:w="3316" w:type="pct"/>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63153D4" w14:textId="77777777" w:rsidR="009A4C46" w:rsidRPr="00F94FED" w:rsidRDefault="009A4C46" w:rsidP="009A4C46">
            <w:pPr>
              <w:spacing w:after="0" w:line="240" w:lineRule="auto"/>
              <w:jc w:val="center"/>
              <w:rPr>
                <w:rFonts w:eastAsia="Times New Roman"/>
                <w:b/>
                <w:color w:val="FFFFFF" w:themeColor="background1"/>
                <w:sz w:val="18"/>
                <w:szCs w:val="18"/>
                <w:lang w:eastAsia="ru-RU"/>
              </w:rPr>
            </w:pPr>
            <w:r w:rsidRPr="00F94FED">
              <w:rPr>
                <w:rFonts w:eastAsia="Times New Roman"/>
                <w:b/>
                <w:color w:val="FFFFFF" w:themeColor="background1"/>
                <w:sz w:val="18"/>
                <w:szCs w:val="18"/>
                <w:lang w:eastAsia="ru-RU"/>
              </w:rPr>
              <w:t>2019 год</w:t>
            </w:r>
          </w:p>
        </w:tc>
      </w:tr>
      <w:tr w:rsidR="00BC370C" w:rsidRPr="00BC370C" w14:paraId="398A7F4E" w14:textId="77777777" w:rsidTr="00BC370C">
        <w:trPr>
          <w:trHeight w:val="749"/>
        </w:trPr>
        <w:tc>
          <w:tcPr>
            <w:tcW w:w="110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AAAB8D4" w14:textId="77777777" w:rsidR="009A4C46" w:rsidRPr="00F94FED" w:rsidRDefault="009A4C46" w:rsidP="009A4C46">
            <w:pPr>
              <w:spacing w:after="0" w:line="240" w:lineRule="auto"/>
              <w:rPr>
                <w:rFonts w:eastAsia="Times New Roman"/>
                <w:b/>
                <w:color w:val="FFFFFF" w:themeColor="background1"/>
                <w:sz w:val="18"/>
                <w:szCs w:val="18"/>
                <w:lang w:eastAsia="ru-RU"/>
              </w:rPr>
            </w:pPr>
          </w:p>
        </w:tc>
        <w:tc>
          <w:tcPr>
            <w:tcW w:w="58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28185C5" w14:textId="77777777" w:rsidR="009A4C46" w:rsidRPr="00F94FED" w:rsidRDefault="009A4C46" w:rsidP="009A4C46">
            <w:pPr>
              <w:spacing w:after="0" w:line="240" w:lineRule="auto"/>
              <w:rPr>
                <w:rFonts w:eastAsia="Times New Roman"/>
                <w:b/>
                <w:color w:val="FFFFFF" w:themeColor="background1"/>
                <w:sz w:val="18"/>
                <w:szCs w:val="18"/>
                <w:lang w:eastAsia="ru-RU"/>
              </w:rPr>
            </w:pPr>
          </w:p>
        </w:tc>
        <w:tc>
          <w:tcPr>
            <w:tcW w:w="74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DF587A5" w14:textId="77777777" w:rsidR="009A4C46" w:rsidRPr="00F94FED" w:rsidRDefault="009A4C46" w:rsidP="009A4C46">
            <w:pPr>
              <w:spacing w:after="0" w:line="240" w:lineRule="auto"/>
              <w:jc w:val="center"/>
              <w:rPr>
                <w:rFonts w:eastAsia="Times New Roman"/>
                <w:b/>
                <w:color w:val="FFFFFF" w:themeColor="background1"/>
                <w:sz w:val="18"/>
                <w:szCs w:val="18"/>
                <w:lang w:eastAsia="ru-RU"/>
              </w:rPr>
            </w:pPr>
            <w:r w:rsidRPr="00F94FED">
              <w:rPr>
                <w:rFonts w:eastAsia="Times New Roman"/>
                <w:b/>
                <w:color w:val="FFFFFF" w:themeColor="background1"/>
                <w:sz w:val="18"/>
                <w:szCs w:val="18"/>
                <w:lang w:eastAsia="ru-RU"/>
              </w:rPr>
              <w:t>Предложение АО «Тываэнерго</w:t>
            </w:r>
          </w:p>
        </w:tc>
        <w:tc>
          <w:tcPr>
            <w:tcW w:w="71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F619DD0" w14:textId="1643A236" w:rsidR="009A4C46" w:rsidRPr="00F94FED" w:rsidRDefault="009A4C46" w:rsidP="009A4C46">
            <w:pPr>
              <w:spacing w:after="0" w:line="240" w:lineRule="auto"/>
              <w:jc w:val="center"/>
              <w:rPr>
                <w:rFonts w:eastAsia="Times New Roman"/>
                <w:b/>
                <w:color w:val="FFFFFF" w:themeColor="background1"/>
                <w:sz w:val="18"/>
                <w:szCs w:val="18"/>
                <w:lang w:eastAsia="ru-RU"/>
              </w:rPr>
            </w:pPr>
            <w:r w:rsidRPr="00F94FED">
              <w:rPr>
                <w:rFonts w:eastAsia="Times New Roman"/>
                <w:b/>
                <w:color w:val="FFFFFF" w:themeColor="background1"/>
                <w:sz w:val="18"/>
                <w:szCs w:val="18"/>
                <w:lang w:eastAsia="ru-RU"/>
              </w:rPr>
              <w:t xml:space="preserve">Утверждено </w:t>
            </w:r>
            <w:r w:rsidR="008B0B3C">
              <w:rPr>
                <w:rFonts w:eastAsia="Times New Roman"/>
                <w:b/>
                <w:color w:val="FFFFFF" w:themeColor="background1"/>
                <w:sz w:val="18"/>
                <w:szCs w:val="18"/>
                <w:lang w:eastAsia="ru-RU"/>
              </w:rPr>
              <w:t>Службой</w:t>
            </w:r>
          </w:p>
        </w:tc>
        <w:tc>
          <w:tcPr>
            <w:tcW w:w="74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EEFE904" w14:textId="77777777" w:rsidR="009A4C46" w:rsidRPr="00F94FED" w:rsidRDefault="009A4C46" w:rsidP="009A4C46">
            <w:pPr>
              <w:spacing w:after="0" w:line="240" w:lineRule="auto"/>
              <w:jc w:val="center"/>
              <w:rPr>
                <w:rFonts w:eastAsia="Times New Roman"/>
                <w:b/>
                <w:color w:val="FFFFFF" w:themeColor="background1"/>
                <w:sz w:val="18"/>
                <w:szCs w:val="18"/>
                <w:lang w:eastAsia="ru-RU"/>
              </w:rPr>
            </w:pPr>
            <w:r w:rsidRPr="00F94FED">
              <w:rPr>
                <w:rFonts w:eastAsia="Times New Roman"/>
                <w:b/>
                <w:color w:val="FFFFFF" w:themeColor="background1"/>
                <w:sz w:val="18"/>
                <w:szCs w:val="18"/>
                <w:lang w:eastAsia="ru-RU"/>
              </w:rPr>
              <w:t>Позиция Исполнителя</w:t>
            </w:r>
          </w:p>
        </w:tc>
        <w:tc>
          <w:tcPr>
            <w:tcW w:w="1111"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4CAF7A0" w14:textId="77777777" w:rsidR="009A4C46" w:rsidRPr="00F94FED" w:rsidRDefault="009A4C46" w:rsidP="009A4C46">
            <w:pPr>
              <w:spacing w:after="0" w:line="240" w:lineRule="auto"/>
              <w:jc w:val="center"/>
              <w:rPr>
                <w:rFonts w:eastAsia="Times New Roman"/>
                <w:b/>
                <w:color w:val="FFFFFF" w:themeColor="background1"/>
                <w:sz w:val="18"/>
                <w:szCs w:val="18"/>
                <w:lang w:eastAsia="ru-RU"/>
              </w:rPr>
            </w:pPr>
            <w:r w:rsidRPr="00F94FED">
              <w:rPr>
                <w:rFonts w:eastAsia="Times New Roman"/>
                <w:b/>
                <w:color w:val="FFFFFF" w:themeColor="background1"/>
                <w:sz w:val="18"/>
                <w:szCs w:val="18"/>
                <w:lang w:eastAsia="ru-RU"/>
              </w:rPr>
              <w:t>Отклонение</w:t>
            </w:r>
          </w:p>
        </w:tc>
      </w:tr>
      <w:tr w:rsidR="00BC370C" w:rsidRPr="00BC370C" w14:paraId="34B58477" w14:textId="77777777" w:rsidTr="00BC370C">
        <w:trPr>
          <w:trHeight w:val="315"/>
        </w:trPr>
        <w:tc>
          <w:tcPr>
            <w:tcW w:w="110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142A66F" w14:textId="77777777" w:rsidR="009A4C46" w:rsidRPr="00F94FED" w:rsidRDefault="009A4C46" w:rsidP="009A4C46">
            <w:pPr>
              <w:spacing w:after="0" w:line="240" w:lineRule="auto"/>
              <w:jc w:val="center"/>
              <w:rPr>
                <w:rFonts w:eastAsia="Times New Roman"/>
                <w:b/>
                <w:color w:val="FFFFFF" w:themeColor="background1"/>
                <w:sz w:val="18"/>
                <w:szCs w:val="18"/>
                <w:lang w:eastAsia="ru-RU"/>
              </w:rPr>
            </w:pPr>
            <w:r w:rsidRPr="00F94FED">
              <w:rPr>
                <w:rFonts w:eastAsia="Times New Roman"/>
                <w:b/>
                <w:color w:val="FFFFFF" w:themeColor="background1"/>
                <w:sz w:val="18"/>
                <w:szCs w:val="18"/>
                <w:lang w:eastAsia="ru-RU"/>
              </w:rPr>
              <w:t>1</w:t>
            </w:r>
          </w:p>
        </w:tc>
        <w:tc>
          <w:tcPr>
            <w:tcW w:w="5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4F7B4A9" w14:textId="77777777" w:rsidR="009A4C46" w:rsidRPr="00F94FED" w:rsidRDefault="009A4C46" w:rsidP="009A4C46">
            <w:pPr>
              <w:spacing w:after="0" w:line="240" w:lineRule="auto"/>
              <w:jc w:val="center"/>
              <w:rPr>
                <w:rFonts w:eastAsia="Times New Roman"/>
                <w:b/>
                <w:color w:val="FFFFFF" w:themeColor="background1"/>
                <w:sz w:val="18"/>
                <w:szCs w:val="18"/>
                <w:lang w:eastAsia="ru-RU"/>
              </w:rPr>
            </w:pPr>
            <w:r w:rsidRPr="00F94FED">
              <w:rPr>
                <w:rFonts w:eastAsia="Times New Roman"/>
                <w:b/>
                <w:color w:val="FFFFFF" w:themeColor="background1"/>
                <w:sz w:val="18"/>
                <w:szCs w:val="18"/>
                <w:lang w:eastAsia="ru-RU"/>
              </w:rPr>
              <w:t>2</w:t>
            </w:r>
          </w:p>
        </w:tc>
        <w:tc>
          <w:tcPr>
            <w:tcW w:w="74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DDA840B" w14:textId="77777777" w:rsidR="009A4C46" w:rsidRPr="00F94FED" w:rsidRDefault="009A4C46" w:rsidP="009A4C46">
            <w:pPr>
              <w:spacing w:after="0" w:line="240" w:lineRule="auto"/>
              <w:jc w:val="center"/>
              <w:rPr>
                <w:rFonts w:eastAsia="Times New Roman"/>
                <w:b/>
                <w:color w:val="FFFFFF" w:themeColor="background1"/>
                <w:sz w:val="18"/>
                <w:szCs w:val="18"/>
                <w:lang w:eastAsia="ru-RU"/>
              </w:rPr>
            </w:pPr>
            <w:r w:rsidRPr="00F94FED">
              <w:rPr>
                <w:rFonts w:eastAsia="Times New Roman"/>
                <w:b/>
                <w:color w:val="FFFFFF" w:themeColor="background1"/>
                <w:sz w:val="18"/>
                <w:szCs w:val="18"/>
                <w:lang w:eastAsia="ru-RU"/>
              </w:rPr>
              <w:t>3</w:t>
            </w:r>
          </w:p>
        </w:tc>
        <w:tc>
          <w:tcPr>
            <w:tcW w:w="71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308933A" w14:textId="77777777" w:rsidR="009A4C46" w:rsidRPr="00F94FED" w:rsidRDefault="009A4C46" w:rsidP="009A4C46">
            <w:pPr>
              <w:spacing w:after="0" w:line="240" w:lineRule="auto"/>
              <w:jc w:val="center"/>
              <w:rPr>
                <w:rFonts w:eastAsia="Times New Roman"/>
                <w:b/>
                <w:color w:val="FFFFFF" w:themeColor="background1"/>
                <w:sz w:val="18"/>
                <w:szCs w:val="18"/>
                <w:lang w:eastAsia="ru-RU"/>
              </w:rPr>
            </w:pPr>
            <w:r w:rsidRPr="00F94FED">
              <w:rPr>
                <w:rFonts w:eastAsia="Times New Roman"/>
                <w:b/>
                <w:color w:val="FFFFFF" w:themeColor="background1"/>
                <w:sz w:val="18"/>
                <w:szCs w:val="18"/>
                <w:lang w:eastAsia="ru-RU"/>
              </w:rPr>
              <w:t>4</w:t>
            </w:r>
          </w:p>
        </w:tc>
        <w:tc>
          <w:tcPr>
            <w:tcW w:w="74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B051461" w14:textId="77777777" w:rsidR="009A4C46" w:rsidRPr="00F94FED" w:rsidRDefault="009A4C46" w:rsidP="009A4C46">
            <w:pPr>
              <w:spacing w:after="0" w:line="240" w:lineRule="auto"/>
              <w:jc w:val="center"/>
              <w:rPr>
                <w:rFonts w:eastAsia="Times New Roman"/>
                <w:b/>
                <w:color w:val="FFFFFF" w:themeColor="background1"/>
                <w:sz w:val="18"/>
                <w:szCs w:val="18"/>
                <w:lang w:eastAsia="ru-RU"/>
              </w:rPr>
            </w:pPr>
            <w:r w:rsidRPr="00F94FED">
              <w:rPr>
                <w:rFonts w:eastAsia="Times New Roman"/>
                <w:b/>
                <w:color w:val="FFFFFF" w:themeColor="background1"/>
                <w:sz w:val="18"/>
                <w:szCs w:val="18"/>
                <w:lang w:eastAsia="ru-RU"/>
              </w:rPr>
              <w:t>5</w:t>
            </w:r>
          </w:p>
        </w:tc>
        <w:tc>
          <w:tcPr>
            <w:tcW w:w="59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CEB8DE6" w14:textId="77777777" w:rsidR="009A4C46" w:rsidRPr="00F94FED" w:rsidRDefault="009A4C46" w:rsidP="009A4C46">
            <w:pPr>
              <w:spacing w:after="0" w:line="240" w:lineRule="auto"/>
              <w:jc w:val="center"/>
              <w:rPr>
                <w:rFonts w:eastAsia="Times New Roman"/>
                <w:b/>
                <w:color w:val="FFFFFF" w:themeColor="background1"/>
                <w:sz w:val="18"/>
                <w:szCs w:val="18"/>
                <w:lang w:eastAsia="ru-RU"/>
              </w:rPr>
            </w:pPr>
            <w:r w:rsidRPr="00F94FED">
              <w:rPr>
                <w:rFonts w:eastAsia="Times New Roman"/>
                <w:b/>
                <w:color w:val="FFFFFF" w:themeColor="background1"/>
                <w:sz w:val="18"/>
                <w:szCs w:val="18"/>
                <w:lang w:eastAsia="ru-RU"/>
              </w:rPr>
              <w:t>6=5-3</w:t>
            </w:r>
          </w:p>
        </w:tc>
        <w:tc>
          <w:tcPr>
            <w:tcW w:w="51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3AFA763" w14:textId="77777777" w:rsidR="009A4C46" w:rsidRPr="00F94FED" w:rsidRDefault="009A4C46" w:rsidP="009A4C46">
            <w:pPr>
              <w:spacing w:after="0" w:line="240" w:lineRule="auto"/>
              <w:jc w:val="center"/>
              <w:rPr>
                <w:rFonts w:eastAsia="Times New Roman"/>
                <w:b/>
                <w:color w:val="FFFFFF" w:themeColor="background1"/>
                <w:sz w:val="18"/>
                <w:szCs w:val="18"/>
                <w:lang w:eastAsia="ru-RU"/>
              </w:rPr>
            </w:pPr>
            <w:r w:rsidRPr="00F94FED">
              <w:rPr>
                <w:rFonts w:eastAsia="Times New Roman"/>
                <w:b/>
                <w:color w:val="FFFFFF" w:themeColor="background1"/>
                <w:sz w:val="18"/>
                <w:szCs w:val="18"/>
                <w:lang w:eastAsia="ru-RU"/>
              </w:rPr>
              <w:t>7=5-4</w:t>
            </w:r>
          </w:p>
        </w:tc>
      </w:tr>
      <w:tr w:rsidR="009A4C46" w:rsidRPr="00BC370C" w14:paraId="5127747E" w14:textId="77777777" w:rsidTr="00F94FED">
        <w:trPr>
          <w:trHeight w:val="651"/>
        </w:trPr>
        <w:tc>
          <w:tcPr>
            <w:tcW w:w="1101" w:type="pct"/>
            <w:tcBorders>
              <w:top w:val="single" w:sz="4" w:space="0" w:color="FFFFFF" w:themeColor="background1"/>
            </w:tcBorders>
            <w:shd w:val="clear" w:color="auto" w:fill="auto"/>
            <w:vAlign w:val="center"/>
            <w:hideMark/>
          </w:tcPr>
          <w:p w14:paraId="32A79AAE" w14:textId="77777777" w:rsidR="009A4C46" w:rsidRPr="00F94FED" w:rsidRDefault="009A4C46" w:rsidP="009A4C46">
            <w:pPr>
              <w:spacing w:after="0" w:line="240" w:lineRule="auto"/>
              <w:rPr>
                <w:rFonts w:eastAsia="Times New Roman"/>
                <w:b/>
                <w:color w:val="000000"/>
                <w:sz w:val="18"/>
                <w:szCs w:val="18"/>
                <w:lang w:eastAsia="ru-RU"/>
              </w:rPr>
            </w:pPr>
            <w:r w:rsidRPr="00F94FED">
              <w:rPr>
                <w:rFonts w:eastAsia="Times New Roman"/>
                <w:b/>
                <w:color w:val="000000"/>
                <w:sz w:val="18"/>
                <w:szCs w:val="18"/>
                <w:lang w:eastAsia="ru-RU"/>
              </w:rPr>
              <w:t>Неподконтрольные расходы, в т.ч.</w:t>
            </w:r>
          </w:p>
        </w:tc>
        <w:tc>
          <w:tcPr>
            <w:tcW w:w="583" w:type="pct"/>
            <w:tcBorders>
              <w:top w:val="single" w:sz="4" w:space="0" w:color="FFFFFF" w:themeColor="background1"/>
            </w:tcBorders>
            <w:shd w:val="clear" w:color="auto" w:fill="auto"/>
            <w:vAlign w:val="center"/>
            <w:hideMark/>
          </w:tcPr>
          <w:p w14:paraId="62E5C9B2" w14:textId="77777777" w:rsidR="009A4C46" w:rsidRPr="00F94FED" w:rsidRDefault="009A4C46" w:rsidP="009A4C46">
            <w:pPr>
              <w:spacing w:after="0" w:line="240" w:lineRule="auto"/>
              <w:jc w:val="center"/>
              <w:rPr>
                <w:rFonts w:eastAsia="Times New Roman"/>
                <w:b/>
                <w:color w:val="000000"/>
                <w:sz w:val="18"/>
                <w:szCs w:val="18"/>
                <w:lang w:eastAsia="ru-RU"/>
              </w:rPr>
            </w:pPr>
            <w:r w:rsidRPr="00F94FED">
              <w:rPr>
                <w:rFonts w:eastAsia="Times New Roman"/>
                <w:b/>
                <w:color w:val="000000"/>
                <w:sz w:val="18"/>
                <w:szCs w:val="18"/>
                <w:lang w:eastAsia="ru-RU"/>
              </w:rPr>
              <w:t>тыс. руб.</w:t>
            </w:r>
          </w:p>
        </w:tc>
        <w:tc>
          <w:tcPr>
            <w:tcW w:w="746" w:type="pct"/>
            <w:tcBorders>
              <w:top w:val="single" w:sz="4" w:space="0" w:color="FFFFFF" w:themeColor="background1"/>
            </w:tcBorders>
            <w:shd w:val="clear" w:color="auto" w:fill="auto"/>
            <w:vAlign w:val="center"/>
            <w:hideMark/>
          </w:tcPr>
          <w:p w14:paraId="24778C41" w14:textId="77777777" w:rsidR="009A4C46" w:rsidRPr="00F94FED" w:rsidRDefault="009A4C46" w:rsidP="009A4C46">
            <w:pPr>
              <w:spacing w:after="0" w:line="240" w:lineRule="auto"/>
              <w:jc w:val="center"/>
              <w:rPr>
                <w:rFonts w:eastAsia="Times New Roman"/>
                <w:b/>
                <w:color w:val="000000"/>
                <w:sz w:val="18"/>
                <w:szCs w:val="18"/>
                <w:lang w:eastAsia="ru-RU"/>
              </w:rPr>
            </w:pPr>
            <w:r w:rsidRPr="00F94FED">
              <w:rPr>
                <w:rFonts w:eastAsia="Times New Roman"/>
                <w:b/>
                <w:color w:val="000000"/>
                <w:sz w:val="18"/>
                <w:szCs w:val="18"/>
                <w:lang w:eastAsia="ru-RU"/>
              </w:rPr>
              <w:t>6 695 006</w:t>
            </w:r>
          </w:p>
        </w:tc>
        <w:tc>
          <w:tcPr>
            <w:tcW w:w="718" w:type="pct"/>
            <w:tcBorders>
              <w:top w:val="single" w:sz="4" w:space="0" w:color="FFFFFF" w:themeColor="background1"/>
            </w:tcBorders>
            <w:shd w:val="clear" w:color="auto" w:fill="auto"/>
            <w:vAlign w:val="center"/>
            <w:hideMark/>
          </w:tcPr>
          <w:p w14:paraId="194C643F" w14:textId="77777777" w:rsidR="009A4C46" w:rsidRPr="00F94FED" w:rsidRDefault="009A4C46" w:rsidP="009A4C46">
            <w:pPr>
              <w:spacing w:after="0" w:line="240" w:lineRule="auto"/>
              <w:jc w:val="center"/>
              <w:rPr>
                <w:rFonts w:eastAsia="Times New Roman"/>
                <w:b/>
                <w:color w:val="000000"/>
                <w:sz w:val="18"/>
                <w:szCs w:val="18"/>
                <w:lang w:eastAsia="ru-RU"/>
              </w:rPr>
            </w:pPr>
            <w:r w:rsidRPr="00F94FED">
              <w:rPr>
                <w:rFonts w:eastAsia="Times New Roman"/>
                <w:b/>
                <w:color w:val="000000"/>
                <w:sz w:val="18"/>
                <w:szCs w:val="18"/>
                <w:lang w:eastAsia="ru-RU"/>
              </w:rPr>
              <w:t>667 652</w:t>
            </w:r>
          </w:p>
        </w:tc>
        <w:tc>
          <w:tcPr>
            <w:tcW w:w="740" w:type="pct"/>
            <w:tcBorders>
              <w:top w:val="single" w:sz="4" w:space="0" w:color="FFFFFF" w:themeColor="background1"/>
            </w:tcBorders>
            <w:shd w:val="clear" w:color="auto" w:fill="auto"/>
            <w:vAlign w:val="center"/>
            <w:hideMark/>
          </w:tcPr>
          <w:p w14:paraId="22AE7511" w14:textId="77777777" w:rsidR="009A4C46" w:rsidRPr="00F94FED" w:rsidRDefault="009A4C46" w:rsidP="009A4C46">
            <w:pPr>
              <w:spacing w:after="0" w:line="240" w:lineRule="auto"/>
              <w:jc w:val="center"/>
              <w:rPr>
                <w:rFonts w:eastAsia="Times New Roman"/>
                <w:b/>
                <w:color w:val="000000"/>
                <w:sz w:val="18"/>
                <w:szCs w:val="18"/>
                <w:lang w:eastAsia="ru-RU"/>
              </w:rPr>
            </w:pPr>
            <w:r w:rsidRPr="00F94FED">
              <w:rPr>
                <w:rFonts w:eastAsia="Times New Roman"/>
                <w:b/>
                <w:color w:val="000000"/>
                <w:sz w:val="18"/>
                <w:szCs w:val="18"/>
                <w:lang w:eastAsia="ru-RU"/>
              </w:rPr>
              <w:t>824 109</w:t>
            </w:r>
          </w:p>
        </w:tc>
        <w:tc>
          <w:tcPr>
            <w:tcW w:w="596" w:type="pct"/>
            <w:tcBorders>
              <w:top w:val="single" w:sz="4" w:space="0" w:color="FFFFFF" w:themeColor="background1"/>
            </w:tcBorders>
            <w:shd w:val="clear" w:color="auto" w:fill="auto"/>
            <w:vAlign w:val="center"/>
            <w:hideMark/>
          </w:tcPr>
          <w:p w14:paraId="19CDDF26" w14:textId="77777777" w:rsidR="009A4C46" w:rsidRPr="00F94FED" w:rsidRDefault="009A4C46" w:rsidP="009A4C46">
            <w:pPr>
              <w:spacing w:after="0" w:line="240" w:lineRule="auto"/>
              <w:jc w:val="center"/>
              <w:rPr>
                <w:rFonts w:eastAsia="Times New Roman"/>
                <w:b/>
                <w:color w:val="000000"/>
                <w:sz w:val="18"/>
                <w:szCs w:val="18"/>
                <w:lang w:eastAsia="ru-RU"/>
              </w:rPr>
            </w:pPr>
            <w:r w:rsidRPr="00F94FED">
              <w:rPr>
                <w:rFonts w:eastAsia="Times New Roman"/>
                <w:b/>
                <w:color w:val="000000"/>
                <w:sz w:val="18"/>
                <w:szCs w:val="18"/>
                <w:lang w:eastAsia="ru-RU"/>
              </w:rPr>
              <w:t>-5 870 898</w:t>
            </w:r>
          </w:p>
        </w:tc>
        <w:tc>
          <w:tcPr>
            <w:tcW w:w="515" w:type="pct"/>
            <w:tcBorders>
              <w:top w:val="single" w:sz="4" w:space="0" w:color="FFFFFF" w:themeColor="background1"/>
            </w:tcBorders>
            <w:shd w:val="clear" w:color="auto" w:fill="auto"/>
            <w:vAlign w:val="center"/>
            <w:hideMark/>
          </w:tcPr>
          <w:p w14:paraId="09F683B5" w14:textId="77777777" w:rsidR="009A4C46" w:rsidRPr="00F94FED" w:rsidRDefault="009A4C46" w:rsidP="009A4C46">
            <w:pPr>
              <w:spacing w:after="0" w:line="240" w:lineRule="auto"/>
              <w:jc w:val="center"/>
              <w:rPr>
                <w:rFonts w:eastAsia="Times New Roman"/>
                <w:b/>
                <w:color w:val="000000"/>
                <w:sz w:val="18"/>
                <w:szCs w:val="18"/>
                <w:lang w:eastAsia="ru-RU"/>
              </w:rPr>
            </w:pPr>
            <w:r w:rsidRPr="00F94FED">
              <w:rPr>
                <w:rFonts w:eastAsia="Times New Roman"/>
                <w:b/>
                <w:color w:val="000000"/>
                <w:sz w:val="18"/>
                <w:szCs w:val="18"/>
                <w:lang w:eastAsia="ru-RU"/>
              </w:rPr>
              <w:t>156 457</w:t>
            </w:r>
          </w:p>
        </w:tc>
      </w:tr>
      <w:tr w:rsidR="009A4C46" w:rsidRPr="00BC370C" w14:paraId="677CDBA5" w14:textId="77777777" w:rsidTr="00F94FED">
        <w:trPr>
          <w:trHeight w:val="524"/>
        </w:trPr>
        <w:tc>
          <w:tcPr>
            <w:tcW w:w="1101" w:type="pct"/>
            <w:shd w:val="clear" w:color="auto" w:fill="auto"/>
            <w:vAlign w:val="center"/>
            <w:hideMark/>
          </w:tcPr>
          <w:p w14:paraId="71ACF963" w14:textId="77777777" w:rsidR="009A4C46" w:rsidRPr="00F94FED" w:rsidRDefault="009A4C46" w:rsidP="009A4C46">
            <w:pPr>
              <w:spacing w:after="0" w:line="240" w:lineRule="auto"/>
              <w:rPr>
                <w:rFonts w:eastAsia="Times New Roman"/>
                <w:color w:val="000000"/>
                <w:sz w:val="18"/>
                <w:szCs w:val="18"/>
                <w:lang w:eastAsia="ru-RU"/>
              </w:rPr>
            </w:pPr>
            <w:r w:rsidRPr="00F94FED">
              <w:rPr>
                <w:rFonts w:eastAsia="Times New Roman"/>
                <w:color w:val="000000"/>
                <w:sz w:val="18"/>
                <w:szCs w:val="18"/>
                <w:lang w:eastAsia="ru-RU"/>
              </w:rPr>
              <w:t>Оплата услуг ПАО «ФСК ЕЭС»</w:t>
            </w:r>
          </w:p>
        </w:tc>
        <w:tc>
          <w:tcPr>
            <w:tcW w:w="583" w:type="pct"/>
            <w:shd w:val="clear" w:color="auto" w:fill="auto"/>
            <w:vAlign w:val="center"/>
            <w:hideMark/>
          </w:tcPr>
          <w:p w14:paraId="13E82F39" w14:textId="77777777" w:rsidR="009A4C46" w:rsidRPr="00F94FED" w:rsidRDefault="009A4C46" w:rsidP="009A4C46">
            <w:pPr>
              <w:spacing w:after="0" w:line="240" w:lineRule="auto"/>
              <w:jc w:val="center"/>
              <w:rPr>
                <w:rFonts w:eastAsia="Times New Roman"/>
                <w:color w:val="000000"/>
                <w:sz w:val="18"/>
                <w:szCs w:val="18"/>
                <w:lang w:eastAsia="ru-RU"/>
              </w:rPr>
            </w:pPr>
            <w:r w:rsidRPr="00F94FED">
              <w:rPr>
                <w:rFonts w:eastAsia="Times New Roman"/>
                <w:color w:val="000000"/>
                <w:sz w:val="18"/>
                <w:szCs w:val="18"/>
                <w:lang w:eastAsia="ru-RU"/>
              </w:rPr>
              <w:t>тыс. руб.</w:t>
            </w:r>
          </w:p>
        </w:tc>
        <w:tc>
          <w:tcPr>
            <w:tcW w:w="746" w:type="pct"/>
            <w:shd w:val="clear" w:color="auto" w:fill="auto"/>
            <w:vAlign w:val="center"/>
            <w:hideMark/>
          </w:tcPr>
          <w:p w14:paraId="4D6852AE" w14:textId="77777777" w:rsidR="009A4C46" w:rsidRPr="00F94FED" w:rsidRDefault="009A4C46" w:rsidP="009A4C46">
            <w:pPr>
              <w:spacing w:after="0" w:line="240" w:lineRule="auto"/>
              <w:jc w:val="center"/>
              <w:rPr>
                <w:rFonts w:eastAsia="Times New Roman"/>
                <w:color w:val="000000"/>
                <w:sz w:val="18"/>
                <w:szCs w:val="18"/>
                <w:lang w:eastAsia="ru-RU"/>
              </w:rPr>
            </w:pPr>
            <w:r w:rsidRPr="00F94FED">
              <w:rPr>
                <w:rFonts w:eastAsia="Times New Roman"/>
                <w:color w:val="000000"/>
                <w:sz w:val="18"/>
                <w:szCs w:val="18"/>
                <w:lang w:eastAsia="ru-RU"/>
              </w:rPr>
              <w:t>227 436</w:t>
            </w:r>
          </w:p>
        </w:tc>
        <w:tc>
          <w:tcPr>
            <w:tcW w:w="718" w:type="pct"/>
            <w:shd w:val="clear" w:color="auto" w:fill="auto"/>
            <w:vAlign w:val="center"/>
            <w:hideMark/>
          </w:tcPr>
          <w:p w14:paraId="3638C729" w14:textId="77777777" w:rsidR="009A4C46" w:rsidRPr="00F94FED" w:rsidRDefault="009A4C46" w:rsidP="009A4C46">
            <w:pPr>
              <w:spacing w:after="0" w:line="240" w:lineRule="auto"/>
              <w:jc w:val="center"/>
              <w:rPr>
                <w:rFonts w:eastAsia="Times New Roman"/>
                <w:color w:val="000000"/>
                <w:sz w:val="18"/>
                <w:szCs w:val="18"/>
                <w:lang w:eastAsia="ru-RU"/>
              </w:rPr>
            </w:pPr>
            <w:r w:rsidRPr="00F94FED">
              <w:rPr>
                <w:rFonts w:eastAsia="Times New Roman"/>
                <w:color w:val="000000"/>
                <w:sz w:val="18"/>
                <w:szCs w:val="18"/>
                <w:lang w:eastAsia="ru-RU"/>
              </w:rPr>
              <w:t>232 318</w:t>
            </w:r>
          </w:p>
        </w:tc>
        <w:tc>
          <w:tcPr>
            <w:tcW w:w="740" w:type="pct"/>
            <w:shd w:val="clear" w:color="auto" w:fill="auto"/>
            <w:vAlign w:val="center"/>
            <w:hideMark/>
          </w:tcPr>
          <w:p w14:paraId="3B3D4397" w14:textId="77777777" w:rsidR="009A4C46" w:rsidRPr="00F94FED" w:rsidRDefault="009A4C46" w:rsidP="009A4C46">
            <w:pPr>
              <w:spacing w:after="0" w:line="240" w:lineRule="auto"/>
              <w:jc w:val="center"/>
              <w:rPr>
                <w:rFonts w:eastAsia="Times New Roman"/>
                <w:color w:val="000000"/>
                <w:sz w:val="18"/>
                <w:szCs w:val="18"/>
                <w:lang w:eastAsia="ru-RU"/>
              </w:rPr>
            </w:pPr>
            <w:r w:rsidRPr="00F94FED">
              <w:rPr>
                <w:rFonts w:eastAsia="Times New Roman"/>
                <w:color w:val="000000"/>
                <w:sz w:val="18"/>
                <w:szCs w:val="18"/>
                <w:lang w:eastAsia="ru-RU"/>
              </w:rPr>
              <w:t>232 318</w:t>
            </w:r>
          </w:p>
        </w:tc>
        <w:tc>
          <w:tcPr>
            <w:tcW w:w="596" w:type="pct"/>
            <w:shd w:val="clear" w:color="auto" w:fill="auto"/>
            <w:vAlign w:val="center"/>
            <w:hideMark/>
          </w:tcPr>
          <w:p w14:paraId="3856CD93" w14:textId="77777777" w:rsidR="009A4C46" w:rsidRPr="00F94FED" w:rsidRDefault="009A4C46" w:rsidP="009A4C46">
            <w:pPr>
              <w:spacing w:after="0" w:line="240" w:lineRule="auto"/>
              <w:jc w:val="center"/>
              <w:rPr>
                <w:rFonts w:eastAsia="Times New Roman"/>
                <w:color w:val="000000"/>
                <w:sz w:val="18"/>
                <w:szCs w:val="18"/>
                <w:lang w:eastAsia="ru-RU"/>
              </w:rPr>
            </w:pPr>
            <w:r w:rsidRPr="00F94FED">
              <w:rPr>
                <w:rFonts w:eastAsia="Times New Roman"/>
                <w:color w:val="000000"/>
                <w:sz w:val="18"/>
                <w:szCs w:val="18"/>
                <w:lang w:eastAsia="ru-RU"/>
              </w:rPr>
              <w:t>4 882</w:t>
            </w:r>
          </w:p>
        </w:tc>
        <w:tc>
          <w:tcPr>
            <w:tcW w:w="515" w:type="pct"/>
            <w:shd w:val="clear" w:color="auto" w:fill="auto"/>
            <w:vAlign w:val="center"/>
            <w:hideMark/>
          </w:tcPr>
          <w:p w14:paraId="75195272" w14:textId="77777777" w:rsidR="009A4C46" w:rsidRPr="00F94FED" w:rsidRDefault="009A4C46" w:rsidP="009A4C46">
            <w:pPr>
              <w:spacing w:after="0" w:line="240" w:lineRule="auto"/>
              <w:jc w:val="center"/>
              <w:rPr>
                <w:rFonts w:eastAsia="Times New Roman"/>
                <w:color w:val="000000"/>
                <w:sz w:val="18"/>
                <w:szCs w:val="18"/>
                <w:lang w:eastAsia="ru-RU"/>
              </w:rPr>
            </w:pPr>
            <w:r w:rsidRPr="00F94FED">
              <w:rPr>
                <w:rFonts w:eastAsia="Times New Roman"/>
                <w:color w:val="000000"/>
                <w:sz w:val="18"/>
                <w:szCs w:val="18"/>
                <w:lang w:eastAsia="ru-RU"/>
              </w:rPr>
              <w:t>0</w:t>
            </w:r>
          </w:p>
        </w:tc>
      </w:tr>
      <w:tr w:rsidR="009A4C46" w:rsidRPr="00BC370C" w14:paraId="4B127D5A" w14:textId="77777777" w:rsidTr="00F94FED">
        <w:trPr>
          <w:trHeight w:val="565"/>
        </w:trPr>
        <w:tc>
          <w:tcPr>
            <w:tcW w:w="1101" w:type="pct"/>
            <w:shd w:val="clear" w:color="auto" w:fill="auto"/>
            <w:vAlign w:val="center"/>
            <w:hideMark/>
          </w:tcPr>
          <w:p w14:paraId="3C032913" w14:textId="77777777" w:rsidR="009A4C46" w:rsidRPr="00F94FED" w:rsidRDefault="009A4C46" w:rsidP="009A4C46">
            <w:pPr>
              <w:spacing w:after="0" w:line="240" w:lineRule="auto"/>
              <w:rPr>
                <w:rFonts w:eastAsia="Times New Roman"/>
                <w:color w:val="000000"/>
                <w:sz w:val="18"/>
                <w:szCs w:val="18"/>
                <w:lang w:eastAsia="ru-RU"/>
              </w:rPr>
            </w:pPr>
            <w:r w:rsidRPr="00F94FED">
              <w:rPr>
                <w:rFonts w:eastAsia="Times New Roman"/>
                <w:color w:val="000000"/>
                <w:sz w:val="18"/>
                <w:szCs w:val="18"/>
                <w:lang w:eastAsia="ru-RU"/>
              </w:rPr>
              <w:t>Энергия на хоз. нужды</w:t>
            </w:r>
          </w:p>
        </w:tc>
        <w:tc>
          <w:tcPr>
            <w:tcW w:w="583" w:type="pct"/>
            <w:shd w:val="clear" w:color="auto" w:fill="auto"/>
            <w:vAlign w:val="center"/>
            <w:hideMark/>
          </w:tcPr>
          <w:p w14:paraId="604B9977" w14:textId="77777777" w:rsidR="009A4C46" w:rsidRPr="00F94FED" w:rsidRDefault="009A4C46" w:rsidP="009A4C46">
            <w:pPr>
              <w:spacing w:after="0" w:line="240" w:lineRule="auto"/>
              <w:jc w:val="center"/>
              <w:rPr>
                <w:rFonts w:eastAsia="Times New Roman"/>
                <w:color w:val="000000"/>
                <w:sz w:val="18"/>
                <w:szCs w:val="18"/>
                <w:lang w:eastAsia="ru-RU"/>
              </w:rPr>
            </w:pPr>
            <w:r w:rsidRPr="00F94FED">
              <w:rPr>
                <w:rFonts w:eastAsia="Times New Roman"/>
                <w:color w:val="000000"/>
                <w:sz w:val="18"/>
                <w:szCs w:val="18"/>
                <w:lang w:eastAsia="ru-RU"/>
              </w:rPr>
              <w:t xml:space="preserve"> тыс. </w:t>
            </w:r>
            <w:proofErr w:type="spellStart"/>
            <w:r w:rsidRPr="00F94FED">
              <w:rPr>
                <w:rFonts w:eastAsia="Times New Roman"/>
                <w:color w:val="000000"/>
                <w:sz w:val="18"/>
                <w:szCs w:val="18"/>
                <w:lang w:eastAsia="ru-RU"/>
              </w:rPr>
              <w:t>руб</w:t>
            </w:r>
            <w:proofErr w:type="spellEnd"/>
          </w:p>
        </w:tc>
        <w:tc>
          <w:tcPr>
            <w:tcW w:w="746" w:type="pct"/>
            <w:shd w:val="clear" w:color="auto" w:fill="auto"/>
            <w:vAlign w:val="center"/>
            <w:hideMark/>
          </w:tcPr>
          <w:p w14:paraId="4F4B42B8" w14:textId="77777777" w:rsidR="009A4C46" w:rsidRPr="00F94FED" w:rsidRDefault="009A4C46" w:rsidP="009A4C46">
            <w:pPr>
              <w:spacing w:after="0" w:line="240" w:lineRule="auto"/>
              <w:jc w:val="center"/>
              <w:rPr>
                <w:rFonts w:eastAsia="Times New Roman"/>
                <w:color w:val="000000"/>
                <w:sz w:val="18"/>
                <w:szCs w:val="18"/>
                <w:lang w:eastAsia="ru-RU"/>
              </w:rPr>
            </w:pPr>
            <w:r w:rsidRPr="00F94FED">
              <w:rPr>
                <w:rFonts w:eastAsia="Times New Roman"/>
                <w:color w:val="000000"/>
                <w:sz w:val="18"/>
                <w:szCs w:val="18"/>
                <w:lang w:eastAsia="ru-RU"/>
              </w:rPr>
              <w:t>15 807</w:t>
            </w:r>
          </w:p>
        </w:tc>
        <w:tc>
          <w:tcPr>
            <w:tcW w:w="718" w:type="pct"/>
            <w:shd w:val="clear" w:color="auto" w:fill="auto"/>
            <w:vAlign w:val="center"/>
            <w:hideMark/>
          </w:tcPr>
          <w:p w14:paraId="154B7A8B" w14:textId="77777777" w:rsidR="009A4C46" w:rsidRPr="00F94FED" w:rsidRDefault="009A4C46" w:rsidP="009A4C46">
            <w:pPr>
              <w:spacing w:after="0" w:line="240" w:lineRule="auto"/>
              <w:jc w:val="center"/>
              <w:rPr>
                <w:rFonts w:eastAsia="Times New Roman"/>
                <w:color w:val="000000"/>
                <w:sz w:val="18"/>
                <w:szCs w:val="18"/>
                <w:lang w:eastAsia="ru-RU"/>
              </w:rPr>
            </w:pPr>
            <w:r w:rsidRPr="00F94FED">
              <w:rPr>
                <w:rFonts w:eastAsia="Times New Roman"/>
                <w:color w:val="000000"/>
                <w:sz w:val="18"/>
                <w:szCs w:val="18"/>
                <w:lang w:eastAsia="ru-RU"/>
              </w:rPr>
              <w:t>15 807</w:t>
            </w:r>
          </w:p>
        </w:tc>
        <w:tc>
          <w:tcPr>
            <w:tcW w:w="740" w:type="pct"/>
            <w:shd w:val="clear" w:color="auto" w:fill="auto"/>
            <w:vAlign w:val="center"/>
            <w:hideMark/>
          </w:tcPr>
          <w:p w14:paraId="0BA8D6FA" w14:textId="77777777" w:rsidR="009A4C46" w:rsidRPr="00F94FED" w:rsidRDefault="009A4C46" w:rsidP="009A4C46">
            <w:pPr>
              <w:spacing w:after="0" w:line="240" w:lineRule="auto"/>
              <w:jc w:val="center"/>
              <w:rPr>
                <w:rFonts w:eastAsia="Times New Roman"/>
                <w:color w:val="000000"/>
                <w:sz w:val="18"/>
                <w:szCs w:val="18"/>
                <w:lang w:eastAsia="ru-RU"/>
              </w:rPr>
            </w:pPr>
            <w:r w:rsidRPr="00F94FED">
              <w:rPr>
                <w:rFonts w:eastAsia="Times New Roman"/>
                <w:color w:val="000000"/>
                <w:sz w:val="18"/>
                <w:szCs w:val="18"/>
                <w:lang w:eastAsia="ru-RU"/>
              </w:rPr>
              <w:t>16 299</w:t>
            </w:r>
          </w:p>
        </w:tc>
        <w:tc>
          <w:tcPr>
            <w:tcW w:w="596" w:type="pct"/>
            <w:shd w:val="clear" w:color="auto" w:fill="auto"/>
            <w:vAlign w:val="center"/>
            <w:hideMark/>
          </w:tcPr>
          <w:p w14:paraId="674BFC4D" w14:textId="77777777" w:rsidR="009A4C46" w:rsidRPr="00F94FED" w:rsidRDefault="009A4C46" w:rsidP="009A4C46">
            <w:pPr>
              <w:spacing w:after="0" w:line="240" w:lineRule="auto"/>
              <w:jc w:val="center"/>
              <w:rPr>
                <w:rFonts w:eastAsia="Times New Roman"/>
                <w:color w:val="000000"/>
                <w:sz w:val="18"/>
                <w:szCs w:val="18"/>
                <w:lang w:eastAsia="ru-RU"/>
              </w:rPr>
            </w:pPr>
            <w:r w:rsidRPr="00F94FED">
              <w:rPr>
                <w:rFonts w:eastAsia="Times New Roman"/>
                <w:color w:val="000000"/>
                <w:sz w:val="18"/>
                <w:szCs w:val="18"/>
                <w:lang w:eastAsia="ru-RU"/>
              </w:rPr>
              <w:t>492</w:t>
            </w:r>
          </w:p>
        </w:tc>
        <w:tc>
          <w:tcPr>
            <w:tcW w:w="515" w:type="pct"/>
            <w:shd w:val="clear" w:color="auto" w:fill="auto"/>
            <w:vAlign w:val="center"/>
            <w:hideMark/>
          </w:tcPr>
          <w:p w14:paraId="691AFAC0" w14:textId="77777777" w:rsidR="009A4C46" w:rsidRPr="00F94FED" w:rsidRDefault="009A4C46" w:rsidP="009A4C46">
            <w:pPr>
              <w:spacing w:after="0" w:line="240" w:lineRule="auto"/>
              <w:jc w:val="center"/>
              <w:rPr>
                <w:rFonts w:eastAsia="Times New Roman"/>
                <w:color w:val="000000"/>
                <w:sz w:val="18"/>
                <w:szCs w:val="18"/>
                <w:lang w:eastAsia="ru-RU"/>
              </w:rPr>
            </w:pPr>
            <w:r w:rsidRPr="00F94FED">
              <w:rPr>
                <w:rFonts w:eastAsia="Times New Roman"/>
                <w:color w:val="000000"/>
                <w:sz w:val="18"/>
                <w:szCs w:val="18"/>
                <w:lang w:eastAsia="ru-RU"/>
              </w:rPr>
              <w:t>492</w:t>
            </w:r>
          </w:p>
        </w:tc>
      </w:tr>
      <w:tr w:rsidR="00F94FED" w:rsidRPr="00BC370C" w14:paraId="6BF38AA5" w14:textId="77777777" w:rsidTr="00F94FED">
        <w:trPr>
          <w:trHeight w:val="579"/>
        </w:trPr>
        <w:tc>
          <w:tcPr>
            <w:tcW w:w="1101" w:type="pct"/>
            <w:shd w:val="clear" w:color="000000" w:fill="FFFFFF"/>
            <w:vAlign w:val="center"/>
          </w:tcPr>
          <w:p w14:paraId="1F5FCB3A" w14:textId="77777777" w:rsidR="009A4C46" w:rsidRPr="00F94FED" w:rsidRDefault="009A4C46" w:rsidP="009A4C46">
            <w:pPr>
              <w:spacing w:after="0" w:line="240" w:lineRule="auto"/>
              <w:rPr>
                <w:rFonts w:eastAsia="Times New Roman"/>
                <w:color w:val="000000"/>
                <w:sz w:val="18"/>
                <w:szCs w:val="18"/>
                <w:lang w:eastAsia="ru-RU"/>
              </w:rPr>
            </w:pPr>
            <w:r w:rsidRPr="00F94FED">
              <w:rPr>
                <w:rFonts w:eastAsia="Times New Roman"/>
                <w:color w:val="000000"/>
                <w:sz w:val="18"/>
                <w:szCs w:val="18"/>
                <w:lang w:eastAsia="ru-RU"/>
              </w:rPr>
              <w:t>Плата за аренду имущества и Лизинг</w:t>
            </w:r>
          </w:p>
        </w:tc>
        <w:tc>
          <w:tcPr>
            <w:tcW w:w="583" w:type="pct"/>
            <w:shd w:val="clear" w:color="000000" w:fill="FFFFFF"/>
            <w:vAlign w:val="center"/>
          </w:tcPr>
          <w:p w14:paraId="39042844" w14:textId="77777777" w:rsidR="009A4C46" w:rsidRPr="00F94FED" w:rsidRDefault="009A4C46" w:rsidP="009A4C46">
            <w:pPr>
              <w:spacing w:after="0" w:line="240" w:lineRule="auto"/>
              <w:jc w:val="center"/>
              <w:rPr>
                <w:rFonts w:eastAsia="Times New Roman"/>
                <w:color w:val="000000"/>
                <w:sz w:val="18"/>
                <w:szCs w:val="18"/>
                <w:lang w:eastAsia="ru-RU"/>
              </w:rPr>
            </w:pPr>
            <w:r w:rsidRPr="00F94FED">
              <w:rPr>
                <w:rFonts w:eastAsia="Times New Roman"/>
                <w:color w:val="000000"/>
                <w:sz w:val="18"/>
                <w:szCs w:val="18"/>
                <w:lang w:eastAsia="ru-RU"/>
              </w:rPr>
              <w:t>тыс. руб.</w:t>
            </w:r>
          </w:p>
        </w:tc>
        <w:tc>
          <w:tcPr>
            <w:tcW w:w="746" w:type="pct"/>
            <w:shd w:val="clear" w:color="000000" w:fill="FFFFFF"/>
            <w:vAlign w:val="center"/>
          </w:tcPr>
          <w:p w14:paraId="6F899B62" w14:textId="77777777" w:rsidR="009A4C46" w:rsidRPr="00F94FED" w:rsidRDefault="009A4C46" w:rsidP="009A4C46">
            <w:pPr>
              <w:spacing w:after="0" w:line="240" w:lineRule="auto"/>
              <w:jc w:val="center"/>
              <w:rPr>
                <w:rFonts w:eastAsia="Times New Roman"/>
                <w:color w:val="000000"/>
                <w:sz w:val="18"/>
                <w:szCs w:val="18"/>
                <w:lang w:eastAsia="ru-RU"/>
              </w:rPr>
            </w:pPr>
            <w:r w:rsidRPr="00F94FED">
              <w:rPr>
                <w:rFonts w:eastAsia="Times New Roman"/>
                <w:color w:val="000000"/>
                <w:sz w:val="18"/>
                <w:szCs w:val="18"/>
                <w:lang w:eastAsia="ru-RU"/>
              </w:rPr>
              <w:t>15 818</w:t>
            </w:r>
          </w:p>
        </w:tc>
        <w:tc>
          <w:tcPr>
            <w:tcW w:w="718" w:type="pct"/>
            <w:shd w:val="clear" w:color="000000" w:fill="FFFFFF"/>
            <w:vAlign w:val="center"/>
          </w:tcPr>
          <w:p w14:paraId="0D1AE0E9" w14:textId="77777777" w:rsidR="009A4C46" w:rsidRPr="00F94FED" w:rsidRDefault="009A4C46" w:rsidP="009A4C46">
            <w:pPr>
              <w:spacing w:after="0" w:line="240" w:lineRule="auto"/>
              <w:jc w:val="center"/>
              <w:rPr>
                <w:rFonts w:eastAsia="Times New Roman"/>
                <w:color w:val="000000"/>
                <w:sz w:val="18"/>
                <w:szCs w:val="18"/>
                <w:lang w:eastAsia="ru-RU"/>
              </w:rPr>
            </w:pPr>
            <w:r w:rsidRPr="00F94FED">
              <w:rPr>
                <w:rFonts w:eastAsia="Times New Roman"/>
                <w:color w:val="000000"/>
                <w:sz w:val="18"/>
                <w:szCs w:val="18"/>
                <w:lang w:eastAsia="ru-RU"/>
              </w:rPr>
              <w:t>15 818</w:t>
            </w:r>
          </w:p>
        </w:tc>
        <w:tc>
          <w:tcPr>
            <w:tcW w:w="740" w:type="pct"/>
            <w:shd w:val="clear" w:color="000000" w:fill="FFFFFF"/>
            <w:vAlign w:val="center"/>
          </w:tcPr>
          <w:p w14:paraId="5B330A1C" w14:textId="77777777" w:rsidR="009A4C46" w:rsidRPr="00F94FED" w:rsidRDefault="009A4C46" w:rsidP="009A4C46">
            <w:pPr>
              <w:spacing w:after="0" w:line="240" w:lineRule="auto"/>
              <w:jc w:val="center"/>
              <w:rPr>
                <w:rFonts w:eastAsia="Times New Roman"/>
                <w:color w:val="000000"/>
                <w:sz w:val="18"/>
                <w:szCs w:val="18"/>
                <w:lang w:eastAsia="ru-RU"/>
              </w:rPr>
            </w:pPr>
            <w:r w:rsidRPr="00F94FED">
              <w:rPr>
                <w:rFonts w:eastAsia="Times New Roman"/>
                <w:color w:val="000000"/>
                <w:sz w:val="18"/>
                <w:szCs w:val="18"/>
                <w:lang w:eastAsia="ru-RU"/>
              </w:rPr>
              <w:t>15 818</w:t>
            </w:r>
          </w:p>
        </w:tc>
        <w:tc>
          <w:tcPr>
            <w:tcW w:w="596" w:type="pct"/>
            <w:shd w:val="clear" w:color="000000" w:fill="FFFFFF"/>
            <w:vAlign w:val="center"/>
          </w:tcPr>
          <w:p w14:paraId="5017A83E" w14:textId="77777777" w:rsidR="009A4C46" w:rsidRPr="00F94FED" w:rsidRDefault="009A4C46" w:rsidP="009A4C46">
            <w:pPr>
              <w:spacing w:after="0" w:line="240" w:lineRule="auto"/>
              <w:jc w:val="center"/>
              <w:rPr>
                <w:rFonts w:eastAsia="Times New Roman"/>
                <w:color w:val="000000"/>
                <w:sz w:val="18"/>
                <w:szCs w:val="18"/>
                <w:lang w:eastAsia="ru-RU"/>
              </w:rPr>
            </w:pPr>
            <w:r w:rsidRPr="00F94FED">
              <w:rPr>
                <w:rFonts w:eastAsia="Times New Roman"/>
                <w:color w:val="000000"/>
                <w:sz w:val="18"/>
                <w:szCs w:val="18"/>
                <w:lang w:eastAsia="ru-RU"/>
              </w:rPr>
              <w:t>0</w:t>
            </w:r>
          </w:p>
        </w:tc>
        <w:tc>
          <w:tcPr>
            <w:tcW w:w="515" w:type="pct"/>
            <w:shd w:val="clear" w:color="000000" w:fill="FFFFFF"/>
            <w:vAlign w:val="center"/>
          </w:tcPr>
          <w:p w14:paraId="369E24B8" w14:textId="77777777" w:rsidR="009A4C46" w:rsidRPr="00F94FED" w:rsidRDefault="009A4C46" w:rsidP="009A4C46">
            <w:pPr>
              <w:spacing w:after="0" w:line="240" w:lineRule="auto"/>
              <w:jc w:val="center"/>
              <w:rPr>
                <w:rFonts w:eastAsia="Times New Roman"/>
                <w:color w:val="000000"/>
                <w:sz w:val="18"/>
                <w:szCs w:val="18"/>
                <w:lang w:eastAsia="ru-RU"/>
              </w:rPr>
            </w:pPr>
            <w:r w:rsidRPr="00F94FED">
              <w:rPr>
                <w:rFonts w:eastAsia="Times New Roman"/>
                <w:color w:val="000000"/>
                <w:sz w:val="18"/>
                <w:szCs w:val="18"/>
                <w:lang w:eastAsia="ru-RU"/>
              </w:rPr>
              <w:t>0</w:t>
            </w:r>
          </w:p>
        </w:tc>
      </w:tr>
      <w:tr w:rsidR="009A4C46" w:rsidRPr="00BC370C" w14:paraId="0E9E2A8D" w14:textId="77777777" w:rsidTr="00F94FED">
        <w:trPr>
          <w:trHeight w:val="310"/>
        </w:trPr>
        <w:tc>
          <w:tcPr>
            <w:tcW w:w="1101" w:type="pct"/>
            <w:shd w:val="clear" w:color="auto" w:fill="auto"/>
            <w:vAlign w:val="center"/>
            <w:hideMark/>
          </w:tcPr>
          <w:p w14:paraId="791ADA0B" w14:textId="77777777" w:rsidR="009A4C46" w:rsidRPr="00F94FED" w:rsidRDefault="009A4C46" w:rsidP="009A4C46">
            <w:pPr>
              <w:spacing w:after="0" w:line="240" w:lineRule="auto"/>
              <w:rPr>
                <w:rFonts w:eastAsia="Times New Roman"/>
                <w:color w:val="000000"/>
                <w:sz w:val="18"/>
                <w:szCs w:val="18"/>
                <w:lang w:eastAsia="ru-RU"/>
              </w:rPr>
            </w:pPr>
            <w:r w:rsidRPr="00F94FED">
              <w:rPr>
                <w:rFonts w:eastAsia="Times New Roman"/>
                <w:color w:val="000000"/>
                <w:sz w:val="18"/>
                <w:szCs w:val="18"/>
                <w:lang w:eastAsia="ru-RU"/>
              </w:rPr>
              <w:t>Налоги (без учета налога на прибыль)</w:t>
            </w:r>
          </w:p>
        </w:tc>
        <w:tc>
          <w:tcPr>
            <w:tcW w:w="583" w:type="pct"/>
            <w:shd w:val="clear" w:color="auto" w:fill="auto"/>
            <w:vAlign w:val="center"/>
            <w:hideMark/>
          </w:tcPr>
          <w:p w14:paraId="162BCCD0" w14:textId="77777777" w:rsidR="009A4C46" w:rsidRPr="00F94FED" w:rsidRDefault="009A4C46" w:rsidP="009A4C46">
            <w:pPr>
              <w:spacing w:after="0" w:line="240" w:lineRule="auto"/>
              <w:jc w:val="center"/>
              <w:rPr>
                <w:rFonts w:eastAsia="Times New Roman"/>
                <w:color w:val="000000"/>
                <w:sz w:val="18"/>
                <w:szCs w:val="18"/>
                <w:lang w:eastAsia="ru-RU"/>
              </w:rPr>
            </w:pPr>
            <w:r w:rsidRPr="00F94FED">
              <w:rPr>
                <w:rFonts w:eastAsia="Times New Roman"/>
                <w:color w:val="000000"/>
                <w:sz w:val="18"/>
                <w:szCs w:val="18"/>
                <w:lang w:eastAsia="ru-RU"/>
              </w:rPr>
              <w:t>тыс. руб.</w:t>
            </w:r>
          </w:p>
        </w:tc>
        <w:tc>
          <w:tcPr>
            <w:tcW w:w="746" w:type="pct"/>
            <w:shd w:val="clear" w:color="auto" w:fill="auto"/>
            <w:vAlign w:val="center"/>
            <w:hideMark/>
          </w:tcPr>
          <w:p w14:paraId="295D01EF" w14:textId="77777777" w:rsidR="009A4C46" w:rsidRPr="00F94FED" w:rsidRDefault="009A4C46" w:rsidP="009A4C46">
            <w:pPr>
              <w:spacing w:after="0" w:line="240" w:lineRule="auto"/>
              <w:jc w:val="center"/>
              <w:rPr>
                <w:rFonts w:eastAsia="Times New Roman"/>
                <w:color w:val="000000"/>
                <w:sz w:val="18"/>
                <w:szCs w:val="18"/>
                <w:lang w:eastAsia="ru-RU"/>
              </w:rPr>
            </w:pPr>
            <w:r w:rsidRPr="00F94FED">
              <w:rPr>
                <w:rFonts w:eastAsia="Times New Roman"/>
                <w:color w:val="000000"/>
                <w:sz w:val="18"/>
                <w:szCs w:val="18"/>
                <w:lang w:eastAsia="ru-RU"/>
              </w:rPr>
              <w:t>26 888</w:t>
            </w:r>
          </w:p>
        </w:tc>
        <w:tc>
          <w:tcPr>
            <w:tcW w:w="718" w:type="pct"/>
            <w:shd w:val="clear" w:color="auto" w:fill="auto"/>
            <w:vAlign w:val="center"/>
            <w:hideMark/>
          </w:tcPr>
          <w:p w14:paraId="701FF467" w14:textId="77777777" w:rsidR="009A4C46" w:rsidRPr="00F94FED" w:rsidRDefault="009A4C46" w:rsidP="009A4C46">
            <w:pPr>
              <w:spacing w:after="0" w:line="240" w:lineRule="auto"/>
              <w:jc w:val="center"/>
              <w:rPr>
                <w:rFonts w:eastAsia="Times New Roman"/>
                <w:color w:val="000000"/>
                <w:sz w:val="18"/>
                <w:szCs w:val="18"/>
                <w:lang w:eastAsia="ru-RU"/>
              </w:rPr>
            </w:pPr>
            <w:r w:rsidRPr="00F94FED">
              <w:rPr>
                <w:rFonts w:eastAsia="Times New Roman"/>
                <w:color w:val="000000"/>
                <w:sz w:val="18"/>
                <w:szCs w:val="18"/>
                <w:lang w:eastAsia="ru-RU"/>
              </w:rPr>
              <w:t>20 873</w:t>
            </w:r>
          </w:p>
        </w:tc>
        <w:tc>
          <w:tcPr>
            <w:tcW w:w="740" w:type="pct"/>
            <w:shd w:val="clear" w:color="auto" w:fill="auto"/>
            <w:vAlign w:val="center"/>
            <w:hideMark/>
          </w:tcPr>
          <w:p w14:paraId="14F017AB" w14:textId="77777777" w:rsidR="009A4C46" w:rsidRPr="00F94FED" w:rsidRDefault="009A4C46" w:rsidP="009A4C46">
            <w:pPr>
              <w:spacing w:after="0" w:line="240" w:lineRule="auto"/>
              <w:jc w:val="center"/>
              <w:rPr>
                <w:rFonts w:eastAsia="Times New Roman"/>
                <w:color w:val="000000"/>
                <w:sz w:val="18"/>
                <w:szCs w:val="18"/>
                <w:lang w:eastAsia="ru-RU"/>
              </w:rPr>
            </w:pPr>
            <w:r w:rsidRPr="00F94FED">
              <w:rPr>
                <w:rFonts w:eastAsia="Times New Roman"/>
                <w:color w:val="000000"/>
                <w:sz w:val="18"/>
                <w:szCs w:val="18"/>
                <w:lang w:eastAsia="ru-RU"/>
              </w:rPr>
              <w:t>19 559</w:t>
            </w:r>
          </w:p>
        </w:tc>
        <w:tc>
          <w:tcPr>
            <w:tcW w:w="596" w:type="pct"/>
            <w:shd w:val="clear" w:color="auto" w:fill="auto"/>
            <w:vAlign w:val="center"/>
            <w:hideMark/>
          </w:tcPr>
          <w:p w14:paraId="59C8C586" w14:textId="77777777" w:rsidR="009A4C46" w:rsidRPr="00F94FED" w:rsidRDefault="009A4C46" w:rsidP="009A4C46">
            <w:pPr>
              <w:spacing w:after="0" w:line="240" w:lineRule="auto"/>
              <w:jc w:val="center"/>
              <w:rPr>
                <w:rFonts w:eastAsia="Times New Roman"/>
                <w:color w:val="000000"/>
                <w:sz w:val="18"/>
                <w:szCs w:val="18"/>
                <w:lang w:eastAsia="ru-RU"/>
              </w:rPr>
            </w:pPr>
            <w:r w:rsidRPr="00F94FED">
              <w:rPr>
                <w:rFonts w:eastAsia="Times New Roman"/>
                <w:color w:val="000000"/>
                <w:sz w:val="18"/>
                <w:szCs w:val="18"/>
                <w:lang w:eastAsia="ru-RU"/>
              </w:rPr>
              <w:t>-7 329</w:t>
            </w:r>
          </w:p>
        </w:tc>
        <w:tc>
          <w:tcPr>
            <w:tcW w:w="515" w:type="pct"/>
            <w:shd w:val="clear" w:color="auto" w:fill="auto"/>
            <w:vAlign w:val="center"/>
            <w:hideMark/>
          </w:tcPr>
          <w:p w14:paraId="064E8DAF" w14:textId="77777777" w:rsidR="009A4C46" w:rsidRPr="00F94FED" w:rsidRDefault="009A4C46" w:rsidP="009A4C46">
            <w:pPr>
              <w:spacing w:after="0" w:line="240" w:lineRule="auto"/>
              <w:jc w:val="center"/>
              <w:rPr>
                <w:rFonts w:eastAsia="Times New Roman"/>
                <w:color w:val="000000"/>
                <w:sz w:val="18"/>
                <w:szCs w:val="18"/>
                <w:lang w:eastAsia="ru-RU"/>
              </w:rPr>
            </w:pPr>
            <w:r w:rsidRPr="00F94FED">
              <w:rPr>
                <w:rFonts w:eastAsia="Times New Roman"/>
                <w:color w:val="000000"/>
                <w:sz w:val="18"/>
                <w:szCs w:val="18"/>
                <w:lang w:eastAsia="ru-RU"/>
              </w:rPr>
              <w:t>-1 314</w:t>
            </w:r>
          </w:p>
        </w:tc>
      </w:tr>
      <w:tr w:rsidR="009A4C46" w:rsidRPr="00BC370C" w14:paraId="1632D6AD" w14:textId="77777777" w:rsidTr="00F94FED">
        <w:trPr>
          <w:trHeight w:val="365"/>
        </w:trPr>
        <w:tc>
          <w:tcPr>
            <w:tcW w:w="1101" w:type="pct"/>
            <w:shd w:val="clear" w:color="auto" w:fill="auto"/>
            <w:vAlign w:val="center"/>
            <w:hideMark/>
          </w:tcPr>
          <w:p w14:paraId="64D30AA2" w14:textId="77777777" w:rsidR="009A4C46" w:rsidRPr="00F94FED" w:rsidRDefault="009A4C46" w:rsidP="009A4C46">
            <w:pPr>
              <w:spacing w:after="0" w:line="240" w:lineRule="auto"/>
              <w:rPr>
                <w:rFonts w:eastAsia="Times New Roman"/>
                <w:color w:val="000000"/>
                <w:sz w:val="18"/>
                <w:szCs w:val="18"/>
                <w:lang w:eastAsia="ru-RU"/>
              </w:rPr>
            </w:pPr>
            <w:r w:rsidRPr="00F94FED">
              <w:rPr>
                <w:rFonts w:eastAsia="Times New Roman"/>
                <w:color w:val="000000"/>
                <w:sz w:val="18"/>
                <w:szCs w:val="18"/>
                <w:lang w:eastAsia="ru-RU"/>
              </w:rPr>
              <w:t>Страховые взносы</w:t>
            </w:r>
          </w:p>
        </w:tc>
        <w:tc>
          <w:tcPr>
            <w:tcW w:w="583" w:type="pct"/>
            <w:shd w:val="clear" w:color="auto" w:fill="auto"/>
            <w:vAlign w:val="center"/>
            <w:hideMark/>
          </w:tcPr>
          <w:p w14:paraId="0F4BD786" w14:textId="77777777" w:rsidR="009A4C46" w:rsidRPr="00F94FED" w:rsidRDefault="009A4C46" w:rsidP="009A4C46">
            <w:pPr>
              <w:spacing w:after="0" w:line="240" w:lineRule="auto"/>
              <w:jc w:val="center"/>
              <w:rPr>
                <w:rFonts w:eastAsia="Times New Roman"/>
                <w:color w:val="000000"/>
                <w:sz w:val="18"/>
                <w:szCs w:val="18"/>
                <w:lang w:eastAsia="ru-RU"/>
              </w:rPr>
            </w:pPr>
            <w:r w:rsidRPr="00F94FED">
              <w:rPr>
                <w:rFonts w:eastAsia="Times New Roman"/>
                <w:color w:val="000000"/>
                <w:sz w:val="18"/>
                <w:szCs w:val="18"/>
                <w:lang w:eastAsia="ru-RU"/>
              </w:rPr>
              <w:t>тыс. руб.</w:t>
            </w:r>
          </w:p>
        </w:tc>
        <w:tc>
          <w:tcPr>
            <w:tcW w:w="746" w:type="pct"/>
            <w:shd w:val="clear" w:color="auto" w:fill="auto"/>
            <w:vAlign w:val="center"/>
            <w:hideMark/>
          </w:tcPr>
          <w:p w14:paraId="6B97EE05" w14:textId="77777777" w:rsidR="009A4C46" w:rsidRPr="00F94FED" w:rsidRDefault="009A4C46" w:rsidP="009A4C46">
            <w:pPr>
              <w:spacing w:after="0" w:line="240" w:lineRule="auto"/>
              <w:jc w:val="center"/>
              <w:rPr>
                <w:rFonts w:eastAsia="Times New Roman"/>
                <w:color w:val="000000"/>
                <w:sz w:val="18"/>
                <w:szCs w:val="18"/>
                <w:lang w:eastAsia="ru-RU"/>
              </w:rPr>
            </w:pPr>
            <w:r w:rsidRPr="00F94FED">
              <w:rPr>
                <w:rFonts w:eastAsia="Times New Roman"/>
                <w:color w:val="000000"/>
                <w:sz w:val="18"/>
                <w:szCs w:val="18"/>
                <w:lang w:eastAsia="ru-RU"/>
              </w:rPr>
              <w:t>115 933</w:t>
            </w:r>
          </w:p>
        </w:tc>
        <w:tc>
          <w:tcPr>
            <w:tcW w:w="718" w:type="pct"/>
            <w:shd w:val="clear" w:color="auto" w:fill="auto"/>
            <w:vAlign w:val="center"/>
            <w:hideMark/>
          </w:tcPr>
          <w:p w14:paraId="3E931474" w14:textId="77777777" w:rsidR="009A4C46" w:rsidRPr="00F94FED" w:rsidRDefault="009A4C46" w:rsidP="009A4C46">
            <w:pPr>
              <w:spacing w:after="0" w:line="240" w:lineRule="auto"/>
              <w:jc w:val="center"/>
              <w:rPr>
                <w:rFonts w:eastAsia="Times New Roman"/>
                <w:color w:val="000000"/>
                <w:sz w:val="18"/>
                <w:szCs w:val="18"/>
                <w:lang w:eastAsia="ru-RU"/>
              </w:rPr>
            </w:pPr>
            <w:r w:rsidRPr="00F94FED">
              <w:rPr>
                <w:rFonts w:eastAsia="Times New Roman"/>
                <w:color w:val="000000"/>
                <w:sz w:val="18"/>
                <w:szCs w:val="18"/>
                <w:lang w:eastAsia="ru-RU"/>
              </w:rPr>
              <w:t>115 933</w:t>
            </w:r>
          </w:p>
        </w:tc>
        <w:tc>
          <w:tcPr>
            <w:tcW w:w="740" w:type="pct"/>
            <w:shd w:val="clear" w:color="auto" w:fill="auto"/>
            <w:vAlign w:val="center"/>
            <w:hideMark/>
          </w:tcPr>
          <w:p w14:paraId="2B846981" w14:textId="77777777" w:rsidR="009A4C46" w:rsidRPr="00F94FED" w:rsidRDefault="009A4C46" w:rsidP="009A4C46">
            <w:pPr>
              <w:spacing w:after="0" w:line="240" w:lineRule="auto"/>
              <w:jc w:val="center"/>
              <w:rPr>
                <w:rFonts w:eastAsia="Times New Roman"/>
                <w:color w:val="000000"/>
                <w:sz w:val="18"/>
                <w:szCs w:val="18"/>
                <w:lang w:eastAsia="ru-RU"/>
              </w:rPr>
            </w:pPr>
            <w:r w:rsidRPr="00F94FED">
              <w:rPr>
                <w:rFonts w:eastAsia="Times New Roman"/>
                <w:color w:val="000000"/>
                <w:sz w:val="18"/>
                <w:szCs w:val="18"/>
                <w:lang w:eastAsia="ru-RU"/>
              </w:rPr>
              <w:t>111 543</w:t>
            </w:r>
          </w:p>
        </w:tc>
        <w:tc>
          <w:tcPr>
            <w:tcW w:w="596" w:type="pct"/>
            <w:shd w:val="clear" w:color="auto" w:fill="auto"/>
            <w:vAlign w:val="center"/>
            <w:hideMark/>
          </w:tcPr>
          <w:p w14:paraId="11D038A8" w14:textId="77777777" w:rsidR="009A4C46" w:rsidRPr="00F94FED" w:rsidRDefault="009A4C46" w:rsidP="009A4C46">
            <w:pPr>
              <w:spacing w:after="0" w:line="240" w:lineRule="auto"/>
              <w:jc w:val="center"/>
              <w:rPr>
                <w:rFonts w:eastAsia="Times New Roman"/>
                <w:color w:val="000000"/>
                <w:sz w:val="18"/>
                <w:szCs w:val="18"/>
                <w:lang w:eastAsia="ru-RU"/>
              </w:rPr>
            </w:pPr>
            <w:r w:rsidRPr="00F94FED">
              <w:rPr>
                <w:rFonts w:eastAsia="Times New Roman"/>
                <w:color w:val="000000"/>
                <w:sz w:val="18"/>
                <w:szCs w:val="18"/>
                <w:lang w:eastAsia="ru-RU"/>
              </w:rPr>
              <w:t>-4 390</w:t>
            </w:r>
          </w:p>
        </w:tc>
        <w:tc>
          <w:tcPr>
            <w:tcW w:w="515" w:type="pct"/>
            <w:shd w:val="clear" w:color="auto" w:fill="auto"/>
            <w:vAlign w:val="center"/>
            <w:hideMark/>
          </w:tcPr>
          <w:p w14:paraId="7C1A40BF" w14:textId="77777777" w:rsidR="009A4C46" w:rsidRPr="00F94FED" w:rsidRDefault="009A4C46" w:rsidP="009A4C46">
            <w:pPr>
              <w:spacing w:after="0" w:line="240" w:lineRule="auto"/>
              <w:jc w:val="center"/>
              <w:rPr>
                <w:rFonts w:eastAsia="Times New Roman"/>
                <w:color w:val="000000"/>
                <w:sz w:val="18"/>
                <w:szCs w:val="18"/>
                <w:lang w:eastAsia="ru-RU"/>
              </w:rPr>
            </w:pPr>
            <w:r w:rsidRPr="00F94FED">
              <w:rPr>
                <w:rFonts w:eastAsia="Times New Roman"/>
                <w:color w:val="000000"/>
                <w:sz w:val="18"/>
                <w:szCs w:val="18"/>
                <w:lang w:eastAsia="ru-RU"/>
              </w:rPr>
              <w:t>-4 390</w:t>
            </w:r>
          </w:p>
        </w:tc>
      </w:tr>
      <w:tr w:rsidR="009A4C46" w:rsidRPr="00BC370C" w14:paraId="0206B845" w14:textId="77777777" w:rsidTr="00F94FED">
        <w:trPr>
          <w:trHeight w:val="224"/>
        </w:trPr>
        <w:tc>
          <w:tcPr>
            <w:tcW w:w="1101" w:type="pct"/>
            <w:shd w:val="clear" w:color="auto" w:fill="auto"/>
            <w:vAlign w:val="center"/>
          </w:tcPr>
          <w:p w14:paraId="376264EB" w14:textId="77777777" w:rsidR="009A4C46" w:rsidRPr="00F94FED" w:rsidRDefault="009A4C46" w:rsidP="009A4C46">
            <w:pPr>
              <w:spacing w:after="0" w:line="240" w:lineRule="auto"/>
              <w:rPr>
                <w:rFonts w:eastAsia="Times New Roman"/>
                <w:color w:val="000000"/>
                <w:sz w:val="18"/>
                <w:szCs w:val="18"/>
                <w:lang w:eastAsia="ru-RU"/>
              </w:rPr>
            </w:pPr>
            <w:r w:rsidRPr="00F94FED">
              <w:rPr>
                <w:rFonts w:eastAsia="Times New Roman"/>
                <w:color w:val="000000"/>
                <w:sz w:val="18"/>
                <w:szCs w:val="18"/>
                <w:lang w:eastAsia="ru-RU"/>
              </w:rPr>
              <w:t>Прочие неподконтрольные расходы</w:t>
            </w:r>
          </w:p>
        </w:tc>
        <w:tc>
          <w:tcPr>
            <w:tcW w:w="583" w:type="pct"/>
            <w:shd w:val="clear" w:color="auto" w:fill="auto"/>
            <w:vAlign w:val="center"/>
          </w:tcPr>
          <w:p w14:paraId="54C65C71" w14:textId="77777777" w:rsidR="009A4C46" w:rsidRPr="00F94FED" w:rsidRDefault="009A4C46" w:rsidP="009A4C46">
            <w:pPr>
              <w:spacing w:after="0" w:line="240" w:lineRule="auto"/>
              <w:jc w:val="center"/>
              <w:rPr>
                <w:rFonts w:eastAsia="Times New Roman"/>
                <w:color w:val="000000"/>
                <w:sz w:val="18"/>
                <w:szCs w:val="18"/>
                <w:lang w:eastAsia="ru-RU"/>
              </w:rPr>
            </w:pPr>
            <w:r w:rsidRPr="00F94FED">
              <w:rPr>
                <w:rFonts w:eastAsia="Times New Roman"/>
                <w:color w:val="000000"/>
                <w:sz w:val="18"/>
                <w:szCs w:val="18"/>
                <w:lang w:eastAsia="ru-RU"/>
              </w:rPr>
              <w:t>тыс. руб.</w:t>
            </w:r>
          </w:p>
        </w:tc>
        <w:tc>
          <w:tcPr>
            <w:tcW w:w="746" w:type="pct"/>
            <w:shd w:val="clear" w:color="auto" w:fill="auto"/>
            <w:vAlign w:val="center"/>
          </w:tcPr>
          <w:p w14:paraId="58D5496B" w14:textId="77777777" w:rsidR="009A4C46" w:rsidRPr="00F94FED" w:rsidRDefault="009A4C46" w:rsidP="009A4C46">
            <w:pPr>
              <w:spacing w:after="0" w:line="240" w:lineRule="auto"/>
              <w:jc w:val="center"/>
              <w:rPr>
                <w:rFonts w:eastAsia="Times New Roman"/>
                <w:color w:val="000000"/>
                <w:sz w:val="18"/>
                <w:szCs w:val="18"/>
                <w:lang w:eastAsia="ru-RU"/>
              </w:rPr>
            </w:pPr>
            <w:r w:rsidRPr="00F94FED">
              <w:rPr>
                <w:rFonts w:eastAsia="Times New Roman"/>
                <w:color w:val="000000"/>
                <w:sz w:val="18"/>
                <w:szCs w:val="18"/>
                <w:lang w:eastAsia="ru-RU"/>
              </w:rPr>
              <w:t>4 685 990</w:t>
            </w:r>
          </w:p>
        </w:tc>
        <w:tc>
          <w:tcPr>
            <w:tcW w:w="718" w:type="pct"/>
            <w:shd w:val="clear" w:color="auto" w:fill="auto"/>
            <w:vAlign w:val="center"/>
          </w:tcPr>
          <w:p w14:paraId="096E7D11" w14:textId="77777777" w:rsidR="009A4C46" w:rsidRPr="00F94FED" w:rsidRDefault="009A4C46" w:rsidP="009A4C46">
            <w:pPr>
              <w:spacing w:after="0" w:line="240" w:lineRule="auto"/>
              <w:jc w:val="center"/>
              <w:rPr>
                <w:rFonts w:eastAsia="Times New Roman"/>
                <w:color w:val="000000"/>
                <w:sz w:val="18"/>
                <w:szCs w:val="18"/>
                <w:lang w:eastAsia="ru-RU"/>
              </w:rPr>
            </w:pPr>
            <w:r w:rsidRPr="00F94FED">
              <w:rPr>
                <w:rFonts w:eastAsia="Times New Roman"/>
                <w:color w:val="000000"/>
                <w:sz w:val="18"/>
                <w:szCs w:val="18"/>
                <w:lang w:eastAsia="ru-RU"/>
              </w:rPr>
              <w:t>38 035</w:t>
            </w:r>
          </w:p>
        </w:tc>
        <w:tc>
          <w:tcPr>
            <w:tcW w:w="740" w:type="pct"/>
            <w:shd w:val="clear" w:color="auto" w:fill="auto"/>
            <w:vAlign w:val="center"/>
          </w:tcPr>
          <w:p w14:paraId="6EC0BDEE" w14:textId="77777777" w:rsidR="009A4C46" w:rsidRPr="00F94FED" w:rsidRDefault="009A4C46" w:rsidP="009A4C46">
            <w:pPr>
              <w:spacing w:after="0" w:line="240" w:lineRule="auto"/>
              <w:jc w:val="center"/>
              <w:rPr>
                <w:rFonts w:eastAsia="Times New Roman"/>
                <w:color w:val="000000"/>
                <w:sz w:val="18"/>
                <w:szCs w:val="18"/>
                <w:lang w:eastAsia="ru-RU"/>
              </w:rPr>
            </w:pPr>
            <w:r w:rsidRPr="00F94FED">
              <w:rPr>
                <w:rFonts w:eastAsia="Times New Roman"/>
                <w:color w:val="000000"/>
                <w:sz w:val="18"/>
                <w:szCs w:val="18"/>
                <w:lang w:eastAsia="ru-RU"/>
              </w:rPr>
              <w:t>72 925</w:t>
            </w:r>
          </w:p>
        </w:tc>
        <w:tc>
          <w:tcPr>
            <w:tcW w:w="596" w:type="pct"/>
            <w:shd w:val="clear" w:color="auto" w:fill="auto"/>
            <w:vAlign w:val="center"/>
          </w:tcPr>
          <w:p w14:paraId="73433B9C" w14:textId="77777777" w:rsidR="009A4C46" w:rsidRPr="00F94FED" w:rsidRDefault="009A4C46" w:rsidP="009A4C46">
            <w:pPr>
              <w:spacing w:after="0" w:line="240" w:lineRule="auto"/>
              <w:jc w:val="center"/>
              <w:rPr>
                <w:rFonts w:eastAsia="Times New Roman"/>
                <w:color w:val="000000"/>
                <w:sz w:val="18"/>
                <w:szCs w:val="18"/>
                <w:lang w:eastAsia="ru-RU"/>
              </w:rPr>
            </w:pPr>
            <w:r w:rsidRPr="00F94FED">
              <w:rPr>
                <w:rFonts w:eastAsia="Times New Roman"/>
                <w:color w:val="000000"/>
                <w:sz w:val="18"/>
                <w:szCs w:val="18"/>
                <w:lang w:eastAsia="ru-RU"/>
              </w:rPr>
              <w:t>-4 613 065</w:t>
            </w:r>
          </w:p>
        </w:tc>
        <w:tc>
          <w:tcPr>
            <w:tcW w:w="515" w:type="pct"/>
            <w:shd w:val="clear" w:color="auto" w:fill="auto"/>
            <w:vAlign w:val="center"/>
          </w:tcPr>
          <w:p w14:paraId="7552BC17" w14:textId="77777777" w:rsidR="009A4C46" w:rsidRPr="00F94FED" w:rsidRDefault="009A4C46" w:rsidP="009A4C46">
            <w:pPr>
              <w:spacing w:after="0" w:line="240" w:lineRule="auto"/>
              <w:jc w:val="center"/>
              <w:rPr>
                <w:rFonts w:eastAsia="Times New Roman"/>
                <w:color w:val="000000"/>
                <w:sz w:val="18"/>
                <w:szCs w:val="18"/>
                <w:lang w:eastAsia="ru-RU"/>
              </w:rPr>
            </w:pPr>
            <w:r w:rsidRPr="00F94FED">
              <w:rPr>
                <w:rFonts w:eastAsia="Times New Roman"/>
                <w:color w:val="000000"/>
                <w:sz w:val="18"/>
                <w:szCs w:val="18"/>
                <w:lang w:eastAsia="ru-RU"/>
              </w:rPr>
              <w:t>34 890</w:t>
            </w:r>
          </w:p>
        </w:tc>
      </w:tr>
      <w:tr w:rsidR="009A4C46" w:rsidRPr="00BC370C" w14:paraId="14FEC68B" w14:textId="77777777" w:rsidTr="00F94FED">
        <w:trPr>
          <w:trHeight w:val="224"/>
        </w:trPr>
        <w:tc>
          <w:tcPr>
            <w:tcW w:w="1101" w:type="pct"/>
            <w:shd w:val="clear" w:color="auto" w:fill="auto"/>
            <w:vAlign w:val="center"/>
          </w:tcPr>
          <w:p w14:paraId="56D7D08F" w14:textId="77777777" w:rsidR="009A4C46" w:rsidRPr="00F94FED" w:rsidRDefault="009A4C46" w:rsidP="009A4C46">
            <w:pPr>
              <w:spacing w:after="0" w:line="240" w:lineRule="auto"/>
              <w:rPr>
                <w:rFonts w:eastAsia="Times New Roman"/>
                <w:color w:val="000000"/>
                <w:sz w:val="18"/>
                <w:szCs w:val="18"/>
                <w:lang w:eastAsia="ru-RU"/>
              </w:rPr>
            </w:pPr>
            <w:r w:rsidRPr="00F94FED">
              <w:rPr>
                <w:rFonts w:eastAsia="Times New Roman"/>
                <w:color w:val="000000"/>
                <w:sz w:val="18"/>
                <w:szCs w:val="18"/>
                <w:lang w:eastAsia="ru-RU"/>
              </w:rPr>
              <w:t>Списание дебиторской задолженности</w:t>
            </w:r>
          </w:p>
        </w:tc>
        <w:tc>
          <w:tcPr>
            <w:tcW w:w="583" w:type="pct"/>
            <w:shd w:val="clear" w:color="auto" w:fill="auto"/>
            <w:vAlign w:val="center"/>
          </w:tcPr>
          <w:p w14:paraId="3068DF36" w14:textId="77777777" w:rsidR="009A4C46" w:rsidRPr="00F94FED" w:rsidRDefault="009A4C46" w:rsidP="009A4C46">
            <w:pPr>
              <w:spacing w:after="0" w:line="240" w:lineRule="auto"/>
              <w:jc w:val="center"/>
              <w:rPr>
                <w:rFonts w:eastAsia="Times New Roman"/>
                <w:color w:val="000000"/>
                <w:sz w:val="18"/>
                <w:szCs w:val="18"/>
                <w:lang w:eastAsia="ru-RU"/>
              </w:rPr>
            </w:pPr>
            <w:r w:rsidRPr="00F94FED">
              <w:rPr>
                <w:rFonts w:eastAsia="Times New Roman"/>
                <w:color w:val="000000"/>
                <w:sz w:val="18"/>
                <w:szCs w:val="18"/>
                <w:lang w:eastAsia="ru-RU"/>
              </w:rPr>
              <w:t>тыс. руб.</w:t>
            </w:r>
          </w:p>
        </w:tc>
        <w:tc>
          <w:tcPr>
            <w:tcW w:w="746" w:type="pct"/>
            <w:shd w:val="clear" w:color="auto" w:fill="auto"/>
            <w:vAlign w:val="center"/>
          </w:tcPr>
          <w:p w14:paraId="4247DC41" w14:textId="77777777" w:rsidR="009A4C46" w:rsidRPr="00F94FED" w:rsidRDefault="009A4C46" w:rsidP="009A4C46">
            <w:pPr>
              <w:spacing w:after="0" w:line="240" w:lineRule="auto"/>
              <w:jc w:val="center"/>
              <w:rPr>
                <w:rFonts w:eastAsia="Times New Roman"/>
                <w:color w:val="000000"/>
                <w:sz w:val="18"/>
                <w:szCs w:val="18"/>
                <w:lang w:eastAsia="ru-RU"/>
              </w:rPr>
            </w:pPr>
            <w:r w:rsidRPr="00F94FED">
              <w:rPr>
                <w:rFonts w:eastAsia="Times New Roman"/>
                <w:color w:val="000000"/>
                <w:sz w:val="18"/>
                <w:szCs w:val="18"/>
                <w:lang w:eastAsia="ru-RU"/>
              </w:rPr>
              <w:t>1 328 373</w:t>
            </w:r>
          </w:p>
        </w:tc>
        <w:tc>
          <w:tcPr>
            <w:tcW w:w="718" w:type="pct"/>
            <w:shd w:val="clear" w:color="auto" w:fill="auto"/>
            <w:vAlign w:val="center"/>
          </w:tcPr>
          <w:p w14:paraId="59D987F2" w14:textId="77777777" w:rsidR="009A4C46" w:rsidRPr="00F94FED" w:rsidRDefault="009A4C46" w:rsidP="009A4C46">
            <w:pPr>
              <w:spacing w:after="0" w:line="240" w:lineRule="auto"/>
              <w:jc w:val="center"/>
              <w:rPr>
                <w:rFonts w:eastAsia="Times New Roman"/>
                <w:color w:val="000000"/>
                <w:sz w:val="18"/>
                <w:szCs w:val="18"/>
                <w:lang w:eastAsia="ru-RU"/>
              </w:rPr>
            </w:pPr>
            <w:r w:rsidRPr="00F94FED">
              <w:rPr>
                <w:rFonts w:eastAsia="Times New Roman"/>
                <w:color w:val="000000"/>
                <w:sz w:val="18"/>
                <w:szCs w:val="18"/>
                <w:lang w:eastAsia="ru-RU"/>
              </w:rPr>
              <w:t>72 794</w:t>
            </w:r>
          </w:p>
        </w:tc>
        <w:tc>
          <w:tcPr>
            <w:tcW w:w="740" w:type="pct"/>
            <w:shd w:val="clear" w:color="auto" w:fill="auto"/>
            <w:vAlign w:val="center"/>
          </w:tcPr>
          <w:p w14:paraId="0941430E" w14:textId="77777777" w:rsidR="009A4C46" w:rsidRPr="00F94FED" w:rsidRDefault="009A4C46" w:rsidP="009A4C46">
            <w:pPr>
              <w:spacing w:after="0" w:line="240" w:lineRule="auto"/>
              <w:jc w:val="center"/>
              <w:rPr>
                <w:rFonts w:eastAsia="Times New Roman"/>
                <w:color w:val="000000"/>
                <w:sz w:val="18"/>
                <w:szCs w:val="18"/>
                <w:lang w:eastAsia="ru-RU"/>
              </w:rPr>
            </w:pPr>
            <w:r w:rsidRPr="00F94FED">
              <w:rPr>
                <w:rFonts w:eastAsia="Times New Roman"/>
                <w:color w:val="000000"/>
                <w:sz w:val="18"/>
                <w:szCs w:val="18"/>
                <w:lang w:eastAsia="ru-RU"/>
              </w:rPr>
              <w:t>72 794</w:t>
            </w:r>
          </w:p>
        </w:tc>
        <w:tc>
          <w:tcPr>
            <w:tcW w:w="596" w:type="pct"/>
            <w:shd w:val="clear" w:color="auto" w:fill="auto"/>
            <w:vAlign w:val="center"/>
          </w:tcPr>
          <w:p w14:paraId="27B63865" w14:textId="77777777" w:rsidR="009A4C46" w:rsidRPr="00F94FED" w:rsidRDefault="009A4C46" w:rsidP="009A4C46">
            <w:pPr>
              <w:spacing w:after="0" w:line="240" w:lineRule="auto"/>
              <w:jc w:val="center"/>
              <w:rPr>
                <w:rFonts w:eastAsia="Times New Roman"/>
                <w:color w:val="000000"/>
                <w:sz w:val="18"/>
                <w:szCs w:val="18"/>
                <w:lang w:eastAsia="ru-RU"/>
              </w:rPr>
            </w:pPr>
            <w:r w:rsidRPr="00F94FED">
              <w:rPr>
                <w:rFonts w:eastAsia="Times New Roman"/>
                <w:color w:val="000000"/>
                <w:sz w:val="18"/>
                <w:szCs w:val="18"/>
                <w:lang w:eastAsia="ru-RU"/>
              </w:rPr>
              <w:t>-1 255 579</w:t>
            </w:r>
          </w:p>
        </w:tc>
        <w:tc>
          <w:tcPr>
            <w:tcW w:w="515" w:type="pct"/>
            <w:shd w:val="clear" w:color="auto" w:fill="auto"/>
            <w:vAlign w:val="center"/>
          </w:tcPr>
          <w:p w14:paraId="149E3909" w14:textId="77777777" w:rsidR="009A4C46" w:rsidRPr="00F94FED" w:rsidRDefault="009A4C46" w:rsidP="009A4C46">
            <w:pPr>
              <w:spacing w:after="0" w:line="240" w:lineRule="auto"/>
              <w:jc w:val="center"/>
              <w:rPr>
                <w:rFonts w:eastAsia="Times New Roman"/>
                <w:color w:val="000000"/>
                <w:sz w:val="18"/>
                <w:szCs w:val="18"/>
                <w:lang w:eastAsia="ru-RU"/>
              </w:rPr>
            </w:pPr>
            <w:r w:rsidRPr="00F94FED">
              <w:rPr>
                <w:rFonts w:eastAsia="Times New Roman"/>
                <w:color w:val="000000"/>
                <w:sz w:val="18"/>
                <w:szCs w:val="18"/>
                <w:lang w:eastAsia="ru-RU"/>
              </w:rPr>
              <w:t>0</w:t>
            </w:r>
          </w:p>
        </w:tc>
      </w:tr>
      <w:tr w:rsidR="009A4C46" w:rsidRPr="00BC370C" w14:paraId="05E90C64" w14:textId="77777777" w:rsidTr="00F94FED">
        <w:trPr>
          <w:trHeight w:val="372"/>
        </w:trPr>
        <w:tc>
          <w:tcPr>
            <w:tcW w:w="1101" w:type="pct"/>
            <w:shd w:val="clear" w:color="auto" w:fill="auto"/>
            <w:vAlign w:val="center"/>
            <w:hideMark/>
          </w:tcPr>
          <w:p w14:paraId="0D1385C9" w14:textId="77777777" w:rsidR="009A4C46" w:rsidRPr="00F94FED" w:rsidRDefault="009A4C46" w:rsidP="009A4C46">
            <w:pPr>
              <w:spacing w:after="0" w:line="240" w:lineRule="auto"/>
              <w:rPr>
                <w:rFonts w:eastAsia="Times New Roman"/>
                <w:color w:val="000000"/>
                <w:sz w:val="18"/>
                <w:szCs w:val="18"/>
                <w:lang w:eastAsia="ru-RU"/>
              </w:rPr>
            </w:pPr>
            <w:r w:rsidRPr="00F94FED">
              <w:rPr>
                <w:rFonts w:eastAsia="Times New Roman"/>
                <w:color w:val="000000"/>
                <w:sz w:val="18"/>
                <w:szCs w:val="18"/>
                <w:lang w:eastAsia="ru-RU"/>
              </w:rPr>
              <w:t xml:space="preserve">Налог на прибыль </w:t>
            </w:r>
          </w:p>
        </w:tc>
        <w:tc>
          <w:tcPr>
            <w:tcW w:w="583" w:type="pct"/>
            <w:shd w:val="clear" w:color="auto" w:fill="auto"/>
            <w:vAlign w:val="center"/>
            <w:hideMark/>
          </w:tcPr>
          <w:p w14:paraId="410027D7" w14:textId="77777777" w:rsidR="009A4C46" w:rsidRPr="00F94FED" w:rsidRDefault="009A4C46" w:rsidP="009A4C46">
            <w:pPr>
              <w:spacing w:after="0" w:line="240" w:lineRule="auto"/>
              <w:jc w:val="center"/>
              <w:rPr>
                <w:rFonts w:eastAsia="Times New Roman"/>
                <w:color w:val="000000"/>
                <w:sz w:val="18"/>
                <w:szCs w:val="18"/>
                <w:lang w:eastAsia="ru-RU"/>
              </w:rPr>
            </w:pPr>
            <w:r w:rsidRPr="00F94FED">
              <w:rPr>
                <w:rFonts w:eastAsia="Times New Roman"/>
                <w:color w:val="000000"/>
                <w:sz w:val="18"/>
                <w:szCs w:val="18"/>
                <w:lang w:eastAsia="ru-RU"/>
              </w:rPr>
              <w:t>тыс. руб.</w:t>
            </w:r>
          </w:p>
        </w:tc>
        <w:tc>
          <w:tcPr>
            <w:tcW w:w="746" w:type="pct"/>
            <w:shd w:val="clear" w:color="auto" w:fill="auto"/>
            <w:vAlign w:val="center"/>
            <w:hideMark/>
          </w:tcPr>
          <w:p w14:paraId="3E05494F" w14:textId="77777777" w:rsidR="009A4C46" w:rsidRPr="00F94FED" w:rsidRDefault="009A4C46" w:rsidP="009A4C46">
            <w:pPr>
              <w:spacing w:after="0" w:line="240" w:lineRule="auto"/>
              <w:jc w:val="center"/>
              <w:rPr>
                <w:rFonts w:eastAsia="Times New Roman"/>
                <w:color w:val="000000"/>
                <w:sz w:val="18"/>
                <w:szCs w:val="18"/>
                <w:lang w:eastAsia="ru-RU"/>
              </w:rPr>
            </w:pPr>
            <w:r w:rsidRPr="00F94FED">
              <w:rPr>
                <w:rFonts w:eastAsia="Times New Roman"/>
                <w:color w:val="000000"/>
                <w:sz w:val="18"/>
                <w:szCs w:val="18"/>
                <w:lang w:eastAsia="ru-RU"/>
              </w:rPr>
              <w:t>112 229</w:t>
            </w:r>
          </w:p>
        </w:tc>
        <w:tc>
          <w:tcPr>
            <w:tcW w:w="718" w:type="pct"/>
            <w:shd w:val="clear" w:color="auto" w:fill="auto"/>
            <w:vAlign w:val="center"/>
            <w:hideMark/>
          </w:tcPr>
          <w:p w14:paraId="6BDA2C3F" w14:textId="77777777" w:rsidR="009A4C46" w:rsidRPr="00F94FED" w:rsidRDefault="009A4C46" w:rsidP="009A4C46">
            <w:pPr>
              <w:spacing w:after="0" w:line="240" w:lineRule="auto"/>
              <w:jc w:val="center"/>
              <w:rPr>
                <w:rFonts w:eastAsia="Times New Roman"/>
                <w:color w:val="000000"/>
                <w:sz w:val="18"/>
                <w:szCs w:val="18"/>
                <w:lang w:eastAsia="ru-RU"/>
              </w:rPr>
            </w:pPr>
            <w:r w:rsidRPr="00F94FED">
              <w:rPr>
                <w:rFonts w:eastAsia="Times New Roman"/>
                <w:color w:val="000000"/>
                <w:sz w:val="18"/>
                <w:szCs w:val="18"/>
                <w:lang w:eastAsia="ru-RU"/>
              </w:rPr>
              <w:t>0</w:t>
            </w:r>
          </w:p>
        </w:tc>
        <w:tc>
          <w:tcPr>
            <w:tcW w:w="740" w:type="pct"/>
            <w:shd w:val="clear" w:color="auto" w:fill="auto"/>
            <w:vAlign w:val="center"/>
            <w:hideMark/>
          </w:tcPr>
          <w:p w14:paraId="2BE050D8" w14:textId="77777777" w:rsidR="009A4C46" w:rsidRPr="00F94FED" w:rsidRDefault="009A4C46" w:rsidP="009A4C46">
            <w:pPr>
              <w:spacing w:after="0" w:line="240" w:lineRule="auto"/>
              <w:jc w:val="center"/>
              <w:rPr>
                <w:rFonts w:eastAsia="Times New Roman"/>
                <w:color w:val="000000"/>
                <w:sz w:val="18"/>
                <w:szCs w:val="18"/>
                <w:lang w:eastAsia="ru-RU"/>
              </w:rPr>
            </w:pPr>
            <w:r w:rsidRPr="00F94FED">
              <w:rPr>
                <w:rFonts w:eastAsia="Times New Roman"/>
                <w:color w:val="000000"/>
                <w:sz w:val="18"/>
                <w:szCs w:val="18"/>
                <w:lang w:eastAsia="ru-RU"/>
              </w:rPr>
              <w:t>112 229</w:t>
            </w:r>
          </w:p>
        </w:tc>
        <w:tc>
          <w:tcPr>
            <w:tcW w:w="596" w:type="pct"/>
            <w:shd w:val="clear" w:color="auto" w:fill="auto"/>
            <w:vAlign w:val="center"/>
            <w:hideMark/>
          </w:tcPr>
          <w:p w14:paraId="578A2DEF" w14:textId="77777777" w:rsidR="009A4C46" w:rsidRPr="00F94FED" w:rsidRDefault="009A4C46" w:rsidP="009A4C46">
            <w:pPr>
              <w:spacing w:after="0" w:line="240" w:lineRule="auto"/>
              <w:jc w:val="center"/>
              <w:rPr>
                <w:rFonts w:eastAsia="Times New Roman"/>
                <w:color w:val="000000"/>
                <w:sz w:val="18"/>
                <w:szCs w:val="18"/>
                <w:lang w:eastAsia="ru-RU"/>
              </w:rPr>
            </w:pPr>
            <w:r w:rsidRPr="00F94FED">
              <w:rPr>
                <w:rFonts w:eastAsia="Times New Roman"/>
                <w:color w:val="000000"/>
                <w:sz w:val="18"/>
                <w:szCs w:val="18"/>
                <w:lang w:eastAsia="ru-RU"/>
              </w:rPr>
              <w:t>0</w:t>
            </w:r>
          </w:p>
        </w:tc>
        <w:tc>
          <w:tcPr>
            <w:tcW w:w="515" w:type="pct"/>
            <w:shd w:val="clear" w:color="auto" w:fill="auto"/>
            <w:vAlign w:val="center"/>
            <w:hideMark/>
          </w:tcPr>
          <w:p w14:paraId="6B10FDE4" w14:textId="77777777" w:rsidR="009A4C46" w:rsidRPr="00F94FED" w:rsidRDefault="009A4C46" w:rsidP="009A4C46">
            <w:pPr>
              <w:spacing w:after="0" w:line="240" w:lineRule="auto"/>
              <w:jc w:val="center"/>
              <w:rPr>
                <w:rFonts w:eastAsia="Times New Roman"/>
                <w:color w:val="000000"/>
                <w:sz w:val="18"/>
                <w:szCs w:val="18"/>
                <w:lang w:eastAsia="ru-RU"/>
              </w:rPr>
            </w:pPr>
            <w:r w:rsidRPr="00F94FED">
              <w:rPr>
                <w:rFonts w:eastAsia="Times New Roman"/>
                <w:color w:val="000000"/>
                <w:sz w:val="18"/>
                <w:szCs w:val="18"/>
                <w:lang w:eastAsia="ru-RU"/>
              </w:rPr>
              <w:t>112 229</w:t>
            </w:r>
          </w:p>
        </w:tc>
      </w:tr>
      <w:tr w:rsidR="009A4C46" w:rsidRPr="00BC370C" w14:paraId="535B3B00" w14:textId="77777777" w:rsidTr="00F94FED">
        <w:trPr>
          <w:trHeight w:val="459"/>
        </w:trPr>
        <w:tc>
          <w:tcPr>
            <w:tcW w:w="1101" w:type="pct"/>
            <w:shd w:val="clear" w:color="auto" w:fill="auto"/>
            <w:vAlign w:val="center"/>
            <w:hideMark/>
          </w:tcPr>
          <w:p w14:paraId="588D15D8" w14:textId="77777777" w:rsidR="009A4C46" w:rsidRPr="00F94FED" w:rsidRDefault="009A4C46" w:rsidP="009A4C46">
            <w:pPr>
              <w:spacing w:after="0" w:line="240" w:lineRule="auto"/>
              <w:rPr>
                <w:rFonts w:eastAsia="Times New Roman"/>
                <w:color w:val="000000"/>
                <w:sz w:val="18"/>
                <w:szCs w:val="18"/>
                <w:lang w:eastAsia="ru-RU"/>
              </w:rPr>
            </w:pPr>
            <w:r w:rsidRPr="00F94FED">
              <w:rPr>
                <w:rFonts w:eastAsia="Times New Roman"/>
                <w:color w:val="000000"/>
                <w:sz w:val="18"/>
                <w:szCs w:val="18"/>
                <w:lang w:eastAsia="ru-RU"/>
              </w:rPr>
              <w:t>Выпадающие доходы по льготному ТП</w:t>
            </w:r>
          </w:p>
        </w:tc>
        <w:tc>
          <w:tcPr>
            <w:tcW w:w="583" w:type="pct"/>
            <w:shd w:val="clear" w:color="auto" w:fill="auto"/>
            <w:vAlign w:val="center"/>
            <w:hideMark/>
          </w:tcPr>
          <w:p w14:paraId="378BDE2E" w14:textId="77777777" w:rsidR="009A4C46" w:rsidRPr="00F94FED" w:rsidRDefault="009A4C46" w:rsidP="009A4C46">
            <w:pPr>
              <w:spacing w:after="0" w:line="240" w:lineRule="auto"/>
              <w:jc w:val="center"/>
              <w:rPr>
                <w:rFonts w:eastAsia="Times New Roman"/>
                <w:color w:val="000000"/>
                <w:sz w:val="18"/>
                <w:szCs w:val="18"/>
                <w:lang w:eastAsia="ru-RU"/>
              </w:rPr>
            </w:pPr>
            <w:r w:rsidRPr="00F94FED">
              <w:rPr>
                <w:rFonts w:eastAsia="Times New Roman"/>
                <w:color w:val="000000"/>
                <w:sz w:val="18"/>
                <w:szCs w:val="18"/>
                <w:lang w:eastAsia="ru-RU"/>
              </w:rPr>
              <w:t>тыс. руб.</w:t>
            </w:r>
          </w:p>
        </w:tc>
        <w:tc>
          <w:tcPr>
            <w:tcW w:w="746" w:type="pct"/>
            <w:shd w:val="clear" w:color="auto" w:fill="auto"/>
            <w:vAlign w:val="center"/>
            <w:hideMark/>
          </w:tcPr>
          <w:p w14:paraId="0BD754F8" w14:textId="77777777" w:rsidR="009A4C46" w:rsidRPr="00F94FED" w:rsidRDefault="009A4C46" w:rsidP="009A4C46">
            <w:pPr>
              <w:spacing w:after="0" w:line="240" w:lineRule="auto"/>
              <w:jc w:val="center"/>
              <w:rPr>
                <w:rFonts w:eastAsia="Times New Roman"/>
                <w:color w:val="000000"/>
                <w:sz w:val="18"/>
                <w:szCs w:val="18"/>
                <w:lang w:eastAsia="ru-RU"/>
              </w:rPr>
            </w:pPr>
            <w:r w:rsidRPr="00F94FED">
              <w:rPr>
                <w:rFonts w:eastAsia="Times New Roman"/>
                <w:color w:val="000000"/>
                <w:sz w:val="18"/>
                <w:szCs w:val="18"/>
                <w:lang w:eastAsia="ru-RU"/>
              </w:rPr>
              <w:t>56 622</w:t>
            </w:r>
          </w:p>
        </w:tc>
        <w:tc>
          <w:tcPr>
            <w:tcW w:w="718" w:type="pct"/>
            <w:shd w:val="clear" w:color="auto" w:fill="auto"/>
            <w:vAlign w:val="center"/>
            <w:hideMark/>
          </w:tcPr>
          <w:p w14:paraId="5EE361CB" w14:textId="77777777" w:rsidR="009A4C46" w:rsidRPr="00F94FED" w:rsidRDefault="009A4C46" w:rsidP="009A4C46">
            <w:pPr>
              <w:spacing w:after="0" w:line="240" w:lineRule="auto"/>
              <w:jc w:val="center"/>
              <w:rPr>
                <w:rFonts w:eastAsia="Times New Roman"/>
                <w:color w:val="000000"/>
                <w:sz w:val="18"/>
                <w:szCs w:val="18"/>
                <w:lang w:eastAsia="ru-RU"/>
              </w:rPr>
            </w:pPr>
            <w:r w:rsidRPr="00F94FED">
              <w:rPr>
                <w:rFonts w:eastAsia="Times New Roman"/>
                <w:color w:val="000000"/>
                <w:sz w:val="18"/>
                <w:szCs w:val="18"/>
                <w:lang w:eastAsia="ru-RU"/>
              </w:rPr>
              <w:t>50 652</w:t>
            </w:r>
          </w:p>
        </w:tc>
        <w:tc>
          <w:tcPr>
            <w:tcW w:w="740" w:type="pct"/>
            <w:shd w:val="clear" w:color="auto" w:fill="auto"/>
            <w:vAlign w:val="center"/>
            <w:hideMark/>
          </w:tcPr>
          <w:p w14:paraId="542B8F52" w14:textId="77777777" w:rsidR="009A4C46" w:rsidRPr="00F94FED" w:rsidRDefault="009A4C46" w:rsidP="009A4C46">
            <w:pPr>
              <w:spacing w:after="0" w:line="240" w:lineRule="auto"/>
              <w:jc w:val="center"/>
              <w:rPr>
                <w:rFonts w:eastAsia="Times New Roman"/>
                <w:color w:val="000000"/>
                <w:sz w:val="18"/>
                <w:szCs w:val="18"/>
                <w:lang w:eastAsia="ru-RU"/>
              </w:rPr>
            </w:pPr>
            <w:r w:rsidRPr="00F94FED">
              <w:rPr>
                <w:rFonts w:eastAsia="Times New Roman"/>
                <w:color w:val="000000"/>
                <w:sz w:val="18"/>
                <w:szCs w:val="18"/>
                <w:lang w:eastAsia="ru-RU"/>
              </w:rPr>
              <w:t>65 202</w:t>
            </w:r>
          </w:p>
        </w:tc>
        <w:tc>
          <w:tcPr>
            <w:tcW w:w="596" w:type="pct"/>
            <w:shd w:val="clear" w:color="auto" w:fill="auto"/>
            <w:vAlign w:val="center"/>
            <w:hideMark/>
          </w:tcPr>
          <w:p w14:paraId="2626302E" w14:textId="77777777" w:rsidR="009A4C46" w:rsidRPr="00F94FED" w:rsidRDefault="009A4C46" w:rsidP="009A4C46">
            <w:pPr>
              <w:spacing w:after="0" w:line="240" w:lineRule="auto"/>
              <w:jc w:val="center"/>
              <w:rPr>
                <w:rFonts w:eastAsia="Times New Roman"/>
                <w:color w:val="000000"/>
                <w:sz w:val="18"/>
                <w:szCs w:val="18"/>
                <w:lang w:eastAsia="ru-RU"/>
              </w:rPr>
            </w:pPr>
            <w:r w:rsidRPr="00F94FED">
              <w:rPr>
                <w:rFonts w:eastAsia="Times New Roman"/>
                <w:color w:val="000000"/>
                <w:sz w:val="18"/>
                <w:szCs w:val="18"/>
                <w:lang w:eastAsia="ru-RU"/>
              </w:rPr>
              <w:t>8 580</w:t>
            </w:r>
          </w:p>
        </w:tc>
        <w:tc>
          <w:tcPr>
            <w:tcW w:w="515" w:type="pct"/>
            <w:shd w:val="clear" w:color="auto" w:fill="auto"/>
            <w:vAlign w:val="center"/>
            <w:hideMark/>
          </w:tcPr>
          <w:p w14:paraId="22132410" w14:textId="77777777" w:rsidR="009A4C46" w:rsidRPr="00F94FED" w:rsidRDefault="009A4C46" w:rsidP="009A4C46">
            <w:pPr>
              <w:spacing w:after="0" w:line="240" w:lineRule="auto"/>
              <w:jc w:val="center"/>
              <w:rPr>
                <w:rFonts w:eastAsia="Times New Roman"/>
                <w:color w:val="000000"/>
                <w:sz w:val="18"/>
                <w:szCs w:val="18"/>
                <w:lang w:eastAsia="ru-RU"/>
              </w:rPr>
            </w:pPr>
            <w:r w:rsidRPr="00F94FED">
              <w:rPr>
                <w:rFonts w:eastAsia="Times New Roman"/>
                <w:color w:val="000000"/>
                <w:sz w:val="18"/>
                <w:szCs w:val="18"/>
                <w:lang w:eastAsia="ru-RU"/>
              </w:rPr>
              <w:t>14 550</w:t>
            </w:r>
          </w:p>
        </w:tc>
      </w:tr>
      <w:tr w:rsidR="009A4C46" w:rsidRPr="00BC370C" w14:paraId="67BAF4F7" w14:textId="77777777" w:rsidTr="00F94FED">
        <w:trPr>
          <w:trHeight w:val="433"/>
        </w:trPr>
        <w:tc>
          <w:tcPr>
            <w:tcW w:w="1101" w:type="pct"/>
            <w:shd w:val="clear" w:color="auto" w:fill="auto"/>
            <w:vAlign w:val="center"/>
            <w:hideMark/>
          </w:tcPr>
          <w:p w14:paraId="6DF349E3" w14:textId="513CDD5D" w:rsidR="009A4C46" w:rsidRPr="00F94FED" w:rsidRDefault="009A4C46" w:rsidP="009A4C46">
            <w:pPr>
              <w:spacing w:after="0" w:line="240" w:lineRule="auto"/>
              <w:rPr>
                <w:rFonts w:eastAsia="Times New Roman"/>
                <w:color w:val="000000"/>
                <w:sz w:val="18"/>
                <w:szCs w:val="18"/>
                <w:lang w:eastAsia="ru-RU"/>
              </w:rPr>
            </w:pPr>
            <w:r w:rsidRPr="00F94FED">
              <w:rPr>
                <w:rFonts w:eastAsia="Times New Roman"/>
                <w:color w:val="000000"/>
                <w:sz w:val="18"/>
                <w:szCs w:val="18"/>
                <w:lang w:eastAsia="ru-RU"/>
              </w:rPr>
              <w:t>Амортизация ОС</w:t>
            </w:r>
          </w:p>
        </w:tc>
        <w:tc>
          <w:tcPr>
            <w:tcW w:w="583" w:type="pct"/>
            <w:shd w:val="clear" w:color="auto" w:fill="auto"/>
            <w:vAlign w:val="center"/>
            <w:hideMark/>
          </w:tcPr>
          <w:p w14:paraId="29666FF8" w14:textId="77777777" w:rsidR="009A4C46" w:rsidRPr="00F94FED" w:rsidRDefault="009A4C46" w:rsidP="009A4C46">
            <w:pPr>
              <w:spacing w:after="0" w:line="240" w:lineRule="auto"/>
              <w:jc w:val="center"/>
              <w:rPr>
                <w:rFonts w:eastAsia="Times New Roman"/>
                <w:color w:val="000000"/>
                <w:sz w:val="18"/>
                <w:szCs w:val="18"/>
                <w:lang w:eastAsia="ru-RU"/>
              </w:rPr>
            </w:pPr>
            <w:r w:rsidRPr="00F94FED">
              <w:rPr>
                <w:rFonts w:eastAsia="Times New Roman"/>
                <w:color w:val="000000"/>
                <w:sz w:val="18"/>
                <w:szCs w:val="18"/>
                <w:lang w:eastAsia="ru-RU"/>
              </w:rPr>
              <w:t>тыс. руб.</w:t>
            </w:r>
          </w:p>
        </w:tc>
        <w:tc>
          <w:tcPr>
            <w:tcW w:w="746" w:type="pct"/>
            <w:shd w:val="clear" w:color="auto" w:fill="auto"/>
            <w:vAlign w:val="center"/>
            <w:hideMark/>
          </w:tcPr>
          <w:p w14:paraId="59E24327" w14:textId="77777777" w:rsidR="009A4C46" w:rsidRPr="00F94FED" w:rsidRDefault="009A4C46" w:rsidP="009A4C46">
            <w:pPr>
              <w:spacing w:after="0" w:line="240" w:lineRule="auto"/>
              <w:jc w:val="center"/>
              <w:rPr>
                <w:rFonts w:eastAsia="Times New Roman"/>
                <w:color w:val="000000"/>
                <w:sz w:val="18"/>
                <w:szCs w:val="18"/>
                <w:lang w:eastAsia="ru-RU"/>
              </w:rPr>
            </w:pPr>
            <w:r w:rsidRPr="00F94FED">
              <w:rPr>
                <w:rFonts w:eastAsia="Times New Roman"/>
                <w:color w:val="000000"/>
                <w:sz w:val="18"/>
                <w:szCs w:val="18"/>
                <w:lang w:eastAsia="ru-RU"/>
              </w:rPr>
              <w:t>109 911</w:t>
            </w:r>
          </w:p>
        </w:tc>
        <w:tc>
          <w:tcPr>
            <w:tcW w:w="718" w:type="pct"/>
            <w:shd w:val="clear" w:color="auto" w:fill="auto"/>
            <w:vAlign w:val="center"/>
            <w:hideMark/>
          </w:tcPr>
          <w:p w14:paraId="583702A3" w14:textId="77777777" w:rsidR="009A4C46" w:rsidRPr="00F94FED" w:rsidRDefault="009A4C46" w:rsidP="009A4C46">
            <w:pPr>
              <w:spacing w:after="0" w:line="240" w:lineRule="auto"/>
              <w:jc w:val="center"/>
              <w:rPr>
                <w:rFonts w:eastAsia="Times New Roman"/>
                <w:color w:val="000000"/>
                <w:sz w:val="18"/>
                <w:szCs w:val="18"/>
                <w:lang w:eastAsia="ru-RU"/>
              </w:rPr>
            </w:pPr>
            <w:r w:rsidRPr="00F94FED">
              <w:rPr>
                <w:rFonts w:eastAsia="Times New Roman"/>
                <w:color w:val="000000"/>
                <w:sz w:val="18"/>
                <w:szCs w:val="18"/>
                <w:lang w:eastAsia="ru-RU"/>
              </w:rPr>
              <w:t>105 422</w:t>
            </w:r>
          </w:p>
        </w:tc>
        <w:tc>
          <w:tcPr>
            <w:tcW w:w="740" w:type="pct"/>
            <w:shd w:val="clear" w:color="auto" w:fill="auto"/>
            <w:vAlign w:val="center"/>
            <w:hideMark/>
          </w:tcPr>
          <w:p w14:paraId="516D0E64" w14:textId="77777777" w:rsidR="009A4C46" w:rsidRPr="00F94FED" w:rsidRDefault="009A4C46" w:rsidP="009A4C46">
            <w:pPr>
              <w:spacing w:after="0" w:line="240" w:lineRule="auto"/>
              <w:jc w:val="center"/>
              <w:rPr>
                <w:rFonts w:eastAsia="Times New Roman"/>
                <w:color w:val="000000"/>
                <w:sz w:val="18"/>
                <w:szCs w:val="18"/>
                <w:lang w:eastAsia="ru-RU"/>
              </w:rPr>
            </w:pPr>
            <w:r w:rsidRPr="00F94FED">
              <w:rPr>
                <w:rFonts w:eastAsia="Times New Roman"/>
                <w:color w:val="000000"/>
                <w:sz w:val="18"/>
                <w:szCs w:val="18"/>
                <w:lang w:eastAsia="ru-RU"/>
              </w:rPr>
              <w:t>105 422</w:t>
            </w:r>
          </w:p>
        </w:tc>
        <w:tc>
          <w:tcPr>
            <w:tcW w:w="596" w:type="pct"/>
            <w:shd w:val="clear" w:color="auto" w:fill="auto"/>
            <w:vAlign w:val="center"/>
            <w:hideMark/>
          </w:tcPr>
          <w:p w14:paraId="5FCDF0BC" w14:textId="77777777" w:rsidR="009A4C46" w:rsidRPr="00F94FED" w:rsidRDefault="009A4C46" w:rsidP="009A4C46">
            <w:pPr>
              <w:spacing w:after="0" w:line="240" w:lineRule="auto"/>
              <w:jc w:val="center"/>
              <w:rPr>
                <w:rFonts w:eastAsia="Times New Roman"/>
                <w:color w:val="000000"/>
                <w:sz w:val="18"/>
                <w:szCs w:val="18"/>
                <w:lang w:eastAsia="ru-RU"/>
              </w:rPr>
            </w:pPr>
            <w:r w:rsidRPr="00F94FED">
              <w:rPr>
                <w:rFonts w:eastAsia="Times New Roman"/>
                <w:color w:val="000000"/>
                <w:sz w:val="18"/>
                <w:szCs w:val="18"/>
                <w:lang w:eastAsia="ru-RU"/>
              </w:rPr>
              <w:t>-4 489</w:t>
            </w:r>
          </w:p>
        </w:tc>
        <w:tc>
          <w:tcPr>
            <w:tcW w:w="515" w:type="pct"/>
            <w:shd w:val="clear" w:color="auto" w:fill="auto"/>
            <w:vAlign w:val="center"/>
            <w:hideMark/>
          </w:tcPr>
          <w:p w14:paraId="7A995767" w14:textId="77777777" w:rsidR="009A4C46" w:rsidRPr="00F94FED" w:rsidRDefault="009A4C46" w:rsidP="009A4C46">
            <w:pPr>
              <w:spacing w:after="0" w:line="240" w:lineRule="auto"/>
              <w:jc w:val="center"/>
              <w:rPr>
                <w:rFonts w:eastAsia="Times New Roman"/>
                <w:color w:val="000000"/>
                <w:sz w:val="18"/>
                <w:szCs w:val="18"/>
                <w:lang w:eastAsia="ru-RU"/>
              </w:rPr>
            </w:pPr>
            <w:r w:rsidRPr="00F94FED">
              <w:rPr>
                <w:rFonts w:eastAsia="Times New Roman"/>
                <w:color w:val="000000"/>
                <w:sz w:val="18"/>
                <w:szCs w:val="18"/>
                <w:lang w:eastAsia="ru-RU"/>
              </w:rPr>
              <w:t>0</w:t>
            </w:r>
          </w:p>
        </w:tc>
      </w:tr>
    </w:tbl>
    <w:p w14:paraId="68B07C0D" w14:textId="056213A2" w:rsidR="009A4C46" w:rsidRPr="00F94FED" w:rsidRDefault="009A4C46" w:rsidP="009A4C46">
      <w:pPr>
        <w:autoSpaceDE w:val="0"/>
        <w:autoSpaceDN w:val="0"/>
        <w:adjustRightInd w:val="0"/>
        <w:spacing w:after="32" w:line="360" w:lineRule="auto"/>
        <w:ind w:firstLine="567"/>
        <w:jc w:val="both"/>
        <w:rPr>
          <w:rFonts w:eastAsia="Times New Roman"/>
          <w:sz w:val="26"/>
          <w:szCs w:val="26"/>
          <w:lang w:eastAsia="ru-RU"/>
        </w:rPr>
      </w:pPr>
      <w:r w:rsidRPr="00F94FED">
        <w:rPr>
          <w:rFonts w:eastAsia="Times New Roman"/>
          <w:sz w:val="26"/>
          <w:szCs w:val="26"/>
          <w:lang w:eastAsia="ru-RU"/>
        </w:rPr>
        <w:t xml:space="preserve">Детальные анализ отклонений по статьям затрат неподконтрольных расходов приведен в </w:t>
      </w:r>
      <w:r w:rsidR="006136CF">
        <w:rPr>
          <w:rFonts w:eastAsia="Times New Roman"/>
          <w:sz w:val="26"/>
          <w:szCs w:val="26"/>
          <w:lang w:eastAsia="ru-RU"/>
        </w:rPr>
        <w:t>Отчете Исполнителя по Этапу № 1.1.1.</w:t>
      </w:r>
      <w:r w:rsidRPr="00F94FED">
        <w:rPr>
          <w:rFonts w:eastAsia="Times New Roman"/>
          <w:sz w:val="26"/>
          <w:szCs w:val="26"/>
          <w:lang w:eastAsia="ru-RU"/>
        </w:rPr>
        <w:t xml:space="preserve"> </w:t>
      </w:r>
    </w:p>
    <w:p w14:paraId="5593F1E3" w14:textId="479DF025" w:rsidR="009A4C46" w:rsidRPr="00F94FED" w:rsidRDefault="009A4C46" w:rsidP="009A4C46">
      <w:pPr>
        <w:autoSpaceDE w:val="0"/>
        <w:autoSpaceDN w:val="0"/>
        <w:adjustRightInd w:val="0"/>
        <w:spacing w:after="32" w:line="360" w:lineRule="auto"/>
        <w:ind w:firstLine="567"/>
        <w:jc w:val="both"/>
        <w:rPr>
          <w:rFonts w:eastAsia="Times New Roman"/>
          <w:sz w:val="26"/>
          <w:szCs w:val="26"/>
          <w:lang w:eastAsia="ru-RU"/>
        </w:rPr>
      </w:pPr>
      <w:r w:rsidRPr="00F94FED">
        <w:rPr>
          <w:rFonts w:eastAsia="Times New Roman"/>
          <w:sz w:val="26"/>
          <w:szCs w:val="26"/>
          <w:lang w:eastAsia="ru-RU"/>
        </w:rPr>
        <w:t>На основании изложенного выше, размер неподконтрольных расходов определен Исполнителем в размере 824</w:t>
      </w:r>
      <w:r w:rsidR="00BC370C">
        <w:rPr>
          <w:rFonts w:eastAsia="Times New Roman"/>
          <w:sz w:val="26"/>
          <w:szCs w:val="26"/>
          <w:lang w:eastAsia="ru-RU"/>
        </w:rPr>
        <w:t> </w:t>
      </w:r>
      <w:r w:rsidRPr="00F94FED">
        <w:rPr>
          <w:rFonts w:eastAsia="Times New Roman"/>
          <w:sz w:val="26"/>
          <w:szCs w:val="26"/>
          <w:lang w:eastAsia="ru-RU"/>
        </w:rPr>
        <w:t>109 тыс. руб., отклонени</w:t>
      </w:r>
      <w:r w:rsidR="006136CF">
        <w:rPr>
          <w:rFonts w:eastAsia="Times New Roman"/>
          <w:sz w:val="26"/>
          <w:szCs w:val="26"/>
          <w:lang w:eastAsia="ru-RU"/>
        </w:rPr>
        <w:t>е</w:t>
      </w:r>
      <w:r w:rsidRPr="00F94FED">
        <w:rPr>
          <w:rFonts w:eastAsia="Times New Roman"/>
          <w:sz w:val="26"/>
          <w:szCs w:val="26"/>
          <w:lang w:eastAsia="ru-RU"/>
        </w:rPr>
        <w:t xml:space="preserve"> относительно утвержденных Службой по тарифам Республики Тыва 156</w:t>
      </w:r>
      <w:r w:rsidR="00BC370C">
        <w:rPr>
          <w:rFonts w:eastAsia="Times New Roman"/>
          <w:sz w:val="26"/>
          <w:szCs w:val="26"/>
          <w:lang w:eastAsia="ru-RU"/>
        </w:rPr>
        <w:t> </w:t>
      </w:r>
      <w:r w:rsidRPr="00F94FED">
        <w:rPr>
          <w:rFonts w:eastAsia="Times New Roman"/>
          <w:sz w:val="26"/>
          <w:szCs w:val="26"/>
          <w:lang w:eastAsia="ru-RU"/>
        </w:rPr>
        <w:t>457 тыс. руб.</w:t>
      </w:r>
    </w:p>
    <w:p w14:paraId="27B37246" w14:textId="6AE87D0E" w:rsidR="009A4C46" w:rsidRPr="00F94FED" w:rsidRDefault="009A4C46" w:rsidP="009A4C46">
      <w:pPr>
        <w:autoSpaceDE w:val="0"/>
        <w:autoSpaceDN w:val="0"/>
        <w:adjustRightInd w:val="0"/>
        <w:spacing w:after="32" w:line="360" w:lineRule="auto"/>
        <w:ind w:firstLine="567"/>
        <w:jc w:val="both"/>
        <w:rPr>
          <w:rFonts w:eastAsia="Times New Roman"/>
          <w:sz w:val="26"/>
          <w:szCs w:val="26"/>
          <w:lang w:eastAsia="ru-RU"/>
        </w:rPr>
      </w:pPr>
      <w:r w:rsidRPr="00F94FED">
        <w:rPr>
          <w:rFonts w:eastAsia="Times New Roman"/>
          <w:sz w:val="26"/>
          <w:szCs w:val="26"/>
          <w:lang w:eastAsia="ru-RU"/>
        </w:rPr>
        <w:t>По расчету Исполнителя затрат</w:t>
      </w:r>
      <w:r w:rsidR="006136CF">
        <w:rPr>
          <w:rFonts w:eastAsia="Times New Roman"/>
          <w:sz w:val="26"/>
          <w:szCs w:val="26"/>
          <w:lang w:eastAsia="ru-RU"/>
        </w:rPr>
        <w:t>ы</w:t>
      </w:r>
      <w:r w:rsidRPr="00F94FED">
        <w:rPr>
          <w:rFonts w:eastAsia="Times New Roman"/>
          <w:sz w:val="26"/>
          <w:szCs w:val="26"/>
          <w:lang w:eastAsia="ru-RU"/>
        </w:rPr>
        <w:t xml:space="preserve"> на компенсацию потерь составили </w:t>
      </w:r>
      <w:r w:rsidR="00546CE7">
        <w:rPr>
          <w:rFonts w:eastAsia="Times New Roman"/>
          <w:sz w:val="26"/>
          <w:szCs w:val="26"/>
          <w:lang w:eastAsia="ru-RU"/>
        </w:rPr>
        <w:t xml:space="preserve">146 635 </w:t>
      </w:r>
      <w:r w:rsidRPr="00F94FED">
        <w:rPr>
          <w:rFonts w:eastAsia="Times New Roman"/>
          <w:sz w:val="26"/>
          <w:szCs w:val="26"/>
          <w:lang w:eastAsia="ru-RU"/>
        </w:rPr>
        <w:t>тыс. руб. По мнени</w:t>
      </w:r>
      <w:r w:rsidR="00546CE7">
        <w:rPr>
          <w:rFonts w:eastAsia="Times New Roman"/>
          <w:sz w:val="26"/>
          <w:szCs w:val="26"/>
          <w:lang w:eastAsia="ru-RU"/>
        </w:rPr>
        <w:t>ю</w:t>
      </w:r>
      <w:r w:rsidRPr="00F94FED">
        <w:rPr>
          <w:rFonts w:eastAsia="Times New Roman"/>
          <w:sz w:val="26"/>
          <w:szCs w:val="26"/>
          <w:lang w:eastAsia="ru-RU"/>
        </w:rPr>
        <w:t xml:space="preserve"> Исполнителя, величина затрат, </w:t>
      </w:r>
      <w:r w:rsidR="00546CE7">
        <w:rPr>
          <w:rFonts w:eastAsia="Times New Roman"/>
          <w:sz w:val="26"/>
          <w:szCs w:val="26"/>
          <w:lang w:eastAsia="ru-RU"/>
        </w:rPr>
        <w:t xml:space="preserve">излишне учтенная </w:t>
      </w:r>
      <w:r w:rsidRPr="00F94FED">
        <w:rPr>
          <w:rFonts w:eastAsia="Times New Roman"/>
          <w:sz w:val="26"/>
          <w:szCs w:val="26"/>
          <w:lang w:eastAsia="ru-RU"/>
        </w:rPr>
        <w:t>Службой по тарифам Республики Тыва в составе НВВ на 2019 год</w:t>
      </w:r>
      <w:r w:rsidR="00835BEA">
        <w:rPr>
          <w:rFonts w:eastAsia="Times New Roman"/>
          <w:bCs/>
          <w:sz w:val="26"/>
          <w:szCs w:val="26"/>
          <w:lang w:eastAsia="ru-RU"/>
        </w:rPr>
        <w:t>,</w:t>
      </w:r>
      <w:r w:rsidRPr="00F94FED">
        <w:rPr>
          <w:rFonts w:eastAsia="Times New Roman"/>
          <w:sz w:val="26"/>
          <w:szCs w:val="26"/>
          <w:lang w:eastAsia="ru-RU"/>
        </w:rPr>
        <w:t xml:space="preserve"> составляет </w:t>
      </w:r>
      <w:r w:rsidR="00546CE7">
        <w:rPr>
          <w:rFonts w:eastAsia="Times New Roman"/>
          <w:sz w:val="26"/>
          <w:szCs w:val="26"/>
          <w:lang w:eastAsia="ru-RU"/>
        </w:rPr>
        <w:t>17 481</w:t>
      </w:r>
      <w:r w:rsidRPr="00F94FED">
        <w:rPr>
          <w:rFonts w:eastAsia="Times New Roman"/>
          <w:sz w:val="26"/>
          <w:szCs w:val="26"/>
          <w:lang w:eastAsia="ru-RU"/>
        </w:rPr>
        <w:t xml:space="preserve"> тыс. руб.</w:t>
      </w:r>
    </w:p>
    <w:p w14:paraId="2A33B4FB" w14:textId="4E762A67" w:rsidR="009A4C46" w:rsidRPr="00F94FED" w:rsidRDefault="009A4C46" w:rsidP="009A4C46">
      <w:pPr>
        <w:autoSpaceDE w:val="0"/>
        <w:autoSpaceDN w:val="0"/>
        <w:adjustRightInd w:val="0"/>
        <w:spacing w:after="32" w:line="360" w:lineRule="auto"/>
        <w:ind w:firstLine="567"/>
        <w:jc w:val="both"/>
        <w:rPr>
          <w:rFonts w:eastAsia="Times New Roman"/>
          <w:sz w:val="26"/>
          <w:szCs w:val="26"/>
          <w:lang w:eastAsia="ru-RU"/>
        </w:rPr>
      </w:pPr>
      <w:r w:rsidRPr="00F94FED">
        <w:rPr>
          <w:rFonts w:eastAsia="Times New Roman"/>
          <w:sz w:val="26"/>
          <w:szCs w:val="26"/>
          <w:lang w:eastAsia="ru-RU"/>
        </w:rPr>
        <w:lastRenderedPageBreak/>
        <w:t>Детальный анализ затрат на компенсацию потерь представлен в</w:t>
      </w:r>
      <w:r w:rsidR="006136CF">
        <w:rPr>
          <w:rFonts w:eastAsia="Times New Roman"/>
          <w:sz w:val="26"/>
          <w:szCs w:val="26"/>
          <w:lang w:eastAsia="ru-RU"/>
        </w:rPr>
        <w:t xml:space="preserve"> Отчете Исполнителя по Этапу  1.1.1</w:t>
      </w:r>
      <w:r w:rsidRPr="00F94FED">
        <w:rPr>
          <w:rFonts w:eastAsia="Times New Roman"/>
          <w:sz w:val="26"/>
          <w:szCs w:val="26"/>
          <w:lang w:eastAsia="ru-RU"/>
        </w:rPr>
        <w:t>.</w:t>
      </w:r>
    </w:p>
    <w:p w14:paraId="1CB2DAF3" w14:textId="2A133AAB" w:rsidR="009A4C46" w:rsidRPr="00F94FED" w:rsidRDefault="009A4C46" w:rsidP="00E169B0">
      <w:pPr>
        <w:spacing w:after="32" w:line="360" w:lineRule="auto"/>
        <w:ind w:firstLine="567"/>
        <w:contextualSpacing/>
        <w:jc w:val="both"/>
        <w:rPr>
          <w:rFonts w:eastAsia="Calibri"/>
          <w:sz w:val="26"/>
          <w:szCs w:val="26"/>
        </w:rPr>
      </w:pPr>
      <w:r w:rsidRPr="00F94FED">
        <w:rPr>
          <w:rFonts w:eastAsia="Calibri"/>
          <w:sz w:val="26"/>
          <w:szCs w:val="26"/>
        </w:rPr>
        <w:t>Корректировка HBB, рассчитанная в соответствии с методическими указаниями №98-э за 2017 год рассчитана Исполнителем в размере 626</w:t>
      </w:r>
      <w:r w:rsidR="00835BEA">
        <w:rPr>
          <w:rFonts w:eastAsia="Calibri"/>
          <w:sz w:val="26"/>
          <w:szCs w:val="26"/>
        </w:rPr>
        <w:t> </w:t>
      </w:r>
      <w:r w:rsidRPr="00F94FED">
        <w:rPr>
          <w:rFonts w:eastAsia="Calibri"/>
          <w:sz w:val="26"/>
          <w:szCs w:val="26"/>
        </w:rPr>
        <w:t>937 тыс.</w:t>
      </w:r>
      <w:r w:rsidR="00835BEA">
        <w:rPr>
          <w:rFonts w:eastAsia="Calibri"/>
          <w:sz w:val="26"/>
          <w:szCs w:val="26"/>
        </w:rPr>
        <w:t> </w:t>
      </w:r>
      <w:r w:rsidRPr="00F94FED">
        <w:rPr>
          <w:rFonts w:eastAsia="Calibri"/>
          <w:sz w:val="26"/>
          <w:szCs w:val="26"/>
        </w:rPr>
        <w:t>руб. (д</w:t>
      </w:r>
      <w:r w:rsidR="00835BEA">
        <w:rPr>
          <w:rFonts w:eastAsia="Calibri"/>
          <w:sz w:val="26"/>
          <w:szCs w:val="26"/>
        </w:rPr>
        <w:t>е</w:t>
      </w:r>
      <w:r w:rsidRPr="00F94FED">
        <w:rPr>
          <w:rFonts w:eastAsia="Calibri"/>
          <w:sz w:val="26"/>
          <w:szCs w:val="26"/>
        </w:rPr>
        <w:t>т</w:t>
      </w:r>
      <w:r w:rsidR="00835BEA">
        <w:rPr>
          <w:rFonts w:eastAsia="Calibri"/>
          <w:sz w:val="26"/>
          <w:szCs w:val="26"/>
        </w:rPr>
        <w:t>а</w:t>
      </w:r>
      <w:r w:rsidRPr="00F94FED">
        <w:rPr>
          <w:rFonts w:eastAsia="Calibri"/>
          <w:sz w:val="26"/>
          <w:szCs w:val="26"/>
        </w:rPr>
        <w:t xml:space="preserve">льный анализ величины корректировки НВВ по итогам 2017 года </w:t>
      </w:r>
      <w:r w:rsidRPr="00F94FED">
        <w:rPr>
          <w:rFonts w:eastAsia="Times New Roman"/>
          <w:sz w:val="26"/>
          <w:szCs w:val="26"/>
          <w:lang w:eastAsia="ru-RU"/>
        </w:rPr>
        <w:t>отражен в соответствующих разделах настоящего Отчета</w:t>
      </w:r>
      <w:r w:rsidRPr="00F94FED">
        <w:rPr>
          <w:rFonts w:eastAsia="Calibri"/>
          <w:sz w:val="26"/>
          <w:szCs w:val="26"/>
        </w:rPr>
        <w:t>).</w:t>
      </w:r>
    </w:p>
    <w:p w14:paraId="148666FC" w14:textId="0151BBA1" w:rsidR="009A4C46" w:rsidRPr="00F94FED" w:rsidRDefault="009A4C46" w:rsidP="009A4C46">
      <w:pPr>
        <w:spacing w:after="32" w:line="360" w:lineRule="auto"/>
        <w:ind w:firstLine="567"/>
        <w:contextualSpacing/>
        <w:jc w:val="both"/>
        <w:rPr>
          <w:rFonts w:eastAsia="Calibri"/>
          <w:sz w:val="26"/>
          <w:szCs w:val="26"/>
        </w:rPr>
      </w:pPr>
      <w:r w:rsidRPr="00F94FED">
        <w:rPr>
          <w:rFonts w:eastAsia="Calibri"/>
          <w:sz w:val="26"/>
          <w:szCs w:val="26"/>
        </w:rPr>
        <w:t>На основании изложенного выше, размер НВВ АО «Тываэнерго» на 2019 год (с учетом расходов на покупку потерь) сложился</w:t>
      </w:r>
      <w:r w:rsidR="00222A3F">
        <w:rPr>
          <w:rFonts w:eastAsia="Calibri"/>
          <w:sz w:val="26"/>
          <w:szCs w:val="26"/>
        </w:rPr>
        <w:t>, по мнению Исполнителя,</w:t>
      </w:r>
      <w:r w:rsidRPr="00F94FED">
        <w:rPr>
          <w:rFonts w:eastAsia="Calibri"/>
          <w:sz w:val="26"/>
          <w:szCs w:val="26"/>
        </w:rPr>
        <w:t xml:space="preserve"> в размере 2 410 043 тыс. руб.</w:t>
      </w:r>
    </w:p>
    <w:tbl>
      <w:tblPr>
        <w:tblW w:w="9498" w:type="dxa"/>
        <w:tblInd w:w="-5" w:type="dxa"/>
        <w:tblLook w:val="04A0" w:firstRow="1" w:lastRow="0" w:firstColumn="1" w:lastColumn="0" w:noHBand="0" w:noVBand="1"/>
      </w:tblPr>
      <w:tblGrid>
        <w:gridCol w:w="1965"/>
        <w:gridCol w:w="990"/>
        <w:gridCol w:w="1553"/>
        <w:gridCol w:w="1412"/>
        <w:gridCol w:w="1409"/>
        <w:gridCol w:w="1139"/>
        <w:gridCol w:w="1030"/>
      </w:tblGrid>
      <w:tr w:rsidR="00835BEA" w:rsidRPr="009A4C46" w14:paraId="6376F5BB" w14:textId="77777777" w:rsidTr="00546CE7">
        <w:trPr>
          <w:trHeight w:val="415"/>
        </w:trPr>
        <w:tc>
          <w:tcPr>
            <w:tcW w:w="196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32988B3" w14:textId="77777777" w:rsidR="009A4C46" w:rsidRPr="00F94FED" w:rsidRDefault="009A4C46" w:rsidP="009A4C46">
            <w:pPr>
              <w:spacing w:after="0" w:line="240" w:lineRule="auto"/>
              <w:jc w:val="center"/>
              <w:rPr>
                <w:rFonts w:eastAsia="Times New Roman"/>
                <w:b/>
                <w:color w:val="FFFFFF" w:themeColor="background1"/>
                <w:sz w:val="18"/>
                <w:szCs w:val="18"/>
                <w:lang w:eastAsia="ru-RU"/>
              </w:rPr>
            </w:pPr>
            <w:r w:rsidRPr="00F94FED">
              <w:rPr>
                <w:rFonts w:eastAsia="Times New Roman"/>
                <w:b/>
                <w:color w:val="FFFFFF" w:themeColor="background1"/>
                <w:sz w:val="18"/>
                <w:szCs w:val="18"/>
                <w:lang w:eastAsia="ru-RU"/>
              </w:rPr>
              <w:t>Наименование</w:t>
            </w:r>
          </w:p>
        </w:tc>
        <w:tc>
          <w:tcPr>
            <w:tcW w:w="99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B6DE283" w14:textId="77777777" w:rsidR="009A4C46" w:rsidRPr="00F94FED" w:rsidRDefault="009A4C46" w:rsidP="009A4C46">
            <w:pPr>
              <w:spacing w:after="0" w:line="240" w:lineRule="auto"/>
              <w:jc w:val="center"/>
              <w:rPr>
                <w:rFonts w:eastAsia="Times New Roman"/>
                <w:b/>
                <w:color w:val="FFFFFF" w:themeColor="background1"/>
                <w:sz w:val="18"/>
                <w:szCs w:val="18"/>
                <w:lang w:eastAsia="ru-RU"/>
              </w:rPr>
            </w:pPr>
            <w:r w:rsidRPr="00F94FED">
              <w:rPr>
                <w:rFonts w:eastAsia="Times New Roman"/>
                <w:b/>
                <w:color w:val="FFFFFF" w:themeColor="background1"/>
                <w:sz w:val="18"/>
                <w:szCs w:val="18"/>
                <w:lang w:eastAsia="ru-RU"/>
              </w:rPr>
              <w:t>Ед. изм.</w:t>
            </w:r>
          </w:p>
        </w:tc>
        <w:tc>
          <w:tcPr>
            <w:tcW w:w="6543" w:type="dxa"/>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197B13A" w14:textId="77777777" w:rsidR="009A4C46" w:rsidRPr="00F94FED" w:rsidRDefault="009A4C46" w:rsidP="009A4C46">
            <w:pPr>
              <w:spacing w:after="0" w:line="240" w:lineRule="auto"/>
              <w:jc w:val="center"/>
              <w:rPr>
                <w:rFonts w:eastAsia="Times New Roman"/>
                <w:b/>
                <w:color w:val="FFFFFF" w:themeColor="background1"/>
                <w:sz w:val="18"/>
                <w:szCs w:val="18"/>
                <w:lang w:eastAsia="ru-RU"/>
              </w:rPr>
            </w:pPr>
            <w:r w:rsidRPr="00F94FED">
              <w:rPr>
                <w:rFonts w:eastAsia="Times New Roman"/>
                <w:b/>
                <w:color w:val="FFFFFF" w:themeColor="background1"/>
                <w:sz w:val="18"/>
                <w:szCs w:val="18"/>
                <w:lang w:eastAsia="ru-RU"/>
              </w:rPr>
              <w:t>2019 год</w:t>
            </w:r>
          </w:p>
        </w:tc>
      </w:tr>
      <w:tr w:rsidR="00835BEA" w:rsidRPr="009A4C46" w14:paraId="22446212" w14:textId="77777777" w:rsidTr="00546CE7">
        <w:trPr>
          <w:trHeight w:val="845"/>
        </w:trPr>
        <w:tc>
          <w:tcPr>
            <w:tcW w:w="196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5BDE3EB" w14:textId="77777777" w:rsidR="009A4C46" w:rsidRPr="00F94FED" w:rsidRDefault="009A4C46" w:rsidP="009A4C46">
            <w:pPr>
              <w:spacing w:after="0" w:line="240" w:lineRule="auto"/>
              <w:rPr>
                <w:rFonts w:eastAsia="Times New Roman"/>
                <w:b/>
                <w:color w:val="FFFFFF" w:themeColor="background1"/>
                <w:sz w:val="18"/>
                <w:szCs w:val="18"/>
                <w:lang w:eastAsia="ru-RU"/>
              </w:rPr>
            </w:pPr>
          </w:p>
        </w:tc>
        <w:tc>
          <w:tcPr>
            <w:tcW w:w="99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0DD982C" w14:textId="77777777" w:rsidR="009A4C46" w:rsidRPr="00F94FED" w:rsidRDefault="009A4C46" w:rsidP="009A4C46">
            <w:pPr>
              <w:spacing w:after="0" w:line="240" w:lineRule="auto"/>
              <w:rPr>
                <w:rFonts w:eastAsia="Times New Roman"/>
                <w:b/>
                <w:color w:val="FFFFFF" w:themeColor="background1"/>
                <w:sz w:val="18"/>
                <w:szCs w:val="18"/>
                <w:lang w:eastAsia="ru-RU"/>
              </w:rPr>
            </w:pPr>
          </w:p>
        </w:tc>
        <w:tc>
          <w:tcPr>
            <w:tcW w:w="155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02395BF" w14:textId="77777777" w:rsidR="009A4C46" w:rsidRPr="00F94FED" w:rsidRDefault="009A4C46" w:rsidP="009A4C46">
            <w:pPr>
              <w:spacing w:after="0" w:line="240" w:lineRule="auto"/>
              <w:jc w:val="center"/>
              <w:rPr>
                <w:rFonts w:eastAsia="Times New Roman"/>
                <w:b/>
                <w:color w:val="FFFFFF" w:themeColor="background1"/>
                <w:sz w:val="18"/>
                <w:szCs w:val="18"/>
                <w:lang w:eastAsia="ru-RU"/>
              </w:rPr>
            </w:pPr>
            <w:r w:rsidRPr="00F94FED">
              <w:rPr>
                <w:rFonts w:eastAsia="Times New Roman"/>
                <w:b/>
                <w:color w:val="FFFFFF" w:themeColor="background1"/>
                <w:sz w:val="18"/>
                <w:szCs w:val="18"/>
                <w:lang w:eastAsia="ru-RU"/>
              </w:rPr>
              <w:t>Предложение АО «Тываэнерго</w:t>
            </w:r>
          </w:p>
        </w:tc>
        <w:tc>
          <w:tcPr>
            <w:tcW w:w="141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03477FC" w14:textId="10606412" w:rsidR="009A4C46" w:rsidRPr="00F94FED" w:rsidRDefault="009A4C46" w:rsidP="009A4C46">
            <w:pPr>
              <w:spacing w:after="0" w:line="240" w:lineRule="auto"/>
              <w:jc w:val="center"/>
              <w:rPr>
                <w:rFonts w:eastAsia="Times New Roman"/>
                <w:b/>
                <w:color w:val="FFFFFF" w:themeColor="background1"/>
                <w:sz w:val="18"/>
                <w:szCs w:val="18"/>
                <w:lang w:eastAsia="ru-RU"/>
              </w:rPr>
            </w:pPr>
            <w:r w:rsidRPr="00F94FED">
              <w:rPr>
                <w:rFonts w:eastAsia="Times New Roman"/>
                <w:b/>
                <w:color w:val="FFFFFF" w:themeColor="background1"/>
                <w:sz w:val="18"/>
                <w:szCs w:val="18"/>
                <w:lang w:eastAsia="ru-RU"/>
              </w:rPr>
              <w:t xml:space="preserve">Утверждено </w:t>
            </w:r>
            <w:r w:rsidR="008B0B3C">
              <w:rPr>
                <w:rFonts w:eastAsia="Times New Roman"/>
                <w:b/>
                <w:color w:val="FFFFFF" w:themeColor="background1"/>
                <w:sz w:val="18"/>
                <w:szCs w:val="18"/>
                <w:lang w:eastAsia="ru-RU"/>
              </w:rPr>
              <w:t>Службой</w:t>
            </w:r>
          </w:p>
        </w:tc>
        <w:tc>
          <w:tcPr>
            <w:tcW w:w="14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7EBCFD8" w14:textId="77777777" w:rsidR="009A4C46" w:rsidRPr="00F94FED" w:rsidRDefault="009A4C46" w:rsidP="009A4C46">
            <w:pPr>
              <w:spacing w:after="0" w:line="240" w:lineRule="auto"/>
              <w:jc w:val="center"/>
              <w:rPr>
                <w:rFonts w:eastAsia="Times New Roman"/>
                <w:b/>
                <w:color w:val="FFFFFF" w:themeColor="background1"/>
                <w:sz w:val="18"/>
                <w:szCs w:val="18"/>
                <w:lang w:eastAsia="ru-RU"/>
              </w:rPr>
            </w:pPr>
            <w:r w:rsidRPr="00F94FED">
              <w:rPr>
                <w:rFonts w:eastAsia="Times New Roman"/>
                <w:b/>
                <w:color w:val="FFFFFF" w:themeColor="background1"/>
                <w:sz w:val="18"/>
                <w:szCs w:val="18"/>
                <w:lang w:eastAsia="ru-RU"/>
              </w:rPr>
              <w:t>Позиция Исполнителя</w:t>
            </w:r>
          </w:p>
        </w:tc>
        <w:tc>
          <w:tcPr>
            <w:tcW w:w="2169"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C916E61" w14:textId="77777777" w:rsidR="009A4C46" w:rsidRPr="00F94FED" w:rsidRDefault="009A4C46" w:rsidP="009A4C46">
            <w:pPr>
              <w:spacing w:after="0" w:line="240" w:lineRule="auto"/>
              <w:jc w:val="center"/>
              <w:rPr>
                <w:rFonts w:eastAsia="Times New Roman"/>
                <w:b/>
                <w:color w:val="FFFFFF" w:themeColor="background1"/>
                <w:sz w:val="18"/>
                <w:szCs w:val="18"/>
                <w:lang w:eastAsia="ru-RU"/>
              </w:rPr>
            </w:pPr>
            <w:r w:rsidRPr="00F94FED">
              <w:rPr>
                <w:rFonts w:eastAsia="Times New Roman"/>
                <w:b/>
                <w:color w:val="FFFFFF" w:themeColor="background1"/>
                <w:sz w:val="18"/>
                <w:szCs w:val="18"/>
                <w:lang w:eastAsia="ru-RU"/>
              </w:rPr>
              <w:t>Отклонение</w:t>
            </w:r>
          </w:p>
        </w:tc>
      </w:tr>
      <w:tr w:rsidR="00835BEA" w:rsidRPr="009A4C46" w14:paraId="40BF0EAA" w14:textId="77777777" w:rsidTr="00546CE7">
        <w:trPr>
          <w:trHeight w:val="330"/>
        </w:trPr>
        <w:tc>
          <w:tcPr>
            <w:tcW w:w="19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473167F" w14:textId="77777777" w:rsidR="009A4C46" w:rsidRPr="00F94FED" w:rsidRDefault="009A4C46" w:rsidP="009A4C46">
            <w:pPr>
              <w:spacing w:after="0" w:line="240" w:lineRule="auto"/>
              <w:jc w:val="center"/>
              <w:rPr>
                <w:rFonts w:eastAsia="Times New Roman"/>
                <w:b/>
                <w:color w:val="FFFFFF" w:themeColor="background1"/>
                <w:sz w:val="18"/>
                <w:szCs w:val="18"/>
                <w:lang w:eastAsia="ru-RU"/>
              </w:rPr>
            </w:pPr>
            <w:r w:rsidRPr="00F94FED">
              <w:rPr>
                <w:rFonts w:eastAsia="Times New Roman"/>
                <w:b/>
                <w:color w:val="FFFFFF" w:themeColor="background1"/>
                <w:sz w:val="18"/>
                <w:szCs w:val="18"/>
                <w:lang w:eastAsia="ru-RU"/>
              </w:rPr>
              <w:t>1</w:t>
            </w:r>
          </w:p>
        </w:tc>
        <w:tc>
          <w:tcPr>
            <w:tcW w:w="9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E32C454" w14:textId="77777777" w:rsidR="009A4C46" w:rsidRPr="00F94FED" w:rsidRDefault="009A4C46" w:rsidP="009A4C46">
            <w:pPr>
              <w:spacing w:after="0" w:line="240" w:lineRule="auto"/>
              <w:jc w:val="center"/>
              <w:rPr>
                <w:rFonts w:eastAsia="Times New Roman"/>
                <w:b/>
                <w:color w:val="FFFFFF" w:themeColor="background1"/>
                <w:sz w:val="18"/>
                <w:szCs w:val="18"/>
                <w:lang w:eastAsia="ru-RU"/>
              </w:rPr>
            </w:pPr>
            <w:r w:rsidRPr="00F94FED">
              <w:rPr>
                <w:rFonts w:eastAsia="Times New Roman"/>
                <w:b/>
                <w:color w:val="FFFFFF" w:themeColor="background1"/>
                <w:sz w:val="18"/>
                <w:szCs w:val="18"/>
                <w:lang w:eastAsia="ru-RU"/>
              </w:rPr>
              <w:t>2</w:t>
            </w:r>
          </w:p>
        </w:tc>
        <w:tc>
          <w:tcPr>
            <w:tcW w:w="155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CA29B37" w14:textId="77777777" w:rsidR="009A4C46" w:rsidRPr="00F94FED" w:rsidRDefault="009A4C46" w:rsidP="009A4C46">
            <w:pPr>
              <w:spacing w:after="0" w:line="240" w:lineRule="auto"/>
              <w:jc w:val="center"/>
              <w:rPr>
                <w:rFonts w:eastAsia="Times New Roman"/>
                <w:b/>
                <w:color w:val="FFFFFF" w:themeColor="background1"/>
                <w:sz w:val="18"/>
                <w:szCs w:val="18"/>
                <w:lang w:eastAsia="ru-RU"/>
              </w:rPr>
            </w:pPr>
            <w:r w:rsidRPr="00F94FED">
              <w:rPr>
                <w:rFonts w:eastAsia="Times New Roman"/>
                <w:b/>
                <w:color w:val="FFFFFF" w:themeColor="background1"/>
                <w:sz w:val="18"/>
                <w:szCs w:val="18"/>
                <w:lang w:eastAsia="ru-RU"/>
              </w:rPr>
              <w:t>3</w:t>
            </w:r>
          </w:p>
        </w:tc>
        <w:tc>
          <w:tcPr>
            <w:tcW w:w="141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5295882" w14:textId="77777777" w:rsidR="009A4C46" w:rsidRPr="00F94FED" w:rsidRDefault="009A4C46" w:rsidP="009A4C46">
            <w:pPr>
              <w:spacing w:after="0" w:line="240" w:lineRule="auto"/>
              <w:jc w:val="center"/>
              <w:rPr>
                <w:rFonts w:eastAsia="Times New Roman"/>
                <w:b/>
                <w:color w:val="FFFFFF" w:themeColor="background1"/>
                <w:sz w:val="18"/>
                <w:szCs w:val="18"/>
                <w:lang w:eastAsia="ru-RU"/>
              </w:rPr>
            </w:pPr>
            <w:r w:rsidRPr="00F94FED">
              <w:rPr>
                <w:rFonts w:eastAsia="Times New Roman"/>
                <w:b/>
                <w:color w:val="FFFFFF" w:themeColor="background1"/>
                <w:sz w:val="18"/>
                <w:szCs w:val="18"/>
                <w:lang w:eastAsia="ru-RU"/>
              </w:rPr>
              <w:t>4</w:t>
            </w:r>
          </w:p>
        </w:tc>
        <w:tc>
          <w:tcPr>
            <w:tcW w:w="14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E3550A9" w14:textId="77777777" w:rsidR="009A4C46" w:rsidRPr="00F94FED" w:rsidRDefault="009A4C46" w:rsidP="009A4C46">
            <w:pPr>
              <w:spacing w:after="0" w:line="240" w:lineRule="auto"/>
              <w:jc w:val="center"/>
              <w:rPr>
                <w:rFonts w:eastAsia="Times New Roman"/>
                <w:b/>
                <w:color w:val="FFFFFF" w:themeColor="background1"/>
                <w:sz w:val="18"/>
                <w:szCs w:val="18"/>
                <w:lang w:eastAsia="ru-RU"/>
              </w:rPr>
            </w:pPr>
            <w:r w:rsidRPr="00F94FED">
              <w:rPr>
                <w:rFonts w:eastAsia="Times New Roman"/>
                <w:b/>
                <w:color w:val="FFFFFF" w:themeColor="background1"/>
                <w:sz w:val="18"/>
                <w:szCs w:val="18"/>
                <w:lang w:eastAsia="ru-RU"/>
              </w:rPr>
              <w:t>5</w:t>
            </w:r>
          </w:p>
        </w:tc>
        <w:tc>
          <w:tcPr>
            <w:tcW w:w="11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E6450A4" w14:textId="77777777" w:rsidR="009A4C46" w:rsidRPr="00F94FED" w:rsidRDefault="009A4C46" w:rsidP="009A4C46">
            <w:pPr>
              <w:spacing w:after="0" w:line="240" w:lineRule="auto"/>
              <w:jc w:val="center"/>
              <w:rPr>
                <w:rFonts w:eastAsia="Times New Roman"/>
                <w:b/>
                <w:color w:val="FFFFFF" w:themeColor="background1"/>
                <w:sz w:val="18"/>
                <w:szCs w:val="18"/>
                <w:lang w:eastAsia="ru-RU"/>
              </w:rPr>
            </w:pPr>
            <w:r w:rsidRPr="00F94FED">
              <w:rPr>
                <w:rFonts w:eastAsia="Times New Roman"/>
                <w:b/>
                <w:color w:val="FFFFFF" w:themeColor="background1"/>
                <w:sz w:val="18"/>
                <w:szCs w:val="18"/>
                <w:lang w:eastAsia="ru-RU"/>
              </w:rPr>
              <w:t>6=5-3</w:t>
            </w:r>
          </w:p>
        </w:tc>
        <w:tc>
          <w:tcPr>
            <w:tcW w:w="10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97676FA" w14:textId="77777777" w:rsidR="009A4C46" w:rsidRPr="00F94FED" w:rsidRDefault="009A4C46" w:rsidP="009A4C46">
            <w:pPr>
              <w:spacing w:after="0" w:line="240" w:lineRule="auto"/>
              <w:jc w:val="center"/>
              <w:rPr>
                <w:rFonts w:eastAsia="Times New Roman"/>
                <w:b/>
                <w:color w:val="FFFFFF" w:themeColor="background1"/>
                <w:sz w:val="18"/>
                <w:szCs w:val="18"/>
                <w:lang w:eastAsia="ru-RU"/>
              </w:rPr>
            </w:pPr>
            <w:r w:rsidRPr="00F94FED">
              <w:rPr>
                <w:rFonts w:eastAsia="Times New Roman"/>
                <w:b/>
                <w:color w:val="FFFFFF" w:themeColor="background1"/>
                <w:sz w:val="18"/>
                <w:szCs w:val="18"/>
                <w:lang w:eastAsia="ru-RU"/>
              </w:rPr>
              <w:t>7=5-4</w:t>
            </w:r>
          </w:p>
        </w:tc>
      </w:tr>
      <w:tr w:rsidR="00835BEA" w:rsidRPr="009A4C46" w14:paraId="19E3A618" w14:textId="77777777" w:rsidTr="00546CE7">
        <w:trPr>
          <w:trHeight w:val="330"/>
        </w:trPr>
        <w:tc>
          <w:tcPr>
            <w:tcW w:w="1965" w:type="dxa"/>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7CA27249" w14:textId="77777777" w:rsidR="009A4C46" w:rsidRPr="009A4C46" w:rsidRDefault="009A4C46" w:rsidP="009A4C46">
            <w:pPr>
              <w:spacing w:after="0" w:line="240" w:lineRule="auto"/>
              <w:rPr>
                <w:rFonts w:eastAsia="Times New Roman"/>
                <w:sz w:val="18"/>
                <w:szCs w:val="18"/>
                <w:lang w:eastAsia="ru-RU"/>
              </w:rPr>
            </w:pPr>
            <w:r w:rsidRPr="009A4C46">
              <w:rPr>
                <w:rFonts w:eastAsia="Times New Roman"/>
                <w:sz w:val="18"/>
                <w:szCs w:val="18"/>
                <w:lang w:eastAsia="ru-RU"/>
              </w:rPr>
              <w:t>Подконтрольные расходы</w:t>
            </w:r>
          </w:p>
        </w:tc>
        <w:tc>
          <w:tcPr>
            <w:tcW w:w="990"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7F075540" w14:textId="77777777" w:rsidR="009A4C46" w:rsidRPr="009A4C46" w:rsidRDefault="009A4C46" w:rsidP="009A4C46">
            <w:pPr>
              <w:spacing w:after="0" w:line="240" w:lineRule="auto"/>
              <w:jc w:val="center"/>
              <w:rPr>
                <w:rFonts w:eastAsia="Times New Roman"/>
                <w:sz w:val="18"/>
                <w:szCs w:val="18"/>
                <w:lang w:eastAsia="ru-RU"/>
              </w:rPr>
            </w:pPr>
            <w:r w:rsidRPr="009A4C46">
              <w:rPr>
                <w:rFonts w:eastAsia="Times New Roman"/>
                <w:sz w:val="18"/>
                <w:szCs w:val="18"/>
                <w:lang w:eastAsia="ru-RU"/>
              </w:rPr>
              <w:t>тыс. руб.</w:t>
            </w:r>
          </w:p>
        </w:tc>
        <w:tc>
          <w:tcPr>
            <w:tcW w:w="1553"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575E6678" w14:textId="77777777" w:rsidR="009A4C46" w:rsidRPr="009A4C46" w:rsidRDefault="009A4C46" w:rsidP="009A4C46">
            <w:pPr>
              <w:spacing w:after="0" w:line="240" w:lineRule="auto"/>
              <w:jc w:val="center"/>
              <w:rPr>
                <w:rFonts w:eastAsia="Times New Roman"/>
                <w:sz w:val="18"/>
                <w:szCs w:val="18"/>
                <w:lang w:eastAsia="ru-RU"/>
              </w:rPr>
            </w:pPr>
            <w:r w:rsidRPr="009A4C46">
              <w:rPr>
                <w:rFonts w:eastAsia="Times New Roman"/>
                <w:sz w:val="18"/>
                <w:szCs w:val="18"/>
                <w:lang w:eastAsia="ru-RU"/>
              </w:rPr>
              <w:t>598 577</w:t>
            </w:r>
          </w:p>
        </w:tc>
        <w:tc>
          <w:tcPr>
            <w:tcW w:w="1412"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5B8DEAED" w14:textId="77777777" w:rsidR="009A4C46" w:rsidRPr="009A4C46" w:rsidRDefault="009A4C46" w:rsidP="009A4C46">
            <w:pPr>
              <w:spacing w:after="0" w:line="240" w:lineRule="auto"/>
              <w:jc w:val="center"/>
              <w:rPr>
                <w:rFonts w:eastAsia="Times New Roman"/>
                <w:sz w:val="18"/>
                <w:szCs w:val="18"/>
                <w:lang w:eastAsia="ru-RU"/>
              </w:rPr>
            </w:pPr>
            <w:r w:rsidRPr="009A4C46">
              <w:rPr>
                <w:rFonts w:eastAsia="Times New Roman"/>
                <w:sz w:val="18"/>
                <w:szCs w:val="18"/>
                <w:lang w:eastAsia="ru-RU"/>
              </w:rPr>
              <w:t>602 031</w:t>
            </w:r>
          </w:p>
        </w:tc>
        <w:tc>
          <w:tcPr>
            <w:tcW w:w="1409"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6E7A5E10" w14:textId="77777777" w:rsidR="009A4C46" w:rsidRPr="009A4C46" w:rsidRDefault="009A4C46" w:rsidP="009A4C46">
            <w:pPr>
              <w:spacing w:after="0" w:line="240" w:lineRule="auto"/>
              <w:jc w:val="center"/>
              <w:rPr>
                <w:rFonts w:eastAsia="Times New Roman"/>
                <w:sz w:val="18"/>
                <w:szCs w:val="18"/>
                <w:lang w:eastAsia="ru-RU"/>
              </w:rPr>
            </w:pPr>
            <w:r w:rsidRPr="009A4C46">
              <w:rPr>
                <w:rFonts w:eastAsia="Times New Roman"/>
                <w:sz w:val="18"/>
                <w:szCs w:val="18"/>
                <w:lang w:eastAsia="ru-RU"/>
              </w:rPr>
              <w:t>602 031</w:t>
            </w:r>
          </w:p>
        </w:tc>
        <w:tc>
          <w:tcPr>
            <w:tcW w:w="1139"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67776F17" w14:textId="77777777" w:rsidR="009A4C46" w:rsidRPr="009A4C46" w:rsidRDefault="009A4C46" w:rsidP="009A4C46">
            <w:pPr>
              <w:spacing w:after="0" w:line="240" w:lineRule="auto"/>
              <w:jc w:val="center"/>
              <w:rPr>
                <w:rFonts w:eastAsia="Times New Roman"/>
                <w:sz w:val="18"/>
                <w:szCs w:val="18"/>
                <w:lang w:eastAsia="ru-RU"/>
              </w:rPr>
            </w:pPr>
            <w:r w:rsidRPr="009A4C46">
              <w:rPr>
                <w:rFonts w:eastAsia="Times New Roman"/>
                <w:sz w:val="18"/>
                <w:szCs w:val="18"/>
                <w:lang w:eastAsia="ru-RU"/>
              </w:rPr>
              <w:t>3 454</w:t>
            </w:r>
          </w:p>
        </w:tc>
        <w:tc>
          <w:tcPr>
            <w:tcW w:w="1030"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6BEDB91E" w14:textId="77777777" w:rsidR="009A4C46" w:rsidRPr="009A4C46" w:rsidRDefault="009A4C46" w:rsidP="009A4C46">
            <w:pPr>
              <w:spacing w:after="0" w:line="240" w:lineRule="auto"/>
              <w:jc w:val="center"/>
              <w:rPr>
                <w:rFonts w:eastAsia="Times New Roman"/>
                <w:sz w:val="18"/>
                <w:szCs w:val="18"/>
                <w:lang w:eastAsia="ru-RU"/>
              </w:rPr>
            </w:pPr>
            <w:r w:rsidRPr="009A4C46">
              <w:rPr>
                <w:rFonts w:eastAsia="Times New Roman"/>
                <w:sz w:val="18"/>
                <w:szCs w:val="18"/>
                <w:lang w:eastAsia="ru-RU"/>
              </w:rPr>
              <w:t>0</w:t>
            </w:r>
          </w:p>
        </w:tc>
      </w:tr>
      <w:tr w:rsidR="00835BEA" w:rsidRPr="009A4C46" w14:paraId="4D631C95" w14:textId="77777777" w:rsidTr="00546CE7">
        <w:trPr>
          <w:trHeight w:val="330"/>
        </w:trPr>
        <w:tc>
          <w:tcPr>
            <w:tcW w:w="1965" w:type="dxa"/>
            <w:tcBorders>
              <w:top w:val="nil"/>
              <w:left w:val="single" w:sz="4" w:space="0" w:color="auto"/>
              <w:bottom w:val="single" w:sz="4" w:space="0" w:color="auto"/>
              <w:right w:val="single" w:sz="4" w:space="0" w:color="auto"/>
            </w:tcBorders>
            <w:shd w:val="clear" w:color="auto" w:fill="auto"/>
            <w:noWrap/>
            <w:vAlign w:val="center"/>
            <w:hideMark/>
          </w:tcPr>
          <w:p w14:paraId="4D67934D" w14:textId="77777777" w:rsidR="009A4C46" w:rsidRPr="009A4C46" w:rsidRDefault="009A4C46" w:rsidP="009A4C46">
            <w:pPr>
              <w:spacing w:after="0" w:line="240" w:lineRule="auto"/>
              <w:rPr>
                <w:rFonts w:eastAsia="Times New Roman"/>
                <w:sz w:val="18"/>
                <w:szCs w:val="18"/>
                <w:lang w:eastAsia="ru-RU"/>
              </w:rPr>
            </w:pPr>
            <w:r w:rsidRPr="009A4C46">
              <w:rPr>
                <w:rFonts w:eastAsia="Times New Roman"/>
                <w:sz w:val="18"/>
                <w:szCs w:val="18"/>
                <w:lang w:eastAsia="ru-RU"/>
              </w:rPr>
              <w:t>Неподконтрольные расходы</w:t>
            </w:r>
          </w:p>
        </w:tc>
        <w:tc>
          <w:tcPr>
            <w:tcW w:w="990" w:type="dxa"/>
            <w:tcBorders>
              <w:top w:val="nil"/>
              <w:left w:val="nil"/>
              <w:bottom w:val="single" w:sz="4" w:space="0" w:color="auto"/>
              <w:right w:val="single" w:sz="4" w:space="0" w:color="auto"/>
            </w:tcBorders>
            <w:shd w:val="clear" w:color="auto" w:fill="auto"/>
            <w:noWrap/>
            <w:vAlign w:val="center"/>
            <w:hideMark/>
          </w:tcPr>
          <w:p w14:paraId="198ACDBD" w14:textId="77777777" w:rsidR="009A4C46" w:rsidRPr="009A4C46" w:rsidRDefault="009A4C46" w:rsidP="009A4C46">
            <w:pPr>
              <w:spacing w:after="0" w:line="240" w:lineRule="auto"/>
              <w:jc w:val="center"/>
              <w:rPr>
                <w:rFonts w:eastAsia="Times New Roman"/>
                <w:sz w:val="18"/>
                <w:szCs w:val="18"/>
                <w:lang w:eastAsia="ru-RU"/>
              </w:rPr>
            </w:pPr>
            <w:r w:rsidRPr="009A4C46">
              <w:rPr>
                <w:rFonts w:eastAsia="Times New Roman"/>
                <w:sz w:val="18"/>
                <w:szCs w:val="18"/>
                <w:lang w:eastAsia="ru-RU"/>
              </w:rPr>
              <w:t>тыс. руб.</w:t>
            </w:r>
          </w:p>
        </w:tc>
        <w:tc>
          <w:tcPr>
            <w:tcW w:w="1553" w:type="dxa"/>
            <w:tcBorders>
              <w:top w:val="nil"/>
              <w:left w:val="nil"/>
              <w:bottom w:val="single" w:sz="4" w:space="0" w:color="auto"/>
              <w:right w:val="single" w:sz="4" w:space="0" w:color="auto"/>
            </w:tcBorders>
            <w:shd w:val="clear" w:color="auto" w:fill="auto"/>
            <w:noWrap/>
            <w:vAlign w:val="center"/>
            <w:hideMark/>
          </w:tcPr>
          <w:p w14:paraId="7D037A30" w14:textId="77777777" w:rsidR="009A4C46" w:rsidRPr="009A4C46" w:rsidRDefault="009A4C46" w:rsidP="009A4C46">
            <w:pPr>
              <w:spacing w:after="0" w:line="240" w:lineRule="auto"/>
              <w:jc w:val="center"/>
              <w:rPr>
                <w:rFonts w:eastAsia="Times New Roman"/>
                <w:sz w:val="18"/>
                <w:szCs w:val="18"/>
                <w:lang w:eastAsia="ru-RU"/>
              </w:rPr>
            </w:pPr>
            <w:r w:rsidRPr="009A4C46">
              <w:rPr>
                <w:rFonts w:eastAsia="Times New Roman"/>
                <w:sz w:val="18"/>
                <w:szCs w:val="18"/>
                <w:lang w:eastAsia="ru-RU"/>
              </w:rPr>
              <w:t>6 695 006</w:t>
            </w:r>
          </w:p>
        </w:tc>
        <w:tc>
          <w:tcPr>
            <w:tcW w:w="1412" w:type="dxa"/>
            <w:tcBorders>
              <w:top w:val="nil"/>
              <w:left w:val="nil"/>
              <w:bottom w:val="single" w:sz="4" w:space="0" w:color="auto"/>
              <w:right w:val="single" w:sz="4" w:space="0" w:color="auto"/>
            </w:tcBorders>
            <w:shd w:val="clear" w:color="auto" w:fill="auto"/>
            <w:noWrap/>
            <w:vAlign w:val="center"/>
            <w:hideMark/>
          </w:tcPr>
          <w:p w14:paraId="09737BED" w14:textId="77777777" w:rsidR="009A4C46" w:rsidRPr="009A4C46" w:rsidRDefault="009A4C46" w:rsidP="009A4C46">
            <w:pPr>
              <w:spacing w:after="0" w:line="240" w:lineRule="auto"/>
              <w:jc w:val="center"/>
              <w:rPr>
                <w:rFonts w:eastAsia="Times New Roman"/>
                <w:sz w:val="18"/>
                <w:szCs w:val="18"/>
                <w:lang w:eastAsia="ru-RU"/>
              </w:rPr>
            </w:pPr>
            <w:r w:rsidRPr="009A4C46">
              <w:rPr>
                <w:rFonts w:eastAsia="Times New Roman"/>
                <w:sz w:val="18"/>
                <w:szCs w:val="18"/>
                <w:lang w:eastAsia="ru-RU"/>
              </w:rPr>
              <w:t>667 652</w:t>
            </w:r>
          </w:p>
        </w:tc>
        <w:tc>
          <w:tcPr>
            <w:tcW w:w="1409" w:type="dxa"/>
            <w:tcBorders>
              <w:top w:val="nil"/>
              <w:left w:val="nil"/>
              <w:bottom w:val="single" w:sz="4" w:space="0" w:color="auto"/>
              <w:right w:val="single" w:sz="4" w:space="0" w:color="auto"/>
            </w:tcBorders>
            <w:shd w:val="clear" w:color="auto" w:fill="auto"/>
            <w:noWrap/>
            <w:vAlign w:val="center"/>
            <w:hideMark/>
          </w:tcPr>
          <w:p w14:paraId="2E65E992" w14:textId="5AE44B0E" w:rsidR="009A4C46" w:rsidRPr="009A4C46" w:rsidRDefault="00546CE7" w:rsidP="009A4C46">
            <w:pPr>
              <w:spacing w:after="0" w:line="240" w:lineRule="auto"/>
              <w:jc w:val="center"/>
              <w:rPr>
                <w:rFonts w:eastAsia="Times New Roman"/>
                <w:sz w:val="18"/>
                <w:szCs w:val="18"/>
                <w:lang w:eastAsia="ru-RU"/>
              </w:rPr>
            </w:pPr>
            <w:r>
              <w:rPr>
                <w:rFonts w:eastAsia="Times New Roman"/>
                <w:sz w:val="18"/>
                <w:szCs w:val="18"/>
                <w:lang w:eastAsia="ru-RU"/>
              </w:rPr>
              <w:t>822 247</w:t>
            </w:r>
          </w:p>
        </w:tc>
        <w:tc>
          <w:tcPr>
            <w:tcW w:w="1139" w:type="dxa"/>
            <w:tcBorders>
              <w:top w:val="nil"/>
              <w:left w:val="nil"/>
              <w:bottom w:val="single" w:sz="4" w:space="0" w:color="auto"/>
              <w:right w:val="single" w:sz="4" w:space="0" w:color="auto"/>
            </w:tcBorders>
            <w:shd w:val="clear" w:color="auto" w:fill="auto"/>
            <w:noWrap/>
            <w:vAlign w:val="center"/>
            <w:hideMark/>
          </w:tcPr>
          <w:p w14:paraId="16BE61E7" w14:textId="2119501C" w:rsidR="009A4C46" w:rsidRPr="009A4C46" w:rsidRDefault="009A4C46" w:rsidP="00546CE7">
            <w:pPr>
              <w:spacing w:after="0" w:line="240" w:lineRule="auto"/>
              <w:jc w:val="center"/>
              <w:rPr>
                <w:rFonts w:eastAsia="Times New Roman"/>
                <w:sz w:val="18"/>
                <w:szCs w:val="18"/>
                <w:lang w:eastAsia="ru-RU"/>
              </w:rPr>
            </w:pPr>
            <w:r w:rsidRPr="009A4C46">
              <w:rPr>
                <w:rFonts w:eastAsia="Times New Roman"/>
                <w:sz w:val="18"/>
                <w:szCs w:val="18"/>
                <w:lang w:eastAsia="ru-RU"/>
              </w:rPr>
              <w:t>-5</w:t>
            </w:r>
            <w:r w:rsidR="00546CE7">
              <w:rPr>
                <w:rFonts w:eastAsia="Times New Roman"/>
                <w:sz w:val="18"/>
                <w:szCs w:val="18"/>
                <w:lang w:eastAsia="ru-RU"/>
              </w:rPr>
              <w:t> 872 759</w:t>
            </w:r>
          </w:p>
        </w:tc>
        <w:tc>
          <w:tcPr>
            <w:tcW w:w="1030" w:type="dxa"/>
            <w:tcBorders>
              <w:top w:val="nil"/>
              <w:left w:val="nil"/>
              <w:bottom w:val="single" w:sz="4" w:space="0" w:color="auto"/>
              <w:right w:val="single" w:sz="4" w:space="0" w:color="auto"/>
            </w:tcBorders>
            <w:shd w:val="clear" w:color="auto" w:fill="auto"/>
            <w:noWrap/>
            <w:vAlign w:val="center"/>
            <w:hideMark/>
          </w:tcPr>
          <w:p w14:paraId="20BEA8EC" w14:textId="532453ED" w:rsidR="009A4C46" w:rsidRPr="009A4C46" w:rsidRDefault="00546CE7" w:rsidP="009A4C46">
            <w:pPr>
              <w:spacing w:after="0" w:line="240" w:lineRule="auto"/>
              <w:jc w:val="center"/>
              <w:rPr>
                <w:rFonts w:eastAsia="Times New Roman"/>
                <w:sz w:val="18"/>
                <w:szCs w:val="18"/>
                <w:lang w:eastAsia="ru-RU"/>
              </w:rPr>
            </w:pPr>
            <w:r>
              <w:rPr>
                <w:rFonts w:eastAsia="Times New Roman"/>
                <w:sz w:val="18"/>
                <w:szCs w:val="18"/>
                <w:lang w:eastAsia="ru-RU"/>
              </w:rPr>
              <w:t>154 595</w:t>
            </w:r>
          </w:p>
        </w:tc>
      </w:tr>
      <w:tr w:rsidR="00835BEA" w:rsidRPr="009A4C46" w14:paraId="520E4859" w14:textId="77777777" w:rsidTr="00546CE7">
        <w:trPr>
          <w:trHeight w:val="330"/>
        </w:trPr>
        <w:tc>
          <w:tcPr>
            <w:tcW w:w="1965" w:type="dxa"/>
            <w:tcBorders>
              <w:top w:val="nil"/>
              <w:left w:val="single" w:sz="4" w:space="0" w:color="auto"/>
              <w:bottom w:val="single" w:sz="4" w:space="0" w:color="auto"/>
              <w:right w:val="single" w:sz="4" w:space="0" w:color="auto"/>
            </w:tcBorders>
            <w:shd w:val="clear" w:color="auto" w:fill="auto"/>
            <w:noWrap/>
            <w:vAlign w:val="center"/>
            <w:hideMark/>
          </w:tcPr>
          <w:p w14:paraId="6E4C5878" w14:textId="77777777" w:rsidR="009A4C46" w:rsidRPr="009A4C46" w:rsidRDefault="009A4C46" w:rsidP="009A4C46">
            <w:pPr>
              <w:spacing w:after="0" w:line="240" w:lineRule="auto"/>
              <w:rPr>
                <w:rFonts w:eastAsia="Times New Roman"/>
                <w:sz w:val="18"/>
                <w:szCs w:val="18"/>
                <w:lang w:eastAsia="ru-RU"/>
              </w:rPr>
            </w:pPr>
            <w:r w:rsidRPr="009A4C46">
              <w:rPr>
                <w:rFonts w:eastAsia="Times New Roman"/>
                <w:sz w:val="18"/>
                <w:szCs w:val="18"/>
                <w:lang w:eastAsia="ru-RU"/>
              </w:rPr>
              <w:t>НВВ на содержание</w:t>
            </w:r>
          </w:p>
        </w:tc>
        <w:tc>
          <w:tcPr>
            <w:tcW w:w="990" w:type="dxa"/>
            <w:tcBorders>
              <w:top w:val="nil"/>
              <w:left w:val="nil"/>
              <w:bottom w:val="single" w:sz="4" w:space="0" w:color="auto"/>
              <w:right w:val="single" w:sz="4" w:space="0" w:color="auto"/>
            </w:tcBorders>
            <w:shd w:val="clear" w:color="auto" w:fill="auto"/>
            <w:noWrap/>
            <w:vAlign w:val="center"/>
            <w:hideMark/>
          </w:tcPr>
          <w:p w14:paraId="01EAD35B" w14:textId="77777777" w:rsidR="009A4C46" w:rsidRPr="009A4C46" w:rsidRDefault="009A4C46" w:rsidP="009A4C46">
            <w:pPr>
              <w:spacing w:after="0" w:line="240" w:lineRule="auto"/>
              <w:jc w:val="center"/>
              <w:rPr>
                <w:rFonts w:eastAsia="Times New Roman"/>
                <w:sz w:val="18"/>
                <w:szCs w:val="18"/>
                <w:lang w:eastAsia="ru-RU"/>
              </w:rPr>
            </w:pPr>
            <w:r w:rsidRPr="009A4C46">
              <w:rPr>
                <w:rFonts w:eastAsia="Times New Roman"/>
                <w:sz w:val="18"/>
                <w:szCs w:val="18"/>
                <w:lang w:eastAsia="ru-RU"/>
              </w:rPr>
              <w:t>тыс. руб.</w:t>
            </w:r>
          </w:p>
        </w:tc>
        <w:tc>
          <w:tcPr>
            <w:tcW w:w="1553" w:type="dxa"/>
            <w:tcBorders>
              <w:top w:val="nil"/>
              <w:left w:val="nil"/>
              <w:bottom w:val="single" w:sz="4" w:space="0" w:color="auto"/>
              <w:right w:val="single" w:sz="4" w:space="0" w:color="auto"/>
            </w:tcBorders>
            <w:shd w:val="clear" w:color="auto" w:fill="auto"/>
            <w:noWrap/>
            <w:vAlign w:val="center"/>
            <w:hideMark/>
          </w:tcPr>
          <w:p w14:paraId="28BB02EE" w14:textId="77777777" w:rsidR="009A4C46" w:rsidRPr="009A4C46" w:rsidRDefault="009A4C46" w:rsidP="009A4C46">
            <w:pPr>
              <w:spacing w:after="0" w:line="240" w:lineRule="auto"/>
              <w:jc w:val="center"/>
              <w:rPr>
                <w:rFonts w:eastAsia="Times New Roman"/>
                <w:sz w:val="18"/>
                <w:szCs w:val="18"/>
                <w:lang w:eastAsia="ru-RU"/>
              </w:rPr>
            </w:pPr>
            <w:r w:rsidRPr="009A4C46">
              <w:rPr>
                <w:rFonts w:eastAsia="Times New Roman"/>
                <w:sz w:val="18"/>
                <w:szCs w:val="18"/>
                <w:lang w:eastAsia="ru-RU"/>
              </w:rPr>
              <w:t>7 293 583</w:t>
            </w:r>
          </w:p>
        </w:tc>
        <w:tc>
          <w:tcPr>
            <w:tcW w:w="1412" w:type="dxa"/>
            <w:tcBorders>
              <w:top w:val="nil"/>
              <w:left w:val="nil"/>
              <w:bottom w:val="single" w:sz="4" w:space="0" w:color="auto"/>
              <w:right w:val="single" w:sz="4" w:space="0" w:color="auto"/>
            </w:tcBorders>
            <w:shd w:val="clear" w:color="auto" w:fill="auto"/>
            <w:noWrap/>
            <w:vAlign w:val="center"/>
            <w:hideMark/>
          </w:tcPr>
          <w:p w14:paraId="296C3922" w14:textId="77777777" w:rsidR="009A4C46" w:rsidRPr="009A4C46" w:rsidRDefault="009A4C46" w:rsidP="009A4C46">
            <w:pPr>
              <w:spacing w:after="0" w:line="240" w:lineRule="auto"/>
              <w:jc w:val="center"/>
              <w:rPr>
                <w:rFonts w:eastAsia="Times New Roman"/>
                <w:sz w:val="18"/>
                <w:szCs w:val="18"/>
                <w:lang w:eastAsia="ru-RU"/>
              </w:rPr>
            </w:pPr>
            <w:r w:rsidRPr="009A4C46">
              <w:rPr>
                <w:rFonts w:eastAsia="Times New Roman"/>
                <w:sz w:val="18"/>
                <w:szCs w:val="18"/>
                <w:lang w:eastAsia="ru-RU"/>
              </w:rPr>
              <w:t>1 269 683</w:t>
            </w:r>
          </w:p>
        </w:tc>
        <w:tc>
          <w:tcPr>
            <w:tcW w:w="1409" w:type="dxa"/>
            <w:tcBorders>
              <w:top w:val="nil"/>
              <w:left w:val="nil"/>
              <w:bottom w:val="single" w:sz="4" w:space="0" w:color="auto"/>
              <w:right w:val="single" w:sz="4" w:space="0" w:color="auto"/>
            </w:tcBorders>
            <w:shd w:val="clear" w:color="auto" w:fill="auto"/>
            <w:noWrap/>
            <w:vAlign w:val="center"/>
            <w:hideMark/>
          </w:tcPr>
          <w:p w14:paraId="37D8A192" w14:textId="5583FC36" w:rsidR="009A4C46" w:rsidRPr="009A4C46" w:rsidRDefault="009A4C46" w:rsidP="00546CE7">
            <w:pPr>
              <w:spacing w:after="0" w:line="240" w:lineRule="auto"/>
              <w:jc w:val="center"/>
              <w:rPr>
                <w:rFonts w:eastAsia="Times New Roman"/>
                <w:sz w:val="18"/>
                <w:szCs w:val="18"/>
                <w:lang w:eastAsia="ru-RU"/>
              </w:rPr>
            </w:pPr>
            <w:r w:rsidRPr="009A4C46">
              <w:rPr>
                <w:rFonts w:eastAsia="Times New Roman"/>
                <w:sz w:val="18"/>
                <w:szCs w:val="18"/>
                <w:lang w:eastAsia="ru-RU"/>
              </w:rPr>
              <w:t>1</w:t>
            </w:r>
            <w:r w:rsidR="00546CE7">
              <w:rPr>
                <w:rFonts w:eastAsia="Times New Roman"/>
                <w:sz w:val="18"/>
                <w:szCs w:val="18"/>
                <w:lang w:eastAsia="ru-RU"/>
              </w:rPr>
              <w:t> 424 278</w:t>
            </w:r>
          </w:p>
        </w:tc>
        <w:tc>
          <w:tcPr>
            <w:tcW w:w="1139" w:type="dxa"/>
            <w:tcBorders>
              <w:top w:val="nil"/>
              <w:left w:val="nil"/>
              <w:bottom w:val="single" w:sz="4" w:space="0" w:color="auto"/>
              <w:right w:val="single" w:sz="4" w:space="0" w:color="auto"/>
            </w:tcBorders>
            <w:shd w:val="clear" w:color="auto" w:fill="auto"/>
            <w:noWrap/>
            <w:vAlign w:val="center"/>
            <w:hideMark/>
          </w:tcPr>
          <w:p w14:paraId="0CBB3E2D" w14:textId="292F4208" w:rsidR="009A4C46" w:rsidRPr="009A4C46" w:rsidRDefault="009A4C46" w:rsidP="00546CE7">
            <w:pPr>
              <w:spacing w:after="0" w:line="240" w:lineRule="auto"/>
              <w:jc w:val="center"/>
              <w:rPr>
                <w:rFonts w:eastAsia="Times New Roman"/>
                <w:sz w:val="18"/>
                <w:szCs w:val="18"/>
                <w:lang w:eastAsia="ru-RU"/>
              </w:rPr>
            </w:pPr>
            <w:r w:rsidRPr="009A4C46">
              <w:rPr>
                <w:rFonts w:eastAsia="Times New Roman"/>
                <w:sz w:val="18"/>
                <w:szCs w:val="18"/>
                <w:lang w:eastAsia="ru-RU"/>
              </w:rPr>
              <w:t>-5</w:t>
            </w:r>
            <w:r w:rsidR="00546CE7">
              <w:rPr>
                <w:rFonts w:eastAsia="Times New Roman"/>
                <w:sz w:val="18"/>
                <w:szCs w:val="18"/>
                <w:lang w:eastAsia="ru-RU"/>
              </w:rPr>
              <w:t> 869 305</w:t>
            </w:r>
          </w:p>
        </w:tc>
        <w:tc>
          <w:tcPr>
            <w:tcW w:w="1030" w:type="dxa"/>
            <w:tcBorders>
              <w:top w:val="nil"/>
              <w:left w:val="nil"/>
              <w:bottom w:val="single" w:sz="4" w:space="0" w:color="auto"/>
              <w:right w:val="single" w:sz="4" w:space="0" w:color="auto"/>
            </w:tcBorders>
            <w:shd w:val="clear" w:color="auto" w:fill="auto"/>
            <w:noWrap/>
            <w:vAlign w:val="center"/>
            <w:hideMark/>
          </w:tcPr>
          <w:p w14:paraId="064CF98D" w14:textId="2309C227" w:rsidR="009A4C46" w:rsidRPr="009A4C46" w:rsidRDefault="00546CE7" w:rsidP="009A4C46">
            <w:pPr>
              <w:spacing w:after="0" w:line="240" w:lineRule="auto"/>
              <w:jc w:val="center"/>
              <w:rPr>
                <w:rFonts w:eastAsia="Times New Roman"/>
                <w:sz w:val="18"/>
                <w:szCs w:val="18"/>
                <w:lang w:eastAsia="ru-RU"/>
              </w:rPr>
            </w:pPr>
            <w:r>
              <w:rPr>
                <w:rFonts w:eastAsia="Times New Roman"/>
                <w:sz w:val="18"/>
                <w:szCs w:val="18"/>
                <w:lang w:eastAsia="ru-RU"/>
              </w:rPr>
              <w:t>154 595</w:t>
            </w:r>
          </w:p>
        </w:tc>
      </w:tr>
      <w:tr w:rsidR="00835BEA" w:rsidRPr="009A4C46" w14:paraId="14FE46E9" w14:textId="77777777" w:rsidTr="00546CE7">
        <w:trPr>
          <w:trHeight w:val="330"/>
        </w:trPr>
        <w:tc>
          <w:tcPr>
            <w:tcW w:w="1965" w:type="dxa"/>
            <w:tcBorders>
              <w:top w:val="nil"/>
              <w:left w:val="single" w:sz="4" w:space="0" w:color="auto"/>
              <w:bottom w:val="single" w:sz="4" w:space="0" w:color="auto"/>
              <w:right w:val="single" w:sz="4" w:space="0" w:color="auto"/>
            </w:tcBorders>
            <w:shd w:val="clear" w:color="auto" w:fill="auto"/>
            <w:noWrap/>
            <w:vAlign w:val="center"/>
            <w:hideMark/>
          </w:tcPr>
          <w:p w14:paraId="08FA6C08" w14:textId="77777777" w:rsidR="009A4C46" w:rsidRPr="009A4C46" w:rsidRDefault="009A4C46" w:rsidP="009A4C46">
            <w:pPr>
              <w:spacing w:after="0" w:line="240" w:lineRule="auto"/>
              <w:rPr>
                <w:rFonts w:eastAsia="Times New Roman"/>
                <w:sz w:val="18"/>
                <w:szCs w:val="18"/>
                <w:lang w:eastAsia="ru-RU"/>
              </w:rPr>
            </w:pPr>
            <w:r w:rsidRPr="009A4C46">
              <w:rPr>
                <w:rFonts w:eastAsia="Times New Roman"/>
                <w:sz w:val="18"/>
                <w:szCs w:val="18"/>
                <w:lang w:eastAsia="ru-RU"/>
              </w:rPr>
              <w:t xml:space="preserve">Расходы на покупку потерь </w:t>
            </w:r>
          </w:p>
        </w:tc>
        <w:tc>
          <w:tcPr>
            <w:tcW w:w="990" w:type="dxa"/>
            <w:tcBorders>
              <w:top w:val="nil"/>
              <w:left w:val="nil"/>
              <w:bottom w:val="single" w:sz="4" w:space="0" w:color="auto"/>
              <w:right w:val="single" w:sz="4" w:space="0" w:color="auto"/>
            </w:tcBorders>
            <w:shd w:val="clear" w:color="auto" w:fill="auto"/>
            <w:noWrap/>
            <w:vAlign w:val="center"/>
            <w:hideMark/>
          </w:tcPr>
          <w:p w14:paraId="0A0F1F63" w14:textId="77777777" w:rsidR="009A4C46" w:rsidRPr="009A4C46" w:rsidRDefault="009A4C46" w:rsidP="009A4C46">
            <w:pPr>
              <w:spacing w:after="0" w:line="240" w:lineRule="auto"/>
              <w:jc w:val="center"/>
              <w:rPr>
                <w:rFonts w:eastAsia="Times New Roman"/>
                <w:sz w:val="18"/>
                <w:szCs w:val="18"/>
                <w:lang w:eastAsia="ru-RU"/>
              </w:rPr>
            </w:pPr>
            <w:r w:rsidRPr="009A4C46">
              <w:rPr>
                <w:rFonts w:eastAsia="Times New Roman"/>
                <w:sz w:val="18"/>
                <w:szCs w:val="18"/>
                <w:lang w:eastAsia="ru-RU"/>
              </w:rPr>
              <w:t>тыс. руб.</w:t>
            </w:r>
          </w:p>
        </w:tc>
        <w:tc>
          <w:tcPr>
            <w:tcW w:w="1553" w:type="dxa"/>
            <w:tcBorders>
              <w:top w:val="nil"/>
              <w:left w:val="nil"/>
              <w:bottom w:val="single" w:sz="4" w:space="0" w:color="auto"/>
              <w:right w:val="single" w:sz="4" w:space="0" w:color="auto"/>
            </w:tcBorders>
            <w:shd w:val="clear" w:color="auto" w:fill="auto"/>
            <w:noWrap/>
            <w:vAlign w:val="center"/>
            <w:hideMark/>
          </w:tcPr>
          <w:p w14:paraId="0133E073" w14:textId="77777777" w:rsidR="009A4C46" w:rsidRPr="009A4C46" w:rsidRDefault="009A4C46" w:rsidP="009A4C46">
            <w:pPr>
              <w:spacing w:after="0" w:line="240" w:lineRule="auto"/>
              <w:jc w:val="center"/>
              <w:rPr>
                <w:rFonts w:eastAsia="Times New Roman"/>
                <w:sz w:val="18"/>
                <w:szCs w:val="18"/>
                <w:lang w:eastAsia="ru-RU"/>
              </w:rPr>
            </w:pPr>
            <w:r w:rsidRPr="009A4C46">
              <w:rPr>
                <w:rFonts w:eastAsia="Times New Roman"/>
                <w:sz w:val="18"/>
                <w:szCs w:val="18"/>
                <w:lang w:eastAsia="ru-RU"/>
              </w:rPr>
              <w:t>325 219</w:t>
            </w:r>
          </w:p>
        </w:tc>
        <w:tc>
          <w:tcPr>
            <w:tcW w:w="1412" w:type="dxa"/>
            <w:tcBorders>
              <w:top w:val="nil"/>
              <w:left w:val="nil"/>
              <w:bottom w:val="single" w:sz="4" w:space="0" w:color="auto"/>
              <w:right w:val="single" w:sz="4" w:space="0" w:color="auto"/>
            </w:tcBorders>
            <w:shd w:val="clear" w:color="auto" w:fill="auto"/>
            <w:noWrap/>
            <w:vAlign w:val="center"/>
            <w:hideMark/>
          </w:tcPr>
          <w:p w14:paraId="3E365A31" w14:textId="77777777" w:rsidR="009A4C46" w:rsidRPr="009A4C46" w:rsidRDefault="009A4C46" w:rsidP="009A4C46">
            <w:pPr>
              <w:spacing w:after="0" w:line="240" w:lineRule="auto"/>
              <w:jc w:val="center"/>
              <w:rPr>
                <w:rFonts w:eastAsia="Times New Roman"/>
                <w:sz w:val="18"/>
                <w:szCs w:val="18"/>
                <w:lang w:eastAsia="ru-RU"/>
              </w:rPr>
            </w:pPr>
            <w:r w:rsidRPr="009A4C46">
              <w:rPr>
                <w:rFonts w:eastAsia="Times New Roman"/>
                <w:sz w:val="18"/>
                <w:szCs w:val="18"/>
                <w:lang w:eastAsia="ru-RU"/>
              </w:rPr>
              <w:t>164 116</w:t>
            </w:r>
          </w:p>
        </w:tc>
        <w:tc>
          <w:tcPr>
            <w:tcW w:w="1409" w:type="dxa"/>
            <w:tcBorders>
              <w:top w:val="nil"/>
              <w:left w:val="nil"/>
              <w:bottom w:val="single" w:sz="4" w:space="0" w:color="auto"/>
              <w:right w:val="single" w:sz="4" w:space="0" w:color="auto"/>
            </w:tcBorders>
            <w:shd w:val="clear" w:color="auto" w:fill="auto"/>
            <w:noWrap/>
            <w:vAlign w:val="center"/>
            <w:hideMark/>
          </w:tcPr>
          <w:p w14:paraId="462EEF68" w14:textId="74587EC9" w:rsidR="009A4C46" w:rsidRPr="009A4C46" w:rsidRDefault="00546CE7" w:rsidP="009A4C46">
            <w:pPr>
              <w:spacing w:after="0" w:line="240" w:lineRule="auto"/>
              <w:jc w:val="center"/>
              <w:rPr>
                <w:rFonts w:eastAsia="Times New Roman"/>
                <w:sz w:val="18"/>
                <w:szCs w:val="18"/>
                <w:lang w:eastAsia="ru-RU"/>
              </w:rPr>
            </w:pPr>
            <w:r>
              <w:rPr>
                <w:rFonts w:eastAsia="Times New Roman"/>
                <w:sz w:val="18"/>
                <w:szCs w:val="18"/>
                <w:lang w:eastAsia="ru-RU"/>
              </w:rPr>
              <w:t>146 635</w:t>
            </w:r>
          </w:p>
        </w:tc>
        <w:tc>
          <w:tcPr>
            <w:tcW w:w="1139" w:type="dxa"/>
            <w:tcBorders>
              <w:top w:val="nil"/>
              <w:left w:val="nil"/>
              <w:bottom w:val="single" w:sz="4" w:space="0" w:color="auto"/>
              <w:right w:val="single" w:sz="4" w:space="0" w:color="auto"/>
            </w:tcBorders>
            <w:shd w:val="clear" w:color="auto" w:fill="auto"/>
            <w:noWrap/>
            <w:vAlign w:val="center"/>
            <w:hideMark/>
          </w:tcPr>
          <w:p w14:paraId="11A3336A" w14:textId="16204E54" w:rsidR="009A4C46" w:rsidRPr="009A4C46" w:rsidRDefault="00546CE7" w:rsidP="009A4C46">
            <w:pPr>
              <w:spacing w:after="0" w:line="240" w:lineRule="auto"/>
              <w:jc w:val="center"/>
              <w:rPr>
                <w:rFonts w:eastAsia="Times New Roman"/>
                <w:sz w:val="18"/>
                <w:szCs w:val="18"/>
                <w:lang w:eastAsia="ru-RU"/>
              </w:rPr>
            </w:pPr>
            <w:r>
              <w:rPr>
                <w:rFonts w:eastAsia="Times New Roman"/>
                <w:sz w:val="18"/>
                <w:szCs w:val="18"/>
                <w:lang w:eastAsia="ru-RU"/>
              </w:rPr>
              <w:t>-178 584</w:t>
            </w:r>
          </w:p>
        </w:tc>
        <w:tc>
          <w:tcPr>
            <w:tcW w:w="1030" w:type="dxa"/>
            <w:tcBorders>
              <w:top w:val="nil"/>
              <w:left w:val="nil"/>
              <w:bottom w:val="single" w:sz="4" w:space="0" w:color="auto"/>
              <w:right w:val="single" w:sz="4" w:space="0" w:color="auto"/>
            </w:tcBorders>
            <w:shd w:val="clear" w:color="auto" w:fill="auto"/>
            <w:noWrap/>
            <w:vAlign w:val="center"/>
            <w:hideMark/>
          </w:tcPr>
          <w:p w14:paraId="3CF819B0" w14:textId="0E6958B8" w:rsidR="009A4C46" w:rsidRPr="009A4C46" w:rsidRDefault="00546CE7" w:rsidP="009A4C46">
            <w:pPr>
              <w:spacing w:after="0" w:line="240" w:lineRule="auto"/>
              <w:jc w:val="center"/>
              <w:rPr>
                <w:rFonts w:eastAsia="Times New Roman"/>
                <w:sz w:val="18"/>
                <w:szCs w:val="18"/>
                <w:lang w:eastAsia="ru-RU"/>
              </w:rPr>
            </w:pPr>
            <w:r>
              <w:rPr>
                <w:rFonts w:eastAsia="Times New Roman"/>
                <w:sz w:val="18"/>
                <w:szCs w:val="18"/>
                <w:lang w:eastAsia="ru-RU"/>
              </w:rPr>
              <w:t>-17 481</w:t>
            </w:r>
          </w:p>
        </w:tc>
      </w:tr>
      <w:tr w:rsidR="00835BEA" w:rsidRPr="009A4C46" w14:paraId="2BC31DBD" w14:textId="77777777" w:rsidTr="00546CE7">
        <w:trPr>
          <w:trHeight w:val="330"/>
        </w:trPr>
        <w:tc>
          <w:tcPr>
            <w:tcW w:w="1965" w:type="dxa"/>
            <w:tcBorders>
              <w:top w:val="nil"/>
              <w:left w:val="single" w:sz="4" w:space="0" w:color="auto"/>
              <w:bottom w:val="single" w:sz="4" w:space="0" w:color="auto"/>
              <w:right w:val="single" w:sz="4" w:space="0" w:color="auto"/>
            </w:tcBorders>
            <w:shd w:val="clear" w:color="auto" w:fill="auto"/>
            <w:noWrap/>
            <w:vAlign w:val="center"/>
            <w:hideMark/>
          </w:tcPr>
          <w:p w14:paraId="79F3278A" w14:textId="77777777" w:rsidR="009A4C46" w:rsidRPr="009A4C46" w:rsidRDefault="009A4C46" w:rsidP="009A4C46">
            <w:pPr>
              <w:spacing w:after="0" w:line="240" w:lineRule="auto"/>
              <w:rPr>
                <w:rFonts w:eastAsia="Times New Roman"/>
                <w:sz w:val="18"/>
                <w:szCs w:val="18"/>
                <w:lang w:eastAsia="ru-RU"/>
              </w:rPr>
            </w:pPr>
            <w:r w:rsidRPr="009A4C46">
              <w:rPr>
                <w:rFonts w:eastAsia="Times New Roman"/>
                <w:sz w:val="18"/>
                <w:szCs w:val="18"/>
                <w:lang w:eastAsia="ru-RU"/>
              </w:rPr>
              <w:t>Корректировка НВВ по итогам 2017 года</w:t>
            </w:r>
          </w:p>
        </w:tc>
        <w:tc>
          <w:tcPr>
            <w:tcW w:w="990" w:type="dxa"/>
            <w:tcBorders>
              <w:top w:val="nil"/>
              <w:left w:val="nil"/>
              <w:bottom w:val="single" w:sz="4" w:space="0" w:color="auto"/>
              <w:right w:val="single" w:sz="4" w:space="0" w:color="auto"/>
            </w:tcBorders>
            <w:shd w:val="clear" w:color="auto" w:fill="auto"/>
            <w:noWrap/>
            <w:vAlign w:val="center"/>
            <w:hideMark/>
          </w:tcPr>
          <w:p w14:paraId="0040E39B" w14:textId="77777777" w:rsidR="009A4C46" w:rsidRPr="009A4C46" w:rsidRDefault="009A4C46" w:rsidP="009A4C46">
            <w:pPr>
              <w:spacing w:after="0" w:line="240" w:lineRule="auto"/>
              <w:jc w:val="center"/>
              <w:rPr>
                <w:rFonts w:eastAsia="Times New Roman"/>
                <w:sz w:val="18"/>
                <w:szCs w:val="18"/>
                <w:lang w:eastAsia="ru-RU"/>
              </w:rPr>
            </w:pPr>
            <w:r w:rsidRPr="009A4C46">
              <w:rPr>
                <w:rFonts w:eastAsia="Times New Roman"/>
                <w:sz w:val="18"/>
                <w:szCs w:val="18"/>
                <w:lang w:eastAsia="ru-RU"/>
              </w:rPr>
              <w:t>тыс. руб.</w:t>
            </w:r>
          </w:p>
        </w:tc>
        <w:tc>
          <w:tcPr>
            <w:tcW w:w="1553" w:type="dxa"/>
            <w:tcBorders>
              <w:top w:val="nil"/>
              <w:left w:val="nil"/>
              <w:bottom w:val="single" w:sz="4" w:space="0" w:color="auto"/>
              <w:right w:val="single" w:sz="4" w:space="0" w:color="auto"/>
            </w:tcBorders>
            <w:shd w:val="clear" w:color="auto" w:fill="auto"/>
            <w:noWrap/>
            <w:vAlign w:val="center"/>
            <w:hideMark/>
          </w:tcPr>
          <w:p w14:paraId="54685832" w14:textId="77777777" w:rsidR="009A4C46" w:rsidRPr="009A4C46" w:rsidRDefault="009A4C46" w:rsidP="009A4C46">
            <w:pPr>
              <w:spacing w:after="0" w:line="240" w:lineRule="auto"/>
              <w:jc w:val="center"/>
              <w:rPr>
                <w:rFonts w:eastAsia="Times New Roman"/>
                <w:sz w:val="18"/>
                <w:szCs w:val="18"/>
                <w:lang w:eastAsia="ru-RU"/>
              </w:rPr>
            </w:pPr>
            <w:r w:rsidRPr="009A4C46">
              <w:rPr>
                <w:rFonts w:eastAsia="Times New Roman"/>
                <w:sz w:val="18"/>
                <w:szCs w:val="18"/>
                <w:lang w:eastAsia="ru-RU"/>
              </w:rPr>
              <w:t>306 614</w:t>
            </w:r>
          </w:p>
        </w:tc>
        <w:tc>
          <w:tcPr>
            <w:tcW w:w="1412" w:type="dxa"/>
            <w:tcBorders>
              <w:top w:val="nil"/>
              <w:left w:val="nil"/>
              <w:bottom w:val="single" w:sz="4" w:space="0" w:color="auto"/>
              <w:right w:val="single" w:sz="4" w:space="0" w:color="auto"/>
            </w:tcBorders>
            <w:shd w:val="clear" w:color="auto" w:fill="auto"/>
            <w:noWrap/>
            <w:vAlign w:val="center"/>
            <w:hideMark/>
          </w:tcPr>
          <w:p w14:paraId="420C5A6B" w14:textId="77777777" w:rsidR="009A4C46" w:rsidRPr="009A4C46" w:rsidRDefault="009A4C46" w:rsidP="009A4C46">
            <w:pPr>
              <w:spacing w:after="0" w:line="240" w:lineRule="auto"/>
              <w:jc w:val="center"/>
              <w:rPr>
                <w:rFonts w:eastAsia="Times New Roman"/>
                <w:sz w:val="18"/>
                <w:szCs w:val="18"/>
                <w:lang w:eastAsia="ru-RU"/>
              </w:rPr>
            </w:pPr>
            <w:r w:rsidRPr="009A4C46">
              <w:rPr>
                <w:rFonts w:eastAsia="Times New Roman"/>
                <w:sz w:val="18"/>
                <w:szCs w:val="18"/>
                <w:lang w:eastAsia="ru-RU"/>
              </w:rPr>
              <w:t>52 349</w:t>
            </w:r>
          </w:p>
        </w:tc>
        <w:tc>
          <w:tcPr>
            <w:tcW w:w="1409" w:type="dxa"/>
            <w:tcBorders>
              <w:top w:val="nil"/>
              <w:left w:val="nil"/>
              <w:bottom w:val="single" w:sz="4" w:space="0" w:color="auto"/>
              <w:right w:val="single" w:sz="4" w:space="0" w:color="auto"/>
            </w:tcBorders>
            <w:shd w:val="clear" w:color="auto" w:fill="auto"/>
            <w:noWrap/>
            <w:vAlign w:val="center"/>
            <w:hideMark/>
          </w:tcPr>
          <w:p w14:paraId="6EF5A471" w14:textId="77777777" w:rsidR="009A4C46" w:rsidRPr="009A4C46" w:rsidRDefault="009A4C46" w:rsidP="009A4C46">
            <w:pPr>
              <w:spacing w:after="0" w:line="240" w:lineRule="auto"/>
              <w:jc w:val="center"/>
              <w:rPr>
                <w:rFonts w:eastAsia="Times New Roman"/>
                <w:sz w:val="18"/>
                <w:szCs w:val="18"/>
                <w:lang w:val="en-US" w:eastAsia="ru-RU"/>
              </w:rPr>
            </w:pPr>
            <w:r w:rsidRPr="009A4C46">
              <w:rPr>
                <w:rFonts w:eastAsia="Times New Roman"/>
                <w:sz w:val="18"/>
                <w:szCs w:val="18"/>
                <w:lang w:eastAsia="ru-RU"/>
              </w:rPr>
              <w:t> </w:t>
            </w:r>
            <w:r w:rsidRPr="009A4C46">
              <w:rPr>
                <w:rFonts w:eastAsia="Times New Roman"/>
                <w:sz w:val="18"/>
                <w:szCs w:val="18"/>
                <w:lang w:val="en-US" w:eastAsia="ru-RU"/>
              </w:rPr>
              <w:t>626 937</w:t>
            </w:r>
          </w:p>
        </w:tc>
        <w:tc>
          <w:tcPr>
            <w:tcW w:w="1139" w:type="dxa"/>
            <w:tcBorders>
              <w:top w:val="nil"/>
              <w:left w:val="nil"/>
              <w:bottom w:val="single" w:sz="4" w:space="0" w:color="auto"/>
              <w:right w:val="single" w:sz="4" w:space="0" w:color="auto"/>
            </w:tcBorders>
            <w:shd w:val="clear" w:color="auto" w:fill="auto"/>
            <w:noWrap/>
            <w:vAlign w:val="center"/>
          </w:tcPr>
          <w:p w14:paraId="60B280A1" w14:textId="39F1255A" w:rsidR="009A4C46" w:rsidRPr="009A4C46" w:rsidRDefault="00546CE7" w:rsidP="009A4C46">
            <w:pPr>
              <w:spacing w:after="0" w:line="240" w:lineRule="auto"/>
              <w:jc w:val="center"/>
              <w:rPr>
                <w:rFonts w:eastAsia="Times New Roman"/>
                <w:sz w:val="18"/>
                <w:szCs w:val="18"/>
                <w:lang w:eastAsia="ru-RU"/>
              </w:rPr>
            </w:pPr>
            <w:r>
              <w:rPr>
                <w:rFonts w:eastAsia="Times New Roman"/>
                <w:sz w:val="18"/>
                <w:szCs w:val="18"/>
                <w:lang w:eastAsia="ru-RU"/>
              </w:rPr>
              <w:t>320 323</w:t>
            </w:r>
          </w:p>
        </w:tc>
        <w:tc>
          <w:tcPr>
            <w:tcW w:w="1030" w:type="dxa"/>
            <w:tcBorders>
              <w:top w:val="nil"/>
              <w:left w:val="nil"/>
              <w:bottom w:val="single" w:sz="4" w:space="0" w:color="auto"/>
              <w:right w:val="single" w:sz="4" w:space="0" w:color="auto"/>
            </w:tcBorders>
            <w:shd w:val="clear" w:color="auto" w:fill="auto"/>
            <w:noWrap/>
            <w:vAlign w:val="center"/>
          </w:tcPr>
          <w:p w14:paraId="3AFD8AD0" w14:textId="6816457A" w:rsidR="009A4C46" w:rsidRPr="009A4C46" w:rsidRDefault="00546CE7" w:rsidP="009A4C46">
            <w:pPr>
              <w:spacing w:after="0" w:line="240" w:lineRule="auto"/>
              <w:jc w:val="center"/>
              <w:rPr>
                <w:rFonts w:eastAsia="Times New Roman"/>
                <w:sz w:val="18"/>
                <w:szCs w:val="18"/>
                <w:lang w:eastAsia="ru-RU"/>
              </w:rPr>
            </w:pPr>
            <w:r>
              <w:rPr>
                <w:rFonts w:eastAsia="Times New Roman"/>
                <w:sz w:val="18"/>
                <w:szCs w:val="18"/>
                <w:lang w:eastAsia="ru-RU"/>
              </w:rPr>
              <w:t>574 588</w:t>
            </w:r>
          </w:p>
        </w:tc>
      </w:tr>
      <w:tr w:rsidR="00835BEA" w:rsidRPr="009A4C46" w14:paraId="0204A849" w14:textId="77777777" w:rsidTr="00546CE7">
        <w:trPr>
          <w:trHeight w:val="330"/>
        </w:trPr>
        <w:tc>
          <w:tcPr>
            <w:tcW w:w="1965" w:type="dxa"/>
            <w:tcBorders>
              <w:top w:val="nil"/>
              <w:left w:val="single" w:sz="4" w:space="0" w:color="auto"/>
              <w:bottom w:val="single" w:sz="4" w:space="0" w:color="auto"/>
              <w:right w:val="single" w:sz="4" w:space="0" w:color="auto"/>
            </w:tcBorders>
            <w:shd w:val="clear" w:color="auto" w:fill="auto"/>
            <w:noWrap/>
            <w:vAlign w:val="center"/>
            <w:hideMark/>
          </w:tcPr>
          <w:p w14:paraId="77589CC5" w14:textId="77777777" w:rsidR="009A4C46" w:rsidRPr="009A4C46" w:rsidRDefault="009A4C46" w:rsidP="009A4C46">
            <w:pPr>
              <w:spacing w:after="0" w:line="240" w:lineRule="auto"/>
              <w:rPr>
                <w:rFonts w:eastAsia="Times New Roman"/>
                <w:b/>
                <w:bCs/>
                <w:sz w:val="18"/>
                <w:szCs w:val="18"/>
                <w:lang w:eastAsia="ru-RU"/>
              </w:rPr>
            </w:pPr>
            <w:r w:rsidRPr="009A4C46">
              <w:rPr>
                <w:rFonts w:eastAsia="Times New Roman"/>
                <w:b/>
                <w:bCs/>
                <w:sz w:val="18"/>
                <w:szCs w:val="18"/>
                <w:lang w:eastAsia="ru-RU"/>
              </w:rPr>
              <w:t>ИТОГО НВВ на 2019 год</w:t>
            </w:r>
          </w:p>
        </w:tc>
        <w:tc>
          <w:tcPr>
            <w:tcW w:w="990" w:type="dxa"/>
            <w:tcBorders>
              <w:top w:val="nil"/>
              <w:left w:val="nil"/>
              <w:bottom w:val="single" w:sz="4" w:space="0" w:color="auto"/>
              <w:right w:val="single" w:sz="4" w:space="0" w:color="auto"/>
            </w:tcBorders>
            <w:shd w:val="clear" w:color="auto" w:fill="auto"/>
            <w:noWrap/>
            <w:vAlign w:val="center"/>
            <w:hideMark/>
          </w:tcPr>
          <w:p w14:paraId="1D832BDA" w14:textId="77777777" w:rsidR="009A4C46" w:rsidRPr="009A4C46" w:rsidRDefault="009A4C46" w:rsidP="009A4C46">
            <w:pPr>
              <w:spacing w:after="0" w:line="240" w:lineRule="auto"/>
              <w:jc w:val="center"/>
              <w:rPr>
                <w:rFonts w:eastAsia="Times New Roman"/>
                <w:b/>
                <w:bCs/>
                <w:sz w:val="18"/>
                <w:szCs w:val="18"/>
                <w:lang w:eastAsia="ru-RU"/>
              </w:rPr>
            </w:pPr>
            <w:r w:rsidRPr="009A4C46">
              <w:rPr>
                <w:rFonts w:eastAsia="Times New Roman"/>
                <w:b/>
                <w:bCs/>
                <w:sz w:val="18"/>
                <w:szCs w:val="18"/>
                <w:lang w:eastAsia="ru-RU"/>
              </w:rPr>
              <w:t>тыс. руб.</w:t>
            </w:r>
          </w:p>
        </w:tc>
        <w:tc>
          <w:tcPr>
            <w:tcW w:w="1553" w:type="dxa"/>
            <w:tcBorders>
              <w:top w:val="nil"/>
              <w:left w:val="nil"/>
              <w:bottom w:val="single" w:sz="4" w:space="0" w:color="auto"/>
              <w:right w:val="single" w:sz="4" w:space="0" w:color="auto"/>
            </w:tcBorders>
            <w:shd w:val="clear" w:color="auto" w:fill="auto"/>
            <w:noWrap/>
            <w:vAlign w:val="center"/>
            <w:hideMark/>
          </w:tcPr>
          <w:p w14:paraId="4C360E74" w14:textId="77777777" w:rsidR="009A4C46" w:rsidRPr="009A4C46" w:rsidRDefault="009A4C46" w:rsidP="009A4C46">
            <w:pPr>
              <w:spacing w:after="0" w:line="240" w:lineRule="auto"/>
              <w:jc w:val="center"/>
              <w:rPr>
                <w:rFonts w:eastAsia="Times New Roman"/>
                <w:b/>
                <w:bCs/>
                <w:sz w:val="18"/>
                <w:szCs w:val="18"/>
                <w:lang w:eastAsia="ru-RU"/>
              </w:rPr>
            </w:pPr>
            <w:r w:rsidRPr="009A4C46">
              <w:rPr>
                <w:rFonts w:eastAsia="Times New Roman"/>
                <w:b/>
                <w:bCs/>
                <w:sz w:val="18"/>
                <w:szCs w:val="18"/>
                <w:lang w:eastAsia="ru-RU"/>
              </w:rPr>
              <w:t>7 925 416</w:t>
            </w:r>
          </w:p>
        </w:tc>
        <w:tc>
          <w:tcPr>
            <w:tcW w:w="1412" w:type="dxa"/>
            <w:tcBorders>
              <w:top w:val="nil"/>
              <w:left w:val="nil"/>
              <w:bottom w:val="single" w:sz="4" w:space="0" w:color="auto"/>
              <w:right w:val="single" w:sz="4" w:space="0" w:color="auto"/>
            </w:tcBorders>
            <w:shd w:val="clear" w:color="auto" w:fill="auto"/>
            <w:noWrap/>
            <w:vAlign w:val="center"/>
            <w:hideMark/>
          </w:tcPr>
          <w:p w14:paraId="50D56430" w14:textId="77777777" w:rsidR="009A4C46" w:rsidRPr="009A4C46" w:rsidRDefault="009A4C46" w:rsidP="009A4C46">
            <w:pPr>
              <w:spacing w:after="0" w:line="240" w:lineRule="auto"/>
              <w:jc w:val="center"/>
              <w:rPr>
                <w:rFonts w:eastAsia="Times New Roman"/>
                <w:b/>
                <w:bCs/>
                <w:sz w:val="18"/>
                <w:szCs w:val="18"/>
                <w:lang w:eastAsia="ru-RU"/>
              </w:rPr>
            </w:pPr>
            <w:r w:rsidRPr="009A4C46">
              <w:rPr>
                <w:rFonts w:eastAsia="Times New Roman"/>
                <w:b/>
                <w:bCs/>
                <w:sz w:val="18"/>
                <w:szCs w:val="18"/>
                <w:lang w:eastAsia="ru-RU"/>
              </w:rPr>
              <w:t>1 486 148</w:t>
            </w:r>
          </w:p>
        </w:tc>
        <w:tc>
          <w:tcPr>
            <w:tcW w:w="1409" w:type="dxa"/>
            <w:tcBorders>
              <w:top w:val="nil"/>
              <w:left w:val="nil"/>
              <w:bottom w:val="single" w:sz="4" w:space="0" w:color="auto"/>
              <w:right w:val="single" w:sz="4" w:space="0" w:color="auto"/>
            </w:tcBorders>
            <w:shd w:val="clear" w:color="auto" w:fill="auto"/>
            <w:noWrap/>
            <w:vAlign w:val="center"/>
            <w:hideMark/>
          </w:tcPr>
          <w:p w14:paraId="25715C6E" w14:textId="4C29A012" w:rsidR="009A4C46" w:rsidRPr="009A4C46" w:rsidRDefault="009A4C46" w:rsidP="00546CE7">
            <w:pPr>
              <w:spacing w:after="0" w:line="240" w:lineRule="auto"/>
              <w:jc w:val="center"/>
              <w:rPr>
                <w:rFonts w:eastAsia="Times New Roman"/>
                <w:b/>
                <w:bCs/>
                <w:sz w:val="18"/>
                <w:szCs w:val="18"/>
                <w:lang w:eastAsia="ru-RU"/>
              </w:rPr>
            </w:pPr>
            <w:r w:rsidRPr="009A4C46">
              <w:rPr>
                <w:rFonts w:eastAsia="Times New Roman"/>
                <w:b/>
                <w:bCs/>
                <w:sz w:val="18"/>
                <w:szCs w:val="18"/>
                <w:lang w:eastAsia="ru-RU"/>
              </w:rPr>
              <w:t>2</w:t>
            </w:r>
            <w:r w:rsidR="00546CE7">
              <w:rPr>
                <w:rFonts w:eastAsia="Times New Roman"/>
                <w:b/>
                <w:bCs/>
                <w:sz w:val="18"/>
                <w:szCs w:val="18"/>
                <w:lang w:eastAsia="ru-RU"/>
              </w:rPr>
              <w:t> 197 850</w:t>
            </w:r>
          </w:p>
        </w:tc>
        <w:tc>
          <w:tcPr>
            <w:tcW w:w="1139" w:type="dxa"/>
            <w:tcBorders>
              <w:top w:val="nil"/>
              <w:left w:val="nil"/>
              <w:bottom w:val="single" w:sz="4" w:space="0" w:color="auto"/>
              <w:right w:val="single" w:sz="4" w:space="0" w:color="auto"/>
            </w:tcBorders>
            <w:shd w:val="clear" w:color="auto" w:fill="auto"/>
            <w:noWrap/>
            <w:vAlign w:val="center"/>
          </w:tcPr>
          <w:p w14:paraId="08F3BD62" w14:textId="24810289" w:rsidR="009A4C46" w:rsidRPr="009A4C46" w:rsidRDefault="00546CE7" w:rsidP="009A4C46">
            <w:pPr>
              <w:spacing w:after="0" w:line="240" w:lineRule="auto"/>
              <w:jc w:val="center"/>
              <w:rPr>
                <w:rFonts w:eastAsia="Times New Roman"/>
                <w:b/>
                <w:bCs/>
                <w:sz w:val="18"/>
                <w:szCs w:val="18"/>
                <w:lang w:eastAsia="ru-RU"/>
              </w:rPr>
            </w:pPr>
            <w:r>
              <w:rPr>
                <w:rFonts w:eastAsia="Times New Roman"/>
                <w:b/>
                <w:bCs/>
                <w:sz w:val="18"/>
                <w:szCs w:val="18"/>
                <w:lang w:eastAsia="ru-RU"/>
              </w:rPr>
              <w:t>-5 727 566</w:t>
            </w:r>
          </w:p>
        </w:tc>
        <w:tc>
          <w:tcPr>
            <w:tcW w:w="1030" w:type="dxa"/>
            <w:tcBorders>
              <w:top w:val="nil"/>
              <w:left w:val="nil"/>
              <w:bottom w:val="single" w:sz="4" w:space="0" w:color="auto"/>
              <w:right w:val="single" w:sz="4" w:space="0" w:color="auto"/>
            </w:tcBorders>
            <w:shd w:val="clear" w:color="auto" w:fill="auto"/>
            <w:noWrap/>
            <w:vAlign w:val="center"/>
          </w:tcPr>
          <w:p w14:paraId="09B50EC7" w14:textId="5AA95F79" w:rsidR="009A4C46" w:rsidRPr="009A4C46" w:rsidRDefault="00546CE7" w:rsidP="009A4C46">
            <w:pPr>
              <w:spacing w:after="0" w:line="240" w:lineRule="auto"/>
              <w:jc w:val="center"/>
              <w:rPr>
                <w:rFonts w:eastAsia="Times New Roman"/>
                <w:b/>
                <w:bCs/>
                <w:sz w:val="18"/>
                <w:szCs w:val="18"/>
                <w:lang w:eastAsia="ru-RU"/>
              </w:rPr>
            </w:pPr>
            <w:r>
              <w:rPr>
                <w:rFonts w:eastAsia="Times New Roman"/>
                <w:b/>
                <w:bCs/>
                <w:sz w:val="18"/>
                <w:szCs w:val="18"/>
                <w:lang w:eastAsia="ru-RU"/>
              </w:rPr>
              <w:t>711 702</w:t>
            </w:r>
          </w:p>
        </w:tc>
      </w:tr>
    </w:tbl>
    <w:p w14:paraId="535D5F4B" w14:textId="17FDF8AC" w:rsidR="009A4C46" w:rsidRPr="00F94FED" w:rsidRDefault="009A4C46" w:rsidP="00F94FED">
      <w:pPr>
        <w:spacing w:after="0" w:line="360" w:lineRule="auto"/>
        <w:ind w:firstLine="567"/>
        <w:contextualSpacing/>
        <w:jc w:val="both"/>
        <w:rPr>
          <w:rFonts w:eastAsia="Times New Roman"/>
          <w:sz w:val="26"/>
          <w:szCs w:val="26"/>
          <w:lang w:eastAsia="ru-RU"/>
        </w:rPr>
      </w:pPr>
      <w:r w:rsidRPr="00F94FED">
        <w:rPr>
          <w:rFonts w:eastAsia="Times New Roman"/>
          <w:sz w:val="26"/>
          <w:szCs w:val="26"/>
          <w:lang w:eastAsia="ru-RU"/>
        </w:rPr>
        <w:t xml:space="preserve">На основании вышеизложенного, Исполнитель считает, что уровень необходимой валовой выручки для обеспечения безубыточной деятельности </w:t>
      </w:r>
      <w:r w:rsidR="00222A3F">
        <w:rPr>
          <w:rFonts w:eastAsia="Times New Roman"/>
          <w:sz w:val="26"/>
          <w:szCs w:val="26"/>
          <w:lang w:eastAsia="ru-RU"/>
        </w:rPr>
        <w:br/>
      </w:r>
      <w:r w:rsidRPr="00F94FED">
        <w:rPr>
          <w:rFonts w:eastAsia="Times New Roman"/>
          <w:sz w:val="26"/>
          <w:szCs w:val="26"/>
          <w:lang w:eastAsia="ru-RU"/>
        </w:rPr>
        <w:t>АО «Тываэнерго», надежного и качественного выполнения услуг по передаче электрической энергии должен составлять 2</w:t>
      </w:r>
      <w:r w:rsidR="006464A4">
        <w:rPr>
          <w:rFonts w:eastAsia="Times New Roman"/>
          <w:sz w:val="26"/>
          <w:szCs w:val="26"/>
          <w:lang w:eastAsia="ru-RU"/>
        </w:rPr>
        <w:t> 197 850</w:t>
      </w:r>
      <w:r w:rsidRPr="00F94FED">
        <w:rPr>
          <w:rFonts w:eastAsia="Times New Roman"/>
          <w:sz w:val="26"/>
          <w:szCs w:val="26"/>
          <w:lang w:eastAsia="ru-RU"/>
        </w:rPr>
        <w:t xml:space="preserve"> тыс. руб. Отклонени</w:t>
      </w:r>
      <w:r w:rsidR="00222A3F">
        <w:rPr>
          <w:rFonts w:eastAsia="Times New Roman"/>
          <w:sz w:val="26"/>
          <w:szCs w:val="26"/>
          <w:lang w:eastAsia="ru-RU"/>
        </w:rPr>
        <w:t>е</w:t>
      </w:r>
      <w:r w:rsidRPr="00F94FED">
        <w:rPr>
          <w:rFonts w:eastAsia="Times New Roman"/>
          <w:sz w:val="26"/>
          <w:szCs w:val="26"/>
          <w:lang w:eastAsia="ru-RU"/>
        </w:rPr>
        <w:t xml:space="preserve"> относительно учтенн</w:t>
      </w:r>
      <w:r w:rsidR="00222A3F">
        <w:rPr>
          <w:rFonts w:eastAsia="Times New Roman"/>
          <w:sz w:val="26"/>
          <w:szCs w:val="26"/>
          <w:lang w:eastAsia="ru-RU"/>
        </w:rPr>
        <w:t>о</w:t>
      </w:r>
      <w:r w:rsidR="00F210D6">
        <w:rPr>
          <w:rFonts w:eastAsia="Times New Roman"/>
          <w:sz w:val="26"/>
          <w:szCs w:val="26"/>
          <w:lang w:eastAsia="ru-RU"/>
        </w:rPr>
        <w:t>го</w:t>
      </w:r>
      <w:r w:rsidRPr="00F94FED">
        <w:rPr>
          <w:rFonts w:eastAsia="Times New Roman"/>
          <w:sz w:val="26"/>
          <w:szCs w:val="26"/>
          <w:lang w:eastAsia="ru-RU"/>
        </w:rPr>
        <w:t xml:space="preserve"> при установлении тарифов на услуги по передаче Службой по тарифам Республики Тыва размера НВВ на 2019 год составили </w:t>
      </w:r>
      <w:r w:rsidR="006464A4">
        <w:rPr>
          <w:rFonts w:eastAsia="Times New Roman"/>
          <w:sz w:val="26"/>
          <w:szCs w:val="26"/>
          <w:lang w:eastAsia="ru-RU"/>
        </w:rPr>
        <w:t>711 702</w:t>
      </w:r>
      <w:r w:rsidRPr="00F94FED">
        <w:rPr>
          <w:rFonts w:eastAsia="Times New Roman"/>
          <w:sz w:val="26"/>
          <w:szCs w:val="26"/>
          <w:lang w:eastAsia="ru-RU"/>
        </w:rPr>
        <w:t xml:space="preserve"> тыс. руб. Исполнитель считает, что неучтенные Службой по тарифам Республики Тыва расходы отрицательно повлияют на финансовый результат АО «Тываэнерго», и как следствие к экономии затрат по статьям подконтрольных расходов, что в дальнейшем может отрицательно повлиять на размер базового уровня подконтрольных расходов второго долгосрочного периода регулирования. </w:t>
      </w:r>
    </w:p>
    <w:p w14:paraId="401D974E" w14:textId="77777777" w:rsidR="009A4C46" w:rsidRPr="00F94FED" w:rsidRDefault="009A4C46" w:rsidP="00F94FED">
      <w:pPr>
        <w:spacing w:after="0" w:line="360" w:lineRule="auto"/>
        <w:ind w:firstLine="567"/>
        <w:contextualSpacing/>
        <w:jc w:val="both"/>
        <w:rPr>
          <w:rFonts w:eastAsia="Calibri"/>
          <w:sz w:val="26"/>
          <w:szCs w:val="26"/>
          <w:lang w:eastAsia="ru-RU"/>
        </w:rPr>
      </w:pPr>
    </w:p>
    <w:p w14:paraId="4A425870" w14:textId="77777777" w:rsidR="009A4C46" w:rsidRPr="00F94FED" w:rsidRDefault="009A4C46" w:rsidP="00F94FED">
      <w:pPr>
        <w:spacing w:after="0" w:line="360" w:lineRule="auto"/>
        <w:rPr>
          <w:rFonts w:eastAsia="Calibri"/>
          <w:sz w:val="26"/>
          <w:szCs w:val="26"/>
          <w:lang w:eastAsia="ru-RU"/>
        </w:rPr>
      </w:pPr>
      <w:r w:rsidRPr="00F94FED">
        <w:rPr>
          <w:rFonts w:eastAsia="Calibri"/>
          <w:sz w:val="26"/>
          <w:szCs w:val="26"/>
          <w:lang w:eastAsia="ru-RU"/>
        </w:rPr>
        <w:br w:type="page"/>
      </w:r>
    </w:p>
    <w:p w14:paraId="6E479701" w14:textId="77777777" w:rsidR="009A4C46" w:rsidRPr="00F94FED" w:rsidRDefault="009A4C46" w:rsidP="00F94FED">
      <w:pPr>
        <w:pStyle w:val="3"/>
        <w:numPr>
          <w:ilvl w:val="1"/>
          <w:numId w:val="1"/>
        </w:numPr>
        <w:spacing w:line="360" w:lineRule="auto"/>
        <w:ind w:left="567" w:hanging="567"/>
        <w:jc w:val="both"/>
        <w:rPr>
          <w:b/>
          <w:color w:val="4F6228" w:themeColor="accent3" w:themeShade="80"/>
          <w:sz w:val="28"/>
          <w:szCs w:val="28"/>
        </w:rPr>
      </w:pPr>
      <w:bookmarkStart w:id="28" w:name="_Toc40554847"/>
      <w:bookmarkStart w:id="29" w:name="_Toc40733182"/>
      <w:r w:rsidRPr="00F94FED">
        <w:rPr>
          <w:rFonts w:ascii="Myriad Pro" w:hAnsi="Myriad Pro"/>
          <w:b/>
          <w:color w:val="4F6228" w:themeColor="accent3" w:themeShade="80"/>
          <w:sz w:val="28"/>
          <w:szCs w:val="28"/>
        </w:rPr>
        <w:lastRenderedPageBreak/>
        <w:t>Анализ фактических расходов АО «Тываэнерго» на оплату услуг ТСО с календарной разбивкой по полугодиям 2019 года</w:t>
      </w:r>
      <w:bookmarkEnd w:id="28"/>
      <w:bookmarkEnd w:id="29"/>
    </w:p>
    <w:p w14:paraId="4B78E4CB" w14:textId="77777777" w:rsidR="009A4C46" w:rsidRPr="00F94FED" w:rsidRDefault="009A4C46" w:rsidP="009A4C46">
      <w:pPr>
        <w:spacing w:afterLines="32" w:after="76" w:line="360" w:lineRule="auto"/>
        <w:ind w:firstLine="567"/>
        <w:contextualSpacing/>
        <w:jc w:val="both"/>
        <w:rPr>
          <w:rFonts w:eastAsia="Times New Roman"/>
          <w:sz w:val="26"/>
          <w:szCs w:val="26"/>
          <w:lang w:eastAsia="ru-RU"/>
        </w:rPr>
      </w:pPr>
      <w:r w:rsidRPr="00F94FED">
        <w:rPr>
          <w:rFonts w:eastAsia="Times New Roman"/>
          <w:sz w:val="26"/>
          <w:szCs w:val="26"/>
          <w:lang w:eastAsia="ru-RU"/>
        </w:rPr>
        <w:t>Республиканской целевой программой «Государственная поддержка развития предприятий топливно-энергетического комплекса Республики Тыва на 2009 год» были предусмотрены мероприятия по оформлению прав собственности на бесхозные электрические сети ГУП «Республиканская электрическая компания».</w:t>
      </w:r>
    </w:p>
    <w:p w14:paraId="77EE1B15" w14:textId="79C03B35" w:rsidR="009A4C46" w:rsidRPr="00F94FED" w:rsidRDefault="009A4C46" w:rsidP="009A4C46">
      <w:pPr>
        <w:spacing w:afterLines="32" w:after="76" w:line="360" w:lineRule="auto"/>
        <w:ind w:firstLine="567"/>
        <w:contextualSpacing/>
        <w:jc w:val="both"/>
        <w:rPr>
          <w:rFonts w:eastAsia="Times New Roman"/>
          <w:sz w:val="26"/>
          <w:szCs w:val="26"/>
          <w:lang w:eastAsia="ru-RU"/>
        </w:rPr>
      </w:pPr>
      <w:r w:rsidRPr="00F94FED">
        <w:rPr>
          <w:rFonts w:eastAsia="Times New Roman"/>
          <w:sz w:val="26"/>
          <w:szCs w:val="26"/>
          <w:lang w:eastAsia="ru-RU"/>
        </w:rPr>
        <w:t>Выявленные бесхозяйные сети были включены в реестр государственного имущества Республики Тыва. Постановлением Правительства Республики Тыва от 28.06.2007 №</w:t>
      </w:r>
      <w:r w:rsidR="00722225">
        <w:rPr>
          <w:rFonts w:eastAsia="Times New Roman"/>
          <w:sz w:val="26"/>
          <w:szCs w:val="26"/>
          <w:lang w:eastAsia="ru-RU"/>
        </w:rPr>
        <w:t> </w:t>
      </w:r>
      <w:r w:rsidRPr="00F94FED">
        <w:rPr>
          <w:rFonts w:eastAsia="Times New Roman"/>
          <w:sz w:val="26"/>
          <w:szCs w:val="26"/>
          <w:lang w:eastAsia="ru-RU"/>
        </w:rPr>
        <w:t>712</w:t>
      </w:r>
      <w:r w:rsidR="00722225">
        <w:rPr>
          <w:rFonts w:eastAsia="Times New Roman"/>
          <w:sz w:val="26"/>
          <w:szCs w:val="26"/>
          <w:lang w:eastAsia="ru-RU"/>
        </w:rPr>
        <w:t>. О</w:t>
      </w:r>
      <w:r w:rsidRPr="00F94FED">
        <w:rPr>
          <w:rFonts w:eastAsia="Times New Roman"/>
          <w:sz w:val="26"/>
          <w:szCs w:val="26"/>
          <w:lang w:eastAsia="ru-RU"/>
        </w:rPr>
        <w:t>рганизация учета государственного имущества Республики Тыва и в</w:t>
      </w:r>
      <w:r w:rsidR="00722225">
        <w:rPr>
          <w:rFonts w:eastAsia="Times New Roman"/>
          <w:sz w:val="26"/>
          <w:szCs w:val="26"/>
          <w:lang w:eastAsia="ru-RU"/>
        </w:rPr>
        <w:t>е</w:t>
      </w:r>
      <w:r w:rsidRPr="00F94FED">
        <w:rPr>
          <w:rFonts w:eastAsia="Times New Roman"/>
          <w:sz w:val="26"/>
          <w:szCs w:val="26"/>
          <w:lang w:eastAsia="ru-RU"/>
        </w:rPr>
        <w:t xml:space="preserve">дение Реестра такого имущества было возложено на Министерство земельных и имущественных отношений Республики Тыва. На базе электросетевых объектов, принадлежащих Республике Тыва, в 2010 году была организована самостоятельная сетевая организация </w:t>
      </w:r>
      <w:r w:rsidR="00957529">
        <w:rPr>
          <w:rFonts w:eastAsia="Times New Roman"/>
          <w:sz w:val="26"/>
          <w:szCs w:val="26"/>
          <w:lang w:eastAsia="ru-RU"/>
        </w:rPr>
        <w:t>–</w:t>
      </w:r>
      <w:r w:rsidRPr="00F94FED">
        <w:rPr>
          <w:rFonts w:eastAsia="Times New Roman"/>
          <w:sz w:val="26"/>
          <w:szCs w:val="26"/>
          <w:lang w:eastAsia="ru-RU"/>
        </w:rPr>
        <w:t xml:space="preserve"> ГУП «Республиканская электрическая компания». Для вышеуказанной территориальной сетевой компании Службой по тарифам Республики Тыва были утверждены индивидуальные тарифы на услуги по передаче электрической энергии для взаиморасчетов между сетевыми организациями. </w:t>
      </w:r>
    </w:p>
    <w:p w14:paraId="0491DE95" w14:textId="09024709" w:rsidR="009A4C46" w:rsidRPr="00F94FED" w:rsidRDefault="009A4C46" w:rsidP="009A4C46">
      <w:pPr>
        <w:spacing w:afterLines="32" w:after="76" w:line="360" w:lineRule="auto"/>
        <w:ind w:firstLine="567"/>
        <w:contextualSpacing/>
        <w:jc w:val="both"/>
        <w:rPr>
          <w:rFonts w:eastAsia="Times New Roman"/>
          <w:sz w:val="26"/>
          <w:szCs w:val="26"/>
          <w:lang w:eastAsia="ru-RU"/>
        </w:rPr>
      </w:pPr>
      <w:r w:rsidRPr="00F94FED">
        <w:rPr>
          <w:rFonts w:eastAsia="Times New Roman"/>
          <w:sz w:val="26"/>
          <w:szCs w:val="26"/>
          <w:lang w:eastAsia="ru-RU"/>
        </w:rPr>
        <w:t>В связи с ликвидацией ГУП «Республиканская электрическая компания» в соответствии с распоряжением Министерства земельных и имущественных отношений Республики Тыва от 23.01.2012 № 11 электросетев</w:t>
      </w:r>
      <w:r w:rsidR="00B51869">
        <w:rPr>
          <w:rFonts w:eastAsia="Times New Roman"/>
          <w:sz w:val="26"/>
          <w:szCs w:val="26"/>
          <w:lang w:eastAsia="ru-RU"/>
        </w:rPr>
        <w:t>ые</w:t>
      </w:r>
      <w:r w:rsidRPr="00F94FED">
        <w:rPr>
          <w:rFonts w:eastAsia="Times New Roman"/>
          <w:sz w:val="26"/>
          <w:szCs w:val="26"/>
          <w:lang w:eastAsia="ru-RU"/>
        </w:rPr>
        <w:t xml:space="preserve"> </w:t>
      </w:r>
      <w:r w:rsidR="00B51869">
        <w:rPr>
          <w:rFonts w:eastAsia="Times New Roman"/>
          <w:sz w:val="26"/>
          <w:szCs w:val="26"/>
          <w:lang w:eastAsia="ru-RU"/>
        </w:rPr>
        <w:t>активы</w:t>
      </w:r>
      <w:r w:rsidRPr="00F94FED">
        <w:rPr>
          <w:rFonts w:eastAsia="Times New Roman"/>
          <w:sz w:val="26"/>
          <w:szCs w:val="26"/>
          <w:lang w:eastAsia="ru-RU"/>
        </w:rPr>
        <w:t>, находящееся в Государственной собственности Республики Тыва</w:t>
      </w:r>
      <w:r w:rsidR="00B51869">
        <w:rPr>
          <w:rFonts w:eastAsia="Times New Roman"/>
          <w:sz w:val="26"/>
          <w:szCs w:val="26"/>
          <w:lang w:eastAsia="ru-RU"/>
        </w:rPr>
        <w:t>,</w:t>
      </w:r>
      <w:r w:rsidRPr="00F94FED">
        <w:rPr>
          <w:rFonts w:eastAsia="Times New Roman"/>
          <w:sz w:val="26"/>
          <w:szCs w:val="26"/>
          <w:lang w:eastAsia="ru-RU"/>
        </w:rPr>
        <w:t xml:space="preserve"> были переданы по договорам аренды в управление АО «Тываэнерго».</w:t>
      </w:r>
    </w:p>
    <w:p w14:paraId="6B14A79C" w14:textId="77777777" w:rsidR="009A4C46" w:rsidRPr="00F94FED" w:rsidRDefault="009A4C46" w:rsidP="009A4C46">
      <w:pPr>
        <w:spacing w:afterLines="32" w:after="76" w:line="360" w:lineRule="auto"/>
        <w:ind w:firstLine="567"/>
        <w:contextualSpacing/>
        <w:jc w:val="both"/>
        <w:rPr>
          <w:rFonts w:eastAsia="Times New Roman"/>
          <w:sz w:val="26"/>
          <w:szCs w:val="26"/>
          <w:lang w:eastAsia="ru-RU"/>
        </w:rPr>
      </w:pPr>
      <w:r w:rsidRPr="00F94FED">
        <w:rPr>
          <w:rFonts w:eastAsia="Times New Roman"/>
          <w:sz w:val="26"/>
          <w:szCs w:val="26"/>
          <w:lang w:eastAsia="ru-RU"/>
        </w:rPr>
        <w:t>Службой по тарифам Республики Тыва необходимая валовая выручка на содержание ГУП «Республиканская электрическая компания», утвержденная на 2012 год в размере 39 721 тыс. руб. (протокол заседания правления Службы по тарифам Республики Тыва от 30.03.2012 №1) была учтена в полном объеме в НВВ АО «Тываэнерго».</w:t>
      </w:r>
    </w:p>
    <w:p w14:paraId="126EEF54" w14:textId="228F477A" w:rsidR="009A4C46" w:rsidRPr="00F94FED" w:rsidRDefault="009A4C46" w:rsidP="009A4C46">
      <w:pPr>
        <w:spacing w:afterLines="32" w:after="76" w:line="360" w:lineRule="auto"/>
        <w:ind w:firstLine="567"/>
        <w:contextualSpacing/>
        <w:jc w:val="both"/>
        <w:rPr>
          <w:rFonts w:eastAsia="Times New Roman"/>
          <w:sz w:val="26"/>
          <w:szCs w:val="26"/>
          <w:lang w:eastAsia="ru-RU"/>
        </w:rPr>
      </w:pPr>
      <w:r w:rsidRPr="00F94FED">
        <w:rPr>
          <w:rFonts w:eastAsia="Times New Roman"/>
          <w:sz w:val="26"/>
          <w:szCs w:val="26"/>
          <w:lang w:eastAsia="ru-RU"/>
        </w:rPr>
        <w:t xml:space="preserve">Так же исполнитель отмечает, что до вступления в силу Постановлением Правительства РФ от 28.02.2015 № 184 «Об отнесении владельцев объектов </w:t>
      </w:r>
      <w:r w:rsidRPr="00F94FED">
        <w:rPr>
          <w:rFonts w:eastAsia="Times New Roman"/>
          <w:sz w:val="26"/>
          <w:szCs w:val="26"/>
          <w:lang w:eastAsia="ru-RU"/>
        </w:rPr>
        <w:lastRenderedPageBreak/>
        <w:t>электросетевого хозяйства к территориальным сетевым организациям» на территории Республики Тыва услуги по передаче электрической энергии оказывала территориальная сетевая компания ОАО «</w:t>
      </w:r>
      <w:proofErr w:type="spellStart"/>
      <w:r w:rsidRPr="00F94FED">
        <w:rPr>
          <w:rFonts w:eastAsia="Times New Roman"/>
          <w:sz w:val="26"/>
          <w:szCs w:val="26"/>
          <w:lang w:eastAsia="ru-RU"/>
        </w:rPr>
        <w:t>Оборонэнерго</w:t>
      </w:r>
      <w:proofErr w:type="spellEnd"/>
      <w:r w:rsidRPr="00F94FED">
        <w:rPr>
          <w:rFonts w:eastAsia="Times New Roman"/>
          <w:sz w:val="26"/>
          <w:szCs w:val="26"/>
          <w:lang w:eastAsia="ru-RU"/>
        </w:rPr>
        <w:t xml:space="preserve">». С </w:t>
      </w:r>
      <w:r w:rsidR="00B51869">
        <w:rPr>
          <w:rFonts w:eastAsia="Times New Roman"/>
          <w:sz w:val="26"/>
          <w:szCs w:val="26"/>
          <w:lang w:eastAsia="ru-RU"/>
        </w:rPr>
        <w:t>01.07.2015</w:t>
      </w:r>
      <w:r w:rsidRPr="00F94FED">
        <w:rPr>
          <w:rFonts w:eastAsia="Times New Roman"/>
          <w:sz w:val="26"/>
          <w:szCs w:val="26"/>
          <w:lang w:eastAsia="ru-RU"/>
        </w:rPr>
        <w:t xml:space="preserve"> ОАО</w:t>
      </w:r>
      <w:r w:rsidR="00B51869">
        <w:rPr>
          <w:rFonts w:eastAsia="Times New Roman"/>
          <w:sz w:val="26"/>
          <w:szCs w:val="26"/>
          <w:lang w:eastAsia="ru-RU"/>
        </w:rPr>
        <w:t> </w:t>
      </w:r>
      <w:r w:rsidRPr="00F94FED">
        <w:rPr>
          <w:rFonts w:eastAsia="Times New Roman"/>
          <w:sz w:val="26"/>
          <w:szCs w:val="26"/>
          <w:lang w:eastAsia="ru-RU"/>
        </w:rPr>
        <w:t>«</w:t>
      </w:r>
      <w:proofErr w:type="spellStart"/>
      <w:r w:rsidRPr="00F94FED">
        <w:rPr>
          <w:rFonts w:eastAsia="Times New Roman"/>
          <w:sz w:val="26"/>
          <w:szCs w:val="26"/>
          <w:lang w:eastAsia="ru-RU"/>
        </w:rPr>
        <w:t>Оборонэнерго</w:t>
      </w:r>
      <w:proofErr w:type="spellEnd"/>
      <w:r w:rsidRPr="00F94FED">
        <w:rPr>
          <w:rFonts w:eastAsia="Times New Roman"/>
          <w:sz w:val="26"/>
          <w:szCs w:val="26"/>
          <w:lang w:eastAsia="ru-RU"/>
        </w:rPr>
        <w:t>» лишилось статуса ТСО, в связи с чем АО «Тываэнерго» с 01.07.2015 года является единственной территориальной сетевой организацией на территории Республики Тыва.</w:t>
      </w:r>
    </w:p>
    <w:p w14:paraId="44E03378" w14:textId="6DB5EA4F" w:rsidR="009A4C46" w:rsidRPr="00F94FED" w:rsidRDefault="009A4C46" w:rsidP="009A4C46">
      <w:pPr>
        <w:spacing w:afterLines="32" w:after="76" w:line="360" w:lineRule="auto"/>
        <w:ind w:firstLine="567"/>
        <w:contextualSpacing/>
        <w:jc w:val="both"/>
        <w:rPr>
          <w:rFonts w:eastAsia="Times New Roman"/>
          <w:sz w:val="26"/>
          <w:szCs w:val="26"/>
          <w:lang w:eastAsia="ru-RU"/>
        </w:rPr>
      </w:pPr>
      <w:r w:rsidRPr="00F94FED">
        <w:rPr>
          <w:rFonts w:eastAsia="Times New Roman"/>
          <w:sz w:val="26"/>
          <w:szCs w:val="26"/>
          <w:lang w:eastAsia="ru-RU"/>
        </w:rPr>
        <w:t>На основании вышеизложенного, индивидуальные тарифы на услуги по передаче электрической энергии для взаиморасчетов между сетевыми организациями</w:t>
      </w:r>
      <w:r w:rsidRPr="00F94FED" w:rsidDel="006D5D63">
        <w:rPr>
          <w:rFonts w:eastAsia="Times New Roman"/>
          <w:sz w:val="26"/>
          <w:szCs w:val="26"/>
          <w:lang w:eastAsia="ru-RU"/>
        </w:rPr>
        <w:t xml:space="preserve"> </w:t>
      </w:r>
      <w:r w:rsidRPr="00F94FED">
        <w:rPr>
          <w:rFonts w:eastAsia="Times New Roman"/>
          <w:sz w:val="26"/>
          <w:szCs w:val="26"/>
          <w:lang w:eastAsia="ru-RU"/>
        </w:rPr>
        <w:t xml:space="preserve">на территории Республики Тыва с </w:t>
      </w:r>
      <w:r w:rsidR="00B51869">
        <w:rPr>
          <w:rFonts w:eastAsia="Times New Roman"/>
          <w:sz w:val="26"/>
          <w:szCs w:val="26"/>
          <w:lang w:eastAsia="ru-RU"/>
        </w:rPr>
        <w:t>01.07.2015</w:t>
      </w:r>
      <w:r w:rsidRPr="00F94FED">
        <w:rPr>
          <w:rFonts w:eastAsia="Times New Roman"/>
          <w:sz w:val="26"/>
          <w:szCs w:val="26"/>
          <w:lang w:eastAsia="ru-RU"/>
        </w:rPr>
        <w:t xml:space="preserve"> Службой по тарифам Республики Тыва не утверждаются.</w:t>
      </w:r>
    </w:p>
    <w:p w14:paraId="68236725" w14:textId="77777777" w:rsidR="009A4C46" w:rsidRPr="00F94FED" w:rsidRDefault="009A4C46" w:rsidP="00F94FED">
      <w:pPr>
        <w:pStyle w:val="3"/>
        <w:numPr>
          <w:ilvl w:val="0"/>
          <w:numId w:val="1"/>
        </w:numPr>
        <w:spacing w:line="360" w:lineRule="auto"/>
        <w:jc w:val="both"/>
        <w:rPr>
          <w:b/>
          <w:color w:val="4F6228" w:themeColor="accent3" w:themeShade="80"/>
          <w:sz w:val="28"/>
          <w:szCs w:val="28"/>
        </w:rPr>
      </w:pPr>
      <w:r w:rsidRPr="00F94FED">
        <w:rPr>
          <w:rFonts w:ascii="Myriad Pro" w:eastAsia="Times New Roman" w:hAnsi="Myriad Pro" w:cs="Times New Roman"/>
          <w:color w:val="1F4D78"/>
          <w:sz w:val="26"/>
          <w:szCs w:val="26"/>
        </w:rPr>
        <w:br w:type="page"/>
      </w:r>
      <w:bookmarkStart w:id="30" w:name="_Toc40554848"/>
      <w:bookmarkStart w:id="31" w:name="_Toc40733183"/>
      <w:r w:rsidRPr="00F94FED">
        <w:rPr>
          <w:rFonts w:ascii="Myriad Pro" w:hAnsi="Myriad Pro"/>
          <w:b/>
          <w:color w:val="4F6228" w:themeColor="accent3" w:themeShade="80"/>
          <w:sz w:val="28"/>
          <w:szCs w:val="28"/>
        </w:rPr>
        <w:lastRenderedPageBreak/>
        <w:t>Экспертиза обоснованности корректировок необходимой валовой выручки АО «Тываэнерго», проведенных Службой по тарифам Республики Тыва, при определении необходимой валовой выручки на 2019 год</w:t>
      </w:r>
      <w:bookmarkEnd w:id="30"/>
      <w:bookmarkEnd w:id="31"/>
    </w:p>
    <w:p w14:paraId="3138ED81" w14:textId="77777777" w:rsidR="009A4C46" w:rsidRPr="00F94FED" w:rsidRDefault="009A4C46" w:rsidP="00F94FED">
      <w:pPr>
        <w:autoSpaceDE w:val="0"/>
        <w:autoSpaceDN w:val="0"/>
        <w:adjustRightInd w:val="0"/>
        <w:spacing w:after="0" w:line="360" w:lineRule="auto"/>
        <w:ind w:firstLine="709"/>
        <w:jc w:val="both"/>
        <w:rPr>
          <w:rFonts w:eastAsia="Times New Roman"/>
          <w:sz w:val="26"/>
          <w:szCs w:val="26"/>
          <w:lang w:eastAsia="ru-RU"/>
        </w:rPr>
      </w:pPr>
      <w:r w:rsidRPr="00F94FED">
        <w:rPr>
          <w:rFonts w:eastAsia="Times New Roman"/>
          <w:sz w:val="26"/>
          <w:szCs w:val="26"/>
          <w:lang w:eastAsia="ru-RU"/>
        </w:rPr>
        <w:t>Согласно пункту 38 Основ ценообразования № 1178 в течение долгосрочного периода регулирования регулирующими органами ежегодно производится корректировка необходимой валовой выручки, устанавливаемой на очередной период регулирования в соответствии с Методическими указаниями № 98-э. По решению регулирующего органа такая корректировка может осуществляться с учетом отклонения фактических значений параметров расчета тарифов по итогам истекшего периода текущего года долгосрочного периода регулирования, за который известны фактические значения параметров расчета тарифов, от планировавшихся значений параметров расчета тарифов, а также изменение плановых показателей на следующие периоды.</w:t>
      </w:r>
    </w:p>
    <w:p w14:paraId="6FFC3963" w14:textId="77777777" w:rsidR="009A4C46" w:rsidRPr="00F94FED" w:rsidRDefault="009A4C46" w:rsidP="00F94FED">
      <w:pPr>
        <w:autoSpaceDE w:val="0"/>
        <w:autoSpaceDN w:val="0"/>
        <w:adjustRightInd w:val="0"/>
        <w:spacing w:after="0" w:line="360" w:lineRule="auto"/>
        <w:ind w:firstLine="709"/>
        <w:jc w:val="both"/>
        <w:rPr>
          <w:rFonts w:eastAsia="Times New Roman"/>
          <w:sz w:val="26"/>
          <w:szCs w:val="26"/>
          <w:lang w:eastAsia="ru-RU"/>
        </w:rPr>
      </w:pPr>
      <w:r w:rsidRPr="00F94FED">
        <w:rPr>
          <w:rFonts w:eastAsia="Times New Roman"/>
          <w:sz w:val="26"/>
          <w:szCs w:val="26"/>
          <w:lang w:eastAsia="ru-RU"/>
        </w:rPr>
        <w:t>Регулирующими органами ежегодно производится корректировка необходимой валовой выручки, устанавливаемой на очередной финансовый год, с учетом отклонения фактических значений параметров расчета тарифов от планировавшихся значений параметров расчета тарифов, корректировки планируемых значений параметров расчета тарифов, а также с учетом:</w:t>
      </w:r>
    </w:p>
    <w:p w14:paraId="3A328EC4" w14:textId="77777777" w:rsidR="009A4C46" w:rsidRPr="00F94FED" w:rsidRDefault="009A4C46" w:rsidP="00F94FED">
      <w:pPr>
        <w:pStyle w:val="a3"/>
        <w:numPr>
          <w:ilvl w:val="0"/>
          <w:numId w:val="31"/>
        </w:numPr>
        <w:autoSpaceDE w:val="0"/>
        <w:autoSpaceDN w:val="0"/>
        <w:adjustRightInd w:val="0"/>
        <w:spacing w:after="0" w:line="360" w:lineRule="auto"/>
        <w:ind w:left="1134" w:hanging="567"/>
        <w:jc w:val="both"/>
        <w:rPr>
          <w:rFonts w:eastAsia="Times New Roman"/>
          <w:sz w:val="26"/>
          <w:szCs w:val="26"/>
          <w:lang w:eastAsia="ru-RU"/>
        </w:rPr>
      </w:pPr>
      <w:r w:rsidRPr="00F94FED">
        <w:rPr>
          <w:rFonts w:ascii="Myriad Pro" w:eastAsia="Times New Roman" w:hAnsi="Myriad Pro"/>
          <w:sz w:val="26"/>
          <w:szCs w:val="26"/>
          <w:lang w:eastAsia="ru-RU"/>
        </w:rPr>
        <w:t>величины распределяемых в целях сглаживания изменения тарифов исключаемых необоснованных доходов и расходов, выявленных в том числе по результатам проверки хозяйственной деятельности регулируемой организации, учитываемых экономически обоснованных расходов, не учтенных при установлении регулируемых цен (тарифов) на тот период регулирования, в котором они понесены, или доходов, недополученных при осуществлении регулируемой деятельности в этот период регулирования, в том числе относящихся к предыдущему долгосрочному периоду регулирования;</w:t>
      </w:r>
    </w:p>
    <w:p w14:paraId="409BBC29" w14:textId="77777777" w:rsidR="009A4C46" w:rsidRPr="00F94FED" w:rsidRDefault="009A4C46" w:rsidP="00F94FED">
      <w:pPr>
        <w:pStyle w:val="a3"/>
        <w:numPr>
          <w:ilvl w:val="0"/>
          <w:numId w:val="31"/>
        </w:numPr>
        <w:autoSpaceDE w:val="0"/>
        <w:autoSpaceDN w:val="0"/>
        <w:adjustRightInd w:val="0"/>
        <w:spacing w:after="0" w:line="360" w:lineRule="auto"/>
        <w:ind w:left="1134" w:hanging="567"/>
        <w:jc w:val="both"/>
        <w:rPr>
          <w:rFonts w:eastAsia="Times New Roman"/>
          <w:sz w:val="26"/>
          <w:szCs w:val="26"/>
          <w:lang w:eastAsia="ru-RU"/>
        </w:rPr>
      </w:pPr>
      <w:r w:rsidRPr="00F94FED">
        <w:rPr>
          <w:rFonts w:ascii="Myriad Pro" w:eastAsia="Times New Roman" w:hAnsi="Myriad Pro"/>
          <w:sz w:val="26"/>
          <w:szCs w:val="26"/>
          <w:lang w:eastAsia="ru-RU"/>
        </w:rPr>
        <w:t xml:space="preserve">результатов деятельности регулируемой организации за предыдущие годы до начала долгосрочного периода регулирования с применением </w:t>
      </w:r>
      <w:r w:rsidRPr="00F94FED">
        <w:rPr>
          <w:rFonts w:ascii="Myriad Pro" w:eastAsia="Times New Roman" w:hAnsi="Myriad Pro"/>
          <w:sz w:val="26"/>
          <w:szCs w:val="26"/>
          <w:lang w:eastAsia="ru-RU"/>
        </w:rPr>
        <w:lastRenderedPageBreak/>
        <w:t>метода долгосрочной индексации необходимой валовой выручки или до изменения метода регулирования согласно абзацу второму пункта 39 Основ ценообразования.</w:t>
      </w:r>
    </w:p>
    <w:p w14:paraId="318E4B42" w14:textId="77777777" w:rsidR="009A4C46" w:rsidRPr="00F94FED" w:rsidRDefault="009A4C46" w:rsidP="00F94FED">
      <w:pPr>
        <w:autoSpaceDE w:val="0"/>
        <w:autoSpaceDN w:val="0"/>
        <w:adjustRightInd w:val="0"/>
        <w:spacing w:after="0" w:line="360" w:lineRule="auto"/>
        <w:ind w:firstLine="709"/>
        <w:jc w:val="both"/>
        <w:rPr>
          <w:rFonts w:eastAsia="Times New Roman"/>
          <w:sz w:val="26"/>
          <w:szCs w:val="26"/>
          <w:lang w:eastAsia="ru-RU"/>
        </w:rPr>
      </w:pPr>
      <w:r w:rsidRPr="00F94FED">
        <w:rPr>
          <w:rFonts w:eastAsia="Times New Roman"/>
          <w:sz w:val="26"/>
          <w:szCs w:val="26"/>
          <w:lang w:eastAsia="ru-RU"/>
        </w:rPr>
        <w:t>В соответствии с Методическими указаниями № 98-э объемы финансирования инвестиционной программы и объемы фактического исполнения инвестиционной программы учитываются без налога на добавленную стоимость.</w:t>
      </w:r>
    </w:p>
    <w:p w14:paraId="3AE9FF10" w14:textId="77777777" w:rsidR="009A4C46" w:rsidRPr="00F94FED" w:rsidRDefault="009A4C46" w:rsidP="00F94FED">
      <w:pPr>
        <w:autoSpaceDE w:val="0"/>
        <w:autoSpaceDN w:val="0"/>
        <w:adjustRightInd w:val="0"/>
        <w:spacing w:after="0" w:line="360" w:lineRule="auto"/>
        <w:ind w:firstLine="709"/>
        <w:jc w:val="both"/>
        <w:rPr>
          <w:rFonts w:eastAsia="Times New Roman"/>
          <w:sz w:val="26"/>
          <w:szCs w:val="26"/>
          <w:lang w:eastAsia="ru-RU"/>
        </w:rPr>
      </w:pPr>
      <w:r w:rsidRPr="00F94FED">
        <w:rPr>
          <w:rFonts w:eastAsia="Times New Roman"/>
          <w:sz w:val="26"/>
          <w:szCs w:val="26"/>
          <w:lang w:eastAsia="ru-RU"/>
        </w:rPr>
        <w:t>Результаты деятельности регулируемой организации учитываются при определении ежегодной корректировки необходимой валовой выручки в порядке, определенном пунктом 11 Методическими указаниями № 98-э.</w:t>
      </w:r>
    </w:p>
    <w:p w14:paraId="3DEAEBB8" w14:textId="77777777" w:rsidR="009A4C46" w:rsidRPr="00F94FED" w:rsidRDefault="009A4C46" w:rsidP="00F94FED">
      <w:pPr>
        <w:autoSpaceDE w:val="0"/>
        <w:autoSpaceDN w:val="0"/>
        <w:adjustRightInd w:val="0"/>
        <w:spacing w:after="0" w:line="360" w:lineRule="auto"/>
        <w:ind w:firstLine="709"/>
        <w:jc w:val="both"/>
        <w:rPr>
          <w:rFonts w:eastAsia="Times New Roman"/>
          <w:sz w:val="26"/>
          <w:szCs w:val="26"/>
          <w:lang w:eastAsia="ru-RU"/>
        </w:rPr>
      </w:pPr>
      <w:r w:rsidRPr="00F94FED">
        <w:rPr>
          <w:rFonts w:eastAsia="Times New Roman"/>
          <w:sz w:val="26"/>
          <w:szCs w:val="26"/>
          <w:lang w:eastAsia="ru-RU"/>
        </w:rPr>
        <w:t>Для корректировки необходимой валовой выручки в части выпадающих/излишне полученных доходов регулируемой организации за предшествующие годы, возникающих в результате отличия фактических значений параметров регулирования от установленных при утверждении тарифов по итогам 2017 года АО «Тываэнерго» представило в Службу по тарифам Республики Тыва:</w:t>
      </w:r>
    </w:p>
    <w:p w14:paraId="7861C2B0" w14:textId="76EAD47A" w:rsidR="009A4C46" w:rsidRPr="00F94FED" w:rsidRDefault="009A4C46" w:rsidP="00F94FED">
      <w:pPr>
        <w:numPr>
          <w:ilvl w:val="0"/>
          <w:numId w:val="14"/>
        </w:numPr>
        <w:autoSpaceDE w:val="0"/>
        <w:autoSpaceDN w:val="0"/>
        <w:adjustRightInd w:val="0"/>
        <w:spacing w:after="0" w:line="360" w:lineRule="auto"/>
        <w:ind w:left="1134" w:hanging="567"/>
        <w:contextualSpacing/>
        <w:jc w:val="both"/>
        <w:rPr>
          <w:rFonts w:eastAsia="Calibri"/>
          <w:sz w:val="26"/>
          <w:szCs w:val="26"/>
        </w:rPr>
      </w:pPr>
      <w:r w:rsidRPr="00F94FED">
        <w:rPr>
          <w:rFonts w:eastAsia="Calibri"/>
          <w:sz w:val="26"/>
          <w:szCs w:val="26"/>
        </w:rPr>
        <w:t>Заявление от 28.04.2018 № 1.9/1.9/1777-исх об открытии дела по установлению тарифов на услуги по передаче электрической энергии на 2019 год.</w:t>
      </w:r>
    </w:p>
    <w:p w14:paraId="5976D9C4" w14:textId="29E64F39" w:rsidR="009A4C46" w:rsidRPr="00F94FED" w:rsidRDefault="009A4C46" w:rsidP="00F94FED">
      <w:pPr>
        <w:numPr>
          <w:ilvl w:val="0"/>
          <w:numId w:val="14"/>
        </w:numPr>
        <w:autoSpaceDE w:val="0"/>
        <w:autoSpaceDN w:val="0"/>
        <w:adjustRightInd w:val="0"/>
        <w:spacing w:after="0" w:line="360" w:lineRule="auto"/>
        <w:ind w:left="1134" w:hanging="567"/>
        <w:contextualSpacing/>
        <w:jc w:val="both"/>
        <w:rPr>
          <w:rFonts w:eastAsia="Calibri"/>
          <w:sz w:val="26"/>
          <w:szCs w:val="26"/>
        </w:rPr>
      </w:pPr>
      <w:r w:rsidRPr="00F94FED">
        <w:rPr>
          <w:rFonts w:eastAsia="Calibri"/>
          <w:sz w:val="26"/>
          <w:szCs w:val="26"/>
        </w:rPr>
        <w:t>Дополнительные материалы от 18.12.2018 № 1.9/1.9/5792-исх по объемам фактических затрат, произведенных за 9 месяцев 2018 года на эксплуатацию, содержание, техническое обслуживание и аренду республиканских сетей (запрос Службы по тарифам Республики Тыва от 10.12.2018 №1425).</w:t>
      </w:r>
    </w:p>
    <w:p w14:paraId="3F8D098C" w14:textId="77777777" w:rsidR="009A4C46" w:rsidRPr="00F94FED" w:rsidRDefault="009A4C46" w:rsidP="00F94FED">
      <w:pPr>
        <w:numPr>
          <w:ilvl w:val="0"/>
          <w:numId w:val="14"/>
        </w:numPr>
        <w:tabs>
          <w:tab w:val="left" w:pos="0"/>
        </w:tabs>
        <w:autoSpaceDE w:val="0"/>
        <w:autoSpaceDN w:val="0"/>
        <w:adjustRightInd w:val="0"/>
        <w:spacing w:after="0" w:line="360" w:lineRule="auto"/>
        <w:ind w:left="1134" w:hanging="567"/>
        <w:contextualSpacing/>
        <w:jc w:val="both"/>
        <w:rPr>
          <w:rFonts w:eastAsia="Calibri"/>
          <w:sz w:val="26"/>
          <w:szCs w:val="26"/>
        </w:rPr>
      </w:pPr>
      <w:r w:rsidRPr="00F94FED">
        <w:rPr>
          <w:rFonts w:eastAsia="Calibri"/>
          <w:sz w:val="26"/>
          <w:szCs w:val="26"/>
        </w:rPr>
        <w:t>Пояснительную записку к расчету размера корректировки необходимой валовой выручки.</w:t>
      </w:r>
    </w:p>
    <w:p w14:paraId="20B4156E" w14:textId="0379FDC6" w:rsidR="009A4C46" w:rsidRPr="00F94FED" w:rsidRDefault="009A4C46" w:rsidP="00F94FED">
      <w:pPr>
        <w:numPr>
          <w:ilvl w:val="0"/>
          <w:numId w:val="14"/>
        </w:numPr>
        <w:tabs>
          <w:tab w:val="left" w:pos="0"/>
        </w:tabs>
        <w:autoSpaceDE w:val="0"/>
        <w:autoSpaceDN w:val="0"/>
        <w:adjustRightInd w:val="0"/>
        <w:spacing w:after="0" w:line="360" w:lineRule="auto"/>
        <w:ind w:left="1134" w:hanging="567"/>
        <w:contextualSpacing/>
        <w:jc w:val="both"/>
        <w:rPr>
          <w:rFonts w:eastAsia="Calibri"/>
          <w:sz w:val="26"/>
          <w:szCs w:val="26"/>
        </w:rPr>
      </w:pPr>
      <w:r w:rsidRPr="00F94FED">
        <w:rPr>
          <w:rFonts w:eastAsia="Calibri"/>
          <w:sz w:val="26"/>
          <w:szCs w:val="26"/>
        </w:rPr>
        <w:t>Копию утвержденной Службой по тарифам Республики Тыва сметы расходов на передачу электрической энергии на 2016 год</w:t>
      </w:r>
      <w:r w:rsidR="00267740">
        <w:rPr>
          <w:rFonts w:eastAsia="Calibri"/>
          <w:sz w:val="26"/>
          <w:szCs w:val="26"/>
        </w:rPr>
        <w:br/>
      </w:r>
      <w:r w:rsidRPr="00F94FED">
        <w:rPr>
          <w:rFonts w:eastAsia="Calibri"/>
          <w:sz w:val="26"/>
          <w:szCs w:val="26"/>
        </w:rPr>
        <w:t>АО «Тываэнерго».</w:t>
      </w:r>
    </w:p>
    <w:p w14:paraId="37A6E112" w14:textId="71304D31" w:rsidR="009A4C46" w:rsidRPr="00F94FED" w:rsidRDefault="009A4C46" w:rsidP="00F94FED">
      <w:pPr>
        <w:numPr>
          <w:ilvl w:val="0"/>
          <w:numId w:val="14"/>
        </w:numPr>
        <w:tabs>
          <w:tab w:val="left" w:pos="0"/>
        </w:tabs>
        <w:autoSpaceDE w:val="0"/>
        <w:autoSpaceDN w:val="0"/>
        <w:adjustRightInd w:val="0"/>
        <w:spacing w:after="0" w:line="360" w:lineRule="auto"/>
        <w:ind w:left="1134" w:hanging="567"/>
        <w:contextualSpacing/>
        <w:jc w:val="both"/>
        <w:rPr>
          <w:rFonts w:eastAsia="Calibri"/>
          <w:sz w:val="26"/>
          <w:szCs w:val="26"/>
        </w:rPr>
      </w:pPr>
      <w:r w:rsidRPr="00F94FED">
        <w:rPr>
          <w:rFonts w:eastAsia="Calibri"/>
          <w:sz w:val="26"/>
          <w:szCs w:val="26"/>
        </w:rPr>
        <w:lastRenderedPageBreak/>
        <w:t xml:space="preserve">Копию утвержденной Службой по тарифам Республики Тыва сметы расходов на передачу электрической энергии на 2017 год </w:t>
      </w:r>
      <w:r w:rsidR="00267740">
        <w:rPr>
          <w:rFonts w:eastAsia="Calibri"/>
          <w:sz w:val="26"/>
          <w:szCs w:val="26"/>
        </w:rPr>
        <w:br/>
      </w:r>
      <w:r w:rsidRPr="00F94FED">
        <w:rPr>
          <w:rFonts w:eastAsia="Calibri"/>
          <w:sz w:val="26"/>
          <w:szCs w:val="26"/>
        </w:rPr>
        <w:t>АО «Тываэнерго».</w:t>
      </w:r>
    </w:p>
    <w:p w14:paraId="18154DA7" w14:textId="04E90FB0" w:rsidR="009A4C46" w:rsidRPr="00F94FED" w:rsidRDefault="009A4C46" w:rsidP="00F94FED">
      <w:pPr>
        <w:numPr>
          <w:ilvl w:val="0"/>
          <w:numId w:val="14"/>
        </w:numPr>
        <w:tabs>
          <w:tab w:val="left" w:pos="0"/>
        </w:tabs>
        <w:autoSpaceDE w:val="0"/>
        <w:autoSpaceDN w:val="0"/>
        <w:adjustRightInd w:val="0"/>
        <w:spacing w:after="0" w:line="360" w:lineRule="auto"/>
        <w:ind w:left="1134" w:hanging="567"/>
        <w:contextualSpacing/>
        <w:jc w:val="both"/>
        <w:rPr>
          <w:rFonts w:eastAsia="Calibri"/>
          <w:sz w:val="26"/>
          <w:szCs w:val="26"/>
        </w:rPr>
      </w:pPr>
      <w:r w:rsidRPr="00F94FED">
        <w:rPr>
          <w:rFonts w:eastAsia="Calibri"/>
          <w:sz w:val="26"/>
          <w:szCs w:val="26"/>
        </w:rPr>
        <w:t xml:space="preserve">Копию Приложения к распоряжению от 29.01.2018 №1.9/40-р Постановление от 30.03.2012 №14 (в ред. от 29.12.2017 №67 </w:t>
      </w:r>
      <w:r w:rsidR="00F210D6">
        <w:rPr>
          <w:rFonts w:eastAsia="Calibri"/>
          <w:sz w:val="26"/>
          <w:szCs w:val="26"/>
        </w:rPr>
        <w:br/>
      </w:r>
      <w:r w:rsidRPr="00F94FED">
        <w:rPr>
          <w:rFonts w:eastAsia="Calibri"/>
          <w:sz w:val="26"/>
          <w:szCs w:val="26"/>
        </w:rPr>
        <w:t>«О долгосрочных параметрах регулирования для АО «Тываэнерго», в отношении которого тарифы на услуги по передаче электрической энергии устанавливаются на основе метода долгосрочной индексации необходимой валовой выручки» (утвержденные долгосрочные параметры регулирования АО «Тываэнерго» на период 2012-2022 г</w:t>
      </w:r>
      <w:r w:rsidR="00267740">
        <w:rPr>
          <w:rFonts w:eastAsia="Calibri"/>
          <w:sz w:val="26"/>
          <w:szCs w:val="26"/>
        </w:rPr>
        <w:t>одов</w:t>
      </w:r>
      <w:r w:rsidRPr="00F94FED">
        <w:rPr>
          <w:rFonts w:eastAsia="Calibri"/>
          <w:sz w:val="26"/>
          <w:szCs w:val="26"/>
        </w:rPr>
        <w:t>).</w:t>
      </w:r>
    </w:p>
    <w:p w14:paraId="0450B88B" w14:textId="77777777" w:rsidR="009A4C46" w:rsidRPr="00F94FED" w:rsidRDefault="009A4C46" w:rsidP="00F94FED">
      <w:pPr>
        <w:numPr>
          <w:ilvl w:val="0"/>
          <w:numId w:val="14"/>
        </w:numPr>
        <w:tabs>
          <w:tab w:val="left" w:pos="0"/>
        </w:tabs>
        <w:autoSpaceDE w:val="0"/>
        <w:autoSpaceDN w:val="0"/>
        <w:adjustRightInd w:val="0"/>
        <w:spacing w:after="0" w:line="360" w:lineRule="auto"/>
        <w:ind w:left="1134" w:hanging="567"/>
        <w:contextualSpacing/>
        <w:jc w:val="both"/>
        <w:rPr>
          <w:rFonts w:eastAsia="Calibri"/>
          <w:sz w:val="26"/>
          <w:szCs w:val="26"/>
        </w:rPr>
      </w:pPr>
      <w:r w:rsidRPr="00F94FED">
        <w:rPr>
          <w:rFonts w:eastAsia="Calibri"/>
          <w:sz w:val="26"/>
          <w:szCs w:val="26"/>
        </w:rPr>
        <w:t>Копию Прогноза социально-экономического развития Российской Федерации на 2018 год и на плановый период 2019 и 2020 годов от сентября 2017 года (по консервативному варианту).</w:t>
      </w:r>
    </w:p>
    <w:p w14:paraId="27C45ACE" w14:textId="53CD4BA8" w:rsidR="009A4C46" w:rsidRPr="00F94FED" w:rsidRDefault="009A4C46" w:rsidP="00F94FED">
      <w:pPr>
        <w:numPr>
          <w:ilvl w:val="0"/>
          <w:numId w:val="14"/>
        </w:numPr>
        <w:tabs>
          <w:tab w:val="left" w:pos="0"/>
        </w:tabs>
        <w:autoSpaceDE w:val="0"/>
        <w:autoSpaceDN w:val="0"/>
        <w:adjustRightInd w:val="0"/>
        <w:spacing w:after="0" w:line="360" w:lineRule="auto"/>
        <w:ind w:left="1134" w:hanging="567"/>
        <w:contextualSpacing/>
        <w:jc w:val="both"/>
        <w:rPr>
          <w:rFonts w:eastAsia="Calibri"/>
          <w:sz w:val="26"/>
          <w:szCs w:val="26"/>
        </w:rPr>
      </w:pPr>
      <w:r w:rsidRPr="00F94FED">
        <w:rPr>
          <w:rFonts w:eastAsia="Calibri"/>
          <w:sz w:val="26"/>
          <w:szCs w:val="26"/>
        </w:rPr>
        <w:t>Сведения о фактическом количестве условных единиц за 2016 и 2017 г</w:t>
      </w:r>
      <w:r w:rsidR="00267740">
        <w:rPr>
          <w:rFonts w:eastAsia="Calibri"/>
          <w:sz w:val="26"/>
          <w:szCs w:val="26"/>
        </w:rPr>
        <w:t>оды.</w:t>
      </w:r>
    </w:p>
    <w:p w14:paraId="32DC4E0E" w14:textId="70B313B0" w:rsidR="009A4C46" w:rsidRPr="00F94FED" w:rsidRDefault="009A4C46" w:rsidP="00F94FED">
      <w:pPr>
        <w:numPr>
          <w:ilvl w:val="0"/>
          <w:numId w:val="14"/>
        </w:numPr>
        <w:tabs>
          <w:tab w:val="left" w:pos="0"/>
        </w:tabs>
        <w:autoSpaceDE w:val="0"/>
        <w:autoSpaceDN w:val="0"/>
        <w:adjustRightInd w:val="0"/>
        <w:spacing w:after="0" w:line="360" w:lineRule="auto"/>
        <w:ind w:left="1134" w:hanging="567"/>
        <w:contextualSpacing/>
        <w:jc w:val="both"/>
        <w:rPr>
          <w:rFonts w:eastAsia="Calibri"/>
          <w:sz w:val="26"/>
          <w:szCs w:val="26"/>
        </w:rPr>
      </w:pPr>
      <w:r w:rsidRPr="00F94FED">
        <w:rPr>
          <w:rFonts w:eastAsia="Calibri"/>
          <w:sz w:val="26"/>
          <w:szCs w:val="26"/>
        </w:rPr>
        <w:t>Сведения о структуре и объемах затрат на услуги по передаче электрической энергии по АО «Тываэнерго» за 2017 год (план и факт) (по форме раскрытия информации</w:t>
      </w:r>
      <w:r w:rsidR="00267740">
        <w:rPr>
          <w:rFonts w:eastAsia="Calibri"/>
          <w:sz w:val="26"/>
          <w:szCs w:val="26"/>
        </w:rPr>
        <w:t>,</w:t>
      </w:r>
      <w:r w:rsidRPr="00F94FED">
        <w:rPr>
          <w:rFonts w:eastAsia="Calibri"/>
          <w:sz w:val="26"/>
          <w:szCs w:val="26"/>
        </w:rPr>
        <w:t xml:space="preserve"> структуре и объемах затрат на оказание услуг по передаче электрической энергии сетевыми организациями</w:t>
      </w:r>
      <w:r w:rsidR="00267740">
        <w:rPr>
          <w:rFonts w:eastAsia="Calibri"/>
          <w:sz w:val="26"/>
          <w:szCs w:val="26"/>
        </w:rPr>
        <w:t xml:space="preserve"> </w:t>
      </w:r>
      <w:r w:rsidRPr="00F94FED">
        <w:rPr>
          <w:rFonts w:eastAsia="Calibri"/>
          <w:sz w:val="26"/>
          <w:szCs w:val="26"/>
        </w:rPr>
        <w:t>регулирование деятельности которых осуществляется методом долгосрочной индексации необходимой валовой выручки, утвержденной приказом ФСТ России от 24.10.2014 №1831-э).</w:t>
      </w:r>
    </w:p>
    <w:p w14:paraId="48AB31EC" w14:textId="21072FFD" w:rsidR="009A4C46" w:rsidRPr="00F94FED" w:rsidRDefault="009A4C46" w:rsidP="00F94FED">
      <w:pPr>
        <w:numPr>
          <w:ilvl w:val="0"/>
          <w:numId w:val="14"/>
        </w:numPr>
        <w:tabs>
          <w:tab w:val="left" w:pos="0"/>
        </w:tabs>
        <w:autoSpaceDE w:val="0"/>
        <w:autoSpaceDN w:val="0"/>
        <w:adjustRightInd w:val="0"/>
        <w:spacing w:after="0" w:line="360" w:lineRule="auto"/>
        <w:ind w:left="1134" w:hanging="567"/>
        <w:contextualSpacing/>
        <w:jc w:val="both"/>
        <w:rPr>
          <w:rFonts w:eastAsia="Calibri"/>
          <w:sz w:val="26"/>
          <w:szCs w:val="26"/>
        </w:rPr>
      </w:pPr>
      <w:r w:rsidRPr="00F94FED">
        <w:rPr>
          <w:rFonts w:eastAsia="Calibri"/>
          <w:sz w:val="26"/>
          <w:szCs w:val="26"/>
        </w:rPr>
        <w:t>Сведения о источниках финансирования инвестиционной программы АО «Тываэнерго» на период 2016-2020</w:t>
      </w:r>
      <w:r w:rsidR="00267740">
        <w:rPr>
          <w:rFonts w:eastAsia="Calibri"/>
          <w:sz w:val="26"/>
          <w:szCs w:val="26"/>
        </w:rPr>
        <w:t xml:space="preserve"> годов</w:t>
      </w:r>
      <w:r w:rsidRPr="00F94FED">
        <w:rPr>
          <w:rFonts w:eastAsia="Calibri"/>
          <w:sz w:val="26"/>
          <w:szCs w:val="26"/>
        </w:rPr>
        <w:t xml:space="preserve"> за 2017 год (план и факт).</w:t>
      </w:r>
    </w:p>
    <w:p w14:paraId="6AA70578" w14:textId="77777777" w:rsidR="009A4C46" w:rsidRPr="00F94FED" w:rsidRDefault="009A4C46" w:rsidP="00F94FED">
      <w:pPr>
        <w:numPr>
          <w:ilvl w:val="0"/>
          <w:numId w:val="14"/>
        </w:numPr>
        <w:tabs>
          <w:tab w:val="left" w:pos="0"/>
        </w:tabs>
        <w:autoSpaceDE w:val="0"/>
        <w:autoSpaceDN w:val="0"/>
        <w:adjustRightInd w:val="0"/>
        <w:spacing w:after="0" w:line="360" w:lineRule="auto"/>
        <w:ind w:left="1134" w:hanging="567"/>
        <w:contextualSpacing/>
        <w:jc w:val="both"/>
        <w:rPr>
          <w:rFonts w:eastAsia="Calibri"/>
          <w:sz w:val="26"/>
          <w:szCs w:val="26"/>
        </w:rPr>
      </w:pPr>
      <w:r w:rsidRPr="00F94FED">
        <w:rPr>
          <w:rFonts w:eastAsia="Calibri"/>
          <w:sz w:val="26"/>
          <w:szCs w:val="26"/>
        </w:rPr>
        <w:t>Письмо от 26.03.2018 №1/04/1553-исх «О направлении уведомления о размещении» в адрес Минэнерго России о публикации отчета об исполнении инвестиционной программы АО «Тываэнерго» за 2017 год.</w:t>
      </w:r>
    </w:p>
    <w:p w14:paraId="2489CB86" w14:textId="77777777" w:rsidR="009A4C46" w:rsidRPr="00F94FED" w:rsidRDefault="009A4C46" w:rsidP="00F94FED">
      <w:pPr>
        <w:numPr>
          <w:ilvl w:val="0"/>
          <w:numId w:val="14"/>
        </w:numPr>
        <w:tabs>
          <w:tab w:val="left" w:pos="0"/>
        </w:tabs>
        <w:autoSpaceDE w:val="0"/>
        <w:autoSpaceDN w:val="0"/>
        <w:adjustRightInd w:val="0"/>
        <w:spacing w:after="0" w:line="360" w:lineRule="auto"/>
        <w:ind w:left="1134" w:hanging="567"/>
        <w:contextualSpacing/>
        <w:jc w:val="both"/>
        <w:rPr>
          <w:rFonts w:eastAsia="Calibri"/>
          <w:sz w:val="26"/>
          <w:szCs w:val="26"/>
        </w:rPr>
      </w:pPr>
      <w:r w:rsidRPr="00F94FED">
        <w:rPr>
          <w:rFonts w:eastAsia="Calibri"/>
          <w:sz w:val="26"/>
          <w:szCs w:val="26"/>
        </w:rPr>
        <w:t>Баланс электрической энергии по сетям ВН, СН1, СН2 и НН на 2017 год для расчета единых (котловых) тарифов на услуги по передаче электрической энергии по сетям АО «Тываэнерго».</w:t>
      </w:r>
    </w:p>
    <w:p w14:paraId="5551A1FB" w14:textId="77777777" w:rsidR="009A4C46" w:rsidRPr="00F94FED" w:rsidRDefault="009A4C46" w:rsidP="00F94FED">
      <w:pPr>
        <w:numPr>
          <w:ilvl w:val="0"/>
          <w:numId w:val="14"/>
        </w:numPr>
        <w:tabs>
          <w:tab w:val="left" w:pos="0"/>
        </w:tabs>
        <w:autoSpaceDE w:val="0"/>
        <w:autoSpaceDN w:val="0"/>
        <w:adjustRightInd w:val="0"/>
        <w:spacing w:after="0" w:line="360" w:lineRule="auto"/>
        <w:ind w:left="1134" w:hanging="567"/>
        <w:contextualSpacing/>
        <w:jc w:val="both"/>
        <w:rPr>
          <w:rFonts w:eastAsia="Calibri"/>
          <w:sz w:val="26"/>
          <w:szCs w:val="26"/>
        </w:rPr>
      </w:pPr>
      <w:r w:rsidRPr="00F94FED">
        <w:rPr>
          <w:rFonts w:eastAsia="Calibri"/>
          <w:sz w:val="26"/>
          <w:szCs w:val="26"/>
        </w:rPr>
        <w:lastRenderedPageBreak/>
        <w:t>Сведения об отпуске (передаче) электроэнергии по распределительными сетевыми организациями отдельным категориям потребителей по форме статистической отчетности №46-ээ (передача) по АО «Тываэнерго» за 2017 год.</w:t>
      </w:r>
    </w:p>
    <w:p w14:paraId="37BFECE8" w14:textId="77777777" w:rsidR="009A4C46" w:rsidRPr="00F94FED" w:rsidRDefault="009A4C46" w:rsidP="00F94FED">
      <w:pPr>
        <w:numPr>
          <w:ilvl w:val="0"/>
          <w:numId w:val="14"/>
        </w:numPr>
        <w:tabs>
          <w:tab w:val="left" w:pos="0"/>
        </w:tabs>
        <w:autoSpaceDE w:val="0"/>
        <w:autoSpaceDN w:val="0"/>
        <w:adjustRightInd w:val="0"/>
        <w:spacing w:after="0" w:line="360" w:lineRule="auto"/>
        <w:ind w:left="1134" w:hanging="567"/>
        <w:contextualSpacing/>
        <w:jc w:val="both"/>
        <w:rPr>
          <w:rFonts w:eastAsia="Calibri"/>
          <w:sz w:val="26"/>
          <w:szCs w:val="26"/>
        </w:rPr>
      </w:pPr>
      <w:r w:rsidRPr="00F94FED">
        <w:rPr>
          <w:rFonts w:eastAsia="Calibri"/>
          <w:sz w:val="26"/>
          <w:szCs w:val="26"/>
        </w:rPr>
        <w:t>Сведения о затратах АО «Тываэнерго» на покупку электрической энергии в целях компенсации потерь за 2017 год.</w:t>
      </w:r>
    </w:p>
    <w:p w14:paraId="58F04823" w14:textId="2BC8C9DD" w:rsidR="009A4C46" w:rsidRPr="00F94FED" w:rsidRDefault="009A4C46" w:rsidP="00F94FED">
      <w:pPr>
        <w:numPr>
          <w:ilvl w:val="0"/>
          <w:numId w:val="14"/>
        </w:numPr>
        <w:tabs>
          <w:tab w:val="left" w:pos="0"/>
        </w:tabs>
        <w:autoSpaceDE w:val="0"/>
        <w:autoSpaceDN w:val="0"/>
        <w:adjustRightInd w:val="0"/>
        <w:spacing w:after="0" w:line="360" w:lineRule="auto"/>
        <w:ind w:left="1134" w:hanging="567"/>
        <w:contextualSpacing/>
        <w:jc w:val="both"/>
        <w:rPr>
          <w:rFonts w:eastAsia="Calibri"/>
          <w:sz w:val="26"/>
          <w:szCs w:val="26"/>
        </w:rPr>
      </w:pPr>
      <w:r w:rsidRPr="00F94FED">
        <w:rPr>
          <w:rFonts w:eastAsia="Calibri"/>
          <w:sz w:val="26"/>
          <w:szCs w:val="26"/>
        </w:rPr>
        <w:t>Копию постановления Службы по тарифам Республики Тыва от 30.12.2016 №89 «Об установлении единых (котловых) тарифов на услуги по передаче электрической энергии по сетям Республики Тыва на 2017 год» с приложениями.</w:t>
      </w:r>
    </w:p>
    <w:p w14:paraId="150C47FA" w14:textId="77777777" w:rsidR="009A4C46" w:rsidRPr="00F94FED" w:rsidRDefault="009A4C46" w:rsidP="00F94FED">
      <w:pPr>
        <w:numPr>
          <w:ilvl w:val="0"/>
          <w:numId w:val="14"/>
        </w:numPr>
        <w:tabs>
          <w:tab w:val="left" w:pos="0"/>
        </w:tabs>
        <w:autoSpaceDE w:val="0"/>
        <w:autoSpaceDN w:val="0"/>
        <w:adjustRightInd w:val="0"/>
        <w:spacing w:after="0" w:line="360" w:lineRule="auto"/>
        <w:ind w:left="1134" w:hanging="567"/>
        <w:contextualSpacing/>
        <w:jc w:val="both"/>
        <w:rPr>
          <w:rFonts w:eastAsia="Calibri"/>
          <w:sz w:val="26"/>
          <w:szCs w:val="26"/>
        </w:rPr>
      </w:pPr>
      <w:r w:rsidRPr="00F94FED">
        <w:rPr>
          <w:rFonts w:eastAsia="Calibri"/>
          <w:sz w:val="26"/>
          <w:szCs w:val="26"/>
        </w:rPr>
        <w:t>Сведения об объеме фактического полезного отпуска электроэнергии за 2017 год с разбивкой по полугодиям.</w:t>
      </w:r>
    </w:p>
    <w:p w14:paraId="1331EC75" w14:textId="50F4EBAA" w:rsidR="009A4C46" w:rsidRPr="00F94FED" w:rsidRDefault="009A4C46" w:rsidP="00F94FED">
      <w:pPr>
        <w:numPr>
          <w:ilvl w:val="0"/>
          <w:numId w:val="14"/>
        </w:numPr>
        <w:tabs>
          <w:tab w:val="left" w:pos="0"/>
        </w:tabs>
        <w:autoSpaceDE w:val="0"/>
        <w:autoSpaceDN w:val="0"/>
        <w:adjustRightInd w:val="0"/>
        <w:spacing w:after="0" w:line="360" w:lineRule="auto"/>
        <w:ind w:left="1134" w:hanging="567"/>
        <w:contextualSpacing/>
        <w:jc w:val="both"/>
        <w:rPr>
          <w:rFonts w:eastAsia="Calibri"/>
          <w:sz w:val="26"/>
          <w:szCs w:val="26"/>
        </w:rPr>
      </w:pPr>
      <w:r w:rsidRPr="00F94FED">
        <w:rPr>
          <w:rFonts w:eastAsia="Calibri"/>
          <w:sz w:val="26"/>
          <w:szCs w:val="26"/>
        </w:rPr>
        <w:t xml:space="preserve">Свод расчетов корректировок необходимой валовой выручки на услуги по передаче электрической энергии АО «Тываэнерго» за период 2014-2019 </w:t>
      </w:r>
      <w:r w:rsidR="00267740">
        <w:rPr>
          <w:rFonts w:eastAsia="Calibri"/>
          <w:sz w:val="26"/>
          <w:szCs w:val="26"/>
        </w:rPr>
        <w:t>г</w:t>
      </w:r>
      <w:r w:rsidR="0092184A">
        <w:rPr>
          <w:rFonts w:eastAsia="Calibri"/>
          <w:sz w:val="26"/>
          <w:szCs w:val="26"/>
        </w:rPr>
        <w:t>г.</w:t>
      </w:r>
    </w:p>
    <w:p w14:paraId="7D49058A" w14:textId="5F01C46E" w:rsidR="009A4C46" w:rsidRPr="00F94FED" w:rsidRDefault="009A4C46" w:rsidP="00F94FED">
      <w:pPr>
        <w:numPr>
          <w:ilvl w:val="0"/>
          <w:numId w:val="14"/>
        </w:numPr>
        <w:tabs>
          <w:tab w:val="left" w:pos="0"/>
        </w:tabs>
        <w:autoSpaceDE w:val="0"/>
        <w:autoSpaceDN w:val="0"/>
        <w:adjustRightInd w:val="0"/>
        <w:spacing w:after="0" w:line="360" w:lineRule="auto"/>
        <w:ind w:left="1134" w:hanging="567"/>
        <w:contextualSpacing/>
        <w:jc w:val="both"/>
        <w:rPr>
          <w:rFonts w:eastAsia="Calibri"/>
          <w:sz w:val="26"/>
          <w:szCs w:val="26"/>
        </w:rPr>
      </w:pPr>
      <w:r w:rsidRPr="00F94FED">
        <w:rPr>
          <w:rFonts w:eastAsia="Calibri"/>
          <w:sz w:val="26"/>
          <w:szCs w:val="26"/>
        </w:rPr>
        <w:t>Расчет корректировки подконтрольных расходов за период 2015-</w:t>
      </w:r>
      <w:r w:rsidR="0092184A" w:rsidRPr="00F94FED">
        <w:rPr>
          <w:rFonts w:eastAsia="Calibri"/>
          <w:sz w:val="26"/>
          <w:szCs w:val="26"/>
        </w:rPr>
        <w:t>2019</w:t>
      </w:r>
      <w:r w:rsidR="0092184A">
        <w:rPr>
          <w:rFonts w:eastAsia="Calibri"/>
          <w:sz w:val="26"/>
          <w:szCs w:val="26"/>
        </w:rPr>
        <w:t> </w:t>
      </w:r>
      <w:r w:rsidRPr="00F94FED">
        <w:rPr>
          <w:rFonts w:eastAsia="Calibri"/>
          <w:sz w:val="26"/>
          <w:szCs w:val="26"/>
        </w:rPr>
        <w:t>гг.</w:t>
      </w:r>
    </w:p>
    <w:p w14:paraId="75667272" w14:textId="77777777" w:rsidR="009A4C46" w:rsidRPr="00F94FED" w:rsidRDefault="009A4C46" w:rsidP="00F94FED">
      <w:pPr>
        <w:numPr>
          <w:ilvl w:val="0"/>
          <w:numId w:val="14"/>
        </w:numPr>
        <w:tabs>
          <w:tab w:val="left" w:pos="0"/>
        </w:tabs>
        <w:autoSpaceDE w:val="0"/>
        <w:autoSpaceDN w:val="0"/>
        <w:adjustRightInd w:val="0"/>
        <w:spacing w:after="0" w:line="360" w:lineRule="auto"/>
        <w:ind w:left="1134" w:hanging="567"/>
        <w:contextualSpacing/>
        <w:jc w:val="both"/>
        <w:rPr>
          <w:rFonts w:eastAsia="Calibri"/>
          <w:sz w:val="26"/>
          <w:szCs w:val="26"/>
        </w:rPr>
      </w:pPr>
      <w:r w:rsidRPr="00F94FED">
        <w:rPr>
          <w:rFonts w:eastAsia="Calibri"/>
          <w:sz w:val="26"/>
          <w:szCs w:val="26"/>
        </w:rPr>
        <w:t>Расчёт корректировки неподконтрольных расходов исходя из фактических значений указанного параметры за период 2014-2019 гг.</w:t>
      </w:r>
    </w:p>
    <w:p w14:paraId="76416E3B" w14:textId="7A08B816" w:rsidR="009A4C46" w:rsidRPr="00F94FED" w:rsidRDefault="009A4C46" w:rsidP="00F94FED">
      <w:pPr>
        <w:numPr>
          <w:ilvl w:val="0"/>
          <w:numId w:val="14"/>
        </w:numPr>
        <w:tabs>
          <w:tab w:val="left" w:pos="0"/>
        </w:tabs>
        <w:autoSpaceDE w:val="0"/>
        <w:autoSpaceDN w:val="0"/>
        <w:adjustRightInd w:val="0"/>
        <w:spacing w:after="0" w:line="360" w:lineRule="auto"/>
        <w:ind w:left="1134" w:hanging="567"/>
        <w:contextualSpacing/>
        <w:jc w:val="both"/>
        <w:rPr>
          <w:rFonts w:eastAsia="Calibri"/>
          <w:sz w:val="26"/>
          <w:szCs w:val="26"/>
        </w:rPr>
      </w:pPr>
      <w:r w:rsidRPr="00F94FED">
        <w:rPr>
          <w:rFonts w:eastAsia="Calibri"/>
          <w:sz w:val="26"/>
          <w:szCs w:val="26"/>
        </w:rPr>
        <w:t xml:space="preserve">Расчет размера расходов, связанных с осуществлением технологического присоединения энергопринимающих устройств максимальной мощностью, не превышающей 15 кВт включительно, не включаемых в состав платы по технологическому присоединению </w:t>
      </w:r>
      <w:r w:rsidR="0092184A">
        <w:rPr>
          <w:rFonts w:eastAsia="Calibri"/>
          <w:sz w:val="26"/>
          <w:szCs w:val="26"/>
        </w:rPr>
        <w:br/>
      </w:r>
      <w:r w:rsidRPr="00F94FED">
        <w:rPr>
          <w:rFonts w:eastAsia="Calibri"/>
          <w:sz w:val="26"/>
          <w:szCs w:val="26"/>
        </w:rPr>
        <w:t>АО «Тываэнерго».</w:t>
      </w:r>
    </w:p>
    <w:p w14:paraId="472EC026" w14:textId="77777777" w:rsidR="009A4C46" w:rsidRPr="00F94FED" w:rsidRDefault="009A4C46" w:rsidP="00F94FED">
      <w:pPr>
        <w:numPr>
          <w:ilvl w:val="0"/>
          <w:numId w:val="14"/>
        </w:numPr>
        <w:tabs>
          <w:tab w:val="left" w:pos="0"/>
        </w:tabs>
        <w:autoSpaceDE w:val="0"/>
        <w:autoSpaceDN w:val="0"/>
        <w:adjustRightInd w:val="0"/>
        <w:spacing w:after="0" w:line="360" w:lineRule="auto"/>
        <w:ind w:left="1134" w:hanging="567"/>
        <w:contextualSpacing/>
        <w:jc w:val="both"/>
        <w:rPr>
          <w:rFonts w:eastAsia="Calibri"/>
          <w:sz w:val="26"/>
          <w:szCs w:val="26"/>
        </w:rPr>
      </w:pPr>
      <w:r w:rsidRPr="00F94FED">
        <w:rPr>
          <w:rFonts w:eastAsia="Calibri"/>
          <w:sz w:val="26"/>
          <w:szCs w:val="26"/>
        </w:rPr>
        <w:t>Расчет размера расходов, связанных с осуществлением технологического присоединения энергопринимающих устройств максимальной мощностью до 150 кВт включительно, не включаемых в состав платы по технологическому присоединению АО «Тываэнерго».</w:t>
      </w:r>
    </w:p>
    <w:p w14:paraId="678E4F3D" w14:textId="77777777" w:rsidR="009A4C46" w:rsidRPr="00F94FED" w:rsidRDefault="009A4C46" w:rsidP="00F94FED">
      <w:pPr>
        <w:numPr>
          <w:ilvl w:val="0"/>
          <w:numId w:val="14"/>
        </w:numPr>
        <w:tabs>
          <w:tab w:val="left" w:pos="0"/>
        </w:tabs>
        <w:autoSpaceDE w:val="0"/>
        <w:autoSpaceDN w:val="0"/>
        <w:adjustRightInd w:val="0"/>
        <w:spacing w:after="0" w:line="360" w:lineRule="auto"/>
        <w:ind w:left="1134" w:hanging="567"/>
        <w:contextualSpacing/>
        <w:jc w:val="both"/>
        <w:rPr>
          <w:rFonts w:eastAsia="Calibri"/>
          <w:sz w:val="26"/>
          <w:szCs w:val="26"/>
        </w:rPr>
      </w:pPr>
      <w:r w:rsidRPr="00F94FED">
        <w:rPr>
          <w:rFonts w:eastAsia="Calibri"/>
          <w:sz w:val="26"/>
          <w:szCs w:val="26"/>
        </w:rPr>
        <w:t>Расчет корректировки НВВ с учетом изменения полезного отпуска и цен на электрическую энергию за период 2014-2019 гг.</w:t>
      </w:r>
    </w:p>
    <w:p w14:paraId="5982C468" w14:textId="77777777" w:rsidR="009A4C46" w:rsidRPr="00F94FED" w:rsidRDefault="009A4C46" w:rsidP="00F94FED">
      <w:pPr>
        <w:numPr>
          <w:ilvl w:val="0"/>
          <w:numId w:val="14"/>
        </w:numPr>
        <w:tabs>
          <w:tab w:val="left" w:pos="0"/>
        </w:tabs>
        <w:autoSpaceDE w:val="0"/>
        <w:autoSpaceDN w:val="0"/>
        <w:adjustRightInd w:val="0"/>
        <w:spacing w:after="0" w:line="360" w:lineRule="auto"/>
        <w:ind w:left="1134" w:hanging="567"/>
        <w:contextualSpacing/>
        <w:jc w:val="both"/>
        <w:rPr>
          <w:rFonts w:eastAsia="Calibri"/>
          <w:sz w:val="26"/>
          <w:szCs w:val="26"/>
        </w:rPr>
      </w:pPr>
      <w:r w:rsidRPr="00F94FED">
        <w:rPr>
          <w:rFonts w:eastAsia="Calibri"/>
          <w:sz w:val="26"/>
          <w:szCs w:val="26"/>
        </w:rPr>
        <w:lastRenderedPageBreak/>
        <w:t>Оценку обеспечения расходов на реализацию инвестиционных программ выручкой от оказания услуг по передаче электрической энергии за период 2014-2019 гг.</w:t>
      </w:r>
    </w:p>
    <w:p w14:paraId="08B59D2E" w14:textId="77777777" w:rsidR="009A4C46" w:rsidRPr="00F94FED" w:rsidRDefault="009A4C46" w:rsidP="00F94FED">
      <w:pPr>
        <w:numPr>
          <w:ilvl w:val="0"/>
          <w:numId w:val="14"/>
        </w:numPr>
        <w:autoSpaceDE w:val="0"/>
        <w:autoSpaceDN w:val="0"/>
        <w:adjustRightInd w:val="0"/>
        <w:spacing w:after="0" w:line="360" w:lineRule="auto"/>
        <w:ind w:left="1134" w:hanging="567"/>
        <w:contextualSpacing/>
        <w:jc w:val="both"/>
        <w:rPr>
          <w:rFonts w:eastAsia="Calibri"/>
          <w:sz w:val="26"/>
          <w:szCs w:val="26"/>
        </w:rPr>
      </w:pPr>
      <w:r w:rsidRPr="00F94FED">
        <w:rPr>
          <w:rFonts w:eastAsia="Calibri"/>
          <w:sz w:val="26"/>
          <w:szCs w:val="26"/>
        </w:rPr>
        <w:t>Расчет корректировки необходимой валовой выручки по доходам от осуществления регулируемой деятельности на 2019 год.</w:t>
      </w:r>
    </w:p>
    <w:p w14:paraId="3A5BA78E" w14:textId="43BE8901" w:rsidR="009A4C46" w:rsidRPr="00F94FED" w:rsidRDefault="009A4C46" w:rsidP="00F210D6">
      <w:pPr>
        <w:autoSpaceDE w:val="0"/>
        <w:autoSpaceDN w:val="0"/>
        <w:adjustRightInd w:val="0"/>
        <w:spacing w:after="0" w:line="360" w:lineRule="auto"/>
        <w:ind w:firstLine="709"/>
        <w:jc w:val="both"/>
        <w:rPr>
          <w:rFonts w:eastAsia="Times New Roman"/>
          <w:sz w:val="26"/>
          <w:szCs w:val="26"/>
          <w:lang w:eastAsia="ru-RU"/>
        </w:rPr>
      </w:pPr>
      <w:r w:rsidRPr="00F94FED">
        <w:rPr>
          <w:rFonts w:eastAsia="Times New Roman"/>
          <w:sz w:val="26"/>
          <w:szCs w:val="26"/>
          <w:lang w:eastAsia="ru-RU"/>
        </w:rPr>
        <w:t>В соответствии с подпунктом «г» пункта 9 Стандартов раскрытия информации субъектами оптового и розничных рынков электрической энергии, утвержденных постановлением Правительства Российской Федерации от 21.01.2004 № 24, предложение АО «Тываэнерго» о размере цен (тарифов), подлежащих регулированию в соответствии с Основами ценообразования в области регулируемых цен (тарифов) в электроэнергетике, утвержденными постановлением Правительства Российской Федерации от 29.12.2011 № 1178, опубликовано в сети Интернет 18.04.2018</w:t>
      </w:r>
      <w:r w:rsidR="0092184A">
        <w:rPr>
          <w:rFonts w:eastAsia="Times New Roman"/>
          <w:sz w:val="26"/>
          <w:szCs w:val="26"/>
          <w:lang w:eastAsia="ru-RU"/>
        </w:rPr>
        <w:t>.</w:t>
      </w:r>
    </w:p>
    <w:p w14:paraId="6937D51D" w14:textId="77777777" w:rsidR="009A4C46" w:rsidRPr="00F94FED" w:rsidRDefault="009A4C46" w:rsidP="00F94FED">
      <w:pPr>
        <w:autoSpaceDE w:val="0"/>
        <w:autoSpaceDN w:val="0"/>
        <w:adjustRightInd w:val="0"/>
        <w:spacing w:after="0" w:line="360" w:lineRule="auto"/>
        <w:ind w:firstLine="567"/>
        <w:jc w:val="both"/>
        <w:rPr>
          <w:rFonts w:eastAsia="Times New Roman"/>
          <w:sz w:val="26"/>
          <w:szCs w:val="26"/>
          <w:lang w:eastAsia="ru-RU"/>
        </w:rPr>
      </w:pPr>
    </w:p>
    <w:p w14:paraId="1DF7B445" w14:textId="77777777" w:rsidR="009A4C46" w:rsidRPr="00F94FED" w:rsidRDefault="009A4C46" w:rsidP="00F94FED">
      <w:pPr>
        <w:spacing w:after="0" w:line="360" w:lineRule="auto"/>
        <w:ind w:firstLine="709"/>
        <w:contextualSpacing/>
        <w:jc w:val="both"/>
        <w:rPr>
          <w:rFonts w:eastAsia="Calibri"/>
          <w:sz w:val="26"/>
          <w:szCs w:val="26"/>
        </w:rPr>
      </w:pPr>
      <w:r w:rsidRPr="00F94FED">
        <w:rPr>
          <w:rFonts w:eastAsia="Calibri"/>
          <w:sz w:val="26"/>
          <w:szCs w:val="26"/>
        </w:rPr>
        <w:br w:type="page"/>
      </w:r>
    </w:p>
    <w:p w14:paraId="42CB82C6" w14:textId="77777777" w:rsidR="009A4C46" w:rsidRPr="00F94FED" w:rsidRDefault="009A4C46" w:rsidP="00F94FED">
      <w:pPr>
        <w:pStyle w:val="3"/>
        <w:numPr>
          <w:ilvl w:val="1"/>
          <w:numId w:val="1"/>
        </w:numPr>
        <w:spacing w:line="360" w:lineRule="auto"/>
        <w:ind w:left="567" w:hanging="567"/>
        <w:jc w:val="both"/>
        <w:rPr>
          <w:b/>
          <w:color w:val="4F6228" w:themeColor="accent3" w:themeShade="80"/>
          <w:sz w:val="28"/>
          <w:szCs w:val="28"/>
        </w:rPr>
      </w:pPr>
      <w:bookmarkStart w:id="32" w:name="_Toc40554849"/>
      <w:bookmarkStart w:id="33" w:name="_Toc40733184"/>
      <w:r w:rsidRPr="00F94FED">
        <w:rPr>
          <w:rFonts w:ascii="Myriad Pro" w:hAnsi="Myriad Pro"/>
          <w:b/>
          <w:color w:val="4F6228" w:themeColor="accent3" w:themeShade="80"/>
          <w:sz w:val="28"/>
          <w:szCs w:val="28"/>
        </w:rPr>
        <w:lastRenderedPageBreak/>
        <w:t>Экспертиза обоснованности определения величины корректировки расходов 2019 года, связанных с компенсацией незапланированных расходов или полученного избытка по итогам фактических значений параметров расчета тарифов за 2017 год</w:t>
      </w:r>
      <w:bookmarkEnd w:id="32"/>
      <w:bookmarkEnd w:id="33"/>
    </w:p>
    <w:p w14:paraId="7723A57D" w14:textId="73A30DA7" w:rsidR="009A4C46" w:rsidRPr="00F94FED" w:rsidRDefault="009A4C46" w:rsidP="00F94FED">
      <w:pPr>
        <w:autoSpaceDE w:val="0"/>
        <w:autoSpaceDN w:val="0"/>
        <w:adjustRightInd w:val="0"/>
        <w:spacing w:after="0" w:line="360" w:lineRule="auto"/>
        <w:ind w:firstLine="567"/>
        <w:jc w:val="both"/>
        <w:rPr>
          <w:rFonts w:eastAsia="Calibri"/>
          <w:sz w:val="26"/>
          <w:szCs w:val="26"/>
        </w:rPr>
      </w:pPr>
      <w:r w:rsidRPr="00F94FED">
        <w:rPr>
          <w:rFonts w:eastAsia="Calibri"/>
          <w:sz w:val="26"/>
          <w:szCs w:val="26"/>
        </w:rPr>
        <w:t>В соответствии с пунктом 11 Методических указаний № 98-э расходы i-</w:t>
      </w:r>
      <w:proofErr w:type="spellStart"/>
      <w:r w:rsidRPr="00F94FED">
        <w:rPr>
          <w:rFonts w:eastAsia="Calibri"/>
          <w:sz w:val="26"/>
          <w:szCs w:val="26"/>
        </w:rPr>
        <w:t>го</w:t>
      </w:r>
      <w:proofErr w:type="spellEnd"/>
      <w:r w:rsidRPr="00F94FED">
        <w:rPr>
          <w:rFonts w:eastAsia="Calibri"/>
          <w:sz w:val="26"/>
          <w:szCs w:val="26"/>
        </w:rPr>
        <w:t xml:space="preserve"> года долгосрочного периода регулирования (</w:t>
      </w:r>
      <w:proofErr w:type="spellStart"/>
      <w:r w:rsidRPr="00F94FED">
        <w:rPr>
          <w:rFonts w:eastAsia="Calibri"/>
          <w:sz w:val="26"/>
          <w:szCs w:val="26"/>
        </w:rPr>
        <w:t>В</w:t>
      </w:r>
      <w:r w:rsidRPr="00F94FED">
        <w:rPr>
          <w:rFonts w:eastAsia="Calibri"/>
          <w:sz w:val="26"/>
          <w:szCs w:val="26"/>
          <w:vertAlign w:val="subscript"/>
        </w:rPr>
        <w:t>i</w:t>
      </w:r>
      <w:proofErr w:type="spellEnd"/>
      <w:r w:rsidRPr="00F94FED">
        <w:rPr>
          <w:rFonts w:eastAsia="Calibri"/>
          <w:sz w:val="26"/>
          <w:szCs w:val="26"/>
        </w:rPr>
        <w:t xml:space="preserve">), связанные с компенсацией незапланированных расходов (со знаком </w:t>
      </w:r>
      <w:r w:rsidR="0092184A">
        <w:rPr>
          <w:rFonts w:eastAsia="Calibri"/>
          <w:sz w:val="26"/>
          <w:szCs w:val="26"/>
        </w:rPr>
        <w:t>«</w:t>
      </w:r>
      <w:r w:rsidRPr="00F94FED">
        <w:rPr>
          <w:rFonts w:eastAsia="Calibri"/>
          <w:sz w:val="26"/>
          <w:szCs w:val="26"/>
        </w:rPr>
        <w:t>плюс</w:t>
      </w:r>
      <w:r w:rsidR="0092184A">
        <w:rPr>
          <w:rFonts w:eastAsia="Calibri"/>
          <w:sz w:val="26"/>
          <w:szCs w:val="26"/>
        </w:rPr>
        <w:t>»</w:t>
      </w:r>
      <w:r w:rsidRPr="00F94FED">
        <w:rPr>
          <w:rFonts w:eastAsia="Calibri"/>
          <w:sz w:val="26"/>
          <w:szCs w:val="26"/>
        </w:rPr>
        <w:t xml:space="preserve">) или полученного избытка (со знаком </w:t>
      </w:r>
      <w:r w:rsidR="0092184A">
        <w:rPr>
          <w:rFonts w:eastAsia="Calibri"/>
          <w:sz w:val="26"/>
          <w:szCs w:val="26"/>
        </w:rPr>
        <w:t>«</w:t>
      </w:r>
      <w:r w:rsidRPr="00F94FED">
        <w:rPr>
          <w:rFonts w:eastAsia="Calibri"/>
          <w:sz w:val="26"/>
          <w:szCs w:val="26"/>
        </w:rPr>
        <w:t>минус</w:t>
      </w:r>
      <w:r w:rsidR="0092184A">
        <w:rPr>
          <w:rFonts w:eastAsia="Calibri"/>
          <w:sz w:val="26"/>
          <w:szCs w:val="26"/>
        </w:rPr>
        <w:t>»</w:t>
      </w:r>
      <w:r w:rsidRPr="00F94FED">
        <w:rPr>
          <w:rFonts w:eastAsia="Calibri"/>
          <w:sz w:val="26"/>
          <w:szCs w:val="26"/>
        </w:rPr>
        <w:t xml:space="preserve">), выявленных в том числе по итогам последнего истекшего года долгосрочного периода регулирования, за который известны фактические значения параметров расчета тарифов, связанных с необходимостью корректировки валовой выручки регулируемых организаций, указанной в </w:t>
      </w:r>
      <w:r w:rsidR="0092184A">
        <w:rPr>
          <w:rFonts w:eastAsia="Calibri"/>
          <w:sz w:val="26"/>
          <w:szCs w:val="26"/>
        </w:rPr>
        <w:br/>
      </w:r>
      <w:r w:rsidRPr="00F94FED">
        <w:rPr>
          <w:rFonts w:eastAsia="Calibri"/>
          <w:sz w:val="26"/>
          <w:szCs w:val="26"/>
        </w:rPr>
        <w:t>пункте 9, а также расходы в соответствии с пунктом 10 Методических указаний (тыс. руб.) и корректировка необходимой валовой выручки в соответствии с пунктом 32 Основ ценообразования.</w:t>
      </w:r>
    </w:p>
    <w:p w14:paraId="2D909310" w14:textId="77777777" w:rsidR="009A4C46" w:rsidRPr="00F94FED" w:rsidRDefault="009A4C46" w:rsidP="00F94FED">
      <w:pPr>
        <w:autoSpaceDE w:val="0"/>
        <w:autoSpaceDN w:val="0"/>
        <w:adjustRightInd w:val="0"/>
        <w:spacing w:after="0" w:line="360" w:lineRule="auto"/>
        <w:ind w:firstLine="567"/>
        <w:jc w:val="both"/>
        <w:rPr>
          <w:rFonts w:eastAsia="Calibri"/>
          <w:sz w:val="26"/>
          <w:szCs w:val="26"/>
        </w:rPr>
      </w:pPr>
      <w:r w:rsidRPr="00F94FED">
        <w:rPr>
          <w:rFonts w:eastAsia="Calibri"/>
          <w:sz w:val="26"/>
          <w:szCs w:val="26"/>
        </w:rPr>
        <w:t xml:space="preserve">Величина </w:t>
      </w:r>
      <w:proofErr w:type="spellStart"/>
      <w:r w:rsidRPr="00F94FED">
        <w:rPr>
          <w:rFonts w:eastAsia="Calibri"/>
          <w:sz w:val="26"/>
          <w:szCs w:val="26"/>
        </w:rPr>
        <w:t>В</w:t>
      </w:r>
      <w:r w:rsidRPr="00F94FED">
        <w:rPr>
          <w:rFonts w:eastAsia="Calibri"/>
          <w:sz w:val="26"/>
          <w:szCs w:val="26"/>
          <w:vertAlign w:val="subscript"/>
        </w:rPr>
        <w:t>i</w:t>
      </w:r>
      <w:proofErr w:type="spellEnd"/>
      <w:r w:rsidRPr="00F94FED">
        <w:rPr>
          <w:rFonts w:eastAsia="Calibri"/>
          <w:sz w:val="26"/>
          <w:szCs w:val="26"/>
        </w:rPr>
        <w:t xml:space="preserve"> определяется в соответствии с </w:t>
      </w:r>
      <w:hyperlink w:anchor="Par120" w:tooltip="_, (3)" w:history="1">
        <w:r w:rsidRPr="00F94FED">
          <w:rPr>
            <w:rFonts w:eastAsia="Calibri"/>
            <w:sz w:val="26"/>
            <w:szCs w:val="26"/>
          </w:rPr>
          <w:t>формулой (3)</w:t>
        </w:r>
      </w:hyperlink>
      <w:r w:rsidRPr="00F94FED">
        <w:rPr>
          <w:rFonts w:eastAsia="Calibri"/>
          <w:color w:val="767171"/>
          <w:sz w:val="26"/>
          <w:szCs w:val="26"/>
        </w:rPr>
        <w:t xml:space="preserve"> </w:t>
      </w:r>
      <w:r w:rsidRPr="00F94FED">
        <w:rPr>
          <w:rFonts w:eastAsia="Calibri"/>
          <w:sz w:val="26"/>
          <w:szCs w:val="26"/>
        </w:rPr>
        <w:t>Методических указаний № 98-э.</w:t>
      </w:r>
    </w:p>
    <w:p w14:paraId="6239B02B" w14:textId="514FC5DD" w:rsidR="009A4C46" w:rsidRPr="00F94FED" w:rsidRDefault="009A4C46" w:rsidP="00F94FED">
      <w:pPr>
        <w:autoSpaceDE w:val="0"/>
        <w:autoSpaceDN w:val="0"/>
        <w:adjustRightInd w:val="0"/>
        <w:spacing w:after="0" w:line="360" w:lineRule="auto"/>
        <w:ind w:firstLine="567"/>
        <w:jc w:val="center"/>
        <w:rPr>
          <w:rFonts w:eastAsia="Calibri"/>
          <w:sz w:val="26"/>
          <w:szCs w:val="26"/>
        </w:rPr>
      </w:pPr>
      <w:r w:rsidRPr="00E169B0">
        <w:rPr>
          <w:rFonts w:eastAsia="Calibri" w:cs="Myriad Pro"/>
          <w:noProof/>
          <w:position w:val="-10"/>
          <w:sz w:val="26"/>
          <w:szCs w:val="26"/>
          <w:lang w:eastAsia="ru-RU"/>
        </w:rPr>
        <w:drawing>
          <wp:inline distT="0" distB="0" distL="0" distR="0" wp14:anchorId="51639AC5" wp14:editId="75356BA1">
            <wp:extent cx="2136140" cy="285115"/>
            <wp:effectExtent l="0" t="0" r="0" b="635"/>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136140" cy="285115"/>
                    </a:xfrm>
                    <a:prstGeom prst="rect">
                      <a:avLst/>
                    </a:prstGeom>
                    <a:noFill/>
                    <a:ln>
                      <a:noFill/>
                    </a:ln>
                  </pic:spPr>
                </pic:pic>
              </a:graphicData>
            </a:graphic>
          </wp:inline>
        </w:drawing>
      </w:r>
      <w:r w:rsidR="0092184A">
        <w:rPr>
          <w:rFonts w:eastAsia="Calibri"/>
          <w:sz w:val="26"/>
          <w:szCs w:val="26"/>
        </w:rPr>
        <w:t xml:space="preserve">, </w:t>
      </w:r>
      <w:r w:rsidRPr="00F94FED">
        <w:rPr>
          <w:rFonts w:eastAsia="Calibri"/>
          <w:sz w:val="26"/>
          <w:szCs w:val="26"/>
        </w:rPr>
        <w:t>где:</w:t>
      </w:r>
    </w:p>
    <w:p w14:paraId="5A28414E" w14:textId="40CCEE1F" w:rsidR="009A4C46" w:rsidRPr="00F94FED" w:rsidRDefault="009A4C46" w:rsidP="00F94FED">
      <w:pPr>
        <w:autoSpaceDE w:val="0"/>
        <w:autoSpaceDN w:val="0"/>
        <w:adjustRightInd w:val="0"/>
        <w:spacing w:after="0" w:line="360" w:lineRule="auto"/>
        <w:ind w:firstLine="567"/>
        <w:jc w:val="both"/>
        <w:rPr>
          <w:rFonts w:eastAsia="Calibri"/>
          <w:sz w:val="26"/>
          <w:szCs w:val="26"/>
        </w:rPr>
      </w:pPr>
      <w:r w:rsidRPr="00F94FED">
        <w:rPr>
          <w:rFonts w:eastAsia="Calibri"/>
          <w:noProof/>
          <w:sz w:val="26"/>
          <w:szCs w:val="26"/>
          <w:lang w:eastAsia="ru-RU"/>
        </w:rPr>
        <w:drawing>
          <wp:inline distT="0" distB="0" distL="0" distR="0" wp14:anchorId="1D6EE731" wp14:editId="42A80543">
            <wp:extent cx="365760" cy="292735"/>
            <wp:effectExtent l="0" t="0" r="0"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65760" cy="292735"/>
                    </a:xfrm>
                    <a:prstGeom prst="rect">
                      <a:avLst/>
                    </a:prstGeom>
                    <a:noFill/>
                    <a:ln>
                      <a:noFill/>
                    </a:ln>
                  </pic:spPr>
                </pic:pic>
              </a:graphicData>
            </a:graphic>
          </wp:inline>
        </w:drawing>
      </w:r>
      <w:r w:rsidRPr="00F94FED">
        <w:rPr>
          <w:rFonts w:eastAsia="Calibri"/>
          <w:sz w:val="26"/>
          <w:szCs w:val="26"/>
        </w:rPr>
        <w:t xml:space="preserve"> </w:t>
      </w:r>
      <w:r w:rsidR="0092184A">
        <w:rPr>
          <w:rFonts w:eastAsia="Calibri"/>
          <w:sz w:val="26"/>
          <w:szCs w:val="26"/>
        </w:rPr>
        <w:t>–</w:t>
      </w:r>
      <w:r w:rsidRPr="00F94FED">
        <w:rPr>
          <w:rFonts w:eastAsia="Calibri"/>
          <w:sz w:val="26"/>
          <w:szCs w:val="26"/>
        </w:rPr>
        <w:t xml:space="preserve"> расходы i-</w:t>
      </w:r>
      <w:proofErr w:type="spellStart"/>
      <w:r w:rsidRPr="00F94FED">
        <w:rPr>
          <w:rFonts w:eastAsia="Calibri"/>
          <w:sz w:val="26"/>
          <w:szCs w:val="26"/>
        </w:rPr>
        <w:t>го</w:t>
      </w:r>
      <w:proofErr w:type="spellEnd"/>
      <w:r w:rsidRPr="00F94FED">
        <w:rPr>
          <w:rFonts w:eastAsia="Calibri"/>
          <w:sz w:val="26"/>
          <w:szCs w:val="26"/>
        </w:rPr>
        <w:t xml:space="preserve"> года долгосрочного периода регулирования, связанные с компенсацией незапланированных расходов (со знаком </w:t>
      </w:r>
      <w:r w:rsidR="0092184A">
        <w:rPr>
          <w:rFonts w:eastAsia="Calibri"/>
          <w:sz w:val="26"/>
          <w:szCs w:val="26"/>
        </w:rPr>
        <w:t>«</w:t>
      </w:r>
      <w:r w:rsidRPr="00F94FED">
        <w:rPr>
          <w:rFonts w:eastAsia="Calibri"/>
          <w:sz w:val="26"/>
          <w:szCs w:val="26"/>
        </w:rPr>
        <w:t>плюс</w:t>
      </w:r>
      <w:r w:rsidR="0092184A">
        <w:rPr>
          <w:rFonts w:eastAsia="Calibri"/>
          <w:sz w:val="26"/>
          <w:szCs w:val="26"/>
        </w:rPr>
        <w:t>»</w:t>
      </w:r>
      <w:r w:rsidRPr="00F94FED">
        <w:rPr>
          <w:rFonts w:eastAsia="Calibri"/>
          <w:sz w:val="26"/>
          <w:szCs w:val="26"/>
        </w:rPr>
        <w:t xml:space="preserve">) или полученного избытка (со знаком </w:t>
      </w:r>
      <w:r w:rsidR="0092184A">
        <w:rPr>
          <w:rFonts w:eastAsia="Calibri"/>
          <w:sz w:val="26"/>
          <w:szCs w:val="26"/>
        </w:rPr>
        <w:t>«</w:t>
      </w:r>
      <w:r w:rsidRPr="00F94FED">
        <w:rPr>
          <w:rFonts w:eastAsia="Calibri"/>
          <w:sz w:val="26"/>
          <w:szCs w:val="26"/>
        </w:rPr>
        <w:t>минус</w:t>
      </w:r>
      <w:r w:rsidR="0092184A">
        <w:rPr>
          <w:rFonts w:eastAsia="Calibri"/>
          <w:sz w:val="26"/>
          <w:szCs w:val="26"/>
        </w:rPr>
        <w:t>»</w:t>
      </w:r>
      <w:r w:rsidRPr="00F94FED">
        <w:rPr>
          <w:rFonts w:eastAsia="Calibri"/>
          <w:sz w:val="26"/>
          <w:szCs w:val="26"/>
        </w:rPr>
        <w:t xml:space="preserve">), выявленных по итогам последнего истекшего года долгосрочного периода регулирования, за который известны фактические значения параметров расчета тарифов, связанных с необходимостью корректировки валовой выручки регулируемых организаций, указанной в </w:t>
      </w:r>
      <w:r w:rsidR="0092184A">
        <w:rPr>
          <w:rFonts w:eastAsia="Calibri"/>
          <w:sz w:val="26"/>
          <w:szCs w:val="26"/>
        </w:rPr>
        <w:br/>
      </w:r>
      <w:hyperlink w:anchor="Par73" w:tooltip="9. В течение долгосрочного периода регулирования регулирующими органами ежегодно производится корректировка необходимой валовой выручки, устанавливаемой на очередной расчетный период регулирования. По решению регулирующего органа такая корректировка может осущ" w:history="1">
        <w:r w:rsidRPr="00F94FED">
          <w:rPr>
            <w:rFonts w:eastAsia="Calibri"/>
            <w:sz w:val="26"/>
            <w:szCs w:val="26"/>
          </w:rPr>
          <w:t>пункте 9</w:t>
        </w:r>
      </w:hyperlink>
      <w:r w:rsidRPr="00F94FED">
        <w:rPr>
          <w:rFonts w:eastAsia="Calibri"/>
          <w:sz w:val="26"/>
          <w:szCs w:val="26"/>
        </w:rPr>
        <w:t xml:space="preserve"> Методических указаний, а также расходы в соответствии с </w:t>
      </w:r>
      <w:hyperlink w:anchor="Par82" w:tooltip="10. Результаты деятельности регулируемой организации учитываются при определении ежегодной корректировки необходимой валовой выручки в порядке, определенном пунктом 11 настоящих Методических указаний." w:history="1">
        <w:r w:rsidRPr="00F94FED">
          <w:rPr>
            <w:rFonts w:eastAsia="Calibri"/>
            <w:sz w:val="26"/>
            <w:szCs w:val="26"/>
          </w:rPr>
          <w:t>пунктом 10</w:t>
        </w:r>
      </w:hyperlink>
      <w:r w:rsidRPr="00F94FED">
        <w:rPr>
          <w:rFonts w:eastAsia="Calibri"/>
          <w:sz w:val="26"/>
          <w:szCs w:val="26"/>
        </w:rPr>
        <w:t xml:space="preserve"> Методических указаний (тыс. руб.). Указанные расходы определяются следующим образом:</w:t>
      </w:r>
    </w:p>
    <w:p w14:paraId="555E2573" w14:textId="77777777" w:rsidR="009A4C46" w:rsidRPr="00F94FED" w:rsidRDefault="009A4C46" w:rsidP="00F94FED">
      <w:pPr>
        <w:autoSpaceDE w:val="0"/>
        <w:autoSpaceDN w:val="0"/>
        <w:adjustRightInd w:val="0"/>
        <w:spacing w:after="0" w:line="360" w:lineRule="auto"/>
        <w:ind w:firstLine="567"/>
        <w:rPr>
          <w:rFonts w:eastAsia="Calibri"/>
          <w:sz w:val="26"/>
          <w:szCs w:val="26"/>
        </w:rPr>
      </w:pPr>
    </w:p>
    <w:p w14:paraId="12ED04B9" w14:textId="10D7E4B2" w:rsidR="009A4C46" w:rsidRPr="00F94FED" w:rsidRDefault="009A4C46" w:rsidP="00F94FED">
      <w:pPr>
        <w:autoSpaceDE w:val="0"/>
        <w:autoSpaceDN w:val="0"/>
        <w:adjustRightInd w:val="0"/>
        <w:spacing w:after="0" w:line="360" w:lineRule="auto"/>
        <w:ind w:firstLine="567"/>
        <w:jc w:val="center"/>
        <w:rPr>
          <w:rFonts w:eastAsia="Calibri"/>
          <w:sz w:val="26"/>
          <w:szCs w:val="26"/>
        </w:rPr>
      </w:pPr>
      <w:r w:rsidRPr="00F94FED">
        <w:rPr>
          <w:rFonts w:eastAsia="Calibri"/>
          <w:noProof/>
          <w:sz w:val="26"/>
          <w:szCs w:val="26"/>
          <w:lang w:eastAsia="ru-RU"/>
        </w:rPr>
        <w:drawing>
          <wp:inline distT="0" distB="0" distL="0" distR="0" wp14:anchorId="42DEB99A" wp14:editId="75830FC0">
            <wp:extent cx="2984500" cy="285115"/>
            <wp:effectExtent l="0" t="0" r="0" b="635"/>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984500" cy="285115"/>
                    </a:xfrm>
                    <a:prstGeom prst="rect">
                      <a:avLst/>
                    </a:prstGeom>
                    <a:noFill/>
                    <a:ln>
                      <a:noFill/>
                    </a:ln>
                  </pic:spPr>
                </pic:pic>
              </a:graphicData>
            </a:graphic>
          </wp:inline>
        </w:drawing>
      </w:r>
      <w:r w:rsidRPr="00F94FED">
        <w:rPr>
          <w:rFonts w:eastAsia="Calibri"/>
          <w:sz w:val="26"/>
          <w:szCs w:val="26"/>
        </w:rPr>
        <w:t>, где:</w:t>
      </w:r>
    </w:p>
    <w:p w14:paraId="29DAF2D1" w14:textId="77777777" w:rsidR="009A4C46" w:rsidRPr="00F94FED" w:rsidRDefault="009A4C46" w:rsidP="00F94FED">
      <w:pPr>
        <w:autoSpaceDE w:val="0"/>
        <w:autoSpaceDN w:val="0"/>
        <w:adjustRightInd w:val="0"/>
        <w:spacing w:after="0" w:line="360" w:lineRule="auto"/>
        <w:ind w:firstLine="567"/>
        <w:jc w:val="both"/>
        <w:rPr>
          <w:rFonts w:eastAsia="Calibri"/>
          <w:sz w:val="26"/>
          <w:szCs w:val="26"/>
        </w:rPr>
      </w:pPr>
      <w:r w:rsidRPr="00F94FED">
        <w:rPr>
          <w:rFonts w:eastAsia="Calibri"/>
          <w:noProof/>
          <w:sz w:val="26"/>
          <w:szCs w:val="26"/>
          <w:lang w:eastAsia="ru-RU"/>
        </w:rPr>
        <w:lastRenderedPageBreak/>
        <w:drawing>
          <wp:inline distT="0" distB="0" distL="0" distR="0" wp14:anchorId="40002B8A" wp14:editId="61933176">
            <wp:extent cx="446405" cy="270510"/>
            <wp:effectExtent l="0" t="0" r="0"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46405" cy="270510"/>
                    </a:xfrm>
                    <a:prstGeom prst="rect">
                      <a:avLst/>
                    </a:prstGeom>
                    <a:noFill/>
                    <a:ln>
                      <a:noFill/>
                    </a:ln>
                  </pic:spPr>
                </pic:pic>
              </a:graphicData>
            </a:graphic>
          </wp:inline>
        </w:drawing>
      </w:r>
      <w:r w:rsidRPr="00F94FED">
        <w:rPr>
          <w:rFonts w:eastAsia="Calibri"/>
          <w:sz w:val="26"/>
          <w:szCs w:val="26"/>
        </w:rPr>
        <w:t xml:space="preserve"> - корректировка подконтрольных расходов в связи с изменением планируемых параметров расчета тарифов. Не определяется для случаев, если год (i-2) является первым годом долгосрочного периода регулирования;</w:t>
      </w:r>
    </w:p>
    <w:p w14:paraId="4FA20BF3" w14:textId="77777777" w:rsidR="009A4C46" w:rsidRPr="00F94FED" w:rsidRDefault="009A4C46" w:rsidP="00F94FED">
      <w:pPr>
        <w:autoSpaceDE w:val="0"/>
        <w:autoSpaceDN w:val="0"/>
        <w:adjustRightInd w:val="0"/>
        <w:spacing w:after="0" w:line="360" w:lineRule="auto"/>
        <w:ind w:firstLine="567"/>
        <w:jc w:val="both"/>
        <w:rPr>
          <w:rFonts w:eastAsia="Calibri"/>
          <w:sz w:val="26"/>
          <w:szCs w:val="26"/>
        </w:rPr>
      </w:pPr>
      <w:r w:rsidRPr="00F94FED">
        <w:rPr>
          <w:rFonts w:eastAsia="Calibri"/>
          <w:noProof/>
          <w:sz w:val="26"/>
          <w:szCs w:val="26"/>
          <w:lang w:eastAsia="ru-RU"/>
        </w:rPr>
        <w:drawing>
          <wp:inline distT="0" distB="0" distL="0" distR="0" wp14:anchorId="66DD5E05" wp14:editId="556CE412">
            <wp:extent cx="446405" cy="270510"/>
            <wp:effectExtent l="0" t="0" r="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46405" cy="270510"/>
                    </a:xfrm>
                    <a:prstGeom prst="rect">
                      <a:avLst/>
                    </a:prstGeom>
                    <a:noFill/>
                    <a:ln>
                      <a:noFill/>
                    </a:ln>
                  </pic:spPr>
                </pic:pic>
              </a:graphicData>
            </a:graphic>
          </wp:inline>
        </w:drawing>
      </w:r>
      <w:r w:rsidRPr="00F94FED">
        <w:rPr>
          <w:rFonts w:eastAsia="Calibri"/>
          <w:sz w:val="26"/>
          <w:szCs w:val="26"/>
        </w:rPr>
        <w:t xml:space="preserve"> - корректировка неподконтрольных расходов исходя из фактических значений указанного параметра;</w:t>
      </w:r>
    </w:p>
    <w:p w14:paraId="16B142D2" w14:textId="77777777" w:rsidR="009A4C46" w:rsidRPr="00F94FED" w:rsidRDefault="009A4C46" w:rsidP="00F94FED">
      <w:pPr>
        <w:autoSpaceDE w:val="0"/>
        <w:autoSpaceDN w:val="0"/>
        <w:adjustRightInd w:val="0"/>
        <w:spacing w:after="0" w:line="360" w:lineRule="auto"/>
        <w:ind w:firstLine="567"/>
        <w:jc w:val="both"/>
        <w:rPr>
          <w:rFonts w:eastAsia="Calibri"/>
          <w:sz w:val="26"/>
          <w:szCs w:val="26"/>
        </w:rPr>
      </w:pPr>
      <w:r w:rsidRPr="00F94FED">
        <w:rPr>
          <w:rFonts w:eastAsia="Calibri"/>
          <w:noProof/>
          <w:sz w:val="26"/>
          <w:szCs w:val="26"/>
          <w:lang w:eastAsia="ru-RU"/>
        </w:rPr>
        <w:drawing>
          <wp:inline distT="0" distB="0" distL="0" distR="0" wp14:anchorId="4D7662DA" wp14:editId="51BB16A4">
            <wp:extent cx="702310" cy="285115"/>
            <wp:effectExtent l="0" t="0" r="0" b="635"/>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702310" cy="285115"/>
                    </a:xfrm>
                    <a:prstGeom prst="rect">
                      <a:avLst/>
                    </a:prstGeom>
                    <a:noFill/>
                    <a:ln>
                      <a:noFill/>
                    </a:ln>
                  </pic:spPr>
                </pic:pic>
              </a:graphicData>
            </a:graphic>
          </wp:inline>
        </w:drawing>
      </w:r>
      <w:r w:rsidRPr="00F94FED">
        <w:rPr>
          <w:rFonts w:eastAsia="Calibri"/>
          <w:sz w:val="26"/>
          <w:szCs w:val="26"/>
        </w:rPr>
        <w:t xml:space="preserve"> - корректировка необходимой валовой выручки по доходам от осуществления регулируемой деятельности;</w:t>
      </w:r>
    </w:p>
    <w:p w14:paraId="295D2817" w14:textId="77777777" w:rsidR="009A4C46" w:rsidRPr="00F94FED" w:rsidRDefault="009A4C46" w:rsidP="00F94FED">
      <w:pPr>
        <w:autoSpaceDE w:val="0"/>
        <w:autoSpaceDN w:val="0"/>
        <w:adjustRightInd w:val="0"/>
        <w:spacing w:after="0" w:line="360" w:lineRule="auto"/>
        <w:ind w:firstLine="567"/>
        <w:jc w:val="both"/>
        <w:rPr>
          <w:rFonts w:eastAsia="Calibri"/>
          <w:sz w:val="26"/>
          <w:szCs w:val="26"/>
        </w:rPr>
      </w:pPr>
      <w:proofErr w:type="spellStart"/>
      <w:r w:rsidRPr="00F94FED">
        <w:rPr>
          <w:rFonts w:eastAsia="Calibri"/>
          <w:sz w:val="26"/>
          <w:szCs w:val="26"/>
        </w:rPr>
        <w:t>ПО</w:t>
      </w:r>
      <w:r w:rsidRPr="00F94FED">
        <w:rPr>
          <w:rFonts w:eastAsia="Calibri"/>
          <w:sz w:val="26"/>
          <w:szCs w:val="26"/>
          <w:vertAlign w:val="subscript"/>
        </w:rPr>
        <w:t>i</w:t>
      </w:r>
      <w:proofErr w:type="spellEnd"/>
      <w:r w:rsidRPr="00F94FED">
        <w:rPr>
          <w:rFonts w:eastAsia="Calibri"/>
          <w:sz w:val="26"/>
          <w:szCs w:val="26"/>
        </w:rPr>
        <w:t xml:space="preserve"> - корректировка необходимой валовой выручки регулируемой организации с учетом изменения полезного отпуска и цен на электрическую энергию.</w:t>
      </w:r>
    </w:p>
    <w:p w14:paraId="75D7BDDD" w14:textId="77777777" w:rsidR="009A4C46" w:rsidRPr="00F94FED" w:rsidRDefault="009A4C46" w:rsidP="009A4C46">
      <w:pPr>
        <w:spacing w:after="0" w:line="240" w:lineRule="auto"/>
        <w:ind w:firstLine="567"/>
        <w:contextualSpacing/>
        <w:jc w:val="both"/>
        <w:rPr>
          <w:rFonts w:eastAsia="Calibri"/>
          <w:b/>
          <w:sz w:val="26"/>
          <w:szCs w:val="26"/>
        </w:rPr>
      </w:pPr>
      <w:r w:rsidRPr="00F94FED">
        <w:rPr>
          <w:rFonts w:eastAsia="Calibri"/>
          <w:b/>
          <w:sz w:val="26"/>
          <w:szCs w:val="26"/>
        </w:rPr>
        <w:br w:type="page"/>
      </w:r>
    </w:p>
    <w:p w14:paraId="709BBA5F" w14:textId="77777777" w:rsidR="009A4C46" w:rsidRPr="00F94FED" w:rsidRDefault="009A4C46" w:rsidP="00F94FED">
      <w:pPr>
        <w:pStyle w:val="3"/>
        <w:numPr>
          <w:ilvl w:val="1"/>
          <w:numId w:val="1"/>
        </w:numPr>
        <w:spacing w:line="360" w:lineRule="auto"/>
        <w:ind w:left="567" w:hanging="567"/>
        <w:jc w:val="both"/>
        <w:rPr>
          <w:b/>
          <w:color w:val="4F6228" w:themeColor="accent3" w:themeShade="80"/>
          <w:sz w:val="28"/>
          <w:szCs w:val="28"/>
        </w:rPr>
      </w:pPr>
      <w:bookmarkStart w:id="34" w:name="_Toc40554850"/>
      <w:bookmarkStart w:id="35" w:name="_Toc40733185"/>
      <w:r w:rsidRPr="00F94FED">
        <w:rPr>
          <w:rFonts w:ascii="Myriad Pro" w:hAnsi="Myriad Pro"/>
          <w:b/>
          <w:color w:val="4F6228" w:themeColor="accent3" w:themeShade="80"/>
          <w:sz w:val="28"/>
          <w:szCs w:val="28"/>
        </w:rPr>
        <w:lastRenderedPageBreak/>
        <w:t>Экспертиза обоснованности корректировки подконтрольных расходов, связанных с изменением планируемых параметров расчета тарифов</w:t>
      </w:r>
      <w:bookmarkEnd w:id="34"/>
      <w:bookmarkEnd w:id="35"/>
    </w:p>
    <w:p w14:paraId="278C143B" w14:textId="77777777" w:rsidR="009A4C46" w:rsidRPr="00F94FED" w:rsidRDefault="009A4C46" w:rsidP="00F94FED">
      <w:pPr>
        <w:autoSpaceDE w:val="0"/>
        <w:autoSpaceDN w:val="0"/>
        <w:adjustRightInd w:val="0"/>
        <w:spacing w:after="0" w:line="360" w:lineRule="auto"/>
        <w:ind w:firstLine="567"/>
        <w:jc w:val="both"/>
        <w:rPr>
          <w:rFonts w:eastAsia="Calibri" w:cs="Myriad Pro"/>
          <w:sz w:val="26"/>
          <w:szCs w:val="26"/>
          <w:highlight w:val="yellow"/>
        </w:rPr>
      </w:pPr>
      <w:r w:rsidRPr="00F94FED">
        <w:rPr>
          <w:rFonts w:eastAsia="Calibri" w:cs="Myriad Pro"/>
          <w:sz w:val="26"/>
          <w:szCs w:val="26"/>
        </w:rPr>
        <w:t>В соответствии с п. 11 Методических указаний № 98-э подконтрольные расходы на 2019 год рассчитываются следующим образом:</w:t>
      </w:r>
    </w:p>
    <w:p w14:paraId="0938A712" w14:textId="456D3FE7" w:rsidR="009A4C46" w:rsidRPr="00F94FED" w:rsidRDefault="009A4C46" w:rsidP="00F94FED">
      <w:pPr>
        <w:autoSpaceDE w:val="0"/>
        <w:autoSpaceDN w:val="0"/>
        <w:adjustRightInd w:val="0"/>
        <w:spacing w:after="0" w:line="360" w:lineRule="auto"/>
        <w:ind w:firstLine="567"/>
        <w:jc w:val="center"/>
        <w:rPr>
          <w:rFonts w:eastAsia="Calibri" w:cs="Myriad Pro"/>
          <w:sz w:val="26"/>
          <w:szCs w:val="26"/>
        </w:rPr>
      </w:pPr>
      <w:r w:rsidRPr="00F94FED">
        <w:rPr>
          <w:rFonts w:eastAsia="Calibri" w:cs="Myriad Pro"/>
          <w:noProof/>
          <w:sz w:val="26"/>
          <w:szCs w:val="26"/>
          <w:lang w:eastAsia="ru-RU"/>
        </w:rPr>
        <w:drawing>
          <wp:inline distT="0" distB="0" distL="0" distR="0" wp14:anchorId="11607C6E" wp14:editId="3D923C30">
            <wp:extent cx="4787900" cy="34290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787900" cy="342900"/>
                    </a:xfrm>
                    <a:prstGeom prst="rect">
                      <a:avLst/>
                    </a:prstGeom>
                    <a:noFill/>
                    <a:ln>
                      <a:noFill/>
                    </a:ln>
                  </pic:spPr>
                </pic:pic>
              </a:graphicData>
            </a:graphic>
          </wp:inline>
        </w:drawing>
      </w:r>
      <w:r w:rsidRPr="00F94FED">
        <w:rPr>
          <w:rFonts w:eastAsia="Calibri" w:cs="Myriad Pro"/>
          <w:sz w:val="26"/>
          <w:szCs w:val="26"/>
        </w:rPr>
        <w:t>,где</w:t>
      </w:r>
    </w:p>
    <w:p w14:paraId="5D6E034D" w14:textId="13D84141" w:rsidR="009A4C46" w:rsidRDefault="009A4C46" w:rsidP="00F94FED">
      <w:pPr>
        <w:autoSpaceDE w:val="0"/>
        <w:autoSpaceDN w:val="0"/>
        <w:adjustRightInd w:val="0"/>
        <w:spacing w:after="0" w:line="360" w:lineRule="auto"/>
        <w:ind w:firstLine="567"/>
        <w:jc w:val="center"/>
        <w:rPr>
          <w:rFonts w:eastAsia="Calibri" w:cs="Myriad Pro"/>
          <w:bCs/>
          <w:sz w:val="26"/>
          <w:szCs w:val="26"/>
        </w:rPr>
      </w:pPr>
      <w:r w:rsidRPr="00F94FED">
        <w:rPr>
          <w:rFonts w:eastAsia="Calibri" w:cs="Myriad Pro"/>
          <w:noProof/>
          <w:sz w:val="26"/>
          <w:szCs w:val="26"/>
          <w:lang w:eastAsia="ru-RU"/>
        </w:rPr>
        <w:drawing>
          <wp:inline distT="0" distB="0" distL="0" distR="0" wp14:anchorId="2E1BC811" wp14:editId="7AD70AB7">
            <wp:extent cx="1720850" cy="55880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720850" cy="558800"/>
                    </a:xfrm>
                    <a:prstGeom prst="rect">
                      <a:avLst/>
                    </a:prstGeom>
                    <a:noFill/>
                    <a:ln>
                      <a:noFill/>
                    </a:ln>
                  </pic:spPr>
                </pic:pic>
              </a:graphicData>
            </a:graphic>
          </wp:inline>
        </w:drawing>
      </w:r>
      <w:r w:rsidRPr="00F94FED">
        <w:rPr>
          <w:rFonts w:eastAsia="Calibri" w:cs="Myriad Pro"/>
          <w:sz w:val="26"/>
          <w:szCs w:val="26"/>
        </w:rPr>
        <w:t>,</w:t>
      </w:r>
    </w:p>
    <w:p w14:paraId="6A4C0758" w14:textId="77777777" w:rsidR="0092184A" w:rsidRPr="00F94FED" w:rsidRDefault="0092184A" w:rsidP="00F94FED">
      <w:pPr>
        <w:autoSpaceDE w:val="0"/>
        <w:autoSpaceDN w:val="0"/>
        <w:adjustRightInd w:val="0"/>
        <w:spacing w:after="0" w:line="360" w:lineRule="auto"/>
        <w:ind w:firstLine="567"/>
        <w:jc w:val="center"/>
        <w:rPr>
          <w:rFonts w:eastAsia="Calibri" w:cs="Myriad Pro"/>
          <w:sz w:val="26"/>
          <w:szCs w:val="26"/>
        </w:rPr>
      </w:pPr>
    </w:p>
    <w:p w14:paraId="60818FCA" w14:textId="0B396673" w:rsidR="009A4C46" w:rsidRPr="00F94FED" w:rsidRDefault="00E40A64" w:rsidP="001D2691">
      <w:pPr>
        <w:autoSpaceDE w:val="0"/>
        <w:autoSpaceDN w:val="0"/>
        <w:adjustRightInd w:val="0"/>
        <w:spacing w:after="0" w:line="360" w:lineRule="auto"/>
        <w:jc w:val="both"/>
        <w:rPr>
          <w:rFonts w:eastAsia="Calibri" w:cs="Myriad Pro"/>
          <w:b/>
          <w:bCs/>
          <w:sz w:val="26"/>
          <w:szCs w:val="26"/>
        </w:rPr>
      </w:pPr>
      <w:r w:rsidRPr="00F94FED">
        <w:rPr>
          <w:rFonts w:eastAsia="Calibri" w:cs="Myriad Pro"/>
          <w:b/>
          <w:bCs/>
          <w:sz w:val="26"/>
          <w:szCs w:val="26"/>
        </w:rPr>
        <w:t>ПОЗИЦИЯ ТЕРРИТОРИАЛЬНОЙ СЕТЕВОЙ ОРГАНИЗАЦИИ</w:t>
      </w:r>
    </w:p>
    <w:p w14:paraId="65762B05" w14:textId="6CEE6BB1" w:rsidR="009A4C46" w:rsidRPr="00F94FED" w:rsidRDefault="009A4C46" w:rsidP="00F94FED">
      <w:pPr>
        <w:widowControl w:val="0"/>
        <w:spacing w:after="0" w:line="360" w:lineRule="auto"/>
        <w:ind w:firstLine="567"/>
        <w:jc w:val="both"/>
        <w:rPr>
          <w:rFonts w:eastAsia="Times New Roman"/>
          <w:color w:val="000000"/>
          <w:sz w:val="26"/>
          <w:szCs w:val="26"/>
          <w:lang w:eastAsia="ru-RU" w:bidi="ru-RU"/>
        </w:rPr>
      </w:pPr>
      <w:r w:rsidRPr="00F94FED">
        <w:rPr>
          <w:rFonts w:eastAsia="Times New Roman"/>
          <w:color w:val="000000"/>
          <w:sz w:val="26"/>
          <w:szCs w:val="26"/>
          <w:lang w:eastAsia="ru-RU" w:bidi="ru-RU"/>
        </w:rPr>
        <w:t xml:space="preserve">Согласно раскрытию информации на официальном сайте АО «Тываэнерго» </w:t>
      </w:r>
      <w:r w:rsidRPr="00F210D6">
        <w:rPr>
          <w:rFonts w:eastAsia="Times New Roman"/>
          <w:color w:val="auto"/>
          <w:sz w:val="26"/>
          <w:szCs w:val="26"/>
          <w:u w:val="single"/>
          <w:lang w:eastAsia="ru-RU" w:bidi="ru-RU"/>
        </w:rPr>
        <w:t>http://www.tuvaenergo.ru/about/outinf.php</w:t>
      </w:r>
      <w:r w:rsidRPr="00F210D6">
        <w:rPr>
          <w:rFonts w:eastAsia="Times New Roman"/>
          <w:color w:val="auto"/>
          <w:sz w:val="26"/>
          <w:szCs w:val="26"/>
          <w:lang w:eastAsia="ru-RU" w:bidi="ru-RU"/>
        </w:rPr>
        <w:t xml:space="preserve"> фактический уровень подконтрольных </w:t>
      </w:r>
      <w:r w:rsidRPr="00F94FED">
        <w:rPr>
          <w:rFonts w:eastAsia="Times New Roman"/>
          <w:color w:val="000000"/>
          <w:sz w:val="26"/>
          <w:szCs w:val="26"/>
          <w:lang w:eastAsia="ru-RU" w:bidi="ru-RU"/>
        </w:rPr>
        <w:t>расходов за 2017 год составил 418 423 тыс. руб.</w:t>
      </w:r>
    </w:p>
    <w:p w14:paraId="015D5B93" w14:textId="77777777" w:rsidR="009A4C46" w:rsidRPr="00F94FED" w:rsidRDefault="009A4C46" w:rsidP="00F94FED">
      <w:pPr>
        <w:widowControl w:val="0"/>
        <w:spacing w:after="0" w:line="360" w:lineRule="auto"/>
        <w:ind w:firstLine="567"/>
        <w:jc w:val="both"/>
        <w:rPr>
          <w:rFonts w:eastAsia="Times New Roman"/>
          <w:color w:val="000000"/>
          <w:sz w:val="26"/>
          <w:szCs w:val="26"/>
          <w:lang w:eastAsia="ru-RU" w:bidi="ru-RU"/>
        </w:rPr>
      </w:pPr>
      <w:r w:rsidRPr="00F94FED">
        <w:rPr>
          <w:rFonts w:eastAsia="Times New Roman"/>
          <w:color w:val="000000"/>
          <w:sz w:val="26"/>
          <w:szCs w:val="26"/>
          <w:lang w:eastAsia="ru-RU" w:bidi="ru-RU"/>
        </w:rPr>
        <w:t>По пояснениям АО «Тываэнерго» в общем объеме отклонение фактических расходов от утвержденных сложилось за счет оптимизации затрат по статьям расходов.</w:t>
      </w:r>
    </w:p>
    <w:p w14:paraId="758EDA6F" w14:textId="31849024" w:rsidR="009A4C46" w:rsidRPr="00F94FED" w:rsidRDefault="009A4C46" w:rsidP="00F94FED">
      <w:pPr>
        <w:spacing w:after="0" w:line="360" w:lineRule="auto"/>
        <w:ind w:firstLine="567"/>
        <w:contextualSpacing/>
        <w:jc w:val="both"/>
        <w:rPr>
          <w:rFonts w:eastAsia="Calibri"/>
          <w:sz w:val="26"/>
          <w:szCs w:val="26"/>
        </w:rPr>
      </w:pPr>
      <w:r w:rsidRPr="00F94FED">
        <w:rPr>
          <w:rFonts w:eastAsia="Calibri"/>
          <w:sz w:val="26"/>
          <w:szCs w:val="26"/>
        </w:rPr>
        <w:t>В составе обосновывающих материалов на установление тарифов на услуги по передаче электрической энергии по сетям на 2019 год АО «Тываэнерго» представило в Службу по тарифам Республики Тыва расчет и документы корректировки НВВ 2019 года по фактическим параметрам подконтрольных расходов за 2017 год.</w:t>
      </w:r>
    </w:p>
    <w:p w14:paraId="045ED1D6" w14:textId="196C7EF0" w:rsidR="009A4C46" w:rsidRPr="00F94FED" w:rsidRDefault="009A4C46" w:rsidP="00F94FED">
      <w:pPr>
        <w:widowControl w:val="0"/>
        <w:spacing w:after="0" w:line="360" w:lineRule="auto"/>
        <w:ind w:firstLine="567"/>
        <w:jc w:val="both"/>
        <w:rPr>
          <w:rFonts w:eastAsia="Times New Roman"/>
          <w:color w:val="000000"/>
          <w:sz w:val="26"/>
          <w:szCs w:val="26"/>
          <w:lang w:eastAsia="ru-RU" w:bidi="ru-RU"/>
        </w:rPr>
      </w:pPr>
      <w:r w:rsidRPr="00F94FED">
        <w:rPr>
          <w:rFonts w:eastAsia="Times New Roman"/>
          <w:color w:val="000000"/>
          <w:sz w:val="26"/>
          <w:szCs w:val="26"/>
          <w:lang w:eastAsia="ru-RU" w:bidi="ru-RU"/>
        </w:rPr>
        <w:t xml:space="preserve">По данным расчета АО «Тываэнерго» сумма корректировки подконтрольных расходов в связи с изменением планируемых параметров расчета тарифов составила (-4 635) тыс. руб. Расчет представлен </w:t>
      </w:r>
      <w:r w:rsidR="00E40A64">
        <w:rPr>
          <w:rFonts w:eastAsia="Times New Roman"/>
          <w:bCs/>
          <w:color w:val="000000"/>
          <w:sz w:val="26"/>
          <w:szCs w:val="26"/>
          <w:lang w:eastAsia="ru-RU" w:bidi="ru-RU"/>
        </w:rPr>
        <w:t>в таблице.</w:t>
      </w:r>
    </w:p>
    <w:p w14:paraId="44A4A0FC" w14:textId="77777777" w:rsidR="009A4C46" w:rsidRPr="009A4C46" w:rsidRDefault="009A4C46" w:rsidP="009A4C46">
      <w:pPr>
        <w:widowControl w:val="0"/>
        <w:spacing w:after="32" w:line="360" w:lineRule="auto"/>
        <w:ind w:firstLine="567"/>
        <w:jc w:val="both"/>
        <w:rPr>
          <w:rFonts w:eastAsia="Times New Roman"/>
          <w:bCs/>
          <w:color w:val="000000"/>
          <w:sz w:val="28"/>
          <w:szCs w:val="28"/>
          <w:lang w:eastAsia="ru-RU" w:bidi="ru-RU"/>
        </w:rPr>
        <w:sectPr w:rsidR="009A4C46" w:rsidRPr="009A4C46" w:rsidSect="0063188C">
          <w:footerReference w:type="default" r:id="rId26"/>
          <w:pgSz w:w="11906" w:h="16838"/>
          <w:pgMar w:top="1134" w:right="850" w:bottom="1134" w:left="1701" w:header="708" w:footer="708" w:gutter="0"/>
          <w:cols w:space="708"/>
          <w:docGrid w:linePitch="360"/>
        </w:sectPr>
      </w:pPr>
    </w:p>
    <w:tbl>
      <w:tblPr>
        <w:tblStyle w:val="af8"/>
        <w:tblW w:w="5000" w:type="pct"/>
        <w:tblLayout w:type="fixed"/>
        <w:tblLook w:val="04A0" w:firstRow="1" w:lastRow="0" w:firstColumn="1" w:lastColumn="0" w:noHBand="0" w:noVBand="1"/>
      </w:tblPr>
      <w:tblGrid>
        <w:gridCol w:w="3096"/>
        <w:gridCol w:w="1431"/>
        <w:gridCol w:w="962"/>
        <w:gridCol w:w="719"/>
        <w:gridCol w:w="722"/>
        <w:gridCol w:w="722"/>
        <w:gridCol w:w="1179"/>
        <w:gridCol w:w="1179"/>
        <w:gridCol w:w="1179"/>
        <w:gridCol w:w="1179"/>
        <w:gridCol w:w="1179"/>
        <w:gridCol w:w="1013"/>
      </w:tblGrid>
      <w:tr w:rsidR="00E40A64" w:rsidRPr="00F210D6" w14:paraId="192C6043" w14:textId="77777777" w:rsidTr="00F94FED">
        <w:trPr>
          <w:trHeight w:val="600"/>
          <w:tblHeader/>
        </w:trPr>
        <w:tc>
          <w:tcPr>
            <w:tcW w:w="106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AC0BDC2" w14:textId="77777777" w:rsidR="009A4C46" w:rsidRPr="00F210D6" w:rsidRDefault="009A4C46" w:rsidP="00F94FED">
            <w:pPr>
              <w:widowControl w:val="0"/>
              <w:spacing w:after="100" w:afterAutospacing="1"/>
              <w:jc w:val="center"/>
              <w:rPr>
                <w:rFonts w:eastAsia="Times New Roman"/>
                <w:b/>
                <w:bCs/>
                <w:color w:val="FFFFFF" w:themeColor="background1"/>
                <w:lang w:eastAsia="ru-RU" w:bidi="ru-RU"/>
              </w:rPr>
            </w:pPr>
            <w:r w:rsidRPr="00F210D6">
              <w:rPr>
                <w:rFonts w:eastAsia="Times New Roman"/>
                <w:b/>
                <w:bCs/>
                <w:color w:val="FFFFFF" w:themeColor="background1"/>
                <w:lang w:eastAsia="ru-RU" w:bidi="ru-RU"/>
              </w:rPr>
              <w:lastRenderedPageBreak/>
              <w:t>Наименование показателя</w:t>
            </w:r>
          </w:p>
        </w:tc>
        <w:tc>
          <w:tcPr>
            <w:tcW w:w="49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F3CAFFD" w14:textId="77777777" w:rsidR="009A4C46" w:rsidRPr="00F210D6" w:rsidRDefault="009A4C46" w:rsidP="00F94FED">
            <w:pPr>
              <w:widowControl w:val="0"/>
              <w:spacing w:after="100" w:afterAutospacing="1"/>
              <w:jc w:val="center"/>
              <w:rPr>
                <w:rFonts w:eastAsia="Times New Roman"/>
                <w:b/>
                <w:bCs/>
                <w:color w:val="FFFFFF" w:themeColor="background1"/>
                <w:lang w:eastAsia="ru-RU" w:bidi="ru-RU"/>
              </w:rPr>
            </w:pPr>
            <w:r w:rsidRPr="00F210D6">
              <w:rPr>
                <w:rFonts w:eastAsia="Times New Roman"/>
                <w:b/>
                <w:bCs/>
                <w:color w:val="FFFFFF" w:themeColor="background1"/>
                <w:lang w:eastAsia="ru-RU" w:bidi="ru-RU"/>
              </w:rPr>
              <w:t>Обозначение показателя</w:t>
            </w:r>
          </w:p>
        </w:tc>
        <w:tc>
          <w:tcPr>
            <w:tcW w:w="33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6386821" w14:textId="77777777" w:rsidR="009A4C46" w:rsidRPr="00F210D6" w:rsidRDefault="009A4C46" w:rsidP="00F94FED">
            <w:pPr>
              <w:widowControl w:val="0"/>
              <w:spacing w:after="100" w:afterAutospacing="1"/>
              <w:jc w:val="center"/>
              <w:rPr>
                <w:rFonts w:eastAsia="Times New Roman"/>
                <w:b/>
                <w:bCs/>
                <w:color w:val="FFFFFF" w:themeColor="background1"/>
                <w:lang w:eastAsia="ru-RU" w:bidi="ru-RU"/>
              </w:rPr>
            </w:pPr>
            <w:r w:rsidRPr="00F210D6">
              <w:rPr>
                <w:rFonts w:eastAsia="Times New Roman"/>
                <w:b/>
                <w:bCs/>
                <w:color w:val="FFFFFF" w:themeColor="background1"/>
                <w:lang w:eastAsia="ru-RU" w:bidi="ru-RU"/>
              </w:rPr>
              <w:t>Ед. изм.</w:t>
            </w:r>
          </w:p>
        </w:tc>
        <w:tc>
          <w:tcPr>
            <w:tcW w:w="3115" w:type="pct"/>
            <w:gridSpan w:val="9"/>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CFFB76C" w14:textId="77777777" w:rsidR="009A4C46" w:rsidRPr="00F210D6" w:rsidRDefault="009A4C46" w:rsidP="00F94FED">
            <w:pPr>
              <w:widowControl w:val="0"/>
              <w:spacing w:after="100" w:afterAutospacing="1"/>
              <w:jc w:val="center"/>
              <w:rPr>
                <w:rFonts w:eastAsia="Times New Roman"/>
                <w:b/>
                <w:bCs/>
                <w:color w:val="FFFFFF" w:themeColor="background1"/>
                <w:lang w:eastAsia="ru-RU" w:bidi="ru-RU"/>
              </w:rPr>
            </w:pPr>
            <w:r w:rsidRPr="00F210D6">
              <w:rPr>
                <w:rFonts w:eastAsia="Times New Roman"/>
                <w:b/>
                <w:bCs/>
                <w:color w:val="FFFFFF" w:themeColor="background1"/>
                <w:lang w:eastAsia="ru-RU" w:bidi="ru-RU"/>
              </w:rPr>
              <w:t>Значение показателя</w:t>
            </w:r>
          </w:p>
        </w:tc>
      </w:tr>
      <w:tr w:rsidR="00F94FED" w:rsidRPr="00F210D6" w14:paraId="3366C9FA" w14:textId="77777777" w:rsidTr="00F94FED">
        <w:trPr>
          <w:trHeight w:val="600"/>
          <w:tblHeader/>
        </w:trPr>
        <w:tc>
          <w:tcPr>
            <w:tcW w:w="106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6759C64" w14:textId="77777777" w:rsidR="009A4C46" w:rsidRPr="00F210D6" w:rsidRDefault="009A4C46" w:rsidP="00F94FED">
            <w:pPr>
              <w:widowControl w:val="0"/>
              <w:spacing w:after="100" w:afterAutospacing="1"/>
              <w:rPr>
                <w:rFonts w:eastAsia="Times New Roman"/>
                <w:b/>
                <w:bCs/>
                <w:color w:val="FFFFFF" w:themeColor="background1"/>
                <w:lang w:eastAsia="ru-RU" w:bidi="ru-RU"/>
              </w:rPr>
            </w:pPr>
            <w:r w:rsidRPr="00F210D6">
              <w:rPr>
                <w:rFonts w:eastAsia="Times New Roman"/>
                <w:b/>
                <w:bCs/>
                <w:color w:val="FFFFFF" w:themeColor="background1"/>
                <w:lang w:eastAsia="ru-RU" w:bidi="ru-RU"/>
              </w:rPr>
              <w:t>Год долгосрочного периода регулирования, в котором необходимо учесть корректировку</w:t>
            </w:r>
          </w:p>
        </w:tc>
        <w:tc>
          <w:tcPr>
            <w:tcW w:w="49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8FD8F0D" w14:textId="77777777" w:rsidR="009A4C46" w:rsidRPr="00F210D6" w:rsidRDefault="009A4C46" w:rsidP="00F94FED">
            <w:pPr>
              <w:widowControl w:val="0"/>
              <w:spacing w:after="100" w:afterAutospacing="1"/>
              <w:jc w:val="center"/>
              <w:rPr>
                <w:rFonts w:eastAsia="Times New Roman"/>
                <w:b/>
                <w:bCs/>
                <w:color w:val="FFFFFF" w:themeColor="background1"/>
                <w:lang w:eastAsia="ru-RU" w:bidi="ru-RU"/>
              </w:rPr>
            </w:pPr>
            <w:r w:rsidRPr="00F210D6">
              <w:rPr>
                <w:rFonts w:eastAsia="Times New Roman"/>
                <w:b/>
                <w:bCs/>
                <w:color w:val="FFFFFF" w:themeColor="background1"/>
                <w:lang w:eastAsia="ru-RU" w:bidi="ru-RU"/>
              </w:rPr>
              <w:t>i</w:t>
            </w:r>
          </w:p>
        </w:tc>
        <w:tc>
          <w:tcPr>
            <w:tcW w:w="33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265E70D" w14:textId="77777777" w:rsidR="009A4C46" w:rsidRPr="00F210D6" w:rsidRDefault="009A4C46" w:rsidP="00F94FED">
            <w:pPr>
              <w:widowControl w:val="0"/>
              <w:spacing w:after="100" w:afterAutospacing="1"/>
              <w:jc w:val="center"/>
              <w:rPr>
                <w:rFonts w:eastAsia="Times New Roman"/>
                <w:b/>
                <w:bCs/>
                <w:color w:val="FFFFFF" w:themeColor="background1"/>
                <w:lang w:eastAsia="ru-RU" w:bidi="ru-RU"/>
              </w:rPr>
            </w:pPr>
          </w:p>
        </w:tc>
        <w:tc>
          <w:tcPr>
            <w:tcW w:w="24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A5DA4FC" w14:textId="77777777" w:rsidR="009A4C46" w:rsidRPr="00F210D6" w:rsidRDefault="009A4C46" w:rsidP="00F94FED">
            <w:pPr>
              <w:widowControl w:val="0"/>
              <w:spacing w:after="100" w:afterAutospacing="1"/>
              <w:jc w:val="center"/>
              <w:rPr>
                <w:rFonts w:eastAsia="Times New Roman"/>
                <w:b/>
                <w:bCs/>
                <w:color w:val="FFFFFF" w:themeColor="background1"/>
                <w:lang w:eastAsia="ru-RU" w:bidi="ru-RU"/>
              </w:rPr>
            </w:pPr>
            <w:r w:rsidRPr="00F210D6">
              <w:rPr>
                <w:rFonts w:eastAsia="Times New Roman"/>
                <w:b/>
                <w:bCs/>
                <w:color w:val="FFFFFF" w:themeColor="background1"/>
                <w:lang w:eastAsia="ru-RU" w:bidi="ru-RU"/>
              </w:rPr>
              <w:t>2012</w:t>
            </w:r>
          </w:p>
        </w:tc>
        <w:tc>
          <w:tcPr>
            <w:tcW w:w="24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58F010F" w14:textId="77777777" w:rsidR="009A4C46" w:rsidRPr="00F210D6" w:rsidRDefault="009A4C46" w:rsidP="00F94FED">
            <w:pPr>
              <w:widowControl w:val="0"/>
              <w:spacing w:after="100" w:afterAutospacing="1"/>
              <w:jc w:val="center"/>
              <w:rPr>
                <w:rFonts w:eastAsia="Times New Roman"/>
                <w:b/>
                <w:bCs/>
                <w:color w:val="FFFFFF" w:themeColor="background1"/>
                <w:lang w:eastAsia="ru-RU" w:bidi="ru-RU"/>
              </w:rPr>
            </w:pPr>
            <w:r w:rsidRPr="00F210D6">
              <w:rPr>
                <w:rFonts w:eastAsia="Times New Roman"/>
                <w:b/>
                <w:bCs/>
                <w:color w:val="FFFFFF" w:themeColor="background1"/>
                <w:lang w:eastAsia="ru-RU" w:bidi="ru-RU"/>
              </w:rPr>
              <w:t>2013</w:t>
            </w:r>
          </w:p>
        </w:tc>
        <w:tc>
          <w:tcPr>
            <w:tcW w:w="24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A28680E" w14:textId="77777777" w:rsidR="009A4C46" w:rsidRPr="00F210D6" w:rsidRDefault="009A4C46" w:rsidP="00F94FED">
            <w:pPr>
              <w:widowControl w:val="0"/>
              <w:spacing w:after="100" w:afterAutospacing="1"/>
              <w:jc w:val="center"/>
              <w:rPr>
                <w:rFonts w:eastAsia="Times New Roman"/>
                <w:b/>
                <w:bCs/>
                <w:color w:val="FFFFFF" w:themeColor="background1"/>
                <w:lang w:eastAsia="ru-RU" w:bidi="ru-RU"/>
              </w:rPr>
            </w:pPr>
            <w:r w:rsidRPr="00F210D6">
              <w:rPr>
                <w:rFonts w:eastAsia="Times New Roman"/>
                <w:b/>
                <w:bCs/>
                <w:color w:val="FFFFFF" w:themeColor="background1"/>
                <w:lang w:eastAsia="ru-RU" w:bidi="ru-RU"/>
              </w:rPr>
              <w:t>2014</w:t>
            </w:r>
          </w:p>
        </w:tc>
        <w:tc>
          <w:tcPr>
            <w:tcW w:w="40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B2C9F21" w14:textId="77777777" w:rsidR="009A4C46" w:rsidRPr="00F210D6" w:rsidRDefault="009A4C46" w:rsidP="00F94FED">
            <w:pPr>
              <w:widowControl w:val="0"/>
              <w:spacing w:after="100" w:afterAutospacing="1"/>
              <w:jc w:val="center"/>
              <w:rPr>
                <w:rFonts w:eastAsia="Times New Roman"/>
                <w:b/>
                <w:bCs/>
                <w:color w:val="FFFFFF" w:themeColor="background1"/>
                <w:lang w:eastAsia="ru-RU" w:bidi="ru-RU"/>
              </w:rPr>
            </w:pPr>
            <w:r w:rsidRPr="00F210D6">
              <w:rPr>
                <w:rFonts w:eastAsia="Times New Roman"/>
                <w:b/>
                <w:bCs/>
                <w:color w:val="FFFFFF" w:themeColor="background1"/>
                <w:lang w:eastAsia="ru-RU" w:bidi="ru-RU"/>
              </w:rPr>
              <w:t>2015</w:t>
            </w:r>
          </w:p>
        </w:tc>
        <w:tc>
          <w:tcPr>
            <w:tcW w:w="40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9E177C1" w14:textId="77777777" w:rsidR="009A4C46" w:rsidRPr="00F210D6" w:rsidRDefault="009A4C46" w:rsidP="00F94FED">
            <w:pPr>
              <w:widowControl w:val="0"/>
              <w:spacing w:after="100" w:afterAutospacing="1"/>
              <w:jc w:val="center"/>
              <w:rPr>
                <w:rFonts w:eastAsia="Times New Roman"/>
                <w:b/>
                <w:bCs/>
                <w:color w:val="FFFFFF" w:themeColor="background1"/>
                <w:lang w:eastAsia="ru-RU" w:bidi="ru-RU"/>
              </w:rPr>
            </w:pPr>
            <w:r w:rsidRPr="00F210D6">
              <w:rPr>
                <w:rFonts w:eastAsia="Times New Roman"/>
                <w:b/>
                <w:bCs/>
                <w:color w:val="FFFFFF" w:themeColor="background1"/>
                <w:lang w:eastAsia="ru-RU" w:bidi="ru-RU"/>
              </w:rPr>
              <w:t>2016</w:t>
            </w:r>
          </w:p>
        </w:tc>
        <w:tc>
          <w:tcPr>
            <w:tcW w:w="40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9BBD484" w14:textId="77777777" w:rsidR="009A4C46" w:rsidRPr="00F210D6" w:rsidRDefault="009A4C46" w:rsidP="00F94FED">
            <w:pPr>
              <w:widowControl w:val="0"/>
              <w:spacing w:after="100" w:afterAutospacing="1"/>
              <w:jc w:val="center"/>
              <w:rPr>
                <w:rFonts w:eastAsia="Times New Roman"/>
                <w:b/>
                <w:bCs/>
                <w:color w:val="FFFFFF" w:themeColor="background1"/>
                <w:lang w:eastAsia="ru-RU" w:bidi="ru-RU"/>
              </w:rPr>
            </w:pPr>
            <w:r w:rsidRPr="00F210D6">
              <w:rPr>
                <w:rFonts w:eastAsia="Times New Roman"/>
                <w:b/>
                <w:bCs/>
                <w:color w:val="FFFFFF" w:themeColor="background1"/>
                <w:lang w:eastAsia="ru-RU" w:bidi="ru-RU"/>
              </w:rPr>
              <w:t>2017</w:t>
            </w:r>
          </w:p>
        </w:tc>
        <w:tc>
          <w:tcPr>
            <w:tcW w:w="40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5D4CF01" w14:textId="77777777" w:rsidR="009A4C46" w:rsidRPr="00F210D6" w:rsidRDefault="009A4C46" w:rsidP="00F94FED">
            <w:pPr>
              <w:widowControl w:val="0"/>
              <w:spacing w:after="100" w:afterAutospacing="1"/>
              <w:jc w:val="center"/>
              <w:rPr>
                <w:rFonts w:eastAsia="Times New Roman"/>
                <w:b/>
                <w:bCs/>
                <w:color w:val="FFFFFF" w:themeColor="background1"/>
                <w:lang w:eastAsia="ru-RU" w:bidi="ru-RU"/>
              </w:rPr>
            </w:pPr>
            <w:r w:rsidRPr="00F210D6">
              <w:rPr>
                <w:rFonts w:eastAsia="Times New Roman"/>
                <w:b/>
                <w:bCs/>
                <w:color w:val="FFFFFF" w:themeColor="background1"/>
                <w:lang w:eastAsia="ru-RU" w:bidi="ru-RU"/>
              </w:rPr>
              <w:t>2018</w:t>
            </w:r>
          </w:p>
        </w:tc>
        <w:tc>
          <w:tcPr>
            <w:tcW w:w="40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016275D" w14:textId="77777777" w:rsidR="009A4C46" w:rsidRPr="00F210D6" w:rsidRDefault="009A4C46" w:rsidP="00F94FED">
            <w:pPr>
              <w:widowControl w:val="0"/>
              <w:spacing w:after="100" w:afterAutospacing="1"/>
              <w:jc w:val="center"/>
              <w:rPr>
                <w:rFonts w:eastAsia="Times New Roman"/>
                <w:b/>
                <w:bCs/>
                <w:color w:val="FFFFFF" w:themeColor="background1"/>
                <w:lang w:eastAsia="ru-RU" w:bidi="ru-RU"/>
              </w:rPr>
            </w:pPr>
            <w:r w:rsidRPr="00F210D6">
              <w:rPr>
                <w:rFonts w:eastAsia="Times New Roman"/>
                <w:b/>
                <w:bCs/>
                <w:color w:val="FFFFFF" w:themeColor="background1"/>
                <w:lang w:eastAsia="ru-RU" w:bidi="ru-RU"/>
              </w:rPr>
              <w:t>2019</w:t>
            </w:r>
          </w:p>
        </w:tc>
        <w:tc>
          <w:tcPr>
            <w:tcW w:w="34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CF0F7FF" w14:textId="77777777" w:rsidR="009A4C46" w:rsidRPr="00F210D6" w:rsidRDefault="009A4C46" w:rsidP="00F94FED">
            <w:pPr>
              <w:widowControl w:val="0"/>
              <w:spacing w:after="100" w:afterAutospacing="1"/>
              <w:jc w:val="center"/>
              <w:rPr>
                <w:rFonts w:eastAsia="Times New Roman"/>
                <w:b/>
                <w:bCs/>
                <w:color w:val="FFFFFF" w:themeColor="background1"/>
                <w:lang w:eastAsia="ru-RU" w:bidi="ru-RU"/>
              </w:rPr>
            </w:pPr>
            <w:r w:rsidRPr="00F210D6">
              <w:rPr>
                <w:rFonts w:eastAsia="Times New Roman"/>
                <w:b/>
                <w:bCs/>
                <w:color w:val="FFFFFF" w:themeColor="background1"/>
                <w:lang w:eastAsia="ru-RU" w:bidi="ru-RU"/>
              </w:rPr>
              <w:t>Итого</w:t>
            </w:r>
          </w:p>
        </w:tc>
      </w:tr>
      <w:tr w:rsidR="00E40A64" w:rsidRPr="00F210D6" w14:paraId="55AAA509" w14:textId="77777777" w:rsidTr="00F94FED">
        <w:trPr>
          <w:trHeight w:val="1077"/>
        </w:trPr>
        <w:tc>
          <w:tcPr>
            <w:tcW w:w="1063" w:type="pct"/>
            <w:tcBorders>
              <w:top w:val="single" w:sz="4" w:space="0" w:color="FFFFFF" w:themeColor="background1"/>
            </w:tcBorders>
            <w:vAlign w:val="center"/>
            <w:hideMark/>
          </w:tcPr>
          <w:p w14:paraId="095F5B95" w14:textId="77777777" w:rsidR="009A4C46" w:rsidRPr="00F210D6" w:rsidRDefault="009A4C46" w:rsidP="00F94FED">
            <w:pPr>
              <w:widowControl w:val="0"/>
              <w:spacing w:after="100" w:afterAutospacing="1"/>
              <w:rPr>
                <w:rFonts w:eastAsia="Times New Roman"/>
                <w:b/>
                <w:color w:val="000000"/>
                <w:lang w:eastAsia="ru-RU" w:bidi="ru-RU"/>
              </w:rPr>
            </w:pPr>
            <w:r w:rsidRPr="00F210D6">
              <w:rPr>
                <w:rFonts w:eastAsia="Times New Roman"/>
                <w:b/>
                <w:color w:val="000000"/>
                <w:lang w:eastAsia="ru-RU" w:bidi="ru-RU"/>
              </w:rPr>
              <w:t>Корректировка подконтрольных расходов в связи с изменением планируемых параметров расчета тарифо</w:t>
            </w:r>
            <w:r w:rsidRPr="00F210D6">
              <w:rPr>
                <w:rFonts w:eastAsia="Times New Roman"/>
                <w:color w:val="000000"/>
                <w:lang w:eastAsia="ru-RU" w:bidi="ru-RU"/>
              </w:rPr>
              <w:t>в</w:t>
            </w:r>
          </w:p>
        </w:tc>
        <w:tc>
          <w:tcPr>
            <w:tcW w:w="491" w:type="pct"/>
            <w:tcBorders>
              <w:top w:val="single" w:sz="4" w:space="0" w:color="FFFFFF" w:themeColor="background1"/>
            </w:tcBorders>
            <w:noWrap/>
            <w:vAlign w:val="center"/>
            <w:hideMark/>
          </w:tcPr>
          <w:p w14:paraId="2A491BDA" w14:textId="77777777" w:rsidR="009A4C46" w:rsidRPr="00F210D6" w:rsidRDefault="009A4C46" w:rsidP="00F94FED">
            <w:pPr>
              <w:widowControl w:val="0"/>
              <w:spacing w:after="100" w:afterAutospacing="1"/>
              <w:ind w:firstLine="233"/>
              <w:jc w:val="center"/>
              <w:rPr>
                <w:rFonts w:eastAsia="Times New Roman"/>
                <w:color w:val="000000"/>
                <w:lang w:eastAsia="ru-RU" w:bidi="ru-RU"/>
              </w:rPr>
            </w:pPr>
            <w:proofErr w:type="spellStart"/>
            <w:r w:rsidRPr="00F210D6">
              <w:rPr>
                <w:rFonts w:eastAsia="Times New Roman"/>
                <w:color w:val="000000"/>
                <w:lang w:eastAsia="ru-RU" w:bidi="ru-RU"/>
              </w:rPr>
              <w:t>rПРi</w:t>
            </w:r>
            <w:proofErr w:type="spellEnd"/>
          </w:p>
        </w:tc>
        <w:tc>
          <w:tcPr>
            <w:tcW w:w="330" w:type="pct"/>
            <w:tcBorders>
              <w:top w:val="single" w:sz="4" w:space="0" w:color="FFFFFF" w:themeColor="background1"/>
            </w:tcBorders>
            <w:noWrap/>
            <w:vAlign w:val="center"/>
            <w:hideMark/>
          </w:tcPr>
          <w:p w14:paraId="51BE40ED" w14:textId="77777777" w:rsidR="009A4C46" w:rsidRPr="00F210D6" w:rsidRDefault="009A4C46" w:rsidP="00F94FED">
            <w:pPr>
              <w:widowControl w:val="0"/>
              <w:spacing w:after="100" w:afterAutospacing="1"/>
              <w:jc w:val="center"/>
              <w:rPr>
                <w:rFonts w:eastAsia="Times New Roman"/>
                <w:color w:val="000000"/>
                <w:lang w:eastAsia="ru-RU" w:bidi="ru-RU"/>
              </w:rPr>
            </w:pPr>
            <w:r w:rsidRPr="00F210D6">
              <w:rPr>
                <w:rFonts w:eastAsia="Times New Roman"/>
                <w:color w:val="000000"/>
                <w:lang w:eastAsia="ru-RU" w:bidi="ru-RU"/>
              </w:rPr>
              <w:t>тыс. руб.</w:t>
            </w:r>
          </w:p>
        </w:tc>
        <w:tc>
          <w:tcPr>
            <w:tcW w:w="247" w:type="pct"/>
            <w:tcBorders>
              <w:top w:val="single" w:sz="4" w:space="0" w:color="FFFFFF" w:themeColor="background1"/>
            </w:tcBorders>
            <w:noWrap/>
            <w:vAlign w:val="center"/>
            <w:hideMark/>
          </w:tcPr>
          <w:p w14:paraId="0ACDAFEC" w14:textId="77777777" w:rsidR="009A4C46" w:rsidRPr="00F210D6" w:rsidRDefault="009A4C46" w:rsidP="00F94FED">
            <w:pPr>
              <w:widowControl w:val="0"/>
              <w:spacing w:after="100" w:afterAutospacing="1"/>
              <w:jc w:val="center"/>
              <w:rPr>
                <w:rFonts w:eastAsia="Times New Roman"/>
                <w:b/>
                <w:color w:val="000000"/>
                <w:lang w:eastAsia="ru-RU" w:bidi="ru-RU"/>
              </w:rPr>
            </w:pPr>
            <w:r w:rsidRPr="00F210D6">
              <w:rPr>
                <w:rFonts w:eastAsia="Times New Roman"/>
                <w:b/>
                <w:color w:val="000000"/>
                <w:lang w:eastAsia="ru-RU" w:bidi="ru-RU"/>
              </w:rPr>
              <w:t>-</w:t>
            </w:r>
          </w:p>
        </w:tc>
        <w:tc>
          <w:tcPr>
            <w:tcW w:w="248" w:type="pct"/>
            <w:tcBorders>
              <w:top w:val="single" w:sz="4" w:space="0" w:color="FFFFFF" w:themeColor="background1"/>
            </w:tcBorders>
            <w:noWrap/>
            <w:vAlign w:val="center"/>
            <w:hideMark/>
          </w:tcPr>
          <w:p w14:paraId="0FE2B2D3" w14:textId="77777777" w:rsidR="009A4C46" w:rsidRPr="00F210D6" w:rsidRDefault="009A4C46" w:rsidP="00F94FED">
            <w:pPr>
              <w:widowControl w:val="0"/>
              <w:spacing w:after="100" w:afterAutospacing="1"/>
              <w:jc w:val="center"/>
              <w:rPr>
                <w:rFonts w:eastAsia="Times New Roman"/>
                <w:b/>
                <w:color w:val="000000"/>
                <w:lang w:eastAsia="ru-RU" w:bidi="ru-RU"/>
              </w:rPr>
            </w:pPr>
            <w:r w:rsidRPr="00F210D6">
              <w:rPr>
                <w:rFonts w:eastAsia="Times New Roman"/>
                <w:b/>
                <w:color w:val="000000"/>
                <w:lang w:eastAsia="ru-RU" w:bidi="ru-RU"/>
              </w:rPr>
              <w:t>-</w:t>
            </w:r>
          </w:p>
        </w:tc>
        <w:tc>
          <w:tcPr>
            <w:tcW w:w="248" w:type="pct"/>
            <w:tcBorders>
              <w:top w:val="single" w:sz="4" w:space="0" w:color="FFFFFF" w:themeColor="background1"/>
            </w:tcBorders>
            <w:noWrap/>
            <w:vAlign w:val="center"/>
            <w:hideMark/>
          </w:tcPr>
          <w:p w14:paraId="06F30413" w14:textId="77777777" w:rsidR="009A4C46" w:rsidRPr="00F210D6" w:rsidRDefault="009A4C46" w:rsidP="00F94FED">
            <w:pPr>
              <w:widowControl w:val="0"/>
              <w:spacing w:after="100" w:afterAutospacing="1"/>
              <w:jc w:val="center"/>
              <w:rPr>
                <w:rFonts w:eastAsia="Times New Roman"/>
                <w:b/>
                <w:color w:val="000000"/>
                <w:lang w:eastAsia="ru-RU" w:bidi="ru-RU"/>
              </w:rPr>
            </w:pPr>
            <w:r w:rsidRPr="00F210D6">
              <w:rPr>
                <w:rFonts w:eastAsia="Times New Roman"/>
                <w:b/>
                <w:color w:val="000000"/>
                <w:lang w:eastAsia="ru-RU" w:bidi="ru-RU"/>
              </w:rPr>
              <w:t>-</w:t>
            </w:r>
          </w:p>
        </w:tc>
        <w:tc>
          <w:tcPr>
            <w:tcW w:w="405" w:type="pct"/>
            <w:tcBorders>
              <w:top w:val="single" w:sz="4" w:space="0" w:color="FFFFFF" w:themeColor="background1"/>
            </w:tcBorders>
            <w:noWrap/>
            <w:vAlign w:val="center"/>
            <w:hideMark/>
          </w:tcPr>
          <w:p w14:paraId="33F001F4" w14:textId="50EEB2A5" w:rsidR="009A4C46" w:rsidRPr="00F210D6" w:rsidRDefault="009A4C46" w:rsidP="00F94FED">
            <w:pPr>
              <w:widowControl w:val="0"/>
              <w:spacing w:after="100" w:afterAutospacing="1"/>
              <w:jc w:val="center"/>
              <w:rPr>
                <w:rFonts w:eastAsia="Times New Roman"/>
                <w:b/>
                <w:color w:val="000000"/>
                <w:lang w:eastAsia="ru-RU" w:bidi="ru-RU"/>
              </w:rPr>
            </w:pPr>
            <w:r w:rsidRPr="00F210D6">
              <w:rPr>
                <w:rFonts w:eastAsia="Times New Roman"/>
                <w:b/>
                <w:color w:val="000000"/>
                <w:lang w:eastAsia="ru-RU" w:bidi="ru-RU"/>
              </w:rPr>
              <w:t>3</w:t>
            </w:r>
            <w:r w:rsidR="00E40A64" w:rsidRPr="00F210D6">
              <w:rPr>
                <w:rFonts w:eastAsia="Times New Roman"/>
                <w:b/>
                <w:bCs/>
                <w:color w:val="000000"/>
                <w:lang w:eastAsia="ru-RU" w:bidi="ru-RU"/>
              </w:rPr>
              <w:t> </w:t>
            </w:r>
            <w:r w:rsidRPr="00F210D6">
              <w:rPr>
                <w:rFonts w:eastAsia="Times New Roman"/>
                <w:b/>
                <w:color w:val="000000"/>
                <w:lang w:eastAsia="ru-RU" w:bidi="ru-RU"/>
              </w:rPr>
              <w:t>609</w:t>
            </w:r>
          </w:p>
        </w:tc>
        <w:tc>
          <w:tcPr>
            <w:tcW w:w="405" w:type="pct"/>
            <w:tcBorders>
              <w:top w:val="single" w:sz="4" w:space="0" w:color="FFFFFF" w:themeColor="background1"/>
            </w:tcBorders>
            <w:noWrap/>
            <w:vAlign w:val="center"/>
            <w:hideMark/>
          </w:tcPr>
          <w:p w14:paraId="1987B832" w14:textId="77777777" w:rsidR="009A4C46" w:rsidRPr="00F210D6" w:rsidRDefault="009A4C46" w:rsidP="00F94FED">
            <w:pPr>
              <w:widowControl w:val="0"/>
              <w:spacing w:after="100" w:afterAutospacing="1"/>
              <w:jc w:val="center"/>
              <w:rPr>
                <w:rFonts w:eastAsia="Times New Roman"/>
                <w:b/>
                <w:color w:val="000000"/>
                <w:lang w:eastAsia="ru-RU" w:bidi="ru-RU"/>
              </w:rPr>
            </w:pPr>
            <w:r w:rsidRPr="00F210D6">
              <w:rPr>
                <w:rFonts w:eastAsia="Times New Roman"/>
                <w:b/>
                <w:color w:val="000000"/>
                <w:lang w:eastAsia="ru-RU" w:bidi="ru-RU"/>
              </w:rPr>
              <w:t>24 449</w:t>
            </w:r>
          </w:p>
        </w:tc>
        <w:tc>
          <w:tcPr>
            <w:tcW w:w="405" w:type="pct"/>
            <w:tcBorders>
              <w:top w:val="single" w:sz="4" w:space="0" w:color="FFFFFF" w:themeColor="background1"/>
            </w:tcBorders>
            <w:noWrap/>
            <w:vAlign w:val="center"/>
            <w:hideMark/>
          </w:tcPr>
          <w:p w14:paraId="06B225BE" w14:textId="77777777" w:rsidR="009A4C46" w:rsidRPr="00F210D6" w:rsidRDefault="009A4C46" w:rsidP="00F94FED">
            <w:pPr>
              <w:widowControl w:val="0"/>
              <w:spacing w:after="100" w:afterAutospacing="1"/>
              <w:jc w:val="center"/>
              <w:rPr>
                <w:rFonts w:eastAsia="Times New Roman"/>
                <w:b/>
                <w:color w:val="000000"/>
                <w:lang w:eastAsia="ru-RU" w:bidi="ru-RU"/>
              </w:rPr>
            </w:pPr>
            <w:r w:rsidRPr="00F210D6">
              <w:rPr>
                <w:rFonts w:eastAsia="Times New Roman"/>
                <w:b/>
                <w:color w:val="000000"/>
                <w:lang w:eastAsia="ru-RU" w:bidi="ru-RU"/>
              </w:rPr>
              <w:t>54 154</w:t>
            </w:r>
          </w:p>
        </w:tc>
        <w:tc>
          <w:tcPr>
            <w:tcW w:w="405" w:type="pct"/>
            <w:tcBorders>
              <w:top w:val="single" w:sz="4" w:space="0" w:color="FFFFFF" w:themeColor="background1"/>
            </w:tcBorders>
            <w:noWrap/>
            <w:vAlign w:val="center"/>
            <w:hideMark/>
          </w:tcPr>
          <w:p w14:paraId="7B5E99C0" w14:textId="77777777" w:rsidR="009A4C46" w:rsidRPr="00F210D6" w:rsidRDefault="009A4C46" w:rsidP="00F94FED">
            <w:pPr>
              <w:widowControl w:val="0"/>
              <w:spacing w:after="100" w:afterAutospacing="1"/>
              <w:jc w:val="center"/>
              <w:rPr>
                <w:rFonts w:eastAsia="Times New Roman"/>
                <w:b/>
                <w:color w:val="000000"/>
                <w:lang w:eastAsia="ru-RU" w:bidi="ru-RU"/>
              </w:rPr>
            </w:pPr>
            <w:r w:rsidRPr="00F210D6">
              <w:rPr>
                <w:rFonts w:eastAsia="Times New Roman"/>
                <w:b/>
                <w:color w:val="000000"/>
                <w:lang w:eastAsia="ru-RU" w:bidi="ru-RU"/>
              </w:rPr>
              <w:t>17 725</w:t>
            </w:r>
          </w:p>
        </w:tc>
        <w:tc>
          <w:tcPr>
            <w:tcW w:w="405" w:type="pct"/>
            <w:tcBorders>
              <w:top w:val="single" w:sz="4" w:space="0" w:color="FFFFFF" w:themeColor="background1"/>
            </w:tcBorders>
            <w:noWrap/>
            <w:vAlign w:val="center"/>
            <w:hideMark/>
          </w:tcPr>
          <w:p w14:paraId="773D4FA3" w14:textId="77777777" w:rsidR="009A4C46" w:rsidRPr="00F210D6" w:rsidRDefault="009A4C46" w:rsidP="00F94FED">
            <w:pPr>
              <w:widowControl w:val="0"/>
              <w:spacing w:after="100" w:afterAutospacing="1"/>
              <w:jc w:val="center"/>
              <w:rPr>
                <w:rFonts w:eastAsia="Times New Roman"/>
                <w:b/>
                <w:color w:val="000000"/>
                <w:lang w:eastAsia="ru-RU" w:bidi="ru-RU"/>
              </w:rPr>
            </w:pPr>
            <w:r w:rsidRPr="00F210D6">
              <w:rPr>
                <w:rFonts w:eastAsia="Times New Roman"/>
                <w:b/>
                <w:color w:val="000000"/>
                <w:lang w:eastAsia="ru-RU" w:bidi="ru-RU"/>
              </w:rPr>
              <w:t>-4 635</w:t>
            </w:r>
          </w:p>
        </w:tc>
        <w:tc>
          <w:tcPr>
            <w:tcW w:w="348" w:type="pct"/>
            <w:tcBorders>
              <w:top w:val="single" w:sz="4" w:space="0" w:color="FFFFFF" w:themeColor="background1"/>
            </w:tcBorders>
            <w:noWrap/>
            <w:vAlign w:val="center"/>
            <w:hideMark/>
          </w:tcPr>
          <w:p w14:paraId="062507D8" w14:textId="77777777" w:rsidR="009A4C46" w:rsidRPr="00F210D6" w:rsidRDefault="009A4C46" w:rsidP="00F94FED">
            <w:pPr>
              <w:widowControl w:val="0"/>
              <w:spacing w:after="100" w:afterAutospacing="1"/>
              <w:jc w:val="center"/>
              <w:rPr>
                <w:rFonts w:eastAsia="Times New Roman"/>
                <w:b/>
                <w:color w:val="000000"/>
                <w:lang w:eastAsia="ru-RU" w:bidi="ru-RU"/>
              </w:rPr>
            </w:pPr>
            <w:r w:rsidRPr="00F210D6">
              <w:rPr>
                <w:rFonts w:eastAsia="Times New Roman"/>
                <w:b/>
                <w:color w:val="000000"/>
                <w:lang w:eastAsia="ru-RU" w:bidi="ru-RU"/>
              </w:rPr>
              <w:t>95 302</w:t>
            </w:r>
          </w:p>
        </w:tc>
      </w:tr>
      <w:tr w:rsidR="00E40A64" w:rsidRPr="00F210D6" w14:paraId="2F07D55B" w14:textId="77777777" w:rsidTr="00F94FED">
        <w:trPr>
          <w:trHeight w:val="360"/>
        </w:trPr>
        <w:tc>
          <w:tcPr>
            <w:tcW w:w="1063" w:type="pct"/>
            <w:vAlign w:val="center"/>
            <w:hideMark/>
          </w:tcPr>
          <w:p w14:paraId="0E8A339F" w14:textId="77777777" w:rsidR="009A4C46" w:rsidRPr="00F210D6" w:rsidRDefault="009A4C46" w:rsidP="00F94FED">
            <w:pPr>
              <w:widowControl w:val="0"/>
              <w:spacing w:after="100" w:afterAutospacing="1"/>
              <w:rPr>
                <w:rFonts w:eastAsia="Times New Roman"/>
                <w:color w:val="000000"/>
                <w:lang w:eastAsia="ru-RU" w:bidi="ru-RU"/>
              </w:rPr>
            </w:pPr>
            <w:r w:rsidRPr="00F210D6">
              <w:rPr>
                <w:rFonts w:eastAsia="Times New Roman"/>
                <w:color w:val="000000"/>
                <w:lang w:eastAsia="ru-RU" w:bidi="ru-RU"/>
              </w:rPr>
              <w:t xml:space="preserve">Подконтрольные расходы, установленные на 2016 год </w:t>
            </w:r>
          </w:p>
        </w:tc>
        <w:tc>
          <w:tcPr>
            <w:tcW w:w="491" w:type="pct"/>
            <w:noWrap/>
            <w:vAlign w:val="center"/>
            <w:hideMark/>
          </w:tcPr>
          <w:p w14:paraId="66EB1D12" w14:textId="77777777" w:rsidR="009A4C46" w:rsidRPr="00F210D6" w:rsidRDefault="009A4C46" w:rsidP="00F94FED">
            <w:pPr>
              <w:widowControl w:val="0"/>
              <w:spacing w:after="100" w:afterAutospacing="1"/>
              <w:jc w:val="center"/>
              <w:rPr>
                <w:rFonts w:eastAsia="Times New Roman"/>
                <w:color w:val="000000"/>
                <w:lang w:eastAsia="ru-RU" w:bidi="ru-RU"/>
              </w:rPr>
            </w:pPr>
            <w:r w:rsidRPr="00F210D6">
              <w:rPr>
                <w:rFonts w:eastAsia="Times New Roman"/>
                <w:color w:val="000000"/>
                <w:lang w:eastAsia="ru-RU" w:bidi="ru-RU"/>
              </w:rPr>
              <w:t>ПР</w:t>
            </w:r>
            <w:r w:rsidRPr="00F210D6">
              <w:rPr>
                <w:rFonts w:eastAsia="Times New Roman"/>
                <w:color w:val="000000"/>
                <w:vertAlign w:val="superscript"/>
                <w:lang w:eastAsia="ru-RU" w:bidi="ru-RU"/>
              </w:rPr>
              <w:t>уст</w:t>
            </w:r>
            <w:r w:rsidRPr="00F210D6">
              <w:rPr>
                <w:rFonts w:eastAsia="Times New Roman"/>
                <w:color w:val="000000"/>
                <w:vertAlign w:val="subscript"/>
                <w:lang w:eastAsia="ru-RU" w:bidi="ru-RU"/>
              </w:rPr>
              <w:t>i-3</w:t>
            </w:r>
          </w:p>
        </w:tc>
        <w:tc>
          <w:tcPr>
            <w:tcW w:w="330" w:type="pct"/>
            <w:noWrap/>
            <w:vAlign w:val="center"/>
            <w:hideMark/>
          </w:tcPr>
          <w:p w14:paraId="64C73239" w14:textId="77777777" w:rsidR="009A4C46" w:rsidRPr="00F210D6" w:rsidRDefault="009A4C46" w:rsidP="00F94FED">
            <w:pPr>
              <w:widowControl w:val="0"/>
              <w:spacing w:after="100" w:afterAutospacing="1"/>
              <w:jc w:val="center"/>
              <w:rPr>
                <w:rFonts w:eastAsia="Times New Roman"/>
                <w:color w:val="000000"/>
                <w:lang w:eastAsia="ru-RU" w:bidi="ru-RU"/>
              </w:rPr>
            </w:pPr>
            <w:r w:rsidRPr="00F210D6">
              <w:rPr>
                <w:rFonts w:eastAsia="Times New Roman"/>
                <w:color w:val="000000"/>
                <w:lang w:eastAsia="ru-RU" w:bidi="ru-RU"/>
              </w:rPr>
              <w:t>тыс. руб.</w:t>
            </w:r>
          </w:p>
        </w:tc>
        <w:tc>
          <w:tcPr>
            <w:tcW w:w="247" w:type="pct"/>
            <w:noWrap/>
            <w:vAlign w:val="center"/>
            <w:hideMark/>
          </w:tcPr>
          <w:p w14:paraId="48DEAA1F" w14:textId="77777777" w:rsidR="009A4C46" w:rsidRPr="00F210D6" w:rsidRDefault="009A4C46" w:rsidP="00F94FED">
            <w:pPr>
              <w:widowControl w:val="0"/>
              <w:spacing w:after="100" w:afterAutospacing="1"/>
              <w:jc w:val="center"/>
              <w:rPr>
                <w:rFonts w:eastAsia="Times New Roman"/>
                <w:color w:val="000000"/>
                <w:lang w:eastAsia="ru-RU" w:bidi="ru-RU"/>
              </w:rPr>
            </w:pPr>
          </w:p>
        </w:tc>
        <w:tc>
          <w:tcPr>
            <w:tcW w:w="248" w:type="pct"/>
            <w:noWrap/>
            <w:vAlign w:val="center"/>
            <w:hideMark/>
          </w:tcPr>
          <w:p w14:paraId="213132F1" w14:textId="77777777" w:rsidR="009A4C46" w:rsidRPr="00F210D6" w:rsidRDefault="009A4C46" w:rsidP="00F94FED">
            <w:pPr>
              <w:widowControl w:val="0"/>
              <w:spacing w:after="100" w:afterAutospacing="1"/>
              <w:jc w:val="center"/>
              <w:rPr>
                <w:rFonts w:eastAsia="Times New Roman"/>
                <w:color w:val="000000"/>
                <w:lang w:eastAsia="ru-RU" w:bidi="ru-RU"/>
              </w:rPr>
            </w:pPr>
          </w:p>
        </w:tc>
        <w:tc>
          <w:tcPr>
            <w:tcW w:w="248" w:type="pct"/>
            <w:noWrap/>
            <w:vAlign w:val="center"/>
            <w:hideMark/>
          </w:tcPr>
          <w:p w14:paraId="777C0C8F" w14:textId="77777777" w:rsidR="009A4C46" w:rsidRPr="00F210D6" w:rsidRDefault="009A4C46" w:rsidP="00F94FED">
            <w:pPr>
              <w:widowControl w:val="0"/>
              <w:spacing w:after="100" w:afterAutospacing="1"/>
              <w:jc w:val="center"/>
              <w:rPr>
                <w:rFonts w:eastAsia="Times New Roman"/>
                <w:color w:val="000000"/>
                <w:lang w:eastAsia="ru-RU" w:bidi="ru-RU"/>
              </w:rPr>
            </w:pPr>
          </w:p>
        </w:tc>
        <w:tc>
          <w:tcPr>
            <w:tcW w:w="405" w:type="pct"/>
            <w:noWrap/>
            <w:vAlign w:val="center"/>
            <w:hideMark/>
          </w:tcPr>
          <w:p w14:paraId="6CFAAEF3" w14:textId="77777777" w:rsidR="009A4C46" w:rsidRPr="00F210D6" w:rsidRDefault="009A4C46" w:rsidP="00F94FED">
            <w:pPr>
              <w:widowControl w:val="0"/>
              <w:spacing w:after="100" w:afterAutospacing="1"/>
              <w:jc w:val="center"/>
              <w:rPr>
                <w:rFonts w:eastAsia="Times New Roman"/>
                <w:color w:val="000000"/>
                <w:lang w:eastAsia="ru-RU" w:bidi="ru-RU"/>
              </w:rPr>
            </w:pPr>
            <w:r w:rsidRPr="00F210D6">
              <w:rPr>
                <w:rFonts w:eastAsia="Times New Roman"/>
                <w:color w:val="000000"/>
                <w:lang w:eastAsia="ru-RU" w:bidi="ru-RU"/>
              </w:rPr>
              <w:t>460 404</w:t>
            </w:r>
          </w:p>
        </w:tc>
        <w:tc>
          <w:tcPr>
            <w:tcW w:w="405" w:type="pct"/>
            <w:noWrap/>
            <w:vAlign w:val="center"/>
            <w:hideMark/>
          </w:tcPr>
          <w:p w14:paraId="68169AC8" w14:textId="77777777" w:rsidR="009A4C46" w:rsidRPr="00F210D6" w:rsidRDefault="009A4C46" w:rsidP="00F94FED">
            <w:pPr>
              <w:widowControl w:val="0"/>
              <w:spacing w:after="100" w:afterAutospacing="1"/>
              <w:jc w:val="center"/>
              <w:rPr>
                <w:rFonts w:eastAsia="Times New Roman"/>
                <w:color w:val="000000"/>
                <w:lang w:eastAsia="ru-RU" w:bidi="ru-RU"/>
              </w:rPr>
            </w:pPr>
            <w:r w:rsidRPr="00F210D6">
              <w:rPr>
                <w:rFonts w:eastAsia="Times New Roman"/>
                <w:color w:val="000000"/>
                <w:lang w:eastAsia="ru-RU" w:bidi="ru-RU"/>
              </w:rPr>
              <w:t>484 061</w:t>
            </w:r>
          </w:p>
        </w:tc>
        <w:tc>
          <w:tcPr>
            <w:tcW w:w="405" w:type="pct"/>
            <w:noWrap/>
            <w:vAlign w:val="center"/>
            <w:hideMark/>
          </w:tcPr>
          <w:p w14:paraId="463CEA42" w14:textId="77777777" w:rsidR="009A4C46" w:rsidRPr="00F210D6" w:rsidRDefault="009A4C46" w:rsidP="00F94FED">
            <w:pPr>
              <w:widowControl w:val="0"/>
              <w:spacing w:after="100" w:afterAutospacing="1"/>
              <w:jc w:val="center"/>
              <w:rPr>
                <w:rFonts w:eastAsia="Times New Roman"/>
                <w:color w:val="000000"/>
                <w:lang w:eastAsia="ru-RU" w:bidi="ru-RU"/>
              </w:rPr>
            </w:pPr>
            <w:r w:rsidRPr="00F210D6">
              <w:rPr>
                <w:rFonts w:eastAsia="Times New Roman"/>
                <w:color w:val="000000"/>
                <w:lang w:eastAsia="ru-RU" w:bidi="ru-RU"/>
              </w:rPr>
              <w:t>504 141</w:t>
            </w:r>
          </w:p>
        </w:tc>
        <w:tc>
          <w:tcPr>
            <w:tcW w:w="405" w:type="pct"/>
            <w:noWrap/>
            <w:vAlign w:val="center"/>
            <w:hideMark/>
          </w:tcPr>
          <w:p w14:paraId="29F3CCA1" w14:textId="77777777" w:rsidR="009A4C46" w:rsidRPr="00F210D6" w:rsidRDefault="009A4C46" w:rsidP="00F94FED">
            <w:pPr>
              <w:widowControl w:val="0"/>
              <w:spacing w:after="100" w:afterAutospacing="1"/>
              <w:jc w:val="center"/>
              <w:rPr>
                <w:rFonts w:eastAsia="Times New Roman"/>
                <w:color w:val="000000"/>
                <w:lang w:eastAsia="ru-RU" w:bidi="ru-RU"/>
              </w:rPr>
            </w:pPr>
            <w:r w:rsidRPr="00F210D6">
              <w:rPr>
                <w:rFonts w:eastAsia="Times New Roman"/>
                <w:color w:val="000000"/>
                <w:lang w:eastAsia="ru-RU" w:bidi="ru-RU"/>
              </w:rPr>
              <w:t>523 554</w:t>
            </w:r>
          </w:p>
        </w:tc>
        <w:tc>
          <w:tcPr>
            <w:tcW w:w="405" w:type="pct"/>
            <w:noWrap/>
            <w:vAlign w:val="center"/>
            <w:hideMark/>
          </w:tcPr>
          <w:p w14:paraId="08FE107D" w14:textId="77777777" w:rsidR="009A4C46" w:rsidRPr="00F210D6" w:rsidRDefault="009A4C46" w:rsidP="00F94FED">
            <w:pPr>
              <w:widowControl w:val="0"/>
              <w:spacing w:after="100" w:afterAutospacing="1"/>
              <w:jc w:val="center"/>
              <w:rPr>
                <w:rFonts w:eastAsia="Times New Roman"/>
                <w:color w:val="000000"/>
                <w:lang w:eastAsia="ru-RU" w:bidi="ru-RU"/>
              </w:rPr>
            </w:pPr>
            <w:r w:rsidRPr="00F210D6">
              <w:rPr>
                <w:rFonts w:eastAsia="Times New Roman"/>
                <w:color w:val="000000"/>
                <w:lang w:eastAsia="ru-RU" w:bidi="ru-RU"/>
              </w:rPr>
              <w:t>543 715</w:t>
            </w:r>
          </w:p>
        </w:tc>
        <w:tc>
          <w:tcPr>
            <w:tcW w:w="348" w:type="pct"/>
            <w:noWrap/>
            <w:vAlign w:val="center"/>
            <w:hideMark/>
          </w:tcPr>
          <w:p w14:paraId="15CB3047" w14:textId="77777777" w:rsidR="009A4C46" w:rsidRPr="00F210D6" w:rsidRDefault="009A4C46" w:rsidP="00F94FED">
            <w:pPr>
              <w:widowControl w:val="0"/>
              <w:spacing w:after="100" w:afterAutospacing="1"/>
              <w:jc w:val="center"/>
              <w:rPr>
                <w:rFonts w:eastAsia="Times New Roman"/>
                <w:color w:val="000000"/>
                <w:lang w:eastAsia="ru-RU" w:bidi="ru-RU"/>
              </w:rPr>
            </w:pPr>
          </w:p>
        </w:tc>
      </w:tr>
      <w:tr w:rsidR="00E40A64" w:rsidRPr="00F210D6" w14:paraId="12FDBEA4" w14:textId="77777777" w:rsidTr="00F94FED">
        <w:trPr>
          <w:trHeight w:val="660"/>
        </w:trPr>
        <w:tc>
          <w:tcPr>
            <w:tcW w:w="1063" w:type="pct"/>
            <w:vAlign w:val="center"/>
            <w:hideMark/>
          </w:tcPr>
          <w:p w14:paraId="5A90DB6C" w14:textId="77777777" w:rsidR="009A4C46" w:rsidRPr="00F210D6" w:rsidRDefault="009A4C46" w:rsidP="00F94FED">
            <w:pPr>
              <w:widowControl w:val="0"/>
              <w:spacing w:after="100" w:afterAutospacing="1"/>
              <w:rPr>
                <w:rFonts w:eastAsia="Times New Roman"/>
                <w:color w:val="000000"/>
                <w:lang w:eastAsia="ru-RU" w:bidi="ru-RU"/>
              </w:rPr>
            </w:pPr>
            <w:r w:rsidRPr="00F210D6">
              <w:rPr>
                <w:rFonts w:eastAsia="Times New Roman"/>
                <w:color w:val="000000"/>
                <w:lang w:eastAsia="ru-RU" w:bidi="ru-RU"/>
              </w:rPr>
              <w:t>Индекс эффективности подконтрольных расходов, установленный в процентах</w:t>
            </w:r>
          </w:p>
        </w:tc>
        <w:tc>
          <w:tcPr>
            <w:tcW w:w="491" w:type="pct"/>
            <w:vAlign w:val="center"/>
            <w:hideMark/>
          </w:tcPr>
          <w:p w14:paraId="023EB680" w14:textId="77777777" w:rsidR="009A4C46" w:rsidRPr="00F210D6" w:rsidRDefault="009A4C46" w:rsidP="00F94FED">
            <w:pPr>
              <w:widowControl w:val="0"/>
              <w:spacing w:after="100" w:afterAutospacing="1"/>
              <w:jc w:val="center"/>
              <w:rPr>
                <w:rFonts w:eastAsia="Times New Roman"/>
                <w:color w:val="000000"/>
                <w:lang w:eastAsia="ru-RU" w:bidi="ru-RU"/>
              </w:rPr>
            </w:pPr>
            <w:proofErr w:type="spellStart"/>
            <w:r w:rsidRPr="00F210D6">
              <w:rPr>
                <w:rFonts w:eastAsia="Times New Roman"/>
                <w:color w:val="000000"/>
                <w:lang w:eastAsia="ru-RU" w:bidi="ru-RU"/>
              </w:rPr>
              <w:t>Хi</w:t>
            </w:r>
            <w:proofErr w:type="spellEnd"/>
          </w:p>
        </w:tc>
        <w:tc>
          <w:tcPr>
            <w:tcW w:w="330" w:type="pct"/>
            <w:noWrap/>
            <w:vAlign w:val="center"/>
            <w:hideMark/>
          </w:tcPr>
          <w:p w14:paraId="3AEBEE12" w14:textId="77777777" w:rsidR="009A4C46" w:rsidRPr="00F210D6" w:rsidRDefault="009A4C46" w:rsidP="00F94FED">
            <w:pPr>
              <w:widowControl w:val="0"/>
              <w:spacing w:after="100" w:afterAutospacing="1"/>
              <w:jc w:val="center"/>
              <w:rPr>
                <w:rFonts w:eastAsia="Times New Roman"/>
                <w:color w:val="000000"/>
                <w:lang w:eastAsia="ru-RU" w:bidi="ru-RU"/>
              </w:rPr>
            </w:pPr>
            <w:r w:rsidRPr="00F210D6">
              <w:rPr>
                <w:rFonts w:eastAsia="Times New Roman"/>
                <w:color w:val="000000"/>
                <w:lang w:eastAsia="ru-RU" w:bidi="ru-RU"/>
              </w:rPr>
              <w:t>%</w:t>
            </w:r>
          </w:p>
        </w:tc>
        <w:tc>
          <w:tcPr>
            <w:tcW w:w="247" w:type="pct"/>
            <w:noWrap/>
            <w:vAlign w:val="center"/>
            <w:hideMark/>
          </w:tcPr>
          <w:p w14:paraId="0818EA68" w14:textId="77777777" w:rsidR="009A4C46" w:rsidRPr="00F210D6" w:rsidRDefault="009A4C46" w:rsidP="00F94FED">
            <w:pPr>
              <w:widowControl w:val="0"/>
              <w:spacing w:after="100" w:afterAutospacing="1"/>
              <w:jc w:val="center"/>
              <w:rPr>
                <w:rFonts w:eastAsia="Times New Roman"/>
                <w:color w:val="000000"/>
                <w:lang w:eastAsia="ru-RU" w:bidi="ru-RU"/>
              </w:rPr>
            </w:pPr>
            <w:r w:rsidRPr="00F210D6">
              <w:rPr>
                <w:rFonts w:eastAsia="Times New Roman"/>
                <w:color w:val="000000"/>
                <w:lang w:eastAsia="ru-RU" w:bidi="ru-RU"/>
              </w:rPr>
              <w:t>1%</w:t>
            </w:r>
          </w:p>
        </w:tc>
        <w:tc>
          <w:tcPr>
            <w:tcW w:w="248" w:type="pct"/>
            <w:noWrap/>
            <w:vAlign w:val="center"/>
            <w:hideMark/>
          </w:tcPr>
          <w:p w14:paraId="3EE5554C" w14:textId="77777777" w:rsidR="009A4C46" w:rsidRPr="00F210D6" w:rsidRDefault="009A4C46" w:rsidP="00F94FED">
            <w:pPr>
              <w:widowControl w:val="0"/>
              <w:spacing w:after="100" w:afterAutospacing="1"/>
              <w:jc w:val="center"/>
              <w:rPr>
                <w:rFonts w:eastAsia="Times New Roman"/>
                <w:color w:val="000000"/>
                <w:lang w:eastAsia="ru-RU" w:bidi="ru-RU"/>
              </w:rPr>
            </w:pPr>
            <w:r w:rsidRPr="00F210D6">
              <w:rPr>
                <w:rFonts w:eastAsia="Times New Roman"/>
                <w:color w:val="000000"/>
                <w:lang w:eastAsia="ru-RU" w:bidi="ru-RU"/>
              </w:rPr>
              <w:t>1%</w:t>
            </w:r>
          </w:p>
        </w:tc>
        <w:tc>
          <w:tcPr>
            <w:tcW w:w="248" w:type="pct"/>
            <w:noWrap/>
            <w:vAlign w:val="center"/>
            <w:hideMark/>
          </w:tcPr>
          <w:p w14:paraId="7F062351" w14:textId="77777777" w:rsidR="009A4C46" w:rsidRPr="00F210D6" w:rsidRDefault="009A4C46" w:rsidP="00F94FED">
            <w:pPr>
              <w:widowControl w:val="0"/>
              <w:spacing w:after="100" w:afterAutospacing="1"/>
              <w:jc w:val="center"/>
              <w:rPr>
                <w:rFonts w:eastAsia="Times New Roman"/>
                <w:color w:val="000000"/>
                <w:lang w:eastAsia="ru-RU" w:bidi="ru-RU"/>
              </w:rPr>
            </w:pPr>
            <w:r w:rsidRPr="00F210D6">
              <w:rPr>
                <w:rFonts w:eastAsia="Times New Roman"/>
                <w:color w:val="000000"/>
                <w:lang w:eastAsia="ru-RU" w:bidi="ru-RU"/>
              </w:rPr>
              <w:t>1%</w:t>
            </w:r>
          </w:p>
        </w:tc>
        <w:tc>
          <w:tcPr>
            <w:tcW w:w="405" w:type="pct"/>
            <w:noWrap/>
            <w:vAlign w:val="center"/>
            <w:hideMark/>
          </w:tcPr>
          <w:p w14:paraId="2985CB0B" w14:textId="77777777" w:rsidR="009A4C46" w:rsidRPr="00F210D6" w:rsidRDefault="009A4C46" w:rsidP="00F94FED">
            <w:pPr>
              <w:widowControl w:val="0"/>
              <w:spacing w:after="100" w:afterAutospacing="1"/>
              <w:jc w:val="center"/>
              <w:rPr>
                <w:rFonts w:eastAsia="Times New Roman"/>
                <w:color w:val="000000"/>
                <w:lang w:eastAsia="ru-RU" w:bidi="ru-RU"/>
              </w:rPr>
            </w:pPr>
            <w:r w:rsidRPr="00F210D6">
              <w:rPr>
                <w:rFonts w:eastAsia="Times New Roman"/>
                <w:color w:val="000000"/>
                <w:lang w:eastAsia="ru-RU" w:bidi="ru-RU"/>
              </w:rPr>
              <w:t>1%</w:t>
            </w:r>
          </w:p>
        </w:tc>
        <w:tc>
          <w:tcPr>
            <w:tcW w:w="405" w:type="pct"/>
            <w:noWrap/>
            <w:vAlign w:val="center"/>
            <w:hideMark/>
          </w:tcPr>
          <w:p w14:paraId="0CCB3F23" w14:textId="77777777" w:rsidR="009A4C46" w:rsidRPr="00F210D6" w:rsidRDefault="009A4C46" w:rsidP="00F94FED">
            <w:pPr>
              <w:widowControl w:val="0"/>
              <w:spacing w:after="100" w:afterAutospacing="1"/>
              <w:jc w:val="center"/>
              <w:rPr>
                <w:rFonts w:eastAsia="Times New Roman"/>
                <w:color w:val="000000"/>
                <w:lang w:eastAsia="ru-RU" w:bidi="ru-RU"/>
              </w:rPr>
            </w:pPr>
            <w:r w:rsidRPr="00F210D6">
              <w:rPr>
                <w:rFonts w:eastAsia="Times New Roman"/>
                <w:color w:val="000000"/>
                <w:lang w:eastAsia="ru-RU" w:bidi="ru-RU"/>
              </w:rPr>
              <w:t>1%</w:t>
            </w:r>
          </w:p>
        </w:tc>
        <w:tc>
          <w:tcPr>
            <w:tcW w:w="405" w:type="pct"/>
            <w:noWrap/>
            <w:vAlign w:val="center"/>
            <w:hideMark/>
          </w:tcPr>
          <w:p w14:paraId="6C41E8E5" w14:textId="77777777" w:rsidR="009A4C46" w:rsidRPr="00F210D6" w:rsidRDefault="009A4C46" w:rsidP="00F94FED">
            <w:pPr>
              <w:widowControl w:val="0"/>
              <w:spacing w:after="100" w:afterAutospacing="1"/>
              <w:jc w:val="center"/>
              <w:rPr>
                <w:rFonts w:eastAsia="Times New Roman"/>
                <w:color w:val="000000"/>
                <w:lang w:eastAsia="ru-RU" w:bidi="ru-RU"/>
              </w:rPr>
            </w:pPr>
            <w:r w:rsidRPr="00F210D6">
              <w:rPr>
                <w:rFonts w:eastAsia="Times New Roman"/>
                <w:color w:val="000000"/>
                <w:lang w:eastAsia="ru-RU" w:bidi="ru-RU"/>
              </w:rPr>
              <w:t>1%</w:t>
            </w:r>
          </w:p>
        </w:tc>
        <w:tc>
          <w:tcPr>
            <w:tcW w:w="405" w:type="pct"/>
            <w:noWrap/>
            <w:vAlign w:val="center"/>
            <w:hideMark/>
          </w:tcPr>
          <w:p w14:paraId="37908876" w14:textId="77777777" w:rsidR="009A4C46" w:rsidRPr="00F210D6" w:rsidRDefault="009A4C46" w:rsidP="00F94FED">
            <w:pPr>
              <w:widowControl w:val="0"/>
              <w:spacing w:after="100" w:afterAutospacing="1"/>
              <w:jc w:val="center"/>
              <w:rPr>
                <w:rFonts w:eastAsia="Times New Roman"/>
                <w:color w:val="000000"/>
                <w:lang w:eastAsia="ru-RU" w:bidi="ru-RU"/>
              </w:rPr>
            </w:pPr>
            <w:r w:rsidRPr="00F210D6">
              <w:rPr>
                <w:rFonts w:eastAsia="Times New Roman"/>
                <w:color w:val="000000"/>
                <w:lang w:eastAsia="ru-RU" w:bidi="ru-RU"/>
              </w:rPr>
              <w:t>1%</w:t>
            </w:r>
          </w:p>
        </w:tc>
        <w:tc>
          <w:tcPr>
            <w:tcW w:w="405" w:type="pct"/>
            <w:noWrap/>
            <w:vAlign w:val="center"/>
            <w:hideMark/>
          </w:tcPr>
          <w:p w14:paraId="3ECFE6AB" w14:textId="77777777" w:rsidR="009A4C46" w:rsidRPr="00F210D6" w:rsidRDefault="009A4C46" w:rsidP="00F94FED">
            <w:pPr>
              <w:widowControl w:val="0"/>
              <w:spacing w:after="100" w:afterAutospacing="1"/>
              <w:jc w:val="center"/>
              <w:rPr>
                <w:rFonts w:eastAsia="Times New Roman"/>
                <w:color w:val="000000"/>
                <w:lang w:eastAsia="ru-RU" w:bidi="ru-RU"/>
              </w:rPr>
            </w:pPr>
            <w:r w:rsidRPr="00F210D6">
              <w:rPr>
                <w:rFonts w:eastAsia="Times New Roman"/>
                <w:color w:val="000000"/>
                <w:lang w:eastAsia="ru-RU" w:bidi="ru-RU"/>
              </w:rPr>
              <w:t>1%</w:t>
            </w:r>
          </w:p>
        </w:tc>
        <w:tc>
          <w:tcPr>
            <w:tcW w:w="348" w:type="pct"/>
            <w:noWrap/>
            <w:vAlign w:val="center"/>
            <w:hideMark/>
          </w:tcPr>
          <w:p w14:paraId="48D0F2C1" w14:textId="77777777" w:rsidR="009A4C46" w:rsidRPr="00F210D6" w:rsidRDefault="009A4C46" w:rsidP="00F94FED">
            <w:pPr>
              <w:widowControl w:val="0"/>
              <w:spacing w:after="100" w:afterAutospacing="1"/>
              <w:jc w:val="center"/>
              <w:rPr>
                <w:rFonts w:eastAsia="Times New Roman"/>
                <w:color w:val="000000"/>
                <w:lang w:eastAsia="ru-RU" w:bidi="ru-RU"/>
              </w:rPr>
            </w:pPr>
          </w:p>
        </w:tc>
      </w:tr>
      <w:tr w:rsidR="00E40A64" w:rsidRPr="00F210D6" w14:paraId="225DB057" w14:textId="77777777" w:rsidTr="00F94FED">
        <w:trPr>
          <w:trHeight w:val="600"/>
        </w:trPr>
        <w:tc>
          <w:tcPr>
            <w:tcW w:w="1063" w:type="pct"/>
            <w:vAlign w:val="center"/>
            <w:hideMark/>
          </w:tcPr>
          <w:p w14:paraId="2B875BF7" w14:textId="77777777" w:rsidR="009A4C46" w:rsidRPr="00F210D6" w:rsidRDefault="009A4C46" w:rsidP="00F94FED">
            <w:pPr>
              <w:widowControl w:val="0"/>
              <w:spacing w:after="100" w:afterAutospacing="1"/>
              <w:rPr>
                <w:rFonts w:eastAsia="Times New Roman"/>
                <w:color w:val="000000"/>
                <w:lang w:eastAsia="ru-RU" w:bidi="ru-RU"/>
              </w:rPr>
            </w:pPr>
            <w:r w:rsidRPr="00F210D6">
              <w:rPr>
                <w:rFonts w:eastAsia="Times New Roman"/>
                <w:color w:val="000000"/>
                <w:lang w:eastAsia="ru-RU" w:bidi="ru-RU"/>
              </w:rPr>
              <w:t>Фактическое значение индекса потребительских цен за 2017 год</w:t>
            </w:r>
          </w:p>
        </w:tc>
        <w:tc>
          <w:tcPr>
            <w:tcW w:w="491" w:type="pct"/>
            <w:noWrap/>
            <w:vAlign w:val="center"/>
            <w:hideMark/>
          </w:tcPr>
          <w:p w14:paraId="02DFEA07" w14:textId="77777777" w:rsidR="009A4C46" w:rsidRPr="00F210D6" w:rsidRDefault="009A4C46" w:rsidP="00F94FED">
            <w:pPr>
              <w:widowControl w:val="0"/>
              <w:spacing w:after="100" w:afterAutospacing="1"/>
              <w:jc w:val="center"/>
              <w:rPr>
                <w:rFonts w:eastAsia="Times New Roman"/>
                <w:color w:val="000000"/>
                <w:lang w:eastAsia="ru-RU" w:bidi="ru-RU"/>
              </w:rPr>
            </w:pPr>
            <w:r w:rsidRPr="00F210D6">
              <w:rPr>
                <w:rFonts w:eastAsia="Times New Roman"/>
                <w:color w:val="000000"/>
                <w:lang w:eastAsia="ru-RU" w:bidi="ru-RU"/>
              </w:rPr>
              <w:t>ИПЦ</w:t>
            </w:r>
            <w:r w:rsidRPr="00F210D6">
              <w:rPr>
                <w:rFonts w:eastAsia="Times New Roman"/>
                <w:color w:val="000000"/>
                <w:vertAlign w:val="superscript"/>
                <w:lang w:eastAsia="ru-RU" w:bidi="ru-RU"/>
              </w:rPr>
              <w:t>ф</w:t>
            </w:r>
            <w:r w:rsidRPr="00F210D6">
              <w:rPr>
                <w:rFonts w:eastAsia="Times New Roman"/>
                <w:color w:val="000000"/>
                <w:vertAlign w:val="subscript"/>
                <w:lang w:eastAsia="ru-RU" w:bidi="ru-RU"/>
              </w:rPr>
              <w:t>i-2</w:t>
            </w:r>
          </w:p>
        </w:tc>
        <w:tc>
          <w:tcPr>
            <w:tcW w:w="330" w:type="pct"/>
            <w:noWrap/>
            <w:vAlign w:val="center"/>
            <w:hideMark/>
          </w:tcPr>
          <w:p w14:paraId="6321B31B" w14:textId="77777777" w:rsidR="009A4C46" w:rsidRPr="00F210D6" w:rsidRDefault="009A4C46" w:rsidP="00F94FED">
            <w:pPr>
              <w:widowControl w:val="0"/>
              <w:spacing w:after="100" w:afterAutospacing="1"/>
              <w:jc w:val="center"/>
              <w:rPr>
                <w:rFonts w:eastAsia="Times New Roman"/>
                <w:color w:val="000000"/>
                <w:lang w:eastAsia="ru-RU" w:bidi="ru-RU"/>
              </w:rPr>
            </w:pPr>
            <w:r w:rsidRPr="00F210D6">
              <w:rPr>
                <w:rFonts w:eastAsia="Times New Roman"/>
                <w:color w:val="000000"/>
                <w:lang w:eastAsia="ru-RU" w:bidi="ru-RU"/>
              </w:rPr>
              <w:t>%</w:t>
            </w:r>
          </w:p>
        </w:tc>
        <w:tc>
          <w:tcPr>
            <w:tcW w:w="247" w:type="pct"/>
            <w:noWrap/>
            <w:vAlign w:val="center"/>
            <w:hideMark/>
          </w:tcPr>
          <w:p w14:paraId="1EE1053B" w14:textId="77777777" w:rsidR="009A4C46" w:rsidRPr="00F210D6" w:rsidRDefault="009A4C46" w:rsidP="00F94FED">
            <w:pPr>
              <w:widowControl w:val="0"/>
              <w:spacing w:after="100" w:afterAutospacing="1"/>
              <w:jc w:val="center"/>
              <w:rPr>
                <w:rFonts w:eastAsia="Times New Roman"/>
                <w:color w:val="000000"/>
                <w:lang w:eastAsia="ru-RU" w:bidi="ru-RU"/>
              </w:rPr>
            </w:pPr>
          </w:p>
        </w:tc>
        <w:tc>
          <w:tcPr>
            <w:tcW w:w="248" w:type="pct"/>
            <w:noWrap/>
            <w:vAlign w:val="center"/>
            <w:hideMark/>
          </w:tcPr>
          <w:p w14:paraId="39925A90" w14:textId="77777777" w:rsidR="009A4C46" w:rsidRPr="00F210D6" w:rsidRDefault="009A4C46" w:rsidP="00F94FED">
            <w:pPr>
              <w:widowControl w:val="0"/>
              <w:spacing w:after="100" w:afterAutospacing="1"/>
              <w:jc w:val="center"/>
              <w:rPr>
                <w:rFonts w:eastAsia="Times New Roman"/>
                <w:color w:val="000000"/>
                <w:lang w:eastAsia="ru-RU" w:bidi="ru-RU"/>
              </w:rPr>
            </w:pPr>
          </w:p>
        </w:tc>
        <w:tc>
          <w:tcPr>
            <w:tcW w:w="248" w:type="pct"/>
            <w:noWrap/>
            <w:vAlign w:val="center"/>
            <w:hideMark/>
          </w:tcPr>
          <w:p w14:paraId="3EA90DA5" w14:textId="77777777" w:rsidR="009A4C46" w:rsidRPr="00F210D6" w:rsidRDefault="009A4C46" w:rsidP="00F94FED">
            <w:pPr>
              <w:widowControl w:val="0"/>
              <w:spacing w:after="100" w:afterAutospacing="1"/>
              <w:jc w:val="center"/>
              <w:rPr>
                <w:rFonts w:eastAsia="Times New Roman"/>
                <w:color w:val="000000"/>
                <w:lang w:eastAsia="ru-RU" w:bidi="ru-RU"/>
              </w:rPr>
            </w:pPr>
          </w:p>
        </w:tc>
        <w:tc>
          <w:tcPr>
            <w:tcW w:w="405" w:type="pct"/>
            <w:noWrap/>
            <w:vAlign w:val="center"/>
            <w:hideMark/>
          </w:tcPr>
          <w:p w14:paraId="767D49C8" w14:textId="77777777" w:rsidR="009A4C46" w:rsidRPr="00F210D6" w:rsidRDefault="009A4C46" w:rsidP="00F94FED">
            <w:pPr>
              <w:widowControl w:val="0"/>
              <w:spacing w:after="100" w:afterAutospacing="1"/>
              <w:jc w:val="center"/>
              <w:rPr>
                <w:rFonts w:eastAsia="Times New Roman"/>
                <w:color w:val="000000"/>
                <w:lang w:eastAsia="ru-RU" w:bidi="ru-RU"/>
              </w:rPr>
            </w:pPr>
            <w:r w:rsidRPr="00F210D6">
              <w:rPr>
                <w:rFonts w:eastAsia="Times New Roman"/>
                <w:color w:val="000000"/>
                <w:lang w:eastAsia="ru-RU" w:bidi="ru-RU"/>
              </w:rPr>
              <w:t>6,8%</w:t>
            </w:r>
          </w:p>
        </w:tc>
        <w:tc>
          <w:tcPr>
            <w:tcW w:w="405" w:type="pct"/>
            <w:noWrap/>
            <w:vAlign w:val="center"/>
            <w:hideMark/>
          </w:tcPr>
          <w:p w14:paraId="3F846B80" w14:textId="77777777" w:rsidR="009A4C46" w:rsidRPr="00F210D6" w:rsidRDefault="009A4C46" w:rsidP="00F94FED">
            <w:pPr>
              <w:widowControl w:val="0"/>
              <w:spacing w:after="100" w:afterAutospacing="1"/>
              <w:jc w:val="center"/>
              <w:rPr>
                <w:rFonts w:eastAsia="Times New Roman"/>
                <w:color w:val="000000"/>
                <w:lang w:eastAsia="ru-RU" w:bidi="ru-RU"/>
              </w:rPr>
            </w:pPr>
            <w:r w:rsidRPr="00F210D6">
              <w:rPr>
                <w:rFonts w:eastAsia="Times New Roman"/>
                <w:color w:val="000000"/>
                <w:lang w:eastAsia="ru-RU" w:bidi="ru-RU"/>
              </w:rPr>
              <w:t>7,8%</w:t>
            </w:r>
          </w:p>
        </w:tc>
        <w:tc>
          <w:tcPr>
            <w:tcW w:w="405" w:type="pct"/>
            <w:noWrap/>
            <w:vAlign w:val="center"/>
            <w:hideMark/>
          </w:tcPr>
          <w:p w14:paraId="561CF26D" w14:textId="77777777" w:rsidR="009A4C46" w:rsidRPr="00F210D6" w:rsidRDefault="009A4C46" w:rsidP="00F94FED">
            <w:pPr>
              <w:widowControl w:val="0"/>
              <w:spacing w:after="100" w:afterAutospacing="1"/>
              <w:jc w:val="center"/>
              <w:rPr>
                <w:rFonts w:eastAsia="Times New Roman"/>
                <w:color w:val="000000"/>
                <w:lang w:eastAsia="ru-RU" w:bidi="ru-RU"/>
              </w:rPr>
            </w:pPr>
            <w:r w:rsidRPr="00F210D6">
              <w:rPr>
                <w:rFonts w:eastAsia="Times New Roman"/>
                <w:color w:val="000000"/>
                <w:lang w:eastAsia="ru-RU" w:bidi="ru-RU"/>
              </w:rPr>
              <w:t>15,5%</w:t>
            </w:r>
          </w:p>
        </w:tc>
        <w:tc>
          <w:tcPr>
            <w:tcW w:w="405" w:type="pct"/>
            <w:noWrap/>
            <w:vAlign w:val="center"/>
            <w:hideMark/>
          </w:tcPr>
          <w:p w14:paraId="2F8D3323" w14:textId="77777777" w:rsidR="009A4C46" w:rsidRPr="00F210D6" w:rsidRDefault="009A4C46" w:rsidP="00F94FED">
            <w:pPr>
              <w:widowControl w:val="0"/>
              <w:spacing w:after="100" w:afterAutospacing="1"/>
              <w:jc w:val="center"/>
              <w:rPr>
                <w:rFonts w:eastAsia="Times New Roman"/>
                <w:color w:val="000000"/>
                <w:lang w:eastAsia="ru-RU" w:bidi="ru-RU"/>
              </w:rPr>
            </w:pPr>
            <w:r w:rsidRPr="00F210D6">
              <w:rPr>
                <w:rFonts w:eastAsia="Times New Roman"/>
                <w:color w:val="000000"/>
                <w:lang w:eastAsia="ru-RU" w:bidi="ru-RU"/>
              </w:rPr>
              <w:t>7,1%</w:t>
            </w:r>
          </w:p>
        </w:tc>
        <w:tc>
          <w:tcPr>
            <w:tcW w:w="405" w:type="pct"/>
            <w:noWrap/>
            <w:vAlign w:val="center"/>
            <w:hideMark/>
          </w:tcPr>
          <w:p w14:paraId="56EFA300" w14:textId="77777777" w:rsidR="009A4C46" w:rsidRPr="00F210D6" w:rsidRDefault="009A4C46" w:rsidP="00F94FED">
            <w:pPr>
              <w:widowControl w:val="0"/>
              <w:spacing w:after="100" w:afterAutospacing="1"/>
              <w:jc w:val="center"/>
              <w:rPr>
                <w:rFonts w:eastAsia="Times New Roman"/>
                <w:color w:val="000000"/>
                <w:lang w:eastAsia="ru-RU" w:bidi="ru-RU"/>
              </w:rPr>
            </w:pPr>
            <w:r w:rsidRPr="00F210D6">
              <w:rPr>
                <w:rFonts w:eastAsia="Times New Roman"/>
                <w:color w:val="000000"/>
                <w:lang w:eastAsia="ru-RU" w:bidi="ru-RU"/>
              </w:rPr>
              <w:t>3,9%</w:t>
            </w:r>
          </w:p>
        </w:tc>
        <w:tc>
          <w:tcPr>
            <w:tcW w:w="348" w:type="pct"/>
            <w:noWrap/>
            <w:vAlign w:val="center"/>
            <w:hideMark/>
          </w:tcPr>
          <w:p w14:paraId="424D164F" w14:textId="77777777" w:rsidR="009A4C46" w:rsidRPr="00F210D6" w:rsidRDefault="009A4C46" w:rsidP="00F94FED">
            <w:pPr>
              <w:widowControl w:val="0"/>
              <w:spacing w:after="100" w:afterAutospacing="1"/>
              <w:jc w:val="center"/>
              <w:rPr>
                <w:rFonts w:eastAsia="Times New Roman"/>
                <w:color w:val="000000"/>
                <w:lang w:eastAsia="ru-RU" w:bidi="ru-RU"/>
              </w:rPr>
            </w:pPr>
          </w:p>
        </w:tc>
      </w:tr>
      <w:tr w:rsidR="00E40A64" w:rsidRPr="00F210D6" w14:paraId="63A28911" w14:textId="77777777" w:rsidTr="00F94FED">
        <w:trPr>
          <w:trHeight w:val="660"/>
        </w:trPr>
        <w:tc>
          <w:tcPr>
            <w:tcW w:w="1063" w:type="pct"/>
            <w:vAlign w:val="center"/>
            <w:hideMark/>
          </w:tcPr>
          <w:p w14:paraId="7F42B2B3" w14:textId="77777777" w:rsidR="009A4C46" w:rsidRPr="00F210D6" w:rsidRDefault="009A4C46" w:rsidP="00F94FED">
            <w:pPr>
              <w:widowControl w:val="0"/>
              <w:spacing w:after="100" w:afterAutospacing="1"/>
              <w:rPr>
                <w:rFonts w:eastAsia="Times New Roman"/>
                <w:color w:val="000000"/>
                <w:lang w:eastAsia="ru-RU" w:bidi="ru-RU"/>
              </w:rPr>
            </w:pPr>
            <w:r w:rsidRPr="00F210D6">
              <w:rPr>
                <w:rFonts w:eastAsia="Times New Roman"/>
                <w:color w:val="000000"/>
                <w:lang w:eastAsia="ru-RU" w:bidi="ru-RU"/>
              </w:rPr>
              <w:t>Коэффициент эластичности подконтрольных расходов по количеству активов</w:t>
            </w:r>
          </w:p>
        </w:tc>
        <w:tc>
          <w:tcPr>
            <w:tcW w:w="491" w:type="pct"/>
            <w:noWrap/>
            <w:vAlign w:val="center"/>
            <w:hideMark/>
          </w:tcPr>
          <w:p w14:paraId="3CCE669A" w14:textId="77777777" w:rsidR="009A4C46" w:rsidRPr="00F210D6" w:rsidRDefault="009A4C46" w:rsidP="00F94FED">
            <w:pPr>
              <w:widowControl w:val="0"/>
              <w:spacing w:after="100" w:afterAutospacing="1"/>
              <w:jc w:val="center"/>
              <w:rPr>
                <w:rFonts w:eastAsia="Times New Roman"/>
                <w:color w:val="000000"/>
                <w:lang w:eastAsia="ru-RU" w:bidi="ru-RU"/>
              </w:rPr>
            </w:pPr>
            <w:proofErr w:type="spellStart"/>
            <w:r w:rsidRPr="00F210D6">
              <w:rPr>
                <w:rFonts w:eastAsia="Times New Roman"/>
                <w:color w:val="000000"/>
                <w:lang w:eastAsia="ru-RU" w:bidi="ru-RU"/>
              </w:rPr>
              <w:t>Кэл</w:t>
            </w:r>
            <w:proofErr w:type="spellEnd"/>
          </w:p>
        </w:tc>
        <w:tc>
          <w:tcPr>
            <w:tcW w:w="330" w:type="pct"/>
            <w:noWrap/>
            <w:vAlign w:val="center"/>
            <w:hideMark/>
          </w:tcPr>
          <w:p w14:paraId="5542F93C" w14:textId="77777777" w:rsidR="009A4C46" w:rsidRPr="00F210D6" w:rsidRDefault="009A4C46" w:rsidP="00F94FED">
            <w:pPr>
              <w:widowControl w:val="0"/>
              <w:spacing w:after="100" w:afterAutospacing="1"/>
              <w:jc w:val="center"/>
              <w:rPr>
                <w:rFonts w:eastAsia="Times New Roman"/>
                <w:color w:val="000000"/>
                <w:lang w:eastAsia="ru-RU" w:bidi="ru-RU"/>
              </w:rPr>
            </w:pPr>
          </w:p>
        </w:tc>
        <w:tc>
          <w:tcPr>
            <w:tcW w:w="247" w:type="pct"/>
            <w:noWrap/>
            <w:vAlign w:val="center"/>
            <w:hideMark/>
          </w:tcPr>
          <w:p w14:paraId="05606418" w14:textId="77777777" w:rsidR="009A4C46" w:rsidRPr="00F210D6" w:rsidRDefault="009A4C46" w:rsidP="00F94FED">
            <w:pPr>
              <w:widowControl w:val="0"/>
              <w:spacing w:after="100" w:afterAutospacing="1"/>
              <w:jc w:val="center"/>
              <w:rPr>
                <w:rFonts w:eastAsia="Times New Roman"/>
                <w:color w:val="000000"/>
                <w:lang w:eastAsia="ru-RU" w:bidi="ru-RU"/>
              </w:rPr>
            </w:pPr>
            <w:r w:rsidRPr="00F210D6">
              <w:rPr>
                <w:rFonts w:eastAsia="Times New Roman"/>
                <w:color w:val="000000"/>
                <w:lang w:eastAsia="ru-RU" w:bidi="ru-RU"/>
              </w:rPr>
              <w:t>0,75</w:t>
            </w:r>
          </w:p>
        </w:tc>
        <w:tc>
          <w:tcPr>
            <w:tcW w:w="248" w:type="pct"/>
            <w:noWrap/>
            <w:vAlign w:val="center"/>
            <w:hideMark/>
          </w:tcPr>
          <w:p w14:paraId="5DEC9268" w14:textId="77777777" w:rsidR="009A4C46" w:rsidRPr="00F210D6" w:rsidRDefault="009A4C46" w:rsidP="00F94FED">
            <w:pPr>
              <w:widowControl w:val="0"/>
              <w:spacing w:after="100" w:afterAutospacing="1"/>
              <w:jc w:val="center"/>
              <w:rPr>
                <w:rFonts w:eastAsia="Times New Roman"/>
                <w:color w:val="000000"/>
                <w:lang w:eastAsia="ru-RU" w:bidi="ru-RU"/>
              </w:rPr>
            </w:pPr>
            <w:r w:rsidRPr="00F210D6">
              <w:rPr>
                <w:rFonts w:eastAsia="Times New Roman"/>
                <w:color w:val="000000"/>
                <w:lang w:eastAsia="ru-RU" w:bidi="ru-RU"/>
              </w:rPr>
              <w:t>0,75</w:t>
            </w:r>
          </w:p>
        </w:tc>
        <w:tc>
          <w:tcPr>
            <w:tcW w:w="248" w:type="pct"/>
            <w:noWrap/>
            <w:vAlign w:val="center"/>
            <w:hideMark/>
          </w:tcPr>
          <w:p w14:paraId="57B987A1" w14:textId="77777777" w:rsidR="009A4C46" w:rsidRPr="00F210D6" w:rsidRDefault="009A4C46" w:rsidP="00F94FED">
            <w:pPr>
              <w:widowControl w:val="0"/>
              <w:spacing w:after="100" w:afterAutospacing="1"/>
              <w:jc w:val="center"/>
              <w:rPr>
                <w:rFonts w:eastAsia="Times New Roman"/>
                <w:color w:val="000000"/>
                <w:lang w:eastAsia="ru-RU" w:bidi="ru-RU"/>
              </w:rPr>
            </w:pPr>
            <w:r w:rsidRPr="00F210D6">
              <w:rPr>
                <w:rFonts w:eastAsia="Times New Roman"/>
                <w:color w:val="000000"/>
                <w:lang w:eastAsia="ru-RU" w:bidi="ru-RU"/>
              </w:rPr>
              <w:t>0,75</w:t>
            </w:r>
          </w:p>
        </w:tc>
        <w:tc>
          <w:tcPr>
            <w:tcW w:w="405" w:type="pct"/>
            <w:noWrap/>
            <w:vAlign w:val="center"/>
            <w:hideMark/>
          </w:tcPr>
          <w:p w14:paraId="03952241" w14:textId="77777777" w:rsidR="009A4C46" w:rsidRPr="00F210D6" w:rsidRDefault="009A4C46" w:rsidP="00F94FED">
            <w:pPr>
              <w:widowControl w:val="0"/>
              <w:spacing w:after="100" w:afterAutospacing="1"/>
              <w:jc w:val="center"/>
              <w:rPr>
                <w:rFonts w:eastAsia="Times New Roman"/>
                <w:color w:val="000000"/>
                <w:lang w:eastAsia="ru-RU" w:bidi="ru-RU"/>
              </w:rPr>
            </w:pPr>
            <w:r w:rsidRPr="00F210D6">
              <w:rPr>
                <w:rFonts w:eastAsia="Times New Roman"/>
                <w:color w:val="000000"/>
                <w:lang w:eastAsia="ru-RU" w:bidi="ru-RU"/>
              </w:rPr>
              <w:t>0,75</w:t>
            </w:r>
          </w:p>
        </w:tc>
        <w:tc>
          <w:tcPr>
            <w:tcW w:w="405" w:type="pct"/>
            <w:noWrap/>
            <w:vAlign w:val="center"/>
            <w:hideMark/>
          </w:tcPr>
          <w:p w14:paraId="0B4FC745" w14:textId="77777777" w:rsidR="009A4C46" w:rsidRPr="00F210D6" w:rsidRDefault="009A4C46" w:rsidP="00F94FED">
            <w:pPr>
              <w:widowControl w:val="0"/>
              <w:spacing w:after="100" w:afterAutospacing="1"/>
              <w:jc w:val="center"/>
              <w:rPr>
                <w:rFonts w:eastAsia="Times New Roman"/>
                <w:color w:val="000000"/>
                <w:lang w:eastAsia="ru-RU" w:bidi="ru-RU"/>
              </w:rPr>
            </w:pPr>
            <w:r w:rsidRPr="00F210D6">
              <w:rPr>
                <w:rFonts w:eastAsia="Times New Roman"/>
                <w:color w:val="000000"/>
                <w:lang w:eastAsia="ru-RU" w:bidi="ru-RU"/>
              </w:rPr>
              <w:t>0,75</w:t>
            </w:r>
          </w:p>
        </w:tc>
        <w:tc>
          <w:tcPr>
            <w:tcW w:w="405" w:type="pct"/>
            <w:noWrap/>
            <w:vAlign w:val="center"/>
            <w:hideMark/>
          </w:tcPr>
          <w:p w14:paraId="0E9C69A0" w14:textId="77777777" w:rsidR="009A4C46" w:rsidRPr="00F210D6" w:rsidRDefault="009A4C46" w:rsidP="00F94FED">
            <w:pPr>
              <w:widowControl w:val="0"/>
              <w:spacing w:after="100" w:afterAutospacing="1"/>
              <w:jc w:val="center"/>
              <w:rPr>
                <w:rFonts w:eastAsia="Times New Roman"/>
                <w:color w:val="000000"/>
                <w:lang w:eastAsia="ru-RU" w:bidi="ru-RU"/>
              </w:rPr>
            </w:pPr>
            <w:r w:rsidRPr="00F210D6">
              <w:rPr>
                <w:rFonts w:eastAsia="Times New Roman"/>
                <w:color w:val="000000"/>
                <w:lang w:eastAsia="ru-RU" w:bidi="ru-RU"/>
              </w:rPr>
              <w:t>0,75</w:t>
            </w:r>
          </w:p>
        </w:tc>
        <w:tc>
          <w:tcPr>
            <w:tcW w:w="405" w:type="pct"/>
            <w:noWrap/>
            <w:vAlign w:val="center"/>
            <w:hideMark/>
          </w:tcPr>
          <w:p w14:paraId="218CE483" w14:textId="77777777" w:rsidR="009A4C46" w:rsidRPr="00F210D6" w:rsidRDefault="009A4C46" w:rsidP="00F94FED">
            <w:pPr>
              <w:widowControl w:val="0"/>
              <w:spacing w:after="100" w:afterAutospacing="1"/>
              <w:jc w:val="center"/>
              <w:rPr>
                <w:rFonts w:eastAsia="Times New Roman"/>
                <w:color w:val="000000"/>
                <w:lang w:eastAsia="ru-RU" w:bidi="ru-RU"/>
              </w:rPr>
            </w:pPr>
            <w:r w:rsidRPr="00F210D6">
              <w:rPr>
                <w:rFonts w:eastAsia="Times New Roman"/>
                <w:color w:val="000000"/>
                <w:lang w:eastAsia="ru-RU" w:bidi="ru-RU"/>
              </w:rPr>
              <w:t>0,75</w:t>
            </w:r>
          </w:p>
        </w:tc>
        <w:tc>
          <w:tcPr>
            <w:tcW w:w="405" w:type="pct"/>
            <w:noWrap/>
            <w:vAlign w:val="center"/>
            <w:hideMark/>
          </w:tcPr>
          <w:p w14:paraId="352730B6" w14:textId="77777777" w:rsidR="009A4C46" w:rsidRPr="00F210D6" w:rsidRDefault="009A4C46" w:rsidP="00F94FED">
            <w:pPr>
              <w:widowControl w:val="0"/>
              <w:spacing w:after="100" w:afterAutospacing="1"/>
              <w:jc w:val="center"/>
              <w:rPr>
                <w:rFonts w:eastAsia="Times New Roman"/>
                <w:color w:val="000000"/>
                <w:lang w:eastAsia="ru-RU" w:bidi="ru-RU"/>
              </w:rPr>
            </w:pPr>
            <w:r w:rsidRPr="00F210D6">
              <w:rPr>
                <w:rFonts w:eastAsia="Times New Roman"/>
                <w:color w:val="000000"/>
                <w:lang w:eastAsia="ru-RU" w:bidi="ru-RU"/>
              </w:rPr>
              <w:t>0,75</w:t>
            </w:r>
          </w:p>
        </w:tc>
        <w:tc>
          <w:tcPr>
            <w:tcW w:w="348" w:type="pct"/>
            <w:noWrap/>
            <w:vAlign w:val="center"/>
            <w:hideMark/>
          </w:tcPr>
          <w:p w14:paraId="3B8475A8" w14:textId="77777777" w:rsidR="009A4C46" w:rsidRPr="00F210D6" w:rsidRDefault="009A4C46" w:rsidP="00F94FED">
            <w:pPr>
              <w:widowControl w:val="0"/>
              <w:spacing w:after="100" w:afterAutospacing="1"/>
              <w:jc w:val="center"/>
              <w:rPr>
                <w:rFonts w:eastAsia="Times New Roman"/>
                <w:color w:val="000000"/>
                <w:lang w:eastAsia="ru-RU" w:bidi="ru-RU"/>
              </w:rPr>
            </w:pPr>
          </w:p>
        </w:tc>
      </w:tr>
      <w:tr w:rsidR="00E40A64" w:rsidRPr="00F210D6" w14:paraId="08994451" w14:textId="77777777" w:rsidTr="00F94FED">
        <w:trPr>
          <w:trHeight w:val="360"/>
        </w:trPr>
        <w:tc>
          <w:tcPr>
            <w:tcW w:w="1063" w:type="pct"/>
            <w:vAlign w:val="center"/>
            <w:hideMark/>
          </w:tcPr>
          <w:p w14:paraId="6D71459D" w14:textId="77777777" w:rsidR="009A4C46" w:rsidRPr="00F210D6" w:rsidRDefault="009A4C46" w:rsidP="00F94FED">
            <w:pPr>
              <w:widowControl w:val="0"/>
              <w:spacing w:after="100" w:afterAutospacing="1"/>
              <w:rPr>
                <w:rFonts w:eastAsia="Times New Roman"/>
                <w:color w:val="000000"/>
                <w:lang w:eastAsia="ru-RU" w:bidi="ru-RU"/>
              </w:rPr>
            </w:pPr>
            <w:r w:rsidRPr="00F210D6">
              <w:rPr>
                <w:rFonts w:eastAsia="Times New Roman"/>
                <w:color w:val="000000"/>
                <w:lang w:eastAsia="ru-RU" w:bidi="ru-RU"/>
              </w:rPr>
              <w:t>Фактический индекс изменения количества активов</w:t>
            </w:r>
          </w:p>
        </w:tc>
        <w:tc>
          <w:tcPr>
            <w:tcW w:w="491" w:type="pct"/>
            <w:noWrap/>
            <w:vAlign w:val="center"/>
            <w:hideMark/>
          </w:tcPr>
          <w:p w14:paraId="2D887C37" w14:textId="77777777" w:rsidR="009A4C46" w:rsidRPr="00F210D6" w:rsidRDefault="009A4C46" w:rsidP="00F94FED">
            <w:pPr>
              <w:widowControl w:val="0"/>
              <w:spacing w:after="100" w:afterAutospacing="1"/>
              <w:jc w:val="center"/>
              <w:rPr>
                <w:rFonts w:eastAsia="Times New Roman"/>
                <w:color w:val="000000"/>
                <w:lang w:eastAsia="ru-RU" w:bidi="ru-RU"/>
              </w:rPr>
            </w:pPr>
            <w:r w:rsidRPr="00F210D6">
              <w:rPr>
                <w:rFonts w:eastAsia="Times New Roman"/>
                <w:color w:val="000000"/>
                <w:lang w:eastAsia="ru-RU" w:bidi="ru-RU"/>
              </w:rPr>
              <w:t>ИКА</w:t>
            </w:r>
            <w:r w:rsidRPr="00F210D6">
              <w:rPr>
                <w:rFonts w:eastAsia="Times New Roman"/>
                <w:color w:val="000000"/>
                <w:vertAlign w:val="superscript"/>
                <w:lang w:eastAsia="ru-RU" w:bidi="ru-RU"/>
              </w:rPr>
              <w:t>ф</w:t>
            </w:r>
            <w:r w:rsidRPr="00F210D6">
              <w:rPr>
                <w:rFonts w:eastAsia="Times New Roman"/>
                <w:color w:val="000000"/>
                <w:vertAlign w:val="subscript"/>
                <w:lang w:eastAsia="ru-RU" w:bidi="ru-RU"/>
              </w:rPr>
              <w:t>i-2</w:t>
            </w:r>
          </w:p>
        </w:tc>
        <w:tc>
          <w:tcPr>
            <w:tcW w:w="330" w:type="pct"/>
            <w:noWrap/>
            <w:vAlign w:val="center"/>
            <w:hideMark/>
          </w:tcPr>
          <w:p w14:paraId="68121E46" w14:textId="77777777" w:rsidR="009A4C46" w:rsidRPr="00F210D6" w:rsidRDefault="009A4C46" w:rsidP="00F94FED">
            <w:pPr>
              <w:widowControl w:val="0"/>
              <w:spacing w:after="100" w:afterAutospacing="1"/>
              <w:jc w:val="center"/>
              <w:rPr>
                <w:rFonts w:eastAsia="Times New Roman"/>
                <w:color w:val="000000"/>
                <w:lang w:eastAsia="ru-RU" w:bidi="ru-RU"/>
              </w:rPr>
            </w:pPr>
          </w:p>
        </w:tc>
        <w:tc>
          <w:tcPr>
            <w:tcW w:w="247" w:type="pct"/>
            <w:noWrap/>
            <w:vAlign w:val="center"/>
            <w:hideMark/>
          </w:tcPr>
          <w:p w14:paraId="1A204A89" w14:textId="77777777" w:rsidR="009A4C46" w:rsidRPr="00F210D6" w:rsidRDefault="009A4C46" w:rsidP="00F94FED">
            <w:pPr>
              <w:widowControl w:val="0"/>
              <w:spacing w:after="100" w:afterAutospacing="1"/>
              <w:jc w:val="center"/>
              <w:rPr>
                <w:rFonts w:eastAsia="Times New Roman"/>
                <w:color w:val="000000"/>
                <w:lang w:eastAsia="ru-RU" w:bidi="ru-RU"/>
              </w:rPr>
            </w:pPr>
            <w:r w:rsidRPr="00F210D6">
              <w:rPr>
                <w:rFonts w:eastAsia="Times New Roman"/>
                <w:color w:val="000000"/>
                <w:lang w:eastAsia="ru-RU" w:bidi="ru-RU"/>
              </w:rPr>
              <w:t>-</w:t>
            </w:r>
          </w:p>
        </w:tc>
        <w:tc>
          <w:tcPr>
            <w:tcW w:w="248" w:type="pct"/>
            <w:noWrap/>
            <w:vAlign w:val="center"/>
            <w:hideMark/>
          </w:tcPr>
          <w:p w14:paraId="63D81AD9" w14:textId="77777777" w:rsidR="009A4C46" w:rsidRPr="00F210D6" w:rsidRDefault="009A4C46" w:rsidP="00F94FED">
            <w:pPr>
              <w:widowControl w:val="0"/>
              <w:spacing w:after="100" w:afterAutospacing="1"/>
              <w:jc w:val="center"/>
              <w:rPr>
                <w:rFonts w:eastAsia="Times New Roman"/>
                <w:color w:val="000000"/>
                <w:lang w:eastAsia="ru-RU" w:bidi="ru-RU"/>
              </w:rPr>
            </w:pPr>
            <w:r w:rsidRPr="00F210D6">
              <w:rPr>
                <w:rFonts w:eastAsia="Times New Roman"/>
                <w:color w:val="000000"/>
                <w:lang w:eastAsia="ru-RU" w:bidi="ru-RU"/>
              </w:rPr>
              <w:t>-</w:t>
            </w:r>
          </w:p>
        </w:tc>
        <w:tc>
          <w:tcPr>
            <w:tcW w:w="248" w:type="pct"/>
            <w:noWrap/>
            <w:vAlign w:val="center"/>
            <w:hideMark/>
          </w:tcPr>
          <w:p w14:paraId="748ACFB2" w14:textId="77777777" w:rsidR="009A4C46" w:rsidRPr="00F210D6" w:rsidRDefault="009A4C46" w:rsidP="00F94FED">
            <w:pPr>
              <w:widowControl w:val="0"/>
              <w:spacing w:after="100" w:afterAutospacing="1"/>
              <w:jc w:val="center"/>
              <w:rPr>
                <w:rFonts w:eastAsia="Times New Roman"/>
                <w:color w:val="000000"/>
                <w:lang w:eastAsia="ru-RU" w:bidi="ru-RU"/>
              </w:rPr>
            </w:pPr>
            <w:r w:rsidRPr="00F210D6">
              <w:rPr>
                <w:rFonts w:eastAsia="Times New Roman"/>
                <w:color w:val="000000"/>
                <w:lang w:eastAsia="ru-RU" w:bidi="ru-RU"/>
              </w:rPr>
              <w:t>-</w:t>
            </w:r>
          </w:p>
        </w:tc>
        <w:tc>
          <w:tcPr>
            <w:tcW w:w="405" w:type="pct"/>
            <w:noWrap/>
            <w:vAlign w:val="center"/>
            <w:hideMark/>
          </w:tcPr>
          <w:p w14:paraId="0C4EC9D7" w14:textId="77777777" w:rsidR="009A4C46" w:rsidRPr="00F210D6" w:rsidRDefault="009A4C46" w:rsidP="00F94FED">
            <w:pPr>
              <w:widowControl w:val="0"/>
              <w:spacing w:after="100" w:afterAutospacing="1"/>
              <w:jc w:val="center"/>
              <w:rPr>
                <w:rFonts w:eastAsia="Times New Roman"/>
                <w:color w:val="000000"/>
                <w:sz w:val="18"/>
                <w:szCs w:val="18"/>
                <w:lang w:eastAsia="ru-RU" w:bidi="ru-RU"/>
              </w:rPr>
            </w:pPr>
            <w:r w:rsidRPr="00F210D6">
              <w:rPr>
                <w:rFonts w:eastAsia="Times New Roman"/>
                <w:color w:val="000000"/>
                <w:sz w:val="18"/>
                <w:szCs w:val="18"/>
                <w:lang w:eastAsia="ru-RU" w:bidi="ru-RU"/>
              </w:rPr>
              <w:t>0,00239809</w:t>
            </w:r>
          </w:p>
        </w:tc>
        <w:tc>
          <w:tcPr>
            <w:tcW w:w="405" w:type="pct"/>
            <w:noWrap/>
            <w:vAlign w:val="center"/>
            <w:hideMark/>
          </w:tcPr>
          <w:p w14:paraId="45A1FF6B" w14:textId="77777777" w:rsidR="009A4C46" w:rsidRPr="00F210D6" w:rsidRDefault="009A4C46" w:rsidP="00F94FED">
            <w:pPr>
              <w:widowControl w:val="0"/>
              <w:spacing w:after="100" w:afterAutospacing="1"/>
              <w:jc w:val="center"/>
              <w:rPr>
                <w:rFonts w:eastAsia="Times New Roman"/>
                <w:color w:val="000000"/>
                <w:sz w:val="18"/>
                <w:szCs w:val="18"/>
                <w:lang w:eastAsia="ru-RU" w:bidi="ru-RU"/>
              </w:rPr>
            </w:pPr>
            <w:r w:rsidRPr="00F210D6">
              <w:rPr>
                <w:rFonts w:eastAsia="Times New Roman"/>
                <w:color w:val="000000"/>
                <w:sz w:val="18"/>
                <w:szCs w:val="18"/>
                <w:lang w:eastAsia="ru-RU" w:bidi="ru-RU"/>
              </w:rPr>
              <w:t>0,03094799</w:t>
            </w:r>
          </w:p>
        </w:tc>
        <w:tc>
          <w:tcPr>
            <w:tcW w:w="405" w:type="pct"/>
            <w:noWrap/>
            <w:vAlign w:val="center"/>
            <w:hideMark/>
          </w:tcPr>
          <w:p w14:paraId="72D07C31" w14:textId="77777777" w:rsidR="009A4C46" w:rsidRPr="00F210D6" w:rsidRDefault="009A4C46" w:rsidP="00F94FED">
            <w:pPr>
              <w:widowControl w:val="0"/>
              <w:spacing w:after="100" w:afterAutospacing="1"/>
              <w:jc w:val="center"/>
              <w:rPr>
                <w:rFonts w:eastAsia="Times New Roman"/>
                <w:color w:val="000000"/>
                <w:sz w:val="18"/>
                <w:szCs w:val="18"/>
                <w:lang w:eastAsia="ru-RU" w:bidi="ru-RU"/>
              </w:rPr>
            </w:pPr>
            <w:r w:rsidRPr="00F210D6">
              <w:rPr>
                <w:rFonts w:eastAsia="Times New Roman"/>
                <w:color w:val="000000"/>
                <w:sz w:val="18"/>
                <w:szCs w:val="18"/>
                <w:lang w:eastAsia="ru-RU" w:bidi="ru-RU"/>
              </w:rPr>
              <w:t>0,00288664</w:t>
            </w:r>
          </w:p>
        </w:tc>
        <w:tc>
          <w:tcPr>
            <w:tcW w:w="405" w:type="pct"/>
            <w:noWrap/>
            <w:vAlign w:val="center"/>
            <w:hideMark/>
          </w:tcPr>
          <w:p w14:paraId="43395937" w14:textId="77777777" w:rsidR="009A4C46" w:rsidRPr="00F210D6" w:rsidRDefault="009A4C46" w:rsidP="00F94FED">
            <w:pPr>
              <w:widowControl w:val="0"/>
              <w:spacing w:after="100" w:afterAutospacing="1"/>
              <w:jc w:val="center"/>
              <w:rPr>
                <w:rFonts w:eastAsia="Times New Roman"/>
                <w:color w:val="000000"/>
                <w:sz w:val="18"/>
                <w:szCs w:val="18"/>
                <w:lang w:eastAsia="ru-RU" w:bidi="ru-RU"/>
              </w:rPr>
            </w:pPr>
            <w:r w:rsidRPr="00F210D6">
              <w:rPr>
                <w:rFonts w:eastAsia="Times New Roman"/>
                <w:color w:val="000000"/>
                <w:sz w:val="18"/>
                <w:szCs w:val="18"/>
                <w:lang w:eastAsia="ru-RU" w:bidi="ru-RU"/>
              </w:rPr>
              <w:t>0,01567281</w:t>
            </w:r>
          </w:p>
        </w:tc>
        <w:tc>
          <w:tcPr>
            <w:tcW w:w="405" w:type="pct"/>
            <w:noWrap/>
            <w:vAlign w:val="center"/>
            <w:hideMark/>
          </w:tcPr>
          <w:p w14:paraId="0A205EBD" w14:textId="77777777" w:rsidR="009A4C46" w:rsidRPr="00F210D6" w:rsidRDefault="009A4C46" w:rsidP="00F94FED">
            <w:pPr>
              <w:widowControl w:val="0"/>
              <w:spacing w:after="100" w:afterAutospacing="1"/>
              <w:jc w:val="center"/>
              <w:rPr>
                <w:rFonts w:eastAsia="Times New Roman"/>
                <w:color w:val="000000"/>
                <w:sz w:val="18"/>
                <w:szCs w:val="18"/>
                <w:lang w:eastAsia="ru-RU" w:bidi="ru-RU"/>
              </w:rPr>
            </w:pPr>
            <w:r w:rsidRPr="00F210D6">
              <w:rPr>
                <w:rFonts w:eastAsia="Times New Roman"/>
                <w:color w:val="000000"/>
                <w:sz w:val="18"/>
                <w:szCs w:val="18"/>
                <w:lang w:eastAsia="ru-RU" w:bidi="ru-RU"/>
              </w:rPr>
              <w:t>0,00178777</w:t>
            </w:r>
          </w:p>
        </w:tc>
        <w:tc>
          <w:tcPr>
            <w:tcW w:w="348" w:type="pct"/>
            <w:noWrap/>
            <w:vAlign w:val="center"/>
            <w:hideMark/>
          </w:tcPr>
          <w:p w14:paraId="16DF1E47" w14:textId="77777777" w:rsidR="009A4C46" w:rsidRPr="00F210D6" w:rsidRDefault="009A4C46" w:rsidP="00F94FED">
            <w:pPr>
              <w:widowControl w:val="0"/>
              <w:spacing w:after="100" w:afterAutospacing="1"/>
              <w:jc w:val="center"/>
              <w:rPr>
                <w:rFonts w:eastAsia="Times New Roman"/>
                <w:color w:val="000000"/>
                <w:lang w:eastAsia="ru-RU" w:bidi="ru-RU"/>
              </w:rPr>
            </w:pPr>
          </w:p>
        </w:tc>
      </w:tr>
      <w:tr w:rsidR="00E40A64" w:rsidRPr="00F210D6" w14:paraId="68975BA7" w14:textId="77777777" w:rsidTr="00F94FED">
        <w:trPr>
          <w:trHeight w:val="690"/>
        </w:trPr>
        <w:tc>
          <w:tcPr>
            <w:tcW w:w="1063" w:type="pct"/>
            <w:vAlign w:val="center"/>
            <w:hideMark/>
          </w:tcPr>
          <w:p w14:paraId="7ADE8594" w14:textId="77777777" w:rsidR="009A4C46" w:rsidRPr="00F210D6" w:rsidRDefault="009A4C46" w:rsidP="00F94FED">
            <w:pPr>
              <w:widowControl w:val="0"/>
              <w:spacing w:after="100" w:afterAutospacing="1"/>
              <w:rPr>
                <w:rFonts w:eastAsia="Times New Roman"/>
                <w:i/>
                <w:iCs/>
                <w:color w:val="000000"/>
                <w:lang w:eastAsia="ru-RU" w:bidi="ru-RU"/>
              </w:rPr>
            </w:pPr>
            <w:r w:rsidRPr="00F210D6">
              <w:rPr>
                <w:rFonts w:eastAsia="Times New Roman"/>
                <w:i/>
                <w:iCs/>
                <w:color w:val="000000"/>
                <w:lang w:eastAsia="ru-RU" w:bidi="ru-RU"/>
              </w:rPr>
              <w:t>Фактическое количество условных единиц, относящихся к АО "Тываэнерго" (без учета бесхозяйных сетей) в 2017 году</w:t>
            </w:r>
          </w:p>
        </w:tc>
        <w:tc>
          <w:tcPr>
            <w:tcW w:w="491" w:type="pct"/>
            <w:noWrap/>
            <w:vAlign w:val="center"/>
            <w:hideMark/>
          </w:tcPr>
          <w:p w14:paraId="45B77AC6" w14:textId="77777777" w:rsidR="009A4C46" w:rsidRPr="00F210D6" w:rsidRDefault="009A4C46" w:rsidP="00F94FED">
            <w:pPr>
              <w:widowControl w:val="0"/>
              <w:spacing w:after="100" w:afterAutospacing="1"/>
              <w:jc w:val="center"/>
              <w:rPr>
                <w:rFonts w:eastAsia="Times New Roman"/>
                <w:i/>
                <w:iCs/>
                <w:color w:val="000000"/>
                <w:lang w:eastAsia="ru-RU" w:bidi="ru-RU"/>
              </w:rPr>
            </w:pPr>
            <w:r w:rsidRPr="00F210D6">
              <w:rPr>
                <w:rFonts w:eastAsia="Times New Roman"/>
                <w:i/>
                <w:iCs/>
                <w:color w:val="000000"/>
                <w:lang w:eastAsia="ru-RU" w:bidi="ru-RU"/>
              </w:rPr>
              <w:t>УЕ</w:t>
            </w:r>
            <w:r w:rsidRPr="00F210D6">
              <w:rPr>
                <w:rFonts w:eastAsia="Times New Roman"/>
                <w:i/>
                <w:iCs/>
                <w:color w:val="000000"/>
                <w:vertAlign w:val="superscript"/>
                <w:lang w:eastAsia="ru-RU" w:bidi="ru-RU"/>
              </w:rPr>
              <w:t>ф</w:t>
            </w:r>
            <w:r w:rsidRPr="00F210D6">
              <w:rPr>
                <w:rFonts w:eastAsia="Times New Roman"/>
                <w:i/>
                <w:iCs/>
                <w:color w:val="000000"/>
                <w:vertAlign w:val="subscript"/>
                <w:lang w:eastAsia="ru-RU" w:bidi="ru-RU"/>
              </w:rPr>
              <w:t>i-2</w:t>
            </w:r>
          </w:p>
        </w:tc>
        <w:tc>
          <w:tcPr>
            <w:tcW w:w="330" w:type="pct"/>
            <w:noWrap/>
            <w:vAlign w:val="center"/>
            <w:hideMark/>
          </w:tcPr>
          <w:p w14:paraId="2AEDC916" w14:textId="77777777" w:rsidR="009A4C46" w:rsidRPr="00F210D6" w:rsidRDefault="009A4C46" w:rsidP="00F94FED">
            <w:pPr>
              <w:widowControl w:val="0"/>
              <w:spacing w:after="100" w:afterAutospacing="1"/>
              <w:jc w:val="center"/>
              <w:rPr>
                <w:rFonts w:eastAsia="Times New Roman"/>
                <w:i/>
                <w:iCs/>
                <w:color w:val="000000"/>
                <w:lang w:eastAsia="ru-RU" w:bidi="ru-RU"/>
              </w:rPr>
            </w:pPr>
            <w:r w:rsidRPr="00F210D6">
              <w:rPr>
                <w:rFonts w:eastAsia="Times New Roman"/>
                <w:i/>
                <w:iCs/>
                <w:color w:val="000000"/>
                <w:lang w:eastAsia="ru-RU" w:bidi="ru-RU"/>
              </w:rPr>
              <w:t>у.е.</w:t>
            </w:r>
          </w:p>
        </w:tc>
        <w:tc>
          <w:tcPr>
            <w:tcW w:w="247" w:type="pct"/>
            <w:noWrap/>
            <w:vAlign w:val="center"/>
            <w:hideMark/>
          </w:tcPr>
          <w:p w14:paraId="7F480B95" w14:textId="77777777" w:rsidR="009A4C46" w:rsidRPr="00F210D6" w:rsidRDefault="009A4C46" w:rsidP="00F94FED">
            <w:pPr>
              <w:widowControl w:val="0"/>
              <w:spacing w:after="100" w:afterAutospacing="1"/>
              <w:jc w:val="center"/>
              <w:rPr>
                <w:rFonts w:eastAsia="Times New Roman"/>
                <w:i/>
                <w:iCs/>
                <w:color w:val="000000"/>
                <w:lang w:eastAsia="ru-RU" w:bidi="ru-RU"/>
              </w:rPr>
            </w:pPr>
          </w:p>
        </w:tc>
        <w:tc>
          <w:tcPr>
            <w:tcW w:w="248" w:type="pct"/>
            <w:noWrap/>
            <w:vAlign w:val="center"/>
            <w:hideMark/>
          </w:tcPr>
          <w:p w14:paraId="09F154FC" w14:textId="77777777" w:rsidR="009A4C46" w:rsidRPr="00F210D6" w:rsidRDefault="009A4C46" w:rsidP="00F94FED">
            <w:pPr>
              <w:widowControl w:val="0"/>
              <w:spacing w:after="100" w:afterAutospacing="1"/>
              <w:jc w:val="center"/>
              <w:rPr>
                <w:rFonts w:eastAsia="Times New Roman"/>
                <w:i/>
                <w:iCs/>
                <w:color w:val="000000"/>
                <w:lang w:eastAsia="ru-RU" w:bidi="ru-RU"/>
              </w:rPr>
            </w:pPr>
          </w:p>
        </w:tc>
        <w:tc>
          <w:tcPr>
            <w:tcW w:w="248" w:type="pct"/>
            <w:noWrap/>
            <w:vAlign w:val="center"/>
            <w:hideMark/>
          </w:tcPr>
          <w:p w14:paraId="0A55F2C9" w14:textId="77777777" w:rsidR="009A4C46" w:rsidRPr="00F210D6" w:rsidRDefault="009A4C46" w:rsidP="00F94FED">
            <w:pPr>
              <w:widowControl w:val="0"/>
              <w:spacing w:after="100" w:afterAutospacing="1"/>
              <w:jc w:val="center"/>
              <w:rPr>
                <w:rFonts w:eastAsia="Times New Roman"/>
                <w:i/>
                <w:iCs/>
                <w:color w:val="000000"/>
                <w:lang w:eastAsia="ru-RU" w:bidi="ru-RU"/>
              </w:rPr>
            </w:pPr>
          </w:p>
        </w:tc>
        <w:tc>
          <w:tcPr>
            <w:tcW w:w="405" w:type="pct"/>
            <w:noWrap/>
            <w:vAlign w:val="center"/>
            <w:hideMark/>
          </w:tcPr>
          <w:p w14:paraId="1E4FB514" w14:textId="77777777" w:rsidR="009A4C46" w:rsidRPr="00F210D6" w:rsidRDefault="009A4C46" w:rsidP="00F94FED">
            <w:pPr>
              <w:widowControl w:val="0"/>
              <w:spacing w:after="100" w:afterAutospacing="1"/>
              <w:jc w:val="center"/>
              <w:rPr>
                <w:rFonts w:eastAsia="Times New Roman"/>
                <w:i/>
                <w:iCs/>
                <w:color w:val="000000"/>
                <w:lang w:eastAsia="ru-RU" w:bidi="ru-RU"/>
              </w:rPr>
            </w:pPr>
            <w:r w:rsidRPr="00F210D6">
              <w:rPr>
                <w:rFonts w:eastAsia="Times New Roman"/>
                <w:i/>
                <w:iCs/>
                <w:color w:val="000000"/>
                <w:lang w:eastAsia="ru-RU" w:bidi="ru-RU"/>
              </w:rPr>
              <w:t>27 819,44</w:t>
            </w:r>
          </w:p>
        </w:tc>
        <w:tc>
          <w:tcPr>
            <w:tcW w:w="405" w:type="pct"/>
            <w:noWrap/>
            <w:vAlign w:val="center"/>
            <w:hideMark/>
          </w:tcPr>
          <w:p w14:paraId="72E2929C" w14:textId="77777777" w:rsidR="009A4C46" w:rsidRPr="00F210D6" w:rsidRDefault="009A4C46" w:rsidP="00F94FED">
            <w:pPr>
              <w:widowControl w:val="0"/>
              <w:spacing w:after="100" w:afterAutospacing="1"/>
              <w:jc w:val="center"/>
              <w:rPr>
                <w:rFonts w:eastAsia="Times New Roman"/>
                <w:i/>
                <w:iCs/>
                <w:color w:val="000000"/>
                <w:lang w:eastAsia="ru-RU" w:bidi="ru-RU"/>
              </w:rPr>
            </w:pPr>
            <w:r w:rsidRPr="00F210D6">
              <w:rPr>
                <w:rFonts w:eastAsia="Times New Roman"/>
                <w:i/>
                <w:iCs/>
                <w:color w:val="000000"/>
                <w:lang w:eastAsia="ru-RU" w:bidi="ru-RU"/>
              </w:rPr>
              <w:t>28 680,40</w:t>
            </w:r>
          </w:p>
        </w:tc>
        <w:tc>
          <w:tcPr>
            <w:tcW w:w="405" w:type="pct"/>
            <w:noWrap/>
            <w:vAlign w:val="center"/>
            <w:hideMark/>
          </w:tcPr>
          <w:p w14:paraId="791F5C69" w14:textId="77777777" w:rsidR="009A4C46" w:rsidRPr="00F210D6" w:rsidRDefault="009A4C46" w:rsidP="00F94FED">
            <w:pPr>
              <w:widowControl w:val="0"/>
              <w:spacing w:after="100" w:afterAutospacing="1"/>
              <w:jc w:val="center"/>
              <w:rPr>
                <w:rFonts w:eastAsia="Times New Roman"/>
                <w:i/>
                <w:iCs/>
                <w:color w:val="000000"/>
                <w:lang w:eastAsia="ru-RU" w:bidi="ru-RU"/>
              </w:rPr>
            </w:pPr>
            <w:r w:rsidRPr="00F210D6">
              <w:rPr>
                <w:rFonts w:eastAsia="Times New Roman"/>
                <w:i/>
                <w:iCs/>
                <w:color w:val="000000"/>
                <w:lang w:eastAsia="ru-RU" w:bidi="ru-RU"/>
              </w:rPr>
              <w:t>28 763,19</w:t>
            </w:r>
          </w:p>
        </w:tc>
        <w:tc>
          <w:tcPr>
            <w:tcW w:w="405" w:type="pct"/>
            <w:noWrap/>
            <w:vAlign w:val="center"/>
            <w:hideMark/>
          </w:tcPr>
          <w:p w14:paraId="43291E28" w14:textId="77777777" w:rsidR="009A4C46" w:rsidRPr="00F210D6" w:rsidRDefault="009A4C46" w:rsidP="00F94FED">
            <w:pPr>
              <w:widowControl w:val="0"/>
              <w:spacing w:after="100" w:afterAutospacing="1"/>
              <w:jc w:val="center"/>
              <w:rPr>
                <w:rFonts w:eastAsia="Times New Roman"/>
                <w:i/>
                <w:iCs/>
                <w:color w:val="000000"/>
                <w:lang w:eastAsia="ru-RU" w:bidi="ru-RU"/>
              </w:rPr>
            </w:pPr>
            <w:r w:rsidRPr="00F210D6">
              <w:rPr>
                <w:rFonts w:eastAsia="Times New Roman"/>
                <w:i/>
                <w:iCs/>
                <w:color w:val="000000"/>
                <w:lang w:eastAsia="ru-RU" w:bidi="ru-RU"/>
              </w:rPr>
              <w:t>29 213,99</w:t>
            </w:r>
          </w:p>
        </w:tc>
        <w:tc>
          <w:tcPr>
            <w:tcW w:w="405" w:type="pct"/>
            <w:noWrap/>
            <w:vAlign w:val="center"/>
            <w:hideMark/>
          </w:tcPr>
          <w:p w14:paraId="1B76C1AB" w14:textId="77777777" w:rsidR="009A4C46" w:rsidRPr="00F210D6" w:rsidRDefault="009A4C46" w:rsidP="00F94FED">
            <w:pPr>
              <w:widowControl w:val="0"/>
              <w:spacing w:after="100" w:afterAutospacing="1"/>
              <w:jc w:val="center"/>
              <w:rPr>
                <w:rFonts w:eastAsia="Times New Roman"/>
                <w:i/>
                <w:iCs/>
                <w:color w:val="000000"/>
                <w:lang w:eastAsia="ru-RU" w:bidi="ru-RU"/>
              </w:rPr>
            </w:pPr>
            <w:r w:rsidRPr="00F210D6">
              <w:rPr>
                <w:rFonts w:eastAsia="Times New Roman"/>
                <w:i/>
                <w:iCs/>
                <w:color w:val="000000"/>
                <w:lang w:eastAsia="ru-RU" w:bidi="ru-RU"/>
              </w:rPr>
              <w:t>29 266,22</w:t>
            </w:r>
          </w:p>
        </w:tc>
        <w:tc>
          <w:tcPr>
            <w:tcW w:w="348" w:type="pct"/>
            <w:noWrap/>
            <w:vAlign w:val="center"/>
            <w:hideMark/>
          </w:tcPr>
          <w:p w14:paraId="35F08E7F" w14:textId="77777777" w:rsidR="009A4C46" w:rsidRPr="00F210D6" w:rsidRDefault="009A4C46" w:rsidP="00F94FED">
            <w:pPr>
              <w:widowControl w:val="0"/>
              <w:spacing w:after="100" w:afterAutospacing="1"/>
              <w:jc w:val="center"/>
              <w:rPr>
                <w:rFonts w:eastAsia="Times New Roman"/>
                <w:i/>
                <w:iCs/>
                <w:color w:val="000000"/>
                <w:lang w:eastAsia="ru-RU" w:bidi="ru-RU"/>
              </w:rPr>
            </w:pPr>
          </w:p>
        </w:tc>
      </w:tr>
      <w:tr w:rsidR="00E40A64" w:rsidRPr="00F210D6" w14:paraId="2E9EE90C" w14:textId="77777777" w:rsidTr="00F94FED">
        <w:trPr>
          <w:trHeight w:val="258"/>
        </w:trPr>
        <w:tc>
          <w:tcPr>
            <w:tcW w:w="1063" w:type="pct"/>
            <w:vAlign w:val="center"/>
            <w:hideMark/>
          </w:tcPr>
          <w:p w14:paraId="11A3F461" w14:textId="77777777" w:rsidR="009A4C46" w:rsidRPr="00F210D6" w:rsidRDefault="009A4C46" w:rsidP="00F94FED">
            <w:pPr>
              <w:widowControl w:val="0"/>
              <w:spacing w:after="100" w:afterAutospacing="1"/>
              <w:rPr>
                <w:rFonts w:eastAsia="Times New Roman"/>
                <w:i/>
                <w:iCs/>
                <w:color w:val="000000"/>
                <w:lang w:eastAsia="ru-RU" w:bidi="ru-RU"/>
              </w:rPr>
            </w:pPr>
            <w:r w:rsidRPr="00F210D6">
              <w:rPr>
                <w:rFonts w:eastAsia="Times New Roman"/>
                <w:i/>
                <w:iCs/>
                <w:color w:val="000000"/>
                <w:lang w:eastAsia="ru-RU" w:bidi="ru-RU"/>
              </w:rPr>
              <w:t xml:space="preserve">Фактическое количество условных единиц, относящихся к АО "Тываэнерго" (без учета бесхозяйных сетей) в 2016 году </w:t>
            </w:r>
          </w:p>
        </w:tc>
        <w:tc>
          <w:tcPr>
            <w:tcW w:w="491" w:type="pct"/>
            <w:noWrap/>
            <w:vAlign w:val="center"/>
            <w:hideMark/>
          </w:tcPr>
          <w:p w14:paraId="59E2F77E" w14:textId="77777777" w:rsidR="009A4C46" w:rsidRPr="00F210D6" w:rsidRDefault="009A4C46" w:rsidP="00F94FED">
            <w:pPr>
              <w:widowControl w:val="0"/>
              <w:spacing w:after="100" w:afterAutospacing="1"/>
              <w:jc w:val="center"/>
              <w:rPr>
                <w:rFonts w:eastAsia="Times New Roman"/>
                <w:i/>
                <w:iCs/>
                <w:color w:val="000000"/>
                <w:lang w:eastAsia="ru-RU" w:bidi="ru-RU"/>
              </w:rPr>
            </w:pPr>
            <w:r w:rsidRPr="00F210D6">
              <w:rPr>
                <w:rFonts w:eastAsia="Times New Roman"/>
                <w:i/>
                <w:iCs/>
                <w:color w:val="000000"/>
                <w:lang w:eastAsia="ru-RU" w:bidi="ru-RU"/>
              </w:rPr>
              <w:t>УЕ</w:t>
            </w:r>
            <w:r w:rsidRPr="00F210D6">
              <w:rPr>
                <w:rFonts w:eastAsia="Times New Roman"/>
                <w:i/>
                <w:iCs/>
                <w:color w:val="000000"/>
                <w:vertAlign w:val="superscript"/>
                <w:lang w:eastAsia="ru-RU" w:bidi="ru-RU"/>
              </w:rPr>
              <w:t>ф</w:t>
            </w:r>
            <w:r w:rsidRPr="00F210D6">
              <w:rPr>
                <w:rFonts w:eastAsia="Times New Roman"/>
                <w:i/>
                <w:iCs/>
                <w:color w:val="000000"/>
                <w:vertAlign w:val="subscript"/>
                <w:lang w:eastAsia="ru-RU" w:bidi="ru-RU"/>
              </w:rPr>
              <w:t>i-3</w:t>
            </w:r>
          </w:p>
        </w:tc>
        <w:tc>
          <w:tcPr>
            <w:tcW w:w="330" w:type="pct"/>
            <w:noWrap/>
            <w:vAlign w:val="center"/>
            <w:hideMark/>
          </w:tcPr>
          <w:p w14:paraId="733D76D6" w14:textId="77777777" w:rsidR="009A4C46" w:rsidRPr="00F210D6" w:rsidRDefault="009A4C46" w:rsidP="00F94FED">
            <w:pPr>
              <w:widowControl w:val="0"/>
              <w:spacing w:after="100" w:afterAutospacing="1"/>
              <w:jc w:val="center"/>
              <w:rPr>
                <w:rFonts w:eastAsia="Times New Roman"/>
                <w:i/>
                <w:iCs/>
                <w:color w:val="000000"/>
                <w:lang w:eastAsia="ru-RU" w:bidi="ru-RU"/>
              </w:rPr>
            </w:pPr>
            <w:r w:rsidRPr="00F210D6">
              <w:rPr>
                <w:rFonts w:eastAsia="Times New Roman"/>
                <w:i/>
                <w:iCs/>
                <w:color w:val="000000"/>
                <w:lang w:eastAsia="ru-RU" w:bidi="ru-RU"/>
              </w:rPr>
              <w:t>у.е.</w:t>
            </w:r>
          </w:p>
        </w:tc>
        <w:tc>
          <w:tcPr>
            <w:tcW w:w="247" w:type="pct"/>
            <w:noWrap/>
            <w:vAlign w:val="center"/>
            <w:hideMark/>
          </w:tcPr>
          <w:p w14:paraId="1804D652" w14:textId="77777777" w:rsidR="009A4C46" w:rsidRPr="00F210D6" w:rsidRDefault="009A4C46" w:rsidP="00F94FED">
            <w:pPr>
              <w:widowControl w:val="0"/>
              <w:spacing w:after="100" w:afterAutospacing="1"/>
              <w:jc w:val="center"/>
              <w:rPr>
                <w:rFonts w:eastAsia="Times New Roman"/>
                <w:i/>
                <w:iCs/>
                <w:color w:val="000000"/>
                <w:lang w:eastAsia="ru-RU" w:bidi="ru-RU"/>
              </w:rPr>
            </w:pPr>
          </w:p>
        </w:tc>
        <w:tc>
          <w:tcPr>
            <w:tcW w:w="248" w:type="pct"/>
            <w:noWrap/>
            <w:vAlign w:val="center"/>
            <w:hideMark/>
          </w:tcPr>
          <w:p w14:paraId="0C9ED4E5" w14:textId="77777777" w:rsidR="009A4C46" w:rsidRPr="00F210D6" w:rsidRDefault="009A4C46" w:rsidP="00F94FED">
            <w:pPr>
              <w:widowControl w:val="0"/>
              <w:spacing w:after="100" w:afterAutospacing="1"/>
              <w:jc w:val="center"/>
              <w:rPr>
                <w:rFonts w:eastAsia="Times New Roman"/>
                <w:i/>
                <w:iCs/>
                <w:color w:val="000000"/>
                <w:lang w:eastAsia="ru-RU" w:bidi="ru-RU"/>
              </w:rPr>
            </w:pPr>
          </w:p>
        </w:tc>
        <w:tc>
          <w:tcPr>
            <w:tcW w:w="248" w:type="pct"/>
            <w:noWrap/>
            <w:vAlign w:val="center"/>
            <w:hideMark/>
          </w:tcPr>
          <w:p w14:paraId="445A0525" w14:textId="77777777" w:rsidR="009A4C46" w:rsidRPr="00F210D6" w:rsidRDefault="009A4C46" w:rsidP="00F94FED">
            <w:pPr>
              <w:widowControl w:val="0"/>
              <w:spacing w:after="100" w:afterAutospacing="1"/>
              <w:jc w:val="center"/>
              <w:rPr>
                <w:rFonts w:eastAsia="Times New Roman"/>
                <w:i/>
                <w:iCs/>
                <w:color w:val="000000"/>
                <w:lang w:eastAsia="ru-RU" w:bidi="ru-RU"/>
              </w:rPr>
            </w:pPr>
          </w:p>
        </w:tc>
        <w:tc>
          <w:tcPr>
            <w:tcW w:w="405" w:type="pct"/>
            <w:noWrap/>
            <w:vAlign w:val="center"/>
            <w:hideMark/>
          </w:tcPr>
          <w:p w14:paraId="4C843FDF" w14:textId="77777777" w:rsidR="009A4C46" w:rsidRPr="00F210D6" w:rsidRDefault="009A4C46" w:rsidP="00F94FED">
            <w:pPr>
              <w:widowControl w:val="0"/>
              <w:spacing w:after="100" w:afterAutospacing="1"/>
              <w:jc w:val="center"/>
              <w:rPr>
                <w:rFonts w:eastAsia="Times New Roman"/>
                <w:i/>
                <w:iCs/>
                <w:color w:val="000000"/>
                <w:lang w:eastAsia="ru-RU" w:bidi="ru-RU"/>
              </w:rPr>
            </w:pPr>
            <w:r w:rsidRPr="00F210D6">
              <w:rPr>
                <w:rFonts w:eastAsia="Times New Roman"/>
                <w:i/>
                <w:iCs/>
                <w:color w:val="000000"/>
                <w:lang w:eastAsia="ru-RU" w:bidi="ru-RU"/>
              </w:rPr>
              <w:t>27 752,89</w:t>
            </w:r>
          </w:p>
        </w:tc>
        <w:tc>
          <w:tcPr>
            <w:tcW w:w="405" w:type="pct"/>
            <w:noWrap/>
            <w:vAlign w:val="center"/>
            <w:hideMark/>
          </w:tcPr>
          <w:p w14:paraId="08932947" w14:textId="77777777" w:rsidR="009A4C46" w:rsidRPr="00F210D6" w:rsidRDefault="009A4C46" w:rsidP="00F94FED">
            <w:pPr>
              <w:widowControl w:val="0"/>
              <w:spacing w:after="100" w:afterAutospacing="1"/>
              <w:jc w:val="center"/>
              <w:rPr>
                <w:rFonts w:eastAsia="Times New Roman"/>
                <w:i/>
                <w:iCs/>
                <w:color w:val="000000"/>
                <w:lang w:eastAsia="ru-RU" w:bidi="ru-RU"/>
              </w:rPr>
            </w:pPr>
            <w:r w:rsidRPr="00F210D6">
              <w:rPr>
                <w:rFonts w:eastAsia="Times New Roman"/>
                <w:i/>
                <w:iCs/>
                <w:color w:val="000000"/>
                <w:lang w:eastAsia="ru-RU" w:bidi="ru-RU"/>
              </w:rPr>
              <w:t>27 819,44</w:t>
            </w:r>
          </w:p>
        </w:tc>
        <w:tc>
          <w:tcPr>
            <w:tcW w:w="405" w:type="pct"/>
            <w:noWrap/>
            <w:vAlign w:val="center"/>
            <w:hideMark/>
          </w:tcPr>
          <w:p w14:paraId="10A3456A" w14:textId="77777777" w:rsidR="009A4C46" w:rsidRPr="00F210D6" w:rsidRDefault="009A4C46" w:rsidP="00F94FED">
            <w:pPr>
              <w:widowControl w:val="0"/>
              <w:spacing w:after="100" w:afterAutospacing="1"/>
              <w:jc w:val="center"/>
              <w:rPr>
                <w:rFonts w:eastAsia="Times New Roman"/>
                <w:i/>
                <w:iCs/>
                <w:color w:val="000000"/>
                <w:lang w:eastAsia="ru-RU" w:bidi="ru-RU"/>
              </w:rPr>
            </w:pPr>
            <w:r w:rsidRPr="00F210D6">
              <w:rPr>
                <w:rFonts w:eastAsia="Times New Roman"/>
                <w:i/>
                <w:iCs/>
                <w:color w:val="000000"/>
                <w:lang w:eastAsia="ru-RU" w:bidi="ru-RU"/>
              </w:rPr>
              <w:t>28 680,40</w:t>
            </w:r>
          </w:p>
        </w:tc>
        <w:tc>
          <w:tcPr>
            <w:tcW w:w="405" w:type="pct"/>
            <w:noWrap/>
            <w:vAlign w:val="center"/>
            <w:hideMark/>
          </w:tcPr>
          <w:p w14:paraId="62AAA4F5" w14:textId="77777777" w:rsidR="009A4C46" w:rsidRPr="00F210D6" w:rsidRDefault="009A4C46" w:rsidP="00F94FED">
            <w:pPr>
              <w:widowControl w:val="0"/>
              <w:spacing w:after="100" w:afterAutospacing="1"/>
              <w:jc w:val="center"/>
              <w:rPr>
                <w:rFonts w:eastAsia="Times New Roman"/>
                <w:i/>
                <w:iCs/>
                <w:color w:val="000000"/>
                <w:lang w:eastAsia="ru-RU" w:bidi="ru-RU"/>
              </w:rPr>
            </w:pPr>
            <w:r w:rsidRPr="00F210D6">
              <w:rPr>
                <w:rFonts w:eastAsia="Times New Roman"/>
                <w:i/>
                <w:iCs/>
                <w:color w:val="000000"/>
                <w:lang w:eastAsia="ru-RU" w:bidi="ru-RU"/>
              </w:rPr>
              <w:t>28 763,19</w:t>
            </w:r>
          </w:p>
        </w:tc>
        <w:tc>
          <w:tcPr>
            <w:tcW w:w="405" w:type="pct"/>
            <w:noWrap/>
            <w:vAlign w:val="center"/>
            <w:hideMark/>
          </w:tcPr>
          <w:p w14:paraId="478746B6" w14:textId="77777777" w:rsidR="009A4C46" w:rsidRPr="00F210D6" w:rsidRDefault="009A4C46" w:rsidP="00F94FED">
            <w:pPr>
              <w:widowControl w:val="0"/>
              <w:spacing w:after="100" w:afterAutospacing="1"/>
              <w:jc w:val="center"/>
              <w:rPr>
                <w:rFonts w:eastAsia="Times New Roman"/>
                <w:i/>
                <w:iCs/>
                <w:color w:val="000000"/>
                <w:lang w:eastAsia="ru-RU" w:bidi="ru-RU"/>
              </w:rPr>
            </w:pPr>
            <w:r w:rsidRPr="00F210D6">
              <w:rPr>
                <w:rFonts w:eastAsia="Times New Roman"/>
                <w:i/>
                <w:iCs/>
                <w:color w:val="000000"/>
                <w:lang w:eastAsia="ru-RU" w:bidi="ru-RU"/>
              </w:rPr>
              <w:t>29 213,99</w:t>
            </w:r>
          </w:p>
        </w:tc>
        <w:tc>
          <w:tcPr>
            <w:tcW w:w="348" w:type="pct"/>
            <w:noWrap/>
            <w:vAlign w:val="center"/>
            <w:hideMark/>
          </w:tcPr>
          <w:p w14:paraId="2BB089B0" w14:textId="77777777" w:rsidR="009A4C46" w:rsidRPr="00F210D6" w:rsidRDefault="009A4C46" w:rsidP="00F94FED">
            <w:pPr>
              <w:widowControl w:val="0"/>
              <w:spacing w:after="100" w:afterAutospacing="1"/>
              <w:jc w:val="center"/>
              <w:rPr>
                <w:rFonts w:eastAsia="Times New Roman"/>
                <w:i/>
                <w:iCs/>
                <w:color w:val="000000"/>
                <w:lang w:eastAsia="ru-RU" w:bidi="ru-RU"/>
              </w:rPr>
            </w:pPr>
          </w:p>
        </w:tc>
      </w:tr>
      <w:tr w:rsidR="00E40A64" w:rsidRPr="00F210D6" w14:paraId="4BB02BA1" w14:textId="77777777" w:rsidTr="00F210D6">
        <w:trPr>
          <w:trHeight w:val="360"/>
        </w:trPr>
        <w:tc>
          <w:tcPr>
            <w:tcW w:w="1063" w:type="pct"/>
            <w:shd w:val="clear" w:color="auto" w:fill="D6E3BC" w:themeFill="accent3" w:themeFillTint="66"/>
            <w:vAlign w:val="center"/>
            <w:hideMark/>
          </w:tcPr>
          <w:p w14:paraId="215F4F79" w14:textId="77777777" w:rsidR="009A4C46" w:rsidRPr="00F210D6" w:rsidRDefault="009A4C46" w:rsidP="00F94FED">
            <w:pPr>
              <w:widowControl w:val="0"/>
              <w:spacing w:after="100" w:afterAutospacing="1"/>
              <w:rPr>
                <w:rFonts w:eastAsia="Times New Roman"/>
                <w:color w:val="000000"/>
                <w:lang w:eastAsia="ru-RU" w:bidi="ru-RU"/>
              </w:rPr>
            </w:pPr>
            <w:r w:rsidRPr="00F210D6">
              <w:rPr>
                <w:rFonts w:eastAsia="Times New Roman"/>
                <w:color w:val="000000"/>
                <w:lang w:eastAsia="ru-RU" w:bidi="ru-RU"/>
              </w:rPr>
              <w:t xml:space="preserve">Подконтрольные расходы, установленные на 2017 год </w:t>
            </w:r>
          </w:p>
        </w:tc>
        <w:tc>
          <w:tcPr>
            <w:tcW w:w="491" w:type="pct"/>
            <w:shd w:val="clear" w:color="auto" w:fill="D6E3BC" w:themeFill="accent3" w:themeFillTint="66"/>
            <w:noWrap/>
            <w:vAlign w:val="center"/>
            <w:hideMark/>
          </w:tcPr>
          <w:p w14:paraId="60788DD3" w14:textId="77777777" w:rsidR="009A4C46" w:rsidRPr="00F210D6" w:rsidRDefault="009A4C46" w:rsidP="00F94FED">
            <w:pPr>
              <w:widowControl w:val="0"/>
              <w:spacing w:after="100" w:afterAutospacing="1"/>
              <w:jc w:val="center"/>
              <w:rPr>
                <w:rFonts w:eastAsia="Times New Roman"/>
                <w:color w:val="000000"/>
                <w:lang w:eastAsia="ru-RU" w:bidi="ru-RU"/>
              </w:rPr>
            </w:pPr>
            <w:r w:rsidRPr="00F210D6">
              <w:rPr>
                <w:rFonts w:eastAsia="Times New Roman"/>
                <w:color w:val="000000"/>
                <w:lang w:eastAsia="ru-RU" w:bidi="ru-RU"/>
              </w:rPr>
              <w:t>ПР</w:t>
            </w:r>
            <w:r w:rsidRPr="00F210D6">
              <w:rPr>
                <w:rFonts w:eastAsia="Times New Roman"/>
                <w:color w:val="000000"/>
                <w:vertAlign w:val="superscript"/>
                <w:lang w:eastAsia="ru-RU" w:bidi="ru-RU"/>
              </w:rPr>
              <w:t>уст</w:t>
            </w:r>
            <w:r w:rsidRPr="00F210D6">
              <w:rPr>
                <w:rFonts w:eastAsia="Times New Roman"/>
                <w:color w:val="000000"/>
                <w:vertAlign w:val="subscript"/>
                <w:lang w:eastAsia="ru-RU" w:bidi="ru-RU"/>
              </w:rPr>
              <w:t>i-2</w:t>
            </w:r>
          </w:p>
        </w:tc>
        <w:tc>
          <w:tcPr>
            <w:tcW w:w="330" w:type="pct"/>
            <w:shd w:val="clear" w:color="auto" w:fill="D6E3BC" w:themeFill="accent3" w:themeFillTint="66"/>
            <w:noWrap/>
            <w:vAlign w:val="center"/>
            <w:hideMark/>
          </w:tcPr>
          <w:p w14:paraId="0BE5D2B0" w14:textId="77777777" w:rsidR="009A4C46" w:rsidRPr="00F210D6" w:rsidRDefault="009A4C46" w:rsidP="00F94FED">
            <w:pPr>
              <w:widowControl w:val="0"/>
              <w:spacing w:after="100" w:afterAutospacing="1"/>
              <w:jc w:val="center"/>
              <w:rPr>
                <w:rFonts w:eastAsia="Times New Roman"/>
                <w:color w:val="000000"/>
                <w:lang w:eastAsia="ru-RU" w:bidi="ru-RU"/>
              </w:rPr>
            </w:pPr>
            <w:r w:rsidRPr="00F210D6">
              <w:rPr>
                <w:rFonts w:eastAsia="Times New Roman"/>
                <w:color w:val="000000"/>
                <w:lang w:eastAsia="ru-RU" w:bidi="ru-RU"/>
              </w:rPr>
              <w:t>тыс. руб.</w:t>
            </w:r>
          </w:p>
        </w:tc>
        <w:tc>
          <w:tcPr>
            <w:tcW w:w="247" w:type="pct"/>
            <w:shd w:val="clear" w:color="auto" w:fill="D6E3BC" w:themeFill="accent3" w:themeFillTint="66"/>
            <w:noWrap/>
            <w:vAlign w:val="center"/>
            <w:hideMark/>
          </w:tcPr>
          <w:p w14:paraId="0AD06728" w14:textId="77777777" w:rsidR="009A4C46" w:rsidRPr="00F210D6" w:rsidRDefault="009A4C46" w:rsidP="00F94FED">
            <w:pPr>
              <w:widowControl w:val="0"/>
              <w:spacing w:after="100" w:afterAutospacing="1"/>
              <w:jc w:val="center"/>
              <w:rPr>
                <w:rFonts w:eastAsia="Times New Roman"/>
                <w:color w:val="000000"/>
                <w:lang w:eastAsia="ru-RU" w:bidi="ru-RU"/>
              </w:rPr>
            </w:pPr>
          </w:p>
        </w:tc>
        <w:tc>
          <w:tcPr>
            <w:tcW w:w="248" w:type="pct"/>
            <w:shd w:val="clear" w:color="auto" w:fill="D6E3BC" w:themeFill="accent3" w:themeFillTint="66"/>
            <w:noWrap/>
            <w:vAlign w:val="center"/>
            <w:hideMark/>
          </w:tcPr>
          <w:p w14:paraId="78122C5D" w14:textId="77777777" w:rsidR="009A4C46" w:rsidRPr="00F210D6" w:rsidRDefault="009A4C46" w:rsidP="00F94FED">
            <w:pPr>
              <w:widowControl w:val="0"/>
              <w:spacing w:after="100" w:afterAutospacing="1"/>
              <w:jc w:val="center"/>
              <w:rPr>
                <w:rFonts w:eastAsia="Times New Roman"/>
                <w:color w:val="000000"/>
                <w:lang w:eastAsia="ru-RU" w:bidi="ru-RU"/>
              </w:rPr>
            </w:pPr>
          </w:p>
        </w:tc>
        <w:tc>
          <w:tcPr>
            <w:tcW w:w="248" w:type="pct"/>
            <w:shd w:val="clear" w:color="auto" w:fill="D6E3BC" w:themeFill="accent3" w:themeFillTint="66"/>
            <w:noWrap/>
            <w:vAlign w:val="center"/>
            <w:hideMark/>
          </w:tcPr>
          <w:p w14:paraId="6C3CECE2" w14:textId="77777777" w:rsidR="009A4C46" w:rsidRPr="00F210D6" w:rsidRDefault="009A4C46" w:rsidP="00F94FED">
            <w:pPr>
              <w:widowControl w:val="0"/>
              <w:spacing w:after="100" w:afterAutospacing="1"/>
              <w:jc w:val="center"/>
              <w:rPr>
                <w:rFonts w:eastAsia="Times New Roman"/>
                <w:color w:val="000000"/>
                <w:lang w:eastAsia="ru-RU" w:bidi="ru-RU"/>
              </w:rPr>
            </w:pPr>
          </w:p>
        </w:tc>
        <w:tc>
          <w:tcPr>
            <w:tcW w:w="405" w:type="pct"/>
            <w:shd w:val="clear" w:color="auto" w:fill="D6E3BC" w:themeFill="accent3" w:themeFillTint="66"/>
            <w:noWrap/>
            <w:vAlign w:val="center"/>
            <w:hideMark/>
          </w:tcPr>
          <w:p w14:paraId="7858991A" w14:textId="77777777" w:rsidR="009A4C46" w:rsidRPr="00F210D6" w:rsidRDefault="009A4C46" w:rsidP="00F94FED">
            <w:pPr>
              <w:widowControl w:val="0"/>
              <w:spacing w:after="100" w:afterAutospacing="1"/>
              <w:jc w:val="center"/>
              <w:rPr>
                <w:rFonts w:eastAsia="Times New Roman"/>
                <w:color w:val="000000"/>
                <w:lang w:eastAsia="ru-RU" w:bidi="ru-RU"/>
              </w:rPr>
            </w:pPr>
            <w:r w:rsidRPr="00F210D6">
              <w:rPr>
                <w:rFonts w:eastAsia="Times New Roman"/>
                <w:color w:val="000000"/>
                <w:lang w:eastAsia="ru-RU" w:bidi="ru-RU"/>
              </w:rPr>
              <w:t>484 061</w:t>
            </w:r>
          </w:p>
        </w:tc>
        <w:tc>
          <w:tcPr>
            <w:tcW w:w="405" w:type="pct"/>
            <w:shd w:val="clear" w:color="auto" w:fill="D6E3BC" w:themeFill="accent3" w:themeFillTint="66"/>
            <w:noWrap/>
            <w:vAlign w:val="center"/>
            <w:hideMark/>
          </w:tcPr>
          <w:p w14:paraId="79F67626" w14:textId="77777777" w:rsidR="009A4C46" w:rsidRPr="00F210D6" w:rsidRDefault="009A4C46" w:rsidP="00F94FED">
            <w:pPr>
              <w:widowControl w:val="0"/>
              <w:spacing w:after="100" w:afterAutospacing="1"/>
              <w:jc w:val="center"/>
              <w:rPr>
                <w:rFonts w:eastAsia="Times New Roman"/>
                <w:color w:val="000000"/>
                <w:lang w:eastAsia="ru-RU" w:bidi="ru-RU"/>
              </w:rPr>
            </w:pPr>
            <w:r w:rsidRPr="00F210D6">
              <w:rPr>
                <w:rFonts w:eastAsia="Times New Roman"/>
                <w:color w:val="000000"/>
                <w:lang w:eastAsia="ru-RU" w:bidi="ru-RU"/>
              </w:rPr>
              <w:t>504 141</w:t>
            </w:r>
          </w:p>
        </w:tc>
        <w:tc>
          <w:tcPr>
            <w:tcW w:w="405" w:type="pct"/>
            <w:shd w:val="clear" w:color="auto" w:fill="D6E3BC" w:themeFill="accent3" w:themeFillTint="66"/>
            <w:noWrap/>
            <w:vAlign w:val="center"/>
            <w:hideMark/>
          </w:tcPr>
          <w:p w14:paraId="7F1F8BCF" w14:textId="77777777" w:rsidR="009A4C46" w:rsidRPr="00F210D6" w:rsidRDefault="009A4C46" w:rsidP="00F94FED">
            <w:pPr>
              <w:widowControl w:val="0"/>
              <w:spacing w:after="100" w:afterAutospacing="1"/>
              <w:jc w:val="center"/>
              <w:rPr>
                <w:rFonts w:eastAsia="Times New Roman"/>
                <w:color w:val="000000"/>
                <w:lang w:eastAsia="ru-RU" w:bidi="ru-RU"/>
              </w:rPr>
            </w:pPr>
            <w:r w:rsidRPr="00F210D6">
              <w:rPr>
                <w:rFonts w:eastAsia="Times New Roman"/>
                <w:color w:val="000000"/>
                <w:lang w:eastAsia="ru-RU" w:bidi="ru-RU"/>
              </w:rPr>
              <w:t>523 554</w:t>
            </w:r>
          </w:p>
        </w:tc>
        <w:tc>
          <w:tcPr>
            <w:tcW w:w="405" w:type="pct"/>
            <w:shd w:val="clear" w:color="auto" w:fill="D6E3BC" w:themeFill="accent3" w:themeFillTint="66"/>
            <w:noWrap/>
            <w:vAlign w:val="center"/>
            <w:hideMark/>
          </w:tcPr>
          <w:p w14:paraId="784375B6" w14:textId="77777777" w:rsidR="009A4C46" w:rsidRPr="00F210D6" w:rsidRDefault="009A4C46" w:rsidP="00F94FED">
            <w:pPr>
              <w:widowControl w:val="0"/>
              <w:spacing w:after="100" w:afterAutospacing="1"/>
              <w:jc w:val="center"/>
              <w:rPr>
                <w:rFonts w:eastAsia="Times New Roman"/>
                <w:color w:val="000000"/>
                <w:lang w:eastAsia="ru-RU" w:bidi="ru-RU"/>
              </w:rPr>
            </w:pPr>
            <w:r w:rsidRPr="00F210D6">
              <w:rPr>
                <w:rFonts w:eastAsia="Times New Roman"/>
                <w:color w:val="000000"/>
                <w:lang w:eastAsia="ru-RU" w:bidi="ru-RU"/>
              </w:rPr>
              <w:t>543 715</w:t>
            </w:r>
          </w:p>
        </w:tc>
        <w:tc>
          <w:tcPr>
            <w:tcW w:w="405" w:type="pct"/>
            <w:shd w:val="clear" w:color="auto" w:fill="D6E3BC" w:themeFill="accent3" w:themeFillTint="66"/>
            <w:noWrap/>
            <w:vAlign w:val="center"/>
            <w:hideMark/>
          </w:tcPr>
          <w:p w14:paraId="4F07CE83" w14:textId="77777777" w:rsidR="009A4C46" w:rsidRPr="00F210D6" w:rsidRDefault="009A4C46" w:rsidP="00F94FED">
            <w:pPr>
              <w:widowControl w:val="0"/>
              <w:spacing w:after="100" w:afterAutospacing="1"/>
              <w:jc w:val="center"/>
              <w:rPr>
                <w:rFonts w:eastAsia="Times New Roman"/>
                <w:color w:val="000000"/>
                <w:lang w:eastAsia="ru-RU" w:bidi="ru-RU"/>
              </w:rPr>
            </w:pPr>
            <w:r w:rsidRPr="00F210D6">
              <w:rPr>
                <w:rFonts w:eastAsia="Times New Roman"/>
                <w:color w:val="000000"/>
                <w:lang w:eastAsia="ru-RU" w:bidi="ru-RU"/>
              </w:rPr>
              <w:t>564 655</w:t>
            </w:r>
          </w:p>
        </w:tc>
        <w:tc>
          <w:tcPr>
            <w:tcW w:w="348" w:type="pct"/>
            <w:shd w:val="clear" w:color="auto" w:fill="D6E3BC" w:themeFill="accent3" w:themeFillTint="66"/>
            <w:noWrap/>
            <w:hideMark/>
          </w:tcPr>
          <w:p w14:paraId="798A5A1E" w14:textId="77777777" w:rsidR="009A4C46" w:rsidRPr="00F210D6" w:rsidRDefault="009A4C46" w:rsidP="00F94FED">
            <w:pPr>
              <w:widowControl w:val="0"/>
              <w:spacing w:after="100" w:afterAutospacing="1"/>
              <w:jc w:val="both"/>
              <w:rPr>
                <w:rFonts w:eastAsia="Times New Roman"/>
                <w:color w:val="000000"/>
                <w:lang w:eastAsia="ru-RU" w:bidi="ru-RU"/>
              </w:rPr>
            </w:pPr>
            <w:r w:rsidRPr="00F210D6">
              <w:rPr>
                <w:rFonts w:eastAsia="Times New Roman"/>
                <w:color w:val="000000"/>
                <w:lang w:eastAsia="ru-RU" w:bidi="ru-RU"/>
              </w:rPr>
              <w:t> </w:t>
            </w:r>
          </w:p>
        </w:tc>
      </w:tr>
    </w:tbl>
    <w:p w14:paraId="4086ADB5" w14:textId="77777777" w:rsidR="009A4C46" w:rsidRPr="009A4C46" w:rsidRDefault="009A4C46" w:rsidP="009A4C46">
      <w:pPr>
        <w:widowControl w:val="0"/>
        <w:spacing w:after="32" w:line="360" w:lineRule="auto"/>
        <w:jc w:val="both"/>
        <w:rPr>
          <w:rFonts w:eastAsia="Times New Roman"/>
          <w:bCs/>
          <w:color w:val="000000"/>
          <w:sz w:val="28"/>
          <w:szCs w:val="28"/>
          <w:lang w:eastAsia="ru-RU" w:bidi="ru-RU"/>
        </w:rPr>
      </w:pPr>
    </w:p>
    <w:p w14:paraId="09C2DA04" w14:textId="77777777" w:rsidR="009A4C46" w:rsidRPr="009A4C46" w:rsidRDefault="009A4C46" w:rsidP="009A4C46">
      <w:pPr>
        <w:widowControl w:val="0"/>
        <w:spacing w:after="32" w:line="360" w:lineRule="auto"/>
        <w:jc w:val="both"/>
        <w:rPr>
          <w:rFonts w:eastAsia="Times New Roman"/>
          <w:bCs/>
          <w:color w:val="000000"/>
          <w:sz w:val="28"/>
          <w:szCs w:val="28"/>
          <w:lang w:eastAsia="ru-RU" w:bidi="ru-RU"/>
        </w:rPr>
        <w:sectPr w:rsidR="009A4C46" w:rsidRPr="009A4C46" w:rsidSect="0063188C">
          <w:pgSz w:w="16838" w:h="11906" w:orient="landscape"/>
          <w:pgMar w:top="1701" w:right="1134" w:bottom="851" w:left="1134" w:header="709" w:footer="709" w:gutter="0"/>
          <w:cols w:space="708"/>
          <w:docGrid w:linePitch="360"/>
        </w:sectPr>
      </w:pPr>
    </w:p>
    <w:p w14:paraId="13327617" w14:textId="21484B84" w:rsidR="009A4C46" w:rsidRPr="00F94FED" w:rsidRDefault="00E40A64" w:rsidP="00F210D6">
      <w:pPr>
        <w:spacing w:after="32" w:line="360" w:lineRule="auto"/>
        <w:jc w:val="both"/>
        <w:rPr>
          <w:rFonts w:eastAsia="Times New Roman"/>
          <w:b/>
          <w:bCs/>
          <w:sz w:val="26"/>
          <w:szCs w:val="26"/>
          <w:lang w:eastAsia="ru-RU"/>
        </w:rPr>
      </w:pPr>
      <w:r w:rsidRPr="00F94FED">
        <w:rPr>
          <w:rFonts w:eastAsia="Times New Roman"/>
          <w:b/>
          <w:bCs/>
          <w:sz w:val="26"/>
          <w:szCs w:val="26"/>
          <w:lang w:eastAsia="ru-RU"/>
        </w:rPr>
        <w:lastRenderedPageBreak/>
        <w:t>ПОЗИЦИЯ ОРГАНА РЕГУЛИРОВАНИЯ</w:t>
      </w:r>
    </w:p>
    <w:p w14:paraId="11E91165" w14:textId="70483802" w:rsidR="009A4C46" w:rsidRPr="00F94FED" w:rsidRDefault="009A4C46" w:rsidP="009A4C46">
      <w:pPr>
        <w:spacing w:after="32" w:line="360" w:lineRule="auto"/>
        <w:ind w:firstLine="567"/>
        <w:jc w:val="both"/>
        <w:rPr>
          <w:rFonts w:eastAsia="Times New Roman"/>
          <w:sz w:val="26"/>
          <w:szCs w:val="26"/>
          <w:lang w:eastAsia="ru-RU"/>
        </w:rPr>
      </w:pPr>
      <w:r w:rsidRPr="00F94FED">
        <w:rPr>
          <w:rFonts w:eastAsia="Times New Roman"/>
          <w:sz w:val="26"/>
          <w:szCs w:val="26"/>
          <w:lang w:eastAsia="ru-RU"/>
        </w:rPr>
        <w:t>Согласно экспертному заключению Службы по тарифам Республики Тыва фактический размер подконтрольных расходов за 2017 год подтвержден в сумме 418</w:t>
      </w:r>
      <w:r w:rsidR="00E068A5">
        <w:rPr>
          <w:rFonts w:eastAsia="Times New Roman"/>
          <w:bCs/>
          <w:sz w:val="26"/>
          <w:szCs w:val="26"/>
          <w:lang w:eastAsia="ru-RU"/>
        </w:rPr>
        <w:t> </w:t>
      </w:r>
      <w:r w:rsidRPr="00F94FED">
        <w:rPr>
          <w:rFonts w:eastAsia="Times New Roman"/>
          <w:sz w:val="26"/>
          <w:szCs w:val="26"/>
          <w:lang w:eastAsia="ru-RU"/>
        </w:rPr>
        <w:t>423 тыс. руб. при утвержденном значении 564 655 тыс. рублей.</w:t>
      </w:r>
    </w:p>
    <w:p w14:paraId="354D1CA5" w14:textId="1D999D4A" w:rsidR="009A4C46" w:rsidRPr="00F94FED" w:rsidRDefault="009A4C46" w:rsidP="009A4C46">
      <w:pPr>
        <w:spacing w:after="32" w:line="360" w:lineRule="auto"/>
        <w:ind w:firstLine="567"/>
        <w:jc w:val="both"/>
        <w:rPr>
          <w:rFonts w:eastAsia="Times New Roman"/>
          <w:sz w:val="26"/>
          <w:szCs w:val="26"/>
          <w:lang w:eastAsia="ru-RU"/>
        </w:rPr>
      </w:pPr>
      <w:r w:rsidRPr="00F94FED">
        <w:rPr>
          <w:rFonts w:eastAsia="Times New Roman"/>
          <w:sz w:val="26"/>
          <w:szCs w:val="26"/>
          <w:lang w:eastAsia="ru-RU"/>
        </w:rPr>
        <w:t xml:space="preserve">Отклонение составило </w:t>
      </w:r>
      <w:r w:rsidR="00E068A5">
        <w:rPr>
          <w:rFonts w:eastAsia="Times New Roman"/>
          <w:bCs/>
          <w:sz w:val="26"/>
          <w:szCs w:val="26"/>
          <w:lang w:eastAsia="ru-RU"/>
        </w:rPr>
        <w:t>(</w:t>
      </w:r>
      <w:r w:rsidRPr="00F94FED">
        <w:rPr>
          <w:rFonts w:eastAsia="Times New Roman"/>
          <w:sz w:val="26"/>
          <w:szCs w:val="26"/>
          <w:lang w:eastAsia="ru-RU"/>
        </w:rPr>
        <w:t>-146</w:t>
      </w:r>
      <w:r w:rsidR="00E068A5">
        <w:rPr>
          <w:rFonts w:eastAsia="Times New Roman"/>
          <w:bCs/>
          <w:sz w:val="26"/>
          <w:szCs w:val="26"/>
          <w:lang w:eastAsia="ru-RU"/>
        </w:rPr>
        <w:t> </w:t>
      </w:r>
      <w:r w:rsidRPr="00F94FED">
        <w:rPr>
          <w:rFonts w:eastAsia="Times New Roman"/>
          <w:sz w:val="26"/>
          <w:szCs w:val="26"/>
          <w:lang w:eastAsia="ru-RU"/>
        </w:rPr>
        <w:t>232</w:t>
      </w:r>
      <w:r w:rsidR="00E068A5">
        <w:rPr>
          <w:rFonts w:eastAsia="Times New Roman"/>
          <w:bCs/>
          <w:sz w:val="26"/>
          <w:szCs w:val="26"/>
          <w:lang w:eastAsia="ru-RU"/>
        </w:rPr>
        <w:t>)</w:t>
      </w:r>
      <w:r w:rsidRPr="00F94FED">
        <w:rPr>
          <w:rFonts w:eastAsia="Times New Roman"/>
          <w:sz w:val="26"/>
          <w:szCs w:val="26"/>
          <w:lang w:eastAsia="ru-RU"/>
        </w:rPr>
        <w:t xml:space="preserve"> тыс. руб.</w:t>
      </w:r>
    </w:p>
    <w:p w14:paraId="6A50AE52" w14:textId="3A014CBB" w:rsidR="009A4C46" w:rsidRDefault="009A4C46" w:rsidP="009A4C46">
      <w:pPr>
        <w:spacing w:after="32" w:line="360" w:lineRule="auto"/>
        <w:ind w:firstLine="567"/>
        <w:jc w:val="both"/>
        <w:rPr>
          <w:rFonts w:eastAsia="Times New Roman"/>
          <w:bCs/>
          <w:color w:val="000000"/>
          <w:sz w:val="26"/>
          <w:szCs w:val="26"/>
          <w:lang w:eastAsia="ru-RU" w:bidi="ru-RU"/>
        </w:rPr>
      </w:pPr>
      <w:r w:rsidRPr="00F94FED">
        <w:rPr>
          <w:rFonts w:eastAsia="Times New Roman"/>
          <w:color w:val="000000"/>
          <w:sz w:val="26"/>
          <w:szCs w:val="26"/>
          <w:lang w:eastAsia="ru-RU" w:bidi="ru-RU"/>
        </w:rPr>
        <w:t>Сумма корректировки подконтрольных расходов в связи с изменением планируемых параметров расчета тарифов принята Службой по тарифам Республики Тыва на уровне, заявленном АО «Тываэнерго» в размере (-4 635) тыс. руб.</w:t>
      </w:r>
    </w:p>
    <w:p w14:paraId="5EE982AA" w14:textId="77777777" w:rsidR="00E40A64" w:rsidRPr="00F94FED" w:rsidRDefault="00E40A64" w:rsidP="009A4C46">
      <w:pPr>
        <w:spacing w:after="32" w:line="360" w:lineRule="auto"/>
        <w:ind w:firstLine="567"/>
        <w:jc w:val="both"/>
        <w:rPr>
          <w:rFonts w:eastAsia="Times New Roman"/>
          <w:sz w:val="26"/>
          <w:szCs w:val="26"/>
          <w:lang w:eastAsia="ru-RU"/>
        </w:rPr>
      </w:pPr>
    </w:p>
    <w:p w14:paraId="343C6B76" w14:textId="138FF747" w:rsidR="009A4C46" w:rsidRPr="00F94FED" w:rsidRDefault="00E40A64" w:rsidP="00F210D6">
      <w:pPr>
        <w:spacing w:after="32" w:line="360" w:lineRule="auto"/>
        <w:jc w:val="both"/>
        <w:rPr>
          <w:rFonts w:eastAsia="Calibri"/>
          <w:b/>
          <w:bCs/>
          <w:sz w:val="26"/>
          <w:szCs w:val="26"/>
          <w:lang w:eastAsia="ru-RU"/>
        </w:rPr>
      </w:pPr>
      <w:r w:rsidRPr="00F94FED">
        <w:rPr>
          <w:rFonts w:eastAsia="Calibri"/>
          <w:b/>
          <w:bCs/>
          <w:sz w:val="26"/>
          <w:szCs w:val="26"/>
          <w:lang w:eastAsia="ru-RU"/>
        </w:rPr>
        <w:t>ПОЗИЦИЯ ИСПОЛНИТЕЛЯ</w:t>
      </w:r>
    </w:p>
    <w:p w14:paraId="0CF36862" w14:textId="77777777" w:rsidR="009A4C46" w:rsidRPr="00F94FED" w:rsidRDefault="009A4C46" w:rsidP="009A4C46">
      <w:pPr>
        <w:spacing w:after="32" w:line="360" w:lineRule="auto"/>
        <w:ind w:firstLine="567"/>
        <w:contextualSpacing/>
        <w:jc w:val="both"/>
        <w:rPr>
          <w:rFonts w:eastAsia="Calibri"/>
          <w:sz w:val="26"/>
          <w:szCs w:val="26"/>
          <w:lang w:eastAsia="ru-RU"/>
        </w:rPr>
      </w:pPr>
      <w:r w:rsidRPr="00F94FED">
        <w:rPr>
          <w:rFonts w:eastAsia="Calibri"/>
          <w:sz w:val="26"/>
          <w:szCs w:val="26"/>
          <w:lang w:eastAsia="ru-RU"/>
        </w:rPr>
        <w:t>Исполнителем проведен расчет корректировки подконтрольных расходов на 2019 год.</w:t>
      </w:r>
    </w:p>
    <w:p w14:paraId="70F83B42" w14:textId="77777777" w:rsidR="009A4C46" w:rsidRPr="00F94FED" w:rsidRDefault="009A4C46" w:rsidP="009A4C46">
      <w:pPr>
        <w:spacing w:after="32" w:line="360" w:lineRule="auto"/>
        <w:ind w:firstLine="567"/>
        <w:contextualSpacing/>
        <w:jc w:val="both"/>
        <w:rPr>
          <w:rFonts w:eastAsia="Calibri"/>
          <w:sz w:val="26"/>
          <w:szCs w:val="26"/>
          <w:lang w:eastAsia="ru-RU"/>
        </w:rPr>
      </w:pPr>
      <w:r w:rsidRPr="00F94FED">
        <w:rPr>
          <w:rFonts w:eastAsia="Calibri"/>
          <w:sz w:val="26"/>
          <w:szCs w:val="26"/>
          <w:lang w:eastAsia="ru-RU"/>
        </w:rPr>
        <w:t>При расчете были использованы:</w:t>
      </w:r>
    </w:p>
    <w:p w14:paraId="7E065400" w14:textId="2933DD67" w:rsidR="009A4C46" w:rsidRPr="00F94FED" w:rsidRDefault="009A4C46" w:rsidP="00F94FED">
      <w:pPr>
        <w:pStyle w:val="a3"/>
        <w:numPr>
          <w:ilvl w:val="0"/>
          <w:numId w:val="32"/>
        </w:numPr>
        <w:spacing w:after="32" w:line="360" w:lineRule="auto"/>
        <w:ind w:left="1134" w:hanging="567"/>
        <w:jc w:val="both"/>
        <w:rPr>
          <w:sz w:val="26"/>
          <w:szCs w:val="26"/>
          <w:lang w:eastAsia="ru-RU"/>
        </w:rPr>
      </w:pPr>
      <w:r w:rsidRPr="00F94FED">
        <w:rPr>
          <w:rFonts w:ascii="Myriad Pro" w:hAnsi="Myriad Pro"/>
          <w:sz w:val="26"/>
          <w:szCs w:val="26"/>
          <w:lang w:eastAsia="ru-RU"/>
        </w:rPr>
        <w:t>утвержденные долгосрочные параметры регулирования;</w:t>
      </w:r>
    </w:p>
    <w:p w14:paraId="53D17C1C" w14:textId="45C170C4" w:rsidR="009A4C46" w:rsidRPr="00F94FED" w:rsidRDefault="009A4C46" w:rsidP="00F94FED">
      <w:pPr>
        <w:pStyle w:val="a3"/>
        <w:numPr>
          <w:ilvl w:val="0"/>
          <w:numId w:val="32"/>
        </w:numPr>
        <w:spacing w:after="32" w:line="360" w:lineRule="auto"/>
        <w:ind w:left="1134" w:hanging="567"/>
        <w:jc w:val="both"/>
        <w:rPr>
          <w:sz w:val="26"/>
          <w:szCs w:val="26"/>
          <w:lang w:eastAsia="ru-RU"/>
        </w:rPr>
      </w:pPr>
      <w:r w:rsidRPr="00F94FED">
        <w:rPr>
          <w:rFonts w:ascii="Myriad Pro" w:hAnsi="Myriad Pro"/>
          <w:sz w:val="26"/>
          <w:szCs w:val="26"/>
          <w:lang w:eastAsia="ru-RU"/>
        </w:rPr>
        <w:t>индекс потребительских цен, учтенный Службой по тарифам Республики Тыва на момент утверждения подконтрольный расходов на 2017 год;</w:t>
      </w:r>
    </w:p>
    <w:p w14:paraId="26931E9B" w14:textId="290FD975" w:rsidR="009A4C46" w:rsidRPr="00F94FED" w:rsidRDefault="009A4C46" w:rsidP="00F94FED">
      <w:pPr>
        <w:pStyle w:val="a3"/>
        <w:numPr>
          <w:ilvl w:val="0"/>
          <w:numId w:val="32"/>
        </w:numPr>
        <w:spacing w:after="32" w:line="360" w:lineRule="auto"/>
        <w:ind w:left="1134" w:hanging="567"/>
        <w:jc w:val="both"/>
        <w:rPr>
          <w:sz w:val="26"/>
          <w:szCs w:val="26"/>
          <w:lang w:eastAsia="ru-RU"/>
        </w:rPr>
      </w:pPr>
      <w:r w:rsidRPr="00F94FED">
        <w:rPr>
          <w:rFonts w:ascii="Myriad Pro" w:hAnsi="Myriad Pro"/>
          <w:sz w:val="26"/>
          <w:szCs w:val="26"/>
          <w:lang w:eastAsia="ru-RU"/>
        </w:rPr>
        <w:t>фактический индекс потребительских цен за 2017 год;</w:t>
      </w:r>
    </w:p>
    <w:p w14:paraId="7509F161" w14:textId="60163791" w:rsidR="009A4C46" w:rsidRPr="00F94FED" w:rsidRDefault="009A4C46" w:rsidP="00F94FED">
      <w:pPr>
        <w:pStyle w:val="a3"/>
        <w:numPr>
          <w:ilvl w:val="0"/>
          <w:numId w:val="32"/>
        </w:numPr>
        <w:spacing w:after="32" w:line="360" w:lineRule="auto"/>
        <w:ind w:left="1134" w:hanging="567"/>
        <w:jc w:val="both"/>
        <w:rPr>
          <w:sz w:val="26"/>
          <w:szCs w:val="26"/>
          <w:lang w:eastAsia="ru-RU"/>
        </w:rPr>
      </w:pPr>
      <w:r w:rsidRPr="00F94FED">
        <w:rPr>
          <w:rFonts w:ascii="Myriad Pro" w:hAnsi="Myriad Pro"/>
          <w:sz w:val="26"/>
          <w:szCs w:val="26"/>
          <w:lang w:eastAsia="ru-RU"/>
        </w:rPr>
        <w:t>фактические значения условных единиц, подтвержденные пояснительной запиской АО «Тываэнерго» к расчету размера корректировки подконтрольных расходов в связи с изменением планируемых параметров расчета тарифов, направленные в составе обосновывающих материалов в Службу по тарифам Республики Тыва.</w:t>
      </w:r>
    </w:p>
    <w:p w14:paraId="197E049C" w14:textId="3FC3F30D" w:rsidR="00E40A64" w:rsidRPr="00F94FED" w:rsidRDefault="00E40A64" w:rsidP="00F94FED">
      <w:pPr>
        <w:pStyle w:val="a3"/>
        <w:numPr>
          <w:ilvl w:val="0"/>
          <w:numId w:val="32"/>
        </w:numPr>
        <w:ind w:left="1134" w:hanging="567"/>
        <w:rPr>
          <w:sz w:val="26"/>
          <w:szCs w:val="26"/>
          <w:lang w:eastAsia="ru-RU"/>
        </w:rPr>
      </w:pPr>
      <w:r w:rsidRPr="00F94FED">
        <w:rPr>
          <w:rFonts w:ascii="Myriad Pro" w:hAnsi="Myriad Pro"/>
          <w:sz w:val="26"/>
          <w:szCs w:val="26"/>
          <w:lang w:eastAsia="ru-RU"/>
        </w:rPr>
        <w:br w:type="page"/>
      </w:r>
    </w:p>
    <w:p w14:paraId="38EE5B68" w14:textId="77777777" w:rsidR="009A4C46" w:rsidRPr="00F94FED" w:rsidRDefault="009A4C46" w:rsidP="00F210D6">
      <w:pPr>
        <w:spacing w:after="32" w:line="360" w:lineRule="auto"/>
        <w:contextualSpacing/>
        <w:jc w:val="center"/>
        <w:rPr>
          <w:rFonts w:eastAsia="Calibri"/>
          <w:b/>
          <w:bCs/>
          <w:sz w:val="26"/>
          <w:szCs w:val="26"/>
          <w:lang w:eastAsia="ru-RU"/>
        </w:rPr>
      </w:pPr>
      <w:r w:rsidRPr="00F94FED">
        <w:rPr>
          <w:rFonts w:eastAsia="Calibri"/>
          <w:b/>
          <w:bCs/>
          <w:sz w:val="26"/>
          <w:szCs w:val="26"/>
          <w:lang w:eastAsia="ru-RU"/>
        </w:rPr>
        <w:lastRenderedPageBreak/>
        <w:t>Расчет корректировки подконтрольных расходов в связи с изменением планируемых параметров расчета тарифов</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3"/>
        <w:gridCol w:w="5159"/>
        <w:gridCol w:w="1429"/>
        <w:gridCol w:w="960"/>
        <w:gridCol w:w="1284"/>
      </w:tblGrid>
      <w:tr w:rsidR="00E068A5" w:rsidRPr="00E068A5" w14:paraId="10E92FF5" w14:textId="77777777" w:rsidTr="00E068A5">
        <w:trPr>
          <w:trHeight w:val="600"/>
        </w:trPr>
        <w:tc>
          <w:tcPr>
            <w:tcW w:w="25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B35672B" w14:textId="77777777" w:rsidR="009A4C46" w:rsidRPr="00F94FED" w:rsidRDefault="009A4C46" w:rsidP="009A4C46">
            <w:pPr>
              <w:spacing w:after="0" w:line="240" w:lineRule="auto"/>
              <w:jc w:val="center"/>
              <w:rPr>
                <w:rFonts w:eastAsia="Times New Roman"/>
                <w:b/>
                <w:color w:val="FFFFFF" w:themeColor="background1"/>
                <w:lang w:eastAsia="ru-RU"/>
              </w:rPr>
            </w:pPr>
            <w:r w:rsidRPr="00F94FED">
              <w:rPr>
                <w:rFonts w:eastAsia="Times New Roman"/>
                <w:b/>
                <w:color w:val="FFFFFF" w:themeColor="background1"/>
                <w:lang w:eastAsia="ru-RU"/>
              </w:rPr>
              <w:t>№ п/п</w:t>
            </w:r>
          </w:p>
        </w:tc>
        <w:tc>
          <w:tcPr>
            <w:tcW w:w="284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AC3B3EA" w14:textId="77777777" w:rsidR="009A4C46" w:rsidRPr="00F94FED" w:rsidRDefault="009A4C46" w:rsidP="009A4C46">
            <w:pPr>
              <w:spacing w:after="0" w:line="240" w:lineRule="auto"/>
              <w:jc w:val="center"/>
              <w:rPr>
                <w:rFonts w:eastAsia="Times New Roman"/>
                <w:b/>
                <w:color w:val="FFFFFF" w:themeColor="background1"/>
                <w:lang w:eastAsia="ru-RU"/>
              </w:rPr>
            </w:pPr>
            <w:r w:rsidRPr="00F94FED">
              <w:rPr>
                <w:rFonts w:eastAsia="Times New Roman"/>
                <w:b/>
                <w:color w:val="FFFFFF" w:themeColor="background1"/>
                <w:lang w:eastAsia="ru-RU"/>
              </w:rPr>
              <w:t>Наименование показателя</w:t>
            </w:r>
          </w:p>
        </w:tc>
        <w:tc>
          <w:tcPr>
            <w:tcW w:w="70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0D9E2F1" w14:textId="77777777" w:rsidR="009A4C46" w:rsidRPr="00F94FED" w:rsidRDefault="009A4C46" w:rsidP="009A4C46">
            <w:pPr>
              <w:spacing w:after="0" w:line="240" w:lineRule="auto"/>
              <w:jc w:val="center"/>
              <w:rPr>
                <w:rFonts w:eastAsia="Times New Roman"/>
                <w:b/>
                <w:color w:val="FFFFFF" w:themeColor="background1"/>
                <w:lang w:eastAsia="ru-RU"/>
              </w:rPr>
            </w:pPr>
            <w:r w:rsidRPr="00F94FED">
              <w:rPr>
                <w:rFonts w:eastAsia="Times New Roman"/>
                <w:b/>
                <w:color w:val="FFFFFF" w:themeColor="background1"/>
                <w:lang w:eastAsia="ru-RU"/>
              </w:rPr>
              <w:t>Обозначение показателя</w:t>
            </w:r>
          </w:p>
        </w:tc>
        <w:tc>
          <w:tcPr>
            <w:tcW w:w="5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1E3DD3D" w14:textId="77777777" w:rsidR="009A4C46" w:rsidRPr="00F94FED" w:rsidRDefault="009A4C46" w:rsidP="009A4C46">
            <w:pPr>
              <w:spacing w:after="0" w:line="240" w:lineRule="auto"/>
              <w:jc w:val="center"/>
              <w:rPr>
                <w:rFonts w:eastAsia="Times New Roman"/>
                <w:b/>
                <w:color w:val="FFFFFF" w:themeColor="background1"/>
                <w:lang w:eastAsia="ru-RU"/>
              </w:rPr>
            </w:pPr>
            <w:r w:rsidRPr="00F94FED">
              <w:rPr>
                <w:rFonts w:eastAsia="Times New Roman"/>
                <w:b/>
                <w:color w:val="FFFFFF" w:themeColor="background1"/>
                <w:lang w:eastAsia="ru-RU"/>
              </w:rPr>
              <w:t>Ед. изм.</w:t>
            </w:r>
          </w:p>
        </w:tc>
        <w:tc>
          <w:tcPr>
            <w:tcW w:w="66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DAB5503" w14:textId="77777777" w:rsidR="009A4C46" w:rsidRPr="00F94FED" w:rsidRDefault="009A4C46" w:rsidP="009A4C46">
            <w:pPr>
              <w:spacing w:after="0" w:line="240" w:lineRule="auto"/>
              <w:jc w:val="center"/>
              <w:rPr>
                <w:rFonts w:eastAsia="Times New Roman"/>
                <w:b/>
                <w:color w:val="FFFFFF" w:themeColor="background1"/>
                <w:lang w:eastAsia="ru-RU"/>
              </w:rPr>
            </w:pPr>
            <w:r w:rsidRPr="00F94FED">
              <w:rPr>
                <w:rFonts w:eastAsia="Times New Roman"/>
                <w:b/>
                <w:color w:val="FFFFFF" w:themeColor="background1"/>
                <w:lang w:eastAsia="ru-RU"/>
              </w:rPr>
              <w:t>Значение показателя</w:t>
            </w:r>
          </w:p>
        </w:tc>
      </w:tr>
      <w:tr w:rsidR="009A4C46" w:rsidRPr="00E068A5" w14:paraId="47C028BC" w14:textId="77777777" w:rsidTr="00F94FED">
        <w:trPr>
          <w:trHeight w:val="600"/>
        </w:trPr>
        <w:tc>
          <w:tcPr>
            <w:tcW w:w="254" w:type="pct"/>
            <w:tcBorders>
              <w:top w:val="single" w:sz="4" w:space="0" w:color="FFFFFF" w:themeColor="background1"/>
            </w:tcBorders>
            <w:shd w:val="clear" w:color="auto" w:fill="auto"/>
            <w:noWrap/>
            <w:vAlign w:val="center"/>
            <w:hideMark/>
          </w:tcPr>
          <w:p w14:paraId="5CE171A4" w14:textId="77777777" w:rsidR="009A4C46" w:rsidRPr="00E068A5" w:rsidRDefault="009A4C46" w:rsidP="009A4C46">
            <w:pPr>
              <w:spacing w:after="0" w:line="240" w:lineRule="auto"/>
              <w:rPr>
                <w:rFonts w:eastAsia="Times New Roman"/>
                <w:lang w:eastAsia="ru-RU"/>
              </w:rPr>
            </w:pPr>
            <w:r w:rsidRPr="00E068A5">
              <w:rPr>
                <w:rFonts w:eastAsia="Times New Roman"/>
                <w:lang w:eastAsia="ru-RU"/>
              </w:rPr>
              <w:t>1</w:t>
            </w:r>
          </w:p>
        </w:tc>
        <w:tc>
          <w:tcPr>
            <w:tcW w:w="2846" w:type="pct"/>
            <w:tcBorders>
              <w:top w:val="single" w:sz="4" w:space="0" w:color="FFFFFF" w:themeColor="background1"/>
            </w:tcBorders>
            <w:shd w:val="clear" w:color="auto" w:fill="auto"/>
            <w:vAlign w:val="center"/>
            <w:hideMark/>
          </w:tcPr>
          <w:p w14:paraId="4FD17DCA" w14:textId="77777777" w:rsidR="009A4C46" w:rsidRPr="00E068A5" w:rsidRDefault="009A4C46" w:rsidP="009A4C46">
            <w:pPr>
              <w:spacing w:after="0" w:line="240" w:lineRule="auto"/>
              <w:rPr>
                <w:rFonts w:eastAsia="Times New Roman"/>
                <w:lang w:eastAsia="ru-RU"/>
              </w:rPr>
            </w:pPr>
            <w:r w:rsidRPr="00E068A5">
              <w:rPr>
                <w:rFonts w:eastAsia="Times New Roman"/>
                <w:lang w:eastAsia="ru-RU"/>
              </w:rPr>
              <w:t>Год долгосрочного периода регулирования, в котором необходимо учесть корректировку</w:t>
            </w:r>
          </w:p>
        </w:tc>
        <w:tc>
          <w:tcPr>
            <w:tcW w:w="703" w:type="pct"/>
            <w:tcBorders>
              <w:top w:val="single" w:sz="4" w:space="0" w:color="FFFFFF" w:themeColor="background1"/>
            </w:tcBorders>
            <w:shd w:val="clear" w:color="auto" w:fill="auto"/>
            <w:vAlign w:val="center"/>
            <w:hideMark/>
          </w:tcPr>
          <w:p w14:paraId="32D386B9" w14:textId="77777777" w:rsidR="009A4C46" w:rsidRPr="00E068A5" w:rsidRDefault="009A4C46" w:rsidP="009A4C46">
            <w:pPr>
              <w:spacing w:after="0" w:line="240" w:lineRule="auto"/>
              <w:jc w:val="center"/>
              <w:rPr>
                <w:rFonts w:eastAsia="Times New Roman"/>
                <w:lang w:eastAsia="ru-RU"/>
              </w:rPr>
            </w:pPr>
            <w:r w:rsidRPr="00E068A5">
              <w:rPr>
                <w:rFonts w:eastAsia="Times New Roman"/>
                <w:lang w:eastAsia="ru-RU"/>
              </w:rPr>
              <w:t>i</w:t>
            </w:r>
          </w:p>
        </w:tc>
        <w:tc>
          <w:tcPr>
            <w:tcW w:w="535" w:type="pct"/>
            <w:tcBorders>
              <w:top w:val="single" w:sz="4" w:space="0" w:color="FFFFFF" w:themeColor="background1"/>
            </w:tcBorders>
            <w:shd w:val="clear" w:color="auto" w:fill="auto"/>
            <w:noWrap/>
            <w:vAlign w:val="center"/>
            <w:hideMark/>
          </w:tcPr>
          <w:p w14:paraId="77E446F6" w14:textId="77777777" w:rsidR="009A4C46" w:rsidRPr="00E068A5" w:rsidRDefault="009A4C46" w:rsidP="009A4C46">
            <w:pPr>
              <w:spacing w:after="0" w:line="240" w:lineRule="auto"/>
              <w:jc w:val="center"/>
              <w:rPr>
                <w:rFonts w:eastAsia="Times New Roman"/>
                <w:lang w:eastAsia="ru-RU"/>
              </w:rPr>
            </w:pPr>
            <w:r w:rsidRPr="00E068A5">
              <w:rPr>
                <w:rFonts w:eastAsia="Times New Roman"/>
                <w:lang w:eastAsia="ru-RU"/>
              </w:rPr>
              <w:t> </w:t>
            </w:r>
          </w:p>
        </w:tc>
        <w:tc>
          <w:tcPr>
            <w:tcW w:w="661" w:type="pct"/>
            <w:tcBorders>
              <w:top w:val="single" w:sz="4" w:space="0" w:color="FFFFFF" w:themeColor="background1"/>
            </w:tcBorders>
            <w:shd w:val="clear" w:color="auto" w:fill="auto"/>
            <w:noWrap/>
            <w:vAlign w:val="center"/>
            <w:hideMark/>
          </w:tcPr>
          <w:p w14:paraId="0B8350D1" w14:textId="77777777" w:rsidR="009A4C46" w:rsidRPr="00E068A5" w:rsidRDefault="009A4C46" w:rsidP="009A4C46">
            <w:pPr>
              <w:spacing w:after="0" w:line="240" w:lineRule="auto"/>
              <w:jc w:val="center"/>
              <w:rPr>
                <w:rFonts w:eastAsia="Times New Roman"/>
                <w:lang w:eastAsia="ru-RU"/>
              </w:rPr>
            </w:pPr>
            <w:r w:rsidRPr="00E068A5">
              <w:rPr>
                <w:rFonts w:eastAsia="Times New Roman"/>
                <w:lang w:eastAsia="ru-RU"/>
              </w:rPr>
              <w:t>2019</w:t>
            </w:r>
          </w:p>
        </w:tc>
      </w:tr>
      <w:tr w:rsidR="009A4C46" w:rsidRPr="00E068A5" w14:paraId="7C657727" w14:textId="77777777" w:rsidTr="0063188C">
        <w:trPr>
          <w:trHeight w:val="1530"/>
        </w:trPr>
        <w:tc>
          <w:tcPr>
            <w:tcW w:w="254" w:type="pct"/>
            <w:shd w:val="clear" w:color="auto" w:fill="auto"/>
            <w:noWrap/>
            <w:vAlign w:val="center"/>
            <w:hideMark/>
          </w:tcPr>
          <w:p w14:paraId="31E780BA" w14:textId="77777777" w:rsidR="009A4C46" w:rsidRPr="003E2802" w:rsidRDefault="009A4C46" w:rsidP="009A4C46">
            <w:pPr>
              <w:spacing w:after="0" w:line="240" w:lineRule="auto"/>
              <w:rPr>
                <w:rFonts w:eastAsia="Times New Roman"/>
                <w:lang w:eastAsia="ru-RU"/>
              </w:rPr>
            </w:pPr>
            <w:r w:rsidRPr="00E169B0">
              <w:rPr>
                <w:rFonts w:eastAsia="Times New Roman"/>
                <w:lang w:eastAsia="ru-RU"/>
              </w:rPr>
              <w:t>2</w:t>
            </w:r>
          </w:p>
        </w:tc>
        <w:tc>
          <w:tcPr>
            <w:tcW w:w="2846" w:type="pct"/>
            <w:shd w:val="clear" w:color="auto" w:fill="auto"/>
            <w:vAlign w:val="center"/>
            <w:hideMark/>
          </w:tcPr>
          <w:p w14:paraId="19421D8A" w14:textId="77777777" w:rsidR="009A4C46" w:rsidRPr="00E068A5" w:rsidRDefault="009A4C46" w:rsidP="009A4C46">
            <w:pPr>
              <w:spacing w:after="0" w:line="240" w:lineRule="auto"/>
              <w:rPr>
                <w:rFonts w:eastAsia="Times New Roman"/>
                <w:b/>
                <w:lang w:eastAsia="ru-RU"/>
              </w:rPr>
            </w:pPr>
            <w:r w:rsidRPr="00E068A5">
              <w:rPr>
                <w:rFonts w:eastAsia="Times New Roman"/>
                <w:b/>
                <w:lang w:eastAsia="ru-RU"/>
              </w:rPr>
              <w:t>Корректировка подконтрольных расходов в связи с изменением планируемых параметров расчета тарифов</w:t>
            </w:r>
            <w:r w:rsidRPr="00E068A5">
              <w:rPr>
                <w:rFonts w:eastAsia="Times New Roman"/>
                <w:lang w:eastAsia="ru-RU"/>
              </w:rPr>
              <w:t xml:space="preserve"> (предусмотрена для ежегодного применения по итогам последнего истекшего года долгосрочного периода регулирования)</w:t>
            </w:r>
          </w:p>
        </w:tc>
        <w:tc>
          <w:tcPr>
            <w:tcW w:w="703" w:type="pct"/>
            <w:shd w:val="clear" w:color="auto" w:fill="auto"/>
            <w:noWrap/>
            <w:vAlign w:val="center"/>
            <w:hideMark/>
          </w:tcPr>
          <w:p w14:paraId="1873F2EE" w14:textId="77777777" w:rsidR="009A4C46" w:rsidRPr="00E169B0" w:rsidRDefault="009A4C46" w:rsidP="009A4C46">
            <w:pPr>
              <w:spacing w:after="0" w:line="240" w:lineRule="auto"/>
              <w:jc w:val="center"/>
              <w:rPr>
                <w:rFonts w:eastAsia="Times New Roman"/>
                <w:lang w:eastAsia="ru-RU"/>
              </w:rPr>
            </w:pPr>
            <w:r w:rsidRPr="00E169B0">
              <w:rPr>
                <w:rFonts w:eastAsia="Times New Roman"/>
                <w:noProof/>
                <w:lang w:eastAsia="ru-RU"/>
              </w:rPr>
              <w:drawing>
                <wp:inline distT="0" distB="0" distL="0" distR="0" wp14:anchorId="26C306D1" wp14:editId="22E94EFA">
                  <wp:extent cx="487680" cy="231775"/>
                  <wp:effectExtent l="0" t="0" r="762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87680" cy="231775"/>
                          </a:xfrm>
                          <a:prstGeom prst="rect">
                            <a:avLst/>
                          </a:prstGeom>
                          <a:noFill/>
                        </pic:spPr>
                      </pic:pic>
                    </a:graphicData>
                  </a:graphic>
                </wp:inline>
              </w:drawing>
            </w:r>
          </w:p>
        </w:tc>
        <w:tc>
          <w:tcPr>
            <w:tcW w:w="535" w:type="pct"/>
            <w:shd w:val="clear" w:color="auto" w:fill="auto"/>
            <w:noWrap/>
            <w:vAlign w:val="center"/>
            <w:hideMark/>
          </w:tcPr>
          <w:p w14:paraId="333B45FD" w14:textId="77777777" w:rsidR="009A4C46" w:rsidRPr="00E068A5" w:rsidRDefault="009A4C46" w:rsidP="009A4C46">
            <w:pPr>
              <w:spacing w:after="0" w:line="240" w:lineRule="auto"/>
              <w:jc w:val="center"/>
              <w:rPr>
                <w:rFonts w:eastAsia="Times New Roman"/>
                <w:lang w:eastAsia="ru-RU"/>
              </w:rPr>
            </w:pPr>
            <w:r w:rsidRPr="003E2802">
              <w:rPr>
                <w:rFonts w:eastAsia="Times New Roman"/>
                <w:lang w:eastAsia="ru-RU"/>
              </w:rPr>
              <w:t>тыс. руб.</w:t>
            </w:r>
          </w:p>
        </w:tc>
        <w:tc>
          <w:tcPr>
            <w:tcW w:w="661" w:type="pct"/>
            <w:shd w:val="clear" w:color="auto" w:fill="auto"/>
            <w:noWrap/>
            <w:vAlign w:val="center"/>
            <w:hideMark/>
          </w:tcPr>
          <w:p w14:paraId="03F8D73A" w14:textId="77777777" w:rsidR="009A4C46" w:rsidRPr="00E068A5" w:rsidRDefault="009A4C46" w:rsidP="009A4C46">
            <w:pPr>
              <w:spacing w:after="0" w:line="240" w:lineRule="auto"/>
              <w:jc w:val="center"/>
              <w:rPr>
                <w:rFonts w:eastAsia="Times New Roman"/>
                <w:b/>
                <w:lang w:eastAsia="ru-RU"/>
              </w:rPr>
            </w:pPr>
            <w:r w:rsidRPr="00E068A5">
              <w:rPr>
                <w:rFonts w:eastAsia="Times New Roman"/>
                <w:b/>
                <w:lang w:eastAsia="ru-RU"/>
              </w:rPr>
              <w:t>- 5 712</w:t>
            </w:r>
          </w:p>
        </w:tc>
      </w:tr>
      <w:tr w:rsidR="009A4C46" w:rsidRPr="00E068A5" w14:paraId="5147DA5B" w14:textId="77777777" w:rsidTr="0063188C">
        <w:trPr>
          <w:trHeight w:val="360"/>
        </w:trPr>
        <w:tc>
          <w:tcPr>
            <w:tcW w:w="254" w:type="pct"/>
            <w:shd w:val="clear" w:color="auto" w:fill="auto"/>
            <w:noWrap/>
            <w:vAlign w:val="center"/>
            <w:hideMark/>
          </w:tcPr>
          <w:p w14:paraId="5B98FE04" w14:textId="77777777" w:rsidR="009A4C46" w:rsidRPr="003E2802" w:rsidRDefault="009A4C46" w:rsidP="009A4C46">
            <w:pPr>
              <w:spacing w:after="0" w:line="240" w:lineRule="auto"/>
              <w:rPr>
                <w:rFonts w:eastAsia="Times New Roman"/>
                <w:lang w:eastAsia="ru-RU"/>
              </w:rPr>
            </w:pPr>
            <w:r w:rsidRPr="00E169B0">
              <w:rPr>
                <w:rFonts w:eastAsia="Times New Roman"/>
                <w:lang w:eastAsia="ru-RU"/>
              </w:rPr>
              <w:t>3</w:t>
            </w:r>
          </w:p>
        </w:tc>
        <w:tc>
          <w:tcPr>
            <w:tcW w:w="2846" w:type="pct"/>
            <w:shd w:val="clear" w:color="auto" w:fill="auto"/>
            <w:vAlign w:val="center"/>
            <w:hideMark/>
          </w:tcPr>
          <w:p w14:paraId="1755BA32" w14:textId="77777777" w:rsidR="009A4C46" w:rsidRPr="00E068A5" w:rsidRDefault="009A4C46" w:rsidP="009A4C46">
            <w:pPr>
              <w:spacing w:after="0" w:line="240" w:lineRule="auto"/>
              <w:rPr>
                <w:rFonts w:eastAsia="Times New Roman"/>
                <w:lang w:eastAsia="ru-RU"/>
              </w:rPr>
            </w:pPr>
            <w:r w:rsidRPr="00E068A5">
              <w:rPr>
                <w:rFonts w:eastAsia="Times New Roman"/>
                <w:lang w:eastAsia="ru-RU"/>
              </w:rPr>
              <w:t>Подконтрольные расходы, установленные на 2016 год</w:t>
            </w:r>
          </w:p>
        </w:tc>
        <w:tc>
          <w:tcPr>
            <w:tcW w:w="703" w:type="pct"/>
            <w:shd w:val="clear" w:color="auto" w:fill="auto"/>
            <w:noWrap/>
            <w:vAlign w:val="center"/>
            <w:hideMark/>
          </w:tcPr>
          <w:p w14:paraId="4ED4C25E" w14:textId="77777777" w:rsidR="009A4C46" w:rsidRPr="00E068A5" w:rsidRDefault="009A4C46" w:rsidP="009A4C46">
            <w:pPr>
              <w:spacing w:after="0" w:line="240" w:lineRule="auto"/>
              <w:jc w:val="center"/>
              <w:rPr>
                <w:rFonts w:eastAsia="Times New Roman"/>
                <w:lang w:eastAsia="ru-RU"/>
              </w:rPr>
            </w:pPr>
            <w:r w:rsidRPr="00E068A5">
              <w:rPr>
                <w:rFonts w:eastAsia="Times New Roman"/>
                <w:lang w:eastAsia="ru-RU"/>
              </w:rPr>
              <w:t>ПР</w:t>
            </w:r>
            <w:r w:rsidRPr="00E068A5">
              <w:rPr>
                <w:rFonts w:eastAsia="Times New Roman"/>
                <w:vertAlign w:val="superscript"/>
                <w:lang w:eastAsia="ru-RU"/>
              </w:rPr>
              <w:t>уст</w:t>
            </w:r>
            <w:r w:rsidRPr="00E068A5">
              <w:rPr>
                <w:rFonts w:eastAsia="Times New Roman"/>
                <w:vertAlign w:val="subscript"/>
                <w:lang w:eastAsia="ru-RU"/>
              </w:rPr>
              <w:t>i-3</w:t>
            </w:r>
          </w:p>
        </w:tc>
        <w:tc>
          <w:tcPr>
            <w:tcW w:w="535" w:type="pct"/>
            <w:shd w:val="clear" w:color="auto" w:fill="auto"/>
            <w:noWrap/>
            <w:vAlign w:val="center"/>
            <w:hideMark/>
          </w:tcPr>
          <w:p w14:paraId="53315E73" w14:textId="77777777" w:rsidR="009A4C46" w:rsidRPr="00E068A5" w:rsidRDefault="009A4C46" w:rsidP="009A4C46">
            <w:pPr>
              <w:spacing w:after="0" w:line="240" w:lineRule="auto"/>
              <w:jc w:val="center"/>
              <w:rPr>
                <w:rFonts w:eastAsia="Times New Roman"/>
                <w:lang w:eastAsia="ru-RU"/>
              </w:rPr>
            </w:pPr>
            <w:r w:rsidRPr="00E068A5">
              <w:rPr>
                <w:rFonts w:eastAsia="Times New Roman"/>
                <w:lang w:eastAsia="ru-RU"/>
              </w:rPr>
              <w:t>тыс. руб.</w:t>
            </w:r>
          </w:p>
        </w:tc>
        <w:tc>
          <w:tcPr>
            <w:tcW w:w="661" w:type="pct"/>
            <w:shd w:val="clear" w:color="auto" w:fill="auto"/>
            <w:noWrap/>
            <w:vAlign w:val="center"/>
            <w:hideMark/>
          </w:tcPr>
          <w:p w14:paraId="28013480" w14:textId="77777777" w:rsidR="009A4C46" w:rsidRPr="00E068A5" w:rsidRDefault="009A4C46" w:rsidP="009A4C46">
            <w:pPr>
              <w:spacing w:after="0" w:line="240" w:lineRule="auto"/>
              <w:jc w:val="center"/>
              <w:rPr>
                <w:rFonts w:eastAsia="Times New Roman"/>
                <w:lang w:eastAsia="ru-RU"/>
              </w:rPr>
            </w:pPr>
            <w:r w:rsidRPr="00E068A5">
              <w:rPr>
                <w:rFonts w:eastAsia="Times New Roman"/>
                <w:lang w:eastAsia="ru-RU"/>
              </w:rPr>
              <w:t>543 715</w:t>
            </w:r>
          </w:p>
        </w:tc>
      </w:tr>
      <w:tr w:rsidR="009A4C46" w:rsidRPr="00E068A5" w14:paraId="459EA7AC" w14:textId="77777777" w:rsidTr="0063188C">
        <w:trPr>
          <w:trHeight w:val="660"/>
        </w:trPr>
        <w:tc>
          <w:tcPr>
            <w:tcW w:w="254" w:type="pct"/>
            <w:shd w:val="clear" w:color="auto" w:fill="auto"/>
            <w:noWrap/>
            <w:vAlign w:val="center"/>
            <w:hideMark/>
          </w:tcPr>
          <w:p w14:paraId="4C90B651" w14:textId="77777777" w:rsidR="009A4C46" w:rsidRPr="003E2802" w:rsidRDefault="009A4C46" w:rsidP="009A4C46">
            <w:pPr>
              <w:spacing w:after="0" w:line="240" w:lineRule="auto"/>
              <w:rPr>
                <w:rFonts w:eastAsia="Times New Roman"/>
                <w:lang w:eastAsia="ru-RU"/>
              </w:rPr>
            </w:pPr>
            <w:r w:rsidRPr="00E169B0">
              <w:rPr>
                <w:rFonts w:eastAsia="Times New Roman"/>
                <w:lang w:eastAsia="ru-RU"/>
              </w:rPr>
              <w:t>4</w:t>
            </w:r>
          </w:p>
        </w:tc>
        <w:tc>
          <w:tcPr>
            <w:tcW w:w="2846" w:type="pct"/>
            <w:shd w:val="clear" w:color="auto" w:fill="auto"/>
            <w:vAlign w:val="center"/>
            <w:hideMark/>
          </w:tcPr>
          <w:p w14:paraId="66AF126C" w14:textId="77777777" w:rsidR="009A4C46" w:rsidRPr="00E068A5" w:rsidRDefault="009A4C46" w:rsidP="009A4C46">
            <w:pPr>
              <w:spacing w:after="0" w:line="240" w:lineRule="auto"/>
              <w:rPr>
                <w:rFonts w:eastAsia="Times New Roman"/>
                <w:lang w:eastAsia="ru-RU"/>
              </w:rPr>
            </w:pPr>
            <w:r w:rsidRPr="00E068A5">
              <w:rPr>
                <w:rFonts w:eastAsia="Times New Roman"/>
                <w:lang w:eastAsia="ru-RU"/>
              </w:rPr>
              <w:t>Индекс эффективности подконтрольных расходов, установленный в процентах</w:t>
            </w:r>
          </w:p>
        </w:tc>
        <w:tc>
          <w:tcPr>
            <w:tcW w:w="703" w:type="pct"/>
            <w:shd w:val="clear" w:color="auto" w:fill="auto"/>
            <w:vAlign w:val="center"/>
            <w:hideMark/>
          </w:tcPr>
          <w:p w14:paraId="6562A0A2" w14:textId="77777777" w:rsidR="009A4C46" w:rsidRPr="00E068A5" w:rsidRDefault="009A4C46" w:rsidP="009A4C46">
            <w:pPr>
              <w:spacing w:after="0" w:line="240" w:lineRule="auto"/>
              <w:jc w:val="center"/>
              <w:rPr>
                <w:rFonts w:eastAsia="Times New Roman"/>
                <w:lang w:eastAsia="ru-RU"/>
              </w:rPr>
            </w:pPr>
            <w:proofErr w:type="spellStart"/>
            <w:r w:rsidRPr="00E068A5">
              <w:rPr>
                <w:rFonts w:eastAsia="Times New Roman"/>
                <w:lang w:eastAsia="ru-RU"/>
              </w:rPr>
              <w:t>Хi</w:t>
            </w:r>
            <w:proofErr w:type="spellEnd"/>
          </w:p>
        </w:tc>
        <w:tc>
          <w:tcPr>
            <w:tcW w:w="535" w:type="pct"/>
            <w:shd w:val="clear" w:color="auto" w:fill="auto"/>
            <w:noWrap/>
            <w:vAlign w:val="center"/>
            <w:hideMark/>
          </w:tcPr>
          <w:p w14:paraId="13B95A2B" w14:textId="77777777" w:rsidR="009A4C46" w:rsidRPr="00E068A5" w:rsidRDefault="009A4C46" w:rsidP="009A4C46">
            <w:pPr>
              <w:spacing w:after="0" w:line="240" w:lineRule="auto"/>
              <w:jc w:val="center"/>
              <w:rPr>
                <w:rFonts w:eastAsia="Times New Roman"/>
                <w:lang w:eastAsia="ru-RU"/>
              </w:rPr>
            </w:pPr>
            <w:r w:rsidRPr="00E068A5">
              <w:rPr>
                <w:rFonts w:eastAsia="Times New Roman"/>
                <w:lang w:eastAsia="ru-RU"/>
              </w:rPr>
              <w:t>%</w:t>
            </w:r>
          </w:p>
        </w:tc>
        <w:tc>
          <w:tcPr>
            <w:tcW w:w="661" w:type="pct"/>
            <w:shd w:val="clear" w:color="auto" w:fill="auto"/>
            <w:noWrap/>
            <w:vAlign w:val="center"/>
            <w:hideMark/>
          </w:tcPr>
          <w:p w14:paraId="48C4EC00" w14:textId="77777777" w:rsidR="009A4C46" w:rsidRPr="00E068A5" w:rsidRDefault="009A4C46" w:rsidP="009A4C46">
            <w:pPr>
              <w:spacing w:after="0" w:line="240" w:lineRule="auto"/>
              <w:jc w:val="center"/>
              <w:rPr>
                <w:rFonts w:eastAsia="Times New Roman"/>
                <w:lang w:eastAsia="ru-RU"/>
              </w:rPr>
            </w:pPr>
            <w:r w:rsidRPr="00E068A5">
              <w:rPr>
                <w:rFonts w:eastAsia="Times New Roman"/>
                <w:lang w:eastAsia="ru-RU"/>
              </w:rPr>
              <w:t>1,00%</w:t>
            </w:r>
          </w:p>
        </w:tc>
      </w:tr>
      <w:tr w:rsidR="009A4C46" w:rsidRPr="00E068A5" w14:paraId="6F584F34" w14:textId="77777777" w:rsidTr="0063188C">
        <w:trPr>
          <w:trHeight w:val="600"/>
        </w:trPr>
        <w:tc>
          <w:tcPr>
            <w:tcW w:w="254" w:type="pct"/>
            <w:shd w:val="clear" w:color="auto" w:fill="auto"/>
            <w:noWrap/>
            <w:vAlign w:val="center"/>
            <w:hideMark/>
          </w:tcPr>
          <w:p w14:paraId="72934BFF" w14:textId="77777777" w:rsidR="009A4C46" w:rsidRPr="003E2802" w:rsidRDefault="009A4C46" w:rsidP="009A4C46">
            <w:pPr>
              <w:spacing w:after="0" w:line="240" w:lineRule="auto"/>
              <w:rPr>
                <w:rFonts w:eastAsia="Times New Roman"/>
                <w:lang w:eastAsia="ru-RU"/>
              </w:rPr>
            </w:pPr>
            <w:r w:rsidRPr="00E169B0">
              <w:rPr>
                <w:rFonts w:eastAsia="Times New Roman"/>
                <w:lang w:eastAsia="ru-RU"/>
              </w:rPr>
              <w:t>5</w:t>
            </w:r>
          </w:p>
        </w:tc>
        <w:tc>
          <w:tcPr>
            <w:tcW w:w="2846" w:type="pct"/>
            <w:shd w:val="clear" w:color="auto" w:fill="auto"/>
            <w:vAlign w:val="center"/>
            <w:hideMark/>
          </w:tcPr>
          <w:p w14:paraId="17D75FAA" w14:textId="77777777" w:rsidR="009A4C46" w:rsidRPr="00E068A5" w:rsidRDefault="009A4C46" w:rsidP="009A4C46">
            <w:pPr>
              <w:spacing w:after="0" w:line="240" w:lineRule="auto"/>
              <w:rPr>
                <w:rFonts w:eastAsia="Times New Roman"/>
                <w:lang w:eastAsia="ru-RU"/>
              </w:rPr>
            </w:pPr>
            <w:r w:rsidRPr="00E068A5">
              <w:rPr>
                <w:rFonts w:eastAsia="Times New Roman"/>
                <w:lang w:eastAsia="ru-RU"/>
              </w:rPr>
              <w:t>Фактическое значение индекса потребительских цен за 2017 год</w:t>
            </w:r>
          </w:p>
        </w:tc>
        <w:tc>
          <w:tcPr>
            <w:tcW w:w="703" w:type="pct"/>
            <w:shd w:val="clear" w:color="auto" w:fill="auto"/>
            <w:noWrap/>
            <w:vAlign w:val="center"/>
            <w:hideMark/>
          </w:tcPr>
          <w:p w14:paraId="3C7DB122" w14:textId="77777777" w:rsidR="009A4C46" w:rsidRPr="00E068A5" w:rsidRDefault="009A4C46" w:rsidP="009A4C46">
            <w:pPr>
              <w:spacing w:after="0" w:line="240" w:lineRule="auto"/>
              <w:jc w:val="center"/>
              <w:rPr>
                <w:rFonts w:eastAsia="Times New Roman"/>
                <w:lang w:eastAsia="ru-RU"/>
              </w:rPr>
            </w:pPr>
            <w:r w:rsidRPr="00E068A5">
              <w:rPr>
                <w:rFonts w:eastAsia="Times New Roman"/>
                <w:lang w:eastAsia="ru-RU"/>
              </w:rPr>
              <w:t>ИПЦ</w:t>
            </w:r>
            <w:r w:rsidRPr="00E068A5">
              <w:rPr>
                <w:rFonts w:eastAsia="Times New Roman"/>
                <w:vertAlign w:val="superscript"/>
                <w:lang w:eastAsia="ru-RU"/>
              </w:rPr>
              <w:t>ф</w:t>
            </w:r>
            <w:r w:rsidRPr="00E068A5">
              <w:rPr>
                <w:rFonts w:eastAsia="Times New Roman"/>
                <w:vertAlign w:val="subscript"/>
                <w:lang w:eastAsia="ru-RU"/>
              </w:rPr>
              <w:t>i-2</w:t>
            </w:r>
          </w:p>
        </w:tc>
        <w:tc>
          <w:tcPr>
            <w:tcW w:w="535" w:type="pct"/>
            <w:shd w:val="clear" w:color="auto" w:fill="auto"/>
            <w:noWrap/>
            <w:vAlign w:val="center"/>
            <w:hideMark/>
          </w:tcPr>
          <w:p w14:paraId="3D013DEB" w14:textId="77777777" w:rsidR="009A4C46" w:rsidRPr="00E068A5" w:rsidRDefault="009A4C46" w:rsidP="009A4C46">
            <w:pPr>
              <w:spacing w:after="0" w:line="240" w:lineRule="auto"/>
              <w:jc w:val="center"/>
              <w:rPr>
                <w:rFonts w:eastAsia="Times New Roman"/>
                <w:lang w:eastAsia="ru-RU"/>
              </w:rPr>
            </w:pPr>
            <w:r w:rsidRPr="00E068A5">
              <w:rPr>
                <w:rFonts w:eastAsia="Times New Roman"/>
                <w:lang w:eastAsia="ru-RU"/>
              </w:rPr>
              <w:t>%</w:t>
            </w:r>
          </w:p>
        </w:tc>
        <w:tc>
          <w:tcPr>
            <w:tcW w:w="661" w:type="pct"/>
            <w:shd w:val="clear" w:color="auto" w:fill="auto"/>
            <w:noWrap/>
            <w:vAlign w:val="center"/>
            <w:hideMark/>
          </w:tcPr>
          <w:p w14:paraId="73B12EAB" w14:textId="77777777" w:rsidR="009A4C46" w:rsidRPr="00E068A5" w:rsidRDefault="009A4C46" w:rsidP="009A4C46">
            <w:pPr>
              <w:spacing w:after="0" w:line="240" w:lineRule="auto"/>
              <w:jc w:val="center"/>
              <w:rPr>
                <w:rFonts w:eastAsia="Times New Roman"/>
                <w:lang w:eastAsia="ru-RU"/>
              </w:rPr>
            </w:pPr>
            <w:r w:rsidRPr="00E068A5">
              <w:rPr>
                <w:rFonts w:eastAsia="Times New Roman"/>
                <w:lang w:eastAsia="ru-RU"/>
              </w:rPr>
              <w:t>3,70%</w:t>
            </w:r>
          </w:p>
        </w:tc>
      </w:tr>
      <w:tr w:rsidR="009A4C46" w:rsidRPr="00E068A5" w14:paraId="28A36F0C" w14:textId="77777777" w:rsidTr="0063188C">
        <w:trPr>
          <w:trHeight w:val="660"/>
        </w:trPr>
        <w:tc>
          <w:tcPr>
            <w:tcW w:w="254" w:type="pct"/>
            <w:shd w:val="clear" w:color="auto" w:fill="auto"/>
            <w:noWrap/>
            <w:vAlign w:val="center"/>
            <w:hideMark/>
          </w:tcPr>
          <w:p w14:paraId="29E36C1D" w14:textId="77777777" w:rsidR="009A4C46" w:rsidRPr="003E2802" w:rsidRDefault="009A4C46" w:rsidP="009A4C46">
            <w:pPr>
              <w:spacing w:after="0" w:line="240" w:lineRule="auto"/>
              <w:rPr>
                <w:rFonts w:eastAsia="Times New Roman"/>
                <w:lang w:eastAsia="ru-RU"/>
              </w:rPr>
            </w:pPr>
            <w:r w:rsidRPr="00E169B0">
              <w:rPr>
                <w:rFonts w:eastAsia="Times New Roman"/>
                <w:lang w:eastAsia="ru-RU"/>
              </w:rPr>
              <w:t>6</w:t>
            </w:r>
          </w:p>
        </w:tc>
        <w:tc>
          <w:tcPr>
            <w:tcW w:w="2846" w:type="pct"/>
            <w:shd w:val="clear" w:color="auto" w:fill="auto"/>
            <w:vAlign w:val="center"/>
            <w:hideMark/>
          </w:tcPr>
          <w:p w14:paraId="14B74F82" w14:textId="77777777" w:rsidR="009A4C46" w:rsidRPr="00E068A5" w:rsidRDefault="009A4C46" w:rsidP="009A4C46">
            <w:pPr>
              <w:spacing w:after="0" w:line="240" w:lineRule="auto"/>
              <w:rPr>
                <w:rFonts w:eastAsia="Times New Roman"/>
                <w:lang w:eastAsia="ru-RU"/>
              </w:rPr>
            </w:pPr>
            <w:r w:rsidRPr="00E068A5">
              <w:rPr>
                <w:rFonts w:eastAsia="Times New Roman"/>
                <w:lang w:eastAsia="ru-RU"/>
              </w:rPr>
              <w:t>Коэффициент эластичности подконтрольных расходов по количеству активов</w:t>
            </w:r>
          </w:p>
        </w:tc>
        <w:tc>
          <w:tcPr>
            <w:tcW w:w="703" w:type="pct"/>
            <w:shd w:val="clear" w:color="auto" w:fill="auto"/>
            <w:noWrap/>
            <w:vAlign w:val="center"/>
            <w:hideMark/>
          </w:tcPr>
          <w:p w14:paraId="5771DFD4" w14:textId="77777777" w:rsidR="009A4C46" w:rsidRPr="00E068A5" w:rsidRDefault="009A4C46" w:rsidP="009A4C46">
            <w:pPr>
              <w:spacing w:after="0" w:line="240" w:lineRule="auto"/>
              <w:jc w:val="center"/>
              <w:rPr>
                <w:rFonts w:eastAsia="Times New Roman"/>
                <w:lang w:eastAsia="ru-RU"/>
              </w:rPr>
            </w:pPr>
            <w:proofErr w:type="spellStart"/>
            <w:r w:rsidRPr="00E068A5">
              <w:rPr>
                <w:rFonts w:eastAsia="Times New Roman"/>
                <w:lang w:eastAsia="ru-RU"/>
              </w:rPr>
              <w:t>Кэл</w:t>
            </w:r>
            <w:proofErr w:type="spellEnd"/>
          </w:p>
        </w:tc>
        <w:tc>
          <w:tcPr>
            <w:tcW w:w="535" w:type="pct"/>
            <w:shd w:val="clear" w:color="auto" w:fill="auto"/>
            <w:noWrap/>
            <w:vAlign w:val="center"/>
            <w:hideMark/>
          </w:tcPr>
          <w:p w14:paraId="46A4AB4C" w14:textId="77777777" w:rsidR="009A4C46" w:rsidRPr="00E068A5" w:rsidRDefault="009A4C46" w:rsidP="009A4C46">
            <w:pPr>
              <w:spacing w:after="0" w:line="240" w:lineRule="auto"/>
              <w:jc w:val="center"/>
              <w:rPr>
                <w:rFonts w:eastAsia="Times New Roman"/>
                <w:lang w:eastAsia="ru-RU"/>
              </w:rPr>
            </w:pPr>
            <w:r w:rsidRPr="00E068A5">
              <w:rPr>
                <w:rFonts w:eastAsia="Times New Roman"/>
                <w:lang w:eastAsia="ru-RU"/>
              </w:rPr>
              <w:t> </w:t>
            </w:r>
          </w:p>
        </w:tc>
        <w:tc>
          <w:tcPr>
            <w:tcW w:w="661" w:type="pct"/>
            <w:shd w:val="clear" w:color="auto" w:fill="auto"/>
            <w:noWrap/>
            <w:vAlign w:val="center"/>
            <w:hideMark/>
          </w:tcPr>
          <w:p w14:paraId="364C4FF0" w14:textId="77777777" w:rsidR="009A4C46" w:rsidRPr="00E068A5" w:rsidRDefault="009A4C46" w:rsidP="009A4C46">
            <w:pPr>
              <w:spacing w:after="0" w:line="240" w:lineRule="auto"/>
              <w:jc w:val="center"/>
              <w:rPr>
                <w:rFonts w:eastAsia="Times New Roman"/>
                <w:lang w:eastAsia="ru-RU"/>
              </w:rPr>
            </w:pPr>
            <w:r w:rsidRPr="00E068A5">
              <w:rPr>
                <w:rFonts w:eastAsia="Times New Roman"/>
                <w:lang w:eastAsia="ru-RU"/>
              </w:rPr>
              <w:t>0,75</w:t>
            </w:r>
          </w:p>
        </w:tc>
      </w:tr>
      <w:tr w:rsidR="009A4C46" w:rsidRPr="00E068A5" w14:paraId="0C04518E" w14:textId="77777777" w:rsidTr="0063188C">
        <w:trPr>
          <w:trHeight w:val="360"/>
        </w:trPr>
        <w:tc>
          <w:tcPr>
            <w:tcW w:w="254" w:type="pct"/>
            <w:shd w:val="clear" w:color="auto" w:fill="auto"/>
            <w:noWrap/>
            <w:vAlign w:val="center"/>
            <w:hideMark/>
          </w:tcPr>
          <w:p w14:paraId="20E7F66E" w14:textId="77777777" w:rsidR="009A4C46" w:rsidRPr="003E2802" w:rsidRDefault="009A4C46" w:rsidP="009A4C46">
            <w:pPr>
              <w:spacing w:after="0" w:line="240" w:lineRule="auto"/>
              <w:rPr>
                <w:rFonts w:eastAsia="Times New Roman"/>
                <w:lang w:eastAsia="ru-RU"/>
              </w:rPr>
            </w:pPr>
            <w:r w:rsidRPr="00E169B0">
              <w:rPr>
                <w:rFonts w:eastAsia="Times New Roman"/>
                <w:lang w:eastAsia="ru-RU"/>
              </w:rPr>
              <w:t>7</w:t>
            </w:r>
          </w:p>
        </w:tc>
        <w:tc>
          <w:tcPr>
            <w:tcW w:w="2846" w:type="pct"/>
            <w:shd w:val="clear" w:color="auto" w:fill="auto"/>
            <w:vAlign w:val="center"/>
            <w:hideMark/>
          </w:tcPr>
          <w:p w14:paraId="7DE58FFB" w14:textId="77777777" w:rsidR="009A4C46" w:rsidRPr="00E068A5" w:rsidRDefault="009A4C46" w:rsidP="009A4C46">
            <w:pPr>
              <w:spacing w:after="0" w:line="240" w:lineRule="auto"/>
              <w:rPr>
                <w:rFonts w:eastAsia="Times New Roman"/>
                <w:lang w:eastAsia="ru-RU"/>
              </w:rPr>
            </w:pPr>
            <w:r w:rsidRPr="00E068A5">
              <w:rPr>
                <w:rFonts w:eastAsia="Times New Roman"/>
                <w:lang w:eastAsia="ru-RU"/>
              </w:rPr>
              <w:t>Фактический индекс изменения количества активов</w:t>
            </w:r>
          </w:p>
        </w:tc>
        <w:tc>
          <w:tcPr>
            <w:tcW w:w="703" w:type="pct"/>
            <w:shd w:val="clear" w:color="auto" w:fill="auto"/>
            <w:noWrap/>
            <w:vAlign w:val="center"/>
            <w:hideMark/>
          </w:tcPr>
          <w:p w14:paraId="6AD18EF6" w14:textId="77777777" w:rsidR="009A4C46" w:rsidRPr="00E068A5" w:rsidRDefault="009A4C46" w:rsidP="009A4C46">
            <w:pPr>
              <w:spacing w:after="0" w:line="240" w:lineRule="auto"/>
              <w:jc w:val="center"/>
              <w:rPr>
                <w:rFonts w:eastAsia="Times New Roman"/>
                <w:lang w:eastAsia="ru-RU"/>
              </w:rPr>
            </w:pPr>
            <w:r w:rsidRPr="00E068A5">
              <w:rPr>
                <w:rFonts w:eastAsia="Times New Roman"/>
                <w:lang w:eastAsia="ru-RU"/>
              </w:rPr>
              <w:t>ИКА</w:t>
            </w:r>
            <w:r w:rsidRPr="00E068A5">
              <w:rPr>
                <w:rFonts w:eastAsia="Times New Roman"/>
                <w:vertAlign w:val="superscript"/>
                <w:lang w:eastAsia="ru-RU"/>
              </w:rPr>
              <w:t>ф</w:t>
            </w:r>
            <w:r w:rsidRPr="00E068A5">
              <w:rPr>
                <w:rFonts w:eastAsia="Times New Roman"/>
                <w:vertAlign w:val="subscript"/>
                <w:lang w:eastAsia="ru-RU"/>
              </w:rPr>
              <w:t>i-2</w:t>
            </w:r>
          </w:p>
        </w:tc>
        <w:tc>
          <w:tcPr>
            <w:tcW w:w="535" w:type="pct"/>
            <w:shd w:val="clear" w:color="auto" w:fill="auto"/>
            <w:noWrap/>
            <w:vAlign w:val="center"/>
            <w:hideMark/>
          </w:tcPr>
          <w:p w14:paraId="04665A19" w14:textId="77777777" w:rsidR="009A4C46" w:rsidRPr="00E068A5" w:rsidRDefault="009A4C46" w:rsidP="009A4C46">
            <w:pPr>
              <w:spacing w:after="0" w:line="240" w:lineRule="auto"/>
              <w:jc w:val="center"/>
              <w:rPr>
                <w:rFonts w:eastAsia="Times New Roman"/>
                <w:lang w:eastAsia="ru-RU"/>
              </w:rPr>
            </w:pPr>
            <w:r w:rsidRPr="00E068A5">
              <w:rPr>
                <w:rFonts w:eastAsia="Times New Roman"/>
                <w:lang w:eastAsia="ru-RU"/>
              </w:rPr>
              <w:t> </w:t>
            </w:r>
          </w:p>
        </w:tc>
        <w:tc>
          <w:tcPr>
            <w:tcW w:w="661" w:type="pct"/>
            <w:shd w:val="clear" w:color="auto" w:fill="auto"/>
            <w:noWrap/>
            <w:vAlign w:val="center"/>
            <w:hideMark/>
          </w:tcPr>
          <w:p w14:paraId="659B25C1" w14:textId="77777777" w:rsidR="009A4C46" w:rsidRPr="00E068A5" w:rsidRDefault="009A4C46" w:rsidP="009A4C46">
            <w:pPr>
              <w:spacing w:after="0" w:line="240" w:lineRule="auto"/>
              <w:jc w:val="center"/>
              <w:rPr>
                <w:rFonts w:eastAsia="Times New Roman"/>
                <w:lang w:eastAsia="ru-RU"/>
              </w:rPr>
            </w:pPr>
            <w:r w:rsidRPr="00E068A5">
              <w:rPr>
                <w:rFonts w:eastAsia="Times New Roman"/>
                <w:lang w:eastAsia="ru-RU"/>
              </w:rPr>
              <w:t>0,001788527</w:t>
            </w:r>
          </w:p>
        </w:tc>
      </w:tr>
      <w:tr w:rsidR="009A4C46" w:rsidRPr="00E068A5" w14:paraId="6F6D1CE7" w14:textId="77777777" w:rsidTr="0063188C">
        <w:trPr>
          <w:trHeight w:val="690"/>
        </w:trPr>
        <w:tc>
          <w:tcPr>
            <w:tcW w:w="254" w:type="pct"/>
            <w:shd w:val="clear" w:color="auto" w:fill="auto"/>
            <w:noWrap/>
            <w:vAlign w:val="center"/>
            <w:hideMark/>
          </w:tcPr>
          <w:p w14:paraId="1CB97267" w14:textId="77777777" w:rsidR="009A4C46" w:rsidRPr="003E2802" w:rsidRDefault="009A4C46" w:rsidP="009A4C46">
            <w:pPr>
              <w:spacing w:after="0" w:line="240" w:lineRule="auto"/>
              <w:rPr>
                <w:rFonts w:eastAsia="Times New Roman"/>
                <w:i/>
                <w:iCs/>
                <w:lang w:eastAsia="ru-RU"/>
              </w:rPr>
            </w:pPr>
            <w:r w:rsidRPr="00E169B0">
              <w:rPr>
                <w:rFonts w:eastAsia="Times New Roman"/>
                <w:i/>
                <w:iCs/>
                <w:lang w:eastAsia="ru-RU"/>
              </w:rPr>
              <w:t>7.1</w:t>
            </w:r>
          </w:p>
        </w:tc>
        <w:tc>
          <w:tcPr>
            <w:tcW w:w="2846" w:type="pct"/>
            <w:shd w:val="clear" w:color="auto" w:fill="auto"/>
            <w:vAlign w:val="center"/>
            <w:hideMark/>
          </w:tcPr>
          <w:p w14:paraId="1166ADA4" w14:textId="77777777" w:rsidR="009A4C46" w:rsidRPr="00E068A5" w:rsidRDefault="009A4C46" w:rsidP="009A4C46">
            <w:pPr>
              <w:spacing w:after="0" w:line="240" w:lineRule="auto"/>
              <w:rPr>
                <w:rFonts w:eastAsia="Times New Roman"/>
                <w:i/>
                <w:iCs/>
                <w:lang w:eastAsia="ru-RU"/>
              </w:rPr>
            </w:pPr>
            <w:r w:rsidRPr="00E068A5">
              <w:rPr>
                <w:rFonts w:eastAsia="Times New Roman"/>
                <w:i/>
                <w:iCs/>
                <w:lang w:eastAsia="ru-RU"/>
              </w:rPr>
              <w:t xml:space="preserve">Фактическое количество условных единиц, относящихся к АО «Тываэнерго» (без учета бесхозяйных сетей) в 2017 году </w:t>
            </w:r>
          </w:p>
        </w:tc>
        <w:tc>
          <w:tcPr>
            <w:tcW w:w="703" w:type="pct"/>
            <w:shd w:val="clear" w:color="auto" w:fill="auto"/>
            <w:noWrap/>
            <w:vAlign w:val="center"/>
            <w:hideMark/>
          </w:tcPr>
          <w:p w14:paraId="2B202659" w14:textId="77777777" w:rsidR="009A4C46" w:rsidRPr="00E068A5" w:rsidRDefault="009A4C46" w:rsidP="009A4C46">
            <w:pPr>
              <w:spacing w:after="0" w:line="240" w:lineRule="auto"/>
              <w:jc w:val="center"/>
              <w:rPr>
                <w:rFonts w:eastAsia="Times New Roman"/>
                <w:i/>
                <w:iCs/>
                <w:lang w:eastAsia="ru-RU"/>
              </w:rPr>
            </w:pPr>
            <w:r w:rsidRPr="00E068A5">
              <w:rPr>
                <w:rFonts w:eastAsia="Times New Roman"/>
                <w:i/>
                <w:iCs/>
                <w:lang w:eastAsia="ru-RU"/>
              </w:rPr>
              <w:t>УЕ</w:t>
            </w:r>
            <w:r w:rsidRPr="00E068A5">
              <w:rPr>
                <w:rFonts w:eastAsia="Times New Roman"/>
                <w:i/>
                <w:iCs/>
                <w:vertAlign w:val="superscript"/>
                <w:lang w:eastAsia="ru-RU"/>
              </w:rPr>
              <w:t>ф</w:t>
            </w:r>
            <w:r w:rsidRPr="00E068A5">
              <w:rPr>
                <w:rFonts w:eastAsia="Times New Roman"/>
                <w:i/>
                <w:iCs/>
                <w:vertAlign w:val="subscript"/>
                <w:lang w:eastAsia="ru-RU"/>
              </w:rPr>
              <w:t>i-2</w:t>
            </w:r>
          </w:p>
        </w:tc>
        <w:tc>
          <w:tcPr>
            <w:tcW w:w="535" w:type="pct"/>
            <w:shd w:val="clear" w:color="auto" w:fill="auto"/>
            <w:noWrap/>
            <w:vAlign w:val="center"/>
            <w:hideMark/>
          </w:tcPr>
          <w:p w14:paraId="0B6BFFE6" w14:textId="77777777" w:rsidR="009A4C46" w:rsidRPr="00E068A5" w:rsidRDefault="009A4C46" w:rsidP="009A4C46">
            <w:pPr>
              <w:spacing w:after="0" w:line="240" w:lineRule="auto"/>
              <w:jc w:val="center"/>
              <w:rPr>
                <w:rFonts w:eastAsia="Times New Roman"/>
                <w:i/>
                <w:iCs/>
                <w:lang w:eastAsia="ru-RU"/>
              </w:rPr>
            </w:pPr>
            <w:r w:rsidRPr="00E068A5">
              <w:rPr>
                <w:rFonts w:eastAsia="Times New Roman"/>
                <w:i/>
                <w:iCs/>
                <w:lang w:eastAsia="ru-RU"/>
              </w:rPr>
              <w:t>у.е.</w:t>
            </w:r>
          </w:p>
        </w:tc>
        <w:tc>
          <w:tcPr>
            <w:tcW w:w="661" w:type="pct"/>
            <w:shd w:val="clear" w:color="auto" w:fill="auto"/>
            <w:noWrap/>
            <w:vAlign w:val="center"/>
            <w:hideMark/>
          </w:tcPr>
          <w:p w14:paraId="4944CCAE" w14:textId="77777777" w:rsidR="009A4C46" w:rsidRPr="00E068A5" w:rsidRDefault="009A4C46" w:rsidP="009A4C46">
            <w:pPr>
              <w:spacing w:after="0" w:line="240" w:lineRule="auto"/>
              <w:jc w:val="center"/>
              <w:rPr>
                <w:rFonts w:eastAsia="Times New Roman"/>
                <w:i/>
                <w:iCs/>
                <w:lang w:eastAsia="ru-RU"/>
              </w:rPr>
            </w:pPr>
            <w:r w:rsidRPr="00E068A5">
              <w:rPr>
                <w:rFonts w:eastAsia="Times New Roman"/>
                <w:i/>
                <w:iCs/>
                <w:lang w:eastAsia="ru-RU"/>
              </w:rPr>
              <w:t>29 266,24</w:t>
            </w:r>
          </w:p>
        </w:tc>
      </w:tr>
      <w:tr w:rsidR="009A4C46" w:rsidRPr="00E068A5" w14:paraId="003D0E9A" w14:textId="77777777" w:rsidTr="0063188C">
        <w:trPr>
          <w:trHeight w:val="690"/>
        </w:trPr>
        <w:tc>
          <w:tcPr>
            <w:tcW w:w="254" w:type="pct"/>
            <w:shd w:val="clear" w:color="auto" w:fill="auto"/>
            <w:noWrap/>
            <w:vAlign w:val="center"/>
            <w:hideMark/>
          </w:tcPr>
          <w:p w14:paraId="47FAC71F" w14:textId="77777777" w:rsidR="009A4C46" w:rsidRPr="003E2802" w:rsidRDefault="009A4C46" w:rsidP="009A4C46">
            <w:pPr>
              <w:spacing w:after="0" w:line="240" w:lineRule="auto"/>
              <w:rPr>
                <w:rFonts w:eastAsia="Times New Roman"/>
                <w:i/>
                <w:iCs/>
                <w:lang w:eastAsia="ru-RU"/>
              </w:rPr>
            </w:pPr>
            <w:r w:rsidRPr="00E169B0">
              <w:rPr>
                <w:rFonts w:eastAsia="Times New Roman"/>
                <w:i/>
                <w:iCs/>
                <w:lang w:eastAsia="ru-RU"/>
              </w:rPr>
              <w:t>7.2</w:t>
            </w:r>
          </w:p>
        </w:tc>
        <w:tc>
          <w:tcPr>
            <w:tcW w:w="2846" w:type="pct"/>
            <w:shd w:val="clear" w:color="auto" w:fill="auto"/>
            <w:vAlign w:val="center"/>
            <w:hideMark/>
          </w:tcPr>
          <w:p w14:paraId="7AB5DE2E" w14:textId="77777777" w:rsidR="009A4C46" w:rsidRPr="00E068A5" w:rsidRDefault="009A4C46" w:rsidP="009A4C46">
            <w:pPr>
              <w:spacing w:after="0" w:line="240" w:lineRule="auto"/>
              <w:rPr>
                <w:rFonts w:eastAsia="Times New Roman"/>
                <w:i/>
                <w:iCs/>
                <w:lang w:eastAsia="ru-RU"/>
              </w:rPr>
            </w:pPr>
            <w:r w:rsidRPr="00E068A5">
              <w:rPr>
                <w:rFonts w:eastAsia="Times New Roman"/>
                <w:i/>
                <w:iCs/>
                <w:lang w:eastAsia="ru-RU"/>
              </w:rPr>
              <w:t xml:space="preserve">Фактическое количество условных единиц, относящихся к АО «Тываэнерго» (без учета бесхозяйных сетей) в2016 году </w:t>
            </w:r>
          </w:p>
        </w:tc>
        <w:tc>
          <w:tcPr>
            <w:tcW w:w="703" w:type="pct"/>
            <w:shd w:val="clear" w:color="auto" w:fill="auto"/>
            <w:noWrap/>
            <w:vAlign w:val="center"/>
            <w:hideMark/>
          </w:tcPr>
          <w:p w14:paraId="2E197676" w14:textId="77777777" w:rsidR="009A4C46" w:rsidRPr="00E068A5" w:rsidRDefault="009A4C46" w:rsidP="009A4C46">
            <w:pPr>
              <w:spacing w:after="0" w:line="240" w:lineRule="auto"/>
              <w:jc w:val="center"/>
              <w:rPr>
                <w:rFonts w:eastAsia="Times New Roman"/>
                <w:i/>
                <w:iCs/>
                <w:lang w:eastAsia="ru-RU"/>
              </w:rPr>
            </w:pPr>
            <w:r w:rsidRPr="00E068A5">
              <w:rPr>
                <w:rFonts w:eastAsia="Times New Roman"/>
                <w:i/>
                <w:iCs/>
                <w:lang w:eastAsia="ru-RU"/>
              </w:rPr>
              <w:t>УЕ</w:t>
            </w:r>
            <w:r w:rsidRPr="00E068A5">
              <w:rPr>
                <w:rFonts w:eastAsia="Times New Roman"/>
                <w:i/>
                <w:iCs/>
                <w:vertAlign w:val="superscript"/>
                <w:lang w:eastAsia="ru-RU"/>
              </w:rPr>
              <w:t>ф</w:t>
            </w:r>
            <w:r w:rsidRPr="00E068A5">
              <w:rPr>
                <w:rFonts w:eastAsia="Times New Roman"/>
                <w:i/>
                <w:iCs/>
                <w:vertAlign w:val="subscript"/>
                <w:lang w:eastAsia="ru-RU"/>
              </w:rPr>
              <w:t>i-3</w:t>
            </w:r>
          </w:p>
        </w:tc>
        <w:tc>
          <w:tcPr>
            <w:tcW w:w="535" w:type="pct"/>
            <w:shd w:val="clear" w:color="auto" w:fill="auto"/>
            <w:noWrap/>
            <w:vAlign w:val="center"/>
            <w:hideMark/>
          </w:tcPr>
          <w:p w14:paraId="21E24823" w14:textId="77777777" w:rsidR="009A4C46" w:rsidRPr="00E068A5" w:rsidRDefault="009A4C46" w:rsidP="009A4C46">
            <w:pPr>
              <w:spacing w:after="0" w:line="240" w:lineRule="auto"/>
              <w:jc w:val="center"/>
              <w:rPr>
                <w:rFonts w:eastAsia="Times New Roman"/>
                <w:i/>
                <w:iCs/>
                <w:lang w:eastAsia="ru-RU"/>
              </w:rPr>
            </w:pPr>
            <w:r w:rsidRPr="00E068A5">
              <w:rPr>
                <w:rFonts w:eastAsia="Times New Roman"/>
                <w:i/>
                <w:iCs/>
                <w:lang w:eastAsia="ru-RU"/>
              </w:rPr>
              <w:t>у.е.</w:t>
            </w:r>
          </w:p>
        </w:tc>
        <w:tc>
          <w:tcPr>
            <w:tcW w:w="661" w:type="pct"/>
            <w:shd w:val="clear" w:color="auto" w:fill="auto"/>
            <w:noWrap/>
            <w:vAlign w:val="center"/>
            <w:hideMark/>
          </w:tcPr>
          <w:p w14:paraId="00F63432" w14:textId="77777777" w:rsidR="009A4C46" w:rsidRPr="00E068A5" w:rsidRDefault="009A4C46" w:rsidP="009A4C46">
            <w:pPr>
              <w:spacing w:after="0" w:line="240" w:lineRule="auto"/>
              <w:jc w:val="center"/>
              <w:rPr>
                <w:rFonts w:eastAsia="Times New Roman"/>
                <w:i/>
                <w:iCs/>
                <w:lang w:eastAsia="ru-RU"/>
              </w:rPr>
            </w:pPr>
            <w:r w:rsidRPr="00E068A5">
              <w:rPr>
                <w:rFonts w:eastAsia="Times New Roman"/>
                <w:i/>
                <w:iCs/>
                <w:lang w:eastAsia="ru-RU"/>
              </w:rPr>
              <w:t>29 213,99</w:t>
            </w:r>
          </w:p>
        </w:tc>
      </w:tr>
      <w:tr w:rsidR="009A4C46" w:rsidRPr="00E068A5" w14:paraId="42224555" w14:textId="77777777" w:rsidTr="00F210D6">
        <w:trPr>
          <w:trHeight w:val="360"/>
        </w:trPr>
        <w:tc>
          <w:tcPr>
            <w:tcW w:w="254" w:type="pct"/>
            <w:shd w:val="clear" w:color="auto" w:fill="D6E3BC" w:themeFill="accent3" w:themeFillTint="66"/>
            <w:noWrap/>
            <w:vAlign w:val="center"/>
            <w:hideMark/>
          </w:tcPr>
          <w:p w14:paraId="4165D268" w14:textId="77777777" w:rsidR="009A4C46" w:rsidRPr="003E2802" w:rsidRDefault="009A4C46" w:rsidP="009A4C46">
            <w:pPr>
              <w:spacing w:after="0" w:line="240" w:lineRule="auto"/>
              <w:rPr>
                <w:rFonts w:eastAsia="Times New Roman"/>
                <w:lang w:eastAsia="ru-RU"/>
              </w:rPr>
            </w:pPr>
            <w:r w:rsidRPr="00E169B0">
              <w:rPr>
                <w:rFonts w:eastAsia="Times New Roman"/>
                <w:lang w:eastAsia="ru-RU"/>
              </w:rPr>
              <w:t>8</w:t>
            </w:r>
          </w:p>
        </w:tc>
        <w:tc>
          <w:tcPr>
            <w:tcW w:w="2846" w:type="pct"/>
            <w:shd w:val="clear" w:color="auto" w:fill="D6E3BC" w:themeFill="accent3" w:themeFillTint="66"/>
            <w:vAlign w:val="center"/>
            <w:hideMark/>
          </w:tcPr>
          <w:p w14:paraId="7A45C86A" w14:textId="77777777" w:rsidR="009A4C46" w:rsidRPr="00E068A5" w:rsidRDefault="009A4C46" w:rsidP="009A4C46">
            <w:pPr>
              <w:spacing w:after="0" w:line="240" w:lineRule="auto"/>
              <w:rPr>
                <w:rFonts w:eastAsia="Times New Roman"/>
                <w:lang w:eastAsia="ru-RU"/>
              </w:rPr>
            </w:pPr>
            <w:r w:rsidRPr="00E068A5">
              <w:rPr>
                <w:rFonts w:eastAsia="Times New Roman"/>
                <w:lang w:eastAsia="ru-RU"/>
              </w:rPr>
              <w:t>Подконтрольные расходы, установленные на 2017 год</w:t>
            </w:r>
          </w:p>
        </w:tc>
        <w:tc>
          <w:tcPr>
            <w:tcW w:w="703" w:type="pct"/>
            <w:shd w:val="clear" w:color="auto" w:fill="D6E3BC" w:themeFill="accent3" w:themeFillTint="66"/>
            <w:noWrap/>
            <w:vAlign w:val="center"/>
            <w:hideMark/>
          </w:tcPr>
          <w:p w14:paraId="62267CC6" w14:textId="77777777" w:rsidR="009A4C46" w:rsidRPr="00E068A5" w:rsidRDefault="009A4C46" w:rsidP="009A4C46">
            <w:pPr>
              <w:spacing w:after="0" w:line="240" w:lineRule="auto"/>
              <w:jc w:val="center"/>
              <w:rPr>
                <w:rFonts w:eastAsia="Times New Roman"/>
                <w:lang w:eastAsia="ru-RU"/>
              </w:rPr>
            </w:pPr>
            <w:r w:rsidRPr="00E068A5">
              <w:rPr>
                <w:rFonts w:eastAsia="Times New Roman"/>
                <w:lang w:eastAsia="ru-RU"/>
              </w:rPr>
              <w:t>ПР</w:t>
            </w:r>
            <w:r w:rsidRPr="00E068A5">
              <w:rPr>
                <w:rFonts w:eastAsia="Times New Roman"/>
                <w:vertAlign w:val="superscript"/>
                <w:lang w:eastAsia="ru-RU"/>
              </w:rPr>
              <w:t>уст</w:t>
            </w:r>
            <w:r w:rsidRPr="00E068A5">
              <w:rPr>
                <w:rFonts w:eastAsia="Times New Roman"/>
                <w:vertAlign w:val="subscript"/>
                <w:lang w:eastAsia="ru-RU"/>
              </w:rPr>
              <w:t>i-2</w:t>
            </w:r>
          </w:p>
        </w:tc>
        <w:tc>
          <w:tcPr>
            <w:tcW w:w="535" w:type="pct"/>
            <w:shd w:val="clear" w:color="auto" w:fill="D6E3BC" w:themeFill="accent3" w:themeFillTint="66"/>
            <w:noWrap/>
            <w:vAlign w:val="center"/>
            <w:hideMark/>
          </w:tcPr>
          <w:p w14:paraId="798D91EA" w14:textId="77777777" w:rsidR="009A4C46" w:rsidRPr="00E068A5" w:rsidRDefault="009A4C46" w:rsidP="009A4C46">
            <w:pPr>
              <w:spacing w:after="0" w:line="240" w:lineRule="auto"/>
              <w:jc w:val="center"/>
              <w:rPr>
                <w:rFonts w:eastAsia="Times New Roman"/>
                <w:lang w:eastAsia="ru-RU"/>
              </w:rPr>
            </w:pPr>
            <w:r w:rsidRPr="00E068A5">
              <w:rPr>
                <w:rFonts w:eastAsia="Times New Roman"/>
                <w:lang w:eastAsia="ru-RU"/>
              </w:rPr>
              <w:t>тыс. руб.</w:t>
            </w:r>
          </w:p>
        </w:tc>
        <w:tc>
          <w:tcPr>
            <w:tcW w:w="661" w:type="pct"/>
            <w:shd w:val="clear" w:color="auto" w:fill="D6E3BC" w:themeFill="accent3" w:themeFillTint="66"/>
            <w:noWrap/>
            <w:vAlign w:val="center"/>
            <w:hideMark/>
          </w:tcPr>
          <w:p w14:paraId="4723C3FB" w14:textId="77777777" w:rsidR="009A4C46" w:rsidRPr="00E068A5" w:rsidRDefault="009A4C46" w:rsidP="009A4C46">
            <w:pPr>
              <w:spacing w:after="0" w:line="240" w:lineRule="auto"/>
              <w:jc w:val="center"/>
              <w:rPr>
                <w:rFonts w:eastAsia="Times New Roman"/>
                <w:lang w:eastAsia="ru-RU"/>
              </w:rPr>
            </w:pPr>
            <w:r w:rsidRPr="00E068A5">
              <w:rPr>
                <w:rFonts w:eastAsia="Times New Roman"/>
                <w:lang w:eastAsia="ru-RU"/>
              </w:rPr>
              <w:t>564 655</w:t>
            </w:r>
          </w:p>
        </w:tc>
      </w:tr>
    </w:tbl>
    <w:p w14:paraId="37CA9CDB" w14:textId="77777777" w:rsidR="009A4C46" w:rsidRPr="00F94FED" w:rsidRDefault="009A4C46" w:rsidP="009A4C46">
      <w:pPr>
        <w:spacing w:after="32" w:line="360" w:lineRule="auto"/>
        <w:ind w:firstLine="567"/>
        <w:contextualSpacing/>
        <w:jc w:val="both"/>
        <w:rPr>
          <w:rFonts w:eastAsia="Calibri"/>
          <w:sz w:val="26"/>
          <w:szCs w:val="26"/>
          <w:lang w:eastAsia="ru-RU"/>
        </w:rPr>
      </w:pPr>
    </w:p>
    <w:p w14:paraId="72F04244" w14:textId="77777777" w:rsidR="009A4C46" w:rsidRPr="0072390C" w:rsidRDefault="009A4C46" w:rsidP="009A4C46">
      <w:pPr>
        <w:spacing w:after="32" w:line="360" w:lineRule="auto"/>
        <w:contextualSpacing/>
        <w:jc w:val="both"/>
        <w:rPr>
          <w:rFonts w:eastAsia="Calibri"/>
          <w:sz w:val="26"/>
          <w:szCs w:val="26"/>
          <w:lang w:eastAsia="ru-RU"/>
        </w:rPr>
      </w:pPr>
      <w:r w:rsidRPr="0072390C">
        <w:rPr>
          <w:rFonts w:eastAsia="Calibri"/>
          <w:position w:val="-28"/>
          <w:sz w:val="26"/>
          <w:szCs w:val="26"/>
          <w:lang w:eastAsia="ru-RU"/>
        </w:rPr>
        <w:object w:dxaOrig="8980" w:dyaOrig="660" w14:anchorId="094B00C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9.25pt;height:35.25pt" o:ole="">
            <v:imagedata r:id="rId28" o:title=""/>
          </v:shape>
          <o:OLEObject Type="Embed" ProgID="Equation.3" ShapeID="_x0000_i1025" DrawAspect="Content" ObjectID="_1660036320" r:id="rId29"/>
        </w:object>
      </w:r>
    </w:p>
    <w:p w14:paraId="062B1A33" w14:textId="0BCD627F" w:rsidR="009A4C46" w:rsidRPr="00F94FED" w:rsidRDefault="009A4C46" w:rsidP="009A4C46">
      <w:pPr>
        <w:spacing w:after="32" w:line="360" w:lineRule="auto"/>
        <w:ind w:firstLine="567"/>
        <w:contextualSpacing/>
        <w:jc w:val="both"/>
        <w:rPr>
          <w:rFonts w:eastAsia="Calibri"/>
          <w:sz w:val="26"/>
          <w:szCs w:val="26"/>
          <w:lang w:eastAsia="ru-RU"/>
        </w:rPr>
      </w:pPr>
      <w:r w:rsidRPr="00F94FED">
        <w:rPr>
          <w:rFonts w:eastAsia="Calibri"/>
          <w:sz w:val="26"/>
          <w:szCs w:val="26"/>
          <w:lang w:eastAsia="ru-RU"/>
        </w:rPr>
        <w:t>Корректировка подконтрольных расходов, по расчету Исполнителя, не соответствует данным</w:t>
      </w:r>
      <w:r w:rsidR="00F210D6">
        <w:rPr>
          <w:rFonts w:eastAsia="Calibri"/>
          <w:sz w:val="26"/>
          <w:szCs w:val="26"/>
          <w:lang w:eastAsia="ru-RU"/>
        </w:rPr>
        <w:t>,</w:t>
      </w:r>
      <w:r w:rsidRPr="00F94FED">
        <w:rPr>
          <w:rFonts w:eastAsia="Calibri"/>
          <w:sz w:val="26"/>
          <w:szCs w:val="26"/>
          <w:lang w:eastAsia="ru-RU"/>
        </w:rPr>
        <w:t xml:space="preserve"> представленным в рамках тарифной заявки </w:t>
      </w:r>
      <w:r w:rsidRPr="00F94FED">
        <w:rPr>
          <w:rFonts w:eastAsia="Calibri"/>
          <w:sz w:val="26"/>
          <w:szCs w:val="26"/>
          <w:lang w:eastAsia="ru-RU"/>
        </w:rPr>
        <w:br/>
        <w:t>АО «Тываэнерго» и учтенных Службой по тарифам Республики Тыва. Сумма корректировки подконтрольных расходов в связи с изменением планируемых параметров расчета тарифов по расчету Исполнителя составила (-5 712) тыс. руб. Отклонения обусловлены тем, что АО «Тываэнерго» и Службой по тарифам Республики Тыва принят индекс потребительский цен, не соответствующий фактически сложившемуся по итогам 2017 г., опубликованный Министерством экономического развития Российской Федерации.</w:t>
      </w:r>
      <w:r w:rsidRPr="00F94FED">
        <w:rPr>
          <w:rFonts w:eastAsia="Calibri"/>
          <w:sz w:val="26"/>
          <w:szCs w:val="26"/>
          <w:lang w:eastAsia="ru-RU"/>
        </w:rPr>
        <w:br w:type="page"/>
      </w:r>
    </w:p>
    <w:p w14:paraId="3E98D4CB" w14:textId="77777777" w:rsidR="009A4C46" w:rsidRPr="00F94FED" w:rsidRDefault="009A4C46" w:rsidP="00F94FED">
      <w:pPr>
        <w:pStyle w:val="3"/>
        <w:numPr>
          <w:ilvl w:val="1"/>
          <w:numId w:val="1"/>
        </w:numPr>
        <w:spacing w:line="360" w:lineRule="auto"/>
        <w:ind w:left="567" w:hanging="567"/>
        <w:jc w:val="both"/>
        <w:rPr>
          <w:b/>
          <w:color w:val="4F6228" w:themeColor="accent3" w:themeShade="80"/>
          <w:sz w:val="28"/>
          <w:szCs w:val="28"/>
        </w:rPr>
      </w:pPr>
      <w:bookmarkStart w:id="36" w:name="_Toc40554851"/>
      <w:bookmarkStart w:id="37" w:name="_Toc40733186"/>
      <w:r w:rsidRPr="00F94FED">
        <w:rPr>
          <w:rFonts w:ascii="Myriad Pro" w:hAnsi="Myriad Pro"/>
          <w:b/>
          <w:color w:val="4F6228" w:themeColor="accent3" w:themeShade="80"/>
          <w:sz w:val="28"/>
          <w:szCs w:val="28"/>
        </w:rPr>
        <w:lastRenderedPageBreak/>
        <w:t xml:space="preserve">Экспертиза обоснованности корректировки </w:t>
      </w:r>
      <w:bookmarkStart w:id="38" w:name="_Hlk39525316"/>
      <w:r w:rsidRPr="00F94FED">
        <w:rPr>
          <w:rFonts w:ascii="Myriad Pro" w:hAnsi="Myriad Pro"/>
          <w:b/>
          <w:color w:val="4F6228" w:themeColor="accent3" w:themeShade="80"/>
          <w:sz w:val="28"/>
          <w:szCs w:val="28"/>
        </w:rPr>
        <w:t>по фактически понесенным неподконтрольным расходам, не учтенным при установлении тарифов</w:t>
      </w:r>
      <w:bookmarkEnd w:id="36"/>
      <w:bookmarkEnd w:id="37"/>
      <w:bookmarkEnd w:id="38"/>
    </w:p>
    <w:p w14:paraId="0828476A" w14:textId="77777777" w:rsidR="009A4C46" w:rsidRPr="00F94FED" w:rsidRDefault="009A4C46" w:rsidP="00F94FED">
      <w:pPr>
        <w:autoSpaceDE w:val="0"/>
        <w:autoSpaceDN w:val="0"/>
        <w:adjustRightInd w:val="0"/>
        <w:spacing w:after="0" w:line="360" w:lineRule="auto"/>
        <w:ind w:firstLine="567"/>
        <w:jc w:val="both"/>
        <w:rPr>
          <w:rFonts w:eastAsia="Calibri" w:cs="Myriad Pro"/>
          <w:sz w:val="26"/>
          <w:szCs w:val="26"/>
        </w:rPr>
      </w:pPr>
      <w:r w:rsidRPr="00F94FED">
        <w:rPr>
          <w:rFonts w:eastAsia="Calibri" w:cs="Myriad Pro"/>
          <w:sz w:val="26"/>
          <w:szCs w:val="26"/>
        </w:rPr>
        <w:t>Согласно требованиям пункта 11 Методических указаний № 98-э расчет корректировки неподконтрольных расходов и НВВ содержания производится по формуле:</w:t>
      </w:r>
    </w:p>
    <w:p w14:paraId="52BA12D1" w14:textId="4F5E9C41" w:rsidR="009A4C46" w:rsidRPr="00F94FED" w:rsidRDefault="009A4C46" w:rsidP="00F94FED">
      <w:pPr>
        <w:autoSpaceDE w:val="0"/>
        <w:autoSpaceDN w:val="0"/>
        <w:adjustRightInd w:val="0"/>
        <w:spacing w:after="0" w:line="360" w:lineRule="auto"/>
        <w:ind w:firstLine="540"/>
        <w:jc w:val="center"/>
        <w:rPr>
          <w:rFonts w:eastAsia="Calibri" w:cs="Myriad Pro"/>
          <w:sz w:val="26"/>
          <w:szCs w:val="26"/>
        </w:rPr>
      </w:pPr>
      <w:r w:rsidRPr="00F94FED">
        <w:rPr>
          <w:rFonts w:eastAsia="Calibri" w:cs="Myriad Pro"/>
          <w:noProof/>
          <w:sz w:val="26"/>
          <w:szCs w:val="26"/>
          <w:lang w:eastAsia="ru-RU"/>
        </w:rPr>
        <w:drawing>
          <wp:inline distT="0" distB="0" distL="0" distR="0" wp14:anchorId="6B87987F" wp14:editId="4BF22B82">
            <wp:extent cx="2286000" cy="29210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286000" cy="292100"/>
                    </a:xfrm>
                    <a:prstGeom prst="rect">
                      <a:avLst/>
                    </a:prstGeom>
                    <a:noFill/>
                    <a:ln>
                      <a:noFill/>
                    </a:ln>
                  </pic:spPr>
                </pic:pic>
              </a:graphicData>
            </a:graphic>
          </wp:inline>
        </w:drawing>
      </w:r>
      <w:r w:rsidRPr="00F94FED">
        <w:rPr>
          <w:rFonts w:eastAsia="Calibri" w:cs="Myriad Pro"/>
          <w:sz w:val="26"/>
          <w:szCs w:val="26"/>
        </w:rPr>
        <w:t>,</w:t>
      </w:r>
      <w:r w:rsidR="005C4743">
        <w:rPr>
          <w:rFonts w:eastAsia="Calibri" w:cs="Myriad Pro"/>
          <w:bCs/>
          <w:sz w:val="26"/>
          <w:szCs w:val="26"/>
        </w:rPr>
        <w:t xml:space="preserve"> </w:t>
      </w:r>
      <w:r w:rsidRPr="00F94FED">
        <w:rPr>
          <w:rFonts w:eastAsia="Calibri" w:cs="Myriad Pro"/>
          <w:sz w:val="26"/>
          <w:szCs w:val="26"/>
        </w:rPr>
        <w:t>где:</w:t>
      </w:r>
    </w:p>
    <w:p w14:paraId="4770C5A6" w14:textId="77777777" w:rsidR="009A4C46" w:rsidRPr="00F94FED" w:rsidRDefault="009A4C46" w:rsidP="00F94FED">
      <w:pPr>
        <w:autoSpaceDE w:val="0"/>
        <w:autoSpaceDN w:val="0"/>
        <w:adjustRightInd w:val="0"/>
        <w:spacing w:after="0" w:line="360" w:lineRule="auto"/>
        <w:jc w:val="both"/>
        <w:rPr>
          <w:rFonts w:eastAsia="Calibri" w:cs="Myriad Pro"/>
          <w:sz w:val="26"/>
          <w:szCs w:val="26"/>
        </w:rPr>
      </w:pPr>
      <w:r w:rsidRPr="00F94FED">
        <w:rPr>
          <w:rFonts w:eastAsia="Calibri" w:cs="Myriad Pro"/>
          <w:position w:val="-16"/>
          <w:sz w:val="26"/>
          <w:szCs w:val="26"/>
        </w:rPr>
        <w:object w:dxaOrig="2340" w:dyaOrig="420" w14:anchorId="1D69BC8B">
          <v:shape id="_x0000_i1026" type="#_x0000_t75" style="width:117.75pt;height:21pt" o:ole="">
            <v:imagedata r:id="rId31" o:title=""/>
          </v:shape>
          <o:OLEObject Type="Embed" ProgID="Equation.3" ShapeID="_x0000_i1026" DrawAspect="Content" ObjectID="_1660036321" r:id="rId32"/>
        </w:object>
      </w:r>
      <w:r w:rsidRPr="00F94FED">
        <w:rPr>
          <w:rFonts w:eastAsia="Calibri" w:cs="Myriad Pro"/>
          <w:sz w:val="26"/>
          <w:szCs w:val="26"/>
        </w:rPr>
        <w:t xml:space="preserve"> - фактическая и плановая величина неподконтрольных расходов (за исключением расходов на финансирования капитальных вложений).</w:t>
      </w:r>
    </w:p>
    <w:p w14:paraId="4C5B5675" w14:textId="77777777" w:rsidR="009A4C46" w:rsidRPr="00F94FED" w:rsidRDefault="009A4C46" w:rsidP="00F94FED">
      <w:pPr>
        <w:autoSpaceDE w:val="0"/>
        <w:autoSpaceDN w:val="0"/>
        <w:adjustRightInd w:val="0"/>
        <w:spacing w:after="0" w:line="360" w:lineRule="auto"/>
        <w:ind w:firstLine="567"/>
        <w:jc w:val="both"/>
        <w:rPr>
          <w:rFonts w:eastAsia="Calibri"/>
          <w:sz w:val="26"/>
          <w:szCs w:val="26"/>
        </w:rPr>
      </w:pPr>
      <w:r w:rsidRPr="00F94FED">
        <w:rPr>
          <w:rFonts w:eastAsia="Calibri"/>
          <w:sz w:val="26"/>
          <w:szCs w:val="26"/>
        </w:rPr>
        <w:t>Корректировка неподконтрольных расходов производится с учетом отклонения фактического уровня неподконтрольных расходов от установленного уровня (с учетом документального подтверждения осуществления таких расходов), изменения законодательства Российской Федерации, приводящего к изменению уровня расходов организации, осуществляющей регулируемую деятельность.</w:t>
      </w:r>
    </w:p>
    <w:p w14:paraId="6710A895" w14:textId="091748A7" w:rsidR="009A4C46" w:rsidRDefault="009A4C46" w:rsidP="005C4743">
      <w:pPr>
        <w:autoSpaceDE w:val="0"/>
        <w:autoSpaceDN w:val="0"/>
        <w:adjustRightInd w:val="0"/>
        <w:spacing w:after="0" w:line="360" w:lineRule="auto"/>
        <w:ind w:firstLine="567"/>
        <w:jc w:val="both"/>
        <w:rPr>
          <w:rFonts w:eastAsia="Calibri"/>
          <w:sz w:val="26"/>
          <w:szCs w:val="26"/>
        </w:rPr>
      </w:pPr>
      <w:r w:rsidRPr="00F94FED">
        <w:rPr>
          <w:rFonts w:eastAsia="Calibri"/>
          <w:sz w:val="26"/>
          <w:szCs w:val="26"/>
        </w:rPr>
        <w:t>При этом корректировка величины неподконтрольных расходов осуществляется с учетом исполнения решений судебных органов и (или) предписаний ФАС России и решений ФАС России по рассмотрению разногласий и (или) досудебного урегулирования споров.</w:t>
      </w:r>
    </w:p>
    <w:p w14:paraId="5D4ADD59" w14:textId="77777777" w:rsidR="005C4743" w:rsidRPr="00F94FED" w:rsidRDefault="005C4743" w:rsidP="00F94FED">
      <w:pPr>
        <w:autoSpaceDE w:val="0"/>
        <w:autoSpaceDN w:val="0"/>
        <w:adjustRightInd w:val="0"/>
        <w:spacing w:after="0" w:line="360" w:lineRule="auto"/>
        <w:ind w:firstLine="567"/>
        <w:jc w:val="both"/>
        <w:rPr>
          <w:rFonts w:eastAsia="Calibri"/>
          <w:sz w:val="26"/>
          <w:szCs w:val="26"/>
        </w:rPr>
      </w:pPr>
    </w:p>
    <w:p w14:paraId="0520536B" w14:textId="7B9D36A3" w:rsidR="009A4C46" w:rsidRPr="00F94FED" w:rsidRDefault="00195CA9" w:rsidP="001D2691">
      <w:pPr>
        <w:spacing w:after="0" w:line="360" w:lineRule="auto"/>
        <w:rPr>
          <w:rFonts w:eastAsia="Calibri"/>
          <w:b/>
          <w:bCs/>
          <w:sz w:val="26"/>
          <w:szCs w:val="26"/>
          <w:lang w:eastAsia="ru-RU"/>
        </w:rPr>
      </w:pPr>
      <w:r w:rsidRPr="00F94FED">
        <w:rPr>
          <w:rFonts w:eastAsia="Calibri"/>
          <w:b/>
          <w:bCs/>
          <w:sz w:val="26"/>
          <w:szCs w:val="26"/>
          <w:lang w:eastAsia="ru-RU"/>
        </w:rPr>
        <w:t>ПОЗИЦИЯ ТЕРРИТОРИАЛЬНОЙ СЕТЕВОЙ ОРГАНИЗАЦИИ</w:t>
      </w:r>
    </w:p>
    <w:p w14:paraId="442CE9F1" w14:textId="6D9E6BB9" w:rsidR="009A4C46" w:rsidRPr="00F94FED" w:rsidRDefault="009A4C46" w:rsidP="00F94FED">
      <w:pPr>
        <w:spacing w:after="0" w:line="360" w:lineRule="auto"/>
        <w:ind w:firstLine="567"/>
        <w:contextualSpacing/>
        <w:jc w:val="both"/>
        <w:rPr>
          <w:rFonts w:eastAsia="Calibri"/>
          <w:sz w:val="26"/>
          <w:szCs w:val="26"/>
        </w:rPr>
      </w:pPr>
      <w:r w:rsidRPr="00F94FED">
        <w:rPr>
          <w:rFonts w:eastAsia="Calibri"/>
          <w:sz w:val="26"/>
          <w:szCs w:val="26"/>
        </w:rPr>
        <w:t>Фактические неподконтрольные расходы, отраженные АО «Тываэнерго» за 2017 год, составили 636</w:t>
      </w:r>
      <w:r w:rsidR="005C4743">
        <w:rPr>
          <w:rFonts w:eastAsia="Calibri"/>
          <w:sz w:val="26"/>
          <w:szCs w:val="26"/>
        </w:rPr>
        <w:t> </w:t>
      </w:r>
      <w:r w:rsidRPr="00F94FED">
        <w:rPr>
          <w:rFonts w:eastAsia="Calibri"/>
          <w:sz w:val="26"/>
          <w:szCs w:val="26"/>
        </w:rPr>
        <w:t>599 тыс. рублей при плане 440</w:t>
      </w:r>
      <w:r w:rsidR="005C4743">
        <w:rPr>
          <w:rFonts w:eastAsia="Calibri"/>
          <w:sz w:val="26"/>
          <w:szCs w:val="26"/>
        </w:rPr>
        <w:t> </w:t>
      </w:r>
      <w:r w:rsidRPr="00F94FED">
        <w:rPr>
          <w:rFonts w:eastAsia="Calibri"/>
          <w:sz w:val="26"/>
          <w:szCs w:val="26"/>
        </w:rPr>
        <w:t xml:space="preserve">509 тыс. руб. </w:t>
      </w:r>
    </w:p>
    <w:p w14:paraId="0A1793A0" w14:textId="71977A10" w:rsidR="009A4C46" w:rsidRPr="00F94FED" w:rsidRDefault="009A4C46" w:rsidP="00F94FED">
      <w:pPr>
        <w:spacing w:after="0" w:line="360" w:lineRule="auto"/>
        <w:ind w:firstLine="567"/>
        <w:contextualSpacing/>
        <w:jc w:val="both"/>
        <w:rPr>
          <w:rFonts w:eastAsia="Calibri"/>
          <w:sz w:val="26"/>
          <w:szCs w:val="26"/>
        </w:rPr>
      </w:pPr>
      <w:r w:rsidRPr="00F94FED">
        <w:rPr>
          <w:rFonts w:eastAsia="Calibri"/>
          <w:sz w:val="26"/>
          <w:szCs w:val="26"/>
        </w:rPr>
        <w:t>Фактические неподконтрольные расходы превысили плановые значения на сумму 196</w:t>
      </w:r>
      <w:r w:rsidR="005C4743">
        <w:rPr>
          <w:rFonts w:eastAsia="Calibri"/>
          <w:sz w:val="26"/>
          <w:szCs w:val="26"/>
        </w:rPr>
        <w:t> </w:t>
      </w:r>
      <w:r w:rsidRPr="00F94FED">
        <w:rPr>
          <w:rFonts w:eastAsia="Calibri"/>
          <w:sz w:val="26"/>
          <w:szCs w:val="26"/>
        </w:rPr>
        <w:t>092 тыс. руб.</w:t>
      </w:r>
    </w:p>
    <w:p w14:paraId="45872922" w14:textId="77777777" w:rsidR="009A4C46" w:rsidRPr="00F94FED" w:rsidRDefault="009A4C46" w:rsidP="00F94FED">
      <w:pPr>
        <w:spacing w:after="0" w:line="360" w:lineRule="auto"/>
        <w:ind w:firstLine="567"/>
        <w:contextualSpacing/>
        <w:jc w:val="both"/>
        <w:rPr>
          <w:rFonts w:eastAsia="Calibri"/>
          <w:sz w:val="26"/>
          <w:szCs w:val="26"/>
        </w:rPr>
      </w:pPr>
      <w:r w:rsidRPr="00F94FED">
        <w:rPr>
          <w:rFonts w:eastAsia="Calibri"/>
          <w:sz w:val="26"/>
          <w:szCs w:val="26"/>
        </w:rPr>
        <w:t>По мнению АО «Тываэнерго», в целом отклонение по неподконтрольным расходам обусловлено наличием значительного объема затрат, не учитываемых при тарифном регулировании.</w:t>
      </w:r>
    </w:p>
    <w:p w14:paraId="0F5CC1D5" w14:textId="2C950F2F" w:rsidR="009A4C46" w:rsidRPr="00F94FED" w:rsidRDefault="009A4C46" w:rsidP="00F94FED">
      <w:pPr>
        <w:spacing w:after="0" w:line="360" w:lineRule="auto"/>
        <w:ind w:firstLine="567"/>
        <w:contextualSpacing/>
        <w:jc w:val="both"/>
        <w:rPr>
          <w:rFonts w:eastAsia="Calibri"/>
          <w:sz w:val="26"/>
          <w:szCs w:val="26"/>
        </w:rPr>
      </w:pPr>
      <w:r w:rsidRPr="00F94FED">
        <w:rPr>
          <w:rFonts w:eastAsia="Calibri"/>
          <w:sz w:val="26"/>
          <w:szCs w:val="26"/>
        </w:rPr>
        <w:t xml:space="preserve">В составе обосновывающих материалов на установление тарифов на услуги по передаче электрической энергии по сетям АО «Тываэнерго» на 2019 год </w:t>
      </w:r>
      <w:r w:rsidRPr="00F94FED">
        <w:rPr>
          <w:rFonts w:eastAsia="Calibri"/>
          <w:sz w:val="26"/>
          <w:szCs w:val="26"/>
        </w:rPr>
        <w:lastRenderedPageBreak/>
        <w:t>Общество представило в Службу по тарифам Республики Тыва расчет корректировки по фактически понесенным неподконтрольным расходам за 2017 год, не учтенным при установлении тарифов.</w:t>
      </w:r>
    </w:p>
    <w:tbl>
      <w:tblPr>
        <w:tblW w:w="5000" w:type="pct"/>
        <w:tblLook w:val="04A0" w:firstRow="1" w:lastRow="0" w:firstColumn="1" w:lastColumn="0" w:noHBand="0" w:noVBand="1"/>
      </w:tblPr>
      <w:tblGrid>
        <w:gridCol w:w="837"/>
        <w:gridCol w:w="3377"/>
        <w:gridCol w:w="1718"/>
        <w:gridCol w:w="1675"/>
        <w:gridCol w:w="1738"/>
      </w:tblGrid>
      <w:tr w:rsidR="005C4743" w:rsidRPr="005C4743" w14:paraId="535D40EF" w14:textId="77777777" w:rsidTr="005C4743">
        <w:trPr>
          <w:trHeight w:val="592"/>
          <w:tblHeader/>
        </w:trPr>
        <w:tc>
          <w:tcPr>
            <w:tcW w:w="44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484CA3D" w14:textId="77777777" w:rsidR="009A4C46" w:rsidRPr="00F94FED" w:rsidRDefault="009A4C46" w:rsidP="009A4C46">
            <w:pPr>
              <w:spacing w:after="0" w:line="240" w:lineRule="auto"/>
              <w:jc w:val="center"/>
              <w:rPr>
                <w:rFonts w:eastAsia="Times New Roman"/>
                <w:b/>
                <w:color w:val="FFFFFF" w:themeColor="background1"/>
                <w:sz w:val="18"/>
                <w:szCs w:val="18"/>
                <w:lang w:eastAsia="ru-RU"/>
              </w:rPr>
            </w:pPr>
            <w:r w:rsidRPr="00F94FED">
              <w:rPr>
                <w:rFonts w:eastAsia="Times New Roman"/>
                <w:b/>
                <w:color w:val="FFFFFF" w:themeColor="background1"/>
                <w:sz w:val="18"/>
                <w:szCs w:val="18"/>
                <w:lang w:eastAsia="ru-RU"/>
              </w:rPr>
              <w:t xml:space="preserve">№ </w:t>
            </w:r>
            <w:proofErr w:type="spellStart"/>
            <w:r w:rsidRPr="00F94FED">
              <w:rPr>
                <w:rFonts w:eastAsia="Times New Roman"/>
                <w:b/>
                <w:color w:val="FFFFFF" w:themeColor="background1"/>
                <w:sz w:val="18"/>
                <w:szCs w:val="18"/>
                <w:lang w:eastAsia="ru-RU"/>
              </w:rPr>
              <w:t>п.п</w:t>
            </w:r>
            <w:proofErr w:type="spellEnd"/>
            <w:r w:rsidRPr="00F94FED">
              <w:rPr>
                <w:rFonts w:eastAsia="Times New Roman"/>
                <w:b/>
                <w:color w:val="FFFFFF" w:themeColor="background1"/>
                <w:sz w:val="18"/>
                <w:szCs w:val="18"/>
                <w:lang w:eastAsia="ru-RU"/>
              </w:rPr>
              <w:t>.</w:t>
            </w:r>
          </w:p>
        </w:tc>
        <w:tc>
          <w:tcPr>
            <w:tcW w:w="180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54F7967" w14:textId="77777777" w:rsidR="009A4C46" w:rsidRPr="00F94FED" w:rsidRDefault="009A4C46" w:rsidP="009A4C46">
            <w:pPr>
              <w:spacing w:after="0" w:line="240" w:lineRule="auto"/>
              <w:jc w:val="center"/>
              <w:rPr>
                <w:rFonts w:eastAsia="Times New Roman"/>
                <w:b/>
                <w:color w:val="FFFFFF" w:themeColor="background1"/>
                <w:sz w:val="18"/>
                <w:szCs w:val="18"/>
                <w:lang w:eastAsia="ru-RU"/>
              </w:rPr>
            </w:pPr>
            <w:r w:rsidRPr="00F94FED">
              <w:rPr>
                <w:rFonts w:eastAsia="Times New Roman"/>
                <w:b/>
                <w:color w:val="FFFFFF" w:themeColor="background1"/>
                <w:sz w:val="18"/>
                <w:szCs w:val="18"/>
                <w:lang w:eastAsia="ru-RU"/>
              </w:rPr>
              <w:t>Показатели</w:t>
            </w:r>
          </w:p>
        </w:tc>
        <w:tc>
          <w:tcPr>
            <w:tcW w:w="91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4F125FA" w14:textId="004CB5D2" w:rsidR="009A4C46" w:rsidRPr="00F94FED" w:rsidRDefault="009A4C46" w:rsidP="009A4C46">
            <w:pPr>
              <w:spacing w:after="0" w:line="240" w:lineRule="auto"/>
              <w:jc w:val="center"/>
              <w:rPr>
                <w:rFonts w:eastAsia="Times New Roman"/>
                <w:b/>
                <w:color w:val="FFFFFF" w:themeColor="background1"/>
                <w:sz w:val="18"/>
                <w:szCs w:val="18"/>
                <w:lang w:eastAsia="ru-RU"/>
              </w:rPr>
            </w:pPr>
            <w:r w:rsidRPr="00F94FED">
              <w:rPr>
                <w:rFonts w:eastAsia="Times New Roman"/>
                <w:b/>
                <w:color w:val="FFFFFF" w:themeColor="background1"/>
                <w:sz w:val="18"/>
                <w:szCs w:val="18"/>
                <w:lang w:eastAsia="ru-RU"/>
              </w:rPr>
              <w:t>НР</w:t>
            </w:r>
            <w:r w:rsidRPr="00F94FED">
              <w:rPr>
                <w:rFonts w:eastAsia="Times New Roman"/>
                <w:b/>
                <w:color w:val="FFFFFF" w:themeColor="background1"/>
                <w:sz w:val="18"/>
                <w:szCs w:val="18"/>
                <w:vertAlign w:val="subscript"/>
                <w:lang w:eastAsia="ru-RU"/>
              </w:rPr>
              <w:t xml:space="preserve">i-2 </w:t>
            </w:r>
            <w:proofErr w:type="spellStart"/>
            <w:r w:rsidRPr="00F94FED">
              <w:rPr>
                <w:rFonts w:eastAsia="Times New Roman"/>
                <w:b/>
                <w:color w:val="FFFFFF" w:themeColor="background1"/>
                <w:sz w:val="18"/>
                <w:szCs w:val="18"/>
                <w:vertAlign w:val="superscript"/>
                <w:lang w:eastAsia="ru-RU"/>
              </w:rPr>
              <w:t>расх.план</w:t>
            </w:r>
            <w:proofErr w:type="spellEnd"/>
            <w:r w:rsidRPr="00F94FED">
              <w:rPr>
                <w:rFonts w:eastAsia="Times New Roman"/>
                <w:b/>
                <w:color w:val="FFFFFF" w:themeColor="background1"/>
                <w:sz w:val="18"/>
                <w:szCs w:val="18"/>
                <w:lang w:eastAsia="ru-RU"/>
              </w:rPr>
              <w:t xml:space="preserve"> (2017)</w:t>
            </w:r>
            <w:r w:rsidR="005C4743" w:rsidRPr="00F94FED">
              <w:rPr>
                <w:rFonts w:eastAsia="Times New Roman"/>
                <w:b/>
                <w:color w:val="FFFFFF" w:themeColor="background1"/>
                <w:sz w:val="18"/>
                <w:szCs w:val="18"/>
                <w:lang w:eastAsia="ru-RU"/>
              </w:rPr>
              <w:t>, тыс. руб.</w:t>
            </w:r>
          </w:p>
        </w:tc>
        <w:tc>
          <w:tcPr>
            <w:tcW w:w="89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24AE58C" w14:textId="485670C1" w:rsidR="009A4C46" w:rsidRPr="00F94FED" w:rsidRDefault="009A4C46" w:rsidP="009A4C46">
            <w:pPr>
              <w:spacing w:after="0" w:line="240" w:lineRule="auto"/>
              <w:jc w:val="center"/>
              <w:rPr>
                <w:rFonts w:eastAsia="Times New Roman"/>
                <w:b/>
                <w:color w:val="FFFFFF" w:themeColor="background1"/>
                <w:sz w:val="18"/>
                <w:szCs w:val="18"/>
                <w:lang w:eastAsia="ru-RU"/>
              </w:rPr>
            </w:pPr>
            <w:r w:rsidRPr="00F94FED">
              <w:rPr>
                <w:rFonts w:eastAsia="Times New Roman"/>
                <w:b/>
                <w:color w:val="FFFFFF" w:themeColor="background1"/>
                <w:sz w:val="18"/>
                <w:szCs w:val="18"/>
                <w:lang w:eastAsia="ru-RU"/>
              </w:rPr>
              <w:t>НР</w:t>
            </w:r>
            <w:r w:rsidRPr="00F94FED">
              <w:rPr>
                <w:rFonts w:eastAsia="Times New Roman"/>
                <w:b/>
                <w:color w:val="FFFFFF" w:themeColor="background1"/>
                <w:sz w:val="18"/>
                <w:szCs w:val="18"/>
                <w:vertAlign w:val="subscript"/>
                <w:lang w:eastAsia="ru-RU"/>
              </w:rPr>
              <w:t>i-2</w:t>
            </w:r>
            <w:r w:rsidRPr="00F94FED">
              <w:rPr>
                <w:rFonts w:eastAsia="Times New Roman"/>
                <w:b/>
                <w:color w:val="FFFFFF" w:themeColor="background1"/>
                <w:sz w:val="18"/>
                <w:szCs w:val="18"/>
                <w:vertAlign w:val="superscript"/>
                <w:lang w:eastAsia="ru-RU"/>
              </w:rPr>
              <w:t xml:space="preserve">расх.факт </w:t>
            </w:r>
            <w:r w:rsidRPr="00F94FED">
              <w:rPr>
                <w:rFonts w:eastAsia="Times New Roman"/>
                <w:b/>
                <w:color w:val="FFFFFF" w:themeColor="background1"/>
                <w:sz w:val="18"/>
                <w:szCs w:val="18"/>
                <w:lang w:eastAsia="ru-RU"/>
              </w:rPr>
              <w:t>(2017)</w:t>
            </w:r>
            <w:r w:rsidR="005C4743" w:rsidRPr="00F94FED">
              <w:rPr>
                <w:rFonts w:eastAsia="Times New Roman"/>
                <w:b/>
                <w:color w:val="FFFFFF" w:themeColor="background1"/>
                <w:sz w:val="18"/>
                <w:szCs w:val="18"/>
                <w:lang w:eastAsia="ru-RU"/>
              </w:rPr>
              <w:t>, тыс. руб.</w:t>
            </w:r>
          </w:p>
        </w:tc>
        <w:tc>
          <w:tcPr>
            <w:tcW w:w="93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0F3191E" w14:textId="77777777" w:rsidR="005C4743" w:rsidRPr="00F94FED" w:rsidRDefault="009A4C46" w:rsidP="009A4C46">
            <w:pPr>
              <w:spacing w:after="0" w:line="240" w:lineRule="auto"/>
              <w:jc w:val="center"/>
              <w:rPr>
                <w:rFonts w:eastAsia="Times New Roman"/>
                <w:b/>
                <w:color w:val="FFFFFF" w:themeColor="background1"/>
                <w:sz w:val="18"/>
                <w:szCs w:val="18"/>
                <w:vertAlign w:val="subscript"/>
                <w:lang w:eastAsia="ru-RU"/>
              </w:rPr>
            </w:pPr>
            <w:r w:rsidRPr="00F94FED">
              <w:rPr>
                <w:rFonts w:eastAsia="Times New Roman"/>
                <w:b/>
                <w:color w:val="FFFFFF" w:themeColor="background1"/>
                <w:sz w:val="18"/>
                <w:szCs w:val="18"/>
                <w:lang w:eastAsia="ru-RU"/>
              </w:rPr>
              <w:t>∆</w:t>
            </w:r>
            <w:proofErr w:type="spellStart"/>
            <w:r w:rsidRPr="00F94FED">
              <w:rPr>
                <w:rFonts w:eastAsia="Times New Roman"/>
                <w:b/>
                <w:color w:val="FFFFFF" w:themeColor="background1"/>
                <w:sz w:val="18"/>
                <w:szCs w:val="18"/>
                <w:lang w:eastAsia="ru-RU"/>
              </w:rPr>
              <w:t>НР</w:t>
            </w:r>
            <w:r w:rsidRPr="00F94FED">
              <w:rPr>
                <w:rFonts w:eastAsia="Times New Roman"/>
                <w:b/>
                <w:color w:val="FFFFFF" w:themeColor="background1"/>
                <w:sz w:val="18"/>
                <w:szCs w:val="18"/>
                <w:vertAlign w:val="subscript"/>
                <w:lang w:eastAsia="ru-RU"/>
              </w:rPr>
              <w:t>i</w:t>
            </w:r>
            <w:proofErr w:type="spellEnd"/>
            <w:r w:rsidR="005C4743" w:rsidRPr="00F94FED">
              <w:rPr>
                <w:rFonts w:eastAsia="Times New Roman"/>
                <w:b/>
                <w:color w:val="FFFFFF" w:themeColor="background1"/>
                <w:sz w:val="18"/>
                <w:szCs w:val="18"/>
                <w:vertAlign w:val="subscript"/>
                <w:lang w:eastAsia="ru-RU"/>
              </w:rPr>
              <w:t xml:space="preserve">, </w:t>
            </w:r>
          </w:p>
          <w:p w14:paraId="6E552444" w14:textId="6724919D" w:rsidR="009A4C46" w:rsidRPr="00F94FED" w:rsidRDefault="005C4743" w:rsidP="009A4C46">
            <w:pPr>
              <w:spacing w:after="0" w:line="240" w:lineRule="auto"/>
              <w:jc w:val="center"/>
              <w:rPr>
                <w:rFonts w:eastAsia="Times New Roman"/>
                <w:b/>
                <w:color w:val="FFFFFF" w:themeColor="background1"/>
                <w:sz w:val="18"/>
                <w:szCs w:val="18"/>
                <w:lang w:eastAsia="ru-RU"/>
              </w:rPr>
            </w:pPr>
            <w:r w:rsidRPr="00F94FED">
              <w:rPr>
                <w:rFonts w:eastAsia="Times New Roman"/>
                <w:b/>
                <w:color w:val="FFFFFF" w:themeColor="background1"/>
                <w:sz w:val="18"/>
                <w:szCs w:val="18"/>
                <w:lang w:eastAsia="ru-RU"/>
              </w:rPr>
              <w:t>тыс. руб.</w:t>
            </w:r>
          </w:p>
        </w:tc>
      </w:tr>
      <w:tr w:rsidR="005C4743" w:rsidRPr="005C4743" w14:paraId="59F40087" w14:textId="77777777" w:rsidTr="00874840">
        <w:trPr>
          <w:trHeight w:val="257"/>
          <w:tblHeader/>
        </w:trPr>
        <w:tc>
          <w:tcPr>
            <w:tcW w:w="44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B90F0F5" w14:textId="77777777" w:rsidR="009A4C46" w:rsidRPr="00F94FED" w:rsidRDefault="009A4C46" w:rsidP="009A4C46">
            <w:pPr>
              <w:spacing w:after="0" w:line="240" w:lineRule="auto"/>
              <w:rPr>
                <w:rFonts w:eastAsia="Times New Roman"/>
                <w:b/>
                <w:color w:val="FFFFFF" w:themeColor="background1"/>
                <w:sz w:val="18"/>
                <w:szCs w:val="18"/>
                <w:lang w:eastAsia="ru-RU"/>
              </w:rPr>
            </w:pPr>
          </w:p>
        </w:tc>
        <w:tc>
          <w:tcPr>
            <w:tcW w:w="180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278C291" w14:textId="77777777" w:rsidR="009A4C46" w:rsidRPr="00F94FED" w:rsidRDefault="009A4C46" w:rsidP="009A4C46">
            <w:pPr>
              <w:spacing w:after="0" w:line="240" w:lineRule="auto"/>
              <w:rPr>
                <w:rFonts w:eastAsia="Times New Roman"/>
                <w:b/>
                <w:color w:val="FFFFFF" w:themeColor="background1"/>
                <w:sz w:val="18"/>
                <w:szCs w:val="18"/>
                <w:lang w:eastAsia="ru-RU"/>
              </w:rPr>
            </w:pPr>
          </w:p>
        </w:tc>
        <w:tc>
          <w:tcPr>
            <w:tcW w:w="91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DCD0D2B" w14:textId="77777777" w:rsidR="009A4C46" w:rsidRPr="00F94FED" w:rsidRDefault="009A4C46" w:rsidP="009A4C46">
            <w:pPr>
              <w:spacing w:after="0" w:line="240" w:lineRule="auto"/>
              <w:rPr>
                <w:rFonts w:eastAsia="Times New Roman"/>
                <w:b/>
                <w:color w:val="FFFFFF" w:themeColor="background1"/>
                <w:sz w:val="18"/>
                <w:szCs w:val="18"/>
                <w:lang w:eastAsia="ru-RU"/>
              </w:rPr>
            </w:pPr>
          </w:p>
        </w:tc>
        <w:tc>
          <w:tcPr>
            <w:tcW w:w="89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E7EF1F4" w14:textId="77777777" w:rsidR="009A4C46" w:rsidRPr="00F94FED" w:rsidRDefault="009A4C46" w:rsidP="009A4C46">
            <w:pPr>
              <w:spacing w:after="0" w:line="240" w:lineRule="auto"/>
              <w:rPr>
                <w:rFonts w:eastAsia="Times New Roman"/>
                <w:b/>
                <w:color w:val="FFFFFF" w:themeColor="background1"/>
                <w:sz w:val="18"/>
                <w:szCs w:val="18"/>
                <w:lang w:eastAsia="ru-RU"/>
              </w:rPr>
            </w:pPr>
          </w:p>
        </w:tc>
        <w:tc>
          <w:tcPr>
            <w:tcW w:w="93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714F47B" w14:textId="77777777" w:rsidR="009A4C46" w:rsidRPr="00F94FED" w:rsidRDefault="009A4C46" w:rsidP="009A4C46">
            <w:pPr>
              <w:spacing w:after="0" w:line="240" w:lineRule="auto"/>
              <w:jc w:val="center"/>
              <w:rPr>
                <w:rFonts w:eastAsia="Times New Roman"/>
                <w:b/>
                <w:color w:val="FFFFFF" w:themeColor="background1"/>
                <w:sz w:val="18"/>
                <w:szCs w:val="18"/>
                <w:lang w:eastAsia="ru-RU"/>
              </w:rPr>
            </w:pPr>
            <w:r w:rsidRPr="00F94FED">
              <w:rPr>
                <w:rFonts w:eastAsia="Times New Roman"/>
                <w:b/>
                <w:color w:val="FFFFFF" w:themeColor="background1"/>
                <w:sz w:val="18"/>
                <w:szCs w:val="18"/>
                <w:lang w:eastAsia="ru-RU"/>
              </w:rPr>
              <w:t>2017</w:t>
            </w:r>
          </w:p>
        </w:tc>
      </w:tr>
      <w:tr w:rsidR="005C4743" w:rsidRPr="005C4743" w14:paraId="4C4B78DB" w14:textId="77777777" w:rsidTr="005C4743">
        <w:trPr>
          <w:trHeight w:val="225"/>
        </w:trPr>
        <w:tc>
          <w:tcPr>
            <w:tcW w:w="44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0C51FD3" w14:textId="77777777" w:rsidR="009A4C46" w:rsidRPr="00F94FED" w:rsidRDefault="009A4C46" w:rsidP="009A4C46">
            <w:pPr>
              <w:spacing w:after="0" w:line="240" w:lineRule="auto"/>
              <w:jc w:val="center"/>
              <w:rPr>
                <w:rFonts w:eastAsia="Times New Roman"/>
                <w:b/>
                <w:color w:val="FFFFFF" w:themeColor="background1"/>
                <w:sz w:val="18"/>
                <w:szCs w:val="18"/>
                <w:lang w:eastAsia="ru-RU"/>
              </w:rPr>
            </w:pPr>
            <w:r w:rsidRPr="00F94FED">
              <w:rPr>
                <w:rFonts w:eastAsia="Times New Roman"/>
                <w:b/>
                <w:color w:val="FFFFFF" w:themeColor="background1"/>
                <w:sz w:val="18"/>
                <w:szCs w:val="18"/>
                <w:lang w:eastAsia="ru-RU"/>
              </w:rPr>
              <w:t>1</w:t>
            </w:r>
          </w:p>
        </w:tc>
        <w:tc>
          <w:tcPr>
            <w:tcW w:w="180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562A0E5" w14:textId="77777777" w:rsidR="009A4C46" w:rsidRPr="00F94FED" w:rsidRDefault="009A4C46" w:rsidP="009A4C46">
            <w:pPr>
              <w:spacing w:after="0" w:line="240" w:lineRule="auto"/>
              <w:jc w:val="center"/>
              <w:rPr>
                <w:rFonts w:eastAsia="Times New Roman"/>
                <w:b/>
                <w:color w:val="FFFFFF" w:themeColor="background1"/>
                <w:sz w:val="18"/>
                <w:szCs w:val="18"/>
                <w:lang w:eastAsia="ru-RU"/>
              </w:rPr>
            </w:pPr>
            <w:r w:rsidRPr="00F94FED">
              <w:rPr>
                <w:rFonts w:eastAsia="Times New Roman"/>
                <w:b/>
                <w:color w:val="FFFFFF" w:themeColor="background1"/>
                <w:sz w:val="18"/>
                <w:szCs w:val="18"/>
                <w:lang w:eastAsia="ru-RU"/>
              </w:rPr>
              <w:t>2</w:t>
            </w:r>
          </w:p>
        </w:tc>
        <w:tc>
          <w:tcPr>
            <w:tcW w:w="91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3C3305B" w14:textId="77777777" w:rsidR="009A4C46" w:rsidRPr="00F94FED" w:rsidRDefault="009A4C46" w:rsidP="009A4C46">
            <w:pPr>
              <w:spacing w:after="0" w:line="240" w:lineRule="auto"/>
              <w:jc w:val="center"/>
              <w:rPr>
                <w:rFonts w:eastAsia="Times New Roman"/>
                <w:b/>
                <w:color w:val="FFFFFF" w:themeColor="background1"/>
                <w:sz w:val="18"/>
                <w:szCs w:val="18"/>
                <w:lang w:eastAsia="ru-RU"/>
              </w:rPr>
            </w:pPr>
            <w:r w:rsidRPr="00F94FED">
              <w:rPr>
                <w:rFonts w:eastAsia="Times New Roman"/>
                <w:b/>
                <w:color w:val="FFFFFF" w:themeColor="background1"/>
                <w:sz w:val="18"/>
                <w:szCs w:val="18"/>
                <w:lang w:eastAsia="ru-RU"/>
              </w:rPr>
              <w:t>3</w:t>
            </w:r>
          </w:p>
        </w:tc>
        <w:tc>
          <w:tcPr>
            <w:tcW w:w="89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222FD20" w14:textId="77777777" w:rsidR="009A4C46" w:rsidRPr="00F94FED" w:rsidRDefault="009A4C46" w:rsidP="009A4C46">
            <w:pPr>
              <w:spacing w:after="0" w:line="240" w:lineRule="auto"/>
              <w:jc w:val="center"/>
              <w:rPr>
                <w:rFonts w:eastAsia="Times New Roman"/>
                <w:b/>
                <w:color w:val="FFFFFF" w:themeColor="background1"/>
                <w:sz w:val="18"/>
                <w:szCs w:val="18"/>
                <w:lang w:eastAsia="ru-RU"/>
              </w:rPr>
            </w:pPr>
            <w:r w:rsidRPr="00F94FED">
              <w:rPr>
                <w:rFonts w:eastAsia="Times New Roman"/>
                <w:b/>
                <w:color w:val="FFFFFF" w:themeColor="background1"/>
                <w:sz w:val="18"/>
                <w:szCs w:val="18"/>
                <w:lang w:eastAsia="ru-RU"/>
              </w:rPr>
              <w:t>4</w:t>
            </w:r>
          </w:p>
        </w:tc>
        <w:tc>
          <w:tcPr>
            <w:tcW w:w="93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3555931" w14:textId="77777777" w:rsidR="009A4C46" w:rsidRPr="00F94FED" w:rsidRDefault="009A4C46" w:rsidP="009A4C46">
            <w:pPr>
              <w:spacing w:after="0" w:line="240" w:lineRule="auto"/>
              <w:jc w:val="center"/>
              <w:rPr>
                <w:rFonts w:eastAsia="Times New Roman"/>
                <w:b/>
                <w:color w:val="FFFFFF" w:themeColor="background1"/>
                <w:sz w:val="18"/>
                <w:szCs w:val="18"/>
                <w:lang w:eastAsia="ru-RU"/>
              </w:rPr>
            </w:pPr>
            <w:r w:rsidRPr="00F94FED">
              <w:rPr>
                <w:rFonts w:eastAsia="Times New Roman"/>
                <w:b/>
                <w:color w:val="FFFFFF" w:themeColor="background1"/>
                <w:sz w:val="18"/>
                <w:szCs w:val="18"/>
                <w:lang w:eastAsia="ru-RU"/>
              </w:rPr>
              <w:t>5</w:t>
            </w:r>
          </w:p>
        </w:tc>
      </w:tr>
      <w:tr w:rsidR="009A4C46" w:rsidRPr="005C4743" w14:paraId="7B848E1D" w14:textId="77777777" w:rsidTr="00F94FED">
        <w:trPr>
          <w:trHeight w:val="264"/>
        </w:trPr>
        <w:tc>
          <w:tcPr>
            <w:tcW w:w="448"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0668420E" w14:textId="77777777" w:rsidR="009A4C46" w:rsidRPr="005C4743" w:rsidRDefault="009A4C46" w:rsidP="009A4C46">
            <w:pPr>
              <w:spacing w:after="0" w:line="240" w:lineRule="auto"/>
              <w:jc w:val="center"/>
              <w:rPr>
                <w:rFonts w:eastAsia="Times New Roman"/>
                <w:sz w:val="18"/>
                <w:szCs w:val="18"/>
                <w:lang w:eastAsia="ru-RU"/>
              </w:rPr>
            </w:pPr>
            <w:r w:rsidRPr="005C4743">
              <w:rPr>
                <w:rFonts w:eastAsia="Times New Roman"/>
                <w:sz w:val="18"/>
                <w:szCs w:val="18"/>
                <w:lang w:eastAsia="ru-RU"/>
              </w:rPr>
              <w:t>1.</w:t>
            </w:r>
          </w:p>
        </w:tc>
        <w:tc>
          <w:tcPr>
            <w:tcW w:w="1807" w:type="pct"/>
            <w:tcBorders>
              <w:top w:val="single" w:sz="4" w:space="0" w:color="FFFFFF" w:themeColor="background1"/>
              <w:left w:val="nil"/>
              <w:bottom w:val="single" w:sz="4" w:space="0" w:color="auto"/>
              <w:right w:val="single" w:sz="4" w:space="0" w:color="auto"/>
            </w:tcBorders>
            <w:shd w:val="clear" w:color="auto" w:fill="auto"/>
            <w:vAlign w:val="center"/>
            <w:hideMark/>
          </w:tcPr>
          <w:p w14:paraId="68BAB40D" w14:textId="77777777" w:rsidR="009A4C46" w:rsidRPr="005C4743" w:rsidRDefault="009A4C46" w:rsidP="009A4C46">
            <w:pPr>
              <w:spacing w:after="0" w:line="240" w:lineRule="auto"/>
              <w:rPr>
                <w:rFonts w:eastAsia="Times New Roman"/>
                <w:sz w:val="18"/>
                <w:szCs w:val="18"/>
                <w:lang w:eastAsia="ru-RU"/>
              </w:rPr>
            </w:pPr>
            <w:r w:rsidRPr="005C4743">
              <w:rPr>
                <w:rFonts w:eastAsia="Times New Roman"/>
                <w:sz w:val="18"/>
                <w:szCs w:val="18"/>
                <w:lang w:eastAsia="ru-RU"/>
              </w:rPr>
              <w:t>Оплата услуг ПАО «ФСК ЕЭС»</w:t>
            </w:r>
          </w:p>
        </w:tc>
        <w:tc>
          <w:tcPr>
            <w:tcW w:w="919" w:type="pct"/>
            <w:tcBorders>
              <w:top w:val="single" w:sz="4" w:space="0" w:color="FFFFFF" w:themeColor="background1"/>
              <w:left w:val="single" w:sz="4" w:space="0" w:color="auto"/>
              <w:bottom w:val="single" w:sz="4" w:space="0" w:color="auto"/>
              <w:right w:val="single" w:sz="4" w:space="0" w:color="auto"/>
            </w:tcBorders>
            <w:shd w:val="clear" w:color="auto" w:fill="auto"/>
            <w:vAlign w:val="center"/>
          </w:tcPr>
          <w:p w14:paraId="5D9A53ED" w14:textId="77777777" w:rsidR="009A4C46" w:rsidRPr="005C4743" w:rsidRDefault="009A4C46" w:rsidP="009A4C46">
            <w:pPr>
              <w:spacing w:after="0" w:line="240" w:lineRule="auto"/>
              <w:jc w:val="center"/>
              <w:rPr>
                <w:rFonts w:eastAsia="Times New Roman"/>
                <w:color w:val="000000"/>
                <w:sz w:val="18"/>
                <w:szCs w:val="18"/>
                <w:lang w:eastAsia="ru-RU"/>
              </w:rPr>
            </w:pPr>
            <w:r w:rsidRPr="005C4743">
              <w:rPr>
                <w:rFonts w:eastAsia="Times New Roman"/>
                <w:color w:val="000000"/>
                <w:sz w:val="18"/>
                <w:szCs w:val="18"/>
                <w:lang w:eastAsia="ru-RU"/>
              </w:rPr>
              <w:t>202 527</w:t>
            </w:r>
          </w:p>
        </w:tc>
        <w:tc>
          <w:tcPr>
            <w:tcW w:w="896" w:type="pct"/>
            <w:tcBorders>
              <w:top w:val="single" w:sz="4" w:space="0" w:color="FFFFFF" w:themeColor="background1"/>
              <w:left w:val="nil"/>
              <w:bottom w:val="single" w:sz="4" w:space="0" w:color="auto"/>
              <w:right w:val="single" w:sz="4" w:space="0" w:color="auto"/>
            </w:tcBorders>
            <w:shd w:val="clear" w:color="auto" w:fill="auto"/>
            <w:vAlign w:val="center"/>
          </w:tcPr>
          <w:p w14:paraId="049298F2" w14:textId="77777777" w:rsidR="009A4C46" w:rsidRPr="005C4743" w:rsidRDefault="009A4C46" w:rsidP="009A4C46">
            <w:pPr>
              <w:spacing w:after="0" w:line="240" w:lineRule="auto"/>
              <w:jc w:val="center"/>
              <w:rPr>
                <w:rFonts w:eastAsia="Times New Roman"/>
                <w:color w:val="000000"/>
                <w:sz w:val="18"/>
                <w:szCs w:val="18"/>
                <w:lang w:eastAsia="ru-RU"/>
              </w:rPr>
            </w:pPr>
            <w:r w:rsidRPr="005C4743">
              <w:rPr>
                <w:rFonts w:eastAsia="Times New Roman"/>
                <w:color w:val="000000"/>
                <w:sz w:val="18"/>
                <w:szCs w:val="18"/>
                <w:lang w:eastAsia="ru-RU"/>
              </w:rPr>
              <w:t>209 935</w:t>
            </w:r>
          </w:p>
        </w:tc>
        <w:tc>
          <w:tcPr>
            <w:tcW w:w="931" w:type="pct"/>
            <w:tcBorders>
              <w:top w:val="single" w:sz="4" w:space="0" w:color="FFFFFF" w:themeColor="background1"/>
              <w:left w:val="nil"/>
              <w:bottom w:val="single" w:sz="4" w:space="0" w:color="auto"/>
              <w:right w:val="single" w:sz="8" w:space="0" w:color="auto"/>
            </w:tcBorders>
            <w:shd w:val="clear" w:color="auto" w:fill="auto"/>
            <w:vAlign w:val="center"/>
          </w:tcPr>
          <w:p w14:paraId="07023A55" w14:textId="77777777" w:rsidR="009A4C46" w:rsidRPr="005C4743" w:rsidRDefault="009A4C46" w:rsidP="009A4C46">
            <w:pPr>
              <w:spacing w:after="0" w:line="240" w:lineRule="auto"/>
              <w:jc w:val="center"/>
              <w:rPr>
                <w:rFonts w:eastAsia="Times New Roman"/>
                <w:color w:val="000000"/>
                <w:sz w:val="18"/>
                <w:szCs w:val="18"/>
                <w:lang w:eastAsia="ru-RU"/>
              </w:rPr>
            </w:pPr>
            <w:r w:rsidRPr="005C4743">
              <w:rPr>
                <w:rFonts w:eastAsia="Times New Roman"/>
                <w:color w:val="000000"/>
                <w:sz w:val="18"/>
                <w:szCs w:val="18"/>
                <w:lang w:eastAsia="ru-RU"/>
              </w:rPr>
              <w:t>7 408</w:t>
            </w:r>
          </w:p>
        </w:tc>
      </w:tr>
      <w:tr w:rsidR="009A4C46" w:rsidRPr="005C4743" w14:paraId="254F6E38" w14:textId="77777777" w:rsidTr="00F94FED">
        <w:trPr>
          <w:trHeight w:val="264"/>
        </w:trPr>
        <w:tc>
          <w:tcPr>
            <w:tcW w:w="448" w:type="pct"/>
            <w:tcBorders>
              <w:top w:val="nil"/>
              <w:left w:val="single" w:sz="4" w:space="0" w:color="auto"/>
              <w:bottom w:val="single" w:sz="4" w:space="0" w:color="auto"/>
              <w:right w:val="single" w:sz="4" w:space="0" w:color="auto"/>
            </w:tcBorders>
            <w:shd w:val="clear" w:color="auto" w:fill="auto"/>
            <w:noWrap/>
            <w:vAlign w:val="center"/>
            <w:hideMark/>
          </w:tcPr>
          <w:p w14:paraId="274CFA6E" w14:textId="77777777" w:rsidR="009A4C46" w:rsidRPr="003E2802" w:rsidRDefault="009A4C46" w:rsidP="009A4C46">
            <w:pPr>
              <w:spacing w:after="0" w:line="240" w:lineRule="auto"/>
              <w:jc w:val="center"/>
              <w:rPr>
                <w:rFonts w:eastAsia="Times New Roman"/>
                <w:sz w:val="18"/>
                <w:szCs w:val="18"/>
                <w:lang w:eastAsia="ru-RU"/>
              </w:rPr>
            </w:pPr>
            <w:r w:rsidRPr="00E169B0">
              <w:rPr>
                <w:rFonts w:eastAsia="Times New Roman"/>
                <w:sz w:val="18"/>
                <w:szCs w:val="18"/>
                <w:lang w:eastAsia="ru-RU"/>
              </w:rPr>
              <w:t>2.</w:t>
            </w:r>
          </w:p>
        </w:tc>
        <w:tc>
          <w:tcPr>
            <w:tcW w:w="1807" w:type="pct"/>
            <w:tcBorders>
              <w:top w:val="nil"/>
              <w:left w:val="nil"/>
              <w:bottom w:val="single" w:sz="4" w:space="0" w:color="auto"/>
              <w:right w:val="single" w:sz="4" w:space="0" w:color="auto"/>
            </w:tcBorders>
            <w:shd w:val="clear" w:color="auto" w:fill="auto"/>
            <w:vAlign w:val="center"/>
            <w:hideMark/>
          </w:tcPr>
          <w:p w14:paraId="4F30063B" w14:textId="77777777" w:rsidR="009A4C46" w:rsidRPr="005C4743" w:rsidRDefault="009A4C46" w:rsidP="009A4C46">
            <w:pPr>
              <w:spacing w:after="0" w:line="240" w:lineRule="auto"/>
              <w:rPr>
                <w:rFonts w:eastAsia="Times New Roman"/>
                <w:sz w:val="18"/>
                <w:szCs w:val="18"/>
                <w:lang w:eastAsia="ru-RU"/>
              </w:rPr>
            </w:pPr>
            <w:r w:rsidRPr="005C4743">
              <w:rPr>
                <w:rFonts w:eastAsia="Times New Roman"/>
                <w:sz w:val="18"/>
                <w:szCs w:val="18"/>
                <w:lang w:eastAsia="ru-RU"/>
              </w:rPr>
              <w:t>Энергия на хозяйственные нужды</w:t>
            </w:r>
          </w:p>
        </w:tc>
        <w:tc>
          <w:tcPr>
            <w:tcW w:w="919" w:type="pct"/>
            <w:tcBorders>
              <w:top w:val="single" w:sz="8" w:space="0" w:color="auto"/>
              <w:left w:val="single" w:sz="4" w:space="0" w:color="auto"/>
              <w:bottom w:val="single" w:sz="4" w:space="0" w:color="auto"/>
              <w:right w:val="single" w:sz="4" w:space="0" w:color="auto"/>
            </w:tcBorders>
            <w:shd w:val="clear" w:color="auto" w:fill="auto"/>
            <w:vAlign w:val="center"/>
          </w:tcPr>
          <w:p w14:paraId="006BEF16" w14:textId="77777777" w:rsidR="009A4C46" w:rsidRPr="005C4743" w:rsidRDefault="009A4C46" w:rsidP="009A4C46">
            <w:pPr>
              <w:spacing w:after="0" w:line="240" w:lineRule="auto"/>
              <w:jc w:val="center"/>
              <w:rPr>
                <w:rFonts w:eastAsia="Times New Roman"/>
                <w:color w:val="000000"/>
                <w:sz w:val="18"/>
                <w:szCs w:val="18"/>
                <w:lang w:eastAsia="ru-RU"/>
              </w:rPr>
            </w:pPr>
            <w:r w:rsidRPr="005C4743">
              <w:rPr>
                <w:rFonts w:eastAsia="Times New Roman"/>
                <w:color w:val="000000"/>
                <w:sz w:val="18"/>
                <w:szCs w:val="18"/>
                <w:lang w:eastAsia="ru-RU"/>
              </w:rPr>
              <w:t>19 256</w:t>
            </w:r>
          </w:p>
        </w:tc>
        <w:tc>
          <w:tcPr>
            <w:tcW w:w="896" w:type="pct"/>
            <w:tcBorders>
              <w:top w:val="single" w:sz="8" w:space="0" w:color="auto"/>
              <w:left w:val="nil"/>
              <w:bottom w:val="single" w:sz="4" w:space="0" w:color="auto"/>
              <w:right w:val="single" w:sz="4" w:space="0" w:color="auto"/>
            </w:tcBorders>
            <w:shd w:val="clear" w:color="auto" w:fill="auto"/>
            <w:vAlign w:val="center"/>
          </w:tcPr>
          <w:p w14:paraId="47BFD6D0" w14:textId="77777777" w:rsidR="009A4C46" w:rsidRPr="005C4743" w:rsidRDefault="009A4C46" w:rsidP="009A4C46">
            <w:pPr>
              <w:spacing w:after="0" w:line="240" w:lineRule="auto"/>
              <w:jc w:val="center"/>
              <w:rPr>
                <w:rFonts w:eastAsia="Times New Roman"/>
                <w:color w:val="000000"/>
                <w:sz w:val="18"/>
                <w:szCs w:val="18"/>
                <w:lang w:eastAsia="ru-RU"/>
              </w:rPr>
            </w:pPr>
            <w:r w:rsidRPr="005C4743">
              <w:rPr>
                <w:rFonts w:eastAsia="Times New Roman"/>
                <w:color w:val="000000"/>
                <w:sz w:val="18"/>
                <w:szCs w:val="18"/>
                <w:lang w:eastAsia="ru-RU"/>
              </w:rPr>
              <w:t>13 153</w:t>
            </w:r>
          </w:p>
        </w:tc>
        <w:tc>
          <w:tcPr>
            <w:tcW w:w="931" w:type="pct"/>
            <w:tcBorders>
              <w:top w:val="single" w:sz="8" w:space="0" w:color="auto"/>
              <w:left w:val="nil"/>
              <w:bottom w:val="single" w:sz="4" w:space="0" w:color="auto"/>
              <w:right w:val="single" w:sz="8" w:space="0" w:color="auto"/>
            </w:tcBorders>
            <w:shd w:val="clear" w:color="auto" w:fill="auto"/>
            <w:vAlign w:val="center"/>
          </w:tcPr>
          <w:p w14:paraId="25A0CFC5" w14:textId="77777777" w:rsidR="009A4C46" w:rsidRPr="005C4743" w:rsidRDefault="009A4C46" w:rsidP="009A4C46">
            <w:pPr>
              <w:spacing w:after="0" w:line="240" w:lineRule="auto"/>
              <w:jc w:val="center"/>
              <w:rPr>
                <w:rFonts w:eastAsia="Times New Roman"/>
                <w:color w:val="000000"/>
                <w:sz w:val="18"/>
                <w:szCs w:val="18"/>
                <w:lang w:eastAsia="ru-RU"/>
              </w:rPr>
            </w:pPr>
            <w:r w:rsidRPr="005C4743">
              <w:rPr>
                <w:rFonts w:eastAsia="Times New Roman"/>
                <w:color w:val="000000"/>
                <w:sz w:val="18"/>
                <w:szCs w:val="18"/>
                <w:lang w:eastAsia="ru-RU"/>
              </w:rPr>
              <w:t>-6 103</w:t>
            </w:r>
          </w:p>
        </w:tc>
      </w:tr>
      <w:tr w:rsidR="009A4C46" w:rsidRPr="005C4743" w14:paraId="3606EA35" w14:textId="77777777" w:rsidTr="00F94FED">
        <w:trPr>
          <w:trHeight w:val="270"/>
        </w:trPr>
        <w:tc>
          <w:tcPr>
            <w:tcW w:w="448" w:type="pct"/>
            <w:tcBorders>
              <w:top w:val="nil"/>
              <w:left w:val="single" w:sz="4" w:space="0" w:color="auto"/>
              <w:bottom w:val="single" w:sz="4" w:space="0" w:color="auto"/>
              <w:right w:val="single" w:sz="4" w:space="0" w:color="auto"/>
            </w:tcBorders>
            <w:shd w:val="clear" w:color="auto" w:fill="auto"/>
            <w:noWrap/>
            <w:vAlign w:val="center"/>
            <w:hideMark/>
          </w:tcPr>
          <w:p w14:paraId="73440FEA" w14:textId="77777777" w:rsidR="009A4C46" w:rsidRPr="003E2802" w:rsidRDefault="009A4C46" w:rsidP="009A4C46">
            <w:pPr>
              <w:spacing w:after="0" w:line="240" w:lineRule="auto"/>
              <w:jc w:val="center"/>
              <w:rPr>
                <w:rFonts w:eastAsia="Times New Roman"/>
                <w:sz w:val="18"/>
                <w:szCs w:val="18"/>
                <w:lang w:eastAsia="ru-RU"/>
              </w:rPr>
            </w:pPr>
            <w:r w:rsidRPr="00E169B0">
              <w:rPr>
                <w:rFonts w:eastAsia="Times New Roman"/>
                <w:sz w:val="18"/>
                <w:szCs w:val="18"/>
                <w:lang w:eastAsia="ru-RU"/>
              </w:rPr>
              <w:t>3.</w:t>
            </w:r>
          </w:p>
        </w:tc>
        <w:tc>
          <w:tcPr>
            <w:tcW w:w="1807" w:type="pct"/>
            <w:tcBorders>
              <w:top w:val="nil"/>
              <w:left w:val="nil"/>
              <w:bottom w:val="single" w:sz="4" w:space="0" w:color="auto"/>
              <w:right w:val="single" w:sz="4" w:space="0" w:color="auto"/>
            </w:tcBorders>
            <w:shd w:val="clear" w:color="auto" w:fill="auto"/>
            <w:vAlign w:val="center"/>
            <w:hideMark/>
          </w:tcPr>
          <w:p w14:paraId="15237F58" w14:textId="77777777" w:rsidR="009A4C46" w:rsidRPr="005C4743" w:rsidRDefault="009A4C46" w:rsidP="009A4C46">
            <w:pPr>
              <w:spacing w:after="0" w:line="240" w:lineRule="auto"/>
              <w:rPr>
                <w:rFonts w:eastAsia="Times New Roman"/>
                <w:sz w:val="18"/>
                <w:szCs w:val="18"/>
                <w:lang w:eastAsia="ru-RU"/>
              </w:rPr>
            </w:pPr>
            <w:r w:rsidRPr="005C4743">
              <w:rPr>
                <w:rFonts w:eastAsia="Times New Roman"/>
                <w:sz w:val="18"/>
                <w:szCs w:val="18"/>
                <w:lang w:eastAsia="ru-RU"/>
              </w:rPr>
              <w:t xml:space="preserve">Плата за аренду имущества </w:t>
            </w:r>
          </w:p>
        </w:tc>
        <w:tc>
          <w:tcPr>
            <w:tcW w:w="919" w:type="pct"/>
            <w:tcBorders>
              <w:top w:val="nil"/>
              <w:left w:val="single" w:sz="4" w:space="0" w:color="auto"/>
              <w:bottom w:val="single" w:sz="4" w:space="0" w:color="auto"/>
              <w:right w:val="single" w:sz="4" w:space="0" w:color="auto"/>
            </w:tcBorders>
            <w:shd w:val="clear" w:color="auto" w:fill="auto"/>
            <w:noWrap/>
            <w:vAlign w:val="center"/>
          </w:tcPr>
          <w:p w14:paraId="0DD905D9" w14:textId="77777777" w:rsidR="009A4C46" w:rsidRPr="005C4743" w:rsidRDefault="009A4C46" w:rsidP="009A4C46">
            <w:pPr>
              <w:spacing w:after="0" w:line="240" w:lineRule="auto"/>
              <w:jc w:val="center"/>
              <w:rPr>
                <w:rFonts w:eastAsia="Times New Roman"/>
                <w:color w:val="000000"/>
                <w:sz w:val="18"/>
                <w:szCs w:val="18"/>
                <w:lang w:eastAsia="ru-RU"/>
              </w:rPr>
            </w:pPr>
            <w:r w:rsidRPr="005C4743">
              <w:rPr>
                <w:rFonts w:eastAsia="Times New Roman"/>
                <w:color w:val="000000"/>
                <w:sz w:val="18"/>
                <w:szCs w:val="18"/>
                <w:lang w:eastAsia="ru-RU"/>
              </w:rPr>
              <w:t>20 881</w:t>
            </w:r>
          </w:p>
        </w:tc>
        <w:tc>
          <w:tcPr>
            <w:tcW w:w="896" w:type="pct"/>
            <w:tcBorders>
              <w:top w:val="nil"/>
              <w:left w:val="nil"/>
              <w:bottom w:val="single" w:sz="4" w:space="0" w:color="auto"/>
              <w:right w:val="single" w:sz="4" w:space="0" w:color="auto"/>
            </w:tcBorders>
            <w:shd w:val="clear" w:color="auto" w:fill="auto"/>
            <w:noWrap/>
            <w:vAlign w:val="center"/>
          </w:tcPr>
          <w:p w14:paraId="59C2161F" w14:textId="77777777" w:rsidR="009A4C46" w:rsidRPr="005C4743" w:rsidRDefault="009A4C46" w:rsidP="009A4C46">
            <w:pPr>
              <w:spacing w:after="0" w:line="240" w:lineRule="auto"/>
              <w:jc w:val="center"/>
              <w:rPr>
                <w:rFonts w:eastAsia="Times New Roman"/>
                <w:color w:val="000000"/>
                <w:sz w:val="18"/>
                <w:szCs w:val="18"/>
                <w:lang w:eastAsia="ru-RU"/>
              </w:rPr>
            </w:pPr>
            <w:r w:rsidRPr="005C4743">
              <w:rPr>
                <w:rFonts w:eastAsia="Times New Roman"/>
                <w:color w:val="000000"/>
                <w:sz w:val="18"/>
                <w:szCs w:val="18"/>
                <w:lang w:eastAsia="ru-RU"/>
              </w:rPr>
              <w:t>13 956</w:t>
            </w:r>
          </w:p>
        </w:tc>
        <w:tc>
          <w:tcPr>
            <w:tcW w:w="931" w:type="pct"/>
            <w:tcBorders>
              <w:top w:val="nil"/>
              <w:left w:val="nil"/>
              <w:bottom w:val="single" w:sz="4" w:space="0" w:color="auto"/>
              <w:right w:val="single" w:sz="8" w:space="0" w:color="auto"/>
            </w:tcBorders>
            <w:shd w:val="clear" w:color="auto" w:fill="auto"/>
            <w:vAlign w:val="center"/>
          </w:tcPr>
          <w:p w14:paraId="05D77743" w14:textId="77777777" w:rsidR="009A4C46" w:rsidRPr="005C4743" w:rsidRDefault="009A4C46" w:rsidP="009A4C46">
            <w:pPr>
              <w:spacing w:after="0" w:line="240" w:lineRule="auto"/>
              <w:jc w:val="center"/>
              <w:rPr>
                <w:rFonts w:eastAsia="Times New Roman"/>
                <w:color w:val="000000"/>
                <w:sz w:val="18"/>
                <w:szCs w:val="18"/>
                <w:lang w:eastAsia="ru-RU"/>
              </w:rPr>
            </w:pPr>
            <w:r w:rsidRPr="005C4743">
              <w:rPr>
                <w:rFonts w:eastAsia="Times New Roman"/>
                <w:color w:val="000000"/>
                <w:sz w:val="18"/>
                <w:szCs w:val="18"/>
                <w:lang w:eastAsia="ru-RU"/>
              </w:rPr>
              <w:t>-6 925</w:t>
            </w:r>
          </w:p>
        </w:tc>
      </w:tr>
      <w:tr w:rsidR="009A4C46" w:rsidRPr="005C4743" w14:paraId="2C71C68A" w14:textId="77777777" w:rsidTr="00F94FED">
        <w:trPr>
          <w:trHeight w:val="287"/>
        </w:trPr>
        <w:tc>
          <w:tcPr>
            <w:tcW w:w="448" w:type="pct"/>
            <w:tcBorders>
              <w:top w:val="nil"/>
              <w:left w:val="single" w:sz="4" w:space="0" w:color="auto"/>
              <w:bottom w:val="single" w:sz="4" w:space="0" w:color="auto"/>
              <w:right w:val="single" w:sz="4" w:space="0" w:color="auto"/>
            </w:tcBorders>
            <w:shd w:val="clear" w:color="auto" w:fill="auto"/>
            <w:noWrap/>
            <w:vAlign w:val="center"/>
            <w:hideMark/>
          </w:tcPr>
          <w:p w14:paraId="4253B4D1" w14:textId="77777777" w:rsidR="009A4C46" w:rsidRPr="003E2802" w:rsidRDefault="009A4C46" w:rsidP="009A4C46">
            <w:pPr>
              <w:spacing w:after="0" w:line="240" w:lineRule="auto"/>
              <w:jc w:val="center"/>
              <w:rPr>
                <w:rFonts w:eastAsia="Times New Roman"/>
                <w:sz w:val="18"/>
                <w:szCs w:val="18"/>
                <w:lang w:eastAsia="ru-RU"/>
              </w:rPr>
            </w:pPr>
            <w:r w:rsidRPr="00E169B0">
              <w:rPr>
                <w:rFonts w:eastAsia="Times New Roman"/>
                <w:sz w:val="18"/>
                <w:szCs w:val="18"/>
                <w:lang w:eastAsia="ru-RU"/>
              </w:rPr>
              <w:t>4.</w:t>
            </w:r>
          </w:p>
        </w:tc>
        <w:tc>
          <w:tcPr>
            <w:tcW w:w="1807" w:type="pct"/>
            <w:tcBorders>
              <w:top w:val="nil"/>
              <w:left w:val="nil"/>
              <w:bottom w:val="single" w:sz="4" w:space="0" w:color="auto"/>
              <w:right w:val="single" w:sz="4" w:space="0" w:color="auto"/>
            </w:tcBorders>
            <w:shd w:val="clear" w:color="auto" w:fill="auto"/>
            <w:vAlign w:val="center"/>
            <w:hideMark/>
          </w:tcPr>
          <w:p w14:paraId="204C8D4B" w14:textId="77777777" w:rsidR="009A4C46" w:rsidRPr="005C4743" w:rsidRDefault="009A4C46" w:rsidP="009A4C46">
            <w:pPr>
              <w:spacing w:after="0" w:line="240" w:lineRule="auto"/>
              <w:rPr>
                <w:rFonts w:eastAsia="Times New Roman"/>
                <w:sz w:val="18"/>
                <w:szCs w:val="18"/>
                <w:lang w:eastAsia="ru-RU"/>
              </w:rPr>
            </w:pPr>
            <w:r w:rsidRPr="005C4743">
              <w:rPr>
                <w:rFonts w:eastAsia="Times New Roman"/>
                <w:sz w:val="18"/>
                <w:szCs w:val="18"/>
                <w:lang w:eastAsia="ru-RU"/>
              </w:rPr>
              <w:t>Налоги, всего, в том числе:</w:t>
            </w:r>
          </w:p>
        </w:tc>
        <w:tc>
          <w:tcPr>
            <w:tcW w:w="919" w:type="pct"/>
            <w:tcBorders>
              <w:top w:val="nil"/>
              <w:left w:val="single" w:sz="4" w:space="0" w:color="auto"/>
              <w:bottom w:val="single" w:sz="4" w:space="0" w:color="auto"/>
              <w:right w:val="single" w:sz="4" w:space="0" w:color="auto"/>
            </w:tcBorders>
            <w:shd w:val="clear" w:color="auto" w:fill="auto"/>
            <w:noWrap/>
            <w:vAlign w:val="center"/>
          </w:tcPr>
          <w:p w14:paraId="33D54825" w14:textId="77777777" w:rsidR="009A4C46" w:rsidRPr="005C4743" w:rsidRDefault="009A4C46" w:rsidP="009A4C46">
            <w:pPr>
              <w:spacing w:after="0" w:line="240" w:lineRule="auto"/>
              <w:jc w:val="center"/>
              <w:rPr>
                <w:rFonts w:eastAsia="Times New Roman"/>
                <w:color w:val="000000"/>
                <w:sz w:val="18"/>
                <w:szCs w:val="18"/>
                <w:lang w:eastAsia="ru-RU"/>
              </w:rPr>
            </w:pPr>
            <w:r w:rsidRPr="005C4743">
              <w:rPr>
                <w:rFonts w:eastAsia="Times New Roman"/>
                <w:color w:val="000000"/>
                <w:sz w:val="18"/>
                <w:szCs w:val="18"/>
                <w:lang w:eastAsia="ru-RU"/>
              </w:rPr>
              <w:t>9 303</w:t>
            </w:r>
          </w:p>
        </w:tc>
        <w:tc>
          <w:tcPr>
            <w:tcW w:w="896" w:type="pct"/>
            <w:tcBorders>
              <w:top w:val="nil"/>
              <w:left w:val="nil"/>
              <w:bottom w:val="single" w:sz="4" w:space="0" w:color="auto"/>
              <w:right w:val="single" w:sz="4" w:space="0" w:color="auto"/>
            </w:tcBorders>
            <w:shd w:val="clear" w:color="auto" w:fill="auto"/>
            <w:noWrap/>
            <w:vAlign w:val="center"/>
          </w:tcPr>
          <w:p w14:paraId="183D7B60" w14:textId="77777777" w:rsidR="009A4C46" w:rsidRPr="005C4743" w:rsidRDefault="009A4C46" w:rsidP="009A4C46">
            <w:pPr>
              <w:spacing w:after="0" w:line="240" w:lineRule="auto"/>
              <w:jc w:val="center"/>
              <w:rPr>
                <w:rFonts w:eastAsia="Times New Roman"/>
                <w:color w:val="000000"/>
                <w:sz w:val="18"/>
                <w:szCs w:val="18"/>
                <w:lang w:eastAsia="ru-RU"/>
              </w:rPr>
            </w:pPr>
            <w:r w:rsidRPr="005C4743">
              <w:rPr>
                <w:rFonts w:eastAsia="Times New Roman"/>
                <w:color w:val="000000"/>
                <w:sz w:val="18"/>
                <w:szCs w:val="18"/>
                <w:lang w:eastAsia="ru-RU"/>
              </w:rPr>
              <w:t>8 947</w:t>
            </w:r>
          </w:p>
        </w:tc>
        <w:tc>
          <w:tcPr>
            <w:tcW w:w="931" w:type="pct"/>
            <w:tcBorders>
              <w:top w:val="nil"/>
              <w:left w:val="nil"/>
              <w:bottom w:val="single" w:sz="4" w:space="0" w:color="auto"/>
              <w:right w:val="single" w:sz="8" w:space="0" w:color="auto"/>
            </w:tcBorders>
            <w:shd w:val="clear" w:color="auto" w:fill="auto"/>
            <w:vAlign w:val="center"/>
          </w:tcPr>
          <w:p w14:paraId="09B2D3BE" w14:textId="77777777" w:rsidR="009A4C46" w:rsidRPr="005C4743" w:rsidRDefault="009A4C46" w:rsidP="009A4C46">
            <w:pPr>
              <w:spacing w:after="0" w:line="240" w:lineRule="auto"/>
              <w:jc w:val="center"/>
              <w:rPr>
                <w:rFonts w:eastAsia="Times New Roman"/>
                <w:color w:val="000000"/>
                <w:sz w:val="18"/>
                <w:szCs w:val="18"/>
                <w:lang w:eastAsia="ru-RU"/>
              </w:rPr>
            </w:pPr>
            <w:r w:rsidRPr="005C4743">
              <w:rPr>
                <w:rFonts w:eastAsia="Times New Roman"/>
                <w:color w:val="000000"/>
                <w:sz w:val="18"/>
                <w:szCs w:val="18"/>
                <w:lang w:eastAsia="ru-RU"/>
              </w:rPr>
              <w:t>-356</w:t>
            </w:r>
          </w:p>
        </w:tc>
      </w:tr>
      <w:tr w:rsidR="009A4C46" w:rsidRPr="005C4743" w14:paraId="3342D507" w14:textId="77777777" w:rsidTr="00F94FED">
        <w:trPr>
          <w:trHeight w:val="303"/>
        </w:trPr>
        <w:tc>
          <w:tcPr>
            <w:tcW w:w="448" w:type="pct"/>
            <w:tcBorders>
              <w:top w:val="nil"/>
              <w:left w:val="single" w:sz="4" w:space="0" w:color="auto"/>
              <w:bottom w:val="single" w:sz="4" w:space="0" w:color="auto"/>
              <w:right w:val="single" w:sz="4" w:space="0" w:color="auto"/>
            </w:tcBorders>
            <w:shd w:val="clear" w:color="auto" w:fill="auto"/>
            <w:noWrap/>
            <w:vAlign w:val="center"/>
            <w:hideMark/>
          </w:tcPr>
          <w:p w14:paraId="23DA5D8C" w14:textId="77777777" w:rsidR="009A4C46" w:rsidRPr="003E2802" w:rsidRDefault="009A4C46" w:rsidP="009A4C46">
            <w:pPr>
              <w:spacing w:after="0" w:line="240" w:lineRule="auto"/>
              <w:jc w:val="center"/>
              <w:rPr>
                <w:rFonts w:eastAsia="Times New Roman"/>
                <w:i/>
                <w:iCs/>
                <w:sz w:val="18"/>
                <w:szCs w:val="18"/>
                <w:lang w:eastAsia="ru-RU"/>
              </w:rPr>
            </w:pPr>
            <w:r w:rsidRPr="00E169B0">
              <w:rPr>
                <w:rFonts w:eastAsia="Times New Roman"/>
                <w:i/>
                <w:iCs/>
                <w:sz w:val="18"/>
                <w:szCs w:val="18"/>
                <w:lang w:eastAsia="ru-RU"/>
              </w:rPr>
              <w:t>4.1.</w:t>
            </w:r>
          </w:p>
        </w:tc>
        <w:tc>
          <w:tcPr>
            <w:tcW w:w="1807" w:type="pct"/>
            <w:tcBorders>
              <w:top w:val="nil"/>
              <w:left w:val="nil"/>
              <w:bottom w:val="single" w:sz="4" w:space="0" w:color="auto"/>
              <w:right w:val="single" w:sz="4" w:space="0" w:color="auto"/>
            </w:tcBorders>
            <w:shd w:val="clear" w:color="auto" w:fill="auto"/>
            <w:vAlign w:val="center"/>
            <w:hideMark/>
          </w:tcPr>
          <w:p w14:paraId="0B438D4B" w14:textId="77777777" w:rsidR="009A4C46" w:rsidRPr="005C4743" w:rsidRDefault="009A4C46" w:rsidP="009A4C46">
            <w:pPr>
              <w:spacing w:after="0" w:line="240" w:lineRule="auto"/>
              <w:rPr>
                <w:rFonts w:eastAsia="Times New Roman"/>
                <w:i/>
                <w:iCs/>
                <w:sz w:val="18"/>
                <w:szCs w:val="18"/>
                <w:lang w:eastAsia="ru-RU"/>
              </w:rPr>
            </w:pPr>
            <w:r w:rsidRPr="005C4743">
              <w:rPr>
                <w:rFonts w:eastAsia="Times New Roman"/>
                <w:i/>
                <w:iCs/>
                <w:sz w:val="18"/>
                <w:szCs w:val="18"/>
                <w:lang w:eastAsia="ru-RU"/>
              </w:rPr>
              <w:t>Плата за землю</w:t>
            </w:r>
          </w:p>
        </w:tc>
        <w:tc>
          <w:tcPr>
            <w:tcW w:w="919" w:type="pct"/>
            <w:tcBorders>
              <w:top w:val="nil"/>
              <w:left w:val="single" w:sz="4" w:space="0" w:color="auto"/>
              <w:bottom w:val="single" w:sz="4" w:space="0" w:color="auto"/>
              <w:right w:val="single" w:sz="4" w:space="0" w:color="auto"/>
            </w:tcBorders>
            <w:shd w:val="clear" w:color="auto" w:fill="auto"/>
            <w:noWrap/>
            <w:vAlign w:val="center"/>
          </w:tcPr>
          <w:p w14:paraId="39902A06" w14:textId="77777777" w:rsidR="009A4C46" w:rsidRPr="005C4743" w:rsidRDefault="009A4C46" w:rsidP="009A4C46">
            <w:pPr>
              <w:spacing w:after="0" w:line="240" w:lineRule="auto"/>
              <w:jc w:val="center"/>
              <w:rPr>
                <w:rFonts w:eastAsia="Times New Roman"/>
                <w:color w:val="000000"/>
                <w:sz w:val="18"/>
                <w:szCs w:val="18"/>
                <w:lang w:eastAsia="ru-RU"/>
              </w:rPr>
            </w:pPr>
            <w:r w:rsidRPr="005C4743">
              <w:rPr>
                <w:rFonts w:eastAsia="Times New Roman"/>
                <w:color w:val="000000"/>
                <w:sz w:val="18"/>
                <w:szCs w:val="18"/>
                <w:lang w:eastAsia="ru-RU"/>
              </w:rPr>
              <w:t>634</w:t>
            </w:r>
          </w:p>
        </w:tc>
        <w:tc>
          <w:tcPr>
            <w:tcW w:w="896" w:type="pct"/>
            <w:tcBorders>
              <w:top w:val="nil"/>
              <w:left w:val="nil"/>
              <w:bottom w:val="single" w:sz="4" w:space="0" w:color="auto"/>
              <w:right w:val="single" w:sz="4" w:space="0" w:color="auto"/>
            </w:tcBorders>
            <w:shd w:val="clear" w:color="auto" w:fill="auto"/>
            <w:noWrap/>
            <w:vAlign w:val="center"/>
          </w:tcPr>
          <w:p w14:paraId="6AA8EF5C" w14:textId="77777777" w:rsidR="009A4C46" w:rsidRPr="005C4743" w:rsidRDefault="009A4C46" w:rsidP="009A4C46">
            <w:pPr>
              <w:spacing w:after="0" w:line="240" w:lineRule="auto"/>
              <w:jc w:val="center"/>
              <w:rPr>
                <w:rFonts w:eastAsia="Times New Roman"/>
                <w:color w:val="000000"/>
                <w:sz w:val="18"/>
                <w:szCs w:val="18"/>
                <w:lang w:eastAsia="ru-RU"/>
              </w:rPr>
            </w:pPr>
            <w:r w:rsidRPr="005C4743">
              <w:rPr>
                <w:rFonts w:eastAsia="Times New Roman"/>
                <w:color w:val="000000"/>
                <w:sz w:val="18"/>
                <w:szCs w:val="18"/>
                <w:lang w:eastAsia="ru-RU"/>
              </w:rPr>
              <w:t>306</w:t>
            </w:r>
          </w:p>
        </w:tc>
        <w:tc>
          <w:tcPr>
            <w:tcW w:w="931" w:type="pct"/>
            <w:tcBorders>
              <w:top w:val="nil"/>
              <w:left w:val="nil"/>
              <w:bottom w:val="single" w:sz="4" w:space="0" w:color="auto"/>
              <w:right w:val="single" w:sz="8" w:space="0" w:color="auto"/>
            </w:tcBorders>
            <w:shd w:val="clear" w:color="auto" w:fill="auto"/>
            <w:vAlign w:val="center"/>
          </w:tcPr>
          <w:p w14:paraId="6DF38BB0" w14:textId="77777777" w:rsidR="009A4C46" w:rsidRPr="005C4743" w:rsidRDefault="009A4C46" w:rsidP="009A4C46">
            <w:pPr>
              <w:spacing w:after="0" w:line="240" w:lineRule="auto"/>
              <w:jc w:val="center"/>
              <w:rPr>
                <w:rFonts w:eastAsia="Times New Roman"/>
                <w:color w:val="000000"/>
                <w:sz w:val="18"/>
                <w:szCs w:val="18"/>
                <w:lang w:eastAsia="ru-RU"/>
              </w:rPr>
            </w:pPr>
            <w:r w:rsidRPr="005C4743">
              <w:rPr>
                <w:rFonts w:eastAsia="Times New Roman"/>
                <w:color w:val="000000"/>
                <w:sz w:val="18"/>
                <w:szCs w:val="18"/>
                <w:lang w:eastAsia="ru-RU"/>
              </w:rPr>
              <w:t>-328</w:t>
            </w:r>
          </w:p>
        </w:tc>
      </w:tr>
      <w:tr w:rsidR="009A4C46" w:rsidRPr="005C4743" w14:paraId="26B407AC" w14:textId="77777777" w:rsidTr="00F94FED">
        <w:trPr>
          <w:trHeight w:val="303"/>
        </w:trPr>
        <w:tc>
          <w:tcPr>
            <w:tcW w:w="448" w:type="pct"/>
            <w:tcBorders>
              <w:top w:val="nil"/>
              <w:left w:val="single" w:sz="4" w:space="0" w:color="auto"/>
              <w:bottom w:val="single" w:sz="4" w:space="0" w:color="auto"/>
              <w:right w:val="single" w:sz="4" w:space="0" w:color="auto"/>
            </w:tcBorders>
            <w:shd w:val="clear" w:color="auto" w:fill="auto"/>
            <w:noWrap/>
            <w:vAlign w:val="center"/>
            <w:hideMark/>
          </w:tcPr>
          <w:p w14:paraId="25F32B36" w14:textId="77777777" w:rsidR="009A4C46" w:rsidRPr="003E2802" w:rsidRDefault="009A4C46" w:rsidP="009A4C46">
            <w:pPr>
              <w:spacing w:after="0" w:line="240" w:lineRule="auto"/>
              <w:jc w:val="center"/>
              <w:rPr>
                <w:rFonts w:eastAsia="Times New Roman"/>
                <w:i/>
                <w:iCs/>
                <w:sz w:val="18"/>
                <w:szCs w:val="18"/>
                <w:lang w:eastAsia="ru-RU"/>
              </w:rPr>
            </w:pPr>
            <w:r w:rsidRPr="00E169B0">
              <w:rPr>
                <w:rFonts w:eastAsia="Times New Roman"/>
                <w:i/>
                <w:iCs/>
                <w:sz w:val="18"/>
                <w:szCs w:val="18"/>
                <w:lang w:eastAsia="ru-RU"/>
              </w:rPr>
              <w:t>4.2.</w:t>
            </w:r>
          </w:p>
        </w:tc>
        <w:tc>
          <w:tcPr>
            <w:tcW w:w="1807" w:type="pct"/>
            <w:tcBorders>
              <w:top w:val="nil"/>
              <w:left w:val="nil"/>
              <w:bottom w:val="single" w:sz="4" w:space="0" w:color="auto"/>
              <w:right w:val="single" w:sz="4" w:space="0" w:color="auto"/>
            </w:tcBorders>
            <w:shd w:val="clear" w:color="auto" w:fill="auto"/>
            <w:vAlign w:val="center"/>
            <w:hideMark/>
          </w:tcPr>
          <w:p w14:paraId="7CCD7CE6" w14:textId="77777777" w:rsidR="009A4C46" w:rsidRPr="005C4743" w:rsidRDefault="009A4C46" w:rsidP="009A4C46">
            <w:pPr>
              <w:spacing w:after="0" w:line="240" w:lineRule="auto"/>
              <w:rPr>
                <w:rFonts w:eastAsia="Times New Roman"/>
                <w:i/>
                <w:iCs/>
                <w:sz w:val="18"/>
                <w:szCs w:val="18"/>
                <w:lang w:eastAsia="ru-RU"/>
              </w:rPr>
            </w:pPr>
            <w:r w:rsidRPr="005C4743">
              <w:rPr>
                <w:rFonts w:eastAsia="Times New Roman"/>
                <w:i/>
                <w:iCs/>
                <w:sz w:val="18"/>
                <w:szCs w:val="18"/>
                <w:lang w:eastAsia="ru-RU"/>
              </w:rPr>
              <w:t>Налог на имущество</w:t>
            </w:r>
          </w:p>
        </w:tc>
        <w:tc>
          <w:tcPr>
            <w:tcW w:w="919" w:type="pct"/>
            <w:tcBorders>
              <w:top w:val="nil"/>
              <w:left w:val="single" w:sz="4" w:space="0" w:color="auto"/>
              <w:bottom w:val="single" w:sz="4" w:space="0" w:color="auto"/>
              <w:right w:val="single" w:sz="4" w:space="0" w:color="auto"/>
            </w:tcBorders>
            <w:shd w:val="clear" w:color="auto" w:fill="auto"/>
            <w:noWrap/>
            <w:vAlign w:val="center"/>
          </w:tcPr>
          <w:p w14:paraId="723D6BED" w14:textId="77777777" w:rsidR="009A4C46" w:rsidRPr="005C4743" w:rsidRDefault="009A4C46" w:rsidP="009A4C46">
            <w:pPr>
              <w:spacing w:after="0" w:line="240" w:lineRule="auto"/>
              <w:jc w:val="center"/>
              <w:rPr>
                <w:rFonts w:eastAsia="Times New Roman"/>
                <w:color w:val="000000"/>
                <w:sz w:val="18"/>
                <w:szCs w:val="18"/>
                <w:lang w:eastAsia="ru-RU"/>
              </w:rPr>
            </w:pPr>
            <w:r w:rsidRPr="005C4743">
              <w:rPr>
                <w:rFonts w:eastAsia="Times New Roman"/>
                <w:color w:val="000000"/>
                <w:sz w:val="18"/>
                <w:szCs w:val="18"/>
                <w:lang w:eastAsia="ru-RU"/>
              </w:rPr>
              <w:t>7 619</w:t>
            </w:r>
          </w:p>
        </w:tc>
        <w:tc>
          <w:tcPr>
            <w:tcW w:w="896" w:type="pct"/>
            <w:tcBorders>
              <w:top w:val="nil"/>
              <w:left w:val="nil"/>
              <w:bottom w:val="single" w:sz="4" w:space="0" w:color="auto"/>
              <w:right w:val="single" w:sz="4" w:space="0" w:color="auto"/>
            </w:tcBorders>
            <w:shd w:val="clear" w:color="auto" w:fill="auto"/>
            <w:noWrap/>
            <w:vAlign w:val="center"/>
          </w:tcPr>
          <w:p w14:paraId="3962645A" w14:textId="77777777" w:rsidR="009A4C46" w:rsidRPr="005C4743" w:rsidRDefault="009A4C46" w:rsidP="009A4C46">
            <w:pPr>
              <w:spacing w:after="0" w:line="240" w:lineRule="auto"/>
              <w:jc w:val="center"/>
              <w:rPr>
                <w:rFonts w:eastAsia="Times New Roman"/>
                <w:color w:val="000000"/>
                <w:sz w:val="18"/>
                <w:szCs w:val="18"/>
                <w:lang w:eastAsia="ru-RU"/>
              </w:rPr>
            </w:pPr>
            <w:r w:rsidRPr="005C4743">
              <w:rPr>
                <w:rFonts w:eastAsia="Times New Roman"/>
                <w:color w:val="000000"/>
                <w:sz w:val="18"/>
                <w:szCs w:val="18"/>
                <w:lang w:eastAsia="ru-RU"/>
              </w:rPr>
              <w:t>7 776</w:t>
            </w:r>
          </w:p>
        </w:tc>
        <w:tc>
          <w:tcPr>
            <w:tcW w:w="931" w:type="pct"/>
            <w:tcBorders>
              <w:top w:val="nil"/>
              <w:left w:val="nil"/>
              <w:bottom w:val="single" w:sz="4" w:space="0" w:color="auto"/>
              <w:right w:val="single" w:sz="8" w:space="0" w:color="auto"/>
            </w:tcBorders>
            <w:shd w:val="clear" w:color="auto" w:fill="auto"/>
            <w:vAlign w:val="center"/>
          </w:tcPr>
          <w:p w14:paraId="0EB090EA" w14:textId="77777777" w:rsidR="009A4C46" w:rsidRPr="005C4743" w:rsidRDefault="009A4C46" w:rsidP="009A4C46">
            <w:pPr>
              <w:spacing w:after="0" w:line="240" w:lineRule="auto"/>
              <w:jc w:val="center"/>
              <w:rPr>
                <w:rFonts w:eastAsia="Times New Roman"/>
                <w:color w:val="000000"/>
                <w:sz w:val="18"/>
                <w:szCs w:val="18"/>
                <w:lang w:eastAsia="ru-RU"/>
              </w:rPr>
            </w:pPr>
            <w:r w:rsidRPr="005C4743">
              <w:rPr>
                <w:rFonts w:eastAsia="Times New Roman"/>
                <w:color w:val="000000"/>
                <w:sz w:val="18"/>
                <w:szCs w:val="18"/>
                <w:lang w:eastAsia="ru-RU"/>
              </w:rPr>
              <w:t>157</w:t>
            </w:r>
          </w:p>
        </w:tc>
      </w:tr>
      <w:tr w:rsidR="009A4C46" w:rsidRPr="005C4743" w14:paraId="019D6DF2" w14:textId="77777777" w:rsidTr="00F94FED">
        <w:trPr>
          <w:trHeight w:val="303"/>
        </w:trPr>
        <w:tc>
          <w:tcPr>
            <w:tcW w:w="448" w:type="pct"/>
            <w:tcBorders>
              <w:top w:val="nil"/>
              <w:left w:val="single" w:sz="4" w:space="0" w:color="auto"/>
              <w:bottom w:val="single" w:sz="4" w:space="0" w:color="auto"/>
              <w:right w:val="single" w:sz="4" w:space="0" w:color="auto"/>
            </w:tcBorders>
            <w:shd w:val="clear" w:color="auto" w:fill="auto"/>
            <w:noWrap/>
            <w:vAlign w:val="center"/>
            <w:hideMark/>
          </w:tcPr>
          <w:p w14:paraId="639720D5" w14:textId="77777777" w:rsidR="009A4C46" w:rsidRPr="003E2802" w:rsidRDefault="009A4C46" w:rsidP="009A4C46">
            <w:pPr>
              <w:spacing w:after="0" w:line="240" w:lineRule="auto"/>
              <w:jc w:val="center"/>
              <w:rPr>
                <w:rFonts w:eastAsia="Times New Roman"/>
                <w:i/>
                <w:iCs/>
                <w:sz w:val="18"/>
                <w:szCs w:val="18"/>
                <w:lang w:eastAsia="ru-RU"/>
              </w:rPr>
            </w:pPr>
            <w:r w:rsidRPr="00E169B0">
              <w:rPr>
                <w:rFonts w:eastAsia="Times New Roman"/>
                <w:i/>
                <w:iCs/>
                <w:sz w:val="18"/>
                <w:szCs w:val="18"/>
                <w:lang w:eastAsia="ru-RU"/>
              </w:rPr>
              <w:t>4.3.</w:t>
            </w:r>
          </w:p>
        </w:tc>
        <w:tc>
          <w:tcPr>
            <w:tcW w:w="1807" w:type="pct"/>
            <w:tcBorders>
              <w:top w:val="nil"/>
              <w:left w:val="nil"/>
              <w:bottom w:val="single" w:sz="4" w:space="0" w:color="auto"/>
              <w:right w:val="single" w:sz="4" w:space="0" w:color="auto"/>
            </w:tcBorders>
            <w:shd w:val="clear" w:color="auto" w:fill="auto"/>
            <w:vAlign w:val="center"/>
            <w:hideMark/>
          </w:tcPr>
          <w:p w14:paraId="37D372EE" w14:textId="77777777" w:rsidR="009A4C46" w:rsidRPr="005C4743" w:rsidRDefault="009A4C46" w:rsidP="009A4C46">
            <w:pPr>
              <w:spacing w:after="0" w:line="240" w:lineRule="auto"/>
              <w:rPr>
                <w:rFonts w:eastAsia="Times New Roman"/>
                <w:i/>
                <w:iCs/>
                <w:sz w:val="18"/>
                <w:szCs w:val="18"/>
                <w:lang w:eastAsia="ru-RU"/>
              </w:rPr>
            </w:pPr>
            <w:r w:rsidRPr="005C4743">
              <w:rPr>
                <w:rFonts w:eastAsia="Times New Roman"/>
                <w:i/>
                <w:iCs/>
                <w:sz w:val="18"/>
                <w:szCs w:val="18"/>
                <w:lang w:eastAsia="ru-RU"/>
              </w:rPr>
              <w:t>Прочие налоги и сборы</w:t>
            </w:r>
          </w:p>
        </w:tc>
        <w:tc>
          <w:tcPr>
            <w:tcW w:w="919" w:type="pct"/>
            <w:tcBorders>
              <w:top w:val="nil"/>
              <w:left w:val="single" w:sz="4" w:space="0" w:color="auto"/>
              <w:bottom w:val="single" w:sz="4" w:space="0" w:color="auto"/>
              <w:right w:val="single" w:sz="4" w:space="0" w:color="auto"/>
            </w:tcBorders>
            <w:shd w:val="clear" w:color="auto" w:fill="auto"/>
            <w:noWrap/>
            <w:vAlign w:val="center"/>
          </w:tcPr>
          <w:p w14:paraId="45ECEF59" w14:textId="77777777" w:rsidR="009A4C46" w:rsidRPr="005C4743" w:rsidRDefault="009A4C46" w:rsidP="009A4C46">
            <w:pPr>
              <w:spacing w:after="0" w:line="240" w:lineRule="auto"/>
              <w:jc w:val="center"/>
              <w:rPr>
                <w:rFonts w:eastAsia="Times New Roman"/>
                <w:color w:val="000000"/>
                <w:sz w:val="18"/>
                <w:szCs w:val="18"/>
                <w:lang w:eastAsia="ru-RU"/>
              </w:rPr>
            </w:pPr>
            <w:r w:rsidRPr="005C4743">
              <w:rPr>
                <w:rFonts w:eastAsia="Times New Roman"/>
                <w:color w:val="000000"/>
                <w:sz w:val="18"/>
                <w:szCs w:val="18"/>
                <w:lang w:eastAsia="ru-RU"/>
              </w:rPr>
              <w:t>1 050</w:t>
            </w:r>
          </w:p>
        </w:tc>
        <w:tc>
          <w:tcPr>
            <w:tcW w:w="896" w:type="pct"/>
            <w:tcBorders>
              <w:top w:val="nil"/>
              <w:left w:val="nil"/>
              <w:bottom w:val="single" w:sz="4" w:space="0" w:color="auto"/>
              <w:right w:val="single" w:sz="4" w:space="0" w:color="auto"/>
            </w:tcBorders>
            <w:shd w:val="clear" w:color="auto" w:fill="auto"/>
            <w:noWrap/>
            <w:vAlign w:val="center"/>
          </w:tcPr>
          <w:p w14:paraId="2DA70FD6" w14:textId="77777777" w:rsidR="009A4C46" w:rsidRPr="005C4743" w:rsidRDefault="009A4C46" w:rsidP="009A4C46">
            <w:pPr>
              <w:spacing w:after="0" w:line="240" w:lineRule="auto"/>
              <w:jc w:val="center"/>
              <w:rPr>
                <w:rFonts w:eastAsia="Times New Roman"/>
                <w:color w:val="000000"/>
                <w:sz w:val="18"/>
                <w:szCs w:val="18"/>
                <w:lang w:eastAsia="ru-RU"/>
              </w:rPr>
            </w:pPr>
            <w:r w:rsidRPr="005C4743">
              <w:rPr>
                <w:rFonts w:eastAsia="Times New Roman"/>
                <w:color w:val="000000"/>
                <w:sz w:val="18"/>
                <w:szCs w:val="18"/>
                <w:lang w:eastAsia="ru-RU"/>
              </w:rPr>
              <w:t>865</w:t>
            </w:r>
          </w:p>
        </w:tc>
        <w:tc>
          <w:tcPr>
            <w:tcW w:w="931" w:type="pct"/>
            <w:tcBorders>
              <w:top w:val="nil"/>
              <w:left w:val="nil"/>
              <w:bottom w:val="single" w:sz="4" w:space="0" w:color="auto"/>
              <w:right w:val="single" w:sz="8" w:space="0" w:color="auto"/>
            </w:tcBorders>
            <w:shd w:val="clear" w:color="auto" w:fill="auto"/>
            <w:vAlign w:val="center"/>
          </w:tcPr>
          <w:p w14:paraId="7D174ACC" w14:textId="77777777" w:rsidR="009A4C46" w:rsidRPr="005C4743" w:rsidRDefault="009A4C46" w:rsidP="009A4C46">
            <w:pPr>
              <w:spacing w:after="0" w:line="240" w:lineRule="auto"/>
              <w:jc w:val="center"/>
              <w:rPr>
                <w:rFonts w:eastAsia="Times New Roman"/>
                <w:color w:val="000000"/>
                <w:sz w:val="18"/>
                <w:szCs w:val="18"/>
                <w:lang w:eastAsia="ru-RU"/>
              </w:rPr>
            </w:pPr>
            <w:r w:rsidRPr="005C4743">
              <w:rPr>
                <w:rFonts w:eastAsia="Times New Roman"/>
                <w:color w:val="000000"/>
                <w:sz w:val="18"/>
                <w:szCs w:val="18"/>
                <w:lang w:eastAsia="ru-RU"/>
              </w:rPr>
              <w:t>-185</w:t>
            </w:r>
          </w:p>
        </w:tc>
      </w:tr>
      <w:tr w:rsidR="009A4C46" w:rsidRPr="005C4743" w14:paraId="5D6DC3EE" w14:textId="77777777" w:rsidTr="00F94FED">
        <w:trPr>
          <w:trHeight w:val="339"/>
        </w:trPr>
        <w:tc>
          <w:tcPr>
            <w:tcW w:w="448" w:type="pct"/>
            <w:tcBorders>
              <w:top w:val="nil"/>
              <w:left w:val="single" w:sz="4" w:space="0" w:color="auto"/>
              <w:bottom w:val="single" w:sz="4" w:space="0" w:color="auto"/>
              <w:right w:val="single" w:sz="4" w:space="0" w:color="auto"/>
            </w:tcBorders>
            <w:shd w:val="clear" w:color="auto" w:fill="auto"/>
            <w:noWrap/>
            <w:vAlign w:val="center"/>
            <w:hideMark/>
          </w:tcPr>
          <w:p w14:paraId="0F8F9DE1" w14:textId="77777777" w:rsidR="009A4C46" w:rsidRPr="003E2802" w:rsidRDefault="009A4C46" w:rsidP="009A4C46">
            <w:pPr>
              <w:spacing w:after="0" w:line="240" w:lineRule="auto"/>
              <w:jc w:val="center"/>
              <w:rPr>
                <w:rFonts w:eastAsia="Times New Roman"/>
                <w:sz w:val="18"/>
                <w:szCs w:val="18"/>
                <w:lang w:eastAsia="ru-RU"/>
              </w:rPr>
            </w:pPr>
            <w:r w:rsidRPr="00E169B0">
              <w:rPr>
                <w:rFonts w:eastAsia="Times New Roman"/>
                <w:sz w:val="18"/>
                <w:szCs w:val="18"/>
                <w:lang w:eastAsia="ru-RU"/>
              </w:rPr>
              <w:t>5.</w:t>
            </w:r>
          </w:p>
        </w:tc>
        <w:tc>
          <w:tcPr>
            <w:tcW w:w="1807" w:type="pct"/>
            <w:tcBorders>
              <w:top w:val="nil"/>
              <w:left w:val="nil"/>
              <w:bottom w:val="single" w:sz="4" w:space="0" w:color="auto"/>
              <w:right w:val="single" w:sz="4" w:space="0" w:color="auto"/>
            </w:tcBorders>
            <w:shd w:val="clear" w:color="auto" w:fill="auto"/>
            <w:vAlign w:val="center"/>
            <w:hideMark/>
          </w:tcPr>
          <w:p w14:paraId="13A886BA" w14:textId="77777777" w:rsidR="009A4C46" w:rsidRPr="005C4743" w:rsidRDefault="009A4C46" w:rsidP="009A4C46">
            <w:pPr>
              <w:spacing w:after="0" w:line="240" w:lineRule="auto"/>
              <w:rPr>
                <w:rFonts w:eastAsia="Times New Roman"/>
                <w:sz w:val="18"/>
                <w:szCs w:val="18"/>
                <w:lang w:eastAsia="ru-RU"/>
              </w:rPr>
            </w:pPr>
            <w:r w:rsidRPr="005C4743">
              <w:rPr>
                <w:rFonts w:eastAsia="Times New Roman"/>
                <w:sz w:val="18"/>
                <w:szCs w:val="18"/>
                <w:lang w:eastAsia="ru-RU"/>
              </w:rPr>
              <w:t>Отчисления на социальные нужды (ЕСН)</w:t>
            </w:r>
          </w:p>
        </w:tc>
        <w:tc>
          <w:tcPr>
            <w:tcW w:w="919" w:type="pct"/>
            <w:tcBorders>
              <w:top w:val="nil"/>
              <w:left w:val="single" w:sz="4" w:space="0" w:color="auto"/>
              <w:bottom w:val="single" w:sz="4" w:space="0" w:color="auto"/>
              <w:right w:val="single" w:sz="4" w:space="0" w:color="auto"/>
            </w:tcBorders>
            <w:shd w:val="clear" w:color="auto" w:fill="auto"/>
            <w:noWrap/>
            <w:vAlign w:val="center"/>
          </w:tcPr>
          <w:p w14:paraId="43453F36" w14:textId="77777777" w:rsidR="009A4C46" w:rsidRPr="005C4743" w:rsidRDefault="009A4C46" w:rsidP="009A4C46">
            <w:pPr>
              <w:spacing w:after="0" w:line="240" w:lineRule="auto"/>
              <w:jc w:val="center"/>
              <w:rPr>
                <w:rFonts w:eastAsia="Times New Roman"/>
                <w:color w:val="000000"/>
                <w:sz w:val="18"/>
                <w:szCs w:val="18"/>
                <w:lang w:eastAsia="ru-RU"/>
              </w:rPr>
            </w:pPr>
            <w:r w:rsidRPr="005C4743">
              <w:rPr>
                <w:rFonts w:eastAsia="Times New Roman"/>
                <w:color w:val="000000"/>
                <w:sz w:val="18"/>
                <w:szCs w:val="18"/>
                <w:lang w:eastAsia="ru-RU"/>
              </w:rPr>
              <w:t>106 014</w:t>
            </w:r>
          </w:p>
        </w:tc>
        <w:tc>
          <w:tcPr>
            <w:tcW w:w="896" w:type="pct"/>
            <w:tcBorders>
              <w:top w:val="nil"/>
              <w:left w:val="nil"/>
              <w:bottom w:val="single" w:sz="4" w:space="0" w:color="auto"/>
              <w:right w:val="single" w:sz="4" w:space="0" w:color="auto"/>
            </w:tcBorders>
            <w:shd w:val="clear" w:color="auto" w:fill="auto"/>
            <w:noWrap/>
            <w:vAlign w:val="center"/>
          </w:tcPr>
          <w:p w14:paraId="5296CE33" w14:textId="77777777" w:rsidR="009A4C46" w:rsidRPr="005C4743" w:rsidRDefault="009A4C46" w:rsidP="009A4C46">
            <w:pPr>
              <w:spacing w:after="0" w:line="240" w:lineRule="auto"/>
              <w:jc w:val="center"/>
              <w:rPr>
                <w:rFonts w:eastAsia="Times New Roman"/>
                <w:color w:val="000000"/>
                <w:sz w:val="18"/>
                <w:szCs w:val="18"/>
                <w:lang w:eastAsia="ru-RU"/>
              </w:rPr>
            </w:pPr>
            <w:r w:rsidRPr="005C4743">
              <w:rPr>
                <w:rFonts w:eastAsia="Times New Roman"/>
                <w:color w:val="000000"/>
                <w:sz w:val="18"/>
                <w:szCs w:val="18"/>
                <w:lang w:eastAsia="ru-RU"/>
              </w:rPr>
              <w:t>88 005</w:t>
            </w:r>
          </w:p>
        </w:tc>
        <w:tc>
          <w:tcPr>
            <w:tcW w:w="931" w:type="pct"/>
            <w:tcBorders>
              <w:top w:val="nil"/>
              <w:left w:val="nil"/>
              <w:bottom w:val="single" w:sz="4" w:space="0" w:color="auto"/>
              <w:right w:val="single" w:sz="8" w:space="0" w:color="auto"/>
            </w:tcBorders>
            <w:shd w:val="clear" w:color="auto" w:fill="auto"/>
            <w:vAlign w:val="center"/>
          </w:tcPr>
          <w:p w14:paraId="7E7158EF" w14:textId="77777777" w:rsidR="009A4C46" w:rsidRPr="005C4743" w:rsidRDefault="009A4C46" w:rsidP="009A4C46">
            <w:pPr>
              <w:spacing w:after="0" w:line="240" w:lineRule="auto"/>
              <w:jc w:val="center"/>
              <w:rPr>
                <w:rFonts w:eastAsia="Times New Roman"/>
                <w:color w:val="000000"/>
                <w:sz w:val="18"/>
                <w:szCs w:val="18"/>
                <w:lang w:eastAsia="ru-RU"/>
              </w:rPr>
            </w:pPr>
            <w:r w:rsidRPr="005C4743">
              <w:rPr>
                <w:rFonts w:eastAsia="Times New Roman"/>
                <w:color w:val="000000"/>
                <w:sz w:val="18"/>
                <w:szCs w:val="18"/>
                <w:lang w:eastAsia="ru-RU"/>
              </w:rPr>
              <w:t>-18 009</w:t>
            </w:r>
          </w:p>
        </w:tc>
      </w:tr>
      <w:tr w:rsidR="009A4C46" w:rsidRPr="005C4743" w14:paraId="1A679DD6" w14:textId="77777777" w:rsidTr="00F94FED">
        <w:trPr>
          <w:trHeight w:val="339"/>
        </w:trPr>
        <w:tc>
          <w:tcPr>
            <w:tcW w:w="448" w:type="pct"/>
            <w:tcBorders>
              <w:top w:val="nil"/>
              <w:left w:val="single" w:sz="4" w:space="0" w:color="auto"/>
              <w:bottom w:val="single" w:sz="4" w:space="0" w:color="auto"/>
              <w:right w:val="single" w:sz="4" w:space="0" w:color="auto"/>
            </w:tcBorders>
            <w:shd w:val="clear" w:color="auto" w:fill="auto"/>
            <w:noWrap/>
            <w:vAlign w:val="center"/>
            <w:hideMark/>
          </w:tcPr>
          <w:p w14:paraId="57026C15" w14:textId="77777777" w:rsidR="009A4C46" w:rsidRPr="003E2802" w:rsidRDefault="009A4C46" w:rsidP="009A4C46">
            <w:pPr>
              <w:spacing w:after="0" w:line="240" w:lineRule="auto"/>
              <w:jc w:val="center"/>
              <w:rPr>
                <w:rFonts w:eastAsia="Times New Roman"/>
                <w:sz w:val="18"/>
                <w:szCs w:val="18"/>
                <w:lang w:eastAsia="ru-RU"/>
              </w:rPr>
            </w:pPr>
            <w:r w:rsidRPr="00E169B0">
              <w:rPr>
                <w:rFonts w:eastAsia="Times New Roman"/>
                <w:sz w:val="18"/>
                <w:szCs w:val="18"/>
                <w:lang w:eastAsia="ru-RU"/>
              </w:rPr>
              <w:t>6.</w:t>
            </w:r>
          </w:p>
        </w:tc>
        <w:tc>
          <w:tcPr>
            <w:tcW w:w="1807" w:type="pct"/>
            <w:tcBorders>
              <w:top w:val="nil"/>
              <w:left w:val="nil"/>
              <w:bottom w:val="single" w:sz="4" w:space="0" w:color="auto"/>
              <w:right w:val="single" w:sz="4" w:space="0" w:color="auto"/>
            </w:tcBorders>
            <w:shd w:val="clear" w:color="auto" w:fill="auto"/>
            <w:vAlign w:val="center"/>
            <w:hideMark/>
          </w:tcPr>
          <w:p w14:paraId="12F94DAE" w14:textId="77777777" w:rsidR="009A4C46" w:rsidRPr="005C4743" w:rsidRDefault="009A4C46" w:rsidP="009A4C46">
            <w:pPr>
              <w:spacing w:after="0" w:line="240" w:lineRule="auto"/>
              <w:rPr>
                <w:rFonts w:eastAsia="Times New Roman"/>
                <w:sz w:val="18"/>
                <w:szCs w:val="18"/>
                <w:lang w:eastAsia="ru-RU"/>
              </w:rPr>
            </w:pPr>
            <w:r w:rsidRPr="005C4743">
              <w:rPr>
                <w:rFonts w:eastAsia="Times New Roman"/>
                <w:sz w:val="18"/>
                <w:szCs w:val="18"/>
                <w:lang w:eastAsia="ru-RU"/>
              </w:rPr>
              <w:t>Списание дебиторской задолженности</w:t>
            </w:r>
          </w:p>
        </w:tc>
        <w:tc>
          <w:tcPr>
            <w:tcW w:w="919" w:type="pct"/>
            <w:tcBorders>
              <w:top w:val="nil"/>
              <w:left w:val="single" w:sz="4" w:space="0" w:color="auto"/>
              <w:bottom w:val="single" w:sz="4" w:space="0" w:color="auto"/>
              <w:right w:val="single" w:sz="4" w:space="0" w:color="auto"/>
            </w:tcBorders>
            <w:shd w:val="clear" w:color="auto" w:fill="auto"/>
            <w:noWrap/>
            <w:vAlign w:val="center"/>
          </w:tcPr>
          <w:p w14:paraId="0125BCD8" w14:textId="77777777" w:rsidR="009A4C46" w:rsidRPr="005C4743" w:rsidRDefault="009A4C46" w:rsidP="009A4C46">
            <w:pPr>
              <w:spacing w:after="0" w:line="240" w:lineRule="auto"/>
              <w:jc w:val="center"/>
              <w:rPr>
                <w:rFonts w:eastAsia="Times New Roman"/>
                <w:color w:val="000000"/>
                <w:sz w:val="18"/>
                <w:szCs w:val="18"/>
                <w:lang w:eastAsia="ru-RU"/>
              </w:rPr>
            </w:pPr>
            <w:r w:rsidRPr="005C4743">
              <w:rPr>
                <w:rFonts w:eastAsia="Times New Roman"/>
                <w:color w:val="000000"/>
                <w:sz w:val="18"/>
                <w:szCs w:val="18"/>
                <w:lang w:eastAsia="ru-RU"/>
              </w:rPr>
              <w:t>32 536</w:t>
            </w:r>
          </w:p>
        </w:tc>
        <w:tc>
          <w:tcPr>
            <w:tcW w:w="896" w:type="pct"/>
            <w:tcBorders>
              <w:top w:val="nil"/>
              <w:left w:val="nil"/>
              <w:bottom w:val="single" w:sz="4" w:space="0" w:color="auto"/>
              <w:right w:val="single" w:sz="4" w:space="0" w:color="auto"/>
            </w:tcBorders>
            <w:shd w:val="clear" w:color="auto" w:fill="auto"/>
            <w:noWrap/>
            <w:vAlign w:val="center"/>
          </w:tcPr>
          <w:p w14:paraId="1FCA5987" w14:textId="77777777" w:rsidR="009A4C46" w:rsidRPr="005C4743" w:rsidRDefault="009A4C46" w:rsidP="009A4C46">
            <w:pPr>
              <w:spacing w:after="0" w:line="240" w:lineRule="auto"/>
              <w:jc w:val="center"/>
              <w:rPr>
                <w:rFonts w:eastAsia="Times New Roman"/>
                <w:color w:val="000000"/>
                <w:sz w:val="18"/>
                <w:szCs w:val="18"/>
                <w:lang w:eastAsia="ru-RU"/>
              </w:rPr>
            </w:pPr>
          </w:p>
        </w:tc>
        <w:tc>
          <w:tcPr>
            <w:tcW w:w="931" w:type="pct"/>
            <w:tcBorders>
              <w:top w:val="nil"/>
              <w:left w:val="nil"/>
              <w:bottom w:val="single" w:sz="4" w:space="0" w:color="auto"/>
              <w:right w:val="single" w:sz="8" w:space="0" w:color="auto"/>
            </w:tcBorders>
            <w:shd w:val="clear" w:color="auto" w:fill="auto"/>
            <w:vAlign w:val="center"/>
          </w:tcPr>
          <w:p w14:paraId="30D94638" w14:textId="77777777" w:rsidR="009A4C46" w:rsidRPr="005C4743" w:rsidRDefault="009A4C46" w:rsidP="009A4C46">
            <w:pPr>
              <w:spacing w:after="0" w:line="240" w:lineRule="auto"/>
              <w:jc w:val="center"/>
              <w:rPr>
                <w:rFonts w:eastAsia="Times New Roman"/>
                <w:color w:val="000000"/>
                <w:sz w:val="18"/>
                <w:szCs w:val="18"/>
                <w:lang w:eastAsia="ru-RU"/>
              </w:rPr>
            </w:pPr>
            <w:r w:rsidRPr="005C4743">
              <w:rPr>
                <w:rFonts w:eastAsia="Times New Roman"/>
                <w:color w:val="000000"/>
                <w:sz w:val="18"/>
                <w:szCs w:val="18"/>
                <w:lang w:eastAsia="ru-RU"/>
              </w:rPr>
              <w:t>-32 536</w:t>
            </w:r>
          </w:p>
        </w:tc>
      </w:tr>
      <w:tr w:rsidR="009A4C46" w:rsidRPr="005C4743" w14:paraId="77A7EA17" w14:textId="77777777" w:rsidTr="00F94FED">
        <w:trPr>
          <w:trHeight w:val="339"/>
        </w:trPr>
        <w:tc>
          <w:tcPr>
            <w:tcW w:w="448" w:type="pct"/>
            <w:tcBorders>
              <w:top w:val="nil"/>
              <w:left w:val="single" w:sz="4" w:space="0" w:color="auto"/>
              <w:bottom w:val="single" w:sz="4" w:space="0" w:color="auto"/>
              <w:right w:val="single" w:sz="4" w:space="0" w:color="auto"/>
            </w:tcBorders>
            <w:shd w:val="clear" w:color="auto" w:fill="auto"/>
            <w:noWrap/>
            <w:vAlign w:val="center"/>
            <w:hideMark/>
          </w:tcPr>
          <w:p w14:paraId="141EE184" w14:textId="77777777" w:rsidR="009A4C46" w:rsidRPr="003E2802" w:rsidRDefault="009A4C46" w:rsidP="009A4C46">
            <w:pPr>
              <w:spacing w:after="0" w:line="240" w:lineRule="auto"/>
              <w:jc w:val="center"/>
              <w:rPr>
                <w:rFonts w:eastAsia="Times New Roman"/>
                <w:sz w:val="18"/>
                <w:szCs w:val="18"/>
                <w:lang w:eastAsia="ru-RU"/>
              </w:rPr>
            </w:pPr>
            <w:r w:rsidRPr="00E169B0">
              <w:rPr>
                <w:rFonts w:eastAsia="Times New Roman"/>
                <w:sz w:val="18"/>
                <w:szCs w:val="18"/>
                <w:lang w:eastAsia="ru-RU"/>
              </w:rPr>
              <w:t>7.</w:t>
            </w:r>
          </w:p>
        </w:tc>
        <w:tc>
          <w:tcPr>
            <w:tcW w:w="1807" w:type="pct"/>
            <w:tcBorders>
              <w:top w:val="nil"/>
              <w:left w:val="nil"/>
              <w:bottom w:val="single" w:sz="4" w:space="0" w:color="auto"/>
              <w:right w:val="single" w:sz="4" w:space="0" w:color="auto"/>
            </w:tcBorders>
            <w:shd w:val="clear" w:color="auto" w:fill="auto"/>
            <w:vAlign w:val="center"/>
            <w:hideMark/>
          </w:tcPr>
          <w:p w14:paraId="7FBE3AB6" w14:textId="77777777" w:rsidR="009A4C46" w:rsidRPr="005C4743" w:rsidRDefault="009A4C46" w:rsidP="009A4C46">
            <w:pPr>
              <w:spacing w:after="0" w:line="240" w:lineRule="auto"/>
              <w:rPr>
                <w:rFonts w:eastAsia="Times New Roman"/>
                <w:sz w:val="18"/>
                <w:szCs w:val="18"/>
                <w:lang w:eastAsia="ru-RU"/>
              </w:rPr>
            </w:pPr>
            <w:r w:rsidRPr="005C4743">
              <w:rPr>
                <w:rFonts w:eastAsia="Times New Roman"/>
                <w:sz w:val="18"/>
                <w:szCs w:val="18"/>
                <w:lang w:eastAsia="ru-RU"/>
              </w:rPr>
              <w:t>Прочие неподконтрольные расходы</w:t>
            </w:r>
          </w:p>
        </w:tc>
        <w:tc>
          <w:tcPr>
            <w:tcW w:w="919" w:type="pct"/>
            <w:tcBorders>
              <w:top w:val="nil"/>
              <w:left w:val="single" w:sz="4" w:space="0" w:color="auto"/>
              <w:bottom w:val="single" w:sz="4" w:space="0" w:color="auto"/>
              <w:right w:val="single" w:sz="4" w:space="0" w:color="auto"/>
            </w:tcBorders>
            <w:shd w:val="clear" w:color="auto" w:fill="auto"/>
            <w:noWrap/>
            <w:vAlign w:val="center"/>
          </w:tcPr>
          <w:p w14:paraId="3FDF51B0" w14:textId="77777777" w:rsidR="009A4C46" w:rsidRPr="005C4743" w:rsidRDefault="009A4C46" w:rsidP="009A4C46">
            <w:pPr>
              <w:spacing w:after="0" w:line="240" w:lineRule="auto"/>
              <w:jc w:val="center"/>
              <w:rPr>
                <w:rFonts w:eastAsia="Times New Roman"/>
                <w:color w:val="000000"/>
                <w:sz w:val="18"/>
                <w:szCs w:val="18"/>
                <w:lang w:eastAsia="ru-RU"/>
              </w:rPr>
            </w:pPr>
            <w:r w:rsidRPr="005C4743">
              <w:rPr>
                <w:rFonts w:eastAsia="Times New Roman"/>
                <w:color w:val="000000"/>
                <w:sz w:val="18"/>
                <w:szCs w:val="18"/>
                <w:lang w:eastAsia="ru-RU"/>
              </w:rPr>
              <w:t>38 035</w:t>
            </w:r>
          </w:p>
        </w:tc>
        <w:tc>
          <w:tcPr>
            <w:tcW w:w="896" w:type="pct"/>
            <w:tcBorders>
              <w:top w:val="nil"/>
              <w:left w:val="nil"/>
              <w:bottom w:val="single" w:sz="4" w:space="0" w:color="auto"/>
              <w:right w:val="single" w:sz="4" w:space="0" w:color="auto"/>
            </w:tcBorders>
            <w:shd w:val="clear" w:color="auto" w:fill="auto"/>
            <w:noWrap/>
            <w:vAlign w:val="center"/>
          </w:tcPr>
          <w:p w14:paraId="754DAF04" w14:textId="77777777" w:rsidR="009A4C46" w:rsidRPr="005C4743" w:rsidRDefault="009A4C46" w:rsidP="009A4C46">
            <w:pPr>
              <w:spacing w:after="0" w:line="240" w:lineRule="auto"/>
              <w:jc w:val="center"/>
              <w:rPr>
                <w:rFonts w:eastAsia="Times New Roman"/>
                <w:color w:val="000000"/>
                <w:sz w:val="18"/>
                <w:szCs w:val="18"/>
                <w:lang w:eastAsia="ru-RU"/>
              </w:rPr>
            </w:pPr>
            <w:r w:rsidRPr="005C4743">
              <w:rPr>
                <w:rFonts w:eastAsia="Times New Roman"/>
                <w:color w:val="000000"/>
                <w:sz w:val="18"/>
                <w:szCs w:val="18"/>
                <w:lang w:eastAsia="ru-RU"/>
              </w:rPr>
              <w:t>302 603</w:t>
            </w:r>
          </w:p>
        </w:tc>
        <w:tc>
          <w:tcPr>
            <w:tcW w:w="931" w:type="pct"/>
            <w:tcBorders>
              <w:top w:val="nil"/>
              <w:left w:val="nil"/>
              <w:bottom w:val="single" w:sz="4" w:space="0" w:color="auto"/>
              <w:right w:val="single" w:sz="8" w:space="0" w:color="auto"/>
            </w:tcBorders>
            <w:shd w:val="clear" w:color="auto" w:fill="auto"/>
            <w:vAlign w:val="center"/>
          </w:tcPr>
          <w:p w14:paraId="404023BD" w14:textId="77777777" w:rsidR="009A4C46" w:rsidRPr="005C4743" w:rsidRDefault="009A4C46" w:rsidP="009A4C46">
            <w:pPr>
              <w:spacing w:after="0" w:line="240" w:lineRule="auto"/>
              <w:jc w:val="center"/>
              <w:rPr>
                <w:rFonts w:eastAsia="Times New Roman"/>
                <w:color w:val="000000"/>
                <w:sz w:val="18"/>
                <w:szCs w:val="18"/>
                <w:lang w:eastAsia="ru-RU"/>
              </w:rPr>
            </w:pPr>
            <w:r w:rsidRPr="005C4743">
              <w:rPr>
                <w:rFonts w:eastAsia="Times New Roman"/>
                <w:color w:val="000000"/>
                <w:sz w:val="18"/>
                <w:szCs w:val="18"/>
                <w:lang w:eastAsia="ru-RU"/>
              </w:rPr>
              <w:t>264 568</w:t>
            </w:r>
          </w:p>
        </w:tc>
      </w:tr>
      <w:tr w:rsidR="009A4C46" w:rsidRPr="005C4743" w14:paraId="55460C05" w14:textId="77777777" w:rsidTr="00F94FED">
        <w:trPr>
          <w:trHeight w:val="301"/>
        </w:trPr>
        <w:tc>
          <w:tcPr>
            <w:tcW w:w="448" w:type="pct"/>
            <w:tcBorders>
              <w:top w:val="nil"/>
              <w:left w:val="single" w:sz="4" w:space="0" w:color="auto"/>
              <w:bottom w:val="single" w:sz="4" w:space="0" w:color="auto"/>
              <w:right w:val="single" w:sz="4" w:space="0" w:color="auto"/>
            </w:tcBorders>
            <w:shd w:val="clear" w:color="auto" w:fill="auto"/>
            <w:noWrap/>
            <w:vAlign w:val="center"/>
            <w:hideMark/>
          </w:tcPr>
          <w:p w14:paraId="7FCC6BCA" w14:textId="77777777" w:rsidR="009A4C46" w:rsidRPr="003E2802" w:rsidRDefault="009A4C46" w:rsidP="009A4C46">
            <w:pPr>
              <w:spacing w:after="0" w:line="240" w:lineRule="auto"/>
              <w:jc w:val="center"/>
              <w:rPr>
                <w:rFonts w:eastAsia="Times New Roman"/>
                <w:sz w:val="18"/>
                <w:szCs w:val="18"/>
                <w:lang w:eastAsia="ru-RU"/>
              </w:rPr>
            </w:pPr>
            <w:r w:rsidRPr="00E169B0">
              <w:rPr>
                <w:rFonts w:eastAsia="Times New Roman"/>
                <w:sz w:val="18"/>
                <w:szCs w:val="18"/>
                <w:lang w:eastAsia="ru-RU"/>
              </w:rPr>
              <w:t>8.</w:t>
            </w:r>
          </w:p>
        </w:tc>
        <w:tc>
          <w:tcPr>
            <w:tcW w:w="1807" w:type="pct"/>
            <w:tcBorders>
              <w:top w:val="nil"/>
              <w:left w:val="nil"/>
              <w:bottom w:val="single" w:sz="4" w:space="0" w:color="auto"/>
              <w:right w:val="single" w:sz="4" w:space="0" w:color="auto"/>
            </w:tcBorders>
            <w:shd w:val="clear" w:color="auto" w:fill="auto"/>
            <w:vAlign w:val="center"/>
            <w:hideMark/>
          </w:tcPr>
          <w:p w14:paraId="605012E7" w14:textId="77777777" w:rsidR="009A4C46" w:rsidRPr="005C4743" w:rsidRDefault="009A4C46" w:rsidP="009A4C46">
            <w:pPr>
              <w:spacing w:after="0" w:line="240" w:lineRule="auto"/>
              <w:rPr>
                <w:rFonts w:eastAsia="Times New Roman"/>
                <w:sz w:val="18"/>
                <w:szCs w:val="18"/>
                <w:lang w:eastAsia="ru-RU"/>
              </w:rPr>
            </w:pPr>
            <w:r w:rsidRPr="005C4743">
              <w:rPr>
                <w:rFonts w:eastAsia="Times New Roman"/>
                <w:sz w:val="18"/>
                <w:szCs w:val="18"/>
                <w:lang w:eastAsia="ru-RU"/>
              </w:rPr>
              <w:t xml:space="preserve">Налог на прибыль </w:t>
            </w:r>
          </w:p>
        </w:tc>
        <w:tc>
          <w:tcPr>
            <w:tcW w:w="919" w:type="pct"/>
            <w:tcBorders>
              <w:top w:val="nil"/>
              <w:left w:val="single" w:sz="4" w:space="0" w:color="auto"/>
              <w:bottom w:val="single" w:sz="4" w:space="0" w:color="auto"/>
              <w:right w:val="single" w:sz="4" w:space="0" w:color="auto"/>
            </w:tcBorders>
            <w:shd w:val="clear" w:color="auto" w:fill="auto"/>
            <w:noWrap/>
            <w:vAlign w:val="center"/>
          </w:tcPr>
          <w:p w14:paraId="7AF1FEC2" w14:textId="77777777" w:rsidR="009A4C46" w:rsidRPr="005C4743" w:rsidRDefault="009A4C46" w:rsidP="009A4C46">
            <w:pPr>
              <w:spacing w:after="0" w:line="240" w:lineRule="auto"/>
              <w:jc w:val="center"/>
              <w:rPr>
                <w:rFonts w:eastAsia="Times New Roman"/>
                <w:color w:val="000000"/>
                <w:sz w:val="18"/>
                <w:szCs w:val="18"/>
                <w:lang w:eastAsia="ru-RU"/>
              </w:rPr>
            </w:pPr>
            <w:r w:rsidRPr="005C4743">
              <w:rPr>
                <w:rFonts w:eastAsia="Times New Roman"/>
                <w:color w:val="000000"/>
                <w:sz w:val="18"/>
                <w:szCs w:val="18"/>
                <w:lang w:eastAsia="ru-RU"/>
              </w:rPr>
              <w:t>11 954</w:t>
            </w:r>
          </w:p>
        </w:tc>
        <w:tc>
          <w:tcPr>
            <w:tcW w:w="896" w:type="pct"/>
            <w:tcBorders>
              <w:top w:val="nil"/>
              <w:left w:val="nil"/>
              <w:bottom w:val="single" w:sz="4" w:space="0" w:color="auto"/>
              <w:right w:val="single" w:sz="4" w:space="0" w:color="auto"/>
            </w:tcBorders>
            <w:shd w:val="clear" w:color="auto" w:fill="auto"/>
            <w:noWrap/>
            <w:vAlign w:val="center"/>
          </w:tcPr>
          <w:p w14:paraId="30C74653" w14:textId="77777777" w:rsidR="009A4C46" w:rsidRPr="005C4743" w:rsidRDefault="009A4C46" w:rsidP="009A4C46">
            <w:pPr>
              <w:spacing w:after="0" w:line="240" w:lineRule="auto"/>
              <w:jc w:val="center"/>
              <w:rPr>
                <w:rFonts w:eastAsia="Times New Roman"/>
                <w:color w:val="000000"/>
                <w:sz w:val="18"/>
                <w:szCs w:val="18"/>
                <w:lang w:eastAsia="ru-RU"/>
              </w:rPr>
            </w:pPr>
            <w:r w:rsidRPr="005C4743">
              <w:rPr>
                <w:rFonts w:eastAsia="Times New Roman"/>
                <w:color w:val="000000"/>
                <w:sz w:val="18"/>
                <w:szCs w:val="18"/>
                <w:lang w:eastAsia="ru-RU"/>
              </w:rPr>
              <w:t>0</w:t>
            </w:r>
          </w:p>
        </w:tc>
        <w:tc>
          <w:tcPr>
            <w:tcW w:w="931" w:type="pct"/>
            <w:tcBorders>
              <w:top w:val="nil"/>
              <w:left w:val="nil"/>
              <w:bottom w:val="single" w:sz="4" w:space="0" w:color="auto"/>
              <w:right w:val="single" w:sz="8" w:space="0" w:color="auto"/>
            </w:tcBorders>
            <w:shd w:val="clear" w:color="auto" w:fill="auto"/>
            <w:vAlign w:val="center"/>
          </w:tcPr>
          <w:p w14:paraId="67E19CB7" w14:textId="77777777" w:rsidR="009A4C46" w:rsidRPr="005C4743" w:rsidRDefault="009A4C46" w:rsidP="009A4C46">
            <w:pPr>
              <w:spacing w:after="0" w:line="240" w:lineRule="auto"/>
              <w:jc w:val="center"/>
              <w:rPr>
                <w:rFonts w:eastAsia="Times New Roman"/>
                <w:color w:val="000000"/>
                <w:sz w:val="18"/>
                <w:szCs w:val="18"/>
                <w:lang w:eastAsia="ru-RU"/>
              </w:rPr>
            </w:pPr>
            <w:r w:rsidRPr="005C4743">
              <w:rPr>
                <w:rFonts w:eastAsia="Times New Roman"/>
                <w:color w:val="000000"/>
                <w:sz w:val="18"/>
                <w:szCs w:val="18"/>
                <w:lang w:eastAsia="ru-RU"/>
              </w:rPr>
              <w:t>-11 954</w:t>
            </w:r>
          </w:p>
        </w:tc>
      </w:tr>
      <w:tr w:rsidR="009A4C46" w:rsidRPr="005C4743" w14:paraId="79F1C73B" w14:textId="77777777" w:rsidTr="00F210D6">
        <w:trPr>
          <w:trHeight w:val="577"/>
        </w:trPr>
        <w:tc>
          <w:tcPr>
            <w:tcW w:w="448" w:type="pct"/>
            <w:tcBorders>
              <w:top w:val="nil"/>
              <w:left w:val="single" w:sz="4" w:space="0" w:color="auto"/>
              <w:bottom w:val="single" w:sz="4" w:space="0" w:color="auto"/>
              <w:right w:val="single" w:sz="4" w:space="0" w:color="auto"/>
            </w:tcBorders>
            <w:shd w:val="clear" w:color="auto" w:fill="D6E3BC" w:themeFill="accent3" w:themeFillTint="66"/>
            <w:noWrap/>
            <w:vAlign w:val="center"/>
            <w:hideMark/>
          </w:tcPr>
          <w:p w14:paraId="7B47F919" w14:textId="77777777" w:rsidR="009A4C46" w:rsidRPr="003E2802" w:rsidRDefault="009A4C46" w:rsidP="009A4C46">
            <w:pPr>
              <w:spacing w:after="0" w:line="240" w:lineRule="auto"/>
              <w:jc w:val="center"/>
              <w:rPr>
                <w:rFonts w:eastAsia="Times New Roman"/>
                <w:b/>
                <w:sz w:val="18"/>
                <w:szCs w:val="18"/>
                <w:lang w:eastAsia="ru-RU"/>
              </w:rPr>
            </w:pPr>
            <w:r w:rsidRPr="00E169B0">
              <w:rPr>
                <w:rFonts w:eastAsia="Times New Roman"/>
                <w:b/>
                <w:sz w:val="18"/>
                <w:szCs w:val="18"/>
                <w:lang w:eastAsia="ru-RU"/>
              </w:rPr>
              <w:t>9.</w:t>
            </w:r>
          </w:p>
        </w:tc>
        <w:tc>
          <w:tcPr>
            <w:tcW w:w="1807" w:type="pct"/>
            <w:tcBorders>
              <w:top w:val="nil"/>
              <w:left w:val="nil"/>
              <w:bottom w:val="single" w:sz="4" w:space="0" w:color="auto"/>
              <w:right w:val="single" w:sz="4" w:space="0" w:color="auto"/>
            </w:tcBorders>
            <w:shd w:val="clear" w:color="auto" w:fill="D6E3BC" w:themeFill="accent3" w:themeFillTint="66"/>
            <w:vAlign w:val="center"/>
            <w:hideMark/>
          </w:tcPr>
          <w:p w14:paraId="132C39C2" w14:textId="77777777" w:rsidR="009A4C46" w:rsidRPr="005C4743" w:rsidRDefault="009A4C46" w:rsidP="009A4C46">
            <w:pPr>
              <w:spacing w:after="0" w:line="240" w:lineRule="auto"/>
              <w:rPr>
                <w:rFonts w:eastAsia="Times New Roman"/>
                <w:b/>
                <w:sz w:val="18"/>
                <w:szCs w:val="18"/>
                <w:lang w:eastAsia="ru-RU"/>
              </w:rPr>
            </w:pPr>
            <w:r w:rsidRPr="005C4743">
              <w:rPr>
                <w:rFonts w:eastAsia="Times New Roman"/>
                <w:b/>
                <w:sz w:val="18"/>
                <w:szCs w:val="18"/>
                <w:lang w:eastAsia="ru-RU"/>
              </w:rPr>
              <w:t>ИТОГО неподконтрольных расходов</w:t>
            </w:r>
          </w:p>
        </w:tc>
        <w:tc>
          <w:tcPr>
            <w:tcW w:w="919" w:type="pct"/>
            <w:tcBorders>
              <w:top w:val="nil"/>
              <w:left w:val="nil"/>
              <w:bottom w:val="single" w:sz="4" w:space="0" w:color="auto"/>
              <w:right w:val="single" w:sz="4" w:space="0" w:color="auto"/>
            </w:tcBorders>
            <w:shd w:val="clear" w:color="auto" w:fill="D6E3BC" w:themeFill="accent3" w:themeFillTint="66"/>
            <w:noWrap/>
            <w:vAlign w:val="center"/>
          </w:tcPr>
          <w:p w14:paraId="22B07CC1" w14:textId="77777777" w:rsidR="009A4C46" w:rsidRPr="005C4743" w:rsidRDefault="009A4C46" w:rsidP="009A4C46">
            <w:pPr>
              <w:spacing w:after="0" w:line="240" w:lineRule="auto"/>
              <w:jc w:val="center"/>
              <w:rPr>
                <w:rFonts w:eastAsia="Times New Roman"/>
                <w:b/>
                <w:color w:val="000000"/>
                <w:sz w:val="18"/>
                <w:szCs w:val="18"/>
                <w:lang w:eastAsia="ru-RU"/>
              </w:rPr>
            </w:pPr>
            <w:r w:rsidRPr="005C4743">
              <w:rPr>
                <w:rFonts w:eastAsia="Times New Roman"/>
                <w:b/>
                <w:color w:val="000000"/>
                <w:sz w:val="18"/>
                <w:szCs w:val="18"/>
                <w:lang w:eastAsia="ru-RU"/>
              </w:rPr>
              <w:t>440 509</w:t>
            </w:r>
          </w:p>
        </w:tc>
        <w:tc>
          <w:tcPr>
            <w:tcW w:w="896" w:type="pct"/>
            <w:tcBorders>
              <w:top w:val="nil"/>
              <w:left w:val="nil"/>
              <w:bottom w:val="single" w:sz="4" w:space="0" w:color="auto"/>
              <w:right w:val="single" w:sz="4" w:space="0" w:color="auto"/>
            </w:tcBorders>
            <w:shd w:val="clear" w:color="auto" w:fill="D6E3BC" w:themeFill="accent3" w:themeFillTint="66"/>
            <w:noWrap/>
            <w:vAlign w:val="center"/>
          </w:tcPr>
          <w:p w14:paraId="67AEB135" w14:textId="77777777" w:rsidR="009A4C46" w:rsidRPr="005C4743" w:rsidRDefault="009A4C46" w:rsidP="009A4C46">
            <w:pPr>
              <w:spacing w:after="0" w:line="240" w:lineRule="auto"/>
              <w:jc w:val="center"/>
              <w:rPr>
                <w:rFonts w:eastAsia="Times New Roman"/>
                <w:b/>
                <w:color w:val="000000"/>
                <w:sz w:val="18"/>
                <w:szCs w:val="18"/>
                <w:lang w:eastAsia="ru-RU"/>
              </w:rPr>
            </w:pPr>
            <w:r w:rsidRPr="005C4743">
              <w:rPr>
                <w:rFonts w:eastAsia="Times New Roman"/>
                <w:b/>
                <w:color w:val="000000"/>
                <w:sz w:val="18"/>
                <w:szCs w:val="18"/>
                <w:lang w:eastAsia="ru-RU"/>
              </w:rPr>
              <w:t>636 599</w:t>
            </w:r>
          </w:p>
        </w:tc>
        <w:tc>
          <w:tcPr>
            <w:tcW w:w="931" w:type="pct"/>
            <w:tcBorders>
              <w:top w:val="nil"/>
              <w:left w:val="nil"/>
              <w:bottom w:val="single" w:sz="4" w:space="0" w:color="auto"/>
              <w:right w:val="single" w:sz="4" w:space="0" w:color="auto"/>
            </w:tcBorders>
            <w:shd w:val="clear" w:color="auto" w:fill="D6E3BC" w:themeFill="accent3" w:themeFillTint="66"/>
            <w:vAlign w:val="center"/>
          </w:tcPr>
          <w:p w14:paraId="33D127D4" w14:textId="77777777" w:rsidR="009A4C46" w:rsidRPr="005C4743" w:rsidRDefault="009A4C46" w:rsidP="009A4C46">
            <w:pPr>
              <w:spacing w:after="0" w:line="240" w:lineRule="auto"/>
              <w:jc w:val="center"/>
              <w:rPr>
                <w:rFonts w:eastAsia="Times New Roman"/>
                <w:b/>
                <w:color w:val="000000"/>
                <w:sz w:val="18"/>
                <w:szCs w:val="18"/>
                <w:lang w:eastAsia="ru-RU"/>
              </w:rPr>
            </w:pPr>
            <w:r w:rsidRPr="005C4743">
              <w:rPr>
                <w:rFonts w:eastAsia="Times New Roman"/>
                <w:b/>
                <w:color w:val="000000"/>
                <w:sz w:val="18"/>
                <w:szCs w:val="18"/>
                <w:lang w:eastAsia="ru-RU"/>
              </w:rPr>
              <w:t>196 092</w:t>
            </w:r>
          </w:p>
        </w:tc>
      </w:tr>
    </w:tbl>
    <w:p w14:paraId="4B750CC2" w14:textId="77777777" w:rsidR="009A4C46" w:rsidRPr="00F94FED" w:rsidRDefault="009A4C46" w:rsidP="00F94FED">
      <w:pPr>
        <w:spacing w:after="0" w:line="360" w:lineRule="auto"/>
        <w:ind w:firstLine="567"/>
        <w:contextualSpacing/>
        <w:jc w:val="both"/>
        <w:rPr>
          <w:rFonts w:eastAsia="Calibri"/>
          <w:sz w:val="26"/>
          <w:szCs w:val="26"/>
        </w:rPr>
      </w:pPr>
    </w:p>
    <w:p w14:paraId="64773EB9" w14:textId="03160EFC" w:rsidR="009A4C46" w:rsidRPr="00F94FED" w:rsidRDefault="005C4743" w:rsidP="001D2691">
      <w:pPr>
        <w:spacing w:after="0" w:line="360" w:lineRule="auto"/>
        <w:contextualSpacing/>
        <w:jc w:val="both"/>
        <w:rPr>
          <w:rFonts w:eastAsia="Calibri"/>
          <w:b/>
          <w:sz w:val="26"/>
          <w:szCs w:val="26"/>
        </w:rPr>
      </w:pPr>
      <w:r w:rsidRPr="00F94FED">
        <w:rPr>
          <w:rFonts w:eastAsia="Calibri"/>
          <w:b/>
          <w:sz w:val="26"/>
          <w:szCs w:val="26"/>
        </w:rPr>
        <w:t>ПОЗИЦИЯ ОРГАНА РЕГУЛИРОВАНИЯ</w:t>
      </w:r>
    </w:p>
    <w:p w14:paraId="4DAE2DA7" w14:textId="77777777" w:rsidR="009A4C46" w:rsidRPr="00F94FED" w:rsidRDefault="009A4C46" w:rsidP="00F94FED">
      <w:pPr>
        <w:autoSpaceDE w:val="0"/>
        <w:autoSpaceDN w:val="0"/>
        <w:adjustRightInd w:val="0"/>
        <w:spacing w:after="0" w:line="360" w:lineRule="auto"/>
        <w:ind w:firstLine="567"/>
        <w:jc w:val="both"/>
        <w:rPr>
          <w:rFonts w:eastAsia="Times New Roman"/>
          <w:sz w:val="26"/>
          <w:szCs w:val="26"/>
          <w:shd w:val="clear" w:color="auto" w:fill="FFFFFF"/>
          <w:lang w:eastAsia="ru-RU"/>
        </w:rPr>
      </w:pPr>
      <w:r w:rsidRPr="00F94FED">
        <w:rPr>
          <w:rFonts w:eastAsia="Times New Roman"/>
          <w:sz w:val="26"/>
          <w:szCs w:val="26"/>
          <w:shd w:val="clear" w:color="auto" w:fill="FFFFFF"/>
          <w:lang w:eastAsia="ru-RU"/>
        </w:rPr>
        <w:t>Расчет корректировки неподконтрольных расходов по итогам 2017 год, выполненный Службой по тарифам Республики Тыва, подтвердил правильность расчета АО «Тываэнерго». Регулирующим органом учтена в составе НВВ 2019 года корректировка неподконтрольных расходов за 2017 год в размере 196 092 тыс. руб.</w:t>
      </w:r>
    </w:p>
    <w:p w14:paraId="2E1A2F78" w14:textId="77777777" w:rsidR="009A4C46" w:rsidRPr="00F94FED" w:rsidRDefault="009A4C46" w:rsidP="00F94FED">
      <w:pPr>
        <w:autoSpaceDE w:val="0"/>
        <w:autoSpaceDN w:val="0"/>
        <w:adjustRightInd w:val="0"/>
        <w:spacing w:after="0" w:line="360" w:lineRule="auto"/>
        <w:ind w:firstLine="567"/>
        <w:jc w:val="both"/>
        <w:rPr>
          <w:rFonts w:eastAsia="Times New Roman"/>
          <w:sz w:val="26"/>
          <w:szCs w:val="26"/>
          <w:u w:val="single"/>
          <w:lang w:eastAsia="ru-RU"/>
        </w:rPr>
      </w:pPr>
    </w:p>
    <w:p w14:paraId="1E034099" w14:textId="51567384" w:rsidR="009A4C46" w:rsidRPr="00F94FED" w:rsidRDefault="005C4743" w:rsidP="001D2691">
      <w:pPr>
        <w:spacing w:after="0" w:line="360" w:lineRule="auto"/>
        <w:contextualSpacing/>
        <w:jc w:val="both"/>
        <w:rPr>
          <w:rFonts w:eastAsia="Calibri"/>
          <w:b/>
          <w:sz w:val="26"/>
          <w:szCs w:val="26"/>
        </w:rPr>
      </w:pPr>
      <w:r w:rsidRPr="00E169B0">
        <w:rPr>
          <w:rFonts w:eastAsia="Calibri"/>
          <w:b/>
          <w:bCs/>
          <w:sz w:val="26"/>
          <w:szCs w:val="26"/>
        </w:rPr>
        <w:t>ПОЗИЦИЯ ИСПОЛНИТЕЛЯ</w:t>
      </w:r>
    </w:p>
    <w:p w14:paraId="7DD1EFF7" w14:textId="1E49C5C1" w:rsidR="009A4C46" w:rsidRPr="00F94FED" w:rsidRDefault="009A4C46" w:rsidP="00F94FED">
      <w:pPr>
        <w:autoSpaceDE w:val="0"/>
        <w:autoSpaceDN w:val="0"/>
        <w:adjustRightInd w:val="0"/>
        <w:spacing w:after="0" w:line="360" w:lineRule="auto"/>
        <w:ind w:firstLine="567"/>
        <w:jc w:val="both"/>
        <w:rPr>
          <w:rFonts w:eastAsia="Times New Roman"/>
          <w:sz w:val="26"/>
          <w:szCs w:val="26"/>
          <w:lang w:eastAsia="ru-RU"/>
        </w:rPr>
      </w:pPr>
      <w:r w:rsidRPr="00F94FED">
        <w:rPr>
          <w:rFonts w:eastAsia="Times New Roman"/>
          <w:sz w:val="26"/>
          <w:szCs w:val="26"/>
          <w:lang w:eastAsia="ru-RU"/>
        </w:rPr>
        <w:t>Исполнителем проведен</w:t>
      </w:r>
      <w:r w:rsidR="00EA7790">
        <w:rPr>
          <w:rFonts w:eastAsia="Times New Roman"/>
          <w:sz w:val="26"/>
          <w:szCs w:val="26"/>
          <w:lang w:eastAsia="ru-RU"/>
        </w:rPr>
        <w:t xml:space="preserve">о сравнение утвержденных и фактических </w:t>
      </w:r>
      <w:r w:rsidRPr="00F94FED">
        <w:rPr>
          <w:rFonts w:eastAsia="Times New Roman"/>
          <w:sz w:val="26"/>
          <w:szCs w:val="26"/>
          <w:lang w:eastAsia="ru-RU"/>
        </w:rPr>
        <w:t xml:space="preserve"> неподконтрольных расходов за 2017 год.</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23"/>
        <w:gridCol w:w="1222"/>
        <w:gridCol w:w="1420"/>
        <w:gridCol w:w="1420"/>
        <w:gridCol w:w="1460"/>
      </w:tblGrid>
      <w:tr w:rsidR="009A4C46" w:rsidRPr="00874840" w14:paraId="15C0F548" w14:textId="77777777" w:rsidTr="00874840">
        <w:trPr>
          <w:trHeight w:val="20"/>
          <w:tblHeader/>
        </w:trPr>
        <w:tc>
          <w:tcPr>
            <w:tcW w:w="204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79EFD462" w14:textId="77777777" w:rsidR="009A4C46" w:rsidRPr="00874840" w:rsidRDefault="009A4C46" w:rsidP="009A4C46">
            <w:pPr>
              <w:contextualSpacing/>
              <w:jc w:val="center"/>
              <w:rPr>
                <w:rFonts w:eastAsia="Calibri"/>
                <w:color w:val="FFFFFF"/>
              </w:rPr>
            </w:pPr>
            <w:r w:rsidRPr="00874840">
              <w:rPr>
                <w:rFonts w:eastAsia="Calibri"/>
                <w:b/>
                <w:color w:val="FFFFFF"/>
              </w:rPr>
              <w:t>Показатель</w:t>
            </w:r>
          </w:p>
        </w:tc>
        <w:tc>
          <w:tcPr>
            <w:tcW w:w="65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tcPr>
          <w:p w14:paraId="00B3A4F9" w14:textId="77777777" w:rsidR="009A4C46" w:rsidRPr="00874840" w:rsidRDefault="009A4C46" w:rsidP="009A4C46">
            <w:pPr>
              <w:contextualSpacing/>
              <w:jc w:val="center"/>
              <w:rPr>
                <w:rFonts w:eastAsia="Calibri"/>
                <w:color w:val="FFFFFF"/>
              </w:rPr>
            </w:pPr>
            <w:r w:rsidRPr="00874840">
              <w:rPr>
                <w:rFonts w:eastAsia="Calibri"/>
                <w:b/>
                <w:color w:val="FFFFFF"/>
              </w:rPr>
              <w:t>Ед. изм.</w:t>
            </w:r>
          </w:p>
        </w:tc>
        <w:tc>
          <w:tcPr>
            <w:tcW w:w="7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tcPr>
          <w:p w14:paraId="06CC9131" w14:textId="77777777" w:rsidR="009A4C46" w:rsidRPr="00874840" w:rsidRDefault="009A4C46" w:rsidP="009A4C46">
            <w:pPr>
              <w:contextualSpacing/>
              <w:jc w:val="center"/>
              <w:rPr>
                <w:rFonts w:eastAsia="Calibri"/>
                <w:color w:val="FFFFFF"/>
              </w:rPr>
            </w:pPr>
            <w:r w:rsidRPr="00874840">
              <w:rPr>
                <w:rFonts w:eastAsia="Calibri"/>
                <w:b/>
                <w:color w:val="FFFFFF"/>
              </w:rPr>
              <w:t>план</w:t>
            </w:r>
          </w:p>
        </w:tc>
        <w:tc>
          <w:tcPr>
            <w:tcW w:w="7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tcPr>
          <w:p w14:paraId="70EAC922" w14:textId="77777777" w:rsidR="009A4C46" w:rsidRPr="00874840" w:rsidRDefault="009A4C46" w:rsidP="009A4C46">
            <w:pPr>
              <w:contextualSpacing/>
              <w:jc w:val="center"/>
              <w:rPr>
                <w:rFonts w:eastAsia="Calibri"/>
                <w:color w:val="FFFFFF"/>
              </w:rPr>
            </w:pPr>
            <w:r w:rsidRPr="00874840">
              <w:rPr>
                <w:rFonts w:eastAsia="Calibri"/>
                <w:b/>
                <w:color w:val="FFFFFF"/>
              </w:rPr>
              <w:t>факт</w:t>
            </w:r>
          </w:p>
        </w:tc>
        <w:tc>
          <w:tcPr>
            <w:tcW w:w="78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tcPr>
          <w:p w14:paraId="7A331BDD" w14:textId="77777777" w:rsidR="009A4C46" w:rsidRPr="00874840" w:rsidRDefault="009A4C46" w:rsidP="009A4C46">
            <w:pPr>
              <w:contextualSpacing/>
              <w:jc w:val="center"/>
              <w:rPr>
                <w:rFonts w:eastAsia="Calibri"/>
                <w:color w:val="FFFFFF"/>
              </w:rPr>
            </w:pPr>
            <w:r w:rsidRPr="00874840">
              <w:rPr>
                <w:rFonts w:eastAsia="Calibri"/>
                <w:b/>
                <w:color w:val="FFFFFF"/>
              </w:rPr>
              <w:t>Отклонение</w:t>
            </w:r>
          </w:p>
        </w:tc>
      </w:tr>
      <w:tr w:rsidR="009A4C46" w:rsidRPr="00874840" w14:paraId="53651C6C" w14:textId="77777777" w:rsidTr="00874840">
        <w:trPr>
          <w:trHeight w:val="20"/>
          <w:tblHeader/>
        </w:trPr>
        <w:tc>
          <w:tcPr>
            <w:tcW w:w="204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268E98B5" w14:textId="77777777" w:rsidR="009A4C46" w:rsidRPr="00874840" w:rsidRDefault="009A4C46" w:rsidP="009A4C46">
            <w:pPr>
              <w:contextualSpacing/>
              <w:jc w:val="center"/>
              <w:rPr>
                <w:rFonts w:eastAsia="Calibri"/>
                <w:color w:val="FFFFFF"/>
              </w:rPr>
            </w:pPr>
            <w:r w:rsidRPr="00874840">
              <w:rPr>
                <w:rFonts w:eastAsia="Calibri"/>
                <w:color w:val="FFFFFF"/>
              </w:rPr>
              <w:t>1</w:t>
            </w:r>
          </w:p>
        </w:tc>
        <w:tc>
          <w:tcPr>
            <w:tcW w:w="65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tcPr>
          <w:p w14:paraId="47853185" w14:textId="77777777" w:rsidR="009A4C46" w:rsidRPr="00874840" w:rsidRDefault="009A4C46" w:rsidP="009A4C46">
            <w:pPr>
              <w:contextualSpacing/>
              <w:jc w:val="center"/>
              <w:rPr>
                <w:rFonts w:eastAsia="Calibri"/>
                <w:color w:val="FFFFFF"/>
              </w:rPr>
            </w:pPr>
            <w:r w:rsidRPr="00874840">
              <w:rPr>
                <w:rFonts w:eastAsia="Calibri"/>
                <w:color w:val="FFFFFF"/>
              </w:rPr>
              <w:t>2</w:t>
            </w:r>
          </w:p>
        </w:tc>
        <w:tc>
          <w:tcPr>
            <w:tcW w:w="7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tcPr>
          <w:p w14:paraId="5BC98605" w14:textId="77777777" w:rsidR="009A4C46" w:rsidRPr="00874840" w:rsidRDefault="009A4C46" w:rsidP="009A4C46">
            <w:pPr>
              <w:contextualSpacing/>
              <w:jc w:val="center"/>
              <w:rPr>
                <w:rFonts w:eastAsia="Calibri"/>
                <w:color w:val="FFFFFF"/>
              </w:rPr>
            </w:pPr>
            <w:r w:rsidRPr="00874840">
              <w:rPr>
                <w:rFonts w:eastAsia="Calibri"/>
                <w:color w:val="FFFFFF"/>
              </w:rPr>
              <w:t>3</w:t>
            </w:r>
          </w:p>
        </w:tc>
        <w:tc>
          <w:tcPr>
            <w:tcW w:w="7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tcPr>
          <w:p w14:paraId="5D274B53" w14:textId="77777777" w:rsidR="009A4C46" w:rsidRPr="00874840" w:rsidRDefault="009A4C46" w:rsidP="009A4C46">
            <w:pPr>
              <w:contextualSpacing/>
              <w:jc w:val="center"/>
              <w:rPr>
                <w:rFonts w:eastAsia="Calibri"/>
                <w:color w:val="FFFFFF"/>
              </w:rPr>
            </w:pPr>
            <w:r w:rsidRPr="00874840">
              <w:rPr>
                <w:rFonts w:eastAsia="Calibri"/>
                <w:color w:val="FFFFFF"/>
              </w:rPr>
              <w:t>4</w:t>
            </w:r>
          </w:p>
        </w:tc>
        <w:tc>
          <w:tcPr>
            <w:tcW w:w="78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tcPr>
          <w:p w14:paraId="4781A35E" w14:textId="77777777" w:rsidR="009A4C46" w:rsidRPr="00874840" w:rsidRDefault="009A4C46" w:rsidP="009A4C46">
            <w:pPr>
              <w:contextualSpacing/>
              <w:jc w:val="center"/>
              <w:rPr>
                <w:rFonts w:eastAsia="Calibri"/>
                <w:color w:val="FFFFFF"/>
              </w:rPr>
            </w:pPr>
            <w:r w:rsidRPr="00874840">
              <w:rPr>
                <w:rFonts w:eastAsia="Calibri"/>
                <w:color w:val="FFFFFF"/>
              </w:rPr>
              <w:t>5</w:t>
            </w:r>
          </w:p>
        </w:tc>
      </w:tr>
      <w:tr w:rsidR="009A4C46" w:rsidRPr="009A4C46" w14:paraId="1364912D" w14:textId="77777777" w:rsidTr="00874840">
        <w:trPr>
          <w:trHeight w:val="20"/>
        </w:trPr>
        <w:tc>
          <w:tcPr>
            <w:tcW w:w="2045" w:type="pct"/>
            <w:tcBorders>
              <w:top w:val="single" w:sz="4" w:space="0" w:color="FFFFFF" w:themeColor="background1"/>
            </w:tcBorders>
            <w:vAlign w:val="center"/>
          </w:tcPr>
          <w:p w14:paraId="69003BD1" w14:textId="77777777" w:rsidR="009A4C46" w:rsidRPr="009A4C46" w:rsidRDefault="009A4C46" w:rsidP="009A4C46">
            <w:pPr>
              <w:contextualSpacing/>
              <w:rPr>
                <w:rFonts w:eastAsia="Calibri"/>
                <w:b/>
              </w:rPr>
            </w:pPr>
            <w:r w:rsidRPr="009A4C46">
              <w:rPr>
                <w:rFonts w:eastAsia="Calibri"/>
                <w:b/>
              </w:rPr>
              <w:t>Неподконтрольные расходы, включенные в НВВ, всего</w:t>
            </w:r>
          </w:p>
        </w:tc>
        <w:tc>
          <w:tcPr>
            <w:tcW w:w="654" w:type="pct"/>
            <w:tcBorders>
              <w:top w:val="single" w:sz="4" w:space="0" w:color="FFFFFF" w:themeColor="background1"/>
            </w:tcBorders>
            <w:noWrap/>
            <w:vAlign w:val="center"/>
          </w:tcPr>
          <w:p w14:paraId="49039FEF" w14:textId="77777777" w:rsidR="009A4C46" w:rsidRPr="009A4C46" w:rsidRDefault="009A4C46" w:rsidP="009A4C46">
            <w:pPr>
              <w:contextualSpacing/>
              <w:jc w:val="center"/>
              <w:rPr>
                <w:rFonts w:eastAsia="Calibri"/>
                <w:b/>
              </w:rPr>
            </w:pPr>
            <w:r w:rsidRPr="009A4C46">
              <w:rPr>
                <w:rFonts w:eastAsia="Calibri"/>
                <w:b/>
              </w:rPr>
              <w:t>тыс. руб.</w:t>
            </w:r>
          </w:p>
        </w:tc>
        <w:tc>
          <w:tcPr>
            <w:tcW w:w="760" w:type="pct"/>
            <w:tcBorders>
              <w:top w:val="single" w:sz="4" w:space="0" w:color="FFFFFF" w:themeColor="background1"/>
            </w:tcBorders>
            <w:noWrap/>
            <w:vAlign w:val="center"/>
          </w:tcPr>
          <w:p w14:paraId="2B1B79F4" w14:textId="77777777" w:rsidR="009A4C46" w:rsidRPr="009A4C46" w:rsidRDefault="009A4C46" w:rsidP="009A4C46">
            <w:pPr>
              <w:contextualSpacing/>
              <w:jc w:val="center"/>
              <w:rPr>
                <w:rFonts w:eastAsia="Calibri"/>
                <w:b/>
              </w:rPr>
            </w:pPr>
            <w:r w:rsidRPr="009A4C46">
              <w:rPr>
                <w:rFonts w:eastAsia="Calibri"/>
                <w:b/>
              </w:rPr>
              <w:t>559 723</w:t>
            </w:r>
          </w:p>
        </w:tc>
        <w:tc>
          <w:tcPr>
            <w:tcW w:w="760" w:type="pct"/>
            <w:tcBorders>
              <w:top w:val="single" w:sz="4" w:space="0" w:color="FFFFFF" w:themeColor="background1"/>
            </w:tcBorders>
            <w:noWrap/>
            <w:vAlign w:val="center"/>
          </w:tcPr>
          <w:p w14:paraId="58224F38" w14:textId="77777777" w:rsidR="009A4C46" w:rsidRPr="009A4C46" w:rsidRDefault="009A4C46" w:rsidP="009A4C46">
            <w:pPr>
              <w:contextualSpacing/>
              <w:jc w:val="center"/>
              <w:rPr>
                <w:rFonts w:eastAsia="Calibri"/>
                <w:b/>
              </w:rPr>
            </w:pPr>
            <w:r w:rsidRPr="009A4C46">
              <w:rPr>
                <w:rFonts w:eastAsia="Calibri"/>
                <w:b/>
              </w:rPr>
              <w:t>744 431</w:t>
            </w:r>
          </w:p>
        </w:tc>
        <w:tc>
          <w:tcPr>
            <w:tcW w:w="781" w:type="pct"/>
            <w:tcBorders>
              <w:top w:val="single" w:sz="4" w:space="0" w:color="FFFFFF" w:themeColor="background1"/>
            </w:tcBorders>
            <w:noWrap/>
            <w:vAlign w:val="center"/>
          </w:tcPr>
          <w:p w14:paraId="3745FF6C" w14:textId="77777777" w:rsidR="009A4C46" w:rsidRPr="009A4C46" w:rsidRDefault="009A4C46" w:rsidP="009A4C46">
            <w:pPr>
              <w:contextualSpacing/>
              <w:jc w:val="center"/>
              <w:rPr>
                <w:rFonts w:eastAsia="Calibri"/>
                <w:b/>
              </w:rPr>
            </w:pPr>
            <w:r w:rsidRPr="009A4C46">
              <w:rPr>
                <w:rFonts w:eastAsia="Calibri"/>
                <w:b/>
              </w:rPr>
              <w:t>184 708</w:t>
            </w:r>
          </w:p>
        </w:tc>
      </w:tr>
      <w:tr w:rsidR="009A4C46" w:rsidRPr="009A4C46" w14:paraId="3A86187D" w14:textId="77777777" w:rsidTr="00874840">
        <w:trPr>
          <w:trHeight w:val="20"/>
        </w:trPr>
        <w:tc>
          <w:tcPr>
            <w:tcW w:w="2045" w:type="pct"/>
            <w:vAlign w:val="center"/>
            <w:hideMark/>
          </w:tcPr>
          <w:p w14:paraId="14223501" w14:textId="77777777" w:rsidR="009A4C46" w:rsidRPr="009A4C46" w:rsidRDefault="009A4C46" w:rsidP="009A4C46">
            <w:pPr>
              <w:contextualSpacing/>
              <w:rPr>
                <w:rFonts w:eastAsia="Calibri"/>
              </w:rPr>
            </w:pPr>
            <w:r w:rsidRPr="009A4C46">
              <w:rPr>
                <w:rFonts w:eastAsia="Calibri"/>
              </w:rPr>
              <w:t>Оплата услуг ПАО «ФСК ЕЭС»</w:t>
            </w:r>
          </w:p>
        </w:tc>
        <w:tc>
          <w:tcPr>
            <w:tcW w:w="654" w:type="pct"/>
            <w:noWrap/>
            <w:vAlign w:val="center"/>
            <w:hideMark/>
          </w:tcPr>
          <w:p w14:paraId="7F58300A" w14:textId="77777777" w:rsidR="009A4C46" w:rsidRPr="009A4C46" w:rsidRDefault="009A4C46" w:rsidP="009A4C46">
            <w:pPr>
              <w:contextualSpacing/>
              <w:jc w:val="center"/>
              <w:rPr>
                <w:rFonts w:eastAsia="Calibri"/>
              </w:rPr>
            </w:pPr>
            <w:r w:rsidRPr="009A4C46">
              <w:rPr>
                <w:rFonts w:eastAsia="Calibri"/>
              </w:rPr>
              <w:t>тыс. руб.</w:t>
            </w:r>
          </w:p>
        </w:tc>
        <w:tc>
          <w:tcPr>
            <w:tcW w:w="760" w:type="pct"/>
            <w:noWrap/>
            <w:vAlign w:val="center"/>
            <w:hideMark/>
          </w:tcPr>
          <w:p w14:paraId="7537F72D" w14:textId="77777777" w:rsidR="009A4C46" w:rsidRPr="009A4C46" w:rsidRDefault="009A4C46" w:rsidP="009A4C46">
            <w:pPr>
              <w:contextualSpacing/>
              <w:jc w:val="center"/>
              <w:rPr>
                <w:rFonts w:eastAsia="Calibri"/>
              </w:rPr>
            </w:pPr>
            <w:r w:rsidRPr="009A4C46">
              <w:rPr>
                <w:rFonts w:eastAsia="Calibri"/>
              </w:rPr>
              <w:t>202 527</w:t>
            </w:r>
          </w:p>
        </w:tc>
        <w:tc>
          <w:tcPr>
            <w:tcW w:w="760" w:type="pct"/>
            <w:noWrap/>
            <w:vAlign w:val="center"/>
            <w:hideMark/>
          </w:tcPr>
          <w:p w14:paraId="7F1269D0" w14:textId="77777777" w:rsidR="009A4C46" w:rsidRPr="009A4C46" w:rsidRDefault="009A4C46" w:rsidP="009A4C46">
            <w:pPr>
              <w:contextualSpacing/>
              <w:jc w:val="center"/>
              <w:rPr>
                <w:rFonts w:eastAsia="Calibri"/>
              </w:rPr>
            </w:pPr>
            <w:r w:rsidRPr="009A4C46">
              <w:rPr>
                <w:rFonts w:eastAsia="Calibri"/>
              </w:rPr>
              <w:t>209 935</w:t>
            </w:r>
          </w:p>
        </w:tc>
        <w:tc>
          <w:tcPr>
            <w:tcW w:w="781" w:type="pct"/>
            <w:noWrap/>
            <w:vAlign w:val="center"/>
            <w:hideMark/>
          </w:tcPr>
          <w:p w14:paraId="00724322" w14:textId="77777777" w:rsidR="009A4C46" w:rsidRPr="009A4C46" w:rsidRDefault="009A4C46" w:rsidP="009A4C46">
            <w:pPr>
              <w:contextualSpacing/>
              <w:jc w:val="center"/>
              <w:rPr>
                <w:rFonts w:eastAsia="Calibri"/>
              </w:rPr>
            </w:pPr>
            <w:r w:rsidRPr="009A4C46">
              <w:rPr>
                <w:rFonts w:eastAsia="Calibri"/>
              </w:rPr>
              <w:t>7 408</w:t>
            </w:r>
          </w:p>
        </w:tc>
      </w:tr>
      <w:tr w:rsidR="009A4C46" w:rsidRPr="009A4C46" w14:paraId="72943AFA" w14:textId="77777777" w:rsidTr="00874840">
        <w:trPr>
          <w:trHeight w:val="20"/>
        </w:trPr>
        <w:tc>
          <w:tcPr>
            <w:tcW w:w="2045" w:type="pct"/>
            <w:vAlign w:val="center"/>
            <w:hideMark/>
          </w:tcPr>
          <w:p w14:paraId="45664289" w14:textId="77777777" w:rsidR="009A4C46" w:rsidRPr="009A4C46" w:rsidRDefault="009A4C46" w:rsidP="009A4C46">
            <w:pPr>
              <w:contextualSpacing/>
              <w:rPr>
                <w:rFonts w:eastAsia="Calibri"/>
              </w:rPr>
            </w:pPr>
            <w:r w:rsidRPr="009A4C46">
              <w:rPr>
                <w:rFonts w:eastAsia="Calibri"/>
              </w:rPr>
              <w:t>Плата за аренду имущества</w:t>
            </w:r>
          </w:p>
        </w:tc>
        <w:tc>
          <w:tcPr>
            <w:tcW w:w="654" w:type="pct"/>
            <w:noWrap/>
            <w:vAlign w:val="center"/>
            <w:hideMark/>
          </w:tcPr>
          <w:p w14:paraId="7F135FE0" w14:textId="77777777" w:rsidR="009A4C46" w:rsidRPr="009A4C46" w:rsidRDefault="009A4C46" w:rsidP="009A4C46">
            <w:pPr>
              <w:contextualSpacing/>
              <w:jc w:val="center"/>
              <w:rPr>
                <w:rFonts w:eastAsia="Calibri"/>
              </w:rPr>
            </w:pPr>
            <w:r w:rsidRPr="009A4C46">
              <w:rPr>
                <w:rFonts w:eastAsia="Calibri"/>
              </w:rPr>
              <w:t>тыс. руб.</w:t>
            </w:r>
          </w:p>
        </w:tc>
        <w:tc>
          <w:tcPr>
            <w:tcW w:w="760" w:type="pct"/>
            <w:noWrap/>
            <w:vAlign w:val="center"/>
            <w:hideMark/>
          </w:tcPr>
          <w:p w14:paraId="255219F9" w14:textId="77777777" w:rsidR="009A4C46" w:rsidRPr="009A4C46" w:rsidRDefault="009A4C46" w:rsidP="009A4C46">
            <w:pPr>
              <w:contextualSpacing/>
              <w:jc w:val="center"/>
              <w:rPr>
                <w:rFonts w:eastAsia="Calibri"/>
              </w:rPr>
            </w:pPr>
            <w:r w:rsidRPr="009A4C46">
              <w:rPr>
                <w:rFonts w:eastAsia="Calibri"/>
              </w:rPr>
              <w:t>20 881</w:t>
            </w:r>
          </w:p>
        </w:tc>
        <w:tc>
          <w:tcPr>
            <w:tcW w:w="760" w:type="pct"/>
            <w:noWrap/>
            <w:vAlign w:val="center"/>
            <w:hideMark/>
          </w:tcPr>
          <w:p w14:paraId="59BB3A33" w14:textId="77777777" w:rsidR="009A4C46" w:rsidRPr="009A4C46" w:rsidRDefault="009A4C46" w:rsidP="009A4C46">
            <w:pPr>
              <w:contextualSpacing/>
              <w:jc w:val="center"/>
              <w:rPr>
                <w:rFonts w:eastAsia="Calibri"/>
              </w:rPr>
            </w:pPr>
            <w:r w:rsidRPr="009A4C46">
              <w:rPr>
                <w:rFonts w:eastAsia="Calibri"/>
              </w:rPr>
              <w:t>13 956</w:t>
            </w:r>
          </w:p>
        </w:tc>
        <w:tc>
          <w:tcPr>
            <w:tcW w:w="781" w:type="pct"/>
            <w:noWrap/>
            <w:vAlign w:val="center"/>
            <w:hideMark/>
          </w:tcPr>
          <w:p w14:paraId="7EB4A112" w14:textId="77777777" w:rsidR="009A4C46" w:rsidRPr="009A4C46" w:rsidRDefault="009A4C46" w:rsidP="009A4C46">
            <w:pPr>
              <w:contextualSpacing/>
              <w:jc w:val="center"/>
              <w:rPr>
                <w:rFonts w:eastAsia="Calibri"/>
              </w:rPr>
            </w:pPr>
            <w:r w:rsidRPr="009A4C46">
              <w:rPr>
                <w:rFonts w:eastAsia="Calibri"/>
              </w:rPr>
              <w:t>-6 925</w:t>
            </w:r>
          </w:p>
        </w:tc>
      </w:tr>
      <w:tr w:rsidR="009A4C46" w:rsidRPr="009A4C46" w14:paraId="65FEA31D" w14:textId="77777777" w:rsidTr="00874840">
        <w:trPr>
          <w:trHeight w:val="20"/>
        </w:trPr>
        <w:tc>
          <w:tcPr>
            <w:tcW w:w="2045" w:type="pct"/>
            <w:vAlign w:val="center"/>
            <w:hideMark/>
          </w:tcPr>
          <w:p w14:paraId="3BA78A5F" w14:textId="77777777" w:rsidR="009A4C46" w:rsidRPr="009A4C46" w:rsidRDefault="009A4C46" w:rsidP="009A4C46">
            <w:pPr>
              <w:contextualSpacing/>
              <w:rPr>
                <w:rFonts w:eastAsia="Calibri"/>
              </w:rPr>
            </w:pPr>
            <w:r w:rsidRPr="009A4C46">
              <w:rPr>
                <w:rFonts w:eastAsia="Calibri"/>
              </w:rPr>
              <w:t>Отчисления на социальные нужды</w:t>
            </w:r>
          </w:p>
        </w:tc>
        <w:tc>
          <w:tcPr>
            <w:tcW w:w="654" w:type="pct"/>
            <w:noWrap/>
            <w:vAlign w:val="center"/>
            <w:hideMark/>
          </w:tcPr>
          <w:p w14:paraId="25743A9A" w14:textId="77777777" w:rsidR="009A4C46" w:rsidRPr="009A4C46" w:rsidRDefault="009A4C46" w:rsidP="009A4C46">
            <w:pPr>
              <w:contextualSpacing/>
              <w:jc w:val="center"/>
              <w:rPr>
                <w:rFonts w:eastAsia="Calibri"/>
              </w:rPr>
            </w:pPr>
            <w:r w:rsidRPr="009A4C46">
              <w:rPr>
                <w:rFonts w:eastAsia="Calibri"/>
              </w:rPr>
              <w:t>тыс. руб.</w:t>
            </w:r>
          </w:p>
        </w:tc>
        <w:tc>
          <w:tcPr>
            <w:tcW w:w="760" w:type="pct"/>
            <w:noWrap/>
            <w:vAlign w:val="center"/>
            <w:hideMark/>
          </w:tcPr>
          <w:p w14:paraId="76F8E27C" w14:textId="77777777" w:rsidR="009A4C46" w:rsidRPr="009A4C46" w:rsidRDefault="009A4C46" w:rsidP="009A4C46">
            <w:pPr>
              <w:contextualSpacing/>
              <w:jc w:val="center"/>
              <w:rPr>
                <w:rFonts w:eastAsia="Calibri"/>
              </w:rPr>
            </w:pPr>
            <w:r w:rsidRPr="009A4C46">
              <w:rPr>
                <w:rFonts w:eastAsia="Calibri"/>
              </w:rPr>
              <w:t>106 014</w:t>
            </w:r>
          </w:p>
        </w:tc>
        <w:tc>
          <w:tcPr>
            <w:tcW w:w="760" w:type="pct"/>
            <w:noWrap/>
            <w:vAlign w:val="center"/>
            <w:hideMark/>
          </w:tcPr>
          <w:p w14:paraId="4515A642" w14:textId="77777777" w:rsidR="009A4C46" w:rsidRPr="009A4C46" w:rsidRDefault="009A4C46" w:rsidP="009A4C46">
            <w:pPr>
              <w:contextualSpacing/>
              <w:jc w:val="center"/>
              <w:rPr>
                <w:rFonts w:eastAsia="Calibri"/>
              </w:rPr>
            </w:pPr>
            <w:r w:rsidRPr="009A4C46">
              <w:rPr>
                <w:rFonts w:eastAsia="Calibri"/>
              </w:rPr>
              <w:t>88 005</w:t>
            </w:r>
          </w:p>
        </w:tc>
        <w:tc>
          <w:tcPr>
            <w:tcW w:w="781" w:type="pct"/>
            <w:noWrap/>
            <w:vAlign w:val="center"/>
            <w:hideMark/>
          </w:tcPr>
          <w:p w14:paraId="6A980B83" w14:textId="77777777" w:rsidR="009A4C46" w:rsidRPr="009A4C46" w:rsidRDefault="009A4C46" w:rsidP="009A4C46">
            <w:pPr>
              <w:contextualSpacing/>
              <w:jc w:val="center"/>
              <w:rPr>
                <w:rFonts w:eastAsia="Calibri"/>
              </w:rPr>
            </w:pPr>
            <w:r w:rsidRPr="009A4C46">
              <w:rPr>
                <w:rFonts w:eastAsia="Calibri"/>
              </w:rPr>
              <w:t>-18 009</w:t>
            </w:r>
          </w:p>
        </w:tc>
      </w:tr>
      <w:tr w:rsidR="009A4C46" w:rsidRPr="009A4C46" w14:paraId="394FF0DC" w14:textId="77777777" w:rsidTr="00874840">
        <w:trPr>
          <w:trHeight w:val="20"/>
        </w:trPr>
        <w:tc>
          <w:tcPr>
            <w:tcW w:w="2045" w:type="pct"/>
            <w:vAlign w:val="center"/>
            <w:hideMark/>
          </w:tcPr>
          <w:p w14:paraId="74C47968" w14:textId="0F34511C" w:rsidR="009A4C46" w:rsidRPr="009009FA" w:rsidRDefault="009A4C46" w:rsidP="009A4C46">
            <w:pPr>
              <w:contextualSpacing/>
              <w:rPr>
                <w:rFonts w:eastAsia="Calibri"/>
                <w:color w:val="0000CC"/>
              </w:rPr>
            </w:pPr>
            <w:r w:rsidRPr="009A4C46">
              <w:rPr>
                <w:rFonts w:eastAsia="Calibri"/>
              </w:rPr>
              <w:t>Амортизация</w:t>
            </w:r>
            <w:r w:rsidR="00992FD6">
              <w:rPr>
                <w:rFonts w:eastAsia="Calibri"/>
              </w:rPr>
              <w:t xml:space="preserve"> </w:t>
            </w:r>
          </w:p>
        </w:tc>
        <w:tc>
          <w:tcPr>
            <w:tcW w:w="654" w:type="pct"/>
            <w:noWrap/>
            <w:vAlign w:val="center"/>
            <w:hideMark/>
          </w:tcPr>
          <w:p w14:paraId="30727DDF" w14:textId="77777777" w:rsidR="009A4C46" w:rsidRPr="009A4C46" w:rsidRDefault="009A4C46" w:rsidP="009A4C46">
            <w:pPr>
              <w:contextualSpacing/>
              <w:jc w:val="center"/>
              <w:rPr>
                <w:rFonts w:eastAsia="Calibri"/>
              </w:rPr>
            </w:pPr>
            <w:r w:rsidRPr="009A4C46">
              <w:rPr>
                <w:rFonts w:eastAsia="Calibri"/>
              </w:rPr>
              <w:t>тыс. руб.</w:t>
            </w:r>
          </w:p>
        </w:tc>
        <w:tc>
          <w:tcPr>
            <w:tcW w:w="760" w:type="pct"/>
            <w:noWrap/>
            <w:vAlign w:val="center"/>
            <w:hideMark/>
          </w:tcPr>
          <w:p w14:paraId="3353ADDA" w14:textId="77777777" w:rsidR="009A4C46" w:rsidRPr="009A4C46" w:rsidRDefault="009A4C46" w:rsidP="009A4C46">
            <w:pPr>
              <w:contextualSpacing/>
              <w:jc w:val="center"/>
              <w:rPr>
                <w:rFonts w:eastAsia="Calibri"/>
              </w:rPr>
            </w:pPr>
            <w:r w:rsidRPr="009A4C46">
              <w:rPr>
                <w:rFonts w:eastAsia="Calibri"/>
              </w:rPr>
              <w:t>78 756</w:t>
            </w:r>
          </w:p>
        </w:tc>
        <w:tc>
          <w:tcPr>
            <w:tcW w:w="760" w:type="pct"/>
            <w:noWrap/>
            <w:vAlign w:val="center"/>
            <w:hideMark/>
          </w:tcPr>
          <w:p w14:paraId="2C4155DE" w14:textId="77777777" w:rsidR="009A4C46" w:rsidRPr="009A4C46" w:rsidRDefault="009A4C46" w:rsidP="009A4C46">
            <w:pPr>
              <w:contextualSpacing/>
              <w:jc w:val="center"/>
              <w:rPr>
                <w:rFonts w:eastAsia="Calibri"/>
              </w:rPr>
            </w:pPr>
            <w:r w:rsidRPr="009A4C46">
              <w:rPr>
                <w:rFonts w:eastAsia="Calibri"/>
              </w:rPr>
              <w:t>73 340</w:t>
            </w:r>
          </w:p>
        </w:tc>
        <w:tc>
          <w:tcPr>
            <w:tcW w:w="781" w:type="pct"/>
            <w:noWrap/>
            <w:vAlign w:val="center"/>
            <w:hideMark/>
          </w:tcPr>
          <w:p w14:paraId="6187FF09" w14:textId="77777777" w:rsidR="009A4C46" w:rsidRPr="009A4C46" w:rsidRDefault="009A4C46" w:rsidP="009A4C46">
            <w:pPr>
              <w:contextualSpacing/>
              <w:jc w:val="center"/>
              <w:rPr>
                <w:rFonts w:eastAsia="Calibri"/>
              </w:rPr>
            </w:pPr>
            <w:r w:rsidRPr="009A4C46">
              <w:rPr>
                <w:rFonts w:eastAsia="Calibri"/>
              </w:rPr>
              <w:t>-5 416</w:t>
            </w:r>
          </w:p>
        </w:tc>
      </w:tr>
      <w:tr w:rsidR="009A4C46" w:rsidRPr="009A4C46" w14:paraId="5311A81F" w14:textId="77777777" w:rsidTr="00874840">
        <w:trPr>
          <w:trHeight w:val="20"/>
        </w:trPr>
        <w:tc>
          <w:tcPr>
            <w:tcW w:w="2045" w:type="pct"/>
            <w:vAlign w:val="center"/>
            <w:hideMark/>
          </w:tcPr>
          <w:p w14:paraId="4AD7F3AD" w14:textId="77777777" w:rsidR="009A4C46" w:rsidRPr="009A4C46" w:rsidRDefault="009A4C46" w:rsidP="009A4C46">
            <w:pPr>
              <w:contextualSpacing/>
              <w:rPr>
                <w:rFonts w:eastAsia="Calibri"/>
              </w:rPr>
            </w:pPr>
            <w:r w:rsidRPr="009A4C46">
              <w:rPr>
                <w:rFonts w:eastAsia="Calibri"/>
              </w:rPr>
              <w:t>Прибыль на капитальные вложения</w:t>
            </w:r>
          </w:p>
        </w:tc>
        <w:tc>
          <w:tcPr>
            <w:tcW w:w="654" w:type="pct"/>
            <w:noWrap/>
            <w:vAlign w:val="center"/>
            <w:hideMark/>
          </w:tcPr>
          <w:p w14:paraId="59ABFFD3" w14:textId="77777777" w:rsidR="009A4C46" w:rsidRPr="009A4C46" w:rsidRDefault="009A4C46" w:rsidP="009A4C46">
            <w:pPr>
              <w:contextualSpacing/>
              <w:jc w:val="center"/>
              <w:rPr>
                <w:rFonts w:eastAsia="Calibri"/>
              </w:rPr>
            </w:pPr>
            <w:r w:rsidRPr="009A4C46">
              <w:rPr>
                <w:rFonts w:eastAsia="Calibri"/>
              </w:rPr>
              <w:t>тыс. руб.</w:t>
            </w:r>
          </w:p>
        </w:tc>
        <w:tc>
          <w:tcPr>
            <w:tcW w:w="760" w:type="pct"/>
            <w:noWrap/>
            <w:vAlign w:val="center"/>
            <w:hideMark/>
          </w:tcPr>
          <w:p w14:paraId="36822289" w14:textId="77777777" w:rsidR="009A4C46" w:rsidRPr="009A4C46" w:rsidRDefault="009A4C46" w:rsidP="009A4C46">
            <w:pPr>
              <w:contextualSpacing/>
              <w:jc w:val="center"/>
              <w:rPr>
                <w:rFonts w:eastAsia="Calibri"/>
                <w:lang w:val="en-US"/>
              </w:rPr>
            </w:pPr>
            <w:r w:rsidRPr="009A4C46">
              <w:rPr>
                <w:rFonts w:eastAsia="Calibri"/>
                <w:lang w:val="en-US"/>
              </w:rPr>
              <w:t>-</w:t>
            </w:r>
          </w:p>
        </w:tc>
        <w:tc>
          <w:tcPr>
            <w:tcW w:w="760" w:type="pct"/>
            <w:noWrap/>
            <w:vAlign w:val="center"/>
            <w:hideMark/>
          </w:tcPr>
          <w:p w14:paraId="3973B64A" w14:textId="77777777" w:rsidR="009A4C46" w:rsidRPr="009A4C46" w:rsidRDefault="009A4C46" w:rsidP="009A4C46">
            <w:pPr>
              <w:contextualSpacing/>
              <w:jc w:val="center"/>
              <w:rPr>
                <w:rFonts w:eastAsia="Calibri"/>
                <w:lang w:val="en-US"/>
              </w:rPr>
            </w:pPr>
            <w:r w:rsidRPr="009A4C46">
              <w:rPr>
                <w:rFonts w:eastAsia="Calibri"/>
                <w:lang w:val="en-US"/>
              </w:rPr>
              <w:t>-</w:t>
            </w:r>
          </w:p>
        </w:tc>
        <w:tc>
          <w:tcPr>
            <w:tcW w:w="781" w:type="pct"/>
            <w:noWrap/>
            <w:vAlign w:val="center"/>
            <w:hideMark/>
          </w:tcPr>
          <w:p w14:paraId="27250A87" w14:textId="77777777" w:rsidR="009A4C46" w:rsidRPr="009A4C46" w:rsidRDefault="009A4C46" w:rsidP="009A4C46">
            <w:pPr>
              <w:contextualSpacing/>
              <w:jc w:val="center"/>
              <w:rPr>
                <w:rFonts w:eastAsia="Calibri"/>
              </w:rPr>
            </w:pPr>
            <w:r w:rsidRPr="009A4C46">
              <w:rPr>
                <w:rFonts w:eastAsia="Calibri"/>
              </w:rPr>
              <w:t>0</w:t>
            </w:r>
          </w:p>
        </w:tc>
      </w:tr>
      <w:tr w:rsidR="009A4C46" w:rsidRPr="009A4C46" w14:paraId="1197A5F7" w14:textId="77777777" w:rsidTr="00874840">
        <w:trPr>
          <w:trHeight w:val="20"/>
        </w:trPr>
        <w:tc>
          <w:tcPr>
            <w:tcW w:w="2045" w:type="pct"/>
            <w:vAlign w:val="center"/>
            <w:hideMark/>
          </w:tcPr>
          <w:p w14:paraId="676B8740" w14:textId="77777777" w:rsidR="009A4C46" w:rsidRPr="009A4C46" w:rsidRDefault="009A4C46" w:rsidP="009A4C46">
            <w:pPr>
              <w:contextualSpacing/>
              <w:rPr>
                <w:rFonts w:eastAsia="Calibri"/>
              </w:rPr>
            </w:pPr>
            <w:r w:rsidRPr="009A4C46">
              <w:rPr>
                <w:rFonts w:eastAsia="Calibri"/>
              </w:rPr>
              <w:lastRenderedPageBreak/>
              <w:t>Налог на прибыль</w:t>
            </w:r>
          </w:p>
        </w:tc>
        <w:tc>
          <w:tcPr>
            <w:tcW w:w="654" w:type="pct"/>
            <w:noWrap/>
            <w:vAlign w:val="center"/>
            <w:hideMark/>
          </w:tcPr>
          <w:p w14:paraId="233081DC" w14:textId="77777777" w:rsidR="009A4C46" w:rsidRPr="009A4C46" w:rsidRDefault="009A4C46" w:rsidP="009A4C46">
            <w:pPr>
              <w:contextualSpacing/>
              <w:jc w:val="center"/>
              <w:rPr>
                <w:rFonts w:eastAsia="Calibri"/>
              </w:rPr>
            </w:pPr>
            <w:r w:rsidRPr="009A4C46">
              <w:rPr>
                <w:rFonts w:eastAsia="Calibri"/>
              </w:rPr>
              <w:t>тыс. руб.</w:t>
            </w:r>
          </w:p>
        </w:tc>
        <w:tc>
          <w:tcPr>
            <w:tcW w:w="760" w:type="pct"/>
            <w:noWrap/>
            <w:vAlign w:val="center"/>
            <w:hideMark/>
          </w:tcPr>
          <w:p w14:paraId="16F2A612" w14:textId="77777777" w:rsidR="009A4C46" w:rsidRPr="009A4C46" w:rsidRDefault="009A4C46" w:rsidP="009A4C46">
            <w:pPr>
              <w:contextualSpacing/>
              <w:jc w:val="center"/>
              <w:rPr>
                <w:rFonts w:eastAsia="Calibri"/>
              </w:rPr>
            </w:pPr>
            <w:r w:rsidRPr="009A4C46">
              <w:rPr>
                <w:rFonts w:eastAsia="Calibri"/>
              </w:rPr>
              <w:t>11 954</w:t>
            </w:r>
          </w:p>
        </w:tc>
        <w:tc>
          <w:tcPr>
            <w:tcW w:w="760" w:type="pct"/>
            <w:noWrap/>
            <w:vAlign w:val="center"/>
            <w:hideMark/>
          </w:tcPr>
          <w:p w14:paraId="75D9CF83" w14:textId="77777777" w:rsidR="009A4C46" w:rsidRPr="009A4C46" w:rsidRDefault="009A4C46" w:rsidP="009A4C46">
            <w:pPr>
              <w:contextualSpacing/>
              <w:jc w:val="center"/>
              <w:rPr>
                <w:rFonts w:eastAsia="Calibri"/>
              </w:rPr>
            </w:pPr>
            <w:r w:rsidRPr="009A4C46">
              <w:rPr>
                <w:rFonts w:eastAsia="Calibri"/>
              </w:rPr>
              <w:t>0</w:t>
            </w:r>
          </w:p>
        </w:tc>
        <w:tc>
          <w:tcPr>
            <w:tcW w:w="781" w:type="pct"/>
            <w:noWrap/>
            <w:vAlign w:val="center"/>
            <w:hideMark/>
          </w:tcPr>
          <w:p w14:paraId="3FFABFAA" w14:textId="77777777" w:rsidR="009A4C46" w:rsidRPr="009A4C46" w:rsidRDefault="009A4C46" w:rsidP="009A4C46">
            <w:pPr>
              <w:contextualSpacing/>
              <w:jc w:val="center"/>
              <w:rPr>
                <w:rFonts w:eastAsia="Calibri"/>
              </w:rPr>
            </w:pPr>
            <w:r w:rsidRPr="009A4C46">
              <w:rPr>
                <w:rFonts w:eastAsia="Calibri"/>
              </w:rPr>
              <w:t>-11 954</w:t>
            </w:r>
          </w:p>
        </w:tc>
      </w:tr>
      <w:tr w:rsidR="009A4C46" w:rsidRPr="009A4C46" w14:paraId="73EF8754" w14:textId="77777777" w:rsidTr="00874840">
        <w:trPr>
          <w:trHeight w:val="20"/>
        </w:trPr>
        <w:tc>
          <w:tcPr>
            <w:tcW w:w="2045" w:type="pct"/>
            <w:vAlign w:val="center"/>
            <w:hideMark/>
          </w:tcPr>
          <w:p w14:paraId="01C6B9F8" w14:textId="77777777" w:rsidR="009A4C46" w:rsidRPr="009A4C46" w:rsidRDefault="009A4C46" w:rsidP="009A4C46">
            <w:pPr>
              <w:contextualSpacing/>
              <w:rPr>
                <w:rFonts w:eastAsia="Calibri"/>
              </w:rPr>
            </w:pPr>
            <w:r w:rsidRPr="009A4C46">
              <w:rPr>
                <w:rFonts w:eastAsia="Calibri"/>
              </w:rPr>
              <w:t>Прочие налоги</w:t>
            </w:r>
          </w:p>
        </w:tc>
        <w:tc>
          <w:tcPr>
            <w:tcW w:w="654" w:type="pct"/>
            <w:noWrap/>
            <w:vAlign w:val="center"/>
            <w:hideMark/>
          </w:tcPr>
          <w:p w14:paraId="3FD90C47" w14:textId="77777777" w:rsidR="009A4C46" w:rsidRPr="009A4C46" w:rsidRDefault="009A4C46" w:rsidP="009A4C46">
            <w:pPr>
              <w:contextualSpacing/>
              <w:jc w:val="center"/>
              <w:rPr>
                <w:rFonts w:eastAsia="Calibri"/>
              </w:rPr>
            </w:pPr>
            <w:r w:rsidRPr="009A4C46">
              <w:rPr>
                <w:rFonts w:eastAsia="Calibri"/>
              </w:rPr>
              <w:t>тыс. руб.</w:t>
            </w:r>
          </w:p>
        </w:tc>
        <w:tc>
          <w:tcPr>
            <w:tcW w:w="760" w:type="pct"/>
            <w:noWrap/>
            <w:vAlign w:val="center"/>
            <w:hideMark/>
          </w:tcPr>
          <w:p w14:paraId="04B8C795" w14:textId="77777777" w:rsidR="009A4C46" w:rsidRPr="009A4C46" w:rsidRDefault="009A4C46" w:rsidP="009A4C46">
            <w:pPr>
              <w:contextualSpacing/>
              <w:jc w:val="center"/>
              <w:rPr>
                <w:rFonts w:eastAsia="Calibri"/>
              </w:rPr>
            </w:pPr>
            <w:r w:rsidRPr="009A4C46">
              <w:rPr>
                <w:rFonts w:eastAsia="Calibri"/>
              </w:rPr>
              <w:t>9 303</w:t>
            </w:r>
          </w:p>
        </w:tc>
        <w:tc>
          <w:tcPr>
            <w:tcW w:w="760" w:type="pct"/>
            <w:noWrap/>
            <w:vAlign w:val="center"/>
            <w:hideMark/>
          </w:tcPr>
          <w:p w14:paraId="3FCD43B2" w14:textId="77777777" w:rsidR="009A4C46" w:rsidRPr="009A4C46" w:rsidRDefault="009A4C46" w:rsidP="009A4C46">
            <w:pPr>
              <w:contextualSpacing/>
              <w:jc w:val="center"/>
              <w:rPr>
                <w:rFonts w:eastAsia="Calibri"/>
              </w:rPr>
            </w:pPr>
            <w:r w:rsidRPr="009A4C46">
              <w:rPr>
                <w:rFonts w:eastAsia="Calibri"/>
              </w:rPr>
              <w:t>8 947</w:t>
            </w:r>
          </w:p>
        </w:tc>
        <w:tc>
          <w:tcPr>
            <w:tcW w:w="781" w:type="pct"/>
            <w:noWrap/>
            <w:vAlign w:val="center"/>
            <w:hideMark/>
          </w:tcPr>
          <w:p w14:paraId="40AACFB7" w14:textId="77777777" w:rsidR="009A4C46" w:rsidRPr="009A4C46" w:rsidRDefault="009A4C46" w:rsidP="009A4C46">
            <w:pPr>
              <w:contextualSpacing/>
              <w:jc w:val="center"/>
              <w:rPr>
                <w:rFonts w:eastAsia="Calibri"/>
              </w:rPr>
            </w:pPr>
            <w:r w:rsidRPr="009A4C46">
              <w:rPr>
                <w:rFonts w:eastAsia="Calibri"/>
              </w:rPr>
              <w:t>-356</w:t>
            </w:r>
          </w:p>
        </w:tc>
      </w:tr>
      <w:tr w:rsidR="009A4C46" w:rsidRPr="009A4C46" w14:paraId="5F2E9560" w14:textId="77777777" w:rsidTr="00874840">
        <w:trPr>
          <w:trHeight w:val="20"/>
        </w:trPr>
        <w:tc>
          <w:tcPr>
            <w:tcW w:w="2045" w:type="pct"/>
            <w:vAlign w:val="center"/>
            <w:hideMark/>
          </w:tcPr>
          <w:p w14:paraId="47279847" w14:textId="65186A66" w:rsidR="009A4C46" w:rsidRPr="009A4C46" w:rsidRDefault="009A4C46" w:rsidP="009A4C46">
            <w:pPr>
              <w:contextualSpacing/>
              <w:rPr>
                <w:rFonts w:eastAsia="Calibri"/>
              </w:rPr>
            </w:pPr>
            <w:r w:rsidRPr="009A4C46">
              <w:rPr>
                <w:rFonts w:eastAsia="Calibri"/>
              </w:rPr>
              <w:t>Расходы сетевой организации, связанные с осуществлением технологического присоединения к электрическим сетям, не включенные в плату за технологическое присоединение</w:t>
            </w:r>
          </w:p>
        </w:tc>
        <w:tc>
          <w:tcPr>
            <w:tcW w:w="654" w:type="pct"/>
            <w:noWrap/>
            <w:vAlign w:val="center"/>
            <w:hideMark/>
          </w:tcPr>
          <w:p w14:paraId="5509B1E2" w14:textId="77777777" w:rsidR="009A4C46" w:rsidRPr="009A4C46" w:rsidRDefault="009A4C46" w:rsidP="009A4C46">
            <w:pPr>
              <w:contextualSpacing/>
              <w:jc w:val="center"/>
              <w:rPr>
                <w:rFonts w:eastAsia="Calibri"/>
              </w:rPr>
            </w:pPr>
            <w:r w:rsidRPr="009A4C46">
              <w:rPr>
                <w:rFonts w:eastAsia="Calibri"/>
              </w:rPr>
              <w:t>тыс. руб.</w:t>
            </w:r>
          </w:p>
        </w:tc>
        <w:tc>
          <w:tcPr>
            <w:tcW w:w="760" w:type="pct"/>
            <w:noWrap/>
            <w:vAlign w:val="center"/>
            <w:hideMark/>
          </w:tcPr>
          <w:p w14:paraId="6FFA1FFD" w14:textId="77777777" w:rsidR="009A4C46" w:rsidRPr="009A4C46" w:rsidRDefault="009A4C46" w:rsidP="009A4C46">
            <w:pPr>
              <w:contextualSpacing/>
              <w:jc w:val="center"/>
              <w:rPr>
                <w:rFonts w:eastAsia="Calibri"/>
              </w:rPr>
            </w:pPr>
            <w:r w:rsidRPr="009A4C46">
              <w:rPr>
                <w:rFonts w:eastAsia="Calibri"/>
              </w:rPr>
              <w:t>40 461</w:t>
            </w:r>
          </w:p>
        </w:tc>
        <w:tc>
          <w:tcPr>
            <w:tcW w:w="760" w:type="pct"/>
            <w:noWrap/>
            <w:vAlign w:val="center"/>
            <w:hideMark/>
          </w:tcPr>
          <w:p w14:paraId="69AA1489" w14:textId="77777777" w:rsidR="009A4C46" w:rsidRPr="009A4C46" w:rsidRDefault="009A4C46" w:rsidP="009A4C46">
            <w:pPr>
              <w:contextualSpacing/>
              <w:jc w:val="center"/>
              <w:rPr>
                <w:rFonts w:eastAsia="Calibri"/>
              </w:rPr>
            </w:pPr>
            <w:r w:rsidRPr="009A4C46">
              <w:rPr>
                <w:rFonts w:eastAsia="Calibri"/>
              </w:rPr>
              <w:t>34 492</w:t>
            </w:r>
          </w:p>
        </w:tc>
        <w:tc>
          <w:tcPr>
            <w:tcW w:w="781" w:type="pct"/>
            <w:noWrap/>
            <w:vAlign w:val="center"/>
            <w:hideMark/>
          </w:tcPr>
          <w:p w14:paraId="3CE2ADB4" w14:textId="77777777" w:rsidR="009A4C46" w:rsidRPr="009A4C46" w:rsidRDefault="009A4C46" w:rsidP="009A4C46">
            <w:pPr>
              <w:contextualSpacing/>
              <w:jc w:val="center"/>
              <w:rPr>
                <w:rFonts w:eastAsia="Calibri"/>
              </w:rPr>
            </w:pPr>
            <w:r w:rsidRPr="009A4C46">
              <w:rPr>
                <w:rFonts w:eastAsia="Calibri"/>
              </w:rPr>
              <w:t>-5 969</w:t>
            </w:r>
          </w:p>
        </w:tc>
      </w:tr>
      <w:tr w:rsidR="009A4C46" w:rsidRPr="009A4C46" w14:paraId="3E459AA4" w14:textId="77777777" w:rsidTr="00874840">
        <w:trPr>
          <w:trHeight w:val="20"/>
        </w:trPr>
        <w:tc>
          <w:tcPr>
            <w:tcW w:w="2045" w:type="pct"/>
            <w:vAlign w:val="center"/>
            <w:hideMark/>
          </w:tcPr>
          <w:p w14:paraId="19256C8D" w14:textId="77777777" w:rsidR="009A4C46" w:rsidRPr="009A4C46" w:rsidRDefault="009A4C46" w:rsidP="009A4C46">
            <w:pPr>
              <w:contextualSpacing/>
              <w:rPr>
                <w:rFonts w:eastAsia="Calibri"/>
              </w:rPr>
            </w:pPr>
            <w:r w:rsidRPr="009A4C46">
              <w:rPr>
                <w:rFonts w:eastAsia="Calibri"/>
              </w:rPr>
              <w:t xml:space="preserve">Прочие неподконтрольные расходы </w:t>
            </w:r>
          </w:p>
        </w:tc>
        <w:tc>
          <w:tcPr>
            <w:tcW w:w="654" w:type="pct"/>
            <w:noWrap/>
            <w:vAlign w:val="center"/>
            <w:hideMark/>
          </w:tcPr>
          <w:p w14:paraId="4BC22D8C" w14:textId="77777777" w:rsidR="009A4C46" w:rsidRPr="009A4C46" w:rsidRDefault="009A4C46" w:rsidP="009A4C46">
            <w:pPr>
              <w:contextualSpacing/>
              <w:jc w:val="center"/>
              <w:rPr>
                <w:rFonts w:eastAsia="Calibri"/>
              </w:rPr>
            </w:pPr>
            <w:r w:rsidRPr="009A4C46">
              <w:rPr>
                <w:rFonts w:eastAsia="Calibri"/>
              </w:rPr>
              <w:t>тыс. руб.</w:t>
            </w:r>
          </w:p>
        </w:tc>
        <w:tc>
          <w:tcPr>
            <w:tcW w:w="760" w:type="pct"/>
            <w:noWrap/>
            <w:vAlign w:val="center"/>
            <w:hideMark/>
          </w:tcPr>
          <w:p w14:paraId="735A22E8" w14:textId="77777777" w:rsidR="009A4C46" w:rsidRPr="009A4C46" w:rsidRDefault="009A4C46" w:rsidP="009A4C46">
            <w:pPr>
              <w:contextualSpacing/>
              <w:jc w:val="center"/>
              <w:rPr>
                <w:rFonts w:eastAsia="Calibri"/>
              </w:rPr>
            </w:pPr>
            <w:r w:rsidRPr="009A4C46">
              <w:rPr>
                <w:rFonts w:eastAsia="Calibri"/>
              </w:rPr>
              <w:t>89 827</w:t>
            </w:r>
          </w:p>
        </w:tc>
        <w:tc>
          <w:tcPr>
            <w:tcW w:w="760" w:type="pct"/>
            <w:noWrap/>
            <w:vAlign w:val="center"/>
            <w:hideMark/>
          </w:tcPr>
          <w:p w14:paraId="63FA1052" w14:textId="77777777" w:rsidR="009A4C46" w:rsidRPr="009A4C46" w:rsidRDefault="009A4C46" w:rsidP="009A4C46">
            <w:pPr>
              <w:contextualSpacing/>
              <w:jc w:val="center"/>
              <w:rPr>
                <w:rFonts w:eastAsia="Calibri"/>
              </w:rPr>
            </w:pPr>
            <w:r w:rsidRPr="009A4C46">
              <w:rPr>
                <w:rFonts w:eastAsia="Calibri"/>
              </w:rPr>
              <w:t>315 756</w:t>
            </w:r>
          </w:p>
        </w:tc>
        <w:tc>
          <w:tcPr>
            <w:tcW w:w="781" w:type="pct"/>
            <w:noWrap/>
            <w:vAlign w:val="center"/>
            <w:hideMark/>
          </w:tcPr>
          <w:p w14:paraId="0B510551" w14:textId="77777777" w:rsidR="009A4C46" w:rsidRPr="009A4C46" w:rsidRDefault="009A4C46" w:rsidP="009A4C46">
            <w:pPr>
              <w:contextualSpacing/>
              <w:jc w:val="center"/>
              <w:rPr>
                <w:rFonts w:eastAsia="Calibri"/>
              </w:rPr>
            </w:pPr>
            <w:r w:rsidRPr="009A4C46">
              <w:rPr>
                <w:rFonts w:eastAsia="Calibri"/>
              </w:rPr>
              <w:t>225 929</w:t>
            </w:r>
          </w:p>
        </w:tc>
      </w:tr>
    </w:tbl>
    <w:p w14:paraId="0F4A517C" w14:textId="77777777" w:rsidR="009A4C46" w:rsidRPr="00F94FED" w:rsidRDefault="009A4C46" w:rsidP="00F94FED">
      <w:pPr>
        <w:autoSpaceDE w:val="0"/>
        <w:autoSpaceDN w:val="0"/>
        <w:adjustRightInd w:val="0"/>
        <w:spacing w:after="0" w:line="360" w:lineRule="auto"/>
        <w:ind w:firstLine="567"/>
        <w:jc w:val="both"/>
        <w:rPr>
          <w:rFonts w:eastAsia="Times New Roman"/>
          <w:sz w:val="26"/>
          <w:szCs w:val="26"/>
          <w:lang w:eastAsia="ru-RU"/>
        </w:rPr>
      </w:pPr>
    </w:p>
    <w:p w14:paraId="3124B599" w14:textId="77777777" w:rsidR="009A4C46" w:rsidRPr="00F94FED" w:rsidRDefault="009A4C46" w:rsidP="00F94FED">
      <w:pPr>
        <w:autoSpaceDE w:val="0"/>
        <w:autoSpaceDN w:val="0"/>
        <w:adjustRightInd w:val="0"/>
        <w:spacing w:after="0" w:line="360" w:lineRule="auto"/>
        <w:ind w:firstLine="567"/>
        <w:jc w:val="both"/>
        <w:rPr>
          <w:rFonts w:eastAsia="Times New Roman"/>
          <w:sz w:val="26"/>
          <w:szCs w:val="26"/>
          <w:lang w:eastAsia="ru-RU"/>
        </w:rPr>
      </w:pPr>
      <w:r w:rsidRPr="00F94FED">
        <w:rPr>
          <w:rFonts w:eastAsia="Times New Roman"/>
          <w:sz w:val="26"/>
          <w:szCs w:val="26"/>
          <w:lang w:eastAsia="ru-RU"/>
        </w:rPr>
        <w:t xml:space="preserve">По статьям затрат «Плата за аренду имущества», «Отчисления на социальные нужды», «Амортизация», «Налог на прибыль» и «Прочие налоги» фактические расходы сложились ниже плановых, учтенных Службой по тарифам Республики Тыва в НВВ на 2017 год. </w:t>
      </w:r>
    </w:p>
    <w:p w14:paraId="68578738" w14:textId="77777777" w:rsidR="009A4C46" w:rsidRPr="00F94FED" w:rsidRDefault="009A4C46" w:rsidP="00F94FED">
      <w:pPr>
        <w:autoSpaceDE w:val="0"/>
        <w:autoSpaceDN w:val="0"/>
        <w:adjustRightInd w:val="0"/>
        <w:spacing w:after="0" w:line="360" w:lineRule="auto"/>
        <w:ind w:firstLine="567"/>
        <w:jc w:val="both"/>
        <w:rPr>
          <w:rFonts w:eastAsia="Times New Roman"/>
          <w:sz w:val="26"/>
          <w:szCs w:val="26"/>
          <w:lang w:eastAsia="ru-RU"/>
        </w:rPr>
      </w:pPr>
      <w:r w:rsidRPr="00F94FED">
        <w:rPr>
          <w:rFonts w:eastAsia="Times New Roman"/>
          <w:sz w:val="26"/>
          <w:szCs w:val="26"/>
          <w:lang w:eastAsia="ru-RU"/>
        </w:rPr>
        <w:t>По статьям затрат «Оплата услуг ПАО «ФСК ЕЭС», «Прочие неподконтрольные расходы» фактические расходы превышают плановые. Основное превышение сложилось по статье затрат «Прочие неподконтрольные расходы».</w:t>
      </w:r>
    </w:p>
    <w:tbl>
      <w:tblPr>
        <w:tblW w:w="9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6"/>
        <w:gridCol w:w="2225"/>
        <w:gridCol w:w="2234"/>
      </w:tblGrid>
      <w:tr w:rsidR="005C4743" w:rsidRPr="005C4743" w14:paraId="0120B86F" w14:textId="77777777" w:rsidTr="00F94FED">
        <w:trPr>
          <w:trHeight w:val="600"/>
          <w:tblHeader/>
        </w:trPr>
        <w:tc>
          <w:tcPr>
            <w:tcW w:w="48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0EB6AFB" w14:textId="77777777" w:rsidR="009A4C46" w:rsidRPr="00F94FED" w:rsidRDefault="009A4C46" w:rsidP="009A4C46">
            <w:pPr>
              <w:spacing w:after="0" w:line="240" w:lineRule="auto"/>
              <w:jc w:val="center"/>
              <w:rPr>
                <w:rFonts w:eastAsia="Times New Roman"/>
                <w:b/>
                <w:color w:val="FFFFFF" w:themeColor="background1"/>
                <w:lang w:eastAsia="ru-RU"/>
              </w:rPr>
            </w:pPr>
            <w:r w:rsidRPr="00F94FED">
              <w:rPr>
                <w:rFonts w:eastAsia="Times New Roman"/>
                <w:b/>
                <w:color w:val="FFFFFF" w:themeColor="background1"/>
                <w:lang w:eastAsia="ru-RU"/>
              </w:rPr>
              <w:t>Наименовании</w:t>
            </w:r>
          </w:p>
        </w:tc>
        <w:tc>
          <w:tcPr>
            <w:tcW w:w="222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273C76B" w14:textId="77777777" w:rsidR="009A4C46" w:rsidRPr="00F94FED" w:rsidRDefault="009A4C46" w:rsidP="009A4C46">
            <w:pPr>
              <w:spacing w:after="0" w:line="240" w:lineRule="auto"/>
              <w:jc w:val="center"/>
              <w:rPr>
                <w:rFonts w:eastAsia="Times New Roman"/>
                <w:b/>
                <w:color w:val="FFFFFF" w:themeColor="background1"/>
                <w:lang w:eastAsia="ru-RU"/>
              </w:rPr>
            </w:pPr>
            <w:r w:rsidRPr="00F94FED">
              <w:rPr>
                <w:rFonts w:eastAsia="Times New Roman"/>
                <w:b/>
                <w:color w:val="FFFFFF" w:themeColor="background1"/>
                <w:lang w:eastAsia="ru-RU"/>
              </w:rPr>
              <w:t>Ед. изм.</w:t>
            </w:r>
          </w:p>
        </w:tc>
        <w:tc>
          <w:tcPr>
            <w:tcW w:w="22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EB64278" w14:textId="6D744D45" w:rsidR="009A4C46" w:rsidRPr="00F94FED" w:rsidRDefault="005C4743" w:rsidP="009A4C46">
            <w:pPr>
              <w:spacing w:after="0" w:line="240" w:lineRule="auto"/>
              <w:jc w:val="center"/>
              <w:rPr>
                <w:rFonts w:eastAsia="Times New Roman"/>
                <w:b/>
                <w:color w:val="FFFFFF" w:themeColor="background1"/>
                <w:lang w:eastAsia="ru-RU"/>
              </w:rPr>
            </w:pPr>
            <w:r w:rsidRPr="00F94FED">
              <w:rPr>
                <w:rFonts w:eastAsia="Times New Roman"/>
                <w:b/>
                <w:color w:val="FFFFFF" w:themeColor="background1"/>
                <w:lang w:eastAsia="ru-RU"/>
              </w:rPr>
              <w:t>Ф</w:t>
            </w:r>
            <w:r w:rsidR="009A4C46" w:rsidRPr="00F94FED">
              <w:rPr>
                <w:rFonts w:eastAsia="Times New Roman"/>
                <w:b/>
                <w:color w:val="FFFFFF" w:themeColor="background1"/>
                <w:lang w:eastAsia="ru-RU"/>
              </w:rPr>
              <w:t>акт 2017 год</w:t>
            </w:r>
          </w:p>
        </w:tc>
      </w:tr>
      <w:tr w:rsidR="009A4C46" w:rsidRPr="005C4743" w14:paraId="5BC8D740" w14:textId="77777777" w:rsidTr="00874840">
        <w:trPr>
          <w:trHeight w:val="266"/>
        </w:trPr>
        <w:tc>
          <w:tcPr>
            <w:tcW w:w="4886" w:type="dxa"/>
            <w:tcBorders>
              <w:top w:val="single" w:sz="4" w:space="0" w:color="FFFFFF" w:themeColor="background1"/>
            </w:tcBorders>
            <w:shd w:val="clear" w:color="auto" w:fill="auto"/>
            <w:vAlign w:val="center"/>
            <w:hideMark/>
          </w:tcPr>
          <w:p w14:paraId="5F502EB3" w14:textId="77777777" w:rsidR="009A4C46" w:rsidRPr="005C4743" w:rsidRDefault="009A4C46" w:rsidP="009A4C46">
            <w:pPr>
              <w:spacing w:after="0" w:line="240" w:lineRule="auto"/>
              <w:rPr>
                <w:rFonts w:eastAsia="Times New Roman"/>
                <w:color w:val="000000"/>
                <w:lang w:eastAsia="ru-RU"/>
              </w:rPr>
            </w:pPr>
            <w:r w:rsidRPr="005C4743">
              <w:rPr>
                <w:rFonts w:eastAsia="Times New Roman"/>
                <w:color w:val="000000"/>
                <w:lang w:eastAsia="ru-RU"/>
              </w:rPr>
              <w:t>Убытки прошлых лет</w:t>
            </w:r>
          </w:p>
        </w:tc>
        <w:tc>
          <w:tcPr>
            <w:tcW w:w="2225" w:type="dxa"/>
            <w:tcBorders>
              <w:top w:val="single" w:sz="4" w:space="0" w:color="FFFFFF" w:themeColor="background1"/>
            </w:tcBorders>
            <w:vAlign w:val="center"/>
          </w:tcPr>
          <w:p w14:paraId="221C6199" w14:textId="77777777" w:rsidR="009A4C46" w:rsidRPr="005C4743" w:rsidRDefault="009A4C46" w:rsidP="00E169B0">
            <w:pPr>
              <w:spacing w:after="0" w:line="240" w:lineRule="auto"/>
              <w:jc w:val="center"/>
              <w:rPr>
                <w:rFonts w:eastAsia="Times New Roman"/>
                <w:color w:val="000000"/>
                <w:lang w:eastAsia="ru-RU"/>
              </w:rPr>
            </w:pPr>
            <w:r w:rsidRPr="005C4743">
              <w:rPr>
                <w:rFonts w:eastAsia="Times New Roman"/>
                <w:color w:val="000000"/>
                <w:lang w:eastAsia="ru-RU"/>
              </w:rPr>
              <w:t>тыс. руб.</w:t>
            </w:r>
          </w:p>
        </w:tc>
        <w:tc>
          <w:tcPr>
            <w:tcW w:w="2234" w:type="dxa"/>
            <w:tcBorders>
              <w:top w:val="single" w:sz="4" w:space="0" w:color="FFFFFF" w:themeColor="background1"/>
            </w:tcBorders>
            <w:shd w:val="clear" w:color="auto" w:fill="auto"/>
            <w:vAlign w:val="center"/>
            <w:hideMark/>
          </w:tcPr>
          <w:p w14:paraId="35D8DDFC" w14:textId="77777777" w:rsidR="009A4C46" w:rsidRPr="005C4743" w:rsidRDefault="009A4C46" w:rsidP="003E2802">
            <w:pPr>
              <w:spacing w:after="0" w:line="240" w:lineRule="auto"/>
              <w:jc w:val="center"/>
              <w:rPr>
                <w:rFonts w:eastAsia="Times New Roman"/>
                <w:color w:val="000000"/>
                <w:lang w:eastAsia="ru-RU"/>
              </w:rPr>
            </w:pPr>
            <w:r w:rsidRPr="005C4743">
              <w:rPr>
                <w:rFonts w:eastAsia="Times New Roman"/>
                <w:color w:val="000000"/>
                <w:lang w:eastAsia="ru-RU"/>
              </w:rPr>
              <w:t>70 435</w:t>
            </w:r>
          </w:p>
        </w:tc>
      </w:tr>
      <w:tr w:rsidR="009A4C46" w:rsidRPr="005C4743" w14:paraId="6F0049FB" w14:textId="77777777" w:rsidTr="00874840">
        <w:trPr>
          <w:trHeight w:val="266"/>
        </w:trPr>
        <w:tc>
          <w:tcPr>
            <w:tcW w:w="4886" w:type="dxa"/>
            <w:shd w:val="clear" w:color="auto" w:fill="auto"/>
            <w:vAlign w:val="center"/>
            <w:hideMark/>
          </w:tcPr>
          <w:p w14:paraId="42F68FC3" w14:textId="77777777" w:rsidR="009A4C46" w:rsidRPr="005C4743" w:rsidRDefault="009A4C46" w:rsidP="009A4C46">
            <w:pPr>
              <w:spacing w:after="0" w:line="240" w:lineRule="auto"/>
              <w:rPr>
                <w:rFonts w:eastAsia="Times New Roman"/>
                <w:color w:val="000000"/>
                <w:lang w:eastAsia="ru-RU"/>
              </w:rPr>
            </w:pPr>
            <w:r w:rsidRPr="005C4743">
              <w:rPr>
                <w:rFonts w:eastAsia="Times New Roman"/>
                <w:color w:val="000000"/>
                <w:lang w:eastAsia="ru-RU"/>
              </w:rPr>
              <w:t>Фонд, созданный по инициативе органов власти</w:t>
            </w:r>
          </w:p>
        </w:tc>
        <w:tc>
          <w:tcPr>
            <w:tcW w:w="2225" w:type="dxa"/>
            <w:vAlign w:val="center"/>
          </w:tcPr>
          <w:p w14:paraId="07F5F9B2" w14:textId="77777777" w:rsidR="009A4C46" w:rsidRPr="005C4743" w:rsidRDefault="009A4C46" w:rsidP="00E169B0">
            <w:pPr>
              <w:spacing w:after="0" w:line="240" w:lineRule="auto"/>
              <w:jc w:val="center"/>
              <w:rPr>
                <w:rFonts w:eastAsia="Times New Roman"/>
                <w:color w:val="000000"/>
                <w:lang w:eastAsia="ru-RU"/>
              </w:rPr>
            </w:pPr>
            <w:r w:rsidRPr="005C4743">
              <w:rPr>
                <w:rFonts w:eastAsia="Times New Roman"/>
                <w:color w:val="000000"/>
                <w:lang w:eastAsia="ru-RU"/>
              </w:rPr>
              <w:t>тыс. руб.</w:t>
            </w:r>
          </w:p>
        </w:tc>
        <w:tc>
          <w:tcPr>
            <w:tcW w:w="2234" w:type="dxa"/>
            <w:shd w:val="clear" w:color="auto" w:fill="auto"/>
            <w:vAlign w:val="center"/>
            <w:hideMark/>
          </w:tcPr>
          <w:p w14:paraId="0278CA94" w14:textId="77777777" w:rsidR="009A4C46" w:rsidRPr="005C4743" w:rsidRDefault="009A4C46" w:rsidP="003E2802">
            <w:pPr>
              <w:spacing w:after="0" w:line="240" w:lineRule="auto"/>
              <w:jc w:val="center"/>
              <w:rPr>
                <w:rFonts w:eastAsia="Times New Roman"/>
                <w:color w:val="000000"/>
                <w:lang w:eastAsia="ru-RU"/>
              </w:rPr>
            </w:pPr>
            <w:r w:rsidRPr="005C4743">
              <w:rPr>
                <w:rFonts w:eastAsia="Times New Roman"/>
                <w:color w:val="000000"/>
                <w:lang w:eastAsia="ru-RU"/>
              </w:rPr>
              <w:t>322</w:t>
            </w:r>
          </w:p>
        </w:tc>
      </w:tr>
      <w:tr w:rsidR="009A4C46" w:rsidRPr="005C4743" w14:paraId="329F23B8" w14:textId="77777777" w:rsidTr="00874840">
        <w:trPr>
          <w:trHeight w:val="266"/>
        </w:trPr>
        <w:tc>
          <w:tcPr>
            <w:tcW w:w="4886" w:type="dxa"/>
            <w:shd w:val="clear" w:color="auto" w:fill="auto"/>
            <w:vAlign w:val="center"/>
            <w:hideMark/>
          </w:tcPr>
          <w:p w14:paraId="7923278E" w14:textId="77777777" w:rsidR="009A4C46" w:rsidRPr="005C4743" w:rsidRDefault="009A4C46" w:rsidP="009A4C46">
            <w:pPr>
              <w:spacing w:after="0" w:line="240" w:lineRule="auto"/>
              <w:rPr>
                <w:rFonts w:eastAsia="Times New Roman"/>
                <w:color w:val="000000"/>
                <w:lang w:eastAsia="ru-RU"/>
              </w:rPr>
            </w:pPr>
            <w:r w:rsidRPr="005C4743">
              <w:rPr>
                <w:rFonts w:eastAsia="Times New Roman"/>
                <w:color w:val="000000"/>
                <w:lang w:eastAsia="ru-RU"/>
              </w:rPr>
              <w:t>Пени, штрафы, неустойки</w:t>
            </w:r>
          </w:p>
        </w:tc>
        <w:tc>
          <w:tcPr>
            <w:tcW w:w="2225" w:type="dxa"/>
            <w:vAlign w:val="center"/>
          </w:tcPr>
          <w:p w14:paraId="54B16FCA" w14:textId="77777777" w:rsidR="009A4C46" w:rsidRPr="005C4743" w:rsidRDefault="009A4C46" w:rsidP="00E169B0">
            <w:pPr>
              <w:spacing w:after="0" w:line="240" w:lineRule="auto"/>
              <w:jc w:val="center"/>
              <w:rPr>
                <w:rFonts w:eastAsia="Times New Roman"/>
                <w:color w:val="000000"/>
                <w:lang w:eastAsia="ru-RU"/>
              </w:rPr>
            </w:pPr>
            <w:r w:rsidRPr="005C4743">
              <w:rPr>
                <w:rFonts w:eastAsia="Times New Roman"/>
                <w:color w:val="000000"/>
                <w:lang w:eastAsia="ru-RU"/>
              </w:rPr>
              <w:t>тыс. руб.</w:t>
            </w:r>
          </w:p>
        </w:tc>
        <w:tc>
          <w:tcPr>
            <w:tcW w:w="2234" w:type="dxa"/>
            <w:shd w:val="clear" w:color="auto" w:fill="auto"/>
            <w:vAlign w:val="center"/>
            <w:hideMark/>
          </w:tcPr>
          <w:p w14:paraId="361A864E" w14:textId="77777777" w:rsidR="009A4C46" w:rsidRPr="005C4743" w:rsidRDefault="009A4C46" w:rsidP="003E2802">
            <w:pPr>
              <w:spacing w:after="0" w:line="240" w:lineRule="auto"/>
              <w:jc w:val="center"/>
              <w:rPr>
                <w:rFonts w:eastAsia="Times New Roman"/>
                <w:color w:val="000000"/>
                <w:lang w:eastAsia="ru-RU"/>
              </w:rPr>
            </w:pPr>
            <w:r w:rsidRPr="005C4743">
              <w:rPr>
                <w:rFonts w:eastAsia="Times New Roman"/>
                <w:color w:val="000000"/>
                <w:lang w:eastAsia="ru-RU"/>
              </w:rPr>
              <w:t>220 043</w:t>
            </w:r>
          </w:p>
        </w:tc>
      </w:tr>
      <w:tr w:rsidR="009A4C46" w:rsidRPr="005C4743" w14:paraId="46859AB3" w14:textId="77777777" w:rsidTr="00874840">
        <w:trPr>
          <w:trHeight w:val="266"/>
        </w:trPr>
        <w:tc>
          <w:tcPr>
            <w:tcW w:w="4886" w:type="dxa"/>
            <w:shd w:val="clear" w:color="auto" w:fill="auto"/>
            <w:vAlign w:val="center"/>
            <w:hideMark/>
          </w:tcPr>
          <w:p w14:paraId="1E2A2B54" w14:textId="77777777" w:rsidR="009A4C46" w:rsidRPr="005C4743" w:rsidRDefault="009A4C46" w:rsidP="009A4C46">
            <w:pPr>
              <w:spacing w:after="0" w:line="240" w:lineRule="auto"/>
              <w:rPr>
                <w:rFonts w:eastAsia="Times New Roman"/>
                <w:color w:val="000000"/>
                <w:lang w:eastAsia="ru-RU"/>
              </w:rPr>
            </w:pPr>
            <w:r w:rsidRPr="005C4743">
              <w:rPr>
                <w:rFonts w:eastAsia="Times New Roman"/>
                <w:color w:val="000000"/>
                <w:lang w:eastAsia="ru-RU"/>
              </w:rPr>
              <w:t>Списание НЗС</w:t>
            </w:r>
          </w:p>
        </w:tc>
        <w:tc>
          <w:tcPr>
            <w:tcW w:w="2225" w:type="dxa"/>
            <w:vAlign w:val="center"/>
          </w:tcPr>
          <w:p w14:paraId="52CCF50E" w14:textId="77777777" w:rsidR="009A4C46" w:rsidRPr="005C4743" w:rsidRDefault="009A4C46" w:rsidP="00E169B0">
            <w:pPr>
              <w:spacing w:after="0" w:line="240" w:lineRule="auto"/>
              <w:jc w:val="center"/>
              <w:rPr>
                <w:rFonts w:eastAsia="Times New Roman"/>
                <w:color w:val="000000"/>
                <w:lang w:eastAsia="ru-RU"/>
              </w:rPr>
            </w:pPr>
            <w:r w:rsidRPr="005C4743">
              <w:rPr>
                <w:rFonts w:eastAsia="Times New Roman"/>
                <w:color w:val="000000"/>
                <w:lang w:eastAsia="ru-RU"/>
              </w:rPr>
              <w:t>тыс. руб.</w:t>
            </w:r>
          </w:p>
        </w:tc>
        <w:tc>
          <w:tcPr>
            <w:tcW w:w="2234" w:type="dxa"/>
            <w:shd w:val="clear" w:color="auto" w:fill="auto"/>
            <w:vAlign w:val="center"/>
            <w:hideMark/>
          </w:tcPr>
          <w:p w14:paraId="1BE1F520" w14:textId="77777777" w:rsidR="009A4C46" w:rsidRPr="005C4743" w:rsidRDefault="009A4C46" w:rsidP="003E2802">
            <w:pPr>
              <w:spacing w:after="0" w:line="240" w:lineRule="auto"/>
              <w:jc w:val="center"/>
              <w:rPr>
                <w:rFonts w:eastAsia="Times New Roman"/>
                <w:color w:val="000000"/>
                <w:lang w:eastAsia="ru-RU"/>
              </w:rPr>
            </w:pPr>
            <w:r w:rsidRPr="005C4743">
              <w:rPr>
                <w:rFonts w:eastAsia="Times New Roman"/>
                <w:color w:val="000000"/>
                <w:lang w:eastAsia="ru-RU"/>
              </w:rPr>
              <w:t>4 324</w:t>
            </w:r>
          </w:p>
        </w:tc>
      </w:tr>
      <w:tr w:rsidR="009A4C46" w:rsidRPr="005C4743" w14:paraId="1B2701EC" w14:textId="77777777" w:rsidTr="00874840">
        <w:trPr>
          <w:trHeight w:val="266"/>
        </w:trPr>
        <w:tc>
          <w:tcPr>
            <w:tcW w:w="4886" w:type="dxa"/>
            <w:shd w:val="clear" w:color="auto" w:fill="auto"/>
            <w:vAlign w:val="center"/>
            <w:hideMark/>
          </w:tcPr>
          <w:p w14:paraId="0E8CA936" w14:textId="77777777" w:rsidR="009A4C46" w:rsidRPr="005C4743" w:rsidRDefault="009A4C46" w:rsidP="009A4C46">
            <w:pPr>
              <w:spacing w:after="0" w:line="240" w:lineRule="auto"/>
              <w:rPr>
                <w:rFonts w:eastAsia="Times New Roman"/>
                <w:color w:val="000000"/>
                <w:lang w:eastAsia="ru-RU"/>
              </w:rPr>
            </w:pPr>
            <w:r w:rsidRPr="005C4743">
              <w:rPr>
                <w:rFonts w:eastAsia="Times New Roman"/>
                <w:color w:val="000000"/>
                <w:lang w:eastAsia="ru-RU"/>
              </w:rPr>
              <w:t>Судебные издержки</w:t>
            </w:r>
          </w:p>
        </w:tc>
        <w:tc>
          <w:tcPr>
            <w:tcW w:w="2225" w:type="dxa"/>
            <w:vAlign w:val="center"/>
          </w:tcPr>
          <w:p w14:paraId="45442A79" w14:textId="77777777" w:rsidR="009A4C46" w:rsidRPr="005C4743" w:rsidRDefault="009A4C46" w:rsidP="00E169B0">
            <w:pPr>
              <w:spacing w:after="0" w:line="240" w:lineRule="auto"/>
              <w:jc w:val="center"/>
              <w:rPr>
                <w:rFonts w:eastAsia="Times New Roman"/>
                <w:color w:val="000000"/>
                <w:lang w:eastAsia="ru-RU"/>
              </w:rPr>
            </w:pPr>
            <w:r w:rsidRPr="005C4743">
              <w:rPr>
                <w:rFonts w:eastAsia="Times New Roman"/>
                <w:color w:val="000000"/>
                <w:lang w:eastAsia="ru-RU"/>
              </w:rPr>
              <w:t>тыс. руб.</w:t>
            </w:r>
          </w:p>
        </w:tc>
        <w:tc>
          <w:tcPr>
            <w:tcW w:w="2234" w:type="dxa"/>
            <w:shd w:val="clear" w:color="auto" w:fill="auto"/>
            <w:vAlign w:val="center"/>
            <w:hideMark/>
          </w:tcPr>
          <w:p w14:paraId="631E4417" w14:textId="77777777" w:rsidR="009A4C46" w:rsidRPr="005C4743" w:rsidRDefault="009A4C46" w:rsidP="003E2802">
            <w:pPr>
              <w:spacing w:after="0" w:line="240" w:lineRule="auto"/>
              <w:jc w:val="center"/>
              <w:rPr>
                <w:rFonts w:eastAsia="Times New Roman"/>
                <w:color w:val="000000"/>
                <w:lang w:eastAsia="ru-RU"/>
              </w:rPr>
            </w:pPr>
            <w:r w:rsidRPr="005C4743">
              <w:rPr>
                <w:rFonts w:eastAsia="Times New Roman"/>
                <w:color w:val="000000"/>
                <w:lang w:eastAsia="ru-RU"/>
              </w:rPr>
              <w:t>47</w:t>
            </w:r>
          </w:p>
        </w:tc>
      </w:tr>
      <w:tr w:rsidR="009A4C46" w:rsidRPr="005C4743" w14:paraId="63F2EF14" w14:textId="77777777" w:rsidTr="00874840">
        <w:trPr>
          <w:trHeight w:val="266"/>
        </w:trPr>
        <w:tc>
          <w:tcPr>
            <w:tcW w:w="4886" w:type="dxa"/>
            <w:shd w:val="clear" w:color="auto" w:fill="auto"/>
            <w:vAlign w:val="center"/>
            <w:hideMark/>
          </w:tcPr>
          <w:p w14:paraId="42816CDD" w14:textId="77777777" w:rsidR="009A4C46" w:rsidRPr="005C4743" w:rsidRDefault="009A4C46" w:rsidP="009A4C46">
            <w:pPr>
              <w:spacing w:after="0" w:line="240" w:lineRule="auto"/>
              <w:rPr>
                <w:rFonts w:eastAsia="Times New Roman"/>
                <w:color w:val="000000"/>
                <w:lang w:eastAsia="ru-RU"/>
              </w:rPr>
            </w:pPr>
            <w:r w:rsidRPr="005C4743">
              <w:rPr>
                <w:rFonts w:eastAsia="Times New Roman"/>
                <w:color w:val="000000"/>
                <w:lang w:eastAsia="ru-RU"/>
              </w:rPr>
              <w:t>Госпошлина</w:t>
            </w:r>
          </w:p>
        </w:tc>
        <w:tc>
          <w:tcPr>
            <w:tcW w:w="2225" w:type="dxa"/>
            <w:vAlign w:val="center"/>
          </w:tcPr>
          <w:p w14:paraId="7A3A219D" w14:textId="77777777" w:rsidR="009A4C46" w:rsidRPr="005C4743" w:rsidRDefault="009A4C46" w:rsidP="00E169B0">
            <w:pPr>
              <w:spacing w:after="0" w:line="240" w:lineRule="auto"/>
              <w:jc w:val="center"/>
              <w:rPr>
                <w:rFonts w:eastAsia="Times New Roman"/>
                <w:color w:val="000000"/>
                <w:lang w:eastAsia="ru-RU"/>
              </w:rPr>
            </w:pPr>
            <w:r w:rsidRPr="005C4743">
              <w:rPr>
                <w:rFonts w:eastAsia="Times New Roman"/>
                <w:color w:val="000000"/>
                <w:lang w:eastAsia="ru-RU"/>
              </w:rPr>
              <w:t>тыс. руб.</w:t>
            </w:r>
          </w:p>
        </w:tc>
        <w:tc>
          <w:tcPr>
            <w:tcW w:w="2234" w:type="dxa"/>
            <w:shd w:val="clear" w:color="auto" w:fill="auto"/>
            <w:vAlign w:val="center"/>
            <w:hideMark/>
          </w:tcPr>
          <w:p w14:paraId="2328813E" w14:textId="77777777" w:rsidR="009A4C46" w:rsidRPr="005C4743" w:rsidRDefault="009A4C46" w:rsidP="003E2802">
            <w:pPr>
              <w:spacing w:after="0" w:line="240" w:lineRule="auto"/>
              <w:jc w:val="center"/>
              <w:rPr>
                <w:rFonts w:eastAsia="Times New Roman"/>
                <w:color w:val="000000"/>
                <w:lang w:eastAsia="ru-RU"/>
              </w:rPr>
            </w:pPr>
            <w:r w:rsidRPr="005C4743">
              <w:rPr>
                <w:rFonts w:eastAsia="Times New Roman"/>
                <w:color w:val="000000"/>
                <w:lang w:eastAsia="ru-RU"/>
              </w:rPr>
              <w:t>2 821</w:t>
            </w:r>
          </w:p>
        </w:tc>
      </w:tr>
      <w:tr w:rsidR="009A4C46" w:rsidRPr="005C4743" w14:paraId="401A7089" w14:textId="77777777" w:rsidTr="00874840">
        <w:trPr>
          <w:trHeight w:val="266"/>
        </w:trPr>
        <w:tc>
          <w:tcPr>
            <w:tcW w:w="4886" w:type="dxa"/>
            <w:shd w:val="clear" w:color="auto" w:fill="auto"/>
            <w:vAlign w:val="center"/>
            <w:hideMark/>
          </w:tcPr>
          <w:p w14:paraId="79CABE02" w14:textId="77777777" w:rsidR="009A4C46" w:rsidRPr="005C4743" w:rsidRDefault="009A4C46" w:rsidP="009A4C46">
            <w:pPr>
              <w:spacing w:after="0" w:line="240" w:lineRule="auto"/>
              <w:rPr>
                <w:rFonts w:eastAsia="Times New Roman"/>
                <w:color w:val="000000"/>
                <w:lang w:eastAsia="ru-RU"/>
              </w:rPr>
            </w:pPr>
            <w:r w:rsidRPr="005C4743">
              <w:rPr>
                <w:rFonts w:eastAsia="Times New Roman"/>
                <w:color w:val="000000"/>
                <w:lang w:eastAsia="ru-RU"/>
              </w:rPr>
              <w:t>Возмещение причиненных убытков</w:t>
            </w:r>
          </w:p>
        </w:tc>
        <w:tc>
          <w:tcPr>
            <w:tcW w:w="2225" w:type="dxa"/>
            <w:vAlign w:val="center"/>
          </w:tcPr>
          <w:p w14:paraId="71E85A92" w14:textId="77777777" w:rsidR="009A4C46" w:rsidRPr="005C4743" w:rsidRDefault="009A4C46" w:rsidP="00E169B0">
            <w:pPr>
              <w:spacing w:after="0" w:line="240" w:lineRule="auto"/>
              <w:jc w:val="center"/>
              <w:rPr>
                <w:rFonts w:eastAsia="Times New Roman"/>
                <w:color w:val="000000"/>
                <w:lang w:eastAsia="ru-RU"/>
              </w:rPr>
            </w:pPr>
            <w:r w:rsidRPr="005C4743">
              <w:rPr>
                <w:rFonts w:eastAsia="Times New Roman"/>
                <w:color w:val="000000"/>
                <w:lang w:eastAsia="ru-RU"/>
              </w:rPr>
              <w:t>тыс. руб.</w:t>
            </w:r>
          </w:p>
        </w:tc>
        <w:tc>
          <w:tcPr>
            <w:tcW w:w="2234" w:type="dxa"/>
            <w:shd w:val="clear" w:color="auto" w:fill="auto"/>
            <w:vAlign w:val="center"/>
            <w:hideMark/>
          </w:tcPr>
          <w:p w14:paraId="79E77903" w14:textId="77777777" w:rsidR="009A4C46" w:rsidRPr="005C4743" w:rsidRDefault="009A4C46" w:rsidP="003E2802">
            <w:pPr>
              <w:spacing w:after="0" w:line="240" w:lineRule="auto"/>
              <w:jc w:val="center"/>
              <w:rPr>
                <w:rFonts w:eastAsia="Times New Roman"/>
                <w:color w:val="000000"/>
                <w:lang w:eastAsia="ru-RU"/>
              </w:rPr>
            </w:pPr>
            <w:r w:rsidRPr="005C4743">
              <w:rPr>
                <w:rFonts w:eastAsia="Times New Roman"/>
                <w:color w:val="000000"/>
                <w:lang w:eastAsia="ru-RU"/>
              </w:rPr>
              <w:t>355</w:t>
            </w:r>
          </w:p>
        </w:tc>
      </w:tr>
      <w:tr w:rsidR="009A4C46" w:rsidRPr="005C4743" w14:paraId="29227BB9" w14:textId="77777777" w:rsidTr="00874840">
        <w:trPr>
          <w:trHeight w:val="148"/>
        </w:trPr>
        <w:tc>
          <w:tcPr>
            <w:tcW w:w="4886" w:type="dxa"/>
            <w:shd w:val="clear" w:color="auto" w:fill="auto"/>
            <w:vAlign w:val="center"/>
            <w:hideMark/>
          </w:tcPr>
          <w:p w14:paraId="515C08C4" w14:textId="77777777" w:rsidR="009A4C46" w:rsidRPr="005C4743" w:rsidRDefault="009A4C46" w:rsidP="009A4C46">
            <w:pPr>
              <w:spacing w:after="0" w:line="240" w:lineRule="auto"/>
              <w:rPr>
                <w:rFonts w:eastAsia="Times New Roman"/>
                <w:color w:val="000000"/>
                <w:lang w:eastAsia="ru-RU"/>
              </w:rPr>
            </w:pPr>
            <w:r w:rsidRPr="005C4743">
              <w:rPr>
                <w:rFonts w:eastAsia="Times New Roman"/>
                <w:color w:val="000000"/>
                <w:lang w:eastAsia="ru-RU"/>
              </w:rPr>
              <w:t>Создание резерва (по дебиторской задолженности свыше 90 дней)</w:t>
            </w:r>
          </w:p>
        </w:tc>
        <w:tc>
          <w:tcPr>
            <w:tcW w:w="2225" w:type="dxa"/>
            <w:vAlign w:val="center"/>
          </w:tcPr>
          <w:p w14:paraId="52C92E9A" w14:textId="77777777" w:rsidR="009A4C46" w:rsidRPr="005C4743" w:rsidRDefault="009A4C46" w:rsidP="00E169B0">
            <w:pPr>
              <w:spacing w:after="0" w:line="240" w:lineRule="auto"/>
              <w:jc w:val="center"/>
              <w:rPr>
                <w:rFonts w:eastAsia="Times New Roman"/>
                <w:color w:val="000000"/>
                <w:lang w:eastAsia="ru-RU"/>
              </w:rPr>
            </w:pPr>
            <w:r w:rsidRPr="005C4743">
              <w:rPr>
                <w:rFonts w:eastAsia="Times New Roman"/>
                <w:color w:val="000000"/>
                <w:lang w:eastAsia="ru-RU"/>
              </w:rPr>
              <w:t>тыс. руб.</w:t>
            </w:r>
          </w:p>
        </w:tc>
        <w:tc>
          <w:tcPr>
            <w:tcW w:w="2234" w:type="dxa"/>
            <w:shd w:val="clear" w:color="auto" w:fill="auto"/>
            <w:vAlign w:val="center"/>
            <w:hideMark/>
          </w:tcPr>
          <w:p w14:paraId="0B0DBD43" w14:textId="77777777" w:rsidR="009A4C46" w:rsidRPr="005C4743" w:rsidRDefault="009A4C46" w:rsidP="003E2802">
            <w:pPr>
              <w:spacing w:after="0" w:line="240" w:lineRule="auto"/>
              <w:jc w:val="center"/>
              <w:rPr>
                <w:rFonts w:eastAsia="Times New Roman"/>
                <w:color w:val="000000"/>
                <w:lang w:eastAsia="ru-RU"/>
              </w:rPr>
            </w:pPr>
            <w:r w:rsidRPr="005C4743">
              <w:rPr>
                <w:rFonts w:eastAsia="Times New Roman"/>
                <w:color w:val="000000"/>
                <w:lang w:eastAsia="ru-RU"/>
              </w:rPr>
              <w:t>7 136</w:t>
            </w:r>
          </w:p>
        </w:tc>
      </w:tr>
      <w:tr w:rsidR="009A4C46" w:rsidRPr="005C4743" w14:paraId="20B30E48" w14:textId="77777777" w:rsidTr="00874840">
        <w:trPr>
          <w:trHeight w:val="261"/>
        </w:trPr>
        <w:tc>
          <w:tcPr>
            <w:tcW w:w="4886" w:type="dxa"/>
            <w:shd w:val="clear" w:color="auto" w:fill="auto"/>
            <w:vAlign w:val="center"/>
            <w:hideMark/>
          </w:tcPr>
          <w:p w14:paraId="2AF12D84" w14:textId="77777777" w:rsidR="009A4C46" w:rsidRPr="005C4743" w:rsidRDefault="009A4C46" w:rsidP="009A4C46">
            <w:pPr>
              <w:spacing w:after="0" w:line="240" w:lineRule="auto"/>
              <w:rPr>
                <w:rFonts w:eastAsia="Times New Roman"/>
                <w:color w:val="000000"/>
                <w:lang w:eastAsia="ru-RU"/>
              </w:rPr>
            </w:pPr>
            <w:r w:rsidRPr="005C4743">
              <w:rPr>
                <w:rFonts w:eastAsia="Times New Roman"/>
                <w:color w:val="000000"/>
                <w:lang w:eastAsia="ru-RU"/>
              </w:rPr>
              <w:t>Энергия на хозяйственные нужды</w:t>
            </w:r>
          </w:p>
        </w:tc>
        <w:tc>
          <w:tcPr>
            <w:tcW w:w="2225" w:type="dxa"/>
            <w:vAlign w:val="center"/>
          </w:tcPr>
          <w:p w14:paraId="016BFB78" w14:textId="77777777" w:rsidR="009A4C46" w:rsidRPr="005C4743" w:rsidRDefault="009A4C46" w:rsidP="00E169B0">
            <w:pPr>
              <w:spacing w:after="0" w:line="240" w:lineRule="auto"/>
              <w:jc w:val="center"/>
              <w:rPr>
                <w:rFonts w:eastAsia="Times New Roman"/>
                <w:color w:val="000000"/>
                <w:lang w:eastAsia="ru-RU"/>
              </w:rPr>
            </w:pPr>
            <w:r w:rsidRPr="005C4743">
              <w:rPr>
                <w:rFonts w:eastAsia="Times New Roman"/>
                <w:color w:val="000000"/>
                <w:lang w:eastAsia="ru-RU"/>
              </w:rPr>
              <w:t>тыс. руб.</w:t>
            </w:r>
          </w:p>
        </w:tc>
        <w:tc>
          <w:tcPr>
            <w:tcW w:w="2234" w:type="dxa"/>
            <w:shd w:val="clear" w:color="auto" w:fill="auto"/>
            <w:vAlign w:val="center"/>
            <w:hideMark/>
          </w:tcPr>
          <w:p w14:paraId="269AEE42" w14:textId="77777777" w:rsidR="009A4C46" w:rsidRPr="005C4743" w:rsidRDefault="009A4C46" w:rsidP="003E2802">
            <w:pPr>
              <w:spacing w:after="0" w:line="240" w:lineRule="auto"/>
              <w:jc w:val="center"/>
              <w:rPr>
                <w:rFonts w:eastAsia="Times New Roman"/>
                <w:color w:val="000000"/>
                <w:lang w:eastAsia="ru-RU"/>
              </w:rPr>
            </w:pPr>
            <w:r w:rsidRPr="005C4743">
              <w:rPr>
                <w:rFonts w:eastAsia="Times New Roman"/>
                <w:color w:val="000000"/>
                <w:lang w:eastAsia="ru-RU"/>
              </w:rPr>
              <w:t>9 144</w:t>
            </w:r>
          </w:p>
        </w:tc>
      </w:tr>
      <w:tr w:rsidR="009A4C46" w:rsidRPr="005C4743" w14:paraId="28974EA0" w14:textId="77777777" w:rsidTr="00874840">
        <w:trPr>
          <w:trHeight w:val="261"/>
        </w:trPr>
        <w:tc>
          <w:tcPr>
            <w:tcW w:w="4886" w:type="dxa"/>
            <w:shd w:val="clear" w:color="auto" w:fill="auto"/>
            <w:vAlign w:val="center"/>
            <w:hideMark/>
          </w:tcPr>
          <w:p w14:paraId="103796E5" w14:textId="77777777" w:rsidR="009A4C46" w:rsidRPr="005C4743" w:rsidRDefault="009A4C46" w:rsidP="009A4C46">
            <w:pPr>
              <w:spacing w:after="0" w:line="240" w:lineRule="auto"/>
              <w:rPr>
                <w:rFonts w:eastAsia="Times New Roman"/>
                <w:color w:val="000000"/>
                <w:lang w:eastAsia="ru-RU"/>
              </w:rPr>
            </w:pPr>
            <w:r w:rsidRPr="005C4743">
              <w:rPr>
                <w:rFonts w:eastAsia="Times New Roman"/>
                <w:color w:val="000000"/>
                <w:lang w:eastAsia="ru-RU"/>
              </w:rPr>
              <w:t xml:space="preserve">Прочие </w:t>
            </w:r>
          </w:p>
        </w:tc>
        <w:tc>
          <w:tcPr>
            <w:tcW w:w="2225" w:type="dxa"/>
            <w:vAlign w:val="center"/>
          </w:tcPr>
          <w:p w14:paraId="3FA489E6" w14:textId="77777777" w:rsidR="009A4C46" w:rsidRPr="005C4743" w:rsidRDefault="009A4C46" w:rsidP="00E169B0">
            <w:pPr>
              <w:spacing w:after="0" w:line="240" w:lineRule="auto"/>
              <w:jc w:val="center"/>
              <w:rPr>
                <w:rFonts w:eastAsia="Times New Roman"/>
                <w:color w:val="000000"/>
                <w:lang w:eastAsia="ru-RU"/>
              </w:rPr>
            </w:pPr>
            <w:r w:rsidRPr="005C4743">
              <w:rPr>
                <w:rFonts w:eastAsia="Times New Roman"/>
                <w:color w:val="000000"/>
                <w:lang w:eastAsia="ru-RU"/>
              </w:rPr>
              <w:t>тыс. руб.</w:t>
            </w:r>
          </w:p>
        </w:tc>
        <w:tc>
          <w:tcPr>
            <w:tcW w:w="2234" w:type="dxa"/>
            <w:shd w:val="clear" w:color="auto" w:fill="auto"/>
            <w:vAlign w:val="center"/>
            <w:hideMark/>
          </w:tcPr>
          <w:p w14:paraId="264B0F51" w14:textId="77777777" w:rsidR="009A4C46" w:rsidRPr="005C4743" w:rsidRDefault="009A4C46" w:rsidP="003E2802">
            <w:pPr>
              <w:spacing w:after="0" w:line="240" w:lineRule="auto"/>
              <w:jc w:val="center"/>
              <w:rPr>
                <w:rFonts w:eastAsia="Times New Roman"/>
                <w:color w:val="000000"/>
                <w:lang w:eastAsia="ru-RU"/>
              </w:rPr>
            </w:pPr>
            <w:r w:rsidRPr="005C4743">
              <w:rPr>
                <w:rFonts w:eastAsia="Times New Roman"/>
                <w:color w:val="000000"/>
                <w:lang w:eastAsia="ru-RU"/>
              </w:rPr>
              <w:t>1 129</w:t>
            </w:r>
          </w:p>
        </w:tc>
      </w:tr>
      <w:tr w:rsidR="009A4C46" w:rsidRPr="005C4743" w14:paraId="1C889589" w14:textId="77777777" w:rsidTr="00874840">
        <w:trPr>
          <w:trHeight w:val="261"/>
        </w:trPr>
        <w:tc>
          <w:tcPr>
            <w:tcW w:w="4886" w:type="dxa"/>
            <w:shd w:val="clear" w:color="auto" w:fill="auto"/>
            <w:vAlign w:val="center"/>
            <w:hideMark/>
          </w:tcPr>
          <w:p w14:paraId="4FB00C71" w14:textId="77777777" w:rsidR="009A4C46" w:rsidRPr="005C4743" w:rsidRDefault="009A4C46" w:rsidP="009A4C46">
            <w:pPr>
              <w:spacing w:after="0" w:line="240" w:lineRule="auto"/>
              <w:rPr>
                <w:rFonts w:eastAsia="Times New Roman"/>
                <w:b/>
                <w:color w:val="000000"/>
                <w:lang w:eastAsia="ru-RU"/>
              </w:rPr>
            </w:pPr>
            <w:r w:rsidRPr="005C4743">
              <w:rPr>
                <w:rFonts w:eastAsia="Times New Roman"/>
                <w:b/>
                <w:color w:val="000000"/>
                <w:lang w:eastAsia="ru-RU"/>
              </w:rPr>
              <w:t>Итого</w:t>
            </w:r>
          </w:p>
        </w:tc>
        <w:tc>
          <w:tcPr>
            <w:tcW w:w="2225" w:type="dxa"/>
            <w:vAlign w:val="center"/>
          </w:tcPr>
          <w:p w14:paraId="2FDA2D5C" w14:textId="77777777" w:rsidR="009A4C46" w:rsidRPr="005C4743" w:rsidRDefault="009A4C46" w:rsidP="00E169B0">
            <w:pPr>
              <w:spacing w:after="0" w:line="240" w:lineRule="auto"/>
              <w:jc w:val="center"/>
              <w:rPr>
                <w:rFonts w:eastAsia="Times New Roman"/>
                <w:b/>
                <w:color w:val="000000"/>
                <w:lang w:eastAsia="ru-RU"/>
              </w:rPr>
            </w:pPr>
            <w:r w:rsidRPr="005C4743">
              <w:rPr>
                <w:rFonts w:eastAsia="Times New Roman"/>
                <w:b/>
                <w:color w:val="000000"/>
                <w:lang w:eastAsia="ru-RU"/>
              </w:rPr>
              <w:t>тыс. руб.</w:t>
            </w:r>
          </w:p>
        </w:tc>
        <w:tc>
          <w:tcPr>
            <w:tcW w:w="2234" w:type="dxa"/>
            <w:shd w:val="clear" w:color="auto" w:fill="auto"/>
            <w:vAlign w:val="center"/>
            <w:hideMark/>
          </w:tcPr>
          <w:p w14:paraId="600AE1E2" w14:textId="77777777" w:rsidR="009A4C46" w:rsidRPr="005C4743" w:rsidRDefault="009A4C46" w:rsidP="003E2802">
            <w:pPr>
              <w:spacing w:after="0" w:line="240" w:lineRule="auto"/>
              <w:jc w:val="center"/>
              <w:rPr>
                <w:rFonts w:eastAsia="Times New Roman"/>
                <w:b/>
                <w:color w:val="000000"/>
                <w:lang w:eastAsia="ru-RU"/>
              </w:rPr>
            </w:pPr>
            <w:r w:rsidRPr="005C4743">
              <w:rPr>
                <w:rFonts w:eastAsia="Times New Roman"/>
                <w:b/>
                <w:color w:val="000000"/>
                <w:lang w:eastAsia="ru-RU"/>
              </w:rPr>
              <w:t>315 756</w:t>
            </w:r>
          </w:p>
        </w:tc>
      </w:tr>
    </w:tbl>
    <w:p w14:paraId="3EDD7AF7" w14:textId="77777777" w:rsidR="009A4C46" w:rsidRPr="00F94FED" w:rsidRDefault="009A4C46" w:rsidP="00F94FED">
      <w:pPr>
        <w:autoSpaceDE w:val="0"/>
        <w:autoSpaceDN w:val="0"/>
        <w:adjustRightInd w:val="0"/>
        <w:spacing w:after="0" w:line="360" w:lineRule="auto"/>
        <w:ind w:firstLine="567"/>
        <w:jc w:val="both"/>
        <w:rPr>
          <w:rFonts w:eastAsia="Times New Roman"/>
          <w:sz w:val="26"/>
          <w:szCs w:val="26"/>
          <w:lang w:eastAsia="ru-RU"/>
        </w:rPr>
      </w:pPr>
    </w:p>
    <w:p w14:paraId="51C33989" w14:textId="397FA3B3" w:rsidR="009A4C46" w:rsidRPr="00F94FED" w:rsidRDefault="009A4C46" w:rsidP="00F94FED">
      <w:pPr>
        <w:autoSpaceDE w:val="0"/>
        <w:autoSpaceDN w:val="0"/>
        <w:adjustRightInd w:val="0"/>
        <w:spacing w:after="0" w:line="360" w:lineRule="auto"/>
        <w:ind w:firstLine="567"/>
        <w:jc w:val="both"/>
        <w:rPr>
          <w:rFonts w:eastAsia="Times New Roman"/>
          <w:sz w:val="26"/>
          <w:szCs w:val="26"/>
          <w:lang w:eastAsia="ru-RU"/>
        </w:rPr>
      </w:pPr>
      <w:r w:rsidRPr="00F94FED">
        <w:rPr>
          <w:rFonts w:eastAsia="Times New Roman"/>
          <w:sz w:val="26"/>
          <w:szCs w:val="26"/>
          <w:lang w:eastAsia="ru-RU"/>
        </w:rPr>
        <w:t>Информация о плановом размере составляющих затратах, входящих в состав статьи «Прочие неподконтрольные расходы» в экспертном заключении Службы по тарифам Республики Тыва на 2017</w:t>
      </w:r>
      <w:r w:rsidR="009D7618">
        <w:rPr>
          <w:rFonts w:eastAsia="Times New Roman"/>
          <w:bCs/>
          <w:sz w:val="26"/>
          <w:szCs w:val="26"/>
          <w:lang w:eastAsia="ru-RU"/>
        </w:rPr>
        <w:t xml:space="preserve"> год</w:t>
      </w:r>
      <w:r w:rsidRPr="00F94FED">
        <w:rPr>
          <w:rFonts w:eastAsia="Times New Roman"/>
          <w:sz w:val="26"/>
          <w:szCs w:val="26"/>
          <w:lang w:eastAsia="ru-RU"/>
        </w:rPr>
        <w:t xml:space="preserve"> отсутствует. У Исполнителя отсутствует возможность провести анализ отклонений фактических затрат над плановыми.</w:t>
      </w:r>
    </w:p>
    <w:p w14:paraId="49831483" w14:textId="6CAD9B25" w:rsidR="009A4C46" w:rsidRPr="00F94FED" w:rsidRDefault="009A4C46" w:rsidP="00F94FED">
      <w:pPr>
        <w:autoSpaceDE w:val="0"/>
        <w:autoSpaceDN w:val="0"/>
        <w:adjustRightInd w:val="0"/>
        <w:spacing w:after="0" w:line="360" w:lineRule="auto"/>
        <w:ind w:firstLine="567"/>
        <w:jc w:val="both"/>
        <w:rPr>
          <w:rFonts w:eastAsia="Times New Roman"/>
          <w:sz w:val="26"/>
          <w:szCs w:val="26"/>
          <w:lang w:eastAsia="ru-RU"/>
        </w:rPr>
      </w:pPr>
      <w:r w:rsidRPr="00F94FED">
        <w:rPr>
          <w:rFonts w:eastAsia="Times New Roman"/>
          <w:sz w:val="26"/>
          <w:szCs w:val="26"/>
          <w:lang w:eastAsia="ru-RU"/>
        </w:rPr>
        <w:t>В качестве обосновывающи</w:t>
      </w:r>
      <w:r w:rsidR="00B61875">
        <w:rPr>
          <w:rFonts w:eastAsia="Times New Roman"/>
          <w:sz w:val="26"/>
          <w:szCs w:val="26"/>
          <w:lang w:eastAsia="ru-RU"/>
        </w:rPr>
        <w:t>х</w:t>
      </w:r>
      <w:r w:rsidRPr="00F94FED">
        <w:rPr>
          <w:rFonts w:eastAsia="Times New Roman"/>
          <w:sz w:val="26"/>
          <w:szCs w:val="26"/>
          <w:lang w:eastAsia="ru-RU"/>
        </w:rPr>
        <w:t xml:space="preserve"> документов, подтверждающи</w:t>
      </w:r>
      <w:r w:rsidR="00B61875">
        <w:rPr>
          <w:rFonts w:eastAsia="Times New Roman"/>
          <w:sz w:val="26"/>
          <w:szCs w:val="26"/>
          <w:lang w:eastAsia="ru-RU"/>
        </w:rPr>
        <w:t>х</w:t>
      </w:r>
      <w:r w:rsidRPr="00F94FED">
        <w:rPr>
          <w:rFonts w:eastAsia="Times New Roman"/>
          <w:sz w:val="26"/>
          <w:szCs w:val="26"/>
          <w:lang w:eastAsia="ru-RU"/>
        </w:rPr>
        <w:t xml:space="preserve"> фактические затраты</w:t>
      </w:r>
      <w:r w:rsidR="00B61875">
        <w:rPr>
          <w:rFonts w:eastAsia="Times New Roman"/>
          <w:sz w:val="26"/>
          <w:szCs w:val="26"/>
          <w:lang w:eastAsia="ru-RU"/>
        </w:rPr>
        <w:t>,</w:t>
      </w:r>
      <w:r w:rsidRPr="00F94FED">
        <w:rPr>
          <w:rFonts w:eastAsia="Times New Roman"/>
          <w:sz w:val="26"/>
          <w:szCs w:val="26"/>
          <w:lang w:eastAsia="ru-RU"/>
        </w:rPr>
        <w:t xml:space="preserve"> АО «Тываэнерго» были представлены в адрес Службы по тарифам Республики Тыва оборотно-сальдовой ведомости, налоговые декларации, </w:t>
      </w:r>
      <w:r w:rsidRPr="00F94FED">
        <w:rPr>
          <w:rFonts w:eastAsia="Times New Roman"/>
          <w:sz w:val="26"/>
          <w:szCs w:val="26"/>
          <w:lang w:eastAsia="ru-RU"/>
        </w:rPr>
        <w:lastRenderedPageBreak/>
        <w:t xml:space="preserve">расшифровка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так же размер фактических затрат, бухгалтерские и отчетные данные за 2017 год. Исполнитель отмечает, что </w:t>
      </w:r>
      <w:r w:rsidR="00B61875">
        <w:rPr>
          <w:rFonts w:eastAsia="Times New Roman"/>
          <w:sz w:val="26"/>
          <w:szCs w:val="26"/>
          <w:lang w:eastAsia="ru-RU"/>
        </w:rPr>
        <w:br/>
      </w:r>
      <w:r w:rsidRPr="00F94FED">
        <w:rPr>
          <w:rFonts w:eastAsia="Times New Roman"/>
          <w:sz w:val="26"/>
          <w:szCs w:val="26"/>
          <w:lang w:eastAsia="ru-RU"/>
        </w:rPr>
        <w:t>АО «Тываэнерго» не представлены в адрес Службы по тарифам Республики Тыва акты выполненных работ, договора.</w:t>
      </w:r>
    </w:p>
    <w:p w14:paraId="44B6B3F7" w14:textId="77777777" w:rsidR="009A4C46" w:rsidRPr="00F94FED" w:rsidRDefault="009A4C46" w:rsidP="00F94FED">
      <w:pPr>
        <w:autoSpaceDE w:val="0"/>
        <w:autoSpaceDN w:val="0"/>
        <w:adjustRightInd w:val="0"/>
        <w:spacing w:after="0" w:line="360" w:lineRule="auto"/>
        <w:ind w:firstLine="567"/>
        <w:jc w:val="both"/>
        <w:rPr>
          <w:rFonts w:eastAsia="Times New Roman"/>
          <w:sz w:val="26"/>
          <w:szCs w:val="26"/>
          <w:lang w:eastAsia="ru-RU"/>
        </w:rPr>
      </w:pPr>
      <w:r w:rsidRPr="00F94FED">
        <w:rPr>
          <w:rFonts w:eastAsia="Times New Roman"/>
          <w:sz w:val="26"/>
          <w:szCs w:val="26"/>
          <w:lang w:eastAsia="ru-RU"/>
        </w:rPr>
        <w:t>В соответствии с Методическими указаниями № 98-э при расчете корректировки неподконтрольных расходов исходя из фактических значений указанного параметра за 2017 год используются фактические значения неподконтрольных расходов за исключением расходов на финансирование капитальных вложений.</w:t>
      </w:r>
    </w:p>
    <w:p w14:paraId="74C5F927" w14:textId="55B7EA92" w:rsidR="009A4C46" w:rsidRDefault="009A4C46" w:rsidP="00B61875">
      <w:pPr>
        <w:autoSpaceDE w:val="0"/>
        <w:autoSpaceDN w:val="0"/>
        <w:adjustRightInd w:val="0"/>
        <w:spacing w:after="0" w:line="240" w:lineRule="auto"/>
        <w:jc w:val="center"/>
        <w:rPr>
          <w:rFonts w:eastAsia="Times New Roman"/>
          <w:b/>
          <w:iCs/>
          <w:sz w:val="26"/>
          <w:szCs w:val="26"/>
          <w:lang w:eastAsia="ru-RU"/>
        </w:rPr>
      </w:pPr>
      <w:r w:rsidRPr="00F94FED">
        <w:rPr>
          <w:rFonts w:eastAsia="Times New Roman"/>
          <w:b/>
          <w:iCs/>
          <w:sz w:val="26"/>
          <w:szCs w:val="26"/>
          <w:lang w:eastAsia="ru-RU"/>
        </w:rPr>
        <w:t>Сравнительный анализ плановых и фактических значений неподконтрольных расходов за исключением расходов на финансирование капитальных вложений</w:t>
      </w:r>
    </w:p>
    <w:p w14:paraId="0BAED7EE" w14:textId="77777777" w:rsidR="00B61875" w:rsidRPr="00F94FED" w:rsidRDefault="00B61875" w:rsidP="00B61875">
      <w:pPr>
        <w:autoSpaceDE w:val="0"/>
        <w:autoSpaceDN w:val="0"/>
        <w:adjustRightInd w:val="0"/>
        <w:spacing w:after="0" w:line="240" w:lineRule="auto"/>
        <w:jc w:val="center"/>
        <w:rPr>
          <w:rFonts w:eastAsia="Times New Roman"/>
          <w:b/>
          <w:iCs/>
          <w:sz w:val="26"/>
          <w:szCs w:val="26"/>
          <w:lang w:eastAsia="ru-RU"/>
        </w:rPr>
      </w:pPr>
    </w:p>
    <w:tbl>
      <w:tblPr>
        <w:tblW w:w="5083" w:type="pct"/>
        <w:tblLook w:val="04A0" w:firstRow="1" w:lastRow="0" w:firstColumn="1" w:lastColumn="0" w:noHBand="0" w:noVBand="1"/>
      </w:tblPr>
      <w:tblGrid>
        <w:gridCol w:w="1979"/>
        <w:gridCol w:w="918"/>
        <w:gridCol w:w="1203"/>
        <w:gridCol w:w="1339"/>
        <w:gridCol w:w="1173"/>
        <w:gridCol w:w="1285"/>
        <w:gridCol w:w="864"/>
        <w:gridCol w:w="739"/>
      </w:tblGrid>
      <w:tr w:rsidR="009A4C46" w:rsidRPr="009D7618" w14:paraId="0032EEB6" w14:textId="77777777" w:rsidTr="00874840">
        <w:trPr>
          <w:trHeight w:val="363"/>
          <w:tblHeader/>
        </w:trPr>
        <w:tc>
          <w:tcPr>
            <w:tcW w:w="104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9F4425B" w14:textId="77777777" w:rsidR="009A4C46" w:rsidRPr="00F94FED" w:rsidRDefault="009A4C46" w:rsidP="00874840">
            <w:pPr>
              <w:widowControl w:val="0"/>
              <w:spacing w:after="0" w:line="240" w:lineRule="auto"/>
              <w:jc w:val="center"/>
              <w:rPr>
                <w:rFonts w:eastAsia="Times New Roman"/>
                <w:b/>
                <w:color w:val="FFFFFF" w:themeColor="background1"/>
                <w:sz w:val="18"/>
                <w:szCs w:val="18"/>
                <w:lang w:eastAsia="ru-RU"/>
              </w:rPr>
            </w:pPr>
            <w:r w:rsidRPr="00F94FED">
              <w:rPr>
                <w:rFonts w:eastAsia="Times New Roman"/>
                <w:b/>
                <w:color w:val="FFFFFF" w:themeColor="background1"/>
                <w:sz w:val="18"/>
                <w:szCs w:val="18"/>
                <w:lang w:eastAsia="ru-RU"/>
              </w:rPr>
              <w:t>Показатель</w:t>
            </w:r>
          </w:p>
        </w:tc>
        <w:tc>
          <w:tcPr>
            <w:tcW w:w="48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AA27A31" w14:textId="77777777" w:rsidR="009A4C46" w:rsidRPr="00F94FED" w:rsidRDefault="009A4C46" w:rsidP="00874840">
            <w:pPr>
              <w:widowControl w:val="0"/>
              <w:spacing w:after="0" w:line="240" w:lineRule="auto"/>
              <w:jc w:val="center"/>
              <w:rPr>
                <w:rFonts w:eastAsia="Times New Roman"/>
                <w:b/>
                <w:color w:val="FFFFFF" w:themeColor="background1"/>
                <w:sz w:val="18"/>
                <w:szCs w:val="18"/>
                <w:lang w:eastAsia="ru-RU"/>
              </w:rPr>
            </w:pPr>
            <w:r w:rsidRPr="00F94FED">
              <w:rPr>
                <w:rFonts w:eastAsia="Times New Roman"/>
                <w:b/>
                <w:color w:val="FFFFFF" w:themeColor="background1"/>
                <w:sz w:val="18"/>
                <w:szCs w:val="18"/>
                <w:lang w:eastAsia="ru-RU"/>
              </w:rPr>
              <w:t>Ед. изм.</w:t>
            </w:r>
          </w:p>
        </w:tc>
        <w:tc>
          <w:tcPr>
            <w:tcW w:w="63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636A18A" w14:textId="21C5500C" w:rsidR="009A4C46" w:rsidRPr="00F94FED" w:rsidRDefault="005C4743" w:rsidP="00874840">
            <w:pPr>
              <w:widowControl w:val="0"/>
              <w:spacing w:after="0" w:line="240" w:lineRule="auto"/>
              <w:jc w:val="center"/>
              <w:rPr>
                <w:rFonts w:eastAsia="Times New Roman"/>
                <w:b/>
                <w:color w:val="FFFFFF" w:themeColor="background1"/>
                <w:sz w:val="18"/>
                <w:szCs w:val="18"/>
                <w:lang w:eastAsia="ru-RU"/>
              </w:rPr>
            </w:pPr>
            <w:r w:rsidRPr="00F94FED">
              <w:rPr>
                <w:rFonts w:eastAsia="Times New Roman"/>
                <w:b/>
                <w:color w:val="FFFFFF" w:themeColor="background1"/>
                <w:sz w:val="18"/>
                <w:szCs w:val="18"/>
                <w:lang w:eastAsia="ru-RU"/>
              </w:rPr>
              <w:t>П</w:t>
            </w:r>
            <w:r w:rsidR="009A4C46" w:rsidRPr="00F94FED">
              <w:rPr>
                <w:rFonts w:eastAsia="Times New Roman"/>
                <w:b/>
                <w:color w:val="FFFFFF" w:themeColor="background1"/>
                <w:sz w:val="18"/>
                <w:szCs w:val="18"/>
                <w:lang w:eastAsia="ru-RU"/>
              </w:rPr>
              <w:t>лан 2017 г.</w:t>
            </w:r>
          </w:p>
        </w:tc>
        <w:tc>
          <w:tcPr>
            <w:tcW w:w="1998"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8DFE8A7" w14:textId="299C9921" w:rsidR="009A4C46" w:rsidRPr="00F94FED" w:rsidRDefault="005C4743" w:rsidP="00874840">
            <w:pPr>
              <w:widowControl w:val="0"/>
              <w:spacing w:after="0" w:line="240" w:lineRule="auto"/>
              <w:jc w:val="center"/>
              <w:rPr>
                <w:rFonts w:eastAsia="Times New Roman"/>
                <w:b/>
                <w:color w:val="FFFFFF" w:themeColor="background1"/>
                <w:sz w:val="18"/>
                <w:szCs w:val="18"/>
                <w:lang w:eastAsia="ru-RU"/>
              </w:rPr>
            </w:pPr>
            <w:r w:rsidRPr="00F94FED">
              <w:rPr>
                <w:rFonts w:eastAsia="Times New Roman"/>
                <w:b/>
                <w:color w:val="FFFFFF" w:themeColor="background1"/>
                <w:sz w:val="18"/>
                <w:szCs w:val="18"/>
                <w:lang w:eastAsia="ru-RU"/>
              </w:rPr>
              <w:t>Ф</w:t>
            </w:r>
            <w:r w:rsidR="009A4C46" w:rsidRPr="00F94FED">
              <w:rPr>
                <w:rFonts w:eastAsia="Times New Roman"/>
                <w:b/>
                <w:color w:val="FFFFFF" w:themeColor="background1"/>
                <w:sz w:val="18"/>
                <w:szCs w:val="18"/>
                <w:lang w:eastAsia="ru-RU"/>
              </w:rPr>
              <w:t>акт 2017 г.</w:t>
            </w:r>
          </w:p>
        </w:tc>
        <w:tc>
          <w:tcPr>
            <w:tcW w:w="844" w:type="pct"/>
            <w:gridSpan w:val="2"/>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0ED0703" w14:textId="77777777" w:rsidR="009A4C46" w:rsidRPr="00F94FED" w:rsidRDefault="009A4C46" w:rsidP="00874840">
            <w:pPr>
              <w:widowControl w:val="0"/>
              <w:spacing w:after="0" w:line="240" w:lineRule="auto"/>
              <w:jc w:val="center"/>
              <w:rPr>
                <w:rFonts w:eastAsia="Times New Roman"/>
                <w:b/>
                <w:color w:val="FFFFFF" w:themeColor="background1"/>
                <w:sz w:val="18"/>
                <w:szCs w:val="18"/>
                <w:lang w:eastAsia="ru-RU"/>
              </w:rPr>
            </w:pPr>
            <w:r w:rsidRPr="00F94FED">
              <w:rPr>
                <w:rFonts w:eastAsia="Times New Roman"/>
                <w:b/>
                <w:color w:val="FFFFFF" w:themeColor="background1"/>
                <w:sz w:val="18"/>
                <w:szCs w:val="18"/>
                <w:lang w:eastAsia="ru-RU"/>
              </w:rPr>
              <w:t>Отклонение</w:t>
            </w:r>
          </w:p>
        </w:tc>
      </w:tr>
      <w:tr w:rsidR="00F94FED" w:rsidRPr="009D7618" w14:paraId="12F671AF" w14:textId="77777777" w:rsidTr="00874840">
        <w:trPr>
          <w:trHeight w:val="673"/>
          <w:tblHeader/>
        </w:trPr>
        <w:tc>
          <w:tcPr>
            <w:tcW w:w="104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CFC6FD1" w14:textId="77777777" w:rsidR="009A4C46" w:rsidRPr="00F94FED" w:rsidRDefault="009A4C46" w:rsidP="00874840">
            <w:pPr>
              <w:widowControl w:val="0"/>
              <w:spacing w:after="0" w:line="240" w:lineRule="auto"/>
              <w:jc w:val="center"/>
              <w:rPr>
                <w:rFonts w:eastAsia="Times New Roman"/>
                <w:b/>
                <w:color w:val="FFFFFF" w:themeColor="background1"/>
                <w:sz w:val="18"/>
                <w:szCs w:val="18"/>
                <w:lang w:eastAsia="ru-RU"/>
              </w:rPr>
            </w:pPr>
          </w:p>
        </w:tc>
        <w:tc>
          <w:tcPr>
            <w:tcW w:w="48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B5A8B81" w14:textId="77777777" w:rsidR="009A4C46" w:rsidRPr="00F94FED" w:rsidRDefault="009A4C46" w:rsidP="00874840">
            <w:pPr>
              <w:widowControl w:val="0"/>
              <w:spacing w:after="0" w:line="240" w:lineRule="auto"/>
              <w:jc w:val="center"/>
              <w:rPr>
                <w:rFonts w:eastAsia="Times New Roman"/>
                <w:b/>
                <w:color w:val="FFFFFF" w:themeColor="background1"/>
                <w:sz w:val="18"/>
                <w:szCs w:val="18"/>
                <w:lang w:eastAsia="ru-RU"/>
              </w:rPr>
            </w:pPr>
          </w:p>
        </w:tc>
        <w:tc>
          <w:tcPr>
            <w:tcW w:w="63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BA6AF47" w14:textId="77777777" w:rsidR="009A4C46" w:rsidRPr="00F94FED" w:rsidRDefault="009A4C46" w:rsidP="00874840">
            <w:pPr>
              <w:widowControl w:val="0"/>
              <w:spacing w:after="0" w:line="240" w:lineRule="auto"/>
              <w:jc w:val="center"/>
              <w:rPr>
                <w:rFonts w:eastAsia="Times New Roman"/>
                <w:b/>
                <w:color w:val="FFFFFF" w:themeColor="background1"/>
                <w:sz w:val="18"/>
                <w:szCs w:val="18"/>
                <w:lang w:eastAsia="ru-RU"/>
              </w:rPr>
            </w:pPr>
          </w:p>
        </w:tc>
        <w:tc>
          <w:tcPr>
            <w:tcW w:w="70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49F0158" w14:textId="61486C77" w:rsidR="009A4C46" w:rsidRPr="00F94FED" w:rsidRDefault="009A4C46" w:rsidP="00874840">
            <w:pPr>
              <w:widowControl w:val="0"/>
              <w:spacing w:after="0" w:line="240" w:lineRule="auto"/>
              <w:jc w:val="center"/>
              <w:rPr>
                <w:rFonts w:eastAsia="Times New Roman"/>
                <w:b/>
                <w:color w:val="FFFFFF" w:themeColor="background1"/>
                <w:sz w:val="18"/>
                <w:szCs w:val="18"/>
                <w:lang w:eastAsia="ru-RU"/>
              </w:rPr>
            </w:pPr>
            <w:r w:rsidRPr="00F94FED">
              <w:rPr>
                <w:rFonts w:eastAsia="Times New Roman"/>
                <w:b/>
                <w:color w:val="FFFFFF" w:themeColor="background1"/>
                <w:sz w:val="18"/>
                <w:szCs w:val="18"/>
                <w:lang w:eastAsia="ru-RU"/>
              </w:rPr>
              <w:t xml:space="preserve">Заявлено </w:t>
            </w:r>
            <w:r w:rsidR="00F210D6">
              <w:rPr>
                <w:rFonts w:eastAsia="Times New Roman"/>
                <w:b/>
                <w:color w:val="FFFFFF" w:themeColor="background1"/>
                <w:sz w:val="18"/>
                <w:szCs w:val="18"/>
                <w:lang w:eastAsia="ru-RU"/>
              </w:rPr>
              <w:br/>
            </w:r>
            <w:r w:rsidRPr="00F94FED">
              <w:rPr>
                <w:rFonts w:eastAsia="Times New Roman"/>
                <w:b/>
                <w:color w:val="FFFFFF" w:themeColor="background1"/>
                <w:sz w:val="18"/>
                <w:szCs w:val="18"/>
                <w:lang w:eastAsia="ru-RU"/>
              </w:rPr>
              <w:t xml:space="preserve">АО </w:t>
            </w:r>
            <w:r w:rsidR="005C4743" w:rsidRPr="00F94FED">
              <w:rPr>
                <w:rFonts w:eastAsia="Times New Roman"/>
                <w:b/>
                <w:color w:val="FFFFFF" w:themeColor="background1"/>
                <w:sz w:val="18"/>
                <w:szCs w:val="18"/>
                <w:lang w:eastAsia="ru-RU"/>
              </w:rPr>
              <w:t>«</w:t>
            </w:r>
            <w:r w:rsidRPr="00F94FED">
              <w:rPr>
                <w:rFonts w:eastAsia="Times New Roman"/>
                <w:b/>
                <w:color w:val="FFFFFF" w:themeColor="background1"/>
                <w:sz w:val="18"/>
                <w:szCs w:val="18"/>
                <w:lang w:eastAsia="ru-RU"/>
              </w:rPr>
              <w:t>Тываэнерго</w:t>
            </w:r>
            <w:r w:rsidR="005C4743" w:rsidRPr="00F94FED">
              <w:rPr>
                <w:rFonts w:eastAsia="Times New Roman"/>
                <w:b/>
                <w:color w:val="FFFFFF" w:themeColor="background1"/>
                <w:sz w:val="18"/>
                <w:szCs w:val="18"/>
                <w:lang w:eastAsia="ru-RU"/>
              </w:rPr>
              <w:t>»</w:t>
            </w:r>
          </w:p>
        </w:tc>
        <w:tc>
          <w:tcPr>
            <w:tcW w:w="61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30382E8" w14:textId="77777777" w:rsidR="009A4C46" w:rsidRPr="00F94FED" w:rsidRDefault="009A4C46" w:rsidP="00874840">
            <w:pPr>
              <w:widowControl w:val="0"/>
              <w:spacing w:after="0" w:line="240" w:lineRule="auto"/>
              <w:jc w:val="center"/>
              <w:rPr>
                <w:rFonts w:eastAsia="Times New Roman"/>
                <w:b/>
                <w:color w:val="FFFFFF" w:themeColor="background1"/>
                <w:sz w:val="18"/>
                <w:szCs w:val="18"/>
                <w:lang w:eastAsia="ru-RU"/>
              </w:rPr>
            </w:pPr>
            <w:r w:rsidRPr="00F94FED">
              <w:rPr>
                <w:rFonts w:eastAsia="Times New Roman"/>
                <w:b/>
                <w:color w:val="FFFFFF" w:themeColor="background1"/>
                <w:sz w:val="18"/>
                <w:szCs w:val="18"/>
                <w:lang w:eastAsia="ru-RU"/>
              </w:rPr>
              <w:t>Принято Службой по тарифам Республики Тыва</w:t>
            </w:r>
          </w:p>
        </w:tc>
        <w:tc>
          <w:tcPr>
            <w:tcW w:w="67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8C1D45F" w14:textId="77777777" w:rsidR="009A4C46" w:rsidRPr="00F94FED" w:rsidRDefault="009A4C46" w:rsidP="00874840">
            <w:pPr>
              <w:widowControl w:val="0"/>
              <w:spacing w:after="0" w:line="240" w:lineRule="auto"/>
              <w:jc w:val="center"/>
              <w:rPr>
                <w:rFonts w:eastAsia="Times New Roman"/>
                <w:b/>
                <w:color w:val="FFFFFF" w:themeColor="background1"/>
                <w:sz w:val="18"/>
                <w:szCs w:val="18"/>
                <w:lang w:eastAsia="ru-RU"/>
              </w:rPr>
            </w:pPr>
            <w:r w:rsidRPr="00F94FED">
              <w:rPr>
                <w:rFonts w:eastAsia="Times New Roman"/>
                <w:b/>
                <w:color w:val="FFFFFF" w:themeColor="background1"/>
                <w:sz w:val="18"/>
                <w:szCs w:val="18"/>
                <w:lang w:eastAsia="ru-RU"/>
              </w:rPr>
              <w:t>Позиция Исполнителя</w:t>
            </w:r>
          </w:p>
        </w:tc>
        <w:tc>
          <w:tcPr>
            <w:tcW w:w="844" w:type="pct"/>
            <w:gridSpan w:val="2"/>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EFD3566" w14:textId="77777777" w:rsidR="009A4C46" w:rsidRPr="00F94FED" w:rsidRDefault="009A4C46" w:rsidP="00874840">
            <w:pPr>
              <w:widowControl w:val="0"/>
              <w:spacing w:after="0" w:line="240" w:lineRule="auto"/>
              <w:jc w:val="center"/>
              <w:rPr>
                <w:rFonts w:eastAsia="Times New Roman"/>
                <w:b/>
                <w:color w:val="FFFFFF" w:themeColor="background1"/>
                <w:sz w:val="18"/>
                <w:szCs w:val="18"/>
                <w:lang w:eastAsia="ru-RU"/>
              </w:rPr>
            </w:pPr>
          </w:p>
        </w:tc>
      </w:tr>
      <w:tr w:rsidR="00F94FED" w:rsidRPr="009D7618" w14:paraId="239574DC" w14:textId="77777777" w:rsidTr="00874840">
        <w:trPr>
          <w:trHeight w:val="356"/>
          <w:tblHeader/>
        </w:trPr>
        <w:tc>
          <w:tcPr>
            <w:tcW w:w="104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3740212" w14:textId="77777777" w:rsidR="009A4C46" w:rsidRPr="00F94FED" w:rsidRDefault="009A4C46" w:rsidP="00874840">
            <w:pPr>
              <w:widowControl w:val="0"/>
              <w:spacing w:after="0" w:line="240" w:lineRule="auto"/>
              <w:jc w:val="center"/>
              <w:rPr>
                <w:rFonts w:eastAsia="Times New Roman"/>
                <w:b/>
                <w:color w:val="FFFFFF" w:themeColor="background1"/>
                <w:sz w:val="18"/>
                <w:szCs w:val="18"/>
                <w:lang w:eastAsia="ru-RU"/>
              </w:rPr>
            </w:pPr>
            <w:r w:rsidRPr="00F94FED">
              <w:rPr>
                <w:rFonts w:eastAsia="Times New Roman"/>
                <w:b/>
                <w:color w:val="FFFFFF" w:themeColor="background1"/>
                <w:sz w:val="18"/>
                <w:szCs w:val="18"/>
                <w:lang w:eastAsia="ru-RU"/>
              </w:rPr>
              <w:t>1</w:t>
            </w:r>
          </w:p>
        </w:tc>
        <w:tc>
          <w:tcPr>
            <w:tcW w:w="4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480288E" w14:textId="77777777" w:rsidR="009A4C46" w:rsidRPr="00F94FED" w:rsidRDefault="009A4C46" w:rsidP="00874840">
            <w:pPr>
              <w:widowControl w:val="0"/>
              <w:spacing w:after="0" w:line="240" w:lineRule="auto"/>
              <w:jc w:val="center"/>
              <w:rPr>
                <w:rFonts w:eastAsia="Times New Roman"/>
                <w:b/>
                <w:color w:val="FFFFFF" w:themeColor="background1"/>
                <w:sz w:val="18"/>
                <w:szCs w:val="18"/>
                <w:lang w:eastAsia="ru-RU"/>
              </w:rPr>
            </w:pPr>
            <w:r w:rsidRPr="00F94FED">
              <w:rPr>
                <w:rFonts w:eastAsia="Times New Roman"/>
                <w:b/>
                <w:color w:val="FFFFFF" w:themeColor="background1"/>
                <w:sz w:val="18"/>
                <w:szCs w:val="18"/>
                <w:lang w:eastAsia="ru-RU"/>
              </w:rPr>
              <w:t>2</w:t>
            </w:r>
          </w:p>
        </w:tc>
        <w:tc>
          <w:tcPr>
            <w:tcW w:w="63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3A0BC62" w14:textId="77777777" w:rsidR="009A4C46" w:rsidRPr="00F94FED" w:rsidRDefault="009A4C46" w:rsidP="00874840">
            <w:pPr>
              <w:widowControl w:val="0"/>
              <w:spacing w:after="0" w:line="240" w:lineRule="auto"/>
              <w:jc w:val="center"/>
              <w:rPr>
                <w:rFonts w:eastAsia="Times New Roman"/>
                <w:b/>
                <w:color w:val="FFFFFF" w:themeColor="background1"/>
                <w:sz w:val="18"/>
                <w:szCs w:val="18"/>
                <w:lang w:eastAsia="ru-RU"/>
              </w:rPr>
            </w:pPr>
            <w:r w:rsidRPr="00F94FED">
              <w:rPr>
                <w:rFonts w:eastAsia="Times New Roman"/>
                <w:b/>
                <w:color w:val="FFFFFF" w:themeColor="background1"/>
                <w:sz w:val="18"/>
                <w:szCs w:val="18"/>
                <w:lang w:eastAsia="ru-RU"/>
              </w:rPr>
              <w:t>3</w:t>
            </w:r>
          </w:p>
        </w:tc>
        <w:tc>
          <w:tcPr>
            <w:tcW w:w="70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867CB8C" w14:textId="77777777" w:rsidR="009A4C46" w:rsidRPr="00F94FED" w:rsidRDefault="009A4C46" w:rsidP="00874840">
            <w:pPr>
              <w:widowControl w:val="0"/>
              <w:spacing w:after="0" w:line="240" w:lineRule="auto"/>
              <w:jc w:val="center"/>
              <w:rPr>
                <w:rFonts w:eastAsia="Times New Roman"/>
                <w:b/>
                <w:color w:val="FFFFFF" w:themeColor="background1"/>
                <w:sz w:val="18"/>
                <w:szCs w:val="18"/>
                <w:lang w:eastAsia="ru-RU"/>
              </w:rPr>
            </w:pPr>
            <w:r w:rsidRPr="00F94FED">
              <w:rPr>
                <w:rFonts w:eastAsia="Times New Roman"/>
                <w:b/>
                <w:color w:val="FFFFFF" w:themeColor="background1"/>
                <w:sz w:val="18"/>
                <w:szCs w:val="18"/>
                <w:lang w:eastAsia="ru-RU"/>
              </w:rPr>
              <w:t>4</w:t>
            </w:r>
          </w:p>
        </w:tc>
        <w:tc>
          <w:tcPr>
            <w:tcW w:w="61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0F8B2CA" w14:textId="77777777" w:rsidR="009A4C46" w:rsidRPr="00F94FED" w:rsidRDefault="009A4C46" w:rsidP="00874840">
            <w:pPr>
              <w:widowControl w:val="0"/>
              <w:spacing w:after="0" w:line="240" w:lineRule="auto"/>
              <w:jc w:val="center"/>
              <w:rPr>
                <w:rFonts w:eastAsia="Times New Roman"/>
                <w:b/>
                <w:color w:val="FFFFFF" w:themeColor="background1"/>
                <w:sz w:val="18"/>
                <w:szCs w:val="18"/>
                <w:lang w:eastAsia="ru-RU"/>
              </w:rPr>
            </w:pPr>
            <w:r w:rsidRPr="00F94FED">
              <w:rPr>
                <w:rFonts w:eastAsia="Times New Roman"/>
                <w:b/>
                <w:color w:val="FFFFFF" w:themeColor="background1"/>
                <w:sz w:val="18"/>
                <w:szCs w:val="18"/>
                <w:lang w:eastAsia="ru-RU"/>
              </w:rPr>
              <w:t>5</w:t>
            </w:r>
          </w:p>
        </w:tc>
        <w:tc>
          <w:tcPr>
            <w:tcW w:w="67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FEFF608" w14:textId="77777777" w:rsidR="009A4C46" w:rsidRPr="00F94FED" w:rsidRDefault="009A4C46" w:rsidP="00874840">
            <w:pPr>
              <w:widowControl w:val="0"/>
              <w:spacing w:after="0" w:line="240" w:lineRule="auto"/>
              <w:jc w:val="center"/>
              <w:rPr>
                <w:rFonts w:eastAsia="Times New Roman"/>
                <w:b/>
                <w:color w:val="FFFFFF" w:themeColor="background1"/>
                <w:sz w:val="18"/>
                <w:szCs w:val="18"/>
                <w:lang w:eastAsia="ru-RU"/>
              </w:rPr>
            </w:pPr>
            <w:r w:rsidRPr="00F94FED">
              <w:rPr>
                <w:rFonts w:eastAsia="Times New Roman"/>
                <w:b/>
                <w:color w:val="FFFFFF" w:themeColor="background1"/>
                <w:sz w:val="18"/>
                <w:szCs w:val="18"/>
                <w:lang w:eastAsia="ru-RU"/>
              </w:rPr>
              <w:t>6</w:t>
            </w:r>
          </w:p>
        </w:tc>
        <w:tc>
          <w:tcPr>
            <w:tcW w:w="45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3BE541F" w14:textId="77777777" w:rsidR="009A4C46" w:rsidRPr="00F94FED" w:rsidRDefault="009A4C46" w:rsidP="00874840">
            <w:pPr>
              <w:widowControl w:val="0"/>
              <w:spacing w:after="0" w:line="240" w:lineRule="auto"/>
              <w:jc w:val="center"/>
              <w:rPr>
                <w:rFonts w:eastAsia="Times New Roman"/>
                <w:b/>
                <w:color w:val="FFFFFF" w:themeColor="background1"/>
                <w:sz w:val="18"/>
                <w:szCs w:val="18"/>
                <w:lang w:eastAsia="ru-RU"/>
              </w:rPr>
            </w:pPr>
            <w:r w:rsidRPr="00F94FED">
              <w:rPr>
                <w:rFonts w:eastAsia="Times New Roman"/>
                <w:b/>
                <w:color w:val="FFFFFF" w:themeColor="background1"/>
                <w:sz w:val="18"/>
                <w:szCs w:val="18"/>
                <w:lang w:eastAsia="ru-RU"/>
              </w:rPr>
              <w:t>7=6-4</w:t>
            </w:r>
          </w:p>
        </w:tc>
        <w:tc>
          <w:tcPr>
            <w:tcW w:w="38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7ADDA1E" w14:textId="77777777" w:rsidR="009A4C46" w:rsidRPr="00F94FED" w:rsidRDefault="009A4C46" w:rsidP="00874840">
            <w:pPr>
              <w:widowControl w:val="0"/>
              <w:spacing w:after="0" w:line="240" w:lineRule="auto"/>
              <w:jc w:val="center"/>
              <w:rPr>
                <w:rFonts w:eastAsia="Times New Roman"/>
                <w:b/>
                <w:color w:val="FFFFFF" w:themeColor="background1"/>
                <w:sz w:val="18"/>
                <w:szCs w:val="18"/>
                <w:lang w:eastAsia="ru-RU"/>
              </w:rPr>
            </w:pPr>
            <w:r w:rsidRPr="00F94FED">
              <w:rPr>
                <w:rFonts w:eastAsia="Times New Roman"/>
                <w:b/>
                <w:color w:val="FFFFFF" w:themeColor="background1"/>
                <w:sz w:val="18"/>
                <w:szCs w:val="18"/>
                <w:lang w:eastAsia="ru-RU"/>
              </w:rPr>
              <w:t>8=6-5</w:t>
            </w:r>
          </w:p>
        </w:tc>
      </w:tr>
      <w:tr w:rsidR="009A4C46" w:rsidRPr="009D7618" w14:paraId="0AAD1038" w14:textId="77777777" w:rsidTr="00874840">
        <w:trPr>
          <w:trHeight w:val="1155"/>
        </w:trPr>
        <w:tc>
          <w:tcPr>
            <w:tcW w:w="1042"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37B0EC19" w14:textId="77777777" w:rsidR="009A4C46" w:rsidRPr="009D7618" w:rsidRDefault="009A4C46" w:rsidP="00874840">
            <w:pPr>
              <w:widowControl w:val="0"/>
              <w:spacing w:after="0" w:line="240" w:lineRule="auto"/>
              <w:rPr>
                <w:rFonts w:eastAsia="Times New Roman"/>
                <w:b/>
                <w:bCs/>
                <w:color w:val="000000"/>
                <w:sz w:val="18"/>
                <w:szCs w:val="18"/>
                <w:lang w:eastAsia="ru-RU"/>
              </w:rPr>
            </w:pPr>
            <w:r w:rsidRPr="00E169B0">
              <w:rPr>
                <w:rFonts w:eastAsia="Times New Roman"/>
                <w:b/>
                <w:bCs/>
                <w:color w:val="000000"/>
                <w:sz w:val="18"/>
                <w:szCs w:val="18"/>
                <w:lang w:eastAsia="ru-RU"/>
              </w:rPr>
              <w:t xml:space="preserve">Неподконтрольные расходы (за </w:t>
            </w:r>
            <w:r w:rsidRPr="003E2802">
              <w:rPr>
                <w:rFonts w:eastAsia="Times New Roman"/>
                <w:b/>
                <w:bCs/>
                <w:color w:val="000000"/>
                <w:sz w:val="18"/>
                <w:szCs w:val="18"/>
                <w:lang w:eastAsia="ru-RU"/>
              </w:rPr>
              <w:t>исключением р</w:t>
            </w:r>
            <w:r w:rsidRPr="009D7618">
              <w:rPr>
                <w:rFonts w:eastAsia="Times New Roman"/>
                <w:b/>
                <w:bCs/>
                <w:color w:val="000000"/>
                <w:sz w:val="18"/>
                <w:szCs w:val="18"/>
                <w:lang w:eastAsia="ru-RU"/>
              </w:rPr>
              <w:t>асходов на финансирование капитальных вложений)</w:t>
            </w:r>
          </w:p>
        </w:tc>
        <w:tc>
          <w:tcPr>
            <w:tcW w:w="483"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195E3C33" w14:textId="77777777" w:rsidR="009A4C46" w:rsidRPr="009D7618" w:rsidRDefault="009A4C46" w:rsidP="00874840">
            <w:pPr>
              <w:widowControl w:val="0"/>
              <w:spacing w:after="0" w:line="240" w:lineRule="auto"/>
              <w:jc w:val="center"/>
              <w:rPr>
                <w:rFonts w:eastAsia="Times New Roman"/>
                <w:b/>
                <w:bCs/>
                <w:color w:val="000000"/>
                <w:sz w:val="18"/>
                <w:szCs w:val="18"/>
                <w:lang w:eastAsia="ru-RU"/>
              </w:rPr>
            </w:pPr>
            <w:r w:rsidRPr="009D7618">
              <w:rPr>
                <w:rFonts w:eastAsia="Times New Roman"/>
                <w:b/>
                <w:bCs/>
                <w:color w:val="000000"/>
                <w:sz w:val="18"/>
                <w:szCs w:val="18"/>
                <w:lang w:eastAsia="ru-RU"/>
              </w:rPr>
              <w:t>тыс. руб.</w:t>
            </w:r>
          </w:p>
        </w:tc>
        <w:tc>
          <w:tcPr>
            <w:tcW w:w="633"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4F381E15" w14:textId="77777777" w:rsidR="009A4C46" w:rsidRPr="009D7618" w:rsidRDefault="009A4C46" w:rsidP="00874840">
            <w:pPr>
              <w:widowControl w:val="0"/>
              <w:spacing w:after="0" w:line="240" w:lineRule="auto"/>
              <w:jc w:val="center"/>
              <w:rPr>
                <w:rFonts w:eastAsia="Times New Roman"/>
                <w:b/>
                <w:bCs/>
                <w:color w:val="000000"/>
                <w:sz w:val="18"/>
                <w:szCs w:val="18"/>
                <w:lang w:eastAsia="ru-RU"/>
              </w:rPr>
            </w:pPr>
            <w:r w:rsidRPr="009D7618">
              <w:rPr>
                <w:rFonts w:eastAsia="Times New Roman"/>
                <w:b/>
                <w:bCs/>
                <w:color w:val="000000"/>
                <w:sz w:val="18"/>
                <w:szCs w:val="18"/>
                <w:lang w:val="en-US" w:eastAsia="ru-RU"/>
              </w:rPr>
              <w:t>480 967</w:t>
            </w:r>
          </w:p>
        </w:tc>
        <w:tc>
          <w:tcPr>
            <w:tcW w:w="705"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36E6F641" w14:textId="77777777" w:rsidR="009A4C46" w:rsidRPr="009D7618" w:rsidRDefault="009A4C46" w:rsidP="00874840">
            <w:pPr>
              <w:widowControl w:val="0"/>
              <w:spacing w:after="0" w:line="240" w:lineRule="auto"/>
              <w:jc w:val="center"/>
              <w:rPr>
                <w:rFonts w:eastAsia="Times New Roman"/>
                <w:b/>
                <w:bCs/>
                <w:color w:val="000000"/>
                <w:sz w:val="18"/>
                <w:szCs w:val="18"/>
                <w:lang w:eastAsia="ru-RU"/>
              </w:rPr>
            </w:pPr>
            <w:r w:rsidRPr="009D7618">
              <w:rPr>
                <w:rFonts w:eastAsia="Times New Roman"/>
                <w:b/>
                <w:bCs/>
                <w:color w:val="000000"/>
                <w:sz w:val="18"/>
                <w:szCs w:val="18"/>
                <w:lang w:val="en-US" w:eastAsia="ru-RU"/>
              </w:rPr>
              <w:t>671 091</w:t>
            </w:r>
          </w:p>
        </w:tc>
        <w:tc>
          <w:tcPr>
            <w:tcW w:w="617"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5581E14C" w14:textId="77777777" w:rsidR="009A4C46" w:rsidRPr="009D7618" w:rsidRDefault="009A4C46" w:rsidP="00874840">
            <w:pPr>
              <w:widowControl w:val="0"/>
              <w:spacing w:after="0" w:line="240" w:lineRule="auto"/>
              <w:jc w:val="center"/>
              <w:rPr>
                <w:rFonts w:eastAsia="Times New Roman"/>
                <w:b/>
                <w:bCs/>
                <w:color w:val="000000"/>
                <w:sz w:val="18"/>
                <w:szCs w:val="18"/>
                <w:lang w:eastAsia="ru-RU"/>
              </w:rPr>
            </w:pPr>
            <w:r w:rsidRPr="009D7618">
              <w:rPr>
                <w:rFonts w:eastAsia="Times New Roman"/>
                <w:b/>
                <w:bCs/>
                <w:color w:val="000000"/>
                <w:sz w:val="18"/>
                <w:szCs w:val="18"/>
                <w:lang w:eastAsia="ru-RU"/>
              </w:rPr>
              <w:t>636 599</w:t>
            </w:r>
          </w:p>
        </w:tc>
        <w:tc>
          <w:tcPr>
            <w:tcW w:w="676"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72ACF799" w14:textId="77777777" w:rsidR="009A4C46" w:rsidRPr="009D7618" w:rsidRDefault="009A4C46" w:rsidP="00874840">
            <w:pPr>
              <w:widowControl w:val="0"/>
              <w:spacing w:after="0" w:line="240" w:lineRule="auto"/>
              <w:jc w:val="center"/>
              <w:rPr>
                <w:rFonts w:eastAsia="Times New Roman"/>
                <w:b/>
                <w:bCs/>
                <w:color w:val="000000"/>
                <w:sz w:val="18"/>
                <w:szCs w:val="18"/>
                <w:lang w:eastAsia="ru-RU"/>
              </w:rPr>
            </w:pPr>
            <w:r w:rsidRPr="009D7618">
              <w:rPr>
                <w:rFonts w:eastAsia="Times New Roman"/>
                <w:b/>
                <w:bCs/>
                <w:color w:val="000000"/>
                <w:sz w:val="18"/>
                <w:szCs w:val="18"/>
                <w:lang w:eastAsia="ru-RU"/>
              </w:rPr>
              <w:t>671 091</w:t>
            </w:r>
          </w:p>
        </w:tc>
        <w:tc>
          <w:tcPr>
            <w:tcW w:w="455"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70A3A45C" w14:textId="77777777" w:rsidR="009A4C46" w:rsidRPr="009D7618" w:rsidRDefault="009A4C46" w:rsidP="00874840">
            <w:pPr>
              <w:widowControl w:val="0"/>
              <w:spacing w:after="0" w:line="240" w:lineRule="auto"/>
              <w:jc w:val="center"/>
              <w:rPr>
                <w:rFonts w:eastAsia="Times New Roman"/>
                <w:b/>
                <w:bCs/>
                <w:color w:val="000000"/>
                <w:sz w:val="18"/>
                <w:szCs w:val="18"/>
                <w:lang w:eastAsia="ru-RU"/>
              </w:rPr>
            </w:pPr>
            <w:r w:rsidRPr="009D7618">
              <w:rPr>
                <w:rFonts w:eastAsia="Times New Roman"/>
                <w:b/>
                <w:bCs/>
                <w:color w:val="000000"/>
                <w:sz w:val="18"/>
                <w:szCs w:val="18"/>
                <w:lang w:eastAsia="ru-RU"/>
              </w:rPr>
              <w:t>34 492</w:t>
            </w:r>
          </w:p>
        </w:tc>
        <w:tc>
          <w:tcPr>
            <w:tcW w:w="388"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50E56052" w14:textId="77777777" w:rsidR="009A4C46" w:rsidRPr="009D7618" w:rsidRDefault="009A4C46" w:rsidP="00874840">
            <w:pPr>
              <w:widowControl w:val="0"/>
              <w:spacing w:after="0" w:line="240" w:lineRule="auto"/>
              <w:jc w:val="center"/>
              <w:rPr>
                <w:rFonts w:eastAsia="Times New Roman"/>
                <w:b/>
                <w:bCs/>
                <w:color w:val="000000"/>
                <w:sz w:val="18"/>
                <w:szCs w:val="18"/>
                <w:lang w:eastAsia="ru-RU"/>
              </w:rPr>
            </w:pPr>
            <w:r w:rsidRPr="009D7618">
              <w:rPr>
                <w:rFonts w:eastAsia="Times New Roman"/>
                <w:b/>
                <w:bCs/>
                <w:color w:val="000000"/>
                <w:sz w:val="18"/>
                <w:szCs w:val="18"/>
                <w:lang w:val="en-US" w:eastAsia="ru-RU"/>
              </w:rPr>
              <w:t>34 492</w:t>
            </w:r>
          </w:p>
        </w:tc>
      </w:tr>
      <w:tr w:rsidR="009A4C46" w:rsidRPr="009D7618" w14:paraId="60A9E23B" w14:textId="77777777" w:rsidTr="00874840">
        <w:trPr>
          <w:trHeight w:val="449"/>
        </w:trPr>
        <w:tc>
          <w:tcPr>
            <w:tcW w:w="1042" w:type="pct"/>
            <w:tcBorders>
              <w:top w:val="nil"/>
              <w:left w:val="single" w:sz="4" w:space="0" w:color="auto"/>
              <w:bottom w:val="single" w:sz="4" w:space="0" w:color="auto"/>
              <w:right w:val="single" w:sz="4" w:space="0" w:color="auto"/>
            </w:tcBorders>
            <w:shd w:val="clear" w:color="auto" w:fill="auto"/>
            <w:vAlign w:val="center"/>
            <w:hideMark/>
          </w:tcPr>
          <w:p w14:paraId="2C53F36F" w14:textId="77777777" w:rsidR="009A4C46" w:rsidRPr="009D7618" w:rsidRDefault="009A4C46" w:rsidP="00874840">
            <w:pPr>
              <w:widowControl w:val="0"/>
              <w:spacing w:after="0" w:line="240" w:lineRule="auto"/>
              <w:rPr>
                <w:rFonts w:eastAsia="Times New Roman"/>
                <w:color w:val="000000"/>
                <w:sz w:val="18"/>
                <w:szCs w:val="18"/>
                <w:lang w:eastAsia="ru-RU"/>
              </w:rPr>
            </w:pPr>
            <w:r w:rsidRPr="00E169B0">
              <w:rPr>
                <w:rFonts w:eastAsia="Times New Roman"/>
                <w:color w:val="000000"/>
                <w:sz w:val="18"/>
                <w:szCs w:val="18"/>
                <w:lang w:eastAsia="ru-RU"/>
              </w:rPr>
              <w:t>Оплата услуг ПАО</w:t>
            </w:r>
            <w:r w:rsidRPr="003E2802">
              <w:rPr>
                <w:rFonts w:eastAsia="Times New Roman"/>
                <w:color w:val="000000"/>
                <w:sz w:val="18"/>
                <w:szCs w:val="18"/>
                <w:lang w:eastAsia="ru-RU"/>
              </w:rPr>
              <w:t xml:space="preserve"> «ФСК ЕЭС»</w:t>
            </w:r>
          </w:p>
        </w:tc>
        <w:tc>
          <w:tcPr>
            <w:tcW w:w="483" w:type="pct"/>
            <w:tcBorders>
              <w:top w:val="nil"/>
              <w:left w:val="nil"/>
              <w:bottom w:val="single" w:sz="4" w:space="0" w:color="auto"/>
              <w:right w:val="single" w:sz="4" w:space="0" w:color="auto"/>
            </w:tcBorders>
            <w:shd w:val="clear" w:color="auto" w:fill="auto"/>
            <w:noWrap/>
            <w:vAlign w:val="center"/>
            <w:hideMark/>
          </w:tcPr>
          <w:p w14:paraId="2BAEC0EB" w14:textId="77777777" w:rsidR="009A4C46" w:rsidRPr="009D7618" w:rsidRDefault="009A4C46" w:rsidP="00874840">
            <w:pPr>
              <w:widowControl w:val="0"/>
              <w:spacing w:after="0" w:line="240" w:lineRule="auto"/>
              <w:jc w:val="center"/>
              <w:rPr>
                <w:rFonts w:eastAsia="Times New Roman"/>
                <w:color w:val="000000"/>
                <w:sz w:val="18"/>
                <w:szCs w:val="18"/>
                <w:lang w:eastAsia="ru-RU"/>
              </w:rPr>
            </w:pPr>
            <w:r w:rsidRPr="009D7618">
              <w:rPr>
                <w:rFonts w:eastAsia="Times New Roman"/>
                <w:color w:val="000000"/>
                <w:sz w:val="18"/>
                <w:szCs w:val="18"/>
                <w:lang w:eastAsia="ru-RU"/>
              </w:rPr>
              <w:t>тыс. руб.</w:t>
            </w:r>
          </w:p>
        </w:tc>
        <w:tc>
          <w:tcPr>
            <w:tcW w:w="633" w:type="pct"/>
            <w:tcBorders>
              <w:top w:val="nil"/>
              <w:left w:val="nil"/>
              <w:bottom w:val="single" w:sz="4" w:space="0" w:color="auto"/>
              <w:right w:val="single" w:sz="4" w:space="0" w:color="auto"/>
            </w:tcBorders>
            <w:shd w:val="clear" w:color="auto" w:fill="auto"/>
            <w:noWrap/>
            <w:vAlign w:val="center"/>
            <w:hideMark/>
          </w:tcPr>
          <w:p w14:paraId="6A2BB7CF" w14:textId="77777777" w:rsidR="009A4C46" w:rsidRPr="009D7618" w:rsidRDefault="009A4C46" w:rsidP="00874840">
            <w:pPr>
              <w:widowControl w:val="0"/>
              <w:spacing w:after="0" w:line="240" w:lineRule="auto"/>
              <w:jc w:val="center"/>
              <w:rPr>
                <w:rFonts w:eastAsia="Times New Roman"/>
                <w:color w:val="000000"/>
                <w:sz w:val="18"/>
                <w:szCs w:val="18"/>
                <w:lang w:eastAsia="ru-RU"/>
              </w:rPr>
            </w:pPr>
            <w:r w:rsidRPr="009D7618">
              <w:rPr>
                <w:rFonts w:eastAsia="Times New Roman"/>
                <w:color w:val="000000"/>
                <w:sz w:val="18"/>
                <w:szCs w:val="18"/>
                <w:lang w:eastAsia="ru-RU"/>
              </w:rPr>
              <w:t>202 527</w:t>
            </w:r>
          </w:p>
        </w:tc>
        <w:tc>
          <w:tcPr>
            <w:tcW w:w="705" w:type="pct"/>
            <w:tcBorders>
              <w:top w:val="nil"/>
              <w:left w:val="nil"/>
              <w:bottom w:val="single" w:sz="4" w:space="0" w:color="auto"/>
              <w:right w:val="single" w:sz="4" w:space="0" w:color="auto"/>
            </w:tcBorders>
            <w:shd w:val="clear" w:color="auto" w:fill="auto"/>
            <w:noWrap/>
            <w:vAlign w:val="center"/>
            <w:hideMark/>
          </w:tcPr>
          <w:p w14:paraId="2A376222" w14:textId="77777777" w:rsidR="009A4C46" w:rsidRPr="009D7618" w:rsidRDefault="009A4C46" w:rsidP="00874840">
            <w:pPr>
              <w:widowControl w:val="0"/>
              <w:spacing w:after="0" w:line="240" w:lineRule="auto"/>
              <w:jc w:val="center"/>
              <w:rPr>
                <w:rFonts w:eastAsia="Times New Roman"/>
                <w:color w:val="000000"/>
                <w:sz w:val="18"/>
                <w:szCs w:val="18"/>
                <w:lang w:eastAsia="ru-RU"/>
              </w:rPr>
            </w:pPr>
            <w:r w:rsidRPr="009D7618">
              <w:rPr>
                <w:rFonts w:eastAsia="Times New Roman"/>
                <w:color w:val="000000"/>
                <w:sz w:val="18"/>
                <w:szCs w:val="18"/>
                <w:lang w:eastAsia="ru-RU"/>
              </w:rPr>
              <w:t>209 935</w:t>
            </w:r>
          </w:p>
        </w:tc>
        <w:tc>
          <w:tcPr>
            <w:tcW w:w="617" w:type="pct"/>
            <w:tcBorders>
              <w:top w:val="nil"/>
              <w:left w:val="nil"/>
              <w:bottom w:val="single" w:sz="4" w:space="0" w:color="auto"/>
              <w:right w:val="single" w:sz="4" w:space="0" w:color="auto"/>
            </w:tcBorders>
            <w:shd w:val="clear" w:color="auto" w:fill="auto"/>
            <w:noWrap/>
            <w:vAlign w:val="center"/>
            <w:hideMark/>
          </w:tcPr>
          <w:p w14:paraId="29BC7557" w14:textId="77777777" w:rsidR="009A4C46" w:rsidRPr="009D7618" w:rsidRDefault="009A4C46" w:rsidP="00874840">
            <w:pPr>
              <w:widowControl w:val="0"/>
              <w:spacing w:after="0" w:line="240" w:lineRule="auto"/>
              <w:jc w:val="center"/>
              <w:rPr>
                <w:rFonts w:eastAsia="Times New Roman"/>
                <w:color w:val="000000"/>
                <w:sz w:val="18"/>
                <w:szCs w:val="18"/>
                <w:lang w:eastAsia="ru-RU"/>
              </w:rPr>
            </w:pPr>
            <w:r w:rsidRPr="009D7618">
              <w:rPr>
                <w:rFonts w:eastAsia="Times New Roman"/>
                <w:color w:val="000000"/>
                <w:sz w:val="18"/>
                <w:szCs w:val="18"/>
                <w:lang w:eastAsia="ru-RU"/>
              </w:rPr>
              <w:t>209 935</w:t>
            </w:r>
          </w:p>
        </w:tc>
        <w:tc>
          <w:tcPr>
            <w:tcW w:w="676" w:type="pct"/>
            <w:tcBorders>
              <w:top w:val="nil"/>
              <w:left w:val="nil"/>
              <w:bottom w:val="single" w:sz="4" w:space="0" w:color="auto"/>
              <w:right w:val="single" w:sz="4" w:space="0" w:color="auto"/>
            </w:tcBorders>
            <w:shd w:val="clear" w:color="auto" w:fill="auto"/>
            <w:noWrap/>
            <w:vAlign w:val="center"/>
            <w:hideMark/>
          </w:tcPr>
          <w:p w14:paraId="3DEE4CEB" w14:textId="77777777" w:rsidR="009A4C46" w:rsidRPr="009D7618" w:rsidRDefault="009A4C46" w:rsidP="00874840">
            <w:pPr>
              <w:widowControl w:val="0"/>
              <w:spacing w:after="0" w:line="240" w:lineRule="auto"/>
              <w:jc w:val="center"/>
              <w:rPr>
                <w:rFonts w:eastAsia="Times New Roman"/>
                <w:color w:val="000000"/>
                <w:sz w:val="18"/>
                <w:szCs w:val="18"/>
                <w:lang w:eastAsia="ru-RU"/>
              </w:rPr>
            </w:pPr>
            <w:r w:rsidRPr="009D7618">
              <w:rPr>
                <w:rFonts w:eastAsia="Times New Roman"/>
                <w:color w:val="000000"/>
                <w:sz w:val="18"/>
                <w:szCs w:val="18"/>
                <w:lang w:eastAsia="ru-RU"/>
              </w:rPr>
              <w:t>209 935</w:t>
            </w:r>
          </w:p>
        </w:tc>
        <w:tc>
          <w:tcPr>
            <w:tcW w:w="455" w:type="pct"/>
            <w:tcBorders>
              <w:top w:val="nil"/>
              <w:left w:val="nil"/>
              <w:bottom w:val="single" w:sz="4" w:space="0" w:color="auto"/>
              <w:right w:val="single" w:sz="4" w:space="0" w:color="auto"/>
            </w:tcBorders>
            <w:shd w:val="clear" w:color="auto" w:fill="auto"/>
            <w:noWrap/>
            <w:vAlign w:val="center"/>
            <w:hideMark/>
          </w:tcPr>
          <w:p w14:paraId="7A09A3B1" w14:textId="77777777" w:rsidR="009A4C46" w:rsidRPr="009D7618" w:rsidRDefault="009A4C46" w:rsidP="00874840">
            <w:pPr>
              <w:widowControl w:val="0"/>
              <w:spacing w:after="0" w:line="240" w:lineRule="auto"/>
              <w:jc w:val="center"/>
              <w:rPr>
                <w:rFonts w:eastAsia="Times New Roman"/>
                <w:color w:val="000000"/>
                <w:sz w:val="18"/>
                <w:szCs w:val="18"/>
                <w:lang w:eastAsia="ru-RU"/>
              </w:rPr>
            </w:pPr>
            <w:r w:rsidRPr="009D7618">
              <w:rPr>
                <w:rFonts w:eastAsia="Times New Roman"/>
                <w:color w:val="000000"/>
                <w:sz w:val="18"/>
                <w:szCs w:val="18"/>
                <w:lang w:eastAsia="ru-RU"/>
              </w:rPr>
              <w:t>0</w:t>
            </w:r>
          </w:p>
        </w:tc>
        <w:tc>
          <w:tcPr>
            <w:tcW w:w="388" w:type="pct"/>
            <w:tcBorders>
              <w:top w:val="nil"/>
              <w:left w:val="nil"/>
              <w:bottom w:val="single" w:sz="4" w:space="0" w:color="auto"/>
              <w:right w:val="single" w:sz="4" w:space="0" w:color="auto"/>
            </w:tcBorders>
            <w:shd w:val="clear" w:color="auto" w:fill="auto"/>
            <w:noWrap/>
            <w:vAlign w:val="center"/>
            <w:hideMark/>
          </w:tcPr>
          <w:p w14:paraId="5ED9B2B6" w14:textId="77777777" w:rsidR="009A4C46" w:rsidRPr="009D7618" w:rsidRDefault="009A4C46" w:rsidP="00874840">
            <w:pPr>
              <w:widowControl w:val="0"/>
              <w:spacing w:after="0" w:line="240" w:lineRule="auto"/>
              <w:jc w:val="center"/>
              <w:rPr>
                <w:rFonts w:eastAsia="Times New Roman"/>
                <w:color w:val="000000"/>
                <w:sz w:val="18"/>
                <w:szCs w:val="18"/>
                <w:lang w:eastAsia="ru-RU"/>
              </w:rPr>
            </w:pPr>
            <w:r w:rsidRPr="009D7618">
              <w:rPr>
                <w:rFonts w:eastAsia="Times New Roman"/>
                <w:color w:val="000000"/>
                <w:sz w:val="18"/>
                <w:szCs w:val="18"/>
                <w:lang w:val="en-US" w:eastAsia="ru-RU"/>
              </w:rPr>
              <w:t>0</w:t>
            </w:r>
          </w:p>
        </w:tc>
      </w:tr>
      <w:tr w:rsidR="009A4C46" w:rsidRPr="009D7618" w14:paraId="43C65AB3" w14:textId="77777777" w:rsidTr="00874840">
        <w:trPr>
          <w:trHeight w:val="473"/>
        </w:trPr>
        <w:tc>
          <w:tcPr>
            <w:tcW w:w="1042" w:type="pct"/>
            <w:tcBorders>
              <w:top w:val="nil"/>
              <w:left w:val="single" w:sz="4" w:space="0" w:color="auto"/>
              <w:bottom w:val="single" w:sz="4" w:space="0" w:color="auto"/>
              <w:right w:val="single" w:sz="4" w:space="0" w:color="auto"/>
            </w:tcBorders>
            <w:shd w:val="clear" w:color="auto" w:fill="auto"/>
            <w:vAlign w:val="center"/>
            <w:hideMark/>
          </w:tcPr>
          <w:p w14:paraId="7058E3C6" w14:textId="77777777" w:rsidR="009A4C46" w:rsidRPr="003E2802" w:rsidRDefault="009A4C46" w:rsidP="00874840">
            <w:pPr>
              <w:widowControl w:val="0"/>
              <w:spacing w:after="0" w:line="240" w:lineRule="auto"/>
              <w:rPr>
                <w:rFonts w:eastAsia="Times New Roman"/>
                <w:color w:val="000000"/>
                <w:sz w:val="18"/>
                <w:szCs w:val="18"/>
                <w:lang w:eastAsia="ru-RU"/>
              </w:rPr>
            </w:pPr>
            <w:r w:rsidRPr="00E169B0">
              <w:rPr>
                <w:rFonts w:eastAsia="Times New Roman"/>
                <w:color w:val="000000"/>
                <w:sz w:val="18"/>
                <w:szCs w:val="18"/>
                <w:lang w:eastAsia="ru-RU"/>
              </w:rPr>
              <w:t>Плата за аренду имущества</w:t>
            </w:r>
          </w:p>
        </w:tc>
        <w:tc>
          <w:tcPr>
            <w:tcW w:w="483" w:type="pct"/>
            <w:tcBorders>
              <w:top w:val="nil"/>
              <w:left w:val="nil"/>
              <w:bottom w:val="single" w:sz="4" w:space="0" w:color="auto"/>
              <w:right w:val="single" w:sz="4" w:space="0" w:color="auto"/>
            </w:tcBorders>
            <w:shd w:val="clear" w:color="auto" w:fill="auto"/>
            <w:noWrap/>
            <w:vAlign w:val="center"/>
            <w:hideMark/>
          </w:tcPr>
          <w:p w14:paraId="1D2703D0" w14:textId="77777777" w:rsidR="009A4C46" w:rsidRPr="009D7618" w:rsidRDefault="009A4C46" w:rsidP="00874840">
            <w:pPr>
              <w:widowControl w:val="0"/>
              <w:spacing w:after="0" w:line="240" w:lineRule="auto"/>
              <w:jc w:val="center"/>
              <w:rPr>
                <w:rFonts w:eastAsia="Times New Roman"/>
                <w:color w:val="000000"/>
                <w:sz w:val="18"/>
                <w:szCs w:val="18"/>
                <w:lang w:eastAsia="ru-RU"/>
              </w:rPr>
            </w:pPr>
            <w:r w:rsidRPr="009D7618">
              <w:rPr>
                <w:rFonts w:eastAsia="Times New Roman"/>
                <w:color w:val="000000"/>
                <w:sz w:val="18"/>
                <w:szCs w:val="18"/>
                <w:lang w:eastAsia="ru-RU"/>
              </w:rPr>
              <w:t>тыс. руб.</w:t>
            </w:r>
          </w:p>
        </w:tc>
        <w:tc>
          <w:tcPr>
            <w:tcW w:w="633" w:type="pct"/>
            <w:tcBorders>
              <w:top w:val="nil"/>
              <w:left w:val="nil"/>
              <w:bottom w:val="single" w:sz="4" w:space="0" w:color="auto"/>
              <w:right w:val="single" w:sz="4" w:space="0" w:color="auto"/>
            </w:tcBorders>
            <w:shd w:val="clear" w:color="auto" w:fill="auto"/>
            <w:noWrap/>
            <w:vAlign w:val="center"/>
            <w:hideMark/>
          </w:tcPr>
          <w:p w14:paraId="7CCA1727" w14:textId="77777777" w:rsidR="009A4C46" w:rsidRPr="009D7618" w:rsidRDefault="009A4C46" w:rsidP="00874840">
            <w:pPr>
              <w:widowControl w:val="0"/>
              <w:spacing w:after="0" w:line="240" w:lineRule="auto"/>
              <w:jc w:val="center"/>
              <w:rPr>
                <w:rFonts w:eastAsia="Times New Roman"/>
                <w:color w:val="000000"/>
                <w:sz w:val="18"/>
                <w:szCs w:val="18"/>
                <w:lang w:eastAsia="ru-RU"/>
              </w:rPr>
            </w:pPr>
            <w:r w:rsidRPr="009D7618">
              <w:rPr>
                <w:rFonts w:eastAsia="Times New Roman"/>
                <w:color w:val="000000"/>
                <w:sz w:val="18"/>
                <w:szCs w:val="18"/>
                <w:lang w:eastAsia="ru-RU"/>
              </w:rPr>
              <w:t>20 881</w:t>
            </w:r>
          </w:p>
        </w:tc>
        <w:tc>
          <w:tcPr>
            <w:tcW w:w="705" w:type="pct"/>
            <w:tcBorders>
              <w:top w:val="nil"/>
              <w:left w:val="nil"/>
              <w:bottom w:val="single" w:sz="4" w:space="0" w:color="auto"/>
              <w:right w:val="single" w:sz="4" w:space="0" w:color="auto"/>
            </w:tcBorders>
            <w:shd w:val="clear" w:color="auto" w:fill="auto"/>
            <w:noWrap/>
            <w:vAlign w:val="center"/>
            <w:hideMark/>
          </w:tcPr>
          <w:p w14:paraId="6FE73624" w14:textId="77777777" w:rsidR="009A4C46" w:rsidRPr="009D7618" w:rsidRDefault="009A4C46" w:rsidP="00874840">
            <w:pPr>
              <w:widowControl w:val="0"/>
              <w:spacing w:after="0" w:line="240" w:lineRule="auto"/>
              <w:jc w:val="center"/>
              <w:rPr>
                <w:rFonts w:eastAsia="Times New Roman"/>
                <w:color w:val="000000"/>
                <w:sz w:val="18"/>
                <w:szCs w:val="18"/>
                <w:lang w:eastAsia="ru-RU"/>
              </w:rPr>
            </w:pPr>
            <w:r w:rsidRPr="009D7618">
              <w:rPr>
                <w:rFonts w:eastAsia="Times New Roman"/>
                <w:color w:val="000000"/>
                <w:sz w:val="18"/>
                <w:szCs w:val="18"/>
                <w:lang w:eastAsia="ru-RU"/>
              </w:rPr>
              <w:t>13 956</w:t>
            </w:r>
          </w:p>
        </w:tc>
        <w:tc>
          <w:tcPr>
            <w:tcW w:w="617" w:type="pct"/>
            <w:tcBorders>
              <w:top w:val="nil"/>
              <w:left w:val="nil"/>
              <w:bottom w:val="single" w:sz="4" w:space="0" w:color="auto"/>
              <w:right w:val="single" w:sz="4" w:space="0" w:color="auto"/>
            </w:tcBorders>
            <w:shd w:val="clear" w:color="auto" w:fill="auto"/>
            <w:noWrap/>
            <w:vAlign w:val="center"/>
            <w:hideMark/>
          </w:tcPr>
          <w:p w14:paraId="1414F067" w14:textId="77777777" w:rsidR="009A4C46" w:rsidRPr="009D7618" w:rsidRDefault="009A4C46" w:rsidP="00874840">
            <w:pPr>
              <w:widowControl w:val="0"/>
              <w:spacing w:after="0" w:line="240" w:lineRule="auto"/>
              <w:jc w:val="center"/>
              <w:rPr>
                <w:rFonts w:eastAsia="Times New Roman"/>
                <w:color w:val="000000"/>
                <w:sz w:val="18"/>
                <w:szCs w:val="18"/>
                <w:lang w:eastAsia="ru-RU"/>
              </w:rPr>
            </w:pPr>
            <w:r w:rsidRPr="009D7618">
              <w:rPr>
                <w:rFonts w:eastAsia="Times New Roman"/>
                <w:color w:val="000000"/>
                <w:sz w:val="18"/>
                <w:szCs w:val="18"/>
                <w:lang w:eastAsia="ru-RU"/>
              </w:rPr>
              <w:t>13 956</w:t>
            </w:r>
          </w:p>
        </w:tc>
        <w:tc>
          <w:tcPr>
            <w:tcW w:w="676" w:type="pct"/>
            <w:tcBorders>
              <w:top w:val="nil"/>
              <w:left w:val="nil"/>
              <w:bottom w:val="single" w:sz="4" w:space="0" w:color="auto"/>
              <w:right w:val="single" w:sz="4" w:space="0" w:color="auto"/>
            </w:tcBorders>
            <w:shd w:val="clear" w:color="auto" w:fill="auto"/>
            <w:noWrap/>
            <w:vAlign w:val="center"/>
            <w:hideMark/>
          </w:tcPr>
          <w:p w14:paraId="0257537F" w14:textId="77777777" w:rsidR="009A4C46" w:rsidRPr="009D7618" w:rsidRDefault="009A4C46" w:rsidP="00874840">
            <w:pPr>
              <w:widowControl w:val="0"/>
              <w:spacing w:after="0" w:line="240" w:lineRule="auto"/>
              <w:jc w:val="center"/>
              <w:rPr>
                <w:rFonts w:eastAsia="Times New Roman"/>
                <w:color w:val="000000"/>
                <w:sz w:val="18"/>
                <w:szCs w:val="18"/>
                <w:lang w:eastAsia="ru-RU"/>
              </w:rPr>
            </w:pPr>
            <w:r w:rsidRPr="009D7618">
              <w:rPr>
                <w:rFonts w:eastAsia="Times New Roman"/>
                <w:color w:val="000000"/>
                <w:sz w:val="18"/>
                <w:szCs w:val="18"/>
                <w:lang w:eastAsia="ru-RU"/>
              </w:rPr>
              <w:t>13 956</w:t>
            </w:r>
          </w:p>
        </w:tc>
        <w:tc>
          <w:tcPr>
            <w:tcW w:w="455" w:type="pct"/>
            <w:tcBorders>
              <w:top w:val="nil"/>
              <w:left w:val="nil"/>
              <w:bottom w:val="single" w:sz="4" w:space="0" w:color="auto"/>
              <w:right w:val="single" w:sz="4" w:space="0" w:color="auto"/>
            </w:tcBorders>
            <w:shd w:val="clear" w:color="auto" w:fill="auto"/>
            <w:noWrap/>
            <w:vAlign w:val="center"/>
            <w:hideMark/>
          </w:tcPr>
          <w:p w14:paraId="6B2AEBD4" w14:textId="77777777" w:rsidR="009A4C46" w:rsidRPr="009D7618" w:rsidRDefault="009A4C46" w:rsidP="00874840">
            <w:pPr>
              <w:widowControl w:val="0"/>
              <w:spacing w:after="0" w:line="240" w:lineRule="auto"/>
              <w:jc w:val="center"/>
              <w:rPr>
                <w:rFonts w:eastAsia="Times New Roman"/>
                <w:color w:val="000000"/>
                <w:sz w:val="18"/>
                <w:szCs w:val="18"/>
                <w:lang w:eastAsia="ru-RU"/>
              </w:rPr>
            </w:pPr>
            <w:r w:rsidRPr="009D7618">
              <w:rPr>
                <w:rFonts w:eastAsia="Times New Roman"/>
                <w:color w:val="000000"/>
                <w:sz w:val="18"/>
                <w:szCs w:val="18"/>
                <w:lang w:eastAsia="ru-RU"/>
              </w:rPr>
              <w:t>0</w:t>
            </w:r>
          </w:p>
        </w:tc>
        <w:tc>
          <w:tcPr>
            <w:tcW w:w="388" w:type="pct"/>
            <w:tcBorders>
              <w:top w:val="nil"/>
              <w:left w:val="nil"/>
              <w:bottom w:val="single" w:sz="4" w:space="0" w:color="auto"/>
              <w:right w:val="single" w:sz="4" w:space="0" w:color="auto"/>
            </w:tcBorders>
            <w:shd w:val="clear" w:color="auto" w:fill="auto"/>
            <w:noWrap/>
            <w:vAlign w:val="center"/>
            <w:hideMark/>
          </w:tcPr>
          <w:p w14:paraId="68A602CD" w14:textId="77777777" w:rsidR="009A4C46" w:rsidRPr="009D7618" w:rsidRDefault="009A4C46" w:rsidP="00874840">
            <w:pPr>
              <w:widowControl w:val="0"/>
              <w:spacing w:after="0" w:line="240" w:lineRule="auto"/>
              <w:jc w:val="center"/>
              <w:rPr>
                <w:rFonts w:eastAsia="Times New Roman"/>
                <w:color w:val="000000"/>
                <w:sz w:val="18"/>
                <w:szCs w:val="18"/>
                <w:lang w:eastAsia="ru-RU"/>
              </w:rPr>
            </w:pPr>
            <w:r w:rsidRPr="009D7618">
              <w:rPr>
                <w:rFonts w:eastAsia="Times New Roman"/>
                <w:color w:val="000000"/>
                <w:sz w:val="18"/>
                <w:szCs w:val="18"/>
                <w:lang w:eastAsia="ru-RU"/>
              </w:rPr>
              <w:t>0</w:t>
            </w:r>
          </w:p>
        </w:tc>
      </w:tr>
      <w:tr w:rsidR="009A4C46" w:rsidRPr="009D7618" w14:paraId="3B8A7305" w14:textId="77777777" w:rsidTr="00874840">
        <w:trPr>
          <w:trHeight w:val="551"/>
        </w:trPr>
        <w:tc>
          <w:tcPr>
            <w:tcW w:w="1042" w:type="pct"/>
            <w:tcBorders>
              <w:top w:val="nil"/>
              <w:left w:val="single" w:sz="4" w:space="0" w:color="auto"/>
              <w:bottom w:val="single" w:sz="4" w:space="0" w:color="auto"/>
              <w:right w:val="single" w:sz="4" w:space="0" w:color="auto"/>
            </w:tcBorders>
            <w:shd w:val="clear" w:color="auto" w:fill="auto"/>
            <w:vAlign w:val="center"/>
            <w:hideMark/>
          </w:tcPr>
          <w:p w14:paraId="2B9251E8" w14:textId="77777777" w:rsidR="009A4C46" w:rsidRPr="009D7618" w:rsidRDefault="009A4C46" w:rsidP="00874840">
            <w:pPr>
              <w:widowControl w:val="0"/>
              <w:spacing w:after="0" w:line="240" w:lineRule="auto"/>
              <w:rPr>
                <w:rFonts w:eastAsia="Times New Roman"/>
                <w:color w:val="000000"/>
                <w:sz w:val="18"/>
                <w:szCs w:val="18"/>
                <w:lang w:eastAsia="ru-RU"/>
              </w:rPr>
            </w:pPr>
            <w:r w:rsidRPr="00E169B0">
              <w:rPr>
                <w:rFonts w:eastAsia="Times New Roman"/>
                <w:color w:val="000000"/>
                <w:sz w:val="18"/>
                <w:szCs w:val="18"/>
                <w:lang w:eastAsia="ru-RU"/>
              </w:rPr>
              <w:t>Отчислен</w:t>
            </w:r>
            <w:r w:rsidRPr="003E2802">
              <w:rPr>
                <w:rFonts w:eastAsia="Times New Roman"/>
                <w:color w:val="000000"/>
                <w:sz w:val="18"/>
                <w:szCs w:val="18"/>
                <w:lang w:eastAsia="ru-RU"/>
              </w:rPr>
              <w:t>ия на со</w:t>
            </w:r>
            <w:r w:rsidRPr="009D7618">
              <w:rPr>
                <w:rFonts w:eastAsia="Times New Roman"/>
                <w:color w:val="000000"/>
                <w:sz w:val="18"/>
                <w:szCs w:val="18"/>
                <w:lang w:eastAsia="ru-RU"/>
              </w:rPr>
              <w:t>циальные нужды</w:t>
            </w:r>
          </w:p>
        </w:tc>
        <w:tc>
          <w:tcPr>
            <w:tcW w:w="483" w:type="pct"/>
            <w:tcBorders>
              <w:top w:val="nil"/>
              <w:left w:val="nil"/>
              <w:bottom w:val="single" w:sz="4" w:space="0" w:color="auto"/>
              <w:right w:val="single" w:sz="4" w:space="0" w:color="auto"/>
            </w:tcBorders>
            <w:shd w:val="clear" w:color="auto" w:fill="auto"/>
            <w:noWrap/>
            <w:vAlign w:val="center"/>
            <w:hideMark/>
          </w:tcPr>
          <w:p w14:paraId="275CF2B2" w14:textId="77777777" w:rsidR="009A4C46" w:rsidRPr="009D7618" w:rsidRDefault="009A4C46" w:rsidP="00874840">
            <w:pPr>
              <w:widowControl w:val="0"/>
              <w:spacing w:after="0" w:line="240" w:lineRule="auto"/>
              <w:jc w:val="center"/>
              <w:rPr>
                <w:rFonts w:eastAsia="Times New Roman"/>
                <w:color w:val="000000"/>
                <w:sz w:val="18"/>
                <w:szCs w:val="18"/>
                <w:lang w:eastAsia="ru-RU"/>
              </w:rPr>
            </w:pPr>
            <w:r w:rsidRPr="009D7618">
              <w:rPr>
                <w:rFonts w:eastAsia="Times New Roman"/>
                <w:color w:val="000000"/>
                <w:sz w:val="18"/>
                <w:szCs w:val="18"/>
                <w:lang w:eastAsia="ru-RU"/>
              </w:rPr>
              <w:t>тыс. руб.</w:t>
            </w:r>
          </w:p>
        </w:tc>
        <w:tc>
          <w:tcPr>
            <w:tcW w:w="633" w:type="pct"/>
            <w:tcBorders>
              <w:top w:val="nil"/>
              <w:left w:val="nil"/>
              <w:bottom w:val="single" w:sz="4" w:space="0" w:color="auto"/>
              <w:right w:val="single" w:sz="4" w:space="0" w:color="auto"/>
            </w:tcBorders>
            <w:shd w:val="clear" w:color="auto" w:fill="auto"/>
            <w:noWrap/>
            <w:vAlign w:val="center"/>
            <w:hideMark/>
          </w:tcPr>
          <w:p w14:paraId="33D76018" w14:textId="77777777" w:rsidR="009A4C46" w:rsidRPr="009D7618" w:rsidRDefault="009A4C46" w:rsidP="00874840">
            <w:pPr>
              <w:widowControl w:val="0"/>
              <w:spacing w:after="0" w:line="240" w:lineRule="auto"/>
              <w:jc w:val="center"/>
              <w:rPr>
                <w:rFonts w:eastAsia="Times New Roman"/>
                <w:color w:val="000000"/>
                <w:sz w:val="18"/>
                <w:szCs w:val="18"/>
                <w:lang w:eastAsia="ru-RU"/>
              </w:rPr>
            </w:pPr>
            <w:r w:rsidRPr="009D7618">
              <w:rPr>
                <w:rFonts w:eastAsia="Times New Roman"/>
                <w:color w:val="000000"/>
                <w:sz w:val="18"/>
                <w:szCs w:val="18"/>
                <w:lang w:eastAsia="ru-RU"/>
              </w:rPr>
              <w:t>106 014</w:t>
            </w:r>
          </w:p>
        </w:tc>
        <w:tc>
          <w:tcPr>
            <w:tcW w:w="705" w:type="pct"/>
            <w:tcBorders>
              <w:top w:val="nil"/>
              <w:left w:val="nil"/>
              <w:bottom w:val="single" w:sz="4" w:space="0" w:color="auto"/>
              <w:right w:val="single" w:sz="4" w:space="0" w:color="auto"/>
            </w:tcBorders>
            <w:shd w:val="clear" w:color="auto" w:fill="auto"/>
            <w:noWrap/>
            <w:vAlign w:val="center"/>
            <w:hideMark/>
          </w:tcPr>
          <w:p w14:paraId="688E52DB" w14:textId="77777777" w:rsidR="009A4C46" w:rsidRPr="009D7618" w:rsidRDefault="009A4C46" w:rsidP="00874840">
            <w:pPr>
              <w:widowControl w:val="0"/>
              <w:spacing w:after="0" w:line="240" w:lineRule="auto"/>
              <w:jc w:val="center"/>
              <w:rPr>
                <w:rFonts w:eastAsia="Times New Roman"/>
                <w:color w:val="000000"/>
                <w:sz w:val="18"/>
                <w:szCs w:val="18"/>
                <w:lang w:eastAsia="ru-RU"/>
              </w:rPr>
            </w:pPr>
            <w:r w:rsidRPr="009D7618">
              <w:rPr>
                <w:rFonts w:eastAsia="Times New Roman"/>
                <w:color w:val="000000"/>
                <w:sz w:val="18"/>
                <w:szCs w:val="18"/>
                <w:lang w:eastAsia="ru-RU"/>
              </w:rPr>
              <w:t>88 005</w:t>
            </w:r>
          </w:p>
        </w:tc>
        <w:tc>
          <w:tcPr>
            <w:tcW w:w="617" w:type="pct"/>
            <w:tcBorders>
              <w:top w:val="nil"/>
              <w:left w:val="nil"/>
              <w:bottom w:val="single" w:sz="4" w:space="0" w:color="auto"/>
              <w:right w:val="single" w:sz="4" w:space="0" w:color="auto"/>
            </w:tcBorders>
            <w:shd w:val="clear" w:color="auto" w:fill="auto"/>
            <w:noWrap/>
            <w:vAlign w:val="center"/>
            <w:hideMark/>
          </w:tcPr>
          <w:p w14:paraId="370D891B" w14:textId="77777777" w:rsidR="009A4C46" w:rsidRPr="009D7618" w:rsidRDefault="009A4C46" w:rsidP="00874840">
            <w:pPr>
              <w:widowControl w:val="0"/>
              <w:spacing w:after="0" w:line="240" w:lineRule="auto"/>
              <w:jc w:val="center"/>
              <w:rPr>
                <w:rFonts w:eastAsia="Times New Roman"/>
                <w:color w:val="000000"/>
                <w:sz w:val="18"/>
                <w:szCs w:val="18"/>
                <w:lang w:eastAsia="ru-RU"/>
              </w:rPr>
            </w:pPr>
            <w:r w:rsidRPr="009D7618">
              <w:rPr>
                <w:rFonts w:eastAsia="Times New Roman"/>
                <w:color w:val="000000"/>
                <w:sz w:val="18"/>
                <w:szCs w:val="18"/>
                <w:lang w:eastAsia="ru-RU"/>
              </w:rPr>
              <w:t>88 005</w:t>
            </w:r>
          </w:p>
        </w:tc>
        <w:tc>
          <w:tcPr>
            <w:tcW w:w="676" w:type="pct"/>
            <w:tcBorders>
              <w:top w:val="nil"/>
              <w:left w:val="nil"/>
              <w:bottom w:val="single" w:sz="4" w:space="0" w:color="auto"/>
              <w:right w:val="single" w:sz="4" w:space="0" w:color="auto"/>
            </w:tcBorders>
            <w:shd w:val="clear" w:color="auto" w:fill="auto"/>
            <w:noWrap/>
            <w:vAlign w:val="center"/>
            <w:hideMark/>
          </w:tcPr>
          <w:p w14:paraId="1D5199B7" w14:textId="77777777" w:rsidR="009A4C46" w:rsidRPr="009D7618" w:rsidRDefault="009A4C46" w:rsidP="00874840">
            <w:pPr>
              <w:widowControl w:val="0"/>
              <w:spacing w:after="0" w:line="240" w:lineRule="auto"/>
              <w:jc w:val="center"/>
              <w:rPr>
                <w:rFonts w:eastAsia="Times New Roman"/>
                <w:color w:val="000000"/>
                <w:sz w:val="18"/>
                <w:szCs w:val="18"/>
                <w:lang w:eastAsia="ru-RU"/>
              </w:rPr>
            </w:pPr>
            <w:r w:rsidRPr="009D7618">
              <w:rPr>
                <w:rFonts w:eastAsia="Times New Roman"/>
                <w:color w:val="000000"/>
                <w:sz w:val="18"/>
                <w:szCs w:val="18"/>
                <w:lang w:eastAsia="ru-RU"/>
              </w:rPr>
              <w:t>88 005</w:t>
            </w:r>
          </w:p>
        </w:tc>
        <w:tc>
          <w:tcPr>
            <w:tcW w:w="455" w:type="pct"/>
            <w:tcBorders>
              <w:top w:val="nil"/>
              <w:left w:val="nil"/>
              <w:bottom w:val="single" w:sz="4" w:space="0" w:color="auto"/>
              <w:right w:val="single" w:sz="4" w:space="0" w:color="auto"/>
            </w:tcBorders>
            <w:shd w:val="clear" w:color="auto" w:fill="auto"/>
            <w:noWrap/>
            <w:vAlign w:val="center"/>
            <w:hideMark/>
          </w:tcPr>
          <w:p w14:paraId="5E82D134" w14:textId="77777777" w:rsidR="009A4C46" w:rsidRPr="009D7618" w:rsidRDefault="009A4C46" w:rsidP="00874840">
            <w:pPr>
              <w:widowControl w:val="0"/>
              <w:spacing w:after="0" w:line="240" w:lineRule="auto"/>
              <w:jc w:val="center"/>
              <w:rPr>
                <w:rFonts w:eastAsia="Times New Roman"/>
                <w:color w:val="000000"/>
                <w:sz w:val="18"/>
                <w:szCs w:val="18"/>
                <w:lang w:eastAsia="ru-RU"/>
              </w:rPr>
            </w:pPr>
            <w:r w:rsidRPr="009D7618">
              <w:rPr>
                <w:rFonts w:eastAsia="Times New Roman"/>
                <w:color w:val="000000"/>
                <w:sz w:val="18"/>
                <w:szCs w:val="18"/>
                <w:lang w:eastAsia="ru-RU"/>
              </w:rPr>
              <w:t>0</w:t>
            </w:r>
          </w:p>
        </w:tc>
        <w:tc>
          <w:tcPr>
            <w:tcW w:w="388" w:type="pct"/>
            <w:tcBorders>
              <w:top w:val="nil"/>
              <w:left w:val="nil"/>
              <w:bottom w:val="single" w:sz="4" w:space="0" w:color="auto"/>
              <w:right w:val="single" w:sz="4" w:space="0" w:color="auto"/>
            </w:tcBorders>
            <w:shd w:val="clear" w:color="auto" w:fill="auto"/>
            <w:noWrap/>
            <w:vAlign w:val="center"/>
            <w:hideMark/>
          </w:tcPr>
          <w:p w14:paraId="5BA09BEB" w14:textId="77777777" w:rsidR="009A4C46" w:rsidRPr="009D7618" w:rsidRDefault="009A4C46" w:rsidP="00874840">
            <w:pPr>
              <w:widowControl w:val="0"/>
              <w:spacing w:after="0" w:line="240" w:lineRule="auto"/>
              <w:jc w:val="center"/>
              <w:rPr>
                <w:rFonts w:eastAsia="Times New Roman"/>
                <w:color w:val="000000"/>
                <w:sz w:val="18"/>
                <w:szCs w:val="18"/>
                <w:lang w:eastAsia="ru-RU"/>
              </w:rPr>
            </w:pPr>
            <w:r w:rsidRPr="009D7618">
              <w:rPr>
                <w:rFonts w:eastAsia="Times New Roman"/>
                <w:color w:val="000000"/>
                <w:sz w:val="18"/>
                <w:szCs w:val="18"/>
                <w:lang w:eastAsia="ru-RU"/>
              </w:rPr>
              <w:t>0</w:t>
            </w:r>
          </w:p>
        </w:tc>
      </w:tr>
      <w:tr w:rsidR="009A4C46" w:rsidRPr="009D7618" w14:paraId="6322DA5F" w14:textId="77777777" w:rsidTr="00874840">
        <w:trPr>
          <w:trHeight w:val="276"/>
        </w:trPr>
        <w:tc>
          <w:tcPr>
            <w:tcW w:w="1042" w:type="pct"/>
            <w:tcBorders>
              <w:top w:val="nil"/>
              <w:left w:val="single" w:sz="4" w:space="0" w:color="auto"/>
              <w:bottom w:val="single" w:sz="4" w:space="0" w:color="auto"/>
              <w:right w:val="single" w:sz="4" w:space="0" w:color="auto"/>
            </w:tcBorders>
            <w:shd w:val="clear" w:color="auto" w:fill="auto"/>
            <w:vAlign w:val="center"/>
            <w:hideMark/>
          </w:tcPr>
          <w:p w14:paraId="496B48D4" w14:textId="77777777" w:rsidR="009A4C46" w:rsidRPr="003E2802" w:rsidRDefault="009A4C46" w:rsidP="00874840">
            <w:pPr>
              <w:widowControl w:val="0"/>
              <w:spacing w:after="0" w:line="240" w:lineRule="auto"/>
              <w:rPr>
                <w:rFonts w:eastAsia="Times New Roman"/>
                <w:color w:val="000000"/>
                <w:sz w:val="18"/>
                <w:szCs w:val="18"/>
                <w:lang w:eastAsia="ru-RU"/>
              </w:rPr>
            </w:pPr>
            <w:r w:rsidRPr="00E169B0">
              <w:rPr>
                <w:rFonts w:eastAsia="Times New Roman"/>
                <w:color w:val="000000"/>
                <w:sz w:val="18"/>
                <w:szCs w:val="18"/>
                <w:lang w:eastAsia="ru-RU"/>
              </w:rPr>
              <w:t>Налог на прибыль</w:t>
            </w:r>
          </w:p>
        </w:tc>
        <w:tc>
          <w:tcPr>
            <w:tcW w:w="483" w:type="pct"/>
            <w:tcBorders>
              <w:top w:val="nil"/>
              <w:left w:val="nil"/>
              <w:bottom w:val="single" w:sz="4" w:space="0" w:color="auto"/>
              <w:right w:val="single" w:sz="4" w:space="0" w:color="auto"/>
            </w:tcBorders>
            <w:shd w:val="clear" w:color="auto" w:fill="auto"/>
            <w:noWrap/>
            <w:vAlign w:val="center"/>
            <w:hideMark/>
          </w:tcPr>
          <w:p w14:paraId="33D5C7D4" w14:textId="77777777" w:rsidR="009A4C46" w:rsidRPr="009D7618" w:rsidRDefault="009A4C46" w:rsidP="00874840">
            <w:pPr>
              <w:widowControl w:val="0"/>
              <w:spacing w:after="0" w:line="240" w:lineRule="auto"/>
              <w:jc w:val="center"/>
              <w:rPr>
                <w:rFonts w:eastAsia="Times New Roman"/>
                <w:color w:val="000000"/>
                <w:sz w:val="18"/>
                <w:szCs w:val="18"/>
                <w:lang w:eastAsia="ru-RU"/>
              </w:rPr>
            </w:pPr>
            <w:r w:rsidRPr="009D7618">
              <w:rPr>
                <w:rFonts w:eastAsia="Times New Roman"/>
                <w:color w:val="000000"/>
                <w:sz w:val="18"/>
                <w:szCs w:val="18"/>
                <w:lang w:eastAsia="ru-RU"/>
              </w:rPr>
              <w:t>тыс. руб.</w:t>
            </w:r>
          </w:p>
        </w:tc>
        <w:tc>
          <w:tcPr>
            <w:tcW w:w="633" w:type="pct"/>
            <w:tcBorders>
              <w:top w:val="nil"/>
              <w:left w:val="nil"/>
              <w:bottom w:val="single" w:sz="4" w:space="0" w:color="auto"/>
              <w:right w:val="single" w:sz="4" w:space="0" w:color="auto"/>
            </w:tcBorders>
            <w:shd w:val="clear" w:color="auto" w:fill="auto"/>
            <w:noWrap/>
            <w:vAlign w:val="center"/>
            <w:hideMark/>
          </w:tcPr>
          <w:p w14:paraId="2B5FEF8D" w14:textId="77777777" w:rsidR="009A4C46" w:rsidRPr="009D7618" w:rsidRDefault="009A4C46" w:rsidP="00874840">
            <w:pPr>
              <w:widowControl w:val="0"/>
              <w:spacing w:after="0" w:line="240" w:lineRule="auto"/>
              <w:jc w:val="center"/>
              <w:rPr>
                <w:rFonts w:eastAsia="Times New Roman"/>
                <w:color w:val="000000"/>
                <w:sz w:val="18"/>
                <w:szCs w:val="18"/>
                <w:lang w:eastAsia="ru-RU"/>
              </w:rPr>
            </w:pPr>
            <w:r w:rsidRPr="009D7618">
              <w:rPr>
                <w:rFonts w:eastAsia="Times New Roman"/>
                <w:color w:val="000000"/>
                <w:sz w:val="18"/>
                <w:szCs w:val="18"/>
                <w:lang w:eastAsia="ru-RU"/>
              </w:rPr>
              <w:t>11 954</w:t>
            </w:r>
          </w:p>
        </w:tc>
        <w:tc>
          <w:tcPr>
            <w:tcW w:w="705" w:type="pct"/>
            <w:tcBorders>
              <w:top w:val="nil"/>
              <w:left w:val="nil"/>
              <w:bottom w:val="single" w:sz="4" w:space="0" w:color="auto"/>
              <w:right w:val="single" w:sz="4" w:space="0" w:color="auto"/>
            </w:tcBorders>
            <w:shd w:val="clear" w:color="auto" w:fill="auto"/>
            <w:noWrap/>
            <w:vAlign w:val="center"/>
            <w:hideMark/>
          </w:tcPr>
          <w:p w14:paraId="1A75BE67" w14:textId="77777777" w:rsidR="009A4C46" w:rsidRPr="009D7618" w:rsidRDefault="009A4C46" w:rsidP="00874840">
            <w:pPr>
              <w:widowControl w:val="0"/>
              <w:spacing w:after="0" w:line="240" w:lineRule="auto"/>
              <w:jc w:val="center"/>
              <w:rPr>
                <w:rFonts w:eastAsia="Times New Roman"/>
                <w:color w:val="000000"/>
                <w:sz w:val="18"/>
                <w:szCs w:val="18"/>
                <w:lang w:eastAsia="ru-RU"/>
              </w:rPr>
            </w:pPr>
            <w:r w:rsidRPr="009D7618">
              <w:rPr>
                <w:rFonts w:eastAsia="Times New Roman"/>
                <w:color w:val="000000"/>
                <w:sz w:val="18"/>
                <w:szCs w:val="18"/>
                <w:lang w:eastAsia="ru-RU"/>
              </w:rPr>
              <w:t>0</w:t>
            </w:r>
          </w:p>
        </w:tc>
        <w:tc>
          <w:tcPr>
            <w:tcW w:w="617" w:type="pct"/>
            <w:tcBorders>
              <w:top w:val="nil"/>
              <w:left w:val="nil"/>
              <w:bottom w:val="single" w:sz="4" w:space="0" w:color="auto"/>
              <w:right w:val="single" w:sz="4" w:space="0" w:color="auto"/>
            </w:tcBorders>
            <w:shd w:val="clear" w:color="auto" w:fill="auto"/>
            <w:noWrap/>
            <w:vAlign w:val="center"/>
            <w:hideMark/>
          </w:tcPr>
          <w:p w14:paraId="32164884" w14:textId="77777777" w:rsidR="009A4C46" w:rsidRPr="009D7618" w:rsidRDefault="009A4C46" w:rsidP="00874840">
            <w:pPr>
              <w:widowControl w:val="0"/>
              <w:spacing w:after="0" w:line="240" w:lineRule="auto"/>
              <w:jc w:val="center"/>
              <w:rPr>
                <w:rFonts w:eastAsia="Times New Roman"/>
                <w:color w:val="000000"/>
                <w:sz w:val="18"/>
                <w:szCs w:val="18"/>
                <w:lang w:eastAsia="ru-RU"/>
              </w:rPr>
            </w:pPr>
            <w:r w:rsidRPr="009D7618">
              <w:rPr>
                <w:rFonts w:eastAsia="Times New Roman"/>
                <w:color w:val="000000"/>
                <w:sz w:val="18"/>
                <w:szCs w:val="18"/>
                <w:lang w:eastAsia="ru-RU"/>
              </w:rPr>
              <w:t>0</w:t>
            </w:r>
          </w:p>
        </w:tc>
        <w:tc>
          <w:tcPr>
            <w:tcW w:w="676" w:type="pct"/>
            <w:tcBorders>
              <w:top w:val="nil"/>
              <w:left w:val="nil"/>
              <w:bottom w:val="single" w:sz="4" w:space="0" w:color="auto"/>
              <w:right w:val="single" w:sz="4" w:space="0" w:color="auto"/>
            </w:tcBorders>
            <w:shd w:val="clear" w:color="auto" w:fill="auto"/>
            <w:noWrap/>
            <w:vAlign w:val="center"/>
            <w:hideMark/>
          </w:tcPr>
          <w:p w14:paraId="1BE8B44A" w14:textId="77777777" w:rsidR="009A4C46" w:rsidRPr="009D7618" w:rsidRDefault="009A4C46" w:rsidP="00874840">
            <w:pPr>
              <w:widowControl w:val="0"/>
              <w:spacing w:after="0" w:line="240" w:lineRule="auto"/>
              <w:jc w:val="center"/>
              <w:rPr>
                <w:rFonts w:eastAsia="Times New Roman"/>
                <w:color w:val="000000"/>
                <w:sz w:val="18"/>
                <w:szCs w:val="18"/>
                <w:lang w:eastAsia="ru-RU"/>
              </w:rPr>
            </w:pPr>
            <w:r w:rsidRPr="009D7618">
              <w:rPr>
                <w:rFonts w:eastAsia="Times New Roman"/>
                <w:color w:val="000000"/>
                <w:sz w:val="18"/>
                <w:szCs w:val="18"/>
                <w:lang w:eastAsia="ru-RU"/>
              </w:rPr>
              <w:t>0</w:t>
            </w:r>
          </w:p>
        </w:tc>
        <w:tc>
          <w:tcPr>
            <w:tcW w:w="455" w:type="pct"/>
            <w:tcBorders>
              <w:top w:val="nil"/>
              <w:left w:val="nil"/>
              <w:bottom w:val="single" w:sz="4" w:space="0" w:color="auto"/>
              <w:right w:val="single" w:sz="4" w:space="0" w:color="auto"/>
            </w:tcBorders>
            <w:shd w:val="clear" w:color="auto" w:fill="auto"/>
            <w:noWrap/>
            <w:vAlign w:val="center"/>
            <w:hideMark/>
          </w:tcPr>
          <w:p w14:paraId="49594789" w14:textId="77777777" w:rsidR="009A4C46" w:rsidRPr="009D7618" w:rsidRDefault="009A4C46" w:rsidP="00874840">
            <w:pPr>
              <w:widowControl w:val="0"/>
              <w:spacing w:after="0" w:line="240" w:lineRule="auto"/>
              <w:jc w:val="center"/>
              <w:rPr>
                <w:rFonts w:eastAsia="Times New Roman"/>
                <w:color w:val="000000"/>
                <w:sz w:val="18"/>
                <w:szCs w:val="18"/>
                <w:lang w:eastAsia="ru-RU"/>
              </w:rPr>
            </w:pPr>
            <w:r w:rsidRPr="009D7618">
              <w:rPr>
                <w:rFonts w:eastAsia="Times New Roman"/>
                <w:color w:val="000000"/>
                <w:sz w:val="18"/>
                <w:szCs w:val="18"/>
                <w:lang w:eastAsia="ru-RU"/>
              </w:rPr>
              <w:t>0</w:t>
            </w:r>
          </w:p>
        </w:tc>
        <w:tc>
          <w:tcPr>
            <w:tcW w:w="388" w:type="pct"/>
            <w:tcBorders>
              <w:top w:val="nil"/>
              <w:left w:val="nil"/>
              <w:bottom w:val="single" w:sz="4" w:space="0" w:color="auto"/>
              <w:right w:val="single" w:sz="4" w:space="0" w:color="auto"/>
            </w:tcBorders>
            <w:shd w:val="clear" w:color="auto" w:fill="auto"/>
            <w:noWrap/>
            <w:vAlign w:val="center"/>
            <w:hideMark/>
          </w:tcPr>
          <w:p w14:paraId="011A25A5" w14:textId="77777777" w:rsidR="009A4C46" w:rsidRPr="009D7618" w:rsidRDefault="009A4C46" w:rsidP="00874840">
            <w:pPr>
              <w:widowControl w:val="0"/>
              <w:spacing w:after="0" w:line="240" w:lineRule="auto"/>
              <w:jc w:val="center"/>
              <w:rPr>
                <w:rFonts w:eastAsia="Times New Roman"/>
                <w:color w:val="000000"/>
                <w:sz w:val="18"/>
                <w:szCs w:val="18"/>
                <w:lang w:eastAsia="ru-RU"/>
              </w:rPr>
            </w:pPr>
            <w:r w:rsidRPr="009D7618">
              <w:rPr>
                <w:rFonts w:eastAsia="Times New Roman"/>
                <w:color w:val="000000"/>
                <w:sz w:val="18"/>
                <w:szCs w:val="18"/>
                <w:lang w:eastAsia="ru-RU"/>
              </w:rPr>
              <w:t>0</w:t>
            </w:r>
          </w:p>
        </w:tc>
      </w:tr>
      <w:tr w:rsidR="009A4C46" w:rsidRPr="009D7618" w14:paraId="480EBCDC" w14:textId="77777777" w:rsidTr="00874840">
        <w:trPr>
          <w:trHeight w:val="267"/>
        </w:trPr>
        <w:tc>
          <w:tcPr>
            <w:tcW w:w="1042" w:type="pct"/>
            <w:tcBorders>
              <w:top w:val="nil"/>
              <w:left w:val="single" w:sz="4" w:space="0" w:color="auto"/>
              <w:bottom w:val="single" w:sz="4" w:space="0" w:color="auto"/>
              <w:right w:val="single" w:sz="4" w:space="0" w:color="auto"/>
            </w:tcBorders>
            <w:shd w:val="clear" w:color="auto" w:fill="auto"/>
            <w:vAlign w:val="center"/>
            <w:hideMark/>
          </w:tcPr>
          <w:p w14:paraId="4B204787" w14:textId="77777777" w:rsidR="009A4C46" w:rsidRPr="009D7618" w:rsidRDefault="009A4C46" w:rsidP="00874840">
            <w:pPr>
              <w:widowControl w:val="0"/>
              <w:spacing w:after="0" w:line="240" w:lineRule="auto"/>
              <w:rPr>
                <w:rFonts w:eastAsia="Times New Roman"/>
                <w:color w:val="000000"/>
                <w:sz w:val="18"/>
                <w:szCs w:val="18"/>
                <w:lang w:eastAsia="ru-RU"/>
              </w:rPr>
            </w:pPr>
            <w:r w:rsidRPr="00E169B0">
              <w:rPr>
                <w:rFonts w:eastAsia="Times New Roman"/>
                <w:color w:val="000000"/>
                <w:sz w:val="18"/>
                <w:szCs w:val="18"/>
                <w:lang w:eastAsia="ru-RU"/>
              </w:rPr>
              <w:t>Прочие на</w:t>
            </w:r>
            <w:r w:rsidRPr="003E2802">
              <w:rPr>
                <w:rFonts w:eastAsia="Times New Roman"/>
                <w:color w:val="000000"/>
                <w:sz w:val="18"/>
                <w:szCs w:val="18"/>
                <w:lang w:eastAsia="ru-RU"/>
              </w:rPr>
              <w:t>логи</w:t>
            </w:r>
          </w:p>
        </w:tc>
        <w:tc>
          <w:tcPr>
            <w:tcW w:w="483" w:type="pct"/>
            <w:tcBorders>
              <w:top w:val="nil"/>
              <w:left w:val="nil"/>
              <w:bottom w:val="single" w:sz="4" w:space="0" w:color="auto"/>
              <w:right w:val="single" w:sz="4" w:space="0" w:color="auto"/>
            </w:tcBorders>
            <w:shd w:val="clear" w:color="auto" w:fill="auto"/>
            <w:noWrap/>
            <w:vAlign w:val="center"/>
            <w:hideMark/>
          </w:tcPr>
          <w:p w14:paraId="3064E341" w14:textId="77777777" w:rsidR="009A4C46" w:rsidRPr="009D7618" w:rsidRDefault="009A4C46" w:rsidP="00874840">
            <w:pPr>
              <w:widowControl w:val="0"/>
              <w:spacing w:after="0" w:line="240" w:lineRule="auto"/>
              <w:jc w:val="center"/>
              <w:rPr>
                <w:rFonts w:eastAsia="Times New Roman"/>
                <w:color w:val="000000"/>
                <w:sz w:val="18"/>
                <w:szCs w:val="18"/>
                <w:lang w:eastAsia="ru-RU"/>
              </w:rPr>
            </w:pPr>
            <w:r w:rsidRPr="009D7618">
              <w:rPr>
                <w:rFonts w:eastAsia="Times New Roman"/>
                <w:color w:val="000000"/>
                <w:sz w:val="18"/>
                <w:szCs w:val="18"/>
                <w:lang w:eastAsia="ru-RU"/>
              </w:rPr>
              <w:t>тыс. руб.</w:t>
            </w:r>
          </w:p>
        </w:tc>
        <w:tc>
          <w:tcPr>
            <w:tcW w:w="633" w:type="pct"/>
            <w:tcBorders>
              <w:top w:val="nil"/>
              <w:left w:val="nil"/>
              <w:bottom w:val="single" w:sz="4" w:space="0" w:color="auto"/>
              <w:right w:val="single" w:sz="4" w:space="0" w:color="auto"/>
            </w:tcBorders>
            <w:shd w:val="clear" w:color="auto" w:fill="auto"/>
            <w:noWrap/>
            <w:vAlign w:val="center"/>
            <w:hideMark/>
          </w:tcPr>
          <w:p w14:paraId="296F0CF5" w14:textId="77777777" w:rsidR="009A4C46" w:rsidRPr="009D7618" w:rsidRDefault="009A4C46" w:rsidP="00874840">
            <w:pPr>
              <w:widowControl w:val="0"/>
              <w:spacing w:after="0" w:line="240" w:lineRule="auto"/>
              <w:jc w:val="center"/>
              <w:rPr>
                <w:rFonts w:eastAsia="Times New Roman"/>
                <w:color w:val="000000"/>
                <w:sz w:val="18"/>
                <w:szCs w:val="18"/>
                <w:lang w:eastAsia="ru-RU"/>
              </w:rPr>
            </w:pPr>
            <w:r w:rsidRPr="009D7618">
              <w:rPr>
                <w:rFonts w:eastAsia="Times New Roman"/>
                <w:color w:val="000000"/>
                <w:sz w:val="18"/>
                <w:szCs w:val="18"/>
                <w:lang w:eastAsia="ru-RU"/>
              </w:rPr>
              <w:t>9 303</w:t>
            </w:r>
          </w:p>
        </w:tc>
        <w:tc>
          <w:tcPr>
            <w:tcW w:w="705" w:type="pct"/>
            <w:tcBorders>
              <w:top w:val="nil"/>
              <w:left w:val="nil"/>
              <w:bottom w:val="single" w:sz="4" w:space="0" w:color="auto"/>
              <w:right w:val="single" w:sz="4" w:space="0" w:color="auto"/>
            </w:tcBorders>
            <w:shd w:val="clear" w:color="auto" w:fill="auto"/>
            <w:noWrap/>
            <w:vAlign w:val="center"/>
            <w:hideMark/>
          </w:tcPr>
          <w:p w14:paraId="2450CC67" w14:textId="77777777" w:rsidR="009A4C46" w:rsidRPr="009D7618" w:rsidRDefault="009A4C46" w:rsidP="00874840">
            <w:pPr>
              <w:widowControl w:val="0"/>
              <w:spacing w:after="0" w:line="240" w:lineRule="auto"/>
              <w:jc w:val="center"/>
              <w:rPr>
                <w:rFonts w:eastAsia="Times New Roman"/>
                <w:color w:val="000000"/>
                <w:sz w:val="18"/>
                <w:szCs w:val="18"/>
                <w:lang w:eastAsia="ru-RU"/>
              </w:rPr>
            </w:pPr>
            <w:r w:rsidRPr="009D7618">
              <w:rPr>
                <w:rFonts w:eastAsia="Times New Roman"/>
                <w:color w:val="000000"/>
                <w:sz w:val="18"/>
                <w:szCs w:val="18"/>
                <w:lang w:eastAsia="ru-RU"/>
              </w:rPr>
              <w:t>8 947</w:t>
            </w:r>
          </w:p>
        </w:tc>
        <w:tc>
          <w:tcPr>
            <w:tcW w:w="617" w:type="pct"/>
            <w:tcBorders>
              <w:top w:val="nil"/>
              <w:left w:val="nil"/>
              <w:bottom w:val="single" w:sz="4" w:space="0" w:color="auto"/>
              <w:right w:val="single" w:sz="4" w:space="0" w:color="auto"/>
            </w:tcBorders>
            <w:shd w:val="clear" w:color="auto" w:fill="auto"/>
            <w:noWrap/>
            <w:vAlign w:val="center"/>
            <w:hideMark/>
          </w:tcPr>
          <w:p w14:paraId="4ABE4423" w14:textId="77777777" w:rsidR="009A4C46" w:rsidRPr="009D7618" w:rsidRDefault="009A4C46" w:rsidP="00874840">
            <w:pPr>
              <w:widowControl w:val="0"/>
              <w:spacing w:after="0" w:line="240" w:lineRule="auto"/>
              <w:jc w:val="center"/>
              <w:rPr>
                <w:rFonts w:eastAsia="Times New Roman"/>
                <w:color w:val="000000"/>
                <w:sz w:val="18"/>
                <w:szCs w:val="18"/>
                <w:lang w:eastAsia="ru-RU"/>
              </w:rPr>
            </w:pPr>
            <w:r w:rsidRPr="009D7618">
              <w:rPr>
                <w:rFonts w:eastAsia="Times New Roman"/>
                <w:color w:val="000000"/>
                <w:sz w:val="18"/>
                <w:szCs w:val="18"/>
                <w:lang w:eastAsia="ru-RU"/>
              </w:rPr>
              <w:t>8 947</w:t>
            </w:r>
          </w:p>
        </w:tc>
        <w:tc>
          <w:tcPr>
            <w:tcW w:w="676" w:type="pct"/>
            <w:tcBorders>
              <w:top w:val="nil"/>
              <w:left w:val="nil"/>
              <w:bottom w:val="single" w:sz="4" w:space="0" w:color="auto"/>
              <w:right w:val="single" w:sz="4" w:space="0" w:color="auto"/>
            </w:tcBorders>
            <w:shd w:val="clear" w:color="auto" w:fill="auto"/>
            <w:noWrap/>
            <w:vAlign w:val="center"/>
            <w:hideMark/>
          </w:tcPr>
          <w:p w14:paraId="0048DFD1" w14:textId="77777777" w:rsidR="009A4C46" w:rsidRPr="009D7618" w:rsidRDefault="009A4C46" w:rsidP="00874840">
            <w:pPr>
              <w:widowControl w:val="0"/>
              <w:spacing w:after="0" w:line="240" w:lineRule="auto"/>
              <w:jc w:val="center"/>
              <w:rPr>
                <w:rFonts w:eastAsia="Times New Roman"/>
                <w:color w:val="000000"/>
                <w:sz w:val="18"/>
                <w:szCs w:val="18"/>
                <w:lang w:eastAsia="ru-RU"/>
              </w:rPr>
            </w:pPr>
            <w:r w:rsidRPr="009D7618">
              <w:rPr>
                <w:rFonts w:eastAsia="Times New Roman"/>
                <w:color w:val="000000"/>
                <w:sz w:val="18"/>
                <w:szCs w:val="18"/>
                <w:lang w:eastAsia="ru-RU"/>
              </w:rPr>
              <w:t>8 947</w:t>
            </w:r>
          </w:p>
        </w:tc>
        <w:tc>
          <w:tcPr>
            <w:tcW w:w="455" w:type="pct"/>
            <w:tcBorders>
              <w:top w:val="nil"/>
              <w:left w:val="nil"/>
              <w:bottom w:val="single" w:sz="4" w:space="0" w:color="auto"/>
              <w:right w:val="single" w:sz="4" w:space="0" w:color="auto"/>
            </w:tcBorders>
            <w:shd w:val="clear" w:color="auto" w:fill="auto"/>
            <w:noWrap/>
            <w:vAlign w:val="center"/>
            <w:hideMark/>
          </w:tcPr>
          <w:p w14:paraId="06BEF406" w14:textId="77777777" w:rsidR="009A4C46" w:rsidRPr="009D7618" w:rsidRDefault="009A4C46" w:rsidP="00874840">
            <w:pPr>
              <w:widowControl w:val="0"/>
              <w:spacing w:after="0" w:line="240" w:lineRule="auto"/>
              <w:jc w:val="center"/>
              <w:rPr>
                <w:rFonts w:eastAsia="Times New Roman"/>
                <w:color w:val="000000"/>
                <w:sz w:val="18"/>
                <w:szCs w:val="18"/>
                <w:lang w:eastAsia="ru-RU"/>
              </w:rPr>
            </w:pPr>
            <w:r w:rsidRPr="009D7618">
              <w:rPr>
                <w:rFonts w:eastAsia="Times New Roman"/>
                <w:color w:val="000000"/>
                <w:sz w:val="18"/>
                <w:szCs w:val="18"/>
                <w:lang w:eastAsia="ru-RU"/>
              </w:rPr>
              <w:t>0</w:t>
            </w:r>
          </w:p>
        </w:tc>
        <w:tc>
          <w:tcPr>
            <w:tcW w:w="388" w:type="pct"/>
            <w:tcBorders>
              <w:top w:val="nil"/>
              <w:left w:val="nil"/>
              <w:bottom w:val="single" w:sz="4" w:space="0" w:color="auto"/>
              <w:right w:val="single" w:sz="4" w:space="0" w:color="auto"/>
            </w:tcBorders>
            <w:shd w:val="clear" w:color="auto" w:fill="auto"/>
            <w:noWrap/>
            <w:vAlign w:val="center"/>
            <w:hideMark/>
          </w:tcPr>
          <w:p w14:paraId="66A44C44" w14:textId="77777777" w:rsidR="009A4C46" w:rsidRPr="009D7618" w:rsidRDefault="009A4C46" w:rsidP="00874840">
            <w:pPr>
              <w:widowControl w:val="0"/>
              <w:spacing w:after="0" w:line="240" w:lineRule="auto"/>
              <w:jc w:val="center"/>
              <w:rPr>
                <w:rFonts w:eastAsia="Times New Roman"/>
                <w:color w:val="000000"/>
                <w:sz w:val="18"/>
                <w:szCs w:val="18"/>
                <w:lang w:eastAsia="ru-RU"/>
              </w:rPr>
            </w:pPr>
            <w:r w:rsidRPr="009D7618">
              <w:rPr>
                <w:rFonts w:eastAsia="Times New Roman"/>
                <w:color w:val="000000"/>
                <w:sz w:val="18"/>
                <w:szCs w:val="18"/>
                <w:lang w:eastAsia="ru-RU"/>
              </w:rPr>
              <w:t>0</w:t>
            </w:r>
          </w:p>
        </w:tc>
      </w:tr>
      <w:tr w:rsidR="009A4C46" w:rsidRPr="009D7618" w14:paraId="6195EAEC" w14:textId="77777777" w:rsidTr="00874840">
        <w:trPr>
          <w:trHeight w:val="567"/>
        </w:trPr>
        <w:tc>
          <w:tcPr>
            <w:tcW w:w="1042" w:type="pct"/>
            <w:tcBorders>
              <w:top w:val="nil"/>
              <w:left w:val="single" w:sz="4" w:space="0" w:color="auto"/>
              <w:bottom w:val="single" w:sz="4" w:space="0" w:color="auto"/>
              <w:right w:val="single" w:sz="4" w:space="0" w:color="auto"/>
            </w:tcBorders>
            <w:shd w:val="clear" w:color="auto" w:fill="auto"/>
            <w:vAlign w:val="center"/>
            <w:hideMark/>
          </w:tcPr>
          <w:p w14:paraId="7870319D" w14:textId="1FFD1E8D" w:rsidR="009A4C46" w:rsidRPr="009D7618" w:rsidRDefault="009A4C46" w:rsidP="00874840">
            <w:pPr>
              <w:widowControl w:val="0"/>
              <w:spacing w:after="0" w:line="240" w:lineRule="auto"/>
              <w:rPr>
                <w:rFonts w:eastAsia="Times New Roman"/>
                <w:color w:val="000000"/>
                <w:sz w:val="18"/>
                <w:szCs w:val="18"/>
                <w:lang w:eastAsia="ru-RU"/>
              </w:rPr>
            </w:pPr>
            <w:r w:rsidRPr="00E169B0">
              <w:rPr>
                <w:rFonts w:eastAsia="Times New Roman"/>
                <w:color w:val="000000"/>
                <w:sz w:val="18"/>
                <w:szCs w:val="18"/>
                <w:lang w:eastAsia="ru-RU"/>
              </w:rPr>
              <w:t>Расходы</w:t>
            </w:r>
            <w:r w:rsidRPr="003E2802">
              <w:rPr>
                <w:rFonts w:eastAsia="Times New Roman"/>
                <w:color w:val="000000"/>
                <w:sz w:val="18"/>
                <w:szCs w:val="18"/>
                <w:lang w:eastAsia="ru-RU"/>
              </w:rPr>
              <w:t xml:space="preserve"> сетево</w:t>
            </w:r>
            <w:r w:rsidRPr="009D7618">
              <w:rPr>
                <w:rFonts w:eastAsia="Times New Roman"/>
                <w:color w:val="000000"/>
                <w:sz w:val="18"/>
                <w:szCs w:val="18"/>
                <w:lang w:eastAsia="ru-RU"/>
              </w:rPr>
              <w:t xml:space="preserve">й организации, связанные с осуществлением технологического присоединения к электрическим сетям, не включенные в плату за </w:t>
            </w:r>
            <w:r w:rsidRPr="009D7618">
              <w:rPr>
                <w:rFonts w:eastAsia="Times New Roman"/>
                <w:color w:val="000000"/>
                <w:sz w:val="18"/>
                <w:szCs w:val="18"/>
                <w:lang w:eastAsia="ru-RU"/>
              </w:rPr>
              <w:lastRenderedPageBreak/>
              <w:t>технологическое присоединение</w:t>
            </w:r>
            <w:r w:rsidR="000250F6" w:rsidRPr="009009FA">
              <w:rPr>
                <w:rFonts w:eastAsia="Calibri"/>
                <w:i/>
                <w:color w:val="0000CC"/>
                <w:highlight w:val="yellow"/>
              </w:rPr>
              <w:t xml:space="preserve"> </w:t>
            </w:r>
          </w:p>
        </w:tc>
        <w:tc>
          <w:tcPr>
            <w:tcW w:w="483" w:type="pct"/>
            <w:tcBorders>
              <w:top w:val="nil"/>
              <w:left w:val="nil"/>
              <w:bottom w:val="single" w:sz="4" w:space="0" w:color="auto"/>
              <w:right w:val="single" w:sz="4" w:space="0" w:color="auto"/>
            </w:tcBorders>
            <w:shd w:val="clear" w:color="auto" w:fill="auto"/>
            <w:noWrap/>
            <w:vAlign w:val="center"/>
            <w:hideMark/>
          </w:tcPr>
          <w:p w14:paraId="032C513F" w14:textId="77777777" w:rsidR="009A4C46" w:rsidRPr="009D7618" w:rsidRDefault="009A4C46" w:rsidP="00874840">
            <w:pPr>
              <w:widowControl w:val="0"/>
              <w:spacing w:after="0" w:line="240" w:lineRule="auto"/>
              <w:jc w:val="center"/>
              <w:rPr>
                <w:rFonts w:eastAsia="Times New Roman"/>
                <w:color w:val="000000"/>
                <w:sz w:val="18"/>
                <w:szCs w:val="18"/>
                <w:lang w:eastAsia="ru-RU"/>
              </w:rPr>
            </w:pPr>
            <w:r w:rsidRPr="009D7618">
              <w:rPr>
                <w:rFonts w:eastAsia="Times New Roman"/>
                <w:color w:val="000000"/>
                <w:sz w:val="18"/>
                <w:szCs w:val="18"/>
                <w:lang w:eastAsia="ru-RU"/>
              </w:rPr>
              <w:lastRenderedPageBreak/>
              <w:t>тыс. руб.</w:t>
            </w:r>
          </w:p>
        </w:tc>
        <w:tc>
          <w:tcPr>
            <w:tcW w:w="633" w:type="pct"/>
            <w:tcBorders>
              <w:top w:val="nil"/>
              <w:left w:val="nil"/>
              <w:bottom w:val="single" w:sz="4" w:space="0" w:color="auto"/>
              <w:right w:val="single" w:sz="4" w:space="0" w:color="auto"/>
            </w:tcBorders>
            <w:shd w:val="clear" w:color="auto" w:fill="auto"/>
            <w:noWrap/>
            <w:vAlign w:val="center"/>
            <w:hideMark/>
          </w:tcPr>
          <w:p w14:paraId="56357F14" w14:textId="77777777" w:rsidR="009A4C46" w:rsidRPr="009D7618" w:rsidRDefault="009A4C46" w:rsidP="00874840">
            <w:pPr>
              <w:widowControl w:val="0"/>
              <w:spacing w:after="0" w:line="240" w:lineRule="auto"/>
              <w:jc w:val="center"/>
              <w:rPr>
                <w:rFonts w:eastAsia="Times New Roman"/>
                <w:color w:val="000000"/>
                <w:sz w:val="18"/>
                <w:szCs w:val="18"/>
                <w:lang w:eastAsia="ru-RU"/>
              </w:rPr>
            </w:pPr>
            <w:r w:rsidRPr="009D7618">
              <w:rPr>
                <w:rFonts w:eastAsia="Times New Roman"/>
                <w:color w:val="000000"/>
                <w:sz w:val="18"/>
                <w:szCs w:val="18"/>
                <w:lang w:eastAsia="ru-RU"/>
              </w:rPr>
              <w:t>40 461</w:t>
            </w:r>
          </w:p>
        </w:tc>
        <w:tc>
          <w:tcPr>
            <w:tcW w:w="705" w:type="pct"/>
            <w:tcBorders>
              <w:top w:val="nil"/>
              <w:left w:val="nil"/>
              <w:bottom w:val="single" w:sz="4" w:space="0" w:color="auto"/>
              <w:right w:val="single" w:sz="4" w:space="0" w:color="auto"/>
            </w:tcBorders>
            <w:shd w:val="clear" w:color="auto" w:fill="auto"/>
            <w:noWrap/>
            <w:vAlign w:val="center"/>
            <w:hideMark/>
          </w:tcPr>
          <w:p w14:paraId="5D590E03" w14:textId="77777777" w:rsidR="009A4C46" w:rsidRPr="009D7618" w:rsidRDefault="009A4C46" w:rsidP="00874840">
            <w:pPr>
              <w:widowControl w:val="0"/>
              <w:spacing w:after="0" w:line="240" w:lineRule="auto"/>
              <w:jc w:val="center"/>
              <w:rPr>
                <w:rFonts w:eastAsia="Times New Roman"/>
                <w:color w:val="000000"/>
                <w:sz w:val="18"/>
                <w:szCs w:val="18"/>
                <w:lang w:eastAsia="ru-RU"/>
              </w:rPr>
            </w:pPr>
            <w:r w:rsidRPr="009D7618">
              <w:rPr>
                <w:rFonts w:eastAsia="Times New Roman"/>
                <w:color w:val="000000"/>
                <w:sz w:val="18"/>
                <w:szCs w:val="18"/>
                <w:lang w:eastAsia="ru-RU"/>
              </w:rPr>
              <w:t>0</w:t>
            </w:r>
          </w:p>
        </w:tc>
        <w:tc>
          <w:tcPr>
            <w:tcW w:w="617" w:type="pct"/>
            <w:tcBorders>
              <w:top w:val="nil"/>
              <w:left w:val="nil"/>
              <w:bottom w:val="single" w:sz="4" w:space="0" w:color="auto"/>
              <w:right w:val="single" w:sz="4" w:space="0" w:color="auto"/>
            </w:tcBorders>
            <w:shd w:val="clear" w:color="auto" w:fill="auto"/>
            <w:noWrap/>
            <w:vAlign w:val="center"/>
            <w:hideMark/>
          </w:tcPr>
          <w:p w14:paraId="3C7B8193" w14:textId="77777777" w:rsidR="009A4C46" w:rsidRPr="009D7618" w:rsidRDefault="009A4C46" w:rsidP="00874840">
            <w:pPr>
              <w:widowControl w:val="0"/>
              <w:spacing w:after="0" w:line="240" w:lineRule="auto"/>
              <w:jc w:val="center"/>
              <w:rPr>
                <w:rFonts w:eastAsia="Times New Roman"/>
                <w:color w:val="000000"/>
                <w:sz w:val="18"/>
                <w:szCs w:val="18"/>
                <w:lang w:eastAsia="ru-RU"/>
              </w:rPr>
            </w:pPr>
            <w:r w:rsidRPr="009D7618">
              <w:rPr>
                <w:rFonts w:eastAsia="Times New Roman"/>
                <w:color w:val="000000"/>
                <w:sz w:val="18"/>
                <w:szCs w:val="18"/>
                <w:lang w:eastAsia="ru-RU"/>
              </w:rPr>
              <w:t>0</w:t>
            </w:r>
          </w:p>
        </w:tc>
        <w:tc>
          <w:tcPr>
            <w:tcW w:w="676" w:type="pct"/>
            <w:tcBorders>
              <w:top w:val="nil"/>
              <w:left w:val="nil"/>
              <w:bottom w:val="single" w:sz="4" w:space="0" w:color="auto"/>
              <w:right w:val="single" w:sz="4" w:space="0" w:color="auto"/>
            </w:tcBorders>
            <w:shd w:val="clear" w:color="auto" w:fill="auto"/>
            <w:noWrap/>
            <w:vAlign w:val="center"/>
            <w:hideMark/>
          </w:tcPr>
          <w:p w14:paraId="6926C13C" w14:textId="77777777" w:rsidR="009A4C46" w:rsidRPr="009D7618" w:rsidRDefault="009A4C46" w:rsidP="00874840">
            <w:pPr>
              <w:widowControl w:val="0"/>
              <w:spacing w:after="0" w:line="240" w:lineRule="auto"/>
              <w:jc w:val="center"/>
              <w:rPr>
                <w:rFonts w:eastAsia="Times New Roman"/>
                <w:color w:val="000000"/>
                <w:sz w:val="18"/>
                <w:szCs w:val="18"/>
                <w:lang w:eastAsia="ru-RU"/>
              </w:rPr>
            </w:pPr>
            <w:r w:rsidRPr="009D7618">
              <w:rPr>
                <w:rFonts w:eastAsia="Times New Roman"/>
                <w:color w:val="000000"/>
                <w:sz w:val="18"/>
                <w:szCs w:val="18"/>
                <w:lang w:eastAsia="ru-RU"/>
              </w:rPr>
              <w:t>34 492</w:t>
            </w:r>
          </w:p>
        </w:tc>
        <w:tc>
          <w:tcPr>
            <w:tcW w:w="455" w:type="pct"/>
            <w:tcBorders>
              <w:top w:val="nil"/>
              <w:left w:val="nil"/>
              <w:bottom w:val="single" w:sz="4" w:space="0" w:color="auto"/>
              <w:right w:val="single" w:sz="4" w:space="0" w:color="auto"/>
            </w:tcBorders>
            <w:shd w:val="clear" w:color="auto" w:fill="auto"/>
            <w:noWrap/>
            <w:vAlign w:val="center"/>
            <w:hideMark/>
          </w:tcPr>
          <w:p w14:paraId="0ED01D07" w14:textId="77777777" w:rsidR="009A4C46" w:rsidRPr="009D7618" w:rsidRDefault="009A4C46" w:rsidP="00874840">
            <w:pPr>
              <w:widowControl w:val="0"/>
              <w:spacing w:after="0" w:line="240" w:lineRule="auto"/>
              <w:jc w:val="center"/>
              <w:rPr>
                <w:rFonts w:eastAsia="Times New Roman"/>
                <w:color w:val="000000"/>
                <w:sz w:val="18"/>
                <w:szCs w:val="18"/>
                <w:lang w:eastAsia="ru-RU"/>
              </w:rPr>
            </w:pPr>
            <w:r w:rsidRPr="009D7618">
              <w:rPr>
                <w:rFonts w:eastAsia="Times New Roman"/>
                <w:color w:val="000000"/>
                <w:sz w:val="18"/>
                <w:szCs w:val="18"/>
                <w:lang w:eastAsia="ru-RU"/>
              </w:rPr>
              <w:t>34 492</w:t>
            </w:r>
          </w:p>
        </w:tc>
        <w:tc>
          <w:tcPr>
            <w:tcW w:w="388" w:type="pct"/>
            <w:tcBorders>
              <w:top w:val="nil"/>
              <w:left w:val="nil"/>
              <w:bottom w:val="single" w:sz="4" w:space="0" w:color="auto"/>
              <w:right w:val="single" w:sz="4" w:space="0" w:color="auto"/>
            </w:tcBorders>
            <w:shd w:val="clear" w:color="auto" w:fill="auto"/>
            <w:noWrap/>
            <w:vAlign w:val="center"/>
            <w:hideMark/>
          </w:tcPr>
          <w:p w14:paraId="60F63D2E" w14:textId="77777777" w:rsidR="009A4C46" w:rsidRPr="009D7618" w:rsidRDefault="009A4C46" w:rsidP="00874840">
            <w:pPr>
              <w:widowControl w:val="0"/>
              <w:spacing w:after="0" w:line="240" w:lineRule="auto"/>
              <w:jc w:val="center"/>
              <w:rPr>
                <w:rFonts w:eastAsia="Times New Roman"/>
                <w:color w:val="000000"/>
                <w:sz w:val="18"/>
                <w:szCs w:val="18"/>
                <w:lang w:eastAsia="ru-RU"/>
              </w:rPr>
            </w:pPr>
            <w:r w:rsidRPr="009D7618">
              <w:rPr>
                <w:rFonts w:eastAsia="Times New Roman"/>
                <w:color w:val="000000"/>
                <w:sz w:val="18"/>
                <w:szCs w:val="18"/>
                <w:lang w:eastAsia="ru-RU"/>
              </w:rPr>
              <w:t>34 492</w:t>
            </w:r>
          </w:p>
        </w:tc>
      </w:tr>
      <w:tr w:rsidR="009A4C46" w:rsidRPr="009D7618" w14:paraId="253E0DEB" w14:textId="77777777" w:rsidTr="00874840">
        <w:trPr>
          <w:trHeight w:val="615"/>
        </w:trPr>
        <w:tc>
          <w:tcPr>
            <w:tcW w:w="1042" w:type="pct"/>
            <w:tcBorders>
              <w:top w:val="nil"/>
              <w:left w:val="single" w:sz="4" w:space="0" w:color="auto"/>
              <w:bottom w:val="single" w:sz="4" w:space="0" w:color="auto"/>
              <w:right w:val="single" w:sz="4" w:space="0" w:color="auto"/>
            </w:tcBorders>
            <w:shd w:val="clear" w:color="auto" w:fill="auto"/>
            <w:vAlign w:val="center"/>
            <w:hideMark/>
          </w:tcPr>
          <w:p w14:paraId="4F623813" w14:textId="77777777" w:rsidR="009A4C46" w:rsidRPr="009D7618" w:rsidRDefault="009A4C46" w:rsidP="00874840">
            <w:pPr>
              <w:widowControl w:val="0"/>
              <w:spacing w:after="0" w:line="240" w:lineRule="auto"/>
              <w:rPr>
                <w:rFonts w:eastAsia="Times New Roman"/>
                <w:color w:val="000000"/>
                <w:sz w:val="18"/>
                <w:szCs w:val="18"/>
                <w:lang w:eastAsia="ru-RU"/>
              </w:rPr>
            </w:pPr>
            <w:r w:rsidRPr="00E169B0">
              <w:rPr>
                <w:rFonts w:eastAsia="Times New Roman"/>
                <w:color w:val="000000"/>
                <w:sz w:val="18"/>
                <w:szCs w:val="18"/>
                <w:lang w:eastAsia="ru-RU"/>
              </w:rPr>
              <w:t>Проч</w:t>
            </w:r>
            <w:r w:rsidRPr="003E2802">
              <w:rPr>
                <w:rFonts w:eastAsia="Times New Roman"/>
                <w:color w:val="000000"/>
                <w:sz w:val="18"/>
                <w:szCs w:val="18"/>
                <w:lang w:eastAsia="ru-RU"/>
              </w:rPr>
              <w:t>ие н</w:t>
            </w:r>
            <w:r w:rsidRPr="009D7618">
              <w:rPr>
                <w:rFonts w:eastAsia="Times New Roman"/>
                <w:color w:val="000000"/>
                <w:sz w:val="18"/>
                <w:szCs w:val="18"/>
                <w:lang w:eastAsia="ru-RU"/>
              </w:rPr>
              <w:t xml:space="preserve">еподконтрольные расходы </w:t>
            </w:r>
          </w:p>
        </w:tc>
        <w:tc>
          <w:tcPr>
            <w:tcW w:w="483" w:type="pct"/>
            <w:tcBorders>
              <w:top w:val="nil"/>
              <w:left w:val="nil"/>
              <w:bottom w:val="single" w:sz="4" w:space="0" w:color="auto"/>
              <w:right w:val="single" w:sz="4" w:space="0" w:color="auto"/>
            </w:tcBorders>
            <w:shd w:val="clear" w:color="auto" w:fill="auto"/>
            <w:noWrap/>
            <w:vAlign w:val="center"/>
            <w:hideMark/>
          </w:tcPr>
          <w:p w14:paraId="060E10AA" w14:textId="77777777" w:rsidR="009A4C46" w:rsidRPr="009D7618" w:rsidRDefault="009A4C46" w:rsidP="00874840">
            <w:pPr>
              <w:widowControl w:val="0"/>
              <w:spacing w:after="0" w:line="240" w:lineRule="auto"/>
              <w:jc w:val="center"/>
              <w:rPr>
                <w:rFonts w:eastAsia="Times New Roman"/>
                <w:color w:val="000000"/>
                <w:sz w:val="18"/>
                <w:szCs w:val="18"/>
                <w:lang w:eastAsia="ru-RU"/>
              </w:rPr>
            </w:pPr>
            <w:r w:rsidRPr="009D7618">
              <w:rPr>
                <w:rFonts w:eastAsia="Times New Roman"/>
                <w:color w:val="000000"/>
                <w:sz w:val="18"/>
                <w:szCs w:val="18"/>
                <w:lang w:eastAsia="ru-RU"/>
              </w:rPr>
              <w:t>тыс. руб.</w:t>
            </w:r>
          </w:p>
        </w:tc>
        <w:tc>
          <w:tcPr>
            <w:tcW w:w="633" w:type="pct"/>
            <w:tcBorders>
              <w:top w:val="nil"/>
              <w:left w:val="nil"/>
              <w:bottom w:val="single" w:sz="4" w:space="0" w:color="auto"/>
              <w:right w:val="single" w:sz="4" w:space="0" w:color="auto"/>
            </w:tcBorders>
            <w:shd w:val="clear" w:color="auto" w:fill="auto"/>
            <w:noWrap/>
            <w:vAlign w:val="center"/>
            <w:hideMark/>
          </w:tcPr>
          <w:p w14:paraId="64A2027A" w14:textId="77777777" w:rsidR="009A4C46" w:rsidRPr="009D7618" w:rsidRDefault="009A4C46" w:rsidP="00874840">
            <w:pPr>
              <w:widowControl w:val="0"/>
              <w:spacing w:after="0" w:line="240" w:lineRule="auto"/>
              <w:jc w:val="center"/>
              <w:rPr>
                <w:rFonts w:eastAsia="Times New Roman"/>
                <w:color w:val="000000"/>
                <w:sz w:val="18"/>
                <w:szCs w:val="18"/>
                <w:lang w:eastAsia="ru-RU"/>
              </w:rPr>
            </w:pPr>
            <w:r w:rsidRPr="009D7618">
              <w:rPr>
                <w:rFonts w:eastAsia="Times New Roman"/>
                <w:color w:val="000000"/>
                <w:sz w:val="18"/>
                <w:szCs w:val="18"/>
                <w:lang w:eastAsia="ru-RU"/>
              </w:rPr>
              <w:t>89 827</w:t>
            </w:r>
          </w:p>
        </w:tc>
        <w:tc>
          <w:tcPr>
            <w:tcW w:w="705" w:type="pct"/>
            <w:tcBorders>
              <w:top w:val="nil"/>
              <w:left w:val="nil"/>
              <w:bottom w:val="single" w:sz="4" w:space="0" w:color="auto"/>
              <w:right w:val="single" w:sz="4" w:space="0" w:color="auto"/>
            </w:tcBorders>
            <w:shd w:val="clear" w:color="auto" w:fill="auto"/>
            <w:noWrap/>
            <w:vAlign w:val="center"/>
            <w:hideMark/>
          </w:tcPr>
          <w:p w14:paraId="3645EF6B" w14:textId="77777777" w:rsidR="009A4C46" w:rsidRPr="009D7618" w:rsidRDefault="009A4C46" w:rsidP="00874840">
            <w:pPr>
              <w:widowControl w:val="0"/>
              <w:spacing w:after="0" w:line="240" w:lineRule="auto"/>
              <w:jc w:val="center"/>
              <w:rPr>
                <w:rFonts w:eastAsia="Times New Roman"/>
                <w:color w:val="000000"/>
                <w:sz w:val="18"/>
                <w:szCs w:val="18"/>
                <w:lang w:eastAsia="ru-RU"/>
              </w:rPr>
            </w:pPr>
            <w:r w:rsidRPr="009D7618">
              <w:rPr>
                <w:rFonts w:eastAsia="Times New Roman"/>
                <w:color w:val="000000"/>
                <w:sz w:val="18"/>
                <w:szCs w:val="18"/>
                <w:lang w:eastAsia="ru-RU"/>
              </w:rPr>
              <w:t>315 756</w:t>
            </w:r>
          </w:p>
        </w:tc>
        <w:tc>
          <w:tcPr>
            <w:tcW w:w="617" w:type="pct"/>
            <w:tcBorders>
              <w:top w:val="nil"/>
              <w:left w:val="nil"/>
              <w:bottom w:val="single" w:sz="4" w:space="0" w:color="auto"/>
              <w:right w:val="single" w:sz="4" w:space="0" w:color="auto"/>
            </w:tcBorders>
            <w:shd w:val="clear" w:color="auto" w:fill="auto"/>
            <w:noWrap/>
            <w:vAlign w:val="center"/>
            <w:hideMark/>
          </w:tcPr>
          <w:p w14:paraId="33FEA155" w14:textId="77777777" w:rsidR="009A4C46" w:rsidRPr="009D7618" w:rsidRDefault="009A4C46" w:rsidP="00874840">
            <w:pPr>
              <w:widowControl w:val="0"/>
              <w:spacing w:after="0" w:line="240" w:lineRule="auto"/>
              <w:jc w:val="center"/>
              <w:rPr>
                <w:rFonts w:eastAsia="Times New Roman"/>
                <w:color w:val="000000"/>
                <w:sz w:val="18"/>
                <w:szCs w:val="18"/>
                <w:lang w:eastAsia="ru-RU"/>
              </w:rPr>
            </w:pPr>
            <w:r w:rsidRPr="009D7618">
              <w:rPr>
                <w:rFonts w:eastAsia="Times New Roman"/>
                <w:color w:val="000000"/>
                <w:sz w:val="18"/>
                <w:szCs w:val="18"/>
                <w:lang w:eastAsia="ru-RU"/>
              </w:rPr>
              <w:t>315 756</w:t>
            </w:r>
          </w:p>
        </w:tc>
        <w:tc>
          <w:tcPr>
            <w:tcW w:w="676" w:type="pct"/>
            <w:tcBorders>
              <w:top w:val="nil"/>
              <w:left w:val="nil"/>
              <w:bottom w:val="single" w:sz="4" w:space="0" w:color="auto"/>
              <w:right w:val="single" w:sz="4" w:space="0" w:color="auto"/>
            </w:tcBorders>
            <w:shd w:val="clear" w:color="auto" w:fill="auto"/>
            <w:noWrap/>
            <w:vAlign w:val="center"/>
            <w:hideMark/>
          </w:tcPr>
          <w:p w14:paraId="4A7FFBF7" w14:textId="77777777" w:rsidR="009A4C46" w:rsidRPr="009D7618" w:rsidRDefault="009A4C46" w:rsidP="00874840">
            <w:pPr>
              <w:widowControl w:val="0"/>
              <w:spacing w:after="0" w:line="240" w:lineRule="auto"/>
              <w:jc w:val="center"/>
              <w:rPr>
                <w:rFonts w:eastAsia="Times New Roman"/>
                <w:color w:val="000000"/>
                <w:sz w:val="18"/>
                <w:szCs w:val="18"/>
                <w:lang w:eastAsia="ru-RU"/>
              </w:rPr>
            </w:pPr>
            <w:r w:rsidRPr="009D7618">
              <w:rPr>
                <w:rFonts w:eastAsia="Times New Roman"/>
                <w:color w:val="000000"/>
                <w:sz w:val="18"/>
                <w:szCs w:val="18"/>
                <w:lang w:eastAsia="ru-RU"/>
              </w:rPr>
              <w:t>315 756</w:t>
            </w:r>
          </w:p>
        </w:tc>
        <w:tc>
          <w:tcPr>
            <w:tcW w:w="455" w:type="pct"/>
            <w:tcBorders>
              <w:top w:val="nil"/>
              <w:left w:val="nil"/>
              <w:bottom w:val="single" w:sz="4" w:space="0" w:color="auto"/>
              <w:right w:val="single" w:sz="4" w:space="0" w:color="auto"/>
            </w:tcBorders>
            <w:shd w:val="clear" w:color="auto" w:fill="auto"/>
            <w:noWrap/>
            <w:vAlign w:val="center"/>
            <w:hideMark/>
          </w:tcPr>
          <w:p w14:paraId="2AF21483" w14:textId="77777777" w:rsidR="009A4C46" w:rsidRPr="009D7618" w:rsidRDefault="009A4C46" w:rsidP="00874840">
            <w:pPr>
              <w:widowControl w:val="0"/>
              <w:spacing w:after="0" w:line="240" w:lineRule="auto"/>
              <w:jc w:val="center"/>
              <w:rPr>
                <w:rFonts w:eastAsia="Times New Roman"/>
                <w:color w:val="000000"/>
                <w:sz w:val="18"/>
                <w:szCs w:val="18"/>
                <w:lang w:eastAsia="ru-RU"/>
              </w:rPr>
            </w:pPr>
            <w:r w:rsidRPr="009D7618">
              <w:rPr>
                <w:rFonts w:eastAsia="Times New Roman"/>
                <w:color w:val="000000"/>
                <w:sz w:val="18"/>
                <w:szCs w:val="18"/>
                <w:lang w:eastAsia="ru-RU"/>
              </w:rPr>
              <w:t>0</w:t>
            </w:r>
          </w:p>
        </w:tc>
        <w:tc>
          <w:tcPr>
            <w:tcW w:w="388" w:type="pct"/>
            <w:tcBorders>
              <w:top w:val="nil"/>
              <w:left w:val="nil"/>
              <w:bottom w:val="single" w:sz="4" w:space="0" w:color="auto"/>
              <w:right w:val="single" w:sz="4" w:space="0" w:color="auto"/>
            </w:tcBorders>
            <w:shd w:val="clear" w:color="auto" w:fill="auto"/>
            <w:noWrap/>
            <w:vAlign w:val="center"/>
            <w:hideMark/>
          </w:tcPr>
          <w:p w14:paraId="2409C101" w14:textId="77777777" w:rsidR="009A4C46" w:rsidRPr="009D7618" w:rsidRDefault="009A4C46" w:rsidP="00874840">
            <w:pPr>
              <w:widowControl w:val="0"/>
              <w:spacing w:after="0" w:line="240" w:lineRule="auto"/>
              <w:jc w:val="center"/>
              <w:rPr>
                <w:rFonts w:eastAsia="Times New Roman"/>
                <w:color w:val="000000"/>
                <w:sz w:val="18"/>
                <w:szCs w:val="18"/>
                <w:lang w:eastAsia="ru-RU"/>
              </w:rPr>
            </w:pPr>
            <w:r w:rsidRPr="009D7618">
              <w:rPr>
                <w:rFonts w:eastAsia="Times New Roman"/>
                <w:color w:val="000000"/>
                <w:sz w:val="18"/>
                <w:szCs w:val="18"/>
                <w:lang w:eastAsia="ru-RU"/>
              </w:rPr>
              <w:t>0</w:t>
            </w:r>
          </w:p>
        </w:tc>
      </w:tr>
    </w:tbl>
    <w:p w14:paraId="58A8BFF2" w14:textId="77777777" w:rsidR="009A4C46" w:rsidRPr="00F94FED" w:rsidRDefault="009A4C46" w:rsidP="00F94FED">
      <w:pPr>
        <w:autoSpaceDE w:val="0"/>
        <w:autoSpaceDN w:val="0"/>
        <w:adjustRightInd w:val="0"/>
        <w:spacing w:after="0" w:line="360" w:lineRule="auto"/>
        <w:ind w:firstLine="567"/>
        <w:jc w:val="both"/>
        <w:rPr>
          <w:rFonts w:eastAsia="Times New Roman"/>
          <w:sz w:val="26"/>
          <w:szCs w:val="26"/>
          <w:lang w:eastAsia="ru-RU"/>
        </w:rPr>
      </w:pPr>
    </w:p>
    <w:p w14:paraId="5CD87D01" w14:textId="77777777" w:rsidR="009A4C46" w:rsidRPr="00F94FED" w:rsidRDefault="009A4C46" w:rsidP="00F94FED">
      <w:pPr>
        <w:autoSpaceDE w:val="0"/>
        <w:autoSpaceDN w:val="0"/>
        <w:adjustRightInd w:val="0"/>
        <w:spacing w:after="0" w:line="360" w:lineRule="auto"/>
        <w:ind w:firstLine="567"/>
        <w:jc w:val="both"/>
        <w:rPr>
          <w:rFonts w:eastAsia="Times New Roman"/>
          <w:sz w:val="26"/>
          <w:szCs w:val="26"/>
          <w:lang w:eastAsia="ru-RU"/>
        </w:rPr>
      </w:pPr>
      <w:r w:rsidRPr="00F94FED">
        <w:rPr>
          <w:rFonts w:eastAsia="Times New Roman"/>
          <w:sz w:val="26"/>
          <w:szCs w:val="26"/>
          <w:lang w:eastAsia="ru-RU"/>
        </w:rPr>
        <w:t xml:space="preserve">Отклонения по размеру неподконтрольных расходов за 2017 год по расчету Исполнителя относительно заявленных АО «Тываэнерго» и учтенных Службой по тарифам Республики Тыва составили 34 492 тыс. руб. по статье затрат «Расходы сетевой организации, связанные с осуществлением технологического присоединения к электрическим сетям, не включенные в плату за технологическое присоединение». Службой по тарифам Республики Тыва расходы, связанные с осуществлением технологического присоединения к электрическим сетям, не включенные в плату за технологическое присоединение учтены при определении плановых </w:t>
      </w:r>
      <w:bookmarkStart w:id="39" w:name="_Toc36934517"/>
      <w:r w:rsidRPr="00F94FED">
        <w:rPr>
          <w:rFonts w:eastAsia="Times New Roman"/>
          <w:sz w:val="26"/>
          <w:szCs w:val="26"/>
          <w:lang w:eastAsia="ru-RU"/>
        </w:rPr>
        <w:t>выпадающих доходов от льготного ТП</w:t>
      </w:r>
      <w:bookmarkEnd w:id="39"/>
      <w:r w:rsidRPr="00F94FED">
        <w:rPr>
          <w:rFonts w:eastAsia="Times New Roman"/>
          <w:sz w:val="26"/>
          <w:szCs w:val="26"/>
          <w:lang w:eastAsia="ru-RU"/>
        </w:rPr>
        <w:t xml:space="preserve"> на 2019 год.</w:t>
      </w:r>
    </w:p>
    <w:p w14:paraId="78408440" w14:textId="08CC87B2" w:rsidR="009D7618" w:rsidRDefault="009A4C46" w:rsidP="009D7618">
      <w:pPr>
        <w:autoSpaceDE w:val="0"/>
        <w:autoSpaceDN w:val="0"/>
        <w:adjustRightInd w:val="0"/>
        <w:spacing w:after="0" w:line="360" w:lineRule="auto"/>
        <w:ind w:firstLine="567"/>
        <w:jc w:val="both"/>
        <w:rPr>
          <w:rFonts w:eastAsia="Times New Roman"/>
          <w:sz w:val="26"/>
          <w:szCs w:val="26"/>
          <w:lang w:eastAsia="ru-RU"/>
        </w:rPr>
      </w:pPr>
      <w:r w:rsidRPr="00F94FED">
        <w:rPr>
          <w:rFonts w:eastAsia="Times New Roman"/>
          <w:sz w:val="26"/>
          <w:szCs w:val="26"/>
          <w:lang w:eastAsia="ru-RU"/>
        </w:rPr>
        <w:t>На основании изложенного выше, Исполнителем выполнен расчет корректировки неподконтрольных расходов АО «Тываэнерго» исходя из фактических значений указанного параметра за 2017 год</w:t>
      </w:r>
      <w:r w:rsidR="009D7618">
        <w:rPr>
          <w:rFonts w:eastAsia="Times New Roman"/>
          <w:sz w:val="26"/>
          <w:szCs w:val="26"/>
          <w:lang w:eastAsia="ru-RU"/>
        </w:rPr>
        <w:t>.</w:t>
      </w:r>
    </w:p>
    <w:p w14:paraId="5E1E72E0" w14:textId="77777777" w:rsidR="009A4C46" w:rsidRPr="00F94FED" w:rsidRDefault="009A4C46" w:rsidP="00F94FED">
      <w:pPr>
        <w:autoSpaceDE w:val="0"/>
        <w:autoSpaceDN w:val="0"/>
        <w:adjustRightInd w:val="0"/>
        <w:spacing w:after="0" w:line="360" w:lineRule="auto"/>
        <w:jc w:val="center"/>
        <w:rPr>
          <w:rFonts w:eastAsia="Times New Roman"/>
          <w:b/>
          <w:iCs/>
          <w:sz w:val="26"/>
          <w:szCs w:val="26"/>
          <w:lang w:eastAsia="ru-RU"/>
        </w:rPr>
      </w:pPr>
      <w:r w:rsidRPr="00F94FED">
        <w:rPr>
          <w:rFonts w:eastAsia="Times New Roman"/>
          <w:b/>
          <w:iCs/>
          <w:sz w:val="26"/>
          <w:szCs w:val="26"/>
          <w:lang w:eastAsia="ru-RU"/>
        </w:rPr>
        <w:t>Расчет корректировки неподконтрольных расходов за 2017 год, предлагаемый к включению в НВВ на 2019 год</w:t>
      </w:r>
    </w:p>
    <w:tbl>
      <w:tblPr>
        <w:tblW w:w="5000" w:type="pct"/>
        <w:tblLook w:val="04A0" w:firstRow="1" w:lastRow="0" w:firstColumn="1" w:lastColumn="0" w:noHBand="0" w:noVBand="1"/>
      </w:tblPr>
      <w:tblGrid>
        <w:gridCol w:w="540"/>
        <w:gridCol w:w="4792"/>
        <w:gridCol w:w="1551"/>
        <w:gridCol w:w="1131"/>
        <w:gridCol w:w="1331"/>
      </w:tblGrid>
      <w:tr w:rsidR="009A4C46" w:rsidRPr="009D7618" w14:paraId="2730F6D2" w14:textId="77777777" w:rsidTr="00F94FED">
        <w:trPr>
          <w:trHeight w:val="600"/>
          <w:tblHeader/>
        </w:trPr>
        <w:tc>
          <w:tcPr>
            <w:tcW w:w="28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129DD4E" w14:textId="77777777" w:rsidR="009A4C46" w:rsidRPr="00F94FED" w:rsidRDefault="009A4C46" w:rsidP="009A4C46">
            <w:pPr>
              <w:spacing w:after="0" w:line="240" w:lineRule="auto"/>
              <w:jc w:val="center"/>
              <w:rPr>
                <w:rFonts w:eastAsia="Times New Roman"/>
                <w:b/>
                <w:color w:val="FFFFFF" w:themeColor="background1"/>
                <w:lang w:eastAsia="ru-RU"/>
              </w:rPr>
            </w:pPr>
            <w:r w:rsidRPr="00F94FED">
              <w:rPr>
                <w:rFonts w:eastAsia="Times New Roman"/>
                <w:b/>
                <w:color w:val="FFFFFF" w:themeColor="background1"/>
                <w:lang w:eastAsia="ru-RU"/>
              </w:rPr>
              <w:t>№ п/п</w:t>
            </w:r>
          </w:p>
        </w:tc>
        <w:tc>
          <w:tcPr>
            <w:tcW w:w="256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E1BE2AF" w14:textId="77777777" w:rsidR="009A4C46" w:rsidRPr="00F94FED" w:rsidRDefault="009A4C46" w:rsidP="009A4C46">
            <w:pPr>
              <w:spacing w:after="0" w:line="240" w:lineRule="auto"/>
              <w:jc w:val="center"/>
              <w:rPr>
                <w:rFonts w:eastAsia="Times New Roman"/>
                <w:b/>
                <w:color w:val="FFFFFF" w:themeColor="background1"/>
                <w:lang w:eastAsia="ru-RU"/>
              </w:rPr>
            </w:pPr>
            <w:r w:rsidRPr="00F94FED">
              <w:rPr>
                <w:rFonts w:eastAsia="Times New Roman"/>
                <w:b/>
                <w:color w:val="FFFFFF" w:themeColor="background1"/>
                <w:lang w:eastAsia="ru-RU"/>
              </w:rPr>
              <w:t>Наименование показателя</w:t>
            </w:r>
          </w:p>
        </w:tc>
        <w:tc>
          <w:tcPr>
            <w:tcW w:w="83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ED43C40" w14:textId="77777777" w:rsidR="009A4C46" w:rsidRPr="00F94FED" w:rsidRDefault="009A4C46" w:rsidP="009A4C46">
            <w:pPr>
              <w:spacing w:after="0" w:line="240" w:lineRule="auto"/>
              <w:jc w:val="center"/>
              <w:rPr>
                <w:rFonts w:eastAsia="Times New Roman"/>
                <w:b/>
                <w:color w:val="FFFFFF" w:themeColor="background1"/>
                <w:lang w:eastAsia="ru-RU"/>
              </w:rPr>
            </w:pPr>
            <w:r w:rsidRPr="00F94FED">
              <w:rPr>
                <w:rFonts w:eastAsia="Times New Roman"/>
                <w:b/>
                <w:color w:val="FFFFFF" w:themeColor="background1"/>
                <w:lang w:eastAsia="ru-RU"/>
              </w:rPr>
              <w:t>Обозначение показателя</w:t>
            </w:r>
          </w:p>
        </w:tc>
        <w:tc>
          <w:tcPr>
            <w:tcW w:w="60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F183393" w14:textId="77777777" w:rsidR="009A4C46" w:rsidRPr="00F94FED" w:rsidRDefault="009A4C46" w:rsidP="009A4C46">
            <w:pPr>
              <w:spacing w:after="0" w:line="240" w:lineRule="auto"/>
              <w:jc w:val="center"/>
              <w:rPr>
                <w:rFonts w:eastAsia="Times New Roman"/>
                <w:b/>
                <w:color w:val="FFFFFF" w:themeColor="background1"/>
                <w:lang w:eastAsia="ru-RU"/>
              </w:rPr>
            </w:pPr>
            <w:r w:rsidRPr="00F94FED">
              <w:rPr>
                <w:rFonts w:eastAsia="Times New Roman"/>
                <w:b/>
                <w:color w:val="FFFFFF" w:themeColor="background1"/>
                <w:lang w:eastAsia="ru-RU"/>
              </w:rPr>
              <w:t>Ед. изм.</w:t>
            </w:r>
          </w:p>
        </w:tc>
        <w:tc>
          <w:tcPr>
            <w:tcW w:w="71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E7F5D73" w14:textId="77777777" w:rsidR="009A4C46" w:rsidRPr="00F94FED" w:rsidRDefault="009A4C46" w:rsidP="009A4C46">
            <w:pPr>
              <w:spacing w:after="0" w:line="240" w:lineRule="auto"/>
              <w:jc w:val="center"/>
              <w:rPr>
                <w:rFonts w:eastAsia="Times New Roman"/>
                <w:b/>
                <w:color w:val="FFFFFF" w:themeColor="background1"/>
                <w:lang w:eastAsia="ru-RU"/>
              </w:rPr>
            </w:pPr>
            <w:r w:rsidRPr="00F94FED">
              <w:rPr>
                <w:rFonts w:eastAsia="Times New Roman"/>
                <w:b/>
                <w:color w:val="FFFFFF" w:themeColor="background1"/>
                <w:lang w:eastAsia="ru-RU"/>
              </w:rPr>
              <w:t>Значение показателя</w:t>
            </w:r>
          </w:p>
        </w:tc>
      </w:tr>
      <w:tr w:rsidR="009A4C46" w:rsidRPr="009D7618" w14:paraId="22B2048D" w14:textId="77777777" w:rsidTr="00874840">
        <w:trPr>
          <w:trHeight w:val="449"/>
        </w:trPr>
        <w:tc>
          <w:tcPr>
            <w:tcW w:w="289"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1C799B73" w14:textId="77777777" w:rsidR="009A4C46" w:rsidRPr="00F94FED" w:rsidRDefault="009A4C46" w:rsidP="009A4C46">
            <w:pPr>
              <w:spacing w:after="0" w:line="240" w:lineRule="auto"/>
              <w:rPr>
                <w:rFonts w:eastAsia="Times New Roman"/>
                <w:lang w:eastAsia="ru-RU"/>
              </w:rPr>
            </w:pPr>
            <w:r w:rsidRPr="00F94FED">
              <w:rPr>
                <w:rFonts w:eastAsia="Times New Roman"/>
                <w:lang w:eastAsia="ru-RU"/>
              </w:rPr>
              <w:t>1</w:t>
            </w:r>
          </w:p>
        </w:tc>
        <w:tc>
          <w:tcPr>
            <w:tcW w:w="2563" w:type="pct"/>
            <w:tcBorders>
              <w:top w:val="single" w:sz="4" w:space="0" w:color="FFFFFF" w:themeColor="background1"/>
              <w:left w:val="nil"/>
              <w:bottom w:val="single" w:sz="4" w:space="0" w:color="auto"/>
              <w:right w:val="single" w:sz="4" w:space="0" w:color="auto"/>
            </w:tcBorders>
            <w:shd w:val="clear" w:color="auto" w:fill="auto"/>
            <w:vAlign w:val="center"/>
            <w:hideMark/>
          </w:tcPr>
          <w:p w14:paraId="004D575C" w14:textId="77777777" w:rsidR="009A4C46" w:rsidRPr="00F94FED" w:rsidRDefault="009A4C46" w:rsidP="009A4C46">
            <w:pPr>
              <w:spacing w:after="0" w:line="240" w:lineRule="auto"/>
              <w:rPr>
                <w:rFonts w:eastAsia="Times New Roman"/>
                <w:lang w:eastAsia="ru-RU"/>
              </w:rPr>
            </w:pPr>
            <w:r w:rsidRPr="00F94FED">
              <w:rPr>
                <w:rFonts w:eastAsia="Times New Roman"/>
                <w:lang w:eastAsia="ru-RU"/>
              </w:rPr>
              <w:t>Год долгосрочного периода регулирования, в котором необходимо учесть корректировку</w:t>
            </w:r>
          </w:p>
        </w:tc>
        <w:tc>
          <w:tcPr>
            <w:tcW w:w="830" w:type="pct"/>
            <w:tcBorders>
              <w:top w:val="single" w:sz="4" w:space="0" w:color="FFFFFF" w:themeColor="background1"/>
              <w:left w:val="nil"/>
              <w:bottom w:val="single" w:sz="4" w:space="0" w:color="auto"/>
              <w:right w:val="single" w:sz="4" w:space="0" w:color="auto"/>
            </w:tcBorders>
            <w:shd w:val="clear" w:color="auto" w:fill="auto"/>
            <w:vAlign w:val="center"/>
            <w:hideMark/>
          </w:tcPr>
          <w:p w14:paraId="321D09F6" w14:textId="77777777" w:rsidR="009A4C46" w:rsidRPr="00F94FED" w:rsidRDefault="009A4C46" w:rsidP="009A4C46">
            <w:pPr>
              <w:spacing w:after="0" w:line="240" w:lineRule="auto"/>
              <w:jc w:val="center"/>
              <w:rPr>
                <w:rFonts w:eastAsia="Times New Roman"/>
                <w:lang w:eastAsia="ru-RU"/>
              </w:rPr>
            </w:pPr>
            <w:r w:rsidRPr="00F94FED">
              <w:rPr>
                <w:rFonts w:eastAsia="Times New Roman"/>
                <w:lang w:eastAsia="ru-RU"/>
              </w:rPr>
              <w:t>i</w:t>
            </w:r>
          </w:p>
        </w:tc>
        <w:tc>
          <w:tcPr>
            <w:tcW w:w="605"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1F13FC49" w14:textId="77777777" w:rsidR="009A4C46" w:rsidRPr="00F94FED" w:rsidRDefault="009A4C46" w:rsidP="009A4C46">
            <w:pPr>
              <w:spacing w:after="0" w:line="240" w:lineRule="auto"/>
              <w:jc w:val="center"/>
              <w:rPr>
                <w:rFonts w:eastAsia="Times New Roman"/>
                <w:lang w:eastAsia="ru-RU"/>
              </w:rPr>
            </w:pPr>
            <w:r w:rsidRPr="00F94FED">
              <w:rPr>
                <w:rFonts w:eastAsia="Times New Roman"/>
                <w:lang w:eastAsia="ru-RU"/>
              </w:rPr>
              <w:t> </w:t>
            </w:r>
          </w:p>
        </w:tc>
        <w:tc>
          <w:tcPr>
            <w:tcW w:w="712"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5CC23D2E" w14:textId="77777777" w:rsidR="009A4C46" w:rsidRPr="00F94FED" w:rsidRDefault="009A4C46" w:rsidP="009A4C46">
            <w:pPr>
              <w:spacing w:after="0" w:line="240" w:lineRule="auto"/>
              <w:jc w:val="center"/>
              <w:rPr>
                <w:rFonts w:eastAsia="Times New Roman"/>
                <w:lang w:eastAsia="ru-RU"/>
              </w:rPr>
            </w:pPr>
            <w:r w:rsidRPr="00F94FED">
              <w:rPr>
                <w:rFonts w:eastAsia="Times New Roman"/>
                <w:lang w:eastAsia="ru-RU"/>
              </w:rPr>
              <w:t>2019</w:t>
            </w:r>
          </w:p>
        </w:tc>
      </w:tr>
      <w:tr w:rsidR="009A4C46" w:rsidRPr="009D7618" w14:paraId="53FA709B" w14:textId="77777777" w:rsidTr="00874840">
        <w:trPr>
          <w:trHeight w:val="1222"/>
        </w:trPr>
        <w:tc>
          <w:tcPr>
            <w:tcW w:w="289" w:type="pct"/>
            <w:tcBorders>
              <w:top w:val="nil"/>
              <w:left w:val="single" w:sz="4" w:space="0" w:color="auto"/>
              <w:bottom w:val="single" w:sz="4" w:space="0" w:color="auto"/>
              <w:right w:val="single" w:sz="4" w:space="0" w:color="auto"/>
            </w:tcBorders>
            <w:shd w:val="clear" w:color="auto" w:fill="auto"/>
            <w:noWrap/>
            <w:vAlign w:val="center"/>
            <w:hideMark/>
          </w:tcPr>
          <w:p w14:paraId="22654BD9" w14:textId="77777777" w:rsidR="009A4C46" w:rsidRPr="00F94FED" w:rsidRDefault="009A4C46" w:rsidP="009A4C46">
            <w:pPr>
              <w:spacing w:after="0" w:line="240" w:lineRule="auto"/>
              <w:rPr>
                <w:rFonts w:eastAsia="Times New Roman"/>
                <w:lang w:eastAsia="ru-RU"/>
              </w:rPr>
            </w:pPr>
            <w:r w:rsidRPr="00F94FED">
              <w:rPr>
                <w:rFonts w:eastAsia="Times New Roman"/>
                <w:lang w:eastAsia="ru-RU"/>
              </w:rPr>
              <w:t>2</w:t>
            </w:r>
          </w:p>
        </w:tc>
        <w:tc>
          <w:tcPr>
            <w:tcW w:w="2563" w:type="pct"/>
            <w:tcBorders>
              <w:top w:val="nil"/>
              <w:left w:val="nil"/>
              <w:bottom w:val="single" w:sz="4" w:space="0" w:color="auto"/>
              <w:right w:val="single" w:sz="4" w:space="0" w:color="auto"/>
            </w:tcBorders>
            <w:shd w:val="clear" w:color="auto" w:fill="auto"/>
            <w:vAlign w:val="center"/>
            <w:hideMark/>
          </w:tcPr>
          <w:p w14:paraId="231B8745" w14:textId="77777777" w:rsidR="009A4C46" w:rsidRPr="00F94FED" w:rsidRDefault="009A4C46" w:rsidP="009A4C46">
            <w:pPr>
              <w:spacing w:after="0" w:line="240" w:lineRule="auto"/>
              <w:rPr>
                <w:rFonts w:eastAsia="Times New Roman"/>
                <w:b/>
                <w:bCs/>
                <w:lang w:eastAsia="ru-RU"/>
              </w:rPr>
            </w:pPr>
            <w:r w:rsidRPr="00F94FED">
              <w:rPr>
                <w:rFonts w:eastAsia="Times New Roman"/>
                <w:b/>
                <w:bCs/>
                <w:lang w:eastAsia="ru-RU"/>
              </w:rPr>
              <w:t>Корректировка неподконтрольных расходов исходя из фактических значений указанного параметра</w:t>
            </w:r>
            <w:r w:rsidRPr="00F94FED">
              <w:rPr>
                <w:rFonts w:eastAsia="Times New Roman"/>
                <w:lang w:eastAsia="ru-RU"/>
              </w:rPr>
              <w:t xml:space="preserve"> (предусмотрена для ежегодного применения по итогам последнего истекшего года долгосрочного периода регулирования)</w:t>
            </w:r>
          </w:p>
        </w:tc>
        <w:tc>
          <w:tcPr>
            <w:tcW w:w="830" w:type="pct"/>
            <w:tcBorders>
              <w:top w:val="nil"/>
              <w:left w:val="nil"/>
              <w:bottom w:val="single" w:sz="4" w:space="0" w:color="auto"/>
              <w:right w:val="single" w:sz="4" w:space="0" w:color="auto"/>
            </w:tcBorders>
            <w:shd w:val="clear" w:color="auto" w:fill="auto"/>
            <w:noWrap/>
            <w:vAlign w:val="center"/>
            <w:hideMark/>
          </w:tcPr>
          <w:p w14:paraId="722127D2" w14:textId="24F41400" w:rsidR="009A4C46" w:rsidRPr="00F94FED" w:rsidRDefault="009A4C46" w:rsidP="009A4C46">
            <w:pPr>
              <w:spacing w:after="0" w:line="240" w:lineRule="auto"/>
              <w:jc w:val="center"/>
              <w:rPr>
                <w:rFonts w:eastAsia="Times New Roman"/>
                <w:lang w:eastAsia="ru-RU"/>
              </w:rPr>
            </w:pPr>
            <w:proofErr w:type="spellStart"/>
            <w:r w:rsidRPr="00F94FED">
              <w:rPr>
                <w:rFonts w:eastAsia="Times New Roman"/>
                <w:lang w:eastAsia="ru-RU"/>
              </w:rPr>
              <w:t>НР</w:t>
            </w:r>
            <w:r w:rsidRPr="00F94FED">
              <w:rPr>
                <w:rFonts w:eastAsia="Times New Roman"/>
                <w:vertAlign w:val="subscript"/>
                <w:lang w:eastAsia="ru-RU"/>
              </w:rPr>
              <w:t>i</w:t>
            </w:r>
            <w:proofErr w:type="spellEnd"/>
          </w:p>
        </w:tc>
        <w:tc>
          <w:tcPr>
            <w:tcW w:w="605" w:type="pct"/>
            <w:tcBorders>
              <w:top w:val="nil"/>
              <w:left w:val="nil"/>
              <w:bottom w:val="single" w:sz="4" w:space="0" w:color="auto"/>
              <w:right w:val="single" w:sz="4" w:space="0" w:color="auto"/>
            </w:tcBorders>
            <w:shd w:val="clear" w:color="auto" w:fill="auto"/>
            <w:noWrap/>
            <w:vAlign w:val="center"/>
            <w:hideMark/>
          </w:tcPr>
          <w:p w14:paraId="7D01A79C" w14:textId="77777777" w:rsidR="009A4C46" w:rsidRPr="00F94FED" w:rsidRDefault="009A4C46" w:rsidP="009A4C46">
            <w:pPr>
              <w:spacing w:after="0" w:line="240" w:lineRule="auto"/>
              <w:jc w:val="center"/>
              <w:rPr>
                <w:rFonts w:eastAsia="Times New Roman"/>
                <w:lang w:eastAsia="ru-RU"/>
              </w:rPr>
            </w:pPr>
            <w:r w:rsidRPr="00F94FED">
              <w:rPr>
                <w:rFonts w:eastAsia="Times New Roman"/>
                <w:lang w:eastAsia="ru-RU"/>
              </w:rPr>
              <w:t>тыс. руб.</w:t>
            </w:r>
          </w:p>
        </w:tc>
        <w:tc>
          <w:tcPr>
            <w:tcW w:w="712" w:type="pct"/>
            <w:tcBorders>
              <w:top w:val="nil"/>
              <w:left w:val="nil"/>
              <w:bottom w:val="single" w:sz="4" w:space="0" w:color="auto"/>
              <w:right w:val="single" w:sz="4" w:space="0" w:color="auto"/>
            </w:tcBorders>
            <w:shd w:val="clear" w:color="auto" w:fill="auto"/>
            <w:noWrap/>
            <w:vAlign w:val="center"/>
            <w:hideMark/>
          </w:tcPr>
          <w:p w14:paraId="4388037B" w14:textId="77777777" w:rsidR="009A4C46" w:rsidRPr="00F94FED" w:rsidRDefault="009A4C46" w:rsidP="009A4C46">
            <w:pPr>
              <w:spacing w:after="0" w:line="240" w:lineRule="auto"/>
              <w:jc w:val="center"/>
              <w:rPr>
                <w:rFonts w:eastAsia="Times New Roman"/>
                <w:b/>
                <w:bCs/>
                <w:lang w:eastAsia="ru-RU"/>
              </w:rPr>
            </w:pPr>
            <w:r w:rsidRPr="00F94FED">
              <w:rPr>
                <w:rFonts w:eastAsia="Times New Roman"/>
                <w:b/>
                <w:bCs/>
                <w:lang w:val="en-US" w:eastAsia="ru-RU"/>
              </w:rPr>
              <w:t>190 12</w:t>
            </w:r>
            <w:r w:rsidRPr="00F94FED">
              <w:rPr>
                <w:rFonts w:eastAsia="Times New Roman"/>
                <w:b/>
                <w:bCs/>
                <w:lang w:eastAsia="ru-RU"/>
              </w:rPr>
              <w:t>4</w:t>
            </w:r>
          </w:p>
        </w:tc>
      </w:tr>
      <w:tr w:rsidR="009A4C46" w:rsidRPr="009D7618" w14:paraId="53FC5F8C" w14:textId="77777777" w:rsidTr="00874840">
        <w:trPr>
          <w:trHeight w:val="545"/>
        </w:trPr>
        <w:tc>
          <w:tcPr>
            <w:tcW w:w="289" w:type="pct"/>
            <w:tcBorders>
              <w:top w:val="nil"/>
              <w:left w:val="single" w:sz="4" w:space="0" w:color="auto"/>
              <w:bottom w:val="single" w:sz="4" w:space="0" w:color="auto"/>
              <w:right w:val="single" w:sz="4" w:space="0" w:color="auto"/>
            </w:tcBorders>
            <w:shd w:val="clear" w:color="auto" w:fill="auto"/>
            <w:noWrap/>
            <w:vAlign w:val="center"/>
            <w:hideMark/>
          </w:tcPr>
          <w:p w14:paraId="49BECBDD" w14:textId="77777777" w:rsidR="009A4C46" w:rsidRPr="00F94FED" w:rsidRDefault="009A4C46" w:rsidP="009A4C46">
            <w:pPr>
              <w:spacing w:after="0" w:line="240" w:lineRule="auto"/>
              <w:rPr>
                <w:rFonts w:eastAsia="Times New Roman"/>
                <w:lang w:eastAsia="ru-RU"/>
              </w:rPr>
            </w:pPr>
            <w:r w:rsidRPr="00F94FED">
              <w:rPr>
                <w:rFonts w:eastAsia="Times New Roman"/>
                <w:lang w:eastAsia="ru-RU"/>
              </w:rPr>
              <w:t>3</w:t>
            </w:r>
          </w:p>
        </w:tc>
        <w:tc>
          <w:tcPr>
            <w:tcW w:w="2563" w:type="pct"/>
            <w:tcBorders>
              <w:top w:val="nil"/>
              <w:left w:val="nil"/>
              <w:bottom w:val="single" w:sz="4" w:space="0" w:color="auto"/>
              <w:right w:val="single" w:sz="4" w:space="0" w:color="auto"/>
            </w:tcBorders>
            <w:shd w:val="clear" w:color="auto" w:fill="auto"/>
            <w:vAlign w:val="center"/>
            <w:hideMark/>
          </w:tcPr>
          <w:p w14:paraId="379FCA28" w14:textId="77777777" w:rsidR="009A4C46" w:rsidRPr="00F94FED" w:rsidRDefault="009A4C46" w:rsidP="009A4C46">
            <w:pPr>
              <w:spacing w:after="0" w:line="240" w:lineRule="auto"/>
              <w:rPr>
                <w:rFonts w:eastAsia="Times New Roman"/>
                <w:lang w:eastAsia="ru-RU"/>
              </w:rPr>
            </w:pPr>
            <w:r w:rsidRPr="00F94FED">
              <w:rPr>
                <w:rFonts w:eastAsia="Times New Roman"/>
                <w:lang w:eastAsia="ru-RU"/>
              </w:rPr>
              <w:t>Плановая величина неподконтрольных расходов (за исключением расходов на финансирование капитальных вложений)</w:t>
            </w:r>
          </w:p>
        </w:tc>
        <w:tc>
          <w:tcPr>
            <w:tcW w:w="830" w:type="pct"/>
            <w:tcBorders>
              <w:top w:val="nil"/>
              <w:left w:val="nil"/>
              <w:bottom w:val="single" w:sz="4" w:space="0" w:color="auto"/>
              <w:right w:val="single" w:sz="4" w:space="0" w:color="auto"/>
            </w:tcBorders>
            <w:shd w:val="clear" w:color="auto" w:fill="auto"/>
            <w:noWrap/>
            <w:vAlign w:val="center"/>
            <w:hideMark/>
          </w:tcPr>
          <w:p w14:paraId="081B3774" w14:textId="77777777" w:rsidR="009A4C46" w:rsidRPr="00F94FED" w:rsidRDefault="009A4C46" w:rsidP="009A4C46">
            <w:pPr>
              <w:spacing w:after="0" w:line="240" w:lineRule="auto"/>
              <w:jc w:val="center"/>
              <w:rPr>
                <w:rFonts w:eastAsia="Times New Roman"/>
                <w:lang w:eastAsia="ru-RU"/>
              </w:rPr>
            </w:pPr>
            <w:r w:rsidRPr="00F94FED">
              <w:rPr>
                <w:rFonts w:eastAsia="Times New Roman"/>
                <w:lang w:eastAsia="ru-RU"/>
              </w:rPr>
              <w:t>НP</w:t>
            </w:r>
            <w:r w:rsidRPr="00F94FED">
              <w:rPr>
                <w:rFonts w:eastAsia="Times New Roman"/>
                <w:vertAlign w:val="superscript"/>
                <w:lang w:eastAsia="ru-RU"/>
              </w:rPr>
              <w:t>расх.план</w:t>
            </w:r>
            <w:r w:rsidRPr="00F94FED">
              <w:rPr>
                <w:rFonts w:eastAsia="Times New Roman"/>
                <w:vertAlign w:val="subscript"/>
                <w:lang w:eastAsia="ru-RU"/>
              </w:rPr>
              <w:t>i-2</w:t>
            </w:r>
          </w:p>
        </w:tc>
        <w:tc>
          <w:tcPr>
            <w:tcW w:w="605" w:type="pct"/>
            <w:tcBorders>
              <w:top w:val="nil"/>
              <w:left w:val="nil"/>
              <w:bottom w:val="single" w:sz="4" w:space="0" w:color="auto"/>
              <w:right w:val="single" w:sz="4" w:space="0" w:color="auto"/>
            </w:tcBorders>
            <w:shd w:val="clear" w:color="auto" w:fill="auto"/>
            <w:noWrap/>
            <w:vAlign w:val="center"/>
            <w:hideMark/>
          </w:tcPr>
          <w:p w14:paraId="172B053B" w14:textId="77777777" w:rsidR="009A4C46" w:rsidRPr="00F94FED" w:rsidRDefault="009A4C46" w:rsidP="009A4C46">
            <w:pPr>
              <w:spacing w:after="0" w:line="240" w:lineRule="auto"/>
              <w:jc w:val="center"/>
              <w:rPr>
                <w:rFonts w:eastAsia="Times New Roman"/>
                <w:lang w:eastAsia="ru-RU"/>
              </w:rPr>
            </w:pPr>
            <w:r w:rsidRPr="00F94FED">
              <w:rPr>
                <w:rFonts w:eastAsia="Times New Roman"/>
                <w:lang w:eastAsia="ru-RU"/>
              </w:rPr>
              <w:t>тыс. руб.</w:t>
            </w:r>
          </w:p>
        </w:tc>
        <w:tc>
          <w:tcPr>
            <w:tcW w:w="712" w:type="pct"/>
            <w:tcBorders>
              <w:top w:val="nil"/>
              <w:left w:val="nil"/>
              <w:bottom w:val="single" w:sz="4" w:space="0" w:color="auto"/>
              <w:right w:val="single" w:sz="4" w:space="0" w:color="auto"/>
            </w:tcBorders>
            <w:shd w:val="clear" w:color="auto" w:fill="auto"/>
            <w:noWrap/>
            <w:vAlign w:val="center"/>
            <w:hideMark/>
          </w:tcPr>
          <w:p w14:paraId="687462BA" w14:textId="77777777" w:rsidR="009A4C46" w:rsidRPr="00F94FED" w:rsidRDefault="009A4C46" w:rsidP="009A4C46">
            <w:pPr>
              <w:spacing w:after="0" w:line="240" w:lineRule="auto"/>
              <w:jc w:val="center"/>
              <w:rPr>
                <w:rFonts w:eastAsia="Times New Roman"/>
                <w:lang w:val="en-US" w:eastAsia="ru-RU"/>
              </w:rPr>
            </w:pPr>
            <w:r w:rsidRPr="00F94FED">
              <w:rPr>
                <w:rFonts w:eastAsia="Times New Roman"/>
                <w:lang w:val="en-US" w:eastAsia="ru-RU"/>
              </w:rPr>
              <w:t>480 967</w:t>
            </w:r>
          </w:p>
        </w:tc>
      </w:tr>
      <w:tr w:rsidR="009A4C46" w:rsidRPr="009D7618" w14:paraId="47EB1685" w14:textId="77777777" w:rsidTr="00874840">
        <w:trPr>
          <w:trHeight w:val="669"/>
        </w:trPr>
        <w:tc>
          <w:tcPr>
            <w:tcW w:w="289" w:type="pct"/>
            <w:tcBorders>
              <w:top w:val="nil"/>
              <w:left w:val="single" w:sz="4" w:space="0" w:color="auto"/>
              <w:bottom w:val="single" w:sz="4" w:space="0" w:color="auto"/>
              <w:right w:val="single" w:sz="4" w:space="0" w:color="auto"/>
            </w:tcBorders>
            <w:shd w:val="clear" w:color="auto" w:fill="auto"/>
            <w:noWrap/>
            <w:vAlign w:val="center"/>
            <w:hideMark/>
          </w:tcPr>
          <w:p w14:paraId="13EA5FDE" w14:textId="77777777" w:rsidR="009A4C46" w:rsidRPr="00F94FED" w:rsidRDefault="009A4C46" w:rsidP="009A4C46">
            <w:pPr>
              <w:spacing w:after="0" w:line="240" w:lineRule="auto"/>
              <w:rPr>
                <w:rFonts w:eastAsia="Times New Roman"/>
                <w:lang w:eastAsia="ru-RU"/>
              </w:rPr>
            </w:pPr>
            <w:r w:rsidRPr="00F94FED">
              <w:rPr>
                <w:rFonts w:eastAsia="Times New Roman"/>
                <w:lang w:eastAsia="ru-RU"/>
              </w:rPr>
              <w:t>4</w:t>
            </w:r>
          </w:p>
        </w:tc>
        <w:tc>
          <w:tcPr>
            <w:tcW w:w="2563" w:type="pct"/>
            <w:tcBorders>
              <w:top w:val="nil"/>
              <w:left w:val="nil"/>
              <w:bottom w:val="single" w:sz="4" w:space="0" w:color="auto"/>
              <w:right w:val="single" w:sz="4" w:space="0" w:color="auto"/>
            </w:tcBorders>
            <w:shd w:val="clear" w:color="auto" w:fill="auto"/>
            <w:vAlign w:val="center"/>
            <w:hideMark/>
          </w:tcPr>
          <w:p w14:paraId="216C919B" w14:textId="77777777" w:rsidR="009A4C46" w:rsidRPr="00F94FED" w:rsidRDefault="009A4C46" w:rsidP="009A4C46">
            <w:pPr>
              <w:spacing w:after="0" w:line="240" w:lineRule="auto"/>
              <w:rPr>
                <w:rFonts w:eastAsia="Times New Roman"/>
                <w:lang w:eastAsia="ru-RU"/>
              </w:rPr>
            </w:pPr>
            <w:r w:rsidRPr="00F94FED">
              <w:rPr>
                <w:rFonts w:eastAsia="Times New Roman"/>
                <w:lang w:eastAsia="ru-RU"/>
              </w:rPr>
              <w:t>Фактическая величина неподконтрольных расходов (за исключением расходов на финансирование капитальных вложений)</w:t>
            </w:r>
          </w:p>
        </w:tc>
        <w:tc>
          <w:tcPr>
            <w:tcW w:w="830" w:type="pct"/>
            <w:tcBorders>
              <w:top w:val="nil"/>
              <w:left w:val="nil"/>
              <w:bottom w:val="single" w:sz="4" w:space="0" w:color="auto"/>
              <w:right w:val="single" w:sz="4" w:space="0" w:color="auto"/>
            </w:tcBorders>
            <w:shd w:val="clear" w:color="auto" w:fill="auto"/>
            <w:noWrap/>
            <w:vAlign w:val="center"/>
            <w:hideMark/>
          </w:tcPr>
          <w:p w14:paraId="5D1AA57F" w14:textId="77777777" w:rsidR="009A4C46" w:rsidRPr="00F94FED" w:rsidRDefault="009A4C46" w:rsidP="009A4C46">
            <w:pPr>
              <w:spacing w:after="0" w:line="240" w:lineRule="auto"/>
              <w:jc w:val="center"/>
              <w:rPr>
                <w:rFonts w:eastAsia="Times New Roman"/>
                <w:lang w:eastAsia="ru-RU"/>
              </w:rPr>
            </w:pPr>
            <w:r w:rsidRPr="00F94FED">
              <w:rPr>
                <w:rFonts w:eastAsia="Times New Roman"/>
                <w:lang w:eastAsia="ru-RU"/>
              </w:rPr>
              <w:t>НP</w:t>
            </w:r>
            <w:r w:rsidRPr="00F94FED">
              <w:rPr>
                <w:rFonts w:eastAsia="Times New Roman"/>
                <w:vertAlign w:val="superscript"/>
                <w:lang w:eastAsia="ru-RU"/>
              </w:rPr>
              <w:t>расх.фат</w:t>
            </w:r>
            <w:r w:rsidRPr="00F94FED">
              <w:rPr>
                <w:rFonts w:eastAsia="Times New Roman"/>
                <w:vertAlign w:val="subscript"/>
                <w:lang w:eastAsia="ru-RU"/>
              </w:rPr>
              <w:t>i-2</w:t>
            </w:r>
          </w:p>
        </w:tc>
        <w:tc>
          <w:tcPr>
            <w:tcW w:w="605" w:type="pct"/>
            <w:tcBorders>
              <w:top w:val="nil"/>
              <w:left w:val="nil"/>
              <w:bottom w:val="single" w:sz="4" w:space="0" w:color="auto"/>
              <w:right w:val="single" w:sz="4" w:space="0" w:color="auto"/>
            </w:tcBorders>
            <w:shd w:val="clear" w:color="auto" w:fill="auto"/>
            <w:noWrap/>
            <w:vAlign w:val="center"/>
            <w:hideMark/>
          </w:tcPr>
          <w:p w14:paraId="624BF032" w14:textId="77777777" w:rsidR="009A4C46" w:rsidRPr="00F94FED" w:rsidRDefault="009A4C46" w:rsidP="009A4C46">
            <w:pPr>
              <w:spacing w:after="0" w:line="240" w:lineRule="auto"/>
              <w:jc w:val="center"/>
              <w:rPr>
                <w:rFonts w:eastAsia="Times New Roman"/>
                <w:lang w:eastAsia="ru-RU"/>
              </w:rPr>
            </w:pPr>
            <w:r w:rsidRPr="00F94FED">
              <w:rPr>
                <w:rFonts w:eastAsia="Times New Roman"/>
                <w:lang w:eastAsia="ru-RU"/>
              </w:rPr>
              <w:t>тыс. руб.</w:t>
            </w:r>
          </w:p>
        </w:tc>
        <w:tc>
          <w:tcPr>
            <w:tcW w:w="712" w:type="pct"/>
            <w:tcBorders>
              <w:top w:val="nil"/>
              <w:left w:val="nil"/>
              <w:bottom w:val="single" w:sz="4" w:space="0" w:color="auto"/>
              <w:right w:val="single" w:sz="4" w:space="0" w:color="auto"/>
            </w:tcBorders>
            <w:shd w:val="clear" w:color="auto" w:fill="auto"/>
            <w:noWrap/>
            <w:vAlign w:val="center"/>
            <w:hideMark/>
          </w:tcPr>
          <w:p w14:paraId="164AA00F" w14:textId="77777777" w:rsidR="009A4C46" w:rsidRPr="00F94FED" w:rsidRDefault="009A4C46" w:rsidP="009A4C46">
            <w:pPr>
              <w:spacing w:after="0" w:line="240" w:lineRule="auto"/>
              <w:jc w:val="center"/>
              <w:rPr>
                <w:rFonts w:eastAsia="Times New Roman"/>
                <w:lang w:eastAsia="ru-RU"/>
              </w:rPr>
            </w:pPr>
            <w:r w:rsidRPr="00F94FED">
              <w:rPr>
                <w:rFonts w:eastAsia="Times New Roman"/>
                <w:lang w:eastAsia="ru-RU"/>
              </w:rPr>
              <w:t>671 091</w:t>
            </w:r>
          </w:p>
        </w:tc>
      </w:tr>
    </w:tbl>
    <w:p w14:paraId="20CBD990" w14:textId="77777777" w:rsidR="009A4C46" w:rsidRPr="009A4C46" w:rsidRDefault="009A4C46" w:rsidP="009A4C46">
      <w:pPr>
        <w:autoSpaceDE w:val="0"/>
        <w:autoSpaceDN w:val="0"/>
        <w:adjustRightInd w:val="0"/>
        <w:spacing w:after="32" w:line="360" w:lineRule="auto"/>
        <w:ind w:firstLine="567"/>
        <w:jc w:val="both"/>
        <w:rPr>
          <w:rFonts w:eastAsia="Times New Roman"/>
          <w:sz w:val="28"/>
          <w:szCs w:val="28"/>
          <w:lang w:eastAsia="ru-RU"/>
        </w:rPr>
      </w:pPr>
    </w:p>
    <w:p w14:paraId="3833CBF6" w14:textId="77777777" w:rsidR="009A4C46" w:rsidRPr="00F94FED" w:rsidRDefault="009A4C46" w:rsidP="00F94FED">
      <w:pPr>
        <w:pStyle w:val="3"/>
        <w:numPr>
          <w:ilvl w:val="1"/>
          <w:numId w:val="1"/>
        </w:numPr>
        <w:spacing w:line="360" w:lineRule="auto"/>
        <w:ind w:left="567" w:hanging="567"/>
        <w:jc w:val="both"/>
        <w:rPr>
          <w:b/>
          <w:color w:val="4F6228" w:themeColor="accent3" w:themeShade="80"/>
          <w:sz w:val="28"/>
          <w:szCs w:val="28"/>
        </w:rPr>
      </w:pPr>
      <w:bookmarkStart w:id="40" w:name="_Toc40554852"/>
      <w:bookmarkStart w:id="41" w:name="_Toc40733187"/>
      <w:r w:rsidRPr="00F94FED">
        <w:rPr>
          <w:rFonts w:ascii="Myriad Pro" w:hAnsi="Myriad Pro"/>
          <w:b/>
          <w:color w:val="4F6228" w:themeColor="accent3" w:themeShade="80"/>
          <w:sz w:val="28"/>
          <w:szCs w:val="28"/>
        </w:rPr>
        <w:lastRenderedPageBreak/>
        <w:t>Экспертиза обоснованности определения компенсации выпадающих/излишне полученных доходов, возникающих в результате отличия фактических цен покупки технологических потерь электрической энергии от установленных при утверждении тарифов</w:t>
      </w:r>
      <w:bookmarkEnd w:id="40"/>
      <w:bookmarkEnd w:id="41"/>
    </w:p>
    <w:p w14:paraId="59A9B9C5" w14:textId="42B00809" w:rsidR="009A4C46" w:rsidRPr="00F94FED" w:rsidRDefault="009A4C46" w:rsidP="00F94FED">
      <w:pPr>
        <w:widowControl w:val="0"/>
        <w:autoSpaceDE w:val="0"/>
        <w:autoSpaceDN w:val="0"/>
        <w:adjustRightInd w:val="0"/>
        <w:spacing w:after="0" w:line="360" w:lineRule="auto"/>
        <w:ind w:firstLine="709"/>
        <w:jc w:val="center"/>
        <w:rPr>
          <w:rFonts w:eastAsia="Times New Roman"/>
          <w:sz w:val="26"/>
          <w:szCs w:val="26"/>
          <w:lang w:eastAsia="ru-RU"/>
        </w:rPr>
      </w:pPr>
      <w:r w:rsidRPr="00F94FED">
        <w:rPr>
          <w:rFonts w:eastAsia="Times New Roman"/>
          <w:b/>
          <w:noProof/>
          <w:sz w:val="26"/>
          <w:szCs w:val="26"/>
          <w:lang w:eastAsia="ru-RU"/>
        </w:rPr>
        <w:drawing>
          <wp:inline distT="0" distB="0" distL="0" distR="0" wp14:anchorId="247BFF4F" wp14:editId="43FE2E73">
            <wp:extent cx="4143375" cy="276225"/>
            <wp:effectExtent l="0" t="0" r="0" b="0"/>
            <wp:docPr id="54" name="Рисунок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pic:cNvPicPr>
                      <a:picLocks noChangeAspect="1" noChangeArrowheads="1"/>
                    </pic:cNvPicPr>
                  </pic:nvPicPr>
                  <pic:blipFill>
                    <a:blip r:embed="rId33" cstate="print"/>
                    <a:srcRect/>
                    <a:stretch>
                      <a:fillRect/>
                    </a:stretch>
                  </pic:blipFill>
                  <pic:spPr bwMode="auto">
                    <a:xfrm>
                      <a:off x="0" y="0"/>
                      <a:ext cx="4143375" cy="276225"/>
                    </a:xfrm>
                    <a:prstGeom prst="rect">
                      <a:avLst/>
                    </a:prstGeom>
                    <a:noFill/>
                    <a:ln w="9525">
                      <a:noFill/>
                      <a:miter lim="800000"/>
                      <a:headEnd/>
                      <a:tailEnd/>
                    </a:ln>
                  </pic:spPr>
                </pic:pic>
              </a:graphicData>
            </a:graphic>
          </wp:inline>
        </w:drawing>
      </w:r>
      <w:r w:rsidR="00E169B0" w:rsidRPr="00F94FED">
        <w:rPr>
          <w:rFonts w:eastAsia="Times New Roman"/>
          <w:sz w:val="26"/>
          <w:szCs w:val="26"/>
          <w:lang w:eastAsia="ru-RU"/>
        </w:rPr>
        <w:t xml:space="preserve">, </w:t>
      </w:r>
      <w:r w:rsidRPr="00F94FED">
        <w:rPr>
          <w:rFonts w:eastAsia="Times New Roman"/>
          <w:sz w:val="26"/>
          <w:szCs w:val="26"/>
          <w:lang w:eastAsia="ru-RU"/>
        </w:rPr>
        <w:t>где:</w:t>
      </w:r>
    </w:p>
    <w:p w14:paraId="5F48A137" w14:textId="763123E9" w:rsidR="009A4C46" w:rsidRPr="00F94FED" w:rsidRDefault="009A4C46" w:rsidP="00F94FED">
      <w:pPr>
        <w:widowControl w:val="0"/>
        <w:autoSpaceDE w:val="0"/>
        <w:autoSpaceDN w:val="0"/>
        <w:adjustRightInd w:val="0"/>
        <w:spacing w:after="0" w:line="360" w:lineRule="auto"/>
        <w:ind w:firstLine="709"/>
        <w:jc w:val="both"/>
        <w:rPr>
          <w:rFonts w:eastAsia="Times New Roman"/>
          <w:sz w:val="26"/>
          <w:szCs w:val="26"/>
          <w:lang w:eastAsia="ru-RU"/>
        </w:rPr>
      </w:pPr>
      <w:r w:rsidRPr="00F94FED">
        <w:rPr>
          <w:rFonts w:eastAsia="Times New Roman"/>
          <w:noProof/>
          <w:sz w:val="26"/>
          <w:szCs w:val="26"/>
          <w:lang w:eastAsia="ru-RU"/>
        </w:rPr>
        <w:drawing>
          <wp:inline distT="0" distB="0" distL="0" distR="0" wp14:anchorId="0948C6D3" wp14:editId="48004659">
            <wp:extent cx="341630" cy="241300"/>
            <wp:effectExtent l="0" t="0" r="0" b="0"/>
            <wp:docPr id="55" name="Рисунок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10"/>
                    <pic:cNvPicPr>
                      <a:picLocks noChangeAspect="1" noChangeArrowheads="1"/>
                    </pic:cNvPicPr>
                  </pic:nvPicPr>
                  <pic:blipFill>
                    <a:blip r:embed="rId34" cstate="print"/>
                    <a:srcRect/>
                    <a:stretch>
                      <a:fillRect/>
                    </a:stretch>
                  </pic:blipFill>
                  <pic:spPr bwMode="auto">
                    <a:xfrm>
                      <a:off x="0" y="0"/>
                      <a:ext cx="341630" cy="241300"/>
                    </a:xfrm>
                    <a:prstGeom prst="rect">
                      <a:avLst/>
                    </a:prstGeom>
                    <a:noFill/>
                    <a:ln w="9525">
                      <a:noFill/>
                      <a:miter lim="800000"/>
                      <a:headEnd/>
                      <a:tailEnd/>
                    </a:ln>
                  </pic:spPr>
                </pic:pic>
              </a:graphicData>
            </a:graphic>
          </wp:inline>
        </w:drawing>
      </w:r>
      <w:r w:rsidRPr="00F94FED">
        <w:rPr>
          <w:rFonts w:eastAsia="Times New Roman"/>
          <w:sz w:val="26"/>
          <w:szCs w:val="26"/>
          <w:lang w:eastAsia="ru-RU"/>
        </w:rPr>
        <w:t xml:space="preserve"> </w:t>
      </w:r>
      <w:r w:rsidR="00E169B0">
        <w:rPr>
          <w:rFonts w:eastAsia="Times New Roman"/>
          <w:sz w:val="26"/>
          <w:szCs w:val="26"/>
          <w:lang w:eastAsia="ru-RU"/>
        </w:rPr>
        <w:t>–</w:t>
      </w:r>
      <w:r w:rsidRPr="00F94FED">
        <w:rPr>
          <w:rFonts w:eastAsia="Times New Roman"/>
          <w:sz w:val="26"/>
          <w:szCs w:val="26"/>
          <w:lang w:eastAsia="ru-RU"/>
        </w:rPr>
        <w:t xml:space="preserve"> прогнозный объем отпуска электрической энергии в сеть территориальной сетевой организации, определенный регулирующими органами на (i-2) - том году долгосрочного периода регулирования (2017 год); </w:t>
      </w:r>
    </w:p>
    <w:p w14:paraId="005DB558" w14:textId="563B93AF" w:rsidR="009A4C46" w:rsidRPr="00F94FED" w:rsidRDefault="009A4C46" w:rsidP="00F94FED">
      <w:pPr>
        <w:widowControl w:val="0"/>
        <w:autoSpaceDE w:val="0"/>
        <w:autoSpaceDN w:val="0"/>
        <w:adjustRightInd w:val="0"/>
        <w:spacing w:after="0" w:line="360" w:lineRule="auto"/>
        <w:ind w:firstLine="709"/>
        <w:jc w:val="both"/>
        <w:rPr>
          <w:rFonts w:eastAsia="Times New Roman"/>
          <w:sz w:val="26"/>
          <w:szCs w:val="26"/>
          <w:lang w:eastAsia="ru-RU"/>
        </w:rPr>
      </w:pPr>
      <w:r w:rsidRPr="00F94FED">
        <w:rPr>
          <w:rFonts w:eastAsia="Times New Roman"/>
          <w:noProof/>
          <w:sz w:val="26"/>
          <w:szCs w:val="26"/>
          <w:lang w:eastAsia="ru-RU"/>
        </w:rPr>
        <w:drawing>
          <wp:inline distT="0" distB="0" distL="0" distR="0" wp14:anchorId="4D9798ED" wp14:editId="4BD298B5">
            <wp:extent cx="431800" cy="241300"/>
            <wp:effectExtent l="0" t="0" r="6350" b="0"/>
            <wp:docPr id="62" name="Рисунок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11"/>
                    <pic:cNvPicPr>
                      <a:picLocks noChangeAspect="1" noChangeArrowheads="1"/>
                    </pic:cNvPicPr>
                  </pic:nvPicPr>
                  <pic:blipFill>
                    <a:blip r:embed="rId35" cstate="print"/>
                    <a:srcRect/>
                    <a:stretch>
                      <a:fillRect/>
                    </a:stretch>
                  </pic:blipFill>
                  <pic:spPr bwMode="auto">
                    <a:xfrm>
                      <a:off x="0" y="0"/>
                      <a:ext cx="431800" cy="241300"/>
                    </a:xfrm>
                    <a:prstGeom prst="rect">
                      <a:avLst/>
                    </a:prstGeom>
                    <a:noFill/>
                    <a:ln w="9525">
                      <a:noFill/>
                      <a:miter lim="800000"/>
                      <a:headEnd/>
                      <a:tailEnd/>
                    </a:ln>
                  </pic:spPr>
                </pic:pic>
              </a:graphicData>
            </a:graphic>
          </wp:inline>
        </w:drawing>
      </w:r>
      <w:r w:rsidRPr="00F94FED">
        <w:rPr>
          <w:rFonts w:eastAsia="Times New Roman"/>
          <w:sz w:val="26"/>
          <w:szCs w:val="26"/>
          <w:lang w:eastAsia="ru-RU"/>
        </w:rPr>
        <w:t xml:space="preserve"> </w:t>
      </w:r>
      <w:r w:rsidR="00E169B0">
        <w:rPr>
          <w:rFonts w:eastAsia="Times New Roman"/>
          <w:sz w:val="26"/>
          <w:szCs w:val="26"/>
          <w:lang w:eastAsia="ru-RU"/>
        </w:rPr>
        <w:t>–</w:t>
      </w:r>
      <w:r w:rsidRPr="00F94FED">
        <w:rPr>
          <w:rFonts w:eastAsia="Times New Roman"/>
          <w:sz w:val="26"/>
          <w:szCs w:val="26"/>
          <w:lang w:eastAsia="ru-RU"/>
        </w:rPr>
        <w:t xml:space="preserve"> фактический объем отпуска электрической энергии в сеть территориальной сетевой организации, определяемый регулирующими органами в (i-2) - том году долгосрочного периода регулирования (2017 год); </w:t>
      </w:r>
    </w:p>
    <w:p w14:paraId="260295D6" w14:textId="469D8C19" w:rsidR="009A4C46" w:rsidRPr="00F94FED" w:rsidRDefault="009A4C46" w:rsidP="00F94FED">
      <w:pPr>
        <w:widowControl w:val="0"/>
        <w:autoSpaceDE w:val="0"/>
        <w:autoSpaceDN w:val="0"/>
        <w:adjustRightInd w:val="0"/>
        <w:spacing w:after="0" w:line="360" w:lineRule="auto"/>
        <w:ind w:firstLine="709"/>
        <w:jc w:val="both"/>
        <w:rPr>
          <w:rFonts w:eastAsia="Times New Roman"/>
          <w:sz w:val="26"/>
          <w:szCs w:val="26"/>
          <w:lang w:eastAsia="ru-RU"/>
        </w:rPr>
      </w:pPr>
      <w:r w:rsidRPr="00F94FED">
        <w:rPr>
          <w:rFonts w:eastAsia="Times New Roman"/>
          <w:noProof/>
          <w:sz w:val="26"/>
          <w:szCs w:val="26"/>
          <w:lang w:eastAsia="ru-RU"/>
        </w:rPr>
        <w:drawing>
          <wp:inline distT="0" distB="0" distL="0" distR="0" wp14:anchorId="69394512" wp14:editId="551BC444">
            <wp:extent cx="257175" cy="228600"/>
            <wp:effectExtent l="0" t="0" r="9525" b="0"/>
            <wp:docPr id="507" name="Рисунок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pic:cNvPicPr>
                      <a:picLocks noChangeAspect="1" noChangeArrowheads="1"/>
                    </pic:cNvPicPr>
                  </pic:nvPicPr>
                  <pic:blipFill>
                    <a:blip r:embed="rId36" cstate="print"/>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Pr="00F94FED">
        <w:rPr>
          <w:rFonts w:eastAsia="Times New Roman"/>
          <w:sz w:val="26"/>
          <w:szCs w:val="26"/>
          <w:lang w:eastAsia="ru-RU"/>
        </w:rPr>
        <w:t xml:space="preserve"> </w:t>
      </w:r>
      <w:r w:rsidR="00E169B0">
        <w:rPr>
          <w:rFonts w:eastAsia="Times New Roman"/>
          <w:sz w:val="26"/>
          <w:szCs w:val="26"/>
          <w:lang w:eastAsia="ru-RU"/>
        </w:rPr>
        <w:t>–</w:t>
      </w:r>
      <w:r w:rsidRPr="00F94FED">
        <w:rPr>
          <w:rFonts w:eastAsia="Times New Roman"/>
          <w:sz w:val="26"/>
          <w:szCs w:val="26"/>
          <w:lang w:eastAsia="ru-RU"/>
        </w:rPr>
        <w:t xml:space="preserve"> величина технологического расхода (потерь) электрической энергии; </w:t>
      </w:r>
    </w:p>
    <w:p w14:paraId="4C3AF44E" w14:textId="251467A9" w:rsidR="009A4C46" w:rsidRPr="00F94FED" w:rsidRDefault="009A4C46" w:rsidP="00F94FED">
      <w:pPr>
        <w:widowControl w:val="0"/>
        <w:autoSpaceDE w:val="0"/>
        <w:autoSpaceDN w:val="0"/>
        <w:adjustRightInd w:val="0"/>
        <w:spacing w:after="0" w:line="360" w:lineRule="auto"/>
        <w:ind w:firstLine="709"/>
        <w:jc w:val="both"/>
        <w:rPr>
          <w:rFonts w:eastAsia="Times New Roman"/>
          <w:sz w:val="26"/>
          <w:szCs w:val="26"/>
          <w:lang w:eastAsia="ru-RU"/>
        </w:rPr>
      </w:pPr>
      <w:r w:rsidRPr="00F94FED">
        <w:rPr>
          <w:rFonts w:eastAsia="Times New Roman"/>
          <w:noProof/>
          <w:sz w:val="26"/>
          <w:szCs w:val="26"/>
          <w:lang w:eastAsia="ru-RU"/>
        </w:rPr>
        <w:drawing>
          <wp:inline distT="0" distB="0" distL="0" distR="0" wp14:anchorId="254540CB" wp14:editId="6CD36849">
            <wp:extent cx="409575" cy="238125"/>
            <wp:effectExtent l="0" t="0" r="9525" b="0"/>
            <wp:docPr id="508" name="Рисунок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37" cstate="print"/>
                    <a:srcRect/>
                    <a:stretch>
                      <a:fillRect/>
                    </a:stretch>
                  </pic:blipFill>
                  <pic:spPr bwMode="auto">
                    <a:xfrm>
                      <a:off x="0" y="0"/>
                      <a:ext cx="409575" cy="238125"/>
                    </a:xfrm>
                    <a:prstGeom prst="rect">
                      <a:avLst/>
                    </a:prstGeom>
                    <a:noFill/>
                    <a:ln w="9525">
                      <a:noFill/>
                      <a:miter lim="800000"/>
                      <a:headEnd/>
                      <a:tailEnd/>
                    </a:ln>
                  </pic:spPr>
                </pic:pic>
              </a:graphicData>
            </a:graphic>
          </wp:inline>
        </w:drawing>
      </w:r>
      <w:r w:rsidRPr="00F94FED">
        <w:rPr>
          <w:rFonts w:eastAsia="Times New Roman"/>
          <w:sz w:val="26"/>
          <w:szCs w:val="26"/>
          <w:lang w:eastAsia="ru-RU"/>
        </w:rPr>
        <w:t xml:space="preserve"> </w:t>
      </w:r>
      <w:r w:rsidR="00E169B0">
        <w:rPr>
          <w:rFonts w:eastAsia="Times New Roman"/>
          <w:sz w:val="26"/>
          <w:szCs w:val="26"/>
          <w:lang w:eastAsia="ru-RU"/>
        </w:rPr>
        <w:t>–</w:t>
      </w:r>
      <w:r w:rsidRPr="00F94FED">
        <w:rPr>
          <w:rFonts w:eastAsia="Times New Roman"/>
          <w:sz w:val="26"/>
          <w:szCs w:val="26"/>
          <w:lang w:eastAsia="ru-RU"/>
        </w:rPr>
        <w:t xml:space="preserve"> прогнозная цена покупки потерь электрической энергии в сетях (с учетом мощности) в году i-2 (2017 год), учтенная при установлении тарифа на услуги по передаче электрической энергии по электрическим сетям, принадлежащим на праве собственности или ином законном основании территориальным сетевым организациям;</w:t>
      </w:r>
    </w:p>
    <w:p w14:paraId="0CBB3A18" w14:textId="1AD98A4D" w:rsidR="009A4C46" w:rsidRPr="00F94FED" w:rsidRDefault="009A4C46" w:rsidP="00F94FED">
      <w:pPr>
        <w:widowControl w:val="0"/>
        <w:autoSpaceDE w:val="0"/>
        <w:autoSpaceDN w:val="0"/>
        <w:adjustRightInd w:val="0"/>
        <w:spacing w:after="0" w:line="360" w:lineRule="auto"/>
        <w:ind w:firstLine="709"/>
        <w:jc w:val="both"/>
        <w:rPr>
          <w:rFonts w:eastAsia="Times New Roman"/>
          <w:sz w:val="26"/>
          <w:szCs w:val="26"/>
          <w:lang w:eastAsia="ru-RU"/>
        </w:rPr>
      </w:pPr>
      <w:r w:rsidRPr="00F94FED">
        <w:rPr>
          <w:rFonts w:eastAsia="Times New Roman"/>
          <w:noProof/>
          <w:sz w:val="26"/>
          <w:szCs w:val="26"/>
          <w:lang w:eastAsia="ru-RU"/>
        </w:rPr>
        <w:drawing>
          <wp:inline distT="0" distB="0" distL="0" distR="0" wp14:anchorId="0554AFBC" wp14:editId="1CE6727A">
            <wp:extent cx="412115" cy="241300"/>
            <wp:effectExtent l="0" t="0" r="0" b="0"/>
            <wp:docPr id="509" name="Рисунок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14"/>
                    <pic:cNvPicPr>
                      <a:picLocks noChangeAspect="1" noChangeArrowheads="1"/>
                    </pic:cNvPicPr>
                  </pic:nvPicPr>
                  <pic:blipFill>
                    <a:blip r:embed="rId38" cstate="print"/>
                    <a:srcRect/>
                    <a:stretch>
                      <a:fillRect/>
                    </a:stretch>
                  </pic:blipFill>
                  <pic:spPr bwMode="auto">
                    <a:xfrm>
                      <a:off x="0" y="0"/>
                      <a:ext cx="412115" cy="241300"/>
                    </a:xfrm>
                    <a:prstGeom prst="rect">
                      <a:avLst/>
                    </a:prstGeom>
                    <a:noFill/>
                    <a:ln w="9525">
                      <a:noFill/>
                      <a:miter lim="800000"/>
                      <a:headEnd/>
                      <a:tailEnd/>
                    </a:ln>
                  </pic:spPr>
                </pic:pic>
              </a:graphicData>
            </a:graphic>
          </wp:inline>
        </w:drawing>
      </w:r>
      <w:r w:rsidRPr="00F94FED">
        <w:rPr>
          <w:rFonts w:eastAsia="Times New Roman"/>
          <w:sz w:val="26"/>
          <w:szCs w:val="26"/>
          <w:lang w:eastAsia="ru-RU"/>
        </w:rPr>
        <w:t xml:space="preserve"> </w:t>
      </w:r>
      <w:r w:rsidR="00E169B0">
        <w:rPr>
          <w:rFonts w:eastAsia="Times New Roman"/>
          <w:sz w:val="26"/>
          <w:szCs w:val="26"/>
          <w:lang w:eastAsia="ru-RU"/>
        </w:rPr>
        <w:t>–</w:t>
      </w:r>
      <w:r w:rsidRPr="00F94FED">
        <w:rPr>
          <w:rFonts w:eastAsia="Times New Roman"/>
          <w:sz w:val="26"/>
          <w:szCs w:val="26"/>
          <w:lang w:eastAsia="ru-RU"/>
        </w:rPr>
        <w:t xml:space="preserve"> фактическая цена покупки потерь электрической энергии в сетях (с учетом мощности) в 2017 году.</w:t>
      </w:r>
    </w:p>
    <w:p w14:paraId="05B05176" w14:textId="77777777" w:rsidR="009A4C46" w:rsidRPr="00F94FED" w:rsidRDefault="009A4C46" w:rsidP="00F94FED">
      <w:pPr>
        <w:widowControl w:val="0"/>
        <w:autoSpaceDE w:val="0"/>
        <w:autoSpaceDN w:val="0"/>
        <w:adjustRightInd w:val="0"/>
        <w:spacing w:after="0" w:line="360" w:lineRule="auto"/>
        <w:ind w:firstLine="709"/>
        <w:jc w:val="both"/>
        <w:rPr>
          <w:rFonts w:eastAsia="Times New Roman"/>
          <w:sz w:val="26"/>
          <w:szCs w:val="26"/>
          <w:u w:val="single"/>
          <w:lang w:eastAsia="ru-RU"/>
        </w:rPr>
      </w:pPr>
    </w:p>
    <w:p w14:paraId="5831CBD2" w14:textId="269B5F86" w:rsidR="009A4C46" w:rsidRPr="00F94FED" w:rsidRDefault="00195CA9" w:rsidP="001D2691">
      <w:pPr>
        <w:widowControl w:val="0"/>
        <w:autoSpaceDE w:val="0"/>
        <w:autoSpaceDN w:val="0"/>
        <w:adjustRightInd w:val="0"/>
        <w:spacing w:after="0" w:line="360" w:lineRule="auto"/>
        <w:jc w:val="both"/>
        <w:rPr>
          <w:rFonts w:eastAsia="Times New Roman"/>
          <w:b/>
          <w:sz w:val="26"/>
          <w:szCs w:val="26"/>
          <w:lang w:eastAsia="ru-RU"/>
        </w:rPr>
      </w:pPr>
      <w:r w:rsidRPr="00F94FED">
        <w:rPr>
          <w:rFonts w:eastAsia="Times New Roman"/>
          <w:b/>
          <w:sz w:val="26"/>
          <w:szCs w:val="26"/>
          <w:lang w:eastAsia="ru-RU"/>
        </w:rPr>
        <w:t>ПОЗИЦИЯ ТЕРРИТОРИАЛЬНОЙ СЕТЕВОЙ ОРГАНИЗАЦИИ</w:t>
      </w:r>
    </w:p>
    <w:p w14:paraId="09651AB9" w14:textId="77777777" w:rsidR="009A4C46" w:rsidRPr="00F94FED" w:rsidRDefault="009A4C46" w:rsidP="00F94FED">
      <w:pPr>
        <w:widowControl w:val="0"/>
        <w:autoSpaceDE w:val="0"/>
        <w:autoSpaceDN w:val="0"/>
        <w:adjustRightInd w:val="0"/>
        <w:spacing w:after="0" w:line="360" w:lineRule="auto"/>
        <w:ind w:firstLine="709"/>
        <w:jc w:val="both"/>
        <w:rPr>
          <w:rFonts w:eastAsia="Times New Roman"/>
          <w:sz w:val="26"/>
          <w:szCs w:val="26"/>
          <w:lang w:eastAsia="ru-RU"/>
        </w:rPr>
      </w:pPr>
      <w:r w:rsidRPr="00F94FED">
        <w:rPr>
          <w:rFonts w:eastAsia="Times New Roman"/>
          <w:sz w:val="26"/>
          <w:szCs w:val="26"/>
          <w:lang w:eastAsia="ru-RU"/>
        </w:rPr>
        <w:t>АО «Тываэнерго» представила расчет корректировки необходимой валовой выручки с учетом изменения полезного отпуска и цен на электрическую энергию по итогам 2017 года на сумму 27 395 тыс. руб.</w:t>
      </w:r>
    </w:p>
    <w:p w14:paraId="06BEE01C" w14:textId="31AC7052" w:rsidR="009A4C46" w:rsidRPr="00F94FED" w:rsidRDefault="009A4C46" w:rsidP="00F94FED">
      <w:pPr>
        <w:spacing w:after="0" w:line="360" w:lineRule="auto"/>
        <w:ind w:firstLine="709"/>
        <w:contextualSpacing/>
        <w:jc w:val="both"/>
        <w:rPr>
          <w:rFonts w:eastAsia="Calibri"/>
          <w:sz w:val="26"/>
          <w:szCs w:val="26"/>
        </w:rPr>
      </w:pPr>
      <w:r w:rsidRPr="00F94FED">
        <w:rPr>
          <w:rFonts w:eastAsia="Calibri"/>
          <w:sz w:val="26"/>
          <w:szCs w:val="26"/>
        </w:rPr>
        <w:t xml:space="preserve">В составе обосновывающих материалов на установление тарифов на услуги по передаче электрической энергии по сетям на 2019 год АО «Тываэнерго» представило в Службу по тарифам Республики Тыва расчет корректировки НВВ </w:t>
      </w:r>
      <w:r w:rsidRPr="00F94FED">
        <w:rPr>
          <w:rFonts w:eastAsia="Calibri"/>
          <w:sz w:val="26"/>
          <w:szCs w:val="26"/>
        </w:rPr>
        <w:lastRenderedPageBreak/>
        <w:t>2019 года с учетом изменения полезного отпуска и цен на электрическую энергию за 2017 год.</w:t>
      </w:r>
    </w:p>
    <w:tbl>
      <w:tblPr>
        <w:tblW w:w="5000" w:type="pct"/>
        <w:tblLook w:val="04A0" w:firstRow="1" w:lastRow="0" w:firstColumn="1" w:lastColumn="0" w:noHBand="0" w:noVBand="1"/>
      </w:tblPr>
      <w:tblGrid>
        <w:gridCol w:w="521"/>
        <w:gridCol w:w="5015"/>
        <w:gridCol w:w="1445"/>
        <w:gridCol w:w="1123"/>
        <w:gridCol w:w="1241"/>
      </w:tblGrid>
      <w:tr w:rsidR="00E169B0" w:rsidRPr="00E169B0" w14:paraId="30DA3A46" w14:textId="77777777" w:rsidTr="00E169B0">
        <w:trPr>
          <w:trHeight w:val="600"/>
        </w:trPr>
        <w:tc>
          <w:tcPr>
            <w:tcW w:w="27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3A84EC9" w14:textId="77777777" w:rsidR="009A4C46" w:rsidRPr="00F94FED" w:rsidRDefault="009A4C46" w:rsidP="009A4C46">
            <w:pPr>
              <w:spacing w:after="0" w:line="240" w:lineRule="auto"/>
              <w:jc w:val="center"/>
              <w:rPr>
                <w:rFonts w:eastAsia="Times New Roman"/>
                <w:b/>
                <w:color w:val="FFFFFF" w:themeColor="background1"/>
                <w:lang w:eastAsia="ru-RU"/>
              </w:rPr>
            </w:pPr>
            <w:r w:rsidRPr="00F94FED">
              <w:rPr>
                <w:rFonts w:eastAsia="Times New Roman"/>
                <w:b/>
                <w:color w:val="FFFFFF" w:themeColor="background1"/>
                <w:lang w:eastAsia="ru-RU"/>
              </w:rPr>
              <w:t>№ п/п</w:t>
            </w:r>
          </w:p>
        </w:tc>
        <w:tc>
          <w:tcPr>
            <w:tcW w:w="26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AE37333" w14:textId="77777777" w:rsidR="009A4C46" w:rsidRPr="00F94FED" w:rsidRDefault="009A4C46" w:rsidP="009A4C46">
            <w:pPr>
              <w:spacing w:after="0" w:line="240" w:lineRule="auto"/>
              <w:jc w:val="center"/>
              <w:rPr>
                <w:rFonts w:eastAsia="Times New Roman"/>
                <w:b/>
                <w:color w:val="FFFFFF" w:themeColor="background1"/>
                <w:lang w:eastAsia="ru-RU"/>
              </w:rPr>
            </w:pPr>
            <w:r w:rsidRPr="00F94FED">
              <w:rPr>
                <w:rFonts w:eastAsia="Times New Roman"/>
                <w:b/>
                <w:color w:val="FFFFFF" w:themeColor="background1"/>
                <w:lang w:eastAsia="ru-RU"/>
              </w:rPr>
              <w:t>Наименование показателя</w:t>
            </w:r>
          </w:p>
        </w:tc>
        <w:tc>
          <w:tcPr>
            <w:tcW w:w="77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2C740E0" w14:textId="77777777" w:rsidR="009A4C46" w:rsidRPr="00F94FED" w:rsidRDefault="009A4C46" w:rsidP="009A4C46">
            <w:pPr>
              <w:spacing w:after="0" w:line="240" w:lineRule="auto"/>
              <w:jc w:val="center"/>
              <w:rPr>
                <w:rFonts w:eastAsia="Times New Roman"/>
                <w:b/>
                <w:color w:val="FFFFFF" w:themeColor="background1"/>
                <w:lang w:eastAsia="ru-RU"/>
              </w:rPr>
            </w:pPr>
            <w:r w:rsidRPr="00F94FED">
              <w:rPr>
                <w:rFonts w:eastAsia="Times New Roman"/>
                <w:b/>
                <w:color w:val="FFFFFF" w:themeColor="background1"/>
                <w:lang w:eastAsia="ru-RU"/>
              </w:rPr>
              <w:t>Обозначение показателя</w:t>
            </w:r>
          </w:p>
        </w:tc>
        <w:tc>
          <w:tcPr>
            <w:tcW w:w="60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1108096" w14:textId="77777777" w:rsidR="009A4C46" w:rsidRPr="00F94FED" w:rsidRDefault="009A4C46" w:rsidP="009A4C46">
            <w:pPr>
              <w:spacing w:after="0" w:line="240" w:lineRule="auto"/>
              <w:jc w:val="center"/>
              <w:rPr>
                <w:rFonts w:eastAsia="Times New Roman"/>
                <w:b/>
                <w:color w:val="FFFFFF" w:themeColor="background1"/>
                <w:lang w:eastAsia="ru-RU"/>
              </w:rPr>
            </w:pPr>
            <w:r w:rsidRPr="00F94FED">
              <w:rPr>
                <w:rFonts w:eastAsia="Times New Roman"/>
                <w:b/>
                <w:color w:val="FFFFFF" w:themeColor="background1"/>
                <w:lang w:eastAsia="ru-RU"/>
              </w:rPr>
              <w:t>Ед. изм.</w:t>
            </w:r>
          </w:p>
        </w:tc>
        <w:tc>
          <w:tcPr>
            <w:tcW w:w="66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121983C" w14:textId="77777777" w:rsidR="009A4C46" w:rsidRPr="00F94FED" w:rsidRDefault="009A4C46" w:rsidP="009A4C46">
            <w:pPr>
              <w:spacing w:after="0" w:line="240" w:lineRule="auto"/>
              <w:jc w:val="center"/>
              <w:rPr>
                <w:rFonts w:eastAsia="Times New Roman"/>
                <w:b/>
                <w:color w:val="FFFFFF" w:themeColor="background1"/>
                <w:lang w:eastAsia="ru-RU"/>
              </w:rPr>
            </w:pPr>
            <w:r w:rsidRPr="00F94FED">
              <w:rPr>
                <w:rFonts w:eastAsia="Times New Roman"/>
                <w:b/>
                <w:color w:val="FFFFFF" w:themeColor="background1"/>
                <w:lang w:eastAsia="ru-RU"/>
              </w:rPr>
              <w:t>Значение показателя</w:t>
            </w:r>
          </w:p>
        </w:tc>
      </w:tr>
      <w:tr w:rsidR="009A4C46" w:rsidRPr="009A4C46" w14:paraId="402556A4" w14:textId="77777777" w:rsidTr="00F94FED">
        <w:trPr>
          <w:trHeight w:val="600"/>
        </w:trPr>
        <w:tc>
          <w:tcPr>
            <w:tcW w:w="279"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3EFA53D7" w14:textId="77777777" w:rsidR="009A4C46" w:rsidRPr="009A4C46" w:rsidRDefault="009A4C46" w:rsidP="009A4C46">
            <w:pPr>
              <w:spacing w:after="0" w:line="240" w:lineRule="auto"/>
              <w:jc w:val="center"/>
              <w:rPr>
                <w:rFonts w:eastAsia="Times New Roman"/>
                <w:lang w:eastAsia="ru-RU"/>
              </w:rPr>
            </w:pPr>
            <w:r w:rsidRPr="009A4C46">
              <w:rPr>
                <w:rFonts w:eastAsia="Times New Roman"/>
                <w:lang w:eastAsia="ru-RU"/>
              </w:rPr>
              <w:t>1</w:t>
            </w:r>
          </w:p>
        </w:tc>
        <w:tc>
          <w:tcPr>
            <w:tcW w:w="2683" w:type="pct"/>
            <w:tcBorders>
              <w:top w:val="single" w:sz="4" w:space="0" w:color="FFFFFF" w:themeColor="background1"/>
              <w:left w:val="nil"/>
              <w:bottom w:val="single" w:sz="4" w:space="0" w:color="auto"/>
              <w:right w:val="single" w:sz="4" w:space="0" w:color="auto"/>
            </w:tcBorders>
            <w:shd w:val="clear" w:color="auto" w:fill="auto"/>
            <w:vAlign w:val="center"/>
            <w:hideMark/>
          </w:tcPr>
          <w:p w14:paraId="246F32BA" w14:textId="77777777" w:rsidR="009A4C46" w:rsidRPr="009A4C46" w:rsidRDefault="009A4C46" w:rsidP="009A4C46">
            <w:pPr>
              <w:spacing w:after="0" w:line="240" w:lineRule="auto"/>
              <w:rPr>
                <w:rFonts w:eastAsia="Times New Roman"/>
                <w:lang w:eastAsia="ru-RU"/>
              </w:rPr>
            </w:pPr>
            <w:r w:rsidRPr="009A4C46">
              <w:rPr>
                <w:rFonts w:eastAsia="Times New Roman"/>
                <w:lang w:eastAsia="ru-RU"/>
              </w:rPr>
              <w:t>Год долгосрочного периода регулирования, в котором необходимо учесть корректировку</w:t>
            </w:r>
          </w:p>
        </w:tc>
        <w:tc>
          <w:tcPr>
            <w:tcW w:w="773" w:type="pct"/>
            <w:tcBorders>
              <w:top w:val="single" w:sz="4" w:space="0" w:color="FFFFFF" w:themeColor="background1"/>
              <w:left w:val="nil"/>
              <w:bottom w:val="single" w:sz="4" w:space="0" w:color="auto"/>
              <w:right w:val="single" w:sz="4" w:space="0" w:color="auto"/>
            </w:tcBorders>
            <w:shd w:val="clear" w:color="auto" w:fill="auto"/>
            <w:vAlign w:val="center"/>
            <w:hideMark/>
          </w:tcPr>
          <w:p w14:paraId="58F9D852" w14:textId="77777777" w:rsidR="009A4C46" w:rsidRPr="009A4C46" w:rsidRDefault="009A4C46" w:rsidP="009A4C46">
            <w:pPr>
              <w:spacing w:after="0" w:line="240" w:lineRule="auto"/>
              <w:jc w:val="center"/>
              <w:rPr>
                <w:rFonts w:eastAsia="Times New Roman"/>
                <w:lang w:eastAsia="ru-RU"/>
              </w:rPr>
            </w:pPr>
            <w:r w:rsidRPr="009A4C46">
              <w:rPr>
                <w:rFonts w:eastAsia="Times New Roman"/>
                <w:lang w:eastAsia="ru-RU"/>
              </w:rPr>
              <w:t>i</w:t>
            </w:r>
          </w:p>
        </w:tc>
        <w:tc>
          <w:tcPr>
            <w:tcW w:w="601"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03EC97F6" w14:textId="77777777" w:rsidR="009A4C46" w:rsidRPr="009A4C46" w:rsidRDefault="009A4C46" w:rsidP="009A4C46">
            <w:pPr>
              <w:spacing w:after="0" w:line="240" w:lineRule="auto"/>
              <w:jc w:val="center"/>
              <w:rPr>
                <w:rFonts w:eastAsia="Times New Roman"/>
                <w:lang w:eastAsia="ru-RU"/>
              </w:rPr>
            </w:pPr>
          </w:p>
        </w:tc>
        <w:tc>
          <w:tcPr>
            <w:tcW w:w="665"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268E6780" w14:textId="77777777" w:rsidR="009A4C46" w:rsidRPr="009A4C46" w:rsidRDefault="009A4C46" w:rsidP="009A4C46">
            <w:pPr>
              <w:spacing w:after="0" w:line="240" w:lineRule="auto"/>
              <w:jc w:val="center"/>
              <w:rPr>
                <w:rFonts w:eastAsia="Times New Roman"/>
                <w:lang w:eastAsia="ru-RU"/>
              </w:rPr>
            </w:pPr>
            <w:r w:rsidRPr="009A4C46">
              <w:rPr>
                <w:rFonts w:eastAsia="Times New Roman"/>
                <w:lang w:eastAsia="ru-RU"/>
              </w:rPr>
              <w:t>2019</w:t>
            </w:r>
          </w:p>
        </w:tc>
      </w:tr>
      <w:tr w:rsidR="009A4C46" w:rsidRPr="009A4C46" w14:paraId="7FF220FD" w14:textId="77777777" w:rsidTr="00F94FED">
        <w:trPr>
          <w:trHeight w:val="1230"/>
        </w:trPr>
        <w:tc>
          <w:tcPr>
            <w:tcW w:w="279" w:type="pct"/>
            <w:tcBorders>
              <w:top w:val="nil"/>
              <w:left w:val="single" w:sz="4" w:space="0" w:color="auto"/>
              <w:bottom w:val="single" w:sz="4" w:space="0" w:color="auto"/>
              <w:right w:val="single" w:sz="4" w:space="0" w:color="auto"/>
            </w:tcBorders>
            <w:shd w:val="clear" w:color="auto" w:fill="auto"/>
            <w:noWrap/>
            <w:vAlign w:val="center"/>
            <w:hideMark/>
          </w:tcPr>
          <w:p w14:paraId="7379B3CE" w14:textId="77777777" w:rsidR="009A4C46" w:rsidRPr="009A4C46" w:rsidRDefault="009A4C46" w:rsidP="009A4C46">
            <w:pPr>
              <w:spacing w:after="0" w:line="240" w:lineRule="auto"/>
              <w:jc w:val="center"/>
              <w:rPr>
                <w:rFonts w:eastAsia="Times New Roman"/>
                <w:lang w:eastAsia="ru-RU"/>
              </w:rPr>
            </w:pPr>
            <w:r w:rsidRPr="009A4C46">
              <w:rPr>
                <w:rFonts w:eastAsia="Times New Roman"/>
                <w:lang w:eastAsia="ru-RU"/>
              </w:rPr>
              <w:t>2</w:t>
            </w:r>
          </w:p>
        </w:tc>
        <w:tc>
          <w:tcPr>
            <w:tcW w:w="2683" w:type="pct"/>
            <w:tcBorders>
              <w:top w:val="nil"/>
              <w:left w:val="nil"/>
              <w:bottom w:val="single" w:sz="4" w:space="0" w:color="auto"/>
              <w:right w:val="single" w:sz="4" w:space="0" w:color="auto"/>
            </w:tcBorders>
            <w:shd w:val="clear" w:color="auto" w:fill="auto"/>
            <w:vAlign w:val="center"/>
            <w:hideMark/>
          </w:tcPr>
          <w:p w14:paraId="1EF3EB10" w14:textId="77777777" w:rsidR="009A4C46" w:rsidRPr="009A4C46" w:rsidRDefault="009A4C46" w:rsidP="009A4C46">
            <w:pPr>
              <w:spacing w:after="0" w:line="240" w:lineRule="auto"/>
              <w:rPr>
                <w:rFonts w:eastAsia="Times New Roman"/>
                <w:b/>
                <w:bCs/>
                <w:lang w:eastAsia="ru-RU"/>
              </w:rPr>
            </w:pPr>
            <w:r w:rsidRPr="009A4C46">
              <w:rPr>
                <w:rFonts w:eastAsia="Times New Roman"/>
                <w:b/>
                <w:bCs/>
                <w:lang w:eastAsia="ru-RU"/>
              </w:rPr>
              <w:t>Корректировка с учетом изменения полезного отпуска и цен на электрическую энергию</w:t>
            </w:r>
            <w:r w:rsidRPr="009A4C46">
              <w:rPr>
                <w:rFonts w:eastAsia="Times New Roman"/>
                <w:lang w:eastAsia="ru-RU"/>
              </w:rPr>
              <w:t xml:space="preserve"> (предусмотрена для ежегодного применения по итогам последнего истекшего года долгосрочного периода регулирования)</w:t>
            </w:r>
          </w:p>
        </w:tc>
        <w:tc>
          <w:tcPr>
            <w:tcW w:w="773" w:type="pct"/>
            <w:tcBorders>
              <w:top w:val="nil"/>
              <w:left w:val="nil"/>
              <w:bottom w:val="single" w:sz="4" w:space="0" w:color="auto"/>
              <w:right w:val="single" w:sz="4" w:space="0" w:color="auto"/>
            </w:tcBorders>
            <w:shd w:val="clear" w:color="auto" w:fill="auto"/>
            <w:noWrap/>
            <w:vAlign w:val="center"/>
            <w:hideMark/>
          </w:tcPr>
          <w:p w14:paraId="0E8D76CB" w14:textId="77777777" w:rsidR="009A4C46" w:rsidRPr="009A4C46" w:rsidRDefault="009A4C46" w:rsidP="009A4C46">
            <w:pPr>
              <w:spacing w:after="0" w:line="240" w:lineRule="auto"/>
              <w:jc w:val="center"/>
              <w:rPr>
                <w:rFonts w:eastAsia="Times New Roman"/>
                <w:lang w:eastAsia="ru-RU"/>
              </w:rPr>
            </w:pPr>
            <w:proofErr w:type="spellStart"/>
            <w:r w:rsidRPr="009A4C46">
              <w:rPr>
                <w:rFonts w:eastAsia="Times New Roman"/>
                <w:lang w:eastAsia="ru-RU"/>
              </w:rPr>
              <w:t>ПО</w:t>
            </w:r>
            <w:r w:rsidRPr="009A4C46">
              <w:rPr>
                <w:rFonts w:eastAsia="Times New Roman"/>
                <w:vertAlign w:val="subscript"/>
                <w:lang w:eastAsia="ru-RU"/>
              </w:rPr>
              <w:t>i</w:t>
            </w:r>
            <w:proofErr w:type="spellEnd"/>
          </w:p>
        </w:tc>
        <w:tc>
          <w:tcPr>
            <w:tcW w:w="601" w:type="pct"/>
            <w:tcBorders>
              <w:top w:val="nil"/>
              <w:left w:val="nil"/>
              <w:bottom w:val="single" w:sz="4" w:space="0" w:color="auto"/>
              <w:right w:val="single" w:sz="4" w:space="0" w:color="auto"/>
            </w:tcBorders>
            <w:shd w:val="clear" w:color="auto" w:fill="auto"/>
            <w:noWrap/>
            <w:vAlign w:val="center"/>
            <w:hideMark/>
          </w:tcPr>
          <w:p w14:paraId="64130324" w14:textId="77777777" w:rsidR="009A4C46" w:rsidRPr="009A4C46" w:rsidRDefault="009A4C46" w:rsidP="009A4C46">
            <w:pPr>
              <w:spacing w:after="0" w:line="240" w:lineRule="auto"/>
              <w:jc w:val="center"/>
              <w:rPr>
                <w:rFonts w:eastAsia="Times New Roman"/>
                <w:lang w:eastAsia="ru-RU"/>
              </w:rPr>
            </w:pPr>
            <w:r w:rsidRPr="009A4C46">
              <w:rPr>
                <w:rFonts w:eastAsia="Times New Roman"/>
                <w:lang w:eastAsia="ru-RU"/>
              </w:rPr>
              <w:t>тыс. руб.</w:t>
            </w:r>
          </w:p>
        </w:tc>
        <w:tc>
          <w:tcPr>
            <w:tcW w:w="665" w:type="pct"/>
            <w:tcBorders>
              <w:top w:val="nil"/>
              <w:left w:val="nil"/>
              <w:bottom w:val="single" w:sz="4" w:space="0" w:color="auto"/>
              <w:right w:val="single" w:sz="4" w:space="0" w:color="auto"/>
            </w:tcBorders>
            <w:shd w:val="clear" w:color="auto" w:fill="auto"/>
            <w:noWrap/>
            <w:vAlign w:val="center"/>
            <w:hideMark/>
          </w:tcPr>
          <w:p w14:paraId="486C5B29" w14:textId="77777777" w:rsidR="009A4C46" w:rsidRPr="009A4C46" w:rsidRDefault="009A4C46" w:rsidP="009A4C46">
            <w:pPr>
              <w:spacing w:after="0" w:line="240" w:lineRule="auto"/>
              <w:jc w:val="center"/>
              <w:rPr>
                <w:rFonts w:eastAsia="Times New Roman"/>
                <w:b/>
                <w:bCs/>
                <w:lang w:eastAsia="ru-RU"/>
              </w:rPr>
            </w:pPr>
            <w:r w:rsidRPr="009A4C46">
              <w:rPr>
                <w:rFonts w:eastAsia="Times New Roman"/>
                <w:b/>
                <w:bCs/>
                <w:lang w:eastAsia="ru-RU"/>
              </w:rPr>
              <w:t>27 395</w:t>
            </w:r>
          </w:p>
        </w:tc>
      </w:tr>
      <w:tr w:rsidR="009A4C46" w:rsidRPr="009A4C46" w14:paraId="5EC0DEAB" w14:textId="77777777" w:rsidTr="00F94FED">
        <w:trPr>
          <w:trHeight w:val="1200"/>
        </w:trPr>
        <w:tc>
          <w:tcPr>
            <w:tcW w:w="279" w:type="pct"/>
            <w:tcBorders>
              <w:top w:val="nil"/>
              <w:left w:val="single" w:sz="4" w:space="0" w:color="auto"/>
              <w:bottom w:val="single" w:sz="4" w:space="0" w:color="auto"/>
              <w:right w:val="single" w:sz="4" w:space="0" w:color="auto"/>
            </w:tcBorders>
            <w:shd w:val="clear" w:color="auto" w:fill="auto"/>
            <w:noWrap/>
            <w:vAlign w:val="center"/>
            <w:hideMark/>
          </w:tcPr>
          <w:p w14:paraId="06E875BC" w14:textId="77777777" w:rsidR="009A4C46" w:rsidRPr="009A4C46" w:rsidRDefault="009A4C46" w:rsidP="009A4C46">
            <w:pPr>
              <w:spacing w:after="0" w:line="240" w:lineRule="auto"/>
              <w:jc w:val="center"/>
              <w:rPr>
                <w:rFonts w:eastAsia="Times New Roman"/>
                <w:lang w:eastAsia="ru-RU"/>
              </w:rPr>
            </w:pPr>
            <w:r w:rsidRPr="009A4C46">
              <w:rPr>
                <w:rFonts w:eastAsia="Times New Roman"/>
                <w:lang w:eastAsia="ru-RU"/>
              </w:rPr>
              <w:t>3</w:t>
            </w:r>
          </w:p>
        </w:tc>
        <w:tc>
          <w:tcPr>
            <w:tcW w:w="2683" w:type="pct"/>
            <w:tcBorders>
              <w:top w:val="nil"/>
              <w:left w:val="nil"/>
              <w:bottom w:val="single" w:sz="4" w:space="0" w:color="auto"/>
              <w:right w:val="single" w:sz="4" w:space="0" w:color="auto"/>
            </w:tcBorders>
            <w:shd w:val="clear" w:color="auto" w:fill="auto"/>
            <w:vAlign w:val="center"/>
            <w:hideMark/>
          </w:tcPr>
          <w:p w14:paraId="1EF96F76" w14:textId="77777777" w:rsidR="009A4C46" w:rsidRPr="009A4C46" w:rsidRDefault="009A4C46" w:rsidP="009A4C46">
            <w:pPr>
              <w:spacing w:after="0" w:line="240" w:lineRule="auto"/>
              <w:rPr>
                <w:rFonts w:eastAsia="Times New Roman"/>
                <w:lang w:eastAsia="ru-RU"/>
              </w:rPr>
            </w:pPr>
            <w:r w:rsidRPr="009A4C46">
              <w:rPr>
                <w:rFonts w:eastAsia="Times New Roman"/>
                <w:lang w:eastAsia="ru-RU"/>
              </w:rPr>
              <w:t>Прогнозный объем отпуска электрической энергии в сеть территориальной сетевой организации, определенный регулирующими органами на (i-2)-том году долгосрочного периода регулирования</w:t>
            </w:r>
          </w:p>
        </w:tc>
        <w:tc>
          <w:tcPr>
            <w:tcW w:w="773" w:type="pct"/>
            <w:tcBorders>
              <w:top w:val="nil"/>
              <w:left w:val="nil"/>
              <w:bottom w:val="single" w:sz="4" w:space="0" w:color="auto"/>
              <w:right w:val="single" w:sz="4" w:space="0" w:color="auto"/>
            </w:tcBorders>
            <w:shd w:val="clear" w:color="auto" w:fill="auto"/>
            <w:noWrap/>
            <w:vAlign w:val="center"/>
            <w:hideMark/>
          </w:tcPr>
          <w:p w14:paraId="6235C440" w14:textId="77777777" w:rsidR="009A4C46" w:rsidRPr="009A4C46" w:rsidRDefault="009A4C46" w:rsidP="009A4C46">
            <w:pPr>
              <w:spacing w:after="0" w:line="240" w:lineRule="auto"/>
              <w:jc w:val="center"/>
              <w:rPr>
                <w:rFonts w:eastAsia="Times New Roman"/>
                <w:lang w:eastAsia="ru-RU"/>
              </w:rPr>
            </w:pPr>
            <w:r w:rsidRPr="009A4C46">
              <w:rPr>
                <w:rFonts w:eastAsia="Times New Roman"/>
                <w:lang w:eastAsia="ru-RU"/>
              </w:rPr>
              <w:t>Э</w:t>
            </w:r>
            <w:r w:rsidRPr="009A4C46">
              <w:rPr>
                <w:rFonts w:eastAsia="Times New Roman"/>
                <w:vertAlign w:val="superscript"/>
                <w:lang w:eastAsia="ru-RU"/>
              </w:rPr>
              <w:t>ОТП</w:t>
            </w:r>
            <w:r w:rsidRPr="009A4C46">
              <w:rPr>
                <w:rFonts w:eastAsia="Times New Roman"/>
                <w:vertAlign w:val="subscript"/>
                <w:lang w:eastAsia="ru-RU"/>
              </w:rPr>
              <w:t>i-2</w:t>
            </w:r>
          </w:p>
        </w:tc>
        <w:tc>
          <w:tcPr>
            <w:tcW w:w="601" w:type="pct"/>
            <w:tcBorders>
              <w:top w:val="nil"/>
              <w:left w:val="nil"/>
              <w:bottom w:val="single" w:sz="4" w:space="0" w:color="auto"/>
              <w:right w:val="single" w:sz="4" w:space="0" w:color="auto"/>
            </w:tcBorders>
            <w:shd w:val="clear" w:color="auto" w:fill="auto"/>
            <w:noWrap/>
            <w:vAlign w:val="center"/>
            <w:hideMark/>
          </w:tcPr>
          <w:p w14:paraId="43B6C8E8" w14:textId="7DB39004" w:rsidR="009A4C46" w:rsidRPr="009A4C46" w:rsidRDefault="009A4C46" w:rsidP="009A4C46">
            <w:pPr>
              <w:spacing w:after="0" w:line="240" w:lineRule="auto"/>
              <w:jc w:val="center"/>
              <w:rPr>
                <w:rFonts w:eastAsia="Times New Roman"/>
                <w:lang w:eastAsia="ru-RU"/>
              </w:rPr>
            </w:pPr>
            <w:r w:rsidRPr="009A4C46">
              <w:rPr>
                <w:rFonts w:eastAsia="Times New Roman"/>
                <w:lang w:eastAsia="ru-RU"/>
              </w:rPr>
              <w:t>млн. кВт</w:t>
            </w:r>
            <w:r w:rsidR="00E169B0">
              <w:rPr>
                <w:rFonts w:eastAsia="Times New Roman"/>
                <w:lang w:eastAsia="ru-RU"/>
              </w:rPr>
              <w:t>*</w:t>
            </w:r>
            <w:r w:rsidRPr="009A4C46">
              <w:rPr>
                <w:rFonts w:eastAsia="Times New Roman"/>
                <w:lang w:eastAsia="ru-RU"/>
              </w:rPr>
              <w:t>ч</w:t>
            </w:r>
          </w:p>
        </w:tc>
        <w:tc>
          <w:tcPr>
            <w:tcW w:w="665" w:type="pct"/>
            <w:tcBorders>
              <w:top w:val="nil"/>
              <w:left w:val="nil"/>
              <w:bottom w:val="single" w:sz="4" w:space="0" w:color="auto"/>
              <w:right w:val="single" w:sz="4" w:space="0" w:color="auto"/>
            </w:tcBorders>
            <w:shd w:val="clear" w:color="auto" w:fill="auto"/>
            <w:noWrap/>
            <w:vAlign w:val="center"/>
            <w:hideMark/>
          </w:tcPr>
          <w:p w14:paraId="56463735" w14:textId="77777777" w:rsidR="009A4C46" w:rsidRPr="009A4C46" w:rsidRDefault="009A4C46" w:rsidP="009A4C46">
            <w:pPr>
              <w:spacing w:after="0" w:line="240" w:lineRule="auto"/>
              <w:jc w:val="center"/>
              <w:rPr>
                <w:rFonts w:eastAsia="Times New Roman"/>
                <w:lang w:eastAsia="ru-RU"/>
              </w:rPr>
            </w:pPr>
            <w:r w:rsidRPr="009A4C46">
              <w:rPr>
                <w:rFonts w:eastAsia="Times New Roman"/>
                <w:lang w:eastAsia="ru-RU"/>
              </w:rPr>
              <w:t>614,19</w:t>
            </w:r>
          </w:p>
        </w:tc>
      </w:tr>
      <w:tr w:rsidR="009A4C46" w:rsidRPr="009A4C46" w14:paraId="4AA81340" w14:textId="77777777" w:rsidTr="00F94FED">
        <w:trPr>
          <w:trHeight w:val="1275"/>
        </w:trPr>
        <w:tc>
          <w:tcPr>
            <w:tcW w:w="279" w:type="pct"/>
            <w:tcBorders>
              <w:top w:val="nil"/>
              <w:left w:val="single" w:sz="4" w:space="0" w:color="auto"/>
              <w:bottom w:val="single" w:sz="4" w:space="0" w:color="auto"/>
              <w:right w:val="single" w:sz="4" w:space="0" w:color="auto"/>
            </w:tcBorders>
            <w:shd w:val="clear" w:color="auto" w:fill="auto"/>
            <w:noWrap/>
            <w:vAlign w:val="center"/>
            <w:hideMark/>
          </w:tcPr>
          <w:p w14:paraId="282B2DF9" w14:textId="77777777" w:rsidR="009A4C46" w:rsidRPr="009A4C46" w:rsidRDefault="009A4C46" w:rsidP="009A4C46">
            <w:pPr>
              <w:spacing w:after="0" w:line="240" w:lineRule="auto"/>
              <w:jc w:val="center"/>
              <w:rPr>
                <w:rFonts w:eastAsia="Times New Roman"/>
                <w:lang w:eastAsia="ru-RU"/>
              </w:rPr>
            </w:pPr>
            <w:r w:rsidRPr="009A4C46">
              <w:rPr>
                <w:rFonts w:eastAsia="Times New Roman"/>
                <w:lang w:eastAsia="ru-RU"/>
              </w:rPr>
              <w:t>4</w:t>
            </w:r>
          </w:p>
        </w:tc>
        <w:tc>
          <w:tcPr>
            <w:tcW w:w="2683" w:type="pct"/>
            <w:tcBorders>
              <w:top w:val="nil"/>
              <w:left w:val="nil"/>
              <w:bottom w:val="single" w:sz="4" w:space="0" w:color="auto"/>
              <w:right w:val="single" w:sz="4" w:space="0" w:color="auto"/>
            </w:tcBorders>
            <w:shd w:val="clear" w:color="auto" w:fill="auto"/>
            <w:vAlign w:val="center"/>
            <w:hideMark/>
          </w:tcPr>
          <w:p w14:paraId="1B8F79DC" w14:textId="77777777" w:rsidR="009A4C46" w:rsidRPr="009A4C46" w:rsidRDefault="009A4C46" w:rsidP="009A4C46">
            <w:pPr>
              <w:spacing w:after="0" w:line="240" w:lineRule="auto"/>
              <w:rPr>
                <w:rFonts w:eastAsia="Times New Roman"/>
                <w:lang w:eastAsia="ru-RU"/>
              </w:rPr>
            </w:pPr>
            <w:r w:rsidRPr="009A4C46">
              <w:rPr>
                <w:rFonts w:eastAsia="Times New Roman"/>
                <w:lang w:eastAsia="ru-RU"/>
              </w:rPr>
              <w:t>Фактический объем отпуска электрической энергии в сеть территориальной сетевой организации, определяемый регулирующими органами в (i-2)-том году долгосрочного периода регулирования</w:t>
            </w:r>
          </w:p>
        </w:tc>
        <w:tc>
          <w:tcPr>
            <w:tcW w:w="773" w:type="pct"/>
            <w:tcBorders>
              <w:top w:val="nil"/>
              <w:left w:val="nil"/>
              <w:bottom w:val="single" w:sz="4" w:space="0" w:color="auto"/>
              <w:right w:val="single" w:sz="4" w:space="0" w:color="auto"/>
            </w:tcBorders>
            <w:shd w:val="clear" w:color="auto" w:fill="auto"/>
            <w:noWrap/>
            <w:vAlign w:val="center"/>
            <w:hideMark/>
          </w:tcPr>
          <w:p w14:paraId="6A429C93" w14:textId="77777777" w:rsidR="009A4C46" w:rsidRPr="009A4C46" w:rsidRDefault="009A4C46" w:rsidP="009A4C46">
            <w:pPr>
              <w:spacing w:after="0" w:line="240" w:lineRule="auto"/>
              <w:jc w:val="center"/>
              <w:rPr>
                <w:rFonts w:eastAsia="Times New Roman"/>
                <w:lang w:eastAsia="ru-RU"/>
              </w:rPr>
            </w:pPr>
            <w:r w:rsidRPr="009A4C46">
              <w:rPr>
                <w:rFonts w:eastAsia="Times New Roman"/>
                <w:lang w:eastAsia="ru-RU"/>
              </w:rPr>
              <w:t>Э</w:t>
            </w:r>
            <w:r w:rsidRPr="009A4C46">
              <w:rPr>
                <w:rFonts w:eastAsia="Times New Roman"/>
                <w:vertAlign w:val="superscript"/>
                <w:lang w:eastAsia="ru-RU"/>
              </w:rPr>
              <w:t>ОТП.Ф</w:t>
            </w:r>
            <w:r w:rsidRPr="009A4C46">
              <w:rPr>
                <w:rFonts w:eastAsia="Times New Roman"/>
                <w:vertAlign w:val="subscript"/>
                <w:lang w:eastAsia="ru-RU"/>
              </w:rPr>
              <w:t>i-2</w:t>
            </w:r>
          </w:p>
        </w:tc>
        <w:tc>
          <w:tcPr>
            <w:tcW w:w="601" w:type="pct"/>
            <w:tcBorders>
              <w:top w:val="nil"/>
              <w:left w:val="nil"/>
              <w:bottom w:val="single" w:sz="4" w:space="0" w:color="auto"/>
              <w:right w:val="single" w:sz="4" w:space="0" w:color="auto"/>
            </w:tcBorders>
            <w:shd w:val="clear" w:color="auto" w:fill="auto"/>
            <w:noWrap/>
            <w:vAlign w:val="center"/>
            <w:hideMark/>
          </w:tcPr>
          <w:p w14:paraId="187DA153" w14:textId="295D5C88" w:rsidR="009A4C46" w:rsidRPr="009A4C46" w:rsidRDefault="009A4C46" w:rsidP="009A4C46">
            <w:pPr>
              <w:spacing w:after="0" w:line="240" w:lineRule="auto"/>
              <w:jc w:val="center"/>
              <w:rPr>
                <w:rFonts w:eastAsia="Times New Roman"/>
                <w:lang w:eastAsia="ru-RU"/>
              </w:rPr>
            </w:pPr>
            <w:r w:rsidRPr="009A4C46">
              <w:rPr>
                <w:rFonts w:eastAsia="Times New Roman"/>
                <w:lang w:eastAsia="ru-RU"/>
              </w:rPr>
              <w:t>млн. кВт</w:t>
            </w:r>
            <w:r w:rsidR="00E169B0">
              <w:rPr>
                <w:rFonts w:eastAsia="Times New Roman"/>
                <w:lang w:eastAsia="ru-RU"/>
              </w:rPr>
              <w:t>*</w:t>
            </w:r>
            <w:r w:rsidRPr="009A4C46">
              <w:rPr>
                <w:rFonts w:eastAsia="Times New Roman"/>
                <w:lang w:eastAsia="ru-RU"/>
              </w:rPr>
              <w:t>ч</w:t>
            </w:r>
          </w:p>
        </w:tc>
        <w:tc>
          <w:tcPr>
            <w:tcW w:w="665" w:type="pct"/>
            <w:tcBorders>
              <w:top w:val="nil"/>
              <w:left w:val="nil"/>
              <w:bottom w:val="single" w:sz="4" w:space="0" w:color="auto"/>
              <w:right w:val="single" w:sz="4" w:space="0" w:color="auto"/>
            </w:tcBorders>
            <w:shd w:val="clear" w:color="auto" w:fill="auto"/>
            <w:noWrap/>
            <w:vAlign w:val="center"/>
            <w:hideMark/>
          </w:tcPr>
          <w:p w14:paraId="26A2B28A" w14:textId="77777777" w:rsidR="009A4C46" w:rsidRPr="009A4C46" w:rsidRDefault="009A4C46" w:rsidP="009A4C46">
            <w:pPr>
              <w:spacing w:after="0" w:line="240" w:lineRule="auto"/>
              <w:jc w:val="center"/>
              <w:rPr>
                <w:rFonts w:eastAsia="Times New Roman"/>
                <w:lang w:eastAsia="ru-RU"/>
              </w:rPr>
            </w:pPr>
            <w:r w:rsidRPr="009A4C46">
              <w:rPr>
                <w:rFonts w:eastAsia="Times New Roman"/>
                <w:lang w:eastAsia="ru-RU"/>
              </w:rPr>
              <w:t>710,85</w:t>
            </w:r>
          </w:p>
        </w:tc>
      </w:tr>
      <w:tr w:rsidR="009A4C46" w:rsidRPr="009A4C46" w14:paraId="61FB7A3C" w14:textId="77777777" w:rsidTr="00F94FED">
        <w:trPr>
          <w:trHeight w:val="600"/>
        </w:trPr>
        <w:tc>
          <w:tcPr>
            <w:tcW w:w="279" w:type="pct"/>
            <w:tcBorders>
              <w:top w:val="nil"/>
              <w:left w:val="single" w:sz="4" w:space="0" w:color="auto"/>
              <w:bottom w:val="single" w:sz="4" w:space="0" w:color="auto"/>
              <w:right w:val="single" w:sz="4" w:space="0" w:color="auto"/>
            </w:tcBorders>
            <w:shd w:val="clear" w:color="auto" w:fill="auto"/>
            <w:noWrap/>
            <w:vAlign w:val="center"/>
            <w:hideMark/>
          </w:tcPr>
          <w:p w14:paraId="2CF76427" w14:textId="77777777" w:rsidR="009A4C46" w:rsidRPr="009A4C46" w:rsidRDefault="009A4C46" w:rsidP="009A4C46">
            <w:pPr>
              <w:spacing w:after="0" w:line="240" w:lineRule="auto"/>
              <w:jc w:val="center"/>
              <w:rPr>
                <w:rFonts w:eastAsia="Times New Roman"/>
                <w:lang w:eastAsia="ru-RU"/>
              </w:rPr>
            </w:pPr>
            <w:r w:rsidRPr="009A4C46">
              <w:rPr>
                <w:rFonts w:eastAsia="Times New Roman"/>
                <w:lang w:eastAsia="ru-RU"/>
              </w:rPr>
              <w:t>5</w:t>
            </w:r>
          </w:p>
        </w:tc>
        <w:tc>
          <w:tcPr>
            <w:tcW w:w="2683" w:type="pct"/>
            <w:tcBorders>
              <w:top w:val="nil"/>
              <w:left w:val="nil"/>
              <w:bottom w:val="single" w:sz="4" w:space="0" w:color="auto"/>
              <w:right w:val="single" w:sz="4" w:space="0" w:color="auto"/>
            </w:tcBorders>
            <w:shd w:val="clear" w:color="auto" w:fill="auto"/>
            <w:vAlign w:val="center"/>
            <w:hideMark/>
          </w:tcPr>
          <w:p w14:paraId="29CA0735" w14:textId="77777777" w:rsidR="009A4C46" w:rsidRPr="009A4C46" w:rsidRDefault="009A4C46" w:rsidP="009A4C46">
            <w:pPr>
              <w:spacing w:after="0" w:line="240" w:lineRule="auto"/>
              <w:rPr>
                <w:rFonts w:eastAsia="Times New Roman"/>
                <w:lang w:eastAsia="ru-RU"/>
              </w:rPr>
            </w:pPr>
            <w:r w:rsidRPr="009A4C46">
              <w:rPr>
                <w:rFonts w:eastAsia="Times New Roman"/>
                <w:lang w:eastAsia="ru-RU"/>
              </w:rPr>
              <w:t>Величина технологического расхода (потерь) электрической энергии, указанная в пункте 6 Методических указаний</w:t>
            </w:r>
          </w:p>
        </w:tc>
        <w:tc>
          <w:tcPr>
            <w:tcW w:w="773" w:type="pct"/>
            <w:tcBorders>
              <w:top w:val="nil"/>
              <w:left w:val="nil"/>
              <w:bottom w:val="single" w:sz="4" w:space="0" w:color="auto"/>
              <w:right w:val="single" w:sz="4" w:space="0" w:color="auto"/>
            </w:tcBorders>
            <w:shd w:val="clear" w:color="auto" w:fill="auto"/>
            <w:noWrap/>
            <w:vAlign w:val="center"/>
            <w:hideMark/>
          </w:tcPr>
          <w:p w14:paraId="46834A54" w14:textId="77777777" w:rsidR="009A4C46" w:rsidRPr="009A4C46" w:rsidRDefault="009A4C46" w:rsidP="009A4C46">
            <w:pPr>
              <w:spacing w:after="0" w:line="240" w:lineRule="auto"/>
              <w:jc w:val="center"/>
              <w:rPr>
                <w:rFonts w:eastAsia="Times New Roman"/>
                <w:lang w:eastAsia="ru-RU"/>
              </w:rPr>
            </w:pPr>
            <w:r w:rsidRPr="009A4C46">
              <w:rPr>
                <w:rFonts w:eastAsia="Times New Roman"/>
                <w:lang w:eastAsia="ru-RU"/>
              </w:rPr>
              <w:t>a</w:t>
            </w:r>
            <w:r w:rsidRPr="009A4C46">
              <w:rPr>
                <w:rFonts w:eastAsia="Times New Roman"/>
                <w:vertAlign w:val="subscript"/>
                <w:lang w:eastAsia="ru-RU"/>
              </w:rPr>
              <w:t>i-2</w:t>
            </w:r>
          </w:p>
        </w:tc>
        <w:tc>
          <w:tcPr>
            <w:tcW w:w="601" w:type="pct"/>
            <w:tcBorders>
              <w:top w:val="nil"/>
              <w:left w:val="nil"/>
              <w:bottom w:val="single" w:sz="4" w:space="0" w:color="auto"/>
              <w:right w:val="single" w:sz="4" w:space="0" w:color="auto"/>
            </w:tcBorders>
            <w:shd w:val="clear" w:color="auto" w:fill="auto"/>
            <w:noWrap/>
            <w:vAlign w:val="center"/>
            <w:hideMark/>
          </w:tcPr>
          <w:p w14:paraId="35C75CB2" w14:textId="77777777" w:rsidR="009A4C46" w:rsidRPr="009A4C46" w:rsidRDefault="009A4C46" w:rsidP="009A4C46">
            <w:pPr>
              <w:spacing w:after="0" w:line="240" w:lineRule="auto"/>
              <w:jc w:val="center"/>
              <w:rPr>
                <w:rFonts w:eastAsia="Times New Roman"/>
                <w:lang w:eastAsia="ru-RU"/>
              </w:rPr>
            </w:pPr>
            <w:r w:rsidRPr="009A4C46">
              <w:rPr>
                <w:rFonts w:eastAsia="Times New Roman"/>
                <w:lang w:eastAsia="ru-RU"/>
              </w:rPr>
              <w:t>%</w:t>
            </w:r>
          </w:p>
        </w:tc>
        <w:tc>
          <w:tcPr>
            <w:tcW w:w="665" w:type="pct"/>
            <w:tcBorders>
              <w:top w:val="nil"/>
              <w:left w:val="nil"/>
              <w:bottom w:val="single" w:sz="4" w:space="0" w:color="auto"/>
              <w:right w:val="single" w:sz="4" w:space="0" w:color="auto"/>
            </w:tcBorders>
            <w:shd w:val="clear" w:color="auto" w:fill="auto"/>
            <w:noWrap/>
            <w:vAlign w:val="center"/>
            <w:hideMark/>
          </w:tcPr>
          <w:p w14:paraId="3C3BECE2" w14:textId="77777777" w:rsidR="009A4C46" w:rsidRPr="009A4C46" w:rsidRDefault="009A4C46" w:rsidP="009A4C46">
            <w:pPr>
              <w:spacing w:after="0" w:line="240" w:lineRule="auto"/>
              <w:jc w:val="center"/>
              <w:rPr>
                <w:rFonts w:eastAsia="Times New Roman"/>
                <w:lang w:eastAsia="ru-RU"/>
              </w:rPr>
            </w:pPr>
            <w:r w:rsidRPr="009A4C46">
              <w:rPr>
                <w:rFonts w:eastAsia="Times New Roman"/>
                <w:lang w:eastAsia="ru-RU"/>
              </w:rPr>
              <w:t>26,7%</w:t>
            </w:r>
          </w:p>
        </w:tc>
      </w:tr>
      <w:tr w:rsidR="009A4C46" w:rsidRPr="009A4C46" w14:paraId="369937C2" w14:textId="77777777" w:rsidTr="00F94FED">
        <w:trPr>
          <w:trHeight w:val="1875"/>
        </w:trPr>
        <w:tc>
          <w:tcPr>
            <w:tcW w:w="279" w:type="pct"/>
            <w:tcBorders>
              <w:top w:val="nil"/>
              <w:left w:val="single" w:sz="4" w:space="0" w:color="auto"/>
              <w:bottom w:val="single" w:sz="4" w:space="0" w:color="auto"/>
              <w:right w:val="single" w:sz="4" w:space="0" w:color="auto"/>
            </w:tcBorders>
            <w:shd w:val="clear" w:color="auto" w:fill="auto"/>
            <w:noWrap/>
            <w:vAlign w:val="center"/>
            <w:hideMark/>
          </w:tcPr>
          <w:p w14:paraId="078D2B5D" w14:textId="77777777" w:rsidR="009A4C46" w:rsidRPr="009A4C46" w:rsidRDefault="009A4C46" w:rsidP="009A4C46">
            <w:pPr>
              <w:spacing w:after="0" w:line="240" w:lineRule="auto"/>
              <w:jc w:val="center"/>
              <w:rPr>
                <w:rFonts w:eastAsia="Times New Roman"/>
                <w:lang w:eastAsia="ru-RU"/>
              </w:rPr>
            </w:pPr>
            <w:r w:rsidRPr="009A4C46">
              <w:rPr>
                <w:rFonts w:eastAsia="Times New Roman"/>
                <w:lang w:eastAsia="ru-RU"/>
              </w:rPr>
              <w:t>6</w:t>
            </w:r>
          </w:p>
        </w:tc>
        <w:tc>
          <w:tcPr>
            <w:tcW w:w="2683" w:type="pct"/>
            <w:tcBorders>
              <w:top w:val="nil"/>
              <w:left w:val="nil"/>
              <w:bottom w:val="single" w:sz="4" w:space="0" w:color="auto"/>
              <w:right w:val="single" w:sz="4" w:space="0" w:color="auto"/>
            </w:tcBorders>
            <w:shd w:val="clear" w:color="auto" w:fill="auto"/>
            <w:vAlign w:val="center"/>
            <w:hideMark/>
          </w:tcPr>
          <w:p w14:paraId="4DC540E9" w14:textId="77777777" w:rsidR="009A4C46" w:rsidRPr="009A4C46" w:rsidRDefault="009A4C46" w:rsidP="009A4C46">
            <w:pPr>
              <w:spacing w:after="0" w:line="240" w:lineRule="auto"/>
              <w:rPr>
                <w:rFonts w:eastAsia="Times New Roman"/>
                <w:lang w:eastAsia="ru-RU"/>
              </w:rPr>
            </w:pPr>
            <w:r w:rsidRPr="009A4C46">
              <w:rPr>
                <w:rFonts w:eastAsia="Times New Roman"/>
                <w:lang w:eastAsia="ru-RU"/>
              </w:rPr>
              <w:t>Прогнозная цена покупки потерь электрической энергии в сетях (с учетом мощности) в году i-2, учтенная при установлении тарифа на услуги по передаче электрической энергии по электрическим сетям, принадлежащим на праве собственности или ином законном основании территориальным сетевым организациям</w:t>
            </w:r>
          </w:p>
        </w:tc>
        <w:tc>
          <w:tcPr>
            <w:tcW w:w="773" w:type="pct"/>
            <w:tcBorders>
              <w:top w:val="nil"/>
              <w:left w:val="nil"/>
              <w:bottom w:val="single" w:sz="4" w:space="0" w:color="auto"/>
              <w:right w:val="single" w:sz="4" w:space="0" w:color="auto"/>
            </w:tcBorders>
            <w:shd w:val="clear" w:color="auto" w:fill="auto"/>
            <w:noWrap/>
            <w:vAlign w:val="center"/>
            <w:hideMark/>
          </w:tcPr>
          <w:p w14:paraId="23581857" w14:textId="77777777" w:rsidR="009A4C46" w:rsidRPr="009A4C46" w:rsidRDefault="009A4C46" w:rsidP="009A4C46">
            <w:pPr>
              <w:spacing w:after="0" w:line="240" w:lineRule="auto"/>
              <w:jc w:val="center"/>
              <w:rPr>
                <w:rFonts w:eastAsia="Times New Roman"/>
                <w:lang w:eastAsia="ru-RU"/>
              </w:rPr>
            </w:pPr>
            <w:r w:rsidRPr="009A4C46">
              <w:rPr>
                <w:rFonts w:eastAsia="Times New Roman"/>
                <w:lang w:eastAsia="ru-RU"/>
              </w:rPr>
              <w:t>ЦП</w:t>
            </w:r>
            <w:r w:rsidRPr="009A4C46">
              <w:rPr>
                <w:rFonts w:eastAsia="Times New Roman"/>
                <w:vertAlign w:val="subscript"/>
                <w:lang w:eastAsia="ru-RU"/>
              </w:rPr>
              <w:t>i-2</w:t>
            </w:r>
          </w:p>
        </w:tc>
        <w:tc>
          <w:tcPr>
            <w:tcW w:w="601" w:type="pct"/>
            <w:tcBorders>
              <w:top w:val="nil"/>
              <w:left w:val="nil"/>
              <w:bottom w:val="single" w:sz="4" w:space="0" w:color="auto"/>
              <w:right w:val="single" w:sz="4" w:space="0" w:color="auto"/>
            </w:tcBorders>
            <w:shd w:val="clear" w:color="auto" w:fill="auto"/>
            <w:noWrap/>
            <w:vAlign w:val="center"/>
            <w:hideMark/>
          </w:tcPr>
          <w:p w14:paraId="05AA9874" w14:textId="5882B4C2" w:rsidR="009A4C46" w:rsidRPr="009A4C46" w:rsidRDefault="009A4C46" w:rsidP="009A4C46">
            <w:pPr>
              <w:spacing w:after="0" w:line="240" w:lineRule="auto"/>
              <w:jc w:val="center"/>
              <w:rPr>
                <w:rFonts w:eastAsia="Times New Roman"/>
                <w:lang w:eastAsia="ru-RU"/>
              </w:rPr>
            </w:pPr>
            <w:r w:rsidRPr="009A4C46">
              <w:rPr>
                <w:rFonts w:eastAsia="Times New Roman"/>
                <w:lang w:eastAsia="ru-RU"/>
              </w:rPr>
              <w:t>млн. кВт</w:t>
            </w:r>
            <w:r w:rsidR="00E169B0">
              <w:rPr>
                <w:rFonts w:eastAsia="Times New Roman"/>
                <w:lang w:eastAsia="ru-RU"/>
              </w:rPr>
              <w:t>*</w:t>
            </w:r>
            <w:r w:rsidRPr="009A4C46">
              <w:rPr>
                <w:rFonts w:eastAsia="Times New Roman"/>
                <w:lang w:eastAsia="ru-RU"/>
              </w:rPr>
              <w:t>ч</w:t>
            </w:r>
          </w:p>
        </w:tc>
        <w:tc>
          <w:tcPr>
            <w:tcW w:w="665" w:type="pct"/>
            <w:tcBorders>
              <w:top w:val="nil"/>
              <w:left w:val="nil"/>
              <w:bottom w:val="single" w:sz="4" w:space="0" w:color="auto"/>
              <w:right w:val="single" w:sz="4" w:space="0" w:color="auto"/>
            </w:tcBorders>
            <w:shd w:val="clear" w:color="auto" w:fill="auto"/>
            <w:noWrap/>
            <w:vAlign w:val="center"/>
            <w:hideMark/>
          </w:tcPr>
          <w:p w14:paraId="7CA73B41" w14:textId="77777777" w:rsidR="009A4C46" w:rsidRPr="009A4C46" w:rsidRDefault="009A4C46" w:rsidP="009A4C46">
            <w:pPr>
              <w:spacing w:after="0" w:line="240" w:lineRule="auto"/>
              <w:jc w:val="center"/>
              <w:rPr>
                <w:rFonts w:eastAsia="Times New Roman"/>
                <w:lang w:eastAsia="ru-RU"/>
              </w:rPr>
            </w:pPr>
            <w:r w:rsidRPr="009A4C46">
              <w:rPr>
                <w:rFonts w:eastAsia="Times New Roman"/>
                <w:lang w:eastAsia="ru-RU"/>
              </w:rPr>
              <w:t>782,00</w:t>
            </w:r>
          </w:p>
        </w:tc>
      </w:tr>
      <w:tr w:rsidR="009A4C46" w:rsidRPr="009A4C46" w14:paraId="4403121D" w14:textId="77777777" w:rsidTr="00F94FED">
        <w:trPr>
          <w:trHeight w:val="600"/>
        </w:trPr>
        <w:tc>
          <w:tcPr>
            <w:tcW w:w="279" w:type="pct"/>
            <w:tcBorders>
              <w:top w:val="nil"/>
              <w:left w:val="single" w:sz="4" w:space="0" w:color="auto"/>
              <w:bottom w:val="single" w:sz="4" w:space="0" w:color="auto"/>
              <w:right w:val="single" w:sz="4" w:space="0" w:color="auto"/>
            </w:tcBorders>
            <w:shd w:val="clear" w:color="auto" w:fill="auto"/>
            <w:noWrap/>
            <w:vAlign w:val="center"/>
            <w:hideMark/>
          </w:tcPr>
          <w:p w14:paraId="2EFCCCCB" w14:textId="77777777" w:rsidR="009A4C46" w:rsidRPr="009A4C46" w:rsidRDefault="009A4C46" w:rsidP="009A4C46">
            <w:pPr>
              <w:spacing w:after="0" w:line="240" w:lineRule="auto"/>
              <w:jc w:val="center"/>
              <w:rPr>
                <w:rFonts w:eastAsia="Times New Roman"/>
                <w:lang w:eastAsia="ru-RU"/>
              </w:rPr>
            </w:pPr>
            <w:r w:rsidRPr="009A4C46">
              <w:rPr>
                <w:rFonts w:eastAsia="Times New Roman"/>
                <w:lang w:eastAsia="ru-RU"/>
              </w:rPr>
              <w:t>7</w:t>
            </w:r>
          </w:p>
        </w:tc>
        <w:tc>
          <w:tcPr>
            <w:tcW w:w="2683" w:type="pct"/>
            <w:tcBorders>
              <w:top w:val="nil"/>
              <w:left w:val="nil"/>
              <w:bottom w:val="single" w:sz="4" w:space="0" w:color="auto"/>
              <w:right w:val="single" w:sz="4" w:space="0" w:color="auto"/>
            </w:tcBorders>
            <w:shd w:val="clear" w:color="auto" w:fill="auto"/>
            <w:vAlign w:val="center"/>
            <w:hideMark/>
          </w:tcPr>
          <w:p w14:paraId="33494DE1" w14:textId="77777777" w:rsidR="009A4C46" w:rsidRPr="009A4C46" w:rsidRDefault="009A4C46" w:rsidP="009A4C46">
            <w:pPr>
              <w:spacing w:after="0" w:line="240" w:lineRule="auto"/>
              <w:rPr>
                <w:rFonts w:eastAsia="Times New Roman"/>
                <w:lang w:eastAsia="ru-RU"/>
              </w:rPr>
            </w:pPr>
            <w:r w:rsidRPr="009A4C46">
              <w:rPr>
                <w:rFonts w:eastAsia="Times New Roman"/>
                <w:lang w:eastAsia="ru-RU"/>
              </w:rPr>
              <w:t>Фактическая цена покупки потерь электрической энергии в сетях (с учетом мощности) в году i-2</w:t>
            </w:r>
          </w:p>
        </w:tc>
        <w:tc>
          <w:tcPr>
            <w:tcW w:w="773" w:type="pct"/>
            <w:tcBorders>
              <w:top w:val="nil"/>
              <w:left w:val="nil"/>
              <w:bottom w:val="single" w:sz="4" w:space="0" w:color="auto"/>
              <w:right w:val="single" w:sz="4" w:space="0" w:color="auto"/>
            </w:tcBorders>
            <w:shd w:val="clear" w:color="auto" w:fill="auto"/>
            <w:noWrap/>
            <w:vAlign w:val="center"/>
            <w:hideMark/>
          </w:tcPr>
          <w:p w14:paraId="1E3D8B2E" w14:textId="77777777" w:rsidR="009A4C46" w:rsidRPr="009A4C46" w:rsidRDefault="009A4C46" w:rsidP="009A4C46">
            <w:pPr>
              <w:spacing w:after="0" w:line="240" w:lineRule="auto"/>
              <w:jc w:val="center"/>
              <w:rPr>
                <w:rFonts w:eastAsia="Times New Roman"/>
                <w:lang w:eastAsia="ru-RU"/>
              </w:rPr>
            </w:pPr>
            <w:r w:rsidRPr="009A4C46">
              <w:rPr>
                <w:rFonts w:eastAsia="Times New Roman"/>
                <w:lang w:eastAsia="ru-RU"/>
              </w:rPr>
              <w:t>ЦП</w:t>
            </w:r>
            <w:r w:rsidRPr="009A4C46">
              <w:rPr>
                <w:rFonts w:eastAsia="Times New Roman"/>
                <w:vertAlign w:val="superscript"/>
                <w:lang w:eastAsia="ru-RU"/>
              </w:rPr>
              <w:t>Ф</w:t>
            </w:r>
            <w:r w:rsidRPr="009A4C46">
              <w:rPr>
                <w:rFonts w:eastAsia="Times New Roman"/>
                <w:vertAlign w:val="subscript"/>
                <w:lang w:eastAsia="ru-RU"/>
              </w:rPr>
              <w:t>i-2</w:t>
            </w:r>
          </w:p>
        </w:tc>
        <w:tc>
          <w:tcPr>
            <w:tcW w:w="601" w:type="pct"/>
            <w:tcBorders>
              <w:top w:val="nil"/>
              <w:left w:val="nil"/>
              <w:bottom w:val="single" w:sz="4" w:space="0" w:color="auto"/>
              <w:right w:val="single" w:sz="4" w:space="0" w:color="auto"/>
            </w:tcBorders>
            <w:shd w:val="clear" w:color="auto" w:fill="auto"/>
            <w:noWrap/>
            <w:vAlign w:val="center"/>
            <w:hideMark/>
          </w:tcPr>
          <w:p w14:paraId="3A112067" w14:textId="05E25FD2" w:rsidR="009A4C46" w:rsidRPr="009A4C46" w:rsidRDefault="009A4C46" w:rsidP="009A4C46">
            <w:pPr>
              <w:spacing w:after="0" w:line="240" w:lineRule="auto"/>
              <w:jc w:val="center"/>
              <w:rPr>
                <w:rFonts w:eastAsia="Times New Roman"/>
                <w:lang w:eastAsia="ru-RU"/>
              </w:rPr>
            </w:pPr>
            <w:r w:rsidRPr="009A4C46">
              <w:rPr>
                <w:rFonts w:eastAsia="Times New Roman"/>
                <w:lang w:eastAsia="ru-RU"/>
              </w:rPr>
              <w:t>млн. кВт</w:t>
            </w:r>
            <w:r w:rsidR="00E169B0">
              <w:rPr>
                <w:rFonts w:eastAsia="Times New Roman"/>
                <w:lang w:eastAsia="ru-RU"/>
              </w:rPr>
              <w:t>*</w:t>
            </w:r>
            <w:r w:rsidRPr="009A4C46">
              <w:rPr>
                <w:rFonts w:eastAsia="Times New Roman"/>
                <w:lang w:eastAsia="ru-RU"/>
              </w:rPr>
              <w:t>ч</w:t>
            </w:r>
          </w:p>
        </w:tc>
        <w:tc>
          <w:tcPr>
            <w:tcW w:w="665" w:type="pct"/>
            <w:tcBorders>
              <w:top w:val="nil"/>
              <w:left w:val="nil"/>
              <w:bottom w:val="single" w:sz="4" w:space="0" w:color="auto"/>
              <w:right w:val="single" w:sz="4" w:space="0" w:color="auto"/>
            </w:tcBorders>
            <w:shd w:val="clear" w:color="auto" w:fill="auto"/>
            <w:noWrap/>
            <w:vAlign w:val="center"/>
            <w:hideMark/>
          </w:tcPr>
          <w:p w14:paraId="3E14EE34" w14:textId="77777777" w:rsidR="009A4C46" w:rsidRPr="009A4C46" w:rsidRDefault="009A4C46" w:rsidP="009A4C46">
            <w:pPr>
              <w:spacing w:after="0" w:line="240" w:lineRule="auto"/>
              <w:jc w:val="center"/>
              <w:rPr>
                <w:rFonts w:eastAsia="Times New Roman"/>
                <w:lang w:eastAsia="ru-RU"/>
              </w:rPr>
            </w:pPr>
            <w:r w:rsidRPr="009A4C46">
              <w:rPr>
                <w:rFonts w:eastAsia="Times New Roman"/>
                <w:lang w:eastAsia="ru-RU"/>
              </w:rPr>
              <w:t>820,05</w:t>
            </w:r>
          </w:p>
        </w:tc>
      </w:tr>
    </w:tbl>
    <w:p w14:paraId="44DAB87A" w14:textId="77777777" w:rsidR="009A4C46" w:rsidRPr="00F94FED" w:rsidRDefault="009A4C46" w:rsidP="00F94FED">
      <w:pPr>
        <w:spacing w:after="0" w:line="360" w:lineRule="auto"/>
        <w:contextualSpacing/>
        <w:jc w:val="both"/>
        <w:rPr>
          <w:rFonts w:eastAsia="Calibri"/>
          <w:sz w:val="26"/>
          <w:szCs w:val="26"/>
        </w:rPr>
      </w:pPr>
    </w:p>
    <w:p w14:paraId="15E40746" w14:textId="16E6CBA9" w:rsidR="009A4C46" w:rsidRPr="00F94FED" w:rsidRDefault="00E169B0" w:rsidP="00874840">
      <w:pPr>
        <w:widowControl w:val="0"/>
        <w:autoSpaceDE w:val="0"/>
        <w:autoSpaceDN w:val="0"/>
        <w:adjustRightInd w:val="0"/>
        <w:spacing w:after="0" w:line="360" w:lineRule="auto"/>
        <w:jc w:val="both"/>
        <w:rPr>
          <w:rFonts w:eastAsia="Times New Roman"/>
          <w:b/>
          <w:sz w:val="26"/>
          <w:szCs w:val="26"/>
          <w:lang w:eastAsia="ru-RU"/>
        </w:rPr>
      </w:pPr>
      <w:r w:rsidRPr="00F94FED">
        <w:rPr>
          <w:rFonts w:eastAsia="Times New Roman"/>
          <w:b/>
          <w:sz w:val="26"/>
          <w:szCs w:val="26"/>
          <w:lang w:eastAsia="ru-RU"/>
        </w:rPr>
        <w:t>ПОЗИЦИЯ ОРГАНА РЕГУЛИРОВАНИЯ</w:t>
      </w:r>
    </w:p>
    <w:p w14:paraId="67F7D1EF" w14:textId="511603EB" w:rsidR="009A4C46" w:rsidRPr="00F94FED" w:rsidRDefault="009A4C46" w:rsidP="00F94FED">
      <w:pPr>
        <w:autoSpaceDE w:val="0"/>
        <w:autoSpaceDN w:val="0"/>
        <w:adjustRightInd w:val="0"/>
        <w:spacing w:after="0" w:line="360" w:lineRule="auto"/>
        <w:ind w:firstLine="709"/>
        <w:jc w:val="both"/>
        <w:rPr>
          <w:rFonts w:eastAsia="Times New Roman"/>
          <w:iCs/>
          <w:sz w:val="26"/>
          <w:szCs w:val="26"/>
          <w:lang w:eastAsia="ru-RU"/>
        </w:rPr>
      </w:pPr>
      <w:r w:rsidRPr="00F94FED">
        <w:rPr>
          <w:rFonts w:eastAsia="Times New Roman"/>
          <w:iCs/>
          <w:sz w:val="26"/>
          <w:szCs w:val="26"/>
          <w:lang w:eastAsia="ru-RU"/>
        </w:rPr>
        <w:t xml:space="preserve">Согласно экспертному заключению на 2019 год Службой по тарифам Республики Тыва сумма корректировки с учетом изменения полезного отпуска и цен на электрическую энергию принята в размере, предложенном </w:t>
      </w:r>
      <w:r w:rsidR="00B61875">
        <w:rPr>
          <w:rFonts w:eastAsia="Times New Roman"/>
          <w:iCs/>
          <w:sz w:val="26"/>
          <w:szCs w:val="26"/>
          <w:lang w:eastAsia="ru-RU"/>
        </w:rPr>
        <w:br/>
      </w:r>
      <w:r w:rsidRPr="00F94FED">
        <w:rPr>
          <w:rFonts w:eastAsia="Times New Roman"/>
          <w:iCs/>
          <w:sz w:val="26"/>
          <w:szCs w:val="26"/>
          <w:lang w:eastAsia="ru-RU"/>
        </w:rPr>
        <w:t>АО «Тываэнерго», в размере 27 395 тыс. руб.</w:t>
      </w:r>
    </w:p>
    <w:p w14:paraId="293D9EEF" w14:textId="77777777" w:rsidR="009A4C46" w:rsidRPr="00F94FED" w:rsidRDefault="009A4C46" w:rsidP="00F94FED">
      <w:pPr>
        <w:autoSpaceDE w:val="0"/>
        <w:autoSpaceDN w:val="0"/>
        <w:adjustRightInd w:val="0"/>
        <w:spacing w:after="0" w:line="360" w:lineRule="auto"/>
        <w:ind w:firstLine="709"/>
        <w:jc w:val="both"/>
        <w:rPr>
          <w:rFonts w:eastAsia="Times New Roman"/>
          <w:iCs/>
          <w:sz w:val="26"/>
          <w:szCs w:val="26"/>
          <w:lang w:eastAsia="ru-RU"/>
        </w:rPr>
      </w:pPr>
    </w:p>
    <w:p w14:paraId="3C06F9E3" w14:textId="57B2EAB1" w:rsidR="009A4C46" w:rsidRPr="00F94FED" w:rsidRDefault="00E169B0" w:rsidP="001D2691">
      <w:pPr>
        <w:widowControl w:val="0"/>
        <w:autoSpaceDE w:val="0"/>
        <w:autoSpaceDN w:val="0"/>
        <w:adjustRightInd w:val="0"/>
        <w:spacing w:after="0" w:line="360" w:lineRule="auto"/>
        <w:jc w:val="both"/>
        <w:rPr>
          <w:rFonts w:eastAsia="Times New Roman"/>
          <w:b/>
          <w:bCs/>
          <w:sz w:val="26"/>
          <w:szCs w:val="26"/>
          <w:lang w:eastAsia="ru-RU"/>
        </w:rPr>
      </w:pPr>
      <w:r w:rsidRPr="00F94FED">
        <w:rPr>
          <w:rFonts w:eastAsia="Times New Roman"/>
          <w:b/>
          <w:bCs/>
          <w:sz w:val="26"/>
          <w:szCs w:val="26"/>
          <w:lang w:eastAsia="ru-RU"/>
        </w:rPr>
        <w:t>ПОЗИЦИЯ ИСПОЛНИТЕЛЯ</w:t>
      </w:r>
    </w:p>
    <w:p w14:paraId="72AD42BE" w14:textId="3F5DCF0F" w:rsidR="009A4C46" w:rsidRPr="00F94FED" w:rsidRDefault="009A4C46" w:rsidP="00F94FED">
      <w:pPr>
        <w:widowControl w:val="0"/>
        <w:autoSpaceDE w:val="0"/>
        <w:autoSpaceDN w:val="0"/>
        <w:adjustRightInd w:val="0"/>
        <w:spacing w:after="0" w:line="360" w:lineRule="auto"/>
        <w:ind w:firstLine="709"/>
        <w:jc w:val="both"/>
        <w:rPr>
          <w:rFonts w:eastAsia="Times New Roman"/>
          <w:sz w:val="26"/>
          <w:szCs w:val="26"/>
          <w:lang w:eastAsia="ru-RU"/>
        </w:rPr>
      </w:pPr>
      <w:r w:rsidRPr="00F94FED">
        <w:rPr>
          <w:rFonts w:eastAsia="Times New Roman"/>
          <w:sz w:val="26"/>
          <w:szCs w:val="26"/>
          <w:lang w:eastAsia="ru-RU"/>
        </w:rPr>
        <w:t xml:space="preserve">Исполнителем выполнен анализ обоснованности определения компенсации выпадающих/излишне полученных доходов, возникающих в результате изменения цен (тарифов) на покупку технологических потерь </w:t>
      </w:r>
      <w:r w:rsidRPr="00F94FED">
        <w:rPr>
          <w:rFonts w:eastAsia="Times New Roman"/>
          <w:sz w:val="26"/>
          <w:szCs w:val="26"/>
          <w:lang w:eastAsia="ru-RU"/>
        </w:rPr>
        <w:lastRenderedPageBreak/>
        <w:t>электрической энергии от установленных при утверждении тарифов, по данным обосновывающих материалов и расчетов АО «Тываэнерго» и Службы по тарифам Республики Тыва, а также отклонений фактически сложившего объ</w:t>
      </w:r>
      <w:r w:rsidR="00E169B0">
        <w:rPr>
          <w:rFonts w:eastAsia="Times New Roman"/>
          <w:sz w:val="26"/>
          <w:szCs w:val="26"/>
          <w:lang w:eastAsia="ru-RU"/>
        </w:rPr>
        <w:t>е</w:t>
      </w:r>
      <w:r w:rsidRPr="00F94FED">
        <w:rPr>
          <w:rFonts w:eastAsia="Times New Roman"/>
          <w:sz w:val="26"/>
          <w:szCs w:val="26"/>
          <w:lang w:eastAsia="ru-RU"/>
        </w:rPr>
        <w:t xml:space="preserve">ма потерь над плановыми. </w:t>
      </w:r>
    </w:p>
    <w:p w14:paraId="7BE66596" w14:textId="0CDD410D" w:rsidR="009A4C46" w:rsidRPr="00F94FED" w:rsidRDefault="009A4C46" w:rsidP="00F94FED">
      <w:pPr>
        <w:autoSpaceDE w:val="0"/>
        <w:autoSpaceDN w:val="0"/>
        <w:adjustRightInd w:val="0"/>
        <w:spacing w:after="0" w:line="360" w:lineRule="auto"/>
        <w:ind w:hanging="142"/>
        <w:jc w:val="center"/>
        <w:rPr>
          <w:rFonts w:eastAsia="Times New Roman"/>
          <w:b/>
          <w:iCs/>
          <w:sz w:val="26"/>
          <w:szCs w:val="26"/>
          <w:lang w:eastAsia="ru-RU"/>
        </w:rPr>
      </w:pPr>
      <w:r w:rsidRPr="00F94FED">
        <w:rPr>
          <w:rFonts w:eastAsia="Times New Roman"/>
          <w:b/>
          <w:iCs/>
          <w:sz w:val="26"/>
          <w:szCs w:val="26"/>
          <w:lang w:eastAsia="ru-RU"/>
        </w:rPr>
        <w:t>Сравнительные данные расчетов Службы по тарифам Республики Тыва и</w:t>
      </w:r>
      <w:r w:rsidR="00E169B0">
        <w:rPr>
          <w:rFonts w:eastAsia="Times New Roman"/>
          <w:b/>
          <w:bCs/>
          <w:iCs/>
          <w:sz w:val="26"/>
          <w:szCs w:val="26"/>
          <w:lang w:eastAsia="ru-RU"/>
        </w:rPr>
        <w:br/>
      </w:r>
      <w:r w:rsidRPr="00F94FED">
        <w:rPr>
          <w:rFonts w:eastAsia="Times New Roman"/>
          <w:b/>
          <w:iCs/>
          <w:sz w:val="26"/>
          <w:szCs w:val="26"/>
          <w:lang w:eastAsia="ru-RU"/>
        </w:rPr>
        <w:t>АО «Тываэнерго».</w:t>
      </w:r>
    </w:p>
    <w:tbl>
      <w:tblPr>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576"/>
        <w:gridCol w:w="1234"/>
        <w:gridCol w:w="2648"/>
        <w:gridCol w:w="1207"/>
        <w:gridCol w:w="1349"/>
        <w:gridCol w:w="1206"/>
        <w:gridCol w:w="1125"/>
      </w:tblGrid>
      <w:tr w:rsidR="009A4C46" w:rsidRPr="001229D0" w14:paraId="665BE712" w14:textId="77777777" w:rsidTr="00F94FED">
        <w:trPr>
          <w:trHeight w:val="264"/>
          <w:tblHeader/>
        </w:trPr>
        <w:tc>
          <w:tcPr>
            <w:tcW w:w="30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0D4215B" w14:textId="77777777" w:rsidR="009A4C46" w:rsidRPr="00F94FED" w:rsidRDefault="009A4C46" w:rsidP="009A4C46">
            <w:pPr>
              <w:widowControl w:val="0"/>
              <w:spacing w:after="0" w:line="180" w:lineRule="exact"/>
              <w:jc w:val="center"/>
              <w:rPr>
                <w:rFonts w:eastAsia="Times New Roman"/>
                <w:bCs/>
                <w:color w:val="FFFFFF" w:themeColor="background1"/>
                <w:lang w:eastAsia="ru-RU" w:bidi="ru-RU"/>
              </w:rPr>
            </w:pPr>
            <w:r w:rsidRPr="00F94FED">
              <w:rPr>
                <w:rFonts w:eastAsia="Times New Roman"/>
                <w:bCs/>
                <w:i/>
                <w:iCs/>
                <w:color w:val="FFFFFF" w:themeColor="background1"/>
                <w:lang w:eastAsia="ru-RU" w:bidi="ru-RU"/>
              </w:rPr>
              <w:t xml:space="preserve">№ </w:t>
            </w:r>
            <w:r w:rsidRPr="00F94FED">
              <w:rPr>
                <w:rFonts w:eastAsia="Times New Roman"/>
                <w:bCs/>
                <w:color w:val="FFFFFF" w:themeColor="background1"/>
                <w:lang w:eastAsia="ru-RU" w:bidi="ru-RU"/>
              </w:rPr>
              <w:t>п/п</w:t>
            </w:r>
          </w:p>
        </w:tc>
        <w:tc>
          <w:tcPr>
            <w:tcW w:w="66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5106F41" w14:textId="77777777" w:rsidR="009A4C46" w:rsidRPr="00F94FED" w:rsidRDefault="009A4C46" w:rsidP="009A4C46">
            <w:pPr>
              <w:widowControl w:val="0"/>
              <w:spacing w:after="0" w:line="190" w:lineRule="exact"/>
              <w:jc w:val="center"/>
              <w:rPr>
                <w:rFonts w:eastAsia="Times New Roman"/>
                <w:bCs/>
                <w:color w:val="FFFFFF" w:themeColor="background1"/>
                <w:lang w:eastAsia="ru-RU" w:bidi="ru-RU"/>
              </w:rPr>
            </w:pPr>
            <w:r w:rsidRPr="00F94FED">
              <w:rPr>
                <w:rFonts w:eastAsia="Times New Roman"/>
                <w:bCs/>
                <w:color w:val="FFFFFF" w:themeColor="background1"/>
                <w:lang w:eastAsia="ru-RU" w:bidi="ru-RU"/>
              </w:rPr>
              <w:t>Обозначение</w:t>
            </w:r>
          </w:p>
        </w:tc>
        <w:tc>
          <w:tcPr>
            <w:tcW w:w="141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2891098" w14:textId="77777777" w:rsidR="009A4C46" w:rsidRPr="00F94FED" w:rsidRDefault="009A4C46" w:rsidP="009A4C46">
            <w:pPr>
              <w:widowControl w:val="0"/>
              <w:spacing w:after="0" w:line="190" w:lineRule="exact"/>
              <w:jc w:val="center"/>
              <w:rPr>
                <w:rFonts w:eastAsia="Times New Roman"/>
                <w:bCs/>
                <w:color w:val="FFFFFF" w:themeColor="background1"/>
                <w:lang w:eastAsia="ru-RU" w:bidi="ru-RU"/>
              </w:rPr>
            </w:pPr>
            <w:r w:rsidRPr="00F94FED">
              <w:rPr>
                <w:rFonts w:eastAsia="Times New Roman"/>
                <w:bCs/>
                <w:color w:val="FFFFFF" w:themeColor="background1"/>
                <w:lang w:eastAsia="ru-RU" w:bidi="ru-RU"/>
              </w:rPr>
              <w:t>Показатель</w:t>
            </w:r>
          </w:p>
        </w:tc>
        <w:tc>
          <w:tcPr>
            <w:tcW w:w="64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F4E53FD" w14:textId="77777777" w:rsidR="009A4C46" w:rsidRPr="00F94FED" w:rsidRDefault="009A4C46" w:rsidP="009A4C46">
            <w:pPr>
              <w:widowControl w:val="0"/>
              <w:spacing w:after="0" w:line="190" w:lineRule="exact"/>
              <w:jc w:val="center"/>
              <w:rPr>
                <w:rFonts w:eastAsia="Times New Roman"/>
                <w:bCs/>
                <w:color w:val="FFFFFF" w:themeColor="background1"/>
                <w:lang w:eastAsia="ru-RU" w:bidi="ru-RU"/>
              </w:rPr>
            </w:pPr>
            <w:r w:rsidRPr="00F94FED">
              <w:rPr>
                <w:rFonts w:eastAsia="Times New Roman"/>
                <w:bCs/>
                <w:color w:val="FFFFFF" w:themeColor="background1"/>
                <w:lang w:eastAsia="ru-RU" w:bidi="ru-RU"/>
              </w:rPr>
              <w:t>Ед. изм.</w:t>
            </w:r>
          </w:p>
        </w:tc>
        <w:tc>
          <w:tcPr>
            <w:tcW w:w="1969"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AF8D04C" w14:textId="77777777" w:rsidR="009A4C46" w:rsidRPr="00F94FED" w:rsidRDefault="009A4C46" w:rsidP="009A4C46">
            <w:pPr>
              <w:widowControl w:val="0"/>
              <w:spacing w:after="0" w:line="190" w:lineRule="exact"/>
              <w:jc w:val="center"/>
              <w:rPr>
                <w:rFonts w:eastAsia="Times New Roman"/>
                <w:bCs/>
                <w:color w:val="FFFFFF" w:themeColor="background1"/>
                <w:lang w:eastAsia="ru-RU" w:bidi="ru-RU"/>
              </w:rPr>
            </w:pPr>
            <w:r w:rsidRPr="00F94FED">
              <w:rPr>
                <w:rFonts w:eastAsia="Times New Roman"/>
                <w:bCs/>
                <w:color w:val="FFFFFF" w:themeColor="background1"/>
                <w:lang w:eastAsia="ru-RU" w:bidi="ru-RU"/>
              </w:rPr>
              <w:t>2017 год</w:t>
            </w:r>
          </w:p>
        </w:tc>
      </w:tr>
      <w:tr w:rsidR="009A4C46" w:rsidRPr="001229D0" w14:paraId="1DE10D23" w14:textId="77777777" w:rsidTr="00F94FED">
        <w:trPr>
          <w:trHeight w:val="686"/>
          <w:tblHeader/>
        </w:trPr>
        <w:tc>
          <w:tcPr>
            <w:tcW w:w="30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6EBC9A4B" w14:textId="77777777" w:rsidR="009A4C46" w:rsidRPr="00F94FED" w:rsidRDefault="009A4C46" w:rsidP="009A4C46">
            <w:pPr>
              <w:widowControl w:val="0"/>
              <w:spacing w:after="0" w:line="240" w:lineRule="auto"/>
              <w:jc w:val="center"/>
              <w:rPr>
                <w:rFonts w:eastAsia="Microsoft Sans Serif"/>
                <w:bCs/>
                <w:color w:val="FFFFFF" w:themeColor="background1"/>
                <w:lang w:eastAsia="ru-RU" w:bidi="ru-RU"/>
              </w:rPr>
            </w:pPr>
          </w:p>
        </w:tc>
        <w:tc>
          <w:tcPr>
            <w:tcW w:w="66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547819A5" w14:textId="77777777" w:rsidR="009A4C46" w:rsidRPr="00F94FED" w:rsidRDefault="009A4C46" w:rsidP="009A4C46">
            <w:pPr>
              <w:widowControl w:val="0"/>
              <w:spacing w:after="0" w:line="240" w:lineRule="auto"/>
              <w:jc w:val="center"/>
              <w:rPr>
                <w:rFonts w:eastAsia="Microsoft Sans Serif"/>
                <w:bCs/>
                <w:color w:val="FFFFFF" w:themeColor="background1"/>
                <w:lang w:eastAsia="ru-RU" w:bidi="ru-RU"/>
              </w:rPr>
            </w:pPr>
          </w:p>
        </w:tc>
        <w:tc>
          <w:tcPr>
            <w:tcW w:w="141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1E7CA616" w14:textId="77777777" w:rsidR="009A4C46" w:rsidRPr="00F94FED" w:rsidRDefault="009A4C46" w:rsidP="009A4C46">
            <w:pPr>
              <w:widowControl w:val="0"/>
              <w:spacing w:after="0" w:line="240" w:lineRule="auto"/>
              <w:jc w:val="center"/>
              <w:rPr>
                <w:rFonts w:eastAsia="Microsoft Sans Serif"/>
                <w:bCs/>
                <w:color w:val="FFFFFF" w:themeColor="background1"/>
                <w:lang w:eastAsia="ru-RU" w:bidi="ru-RU"/>
              </w:rPr>
            </w:pPr>
          </w:p>
        </w:tc>
        <w:tc>
          <w:tcPr>
            <w:tcW w:w="64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2EFC56FC" w14:textId="77777777" w:rsidR="009A4C46" w:rsidRPr="00F94FED" w:rsidRDefault="009A4C46" w:rsidP="009A4C46">
            <w:pPr>
              <w:widowControl w:val="0"/>
              <w:spacing w:after="0" w:line="240" w:lineRule="auto"/>
              <w:jc w:val="center"/>
              <w:rPr>
                <w:rFonts w:eastAsia="Microsoft Sans Serif"/>
                <w:bCs/>
                <w:color w:val="FFFFFF" w:themeColor="background1"/>
                <w:lang w:eastAsia="ru-RU" w:bidi="ru-RU"/>
              </w:rPr>
            </w:pPr>
          </w:p>
        </w:tc>
        <w:tc>
          <w:tcPr>
            <w:tcW w:w="72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1A1D5D8" w14:textId="77777777" w:rsidR="009A4C46" w:rsidRPr="00F94FED" w:rsidRDefault="009A4C46" w:rsidP="009A4C46">
            <w:pPr>
              <w:widowControl w:val="0"/>
              <w:spacing w:after="0" w:line="226" w:lineRule="exact"/>
              <w:jc w:val="center"/>
              <w:rPr>
                <w:rFonts w:eastAsia="Times New Roman"/>
                <w:bCs/>
                <w:color w:val="FFFFFF" w:themeColor="background1"/>
                <w:lang w:eastAsia="ru-RU" w:bidi="ru-RU"/>
              </w:rPr>
            </w:pPr>
            <w:r w:rsidRPr="00F94FED">
              <w:rPr>
                <w:rFonts w:eastAsia="Times New Roman"/>
                <w:bCs/>
                <w:color w:val="FFFFFF" w:themeColor="background1"/>
                <w:lang w:eastAsia="ru-RU" w:bidi="ru-RU"/>
              </w:rPr>
              <w:t>Предложение</w:t>
            </w:r>
          </w:p>
          <w:p w14:paraId="58958035" w14:textId="77777777" w:rsidR="009A4C46" w:rsidRPr="00F94FED" w:rsidRDefault="009A4C46" w:rsidP="009A4C46">
            <w:pPr>
              <w:widowControl w:val="0"/>
              <w:spacing w:after="0" w:line="226" w:lineRule="exact"/>
              <w:jc w:val="center"/>
              <w:rPr>
                <w:rFonts w:eastAsia="Times New Roman"/>
                <w:bCs/>
                <w:color w:val="FFFFFF" w:themeColor="background1"/>
                <w:lang w:eastAsia="ru-RU" w:bidi="ru-RU"/>
              </w:rPr>
            </w:pPr>
            <w:r w:rsidRPr="00F94FED">
              <w:rPr>
                <w:rFonts w:eastAsia="Times New Roman"/>
                <w:bCs/>
                <w:color w:val="FFFFFF" w:themeColor="background1"/>
                <w:lang w:eastAsia="ru-RU" w:bidi="ru-RU"/>
              </w:rPr>
              <w:t>АО</w:t>
            </w:r>
          </w:p>
          <w:p w14:paraId="7A6448B1" w14:textId="77777777" w:rsidR="009A4C46" w:rsidRPr="00F94FED" w:rsidRDefault="009A4C46" w:rsidP="009A4C46">
            <w:pPr>
              <w:widowControl w:val="0"/>
              <w:spacing w:after="0" w:line="226" w:lineRule="exact"/>
              <w:jc w:val="center"/>
              <w:rPr>
                <w:rFonts w:eastAsia="Times New Roman"/>
                <w:bCs/>
                <w:color w:val="FFFFFF" w:themeColor="background1"/>
                <w:lang w:eastAsia="ru-RU" w:bidi="ru-RU"/>
              </w:rPr>
            </w:pPr>
            <w:r w:rsidRPr="00F94FED">
              <w:rPr>
                <w:rFonts w:eastAsia="Times New Roman"/>
                <w:bCs/>
                <w:color w:val="FFFFFF" w:themeColor="background1"/>
                <w:lang w:eastAsia="ru-RU" w:bidi="ru-RU"/>
              </w:rPr>
              <w:t>«Тываэнерго»</w:t>
            </w:r>
          </w:p>
        </w:tc>
        <w:tc>
          <w:tcPr>
            <w:tcW w:w="64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445AD87" w14:textId="77777777" w:rsidR="009A4C46" w:rsidRPr="00F94FED" w:rsidRDefault="009A4C46" w:rsidP="009A4C46">
            <w:pPr>
              <w:widowControl w:val="0"/>
              <w:spacing w:after="0" w:line="190" w:lineRule="exact"/>
              <w:jc w:val="center"/>
              <w:rPr>
                <w:rFonts w:eastAsia="Times New Roman"/>
                <w:bCs/>
                <w:color w:val="FFFFFF" w:themeColor="background1"/>
                <w:lang w:eastAsia="ru-RU" w:bidi="ru-RU"/>
              </w:rPr>
            </w:pPr>
            <w:r w:rsidRPr="00F94FED">
              <w:rPr>
                <w:rFonts w:eastAsia="Times New Roman"/>
                <w:bCs/>
                <w:color w:val="FFFFFF" w:themeColor="background1"/>
                <w:lang w:eastAsia="ru-RU" w:bidi="ru-RU"/>
              </w:rPr>
              <w:t>Утверждено</w:t>
            </w:r>
          </w:p>
          <w:p w14:paraId="301EFE5E" w14:textId="77777777" w:rsidR="009A4C46" w:rsidRPr="00F94FED" w:rsidRDefault="009A4C46" w:rsidP="009A4C46">
            <w:pPr>
              <w:widowControl w:val="0"/>
              <w:spacing w:after="0" w:line="190" w:lineRule="exact"/>
              <w:jc w:val="center"/>
              <w:rPr>
                <w:rFonts w:eastAsia="Times New Roman"/>
                <w:bCs/>
                <w:color w:val="FFFFFF" w:themeColor="background1"/>
                <w:lang w:eastAsia="ru-RU" w:bidi="ru-RU"/>
              </w:rPr>
            </w:pPr>
            <w:r w:rsidRPr="00F94FED">
              <w:rPr>
                <w:rFonts w:eastAsia="Times New Roman"/>
                <w:bCs/>
                <w:color w:val="FFFFFF" w:themeColor="background1"/>
                <w:lang w:eastAsia="ru-RU" w:bidi="ru-RU"/>
              </w:rPr>
              <w:t>Экспертами</w:t>
            </w:r>
          </w:p>
        </w:tc>
        <w:tc>
          <w:tcPr>
            <w:tcW w:w="60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0112C66" w14:textId="77777777" w:rsidR="009A4C46" w:rsidRPr="00F94FED" w:rsidRDefault="009A4C46" w:rsidP="009A4C46">
            <w:pPr>
              <w:widowControl w:val="0"/>
              <w:spacing w:after="0" w:line="190" w:lineRule="exact"/>
              <w:jc w:val="center"/>
              <w:rPr>
                <w:rFonts w:eastAsia="Times New Roman"/>
                <w:bCs/>
                <w:color w:val="FFFFFF" w:themeColor="background1"/>
                <w:lang w:eastAsia="ru-RU" w:bidi="ru-RU"/>
              </w:rPr>
            </w:pPr>
            <w:r w:rsidRPr="00F94FED">
              <w:rPr>
                <w:rFonts w:eastAsia="Times New Roman"/>
                <w:bCs/>
                <w:color w:val="FFFFFF" w:themeColor="background1"/>
                <w:lang w:eastAsia="ru-RU" w:bidi="ru-RU"/>
              </w:rPr>
              <w:t>Отклонение</w:t>
            </w:r>
          </w:p>
        </w:tc>
      </w:tr>
      <w:tr w:rsidR="009A4C46" w:rsidRPr="001229D0" w14:paraId="1F3F93AD" w14:textId="77777777" w:rsidTr="00F94FED">
        <w:trPr>
          <w:trHeight w:val="264"/>
          <w:tblHeader/>
        </w:trPr>
        <w:tc>
          <w:tcPr>
            <w:tcW w:w="30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5DC1C783" w14:textId="77777777" w:rsidR="009A4C46" w:rsidRPr="00F94FED" w:rsidRDefault="009A4C46" w:rsidP="009A4C46">
            <w:pPr>
              <w:widowControl w:val="0"/>
              <w:spacing w:after="0" w:line="180" w:lineRule="exact"/>
              <w:jc w:val="center"/>
              <w:rPr>
                <w:rFonts w:eastAsia="Times New Roman"/>
                <w:bCs/>
                <w:color w:val="FFFFFF" w:themeColor="background1"/>
                <w:lang w:eastAsia="ru-RU" w:bidi="ru-RU"/>
              </w:rPr>
            </w:pPr>
            <w:r w:rsidRPr="00F94FED">
              <w:rPr>
                <w:rFonts w:eastAsia="Times New Roman"/>
                <w:bCs/>
                <w:i/>
                <w:iCs/>
                <w:color w:val="FFFFFF" w:themeColor="background1"/>
                <w:lang w:eastAsia="ru-RU" w:bidi="ru-RU"/>
              </w:rPr>
              <w:t>1</w:t>
            </w:r>
          </w:p>
        </w:tc>
        <w:tc>
          <w:tcPr>
            <w:tcW w:w="6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6E0FD796" w14:textId="77777777" w:rsidR="009A4C46" w:rsidRPr="00F94FED" w:rsidRDefault="009A4C46" w:rsidP="009A4C46">
            <w:pPr>
              <w:widowControl w:val="0"/>
              <w:spacing w:after="0" w:line="180" w:lineRule="exact"/>
              <w:jc w:val="center"/>
              <w:rPr>
                <w:rFonts w:eastAsia="Times New Roman"/>
                <w:bCs/>
                <w:color w:val="FFFFFF" w:themeColor="background1"/>
                <w:lang w:eastAsia="ru-RU" w:bidi="ru-RU"/>
              </w:rPr>
            </w:pPr>
            <w:r w:rsidRPr="00F94FED">
              <w:rPr>
                <w:rFonts w:eastAsia="Times New Roman"/>
                <w:bCs/>
                <w:i/>
                <w:iCs/>
                <w:color w:val="FFFFFF" w:themeColor="background1"/>
                <w:lang w:eastAsia="ru-RU" w:bidi="ru-RU"/>
              </w:rPr>
              <w:t>2</w:t>
            </w:r>
          </w:p>
        </w:tc>
        <w:tc>
          <w:tcPr>
            <w:tcW w:w="141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70CE7E04" w14:textId="77777777" w:rsidR="009A4C46" w:rsidRPr="00F94FED" w:rsidRDefault="009A4C46" w:rsidP="009A4C46">
            <w:pPr>
              <w:widowControl w:val="0"/>
              <w:spacing w:after="0" w:line="190" w:lineRule="exact"/>
              <w:jc w:val="center"/>
              <w:rPr>
                <w:rFonts w:eastAsia="Times New Roman"/>
                <w:bCs/>
                <w:color w:val="FFFFFF" w:themeColor="background1"/>
                <w:lang w:eastAsia="ru-RU" w:bidi="ru-RU"/>
              </w:rPr>
            </w:pPr>
            <w:r w:rsidRPr="00F94FED">
              <w:rPr>
                <w:rFonts w:eastAsia="Times New Roman"/>
                <w:bCs/>
                <w:color w:val="FFFFFF" w:themeColor="background1"/>
                <w:lang w:eastAsia="ru-RU" w:bidi="ru-RU"/>
              </w:rPr>
              <w:t>3</w:t>
            </w:r>
          </w:p>
        </w:tc>
        <w:tc>
          <w:tcPr>
            <w:tcW w:w="64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3CC54847" w14:textId="77777777" w:rsidR="009A4C46" w:rsidRPr="00F94FED" w:rsidRDefault="009A4C46" w:rsidP="009A4C46">
            <w:pPr>
              <w:widowControl w:val="0"/>
              <w:spacing w:after="0" w:line="180" w:lineRule="exact"/>
              <w:jc w:val="center"/>
              <w:rPr>
                <w:rFonts w:eastAsia="Times New Roman"/>
                <w:bCs/>
                <w:color w:val="FFFFFF" w:themeColor="background1"/>
                <w:lang w:eastAsia="ru-RU" w:bidi="ru-RU"/>
              </w:rPr>
            </w:pPr>
            <w:r w:rsidRPr="00F94FED">
              <w:rPr>
                <w:rFonts w:eastAsia="Times New Roman"/>
                <w:bCs/>
                <w:i/>
                <w:iCs/>
                <w:color w:val="FFFFFF" w:themeColor="background1"/>
                <w:lang w:eastAsia="ru-RU" w:bidi="ru-RU"/>
              </w:rPr>
              <w:t>4</w:t>
            </w:r>
          </w:p>
        </w:tc>
        <w:tc>
          <w:tcPr>
            <w:tcW w:w="72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772AA20" w14:textId="77777777" w:rsidR="009A4C46" w:rsidRPr="00F94FED" w:rsidRDefault="009A4C46" w:rsidP="009A4C46">
            <w:pPr>
              <w:widowControl w:val="0"/>
              <w:spacing w:after="0" w:line="180" w:lineRule="exact"/>
              <w:jc w:val="center"/>
              <w:rPr>
                <w:rFonts w:eastAsia="Times New Roman"/>
                <w:bCs/>
                <w:color w:val="FFFFFF" w:themeColor="background1"/>
                <w:lang w:eastAsia="ru-RU" w:bidi="ru-RU"/>
              </w:rPr>
            </w:pPr>
            <w:r w:rsidRPr="00F94FED">
              <w:rPr>
                <w:rFonts w:eastAsia="Times New Roman"/>
                <w:bCs/>
                <w:i/>
                <w:iCs/>
                <w:color w:val="FFFFFF" w:themeColor="background1"/>
                <w:lang w:eastAsia="ru-RU" w:bidi="ru-RU"/>
              </w:rPr>
              <w:t>5</w:t>
            </w:r>
          </w:p>
        </w:tc>
        <w:tc>
          <w:tcPr>
            <w:tcW w:w="64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4F581C5" w14:textId="77777777" w:rsidR="009A4C46" w:rsidRPr="00F94FED" w:rsidRDefault="009A4C46" w:rsidP="009A4C46">
            <w:pPr>
              <w:widowControl w:val="0"/>
              <w:spacing w:after="0" w:line="180" w:lineRule="exact"/>
              <w:jc w:val="center"/>
              <w:rPr>
                <w:rFonts w:eastAsia="Times New Roman"/>
                <w:bCs/>
                <w:color w:val="FFFFFF" w:themeColor="background1"/>
                <w:lang w:eastAsia="ru-RU" w:bidi="ru-RU"/>
              </w:rPr>
            </w:pPr>
            <w:r w:rsidRPr="00F94FED">
              <w:rPr>
                <w:rFonts w:eastAsia="Times New Roman"/>
                <w:bCs/>
                <w:i/>
                <w:iCs/>
                <w:color w:val="FFFFFF" w:themeColor="background1"/>
                <w:lang w:eastAsia="ru-RU" w:bidi="ru-RU"/>
              </w:rPr>
              <w:t>6</w:t>
            </w:r>
          </w:p>
        </w:tc>
        <w:tc>
          <w:tcPr>
            <w:tcW w:w="60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98004A8" w14:textId="77777777" w:rsidR="009A4C46" w:rsidRPr="00F94FED" w:rsidRDefault="009A4C46" w:rsidP="009A4C46">
            <w:pPr>
              <w:widowControl w:val="0"/>
              <w:spacing w:after="0" w:line="180" w:lineRule="exact"/>
              <w:jc w:val="center"/>
              <w:rPr>
                <w:rFonts w:eastAsia="Times New Roman"/>
                <w:bCs/>
                <w:color w:val="FFFFFF" w:themeColor="background1"/>
                <w:lang w:eastAsia="ru-RU" w:bidi="ru-RU"/>
              </w:rPr>
            </w:pPr>
            <w:r w:rsidRPr="00F94FED">
              <w:rPr>
                <w:rFonts w:eastAsia="Times New Roman"/>
                <w:bCs/>
                <w:i/>
                <w:iCs/>
                <w:color w:val="FFFFFF" w:themeColor="background1"/>
                <w:lang w:eastAsia="ru-RU" w:bidi="ru-RU"/>
              </w:rPr>
              <w:t>7=6-5</w:t>
            </w:r>
          </w:p>
        </w:tc>
      </w:tr>
      <w:tr w:rsidR="009A4C46" w:rsidRPr="001229D0" w14:paraId="4B8DBBA4" w14:textId="77777777" w:rsidTr="00F94FED">
        <w:trPr>
          <w:trHeight w:val="1296"/>
        </w:trPr>
        <w:tc>
          <w:tcPr>
            <w:tcW w:w="308" w:type="pct"/>
            <w:tcBorders>
              <w:top w:val="single" w:sz="4" w:space="0" w:color="FFFFFF" w:themeColor="background1"/>
            </w:tcBorders>
            <w:shd w:val="clear" w:color="auto" w:fill="FFFFFF"/>
            <w:vAlign w:val="center"/>
          </w:tcPr>
          <w:p w14:paraId="651103E0" w14:textId="77777777" w:rsidR="009A4C46" w:rsidRPr="001229D0" w:rsidRDefault="009A4C46" w:rsidP="009A4C46">
            <w:pPr>
              <w:widowControl w:val="0"/>
              <w:spacing w:after="0" w:line="190" w:lineRule="exact"/>
              <w:jc w:val="center"/>
              <w:rPr>
                <w:rFonts w:eastAsia="Times New Roman"/>
                <w:color w:val="000000"/>
                <w:lang w:eastAsia="ru-RU" w:bidi="ru-RU"/>
              </w:rPr>
            </w:pPr>
            <w:r w:rsidRPr="001229D0">
              <w:rPr>
                <w:rFonts w:eastAsia="Times New Roman"/>
                <w:bCs/>
                <w:color w:val="000000"/>
                <w:lang w:eastAsia="ru-RU" w:bidi="ru-RU"/>
              </w:rPr>
              <w:t>1</w:t>
            </w:r>
          </w:p>
        </w:tc>
        <w:tc>
          <w:tcPr>
            <w:tcW w:w="660" w:type="pct"/>
            <w:tcBorders>
              <w:top w:val="single" w:sz="4" w:space="0" w:color="FFFFFF" w:themeColor="background1"/>
            </w:tcBorders>
            <w:shd w:val="clear" w:color="auto" w:fill="FFFFFF"/>
            <w:vAlign w:val="center"/>
          </w:tcPr>
          <w:p w14:paraId="58CE92C6" w14:textId="77777777" w:rsidR="009A4C46" w:rsidRPr="001229D0" w:rsidRDefault="009A4C46" w:rsidP="009A4C46">
            <w:pPr>
              <w:widowControl w:val="0"/>
              <w:spacing w:after="0" w:line="190" w:lineRule="exact"/>
              <w:jc w:val="center"/>
              <w:rPr>
                <w:rFonts w:eastAsia="Times New Roman"/>
                <w:color w:val="000000"/>
                <w:vertAlign w:val="subscript"/>
                <w:lang w:val="en-US" w:eastAsia="ru-RU" w:bidi="ru-RU"/>
              </w:rPr>
            </w:pPr>
            <w:r w:rsidRPr="001229D0">
              <w:rPr>
                <w:rFonts w:eastAsia="Times New Roman"/>
                <w:bCs/>
                <w:smallCaps/>
                <w:color w:val="000000"/>
                <w:lang w:eastAsia="ru-RU" w:bidi="ru-RU"/>
              </w:rPr>
              <w:t>ПО</w:t>
            </w:r>
            <w:proofErr w:type="spellStart"/>
            <w:r w:rsidRPr="001229D0">
              <w:rPr>
                <w:rFonts w:eastAsia="Times New Roman"/>
                <w:bCs/>
                <w:smallCaps/>
                <w:color w:val="000000"/>
                <w:vertAlign w:val="subscript"/>
                <w:lang w:val="en-US" w:eastAsia="ru-RU" w:bidi="ru-RU"/>
              </w:rPr>
              <w:t>i</w:t>
            </w:r>
            <w:proofErr w:type="spellEnd"/>
          </w:p>
        </w:tc>
        <w:tc>
          <w:tcPr>
            <w:tcW w:w="1417" w:type="pct"/>
            <w:tcBorders>
              <w:top w:val="single" w:sz="4" w:space="0" w:color="FFFFFF" w:themeColor="background1"/>
            </w:tcBorders>
            <w:shd w:val="clear" w:color="auto" w:fill="FFFFFF"/>
          </w:tcPr>
          <w:p w14:paraId="07E18D13" w14:textId="77777777" w:rsidR="009A4C46" w:rsidRPr="001229D0" w:rsidRDefault="009A4C46" w:rsidP="009A4C46">
            <w:pPr>
              <w:widowControl w:val="0"/>
              <w:spacing w:after="0" w:line="221" w:lineRule="exact"/>
              <w:rPr>
                <w:rFonts w:eastAsia="Times New Roman"/>
                <w:color w:val="000000"/>
                <w:lang w:eastAsia="ru-RU" w:bidi="ru-RU"/>
              </w:rPr>
            </w:pPr>
            <w:r w:rsidRPr="001229D0">
              <w:rPr>
                <w:rFonts w:eastAsia="Times New Roman"/>
                <w:bCs/>
                <w:color w:val="000000"/>
                <w:lang w:eastAsia="ru-RU" w:bidi="ru-RU"/>
              </w:rPr>
              <w:t>ПО - корректировка необходимой валовой выручки с учетом изменения полезного отпуска и цен на электрическую энергию</w:t>
            </w:r>
          </w:p>
        </w:tc>
        <w:tc>
          <w:tcPr>
            <w:tcW w:w="646" w:type="pct"/>
            <w:tcBorders>
              <w:top w:val="single" w:sz="4" w:space="0" w:color="FFFFFF" w:themeColor="background1"/>
            </w:tcBorders>
            <w:shd w:val="clear" w:color="auto" w:fill="FFFFFF"/>
            <w:vAlign w:val="center"/>
          </w:tcPr>
          <w:p w14:paraId="72EDCEE4" w14:textId="77777777" w:rsidR="009A4C46" w:rsidRPr="001229D0" w:rsidRDefault="009A4C46" w:rsidP="009A4C46">
            <w:pPr>
              <w:widowControl w:val="0"/>
              <w:spacing w:after="0" w:line="190" w:lineRule="exact"/>
              <w:jc w:val="center"/>
              <w:rPr>
                <w:rFonts w:eastAsia="Times New Roman"/>
                <w:color w:val="000000"/>
                <w:lang w:eastAsia="ru-RU" w:bidi="ru-RU"/>
              </w:rPr>
            </w:pPr>
            <w:r w:rsidRPr="001229D0">
              <w:rPr>
                <w:rFonts w:eastAsia="Times New Roman"/>
                <w:bCs/>
                <w:color w:val="000000"/>
                <w:lang w:eastAsia="ru-RU" w:bidi="ru-RU"/>
              </w:rPr>
              <w:t>тыс. руб.</w:t>
            </w:r>
          </w:p>
        </w:tc>
        <w:tc>
          <w:tcPr>
            <w:tcW w:w="722" w:type="pct"/>
            <w:tcBorders>
              <w:top w:val="single" w:sz="4" w:space="0" w:color="FFFFFF" w:themeColor="background1"/>
            </w:tcBorders>
            <w:shd w:val="clear" w:color="auto" w:fill="FFFFFF"/>
            <w:vAlign w:val="center"/>
          </w:tcPr>
          <w:p w14:paraId="2826FB7D" w14:textId="77777777" w:rsidR="009A4C46" w:rsidRPr="001229D0" w:rsidRDefault="009A4C46" w:rsidP="009A4C46">
            <w:pPr>
              <w:widowControl w:val="0"/>
              <w:spacing w:after="0" w:line="190" w:lineRule="exact"/>
              <w:jc w:val="center"/>
              <w:rPr>
                <w:rFonts w:eastAsia="Times New Roman"/>
                <w:color w:val="000000"/>
                <w:lang w:eastAsia="ru-RU" w:bidi="ru-RU"/>
              </w:rPr>
            </w:pPr>
            <w:r w:rsidRPr="001229D0">
              <w:rPr>
                <w:rFonts w:eastAsia="Times New Roman"/>
                <w:bCs/>
                <w:color w:val="000000"/>
                <w:lang w:eastAsia="ru-RU" w:bidi="ru-RU"/>
              </w:rPr>
              <w:t>27 395</w:t>
            </w:r>
          </w:p>
        </w:tc>
        <w:tc>
          <w:tcPr>
            <w:tcW w:w="645" w:type="pct"/>
            <w:tcBorders>
              <w:top w:val="single" w:sz="4" w:space="0" w:color="FFFFFF" w:themeColor="background1"/>
            </w:tcBorders>
            <w:shd w:val="clear" w:color="auto" w:fill="FFFFFF"/>
            <w:vAlign w:val="center"/>
          </w:tcPr>
          <w:p w14:paraId="7A8AAB38" w14:textId="77777777" w:rsidR="009A4C46" w:rsidRPr="001229D0" w:rsidRDefault="009A4C46" w:rsidP="009A4C46">
            <w:pPr>
              <w:widowControl w:val="0"/>
              <w:spacing w:after="0" w:line="190" w:lineRule="exact"/>
              <w:jc w:val="center"/>
              <w:rPr>
                <w:rFonts w:eastAsia="Times New Roman"/>
                <w:color w:val="000000"/>
                <w:lang w:eastAsia="ru-RU" w:bidi="ru-RU"/>
              </w:rPr>
            </w:pPr>
            <w:r w:rsidRPr="001229D0">
              <w:rPr>
                <w:rFonts w:eastAsia="Times New Roman"/>
                <w:bCs/>
                <w:color w:val="000000"/>
                <w:lang w:eastAsia="ru-RU" w:bidi="ru-RU"/>
              </w:rPr>
              <w:t>27 395</w:t>
            </w:r>
          </w:p>
        </w:tc>
        <w:tc>
          <w:tcPr>
            <w:tcW w:w="602" w:type="pct"/>
            <w:tcBorders>
              <w:top w:val="single" w:sz="4" w:space="0" w:color="FFFFFF" w:themeColor="background1"/>
            </w:tcBorders>
            <w:shd w:val="clear" w:color="auto" w:fill="FFFFFF"/>
            <w:vAlign w:val="center"/>
          </w:tcPr>
          <w:p w14:paraId="34D7881E" w14:textId="77777777" w:rsidR="009A4C46" w:rsidRPr="001229D0" w:rsidRDefault="009A4C46" w:rsidP="009A4C46">
            <w:pPr>
              <w:widowControl w:val="0"/>
              <w:spacing w:after="0" w:line="190" w:lineRule="exact"/>
              <w:jc w:val="center"/>
              <w:rPr>
                <w:rFonts w:eastAsia="Times New Roman"/>
                <w:color w:val="000000"/>
                <w:lang w:eastAsia="ru-RU" w:bidi="ru-RU"/>
              </w:rPr>
            </w:pPr>
            <w:r w:rsidRPr="001229D0">
              <w:rPr>
                <w:rFonts w:eastAsia="Times New Roman"/>
                <w:bCs/>
                <w:color w:val="000000"/>
                <w:lang w:eastAsia="ru-RU" w:bidi="ru-RU"/>
              </w:rPr>
              <w:t>0</w:t>
            </w:r>
          </w:p>
        </w:tc>
      </w:tr>
      <w:tr w:rsidR="009A4C46" w:rsidRPr="001229D0" w14:paraId="6D5C9748" w14:textId="77777777" w:rsidTr="0063188C">
        <w:trPr>
          <w:trHeight w:val="1136"/>
        </w:trPr>
        <w:tc>
          <w:tcPr>
            <w:tcW w:w="308" w:type="pct"/>
            <w:shd w:val="clear" w:color="auto" w:fill="FFFFFF"/>
            <w:vAlign w:val="center"/>
          </w:tcPr>
          <w:p w14:paraId="17646D21" w14:textId="77777777" w:rsidR="009A4C46" w:rsidRPr="001229D0" w:rsidRDefault="009A4C46" w:rsidP="009A4C46">
            <w:pPr>
              <w:widowControl w:val="0"/>
              <w:spacing w:after="0" w:line="190" w:lineRule="exact"/>
              <w:jc w:val="center"/>
              <w:rPr>
                <w:rFonts w:eastAsia="Times New Roman"/>
                <w:color w:val="000000"/>
                <w:lang w:eastAsia="ru-RU" w:bidi="ru-RU"/>
              </w:rPr>
            </w:pPr>
            <w:r w:rsidRPr="001229D0">
              <w:rPr>
                <w:rFonts w:eastAsia="Times New Roman"/>
                <w:bCs/>
                <w:color w:val="000000"/>
                <w:lang w:eastAsia="ru-RU" w:bidi="ru-RU"/>
              </w:rPr>
              <w:t>2</w:t>
            </w:r>
          </w:p>
        </w:tc>
        <w:tc>
          <w:tcPr>
            <w:tcW w:w="660" w:type="pct"/>
            <w:shd w:val="clear" w:color="auto" w:fill="FFFFFF"/>
            <w:vAlign w:val="center"/>
          </w:tcPr>
          <w:p w14:paraId="02BB49B5" w14:textId="77777777" w:rsidR="009A4C46" w:rsidRPr="003E2802" w:rsidRDefault="009A4C46" w:rsidP="009A4C46">
            <w:pPr>
              <w:widowControl w:val="0"/>
              <w:spacing w:after="0" w:line="190" w:lineRule="exact"/>
              <w:jc w:val="center"/>
              <w:rPr>
                <w:rFonts w:eastAsia="Times New Roman"/>
                <w:color w:val="000000"/>
                <w:lang w:eastAsia="ru-RU" w:bidi="ru-RU"/>
              </w:rPr>
            </w:pPr>
            <w:r w:rsidRPr="00F94FED">
              <w:rPr>
                <w:rFonts w:eastAsia="Times New Roman"/>
                <w:noProof/>
                <w:lang w:eastAsia="ru-RU"/>
              </w:rPr>
              <w:drawing>
                <wp:inline distT="0" distB="0" distL="0" distR="0" wp14:anchorId="4FC2681E" wp14:editId="702130C5">
                  <wp:extent cx="341630" cy="241300"/>
                  <wp:effectExtent l="0" t="0" r="0" b="0"/>
                  <wp:docPr id="5" name="Рисунок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10"/>
                          <pic:cNvPicPr>
                            <a:picLocks noChangeAspect="1" noChangeArrowheads="1"/>
                          </pic:cNvPicPr>
                        </pic:nvPicPr>
                        <pic:blipFill>
                          <a:blip r:embed="rId34" cstate="print"/>
                          <a:srcRect/>
                          <a:stretch>
                            <a:fillRect/>
                          </a:stretch>
                        </pic:blipFill>
                        <pic:spPr bwMode="auto">
                          <a:xfrm>
                            <a:off x="0" y="0"/>
                            <a:ext cx="341630" cy="241300"/>
                          </a:xfrm>
                          <a:prstGeom prst="rect">
                            <a:avLst/>
                          </a:prstGeom>
                          <a:noFill/>
                          <a:ln w="9525">
                            <a:noFill/>
                            <a:miter lim="800000"/>
                            <a:headEnd/>
                            <a:tailEnd/>
                          </a:ln>
                        </pic:spPr>
                      </pic:pic>
                    </a:graphicData>
                  </a:graphic>
                </wp:inline>
              </w:drawing>
            </w:r>
          </w:p>
        </w:tc>
        <w:tc>
          <w:tcPr>
            <w:tcW w:w="1417" w:type="pct"/>
            <w:shd w:val="clear" w:color="auto" w:fill="FFFFFF"/>
          </w:tcPr>
          <w:p w14:paraId="66075980" w14:textId="77777777" w:rsidR="009A4C46" w:rsidRPr="001229D0" w:rsidRDefault="009A4C46" w:rsidP="009A4C46">
            <w:pPr>
              <w:widowControl w:val="0"/>
              <w:spacing w:after="0" w:line="221" w:lineRule="exact"/>
              <w:rPr>
                <w:rFonts w:eastAsia="Times New Roman"/>
                <w:color w:val="000000"/>
                <w:lang w:eastAsia="ru-RU" w:bidi="ru-RU"/>
              </w:rPr>
            </w:pPr>
            <w:r w:rsidRPr="001229D0">
              <w:rPr>
                <w:rFonts w:eastAsia="Times New Roman"/>
                <w:bCs/>
                <w:color w:val="000000"/>
                <w:lang w:eastAsia="ru-RU" w:bidi="ru-RU"/>
              </w:rPr>
              <w:t>Прогнозный объем отпуска электрической энергии в сеть территориальной сетевой организации, определенный на 2017 год</w:t>
            </w:r>
          </w:p>
        </w:tc>
        <w:tc>
          <w:tcPr>
            <w:tcW w:w="646" w:type="pct"/>
            <w:shd w:val="clear" w:color="auto" w:fill="FFFFFF"/>
            <w:vAlign w:val="center"/>
          </w:tcPr>
          <w:p w14:paraId="43017EE9" w14:textId="77777777" w:rsidR="009A4C46" w:rsidRPr="001229D0" w:rsidRDefault="009A4C46" w:rsidP="009A4C46">
            <w:pPr>
              <w:widowControl w:val="0"/>
              <w:spacing w:after="0" w:line="190" w:lineRule="exact"/>
              <w:jc w:val="center"/>
              <w:rPr>
                <w:rFonts w:eastAsia="Times New Roman"/>
                <w:color w:val="000000"/>
                <w:lang w:eastAsia="ru-RU" w:bidi="ru-RU"/>
              </w:rPr>
            </w:pPr>
            <w:r w:rsidRPr="001229D0">
              <w:rPr>
                <w:rFonts w:eastAsia="Times New Roman"/>
                <w:bCs/>
                <w:color w:val="000000"/>
                <w:lang w:eastAsia="ru-RU" w:bidi="ru-RU"/>
              </w:rPr>
              <w:t xml:space="preserve">млн. </w:t>
            </w:r>
            <w:proofErr w:type="spellStart"/>
            <w:r w:rsidRPr="001229D0">
              <w:rPr>
                <w:rFonts w:eastAsia="Times New Roman"/>
                <w:bCs/>
                <w:color w:val="000000"/>
                <w:lang w:eastAsia="ru-RU" w:bidi="ru-RU"/>
              </w:rPr>
              <w:t>кВтч</w:t>
            </w:r>
            <w:proofErr w:type="spellEnd"/>
          </w:p>
        </w:tc>
        <w:tc>
          <w:tcPr>
            <w:tcW w:w="722" w:type="pct"/>
            <w:shd w:val="clear" w:color="auto" w:fill="FFFFFF"/>
            <w:vAlign w:val="center"/>
          </w:tcPr>
          <w:p w14:paraId="2B6E8158" w14:textId="77777777" w:rsidR="009A4C46" w:rsidRPr="001229D0" w:rsidRDefault="009A4C46" w:rsidP="009A4C46">
            <w:pPr>
              <w:widowControl w:val="0"/>
              <w:spacing w:after="0" w:line="190" w:lineRule="exact"/>
              <w:jc w:val="center"/>
              <w:rPr>
                <w:rFonts w:eastAsia="Times New Roman"/>
                <w:color w:val="000000"/>
                <w:lang w:eastAsia="ru-RU" w:bidi="ru-RU"/>
              </w:rPr>
            </w:pPr>
            <w:r w:rsidRPr="001229D0">
              <w:rPr>
                <w:rFonts w:eastAsia="Times New Roman"/>
                <w:bCs/>
                <w:color w:val="000000"/>
                <w:lang w:eastAsia="ru-RU" w:bidi="ru-RU"/>
              </w:rPr>
              <w:t>614,19</w:t>
            </w:r>
          </w:p>
        </w:tc>
        <w:tc>
          <w:tcPr>
            <w:tcW w:w="645" w:type="pct"/>
            <w:shd w:val="clear" w:color="auto" w:fill="FFFFFF"/>
            <w:vAlign w:val="center"/>
          </w:tcPr>
          <w:p w14:paraId="4964D87F" w14:textId="77777777" w:rsidR="009A4C46" w:rsidRPr="001229D0" w:rsidRDefault="009A4C46" w:rsidP="009A4C46">
            <w:pPr>
              <w:widowControl w:val="0"/>
              <w:spacing w:after="0" w:line="190" w:lineRule="exact"/>
              <w:jc w:val="center"/>
              <w:rPr>
                <w:rFonts w:eastAsia="Times New Roman"/>
                <w:color w:val="000000"/>
                <w:lang w:eastAsia="ru-RU" w:bidi="ru-RU"/>
              </w:rPr>
            </w:pPr>
            <w:r w:rsidRPr="001229D0">
              <w:rPr>
                <w:rFonts w:eastAsia="Times New Roman"/>
                <w:bCs/>
                <w:color w:val="000000"/>
                <w:lang w:eastAsia="ru-RU" w:bidi="ru-RU"/>
              </w:rPr>
              <w:t>614,19</w:t>
            </w:r>
          </w:p>
        </w:tc>
        <w:tc>
          <w:tcPr>
            <w:tcW w:w="602" w:type="pct"/>
            <w:shd w:val="clear" w:color="auto" w:fill="FFFFFF"/>
            <w:vAlign w:val="center"/>
          </w:tcPr>
          <w:p w14:paraId="3CD25D93" w14:textId="77777777" w:rsidR="009A4C46" w:rsidRPr="001229D0" w:rsidRDefault="009A4C46" w:rsidP="009A4C46">
            <w:pPr>
              <w:widowControl w:val="0"/>
              <w:spacing w:after="0" w:line="190" w:lineRule="exact"/>
              <w:jc w:val="center"/>
              <w:rPr>
                <w:rFonts w:eastAsia="Times New Roman"/>
                <w:color w:val="000000"/>
                <w:lang w:eastAsia="ru-RU" w:bidi="ru-RU"/>
              </w:rPr>
            </w:pPr>
            <w:r w:rsidRPr="001229D0">
              <w:rPr>
                <w:rFonts w:eastAsia="Times New Roman"/>
                <w:bCs/>
                <w:color w:val="000000"/>
                <w:lang w:eastAsia="ru-RU" w:bidi="ru-RU"/>
              </w:rPr>
              <w:t>0,00</w:t>
            </w:r>
          </w:p>
        </w:tc>
      </w:tr>
      <w:tr w:rsidR="009A4C46" w:rsidRPr="001229D0" w14:paraId="7DC9CAB8" w14:textId="77777777" w:rsidTr="0063188C">
        <w:trPr>
          <w:trHeight w:val="1125"/>
        </w:trPr>
        <w:tc>
          <w:tcPr>
            <w:tcW w:w="308" w:type="pct"/>
            <w:shd w:val="clear" w:color="auto" w:fill="FFFFFF"/>
            <w:vAlign w:val="center"/>
          </w:tcPr>
          <w:p w14:paraId="14249EEB" w14:textId="77777777" w:rsidR="009A4C46" w:rsidRPr="001229D0" w:rsidRDefault="009A4C46" w:rsidP="009A4C46">
            <w:pPr>
              <w:widowControl w:val="0"/>
              <w:spacing w:after="0" w:line="190" w:lineRule="exact"/>
              <w:jc w:val="center"/>
              <w:rPr>
                <w:rFonts w:eastAsia="Times New Roman"/>
                <w:color w:val="000000"/>
                <w:lang w:eastAsia="ru-RU" w:bidi="ru-RU"/>
              </w:rPr>
            </w:pPr>
            <w:r w:rsidRPr="001229D0">
              <w:rPr>
                <w:rFonts w:eastAsia="Times New Roman"/>
                <w:bCs/>
                <w:color w:val="000000"/>
                <w:lang w:eastAsia="ru-RU" w:bidi="ru-RU"/>
              </w:rPr>
              <w:t>3</w:t>
            </w:r>
          </w:p>
        </w:tc>
        <w:tc>
          <w:tcPr>
            <w:tcW w:w="660" w:type="pct"/>
            <w:shd w:val="clear" w:color="auto" w:fill="FFFFFF"/>
            <w:vAlign w:val="center"/>
          </w:tcPr>
          <w:p w14:paraId="5BF1574A" w14:textId="77777777" w:rsidR="009A4C46" w:rsidRPr="003E2802" w:rsidRDefault="009A4C46" w:rsidP="009A4C46">
            <w:pPr>
              <w:widowControl w:val="0"/>
              <w:spacing w:after="0" w:line="216" w:lineRule="exact"/>
              <w:jc w:val="center"/>
              <w:rPr>
                <w:rFonts w:eastAsia="Times New Roman"/>
                <w:color w:val="000000"/>
                <w:lang w:eastAsia="ru-RU" w:bidi="ru-RU"/>
              </w:rPr>
            </w:pPr>
            <w:r w:rsidRPr="00F94FED">
              <w:rPr>
                <w:rFonts w:eastAsia="Times New Roman"/>
                <w:noProof/>
                <w:lang w:eastAsia="ru-RU"/>
              </w:rPr>
              <w:drawing>
                <wp:inline distT="0" distB="0" distL="0" distR="0" wp14:anchorId="4458E8A8" wp14:editId="21E24EDF">
                  <wp:extent cx="431800" cy="241300"/>
                  <wp:effectExtent l="0" t="0" r="6350" b="0"/>
                  <wp:docPr id="6" name="Рисунок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11"/>
                          <pic:cNvPicPr>
                            <a:picLocks noChangeAspect="1" noChangeArrowheads="1"/>
                          </pic:cNvPicPr>
                        </pic:nvPicPr>
                        <pic:blipFill>
                          <a:blip r:embed="rId35" cstate="print"/>
                          <a:srcRect/>
                          <a:stretch>
                            <a:fillRect/>
                          </a:stretch>
                        </pic:blipFill>
                        <pic:spPr bwMode="auto">
                          <a:xfrm>
                            <a:off x="0" y="0"/>
                            <a:ext cx="431800" cy="241300"/>
                          </a:xfrm>
                          <a:prstGeom prst="rect">
                            <a:avLst/>
                          </a:prstGeom>
                          <a:noFill/>
                          <a:ln w="9525">
                            <a:noFill/>
                            <a:miter lim="800000"/>
                            <a:headEnd/>
                            <a:tailEnd/>
                          </a:ln>
                        </pic:spPr>
                      </pic:pic>
                    </a:graphicData>
                  </a:graphic>
                </wp:inline>
              </w:drawing>
            </w:r>
          </w:p>
        </w:tc>
        <w:tc>
          <w:tcPr>
            <w:tcW w:w="1417" w:type="pct"/>
            <w:shd w:val="clear" w:color="auto" w:fill="FFFFFF"/>
          </w:tcPr>
          <w:p w14:paraId="54AE9B62" w14:textId="77777777" w:rsidR="009A4C46" w:rsidRPr="001229D0" w:rsidRDefault="009A4C46" w:rsidP="009A4C46">
            <w:pPr>
              <w:widowControl w:val="0"/>
              <w:spacing w:after="0" w:line="221" w:lineRule="exact"/>
              <w:rPr>
                <w:rFonts w:eastAsia="Times New Roman"/>
                <w:color w:val="000000"/>
                <w:lang w:eastAsia="ru-RU" w:bidi="ru-RU"/>
              </w:rPr>
            </w:pPr>
            <w:r w:rsidRPr="001229D0">
              <w:rPr>
                <w:rFonts w:eastAsia="Times New Roman"/>
                <w:bCs/>
                <w:color w:val="000000"/>
                <w:lang w:eastAsia="ru-RU" w:bidi="ru-RU"/>
              </w:rPr>
              <w:t>Фактический объем отпуска электрической энергии в сеть территориальной сетевой организации, определенный в 2017 году</w:t>
            </w:r>
          </w:p>
        </w:tc>
        <w:tc>
          <w:tcPr>
            <w:tcW w:w="646" w:type="pct"/>
            <w:shd w:val="clear" w:color="auto" w:fill="FFFFFF"/>
            <w:vAlign w:val="center"/>
          </w:tcPr>
          <w:p w14:paraId="498BCED9" w14:textId="77777777" w:rsidR="009A4C46" w:rsidRPr="001229D0" w:rsidRDefault="009A4C46" w:rsidP="009A4C46">
            <w:pPr>
              <w:widowControl w:val="0"/>
              <w:spacing w:after="0" w:line="190" w:lineRule="exact"/>
              <w:jc w:val="center"/>
              <w:rPr>
                <w:rFonts w:eastAsia="Times New Roman"/>
                <w:color w:val="000000"/>
                <w:lang w:eastAsia="ru-RU" w:bidi="ru-RU"/>
              </w:rPr>
            </w:pPr>
            <w:r w:rsidRPr="001229D0">
              <w:rPr>
                <w:rFonts w:eastAsia="Times New Roman"/>
                <w:bCs/>
                <w:color w:val="000000"/>
                <w:lang w:eastAsia="ru-RU" w:bidi="ru-RU"/>
              </w:rPr>
              <w:t xml:space="preserve">млн. </w:t>
            </w:r>
            <w:proofErr w:type="spellStart"/>
            <w:r w:rsidRPr="001229D0">
              <w:rPr>
                <w:rFonts w:eastAsia="Times New Roman"/>
                <w:bCs/>
                <w:color w:val="000000"/>
                <w:lang w:eastAsia="ru-RU" w:bidi="ru-RU"/>
              </w:rPr>
              <w:t>кВтч</w:t>
            </w:r>
            <w:proofErr w:type="spellEnd"/>
          </w:p>
        </w:tc>
        <w:tc>
          <w:tcPr>
            <w:tcW w:w="722" w:type="pct"/>
            <w:shd w:val="clear" w:color="auto" w:fill="FFFFFF"/>
            <w:vAlign w:val="center"/>
          </w:tcPr>
          <w:p w14:paraId="138B4948" w14:textId="77777777" w:rsidR="009A4C46" w:rsidRPr="001229D0" w:rsidRDefault="009A4C46" w:rsidP="009A4C46">
            <w:pPr>
              <w:widowControl w:val="0"/>
              <w:spacing w:after="0" w:line="190" w:lineRule="exact"/>
              <w:jc w:val="center"/>
              <w:rPr>
                <w:rFonts w:eastAsia="Times New Roman"/>
                <w:color w:val="000000"/>
                <w:lang w:eastAsia="ru-RU" w:bidi="ru-RU"/>
              </w:rPr>
            </w:pPr>
            <w:r w:rsidRPr="001229D0">
              <w:rPr>
                <w:rFonts w:eastAsia="Times New Roman"/>
                <w:bCs/>
                <w:color w:val="000000"/>
                <w:lang w:eastAsia="ru-RU" w:bidi="ru-RU"/>
              </w:rPr>
              <w:t>710,85</w:t>
            </w:r>
          </w:p>
        </w:tc>
        <w:tc>
          <w:tcPr>
            <w:tcW w:w="645" w:type="pct"/>
            <w:shd w:val="clear" w:color="auto" w:fill="FFFFFF"/>
            <w:vAlign w:val="center"/>
          </w:tcPr>
          <w:p w14:paraId="6186F897" w14:textId="77777777" w:rsidR="009A4C46" w:rsidRPr="001229D0" w:rsidRDefault="009A4C46" w:rsidP="009A4C46">
            <w:pPr>
              <w:widowControl w:val="0"/>
              <w:spacing w:after="0" w:line="190" w:lineRule="exact"/>
              <w:jc w:val="center"/>
              <w:rPr>
                <w:rFonts w:eastAsia="Times New Roman"/>
                <w:color w:val="000000"/>
                <w:lang w:eastAsia="ru-RU" w:bidi="ru-RU"/>
              </w:rPr>
            </w:pPr>
            <w:r w:rsidRPr="001229D0">
              <w:rPr>
                <w:rFonts w:eastAsia="Times New Roman"/>
                <w:bCs/>
                <w:color w:val="000000"/>
                <w:lang w:eastAsia="ru-RU" w:bidi="ru-RU"/>
              </w:rPr>
              <w:t>710,85</w:t>
            </w:r>
          </w:p>
        </w:tc>
        <w:tc>
          <w:tcPr>
            <w:tcW w:w="602" w:type="pct"/>
            <w:shd w:val="clear" w:color="auto" w:fill="FFFFFF"/>
            <w:vAlign w:val="center"/>
          </w:tcPr>
          <w:p w14:paraId="11FBA3DB" w14:textId="77777777" w:rsidR="009A4C46" w:rsidRPr="001229D0" w:rsidRDefault="009A4C46" w:rsidP="009A4C46">
            <w:pPr>
              <w:widowControl w:val="0"/>
              <w:spacing w:after="0" w:line="190" w:lineRule="exact"/>
              <w:jc w:val="center"/>
              <w:rPr>
                <w:rFonts w:eastAsia="Times New Roman"/>
                <w:color w:val="000000"/>
                <w:lang w:eastAsia="ru-RU" w:bidi="ru-RU"/>
              </w:rPr>
            </w:pPr>
            <w:r w:rsidRPr="001229D0">
              <w:rPr>
                <w:rFonts w:eastAsia="Times New Roman"/>
                <w:bCs/>
                <w:color w:val="000000"/>
                <w:lang w:eastAsia="ru-RU" w:bidi="ru-RU"/>
              </w:rPr>
              <w:t>0,00</w:t>
            </w:r>
          </w:p>
        </w:tc>
      </w:tr>
      <w:tr w:rsidR="009A4C46" w:rsidRPr="001229D0" w14:paraId="613DD482" w14:textId="77777777" w:rsidTr="0063188C">
        <w:trPr>
          <w:trHeight w:val="687"/>
        </w:trPr>
        <w:tc>
          <w:tcPr>
            <w:tcW w:w="308" w:type="pct"/>
            <w:shd w:val="clear" w:color="auto" w:fill="FFFFFF"/>
            <w:vAlign w:val="center"/>
          </w:tcPr>
          <w:p w14:paraId="4172DD98" w14:textId="77777777" w:rsidR="009A4C46" w:rsidRPr="001229D0" w:rsidRDefault="009A4C46" w:rsidP="009A4C46">
            <w:pPr>
              <w:widowControl w:val="0"/>
              <w:spacing w:after="0" w:line="190" w:lineRule="exact"/>
              <w:jc w:val="center"/>
              <w:rPr>
                <w:rFonts w:eastAsia="Times New Roman"/>
                <w:color w:val="000000"/>
                <w:lang w:eastAsia="ru-RU" w:bidi="ru-RU"/>
              </w:rPr>
            </w:pPr>
            <w:r w:rsidRPr="001229D0">
              <w:rPr>
                <w:rFonts w:eastAsia="Times New Roman"/>
                <w:bCs/>
                <w:color w:val="000000"/>
                <w:lang w:eastAsia="ru-RU" w:bidi="ru-RU"/>
              </w:rPr>
              <w:t>4</w:t>
            </w:r>
          </w:p>
        </w:tc>
        <w:tc>
          <w:tcPr>
            <w:tcW w:w="660" w:type="pct"/>
            <w:shd w:val="clear" w:color="auto" w:fill="FFFFFF"/>
            <w:vAlign w:val="center"/>
          </w:tcPr>
          <w:p w14:paraId="6EABE7A8" w14:textId="77777777" w:rsidR="009A4C46" w:rsidRPr="003E2802" w:rsidRDefault="009A4C46" w:rsidP="009A4C46">
            <w:pPr>
              <w:widowControl w:val="0"/>
              <w:spacing w:after="0" w:line="190" w:lineRule="exact"/>
              <w:jc w:val="center"/>
              <w:rPr>
                <w:rFonts w:eastAsia="Times New Roman"/>
                <w:color w:val="000000"/>
                <w:lang w:eastAsia="ru-RU" w:bidi="ru-RU"/>
              </w:rPr>
            </w:pPr>
            <w:r w:rsidRPr="00F94FED">
              <w:rPr>
                <w:rFonts w:eastAsia="Times New Roman"/>
                <w:noProof/>
                <w:lang w:eastAsia="ru-RU"/>
              </w:rPr>
              <w:drawing>
                <wp:inline distT="0" distB="0" distL="0" distR="0" wp14:anchorId="01F892B0" wp14:editId="38201CF7">
                  <wp:extent cx="257175" cy="228600"/>
                  <wp:effectExtent l="0" t="0" r="9525" b="0"/>
                  <wp:docPr id="7" name="Рисунок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pic:cNvPicPr>
                            <a:picLocks noChangeAspect="1" noChangeArrowheads="1"/>
                          </pic:cNvPicPr>
                        </pic:nvPicPr>
                        <pic:blipFill>
                          <a:blip r:embed="rId36" cstate="print"/>
                          <a:srcRect/>
                          <a:stretch>
                            <a:fillRect/>
                          </a:stretch>
                        </pic:blipFill>
                        <pic:spPr bwMode="auto">
                          <a:xfrm>
                            <a:off x="0" y="0"/>
                            <a:ext cx="257175" cy="228600"/>
                          </a:xfrm>
                          <a:prstGeom prst="rect">
                            <a:avLst/>
                          </a:prstGeom>
                          <a:noFill/>
                          <a:ln w="9525">
                            <a:noFill/>
                            <a:miter lim="800000"/>
                            <a:headEnd/>
                            <a:tailEnd/>
                          </a:ln>
                        </pic:spPr>
                      </pic:pic>
                    </a:graphicData>
                  </a:graphic>
                </wp:inline>
              </w:drawing>
            </w:r>
          </w:p>
        </w:tc>
        <w:tc>
          <w:tcPr>
            <w:tcW w:w="1417" w:type="pct"/>
            <w:shd w:val="clear" w:color="auto" w:fill="FFFFFF"/>
          </w:tcPr>
          <w:p w14:paraId="53E31742" w14:textId="77777777" w:rsidR="009A4C46" w:rsidRPr="001229D0" w:rsidRDefault="009A4C46" w:rsidP="009A4C46">
            <w:pPr>
              <w:widowControl w:val="0"/>
              <w:spacing w:after="0" w:line="226" w:lineRule="exact"/>
              <w:rPr>
                <w:rFonts w:eastAsia="Times New Roman"/>
                <w:color w:val="000000"/>
                <w:lang w:eastAsia="ru-RU" w:bidi="ru-RU"/>
              </w:rPr>
            </w:pPr>
            <w:r w:rsidRPr="001229D0">
              <w:rPr>
                <w:rFonts w:eastAsia="Times New Roman"/>
                <w:bCs/>
                <w:color w:val="000000"/>
                <w:lang w:eastAsia="ru-RU" w:bidi="ru-RU"/>
              </w:rPr>
              <w:t>Величина технологического расхода (потерь) электрической энергии</w:t>
            </w:r>
          </w:p>
        </w:tc>
        <w:tc>
          <w:tcPr>
            <w:tcW w:w="646" w:type="pct"/>
            <w:shd w:val="clear" w:color="auto" w:fill="FFFFFF"/>
            <w:vAlign w:val="center"/>
          </w:tcPr>
          <w:p w14:paraId="4A00294D" w14:textId="77777777" w:rsidR="009A4C46" w:rsidRPr="001229D0" w:rsidRDefault="009A4C46" w:rsidP="009A4C46">
            <w:pPr>
              <w:widowControl w:val="0"/>
              <w:spacing w:after="0" w:line="190" w:lineRule="exact"/>
              <w:jc w:val="center"/>
              <w:rPr>
                <w:rFonts w:eastAsia="Times New Roman"/>
                <w:color w:val="000000"/>
                <w:lang w:eastAsia="ru-RU" w:bidi="ru-RU"/>
              </w:rPr>
            </w:pPr>
            <w:r w:rsidRPr="001229D0">
              <w:rPr>
                <w:rFonts w:eastAsia="Times New Roman"/>
                <w:bCs/>
                <w:color w:val="000000"/>
                <w:lang w:eastAsia="ru-RU" w:bidi="ru-RU"/>
              </w:rPr>
              <w:t>%</w:t>
            </w:r>
          </w:p>
        </w:tc>
        <w:tc>
          <w:tcPr>
            <w:tcW w:w="722" w:type="pct"/>
            <w:shd w:val="clear" w:color="auto" w:fill="FFFFFF"/>
            <w:vAlign w:val="center"/>
          </w:tcPr>
          <w:p w14:paraId="033D3F26" w14:textId="77777777" w:rsidR="009A4C46" w:rsidRPr="001229D0" w:rsidRDefault="009A4C46" w:rsidP="009A4C46">
            <w:pPr>
              <w:widowControl w:val="0"/>
              <w:spacing w:after="0" w:line="190" w:lineRule="exact"/>
              <w:jc w:val="center"/>
              <w:rPr>
                <w:rFonts w:eastAsia="Times New Roman"/>
                <w:color w:val="000000"/>
                <w:lang w:eastAsia="ru-RU" w:bidi="ru-RU"/>
              </w:rPr>
            </w:pPr>
            <w:r w:rsidRPr="001229D0">
              <w:rPr>
                <w:rFonts w:eastAsia="Times New Roman"/>
                <w:bCs/>
                <w:color w:val="000000"/>
                <w:lang w:eastAsia="ru-RU" w:bidi="ru-RU"/>
              </w:rPr>
              <w:t>26,69%</w:t>
            </w:r>
          </w:p>
        </w:tc>
        <w:tc>
          <w:tcPr>
            <w:tcW w:w="645" w:type="pct"/>
            <w:shd w:val="clear" w:color="auto" w:fill="FFFFFF"/>
            <w:vAlign w:val="center"/>
          </w:tcPr>
          <w:p w14:paraId="5FAC55EA" w14:textId="77777777" w:rsidR="009A4C46" w:rsidRPr="001229D0" w:rsidRDefault="009A4C46" w:rsidP="009A4C46">
            <w:pPr>
              <w:widowControl w:val="0"/>
              <w:spacing w:after="0" w:line="190" w:lineRule="exact"/>
              <w:jc w:val="center"/>
              <w:rPr>
                <w:rFonts w:eastAsia="Times New Roman"/>
                <w:color w:val="000000"/>
                <w:lang w:eastAsia="ru-RU" w:bidi="ru-RU"/>
              </w:rPr>
            </w:pPr>
            <w:r w:rsidRPr="001229D0">
              <w:rPr>
                <w:rFonts w:eastAsia="Times New Roman"/>
                <w:bCs/>
                <w:color w:val="000000"/>
                <w:lang w:eastAsia="ru-RU" w:bidi="ru-RU"/>
              </w:rPr>
              <w:t>26,69%</w:t>
            </w:r>
          </w:p>
        </w:tc>
        <w:tc>
          <w:tcPr>
            <w:tcW w:w="602" w:type="pct"/>
            <w:shd w:val="clear" w:color="auto" w:fill="FFFFFF"/>
            <w:vAlign w:val="center"/>
          </w:tcPr>
          <w:p w14:paraId="7168EC4A" w14:textId="77777777" w:rsidR="009A4C46" w:rsidRPr="001229D0" w:rsidRDefault="009A4C46" w:rsidP="009A4C46">
            <w:pPr>
              <w:widowControl w:val="0"/>
              <w:spacing w:after="0" w:line="190" w:lineRule="exact"/>
              <w:jc w:val="center"/>
              <w:rPr>
                <w:rFonts w:eastAsia="Times New Roman"/>
                <w:color w:val="000000"/>
                <w:lang w:eastAsia="ru-RU" w:bidi="ru-RU"/>
              </w:rPr>
            </w:pPr>
            <w:r w:rsidRPr="001229D0">
              <w:rPr>
                <w:rFonts w:eastAsia="Times New Roman"/>
                <w:bCs/>
                <w:color w:val="000000"/>
                <w:lang w:eastAsia="ru-RU" w:bidi="ru-RU"/>
              </w:rPr>
              <w:t>0,00%</w:t>
            </w:r>
          </w:p>
        </w:tc>
      </w:tr>
      <w:tr w:rsidR="009A4C46" w:rsidRPr="001229D0" w14:paraId="385254A3" w14:textId="77777777" w:rsidTr="0063188C">
        <w:trPr>
          <w:trHeight w:val="1122"/>
        </w:trPr>
        <w:tc>
          <w:tcPr>
            <w:tcW w:w="308" w:type="pct"/>
            <w:shd w:val="clear" w:color="auto" w:fill="FFFFFF"/>
            <w:vAlign w:val="center"/>
          </w:tcPr>
          <w:p w14:paraId="1C0E625C" w14:textId="77777777" w:rsidR="009A4C46" w:rsidRPr="001229D0" w:rsidRDefault="009A4C46" w:rsidP="009A4C46">
            <w:pPr>
              <w:widowControl w:val="0"/>
              <w:spacing w:after="0" w:line="190" w:lineRule="exact"/>
              <w:jc w:val="center"/>
              <w:rPr>
                <w:rFonts w:eastAsia="Times New Roman"/>
                <w:color w:val="000000"/>
                <w:lang w:eastAsia="ru-RU" w:bidi="ru-RU"/>
              </w:rPr>
            </w:pPr>
            <w:r w:rsidRPr="001229D0">
              <w:rPr>
                <w:rFonts w:eastAsia="Times New Roman"/>
                <w:bCs/>
                <w:color w:val="000000"/>
                <w:lang w:eastAsia="ru-RU" w:bidi="ru-RU"/>
              </w:rPr>
              <w:t>5</w:t>
            </w:r>
          </w:p>
        </w:tc>
        <w:tc>
          <w:tcPr>
            <w:tcW w:w="660" w:type="pct"/>
            <w:shd w:val="clear" w:color="auto" w:fill="FFFFFF"/>
            <w:vAlign w:val="center"/>
          </w:tcPr>
          <w:p w14:paraId="6EE022CF" w14:textId="77777777" w:rsidR="009A4C46" w:rsidRPr="003E2802" w:rsidRDefault="009A4C46" w:rsidP="009A4C46">
            <w:pPr>
              <w:widowControl w:val="0"/>
              <w:spacing w:after="0" w:line="190" w:lineRule="exact"/>
              <w:jc w:val="center"/>
              <w:rPr>
                <w:rFonts w:eastAsia="Times New Roman"/>
                <w:color w:val="000000"/>
                <w:lang w:eastAsia="ru-RU" w:bidi="ru-RU"/>
              </w:rPr>
            </w:pPr>
            <w:r w:rsidRPr="00F94FED">
              <w:rPr>
                <w:rFonts w:eastAsia="Times New Roman"/>
                <w:noProof/>
                <w:lang w:eastAsia="ru-RU"/>
              </w:rPr>
              <w:drawing>
                <wp:inline distT="0" distB="0" distL="0" distR="0" wp14:anchorId="4303FDF5" wp14:editId="0B3282C3">
                  <wp:extent cx="409575" cy="238125"/>
                  <wp:effectExtent l="0" t="0" r="9525" b="0"/>
                  <wp:docPr id="8" name="Рисунок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37" cstate="print"/>
                          <a:srcRect/>
                          <a:stretch>
                            <a:fillRect/>
                          </a:stretch>
                        </pic:blipFill>
                        <pic:spPr bwMode="auto">
                          <a:xfrm>
                            <a:off x="0" y="0"/>
                            <a:ext cx="409575" cy="238125"/>
                          </a:xfrm>
                          <a:prstGeom prst="rect">
                            <a:avLst/>
                          </a:prstGeom>
                          <a:noFill/>
                          <a:ln w="9525">
                            <a:noFill/>
                            <a:miter lim="800000"/>
                            <a:headEnd/>
                            <a:tailEnd/>
                          </a:ln>
                        </pic:spPr>
                      </pic:pic>
                    </a:graphicData>
                  </a:graphic>
                </wp:inline>
              </w:drawing>
            </w:r>
          </w:p>
        </w:tc>
        <w:tc>
          <w:tcPr>
            <w:tcW w:w="1417" w:type="pct"/>
            <w:shd w:val="clear" w:color="auto" w:fill="FFFFFF"/>
          </w:tcPr>
          <w:p w14:paraId="27A452AA" w14:textId="77777777" w:rsidR="009A4C46" w:rsidRPr="001229D0" w:rsidRDefault="009A4C46" w:rsidP="009A4C46">
            <w:pPr>
              <w:widowControl w:val="0"/>
              <w:spacing w:after="0" w:line="221" w:lineRule="exact"/>
              <w:rPr>
                <w:rFonts w:eastAsia="Times New Roman"/>
                <w:color w:val="000000"/>
                <w:lang w:eastAsia="ru-RU" w:bidi="ru-RU"/>
              </w:rPr>
            </w:pPr>
            <w:r w:rsidRPr="001229D0">
              <w:rPr>
                <w:rFonts w:eastAsia="Times New Roman"/>
                <w:bCs/>
                <w:color w:val="000000"/>
                <w:lang w:eastAsia="ru-RU" w:bidi="ru-RU"/>
              </w:rPr>
              <w:t>Прогнозная цена покупки потерь электрической энергии в сетях (с учетом мощности) в 2017 году, учтенная при установлении тарифа</w:t>
            </w:r>
          </w:p>
        </w:tc>
        <w:tc>
          <w:tcPr>
            <w:tcW w:w="646" w:type="pct"/>
            <w:shd w:val="clear" w:color="auto" w:fill="FFFFFF"/>
            <w:vAlign w:val="center"/>
          </w:tcPr>
          <w:p w14:paraId="66041A26" w14:textId="77777777" w:rsidR="009A4C46" w:rsidRPr="001229D0" w:rsidRDefault="009A4C46" w:rsidP="009A4C46">
            <w:pPr>
              <w:widowControl w:val="0"/>
              <w:spacing w:after="0" w:line="190" w:lineRule="exact"/>
              <w:jc w:val="center"/>
              <w:rPr>
                <w:rFonts w:eastAsia="Times New Roman"/>
                <w:color w:val="000000"/>
                <w:lang w:eastAsia="ru-RU" w:bidi="ru-RU"/>
              </w:rPr>
            </w:pPr>
            <w:r w:rsidRPr="001229D0">
              <w:rPr>
                <w:rFonts w:eastAsia="Times New Roman"/>
                <w:bCs/>
                <w:color w:val="000000"/>
                <w:lang w:eastAsia="ru-RU" w:bidi="ru-RU"/>
              </w:rPr>
              <w:t>руб./</w:t>
            </w:r>
            <w:proofErr w:type="spellStart"/>
            <w:r w:rsidRPr="001229D0">
              <w:rPr>
                <w:rFonts w:eastAsia="Times New Roman"/>
                <w:bCs/>
                <w:color w:val="000000"/>
                <w:lang w:eastAsia="ru-RU" w:bidi="ru-RU"/>
              </w:rPr>
              <w:t>тыс.кВтч</w:t>
            </w:r>
            <w:proofErr w:type="spellEnd"/>
          </w:p>
        </w:tc>
        <w:tc>
          <w:tcPr>
            <w:tcW w:w="722" w:type="pct"/>
            <w:shd w:val="clear" w:color="auto" w:fill="FFFFFF"/>
            <w:vAlign w:val="center"/>
          </w:tcPr>
          <w:p w14:paraId="466C0E34" w14:textId="77777777" w:rsidR="009A4C46" w:rsidRPr="001229D0" w:rsidRDefault="009A4C46" w:rsidP="009A4C46">
            <w:pPr>
              <w:widowControl w:val="0"/>
              <w:spacing w:after="0" w:line="190" w:lineRule="exact"/>
              <w:jc w:val="center"/>
              <w:rPr>
                <w:rFonts w:eastAsia="Times New Roman"/>
                <w:color w:val="000000"/>
                <w:lang w:eastAsia="ru-RU" w:bidi="ru-RU"/>
              </w:rPr>
            </w:pPr>
            <w:r w:rsidRPr="001229D0">
              <w:rPr>
                <w:rFonts w:eastAsia="Times New Roman"/>
                <w:bCs/>
                <w:color w:val="000000"/>
                <w:lang w:eastAsia="ru-RU" w:bidi="ru-RU"/>
              </w:rPr>
              <w:t>782,00</w:t>
            </w:r>
          </w:p>
        </w:tc>
        <w:tc>
          <w:tcPr>
            <w:tcW w:w="645" w:type="pct"/>
            <w:shd w:val="clear" w:color="auto" w:fill="FFFFFF"/>
            <w:vAlign w:val="center"/>
          </w:tcPr>
          <w:p w14:paraId="3A69B808" w14:textId="77777777" w:rsidR="009A4C46" w:rsidRPr="001229D0" w:rsidRDefault="009A4C46" w:rsidP="009A4C46">
            <w:pPr>
              <w:widowControl w:val="0"/>
              <w:spacing w:after="0" w:line="190" w:lineRule="exact"/>
              <w:jc w:val="center"/>
              <w:rPr>
                <w:rFonts w:eastAsia="Times New Roman"/>
                <w:color w:val="000000"/>
                <w:lang w:eastAsia="ru-RU" w:bidi="ru-RU"/>
              </w:rPr>
            </w:pPr>
            <w:r w:rsidRPr="001229D0">
              <w:rPr>
                <w:rFonts w:eastAsia="Times New Roman"/>
                <w:bCs/>
                <w:color w:val="000000"/>
                <w:lang w:eastAsia="ru-RU" w:bidi="ru-RU"/>
              </w:rPr>
              <w:t>782,00</w:t>
            </w:r>
          </w:p>
        </w:tc>
        <w:tc>
          <w:tcPr>
            <w:tcW w:w="602" w:type="pct"/>
            <w:shd w:val="clear" w:color="auto" w:fill="FFFFFF"/>
            <w:vAlign w:val="center"/>
          </w:tcPr>
          <w:p w14:paraId="04C5EE44" w14:textId="77777777" w:rsidR="009A4C46" w:rsidRPr="001229D0" w:rsidRDefault="009A4C46" w:rsidP="009A4C46">
            <w:pPr>
              <w:widowControl w:val="0"/>
              <w:spacing w:after="0" w:line="190" w:lineRule="exact"/>
              <w:jc w:val="center"/>
              <w:rPr>
                <w:rFonts w:eastAsia="Times New Roman"/>
                <w:color w:val="000000"/>
                <w:lang w:eastAsia="ru-RU" w:bidi="ru-RU"/>
              </w:rPr>
            </w:pPr>
            <w:r w:rsidRPr="001229D0">
              <w:rPr>
                <w:rFonts w:eastAsia="Times New Roman"/>
                <w:bCs/>
                <w:color w:val="000000"/>
                <w:lang w:eastAsia="ru-RU" w:bidi="ru-RU"/>
              </w:rPr>
              <w:t>0,00</w:t>
            </w:r>
          </w:p>
        </w:tc>
      </w:tr>
      <w:tr w:rsidR="009A4C46" w:rsidRPr="001229D0" w14:paraId="39376981" w14:textId="77777777" w:rsidTr="0063188C">
        <w:trPr>
          <w:trHeight w:val="1296"/>
        </w:trPr>
        <w:tc>
          <w:tcPr>
            <w:tcW w:w="308" w:type="pct"/>
            <w:shd w:val="clear" w:color="auto" w:fill="FFFFFF"/>
            <w:vAlign w:val="center"/>
          </w:tcPr>
          <w:p w14:paraId="4985B1F4" w14:textId="77777777" w:rsidR="009A4C46" w:rsidRPr="001229D0" w:rsidRDefault="009A4C46" w:rsidP="009A4C46">
            <w:pPr>
              <w:widowControl w:val="0"/>
              <w:spacing w:after="0" w:line="190" w:lineRule="exact"/>
              <w:jc w:val="center"/>
              <w:rPr>
                <w:rFonts w:eastAsia="Times New Roman"/>
                <w:color w:val="000000"/>
                <w:lang w:eastAsia="ru-RU" w:bidi="ru-RU"/>
              </w:rPr>
            </w:pPr>
            <w:r w:rsidRPr="001229D0">
              <w:rPr>
                <w:rFonts w:eastAsia="Times New Roman"/>
                <w:bCs/>
                <w:color w:val="000000"/>
                <w:lang w:eastAsia="ru-RU" w:bidi="ru-RU"/>
              </w:rPr>
              <w:t>6</w:t>
            </w:r>
          </w:p>
        </w:tc>
        <w:tc>
          <w:tcPr>
            <w:tcW w:w="660" w:type="pct"/>
            <w:shd w:val="clear" w:color="auto" w:fill="FFFFFF"/>
            <w:vAlign w:val="center"/>
          </w:tcPr>
          <w:p w14:paraId="2908B515" w14:textId="77777777" w:rsidR="009A4C46" w:rsidRPr="003E2802" w:rsidRDefault="009A4C46" w:rsidP="009A4C46">
            <w:pPr>
              <w:widowControl w:val="0"/>
              <w:spacing w:after="0" w:line="190" w:lineRule="exact"/>
              <w:jc w:val="center"/>
              <w:rPr>
                <w:rFonts w:eastAsia="Times New Roman"/>
                <w:color w:val="000000"/>
                <w:lang w:eastAsia="ru-RU" w:bidi="ru-RU"/>
              </w:rPr>
            </w:pPr>
            <w:r w:rsidRPr="00F94FED">
              <w:rPr>
                <w:rFonts w:eastAsia="Times New Roman"/>
                <w:noProof/>
                <w:lang w:eastAsia="ru-RU"/>
              </w:rPr>
              <w:drawing>
                <wp:inline distT="0" distB="0" distL="0" distR="0" wp14:anchorId="2BCF35C1" wp14:editId="474DE875">
                  <wp:extent cx="412115" cy="241300"/>
                  <wp:effectExtent l="0" t="0" r="0" b="0"/>
                  <wp:docPr id="9" name="Рисунок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14"/>
                          <pic:cNvPicPr>
                            <a:picLocks noChangeAspect="1" noChangeArrowheads="1"/>
                          </pic:cNvPicPr>
                        </pic:nvPicPr>
                        <pic:blipFill>
                          <a:blip r:embed="rId38" cstate="print"/>
                          <a:srcRect/>
                          <a:stretch>
                            <a:fillRect/>
                          </a:stretch>
                        </pic:blipFill>
                        <pic:spPr bwMode="auto">
                          <a:xfrm>
                            <a:off x="0" y="0"/>
                            <a:ext cx="412115" cy="241300"/>
                          </a:xfrm>
                          <a:prstGeom prst="rect">
                            <a:avLst/>
                          </a:prstGeom>
                          <a:noFill/>
                          <a:ln w="9525">
                            <a:noFill/>
                            <a:miter lim="800000"/>
                            <a:headEnd/>
                            <a:tailEnd/>
                          </a:ln>
                        </pic:spPr>
                      </pic:pic>
                    </a:graphicData>
                  </a:graphic>
                </wp:inline>
              </w:drawing>
            </w:r>
          </w:p>
        </w:tc>
        <w:tc>
          <w:tcPr>
            <w:tcW w:w="1417" w:type="pct"/>
            <w:shd w:val="clear" w:color="auto" w:fill="FFFFFF"/>
          </w:tcPr>
          <w:p w14:paraId="4E17BF7E" w14:textId="77777777" w:rsidR="009A4C46" w:rsidRPr="001229D0" w:rsidRDefault="009A4C46" w:rsidP="009A4C46">
            <w:pPr>
              <w:widowControl w:val="0"/>
              <w:spacing w:after="0" w:line="216" w:lineRule="exact"/>
              <w:rPr>
                <w:rFonts w:eastAsia="Times New Roman"/>
                <w:color w:val="000000"/>
                <w:lang w:eastAsia="ru-RU" w:bidi="ru-RU"/>
              </w:rPr>
            </w:pPr>
            <w:r w:rsidRPr="001229D0">
              <w:rPr>
                <w:rFonts w:eastAsia="Times New Roman"/>
                <w:bCs/>
                <w:color w:val="000000"/>
                <w:lang w:eastAsia="ru-RU" w:bidi="ru-RU"/>
              </w:rPr>
              <w:t>Фактическая цена покупки потерь электрической энергии в сетях (с учетом мощности) в 2017 году (без учета снятия стоимости нагрузочных потерь)</w:t>
            </w:r>
          </w:p>
        </w:tc>
        <w:tc>
          <w:tcPr>
            <w:tcW w:w="646" w:type="pct"/>
            <w:shd w:val="clear" w:color="auto" w:fill="FFFFFF"/>
            <w:vAlign w:val="center"/>
          </w:tcPr>
          <w:p w14:paraId="001A2EF3" w14:textId="77777777" w:rsidR="009A4C46" w:rsidRPr="001229D0" w:rsidRDefault="009A4C46" w:rsidP="009A4C46">
            <w:pPr>
              <w:widowControl w:val="0"/>
              <w:spacing w:after="0" w:line="190" w:lineRule="exact"/>
              <w:jc w:val="center"/>
              <w:rPr>
                <w:rFonts w:eastAsia="Times New Roman"/>
                <w:color w:val="000000"/>
                <w:lang w:eastAsia="ru-RU" w:bidi="ru-RU"/>
              </w:rPr>
            </w:pPr>
            <w:r w:rsidRPr="001229D0">
              <w:rPr>
                <w:rFonts w:eastAsia="Times New Roman"/>
                <w:bCs/>
                <w:color w:val="000000"/>
                <w:lang w:eastAsia="ru-RU" w:bidi="ru-RU"/>
              </w:rPr>
              <w:t>руб./</w:t>
            </w:r>
            <w:proofErr w:type="spellStart"/>
            <w:r w:rsidRPr="001229D0">
              <w:rPr>
                <w:rFonts w:eastAsia="Times New Roman"/>
                <w:bCs/>
                <w:color w:val="000000"/>
                <w:lang w:eastAsia="ru-RU" w:bidi="ru-RU"/>
              </w:rPr>
              <w:t>тыс.кВтч</w:t>
            </w:r>
            <w:proofErr w:type="spellEnd"/>
          </w:p>
        </w:tc>
        <w:tc>
          <w:tcPr>
            <w:tcW w:w="722" w:type="pct"/>
            <w:shd w:val="clear" w:color="auto" w:fill="FFFFFF"/>
            <w:vAlign w:val="center"/>
          </w:tcPr>
          <w:p w14:paraId="0787E285" w14:textId="77777777" w:rsidR="009A4C46" w:rsidRPr="001229D0" w:rsidRDefault="009A4C46" w:rsidP="009A4C46">
            <w:pPr>
              <w:widowControl w:val="0"/>
              <w:spacing w:after="0" w:line="190" w:lineRule="exact"/>
              <w:jc w:val="center"/>
              <w:rPr>
                <w:rFonts w:eastAsia="Times New Roman"/>
                <w:color w:val="000000"/>
                <w:lang w:eastAsia="ru-RU" w:bidi="ru-RU"/>
              </w:rPr>
            </w:pPr>
            <w:r w:rsidRPr="001229D0">
              <w:rPr>
                <w:rFonts w:eastAsia="Times New Roman"/>
                <w:bCs/>
                <w:color w:val="000000"/>
                <w:lang w:eastAsia="ru-RU" w:bidi="ru-RU"/>
              </w:rPr>
              <w:t>820,05</w:t>
            </w:r>
          </w:p>
        </w:tc>
        <w:tc>
          <w:tcPr>
            <w:tcW w:w="645" w:type="pct"/>
            <w:shd w:val="clear" w:color="auto" w:fill="FFFFFF"/>
            <w:vAlign w:val="center"/>
          </w:tcPr>
          <w:p w14:paraId="0309AB50" w14:textId="77777777" w:rsidR="009A4C46" w:rsidRPr="001229D0" w:rsidRDefault="009A4C46" w:rsidP="009A4C46">
            <w:pPr>
              <w:widowControl w:val="0"/>
              <w:spacing w:after="0" w:line="190" w:lineRule="exact"/>
              <w:jc w:val="center"/>
              <w:rPr>
                <w:rFonts w:eastAsia="Times New Roman"/>
                <w:color w:val="000000"/>
                <w:lang w:eastAsia="ru-RU" w:bidi="ru-RU"/>
              </w:rPr>
            </w:pPr>
            <w:r w:rsidRPr="001229D0">
              <w:rPr>
                <w:rFonts w:eastAsia="Times New Roman"/>
                <w:bCs/>
                <w:color w:val="000000"/>
                <w:lang w:eastAsia="ru-RU" w:bidi="ru-RU"/>
              </w:rPr>
              <w:t>820,05</w:t>
            </w:r>
          </w:p>
        </w:tc>
        <w:tc>
          <w:tcPr>
            <w:tcW w:w="602" w:type="pct"/>
            <w:shd w:val="clear" w:color="auto" w:fill="FFFFFF"/>
            <w:vAlign w:val="center"/>
          </w:tcPr>
          <w:p w14:paraId="24FDD740" w14:textId="77777777" w:rsidR="009A4C46" w:rsidRPr="001229D0" w:rsidRDefault="009A4C46" w:rsidP="009A4C46">
            <w:pPr>
              <w:widowControl w:val="0"/>
              <w:spacing w:after="0" w:line="190" w:lineRule="exact"/>
              <w:jc w:val="center"/>
              <w:rPr>
                <w:rFonts w:eastAsia="Times New Roman"/>
                <w:color w:val="000000"/>
                <w:lang w:eastAsia="ru-RU" w:bidi="ru-RU"/>
              </w:rPr>
            </w:pPr>
            <w:r w:rsidRPr="001229D0">
              <w:rPr>
                <w:rFonts w:eastAsia="Times New Roman"/>
                <w:bCs/>
                <w:color w:val="000000"/>
                <w:lang w:eastAsia="ru-RU" w:bidi="ru-RU"/>
              </w:rPr>
              <w:t>0,00</w:t>
            </w:r>
          </w:p>
        </w:tc>
      </w:tr>
    </w:tbl>
    <w:p w14:paraId="1DD746BE" w14:textId="77777777" w:rsidR="009A4C46" w:rsidRPr="00F94FED" w:rsidRDefault="009A4C46" w:rsidP="00F94FED">
      <w:pPr>
        <w:widowControl w:val="0"/>
        <w:autoSpaceDE w:val="0"/>
        <w:autoSpaceDN w:val="0"/>
        <w:adjustRightInd w:val="0"/>
        <w:spacing w:after="0" w:line="360" w:lineRule="auto"/>
        <w:ind w:firstLine="709"/>
        <w:jc w:val="both"/>
        <w:rPr>
          <w:rFonts w:eastAsia="Times New Roman"/>
          <w:sz w:val="26"/>
          <w:szCs w:val="26"/>
          <w:lang w:eastAsia="ru-RU"/>
        </w:rPr>
      </w:pPr>
      <w:r w:rsidRPr="00F94FED">
        <w:rPr>
          <w:rFonts w:eastAsia="Times New Roman"/>
          <w:sz w:val="26"/>
          <w:szCs w:val="26"/>
          <w:lang w:eastAsia="ru-RU"/>
        </w:rPr>
        <w:t xml:space="preserve">В качестве обосновывающих документов АО «Тываэнерго» представлены в рамках тарифной кампании на 2019 год форму 46-ээ (передача) «Сведения о полезном отпуске (продаже) электрической энергии и мощности отдельным категориям потребителей» за 2017 год. Акты об оказании услуг на оплату технологических потерь помесячно за 2017 год в материалах дела отсутствуют. </w:t>
      </w:r>
    </w:p>
    <w:p w14:paraId="66C1A86F" w14:textId="228801DB" w:rsidR="009A4C46" w:rsidRPr="0072390C" w:rsidRDefault="009A4C46" w:rsidP="00F94FED">
      <w:pPr>
        <w:widowControl w:val="0"/>
        <w:autoSpaceDE w:val="0"/>
        <w:autoSpaceDN w:val="0"/>
        <w:adjustRightInd w:val="0"/>
        <w:spacing w:after="0" w:line="360" w:lineRule="auto"/>
        <w:ind w:firstLine="709"/>
        <w:jc w:val="both"/>
        <w:rPr>
          <w:rFonts w:eastAsia="Times New Roman"/>
          <w:i/>
          <w:color w:val="auto"/>
          <w:sz w:val="26"/>
          <w:szCs w:val="26"/>
          <w:lang w:eastAsia="ru-RU"/>
        </w:rPr>
      </w:pPr>
      <w:r w:rsidRPr="00F94FED">
        <w:rPr>
          <w:rFonts w:eastAsia="Times New Roman"/>
          <w:sz w:val="26"/>
          <w:szCs w:val="26"/>
          <w:lang w:eastAsia="ru-RU"/>
        </w:rPr>
        <w:t>В связ</w:t>
      </w:r>
      <w:r w:rsidR="000A105C">
        <w:rPr>
          <w:rFonts w:eastAsia="Times New Roman"/>
          <w:sz w:val="26"/>
          <w:szCs w:val="26"/>
          <w:lang w:eastAsia="ru-RU"/>
        </w:rPr>
        <w:t>и с отсутствием в материалах дел</w:t>
      </w:r>
      <w:r w:rsidRPr="00F94FED">
        <w:rPr>
          <w:rFonts w:eastAsia="Times New Roman"/>
          <w:sz w:val="26"/>
          <w:szCs w:val="26"/>
          <w:lang w:eastAsia="ru-RU"/>
        </w:rPr>
        <w:t xml:space="preserve">а, направленных АО «Тываэнерго» в адрес Службы по тарифам Республики Тыва актов об оказании услуг на оплату </w:t>
      </w:r>
      <w:r w:rsidRPr="00F94FED">
        <w:rPr>
          <w:rFonts w:eastAsia="Times New Roman"/>
          <w:sz w:val="26"/>
          <w:szCs w:val="26"/>
          <w:lang w:eastAsia="ru-RU"/>
        </w:rPr>
        <w:lastRenderedPageBreak/>
        <w:t xml:space="preserve">технологических потерь помесячно за 2017 год у Исполнителя отсутствует возможность рассчитать фактическую </w:t>
      </w:r>
      <w:r w:rsidRPr="00F94FED">
        <w:rPr>
          <w:rFonts w:eastAsia="Times New Roman"/>
          <w:bCs/>
          <w:sz w:val="26"/>
          <w:szCs w:val="26"/>
          <w:lang w:eastAsia="ru-RU" w:bidi="ru-RU"/>
        </w:rPr>
        <w:t xml:space="preserve">цену покупки потерь электрической энергии в сетях (с учетом мощности) за 2017 году. В связи с чем, Исполнителем принята </w:t>
      </w:r>
      <w:r w:rsidRPr="00F94FED">
        <w:rPr>
          <w:rFonts w:eastAsia="Times New Roman"/>
          <w:sz w:val="26"/>
          <w:szCs w:val="26"/>
          <w:lang w:eastAsia="ru-RU"/>
        </w:rPr>
        <w:t xml:space="preserve">фактическая цена покупки потерь электрической энергии соответствии с </w:t>
      </w:r>
      <w:r w:rsidRPr="0072390C">
        <w:rPr>
          <w:rFonts w:eastAsia="Times New Roman"/>
          <w:color w:val="auto"/>
          <w:sz w:val="26"/>
          <w:szCs w:val="26"/>
          <w:lang w:eastAsia="ru-RU"/>
        </w:rPr>
        <w:t>формами раскрытия информации за 2017 год в размере 820,05 руб./тыс. кВт*ч.</w:t>
      </w:r>
      <w:r w:rsidR="003D7911" w:rsidRPr="0072390C">
        <w:rPr>
          <w:rFonts w:eastAsia="Times New Roman"/>
          <w:color w:val="auto"/>
          <w:sz w:val="26"/>
          <w:szCs w:val="26"/>
          <w:lang w:eastAsia="ru-RU"/>
        </w:rPr>
        <w:t xml:space="preserve"> </w:t>
      </w:r>
    </w:p>
    <w:p w14:paraId="2E679A1E" w14:textId="77777777" w:rsidR="009A4C46" w:rsidRPr="00F94FED" w:rsidRDefault="009A4C46" w:rsidP="00F94FED">
      <w:pPr>
        <w:widowControl w:val="0"/>
        <w:autoSpaceDE w:val="0"/>
        <w:autoSpaceDN w:val="0"/>
        <w:adjustRightInd w:val="0"/>
        <w:spacing w:after="0" w:line="360" w:lineRule="auto"/>
        <w:ind w:firstLine="709"/>
        <w:jc w:val="both"/>
        <w:rPr>
          <w:rFonts w:eastAsia="Times New Roman"/>
          <w:sz w:val="26"/>
          <w:szCs w:val="26"/>
          <w:lang w:eastAsia="ru-RU"/>
        </w:rPr>
      </w:pPr>
      <w:r w:rsidRPr="00F94FED">
        <w:rPr>
          <w:rFonts w:eastAsia="Times New Roman"/>
          <w:sz w:val="26"/>
          <w:szCs w:val="26"/>
          <w:lang w:eastAsia="ru-RU"/>
        </w:rPr>
        <w:t>Исполнителем проведён поверочный расчет корректировки расходов на компенсацию потерь электроэнергии за фактический 2017 год по сравнению с установленными регулирующим органом планируемыми значениями на 2017 год.</w:t>
      </w:r>
    </w:p>
    <w:p w14:paraId="43FB2386" w14:textId="77777777" w:rsidR="00B61875" w:rsidRDefault="00B61875" w:rsidP="00F94FED">
      <w:pPr>
        <w:widowControl w:val="0"/>
        <w:autoSpaceDE w:val="0"/>
        <w:autoSpaceDN w:val="0"/>
        <w:adjustRightInd w:val="0"/>
        <w:spacing w:after="0" w:line="360" w:lineRule="auto"/>
        <w:ind w:firstLine="709"/>
        <w:jc w:val="center"/>
        <w:rPr>
          <w:rFonts w:eastAsia="Times New Roman"/>
          <w:b/>
          <w:bCs/>
          <w:sz w:val="26"/>
          <w:szCs w:val="26"/>
          <w:lang w:eastAsia="ru-RU"/>
        </w:rPr>
      </w:pPr>
    </w:p>
    <w:p w14:paraId="57904B09" w14:textId="54A11DA5" w:rsidR="009A4C46" w:rsidRPr="00B61875" w:rsidRDefault="009A4C46" w:rsidP="00B61875">
      <w:pPr>
        <w:widowControl w:val="0"/>
        <w:autoSpaceDE w:val="0"/>
        <w:autoSpaceDN w:val="0"/>
        <w:adjustRightInd w:val="0"/>
        <w:spacing w:after="0" w:line="240" w:lineRule="auto"/>
        <w:ind w:firstLine="709"/>
        <w:jc w:val="center"/>
        <w:rPr>
          <w:rFonts w:eastAsia="Times New Roman"/>
          <w:b/>
          <w:bCs/>
          <w:sz w:val="26"/>
          <w:szCs w:val="26"/>
          <w:lang w:eastAsia="ru-RU"/>
        </w:rPr>
      </w:pPr>
      <w:r w:rsidRPr="00B61875">
        <w:rPr>
          <w:rFonts w:eastAsia="Times New Roman"/>
          <w:b/>
          <w:bCs/>
          <w:sz w:val="26"/>
          <w:szCs w:val="26"/>
          <w:lang w:eastAsia="ru-RU"/>
        </w:rPr>
        <w:t>Расчет корректировки расходов на компенсацию потерь электроэнергии</w:t>
      </w:r>
    </w:p>
    <w:tbl>
      <w:tblPr>
        <w:tblW w:w="5000" w:type="pct"/>
        <w:tblLook w:val="04A0" w:firstRow="1" w:lastRow="0" w:firstColumn="1" w:lastColumn="0" w:noHBand="0" w:noVBand="1"/>
      </w:tblPr>
      <w:tblGrid>
        <w:gridCol w:w="552"/>
        <w:gridCol w:w="4696"/>
        <w:gridCol w:w="1607"/>
        <w:gridCol w:w="1111"/>
        <w:gridCol w:w="1379"/>
      </w:tblGrid>
      <w:tr w:rsidR="009A4C46" w:rsidRPr="001229D0" w14:paraId="5227E552" w14:textId="77777777" w:rsidTr="00B61875">
        <w:trPr>
          <w:trHeight w:val="20"/>
          <w:tblHeader/>
        </w:trPr>
        <w:tc>
          <w:tcPr>
            <w:tcW w:w="29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59B85D0" w14:textId="77777777" w:rsidR="009A4C46" w:rsidRPr="00F94FED" w:rsidRDefault="009A4C46" w:rsidP="009A4C46">
            <w:pPr>
              <w:spacing w:after="0" w:line="240" w:lineRule="auto"/>
              <w:jc w:val="center"/>
              <w:rPr>
                <w:rFonts w:eastAsia="Times New Roman"/>
                <w:b/>
                <w:color w:val="FFFFFF" w:themeColor="background1"/>
                <w:lang w:eastAsia="ru-RU"/>
              </w:rPr>
            </w:pPr>
            <w:r w:rsidRPr="00F94FED">
              <w:rPr>
                <w:rFonts w:eastAsia="Times New Roman"/>
                <w:b/>
                <w:color w:val="FFFFFF" w:themeColor="background1"/>
                <w:lang w:eastAsia="ru-RU"/>
              </w:rPr>
              <w:t>№ п/п</w:t>
            </w:r>
          </w:p>
        </w:tc>
        <w:tc>
          <w:tcPr>
            <w:tcW w:w="251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A696BD5" w14:textId="77777777" w:rsidR="009A4C46" w:rsidRPr="00F94FED" w:rsidRDefault="009A4C46" w:rsidP="009A4C46">
            <w:pPr>
              <w:spacing w:after="0" w:line="240" w:lineRule="auto"/>
              <w:jc w:val="center"/>
              <w:rPr>
                <w:rFonts w:eastAsia="Times New Roman"/>
                <w:b/>
                <w:color w:val="FFFFFF" w:themeColor="background1"/>
                <w:lang w:eastAsia="ru-RU"/>
              </w:rPr>
            </w:pPr>
            <w:r w:rsidRPr="00F94FED">
              <w:rPr>
                <w:rFonts w:eastAsia="Times New Roman"/>
                <w:b/>
                <w:color w:val="FFFFFF" w:themeColor="background1"/>
                <w:lang w:eastAsia="ru-RU"/>
              </w:rPr>
              <w:t>Наименование показателя</w:t>
            </w:r>
          </w:p>
        </w:tc>
        <w:tc>
          <w:tcPr>
            <w:tcW w:w="8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95A9A1A" w14:textId="77777777" w:rsidR="009A4C46" w:rsidRPr="00F94FED" w:rsidRDefault="009A4C46" w:rsidP="009A4C46">
            <w:pPr>
              <w:spacing w:after="0" w:line="240" w:lineRule="auto"/>
              <w:jc w:val="center"/>
              <w:rPr>
                <w:rFonts w:eastAsia="Times New Roman"/>
                <w:b/>
                <w:color w:val="FFFFFF" w:themeColor="background1"/>
                <w:lang w:eastAsia="ru-RU"/>
              </w:rPr>
            </w:pPr>
            <w:r w:rsidRPr="00F94FED">
              <w:rPr>
                <w:rFonts w:eastAsia="Times New Roman"/>
                <w:b/>
                <w:color w:val="FFFFFF" w:themeColor="background1"/>
                <w:lang w:eastAsia="ru-RU"/>
              </w:rPr>
              <w:t>Обозначение показателя</w:t>
            </w:r>
          </w:p>
        </w:tc>
        <w:tc>
          <w:tcPr>
            <w:tcW w:w="59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3D6BB7A" w14:textId="77777777" w:rsidR="009A4C46" w:rsidRPr="00F94FED" w:rsidRDefault="009A4C46" w:rsidP="009A4C46">
            <w:pPr>
              <w:spacing w:after="0" w:line="240" w:lineRule="auto"/>
              <w:jc w:val="center"/>
              <w:rPr>
                <w:rFonts w:eastAsia="Times New Roman"/>
                <w:b/>
                <w:color w:val="FFFFFF" w:themeColor="background1"/>
                <w:lang w:eastAsia="ru-RU"/>
              </w:rPr>
            </w:pPr>
            <w:r w:rsidRPr="00F94FED">
              <w:rPr>
                <w:rFonts w:eastAsia="Times New Roman"/>
                <w:b/>
                <w:color w:val="FFFFFF" w:themeColor="background1"/>
                <w:lang w:eastAsia="ru-RU"/>
              </w:rPr>
              <w:t>Ед. изм.</w:t>
            </w:r>
          </w:p>
        </w:tc>
        <w:tc>
          <w:tcPr>
            <w:tcW w:w="73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FE2FD9A" w14:textId="77777777" w:rsidR="009A4C46" w:rsidRPr="00F94FED" w:rsidRDefault="009A4C46" w:rsidP="009A4C46">
            <w:pPr>
              <w:spacing w:after="0" w:line="240" w:lineRule="auto"/>
              <w:jc w:val="center"/>
              <w:rPr>
                <w:rFonts w:eastAsia="Times New Roman"/>
                <w:b/>
                <w:color w:val="FFFFFF" w:themeColor="background1"/>
                <w:lang w:eastAsia="ru-RU"/>
              </w:rPr>
            </w:pPr>
            <w:r w:rsidRPr="00F94FED">
              <w:rPr>
                <w:rFonts w:eastAsia="Times New Roman"/>
                <w:b/>
                <w:color w:val="FFFFFF" w:themeColor="background1"/>
                <w:lang w:eastAsia="ru-RU"/>
              </w:rPr>
              <w:t>Значение показателя</w:t>
            </w:r>
          </w:p>
        </w:tc>
      </w:tr>
      <w:tr w:rsidR="009A4C46" w:rsidRPr="001229D0" w14:paraId="74EDC39E" w14:textId="77777777" w:rsidTr="00B61875">
        <w:trPr>
          <w:trHeight w:val="20"/>
        </w:trPr>
        <w:tc>
          <w:tcPr>
            <w:tcW w:w="296"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5F95559A" w14:textId="77777777" w:rsidR="009A4C46" w:rsidRPr="00F94FED" w:rsidRDefault="009A4C46" w:rsidP="009A4C46">
            <w:pPr>
              <w:spacing w:after="0" w:line="240" w:lineRule="auto"/>
              <w:rPr>
                <w:rFonts w:eastAsia="Times New Roman"/>
                <w:lang w:eastAsia="ru-RU"/>
              </w:rPr>
            </w:pPr>
            <w:r w:rsidRPr="00F94FED">
              <w:rPr>
                <w:rFonts w:eastAsia="Times New Roman"/>
                <w:lang w:eastAsia="ru-RU"/>
              </w:rPr>
              <w:t>1</w:t>
            </w:r>
          </w:p>
        </w:tc>
        <w:tc>
          <w:tcPr>
            <w:tcW w:w="2513" w:type="pct"/>
            <w:tcBorders>
              <w:top w:val="single" w:sz="4" w:space="0" w:color="FFFFFF" w:themeColor="background1"/>
              <w:left w:val="nil"/>
              <w:bottom w:val="single" w:sz="4" w:space="0" w:color="auto"/>
              <w:right w:val="single" w:sz="4" w:space="0" w:color="auto"/>
            </w:tcBorders>
            <w:shd w:val="clear" w:color="auto" w:fill="auto"/>
            <w:vAlign w:val="center"/>
            <w:hideMark/>
          </w:tcPr>
          <w:p w14:paraId="7F01D47A" w14:textId="77777777" w:rsidR="009A4C46" w:rsidRPr="00F94FED" w:rsidRDefault="009A4C46" w:rsidP="009A4C46">
            <w:pPr>
              <w:spacing w:after="0" w:line="240" w:lineRule="auto"/>
              <w:rPr>
                <w:rFonts w:eastAsia="Times New Roman"/>
                <w:lang w:eastAsia="ru-RU"/>
              </w:rPr>
            </w:pPr>
            <w:r w:rsidRPr="00F94FED">
              <w:rPr>
                <w:rFonts w:eastAsia="Times New Roman"/>
                <w:lang w:eastAsia="ru-RU"/>
              </w:rPr>
              <w:t>Год долгосрочного периода регулирования, в котором необходимо учесть корректировку</w:t>
            </w:r>
          </w:p>
        </w:tc>
        <w:tc>
          <w:tcPr>
            <w:tcW w:w="860" w:type="pct"/>
            <w:tcBorders>
              <w:top w:val="single" w:sz="4" w:space="0" w:color="FFFFFF" w:themeColor="background1"/>
              <w:left w:val="nil"/>
              <w:bottom w:val="single" w:sz="4" w:space="0" w:color="auto"/>
              <w:right w:val="single" w:sz="4" w:space="0" w:color="auto"/>
            </w:tcBorders>
            <w:shd w:val="clear" w:color="auto" w:fill="auto"/>
            <w:vAlign w:val="center"/>
            <w:hideMark/>
          </w:tcPr>
          <w:p w14:paraId="04413CDE" w14:textId="77777777" w:rsidR="009A4C46" w:rsidRPr="00F94FED" w:rsidRDefault="009A4C46" w:rsidP="009A4C46">
            <w:pPr>
              <w:spacing w:after="0" w:line="240" w:lineRule="auto"/>
              <w:jc w:val="center"/>
              <w:rPr>
                <w:rFonts w:eastAsia="Times New Roman"/>
                <w:lang w:eastAsia="ru-RU"/>
              </w:rPr>
            </w:pPr>
            <w:r w:rsidRPr="00F94FED">
              <w:rPr>
                <w:rFonts w:eastAsia="Times New Roman"/>
                <w:lang w:eastAsia="ru-RU"/>
              </w:rPr>
              <w:t>i</w:t>
            </w:r>
          </w:p>
        </w:tc>
        <w:tc>
          <w:tcPr>
            <w:tcW w:w="593"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55C8BD88" w14:textId="77777777" w:rsidR="009A4C46" w:rsidRPr="00F94FED" w:rsidRDefault="009A4C46" w:rsidP="009A4C46">
            <w:pPr>
              <w:spacing w:after="0" w:line="240" w:lineRule="auto"/>
              <w:jc w:val="center"/>
              <w:rPr>
                <w:rFonts w:eastAsia="Times New Roman"/>
                <w:lang w:eastAsia="ru-RU"/>
              </w:rPr>
            </w:pPr>
            <w:r w:rsidRPr="00F94FED">
              <w:rPr>
                <w:rFonts w:eastAsia="Times New Roman"/>
                <w:lang w:eastAsia="ru-RU"/>
              </w:rPr>
              <w:t> </w:t>
            </w:r>
          </w:p>
        </w:tc>
        <w:tc>
          <w:tcPr>
            <w:tcW w:w="738"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111BDCAE" w14:textId="77777777" w:rsidR="009A4C46" w:rsidRPr="00F94FED" w:rsidRDefault="009A4C46" w:rsidP="009A4C46">
            <w:pPr>
              <w:spacing w:after="0" w:line="240" w:lineRule="auto"/>
              <w:jc w:val="center"/>
              <w:rPr>
                <w:rFonts w:eastAsia="Times New Roman"/>
                <w:lang w:eastAsia="ru-RU"/>
              </w:rPr>
            </w:pPr>
            <w:r w:rsidRPr="00F94FED">
              <w:rPr>
                <w:rFonts w:eastAsia="Times New Roman"/>
                <w:lang w:eastAsia="ru-RU"/>
              </w:rPr>
              <w:t>2017</w:t>
            </w:r>
          </w:p>
        </w:tc>
      </w:tr>
      <w:tr w:rsidR="009A4C46" w:rsidRPr="001229D0" w14:paraId="75FA1E56" w14:textId="77777777" w:rsidTr="00B61875">
        <w:trPr>
          <w:trHeight w:val="20"/>
        </w:trPr>
        <w:tc>
          <w:tcPr>
            <w:tcW w:w="296" w:type="pct"/>
            <w:tcBorders>
              <w:top w:val="nil"/>
              <w:left w:val="single" w:sz="4" w:space="0" w:color="auto"/>
              <w:bottom w:val="single" w:sz="4" w:space="0" w:color="auto"/>
              <w:right w:val="single" w:sz="4" w:space="0" w:color="auto"/>
            </w:tcBorders>
            <w:shd w:val="clear" w:color="auto" w:fill="auto"/>
            <w:noWrap/>
            <w:vAlign w:val="center"/>
            <w:hideMark/>
          </w:tcPr>
          <w:p w14:paraId="60767E61" w14:textId="77777777" w:rsidR="009A4C46" w:rsidRPr="00F94FED" w:rsidRDefault="009A4C46" w:rsidP="009A4C46">
            <w:pPr>
              <w:spacing w:after="0" w:line="240" w:lineRule="auto"/>
              <w:rPr>
                <w:rFonts w:eastAsia="Times New Roman"/>
                <w:lang w:eastAsia="ru-RU"/>
              </w:rPr>
            </w:pPr>
            <w:r w:rsidRPr="00F94FED">
              <w:rPr>
                <w:rFonts w:eastAsia="Times New Roman"/>
                <w:lang w:eastAsia="ru-RU"/>
              </w:rPr>
              <w:t>2</w:t>
            </w:r>
          </w:p>
        </w:tc>
        <w:tc>
          <w:tcPr>
            <w:tcW w:w="2513" w:type="pct"/>
            <w:tcBorders>
              <w:top w:val="nil"/>
              <w:left w:val="nil"/>
              <w:bottom w:val="single" w:sz="4" w:space="0" w:color="auto"/>
              <w:right w:val="single" w:sz="4" w:space="0" w:color="auto"/>
            </w:tcBorders>
            <w:shd w:val="clear" w:color="auto" w:fill="auto"/>
            <w:vAlign w:val="center"/>
            <w:hideMark/>
          </w:tcPr>
          <w:p w14:paraId="3CDB445A" w14:textId="77777777" w:rsidR="009A4C46" w:rsidRPr="00F94FED" w:rsidRDefault="009A4C46" w:rsidP="009A4C46">
            <w:pPr>
              <w:spacing w:after="0" w:line="240" w:lineRule="auto"/>
              <w:rPr>
                <w:rFonts w:eastAsia="Times New Roman"/>
                <w:b/>
                <w:bCs/>
                <w:lang w:eastAsia="ru-RU"/>
              </w:rPr>
            </w:pPr>
            <w:r w:rsidRPr="00F94FED">
              <w:rPr>
                <w:rFonts w:eastAsia="Times New Roman"/>
                <w:b/>
                <w:bCs/>
                <w:lang w:eastAsia="ru-RU"/>
              </w:rPr>
              <w:t>Корректировка с учетом изменения полезного отпуска и цен на электрическую энергию</w:t>
            </w:r>
            <w:r w:rsidRPr="00F94FED">
              <w:rPr>
                <w:rFonts w:eastAsia="Times New Roman"/>
                <w:lang w:eastAsia="ru-RU"/>
              </w:rPr>
              <w:t xml:space="preserve"> (предусмотрена для ежегодного применения по итогам последнего истекшего года долгосрочного периода регулирования)</w:t>
            </w:r>
          </w:p>
        </w:tc>
        <w:tc>
          <w:tcPr>
            <w:tcW w:w="860" w:type="pct"/>
            <w:tcBorders>
              <w:top w:val="nil"/>
              <w:left w:val="nil"/>
              <w:bottom w:val="single" w:sz="4" w:space="0" w:color="auto"/>
              <w:right w:val="single" w:sz="4" w:space="0" w:color="auto"/>
            </w:tcBorders>
            <w:shd w:val="clear" w:color="auto" w:fill="auto"/>
            <w:noWrap/>
            <w:vAlign w:val="center"/>
            <w:hideMark/>
          </w:tcPr>
          <w:p w14:paraId="42DA06DD" w14:textId="77777777" w:rsidR="009A4C46" w:rsidRPr="00F94FED" w:rsidRDefault="009A4C46" w:rsidP="009A4C46">
            <w:pPr>
              <w:spacing w:after="0" w:line="240" w:lineRule="auto"/>
              <w:jc w:val="center"/>
              <w:rPr>
                <w:rFonts w:eastAsia="Times New Roman"/>
                <w:lang w:eastAsia="ru-RU"/>
              </w:rPr>
            </w:pPr>
            <w:proofErr w:type="spellStart"/>
            <w:r w:rsidRPr="00F94FED">
              <w:rPr>
                <w:rFonts w:eastAsia="Times New Roman"/>
                <w:lang w:eastAsia="ru-RU"/>
              </w:rPr>
              <w:t>ПО</w:t>
            </w:r>
            <w:r w:rsidRPr="00F94FED">
              <w:rPr>
                <w:rFonts w:eastAsia="Times New Roman"/>
                <w:vertAlign w:val="subscript"/>
                <w:lang w:eastAsia="ru-RU"/>
              </w:rPr>
              <w:t>i</w:t>
            </w:r>
            <w:proofErr w:type="spellEnd"/>
          </w:p>
        </w:tc>
        <w:tc>
          <w:tcPr>
            <w:tcW w:w="593" w:type="pct"/>
            <w:tcBorders>
              <w:top w:val="nil"/>
              <w:left w:val="nil"/>
              <w:bottom w:val="single" w:sz="4" w:space="0" w:color="auto"/>
              <w:right w:val="single" w:sz="4" w:space="0" w:color="auto"/>
            </w:tcBorders>
            <w:shd w:val="clear" w:color="auto" w:fill="auto"/>
            <w:noWrap/>
            <w:vAlign w:val="center"/>
            <w:hideMark/>
          </w:tcPr>
          <w:p w14:paraId="414621C7" w14:textId="77777777" w:rsidR="009A4C46" w:rsidRPr="00F94FED" w:rsidRDefault="009A4C46" w:rsidP="009A4C46">
            <w:pPr>
              <w:spacing w:after="0" w:line="240" w:lineRule="auto"/>
              <w:jc w:val="center"/>
              <w:rPr>
                <w:rFonts w:eastAsia="Times New Roman"/>
                <w:lang w:eastAsia="ru-RU"/>
              </w:rPr>
            </w:pPr>
            <w:r w:rsidRPr="00F94FED">
              <w:rPr>
                <w:rFonts w:eastAsia="Times New Roman"/>
                <w:lang w:eastAsia="ru-RU"/>
              </w:rPr>
              <w:t>тыс. руб.</w:t>
            </w:r>
          </w:p>
        </w:tc>
        <w:tc>
          <w:tcPr>
            <w:tcW w:w="738" w:type="pct"/>
            <w:tcBorders>
              <w:top w:val="nil"/>
              <w:left w:val="nil"/>
              <w:bottom w:val="single" w:sz="4" w:space="0" w:color="auto"/>
              <w:right w:val="single" w:sz="4" w:space="0" w:color="auto"/>
            </w:tcBorders>
            <w:shd w:val="clear" w:color="auto" w:fill="auto"/>
            <w:noWrap/>
            <w:vAlign w:val="center"/>
            <w:hideMark/>
          </w:tcPr>
          <w:p w14:paraId="3A8AB2CC" w14:textId="77777777" w:rsidR="009A4C46" w:rsidRPr="00F94FED" w:rsidRDefault="009A4C46" w:rsidP="009A4C46">
            <w:pPr>
              <w:spacing w:after="0" w:line="240" w:lineRule="auto"/>
              <w:jc w:val="center"/>
              <w:rPr>
                <w:rFonts w:eastAsia="Times New Roman"/>
                <w:b/>
                <w:bCs/>
                <w:lang w:eastAsia="ru-RU"/>
              </w:rPr>
            </w:pPr>
            <w:r w:rsidRPr="00F94FED">
              <w:rPr>
                <w:rFonts w:eastAsia="Times New Roman"/>
                <w:b/>
                <w:bCs/>
                <w:lang w:eastAsia="ru-RU"/>
              </w:rPr>
              <w:t>27 395</w:t>
            </w:r>
          </w:p>
        </w:tc>
      </w:tr>
      <w:tr w:rsidR="009A4C46" w:rsidRPr="001229D0" w14:paraId="313910AB" w14:textId="77777777" w:rsidTr="00B61875">
        <w:trPr>
          <w:trHeight w:val="20"/>
        </w:trPr>
        <w:tc>
          <w:tcPr>
            <w:tcW w:w="296" w:type="pct"/>
            <w:tcBorders>
              <w:top w:val="nil"/>
              <w:left w:val="single" w:sz="4" w:space="0" w:color="auto"/>
              <w:bottom w:val="single" w:sz="4" w:space="0" w:color="auto"/>
              <w:right w:val="single" w:sz="4" w:space="0" w:color="auto"/>
            </w:tcBorders>
            <w:shd w:val="clear" w:color="auto" w:fill="auto"/>
            <w:noWrap/>
            <w:vAlign w:val="center"/>
            <w:hideMark/>
          </w:tcPr>
          <w:p w14:paraId="176ACE78" w14:textId="77777777" w:rsidR="009A4C46" w:rsidRPr="00F94FED" w:rsidRDefault="009A4C46" w:rsidP="009A4C46">
            <w:pPr>
              <w:spacing w:after="0" w:line="240" w:lineRule="auto"/>
              <w:rPr>
                <w:rFonts w:eastAsia="Times New Roman"/>
                <w:lang w:eastAsia="ru-RU"/>
              </w:rPr>
            </w:pPr>
            <w:r w:rsidRPr="00F94FED">
              <w:rPr>
                <w:rFonts w:eastAsia="Times New Roman"/>
                <w:lang w:eastAsia="ru-RU"/>
              </w:rPr>
              <w:t>3</w:t>
            </w:r>
          </w:p>
        </w:tc>
        <w:tc>
          <w:tcPr>
            <w:tcW w:w="2513" w:type="pct"/>
            <w:tcBorders>
              <w:top w:val="nil"/>
              <w:left w:val="nil"/>
              <w:bottom w:val="single" w:sz="4" w:space="0" w:color="auto"/>
              <w:right w:val="single" w:sz="4" w:space="0" w:color="auto"/>
            </w:tcBorders>
            <w:shd w:val="clear" w:color="auto" w:fill="auto"/>
            <w:vAlign w:val="center"/>
            <w:hideMark/>
          </w:tcPr>
          <w:p w14:paraId="777F8391" w14:textId="77777777" w:rsidR="009A4C46" w:rsidRPr="00F94FED" w:rsidRDefault="009A4C46" w:rsidP="009A4C46">
            <w:pPr>
              <w:spacing w:after="0" w:line="240" w:lineRule="auto"/>
              <w:rPr>
                <w:rFonts w:eastAsia="Times New Roman"/>
                <w:lang w:eastAsia="ru-RU"/>
              </w:rPr>
            </w:pPr>
            <w:r w:rsidRPr="00F94FED">
              <w:rPr>
                <w:rFonts w:eastAsia="Times New Roman"/>
                <w:lang w:eastAsia="ru-RU"/>
              </w:rPr>
              <w:t>Прогнозный объем отпуска электрической энергии в сеть территориальной сетевой организации, определенный регулирующими органами на (i-2)-том году долгосрочного периода регулирования</w:t>
            </w:r>
          </w:p>
        </w:tc>
        <w:tc>
          <w:tcPr>
            <w:tcW w:w="860" w:type="pct"/>
            <w:tcBorders>
              <w:top w:val="nil"/>
              <w:left w:val="nil"/>
              <w:bottom w:val="single" w:sz="4" w:space="0" w:color="auto"/>
              <w:right w:val="single" w:sz="4" w:space="0" w:color="auto"/>
            </w:tcBorders>
            <w:shd w:val="clear" w:color="auto" w:fill="auto"/>
            <w:noWrap/>
            <w:vAlign w:val="center"/>
            <w:hideMark/>
          </w:tcPr>
          <w:p w14:paraId="71E757CB" w14:textId="77777777" w:rsidR="009A4C46" w:rsidRPr="00F94FED" w:rsidRDefault="009A4C46" w:rsidP="009A4C46">
            <w:pPr>
              <w:spacing w:after="0" w:line="240" w:lineRule="auto"/>
              <w:jc w:val="center"/>
              <w:rPr>
                <w:rFonts w:eastAsia="Times New Roman"/>
                <w:lang w:eastAsia="ru-RU"/>
              </w:rPr>
            </w:pPr>
            <w:r w:rsidRPr="00F94FED">
              <w:rPr>
                <w:rFonts w:eastAsia="Times New Roman"/>
                <w:lang w:eastAsia="ru-RU"/>
              </w:rPr>
              <w:t>Э</w:t>
            </w:r>
            <w:r w:rsidRPr="00F94FED">
              <w:rPr>
                <w:rFonts w:eastAsia="Times New Roman"/>
                <w:vertAlign w:val="superscript"/>
                <w:lang w:eastAsia="ru-RU"/>
              </w:rPr>
              <w:t>ОТП</w:t>
            </w:r>
            <w:r w:rsidRPr="00F94FED">
              <w:rPr>
                <w:rFonts w:eastAsia="Times New Roman"/>
                <w:vertAlign w:val="subscript"/>
                <w:lang w:eastAsia="ru-RU"/>
              </w:rPr>
              <w:t>i-2</w:t>
            </w:r>
          </w:p>
        </w:tc>
        <w:tc>
          <w:tcPr>
            <w:tcW w:w="593" w:type="pct"/>
            <w:tcBorders>
              <w:top w:val="nil"/>
              <w:left w:val="nil"/>
              <w:bottom w:val="single" w:sz="4" w:space="0" w:color="auto"/>
              <w:right w:val="single" w:sz="4" w:space="0" w:color="auto"/>
            </w:tcBorders>
            <w:shd w:val="clear" w:color="auto" w:fill="auto"/>
            <w:noWrap/>
            <w:vAlign w:val="center"/>
            <w:hideMark/>
          </w:tcPr>
          <w:p w14:paraId="53200C58" w14:textId="65C2753D" w:rsidR="009A4C46" w:rsidRPr="00F94FED" w:rsidRDefault="009A4C46" w:rsidP="009A4C46">
            <w:pPr>
              <w:spacing w:after="0" w:line="240" w:lineRule="auto"/>
              <w:jc w:val="center"/>
              <w:rPr>
                <w:rFonts w:eastAsia="Times New Roman"/>
                <w:lang w:eastAsia="ru-RU"/>
              </w:rPr>
            </w:pPr>
            <w:r w:rsidRPr="00F94FED">
              <w:rPr>
                <w:rFonts w:eastAsia="Times New Roman"/>
                <w:lang w:eastAsia="ru-RU"/>
              </w:rPr>
              <w:t>млн. кВт</w:t>
            </w:r>
            <w:r w:rsidR="001229D0" w:rsidRPr="003E2802">
              <w:rPr>
                <w:rFonts w:eastAsia="Times New Roman"/>
                <w:lang w:eastAsia="ru-RU"/>
              </w:rPr>
              <w:t>*</w:t>
            </w:r>
            <w:r w:rsidRPr="00F94FED">
              <w:rPr>
                <w:rFonts w:eastAsia="Times New Roman"/>
                <w:lang w:eastAsia="ru-RU"/>
              </w:rPr>
              <w:t>ч</w:t>
            </w:r>
          </w:p>
        </w:tc>
        <w:tc>
          <w:tcPr>
            <w:tcW w:w="738" w:type="pct"/>
            <w:tcBorders>
              <w:top w:val="nil"/>
              <w:left w:val="nil"/>
              <w:bottom w:val="single" w:sz="4" w:space="0" w:color="auto"/>
              <w:right w:val="single" w:sz="4" w:space="0" w:color="auto"/>
            </w:tcBorders>
            <w:shd w:val="clear" w:color="auto" w:fill="auto"/>
            <w:noWrap/>
            <w:vAlign w:val="center"/>
            <w:hideMark/>
          </w:tcPr>
          <w:p w14:paraId="0F8660B7" w14:textId="77777777" w:rsidR="009A4C46" w:rsidRPr="00F94FED" w:rsidRDefault="009A4C46" w:rsidP="009A4C46">
            <w:pPr>
              <w:spacing w:after="0" w:line="240" w:lineRule="auto"/>
              <w:jc w:val="center"/>
              <w:rPr>
                <w:rFonts w:eastAsia="Times New Roman"/>
                <w:lang w:eastAsia="ru-RU"/>
              </w:rPr>
            </w:pPr>
            <w:r w:rsidRPr="00F94FED">
              <w:rPr>
                <w:rFonts w:eastAsia="Times New Roman"/>
                <w:lang w:eastAsia="ru-RU"/>
              </w:rPr>
              <w:t>614,19</w:t>
            </w:r>
          </w:p>
        </w:tc>
      </w:tr>
      <w:tr w:rsidR="009A4C46" w:rsidRPr="001229D0" w14:paraId="37B779B1" w14:textId="77777777" w:rsidTr="00B61875">
        <w:trPr>
          <w:trHeight w:val="20"/>
        </w:trPr>
        <w:tc>
          <w:tcPr>
            <w:tcW w:w="296" w:type="pct"/>
            <w:tcBorders>
              <w:top w:val="nil"/>
              <w:left w:val="single" w:sz="4" w:space="0" w:color="auto"/>
              <w:bottom w:val="single" w:sz="4" w:space="0" w:color="auto"/>
              <w:right w:val="single" w:sz="4" w:space="0" w:color="auto"/>
            </w:tcBorders>
            <w:shd w:val="clear" w:color="auto" w:fill="auto"/>
            <w:noWrap/>
            <w:vAlign w:val="center"/>
            <w:hideMark/>
          </w:tcPr>
          <w:p w14:paraId="75412ED5" w14:textId="77777777" w:rsidR="009A4C46" w:rsidRPr="00F94FED" w:rsidRDefault="009A4C46" w:rsidP="009A4C46">
            <w:pPr>
              <w:spacing w:after="0" w:line="240" w:lineRule="auto"/>
              <w:rPr>
                <w:rFonts w:eastAsia="Times New Roman"/>
                <w:lang w:eastAsia="ru-RU"/>
              </w:rPr>
            </w:pPr>
            <w:r w:rsidRPr="00F94FED">
              <w:rPr>
                <w:rFonts w:eastAsia="Times New Roman"/>
                <w:lang w:eastAsia="ru-RU"/>
              </w:rPr>
              <w:t>4</w:t>
            </w:r>
          </w:p>
        </w:tc>
        <w:tc>
          <w:tcPr>
            <w:tcW w:w="2513" w:type="pct"/>
            <w:tcBorders>
              <w:top w:val="nil"/>
              <w:left w:val="nil"/>
              <w:bottom w:val="single" w:sz="4" w:space="0" w:color="auto"/>
              <w:right w:val="single" w:sz="4" w:space="0" w:color="auto"/>
            </w:tcBorders>
            <w:shd w:val="clear" w:color="auto" w:fill="auto"/>
            <w:vAlign w:val="center"/>
            <w:hideMark/>
          </w:tcPr>
          <w:p w14:paraId="60AEA2DA" w14:textId="77777777" w:rsidR="009A4C46" w:rsidRPr="00F94FED" w:rsidRDefault="009A4C46" w:rsidP="009A4C46">
            <w:pPr>
              <w:spacing w:after="0" w:line="240" w:lineRule="auto"/>
              <w:rPr>
                <w:rFonts w:eastAsia="Times New Roman"/>
                <w:lang w:eastAsia="ru-RU"/>
              </w:rPr>
            </w:pPr>
            <w:r w:rsidRPr="00F94FED">
              <w:rPr>
                <w:rFonts w:eastAsia="Times New Roman"/>
                <w:lang w:eastAsia="ru-RU"/>
              </w:rPr>
              <w:t>Фактический объем отпуска электрической энергии в сеть территориальной сетевой организации, определяемый регулирующими органами в (i-2)-том году долгосрочного периода регулирования</w:t>
            </w:r>
          </w:p>
        </w:tc>
        <w:tc>
          <w:tcPr>
            <w:tcW w:w="860" w:type="pct"/>
            <w:tcBorders>
              <w:top w:val="nil"/>
              <w:left w:val="nil"/>
              <w:bottom w:val="single" w:sz="4" w:space="0" w:color="auto"/>
              <w:right w:val="single" w:sz="4" w:space="0" w:color="auto"/>
            </w:tcBorders>
            <w:shd w:val="clear" w:color="auto" w:fill="auto"/>
            <w:noWrap/>
            <w:vAlign w:val="center"/>
            <w:hideMark/>
          </w:tcPr>
          <w:p w14:paraId="26AA809B" w14:textId="77777777" w:rsidR="009A4C46" w:rsidRPr="00F94FED" w:rsidRDefault="009A4C46" w:rsidP="009A4C46">
            <w:pPr>
              <w:spacing w:after="0" w:line="240" w:lineRule="auto"/>
              <w:jc w:val="center"/>
              <w:rPr>
                <w:rFonts w:eastAsia="Times New Roman"/>
                <w:lang w:eastAsia="ru-RU"/>
              </w:rPr>
            </w:pPr>
            <w:r w:rsidRPr="00F94FED">
              <w:rPr>
                <w:rFonts w:eastAsia="Times New Roman"/>
                <w:lang w:eastAsia="ru-RU"/>
              </w:rPr>
              <w:t>Э</w:t>
            </w:r>
            <w:r w:rsidRPr="00F94FED">
              <w:rPr>
                <w:rFonts w:eastAsia="Times New Roman"/>
                <w:vertAlign w:val="superscript"/>
                <w:lang w:eastAsia="ru-RU"/>
              </w:rPr>
              <w:t>ОТП.Ф</w:t>
            </w:r>
            <w:r w:rsidRPr="00F94FED">
              <w:rPr>
                <w:rFonts w:eastAsia="Times New Roman"/>
                <w:vertAlign w:val="subscript"/>
                <w:lang w:eastAsia="ru-RU"/>
              </w:rPr>
              <w:t>i-2</w:t>
            </w:r>
          </w:p>
        </w:tc>
        <w:tc>
          <w:tcPr>
            <w:tcW w:w="593" w:type="pct"/>
            <w:tcBorders>
              <w:top w:val="nil"/>
              <w:left w:val="nil"/>
              <w:bottom w:val="single" w:sz="4" w:space="0" w:color="auto"/>
              <w:right w:val="single" w:sz="4" w:space="0" w:color="auto"/>
            </w:tcBorders>
            <w:shd w:val="clear" w:color="auto" w:fill="auto"/>
            <w:noWrap/>
            <w:vAlign w:val="center"/>
            <w:hideMark/>
          </w:tcPr>
          <w:p w14:paraId="76147400" w14:textId="7018A210" w:rsidR="009A4C46" w:rsidRPr="00F94FED" w:rsidRDefault="009A4C46" w:rsidP="009A4C46">
            <w:pPr>
              <w:spacing w:after="0" w:line="240" w:lineRule="auto"/>
              <w:jc w:val="center"/>
              <w:rPr>
                <w:rFonts w:eastAsia="Times New Roman"/>
                <w:lang w:eastAsia="ru-RU"/>
              </w:rPr>
            </w:pPr>
            <w:r w:rsidRPr="00F94FED">
              <w:rPr>
                <w:rFonts w:eastAsia="Times New Roman"/>
                <w:lang w:eastAsia="ru-RU"/>
              </w:rPr>
              <w:t>млн. кВт</w:t>
            </w:r>
            <w:r w:rsidR="001229D0" w:rsidRPr="003E2802">
              <w:rPr>
                <w:rFonts w:eastAsia="Times New Roman"/>
                <w:lang w:eastAsia="ru-RU"/>
              </w:rPr>
              <w:t>*</w:t>
            </w:r>
            <w:r w:rsidRPr="00F94FED">
              <w:rPr>
                <w:rFonts w:eastAsia="Times New Roman"/>
                <w:lang w:eastAsia="ru-RU"/>
              </w:rPr>
              <w:t>ч</w:t>
            </w:r>
          </w:p>
        </w:tc>
        <w:tc>
          <w:tcPr>
            <w:tcW w:w="738" w:type="pct"/>
            <w:tcBorders>
              <w:top w:val="nil"/>
              <w:left w:val="nil"/>
              <w:bottom w:val="single" w:sz="4" w:space="0" w:color="auto"/>
              <w:right w:val="single" w:sz="4" w:space="0" w:color="auto"/>
            </w:tcBorders>
            <w:shd w:val="clear" w:color="auto" w:fill="auto"/>
            <w:noWrap/>
            <w:vAlign w:val="center"/>
            <w:hideMark/>
          </w:tcPr>
          <w:p w14:paraId="09B31EF6" w14:textId="77777777" w:rsidR="009A4C46" w:rsidRPr="00F94FED" w:rsidRDefault="009A4C46" w:rsidP="009A4C46">
            <w:pPr>
              <w:spacing w:after="0" w:line="240" w:lineRule="auto"/>
              <w:jc w:val="center"/>
              <w:rPr>
                <w:rFonts w:eastAsia="Times New Roman"/>
                <w:lang w:eastAsia="ru-RU"/>
              </w:rPr>
            </w:pPr>
            <w:r w:rsidRPr="00F94FED">
              <w:rPr>
                <w:rFonts w:eastAsia="Times New Roman"/>
                <w:lang w:eastAsia="ru-RU"/>
              </w:rPr>
              <w:t>710,85</w:t>
            </w:r>
          </w:p>
        </w:tc>
      </w:tr>
      <w:tr w:rsidR="009A4C46" w:rsidRPr="001229D0" w14:paraId="5099A935" w14:textId="77777777" w:rsidTr="00B61875">
        <w:trPr>
          <w:trHeight w:val="20"/>
        </w:trPr>
        <w:tc>
          <w:tcPr>
            <w:tcW w:w="296" w:type="pct"/>
            <w:tcBorders>
              <w:top w:val="nil"/>
              <w:left w:val="single" w:sz="4" w:space="0" w:color="auto"/>
              <w:bottom w:val="single" w:sz="4" w:space="0" w:color="auto"/>
              <w:right w:val="single" w:sz="4" w:space="0" w:color="auto"/>
            </w:tcBorders>
            <w:shd w:val="clear" w:color="auto" w:fill="auto"/>
            <w:noWrap/>
            <w:vAlign w:val="center"/>
            <w:hideMark/>
          </w:tcPr>
          <w:p w14:paraId="14C4493B" w14:textId="77777777" w:rsidR="009A4C46" w:rsidRPr="00F94FED" w:rsidRDefault="009A4C46" w:rsidP="009A4C46">
            <w:pPr>
              <w:spacing w:after="0" w:line="240" w:lineRule="auto"/>
              <w:rPr>
                <w:rFonts w:eastAsia="Times New Roman"/>
                <w:lang w:eastAsia="ru-RU"/>
              </w:rPr>
            </w:pPr>
            <w:r w:rsidRPr="00F94FED">
              <w:rPr>
                <w:rFonts w:eastAsia="Times New Roman"/>
                <w:lang w:eastAsia="ru-RU"/>
              </w:rPr>
              <w:t>5</w:t>
            </w:r>
          </w:p>
        </w:tc>
        <w:tc>
          <w:tcPr>
            <w:tcW w:w="2513" w:type="pct"/>
            <w:tcBorders>
              <w:top w:val="nil"/>
              <w:left w:val="nil"/>
              <w:bottom w:val="single" w:sz="4" w:space="0" w:color="auto"/>
              <w:right w:val="single" w:sz="4" w:space="0" w:color="auto"/>
            </w:tcBorders>
            <w:shd w:val="clear" w:color="auto" w:fill="auto"/>
            <w:vAlign w:val="center"/>
            <w:hideMark/>
          </w:tcPr>
          <w:p w14:paraId="493A0C50" w14:textId="77777777" w:rsidR="009A4C46" w:rsidRPr="00F94FED" w:rsidRDefault="009A4C46" w:rsidP="009A4C46">
            <w:pPr>
              <w:spacing w:after="0" w:line="240" w:lineRule="auto"/>
              <w:rPr>
                <w:rFonts w:eastAsia="Times New Roman"/>
                <w:lang w:eastAsia="ru-RU"/>
              </w:rPr>
            </w:pPr>
            <w:r w:rsidRPr="00F94FED">
              <w:rPr>
                <w:rFonts w:eastAsia="Times New Roman"/>
                <w:lang w:eastAsia="ru-RU"/>
              </w:rPr>
              <w:t>Величина технологического расхода (потерь) электрической энергии, указанная в пункте 6 Методических указаний</w:t>
            </w:r>
          </w:p>
        </w:tc>
        <w:tc>
          <w:tcPr>
            <w:tcW w:w="860" w:type="pct"/>
            <w:tcBorders>
              <w:top w:val="nil"/>
              <w:left w:val="nil"/>
              <w:bottom w:val="single" w:sz="4" w:space="0" w:color="auto"/>
              <w:right w:val="single" w:sz="4" w:space="0" w:color="auto"/>
            </w:tcBorders>
            <w:shd w:val="clear" w:color="auto" w:fill="auto"/>
            <w:noWrap/>
            <w:vAlign w:val="center"/>
            <w:hideMark/>
          </w:tcPr>
          <w:p w14:paraId="52F73586" w14:textId="77777777" w:rsidR="009A4C46" w:rsidRPr="00F94FED" w:rsidRDefault="009A4C46" w:rsidP="009A4C46">
            <w:pPr>
              <w:spacing w:after="0" w:line="240" w:lineRule="auto"/>
              <w:jc w:val="center"/>
              <w:rPr>
                <w:rFonts w:eastAsia="Times New Roman"/>
                <w:lang w:eastAsia="ru-RU"/>
              </w:rPr>
            </w:pPr>
            <w:r w:rsidRPr="00F94FED">
              <w:rPr>
                <w:rFonts w:eastAsia="Times New Roman"/>
                <w:lang w:eastAsia="ru-RU"/>
              </w:rPr>
              <w:t>a</w:t>
            </w:r>
            <w:r w:rsidRPr="00F94FED">
              <w:rPr>
                <w:rFonts w:eastAsia="Times New Roman"/>
                <w:vertAlign w:val="subscript"/>
                <w:lang w:eastAsia="ru-RU"/>
              </w:rPr>
              <w:t>i-2</w:t>
            </w:r>
          </w:p>
        </w:tc>
        <w:tc>
          <w:tcPr>
            <w:tcW w:w="593" w:type="pct"/>
            <w:tcBorders>
              <w:top w:val="nil"/>
              <w:left w:val="nil"/>
              <w:bottom w:val="single" w:sz="4" w:space="0" w:color="auto"/>
              <w:right w:val="single" w:sz="4" w:space="0" w:color="auto"/>
            </w:tcBorders>
            <w:shd w:val="clear" w:color="auto" w:fill="auto"/>
            <w:noWrap/>
            <w:vAlign w:val="center"/>
            <w:hideMark/>
          </w:tcPr>
          <w:p w14:paraId="70CD3510" w14:textId="77777777" w:rsidR="009A4C46" w:rsidRPr="00F94FED" w:rsidRDefault="009A4C46" w:rsidP="009A4C46">
            <w:pPr>
              <w:spacing w:after="0" w:line="240" w:lineRule="auto"/>
              <w:jc w:val="center"/>
              <w:rPr>
                <w:rFonts w:eastAsia="Times New Roman"/>
                <w:lang w:eastAsia="ru-RU"/>
              </w:rPr>
            </w:pPr>
            <w:r w:rsidRPr="00F94FED">
              <w:rPr>
                <w:rFonts w:eastAsia="Times New Roman"/>
                <w:lang w:eastAsia="ru-RU"/>
              </w:rPr>
              <w:t>%</w:t>
            </w:r>
          </w:p>
        </w:tc>
        <w:tc>
          <w:tcPr>
            <w:tcW w:w="738" w:type="pct"/>
            <w:tcBorders>
              <w:top w:val="nil"/>
              <w:left w:val="nil"/>
              <w:bottom w:val="single" w:sz="4" w:space="0" w:color="auto"/>
              <w:right w:val="single" w:sz="4" w:space="0" w:color="auto"/>
            </w:tcBorders>
            <w:shd w:val="clear" w:color="auto" w:fill="auto"/>
            <w:noWrap/>
            <w:vAlign w:val="center"/>
            <w:hideMark/>
          </w:tcPr>
          <w:p w14:paraId="0B79896C" w14:textId="77777777" w:rsidR="009A4C46" w:rsidRPr="00F94FED" w:rsidRDefault="009A4C46" w:rsidP="009A4C46">
            <w:pPr>
              <w:spacing w:after="0" w:line="240" w:lineRule="auto"/>
              <w:jc w:val="center"/>
              <w:rPr>
                <w:rFonts w:eastAsia="Times New Roman"/>
                <w:lang w:eastAsia="ru-RU"/>
              </w:rPr>
            </w:pPr>
            <w:r w:rsidRPr="00F94FED">
              <w:rPr>
                <w:rFonts w:eastAsia="Times New Roman"/>
                <w:lang w:eastAsia="ru-RU"/>
              </w:rPr>
              <w:t>26,7%</w:t>
            </w:r>
          </w:p>
        </w:tc>
      </w:tr>
      <w:tr w:rsidR="009A4C46" w:rsidRPr="001229D0" w14:paraId="2A482BFB" w14:textId="77777777" w:rsidTr="00B61875">
        <w:trPr>
          <w:trHeight w:val="20"/>
        </w:trPr>
        <w:tc>
          <w:tcPr>
            <w:tcW w:w="296" w:type="pct"/>
            <w:tcBorders>
              <w:top w:val="nil"/>
              <w:left w:val="single" w:sz="4" w:space="0" w:color="auto"/>
              <w:bottom w:val="single" w:sz="4" w:space="0" w:color="auto"/>
              <w:right w:val="single" w:sz="4" w:space="0" w:color="auto"/>
            </w:tcBorders>
            <w:shd w:val="clear" w:color="auto" w:fill="auto"/>
            <w:noWrap/>
            <w:vAlign w:val="center"/>
            <w:hideMark/>
          </w:tcPr>
          <w:p w14:paraId="31FD4034" w14:textId="77777777" w:rsidR="009A4C46" w:rsidRPr="00F94FED" w:rsidRDefault="009A4C46" w:rsidP="009A4C46">
            <w:pPr>
              <w:spacing w:after="0" w:line="240" w:lineRule="auto"/>
              <w:rPr>
                <w:rFonts w:eastAsia="Times New Roman"/>
                <w:lang w:eastAsia="ru-RU"/>
              </w:rPr>
            </w:pPr>
            <w:r w:rsidRPr="00F94FED">
              <w:rPr>
                <w:rFonts w:eastAsia="Times New Roman"/>
                <w:lang w:eastAsia="ru-RU"/>
              </w:rPr>
              <w:t>6</w:t>
            </w:r>
          </w:p>
        </w:tc>
        <w:tc>
          <w:tcPr>
            <w:tcW w:w="2513" w:type="pct"/>
            <w:tcBorders>
              <w:top w:val="nil"/>
              <w:left w:val="nil"/>
              <w:bottom w:val="single" w:sz="4" w:space="0" w:color="auto"/>
              <w:right w:val="single" w:sz="4" w:space="0" w:color="auto"/>
            </w:tcBorders>
            <w:shd w:val="clear" w:color="auto" w:fill="auto"/>
            <w:vAlign w:val="center"/>
            <w:hideMark/>
          </w:tcPr>
          <w:p w14:paraId="5B94DE96" w14:textId="77777777" w:rsidR="009A4C46" w:rsidRPr="00F94FED" w:rsidRDefault="009A4C46" w:rsidP="009A4C46">
            <w:pPr>
              <w:spacing w:after="0" w:line="240" w:lineRule="auto"/>
              <w:rPr>
                <w:rFonts w:eastAsia="Times New Roman"/>
                <w:lang w:eastAsia="ru-RU"/>
              </w:rPr>
            </w:pPr>
            <w:r w:rsidRPr="00F94FED">
              <w:rPr>
                <w:rFonts w:eastAsia="Times New Roman"/>
                <w:lang w:eastAsia="ru-RU"/>
              </w:rPr>
              <w:t>Прогнозная цена покупки потерь электрической энергии в сетях (с учетом мощности) в году i-2, учтенная при установлении тарифа на услуги по передаче электрической энергии по электрическим сетям, принадлежащим на праве собственности или ином законном основании территориальным сетевым организациям</w:t>
            </w:r>
          </w:p>
        </w:tc>
        <w:tc>
          <w:tcPr>
            <w:tcW w:w="860" w:type="pct"/>
            <w:tcBorders>
              <w:top w:val="nil"/>
              <w:left w:val="nil"/>
              <w:bottom w:val="single" w:sz="4" w:space="0" w:color="auto"/>
              <w:right w:val="single" w:sz="4" w:space="0" w:color="auto"/>
            </w:tcBorders>
            <w:shd w:val="clear" w:color="auto" w:fill="auto"/>
            <w:noWrap/>
            <w:vAlign w:val="center"/>
            <w:hideMark/>
          </w:tcPr>
          <w:p w14:paraId="792BF635" w14:textId="77777777" w:rsidR="009A4C46" w:rsidRPr="00F94FED" w:rsidRDefault="009A4C46" w:rsidP="009A4C46">
            <w:pPr>
              <w:spacing w:after="0" w:line="240" w:lineRule="auto"/>
              <w:jc w:val="center"/>
              <w:rPr>
                <w:rFonts w:eastAsia="Times New Roman"/>
                <w:lang w:eastAsia="ru-RU"/>
              </w:rPr>
            </w:pPr>
            <w:r w:rsidRPr="00F94FED">
              <w:rPr>
                <w:rFonts w:eastAsia="Times New Roman"/>
                <w:lang w:eastAsia="ru-RU"/>
              </w:rPr>
              <w:t>ЦП</w:t>
            </w:r>
            <w:r w:rsidRPr="00F94FED">
              <w:rPr>
                <w:rFonts w:eastAsia="Times New Roman"/>
                <w:vertAlign w:val="subscript"/>
                <w:lang w:eastAsia="ru-RU"/>
              </w:rPr>
              <w:t>i-2</w:t>
            </w:r>
          </w:p>
        </w:tc>
        <w:tc>
          <w:tcPr>
            <w:tcW w:w="593" w:type="pct"/>
            <w:tcBorders>
              <w:top w:val="nil"/>
              <w:left w:val="nil"/>
              <w:bottom w:val="single" w:sz="4" w:space="0" w:color="auto"/>
              <w:right w:val="single" w:sz="4" w:space="0" w:color="auto"/>
            </w:tcBorders>
            <w:shd w:val="clear" w:color="auto" w:fill="auto"/>
            <w:noWrap/>
            <w:vAlign w:val="center"/>
            <w:hideMark/>
          </w:tcPr>
          <w:p w14:paraId="269147AA" w14:textId="7C0E3825" w:rsidR="009A4C46" w:rsidRPr="00F94FED" w:rsidRDefault="009A4C46" w:rsidP="009A4C46">
            <w:pPr>
              <w:spacing w:after="0" w:line="240" w:lineRule="auto"/>
              <w:jc w:val="center"/>
              <w:rPr>
                <w:rFonts w:eastAsia="Times New Roman"/>
                <w:lang w:eastAsia="ru-RU"/>
              </w:rPr>
            </w:pPr>
            <w:r w:rsidRPr="00F94FED">
              <w:rPr>
                <w:rFonts w:eastAsia="Times New Roman"/>
                <w:lang w:eastAsia="ru-RU"/>
              </w:rPr>
              <w:t>млн. кВт</w:t>
            </w:r>
            <w:r w:rsidR="001229D0" w:rsidRPr="003E2802">
              <w:rPr>
                <w:rFonts w:eastAsia="Times New Roman"/>
                <w:lang w:eastAsia="ru-RU"/>
              </w:rPr>
              <w:t>*</w:t>
            </w:r>
            <w:r w:rsidRPr="00F94FED">
              <w:rPr>
                <w:rFonts w:eastAsia="Times New Roman"/>
                <w:lang w:eastAsia="ru-RU"/>
              </w:rPr>
              <w:t>ч</w:t>
            </w:r>
          </w:p>
        </w:tc>
        <w:tc>
          <w:tcPr>
            <w:tcW w:w="738" w:type="pct"/>
            <w:tcBorders>
              <w:top w:val="nil"/>
              <w:left w:val="nil"/>
              <w:bottom w:val="single" w:sz="4" w:space="0" w:color="auto"/>
              <w:right w:val="single" w:sz="4" w:space="0" w:color="auto"/>
            </w:tcBorders>
            <w:shd w:val="clear" w:color="auto" w:fill="auto"/>
            <w:noWrap/>
            <w:vAlign w:val="center"/>
            <w:hideMark/>
          </w:tcPr>
          <w:p w14:paraId="2E771AB4" w14:textId="77777777" w:rsidR="009A4C46" w:rsidRPr="00F94FED" w:rsidRDefault="009A4C46" w:rsidP="009A4C46">
            <w:pPr>
              <w:spacing w:after="0" w:line="240" w:lineRule="auto"/>
              <w:jc w:val="center"/>
              <w:rPr>
                <w:rFonts w:eastAsia="Times New Roman"/>
                <w:lang w:eastAsia="ru-RU"/>
              </w:rPr>
            </w:pPr>
            <w:r w:rsidRPr="00F94FED">
              <w:rPr>
                <w:rFonts w:eastAsia="Times New Roman"/>
                <w:lang w:eastAsia="ru-RU"/>
              </w:rPr>
              <w:t>782,00</w:t>
            </w:r>
          </w:p>
        </w:tc>
      </w:tr>
      <w:tr w:rsidR="009A4C46" w:rsidRPr="001229D0" w14:paraId="7A77C6F4" w14:textId="77777777" w:rsidTr="00B61875">
        <w:trPr>
          <w:trHeight w:val="20"/>
        </w:trPr>
        <w:tc>
          <w:tcPr>
            <w:tcW w:w="296" w:type="pct"/>
            <w:tcBorders>
              <w:top w:val="nil"/>
              <w:left w:val="single" w:sz="4" w:space="0" w:color="auto"/>
              <w:bottom w:val="single" w:sz="4" w:space="0" w:color="auto"/>
              <w:right w:val="single" w:sz="4" w:space="0" w:color="auto"/>
            </w:tcBorders>
            <w:shd w:val="clear" w:color="auto" w:fill="auto"/>
            <w:noWrap/>
            <w:vAlign w:val="center"/>
            <w:hideMark/>
          </w:tcPr>
          <w:p w14:paraId="2DCC05B1" w14:textId="77777777" w:rsidR="009A4C46" w:rsidRPr="00F94FED" w:rsidRDefault="009A4C46" w:rsidP="009A4C46">
            <w:pPr>
              <w:spacing w:after="0" w:line="240" w:lineRule="auto"/>
              <w:rPr>
                <w:rFonts w:eastAsia="Times New Roman"/>
                <w:lang w:eastAsia="ru-RU"/>
              </w:rPr>
            </w:pPr>
            <w:r w:rsidRPr="00F94FED">
              <w:rPr>
                <w:rFonts w:eastAsia="Times New Roman"/>
                <w:lang w:eastAsia="ru-RU"/>
              </w:rPr>
              <w:t>7</w:t>
            </w:r>
          </w:p>
        </w:tc>
        <w:tc>
          <w:tcPr>
            <w:tcW w:w="2513" w:type="pct"/>
            <w:tcBorders>
              <w:top w:val="nil"/>
              <w:left w:val="nil"/>
              <w:bottom w:val="single" w:sz="4" w:space="0" w:color="auto"/>
              <w:right w:val="single" w:sz="4" w:space="0" w:color="auto"/>
            </w:tcBorders>
            <w:shd w:val="clear" w:color="auto" w:fill="auto"/>
            <w:vAlign w:val="center"/>
            <w:hideMark/>
          </w:tcPr>
          <w:p w14:paraId="0703120C" w14:textId="77777777" w:rsidR="009A4C46" w:rsidRPr="00F94FED" w:rsidRDefault="009A4C46" w:rsidP="009A4C46">
            <w:pPr>
              <w:spacing w:after="0" w:line="240" w:lineRule="auto"/>
              <w:rPr>
                <w:rFonts w:eastAsia="Times New Roman"/>
                <w:lang w:eastAsia="ru-RU"/>
              </w:rPr>
            </w:pPr>
            <w:r w:rsidRPr="00F94FED">
              <w:rPr>
                <w:rFonts w:eastAsia="Times New Roman"/>
                <w:lang w:eastAsia="ru-RU"/>
              </w:rPr>
              <w:t>Фактическая цена покупки потерь электрической энергии в сетях (с учетом мощности) в году i-2</w:t>
            </w:r>
          </w:p>
        </w:tc>
        <w:tc>
          <w:tcPr>
            <w:tcW w:w="860" w:type="pct"/>
            <w:tcBorders>
              <w:top w:val="nil"/>
              <w:left w:val="nil"/>
              <w:bottom w:val="single" w:sz="4" w:space="0" w:color="auto"/>
              <w:right w:val="single" w:sz="4" w:space="0" w:color="auto"/>
            </w:tcBorders>
            <w:shd w:val="clear" w:color="auto" w:fill="auto"/>
            <w:noWrap/>
            <w:vAlign w:val="center"/>
            <w:hideMark/>
          </w:tcPr>
          <w:p w14:paraId="1BD8196C" w14:textId="77777777" w:rsidR="009A4C46" w:rsidRPr="00F94FED" w:rsidRDefault="009A4C46" w:rsidP="009A4C46">
            <w:pPr>
              <w:spacing w:after="0" w:line="240" w:lineRule="auto"/>
              <w:jc w:val="center"/>
              <w:rPr>
                <w:rFonts w:eastAsia="Times New Roman"/>
                <w:lang w:eastAsia="ru-RU"/>
              </w:rPr>
            </w:pPr>
            <w:r w:rsidRPr="00F94FED">
              <w:rPr>
                <w:rFonts w:eastAsia="Times New Roman"/>
                <w:lang w:eastAsia="ru-RU"/>
              </w:rPr>
              <w:t>ЦП</w:t>
            </w:r>
            <w:r w:rsidRPr="00F94FED">
              <w:rPr>
                <w:rFonts w:eastAsia="Times New Roman"/>
                <w:vertAlign w:val="superscript"/>
                <w:lang w:eastAsia="ru-RU"/>
              </w:rPr>
              <w:t>Ф</w:t>
            </w:r>
            <w:r w:rsidRPr="00F94FED">
              <w:rPr>
                <w:rFonts w:eastAsia="Times New Roman"/>
                <w:vertAlign w:val="subscript"/>
                <w:lang w:eastAsia="ru-RU"/>
              </w:rPr>
              <w:t>i-2</w:t>
            </w:r>
          </w:p>
        </w:tc>
        <w:tc>
          <w:tcPr>
            <w:tcW w:w="593" w:type="pct"/>
            <w:tcBorders>
              <w:top w:val="nil"/>
              <w:left w:val="nil"/>
              <w:bottom w:val="single" w:sz="4" w:space="0" w:color="auto"/>
              <w:right w:val="single" w:sz="4" w:space="0" w:color="auto"/>
            </w:tcBorders>
            <w:shd w:val="clear" w:color="auto" w:fill="auto"/>
            <w:noWrap/>
            <w:vAlign w:val="center"/>
            <w:hideMark/>
          </w:tcPr>
          <w:p w14:paraId="4C540D84" w14:textId="488CD8DB" w:rsidR="009A4C46" w:rsidRPr="00F94FED" w:rsidRDefault="009A4C46" w:rsidP="009A4C46">
            <w:pPr>
              <w:spacing w:after="0" w:line="240" w:lineRule="auto"/>
              <w:jc w:val="center"/>
              <w:rPr>
                <w:rFonts w:eastAsia="Times New Roman"/>
                <w:lang w:eastAsia="ru-RU"/>
              </w:rPr>
            </w:pPr>
            <w:r w:rsidRPr="00F94FED">
              <w:rPr>
                <w:rFonts w:eastAsia="Times New Roman"/>
                <w:lang w:eastAsia="ru-RU"/>
              </w:rPr>
              <w:t>млн. кВт</w:t>
            </w:r>
            <w:r w:rsidR="001229D0" w:rsidRPr="003E2802">
              <w:rPr>
                <w:rFonts w:eastAsia="Times New Roman"/>
                <w:lang w:eastAsia="ru-RU"/>
              </w:rPr>
              <w:t>*</w:t>
            </w:r>
            <w:r w:rsidRPr="00F94FED">
              <w:rPr>
                <w:rFonts w:eastAsia="Times New Roman"/>
                <w:lang w:eastAsia="ru-RU"/>
              </w:rPr>
              <w:t>ч</w:t>
            </w:r>
          </w:p>
        </w:tc>
        <w:tc>
          <w:tcPr>
            <w:tcW w:w="738" w:type="pct"/>
            <w:tcBorders>
              <w:top w:val="nil"/>
              <w:left w:val="nil"/>
              <w:bottom w:val="single" w:sz="4" w:space="0" w:color="auto"/>
              <w:right w:val="single" w:sz="4" w:space="0" w:color="auto"/>
            </w:tcBorders>
            <w:shd w:val="clear" w:color="auto" w:fill="auto"/>
            <w:noWrap/>
            <w:vAlign w:val="center"/>
            <w:hideMark/>
          </w:tcPr>
          <w:p w14:paraId="4F974D28" w14:textId="77777777" w:rsidR="009A4C46" w:rsidRPr="00F94FED" w:rsidRDefault="009A4C46" w:rsidP="009A4C46">
            <w:pPr>
              <w:spacing w:after="0" w:line="240" w:lineRule="auto"/>
              <w:jc w:val="center"/>
              <w:rPr>
                <w:rFonts w:eastAsia="Times New Roman"/>
                <w:lang w:eastAsia="ru-RU"/>
              </w:rPr>
            </w:pPr>
            <w:r w:rsidRPr="00F94FED">
              <w:rPr>
                <w:rFonts w:eastAsia="Times New Roman"/>
                <w:lang w:eastAsia="ru-RU"/>
              </w:rPr>
              <w:t>820,05</w:t>
            </w:r>
          </w:p>
        </w:tc>
      </w:tr>
    </w:tbl>
    <w:p w14:paraId="69B4EFDB" w14:textId="66B32BC3" w:rsidR="009A4C46" w:rsidRPr="00F94FED" w:rsidRDefault="009A4C46" w:rsidP="00B61875">
      <w:pPr>
        <w:spacing w:after="0" w:line="360" w:lineRule="auto"/>
        <w:ind w:firstLine="567"/>
        <w:rPr>
          <w:rFonts w:eastAsia="Times New Roman"/>
          <w:sz w:val="26"/>
          <w:szCs w:val="26"/>
          <w:lang w:eastAsia="ru-RU"/>
        </w:rPr>
      </w:pPr>
      <w:r w:rsidRPr="00F94FED">
        <w:rPr>
          <w:rFonts w:eastAsia="Times New Roman"/>
          <w:sz w:val="26"/>
          <w:szCs w:val="26"/>
          <w:lang w:eastAsia="ru-RU"/>
        </w:rPr>
        <w:t>Расчет корректировки расходов на компенсацию потерь электроэнергии за 2017 год, выполненный Исполнителем, подтверждает правильность расчетов</w:t>
      </w:r>
      <w:r w:rsidR="001229D0">
        <w:rPr>
          <w:rFonts w:eastAsia="Times New Roman"/>
          <w:sz w:val="26"/>
          <w:szCs w:val="26"/>
          <w:lang w:eastAsia="ru-RU"/>
        </w:rPr>
        <w:br/>
      </w:r>
      <w:r w:rsidRPr="00F94FED">
        <w:rPr>
          <w:rFonts w:eastAsia="Times New Roman"/>
          <w:sz w:val="26"/>
          <w:szCs w:val="26"/>
          <w:lang w:eastAsia="ru-RU"/>
        </w:rPr>
        <w:t>АО «Тываэнерго» и Службы по тарифам Республики Тыва. Сумма корректировки составляет 27 395 тыс. руб.</w:t>
      </w:r>
      <w:r w:rsidRPr="00F94FED">
        <w:rPr>
          <w:rFonts w:eastAsia="Times New Roman"/>
          <w:sz w:val="26"/>
          <w:szCs w:val="26"/>
          <w:lang w:eastAsia="ru-RU"/>
        </w:rPr>
        <w:br w:type="page"/>
      </w:r>
    </w:p>
    <w:p w14:paraId="5D628A29" w14:textId="77777777" w:rsidR="009A4C46" w:rsidRPr="00F94FED" w:rsidRDefault="009A4C46" w:rsidP="00F94FED">
      <w:pPr>
        <w:pStyle w:val="3"/>
        <w:numPr>
          <w:ilvl w:val="1"/>
          <w:numId w:val="1"/>
        </w:numPr>
        <w:spacing w:line="360" w:lineRule="auto"/>
        <w:ind w:left="567" w:hanging="567"/>
        <w:jc w:val="both"/>
        <w:rPr>
          <w:b/>
          <w:color w:val="4F6228" w:themeColor="accent3" w:themeShade="80"/>
          <w:sz w:val="28"/>
          <w:szCs w:val="28"/>
        </w:rPr>
      </w:pPr>
      <w:bookmarkStart w:id="42" w:name="_Toc40554853"/>
      <w:bookmarkStart w:id="43" w:name="_Toc40733188"/>
      <w:r w:rsidRPr="00F94FED">
        <w:rPr>
          <w:rFonts w:ascii="Myriad Pro" w:hAnsi="Myriad Pro"/>
          <w:b/>
          <w:color w:val="4F6228" w:themeColor="accent3" w:themeShade="80"/>
          <w:sz w:val="28"/>
          <w:szCs w:val="28"/>
        </w:rPr>
        <w:lastRenderedPageBreak/>
        <w:t>Экспертиза обоснованности корректировки необходимой валовой выручки в связи с изменением (неисполнением) инвестиционной программы</w:t>
      </w:r>
      <w:bookmarkEnd w:id="42"/>
      <w:bookmarkEnd w:id="43"/>
    </w:p>
    <w:p w14:paraId="285B2C6D" w14:textId="77777777" w:rsidR="009A4C46" w:rsidRPr="00F94FED" w:rsidRDefault="009A4C46" w:rsidP="00F94FED">
      <w:pPr>
        <w:autoSpaceDE w:val="0"/>
        <w:autoSpaceDN w:val="0"/>
        <w:adjustRightInd w:val="0"/>
        <w:spacing w:after="0" w:line="360" w:lineRule="auto"/>
        <w:ind w:firstLine="567"/>
        <w:jc w:val="both"/>
        <w:rPr>
          <w:rFonts w:eastAsia="Calibri"/>
          <w:sz w:val="26"/>
          <w:szCs w:val="26"/>
        </w:rPr>
      </w:pPr>
      <w:r w:rsidRPr="00F94FED">
        <w:rPr>
          <w:rFonts w:eastAsia="Calibri"/>
          <w:sz w:val="26"/>
          <w:szCs w:val="26"/>
        </w:rPr>
        <w:t xml:space="preserve">В соответствии с требованиями Методических указаний № 98-э величина </w:t>
      </w:r>
      <w:r w:rsidRPr="00F94FED">
        <w:rPr>
          <w:rFonts w:eastAsia="Calibri"/>
          <w:noProof/>
          <w:position w:val="-10"/>
          <w:sz w:val="26"/>
          <w:szCs w:val="26"/>
          <w:lang w:eastAsia="ru-RU"/>
        </w:rPr>
        <w:drawing>
          <wp:inline distT="0" distB="0" distL="0" distR="0" wp14:anchorId="12DBA4F4" wp14:editId="0F53CCF5">
            <wp:extent cx="563245" cy="292735"/>
            <wp:effectExtent l="0" t="0" r="8255"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563245" cy="292735"/>
                    </a:xfrm>
                    <a:prstGeom prst="rect">
                      <a:avLst/>
                    </a:prstGeom>
                    <a:noFill/>
                    <a:ln>
                      <a:noFill/>
                    </a:ln>
                  </pic:spPr>
                </pic:pic>
              </a:graphicData>
            </a:graphic>
          </wp:inline>
        </w:drawing>
      </w:r>
      <w:r w:rsidRPr="00F94FED">
        <w:rPr>
          <w:rFonts w:eastAsia="Calibri"/>
          <w:sz w:val="26"/>
          <w:szCs w:val="26"/>
        </w:rPr>
        <w:t xml:space="preserve"> определяется по формуле (9):</w:t>
      </w:r>
    </w:p>
    <w:p w14:paraId="1EFC9EE8" w14:textId="37B5044E" w:rsidR="009A4C46" w:rsidRPr="00F94FED" w:rsidRDefault="009A4C46" w:rsidP="00F94FED">
      <w:pPr>
        <w:autoSpaceDE w:val="0"/>
        <w:autoSpaceDN w:val="0"/>
        <w:adjustRightInd w:val="0"/>
        <w:spacing w:after="0" w:line="360" w:lineRule="auto"/>
        <w:ind w:firstLine="567"/>
        <w:jc w:val="center"/>
        <w:rPr>
          <w:rFonts w:eastAsia="Calibri"/>
          <w:sz w:val="26"/>
          <w:szCs w:val="26"/>
        </w:rPr>
      </w:pPr>
      <w:r w:rsidRPr="00F94FED">
        <w:rPr>
          <w:rFonts w:eastAsia="Calibri"/>
          <w:noProof/>
          <w:position w:val="-33"/>
          <w:sz w:val="26"/>
          <w:szCs w:val="26"/>
          <w:lang w:eastAsia="ru-RU"/>
        </w:rPr>
        <w:drawing>
          <wp:inline distT="0" distB="0" distL="0" distR="0" wp14:anchorId="1CEA7BD8" wp14:editId="6A9DC0B8">
            <wp:extent cx="3167380" cy="577850"/>
            <wp:effectExtent l="0" t="0" r="0" b="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3167380" cy="577850"/>
                    </a:xfrm>
                    <a:prstGeom prst="rect">
                      <a:avLst/>
                    </a:prstGeom>
                    <a:noFill/>
                    <a:ln>
                      <a:noFill/>
                    </a:ln>
                  </pic:spPr>
                </pic:pic>
              </a:graphicData>
            </a:graphic>
          </wp:inline>
        </w:drawing>
      </w:r>
      <w:r w:rsidRPr="00F94FED">
        <w:rPr>
          <w:rFonts w:eastAsia="Calibri"/>
          <w:sz w:val="26"/>
          <w:szCs w:val="26"/>
        </w:rPr>
        <w:t xml:space="preserve"> ,где:</w:t>
      </w:r>
    </w:p>
    <w:p w14:paraId="5C68E9BE" w14:textId="3672F304" w:rsidR="009A4C46" w:rsidRPr="00F94FED" w:rsidRDefault="009A4C46" w:rsidP="00F94FED">
      <w:pPr>
        <w:autoSpaceDE w:val="0"/>
        <w:autoSpaceDN w:val="0"/>
        <w:adjustRightInd w:val="0"/>
        <w:spacing w:after="0" w:line="360" w:lineRule="auto"/>
        <w:ind w:firstLine="567"/>
        <w:jc w:val="both"/>
        <w:rPr>
          <w:rFonts w:eastAsia="Calibri"/>
          <w:sz w:val="26"/>
          <w:szCs w:val="26"/>
        </w:rPr>
      </w:pPr>
      <w:r w:rsidRPr="00F94FED">
        <w:rPr>
          <w:rFonts w:eastAsia="Calibri"/>
          <w:noProof/>
          <w:position w:val="-10"/>
          <w:sz w:val="26"/>
          <w:szCs w:val="26"/>
          <w:lang w:eastAsia="ru-RU"/>
        </w:rPr>
        <w:drawing>
          <wp:inline distT="0" distB="0" distL="0" distR="0" wp14:anchorId="40F735F9" wp14:editId="66DE7735">
            <wp:extent cx="497205" cy="285115"/>
            <wp:effectExtent l="0" t="0" r="0" b="635"/>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497205" cy="285115"/>
                    </a:xfrm>
                    <a:prstGeom prst="rect">
                      <a:avLst/>
                    </a:prstGeom>
                    <a:noFill/>
                    <a:ln>
                      <a:noFill/>
                    </a:ln>
                  </pic:spPr>
                </pic:pic>
              </a:graphicData>
            </a:graphic>
          </wp:inline>
        </w:drawing>
      </w:r>
      <w:r w:rsidRPr="00F94FED">
        <w:rPr>
          <w:rFonts w:eastAsia="Calibri"/>
          <w:sz w:val="26"/>
          <w:szCs w:val="26"/>
        </w:rPr>
        <w:t xml:space="preserve"> </w:t>
      </w:r>
      <w:r w:rsidR="001229D0">
        <w:rPr>
          <w:rFonts w:eastAsia="Calibri"/>
          <w:sz w:val="26"/>
          <w:szCs w:val="26"/>
        </w:rPr>
        <w:t>–</w:t>
      </w:r>
      <w:r w:rsidRPr="00F94FED">
        <w:rPr>
          <w:rFonts w:eastAsia="Calibri"/>
          <w:sz w:val="26"/>
          <w:szCs w:val="26"/>
        </w:rPr>
        <w:t xml:space="preserve"> расчетная величина собственных средств регулируемой организации для финансирования инвестиционной программы, учтенная при установлении тарифов в году i-2, которая не может принимать отрицательные значения;</w:t>
      </w:r>
    </w:p>
    <w:p w14:paraId="3FDC1875" w14:textId="72E1A04A" w:rsidR="009A4C46" w:rsidRPr="00F94FED" w:rsidRDefault="009A4C46" w:rsidP="00F94FED">
      <w:pPr>
        <w:autoSpaceDE w:val="0"/>
        <w:autoSpaceDN w:val="0"/>
        <w:adjustRightInd w:val="0"/>
        <w:spacing w:after="0" w:line="360" w:lineRule="auto"/>
        <w:ind w:firstLine="567"/>
        <w:jc w:val="both"/>
        <w:rPr>
          <w:rFonts w:eastAsia="Calibri"/>
          <w:sz w:val="26"/>
          <w:szCs w:val="26"/>
        </w:rPr>
      </w:pPr>
      <w:r w:rsidRPr="00F94FED">
        <w:rPr>
          <w:rFonts w:eastAsia="Calibri"/>
          <w:noProof/>
          <w:position w:val="-10"/>
          <w:sz w:val="26"/>
          <w:szCs w:val="26"/>
          <w:lang w:eastAsia="ru-RU"/>
        </w:rPr>
        <w:drawing>
          <wp:inline distT="0" distB="0" distL="0" distR="0" wp14:anchorId="7F901FB7" wp14:editId="571DAC29">
            <wp:extent cx="548640" cy="285115"/>
            <wp:effectExtent l="0" t="0" r="3810" b="635"/>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548640" cy="285115"/>
                    </a:xfrm>
                    <a:prstGeom prst="rect">
                      <a:avLst/>
                    </a:prstGeom>
                    <a:noFill/>
                    <a:ln>
                      <a:noFill/>
                    </a:ln>
                  </pic:spPr>
                </pic:pic>
              </a:graphicData>
            </a:graphic>
          </wp:inline>
        </w:drawing>
      </w:r>
      <w:r w:rsidRPr="00F94FED">
        <w:rPr>
          <w:rFonts w:eastAsia="Calibri"/>
          <w:sz w:val="26"/>
          <w:szCs w:val="26"/>
        </w:rPr>
        <w:t xml:space="preserve"> </w:t>
      </w:r>
      <w:r w:rsidR="001229D0">
        <w:rPr>
          <w:rFonts w:eastAsia="Calibri"/>
          <w:sz w:val="26"/>
          <w:szCs w:val="26"/>
        </w:rPr>
        <w:t>–</w:t>
      </w:r>
      <w:r w:rsidRPr="00F94FED">
        <w:rPr>
          <w:rFonts w:eastAsia="Calibri"/>
          <w:sz w:val="26"/>
          <w:szCs w:val="26"/>
        </w:rPr>
        <w:t xml:space="preserve"> плановый размер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год (i-2) до его начала, за счет собственных средств (выручки от реализации товаров (услуг) по регулируемым ценам (тарифам)) без НДС;</w:t>
      </w:r>
    </w:p>
    <w:p w14:paraId="79A312B2" w14:textId="54CF2DCB" w:rsidR="009A4C46" w:rsidRPr="00F94FED" w:rsidRDefault="009A4C46" w:rsidP="00F94FED">
      <w:pPr>
        <w:autoSpaceDE w:val="0"/>
        <w:autoSpaceDN w:val="0"/>
        <w:adjustRightInd w:val="0"/>
        <w:spacing w:after="0" w:line="360" w:lineRule="auto"/>
        <w:ind w:firstLine="567"/>
        <w:jc w:val="both"/>
        <w:rPr>
          <w:rFonts w:eastAsia="Calibri"/>
          <w:sz w:val="26"/>
          <w:szCs w:val="26"/>
        </w:rPr>
      </w:pPr>
      <w:r w:rsidRPr="00F94FED">
        <w:rPr>
          <w:rFonts w:eastAsia="Calibri"/>
          <w:noProof/>
          <w:position w:val="-10"/>
          <w:sz w:val="26"/>
          <w:szCs w:val="26"/>
          <w:lang w:eastAsia="ru-RU"/>
        </w:rPr>
        <w:drawing>
          <wp:inline distT="0" distB="0" distL="0" distR="0" wp14:anchorId="28628453" wp14:editId="667B3F6A">
            <wp:extent cx="614680" cy="285115"/>
            <wp:effectExtent l="0" t="0" r="0" b="635"/>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614680" cy="285115"/>
                    </a:xfrm>
                    <a:prstGeom prst="rect">
                      <a:avLst/>
                    </a:prstGeom>
                    <a:noFill/>
                    <a:ln>
                      <a:noFill/>
                    </a:ln>
                  </pic:spPr>
                </pic:pic>
              </a:graphicData>
            </a:graphic>
          </wp:inline>
        </w:drawing>
      </w:r>
      <w:r w:rsidRPr="00F94FED">
        <w:rPr>
          <w:rFonts w:eastAsia="Calibri"/>
          <w:sz w:val="26"/>
          <w:szCs w:val="26"/>
        </w:rPr>
        <w:t xml:space="preserve"> </w:t>
      </w:r>
      <w:r w:rsidR="001229D0">
        <w:rPr>
          <w:rFonts w:eastAsia="Calibri"/>
          <w:sz w:val="26"/>
          <w:szCs w:val="26"/>
        </w:rPr>
        <w:t>–</w:t>
      </w:r>
      <w:r w:rsidRPr="00F94FED">
        <w:rPr>
          <w:rFonts w:eastAsia="Calibri"/>
          <w:sz w:val="26"/>
          <w:szCs w:val="26"/>
        </w:rPr>
        <w:t xml:space="preserve"> объем фактического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год (i-2) до его начала, за счет собственных средств (выручки от реализации товаров (услуг) по регулируемым ценам (тарифам)) без НДС в году (i-2) долгосрочного периода регулирования.</w:t>
      </w:r>
    </w:p>
    <w:p w14:paraId="001140D6" w14:textId="2B1CA8C7" w:rsidR="009A4C46" w:rsidRPr="00F94FED" w:rsidRDefault="009A4C46" w:rsidP="00F94FED">
      <w:pPr>
        <w:autoSpaceDE w:val="0"/>
        <w:autoSpaceDN w:val="0"/>
        <w:adjustRightInd w:val="0"/>
        <w:spacing w:after="0" w:line="360" w:lineRule="auto"/>
        <w:ind w:firstLine="567"/>
        <w:jc w:val="both"/>
        <w:rPr>
          <w:rFonts w:eastAsia="Calibri"/>
          <w:sz w:val="26"/>
          <w:szCs w:val="26"/>
        </w:rPr>
      </w:pPr>
      <w:r w:rsidRPr="00F94FED">
        <w:rPr>
          <w:rFonts w:eastAsia="Calibri"/>
          <w:noProof/>
          <w:position w:val="-12"/>
          <w:sz w:val="26"/>
          <w:szCs w:val="26"/>
          <w:lang w:eastAsia="ru-RU"/>
        </w:rPr>
        <w:drawing>
          <wp:inline distT="0" distB="0" distL="0" distR="0" wp14:anchorId="213CA87E" wp14:editId="2F189B3A">
            <wp:extent cx="563245" cy="314325"/>
            <wp:effectExtent l="0" t="0" r="8255" b="9525"/>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563245" cy="314325"/>
                    </a:xfrm>
                    <a:prstGeom prst="rect">
                      <a:avLst/>
                    </a:prstGeom>
                    <a:noFill/>
                    <a:ln>
                      <a:noFill/>
                    </a:ln>
                  </pic:spPr>
                </pic:pic>
              </a:graphicData>
            </a:graphic>
          </wp:inline>
        </w:drawing>
      </w:r>
      <w:r w:rsidRPr="00F94FED">
        <w:rPr>
          <w:rFonts w:eastAsia="Calibri"/>
          <w:sz w:val="26"/>
          <w:szCs w:val="26"/>
        </w:rPr>
        <w:t xml:space="preserve"> </w:t>
      </w:r>
      <w:r w:rsidR="001229D0">
        <w:rPr>
          <w:rFonts w:eastAsia="Calibri"/>
          <w:sz w:val="26"/>
          <w:szCs w:val="26"/>
        </w:rPr>
        <w:t>–</w:t>
      </w:r>
      <w:r w:rsidRPr="00F94FED">
        <w:rPr>
          <w:rFonts w:eastAsia="Calibri"/>
          <w:sz w:val="26"/>
          <w:szCs w:val="26"/>
        </w:rPr>
        <w:t xml:space="preserve"> учтенная при расчете тарифов на (i-1) год корректировка необходимой валовой выручки на (i-2)-ой год долгосрочного периода регулирования, осуществленная в связи с изменением (неисполнением) инвестиционной программы за истекший период на (i-2)-го года по результатам 9 месяцев.</w:t>
      </w:r>
    </w:p>
    <w:p w14:paraId="30F1031F" w14:textId="77777777" w:rsidR="009A4C46" w:rsidRPr="00F94FED" w:rsidRDefault="009A4C46" w:rsidP="00F94FED">
      <w:pPr>
        <w:spacing w:after="0" w:line="360" w:lineRule="auto"/>
        <w:ind w:firstLine="567"/>
        <w:jc w:val="both"/>
        <w:rPr>
          <w:rFonts w:eastAsia="Times New Roman"/>
          <w:sz w:val="26"/>
          <w:szCs w:val="26"/>
          <w:lang w:eastAsia="ru-RU"/>
        </w:rPr>
      </w:pPr>
      <w:r w:rsidRPr="00F94FED">
        <w:rPr>
          <w:rFonts w:eastAsia="Times New Roman"/>
          <w:sz w:val="26"/>
          <w:szCs w:val="26"/>
          <w:lang w:eastAsia="ru-RU"/>
        </w:rPr>
        <w:lastRenderedPageBreak/>
        <w:t>Анализ корректировки необходимой валовой выручки АО «Тываэнерго» на 2019 год долгосрочного периода регулирования, осуществляемой в связи с изменением (неисполнением) инвестиционной программы за 2017 год, произведен на основании:</w:t>
      </w:r>
    </w:p>
    <w:p w14:paraId="29118AA4" w14:textId="0583A094" w:rsidR="009A4C46" w:rsidRPr="00F94FED" w:rsidRDefault="009A4C46" w:rsidP="00F94FED">
      <w:pPr>
        <w:pStyle w:val="a3"/>
        <w:numPr>
          <w:ilvl w:val="0"/>
          <w:numId w:val="33"/>
        </w:numPr>
        <w:spacing w:after="0" w:line="360" w:lineRule="auto"/>
        <w:ind w:left="1134" w:hanging="567"/>
        <w:jc w:val="both"/>
        <w:rPr>
          <w:sz w:val="26"/>
          <w:szCs w:val="26"/>
        </w:rPr>
      </w:pPr>
      <w:r w:rsidRPr="00F94FED">
        <w:rPr>
          <w:rFonts w:ascii="Myriad Pro" w:hAnsi="Myriad Pro"/>
          <w:sz w:val="26"/>
          <w:szCs w:val="26"/>
        </w:rPr>
        <w:t>пояснительной записки по обосновывающим материалам по расчету «Расходов на амортизацию», которые определены с учетом вводов объектов, предусмотренных инвестиционной программой (приложена к тарифной заявке в электронном виде);</w:t>
      </w:r>
    </w:p>
    <w:p w14:paraId="2100768B" w14:textId="25B40FC8" w:rsidR="009A4C46" w:rsidRPr="00F94FED" w:rsidRDefault="009A4C46" w:rsidP="00F94FED">
      <w:pPr>
        <w:pStyle w:val="a3"/>
        <w:numPr>
          <w:ilvl w:val="0"/>
          <w:numId w:val="33"/>
        </w:numPr>
        <w:spacing w:after="0" w:line="360" w:lineRule="auto"/>
        <w:ind w:left="1134" w:hanging="567"/>
        <w:jc w:val="both"/>
        <w:rPr>
          <w:sz w:val="26"/>
          <w:szCs w:val="26"/>
        </w:rPr>
      </w:pPr>
      <w:r w:rsidRPr="00F94FED">
        <w:rPr>
          <w:rFonts w:ascii="Myriad Pro" w:hAnsi="Myriad Pro"/>
          <w:sz w:val="26"/>
          <w:szCs w:val="26"/>
        </w:rPr>
        <w:t>сведений в открытой печати, размещенными на сайте Общества по ссылке http://www.tuvaenergo.ru/about/outinf.php в разделе «Инвестиции»;</w:t>
      </w:r>
    </w:p>
    <w:p w14:paraId="29D0787B" w14:textId="07CE201C" w:rsidR="009A4C46" w:rsidRPr="00F94FED" w:rsidRDefault="009A4C46" w:rsidP="00F94FED">
      <w:pPr>
        <w:pStyle w:val="a3"/>
        <w:numPr>
          <w:ilvl w:val="0"/>
          <w:numId w:val="33"/>
        </w:numPr>
        <w:spacing w:after="0" w:line="360" w:lineRule="auto"/>
        <w:ind w:left="1134" w:hanging="567"/>
        <w:jc w:val="both"/>
        <w:rPr>
          <w:sz w:val="26"/>
          <w:szCs w:val="26"/>
        </w:rPr>
      </w:pPr>
      <w:r w:rsidRPr="00F94FED">
        <w:rPr>
          <w:rFonts w:ascii="Myriad Pro" w:hAnsi="Myriad Pro"/>
          <w:sz w:val="26"/>
          <w:szCs w:val="26"/>
        </w:rPr>
        <w:t xml:space="preserve">сведений, размещенными на официальном сайте государственной системы «Единый портал государственных и муниципальных услуг (функций)» в сети «Интернет» (ссылка: </w:t>
      </w:r>
      <w:proofErr w:type="spellStart"/>
      <w:r w:rsidRPr="00F94FED">
        <w:rPr>
          <w:rFonts w:ascii="Myriad Pro" w:hAnsi="Myriad Pro"/>
          <w:sz w:val="26"/>
          <w:szCs w:val="26"/>
        </w:rPr>
        <w:t>htpp</w:t>
      </w:r>
      <w:proofErr w:type="spellEnd"/>
      <w:r w:rsidRPr="00F94FED">
        <w:rPr>
          <w:rFonts w:ascii="Myriad Pro" w:hAnsi="Myriad Pro"/>
          <w:sz w:val="26"/>
          <w:szCs w:val="26"/>
        </w:rPr>
        <w:t>://invest.gosuslugi.ru/</w:t>
      </w:r>
      <w:proofErr w:type="spellStart"/>
      <w:r w:rsidRPr="00F94FED">
        <w:rPr>
          <w:rFonts w:ascii="Myriad Pro" w:hAnsi="Myriad Pro"/>
          <w:sz w:val="26"/>
          <w:szCs w:val="26"/>
        </w:rPr>
        <w:t>epgu-forum</w:t>
      </w:r>
      <w:proofErr w:type="spellEnd"/>
      <w:r w:rsidRPr="00F94FED">
        <w:rPr>
          <w:rFonts w:ascii="Myriad Pro" w:hAnsi="Myriad Pro"/>
          <w:sz w:val="26"/>
          <w:szCs w:val="26"/>
        </w:rPr>
        <w:t>/#/</w:t>
      </w:r>
      <w:proofErr w:type="spellStart"/>
      <w:r w:rsidRPr="00F94FED">
        <w:rPr>
          <w:rFonts w:ascii="Myriad Pro" w:hAnsi="Myriad Pro"/>
          <w:sz w:val="26"/>
          <w:szCs w:val="26"/>
        </w:rPr>
        <w:t>ipr</w:t>
      </w:r>
      <w:proofErr w:type="spellEnd"/>
      <w:r w:rsidRPr="00F94FED">
        <w:rPr>
          <w:rFonts w:ascii="Myriad Pro" w:hAnsi="Myriad Pro"/>
          <w:sz w:val="26"/>
          <w:szCs w:val="26"/>
        </w:rPr>
        <w:t>/00459).;</w:t>
      </w:r>
    </w:p>
    <w:p w14:paraId="3DAAD330" w14:textId="21987926" w:rsidR="009A4C46" w:rsidRPr="00F94FED" w:rsidRDefault="009A4C46" w:rsidP="00F94FED">
      <w:pPr>
        <w:pStyle w:val="a3"/>
        <w:numPr>
          <w:ilvl w:val="0"/>
          <w:numId w:val="33"/>
        </w:numPr>
        <w:spacing w:after="0" w:line="360" w:lineRule="auto"/>
        <w:ind w:left="1134" w:hanging="567"/>
        <w:jc w:val="both"/>
        <w:rPr>
          <w:sz w:val="26"/>
          <w:szCs w:val="26"/>
        </w:rPr>
      </w:pPr>
      <w:r w:rsidRPr="00F94FED">
        <w:rPr>
          <w:rFonts w:ascii="Myriad Pro" w:hAnsi="Myriad Pro"/>
          <w:sz w:val="26"/>
          <w:szCs w:val="26"/>
        </w:rPr>
        <w:t>экспертного заключения по предложениям об установлении тарифов на услуги по передаче электрической энергии по электрическим сетям на (расчетный период регулирования) 2019 год от 29.12.2018 Службы по тарифам Республики Тыва;</w:t>
      </w:r>
    </w:p>
    <w:p w14:paraId="5D749D5F" w14:textId="716C79E6" w:rsidR="009A4C46" w:rsidRPr="00F94FED" w:rsidRDefault="009A4C46" w:rsidP="00F94FED">
      <w:pPr>
        <w:pStyle w:val="a3"/>
        <w:numPr>
          <w:ilvl w:val="0"/>
          <w:numId w:val="33"/>
        </w:numPr>
        <w:spacing w:after="0" w:line="360" w:lineRule="auto"/>
        <w:ind w:left="1134" w:hanging="567"/>
        <w:jc w:val="both"/>
        <w:rPr>
          <w:sz w:val="26"/>
          <w:szCs w:val="26"/>
        </w:rPr>
      </w:pPr>
      <w:r w:rsidRPr="00F94FED">
        <w:rPr>
          <w:rFonts w:ascii="Myriad Pro" w:hAnsi="Myriad Pro"/>
          <w:sz w:val="26"/>
          <w:szCs w:val="26"/>
        </w:rPr>
        <w:t>экспертного заключения Службы по тарифам Республики Тыва по предложениям об установлении тарифов на услуги по передаче электрической энергии по электрическим сетям на 2017 год, представленным Обществом в обосновывающих материалах.</w:t>
      </w:r>
    </w:p>
    <w:p w14:paraId="5DC6238C" w14:textId="5268CA2D" w:rsidR="009A4C46" w:rsidRDefault="009A4C46" w:rsidP="001229D0">
      <w:pPr>
        <w:spacing w:after="0" w:line="360" w:lineRule="auto"/>
        <w:ind w:firstLine="567"/>
        <w:jc w:val="both"/>
        <w:rPr>
          <w:rFonts w:eastAsia="Times New Roman"/>
          <w:sz w:val="26"/>
          <w:szCs w:val="26"/>
          <w:lang w:eastAsia="ru-RU"/>
        </w:rPr>
      </w:pPr>
      <w:r w:rsidRPr="00F94FED">
        <w:rPr>
          <w:rFonts w:eastAsia="Times New Roman"/>
          <w:sz w:val="26"/>
          <w:szCs w:val="26"/>
          <w:lang w:eastAsia="ru-RU"/>
        </w:rPr>
        <w:t xml:space="preserve">Анализ корректировки НВВ АО «Тываэнерго» на услуги по передаче электрической энергии на 2019 </w:t>
      </w:r>
      <w:r w:rsidR="001229D0">
        <w:rPr>
          <w:rFonts w:eastAsia="Times New Roman"/>
          <w:sz w:val="26"/>
          <w:szCs w:val="26"/>
          <w:lang w:eastAsia="ru-RU"/>
        </w:rPr>
        <w:t>год</w:t>
      </w:r>
      <w:r w:rsidR="00B61875">
        <w:rPr>
          <w:rFonts w:eastAsia="Times New Roman"/>
          <w:sz w:val="26"/>
          <w:szCs w:val="26"/>
          <w:lang w:eastAsia="ru-RU"/>
        </w:rPr>
        <w:t>, связанной с изменением (не</w:t>
      </w:r>
      <w:r w:rsidRPr="00F94FED">
        <w:rPr>
          <w:rFonts w:eastAsia="Times New Roman"/>
          <w:sz w:val="26"/>
          <w:szCs w:val="26"/>
          <w:lang w:eastAsia="ru-RU"/>
        </w:rPr>
        <w:t>исполнени</w:t>
      </w:r>
      <w:r w:rsidR="00B61875">
        <w:rPr>
          <w:rFonts w:eastAsia="Times New Roman"/>
          <w:sz w:val="26"/>
          <w:szCs w:val="26"/>
          <w:lang w:eastAsia="ru-RU"/>
        </w:rPr>
        <w:t>ем) инвестиционной программы за 2017 год</w:t>
      </w:r>
      <w:r w:rsidRPr="00F94FED">
        <w:rPr>
          <w:rFonts w:eastAsia="Times New Roman"/>
          <w:sz w:val="26"/>
          <w:szCs w:val="26"/>
          <w:lang w:eastAsia="ru-RU"/>
        </w:rPr>
        <w:t>, проведен в соответствии с законодательством в области государственного регулирования тарифов и прочими законными и подзаконными актами, в том числе в сфере бухгалтерского и налогового учета.</w:t>
      </w:r>
    </w:p>
    <w:p w14:paraId="7DB16960" w14:textId="325A91CA" w:rsidR="00CF4399" w:rsidRDefault="00CF4399" w:rsidP="001229D0">
      <w:pPr>
        <w:spacing w:after="0" w:line="360" w:lineRule="auto"/>
        <w:ind w:firstLine="567"/>
        <w:jc w:val="both"/>
        <w:rPr>
          <w:rFonts w:eastAsia="Times New Roman"/>
          <w:sz w:val="26"/>
          <w:szCs w:val="26"/>
          <w:lang w:eastAsia="ru-RU"/>
        </w:rPr>
      </w:pPr>
    </w:p>
    <w:p w14:paraId="5797B525" w14:textId="77777777" w:rsidR="00CF4399" w:rsidRDefault="00CF4399" w:rsidP="001229D0">
      <w:pPr>
        <w:spacing w:after="0" w:line="360" w:lineRule="auto"/>
        <w:ind w:firstLine="567"/>
        <w:jc w:val="both"/>
        <w:rPr>
          <w:rFonts w:eastAsia="Times New Roman"/>
          <w:sz w:val="26"/>
          <w:szCs w:val="26"/>
          <w:lang w:eastAsia="ru-RU"/>
        </w:rPr>
      </w:pPr>
    </w:p>
    <w:p w14:paraId="154E8A21" w14:textId="6E592543" w:rsidR="009A4C46" w:rsidRPr="00F94FED" w:rsidRDefault="00195CA9" w:rsidP="001D2691">
      <w:pPr>
        <w:spacing w:after="0" w:line="360" w:lineRule="auto"/>
        <w:jc w:val="both"/>
        <w:rPr>
          <w:rFonts w:eastAsia="Times New Roman"/>
          <w:b/>
          <w:sz w:val="26"/>
          <w:szCs w:val="26"/>
          <w:lang w:eastAsia="ru-RU"/>
        </w:rPr>
      </w:pPr>
      <w:r w:rsidRPr="00F94FED">
        <w:rPr>
          <w:rFonts w:eastAsia="Times New Roman"/>
          <w:b/>
          <w:sz w:val="26"/>
          <w:szCs w:val="26"/>
          <w:lang w:eastAsia="ru-RU"/>
        </w:rPr>
        <w:lastRenderedPageBreak/>
        <w:t>ПОЗИЦИЯ ТЕРРИТОРИАЛЬНОЙ СЕТЕВОЙ ОРГАНИЗАЦИИ</w:t>
      </w:r>
    </w:p>
    <w:p w14:paraId="0115C66B" w14:textId="77777777" w:rsidR="009A4C46" w:rsidRPr="00F94FED" w:rsidRDefault="009A4C46" w:rsidP="00F94FED">
      <w:pPr>
        <w:spacing w:after="0" w:line="360" w:lineRule="auto"/>
        <w:ind w:firstLine="567"/>
        <w:jc w:val="both"/>
        <w:rPr>
          <w:rFonts w:eastAsia="Times New Roman"/>
          <w:sz w:val="26"/>
          <w:szCs w:val="26"/>
          <w:lang w:eastAsia="ru-RU"/>
        </w:rPr>
      </w:pPr>
      <w:r w:rsidRPr="00F94FED">
        <w:rPr>
          <w:rFonts w:eastAsia="Times New Roman"/>
          <w:sz w:val="26"/>
          <w:szCs w:val="26"/>
          <w:lang w:eastAsia="ru-RU"/>
        </w:rPr>
        <w:t>АО «Тываэнерго» по корректировке НВВ на 2019 год долгосрочного периода регулирования, осуществляемой в связи с изменением (неисполнением) инвестиционной программы за 2017 год, представила расчет на корректировку НВВ в размере (– 3 058) тыс. руб.</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88"/>
        <w:gridCol w:w="2157"/>
      </w:tblGrid>
      <w:tr w:rsidR="009A4C46" w:rsidRPr="009A4C46" w14:paraId="2C57C18D" w14:textId="77777777" w:rsidTr="00F94FED">
        <w:trPr>
          <w:trHeight w:val="902"/>
        </w:trPr>
        <w:tc>
          <w:tcPr>
            <w:tcW w:w="384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C99944D" w14:textId="6CF77492" w:rsidR="00CF4399" w:rsidRPr="00F94FED" w:rsidRDefault="009A4C46" w:rsidP="00874840">
            <w:pPr>
              <w:spacing w:after="0" w:line="283" w:lineRule="auto"/>
              <w:jc w:val="center"/>
              <w:rPr>
                <w:rFonts w:eastAsia="Times New Roman"/>
                <w:b/>
                <w:color w:val="FFFFFF" w:themeColor="background1"/>
                <w:lang w:eastAsia="ru-RU"/>
              </w:rPr>
            </w:pPr>
            <w:r w:rsidRPr="00F94FED">
              <w:rPr>
                <w:rFonts w:eastAsia="Times New Roman"/>
                <w:b/>
                <w:color w:val="FFFFFF" w:themeColor="background1"/>
                <w:lang w:eastAsia="ru-RU"/>
              </w:rPr>
              <w:t xml:space="preserve">Наименование показателя, начиная с тарифной заявки на 2019 год </w:t>
            </w:r>
            <w:r w:rsidRPr="00F94FED">
              <w:rPr>
                <w:rFonts w:eastAsia="Times New Roman"/>
                <w:b/>
                <w:color w:val="FFFFFF" w:themeColor="background1"/>
                <w:lang w:eastAsia="ru-RU"/>
              </w:rPr>
              <w:br/>
              <w:t xml:space="preserve">(согласно приказу ФАС России от 24.08.2017 № 1108/17, </w:t>
            </w:r>
          </w:p>
          <w:p w14:paraId="3B69B3B7" w14:textId="6C400158" w:rsidR="009A4C46" w:rsidRPr="00F94FED" w:rsidRDefault="009A4C46" w:rsidP="00874840">
            <w:pPr>
              <w:spacing w:after="0" w:line="283" w:lineRule="auto"/>
              <w:jc w:val="center"/>
              <w:rPr>
                <w:rFonts w:eastAsia="Times New Roman"/>
                <w:b/>
                <w:color w:val="FFFFFF" w:themeColor="background1"/>
                <w:lang w:eastAsia="ru-RU"/>
              </w:rPr>
            </w:pPr>
            <w:r w:rsidRPr="00F94FED">
              <w:rPr>
                <w:rFonts w:eastAsia="Times New Roman"/>
                <w:b/>
                <w:color w:val="FFFFFF" w:themeColor="background1"/>
                <w:lang w:eastAsia="ru-RU"/>
              </w:rPr>
              <w:t>вступившему в силу с 09.01.2018)</w:t>
            </w:r>
          </w:p>
        </w:tc>
        <w:tc>
          <w:tcPr>
            <w:tcW w:w="115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12039D6" w14:textId="6E8073FE" w:rsidR="009A4C46" w:rsidRPr="00F94FED" w:rsidRDefault="009A4C46" w:rsidP="00874840">
            <w:pPr>
              <w:spacing w:after="0" w:line="283" w:lineRule="auto"/>
              <w:jc w:val="center"/>
              <w:rPr>
                <w:rFonts w:eastAsia="Times New Roman"/>
                <w:b/>
                <w:color w:val="FFFFFF" w:themeColor="background1"/>
                <w:lang w:eastAsia="ru-RU"/>
              </w:rPr>
            </w:pPr>
            <w:r w:rsidRPr="00F94FED">
              <w:rPr>
                <w:rFonts w:eastAsia="Times New Roman"/>
                <w:b/>
                <w:color w:val="FFFFFF" w:themeColor="background1"/>
                <w:lang w:eastAsia="ru-RU"/>
              </w:rPr>
              <w:t>2017 г</w:t>
            </w:r>
            <w:r w:rsidR="00CF4399">
              <w:rPr>
                <w:rFonts w:eastAsia="Times New Roman"/>
                <w:b/>
                <w:bCs/>
                <w:color w:val="FFFFFF" w:themeColor="background1"/>
                <w:lang w:eastAsia="ru-RU"/>
              </w:rPr>
              <w:t>од</w:t>
            </w:r>
          </w:p>
        </w:tc>
      </w:tr>
      <w:tr w:rsidR="009A4C46" w:rsidRPr="009A4C46" w14:paraId="2B509FBB" w14:textId="77777777" w:rsidTr="00F94FED">
        <w:trPr>
          <w:trHeight w:val="600"/>
        </w:trPr>
        <w:tc>
          <w:tcPr>
            <w:tcW w:w="3846" w:type="pct"/>
            <w:tcBorders>
              <w:top w:val="single" w:sz="4" w:space="0" w:color="FFFFFF" w:themeColor="background1"/>
            </w:tcBorders>
            <w:shd w:val="clear" w:color="auto" w:fill="auto"/>
            <w:vAlign w:val="center"/>
            <w:hideMark/>
          </w:tcPr>
          <w:p w14:paraId="3DA90CE6" w14:textId="77777777" w:rsidR="009A4C46" w:rsidRPr="009A4C46" w:rsidRDefault="009A4C46" w:rsidP="00874840">
            <w:pPr>
              <w:spacing w:after="0" w:line="283" w:lineRule="auto"/>
              <w:rPr>
                <w:rFonts w:eastAsia="Times New Roman"/>
                <w:lang w:eastAsia="ru-RU"/>
              </w:rPr>
            </w:pPr>
            <w:r w:rsidRPr="009A4C46">
              <w:rPr>
                <w:rFonts w:eastAsia="Times New Roman"/>
                <w:lang w:eastAsia="ru-RU"/>
              </w:rPr>
              <w:t>Год долгосрочного периода регулирования, в котором необходимо учесть корректировку</w:t>
            </w:r>
          </w:p>
        </w:tc>
        <w:tc>
          <w:tcPr>
            <w:tcW w:w="1154" w:type="pct"/>
            <w:tcBorders>
              <w:top w:val="single" w:sz="4" w:space="0" w:color="FFFFFF" w:themeColor="background1"/>
            </w:tcBorders>
            <w:shd w:val="clear" w:color="auto" w:fill="auto"/>
            <w:noWrap/>
            <w:vAlign w:val="center"/>
            <w:hideMark/>
          </w:tcPr>
          <w:p w14:paraId="1960A2C2" w14:textId="77777777" w:rsidR="009A4C46" w:rsidRPr="009A4C46" w:rsidRDefault="009A4C46" w:rsidP="00874840">
            <w:pPr>
              <w:spacing w:after="0" w:line="283" w:lineRule="auto"/>
              <w:jc w:val="center"/>
              <w:rPr>
                <w:rFonts w:eastAsia="Times New Roman"/>
                <w:lang w:eastAsia="ru-RU"/>
              </w:rPr>
            </w:pPr>
            <w:r w:rsidRPr="009A4C46">
              <w:rPr>
                <w:rFonts w:eastAsia="Times New Roman"/>
                <w:lang w:eastAsia="ru-RU"/>
              </w:rPr>
              <w:t>2019</w:t>
            </w:r>
          </w:p>
        </w:tc>
      </w:tr>
      <w:tr w:rsidR="009A4C46" w:rsidRPr="009A4C46" w14:paraId="67EE0AC1" w14:textId="77777777" w:rsidTr="00F94FED">
        <w:trPr>
          <w:trHeight w:val="1070"/>
        </w:trPr>
        <w:tc>
          <w:tcPr>
            <w:tcW w:w="3846" w:type="pct"/>
            <w:shd w:val="clear" w:color="auto" w:fill="auto"/>
            <w:vAlign w:val="center"/>
            <w:hideMark/>
          </w:tcPr>
          <w:p w14:paraId="4F0C85B3" w14:textId="77777777" w:rsidR="009A4C46" w:rsidRPr="009A4C46" w:rsidRDefault="009A4C46" w:rsidP="00874840">
            <w:pPr>
              <w:spacing w:after="0" w:line="283" w:lineRule="auto"/>
              <w:rPr>
                <w:rFonts w:eastAsia="Times New Roman"/>
                <w:b/>
                <w:bCs/>
                <w:lang w:eastAsia="ru-RU"/>
              </w:rPr>
            </w:pPr>
            <w:r w:rsidRPr="009A4C46">
              <w:rPr>
                <w:rFonts w:eastAsia="Times New Roman"/>
                <w:b/>
                <w:bCs/>
                <w:lang w:eastAsia="ru-RU"/>
              </w:rPr>
              <w:t>Корректировка необходимой валовой выручки на i-</w:t>
            </w:r>
            <w:proofErr w:type="spellStart"/>
            <w:r w:rsidRPr="009A4C46">
              <w:rPr>
                <w:rFonts w:eastAsia="Times New Roman"/>
                <w:b/>
                <w:bCs/>
                <w:lang w:eastAsia="ru-RU"/>
              </w:rPr>
              <w:t>тый</w:t>
            </w:r>
            <w:proofErr w:type="spellEnd"/>
            <w:r w:rsidRPr="009A4C46">
              <w:rPr>
                <w:rFonts w:eastAsia="Times New Roman"/>
                <w:b/>
                <w:bCs/>
                <w:lang w:eastAsia="ru-RU"/>
              </w:rPr>
              <w:t xml:space="preserve"> год долгосрочного периода регулирования, осуществляемая в связи с изменением (неисполнением) инвестиционной программы на (i-1)-й год</w:t>
            </w:r>
            <w:r w:rsidRPr="009A4C46">
              <w:rPr>
                <w:rFonts w:eastAsia="Times New Roman"/>
                <w:lang w:eastAsia="ru-RU"/>
              </w:rPr>
              <w:t xml:space="preserve"> (предусмотрена для ежегодного применения по итогам последнего истекшего года долгосрочного периода регулирования)</w:t>
            </w:r>
          </w:p>
        </w:tc>
        <w:tc>
          <w:tcPr>
            <w:tcW w:w="1154" w:type="pct"/>
            <w:shd w:val="clear" w:color="auto" w:fill="auto"/>
            <w:noWrap/>
            <w:vAlign w:val="center"/>
            <w:hideMark/>
          </w:tcPr>
          <w:p w14:paraId="2E7209C8" w14:textId="77777777" w:rsidR="009A4C46" w:rsidRPr="009A4C46" w:rsidRDefault="009A4C46" w:rsidP="00874840">
            <w:pPr>
              <w:spacing w:after="0" w:line="283" w:lineRule="auto"/>
              <w:jc w:val="center"/>
              <w:rPr>
                <w:rFonts w:eastAsia="Times New Roman"/>
                <w:b/>
                <w:bCs/>
                <w:lang w:eastAsia="ru-RU"/>
              </w:rPr>
            </w:pPr>
            <w:r w:rsidRPr="009A4C46">
              <w:rPr>
                <w:rFonts w:eastAsia="Times New Roman"/>
                <w:b/>
                <w:bCs/>
                <w:lang w:eastAsia="ru-RU"/>
              </w:rPr>
              <w:t>-3 058</w:t>
            </w:r>
          </w:p>
        </w:tc>
      </w:tr>
      <w:tr w:rsidR="009A4C46" w:rsidRPr="009A4C46" w14:paraId="012EA69D" w14:textId="77777777" w:rsidTr="00F94FED">
        <w:trPr>
          <w:trHeight w:val="837"/>
        </w:trPr>
        <w:tc>
          <w:tcPr>
            <w:tcW w:w="3846" w:type="pct"/>
            <w:shd w:val="clear" w:color="auto" w:fill="auto"/>
            <w:vAlign w:val="center"/>
            <w:hideMark/>
          </w:tcPr>
          <w:p w14:paraId="321F8ACC" w14:textId="77777777" w:rsidR="009A4C46" w:rsidRPr="009A4C46" w:rsidRDefault="009A4C46" w:rsidP="00874840">
            <w:pPr>
              <w:spacing w:after="0" w:line="283" w:lineRule="auto"/>
              <w:rPr>
                <w:rFonts w:eastAsia="Times New Roman"/>
                <w:lang w:eastAsia="ru-RU"/>
              </w:rPr>
            </w:pPr>
            <w:r w:rsidRPr="009A4C46">
              <w:rPr>
                <w:rFonts w:eastAsia="Times New Roman"/>
                <w:lang w:eastAsia="ru-RU"/>
              </w:rPr>
              <w:t>Плановые расходы на реализацию инвестиционной программы (расчетная величина собственных средств регулируемой организации для финансирования инвестиционной программы, учтенная при установлении тарифов в году i-2, которая не может принимать отрицательные значения)</w:t>
            </w:r>
          </w:p>
        </w:tc>
        <w:tc>
          <w:tcPr>
            <w:tcW w:w="1154" w:type="pct"/>
            <w:shd w:val="clear" w:color="auto" w:fill="auto"/>
            <w:noWrap/>
            <w:vAlign w:val="center"/>
            <w:hideMark/>
          </w:tcPr>
          <w:p w14:paraId="7F1C712C" w14:textId="77777777" w:rsidR="009A4C46" w:rsidRPr="009A4C46" w:rsidRDefault="009A4C46" w:rsidP="00874840">
            <w:pPr>
              <w:spacing w:after="0" w:line="283" w:lineRule="auto"/>
              <w:jc w:val="center"/>
              <w:rPr>
                <w:rFonts w:eastAsia="Times New Roman"/>
                <w:lang w:eastAsia="ru-RU"/>
              </w:rPr>
            </w:pPr>
            <w:r w:rsidRPr="009A4C46">
              <w:rPr>
                <w:rFonts w:eastAsia="Times New Roman"/>
                <w:lang w:eastAsia="ru-RU"/>
              </w:rPr>
              <w:t>78 756,0</w:t>
            </w:r>
          </w:p>
        </w:tc>
      </w:tr>
      <w:tr w:rsidR="009A4C46" w:rsidRPr="009A4C46" w14:paraId="4EEAC8B6" w14:textId="77777777" w:rsidTr="00F94FED">
        <w:trPr>
          <w:trHeight w:val="1615"/>
        </w:trPr>
        <w:tc>
          <w:tcPr>
            <w:tcW w:w="3846" w:type="pct"/>
            <w:shd w:val="clear" w:color="auto" w:fill="auto"/>
            <w:vAlign w:val="center"/>
            <w:hideMark/>
          </w:tcPr>
          <w:p w14:paraId="75BA91CD" w14:textId="77777777" w:rsidR="009A4C46" w:rsidRPr="009A4C46" w:rsidRDefault="009A4C46" w:rsidP="00874840">
            <w:pPr>
              <w:spacing w:after="0" w:line="283" w:lineRule="auto"/>
              <w:rPr>
                <w:rFonts w:eastAsia="Times New Roman"/>
                <w:lang w:eastAsia="ru-RU"/>
              </w:rPr>
            </w:pPr>
            <w:r w:rsidRPr="009A4C46">
              <w:rPr>
                <w:rFonts w:eastAsia="Times New Roman"/>
                <w:lang w:eastAsia="ru-RU"/>
              </w:rPr>
              <w:t>Объем фактического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год (i-2) до его начала, за счет собственных средств (выручки от реализации товаров (услуг) по регулируемым ценам (тарифам)) без НДС в году (i-2) долгосрочного периода регулирования</w:t>
            </w:r>
          </w:p>
        </w:tc>
        <w:tc>
          <w:tcPr>
            <w:tcW w:w="1154" w:type="pct"/>
            <w:shd w:val="clear" w:color="auto" w:fill="auto"/>
            <w:noWrap/>
            <w:vAlign w:val="center"/>
            <w:hideMark/>
          </w:tcPr>
          <w:p w14:paraId="11784B3B" w14:textId="77777777" w:rsidR="009A4C46" w:rsidRPr="009A4C46" w:rsidRDefault="009A4C46" w:rsidP="00874840">
            <w:pPr>
              <w:spacing w:after="0" w:line="283" w:lineRule="auto"/>
              <w:jc w:val="center"/>
              <w:rPr>
                <w:rFonts w:eastAsia="Times New Roman"/>
                <w:lang w:eastAsia="ru-RU"/>
              </w:rPr>
            </w:pPr>
            <w:r w:rsidRPr="009A4C46">
              <w:rPr>
                <w:rFonts w:eastAsia="Times New Roman"/>
                <w:lang w:eastAsia="ru-RU"/>
              </w:rPr>
              <w:t>68 136,0</w:t>
            </w:r>
          </w:p>
        </w:tc>
      </w:tr>
      <w:tr w:rsidR="009A4C46" w:rsidRPr="009A4C46" w14:paraId="70C731E7" w14:textId="77777777" w:rsidTr="00F94FED">
        <w:trPr>
          <w:trHeight w:val="1114"/>
        </w:trPr>
        <w:tc>
          <w:tcPr>
            <w:tcW w:w="3846" w:type="pct"/>
            <w:shd w:val="clear" w:color="auto" w:fill="auto"/>
            <w:vAlign w:val="center"/>
            <w:hideMark/>
          </w:tcPr>
          <w:p w14:paraId="2022C363" w14:textId="77777777" w:rsidR="009A4C46" w:rsidRPr="009A4C46" w:rsidRDefault="009A4C46" w:rsidP="00874840">
            <w:pPr>
              <w:spacing w:after="0" w:line="283" w:lineRule="auto"/>
              <w:rPr>
                <w:rFonts w:eastAsia="Times New Roman"/>
                <w:lang w:eastAsia="ru-RU"/>
              </w:rPr>
            </w:pPr>
            <w:r w:rsidRPr="009A4C46">
              <w:rPr>
                <w:rFonts w:eastAsia="Times New Roman"/>
                <w:lang w:eastAsia="ru-RU"/>
              </w:rPr>
              <w:t>Плановый размер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год (i-2) до его начала, за счет собственных средств (выручки от реализации товаров (услуг) по регулируемым ценам (тарифам)) без НДС</w:t>
            </w:r>
          </w:p>
        </w:tc>
        <w:tc>
          <w:tcPr>
            <w:tcW w:w="1154" w:type="pct"/>
            <w:shd w:val="clear" w:color="auto" w:fill="auto"/>
            <w:noWrap/>
            <w:vAlign w:val="center"/>
            <w:hideMark/>
          </w:tcPr>
          <w:p w14:paraId="70AE7B90" w14:textId="77777777" w:rsidR="009A4C46" w:rsidRPr="009A4C46" w:rsidRDefault="009A4C46" w:rsidP="00874840">
            <w:pPr>
              <w:spacing w:after="0" w:line="283" w:lineRule="auto"/>
              <w:jc w:val="center"/>
              <w:rPr>
                <w:rFonts w:eastAsia="Times New Roman"/>
                <w:lang w:eastAsia="ru-RU"/>
              </w:rPr>
            </w:pPr>
            <w:r w:rsidRPr="009A4C46">
              <w:rPr>
                <w:rFonts w:eastAsia="Times New Roman"/>
                <w:lang w:eastAsia="ru-RU"/>
              </w:rPr>
              <w:t>70 888,0</w:t>
            </w:r>
          </w:p>
        </w:tc>
      </w:tr>
    </w:tbl>
    <w:p w14:paraId="24D26F05" w14:textId="77777777" w:rsidR="009A4C46" w:rsidRPr="00F94FED" w:rsidRDefault="009A4C46" w:rsidP="009A4C46">
      <w:pPr>
        <w:spacing w:after="32" w:line="360" w:lineRule="auto"/>
        <w:ind w:firstLine="567"/>
        <w:jc w:val="both"/>
        <w:rPr>
          <w:rFonts w:eastAsia="Times New Roman"/>
          <w:sz w:val="26"/>
          <w:szCs w:val="26"/>
          <w:lang w:eastAsia="ru-RU"/>
        </w:rPr>
      </w:pPr>
    </w:p>
    <w:p w14:paraId="37F9CF49" w14:textId="71CCD454" w:rsidR="009A4C46" w:rsidRPr="00F94FED" w:rsidRDefault="00CF4399" w:rsidP="001D2691">
      <w:pPr>
        <w:spacing w:after="32" w:line="360" w:lineRule="auto"/>
        <w:jc w:val="both"/>
        <w:rPr>
          <w:rFonts w:eastAsia="Times New Roman"/>
          <w:b/>
          <w:sz w:val="26"/>
          <w:szCs w:val="26"/>
          <w:lang w:eastAsia="ru-RU"/>
        </w:rPr>
      </w:pPr>
      <w:r w:rsidRPr="00F94FED">
        <w:rPr>
          <w:rFonts w:eastAsia="Times New Roman"/>
          <w:b/>
          <w:sz w:val="26"/>
          <w:szCs w:val="26"/>
          <w:lang w:eastAsia="ru-RU"/>
        </w:rPr>
        <w:t>ПОЗИЦИЯ ОРГАНА РЕГУЛИРОВАНИЯ</w:t>
      </w:r>
    </w:p>
    <w:p w14:paraId="0591ED67" w14:textId="523471DD" w:rsidR="009A4C46" w:rsidRPr="00F94FED" w:rsidRDefault="009A4C46" w:rsidP="00F94FED">
      <w:pPr>
        <w:autoSpaceDE w:val="0"/>
        <w:autoSpaceDN w:val="0"/>
        <w:adjustRightInd w:val="0"/>
        <w:spacing w:after="0" w:line="360" w:lineRule="auto"/>
        <w:ind w:firstLine="567"/>
        <w:jc w:val="both"/>
        <w:rPr>
          <w:rFonts w:eastAsia="Times New Roman"/>
          <w:sz w:val="26"/>
          <w:szCs w:val="26"/>
          <w:shd w:val="clear" w:color="auto" w:fill="FFFFFF"/>
          <w:lang w:eastAsia="ru-RU"/>
        </w:rPr>
      </w:pPr>
      <w:r w:rsidRPr="00F94FED">
        <w:rPr>
          <w:rFonts w:eastAsia="Times New Roman"/>
          <w:sz w:val="26"/>
          <w:szCs w:val="26"/>
          <w:shd w:val="clear" w:color="auto" w:fill="FFFFFF"/>
          <w:lang w:eastAsia="ru-RU"/>
        </w:rPr>
        <w:t>Служба по тарифам Республики Тыва приняла в расчет НВВ на 2019 год корректировку, осуществляемую в связи с изменением (неисполнением) инвестиционной программы за 2017 год в сумме (-3 058) тыс. руб., что соответствует предложению АО «Тываэнерго.</w:t>
      </w:r>
    </w:p>
    <w:p w14:paraId="4A4D3FA4" w14:textId="77777777" w:rsidR="009A4C46" w:rsidRPr="00F94FED" w:rsidRDefault="009A4C46" w:rsidP="00F94FED">
      <w:pPr>
        <w:autoSpaceDE w:val="0"/>
        <w:autoSpaceDN w:val="0"/>
        <w:adjustRightInd w:val="0"/>
        <w:spacing w:after="0" w:line="360" w:lineRule="auto"/>
        <w:ind w:firstLine="567"/>
        <w:jc w:val="both"/>
        <w:rPr>
          <w:rFonts w:eastAsia="Times New Roman"/>
          <w:sz w:val="26"/>
          <w:szCs w:val="26"/>
          <w:shd w:val="clear" w:color="auto" w:fill="FFFFFF"/>
          <w:lang w:eastAsia="ru-RU"/>
        </w:rPr>
      </w:pPr>
    </w:p>
    <w:p w14:paraId="0B3292DF" w14:textId="77777777" w:rsidR="00C93C06" w:rsidRDefault="00C93C06" w:rsidP="00F94FED">
      <w:pPr>
        <w:autoSpaceDE w:val="0"/>
        <w:autoSpaceDN w:val="0"/>
        <w:adjustRightInd w:val="0"/>
        <w:spacing w:after="0" w:line="360" w:lineRule="auto"/>
        <w:jc w:val="center"/>
        <w:rPr>
          <w:rFonts w:eastAsia="Times New Roman"/>
          <w:b/>
          <w:iCs/>
          <w:sz w:val="26"/>
          <w:szCs w:val="26"/>
          <w:shd w:val="clear" w:color="auto" w:fill="FFFFFF"/>
          <w:lang w:eastAsia="ru-RU"/>
        </w:rPr>
      </w:pPr>
      <w:r>
        <w:rPr>
          <w:rFonts w:eastAsia="Times New Roman"/>
          <w:b/>
          <w:iCs/>
          <w:sz w:val="26"/>
          <w:szCs w:val="26"/>
          <w:shd w:val="clear" w:color="auto" w:fill="FFFFFF"/>
          <w:lang w:eastAsia="ru-RU"/>
        </w:rPr>
        <w:br w:type="page"/>
      </w:r>
    </w:p>
    <w:p w14:paraId="0F05681C" w14:textId="06E7F1C4" w:rsidR="009A4C46" w:rsidRPr="00F94FED" w:rsidRDefault="009A4C46" w:rsidP="00F94FED">
      <w:pPr>
        <w:autoSpaceDE w:val="0"/>
        <w:autoSpaceDN w:val="0"/>
        <w:adjustRightInd w:val="0"/>
        <w:spacing w:after="0" w:line="360" w:lineRule="auto"/>
        <w:jc w:val="center"/>
        <w:rPr>
          <w:rFonts w:eastAsia="Times New Roman"/>
          <w:b/>
          <w:iCs/>
          <w:sz w:val="26"/>
          <w:szCs w:val="26"/>
          <w:shd w:val="clear" w:color="auto" w:fill="FFFFFF"/>
          <w:lang w:eastAsia="ru-RU"/>
        </w:rPr>
      </w:pPr>
      <w:r w:rsidRPr="00F94FED">
        <w:rPr>
          <w:rFonts w:eastAsia="Times New Roman"/>
          <w:b/>
          <w:iCs/>
          <w:sz w:val="26"/>
          <w:szCs w:val="26"/>
          <w:shd w:val="clear" w:color="auto" w:fill="FFFFFF"/>
          <w:lang w:eastAsia="ru-RU"/>
        </w:rPr>
        <w:lastRenderedPageBreak/>
        <w:t xml:space="preserve">Сравнительная данные по корректировке НВВ по предложению </w:t>
      </w:r>
      <w:r w:rsidR="008B0B3C">
        <w:rPr>
          <w:rFonts w:eastAsia="Times New Roman"/>
          <w:b/>
          <w:iCs/>
          <w:sz w:val="26"/>
          <w:szCs w:val="26"/>
          <w:shd w:val="clear" w:color="auto" w:fill="FFFFFF"/>
          <w:lang w:eastAsia="ru-RU"/>
        </w:rPr>
        <w:br/>
      </w:r>
      <w:r w:rsidRPr="00F94FED">
        <w:rPr>
          <w:rFonts w:eastAsia="Times New Roman"/>
          <w:b/>
          <w:iCs/>
          <w:sz w:val="26"/>
          <w:szCs w:val="26"/>
          <w:shd w:val="clear" w:color="auto" w:fill="FFFFFF"/>
          <w:lang w:eastAsia="ru-RU"/>
        </w:rPr>
        <w:t xml:space="preserve">АО «Тываэнерго» и утвержденным </w:t>
      </w:r>
      <w:r w:rsidR="008B0B3C">
        <w:rPr>
          <w:rFonts w:eastAsia="Times New Roman"/>
          <w:b/>
          <w:iCs/>
          <w:sz w:val="26"/>
          <w:szCs w:val="26"/>
          <w:shd w:val="clear" w:color="auto" w:fill="FFFFFF"/>
          <w:lang w:eastAsia="ru-RU"/>
        </w:rPr>
        <w:t>Службой</w:t>
      </w:r>
      <w:r w:rsidRPr="00F94FED">
        <w:rPr>
          <w:rFonts w:eastAsia="Times New Roman"/>
          <w:b/>
          <w:iCs/>
          <w:sz w:val="26"/>
          <w:szCs w:val="26"/>
          <w:shd w:val="clear" w:color="auto" w:fill="FFFFFF"/>
          <w:lang w:eastAsia="ru-RU"/>
        </w:rPr>
        <w:t xml:space="preserve"> параметрам</w:t>
      </w:r>
      <w:r w:rsidRPr="00F94FED" w:rsidDel="00631288">
        <w:rPr>
          <w:rFonts w:eastAsia="Times New Roman"/>
          <w:b/>
          <w:iCs/>
          <w:sz w:val="26"/>
          <w:szCs w:val="26"/>
          <w:shd w:val="clear" w:color="auto" w:fill="FFFFFF"/>
          <w:lang w:eastAsia="ru-RU"/>
        </w:rPr>
        <w:t xml:space="preserve"> </w:t>
      </w:r>
    </w:p>
    <w:tbl>
      <w:tblPr>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438"/>
        <w:gridCol w:w="1359"/>
        <w:gridCol w:w="3437"/>
        <w:gridCol w:w="1562"/>
        <w:gridCol w:w="1095"/>
        <w:gridCol w:w="1454"/>
      </w:tblGrid>
      <w:tr w:rsidR="009A4C46" w:rsidRPr="00C93C06" w14:paraId="112A9D13" w14:textId="77777777" w:rsidTr="00F94FED">
        <w:trPr>
          <w:trHeight w:val="283"/>
          <w:tblHeader/>
        </w:trPr>
        <w:tc>
          <w:tcPr>
            <w:tcW w:w="23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D77A554" w14:textId="77777777" w:rsidR="009A4C46" w:rsidRPr="00C93C06" w:rsidRDefault="009A4C46" w:rsidP="00F94FED">
            <w:pPr>
              <w:spacing w:after="0" w:line="240" w:lineRule="auto"/>
              <w:jc w:val="center"/>
              <w:rPr>
                <w:rFonts w:eastAsia="Times New Roman"/>
                <w:b/>
                <w:color w:val="FFFFFF" w:themeColor="background1"/>
                <w:lang w:eastAsia="ru-RU"/>
              </w:rPr>
            </w:pPr>
            <w:r w:rsidRPr="00C93C06">
              <w:rPr>
                <w:rFonts w:eastAsia="Times New Roman"/>
                <w:b/>
                <w:color w:val="FFFFFF" w:themeColor="background1"/>
                <w:lang w:eastAsia="ru-RU"/>
              </w:rPr>
              <w:t>№</w:t>
            </w:r>
          </w:p>
          <w:p w14:paraId="520E7955" w14:textId="77777777" w:rsidR="009A4C46" w:rsidRPr="00C93C06" w:rsidRDefault="009A4C46" w:rsidP="00F94FED">
            <w:pPr>
              <w:spacing w:after="0" w:line="240" w:lineRule="auto"/>
              <w:jc w:val="center"/>
              <w:rPr>
                <w:rFonts w:eastAsia="Times New Roman"/>
                <w:b/>
                <w:color w:val="FFFFFF" w:themeColor="background1"/>
                <w:lang w:eastAsia="ru-RU"/>
              </w:rPr>
            </w:pPr>
            <w:r w:rsidRPr="00C93C06">
              <w:rPr>
                <w:rFonts w:eastAsia="Times New Roman"/>
                <w:b/>
                <w:color w:val="FFFFFF" w:themeColor="background1"/>
                <w:lang w:eastAsia="ru-RU"/>
              </w:rPr>
              <w:t>п/п</w:t>
            </w:r>
          </w:p>
        </w:tc>
        <w:tc>
          <w:tcPr>
            <w:tcW w:w="72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0518859" w14:textId="77777777" w:rsidR="009A4C46" w:rsidRPr="00C93C06" w:rsidRDefault="009A4C46" w:rsidP="00F94FED">
            <w:pPr>
              <w:spacing w:after="0" w:line="240" w:lineRule="auto"/>
              <w:jc w:val="center"/>
              <w:rPr>
                <w:rFonts w:eastAsia="Times New Roman"/>
                <w:b/>
                <w:color w:val="FFFFFF" w:themeColor="background1"/>
                <w:lang w:eastAsia="ru-RU"/>
              </w:rPr>
            </w:pPr>
            <w:r w:rsidRPr="00C93C06">
              <w:rPr>
                <w:rFonts w:eastAsia="Times New Roman"/>
                <w:b/>
                <w:color w:val="FFFFFF" w:themeColor="background1"/>
                <w:lang w:eastAsia="ru-RU"/>
              </w:rPr>
              <w:t>Обозначение</w:t>
            </w:r>
          </w:p>
        </w:tc>
        <w:tc>
          <w:tcPr>
            <w:tcW w:w="183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2E88956" w14:textId="77777777" w:rsidR="009A4C46" w:rsidRPr="00C93C06" w:rsidRDefault="009A4C46" w:rsidP="00F94FED">
            <w:pPr>
              <w:spacing w:after="0" w:line="240" w:lineRule="auto"/>
              <w:jc w:val="center"/>
              <w:rPr>
                <w:rFonts w:eastAsia="Times New Roman"/>
                <w:b/>
                <w:color w:val="FFFFFF" w:themeColor="background1"/>
                <w:lang w:eastAsia="ru-RU"/>
              </w:rPr>
            </w:pPr>
            <w:r w:rsidRPr="00C93C06">
              <w:rPr>
                <w:rFonts w:eastAsia="Times New Roman"/>
                <w:b/>
                <w:color w:val="FFFFFF" w:themeColor="background1"/>
                <w:lang w:eastAsia="ru-RU"/>
              </w:rPr>
              <w:t>Показатель (тыс. руб.)</w:t>
            </w:r>
          </w:p>
        </w:tc>
        <w:tc>
          <w:tcPr>
            <w:tcW w:w="2201"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DE97B43" w14:textId="77777777" w:rsidR="009A4C46" w:rsidRPr="00C93C06" w:rsidRDefault="009A4C46" w:rsidP="00F94FED">
            <w:pPr>
              <w:spacing w:after="0" w:line="240" w:lineRule="auto"/>
              <w:jc w:val="center"/>
              <w:rPr>
                <w:rFonts w:eastAsia="Times New Roman"/>
                <w:b/>
                <w:color w:val="FFFFFF" w:themeColor="background1"/>
                <w:lang w:eastAsia="ru-RU"/>
              </w:rPr>
            </w:pPr>
            <w:r w:rsidRPr="00C93C06">
              <w:rPr>
                <w:rFonts w:eastAsia="Times New Roman"/>
                <w:b/>
                <w:color w:val="FFFFFF" w:themeColor="background1"/>
                <w:lang w:eastAsia="ru-RU"/>
              </w:rPr>
              <w:t>2019 год</w:t>
            </w:r>
          </w:p>
        </w:tc>
      </w:tr>
      <w:tr w:rsidR="00F94FED" w:rsidRPr="00C93C06" w14:paraId="59D9E640" w14:textId="77777777" w:rsidTr="00F94FED">
        <w:trPr>
          <w:trHeight w:val="662"/>
          <w:tblHeader/>
        </w:trPr>
        <w:tc>
          <w:tcPr>
            <w:tcW w:w="23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AD88C50" w14:textId="77777777" w:rsidR="009A4C46" w:rsidRPr="00C93C06" w:rsidRDefault="009A4C46" w:rsidP="00F94FED">
            <w:pPr>
              <w:spacing w:after="0" w:line="240" w:lineRule="auto"/>
              <w:jc w:val="center"/>
              <w:rPr>
                <w:rFonts w:eastAsia="Times New Roman"/>
                <w:b/>
                <w:color w:val="FFFFFF" w:themeColor="background1"/>
                <w:lang w:eastAsia="ru-RU"/>
              </w:rPr>
            </w:pPr>
          </w:p>
        </w:tc>
        <w:tc>
          <w:tcPr>
            <w:tcW w:w="72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08BAB8F" w14:textId="77777777" w:rsidR="009A4C46" w:rsidRPr="00C93C06" w:rsidRDefault="009A4C46" w:rsidP="00F94FED">
            <w:pPr>
              <w:spacing w:after="0" w:line="240" w:lineRule="auto"/>
              <w:jc w:val="center"/>
              <w:rPr>
                <w:rFonts w:eastAsia="Times New Roman"/>
                <w:b/>
                <w:color w:val="FFFFFF" w:themeColor="background1"/>
                <w:lang w:eastAsia="ru-RU"/>
              </w:rPr>
            </w:pPr>
          </w:p>
        </w:tc>
        <w:tc>
          <w:tcPr>
            <w:tcW w:w="183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9416644" w14:textId="77777777" w:rsidR="009A4C46" w:rsidRPr="00C93C06" w:rsidRDefault="009A4C46" w:rsidP="00F94FED">
            <w:pPr>
              <w:spacing w:after="0" w:line="240" w:lineRule="auto"/>
              <w:jc w:val="center"/>
              <w:rPr>
                <w:rFonts w:eastAsia="Times New Roman"/>
                <w:b/>
                <w:color w:val="FFFFFF" w:themeColor="background1"/>
                <w:lang w:eastAsia="ru-RU"/>
              </w:rPr>
            </w:pPr>
          </w:p>
        </w:tc>
        <w:tc>
          <w:tcPr>
            <w:tcW w:w="83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CFD05F5" w14:textId="77777777" w:rsidR="009A4C46" w:rsidRPr="00C93C06" w:rsidRDefault="009A4C46" w:rsidP="00F94FED">
            <w:pPr>
              <w:spacing w:after="0" w:line="240" w:lineRule="auto"/>
              <w:jc w:val="center"/>
              <w:rPr>
                <w:rFonts w:eastAsia="Times New Roman"/>
                <w:b/>
                <w:color w:val="FFFFFF" w:themeColor="background1"/>
                <w:lang w:eastAsia="ru-RU"/>
              </w:rPr>
            </w:pPr>
            <w:r w:rsidRPr="00C93C06">
              <w:rPr>
                <w:rFonts w:eastAsia="Times New Roman"/>
                <w:b/>
                <w:color w:val="FFFFFF" w:themeColor="background1"/>
                <w:lang w:eastAsia="ru-RU"/>
              </w:rPr>
              <w:t>Предложение</w:t>
            </w:r>
          </w:p>
          <w:p w14:paraId="11DA7E3E" w14:textId="77777777" w:rsidR="009A4C46" w:rsidRPr="00C93C06" w:rsidRDefault="009A4C46" w:rsidP="00F94FED">
            <w:pPr>
              <w:spacing w:after="0" w:line="240" w:lineRule="auto"/>
              <w:jc w:val="center"/>
              <w:rPr>
                <w:rFonts w:eastAsia="Times New Roman"/>
                <w:b/>
                <w:color w:val="FFFFFF" w:themeColor="background1"/>
                <w:lang w:eastAsia="ru-RU"/>
              </w:rPr>
            </w:pPr>
            <w:r w:rsidRPr="00C93C06">
              <w:rPr>
                <w:rFonts w:eastAsia="Times New Roman"/>
                <w:b/>
                <w:color w:val="FFFFFF" w:themeColor="background1"/>
                <w:lang w:eastAsia="ru-RU"/>
              </w:rPr>
              <w:t>АО</w:t>
            </w:r>
          </w:p>
          <w:p w14:paraId="0629DC48" w14:textId="77777777" w:rsidR="009A4C46" w:rsidRPr="00C93C06" w:rsidRDefault="009A4C46" w:rsidP="00F94FED">
            <w:pPr>
              <w:spacing w:after="0" w:line="240" w:lineRule="auto"/>
              <w:jc w:val="center"/>
              <w:rPr>
                <w:rFonts w:eastAsia="Times New Roman"/>
                <w:b/>
                <w:color w:val="FFFFFF" w:themeColor="background1"/>
                <w:lang w:eastAsia="ru-RU"/>
              </w:rPr>
            </w:pPr>
            <w:r w:rsidRPr="00C93C06">
              <w:rPr>
                <w:rFonts w:eastAsia="Times New Roman"/>
                <w:b/>
                <w:color w:val="FFFFFF" w:themeColor="background1"/>
                <w:lang w:eastAsia="ru-RU"/>
              </w:rPr>
              <w:t>«Тываэнерго»</w:t>
            </w:r>
          </w:p>
        </w:tc>
        <w:tc>
          <w:tcPr>
            <w:tcW w:w="58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EF45BC6" w14:textId="77777777" w:rsidR="009A4C46" w:rsidRPr="00C93C06" w:rsidRDefault="009A4C46" w:rsidP="00F94FED">
            <w:pPr>
              <w:spacing w:after="0" w:line="240" w:lineRule="auto"/>
              <w:jc w:val="center"/>
              <w:rPr>
                <w:rFonts w:eastAsia="Times New Roman"/>
                <w:b/>
                <w:color w:val="FFFFFF" w:themeColor="background1"/>
                <w:lang w:eastAsia="ru-RU"/>
              </w:rPr>
            </w:pPr>
            <w:r w:rsidRPr="00C93C06">
              <w:rPr>
                <w:rFonts w:eastAsia="Times New Roman"/>
                <w:b/>
                <w:color w:val="FFFFFF" w:themeColor="background1"/>
                <w:lang w:eastAsia="ru-RU"/>
              </w:rPr>
              <w:t>Утверждено</w:t>
            </w:r>
          </w:p>
          <w:p w14:paraId="4F717573" w14:textId="67173B44" w:rsidR="009A4C46" w:rsidRPr="00C93C06" w:rsidRDefault="008B0B3C" w:rsidP="00F94FED">
            <w:pPr>
              <w:spacing w:after="0" w:line="240" w:lineRule="auto"/>
              <w:jc w:val="center"/>
              <w:rPr>
                <w:rFonts w:eastAsia="Times New Roman"/>
                <w:b/>
                <w:color w:val="FFFFFF" w:themeColor="background1"/>
                <w:lang w:eastAsia="ru-RU"/>
              </w:rPr>
            </w:pPr>
            <w:r w:rsidRPr="00C93C06">
              <w:rPr>
                <w:rFonts w:eastAsia="Times New Roman"/>
                <w:b/>
                <w:color w:val="FFFFFF" w:themeColor="background1"/>
                <w:lang w:eastAsia="ru-RU"/>
              </w:rPr>
              <w:t>Службой</w:t>
            </w:r>
          </w:p>
        </w:tc>
        <w:tc>
          <w:tcPr>
            <w:tcW w:w="77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EB3914C" w14:textId="77777777" w:rsidR="009A4C46" w:rsidRPr="00C93C06" w:rsidRDefault="009A4C46" w:rsidP="00F94FED">
            <w:pPr>
              <w:spacing w:after="0" w:line="240" w:lineRule="auto"/>
              <w:jc w:val="center"/>
              <w:rPr>
                <w:rFonts w:eastAsia="Times New Roman"/>
                <w:b/>
                <w:color w:val="FFFFFF" w:themeColor="background1"/>
                <w:lang w:eastAsia="ru-RU"/>
              </w:rPr>
            </w:pPr>
            <w:r w:rsidRPr="00C93C06">
              <w:rPr>
                <w:rFonts w:eastAsia="Times New Roman"/>
                <w:b/>
                <w:color w:val="FFFFFF" w:themeColor="background1"/>
                <w:lang w:eastAsia="ru-RU"/>
              </w:rPr>
              <w:t>Отклонение</w:t>
            </w:r>
          </w:p>
        </w:tc>
      </w:tr>
      <w:tr w:rsidR="00F94FED" w:rsidRPr="00C93C06" w14:paraId="313C1226" w14:textId="77777777" w:rsidTr="00F94FED">
        <w:trPr>
          <w:trHeight w:val="254"/>
          <w:tblHeader/>
        </w:trPr>
        <w:tc>
          <w:tcPr>
            <w:tcW w:w="2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176316B2" w14:textId="77777777" w:rsidR="009A4C46" w:rsidRPr="00C93C06" w:rsidRDefault="009A4C46" w:rsidP="00F94FED">
            <w:pPr>
              <w:spacing w:after="0" w:line="240" w:lineRule="auto"/>
              <w:jc w:val="center"/>
              <w:rPr>
                <w:rFonts w:eastAsia="Times New Roman"/>
                <w:b/>
                <w:color w:val="FFFFFF" w:themeColor="background1"/>
                <w:lang w:eastAsia="ru-RU"/>
              </w:rPr>
            </w:pPr>
            <w:r w:rsidRPr="00C93C06">
              <w:rPr>
                <w:rFonts w:eastAsia="Times New Roman"/>
                <w:b/>
                <w:color w:val="FFFFFF" w:themeColor="background1"/>
                <w:lang w:eastAsia="ru-RU"/>
              </w:rPr>
              <w:t>1</w:t>
            </w:r>
          </w:p>
        </w:tc>
        <w:tc>
          <w:tcPr>
            <w:tcW w:w="7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4F6A5E4A" w14:textId="77777777" w:rsidR="009A4C46" w:rsidRPr="00C93C06" w:rsidRDefault="009A4C46" w:rsidP="00F94FED">
            <w:pPr>
              <w:spacing w:after="0" w:line="240" w:lineRule="auto"/>
              <w:jc w:val="center"/>
              <w:rPr>
                <w:rFonts w:eastAsia="Times New Roman"/>
                <w:b/>
                <w:color w:val="FFFFFF" w:themeColor="background1"/>
                <w:lang w:eastAsia="ru-RU"/>
              </w:rPr>
            </w:pPr>
            <w:r w:rsidRPr="00C93C06">
              <w:rPr>
                <w:rFonts w:eastAsia="Times New Roman"/>
                <w:b/>
                <w:color w:val="FFFFFF" w:themeColor="background1"/>
                <w:lang w:eastAsia="ru-RU"/>
              </w:rPr>
              <w:t>2</w:t>
            </w:r>
          </w:p>
        </w:tc>
        <w:tc>
          <w:tcPr>
            <w:tcW w:w="183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EB01C7E" w14:textId="77777777" w:rsidR="009A4C46" w:rsidRPr="00C93C06" w:rsidRDefault="009A4C46" w:rsidP="00F94FED">
            <w:pPr>
              <w:spacing w:after="0" w:line="240" w:lineRule="auto"/>
              <w:jc w:val="center"/>
              <w:rPr>
                <w:rFonts w:eastAsia="Times New Roman"/>
                <w:b/>
                <w:color w:val="FFFFFF" w:themeColor="background1"/>
                <w:lang w:eastAsia="ru-RU"/>
              </w:rPr>
            </w:pPr>
            <w:r w:rsidRPr="00C93C06">
              <w:rPr>
                <w:rFonts w:eastAsia="Times New Roman"/>
                <w:b/>
                <w:color w:val="FFFFFF" w:themeColor="background1"/>
                <w:lang w:eastAsia="ru-RU"/>
              </w:rPr>
              <w:t>3</w:t>
            </w:r>
          </w:p>
        </w:tc>
        <w:tc>
          <w:tcPr>
            <w:tcW w:w="83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541DEED" w14:textId="77777777" w:rsidR="009A4C46" w:rsidRPr="00C93C06" w:rsidRDefault="009A4C46" w:rsidP="00F94FED">
            <w:pPr>
              <w:spacing w:after="0" w:line="240" w:lineRule="auto"/>
              <w:jc w:val="center"/>
              <w:rPr>
                <w:rFonts w:eastAsia="Times New Roman"/>
                <w:b/>
                <w:color w:val="FFFFFF" w:themeColor="background1"/>
                <w:lang w:eastAsia="ru-RU"/>
              </w:rPr>
            </w:pPr>
            <w:r w:rsidRPr="00C93C06">
              <w:rPr>
                <w:rFonts w:eastAsia="Times New Roman"/>
                <w:b/>
                <w:color w:val="FFFFFF" w:themeColor="background1"/>
                <w:lang w:eastAsia="ru-RU"/>
              </w:rPr>
              <w:t>4</w:t>
            </w:r>
          </w:p>
        </w:tc>
        <w:tc>
          <w:tcPr>
            <w:tcW w:w="58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4B11D2B5" w14:textId="77777777" w:rsidR="009A4C46" w:rsidRPr="00C93C06" w:rsidRDefault="009A4C46" w:rsidP="00F94FED">
            <w:pPr>
              <w:spacing w:after="0" w:line="240" w:lineRule="auto"/>
              <w:jc w:val="center"/>
              <w:rPr>
                <w:rFonts w:eastAsia="Times New Roman"/>
                <w:b/>
                <w:color w:val="FFFFFF" w:themeColor="background1"/>
                <w:lang w:eastAsia="ru-RU"/>
              </w:rPr>
            </w:pPr>
            <w:r w:rsidRPr="00C93C06">
              <w:rPr>
                <w:rFonts w:eastAsia="Times New Roman"/>
                <w:b/>
                <w:color w:val="FFFFFF" w:themeColor="background1"/>
                <w:lang w:eastAsia="ru-RU"/>
              </w:rPr>
              <w:t>5</w:t>
            </w:r>
          </w:p>
        </w:tc>
        <w:tc>
          <w:tcPr>
            <w:tcW w:w="77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5CD54D5" w14:textId="77777777" w:rsidR="009A4C46" w:rsidRPr="00C93C06" w:rsidRDefault="009A4C46" w:rsidP="00F94FED">
            <w:pPr>
              <w:spacing w:after="0" w:line="240" w:lineRule="auto"/>
              <w:jc w:val="center"/>
              <w:rPr>
                <w:rFonts w:eastAsia="Times New Roman"/>
                <w:b/>
                <w:color w:val="FFFFFF" w:themeColor="background1"/>
                <w:lang w:eastAsia="ru-RU"/>
              </w:rPr>
            </w:pPr>
            <w:r w:rsidRPr="00C93C06">
              <w:rPr>
                <w:rFonts w:eastAsia="Times New Roman"/>
                <w:b/>
                <w:color w:val="FFFFFF" w:themeColor="background1"/>
                <w:lang w:eastAsia="ru-RU"/>
              </w:rPr>
              <w:t>6=5-4</w:t>
            </w:r>
          </w:p>
        </w:tc>
      </w:tr>
      <w:tr w:rsidR="00F94FED" w:rsidRPr="00C93C06" w14:paraId="0C7C4B3E" w14:textId="77777777" w:rsidTr="00F94FED">
        <w:trPr>
          <w:trHeight w:val="2349"/>
        </w:trPr>
        <w:tc>
          <w:tcPr>
            <w:tcW w:w="234" w:type="pct"/>
            <w:tcBorders>
              <w:top w:val="single" w:sz="4" w:space="0" w:color="FFFFFF" w:themeColor="background1"/>
            </w:tcBorders>
            <w:shd w:val="clear" w:color="auto" w:fill="FFFFFF"/>
            <w:vAlign w:val="center"/>
          </w:tcPr>
          <w:p w14:paraId="6890FA11" w14:textId="77777777" w:rsidR="009A4C46" w:rsidRPr="00C93C06" w:rsidRDefault="009A4C46" w:rsidP="009A4C46">
            <w:pPr>
              <w:autoSpaceDE w:val="0"/>
              <w:autoSpaceDN w:val="0"/>
              <w:adjustRightInd w:val="0"/>
              <w:spacing w:after="0" w:line="240" w:lineRule="auto"/>
              <w:jc w:val="center"/>
              <w:rPr>
                <w:rFonts w:eastAsia="Times New Roman"/>
                <w:shd w:val="clear" w:color="auto" w:fill="FFFFFF"/>
                <w:lang w:eastAsia="ru-RU" w:bidi="ru-RU"/>
              </w:rPr>
            </w:pPr>
            <w:r w:rsidRPr="00C93C06">
              <w:rPr>
                <w:rFonts w:eastAsia="Times New Roman"/>
                <w:bCs/>
                <w:shd w:val="clear" w:color="auto" w:fill="FFFFFF"/>
                <w:lang w:eastAsia="ru-RU" w:bidi="ru-RU"/>
              </w:rPr>
              <w:t>1</w:t>
            </w:r>
          </w:p>
        </w:tc>
        <w:tc>
          <w:tcPr>
            <w:tcW w:w="727" w:type="pct"/>
            <w:tcBorders>
              <w:top w:val="single" w:sz="4" w:space="0" w:color="FFFFFF" w:themeColor="background1"/>
            </w:tcBorders>
            <w:shd w:val="clear" w:color="auto" w:fill="FFFFFF"/>
            <w:vAlign w:val="center"/>
          </w:tcPr>
          <w:p w14:paraId="1CD65C35" w14:textId="77777777" w:rsidR="009A4C46" w:rsidRPr="00C93C06" w:rsidRDefault="009A4C46" w:rsidP="009A4C46">
            <w:pPr>
              <w:autoSpaceDE w:val="0"/>
              <w:autoSpaceDN w:val="0"/>
              <w:adjustRightInd w:val="0"/>
              <w:spacing w:after="0" w:line="240" w:lineRule="auto"/>
              <w:jc w:val="center"/>
              <w:rPr>
                <w:rFonts w:eastAsia="Times New Roman"/>
                <w:shd w:val="clear" w:color="auto" w:fill="FFFFFF"/>
                <w:lang w:eastAsia="ru-RU" w:bidi="ru-RU"/>
              </w:rPr>
            </w:pPr>
            <w:r w:rsidRPr="00C93C06">
              <w:rPr>
                <w:rFonts w:eastAsia="Times New Roman"/>
                <w:noProof/>
                <w:shd w:val="clear" w:color="auto" w:fill="FFFFFF"/>
                <w:lang w:eastAsia="ru-RU"/>
              </w:rPr>
              <w:drawing>
                <wp:inline distT="0" distB="0" distL="0" distR="0" wp14:anchorId="5E07D56A" wp14:editId="6D931913">
                  <wp:extent cx="466725" cy="238125"/>
                  <wp:effectExtent l="0" t="0" r="9525" b="9525"/>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466725" cy="238125"/>
                          </a:xfrm>
                          <a:prstGeom prst="rect">
                            <a:avLst/>
                          </a:prstGeom>
                          <a:noFill/>
                          <a:ln>
                            <a:noFill/>
                          </a:ln>
                        </pic:spPr>
                      </pic:pic>
                    </a:graphicData>
                  </a:graphic>
                </wp:inline>
              </w:drawing>
            </w:r>
          </w:p>
        </w:tc>
        <w:tc>
          <w:tcPr>
            <w:tcW w:w="1839" w:type="pct"/>
            <w:tcBorders>
              <w:top w:val="single" w:sz="4" w:space="0" w:color="FFFFFF" w:themeColor="background1"/>
            </w:tcBorders>
            <w:shd w:val="clear" w:color="auto" w:fill="FFFFFF"/>
          </w:tcPr>
          <w:p w14:paraId="669C24A9" w14:textId="77777777" w:rsidR="009A4C46" w:rsidRPr="00C93C06" w:rsidRDefault="009A4C46" w:rsidP="009A4C46">
            <w:pPr>
              <w:autoSpaceDE w:val="0"/>
              <w:autoSpaceDN w:val="0"/>
              <w:adjustRightInd w:val="0"/>
              <w:spacing w:after="0" w:line="240" w:lineRule="auto"/>
              <w:rPr>
                <w:rFonts w:eastAsia="Times New Roman"/>
                <w:bCs/>
                <w:shd w:val="clear" w:color="auto" w:fill="FFFFFF"/>
                <w:lang w:eastAsia="ru-RU" w:bidi="ru-RU"/>
              </w:rPr>
            </w:pPr>
            <w:r w:rsidRPr="00C93C06">
              <w:rPr>
                <w:rFonts w:eastAsia="Times New Roman"/>
                <w:bCs/>
                <w:shd w:val="clear" w:color="auto" w:fill="FFFFFF"/>
                <w:lang w:eastAsia="ru-RU" w:bidi="ru-RU"/>
              </w:rPr>
              <w:t xml:space="preserve">Корректировка необходимой валовой выручки на год п долгосрочного периода регулирования, осуществляемая в связи с изменением (неисполнением) инвестиционной программы за 2017 год </w:t>
            </w:r>
          </w:p>
          <w:p w14:paraId="0F374535" w14:textId="77777777" w:rsidR="009A4C46" w:rsidRPr="00C93C06" w:rsidRDefault="009A4C46" w:rsidP="009A4C46">
            <w:pPr>
              <w:autoSpaceDE w:val="0"/>
              <w:autoSpaceDN w:val="0"/>
              <w:adjustRightInd w:val="0"/>
              <w:spacing w:after="0" w:line="240" w:lineRule="auto"/>
              <w:rPr>
                <w:rFonts w:eastAsia="Times New Roman"/>
                <w:shd w:val="clear" w:color="auto" w:fill="FFFFFF"/>
                <w:lang w:eastAsia="ru-RU" w:bidi="ru-RU"/>
              </w:rPr>
            </w:pPr>
            <w:r w:rsidRPr="00C93C06">
              <w:rPr>
                <w:rFonts w:eastAsia="Times New Roman"/>
                <w:noProof/>
                <w:shd w:val="clear" w:color="auto" w:fill="FFFFFF"/>
                <w:lang w:eastAsia="ru-RU"/>
              </w:rPr>
              <w:drawing>
                <wp:inline distT="0" distB="0" distL="0" distR="0" wp14:anchorId="3F35D860" wp14:editId="0FBAB910">
                  <wp:extent cx="2000250" cy="370090"/>
                  <wp:effectExtent l="0" t="0" r="0" b="0"/>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2024898" cy="374650"/>
                          </a:xfrm>
                          <a:prstGeom prst="rect">
                            <a:avLst/>
                          </a:prstGeom>
                          <a:noFill/>
                          <a:ln>
                            <a:noFill/>
                          </a:ln>
                        </pic:spPr>
                      </pic:pic>
                    </a:graphicData>
                  </a:graphic>
                </wp:inline>
              </w:drawing>
            </w:r>
          </w:p>
        </w:tc>
        <w:tc>
          <w:tcPr>
            <w:tcW w:w="836" w:type="pct"/>
            <w:tcBorders>
              <w:top w:val="single" w:sz="4" w:space="0" w:color="FFFFFF" w:themeColor="background1"/>
            </w:tcBorders>
            <w:shd w:val="clear" w:color="auto" w:fill="FFFFFF"/>
            <w:vAlign w:val="center"/>
          </w:tcPr>
          <w:p w14:paraId="5666C59D" w14:textId="77777777" w:rsidR="009A4C46" w:rsidRPr="00C93C06" w:rsidRDefault="009A4C46" w:rsidP="009A4C46">
            <w:pPr>
              <w:autoSpaceDE w:val="0"/>
              <w:autoSpaceDN w:val="0"/>
              <w:adjustRightInd w:val="0"/>
              <w:spacing w:after="0" w:line="240" w:lineRule="auto"/>
              <w:jc w:val="center"/>
              <w:rPr>
                <w:rFonts w:eastAsia="Times New Roman"/>
                <w:shd w:val="clear" w:color="auto" w:fill="FFFFFF"/>
                <w:lang w:eastAsia="ru-RU" w:bidi="ru-RU"/>
              </w:rPr>
            </w:pPr>
            <w:r w:rsidRPr="00C93C06">
              <w:rPr>
                <w:rFonts w:eastAsia="Times New Roman"/>
                <w:bCs/>
                <w:shd w:val="clear" w:color="auto" w:fill="FFFFFF"/>
                <w:lang w:eastAsia="ru-RU" w:bidi="ru-RU"/>
              </w:rPr>
              <w:t>-3 058</w:t>
            </w:r>
          </w:p>
        </w:tc>
        <w:tc>
          <w:tcPr>
            <w:tcW w:w="586" w:type="pct"/>
            <w:tcBorders>
              <w:top w:val="single" w:sz="4" w:space="0" w:color="FFFFFF" w:themeColor="background1"/>
            </w:tcBorders>
            <w:shd w:val="clear" w:color="auto" w:fill="FFFFFF"/>
            <w:vAlign w:val="center"/>
          </w:tcPr>
          <w:p w14:paraId="3FB7FD30" w14:textId="77777777" w:rsidR="009A4C46" w:rsidRPr="00C93C06" w:rsidRDefault="009A4C46" w:rsidP="009A4C46">
            <w:pPr>
              <w:autoSpaceDE w:val="0"/>
              <w:autoSpaceDN w:val="0"/>
              <w:adjustRightInd w:val="0"/>
              <w:spacing w:after="0" w:line="240" w:lineRule="auto"/>
              <w:jc w:val="center"/>
              <w:rPr>
                <w:rFonts w:eastAsia="Times New Roman"/>
                <w:shd w:val="clear" w:color="auto" w:fill="FFFFFF"/>
                <w:lang w:eastAsia="ru-RU" w:bidi="ru-RU"/>
              </w:rPr>
            </w:pPr>
            <w:r w:rsidRPr="00C93C06">
              <w:rPr>
                <w:rFonts w:eastAsia="Times New Roman"/>
                <w:bCs/>
                <w:shd w:val="clear" w:color="auto" w:fill="FFFFFF"/>
                <w:lang w:eastAsia="ru-RU" w:bidi="ru-RU"/>
              </w:rPr>
              <w:t>-3 058</w:t>
            </w:r>
          </w:p>
        </w:tc>
        <w:tc>
          <w:tcPr>
            <w:tcW w:w="779" w:type="pct"/>
            <w:tcBorders>
              <w:top w:val="single" w:sz="4" w:space="0" w:color="FFFFFF" w:themeColor="background1"/>
            </w:tcBorders>
            <w:shd w:val="clear" w:color="auto" w:fill="FFFFFF"/>
            <w:vAlign w:val="center"/>
          </w:tcPr>
          <w:p w14:paraId="1078FC86" w14:textId="77777777" w:rsidR="009A4C46" w:rsidRPr="00C93C06" w:rsidRDefault="009A4C46" w:rsidP="009A4C46">
            <w:pPr>
              <w:autoSpaceDE w:val="0"/>
              <w:autoSpaceDN w:val="0"/>
              <w:adjustRightInd w:val="0"/>
              <w:spacing w:after="0" w:line="240" w:lineRule="auto"/>
              <w:jc w:val="center"/>
              <w:rPr>
                <w:rFonts w:eastAsia="Times New Roman"/>
                <w:shd w:val="clear" w:color="auto" w:fill="FFFFFF"/>
                <w:lang w:eastAsia="ru-RU" w:bidi="ru-RU"/>
              </w:rPr>
            </w:pPr>
            <w:r w:rsidRPr="00C93C06">
              <w:rPr>
                <w:rFonts w:eastAsia="Times New Roman"/>
                <w:bCs/>
                <w:shd w:val="clear" w:color="auto" w:fill="FFFFFF"/>
                <w:lang w:eastAsia="ru-RU" w:bidi="ru-RU"/>
              </w:rPr>
              <w:t>0</w:t>
            </w:r>
          </w:p>
        </w:tc>
      </w:tr>
      <w:tr w:rsidR="009A4C46" w:rsidRPr="00C93C06" w14:paraId="55D20AFD" w14:textId="77777777" w:rsidTr="00F94FED">
        <w:trPr>
          <w:trHeight w:val="1766"/>
        </w:trPr>
        <w:tc>
          <w:tcPr>
            <w:tcW w:w="234" w:type="pct"/>
            <w:shd w:val="clear" w:color="auto" w:fill="FFFFFF"/>
            <w:vAlign w:val="center"/>
          </w:tcPr>
          <w:p w14:paraId="175F4398" w14:textId="77777777" w:rsidR="009A4C46" w:rsidRPr="00C93C06" w:rsidRDefault="009A4C46" w:rsidP="009A4C46">
            <w:pPr>
              <w:autoSpaceDE w:val="0"/>
              <w:autoSpaceDN w:val="0"/>
              <w:adjustRightInd w:val="0"/>
              <w:spacing w:after="0" w:line="240" w:lineRule="auto"/>
              <w:jc w:val="center"/>
              <w:rPr>
                <w:rFonts w:eastAsia="Times New Roman"/>
                <w:shd w:val="clear" w:color="auto" w:fill="FFFFFF"/>
                <w:lang w:eastAsia="ru-RU" w:bidi="ru-RU"/>
              </w:rPr>
            </w:pPr>
            <w:r w:rsidRPr="00C93C06">
              <w:rPr>
                <w:rFonts w:eastAsia="Times New Roman"/>
                <w:bCs/>
                <w:shd w:val="clear" w:color="auto" w:fill="FFFFFF"/>
                <w:lang w:eastAsia="ru-RU" w:bidi="ru-RU"/>
              </w:rPr>
              <w:t>2</w:t>
            </w:r>
          </w:p>
        </w:tc>
        <w:tc>
          <w:tcPr>
            <w:tcW w:w="727" w:type="pct"/>
            <w:shd w:val="clear" w:color="auto" w:fill="FFFFFF"/>
            <w:vAlign w:val="center"/>
          </w:tcPr>
          <w:p w14:paraId="3CB0EF4B" w14:textId="77777777" w:rsidR="009A4C46" w:rsidRPr="00C93C06" w:rsidRDefault="009A4C46" w:rsidP="009A4C46">
            <w:pPr>
              <w:autoSpaceDE w:val="0"/>
              <w:autoSpaceDN w:val="0"/>
              <w:adjustRightInd w:val="0"/>
              <w:spacing w:after="0" w:line="240" w:lineRule="auto"/>
              <w:jc w:val="center"/>
              <w:rPr>
                <w:rFonts w:eastAsia="Times New Roman"/>
                <w:shd w:val="clear" w:color="auto" w:fill="FFFFFF"/>
                <w:lang w:eastAsia="ru-RU" w:bidi="ru-RU"/>
              </w:rPr>
            </w:pPr>
            <w:r w:rsidRPr="00C93C06">
              <w:rPr>
                <w:rFonts w:eastAsia="Times New Roman"/>
                <w:noProof/>
                <w:shd w:val="clear" w:color="auto" w:fill="FFFFFF"/>
                <w:lang w:eastAsia="ru-RU"/>
              </w:rPr>
              <w:drawing>
                <wp:inline distT="0" distB="0" distL="0" distR="0" wp14:anchorId="095A5AA8" wp14:editId="6A548937">
                  <wp:extent cx="409575" cy="238125"/>
                  <wp:effectExtent l="0" t="0" r="9525" b="9525"/>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409575" cy="238125"/>
                          </a:xfrm>
                          <a:prstGeom prst="rect">
                            <a:avLst/>
                          </a:prstGeom>
                          <a:noFill/>
                          <a:ln>
                            <a:noFill/>
                          </a:ln>
                        </pic:spPr>
                      </pic:pic>
                    </a:graphicData>
                  </a:graphic>
                </wp:inline>
              </w:drawing>
            </w:r>
          </w:p>
        </w:tc>
        <w:tc>
          <w:tcPr>
            <w:tcW w:w="1839" w:type="pct"/>
            <w:shd w:val="clear" w:color="auto" w:fill="FFFFFF"/>
            <w:vAlign w:val="bottom"/>
          </w:tcPr>
          <w:p w14:paraId="6AD8D840" w14:textId="77777777" w:rsidR="009A4C46" w:rsidRPr="00C93C06" w:rsidRDefault="009A4C46" w:rsidP="009A4C46">
            <w:pPr>
              <w:autoSpaceDE w:val="0"/>
              <w:autoSpaceDN w:val="0"/>
              <w:adjustRightInd w:val="0"/>
              <w:spacing w:after="0" w:line="240" w:lineRule="auto"/>
              <w:rPr>
                <w:rFonts w:eastAsia="Times New Roman"/>
                <w:shd w:val="clear" w:color="auto" w:fill="FFFFFF"/>
                <w:lang w:eastAsia="ru-RU" w:bidi="ru-RU"/>
              </w:rPr>
            </w:pPr>
            <w:r w:rsidRPr="00C93C06">
              <w:rPr>
                <w:rFonts w:eastAsia="Times New Roman"/>
                <w:bCs/>
                <w:shd w:val="clear" w:color="auto" w:fill="FFFFFF"/>
                <w:lang w:eastAsia="ru-RU" w:bidi="ru-RU"/>
              </w:rPr>
              <w:t xml:space="preserve">Плановые расходы на реализацию инвестиционной программы (расчетная величина собственных средств регулируемой организации для финансирования инвестиционной программы, учтенная при установлении тарифов в году </w:t>
            </w:r>
            <w:r w:rsidRPr="00C93C06">
              <w:rPr>
                <w:rFonts w:eastAsia="Times New Roman"/>
                <w:bCs/>
                <w:shd w:val="clear" w:color="auto" w:fill="FFFFFF"/>
                <w:lang w:eastAsia="ru-RU" w:bidi="en-US"/>
              </w:rPr>
              <w:t>i</w:t>
            </w:r>
            <w:r w:rsidRPr="00C93C06">
              <w:rPr>
                <w:rFonts w:eastAsia="Times New Roman"/>
                <w:bCs/>
                <w:shd w:val="clear" w:color="auto" w:fill="FFFFFF"/>
                <w:lang w:eastAsia="ru-RU"/>
              </w:rPr>
              <w:t xml:space="preserve">-2, </w:t>
            </w:r>
            <w:r w:rsidRPr="00C93C06">
              <w:rPr>
                <w:rFonts w:eastAsia="Times New Roman"/>
                <w:bCs/>
                <w:shd w:val="clear" w:color="auto" w:fill="FFFFFF"/>
                <w:lang w:eastAsia="ru-RU" w:bidi="ru-RU"/>
              </w:rPr>
              <w:t>которая не может принимать отрицательные значения)</w:t>
            </w:r>
          </w:p>
        </w:tc>
        <w:tc>
          <w:tcPr>
            <w:tcW w:w="836" w:type="pct"/>
            <w:shd w:val="clear" w:color="auto" w:fill="FFFFFF"/>
            <w:vAlign w:val="center"/>
          </w:tcPr>
          <w:p w14:paraId="1BECFE72" w14:textId="77777777" w:rsidR="009A4C46" w:rsidRPr="00C93C06" w:rsidRDefault="009A4C46" w:rsidP="009A4C46">
            <w:pPr>
              <w:autoSpaceDE w:val="0"/>
              <w:autoSpaceDN w:val="0"/>
              <w:adjustRightInd w:val="0"/>
              <w:spacing w:after="0" w:line="240" w:lineRule="auto"/>
              <w:jc w:val="center"/>
              <w:rPr>
                <w:rFonts w:eastAsia="Times New Roman"/>
                <w:shd w:val="clear" w:color="auto" w:fill="FFFFFF"/>
                <w:lang w:eastAsia="ru-RU" w:bidi="ru-RU"/>
              </w:rPr>
            </w:pPr>
            <w:r w:rsidRPr="00C93C06">
              <w:rPr>
                <w:rFonts w:eastAsia="Times New Roman"/>
                <w:bCs/>
                <w:shd w:val="clear" w:color="auto" w:fill="FFFFFF"/>
                <w:lang w:eastAsia="ru-RU" w:bidi="ru-RU"/>
              </w:rPr>
              <w:t>78 756</w:t>
            </w:r>
          </w:p>
        </w:tc>
        <w:tc>
          <w:tcPr>
            <w:tcW w:w="586" w:type="pct"/>
            <w:shd w:val="clear" w:color="auto" w:fill="FFFFFF"/>
            <w:vAlign w:val="center"/>
          </w:tcPr>
          <w:p w14:paraId="6DEA242B" w14:textId="77777777" w:rsidR="009A4C46" w:rsidRPr="00C93C06" w:rsidRDefault="009A4C46" w:rsidP="009A4C46">
            <w:pPr>
              <w:autoSpaceDE w:val="0"/>
              <w:autoSpaceDN w:val="0"/>
              <w:adjustRightInd w:val="0"/>
              <w:spacing w:after="0" w:line="240" w:lineRule="auto"/>
              <w:jc w:val="center"/>
              <w:rPr>
                <w:rFonts w:eastAsia="Times New Roman"/>
                <w:shd w:val="clear" w:color="auto" w:fill="FFFFFF"/>
                <w:lang w:eastAsia="ru-RU" w:bidi="ru-RU"/>
              </w:rPr>
            </w:pPr>
            <w:r w:rsidRPr="00C93C06">
              <w:rPr>
                <w:rFonts w:eastAsia="Times New Roman"/>
                <w:bCs/>
                <w:shd w:val="clear" w:color="auto" w:fill="FFFFFF"/>
                <w:lang w:eastAsia="ru-RU" w:bidi="ru-RU"/>
              </w:rPr>
              <w:t>78 756</w:t>
            </w:r>
          </w:p>
        </w:tc>
        <w:tc>
          <w:tcPr>
            <w:tcW w:w="779" w:type="pct"/>
            <w:shd w:val="clear" w:color="auto" w:fill="FFFFFF"/>
            <w:vAlign w:val="center"/>
          </w:tcPr>
          <w:p w14:paraId="4A7A6DC5" w14:textId="77777777" w:rsidR="009A4C46" w:rsidRPr="00C93C06" w:rsidRDefault="009A4C46" w:rsidP="009A4C46">
            <w:pPr>
              <w:autoSpaceDE w:val="0"/>
              <w:autoSpaceDN w:val="0"/>
              <w:adjustRightInd w:val="0"/>
              <w:spacing w:after="0" w:line="240" w:lineRule="auto"/>
              <w:jc w:val="center"/>
              <w:rPr>
                <w:rFonts w:eastAsia="Times New Roman"/>
                <w:shd w:val="clear" w:color="auto" w:fill="FFFFFF"/>
                <w:lang w:eastAsia="ru-RU" w:bidi="ru-RU"/>
              </w:rPr>
            </w:pPr>
            <w:r w:rsidRPr="00C93C06">
              <w:rPr>
                <w:rFonts w:eastAsia="Times New Roman"/>
                <w:bCs/>
                <w:shd w:val="clear" w:color="auto" w:fill="FFFFFF"/>
                <w:lang w:eastAsia="ru-RU" w:bidi="ru-RU"/>
              </w:rPr>
              <w:t>0</w:t>
            </w:r>
          </w:p>
        </w:tc>
      </w:tr>
      <w:tr w:rsidR="009A4C46" w:rsidRPr="00C93C06" w14:paraId="4CEE5270" w14:textId="77777777" w:rsidTr="00F94FED">
        <w:trPr>
          <w:trHeight w:val="569"/>
        </w:trPr>
        <w:tc>
          <w:tcPr>
            <w:tcW w:w="234" w:type="pct"/>
            <w:shd w:val="clear" w:color="auto" w:fill="FFFFFF"/>
            <w:vAlign w:val="center"/>
          </w:tcPr>
          <w:p w14:paraId="75FC5F61" w14:textId="77777777" w:rsidR="009A4C46" w:rsidRPr="00C93C06" w:rsidRDefault="009A4C46" w:rsidP="009A4C46">
            <w:pPr>
              <w:autoSpaceDE w:val="0"/>
              <w:autoSpaceDN w:val="0"/>
              <w:adjustRightInd w:val="0"/>
              <w:spacing w:after="0" w:line="240" w:lineRule="auto"/>
              <w:jc w:val="center"/>
              <w:rPr>
                <w:rFonts w:eastAsia="Times New Roman"/>
                <w:shd w:val="clear" w:color="auto" w:fill="FFFFFF"/>
                <w:lang w:eastAsia="ru-RU" w:bidi="ru-RU"/>
              </w:rPr>
            </w:pPr>
            <w:r w:rsidRPr="00C93C06">
              <w:rPr>
                <w:rFonts w:eastAsia="Times New Roman"/>
                <w:bCs/>
                <w:shd w:val="clear" w:color="auto" w:fill="FFFFFF"/>
                <w:lang w:eastAsia="ru-RU" w:bidi="ru-RU"/>
              </w:rPr>
              <w:t>3</w:t>
            </w:r>
          </w:p>
        </w:tc>
        <w:tc>
          <w:tcPr>
            <w:tcW w:w="727" w:type="pct"/>
            <w:shd w:val="clear" w:color="auto" w:fill="FFFFFF"/>
            <w:vAlign w:val="center"/>
          </w:tcPr>
          <w:p w14:paraId="6DE3F369" w14:textId="77777777" w:rsidR="009A4C46" w:rsidRPr="00C93C06" w:rsidRDefault="009A4C46" w:rsidP="009A4C46">
            <w:pPr>
              <w:autoSpaceDE w:val="0"/>
              <w:autoSpaceDN w:val="0"/>
              <w:adjustRightInd w:val="0"/>
              <w:spacing w:after="0" w:line="240" w:lineRule="auto"/>
              <w:jc w:val="center"/>
              <w:rPr>
                <w:rFonts w:eastAsia="Times New Roman"/>
                <w:shd w:val="clear" w:color="auto" w:fill="FFFFFF"/>
                <w:lang w:eastAsia="ru-RU" w:bidi="ru-RU"/>
              </w:rPr>
            </w:pPr>
            <w:r w:rsidRPr="00C93C06">
              <w:rPr>
                <w:rFonts w:eastAsia="Times New Roman"/>
                <w:noProof/>
                <w:shd w:val="clear" w:color="auto" w:fill="FFFFFF"/>
                <w:lang w:eastAsia="ru-RU"/>
              </w:rPr>
              <w:drawing>
                <wp:inline distT="0" distB="0" distL="0" distR="0" wp14:anchorId="4820E6EF" wp14:editId="31484481">
                  <wp:extent cx="514350" cy="238125"/>
                  <wp:effectExtent l="0" t="0" r="0" b="9525"/>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514350" cy="238125"/>
                          </a:xfrm>
                          <a:prstGeom prst="rect">
                            <a:avLst/>
                          </a:prstGeom>
                          <a:noFill/>
                          <a:ln>
                            <a:noFill/>
                          </a:ln>
                        </pic:spPr>
                      </pic:pic>
                    </a:graphicData>
                  </a:graphic>
                </wp:inline>
              </w:drawing>
            </w:r>
          </w:p>
        </w:tc>
        <w:tc>
          <w:tcPr>
            <w:tcW w:w="1839" w:type="pct"/>
            <w:shd w:val="clear" w:color="auto" w:fill="FFFFFF"/>
            <w:vAlign w:val="bottom"/>
          </w:tcPr>
          <w:p w14:paraId="5CFE07FE" w14:textId="77777777" w:rsidR="009A4C46" w:rsidRPr="00C93C06" w:rsidRDefault="009A4C46" w:rsidP="009A4C46">
            <w:pPr>
              <w:autoSpaceDE w:val="0"/>
              <w:autoSpaceDN w:val="0"/>
              <w:adjustRightInd w:val="0"/>
              <w:spacing w:after="0" w:line="240" w:lineRule="auto"/>
              <w:rPr>
                <w:rFonts w:eastAsia="Times New Roman"/>
                <w:shd w:val="clear" w:color="auto" w:fill="FFFFFF"/>
                <w:lang w:eastAsia="ru-RU" w:bidi="ru-RU"/>
              </w:rPr>
            </w:pPr>
            <w:r w:rsidRPr="00C93C06">
              <w:rPr>
                <w:rFonts w:eastAsia="Times New Roman"/>
                <w:bCs/>
                <w:shd w:val="clear" w:color="auto" w:fill="FFFFFF"/>
                <w:lang w:eastAsia="ru-RU" w:bidi="ru-RU"/>
              </w:rPr>
              <w:t xml:space="preserve">Объем фактического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год </w:t>
            </w:r>
            <w:r w:rsidRPr="00C93C06">
              <w:rPr>
                <w:rFonts w:eastAsia="Times New Roman"/>
                <w:bCs/>
                <w:shd w:val="clear" w:color="auto" w:fill="FFFFFF"/>
                <w:lang w:eastAsia="ru-RU"/>
              </w:rPr>
              <w:t>(</w:t>
            </w:r>
            <w:r w:rsidRPr="00C93C06">
              <w:rPr>
                <w:rFonts w:eastAsia="Times New Roman"/>
                <w:bCs/>
                <w:shd w:val="clear" w:color="auto" w:fill="FFFFFF"/>
                <w:lang w:eastAsia="ru-RU" w:bidi="en-US"/>
              </w:rPr>
              <w:t>i</w:t>
            </w:r>
            <w:r w:rsidRPr="00C93C06">
              <w:rPr>
                <w:rFonts w:eastAsia="Times New Roman"/>
                <w:bCs/>
                <w:shd w:val="clear" w:color="auto" w:fill="FFFFFF"/>
                <w:lang w:eastAsia="ru-RU"/>
              </w:rPr>
              <w:t xml:space="preserve">-2) </w:t>
            </w:r>
            <w:r w:rsidRPr="00C93C06">
              <w:rPr>
                <w:rFonts w:eastAsia="Times New Roman"/>
                <w:bCs/>
                <w:shd w:val="clear" w:color="auto" w:fill="FFFFFF"/>
                <w:lang w:eastAsia="ru-RU" w:bidi="ru-RU"/>
              </w:rPr>
              <w:t xml:space="preserve">до его начала, за счет собственных средств (выручки от реализации товаров (услуг) по регулируемым ценам (тарифам)) без НДС в году </w:t>
            </w:r>
            <w:r w:rsidRPr="00C93C06">
              <w:rPr>
                <w:rFonts w:eastAsia="Times New Roman"/>
                <w:bCs/>
                <w:shd w:val="clear" w:color="auto" w:fill="FFFFFF"/>
                <w:lang w:eastAsia="ru-RU"/>
              </w:rPr>
              <w:t>(</w:t>
            </w:r>
            <w:r w:rsidRPr="00C93C06">
              <w:rPr>
                <w:rFonts w:eastAsia="Times New Roman"/>
                <w:bCs/>
                <w:shd w:val="clear" w:color="auto" w:fill="FFFFFF"/>
                <w:lang w:eastAsia="ru-RU" w:bidi="en-US"/>
              </w:rPr>
              <w:t>i</w:t>
            </w:r>
            <w:r w:rsidRPr="00C93C06">
              <w:rPr>
                <w:rFonts w:eastAsia="Times New Roman"/>
                <w:bCs/>
                <w:shd w:val="clear" w:color="auto" w:fill="FFFFFF"/>
                <w:lang w:eastAsia="ru-RU"/>
              </w:rPr>
              <w:t xml:space="preserve">-2) </w:t>
            </w:r>
            <w:r w:rsidRPr="00C93C06">
              <w:rPr>
                <w:rFonts w:eastAsia="Times New Roman"/>
                <w:bCs/>
                <w:shd w:val="clear" w:color="auto" w:fill="FFFFFF"/>
                <w:lang w:eastAsia="ru-RU" w:bidi="ru-RU"/>
              </w:rPr>
              <w:t>долгосрочного периода регулирования</w:t>
            </w:r>
          </w:p>
        </w:tc>
        <w:tc>
          <w:tcPr>
            <w:tcW w:w="836" w:type="pct"/>
            <w:shd w:val="clear" w:color="auto" w:fill="FFFFFF"/>
            <w:vAlign w:val="center"/>
          </w:tcPr>
          <w:p w14:paraId="18857710" w14:textId="77777777" w:rsidR="009A4C46" w:rsidRPr="00C93C06" w:rsidRDefault="009A4C46" w:rsidP="009A4C46">
            <w:pPr>
              <w:autoSpaceDE w:val="0"/>
              <w:autoSpaceDN w:val="0"/>
              <w:adjustRightInd w:val="0"/>
              <w:spacing w:after="0" w:line="240" w:lineRule="auto"/>
              <w:jc w:val="center"/>
              <w:rPr>
                <w:rFonts w:eastAsia="Times New Roman"/>
                <w:shd w:val="clear" w:color="auto" w:fill="FFFFFF"/>
                <w:lang w:eastAsia="ru-RU" w:bidi="ru-RU"/>
              </w:rPr>
            </w:pPr>
            <w:r w:rsidRPr="00C93C06">
              <w:rPr>
                <w:rFonts w:eastAsia="Times New Roman"/>
                <w:bCs/>
                <w:shd w:val="clear" w:color="auto" w:fill="FFFFFF"/>
                <w:lang w:eastAsia="ru-RU" w:bidi="ru-RU"/>
              </w:rPr>
              <w:t>68 136</w:t>
            </w:r>
          </w:p>
        </w:tc>
        <w:tc>
          <w:tcPr>
            <w:tcW w:w="586" w:type="pct"/>
            <w:shd w:val="clear" w:color="auto" w:fill="FFFFFF"/>
            <w:vAlign w:val="center"/>
          </w:tcPr>
          <w:p w14:paraId="533567D8" w14:textId="77777777" w:rsidR="009A4C46" w:rsidRPr="00C93C06" w:rsidRDefault="009A4C46" w:rsidP="009A4C46">
            <w:pPr>
              <w:autoSpaceDE w:val="0"/>
              <w:autoSpaceDN w:val="0"/>
              <w:adjustRightInd w:val="0"/>
              <w:spacing w:after="0" w:line="240" w:lineRule="auto"/>
              <w:jc w:val="center"/>
              <w:rPr>
                <w:rFonts w:eastAsia="Times New Roman"/>
                <w:shd w:val="clear" w:color="auto" w:fill="FFFFFF"/>
                <w:lang w:eastAsia="ru-RU" w:bidi="ru-RU"/>
              </w:rPr>
            </w:pPr>
            <w:r w:rsidRPr="00C93C06">
              <w:rPr>
                <w:rFonts w:eastAsia="Times New Roman"/>
                <w:bCs/>
                <w:shd w:val="clear" w:color="auto" w:fill="FFFFFF"/>
                <w:lang w:eastAsia="ru-RU" w:bidi="ru-RU"/>
              </w:rPr>
              <w:t>68 136</w:t>
            </w:r>
          </w:p>
        </w:tc>
        <w:tc>
          <w:tcPr>
            <w:tcW w:w="779" w:type="pct"/>
            <w:shd w:val="clear" w:color="auto" w:fill="FFFFFF"/>
            <w:vAlign w:val="center"/>
          </w:tcPr>
          <w:p w14:paraId="42DDAACD" w14:textId="77777777" w:rsidR="009A4C46" w:rsidRPr="00C93C06" w:rsidRDefault="009A4C46" w:rsidP="009A4C46">
            <w:pPr>
              <w:autoSpaceDE w:val="0"/>
              <w:autoSpaceDN w:val="0"/>
              <w:adjustRightInd w:val="0"/>
              <w:spacing w:after="0" w:line="240" w:lineRule="auto"/>
              <w:jc w:val="center"/>
              <w:rPr>
                <w:rFonts w:eastAsia="Times New Roman"/>
                <w:shd w:val="clear" w:color="auto" w:fill="FFFFFF"/>
                <w:lang w:eastAsia="ru-RU" w:bidi="ru-RU"/>
              </w:rPr>
            </w:pPr>
            <w:r w:rsidRPr="00C93C06">
              <w:rPr>
                <w:rFonts w:eastAsia="Times New Roman"/>
                <w:bCs/>
                <w:shd w:val="clear" w:color="auto" w:fill="FFFFFF"/>
                <w:lang w:eastAsia="ru-RU" w:bidi="ru-RU"/>
              </w:rPr>
              <w:t>0</w:t>
            </w:r>
          </w:p>
        </w:tc>
      </w:tr>
      <w:tr w:rsidR="009A4C46" w:rsidRPr="00C93C06" w14:paraId="3586B8AC" w14:textId="77777777" w:rsidTr="00F94FED">
        <w:trPr>
          <w:trHeight w:val="1992"/>
        </w:trPr>
        <w:tc>
          <w:tcPr>
            <w:tcW w:w="234" w:type="pct"/>
            <w:shd w:val="clear" w:color="auto" w:fill="FFFFFF"/>
            <w:vAlign w:val="center"/>
          </w:tcPr>
          <w:p w14:paraId="6DDD75F7" w14:textId="77777777" w:rsidR="009A4C46" w:rsidRPr="00C93C06" w:rsidRDefault="009A4C46" w:rsidP="009A4C46">
            <w:pPr>
              <w:autoSpaceDE w:val="0"/>
              <w:autoSpaceDN w:val="0"/>
              <w:adjustRightInd w:val="0"/>
              <w:spacing w:after="0" w:line="240" w:lineRule="auto"/>
              <w:jc w:val="center"/>
              <w:rPr>
                <w:rFonts w:eastAsia="Times New Roman"/>
                <w:shd w:val="clear" w:color="auto" w:fill="FFFFFF"/>
                <w:lang w:eastAsia="ru-RU" w:bidi="ru-RU"/>
              </w:rPr>
            </w:pPr>
            <w:r w:rsidRPr="00C93C06">
              <w:rPr>
                <w:rFonts w:eastAsia="Times New Roman"/>
                <w:bCs/>
                <w:shd w:val="clear" w:color="auto" w:fill="FFFFFF"/>
                <w:lang w:eastAsia="ru-RU" w:bidi="ru-RU"/>
              </w:rPr>
              <w:t>4</w:t>
            </w:r>
          </w:p>
        </w:tc>
        <w:tc>
          <w:tcPr>
            <w:tcW w:w="727" w:type="pct"/>
            <w:shd w:val="clear" w:color="auto" w:fill="FFFFFF"/>
            <w:vAlign w:val="center"/>
          </w:tcPr>
          <w:p w14:paraId="6403786B" w14:textId="77777777" w:rsidR="009A4C46" w:rsidRPr="00C93C06" w:rsidRDefault="009A4C46" w:rsidP="009A4C46">
            <w:pPr>
              <w:autoSpaceDE w:val="0"/>
              <w:autoSpaceDN w:val="0"/>
              <w:adjustRightInd w:val="0"/>
              <w:spacing w:after="0" w:line="240" w:lineRule="auto"/>
              <w:jc w:val="center"/>
              <w:rPr>
                <w:rFonts w:eastAsia="Times New Roman"/>
                <w:shd w:val="clear" w:color="auto" w:fill="FFFFFF"/>
                <w:lang w:eastAsia="ru-RU" w:bidi="ru-RU"/>
              </w:rPr>
            </w:pPr>
            <w:r w:rsidRPr="00C93C06">
              <w:rPr>
                <w:rFonts w:eastAsia="Times New Roman"/>
                <w:noProof/>
                <w:shd w:val="clear" w:color="auto" w:fill="FFFFFF"/>
                <w:lang w:eastAsia="ru-RU"/>
              </w:rPr>
              <w:drawing>
                <wp:inline distT="0" distB="0" distL="0" distR="0" wp14:anchorId="3C78CEFF" wp14:editId="01A9E714">
                  <wp:extent cx="457200" cy="238125"/>
                  <wp:effectExtent l="0" t="0" r="0" b="9525"/>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457200" cy="238125"/>
                          </a:xfrm>
                          <a:prstGeom prst="rect">
                            <a:avLst/>
                          </a:prstGeom>
                          <a:noFill/>
                          <a:ln>
                            <a:noFill/>
                          </a:ln>
                        </pic:spPr>
                      </pic:pic>
                    </a:graphicData>
                  </a:graphic>
                </wp:inline>
              </w:drawing>
            </w:r>
          </w:p>
        </w:tc>
        <w:tc>
          <w:tcPr>
            <w:tcW w:w="1839" w:type="pct"/>
            <w:shd w:val="clear" w:color="auto" w:fill="FFFFFF"/>
            <w:vAlign w:val="bottom"/>
          </w:tcPr>
          <w:p w14:paraId="742F8C17" w14:textId="77777777" w:rsidR="009A4C46" w:rsidRPr="00C93C06" w:rsidRDefault="009A4C46" w:rsidP="009A4C46">
            <w:pPr>
              <w:autoSpaceDE w:val="0"/>
              <w:autoSpaceDN w:val="0"/>
              <w:adjustRightInd w:val="0"/>
              <w:spacing w:after="0" w:line="240" w:lineRule="auto"/>
              <w:rPr>
                <w:rFonts w:eastAsia="Times New Roman"/>
                <w:shd w:val="clear" w:color="auto" w:fill="FFFFFF"/>
                <w:lang w:eastAsia="ru-RU" w:bidi="ru-RU"/>
              </w:rPr>
            </w:pPr>
            <w:r w:rsidRPr="00C93C06">
              <w:rPr>
                <w:rFonts w:eastAsia="Times New Roman"/>
                <w:bCs/>
                <w:shd w:val="clear" w:color="auto" w:fill="FFFFFF"/>
                <w:lang w:eastAsia="ru-RU" w:bidi="ru-RU"/>
              </w:rPr>
              <w:t xml:space="preserve">Плановый размер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год </w:t>
            </w:r>
            <w:r w:rsidRPr="00C93C06">
              <w:rPr>
                <w:rFonts w:eastAsia="Times New Roman"/>
                <w:bCs/>
                <w:shd w:val="clear" w:color="auto" w:fill="FFFFFF"/>
                <w:lang w:eastAsia="ru-RU"/>
              </w:rPr>
              <w:t>(</w:t>
            </w:r>
            <w:r w:rsidRPr="00C93C06">
              <w:rPr>
                <w:rFonts w:eastAsia="Times New Roman"/>
                <w:bCs/>
                <w:shd w:val="clear" w:color="auto" w:fill="FFFFFF"/>
                <w:lang w:eastAsia="ru-RU" w:bidi="en-US"/>
              </w:rPr>
              <w:t>i</w:t>
            </w:r>
            <w:r w:rsidRPr="00C93C06">
              <w:rPr>
                <w:rFonts w:eastAsia="Times New Roman"/>
                <w:bCs/>
                <w:shd w:val="clear" w:color="auto" w:fill="FFFFFF"/>
                <w:lang w:eastAsia="ru-RU"/>
              </w:rPr>
              <w:t xml:space="preserve">-2) </w:t>
            </w:r>
            <w:r w:rsidRPr="00C93C06">
              <w:rPr>
                <w:rFonts w:eastAsia="Times New Roman"/>
                <w:bCs/>
                <w:shd w:val="clear" w:color="auto" w:fill="FFFFFF"/>
                <w:lang w:eastAsia="ru-RU" w:bidi="ru-RU"/>
              </w:rPr>
              <w:t>до его начала, за счет собственных средств (выручки от реализации товаров (услуг) по регулируемым ценам (тарифам)) без НДС</w:t>
            </w:r>
          </w:p>
        </w:tc>
        <w:tc>
          <w:tcPr>
            <w:tcW w:w="836" w:type="pct"/>
            <w:shd w:val="clear" w:color="auto" w:fill="FFFFFF"/>
            <w:vAlign w:val="center"/>
          </w:tcPr>
          <w:p w14:paraId="5F1E4BC9" w14:textId="77777777" w:rsidR="009A4C46" w:rsidRPr="00C93C06" w:rsidRDefault="009A4C46" w:rsidP="009A4C46">
            <w:pPr>
              <w:autoSpaceDE w:val="0"/>
              <w:autoSpaceDN w:val="0"/>
              <w:adjustRightInd w:val="0"/>
              <w:spacing w:after="0" w:line="240" w:lineRule="auto"/>
              <w:jc w:val="center"/>
              <w:rPr>
                <w:rFonts w:eastAsia="Times New Roman"/>
                <w:shd w:val="clear" w:color="auto" w:fill="FFFFFF"/>
                <w:lang w:eastAsia="ru-RU" w:bidi="ru-RU"/>
              </w:rPr>
            </w:pPr>
            <w:r w:rsidRPr="00C93C06">
              <w:rPr>
                <w:rFonts w:eastAsia="Times New Roman"/>
                <w:bCs/>
                <w:shd w:val="clear" w:color="auto" w:fill="FFFFFF"/>
                <w:lang w:eastAsia="ru-RU" w:bidi="ru-RU"/>
              </w:rPr>
              <w:t>70 888</w:t>
            </w:r>
          </w:p>
        </w:tc>
        <w:tc>
          <w:tcPr>
            <w:tcW w:w="586" w:type="pct"/>
            <w:shd w:val="clear" w:color="auto" w:fill="FFFFFF"/>
            <w:vAlign w:val="center"/>
          </w:tcPr>
          <w:p w14:paraId="284E3A8F" w14:textId="77777777" w:rsidR="009A4C46" w:rsidRPr="00C93C06" w:rsidRDefault="009A4C46" w:rsidP="009A4C46">
            <w:pPr>
              <w:autoSpaceDE w:val="0"/>
              <w:autoSpaceDN w:val="0"/>
              <w:adjustRightInd w:val="0"/>
              <w:spacing w:after="0" w:line="240" w:lineRule="auto"/>
              <w:jc w:val="center"/>
              <w:rPr>
                <w:rFonts w:eastAsia="Times New Roman"/>
                <w:shd w:val="clear" w:color="auto" w:fill="FFFFFF"/>
                <w:lang w:eastAsia="ru-RU" w:bidi="ru-RU"/>
              </w:rPr>
            </w:pPr>
            <w:r w:rsidRPr="00C93C06">
              <w:rPr>
                <w:rFonts w:eastAsia="Times New Roman"/>
                <w:bCs/>
                <w:shd w:val="clear" w:color="auto" w:fill="FFFFFF"/>
                <w:lang w:eastAsia="ru-RU" w:bidi="ru-RU"/>
              </w:rPr>
              <w:t>70 888</w:t>
            </w:r>
          </w:p>
        </w:tc>
        <w:tc>
          <w:tcPr>
            <w:tcW w:w="779" w:type="pct"/>
            <w:shd w:val="clear" w:color="auto" w:fill="FFFFFF"/>
            <w:vAlign w:val="center"/>
          </w:tcPr>
          <w:p w14:paraId="5C293FF0" w14:textId="77777777" w:rsidR="009A4C46" w:rsidRPr="00C93C06" w:rsidRDefault="009A4C46" w:rsidP="009A4C46">
            <w:pPr>
              <w:autoSpaceDE w:val="0"/>
              <w:autoSpaceDN w:val="0"/>
              <w:adjustRightInd w:val="0"/>
              <w:spacing w:after="0" w:line="240" w:lineRule="auto"/>
              <w:jc w:val="center"/>
              <w:rPr>
                <w:rFonts w:eastAsia="Times New Roman"/>
                <w:shd w:val="clear" w:color="auto" w:fill="FFFFFF"/>
                <w:lang w:eastAsia="ru-RU" w:bidi="ru-RU"/>
              </w:rPr>
            </w:pPr>
            <w:r w:rsidRPr="00C93C06">
              <w:rPr>
                <w:rFonts w:eastAsia="Times New Roman"/>
                <w:bCs/>
                <w:shd w:val="clear" w:color="auto" w:fill="FFFFFF"/>
                <w:lang w:eastAsia="ru-RU" w:bidi="ru-RU"/>
              </w:rPr>
              <w:t>0</w:t>
            </w:r>
          </w:p>
        </w:tc>
      </w:tr>
      <w:tr w:rsidR="009A4C46" w:rsidRPr="00C93C06" w14:paraId="266F9C9F" w14:textId="77777777" w:rsidTr="00F94FED">
        <w:trPr>
          <w:trHeight w:val="1354"/>
        </w:trPr>
        <w:tc>
          <w:tcPr>
            <w:tcW w:w="234" w:type="pct"/>
            <w:shd w:val="clear" w:color="auto" w:fill="FFFFFF"/>
            <w:vAlign w:val="center"/>
          </w:tcPr>
          <w:p w14:paraId="0C677A33" w14:textId="77777777" w:rsidR="009A4C46" w:rsidRPr="00C93C06" w:rsidRDefault="009A4C46" w:rsidP="009A4C46">
            <w:pPr>
              <w:autoSpaceDE w:val="0"/>
              <w:autoSpaceDN w:val="0"/>
              <w:adjustRightInd w:val="0"/>
              <w:spacing w:after="0" w:line="240" w:lineRule="auto"/>
              <w:jc w:val="center"/>
              <w:rPr>
                <w:rFonts w:eastAsia="Times New Roman"/>
                <w:shd w:val="clear" w:color="auto" w:fill="FFFFFF"/>
                <w:lang w:eastAsia="ru-RU" w:bidi="ru-RU"/>
              </w:rPr>
            </w:pPr>
            <w:r w:rsidRPr="00C93C06">
              <w:rPr>
                <w:rFonts w:eastAsia="Times New Roman"/>
                <w:bCs/>
                <w:shd w:val="clear" w:color="auto" w:fill="FFFFFF"/>
                <w:lang w:eastAsia="ru-RU" w:bidi="ru-RU"/>
              </w:rPr>
              <w:t>5</w:t>
            </w:r>
          </w:p>
        </w:tc>
        <w:tc>
          <w:tcPr>
            <w:tcW w:w="727" w:type="pct"/>
            <w:shd w:val="clear" w:color="auto" w:fill="FFFFFF"/>
            <w:vAlign w:val="center"/>
          </w:tcPr>
          <w:p w14:paraId="78C7B697" w14:textId="77777777" w:rsidR="009A4C46" w:rsidRPr="00C93C06" w:rsidRDefault="009A4C46" w:rsidP="009A4C46">
            <w:pPr>
              <w:autoSpaceDE w:val="0"/>
              <w:autoSpaceDN w:val="0"/>
              <w:adjustRightInd w:val="0"/>
              <w:spacing w:after="0" w:line="240" w:lineRule="auto"/>
              <w:jc w:val="both"/>
              <w:rPr>
                <w:rFonts w:eastAsia="Times New Roman"/>
                <w:shd w:val="clear" w:color="auto" w:fill="FFFFFF"/>
                <w:lang w:eastAsia="ru-RU" w:bidi="ru-RU"/>
              </w:rPr>
            </w:pPr>
            <w:r w:rsidRPr="00C93C06">
              <w:rPr>
                <w:rFonts w:eastAsia="Times New Roman"/>
                <w:noProof/>
                <w:shd w:val="clear" w:color="auto" w:fill="FFFFFF"/>
                <w:lang w:eastAsia="ru-RU"/>
              </w:rPr>
              <w:drawing>
                <wp:inline distT="0" distB="0" distL="0" distR="0" wp14:anchorId="6E12A6F4" wp14:editId="5C9BE3CA">
                  <wp:extent cx="466725" cy="266700"/>
                  <wp:effectExtent l="0" t="0" r="9525" b="0"/>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466725" cy="266700"/>
                          </a:xfrm>
                          <a:prstGeom prst="rect">
                            <a:avLst/>
                          </a:prstGeom>
                          <a:noFill/>
                          <a:ln>
                            <a:noFill/>
                          </a:ln>
                        </pic:spPr>
                      </pic:pic>
                    </a:graphicData>
                  </a:graphic>
                </wp:inline>
              </w:drawing>
            </w:r>
          </w:p>
        </w:tc>
        <w:tc>
          <w:tcPr>
            <w:tcW w:w="1839" w:type="pct"/>
            <w:shd w:val="clear" w:color="auto" w:fill="FFFFFF"/>
            <w:vAlign w:val="bottom"/>
          </w:tcPr>
          <w:p w14:paraId="20B4A450" w14:textId="77777777" w:rsidR="009A4C46" w:rsidRPr="00C93C06" w:rsidRDefault="009A4C46" w:rsidP="009A4C46">
            <w:pPr>
              <w:autoSpaceDE w:val="0"/>
              <w:autoSpaceDN w:val="0"/>
              <w:adjustRightInd w:val="0"/>
              <w:spacing w:after="0" w:line="240" w:lineRule="auto"/>
              <w:rPr>
                <w:rFonts w:eastAsia="Times New Roman"/>
                <w:shd w:val="clear" w:color="auto" w:fill="FFFFFF"/>
                <w:lang w:eastAsia="ru-RU" w:bidi="ru-RU"/>
              </w:rPr>
            </w:pPr>
            <w:r w:rsidRPr="00C93C06">
              <w:rPr>
                <w:rFonts w:eastAsia="Times New Roman"/>
                <w:bCs/>
                <w:shd w:val="clear" w:color="auto" w:fill="FFFFFF"/>
                <w:lang w:eastAsia="ru-RU" w:bidi="ru-RU"/>
              </w:rPr>
              <w:t>Корректировка необходимой валовой выручки, осуществленная в связи с исполнением (неисполнением) инвестиционной программы за 2017 год по результатам 9 месяцев (учтенная при расчете тарифов на 2018 год)</w:t>
            </w:r>
          </w:p>
        </w:tc>
        <w:tc>
          <w:tcPr>
            <w:tcW w:w="836" w:type="pct"/>
            <w:shd w:val="clear" w:color="auto" w:fill="FFFFFF"/>
            <w:vAlign w:val="center"/>
          </w:tcPr>
          <w:p w14:paraId="4D104271" w14:textId="77777777" w:rsidR="009A4C46" w:rsidRPr="00C93C06" w:rsidRDefault="009A4C46" w:rsidP="009A4C46">
            <w:pPr>
              <w:autoSpaceDE w:val="0"/>
              <w:autoSpaceDN w:val="0"/>
              <w:adjustRightInd w:val="0"/>
              <w:spacing w:after="0" w:line="240" w:lineRule="auto"/>
              <w:jc w:val="center"/>
              <w:rPr>
                <w:rFonts w:eastAsia="Times New Roman"/>
                <w:shd w:val="clear" w:color="auto" w:fill="FFFFFF"/>
                <w:lang w:eastAsia="ru-RU" w:bidi="ru-RU"/>
              </w:rPr>
            </w:pPr>
            <w:r w:rsidRPr="00C93C06">
              <w:rPr>
                <w:rFonts w:eastAsia="Times New Roman"/>
                <w:bCs/>
                <w:shd w:val="clear" w:color="auto" w:fill="FFFFFF"/>
                <w:lang w:eastAsia="ru-RU" w:bidi="ru-RU"/>
              </w:rPr>
              <w:t>0</w:t>
            </w:r>
          </w:p>
        </w:tc>
        <w:tc>
          <w:tcPr>
            <w:tcW w:w="586" w:type="pct"/>
            <w:shd w:val="clear" w:color="auto" w:fill="FFFFFF"/>
            <w:vAlign w:val="center"/>
          </w:tcPr>
          <w:p w14:paraId="03D1B76E" w14:textId="77777777" w:rsidR="009A4C46" w:rsidRPr="00C93C06" w:rsidRDefault="009A4C46" w:rsidP="009A4C46">
            <w:pPr>
              <w:autoSpaceDE w:val="0"/>
              <w:autoSpaceDN w:val="0"/>
              <w:adjustRightInd w:val="0"/>
              <w:spacing w:after="0" w:line="240" w:lineRule="auto"/>
              <w:jc w:val="center"/>
              <w:rPr>
                <w:rFonts w:eastAsia="Times New Roman"/>
                <w:shd w:val="clear" w:color="auto" w:fill="FFFFFF"/>
                <w:lang w:eastAsia="ru-RU" w:bidi="ru-RU"/>
              </w:rPr>
            </w:pPr>
            <w:r w:rsidRPr="00C93C06">
              <w:rPr>
                <w:rFonts w:eastAsia="Times New Roman"/>
                <w:bCs/>
                <w:shd w:val="clear" w:color="auto" w:fill="FFFFFF"/>
                <w:lang w:eastAsia="ru-RU" w:bidi="ru-RU"/>
              </w:rPr>
              <w:t>0</w:t>
            </w:r>
          </w:p>
        </w:tc>
        <w:tc>
          <w:tcPr>
            <w:tcW w:w="779" w:type="pct"/>
            <w:shd w:val="clear" w:color="auto" w:fill="FFFFFF"/>
            <w:vAlign w:val="center"/>
          </w:tcPr>
          <w:p w14:paraId="1F76AA4A" w14:textId="77777777" w:rsidR="009A4C46" w:rsidRPr="00C93C06" w:rsidRDefault="009A4C46" w:rsidP="009A4C46">
            <w:pPr>
              <w:autoSpaceDE w:val="0"/>
              <w:autoSpaceDN w:val="0"/>
              <w:adjustRightInd w:val="0"/>
              <w:spacing w:after="0" w:line="240" w:lineRule="auto"/>
              <w:jc w:val="center"/>
              <w:rPr>
                <w:rFonts w:eastAsia="Times New Roman"/>
                <w:shd w:val="clear" w:color="auto" w:fill="FFFFFF"/>
                <w:lang w:eastAsia="ru-RU" w:bidi="ru-RU"/>
              </w:rPr>
            </w:pPr>
            <w:r w:rsidRPr="00C93C06">
              <w:rPr>
                <w:rFonts w:eastAsia="Times New Roman"/>
                <w:bCs/>
                <w:shd w:val="clear" w:color="auto" w:fill="FFFFFF"/>
                <w:lang w:eastAsia="ru-RU" w:bidi="ru-RU"/>
              </w:rPr>
              <w:t>0</w:t>
            </w:r>
          </w:p>
        </w:tc>
      </w:tr>
    </w:tbl>
    <w:p w14:paraId="22D83B08" w14:textId="77777777" w:rsidR="009A4C46" w:rsidRPr="00F94FED" w:rsidRDefault="009A4C46" w:rsidP="00F94FED">
      <w:pPr>
        <w:autoSpaceDE w:val="0"/>
        <w:autoSpaceDN w:val="0"/>
        <w:adjustRightInd w:val="0"/>
        <w:spacing w:after="0" w:line="360" w:lineRule="auto"/>
        <w:ind w:firstLine="567"/>
        <w:jc w:val="both"/>
        <w:rPr>
          <w:rFonts w:eastAsia="Times New Roman"/>
          <w:sz w:val="26"/>
          <w:szCs w:val="26"/>
          <w:shd w:val="clear" w:color="auto" w:fill="FFFFFF"/>
          <w:lang w:eastAsia="ru-RU"/>
        </w:rPr>
      </w:pPr>
    </w:p>
    <w:p w14:paraId="5C5D6F61" w14:textId="662FE2F7" w:rsidR="009A4C46" w:rsidRPr="00F94FED" w:rsidRDefault="00A51B23" w:rsidP="001D2691">
      <w:pPr>
        <w:autoSpaceDE w:val="0"/>
        <w:autoSpaceDN w:val="0"/>
        <w:adjustRightInd w:val="0"/>
        <w:spacing w:after="0" w:line="360" w:lineRule="auto"/>
        <w:jc w:val="both"/>
        <w:rPr>
          <w:rFonts w:eastAsia="Times New Roman"/>
          <w:b/>
          <w:sz w:val="26"/>
          <w:szCs w:val="26"/>
          <w:shd w:val="clear" w:color="auto" w:fill="FFFFFF"/>
          <w:lang w:eastAsia="ru-RU"/>
        </w:rPr>
      </w:pPr>
      <w:r w:rsidRPr="00F94FED">
        <w:rPr>
          <w:rFonts w:eastAsia="Times New Roman"/>
          <w:b/>
          <w:sz w:val="26"/>
          <w:szCs w:val="26"/>
          <w:shd w:val="clear" w:color="auto" w:fill="FFFFFF"/>
          <w:lang w:eastAsia="ru-RU"/>
        </w:rPr>
        <w:lastRenderedPageBreak/>
        <w:t>ПОЗИЦИЯ ИСПОЛНИТЕЛЯ</w:t>
      </w:r>
    </w:p>
    <w:p w14:paraId="0786D567" w14:textId="77777777" w:rsidR="009A4C46" w:rsidRPr="00F94FED" w:rsidRDefault="009A4C46" w:rsidP="00F94FED">
      <w:pPr>
        <w:autoSpaceDE w:val="0"/>
        <w:autoSpaceDN w:val="0"/>
        <w:adjustRightInd w:val="0"/>
        <w:spacing w:after="0" w:line="360" w:lineRule="auto"/>
        <w:ind w:firstLine="567"/>
        <w:jc w:val="both"/>
        <w:rPr>
          <w:rFonts w:eastAsia="Times New Roman"/>
          <w:sz w:val="26"/>
          <w:szCs w:val="26"/>
          <w:shd w:val="clear" w:color="auto" w:fill="FFFFFF"/>
          <w:lang w:eastAsia="ru-RU"/>
        </w:rPr>
      </w:pPr>
      <w:r w:rsidRPr="00F94FED">
        <w:rPr>
          <w:rFonts w:eastAsia="Times New Roman"/>
          <w:sz w:val="26"/>
          <w:szCs w:val="26"/>
          <w:shd w:val="clear" w:color="auto" w:fill="FFFFFF"/>
          <w:lang w:eastAsia="ru-RU"/>
        </w:rPr>
        <w:t xml:space="preserve">Для обоснования правильности применения фактических параметров для выполнения корректировки НВВ в связи с изменением (неисполнением) инвестиционной программы АО «Тываэнерго» за 2017 год Исполнителем был проведен </w:t>
      </w:r>
      <w:proofErr w:type="spellStart"/>
      <w:r w:rsidRPr="00F94FED">
        <w:rPr>
          <w:rFonts w:eastAsia="Times New Roman"/>
          <w:sz w:val="26"/>
          <w:szCs w:val="26"/>
          <w:shd w:val="clear" w:color="auto" w:fill="FFFFFF"/>
          <w:lang w:eastAsia="ru-RU"/>
        </w:rPr>
        <w:t>пообъектный</w:t>
      </w:r>
      <w:proofErr w:type="spellEnd"/>
      <w:r w:rsidRPr="00F94FED">
        <w:rPr>
          <w:rFonts w:eastAsia="Times New Roman"/>
          <w:sz w:val="26"/>
          <w:szCs w:val="26"/>
          <w:shd w:val="clear" w:color="auto" w:fill="FFFFFF"/>
          <w:lang w:eastAsia="ru-RU"/>
        </w:rPr>
        <w:t xml:space="preserve"> анализ отчетов о ходе реализации инвестиционной программы за 2017 год.</w:t>
      </w:r>
    </w:p>
    <w:p w14:paraId="5AB578E1" w14:textId="0DD29779" w:rsidR="009A4C46" w:rsidRPr="00F94FED" w:rsidRDefault="009A4C46" w:rsidP="00F94FED">
      <w:pPr>
        <w:spacing w:after="0" w:line="360" w:lineRule="auto"/>
        <w:ind w:firstLine="567"/>
        <w:contextualSpacing/>
        <w:jc w:val="both"/>
        <w:rPr>
          <w:rFonts w:eastAsia="Calibri"/>
          <w:sz w:val="26"/>
          <w:szCs w:val="26"/>
        </w:rPr>
      </w:pPr>
      <w:bookmarkStart w:id="44" w:name="_Hlk41404811"/>
      <w:r w:rsidRPr="00F94FED">
        <w:rPr>
          <w:rFonts w:eastAsia="Calibri"/>
          <w:sz w:val="26"/>
          <w:szCs w:val="26"/>
        </w:rPr>
        <w:t>Первоначально инвестиционная программа ОАО (АО) «Тываэнерго» была утверждена на период 2016 – 2022 гг. приказом Минэнерго России от 17.11.2015 №</w:t>
      </w:r>
      <w:r w:rsidR="00A51B23">
        <w:rPr>
          <w:rFonts w:eastAsia="Calibri"/>
          <w:sz w:val="26"/>
          <w:szCs w:val="26"/>
        </w:rPr>
        <w:t> </w:t>
      </w:r>
      <w:r w:rsidRPr="00F94FED">
        <w:rPr>
          <w:rFonts w:eastAsia="Calibri"/>
          <w:sz w:val="26"/>
          <w:szCs w:val="26"/>
        </w:rPr>
        <w:t xml:space="preserve">867 «Об утверждении инвестиционной программы </w:t>
      </w:r>
      <w:r w:rsidR="008D575A" w:rsidRPr="00F94FED">
        <w:rPr>
          <w:rFonts w:eastAsia="Calibri"/>
          <w:sz w:val="26"/>
          <w:szCs w:val="26"/>
        </w:rPr>
        <w:t>ОАО «</w:t>
      </w:r>
      <w:r w:rsidRPr="00F94FED">
        <w:rPr>
          <w:rFonts w:eastAsia="Calibri"/>
          <w:sz w:val="26"/>
          <w:szCs w:val="26"/>
        </w:rPr>
        <w:t>Тываэнерго» на 2016 – 2022 годы».</w:t>
      </w:r>
    </w:p>
    <w:p w14:paraId="7EEB2CDF" w14:textId="714B2B92" w:rsidR="009A4C46" w:rsidRPr="00F94FED" w:rsidRDefault="009A4C46" w:rsidP="00F94FED">
      <w:pPr>
        <w:spacing w:after="0" w:line="360" w:lineRule="auto"/>
        <w:ind w:firstLine="567"/>
        <w:contextualSpacing/>
        <w:jc w:val="both"/>
        <w:rPr>
          <w:rFonts w:eastAsia="Calibri"/>
          <w:sz w:val="26"/>
          <w:szCs w:val="26"/>
        </w:rPr>
      </w:pPr>
      <w:r w:rsidRPr="00F94FED">
        <w:rPr>
          <w:rFonts w:eastAsia="Calibri"/>
          <w:sz w:val="26"/>
          <w:szCs w:val="26"/>
        </w:rPr>
        <w:t>В дальнейшем в инвестиционную программу АО «Тываэнерго» были внесены изменения, которые утверждены приказом Минэнерго России от 09.12.2016 №</w:t>
      </w:r>
      <w:r w:rsidR="00A51B23">
        <w:rPr>
          <w:rFonts w:eastAsia="Calibri"/>
          <w:sz w:val="26"/>
          <w:szCs w:val="26"/>
        </w:rPr>
        <w:t> </w:t>
      </w:r>
      <w:r w:rsidRPr="00F94FED">
        <w:rPr>
          <w:rFonts w:eastAsia="Calibri"/>
          <w:sz w:val="26"/>
          <w:szCs w:val="26"/>
        </w:rPr>
        <w:t>1308 «О внесении изменений в приказ Минэнерго России от 17.11.2015 № 867».</w:t>
      </w:r>
    </w:p>
    <w:p w14:paraId="1F255EC0" w14:textId="77777777" w:rsidR="009A4C46" w:rsidRPr="00F94FED" w:rsidRDefault="009A4C46" w:rsidP="00F94FED">
      <w:pPr>
        <w:spacing w:after="0" w:line="360" w:lineRule="auto"/>
        <w:ind w:firstLine="567"/>
        <w:contextualSpacing/>
        <w:jc w:val="both"/>
        <w:rPr>
          <w:rFonts w:eastAsia="Calibri"/>
          <w:sz w:val="26"/>
          <w:szCs w:val="26"/>
        </w:rPr>
      </w:pPr>
      <w:r w:rsidRPr="00F94FED">
        <w:rPr>
          <w:rFonts w:eastAsia="Calibri"/>
          <w:sz w:val="26"/>
          <w:szCs w:val="26"/>
        </w:rPr>
        <w:t>Утвержденная инвестиционная программа представляется в Службу по тарифам Республики Тыва ежегодно.</w:t>
      </w:r>
    </w:p>
    <w:bookmarkEnd w:id="44"/>
    <w:p w14:paraId="0ECE521C" w14:textId="6BD36D35" w:rsidR="00A51B23" w:rsidRPr="00C93C06" w:rsidRDefault="009A4C46" w:rsidP="00F94FED">
      <w:pPr>
        <w:spacing w:after="0" w:line="360" w:lineRule="auto"/>
        <w:ind w:firstLine="567"/>
        <w:contextualSpacing/>
        <w:jc w:val="both"/>
        <w:rPr>
          <w:rFonts w:eastAsia="Calibri"/>
          <w:sz w:val="26"/>
          <w:szCs w:val="26"/>
        </w:rPr>
      </w:pPr>
      <w:r w:rsidRPr="00C93C06">
        <w:rPr>
          <w:rFonts w:eastAsia="Calibri"/>
          <w:sz w:val="26"/>
          <w:szCs w:val="26"/>
        </w:rPr>
        <w:t>Представление инвестиционной программы и отчетов к ней подтверждается:</w:t>
      </w:r>
    </w:p>
    <w:p w14:paraId="2B72C276" w14:textId="1EF9D346" w:rsidR="00A51B23" w:rsidRPr="00C93C06" w:rsidRDefault="009A4C46" w:rsidP="00F94FED">
      <w:pPr>
        <w:pStyle w:val="a3"/>
        <w:numPr>
          <w:ilvl w:val="0"/>
          <w:numId w:val="33"/>
        </w:numPr>
        <w:spacing w:after="0" w:line="360" w:lineRule="auto"/>
        <w:ind w:left="1134" w:hanging="567"/>
        <w:jc w:val="both"/>
        <w:rPr>
          <w:rFonts w:ascii="Myriad Pro" w:hAnsi="Myriad Pro"/>
          <w:sz w:val="26"/>
          <w:szCs w:val="26"/>
        </w:rPr>
      </w:pPr>
      <w:r w:rsidRPr="00C93C06">
        <w:rPr>
          <w:rFonts w:ascii="Myriad Pro" w:hAnsi="Myriad Pro"/>
          <w:sz w:val="26"/>
          <w:szCs w:val="26"/>
        </w:rPr>
        <w:t>экспертным заключением Службы по тарифам Республики Тыва по предложениям об установлении тарифов на услуги по передаче электрической энергии по электрическим сетям на 2017 год, представленным Обществом в обосновывающих материалах;</w:t>
      </w:r>
    </w:p>
    <w:p w14:paraId="0CC764DA" w14:textId="1555FDB0" w:rsidR="00A51B23" w:rsidRPr="00C93C06" w:rsidRDefault="009A4C46" w:rsidP="00F94FED">
      <w:pPr>
        <w:pStyle w:val="a3"/>
        <w:numPr>
          <w:ilvl w:val="0"/>
          <w:numId w:val="33"/>
        </w:numPr>
        <w:spacing w:after="0" w:line="360" w:lineRule="auto"/>
        <w:ind w:left="1134" w:hanging="567"/>
        <w:jc w:val="both"/>
        <w:rPr>
          <w:rFonts w:ascii="Myriad Pro" w:hAnsi="Myriad Pro"/>
          <w:sz w:val="26"/>
          <w:szCs w:val="26"/>
        </w:rPr>
      </w:pPr>
      <w:r w:rsidRPr="00C93C06">
        <w:rPr>
          <w:rFonts w:ascii="Myriad Pro" w:hAnsi="Myriad Pro"/>
          <w:sz w:val="26"/>
          <w:szCs w:val="26"/>
        </w:rPr>
        <w:t>пояснительной запиской по обосновывающим материалам по расчету «Расходов на амортизацию», которые определены с учетом вводов объектов, предусмотренных инвестиционной программой (приложена к тарифной заявке в электронном виде);</w:t>
      </w:r>
    </w:p>
    <w:p w14:paraId="66109E4F" w14:textId="44564137" w:rsidR="00A24D50" w:rsidRPr="00C93C06" w:rsidRDefault="009A4C46" w:rsidP="00F94FED">
      <w:pPr>
        <w:pStyle w:val="a3"/>
        <w:numPr>
          <w:ilvl w:val="0"/>
          <w:numId w:val="33"/>
        </w:numPr>
        <w:spacing w:after="0" w:line="360" w:lineRule="auto"/>
        <w:ind w:left="1134" w:hanging="567"/>
        <w:jc w:val="both"/>
        <w:rPr>
          <w:rFonts w:ascii="Myriad Pro" w:hAnsi="Myriad Pro"/>
          <w:sz w:val="26"/>
          <w:szCs w:val="26"/>
        </w:rPr>
      </w:pPr>
      <w:r w:rsidRPr="00C93C06">
        <w:rPr>
          <w:rFonts w:ascii="Myriad Pro" w:hAnsi="Myriad Pro"/>
          <w:sz w:val="26"/>
          <w:szCs w:val="26"/>
        </w:rPr>
        <w:t>сведениями в открытой печати, размещенными на сайте Общества по ссылке http://www.tuvaenergo.ru/about/outinf.php в разделе «Инвестиции»;</w:t>
      </w:r>
    </w:p>
    <w:p w14:paraId="3DD5E104" w14:textId="3C10AEFA" w:rsidR="009A4C46" w:rsidRPr="00F94FED" w:rsidRDefault="009A4C46" w:rsidP="00F94FED">
      <w:pPr>
        <w:pStyle w:val="a3"/>
        <w:numPr>
          <w:ilvl w:val="0"/>
          <w:numId w:val="34"/>
        </w:numPr>
        <w:spacing w:after="0" w:line="360" w:lineRule="auto"/>
        <w:ind w:left="1134" w:hanging="567"/>
        <w:jc w:val="both"/>
        <w:rPr>
          <w:sz w:val="26"/>
          <w:szCs w:val="26"/>
        </w:rPr>
      </w:pPr>
      <w:r w:rsidRPr="00C93C06">
        <w:rPr>
          <w:rFonts w:ascii="Myriad Pro" w:hAnsi="Myriad Pro"/>
          <w:sz w:val="26"/>
          <w:szCs w:val="26"/>
        </w:rPr>
        <w:t>сведениями, размещенными на официальном сайте государственной</w:t>
      </w:r>
      <w:r w:rsidRPr="00F94FED">
        <w:rPr>
          <w:rFonts w:ascii="Myriad Pro" w:hAnsi="Myriad Pro"/>
          <w:sz w:val="26"/>
          <w:szCs w:val="26"/>
        </w:rPr>
        <w:t xml:space="preserve"> системы «Единый портал государственных и муниципальных услуг (функций)» в сети «Интернет» (ссылка: </w:t>
      </w:r>
      <w:proofErr w:type="spellStart"/>
      <w:r w:rsidRPr="00F94FED">
        <w:rPr>
          <w:rFonts w:ascii="Myriad Pro" w:hAnsi="Myriad Pro"/>
          <w:sz w:val="26"/>
          <w:szCs w:val="26"/>
        </w:rPr>
        <w:t>htpp</w:t>
      </w:r>
      <w:proofErr w:type="spellEnd"/>
      <w:r w:rsidRPr="00F94FED">
        <w:rPr>
          <w:rFonts w:ascii="Myriad Pro" w:hAnsi="Myriad Pro"/>
          <w:sz w:val="26"/>
          <w:szCs w:val="26"/>
        </w:rPr>
        <w:t>://invest.gosuslugi.ru/</w:t>
      </w:r>
      <w:proofErr w:type="spellStart"/>
      <w:r w:rsidRPr="00F94FED">
        <w:rPr>
          <w:rFonts w:ascii="Myriad Pro" w:hAnsi="Myriad Pro"/>
          <w:sz w:val="26"/>
          <w:szCs w:val="26"/>
        </w:rPr>
        <w:t>epgu-forum</w:t>
      </w:r>
      <w:proofErr w:type="spellEnd"/>
      <w:r w:rsidRPr="00F94FED">
        <w:rPr>
          <w:rFonts w:ascii="Myriad Pro" w:hAnsi="Myriad Pro"/>
          <w:sz w:val="26"/>
          <w:szCs w:val="26"/>
        </w:rPr>
        <w:t>/#/</w:t>
      </w:r>
      <w:proofErr w:type="spellStart"/>
      <w:r w:rsidRPr="00F94FED">
        <w:rPr>
          <w:rFonts w:ascii="Myriad Pro" w:hAnsi="Myriad Pro"/>
          <w:sz w:val="26"/>
          <w:szCs w:val="26"/>
        </w:rPr>
        <w:t>ipr</w:t>
      </w:r>
      <w:proofErr w:type="spellEnd"/>
      <w:r w:rsidRPr="00F94FED">
        <w:rPr>
          <w:rFonts w:ascii="Myriad Pro" w:hAnsi="Myriad Pro"/>
          <w:sz w:val="26"/>
          <w:szCs w:val="26"/>
        </w:rPr>
        <w:t>/00459).</w:t>
      </w:r>
    </w:p>
    <w:p w14:paraId="3EDB78A7" w14:textId="77777777" w:rsidR="009A4C46" w:rsidRPr="00F94FED" w:rsidRDefault="009A4C46" w:rsidP="00F94FED">
      <w:pPr>
        <w:spacing w:after="0" w:line="360" w:lineRule="auto"/>
        <w:ind w:firstLine="567"/>
        <w:contextualSpacing/>
        <w:jc w:val="both"/>
        <w:rPr>
          <w:rFonts w:eastAsia="Calibri"/>
          <w:b/>
          <w:bCs/>
          <w:sz w:val="26"/>
          <w:szCs w:val="26"/>
        </w:rPr>
      </w:pPr>
      <w:r w:rsidRPr="00F94FED">
        <w:rPr>
          <w:rFonts w:eastAsia="Calibri"/>
          <w:b/>
          <w:bCs/>
          <w:sz w:val="26"/>
          <w:szCs w:val="26"/>
        </w:rPr>
        <w:lastRenderedPageBreak/>
        <w:t xml:space="preserve">Сравнительный </w:t>
      </w:r>
      <w:proofErr w:type="spellStart"/>
      <w:r w:rsidRPr="00F94FED">
        <w:rPr>
          <w:rFonts w:eastAsia="Calibri"/>
          <w:b/>
          <w:bCs/>
          <w:sz w:val="26"/>
          <w:szCs w:val="26"/>
        </w:rPr>
        <w:t>пообъектный</w:t>
      </w:r>
      <w:proofErr w:type="spellEnd"/>
      <w:r w:rsidRPr="00F94FED">
        <w:rPr>
          <w:rFonts w:eastAsia="Calibri"/>
          <w:b/>
          <w:bCs/>
          <w:sz w:val="26"/>
          <w:szCs w:val="26"/>
        </w:rPr>
        <w:t xml:space="preserve"> анализ плановых показателей инвестиционных программ (график работ, вводов в эксплуатацию, объемов финансирования) с их фактическим исполнением</w:t>
      </w:r>
    </w:p>
    <w:p w14:paraId="04B08686" w14:textId="6715780C" w:rsidR="009A4C46" w:rsidRPr="00F94FED" w:rsidRDefault="009A4C46" w:rsidP="00F94FED">
      <w:pPr>
        <w:spacing w:after="0" w:line="360" w:lineRule="auto"/>
        <w:ind w:firstLine="567"/>
        <w:contextualSpacing/>
        <w:jc w:val="both"/>
        <w:rPr>
          <w:rFonts w:eastAsia="Calibri"/>
          <w:sz w:val="26"/>
          <w:szCs w:val="26"/>
        </w:rPr>
      </w:pPr>
      <w:r w:rsidRPr="00F94FED">
        <w:rPr>
          <w:rFonts w:eastAsia="Calibri"/>
          <w:sz w:val="26"/>
          <w:szCs w:val="26"/>
        </w:rPr>
        <w:t>Финансирование инвестиционной программы АО «Тываэнерго» на период 2018 – 2022 гг. утверждено Минэнерго России в сумме 1</w:t>
      </w:r>
      <w:r w:rsidR="00A24D50">
        <w:rPr>
          <w:rFonts w:eastAsia="Calibri"/>
          <w:sz w:val="26"/>
          <w:szCs w:val="26"/>
        </w:rPr>
        <w:t> </w:t>
      </w:r>
      <w:r w:rsidRPr="00F94FED">
        <w:rPr>
          <w:rFonts w:eastAsia="Calibri"/>
          <w:sz w:val="26"/>
          <w:szCs w:val="26"/>
        </w:rPr>
        <w:t>215,12 млн. руб.</w:t>
      </w:r>
    </w:p>
    <w:p w14:paraId="03256CB8" w14:textId="77777777" w:rsidR="009A4C46" w:rsidRPr="00F94FED" w:rsidRDefault="009A4C46" w:rsidP="00F94FED">
      <w:pPr>
        <w:spacing w:after="0" w:line="360" w:lineRule="auto"/>
        <w:ind w:firstLine="567"/>
        <w:contextualSpacing/>
        <w:jc w:val="both"/>
        <w:rPr>
          <w:rFonts w:eastAsia="Calibri"/>
          <w:sz w:val="26"/>
          <w:szCs w:val="26"/>
        </w:rPr>
      </w:pPr>
      <w:r w:rsidRPr="00F94FED">
        <w:rPr>
          <w:rFonts w:eastAsia="Calibri"/>
          <w:sz w:val="26"/>
          <w:szCs w:val="26"/>
        </w:rPr>
        <w:t>Плановые показатели реализации инвестиционной программы и источники финансирования ИПР приведены в таблице.</w:t>
      </w:r>
    </w:p>
    <w:p w14:paraId="4DC87E7F" w14:textId="77777777" w:rsidR="009A4C46" w:rsidRPr="0065708A" w:rsidRDefault="009A4C46" w:rsidP="00F94FED">
      <w:pPr>
        <w:spacing w:after="0" w:line="360" w:lineRule="auto"/>
        <w:ind w:firstLine="567"/>
        <w:contextualSpacing/>
        <w:jc w:val="both"/>
        <w:rPr>
          <w:rFonts w:eastAsia="Calibri"/>
          <w:sz w:val="26"/>
          <w:szCs w:val="26"/>
        </w:rPr>
      </w:pPr>
      <w:r w:rsidRPr="0065708A">
        <w:rPr>
          <w:rFonts w:eastAsia="Calibri"/>
          <w:sz w:val="26"/>
          <w:szCs w:val="26"/>
        </w:rPr>
        <w:t xml:space="preserve">Финансирование ИПР на 2019 г. утверждено в сумме 663,38 млн. руб., в том числе за счет: </w:t>
      </w:r>
    </w:p>
    <w:p w14:paraId="1FA9BC10" w14:textId="7ACC356B" w:rsidR="009A4C46" w:rsidRPr="0065708A" w:rsidRDefault="009A4C46" w:rsidP="00F94FED">
      <w:pPr>
        <w:pStyle w:val="a3"/>
        <w:numPr>
          <w:ilvl w:val="0"/>
          <w:numId w:val="36"/>
        </w:numPr>
        <w:spacing w:after="0" w:line="360" w:lineRule="auto"/>
        <w:ind w:left="1134" w:hanging="567"/>
        <w:jc w:val="both"/>
        <w:rPr>
          <w:rFonts w:ascii="Myriad Pro" w:hAnsi="Myriad Pro"/>
          <w:sz w:val="26"/>
          <w:szCs w:val="26"/>
        </w:rPr>
      </w:pPr>
      <w:r w:rsidRPr="0065708A">
        <w:rPr>
          <w:rFonts w:ascii="Myriad Pro" w:hAnsi="Myriad Pro"/>
          <w:sz w:val="26"/>
          <w:szCs w:val="26"/>
        </w:rPr>
        <w:t>амортизации – 77,63 млн. руб.;</w:t>
      </w:r>
    </w:p>
    <w:p w14:paraId="4DA067D6" w14:textId="77777777" w:rsidR="009A4C46" w:rsidRPr="0065708A" w:rsidRDefault="009A4C46" w:rsidP="00F94FED">
      <w:pPr>
        <w:pStyle w:val="a3"/>
        <w:numPr>
          <w:ilvl w:val="0"/>
          <w:numId w:val="36"/>
        </w:numPr>
        <w:spacing w:after="0" w:line="360" w:lineRule="auto"/>
        <w:ind w:left="1134" w:hanging="567"/>
        <w:jc w:val="both"/>
        <w:rPr>
          <w:rFonts w:ascii="Myriad Pro" w:hAnsi="Myriad Pro"/>
          <w:sz w:val="26"/>
          <w:szCs w:val="26"/>
        </w:rPr>
      </w:pPr>
      <w:r w:rsidRPr="0065708A">
        <w:rPr>
          <w:rFonts w:ascii="Myriad Pro" w:hAnsi="Myriad Pro"/>
          <w:sz w:val="26"/>
          <w:szCs w:val="26"/>
        </w:rPr>
        <w:t>возврата налога на добавленную стоимость – 10,49 млн. руб.;</w:t>
      </w:r>
    </w:p>
    <w:p w14:paraId="1DBC5529" w14:textId="77777777" w:rsidR="009A4C46" w:rsidRPr="0065708A" w:rsidRDefault="009A4C46" w:rsidP="00F94FED">
      <w:pPr>
        <w:pStyle w:val="a3"/>
        <w:numPr>
          <w:ilvl w:val="0"/>
          <w:numId w:val="36"/>
        </w:numPr>
        <w:spacing w:after="0" w:line="360" w:lineRule="auto"/>
        <w:ind w:left="1134" w:hanging="567"/>
        <w:jc w:val="both"/>
        <w:rPr>
          <w:rFonts w:ascii="Myriad Pro" w:hAnsi="Myriad Pro"/>
          <w:sz w:val="26"/>
          <w:szCs w:val="26"/>
        </w:rPr>
      </w:pPr>
      <w:r w:rsidRPr="0065708A">
        <w:rPr>
          <w:rFonts w:ascii="Myriad Pro" w:hAnsi="Myriad Pro"/>
          <w:sz w:val="26"/>
          <w:szCs w:val="26"/>
        </w:rPr>
        <w:t>средств от эмиссии акций – 575,26 млн. руб.</w:t>
      </w:r>
    </w:p>
    <w:p w14:paraId="594FA41A" w14:textId="77777777" w:rsidR="0065708A" w:rsidRDefault="0065708A" w:rsidP="0065708A">
      <w:pPr>
        <w:spacing w:after="0" w:line="360" w:lineRule="auto"/>
        <w:contextualSpacing/>
        <w:jc w:val="center"/>
        <w:rPr>
          <w:rFonts w:eastAsia="Calibri"/>
          <w:b/>
          <w:bCs/>
          <w:sz w:val="26"/>
          <w:szCs w:val="26"/>
        </w:rPr>
      </w:pPr>
    </w:p>
    <w:p w14:paraId="0D91ACF1" w14:textId="4E55880A" w:rsidR="009A4C46" w:rsidRPr="0065708A" w:rsidRDefault="009A4C46" w:rsidP="0065708A">
      <w:pPr>
        <w:spacing w:after="0" w:line="360" w:lineRule="auto"/>
        <w:contextualSpacing/>
        <w:jc w:val="center"/>
        <w:rPr>
          <w:rFonts w:eastAsia="Calibri"/>
          <w:b/>
          <w:bCs/>
          <w:sz w:val="26"/>
          <w:szCs w:val="26"/>
        </w:rPr>
      </w:pPr>
      <w:r w:rsidRPr="0065708A">
        <w:rPr>
          <w:rFonts w:eastAsia="Calibri"/>
          <w:b/>
          <w:bCs/>
          <w:sz w:val="26"/>
          <w:szCs w:val="26"/>
        </w:rPr>
        <w:t xml:space="preserve">Плановые показатели реализации инвестиционной программы </w:t>
      </w:r>
      <w:r w:rsidR="00874840">
        <w:rPr>
          <w:rFonts w:eastAsia="Calibri"/>
          <w:b/>
          <w:bCs/>
          <w:sz w:val="26"/>
          <w:szCs w:val="26"/>
        </w:rPr>
        <w:br/>
      </w:r>
      <w:r w:rsidRPr="0065708A">
        <w:rPr>
          <w:rFonts w:eastAsia="Calibri"/>
          <w:b/>
          <w:bCs/>
          <w:sz w:val="26"/>
          <w:szCs w:val="26"/>
        </w:rPr>
        <w:t>на период 2018 – 2022 гг.</w:t>
      </w:r>
    </w:p>
    <w:tbl>
      <w:tblPr>
        <w:tblStyle w:val="af8"/>
        <w:tblW w:w="5079" w:type="pct"/>
        <w:tblLayout w:type="fixed"/>
        <w:tblLook w:val="04A0" w:firstRow="1" w:lastRow="0" w:firstColumn="1" w:lastColumn="0" w:noHBand="0" w:noVBand="1"/>
      </w:tblPr>
      <w:tblGrid>
        <w:gridCol w:w="993"/>
        <w:gridCol w:w="3417"/>
        <w:gridCol w:w="824"/>
        <w:gridCol w:w="826"/>
        <w:gridCol w:w="826"/>
        <w:gridCol w:w="826"/>
        <w:gridCol w:w="826"/>
        <w:gridCol w:w="955"/>
      </w:tblGrid>
      <w:tr w:rsidR="00A24D50" w:rsidRPr="00874840" w14:paraId="10A9E500" w14:textId="77777777" w:rsidTr="00874840">
        <w:trPr>
          <w:trHeight w:val="562"/>
          <w:tblHeader/>
        </w:trPr>
        <w:tc>
          <w:tcPr>
            <w:tcW w:w="52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8A460A9" w14:textId="77777777" w:rsidR="00A24D50" w:rsidRPr="00874840" w:rsidRDefault="00A24D50" w:rsidP="003E2802">
            <w:pPr>
              <w:jc w:val="center"/>
              <w:rPr>
                <w:rFonts w:eastAsia="Times New Roman"/>
                <w:b/>
                <w:bCs/>
                <w:color w:val="FFFFFF" w:themeColor="background1"/>
                <w:sz w:val="18"/>
                <w:szCs w:val="18"/>
                <w:lang w:eastAsia="ru-RU"/>
              </w:rPr>
            </w:pPr>
            <w:r w:rsidRPr="00874840">
              <w:rPr>
                <w:rFonts w:eastAsia="Times New Roman"/>
                <w:b/>
                <w:bCs/>
                <w:color w:val="FFFFFF" w:themeColor="background1"/>
                <w:sz w:val="18"/>
                <w:szCs w:val="18"/>
                <w:lang w:eastAsia="ru-RU"/>
              </w:rPr>
              <w:t>№ п/п</w:t>
            </w:r>
          </w:p>
        </w:tc>
        <w:tc>
          <w:tcPr>
            <w:tcW w:w="180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51CF555" w14:textId="77777777" w:rsidR="00A24D50" w:rsidRPr="00874840" w:rsidRDefault="00A24D50">
            <w:pPr>
              <w:jc w:val="center"/>
              <w:rPr>
                <w:rFonts w:eastAsia="Times New Roman"/>
                <w:b/>
                <w:bCs/>
                <w:color w:val="FFFFFF" w:themeColor="background1"/>
                <w:sz w:val="18"/>
                <w:szCs w:val="18"/>
                <w:lang w:eastAsia="ru-RU"/>
              </w:rPr>
            </w:pPr>
            <w:r w:rsidRPr="00874840">
              <w:rPr>
                <w:rFonts w:eastAsia="Times New Roman"/>
                <w:b/>
                <w:bCs/>
                <w:color w:val="FFFFFF" w:themeColor="background1"/>
                <w:sz w:val="18"/>
                <w:szCs w:val="18"/>
                <w:lang w:eastAsia="ru-RU"/>
              </w:rPr>
              <w:t>Показатель</w:t>
            </w:r>
          </w:p>
        </w:tc>
        <w:tc>
          <w:tcPr>
            <w:tcW w:w="2174" w:type="pct"/>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5C65EC5" w14:textId="2F1DF878" w:rsidR="00A24D50" w:rsidRPr="00874840" w:rsidRDefault="00A24D50">
            <w:pPr>
              <w:suppressAutoHyphens/>
              <w:jc w:val="center"/>
              <w:rPr>
                <w:rFonts w:eastAsia="Times New Roman"/>
                <w:b/>
                <w:bCs/>
                <w:color w:val="FFFFFF" w:themeColor="background1"/>
                <w:sz w:val="18"/>
                <w:szCs w:val="18"/>
                <w:lang w:eastAsia="ru-RU"/>
              </w:rPr>
            </w:pPr>
            <w:r w:rsidRPr="00874840">
              <w:rPr>
                <w:rFonts w:eastAsia="Times New Roman"/>
                <w:b/>
                <w:bCs/>
                <w:color w:val="FFFFFF" w:themeColor="background1"/>
                <w:sz w:val="18"/>
                <w:szCs w:val="18"/>
                <w:lang w:eastAsia="ru-RU"/>
              </w:rPr>
              <w:t>Утвержденный план, млн. руб.</w:t>
            </w:r>
          </w:p>
        </w:tc>
        <w:tc>
          <w:tcPr>
            <w:tcW w:w="50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13D979C" w14:textId="77777777" w:rsidR="00A24D50" w:rsidRPr="00874840" w:rsidRDefault="00A24D50">
            <w:pPr>
              <w:suppressAutoHyphens/>
              <w:jc w:val="center"/>
              <w:rPr>
                <w:rFonts w:eastAsia="Times New Roman"/>
                <w:b/>
                <w:bCs/>
                <w:color w:val="FFFFFF" w:themeColor="background1"/>
                <w:sz w:val="18"/>
                <w:szCs w:val="18"/>
                <w:lang w:eastAsia="ru-RU"/>
              </w:rPr>
            </w:pPr>
            <w:r w:rsidRPr="00874840">
              <w:rPr>
                <w:rFonts w:eastAsia="Times New Roman"/>
                <w:b/>
                <w:bCs/>
                <w:color w:val="FFFFFF" w:themeColor="background1"/>
                <w:sz w:val="18"/>
                <w:szCs w:val="18"/>
                <w:lang w:eastAsia="ru-RU"/>
              </w:rPr>
              <w:t>Итого, млн. руб.</w:t>
            </w:r>
          </w:p>
          <w:p w14:paraId="162E7E24" w14:textId="2BD1D981" w:rsidR="00A24D50" w:rsidRPr="00874840" w:rsidRDefault="00A24D50">
            <w:pPr>
              <w:suppressAutoHyphens/>
              <w:jc w:val="center"/>
              <w:rPr>
                <w:rFonts w:eastAsia="Times New Roman"/>
                <w:b/>
                <w:bCs/>
                <w:color w:val="FFFFFF" w:themeColor="background1"/>
                <w:sz w:val="18"/>
                <w:szCs w:val="18"/>
                <w:lang w:eastAsia="ru-RU"/>
              </w:rPr>
            </w:pPr>
          </w:p>
        </w:tc>
      </w:tr>
      <w:tr w:rsidR="00F94FED" w:rsidRPr="00874840" w14:paraId="51AAC0A3" w14:textId="77777777" w:rsidTr="00874840">
        <w:trPr>
          <w:tblHeader/>
        </w:trPr>
        <w:tc>
          <w:tcPr>
            <w:tcW w:w="52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0C2F422" w14:textId="77777777" w:rsidR="00A24D50" w:rsidRPr="00874840" w:rsidRDefault="00A24D50" w:rsidP="00F94FED">
            <w:pPr>
              <w:suppressAutoHyphens/>
              <w:contextualSpacing/>
              <w:jc w:val="center"/>
              <w:rPr>
                <w:rFonts w:eastAsia="Calibri"/>
                <w:b/>
                <w:bCs/>
                <w:color w:val="FFFFFF" w:themeColor="background1"/>
                <w:sz w:val="18"/>
                <w:szCs w:val="18"/>
              </w:rPr>
            </w:pPr>
          </w:p>
        </w:tc>
        <w:tc>
          <w:tcPr>
            <w:tcW w:w="180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21CB2F7" w14:textId="77777777" w:rsidR="00A24D50" w:rsidRPr="00874840" w:rsidRDefault="00A24D50" w:rsidP="00F94FED">
            <w:pPr>
              <w:suppressAutoHyphens/>
              <w:contextualSpacing/>
              <w:jc w:val="center"/>
              <w:rPr>
                <w:rFonts w:eastAsia="Calibri"/>
                <w:b/>
                <w:bCs/>
                <w:color w:val="FFFFFF" w:themeColor="background1"/>
                <w:sz w:val="18"/>
                <w:szCs w:val="18"/>
              </w:rPr>
            </w:pPr>
          </w:p>
        </w:tc>
        <w:tc>
          <w:tcPr>
            <w:tcW w:w="4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20A75D1" w14:textId="2C91EF66" w:rsidR="00A24D50" w:rsidRPr="00874840" w:rsidRDefault="00A24D50" w:rsidP="003E2802">
            <w:pPr>
              <w:suppressAutoHyphens/>
              <w:jc w:val="center"/>
              <w:rPr>
                <w:rFonts w:eastAsia="Times New Roman"/>
                <w:b/>
                <w:bCs/>
                <w:color w:val="FFFFFF" w:themeColor="background1"/>
                <w:sz w:val="18"/>
                <w:szCs w:val="18"/>
                <w:lang w:eastAsia="ru-RU"/>
              </w:rPr>
            </w:pPr>
            <w:r w:rsidRPr="00874840">
              <w:rPr>
                <w:rFonts w:eastAsia="Times New Roman"/>
                <w:b/>
                <w:bCs/>
                <w:color w:val="FFFFFF" w:themeColor="background1"/>
                <w:sz w:val="18"/>
                <w:szCs w:val="18"/>
                <w:lang w:eastAsia="ru-RU"/>
              </w:rPr>
              <w:t>2018 год</w:t>
            </w:r>
          </w:p>
        </w:tc>
        <w:tc>
          <w:tcPr>
            <w:tcW w:w="4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6567C5D" w14:textId="7599E51B" w:rsidR="00A24D50" w:rsidRPr="00874840" w:rsidRDefault="00A24D50">
            <w:pPr>
              <w:suppressAutoHyphens/>
              <w:jc w:val="center"/>
              <w:rPr>
                <w:rFonts w:eastAsia="Times New Roman"/>
                <w:b/>
                <w:bCs/>
                <w:color w:val="FFFFFF" w:themeColor="background1"/>
                <w:sz w:val="18"/>
                <w:szCs w:val="18"/>
                <w:lang w:eastAsia="ru-RU"/>
              </w:rPr>
            </w:pPr>
            <w:r w:rsidRPr="00874840">
              <w:rPr>
                <w:rFonts w:eastAsia="Times New Roman"/>
                <w:b/>
                <w:bCs/>
                <w:color w:val="FFFFFF" w:themeColor="background1"/>
                <w:sz w:val="18"/>
                <w:szCs w:val="18"/>
                <w:lang w:eastAsia="ru-RU"/>
              </w:rPr>
              <w:t>2019 год</w:t>
            </w:r>
          </w:p>
        </w:tc>
        <w:tc>
          <w:tcPr>
            <w:tcW w:w="4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EEDC06C" w14:textId="2BF740D5" w:rsidR="00A24D50" w:rsidRPr="00874840" w:rsidRDefault="00A24D50">
            <w:pPr>
              <w:suppressAutoHyphens/>
              <w:jc w:val="center"/>
              <w:rPr>
                <w:rFonts w:eastAsia="Times New Roman"/>
                <w:b/>
                <w:bCs/>
                <w:color w:val="FFFFFF" w:themeColor="background1"/>
                <w:sz w:val="18"/>
                <w:szCs w:val="18"/>
                <w:lang w:eastAsia="ru-RU"/>
              </w:rPr>
            </w:pPr>
            <w:r w:rsidRPr="00874840">
              <w:rPr>
                <w:rFonts w:eastAsia="Times New Roman"/>
                <w:b/>
                <w:bCs/>
                <w:color w:val="FFFFFF" w:themeColor="background1"/>
                <w:sz w:val="18"/>
                <w:szCs w:val="18"/>
                <w:lang w:eastAsia="ru-RU"/>
              </w:rPr>
              <w:t>2020 год</w:t>
            </w:r>
          </w:p>
        </w:tc>
        <w:tc>
          <w:tcPr>
            <w:tcW w:w="4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1FBB165" w14:textId="477F0751" w:rsidR="00A24D50" w:rsidRPr="00874840" w:rsidRDefault="00A24D50">
            <w:pPr>
              <w:suppressAutoHyphens/>
              <w:jc w:val="center"/>
              <w:rPr>
                <w:rFonts w:eastAsia="Times New Roman"/>
                <w:b/>
                <w:bCs/>
                <w:color w:val="FFFFFF" w:themeColor="background1"/>
                <w:sz w:val="18"/>
                <w:szCs w:val="18"/>
                <w:lang w:eastAsia="ru-RU"/>
              </w:rPr>
            </w:pPr>
            <w:r w:rsidRPr="00874840">
              <w:rPr>
                <w:rFonts w:eastAsia="Times New Roman"/>
                <w:b/>
                <w:bCs/>
                <w:color w:val="FFFFFF" w:themeColor="background1"/>
                <w:sz w:val="18"/>
                <w:szCs w:val="18"/>
                <w:lang w:eastAsia="ru-RU"/>
              </w:rPr>
              <w:t>2021 год</w:t>
            </w:r>
          </w:p>
        </w:tc>
        <w:tc>
          <w:tcPr>
            <w:tcW w:w="4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FD15871" w14:textId="6F488364" w:rsidR="00A24D50" w:rsidRPr="00874840" w:rsidRDefault="00A24D50">
            <w:pPr>
              <w:suppressAutoHyphens/>
              <w:jc w:val="center"/>
              <w:rPr>
                <w:rFonts w:eastAsia="Times New Roman"/>
                <w:b/>
                <w:bCs/>
                <w:color w:val="FFFFFF" w:themeColor="background1"/>
                <w:sz w:val="18"/>
                <w:szCs w:val="18"/>
                <w:lang w:eastAsia="ru-RU"/>
              </w:rPr>
            </w:pPr>
            <w:r w:rsidRPr="00874840">
              <w:rPr>
                <w:rFonts w:eastAsia="Times New Roman"/>
                <w:b/>
                <w:bCs/>
                <w:color w:val="FFFFFF" w:themeColor="background1"/>
                <w:sz w:val="18"/>
                <w:szCs w:val="18"/>
                <w:lang w:eastAsia="ru-RU"/>
              </w:rPr>
              <w:t>2022 год</w:t>
            </w:r>
          </w:p>
        </w:tc>
        <w:tc>
          <w:tcPr>
            <w:tcW w:w="50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D3ABE7D" w14:textId="658C44F0" w:rsidR="00A24D50" w:rsidRPr="00874840" w:rsidRDefault="00A24D50">
            <w:pPr>
              <w:suppressAutoHyphens/>
              <w:jc w:val="center"/>
              <w:rPr>
                <w:rFonts w:eastAsia="Times New Roman"/>
                <w:b/>
                <w:bCs/>
                <w:color w:val="FFFFFF" w:themeColor="background1"/>
                <w:sz w:val="18"/>
                <w:szCs w:val="18"/>
                <w:lang w:eastAsia="ru-RU"/>
              </w:rPr>
            </w:pPr>
          </w:p>
        </w:tc>
      </w:tr>
      <w:tr w:rsidR="009A4C46" w:rsidRPr="00874840" w14:paraId="1ED6EA3B" w14:textId="77777777" w:rsidTr="00874840">
        <w:trPr>
          <w:tblHeader/>
        </w:trPr>
        <w:tc>
          <w:tcPr>
            <w:tcW w:w="52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EAD178A" w14:textId="77777777" w:rsidR="009A4C46" w:rsidRPr="00874840" w:rsidRDefault="009A4C46" w:rsidP="003E2802">
            <w:pPr>
              <w:jc w:val="center"/>
              <w:rPr>
                <w:rFonts w:eastAsia="Times New Roman"/>
                <w:b/>
                <w:bCs/>
                <w:color w:val="FFFFFF" w:themeColor="background1"/>
                <w:sz w:val="18"/>
                <w:szCs w:val="18"/>
                <w:lang w:eastAsia="ru-RU"/>
              </w:rPr>
            </w:pPr>
            <w:r w:rsidRPr="00874840">
              <w:rPr>
                <w:rFonts w:eastAsia="Times New Roman"/>
                <w:b/>
                <w:bCs/>
                <w:color w:val="FFFFFF" w:themeColor="background1"/>
                <w:sz w:val="18"/>
                <w:szCs w:val="18"/>
                <w:lang w:eastAsia="ru-RU"/>
              </w:rPr>
              <w:t>1</w:t>
            </w:r>
          </w:p>
        </w:tc>
        <w:tc>
          <w:tcPr>
            <w:tcW w:w="180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16CD94E" w14:textId="77777777" w:rsidR="009A4C46" w:rsidRPr="00874840" w:rsidRDefault="009A4C46">
            <w:pPr>
              <w:jc w:val="center"/>
              <w:rPr>
                <w:rFonts w:eastAsia="Times New Roman"/>
                <w:b/>
                <w:bCs/>
                <w:color w:val="FFFFFF" w:themeColor="background1"/>
                <w:sz w:val="18"/>
                <w:szCs w:val="18"/>
                <w:lang w:eastAsia="ru-RU"/>
              </w:rPr>
            </w:pPr>
            <w:r w:rsidRPr="00874840">
              <w:rPr>
                <w:rFonts w:eastAsia="Times New Roman"/>
                <w:b/>
                <w:bCs/>
                <w:color w:val="FFFFFF" w:themeColor="background1"/>
                <w:sz w:val="18"/>
                <w:szCs w:val="18"/>
                <w:lang w:eastAsia="ru-RU"/>
              </w:rPr>
              <w:t>2</w:t>
            </w:r>
          </w:p>
        </w:tc>
        <w:tc>
          <w:tcPr>
            <w:tcW w:w="4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7D96CCF" w14:textId="77777777" w:rsidR="009A4C46" w:rsidRPr="00874840" w:rsidRDefault="009A4C46">
            <w:pPr>
              <w:jc w:val="center"/>
              <w:rPr>
                <w:rFonts w:eastAsia="Times New Roman"/>
                <w:b/>
                <w:bCs/>
                <w:color w:val="FFFFFF" w:themeColor="background1"/>
                <w:sz w:val="18"/>
                <w:szCs w:val="18"/>
                <w:lang w:eastAsia="ru-RU"/>
              </w:rPr>
            </w:pPr>
            <w:r w:rsidRPr="00874840">
              <w:rPr>
                <w:rFonts w:eastAsia="Times New Roman"/>
                <w:b/>
                <w:bCs/>
                <w:color w:val="FFFFFF" w:themeColor="background1"/>
                <w:sz w:val="18"/>
                <w:szCs w:val="18"/>
                <w:lang w:eastAsia="ru-RU"/>
              </w:rPr>
              <w:t>3.1</w:t>
            </w:r>
          </w:p>
        </w:tc>
        <w:tc>
          <w:tcPr>
            <w:tcW w:w="4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B303B8E" w14:textId="77777777" w:rsidR="009A4C46" w:rsidRPr="00874840" w:rsidRDefault="009A4C46">
            <w:pPr>
              <w:jc w:val="center"/>
              <w:rPr>
                <w:rFonts w:eastAsia="Times New Roman"/>
                <w:b/>
                <w:bCs/>
                <w:color w:val="FFFFFF" w:themeColor="background1"/>
                <w:sz w:val="18"/>
                <w:szCs w:val="18"/>
                <w:lang w:eastAsia="ru-RU"/>
              </w:rPr>
            </w:pPr>
            <w:r w:rsidRPr="00874840">
              <w:rPr>
                <w:rFonts w:eastAsia="Times New Roman"/>
                <w:b/>
                <w:bCs/>
                <w:color w:val="FFFFFF" w:themeColor="background1"/>
                <w:sz w:val="18"/>
                <w:szCs w:val="18"/>
                <w:lang w:eastAsia="ru-RU"/>
              </w:rPr>
              <w:t>3.2</w:t>
            </w:r>
          </w:p>
        </w:tc>
        <w:tc>
          <w:tcPr>
            <w:tcW w:w="4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469A841" w14:textId="77777777" w:rsidR="009A4C46" w:rsidRPr="00874840" w:rsidRDefault="009A4C46">
            <w:pPr>
              <w:jc w:val="center"/>
              <w:rPr>
                <w:rFonts w:eastAsia="Times New Roman"/>
                <w:b/>
                <w:bCs/>
                <w:color w:val="FFFFFF" w:themeColor="background1"/>
                <w:sz w:val="18"/>
                <w:szCs w:val="18"/>
                <w:lang w:eastAsia="ru-RU"/>
              </w:rPr>
            </w:pPr>
            <w:r w:rsidRPr="00874840">
              <w:rPr>
                <w:rFonts w:eastAsia="Times New Roman"/>
                <w:b/>
                <w:bCs/>
                <w:color w:val="FFFFFF" w:themeColor="background1"/>
                <w:sz w:val="18"/>
                <w:szCs w:val="18"/>
                <w:lang w:eastAsia="ru-RU"/>
              </w:rPr>
              <w:t>3.3</w:t>
            </w:r>
          </w:p>
        </w:tc>
        <w:tc>
          <w:tcPr>
            <w:tcW w:w="4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4688E38" w14:textId="77777777" w:rsidR="009A4C46" w:rsidRPr="00874840" w:rsidRDefault="009A4C46">
            <w:pPr>
              <w:jc w:val="center"/>
              <w:rPr>
                <w:rFonts w:eastAsia="Times New Roman"/>
                <w:b/>
                <w:bCs/>
                <w:color w:val="FFFFFF" w:themeColor="background1"/>
                <w:sz w:val="18"/>
                <w:szCs w:val="18"/>
                <w:lang w:eastAsia="ru-RU"/>
              </w:rPr>
            </w:pPr>
            <w:r w:rsidRPr="00874840">
              <w:rPr>
                <w:rFonts w:eastAsia="Times New Roman"/>
                <w:b/>
                <w:bCs/>
                <w:color w:val="FFFFFF" w:themeColor="background1"/>
                <w:sz w:val="18"/>
                <w:szCs w:val="18"/>
                <w:lang w:eastAsia="ru-RU"/>
              </w:rPr>
              <w:t>3.4</w:t>
            </w:r>
          </w:p>
        </w:tc>
        <w:tc>
          <w:tcPr>
            <w:tcW w:w="4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A24D48F" w14:textId="77777777" w:rsidR="009A4C46" w:rsidRPr="00874840" w:rsidRDefault="009A4C46">
            <w:pPr>
              <w:jc w:val="center"/>
              <w:rPr>
                <w:rFonts w:eastAsia="Times New Roman"/>
                <w:b/>
                <w:bCs/>
                <w:color w:val="FFFFFF" w:themeColor="background1"/>
                <w:sz w:val="18"/>
                <w:szCs w:val="18"/>
                <w:lang w:eastAsia="ru-RU"/>
              </w:rPr>
            </w:pPr>
            <w:r w:rsidRPr="00874840">
              <w:rPr>
                <w:rFonts w:eastAsia="Times New Roman"/>
                <w:b/>
                <w:bCs/>
                <w:color w:val="FFFFFF" w:themeColor="background1"/>
                <w:sz w:val="18"/>
                <w:szCs w:val="18"/>
                <w:lang w:eastAsia="ru-RU"/>
              </w:rPr>
              <w:t>3.5</w:t>
            </w:r>
          </w:p>
        </w:tc>
        <w:tc>
          <w:tcPr>
            <w:tcW w:w="50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1FB401B" w14:textId="77777777" w:rsidR="009A4C46" w:rsidRPr="00874840" w:rsidRDefault="009A4C46">
            <w:pPr>
              <w:jc w:val="center"/>
              <w:rPr>
                <w:rFonts w:eastAsia="Times New Roman"/>
                <w:b/>
                <w:bCs/>
                <w:color w:val="FFFFFF" w:themeColor="background1"/>
                <w:sz w:val="18"/>
                <w:szCs w:val="18"/>
                <w:lang w:eastAsia="ru-RU"/>
              </w:rPr>
            </w:pPr>
            <w:r w:rsidRPr="00874840">
              <w:rPr>
                <w:rFonts w:eastAsia="Times New Roman"/>
                <w:b/>
                <w:bCs/>
                <w:color w:val="FFFFFF" w:themeColor="background1"/>
                <w:sz w:val="18"/>
                <w:szCs w:val="18"/>
                <w:lang w:eastAsia="ru-RU"/>
              </w:rPr>
              <w:t>4</w:t>
            </w:r>
          </w:p>
        </w:tc>
      </w:tr>
      <w:tr w:rsidR="009A4C46" w:rsidRPr="00874840" w14:paraId="2DF21B90" w14:textId="77777777" w:rsidTr="00874840">
        <w:tc>
          <w:tcPr>
            <w:tcW w:w="2323" w:type="pct"/>
            <w:gridSpan w:val="2"/>
            <w:tcBorders>
              <w:top w:val="single" w:sz="4" w:space="0" w:color="FFFFFF" w:themeColor="background1"/>
            </w:tcBorders>
          </w:tcPr>
          <w:p w14:paraId="35E4A989" w14:textId="77777777" w:rsidR="009A4C46" w:rsidRPr="00874840" w:rsidRDefault="009A4C46" w:rsidP="009A4C46">
            <w:pPr>
              <w:suppressAutoHyphens/>
              <w:contextualSpacing/>
              <w:jc w:val="both"/>
              <w:rPr>
                <w:rFonts w:eastAsia="Calibri"/>
                <w:sz w:val="18"/>
                <w:szCs w:val="18"/>
              </w:rPr>
            </w:pPr>
            <w:r w:rsidRPr="00874840">
              <w:rPr>
                <w:rFonts w:eastAsia="Calibri"/>
                <w:sz w:val="18"/>
                <w:szCs w:val="18"/>
              </w:rPr>
              <w:t xml:space="preserve">Источники финансирования инвестиционной программы всего (строка </w:t>
            </w:r>
            <w:proofErr w:type="spellStart"/>
            <w:r w:rsidRPr="00874840">
              <w:rPr>
                <w:rFonts w:eastAsia="Calibri"/>
                <w:sz w:val="18"/>
                <w:szCs w:val="18"/>
              </w:rPr>
              <w:t>I+строка</w:t>
            </w:r>
            <w:proofErr w:type="spellEnd"/>
            <w:r w:rsidRPr="00874840">
              <w:rPr>
                <w:rFonts w:eastAsia="Calibri"/>
                <w:sz w:val="18"/>
                <w:szCs w:val="18"/>
              </w:rPr>
              <w:t xml:space="preserve"> II), в том числе:</w:t>
            </w:r>
          </w:p>
        </w:tc>
        <w:tc>
          <w:tcPr>
            <w:tcW w:w="434" w:type="pct"/>
            <w:tcBorders>
              <w:top w:val="single" w:sz="4" w:space="0" w:color="FFFFFF" w:themeColor="background1"/>
              <w:left w:val="nil"/>
              <w:bottom w:val="single" w:sz="4" w:space="0" w:color="auto"/>
              <w:right w:val="single" w:sz="4" w:space="0" w:color="auto"/>
            </w:tcBorders>
            <w:shd w:val="clear" w:color="auto" w:fill="auto"/>
            <w:vAlign w:val="center"/>
          </w:tcPr>
          <w:p w14:paraId="2048BDEB" w14:textId="77777777" w:rsidR="009A4C46" w:rsidRPr="00874840" w:rsidRDefault="009A4C46" w:rsidP="009A4C46">
            <w:pPr>
              <w:jc w:val="right"/>
              <w:rPr>
                <w:rFonts w:eastAsia="Times New Roman"/>
                <w:b/>
                <w:bCs/>
                <w:sz w:val="18"/>
                <w:szCs w:val="18"/>
                <w:lang w:eastAsia="ru-RU"/>
              </w:rPr>
            </w:pPr>
            <w:r w:rsidRPr="00874840">
              <w:rPr>
                <w:rFonts w:eastAsia="Times New Roman"/>
                <w:b/>
                <w:bCs/>
                <w:sz w:val="18"/>
                <w:szCs w:val="18"/>
                <w:lang w:eastAsia="ru-RU"/>
              </w:rPr>
              <w:t>277,15</w:t>
            </w:r>
          </w:p>
        </w:tc>
        <w:tc>
          <w:tcPr>
            <w:tcW w:w="435" w:type="pct"/>
            <w:tcBorders>
              <w:top w:val="single" w:sz="4" w:space="0" w:color="FFFFFF" w:themeColor="background1"/>
              <w:left w:val="nil"/>
              <w:bottom w:val="single" w:sz="4" w:space="0" w:color="auto"/>
              <w:right w:val="single" w:sz="4" w:space="0" w:color="auto"/>
            </w:tcBorders>
            <w:shd w:val="clear" w:color="auto" w:fill="auto"/>
            <w:vAlign w:val="center"/>
          </w:tcPr>
          <w:p w14:paraId="21AAAF59" w14:textId="77777777" w:rsidR="009A4C46" w:rsidRPr="00874840" w:rsidRDefault="009A4C46" w:rsidP="009A4C46">
            <w:pPr>
              <w:jc w:val="right"/>
              <w:rPr>
                <w:rFonts w:eastAsia="Times New Roman"/>
                <w:b/>
                <w:bCs/>
                <w:sz w:val="18"/>
                <w:szCs w:val="18"/>
                <w:lang w:eastAsia="ru-RU"/>
              </w:rPr>
            </w:pPr>
            <w:r w:rsidRPr="00874840">
              <w:rPr>
                <w:rFonts w:eastAsia="Times New Roman"/>
                <w:b/>
                <w:bCs/>
                <w:sz w:val="18"/>
                <w:szCs w:val="18"/>
                <w:lang w:eastAsia="ru-RU"/>
              </w:rPr>
              <w:t>663,38</w:t>
            </w:r>
          </w:p>
        </w:tc>
        <w:tc>
          <w:tcPr>
            <w:tcW w:w="435" w:type="pct"/>
            <w:tcBorders>
              <w:top w:val="single" w:sz="4" w:space="0" w:color="FFFFFF" w:themeColor="background1"/>
              <w:left w:val="nil"/>
              <w:bottom w:val="single" w:sz="4" w:space="0" w:color="auto"/>
              <w:right w:val="single" w:sz="4" w:space="0" w:color="auto"/>
            </w:tcBorders>
            <w:shd w:val="clear" w:color="auto" w:fill="auto"/>
            <w:vAlign w:val="center"/>
          </w:tcPr>
          <w:p w14:paraId="2C15AE0B" w14:textId="77777777" w:rsidR="009A4C46" w:rsidRPr="00874840" w:rsidRDefault="009A4C46" w:rsidP="009A4C46">
            <w:pPr>
              <w:jc w:val="right"/>
              <w:rPr>
                <w:rFonts w:eastAsia="Times New Roman"/>
                <w:b/>
                <w:bCs/>
                <w:sz w:val="18"/>
                <w:szCs w:val="18"/>
                <w:lang w:eastAsia="ru-RU"/>
              </w:rPr>
            </w:pPr>
            <w:r w:rsidRPr="00874840">
              <w:rPr>
                <w:rFonts w:eastAsia="Times New Roman"/>
                <w:b/>
                <w:bCs/>
                <w:sz w:val="18"/>
                <w:szCs w:val="18"/>
                <w:lang w:eastAsia="ru-RU"/>
              </w:rPr>
              <w:t>89,80</w:t>
            </w:r>
          </w:p>
        </w:tc>
        <w:tc>
          <w:tcPr>
            <w:tcW w:w="435" w:type="pct"/>
            <w:tcBorders>
              <w:top w:val="single" w:sz="4" w:space="0" w:color="FFFFFF" w:themeColor="background1"/>
              <w:left w:val="nil"/>
              <w:bottom w:val="single" w:sz="4" w:space="0" w:color="auto"/>
              <w:right w:val="single" w:sz="4" w:space="0" w:color="auto"/>
            </w:tcBorders>
            <w:shd w:val="clear" w:color="auto" w:fill="auto"/>
            <w:vAlign w:val="center"/>
          </w:tcPr>
          <w:p w14:paraId="56C2A520" w14:textId="77777777" w:rsidR="009A4C46" w:rsidRPr="00874840" w:rsidRDefault="009A4C46" w:rsidP="009A4C46">
            <w:pPr>
              <w:jc w:val="right"/>
              <w:rPr>
                <w:rFonts w:eastAsia="Times New Roman"/>
                <w:b/>
                <w:bCs/>
                <w:sz w:val="18"/>
                <w:szCs w:val="18"/>
                <w:lang w:eastAsia="ru-RU"/>
              </w:rPr>
            </w:pPr>
            <w:r w:rsidRPr="00874840">
              <w:rPr>
                <w:rFonts w:eastAsia="Times New Roman"/>
                <w:b/>
                <w:bCs/>
                <w:sz w:val="18"/>
                <w:szCs w:val="18"/>
                <w:lang w:eastAsia="ru-RU"/>
              </w:rPr>
              <w:t>90,59</w:t>
            </w:r>
          </w:p>
        </w:tc>
        <w:tc>
          <w:tcPr>
            <w:tcW w:w="435" w:type="pct"/>
            <w:tcBorders>
              <w:top w:val="single" w:sz="4" w:space="0" w:color="FFFFFF" w:themeColor="background1"/>
              <w:left w:val="nil"/>
              <w:bottom w:val="single" w:sz="4" w:space="0" w:color="auto"/>
              <w:right w:val="single" w:sz="4" w:space="0" w:color="auto"/>
            </w:tcBorders>
            <w:shd w:val="clear" w:color="auto" w:fill="auto"/>
            <w:vAlign w:val="center"/>
          </w:tcPr>
          <w:p w14:paraId="0445A142" w14:textId="77777777" w:rsidR="009A4C46" w:rsidRPr="00874840" w:rsidRDefault="009A4C46" w:rsidP="009A4C46">
            <w:pPr>
              <w:jc w:val="right"/>
              <w:rPr>
                <w:rFonts w:eastAsia="Times New Roman"/>
                <w:b/>
                <w:bCs/>
                <w:sz w:val="18"/>
                <w:szCs w:val="18"/>
                <w:lang w:eastAsia="ru-RU"/>
              </w:rPr>
            </w:pPr>
            <w:r w:rsidRPr="00874840">
              <w:rPr>
                <w:rFonts w:eastAsia="Times New Roman"/>
                <w:b/>
                <w:bCs/>
                <w:sz w:val="18"/>
                <w:szCs w:val="18"/>
                <w:lang w:eastAsia="ru-RU"/>
              </w:rPr>
              <w:t>94,21</w:t>
            </w:r>
          </w:p>
        </w:tc>
        <w:tc>
          <w:tcPr>
            <w:tcW w:w="503" w:type="pct"/>
            <w:tcBorders>
              <w:top w:val="single" w:sz="4" w:space="0" w:color="FFFFFF" w:themeColor="background1"/>
              <w:left w:val="nil"/>
              <w:bottom w:val="single" w:sz="4" w:space="0" w:color="auto"/>
              <w:right w:val="single" w:sz="4" w:space="0" w:color="auto"/>
            </w:tcBorders>
            <w:shd w:val="clear" w:color="auto" w:fill="auto"/>
            <w:vAlign w:val="center"/>
          </w:tcPr>
          <w:p w14:paraId="7E481247" w14:textId="77777777" w:rsidR="009A4C46" w:rsidRPr="00874840" w:rsidRDefault="009A4C46" w:rsidP="009A4C46">
            <w:pPr>
              <w:jc w:val="right"/>
              <w:rPr>
                <w:rFonts w:eastAsia="Times New Roman"/>
                <w:b/>
                <w:bCs/>
                <w:sz w:val="18"/>
                <w:szCs w:val="18"/>
                <w:lang w:eastAsia="ru-RU"/>
              </w:rPr>
            </w:pPr>
            <w:r w:rsidRPr="00874840">
              <w:rPr>
                <w:rFonts w:eastAsia="Times New Roman"/>
                <w:b/>
                <w:bCs/>
                <w:sz w:val="18"/>
                <w:szCs w:val="18"/>
                <w:lang w:eastAsia="ru-RU"/>
              </w:rPr>
              <w:t>1 215,12</w:t>
            </w:r>
          </w:p>
        </w:tc>
      </w:tr>
      <w:tr w:rsidR="009A4C46" w:rsidRPr="00874840" w14:paraId="4C099B09" w14:textId="77777777" w:rsidTr="00874840">
        <w:tc>
          <w:tcPr>
            <w:tcW w:w="523" w:type="pct"/>
            <w:tcBorders>
              <w:top w:val="nil"/>
              <w:left w:val="single" w:sz="4" w:space="0" w:color="auto"/>
              <w:bottom w:val="single" w:sz="4" w:space="0" w:color="auto"/>
              <w:right w:val="single" w:sz="4" w:space="0" w:color="auto"/>
            </w:tcBorders>
            <w:shd w:val="clear" w:color="auto" w:fill="auto"/>
            <w:vAlign w:val="center"/>
          </w:tcPr>
          <w:p w14:paraId="3C184133" w14:textId="77777777" w:rsidR="009A4C46" w:rsidRPr="00874840" w:rsidRDefault="009A4C46" w:rsidP="009A4C46">
            <w:pPr>
              <w:jc w:val="center"/>
              <w:rPr>
                <w:rFonts w:eastAsia="Times New Roman"/>
                <w:b/>
                <w:bCs/>
                <w:sz w:val="18"/>
                <w:szCs w:val="18"/>
                <w:lang w:eastAsia="ru-RU"/>
              </w:rPr>
            </w:pPr>
            <w:r w:rsidRPr="00874840">
              <w:rPr>
                <w:rFonts w:eastAsia="Times New Roman"/>
                <w:b/>
                <w:bCs/>
                <w:sz w:val="18"/>
                <w:szCs w:val="18"/>
                <w:lang w:eastAsia="ru-RU"/>
              </w:rPr>
              <w:t>I</w:t>
            </w:r>
          </w:p>
        </w:tc>
        <w:tc>
          <w:tcPr>
            <w:tcW w:w="1800" w:type="pct"/>
            <w:tcBorders>
              <w:top w:val="nil"/>
              <w:left w:val="nil"/>
              <w:bottom w:val="single" w:sz="4" w:space="0" w:color="auto"/>
              <w:right w:val="single" w:sz="4" w:space="0" w:color="auto"/>
            </w:tcBorders>
            <w:shd w:val="clear" w:color="auto" w:fill="auto"/>
            <w:vAlign w:val="center"/>
          </w:tcPr>
          <w:p w14:paraId="098A0BDC" w14:textId="77777777" w:rsidR="009A4C46" w:rsidRPr="00874840" w:rsidRDefault="009A4C46" w:rsidP="009A4C46">
            <w:pPr>
              <w:rPr>
                <w:rFonts w:eastAsia="Times New Roman"/>
                <w:b/>
                <w:bCs/>
                <w:sz w:val="18"/>
                <w:szCs w:val="18"/>
                <w:lang w:eastAsia="ru-RU"/>
              </w:rPr>
            </w:pPr>
            <w:r w:rsidRPr="00874840">
              <w:rPr>
                <w:rFonts w:eastAsia="Times New Roman"/>
                <w:b/>
                <w:bCs/>
                <w:sz w:val="18"/>
                <w:szCs w:val="18"/>
                <w:lang w:eastAsia="ru-RU"/>
              </w:rPr>
              <w:t>Собственные средства всего, в том числе:</w:t>
            </w:r>
          </w:p>
        </w:tc>
        <w:tc>
          <w:tcPr>
            <w:tcW w:w="434" w:type="pct"/>
            <w:tcBorders>
              <w:top w:val="nil"/>
              <w:left w:val="nil"/>
              <w:bottom w:val="single" w:sz="4" w:space="0" w:color="auto"/>
              <w:right w:val="single" w:sz="4" w:space="0" w:color="auto"/>
            </w:tcBorders>
            <w:shd w:val="clear" w:color="auto" w:fill="auto"/>
            <w:vAlign w:val="center"/>
          </w:tcPr>
          <w:p w14:paraId="0FF5B198" w14:textId="77777777" w:rsidR="009A4C46" w:rsidRPr="00874840" w:rsidRDefault="009A4C46" w:rsidP="009A4C46">
            <w:pPr>
              <w:jc w:val="right"/>
              <w:rPr>
                <w:rFonts w:eastAsia="Times New Roman"/>
                <w:b/>
                <w:bCs/>
                <w:sz w:val="18"/>
                <w:szCs w:val="18"/>
                <w:lang w:eastAsia="ru-RU"/>
              </w:rPr>
            </w:pPr>
            <w:r w:rsidRPr="00874840">
              <w:rPr>
                <w:rFonts w:eastAsia="Times New Roman"/>
                <w:b/>
                <w:bCs/>
                <w:sz w:val="18"/>
                <w:szCs w:val="18"/>
                <w:lang w:eastAsia="ru-RU"/>
              </w:rPr>
              <w:t>277,15</w:t>
            </w:r>
          </w:p>
        </w:tc>
        <w:tc>
          <w:tcPr>
            <w:tcW w:w="435" w:type="pct"/>
            <w:tcBorders>
              <w:top w:val="nil"/>
              <w:left w:val="nil"/>
              <w:bottom w:val="single" w:sz="4" w:space="0" w:color="auto"/>
              <w:right w:val="single" w:sz="4" w:space="0" w:color="auto"/>
            </w:tcBorders>
            <w:shd w:val="clear" w:color="auto" w:fill="auto"/>
            <w:vAlign w:val="center"/>
          </w:tcPr>
          <w:p w14:paraId="5FAAD04F" w14:textId="77777777" w:rsidR="009A4C46" w:rsidRPr="00874840" w:rsidRDefault="009A4C46" w:rsidP="009A4C46">
            <w:pPr>
              <w:jc w:val="right"/>
              <w:rPr>
                <w:rFonts w:eastAsia="Times New Roman"/>
                <w:b/>
                <w:bCs/>
                <w:sz w:val="18"/>
                <w:szCs w:val="18"/>
                <w:lang w:eastAsia="ru-RU"/>
              </w:rPr>
            </w:pPr>
            <w:r w:rsidRPr="00874840">
              <w:rPr>
                <w:rFonts w:eastAsia="Times New Roman"/>
                <w:b/>
                <w:bCs/>
                <w:sz w:val="18"/>
                <w:szCs w:val="18"/>
                <w:lang w:eastAsia="ru-RU"/>
              </w:rPr>
              <w:t>663,38</w:t>
            </w:r>
          </w:p>
        </w:tc>
        <w:tc>
          <w:tcPr>
            <w:tcW w:w="435" w:type="pct"/>
            <w:tcBorders>
              <w:top w:val="nil"/>
              <w:left w:val="nil"/>
              <w:bottom w:val="single" w:sz="4" w:space="0" w:color="auto"/>
              <w:right w:val="single" w:sz="4" w:space="0" w:color="auto"/>
            </w:tcBorders>
            <w:shd w:val="clear" w:color="auto" w:fill="auto"/>
            <w:vAlign w:val="center"/>
          </w:tcPr>
          <w:p w14:paraId="37065A77" w14:textId="77777777" w:rsidR="009A4C46" w:rsidRPr="00874840" w:rsidRDefault="009A4C46" w:rsidP="009A4C46">
            <w:pPr>
              <w:jc w:val="right"/>
              <w:rPr>
                <w:rFonts w:eastAsia="Times New Roman"/>
                <w:b/>
                <w:bCs/>
                <w:sz w:val="18"/>
                <w:szCs w:val="18"/>
                <w:lang w:eastAsia="ru-RU"/>
              </w:rPr>
            </w:pPr>
            <w:r w:rsidRPr="00874840">
              <w:rPr>
                <w:rFonts w:eastAsia="Times New Roman"/>
                <w:b/>
                <w:bCs/>
                <w:sz w:val="18"/>
                <w:szCs w:val="18"/>
                <w:lang w:eastAsia="ru-RU"/>
              </w:rPr>
              <w:t>89,80</w:t>
            </w:r>
          </w:p>
        </w:tc>
        <w:tc>
          <w:tcPr>
            <w:tcW w:w="435" w:type="pct"/>
            <w:tcBorders>
              <w:top w:val="nil"/>
              <w:left w:val="nil"/>
              <w:bottom w:val="single" w:sz="4" w:space="0" w:color="auto"/>
              <w:right w:val="single" w:sz="4" w:space="0" w:color="auto"/>
            </w:tcBorders>
            <w:shd w:val="clear" w:color="auto" w:fill="auto"/>
            <w:vAlign w:val="center"/>
          </w:tcPr>
          <w:p w14:paraId="09C95310" w14:textId="77777777" w:rsidR="009A4C46" w:rsidRPr="00874840" w:rsidRDefault="009A4C46" w:rsidP="009A4C46">
            <w:pPr>
              <w:jc w:val="right"/>
              <w:rPr>
                <w:rFonts w:eastAsia="Times New Roman"/>
                <w:b/>
                <w:bCs/>
                <w:sz w:val="18"/>
                <w:szCs w:val="18"/>
                <w:lang w:eastAsia="ru-RU"/>
              </w:rPr>
            </w:pPr>
            <w:r w:rsidRPr="00874840">
              <w:rPr>
                <w:rFonts w:eastAsia="Times New Roman"/>
                <w:b/>
                <w:bCs/>
                <w:sz w:val="18"/>
                <w:szCs w:val="18"/>
                <w:lang w:eastAsia="ru-RU"/>
              </w:rPr>
              <w:t>90,59</w:t>
            </w:r>
          </w:p>
        </w:tc>
        <w:tc>
          <w:tcPr>
            <w:tcW w:w="435" w:type="pct"/>
            <w:tcBorders>
              <w:top w:val="nil"/>
              <w:left w:val="nil"/>
              <w:bottom w:val="single" w:sz="4" w:space="0" w:color="auto"/>
              <w:right w:val="single" w:sz="4" w:space="0" w:color="auto"/>
            </w:tcBorders>
            <w:shd w:val="clear" w:color="auto" w:fill="auto"/>
            <w:vAlign w:val="center"/>
          </w:tcPr>
          <w:p w14:paraId="0B843966" w14:textId="77777777" w:rsidR="009A4C46" w:rsidRPr="00874840" w:rsidRDefault="009A4C46" w:rsidP="009A4C46">
            <w:pPr>
              <w:jc w:val="right"/>
              <w:rPr>
                <w:rFonts w:eastAsia="Times New Roman"/>
                <w:b/>
                <w:bCs/>
                <w:sz w:val="18"/>
                <w:szCs w:val="18"/>
                <w:lang w:eastAsia="ru-RU"/>
              </w:rPr>
            </w:pPr>
            <w:r w:rsidRPr="00874840">
              <w:rPr>
                <w:rFonts w:eastAsia="Times New Roman"/>
                <w:b/>
                <w:bCs/>
                <w:sz w:val="18"/>
                <w:szCs w:val="18"/>
                <w:lang w:eastAsia="ru-RU"/>
              </w:rPr>
              <w:t>94,21</w:t>
            </w:r>
          </w:p>
        </w:tc>
        <w:tc>
          <w:tcPr>
            <w:tcW w:w="503" w:type="pct"/>
            <w:tcBorders>
              <w:top w:val="nil"/>
              <w:left w:val="nil"/>
              <w:bottom w:val="single" w:sz="4" w:space="0" w:color="auto"/>
              <w:right w:val="single" w:sz="4" w:space="0" w:color="auto"/>
            </w:tcBorders>
            <w:shd w:val="clear" w:color="auto" w:fill="auto"/>
            <w:vAlign w:val="center"/>
          </w:tcPr>
          <w:p w14:paraId="6A9AB473" w14:textId="77777777" w:rsidR="009A4C46" w:rsidRPr="00874840" w:rsidRDefault="009A4C46" w:rsidP="009A4C46">
            <w:pPr>
              <w:jc w:val="right"/>
              <w:rPr>
                <w:rFonts w:eastAsia="Times New Roman"/>
                <w:b/>
                <w:bCs/>
                <w:sz w:val="18"/>
                <w:szCs w:val="18"/>
                <w:lang w:eastAsia="ru-RU"/>
              </w:rPr>
            </w:pPr>
            <w:r w:rsidRPr="00874840">
              <w:rPr>
                <w:rFonts w:eastAsia="Times New Roman"/>
                <w:b/>
                <w:bCs/>
                <w:sz w:val="18"/>
                <w:szCs w:val="18"/>
                <w:lang w:eastAsia="ru-RU"/>
              </w:rPr>
              <w:t>1 215,12</w:t>
            </w:r>
          </w:p>
        </w:tc>
      </w:tr>
      <w:tr w:rsidR="009A4C46" w:rsidRPr="00874840" w14:paraId="16F948BF" w14:textId="77777777" w:rsidTr="00874840">
        <w:tc>
          <w:tcPr>
            <w:tcW w:w="523" w:type="pct"/>
            <w:tcBorders>
              <w:top w:val="nil"/>
              <w:left w:val="single" w:sz="4" w:space="0" w:color="auto"/>
              <w:bottom w:val="single" w:sz="4" w:space="0" w:color="auto"/>
              <w:right w:val="single" w:sz="4" w:space="0" w:color="auto"/>
            </w:tcBorders>
            <w:shd w:val="clear" w:color="auto" w:fill="auto"/>
            <w:vAlign w:val="center"/>
          </w:tcPr>
          <w:p w14:paraId="278D7A65" w14:textId="77777777" w:rsidR="009A4C46" w:rsidRPr="00874840" w:rsidRDefault="009A4C46" w:rsidP="009A4C46">
            <w:pPr>
              <w:jc w:val="center"/>
              <w:rPr>
                <w:rFonts w:eastAsia="Times New Roman"/>
                <w:sz w:val="18"/>
                <w:szCs w:val="18"/>
                <w:lang w:eastAsia="ru-RU"/>
              </w:rPr>
            </w:pPr>
            <w:r w:rsidRPr="00874840">
              <w:rPr>
                <w:rFonts w:eastAsia="Times New Roman"/>
                <w:sz w:val="18"/>
                <w:szCs w:val="18"/>
                <w:lang w:eastAsia="ru-RU"/>
              </w:rPr>
              <w:t>1.1</w:t>
            </w:r>
          </w:p>
        </w:tc>
        <w:tc>
          <w:tcPr>
            <w:tcW w:w="1800" w:type="pct"/>
            <w:tcBorders>
              <w:top w:val="nil"/>
              <w:left w:val="nil"/>
              <w:bottom w:val="single" w:sz="4" w:space="0" w:color="auto"/>
              <w:right w:val="single" w:sz="4" w:space="0" w:color="auto"/>
            </w:tcBorders>
            <w:shd w:val="clear" w:color="auto" w:fill="auto"/>
            <w:vAlign w:val="center"/>
          </w:tcPr>
          <w:p w14:paraId="799D2B29" w14:textId="77777777" w:rsidR="009A4C46" w:rsidRPr="00874840" w:rsidRDefault="009A4C46" w:rsidP="009A4C46">
            <w:pPr>
              <w:rPr>
                <w:rFonts w:eastAsia="Times New Roman"/>
                <w:sz w:val="18"/>
                <w:szCs w:val="18"/>
                <w:lang w:eastAsia="ru-RU"/>
              </w:rPr>
            </w:pPr>
            <w:r w:rsidRPr="00874840">
              <w:rPr>
                <w:rFonts w:eastAsia="Times New Roman"/>
                <w:sz w:val="18"/>
                <w:szCs w:val="18"/>
                <w:lang w:eastAsia="ru-RU"/>
              </w:rPr>
              <w:t>Прибыль, направляемая на инвестиции, в том числе:</w:t>
            </w:r>
          </w:p>
        </w:tc>
        <w:tc>
          <w:tcPr>
            <w:tcW w:w="434" w:type="pct"/>
            <w:tcBorders>
              <w:top w:val="nil"/>
              <w:left w:val="nil"/>
              <w:bottom w:val="single" w:sz="4" w:space="0" w:color="auto"/>
              <w:right w:val="single" w:sz="4" w:space="0" w:color="auto"/>
            </w:tcBorders>
            <w:shd w:val="clear" w:color="auto" w:fill="auto"/>
            <w:vAlign w:val="center"/>
          </w:tcPr>
          <w:p w14:paraId="1D8DC61F" w14:textId="77777777" w:rsidR="009A4C46" w:rsidRPr="00874840" w:rsidRDefault="009A4C46" w:rsidP="009A4C46">
            <w:pPr>
              <w:jc w:val="right"/>
              <w:rPr>
                <w:rFonts w:eastAsia="Times New Roman"/>
                <w:sz w:val="18"/>
                <w:szCs w:val="18"/>
                <w:lang w:eastAsia="ru-RU"/>
              </w:rPr>
            </w:pPr>
            <w:r w:rsidRPr="00874840">
              <w:rPr>
                <w:rFonts w:eastAsia="Times New Roman"/>
                <w:sz w:val="18"/>
                <w:szCs w:val="18"/>
                <w:lang w:eastAsia="ru-RU"/>
              </w:rPr>
              <w:t>32,34</w:t>
            </w:r>
          </w:p>
        </w:tc>
        <w:tc>
          <w:tcPr>
            <w:tcW w:w="435" w:type="pct"/>
            <w:tcBorders>
              <w:top w:val="nil"/>
              <w:left w:val="nil"/>
              <w:bottom w:val="single" w:sz="4" w:space="0" w:color="auto"/>
              <w:right w:val="single" w:sz="4" w:space="0" w:color="auto"/>
            </w:tcBorders>
            <w:shd w:val="clear" w:color="auto" w:fill="auto"/>
            <w:vAlign w:val="center"/>
          </w:tcPr>
          <w:p w14:paraId="62F66169" w14:textId="77777777" w:rsidR="009A4C46" w:rsidRPr="00874840" w:rsidRDefault="009A4C46" w:rsidP="009A4C46">
            <w:pPr>
              <w:jc w:val="right"/>
              <w:rPr>
                <w:rFonts w:eastAsia="Times New Roman"/>
                <w:sz w:val="18"/>
                <w:szCs w:val="18"/>
                <w:lang w:eastAsia="ru-RU"/>
              </w:rPr>
            </w:pPr>
            <w:r w:rsidRPr="00874840">
              <w:rPr>
                <w:rFonts w:eastAsia="Times New Roman"/>
                <w:sz w:val="18"/>
                <w:szCs w:val="18"/>
                <w:lang w:eastAsia="ru-RU"/>
              </w:rPr>
              <w:t>0,00</w:t>
            </w:r>
          </w:p>
        </w:tc>
        <w:tc>
          <w:tcPr>
            <w:tcW w:w="435" w:type="pct"/>
            <w:tcBorders>
              <w:top w:val="nil"/>
              <w:left w:val="nil"/>
              <w:bottom w:val="single" w:sz="4" w:space="0" w:color="auto"/>
              <w:right w:val="single" w:sz="4" w:space="0" w:color="auto"/>
            </w:tcBorders>
            <w:shd w:val="clear" w:color="auto" w:fill="auto"/>
            <w:vAlign w:val="center"/>
          </w:tcPr>
          <w:p w14:paraId="2103E44B" w14:textId="77777777" w:rsidR="009A4C46" w:rsidRPr="00874840" w:rsidRDefault="009A4C46" w:rsidP="009A4C46">
            <w:pPr>
              <w:jc w:val="right"/>
              <w:rPr>
                <w:rFonts w:eastAsia="Times New Roman"/>
                <w:sz w:val="18"/>
                <w:szCs w:val="18"/>
                <w:lang w:eastAsia="ru-RU"/>
              </w:rPr>
            </w:pPr>
            <w:r w:rsidRPr="00874840">
              <w:rPr>
                <w:rFonts w:eastAsia="Times New Roman"/>
                <w:sz w:val="18"/>
                <w:szCs w:val="18"/>
                <w:lang w:eastAsia="ru-RU"/>
              </w:rPr>
              <w:t>0,00</w:t>
            </w:r>
          </w:p>
        </w:tc>
        <w:tc>
          <w:tcPr>
            <w:tcW w:w="435" w:type="pct"/>
            <w:tcBorders>
              <w:top w:val="nil"/>
              <w:left w:val="nil"/>
              <w:bottom w:val="single" w:sz="4" w:space="0" w:color="auto"/>
              <w:right w:val="single" w:sz="4" w:space="0" w:color="auto"/>
            </w:tcBorders>
            <w:shd w:val="clear" w:color="auto" w:fill="auto"/>
            <w:vAlign w:val="center"/>
          </w:tcPr>
          <w:p w14:paraId="2D59E159" w14:textId="77777777" w:rsidR="009A4C46" w:rsidRPr="00874840" w:rsidRDefault="009A4C46" w:rsidP="009A4C46">
            <w:pPr>
              <w:jc w:val="right"/>
              <w:rPr>
                <w:rFonts w:eastAsia="Times New Roman"/>
                <w:sz w:val="18"/>
                <w:szCs w:val="18"/>
                <w:lang w:eastAsia="ru-RU"/>
              </w:rPr>
            </w:pPr>
            <w:r w:rsidRPr="00874840">
              <w:rPr>
                <w:rFonts w:eastAsia="Times New Roman"/>
                <w:sz w:val="18"/>
                <w:szCs w:val="18"/>
                <w:lang w:eastAsia="ru-RU"/>
              </w:rPr>
              <w:t>0,00</w:t>
            </w:r>
          </w:p>
        </w:tc>
        <w:tc>
          <w:tcPr>
            <w:tcW w:w="435" w:type="pct"/>
            <w:tcBorders>
              <w:top w:val="nil"/>
              <w:left w:val="nil"/>
              <w:bottom w:val="single" w:sz="4" w:space="0" w:color="auto"/>
              <w:right w:val="single" w:sz="4" w:space="0" w:color="auto"/>
            </w:tcBorders>
            <w:shd w:val="clear" w:color="auto" w:fill="auto"/>
            <w:vAlign w:val="center"/>
          </w:tcPr>
          <w:p w14:paraId="6C26CD79" w14:textId="77777777" w:rsidR="009A4C46" w:rsidRPr="00874840" w:rsidRDefault="009A4C46" w:rsidP="009A4C46">
            <w:pPr>
              <w:jc w:val="right"/>
              <w:rPr>
                <w:rFonts w:eastAsia="Times New Roman"/>
                <w:sz w:val="18"/>
                <w:szCs w:val="18"/>
                <w:lang w:eastAsia="ru-RU"/>
              </w:rPr>
            </w:pPr>
            <w:r w:rsidRPr="00874840">
              <w:rPr>
                <w:rFonts w:eastAsia="Times New Roman"/>
                <w:sz w:val="18"/>
                <w:szCs w:val="18"/>
                <w:lang w:eastAsia="ru-RU"/>
              </w:rPr>
              <w:t>0,00</w:t>
            </w:r>
          </w:p>
        </w:tc>
        <w:tc>
          <w:tcPr>
            <w:tcW w:w="503" w:type="pct"/>
            <w:tcBorders>
              <w:top w:val="nil"/>
              <w:left w:val="nil"/>
              <w:bottom w:val="single" w:sz="4" w:space="0" w:color="auto"/>
              <w:right w:val="single" w:sz="4" w:space="0" w:color="auto"/>
            </w:tcBorders>
            <w:shd w:val="clear" w:color="auto" w:fill="auto"/>
            <w:vAlign w:val="center"/>
          </w:tcPr>
          <w:p w14:paraId="27A5995D" w14:textId="77777777" w:rsidR="009A4C46" w:rsidRPr="00874840" w:rsidRDefault="009A4C46" w:rsidP="009A4C46">
            <w:pPr>
              <w:jc w:val="right"/>
              <w:rPr>
                <w:rFonts w:eastAsia="Times New Roman"/>
                <w:sz w:val="18"/>
                <w:szCs w:val="18"/>
                <w:lang w:eastAsia="ru-RU"/>
              </w:rPr>
            </w:pPr>
            <w:r w:rsidRPr="00874840">
              <w:rPr>
                <w:rFonts w:eastAsia="Times New Roman"/>
                <w:sz w:val="18"/>
                <w:szCs w:val="18"/>
                <w:lang w:eastAsia="ru-RU"/>
              </w:rPr>
              <w:t>32,34</w:t>
            </w:r>
          </w:p>
        </w:tc>
      </w:tr>
      <w:tr w:rsidR="009A4C46" w:rsidRPr="00874840" w14:paraId="7BB6510A" w14:textId="77777777" w:rsidTr="00874840">
        <w:tc>
          <w:tcPr>
            <w:tcW w:w="523" w:type="pct"/>
            <w:tcBorders>
              <w:top w:val="nil"/>
              <w:left w:val="single" w:sz="4" w:space="0" w:color="auto"/>
              <w:bottom w:val="single" w:sz="4" w:space="0" w:color="auto"/>
              <w:right w:val="single" w:sz="4" w:space="0" w:color="auto"/>
            </w:tcBorders>
            <w:shd w:val="clear" w:color="auto" w:fill="auto"/>
            <w:vAlign w:val="center"/>
          </w:tcPr>
          <w:p w14:paraId="7468978F" w14:textId="77777777" w:rsidR="009A4C46" w:rsidRPr="00874840" w:rsidRDefault="009A4C46" w:rsidP="009A4C46">
            <w:pPr>
              <w:jc w:val="center"/>
              <w:rPr>
                <w:rFonts w:eastAsia="Times New Roman"/>
                <w:sz w:val="18"/>
                <w:szCs w:val="18"/>
                <w:lang w:eastAsia="ru-RU"/>
              </w:rPr>
            </w:pPr>
            <w:r w:rsidRPr="00874840">
              <w:rPr>
                <w:rFonts w:eastAsia="Times New Roman"/>
                <w:sz w:val="18"/>
                <w:szCs w:val="18"/>
                <w:lang w:eastAsia="ru-RU"/>
              </w:rPr>
              <w:t>1.1.1</w:t>
            </w:r>
          </w:p>
        </w:tc>
        <w:tc>
          <w:tcPr>
            <w:tcW w:w="1800" w:type="pct"/>
            <w:tcBorders>
              <w:top w:val="nil"/>
              <w:left w:val="nil"/>
              <w:bottom w:val="single" w:sz="4" w:space="0" w:color="auto"/>
              <w:right w:val="single" w:sz="4" w:space="0" w:color="auto"/>
            </w:tcBorders>
            <w:shd w:val="clear" w:color="auto" w:fill="auto"/>
            <w:vAlign w:val="center"/>
          </w:tcPr>
          <w:p w14:paraId="6B8B306C" w14:textId="77777777" w:rsidR="009A4C46" w:rsidRPr="00874840" w:rsidRDefault="009A4C46" w:rsidP="009A4C46">
            <w:pPr>
              <w:rPr>
                <w:rFonts w:eastAsia="Times New Roman"/>
                <w:sz w:val="18"/>
                <w:szCs w:val="18"/>
                <w:lang w:eastAsia="ru-RU"/>
              </w:rPr>
            </w:pPr>
            <w:r w:rsidRPr="00874840">
              <w:rPr>
                <w:rFonts w:eastAsia="Times New Roman"/>
                <w:sz w:val="18"/>
                <w:szCs w:val="18"/>
                <w:lang w:eastAsia="ru-RU"/>
              </w:rPr>
              <w:t>полученная от реализации продукции и оказанных услуг по регулируемым ценам (тарифам):</w:t>
            </w:r>
          </w:p>
        </w:tc>
        <w:tc>
          <w:tcPr>
            <w:tcW w:w="434" w:type="pct"/>
            <w:tcBorders>
              <w:top w:val="nil"/>
              <w:left w:val="nil"/>
              <w:bottom w:val="single" w:sz="4" w:space="0" w:color="auto"/>
              <w:right w:val="single" w:sz="4" w:space="0" w:color="auto"/>
            </w:tcBorders>
            <w:shd w:val="clear" w:color="auto" w:fill="auto"/>
            <w:vAlign w:val="center"/>
          </w:tcPr>
          <w:p w14:paraId="55CD9997" w14:textId="77777777" w:rsidR="009A4C46" w:rsidRPr="00874840" w:rsidRDefault="009A4C46" w:rsidP="009A4C46">
            <w:pPr>
              <w:jc w:val="right"/>
              <w:rPr>
                <w:rFonts w:eastAsia="Times New Roman"/>
                <w:sz w:val="18"/>
                <w:szCs w:val="18"/>
                <w:lang w:eastAsia="ru-RU"/>
              </w:rPr>
            </w:pPr>
            <w:r w:rsidRPr="00874840">
              <w:rPr>
                <w:rFonts w:eastAsia="Times New Roman"/>
                <w:sz w:val="18"/>
                <w:szCs w:val="18"/>
                <w:lang w:eastAsia="ru-RU"/>
              </w:rPr>
              <w:t>32,34</w:t>
            </w:r>
          </w:p>
        </w:tc>
        <w:tc>
          <w:tcPr>
            <w:tcW w:w="435" w:type="pct"/>
            <w:tcBorders>
              <w:top w:val="nil"/>
              <w:left w:val="nil"/>
              <w:bottom w:val="single" w:sz="4" w:space="0" w:color="auto"/>
              <w:right w:val="single" w:sz="4" w:space="0" w:color="auto"/>
            </w:tcBorders>
            <w:shd w:val="clear" w:color="auto" w:fill="auto"/>
            <w:vAlign w:val="center"/>
          </w:tcPr>
          <w:p w14:paraId="4B8A2785" w14:textId="77777777" w:rsidR="009A4C46" w:rsidRPr="00874840" w:rsidRDefault="009A4C46" w:rsidP="009A4C46">
            <w:pPr>
              <w:jc w:val="right"/>
              <w:rPr>
                <w:rFonts w:eastAsia="Times New Roman"/>
                <w:sz w:val="18"/>
                <w:szCs w:val="18"/>
                <w:lang w:eastAsia="ru-RU"/>
              </w:rPr>
            </w:pPr>
            <w:r w:rsidRPr="00874840">
              <w:rPr>
                <w:rFonts w:eastAsia="Times New Roman"/>
                <w:sz w:val="18"/>
                <w:szCs w:val="18"/>
                <w:lang w:eastAsia="ru-RU"/>
              </w:rPr>
              <w:t>0,00</w:t>
            </w:r>
          </w:p>
        </w:tc>
        <w:tc>
          <w:tcPr>
            <w:tcW w:w="435" w:type="pct"/>
            <w:tcBorders>
              <w:top w:val="nil"/>
              <w:left w:val="nil"/>
              <w:bottom w:val="single" w:sz="4" w:space="0" w:color="auto"/>
              <w:right w:val="single" w:sz="4" w:space="0" w:color="auto"/>
            </w:tcBorders>
            <w:shd w:val="clear" w:color="auto" w:fill="auto"/>
            <w:vAlign w:val="center"/>
          </w:tcPr>
          <w:p w14:paraId="0E1B0837" w14:textId="77777777" w:rsidR="009A4C46" w:rsidRPr="00874840" w:rsidRDefault="009A4C46" w:rsidP="009A4C46">
            <w:pPr>
              <w:jc w:val="right"/>
              <w:rPr>
                <w:rFonts w:eastAsia="Times New Roman"/>
                <w:sz w:val="18"/>
                <w:szCs w:val="18"/>
                <w:lang w:eastAsia="ru-RU"/>
              </w:rPr>
            </w:pPr>
            <w:r w:rsidRPr="00874840">
              <w:rPr>
                <w:rFonts w:eastAsia="Times New Roman"/>
                <w:sz w:val="18"/>
                <w:szCs w:val="18"/>
                <w:lang w:eastAsia="ru-RU"/>
              </w:rPr>
              <w:t>0,00</w:t>
            </w:r>
          </w:p>
        </w:tc>
        <w:tc>
          <w:tcPr>
            <w:tcW w:w="435" w:type="pct"/>
            <w:tcBorders>
              <w:top w:val="nil"/>
              <w:left w:val="nil"/>
              <w:bottom w:val="single" w:sz="4" w:space="0" w:color="auto"/>
              <w:right w:val="single" w:sz="4" w:space="0" w:color="auto"/>
            </w:tcBorders>
            <w:shd w:val="clear" w:color="auto" w:fill="auto"/>
            <w:vAlign w:val="center"/>
          </w:tcPr>
          <w:p w14:paraId="3E16D2DD" w14:textId="77777777" w:rsidR="009A4C46" w:rsidRPr="00874840" w:rsidRDefault="009A4C46" w:rsidP="009A4C46">
            <w:pPr>
              <w:jc w:val="right"/>
              <w:rPr>
                <w:rFonts w:eastAsia="Times New Roman"/>
                <w:sz w:val="18"/>
                <w:szCs w:val="18"/>
                <w:lang w:eastAsia="ru-RU"/>
              </w:rPr>
            </w:pPr>
            <w:r w:rsidRPr="00874840">
              <w:rPr>
                <w:rFonts w:eastAsia="Times New Roman"/>
                <w:sz w:val="18"/>
                <w:szCs w:val="18"/>
                <w:lang w:eastAsia="ru-RU"/>
              </w:rPr>
              <w:t>0,00</w:t>
            </w:r>
          </w:p>
        </w:tc>
        <w:tc>
          <w:tcPr>
            <w:tcW w:w="435" w:type="pct"/>
            <w:tcBorders>
              <w:top w:val="nil"/>
              <w:left w:val="nil"/>
              <w:bottom w:val="single" w:sz="4" w:space="0" w:color="auto"/>
              <w:right w:val="single" w:sz="4" w:space="0" w:color="auto"/>
            </w:tcBorders>
            <w:shd w:val="clear" w:color="auto" w:fill="auto"/>
            <w:vAlign w:val="center"/>
          </w:tcPr>
          <w:p w14:paraId="0CA43A8F" w14:textId="77777777" w:rsidR="009A4C46" w:rsidRPr="00874840" w:rsidRDefault="009A4C46" w:rsidP="009A4C46">
            <w:pPr>
              <w:jc w:val="right"/>
              <w:rPr>
                <w:rFonts w:eastAsia="Times New Roman"/>
                <w:sz w:val="18"/>
                <w:szCs w:val="18"/>
                <w:lang w:eastAsia="ru-RU"/>
              </w:rPr>
            </w:pPr>
            <w:r w:rsidRPr="00874840">
              <w:rPr>
                <w:rFonts w:eastAsia="Times New Roman"/>
                <w:sz w:val="18"/>
                <w:szCs w:val="18"/>
                <w:lang w:eastAsia="ru-RU"/>
              </w:rPr>
              <w:t>0,00</w:t>
            </w:r>
          </w:p>
        </w:tc>
        <w:tc>
          <w:tcPr>
            <w:tcW w:w="503" w:type="pct"/>
            <w:tcBorders>
              <w:top w:val="nil"/>
              <w:left w:val="nil"/>
              <w:bottom w:val="single" w:sz="4" w:space="0" w:color="auto"/>
              <w:right w:val="single" w:sz="4" w:space="0" w:color="auto"/>
            </w:tcBorders>
            <w:shd w:val="clear" w:color="auto" w:fill="auto"/>
            <w:vAlign w:val="center"/>
          </w:tcPr>
          <w:p w14:paraId="1367445D" w14:textId="77777777" w:rsidR="009A4C46" w:rsidRPr="00874840" w:rsidRDefault="009A4C46" w:rsidP="009A4C46">
            <w:pPr>
              <w:jc w:val="right"/>
              <w:rPr>
                <w:rFonts w:eastAsia="Times New Roman"/>
                <w:sz w:val="18"/>
                <w:szCs w:val="18"/>
                <w:lang w:eastAsia="ru-RU"/>
              </w:rPr>
            </w:pPr>
            <w:r w:rsidRPr="00874840">
              <w:rPr>
                <w:rFonts w:eastAsia="Times New Roman"/>
                <w:sz w:val="18"/>
                <w:szCs w:val="18"/>
                <w:lang w:eastAsia="ru-RU"/>
              </w:rPr>
              <w:t>32,34</w:t>
            </w:r>
          </w:p>
        </w:tc>
      </w:tr>
      <w:tr w:rsidR="009A4C46" w:rsidRPr="00874840" w14:paraId="21E419DB" w14:textId="77777777" w:rsidTr="00874840">
        <w:tc>
          <w:tcPr>
            <w:tcW w:w="523" w:type="pct"/>
            <w:tcBorders>
              <w:top w:val="nil"/>
              <w:left w:val="single" w:sz="4" w:space="0" w:color="auto"/>
              <w:bottom w:val="single" w:sz="4" w:space="0" w:color="auto"/>
              <w:right w:val="single" w:sz="4" w:space="0" w:color="auto"/>
            </w:tcBorders>
            <w:shd w:val="clear" w:color="auto" w:fill="auto"/>
            <w:vAlign w:val="center"/>
          </w:tcPr>
          <w:p w14:paraId="1C4FE1C0" w14:textId="77777777" w:rsidR="009A4C46" w:rsidRPr="00874840" w:rsidRDefault="009A4C46" w:rsidP="009A4C46">
            <w:pPr>
              <w:jc w:val="center"/>
              <w:rPr>
                <w:rFonts w:eastAsia="Times New Roman"/>
                <w:sz w:val="18"/>
                <w:szCs w:val="18"/>
                <w:lang w:eastAsia="ru-RU"/>
              </w:rPr>
            </w:pPr>
            <w:r w:rsidRPr="00874840">
              <w:rPr>
                <w:rFonts w:eastAsia="Times New Roman"/>
                <w:sz w:val="18"/>
                <w:szCs w:val="18"/>
                <w:lang w:eastAsia="ru-RU"/>
              </w:rPr>
              <w:t>1.1.1.3</w:t>
            </w:r>
          </w:p>
        </w:tc>
        <w:tc>
          <w:tcPr>
            <w:tcW w:w="1800" w:type="pct"/>
            <w:tcBorders>
              <w:top w:val="nil"/>
              <w:left w:val="nil"/>
              <w:bottom w:val="single" w:sz="4" w:space="0" w:color="auto"/>
              <w:right w:val="single" w:sz="4" w:space="0" w:color="auto"/>
            </w:tcBorders>
            <w:shd w:val="clear" w:color="auto" w:fill="auto"/>
            <w:vAlign w:val="center"/>
          </w:tcPr>
          <w:p w14:paraId="3F9432A1" w14:textId="77777777" w:rsidR="009A4C46" w:rsidRPr="00874840" w:rsidRDefault="009A4C46" w:rsidP="009A4C46">
            <w:pPr>
              <w:rPr>
                <w:rFonts w:eastAsia="Times New Roman"/>
                <w:sz w:val="18"/>
                <w:szCs w:val="18"/>
                <w:lang w:eastAsia="ru-RU"/>
              </w:rPr>
            </w:pPr>
            <w:r w:rsidRPr="00874840">
              <w:rPr>
                <w:rFonts w:eastAsia="Times New Roman"/>
                <w:sz w:val="18"/>
                <w:szCs w:val="18"/>
                <w:lang w:eastAsia="ru-RU"/>
              </w:rPr>
              <w:t>оказания услуг по передаче электрической энергии</w:t>
            </w:r>
          </w:p>
        </w:tc>
        <w:tc>
          <w:tcPr>
            <w:tcW w:w="434" w:type="pct"/>
            <w:tcBorders>
              <w:top w:val="nil"/>
              <w:left w:val="nil"/>
              <w:bottom w:val="single" w:sz="4" w:space="0" w:color="auto"/>
              <w:right w:val="single" w:sz="4" w:space="0" w:color="auto"/>
            </w:tcBorders>
            <w:shd w:val="clear" w:color="auto" w:fill="auto"/>
            <w:vAlign w:val="center"/>
          </w:tcPr>
          <w:p w14:paraId="336726F3" w14:textId="77777777" w:rsidR="009A4C46" w:rsidRPr="00874840" w:rsidRDefault="009A4C46" w:rsidP="009A4C46">
            <w:pPr>
              <w:jc w:val="right"/>
              <w:rPr>
                <w:rFonts w:eastAsia="Times New Roman"/>
                <w:sz w:val="18"/>
                <w:szCs w:val="18"/>
                <w:lang w:eastAsia="ru-RU"/>
              </w:rPr>
            </w:pPr>
            <w:r w:rsidRPr="00874840">
              <w:rPr>
                <w:rFonts w:eastAsia="Times New Roman"/>
                <w:sz w:val="18"/>
                <w:szCs w:val="18"/>
                <w:lang w:eastAsia="ru-RU"/>
              </w:rPr>
              <w:t>0,00</w:t>
            </w:r>
          </w:p>
        </w:tc>
        <w:tc>
          <w:tcPr>
            <w:tcW w:w="435" w:type="pct"/>
            <w:tcBorders>
              <w:top w:val="nil"/>
              <w:left w:val="nil"/>
              <w:bottom w:val="single" w:sz="4" w:space="0" w:color="auto"/>
              <w:right w:val="single" w:sz="4" w:space="0" w:color="auto"/>
            </w:tcBorders>
            <w:shd w:val="clear" w:color="auto" w:fill="auto"/>
            <w:vAlign w:val="center"/>
          </w:tcPr>
          <w:p w14:paraId="174E17AA" w14:textId="77777777" w:rsidR="009A4C46" w:rsidRPr="00874840" w:rsidRDefault="009A4C46" w:rsidP="009A4C46">
            <w:pPr>
              <w:jc w:val="right"/>
              <w:rPr>
                <w:rFonts w:eastAsia="Times New Roman"/>
                <w:sz w:val="18"/>
                <w:szCs w:val="18"/>
                <w:lang w:eastAsia="ru-RU"/>
              </w:rPr>
            </w:pPr>
            <w:r w:rsidRPr="00874840">
              <w:rPr>
                <w:rFonts w:eastAsia="Times New Roman"/>
                <w:sz w:val="18"/>
                <w:szCs w:val="18"/>
                <w:lang w:eastAsia="ru-RU"/>
              </w:rPr>
              <w:t>0,00</w:t>
            </w:r>
          </w:p>
        </w:tc>
        <w:tc>
          <w:tcPr>
            <w:tcW w:w="435" w:type="pct"/>
            <w:tcBorders>
              <w:top w:val="nil"/>
              <w:left w:val="nil"/>
              <w:bottom w:val="single" w:sz="4" w:space="0" w:color="auto"/>
              <w:right w:val="single" w:sz="4" w:space="0" w:color="auto"/>
            </w:tcBorders>
            <w:shd w:val="clear" w:color="auto" w:fill="auto"/>
            <w:vAlign w:val="center"/>
          </w:tcPr>
          <w:p w14:paraId="29EE9100" w14:textId="77777777" w:rsidR="009A4C46" w:rsidRPr="00874840" w:rsidRDefault="009A4C46" w:rsidP="009A4C46">
            <w:pPr>
              <w:jc w:val="right"/>
              <w:rPr>
                <w:rFonts w:eastAsia="Times New Roman"/>
                <w:sz w:val="18"/>
                <w:szCs w:val="18"/>
                <w:lang w:eastAsia="ru-RU"/>
              </w:rPr>
            </w:pPr>
            <w:r w:rsidRPr="00874840">
              <w:rPr>
                <w:rFonts w:eastAsia="Times New Roman"/>
                <w:sz w:val="18"/>
                <w:szCs w:val="18"/>
                <w:lang w:eastAsia="ru-RU"/>
              </w:rPr>
              <w:t>0,00</w:t>
            </w:r>
          </w:p>
        </w:tc>
        <w:tc>
          <w:tcPr>
            <w:tcW w:w="435" w:type="pct"/>
            <w:tcBorders>
              <w:top w:val="nil"/>
              <w:left w:val="nil"/>
              <w:bottom w:val="single" w:sz="4" w:space="0" w:color="auto"/>
              <w:right w:val="single" w:sz="4" w:space="0" w:color="auto"/>
            </w:tcBorders>
            <w:shd w:val="clear" w:color="auto" w:fill="auto"/>
            <w:vAlign w:val="center"/>
          </w:tcPr>
          <w:p w14:paraId="403D8857" w14:textId="77777777" w:rsidR="009A4C46" w:rsidRPr="00874840" w:rsidRDefault="009A4C46" w:rsidP="009A4C46">
            <w:pPr>
              <w:jc w:val="right"/>
              <w:rPr>
                <w:rFonts w:eastAsia="Times New Roman"/>
                <w:sz w:val="18"/>
                <w:szCs w:val="18"/>
                <w:lang w:eastAsia="ru-RU"/>
              </w:rPr>
            </w:pPr>
            <w:r w:rsidRPr="00874840">
              <w:rPr>
                <w:rFonts w:eastAsia="Times New Roman"/>
                <w:sz w:val="18"/>
                <w:szCs w:val="18"/>
                <w:lang w:eastAsia="ru-RU"/>
              </w:rPr>
              <w:t>0,00</w:t>
            </w:r>
          </w:p>
        </w:tc>
        <w:tc>
          <w:tcPr>
            <w:tcW w:w="435" w:type="pct"/>
            <w:tcBorders>
              <w:top w:val="nil"/>
              <w:left w:val="nil"/>
              <w:bottom w:val="single" w:sz="4" w:space="0" w:color="auto"/>
              <w:right w:val="single" w:sz="4" w:space="0" w:color="auto"/>
            </w:tcBorders>
            <w:shd w:val="clear" w:color="auto" w:fill="auto"/>
            <w:vAlign w:val="center"/>
          </w:tcPr>
          <w:p w14:paraId="13A43532" w14:textId="77777777" w:rsidR="009A4C46" w:rsidRPr="00874840" w:rsidRDefault="009A4C46" w:rsidP="009A4C46">
            <w:pPr>
              <w:jc w:val="right"/>
              <w:rPr>
                <w:rFonts w:eastAsia="Times New Roman"/>
                <w:sz w:val="18"/>
                <w:szCs w:val="18"/>
                <w:lang w:eastAsia="ru-RU"/>
              </w:rPr>
            </w:pPr>
            <w:r w:rsidRPr="00874840">
              <w:rPr>
                <w:rFonts w:eastAsia="Times New Roman"/>
                <w:sz w:val="18"/>
                <w:szCs w:val="18"/>
                <w:lang w:eastAsia="ru-RU"/>
              </w:rPr>
              <w:t>0,00</w:t>
            </w:r>
          </w:p>
        </w:tc>
        <w:tc>
          <w:tcPr>
            <w:tcW w:w="503" w:type="pct"/>
            <w:tcBorders>
              <w:top w:val="nil"/>
              <w:left w:val="nil"/>
              <w:bottom w:val="single" w:sz="4" w:space="0" w:color="auto"/>
              <w:right w:val="single" w:sz="4" w:space="0" w:color="auto"/>
            </w:tcBorders>
            <w:shd w:val="clear" w:color="auto" w:fill="auto"/>
            <w:vAlign w:val="center"/>
          </w:tcPr>
          <w:p w14:paraId="1D996C80" w14:textId="77777777" w:rsidR="009A4C46" w:rsidRPr="00874840" w:rsidRDefault="009A4C46" w:rsidP="009A4C46">
            <w:pPr>
              <w:jc w:val="right"/>
              <w:rPr>
                <w:rFonts w:eastAsia="Times New Roman"/>
                <w:sz w:val="18"/>
                <w:szCs w:val="18"/>
                <w:lang w:eastAsia="ru-RU"/>
              </w:rPr>
            </w:pPr>
            <w:r w:rsidRPr="00874840">
              <w:rPr>
                <w:rFonts w:eastAsia="Times New Roman"/>
                <w:sz w:val="18"/>
                <w:szCs w:val="18"/>
                <w:lang w:eastAsia="ru-RU"/>
              </w:rPr>
              <w:t>0,00</w:t>
            </w:r>
          </w:p>
        </w:tc>
      </w:tr>
      <w:tr w:rsidR="009A4C46" w:rsidRPr="00874840" w14:paraId="67527999" w14:textId="77777777" w:rsidTr="00874840">
        <w:tc>
          <w:tcPr>
            <w:tcW w:w="523" w:type="pct"/>
            <w:tcBorders>
              <w:top w:val="nil"/>
              <w:left w:val="single" w:sz="4" w:space="0" w:color="auto"/>
              <w:bottom w:val="single" w:sz="4" w:space="0" w:color="auto"/>
              <w:right w:val="single" w:sz="4" w:space="0" w:color="auto"/>
            </w:tcBorders>
            <w:shd w:val="clear" w:color="auto" w:fill="auto"/>
            <w:vAlign w:val="center"/>
          </w:tcPr>
          <w:p w14:paraId="46C0B89B" w14:textId="77777777" w:rsidR="009A4C46" w:rsidRPr="00874840" w:rsidRDefault="009A4C46" w:rsidP="009A4C46">
            <w:pPr>
              <w:jc w:val="center"/>
              <w:rPr>
                <w:rFonts w:eastAsia="Times New Roman"/>
                <w:sz w:val="18"/>
                <w:szCs w:val="18"/>
                <w:lang w:eastAsia="ru-RU"/>
              </w:rPr>
            </w:pPr>
            <w:r w:rsidRPr="00874840">
              <w:rPr>
                <w:rFonts w:eastAsia="Times New Roman"/>
                <w:sz w:val="18"/>
                <w:szCs w:val="18"/>
                <w:lang w:eastAsia="ru-RU"/>
              </w:rPr>
              <w:t>1.1.1.5</w:t>
            </w:r>
          </w:p>
        </w:tc>
        <w:tc>
          <w:tcPr>
            <w:tcW w:w="1800" w:type="pct"/>
            <w:tcBorders>
              <w:top w:val="nil"/>
              <w:left w:val="nil"/>
              <w:bottom w:val="single" w:sz="4" w:space="0" w:color="auto"/>
              <w:right w:val="single" w:sz="4" w:space="0" w:color="auto"/>
            </w:tcBorders>
            <w:shd w:val="clear" w:color="auto" w:fill="auto"/>
            <w:vAlign w:val="center"/>
          </w:tcPr>
          <w:p w14:paraId="6A76E82D" w14:textId="77777777" w:rsidR="009A4C46" w:rsidRPr="00874840" w:rsidRDefault="009A4C46" w:rsidP="009A4C46">
            <w:pPr>
              <w:rPr>
                <w:rFonts w:eastAsia="Times New Roman"/>
                <w:sz w:val="18"/>
                <w:szCs w:val="18"/>
                <w:lang w:eastAsia="ru-RU"/>
              </w:rPr>
            </w:pPr>
            <w:r w:rsidRPr="00874840">
              <w:rPr>
                <w:rFonts w:eastAsia="Times New Roman"/>
                <w:sz w:val="18"/>
                <w:szCs w:val="18"/>
                <w:lang w:eastAsia="ru-RU"/>
              </w:rPr>
              <w:t>от технологического присоединения, в том числе</w:t>
            </w:r>
          </w:p>
        </w:tc>
        <w:tc>
          <w:tcPr>
            <w:tcW w:w="434" w:type="pct"/>
            <w:tcBorders>
              <w:top w:val="nil"/>
              <w:left w:val="nil"/>
              <w:bottom w:val="single" w:sz="4" w:space="0" w:color="auto"/>
              <w:right w:val="single" w:sz="4" w:space="0" w:color="auto"/>
            </w:tcBorders>
            <w:shd w:val="clear" w:color="auto" w:fill="auto"/>
            <w:vAlign w:val="center"/>
          </w:tcPr>
          <w:p w14:paraId="6EB5E654" w14:textId="77777777" w:rsidR="009A4C46" w:rsidRPr="00874840" w:rsidRDefault="009A4C46" w:rsidP="009A4C46">
            <w:pPr>
              <w:jc w:val="right"/>
              <w:rPr>
                <w:rFonts w:eastAsia="Times New Roman"/>
                <w:sz w:val="18"/>
                <w:szCs w:val="18"/>
                <w:lang w:eastAsia="ru-RU"/>
              </w:rPr>
            </w:pPr>
            <w:r w:rsidRPr="00874840">
              <w:rPr>
                <w:rFonts w:eastAsia="Times New Roman"/>
                <w:sz w:val="18"/>
                <w:szCs w:val="18"/>
                <w:lang w:eastAsia="ru-RU"/>
              </w:rPr>
              <w:t>32,34</w:t>
            </w:r>
          </w:p>
        </w:tc>
        <w:tc>
          <w:tcPr>
            <w:tcW w:w="435" w:type="pct"/>
            <w:tcBorders>
              <w:top w:val="nil"/>
              <w:left w:val="nil"/>
              <w:bottom w:val="single" w:sz="4" w:space="0" w:color="auto"/>
              <w:right w:val="single" w:sz="4" w:space="0" w:color="auto"/>
            </w:tcBorders>
            <w:shd w:val="clear" w:color="auto" w:fill="auto"/>
            <w:vAlign w:val="center"/>
          </w:tcPr>
          <w:p w14:paraId="53521881" w14:textId="77777777" w:rsidR="009A4C46" w:rsidRPr="00874840" w:rsidRDefault="009A4C46" w:rsidP="009A4C46">
            <w:pPr>
              <w:jc w:val="right"/>
              <w:rPr>
                <w:rFonts w:eastAsia="Times New Roman"/>
                <w:sz w:val="18"/>
                <w:szCs w:val="18"/>
                <w:lang w:eastAsia="ru-RU"/>
              </w:rPr>
            </w:pPr>
            <w:r w:rsidRPr="00874840">
              <w:rPr>
                <w:rFonts w:eastAsia="Times New Roman"/>
                <w:sz w:val="18"/>
                <w:szCs w:val="18"/>
                <w:lang w:eastAsia="ru-RU"/>
              </w:rPr>
              <w:t>0,00</w:t>
            </w:r>
          </w:p>
        </w:tc>
        <w:tc>
          <w:tcPr>
            <w:tcW w:w="435" w:type="pct"/>
            <w:tcBorders>
              <w:top w:val="nil"/>
              <w:left w:val="nil"/>
              <w:bottom w:val="single" w:sz="4" w:space="0" w:color="auto"/>
              <w:right w:val="single" w:sz="4" w:space="0" w:color="auto"/>
            </w:tcBorders>
            <w:shd w:val="clear" w:color="auto" w:fill="auto"/>
            <w:vAlign w:val="center"/>
          </w:tcPr>
          <w:p w14:paraId="0F82ED99" w14:textId="77777777" w:rsidR="009A4C46" w:rsidRPr="00874840" w:rsidRDefault="009A4C46" w:rsidP="009A4C46">
            <w:pPr>
              <w:jc w:val="right"/>
              <w:rPr>
                <w:rFonts w:eastAsia="Times New Roman"/>
                <w:sz w:val="18"/>
                <w:szCs w:val="18"/>
                <w:lang w:eastAsia="ru-RU"/>
              </w:rPr>
            </w:pPr>
            <w:r w:rsidRPr="00874840">
              <w:rPr>
                <w:rFonts w:eastAsia="Times New Roman"/>
                <w:sz w:val="18"/>
                <w:szCs w:val="18"/>
                <w:lang w:eastAsia="ru-RU"/>
              </w:rPr>
              <w:t>0,00</w:t>
            </w:r>
          </w:p>
        </w:tc>
        <w:tc>
          <w:tcPr>
            <w:tcW w:w="435" w:type="pct"/>
            <w:tcBorders>
              <w:top w:val="nil"/>
              <w:left w:val="nil"/>
              <w:bottom w:val="single" w:sz="4" w:space="0" w:color="auto"/>
              <w:right w:val="single" w:sz="4" w:space="0" w:color="auto"/>
            </w:tcBorders>
            <w:shd w:val="clear" w:color="auto" w:fill="auto"/>
            <w:vAlign w:val="center"/>
          </w:tcPr>
          <w:p w14:paraId="2CE1CD2A" w14:textId="77777777" w:rsidR="009A4C46" w:rsidRPr="00874840" w:rsidRDefault="009A4C46" w:rsidP="009A4C46">
            <w:pPr>
              <w:jc w:val="right"/>
              <w:rPr>
                <w:rFonts w:eastAsia="Times New Roman"/>
                <w:sz w:val="18"/>
                <w:szCs w:val="18"/>
                <w:lang w:eastAsia="ru-RU"/>
              </w:rPr>
            </w:pPr>
            <w:r w:rsidRPr="00874840">
              <w:rPr>
                <w:rFonts w:eastAsia="Times New Roman"/>
                <w:sz w:val="18"/>
                <w:szCs w:val="18"/>
                <w:lang w:eastAsia="ru-RU"/>
              </w:rPr>
              <w:t>0,00</w:t>
            </w:r>
          </w:p>
        </w:tc>
        <w:tc>
          <w:tcPr>
            <w:tcW w:w="435" w:type="pct"/>
            <w:tcBorders>
              <w:top w:val="nil"/>
              <w:left w:val="nil"/>
              <w:bottom w:val="single" w:sz="4" w:space="0" w:color="auto"/>
              <w:right w:val="single" w:sz="4" w:space="0" w:color="auto"/>
            </w:tcBorders>
            <w:shd w:val="clear" w:color="auto" w:fill="auto"/>
            <w:vAlign w:val="center"/>
          </w:tcPr>
          <w:p w14:paraId="6D88A224" w14:textId="77777777" w:rsidR="009A4C46" w:rsidRPr="00874840" w:rsidRDefault="009A4C46" w:rsidP="009A4C46">
            <w:pPr>
              <w:jc w:val="right"/>
              <w:rPr>
                <w:rFonts w:eastAsia="Times New Roman"/>
                <w:sz w:val="18"/>
                <w:szCs w:val="18"/>
                <w:lang w:eastAsia="ru-RU"/>
              </w:rPr>
            </w:pPr>
            <w:r w:rsidRPr="00874840">
              <w:rPr>
                <w:rFonts w:eastAsia="Times New Roman"/>
                <w:sz w:val="18"/>
                <w:szCs w:val="18"/>
                <w:lang w:eastAsia="ru-RU"/>
              </w:rPr>
              <w:t>0,00</w:t>
            </w:r>
          </w:p>
        </w:tc>
        <w:tc>
          <w:tcPr>
            <w:tcW w:w="503" w:type="pct"/>
            <w:tcBorders>
              <w:top w:val="nil"/>
              <w:left w:val="nil"/>
              <w:bottom w:val="single" w:sz="4" w:space="0" w:color="auto"/>
              <w:right w:val="single" w:sz="4" w:space="0" w:color="auto"/>
            </w:tcBorders>
            <w:shd w:val="clear" w:color="auto" w:fill="auto"/>
            <w:vAlign w:val="center"/>
          </w:tcPr>
          <w:p w14:paraId="2DC12FC6" w14:textId="77777777" w:rsidR="009A4C46" w:rsidRPr="00874840" w:rsidRDefault="009A4C46" w:rsidP="009A4C46">
            <w:pPr>
              <w:jc w:val="right"/>
              <w:rPr>
                <w:rFonts w:eastAsia="Times New Roman"/>
                <w:sz w:val="18"/>
                <w:szCs w:val="18"/>
                <w:lang w:eastAsia="ru-RU"/>
              </w:rPr>
            </w:pPr>
            <w:r w:rsidRPr="00874840">
              <w:rPr>
                <w:rFonts w:eastAsia="Times New Roman"/>
                <w:sz w:val="18"/>
                <w:szCs w:val="18"/>
                <w:lang w:eastAsia="ru-RU"/>
              </w:rPr>
              <w:t>32,34</w:t>
            </w:r>
          </w:p>
        </w:tc>
      </w:tr>
      <w:tr w:rsidR="009A4C46" w:rsidRPr="00874840" w14:paraId="68329F18" w14:textId="77777777" w:rsidTr="00874840">
        <w:tc>
          <w:tcPr>
            <w:tcW w:w="523" w:type="pct"/>
            <w:tcBorders>
              <w:top w:val="nil"/>
              <w:left w:val="single" w:sz="4" w:space="0" w:color="auto"/>
              <w:bottom w:val="single" w:sz="4" w:space="0" w:color="auto"/>
              <w:right w:val="single" w:sz="4" w:space="0" w:color="auto"/>
            </w:tcBorders>
            <w:shd w:val="clear" w:color="auto" w:fill="auto"/>
            <w:vAlign w:val="center"/>
          </w:tcPr>
          <w:p w14:paraId="620FC509" w14:textId="77777777" w:rsidR="009A4C46" w:rsidRPr="00874840" w:rsidRDefault="009A4C46" w:rsidP="009A4C46">
            <w:pPr>
              <w:jc w:val="center"/>
              <w:rPr>
                <w:rFonts w:eastAsia="Times New Roman"/>
                <w:sz w:val="18"/>
                <w:szCs w:val="18"/>
                <w:lang w:eastAsia="ru-RU"/>
              </w:rPr>
            </w:pPr>
            <w:r w:rsidRPr="00874840">
              <w:rPr>
                <w:rFonts w:eastAsia="Times New Roman"/>
                <w:sz w:val="18"/>
                <w:szCs w:val="18"/>
                <w:lang w:eastAsia="ru-RU"/>
              </w:rPr>
              <w:t>1.1.1.5.1</w:t>
            </w:r>
          </w:p>
        </w:tc>
        <w:tc>
          <w:tcPr>
            <w:tcW w:w="1800" w:type="pct"/>
            <w:tcBorders>
              <w:top w:val="nil"/>
              <w:left w:val="nil"/>
              <w:bottom w:val="single" w:sz="4" w:space="0" w:color="auto"/>
              <w:right w:val="single" w:sz="4" w:space="0" w:color="auto"/>
            </w:tcBorders>
            <w:shd w:val="clear" w:color="auto" w:fill="auto"/>
            <w:vAlign w:val="center"/>
          </w:tcPr>
          <w:p w14:paraId="1206DE09" w14:textId="77777777" w:rsidR="009A4C46" w:rsidRPr="00874840" w:rsidRDefault="009A4C46" w:rsidP="009A4C46">
            <w:pPr>
              <w:rPr>
                <w:rFonts w:eastAsia="Times New Roman"/>
                <w:sz w:val="18"/>
                <w:szCs w:val="18"/>
                <w:lang w:eastAsia="ru-RU"/>
              </w:rPr>
            </w:pPr>
            <w:r w:rsidRPr="00874840">
              <w:rPr>
                <w:rFonts w:eastAsia="Times New Roman"/>
                <w:sz w:val="18"/>
                <w:szCs w:val="18"/>
                <w:lang w:eastAsia="ru-RU"/>
              </w:rPr>
              <w:t>от технологического присоединения объектов по производству электрической и тепловой энергии</w:t>
            </w:r>
          </w:p>
        </w:tc>
        <w:tc>
          <w:tcPr>
            <w:tcW w:w="434" w:type="pct"/>
            <w:tcBorders>
              <w:top w:val="nil"/>
              <w:left w:val="nil"/>
              <w:bottom w:val="single" w:sz="4" w:space="0" w:color="auto"/>
              <w:right w:val="single" w:sz="4" w:space="0" w:color="auto"/>
            </w:tcBorders>
            <w:shd w:val="clear" w:color="auto" w:fill="auto"/>
            <w:vAlign w:val="center"/>
          </w:tcPr>
          <w:p w14:paraId="2C80CB19" w14:textId="77777777" w:rsidR="009A4C46" w:rsidRPr="00874840" w:rsidRDefault="009A4C46" w:rsidP="009A4C46">
            <w:pPr>
              <w:jc w:val="right"/>
              <w:rPr>
                <w:rFonts w:eastAsia="Times New Roman"/>
                <w:sz w:val="18"/>
                <w:szCs w:val="18"/>
                <w:lang w:eastAsia="ru-RU"/>
              </w:rPr>
            </w:pPr>
            <w:r w:rsidRPr="00874840">
              <w:rPr>
                <w:rFonts w:eastAsia="Times New Roman"/>
                <w:sz w:val="18"/>
                <w:szCs w:val="18"/>
                <w:lang w:eastAsia="ru-RU"/>
              </w:rPr>
              <w:t>0,00</w:t>
            </w:r>
          </w:p>
        </w:tc>
        <w:tc>
          <w:tcPr>
            <w:tcW w:w="435" w:type="pct"/>
            <w:tcBorders>
              <w:top w:val="nil"/>
              <w:left w:val="nil"/>
              <w:bottom w:val="single" w:sz="4" w:space="0" w:color="auto"/>
              <w:right w:val="single" w:sz="4" w:space="0" w:color="auto"/>
            </w:tcBorders>
            <w:shd w:val="clear" w:color="auto" w:fill="auto"/>
            <w:vAlign w:val="center"/>
          </w:tcPr>
          <w:p w14:paraId="63FC5107" w14:textId="77777777" w:rsidR="009A4C46" w:rsidRPr="00874840" w:rsidRDefault="009A4C46" w:rsidP="009A4C46">
            <w:pPr>
              <w:jc w:val="right"/>
              <w:rPr>
                <w:rFonts w:eastAsia="Times New Roman"/>
                <w:sz w:val="18"/>
                <w:szCs w:val="18"/>
                <w:lang w:eastAsia="ru-RU"/>
              </w:rPr>
            </w:pPr>
            <w:r w:rsidRPr="00874840">
              <w:rPr>
                <w:rFonts w:eastAsia="Times New Roman"/>
                <w:sz w:val="18"/>
                <w:szCs w:val="18"/>
                <w:lang w:eastAsia="ru-RU"/>
              </w:rPr>
              <w:t>0,00</w:t>
            </w:r>
          </w:p>
        </w:tc>
        <w:tc>
          <w:tcPr>
            <w:tcW w:w="435" w:type="pct"/>
            <w:tcBorders>
              <w:top w:val="nil"/>
              <w:left w:val="nil"/>
              <w:bottom w:val="single" w:sz="4" w:space="0" w:color="auto"/>
              <w:right w:val="single" w:sz="4" w:space="0" w:color="auto"/>
            </w:tcBorders>
            <w:shd w:val="clear" w:color="auto" w:fill="auto"/>
            <w:vAlign w:val="center"/>
          </w:tcPr>
          <w:p w14:paraId="61BD564D" w14:textId="77777777" w:rsidR="009A4C46" w:rsidRPr="00874840" w:rsidRDefault="009A4C46" w:rsidP="009A4C46">
            <w:pPr>
              <w:jc w:val="right"/>
              <w:rPr>
                <w:rFonts w:eastAsia="Times New Roman"/>
                <w:sz w:val="18"/>
                <w:szCs w:val="18"/>
                <w:lang w:eastAsia="ru-RU"/>
              </w:rPr>
            </w:pPr>
            <w:r w:rsidRPr="00874840">
              <w:rPr>
                <w:rFonts w:eastAsia="Times New Roman"/>
                <w:sz w:val="18"/>
                <w:szCs w:val="18"/>
                <w:lang w:eastAsia="ru-RU"/>
              </w:rPr>
              <w:t>0,00</w:t>
            </w:r>
          </w:p>
        </w:tc>
        <w:tc>
          <w:tcPr>
            <w:tcW w:w="435" w:type="pct"/>
            <w:tcBorders>
              <w:top w:val="nil"/>
              <w:left w:val="nil"/>
              <w:bottom w:val="single" w:sz="4" w:space="0" w:color="auto"/>
              <w:right w:val="single" w:sz="4" w:space="0" w:color="auto"/>
            </w:tcBorders>
            <w:shd w:val="clear" w:color="auto" w:fill="auto"/>
            <w:vAlign w:val="center"/>
          </w:tcPr>
          <w:p w14:paraId="37A4C33B" w14:textId="77777777" w:rsidR="009A4C46" w:rsidRPr="00874840" w:rsidRDefault="009A4C46" w:rsidP="009A4C46">
            <w:pPr>
              <w:jc w:val="right"/>
              <w:rPr>
                <w:rFonts w:eastAsia="Times New Roman"/>
                <w:sz w:val="18"/>
                <w:szCs w:val="18"/>
                <w:lang w:eastAsia="ru-RU"/>
              </w:rPr>
            </w:pPr>
            <w:r w:rsidRPr="00874840">
              <w:rPr>
                <w:rFonts w:eastAsia="Times New Roman"/>
                <w:sz w:val="18"/>
                <w:szCs w:val="18"/>
                <w:lang w:eastAsia="ru-RU"/>
              </w:rPr>
              <w:t>0,00</w:t>
            </w:r>
          </w:p>
        </w:tc>
        <w:tc>
          <w:tcPr>
            <w:tcW w:w="435" w:type="pct"/>
            <w:tcBorders>
              <w:top w:val="nil"/>
              <w:left w:val="nil"/>
              <w:bottom w:val="single" w:sz="4" w:space="0" w:color="auto"/>
              <w:right w:val="single" w:sz="4" w:space="0" w:color="auto"/>
            </w:tcBorders>
            <w:shd w:val="clear" w:color="auto" w:fill="auto"/>
            <w:vAlign w:val="center"/>
          </w:tcPr>
          <w:p w14:paraId="46E2808E" w14:textId="77777777" w:rsidR="009A4C46" w:rsidRPr="00874840" w:rsidRDefault="009A4C46" w:rsidP="009A4C46">
            <w:pPr>
              <w:jc w:val="right"/>
              <w:rPr>
                <w:rFonts w:eastAsia="Times New Roman"/>
                <w:sz w:val="18"/>
                <w:szCs w:val="18"/>
                <w:lang w:eastAsia="ru-RU"/>
              </w:rPr>
            </w:pPr>
            <w:r w:rsidRPr="00874840">
              <w:rPr>
                <w:rFonts w:eastAsia="Times New Roman"/>
                <w:sz w:val="18"/>
                <w:szCs w:val="18"/>
                <w:lang w:eastAsia="ru-RU"/>
              </w:rPr>
              <w:t>0,00</w:t>
            </w:r>
          </w:p>
        </w:tc>
        <w:tc>
          <w:tcPr>
            <w:tcW w:w="503" w:type="pct"/>
            <w:tcBorders>
              <w:top w:val="nil"/>
              <w:left w:val="nil"/>
              <w:bottom w:val="single" w:sz="4" w:space="0" w:color="auto"/>
              <w:right w:val="single" w:sz="4" w:space="0" w:color="auto"/>
            </w:tcBorders>
            <w:shd w:val="clear" w:color="auto" w:fill="auto"/>
            <w:vAlign w:val="center"/>
          </w:tcPr>
          <w:p w14:paraId="7A6AA46B" w14:textId="77777777" w:rsidR="009A4C46" w:rsidRPr="00874840" w:rsidRDefault="009A4C46" w:rsidP="009A4C46">
            <w:pPr>
              <w:jc w:val="right"/>
              <w:rPr>
                <w:rFonts w:eastAsia="Times New Roman"/>
                <w:sz w:val="18"/>
                <w:szCs w:val="18"/>
                <w:lang w:eastAsia="ru-RU"/>
              </w:rPr>
            </w:pPr>
            <w:r w:rsidRPr="00874840">
              <w:rPr>
                <w:rFonts w:eastAsia="Times New Roman"/>
                <w:sz w:val="18"/>
                <w:szCs w:val="18"/>
                <w:lang w:eastAsia="ru-RU"/>
              </w:rPr>
              <w:t>0,00</w:t>
            </w:r>
          </w:p>
        </w:tc>
      </w:tr>
      <w:tr w:rsidR="009A4C46" w:rsidRPr="00874840" w14:paraId="617CDA6E" w14:textId="77777777" w:rsidTr="00874840">
        <w:tc>
          <w:tcPr>
            <w:tcW w:w="523" w:type="pct"/>
            <w:tcBorders>
              <w:top w:val="nil"/>
              <w:left w:val="single" w:sz="4" w:space="0" w:color="auto"/>
              <w:bottom w:val="single" w:sz="4" w:space="0" w:color="auto"/>
              <w:right w:val="single" w:sz="4" w:space="0" w:color="auto"/>
            </w:tcBorders>
            <w:shd w:val="clear" w:color="auto" w:fill="auto"/>
            <w:vAlign w:val="center"/>
          </w:tcPr>
          <w:p w14:paraId="790E503B" w14:textId="77777777" w:rsidR="009A4C46" w:rsidRPr="00874840" w:rsidRDefault="009A4C46" w:rsidP="009A4C46">
            <w:pPr>
              <w:jc w:val="center"/>
              <w:rPr>
                <w:rFonts w:eastAsia="Times New Roman"/>
                <w:sz w:val="18"/>
                <w:szCs w:val="18"/>
                <w:lang w:eastAsia="ru-RU"/>
              </w:rPr>
            </w:pPr>
            <w:r w:rsidRPr="00874840">
              <w:rPr>
                <w:rFonts w:eastAsia="Times New Roman"/>
                <w:sz w:val="18"/>
                <w:szCs w:val="18"/>
                <w:lang w:eastAsia="ru-RU"/>
              </w:rPr>
              <w:t>1.1.1.5.1.а</w:t>
            </w:r>
          </w:p>
        </w:tc>
        <w:tc>
          <w:tcPr>
            <w:tcW w:w="1800" w:type="pct"/>
            <w:tcBorders>
              <w:top w:val="nil"/>
              <w:left w:val="nil"/>
              <w:bottom w:val="single" w:sz="4" w:space="0" w:color="auto"/>
              <w:right w:val="single" w:sz="4" w:space="0" w:color="auto"/>
            </w:tcBorders>
            <w:shd w:val="clear" w:color="auto" w:fill="auto"/>
            <w:vAlign w:val="center"/>
          </w:tcPr>
          <w:p w14:paraId="3528D295" w14:textId="77777777" w:rsidR="009A4C46" w:rsidRPr="00874840" w:rsidRDefault="009A4C46" w:rsidP="009A4C46">
            <w:pPr>
              <w:rPr>
                <w:rFonts w:eastAsia="Times New Roman"/>
                <w:sz w:val="18"/>
                <w:szCs w:val="18"/>
                <w:lang w:eastAsia="ru-RU"/>
              </w:rPr>
            </w:pPr>
            <w:r w:rsidRPr="00874840">
              <w:rPr>
                <w:rFonts w:eastAsia="Times New Roman"/>
                <w:sz w:val="18"/>
                <w:szCs w:val="18"/>
                <w:lang w:eastAsia="ru-RU"/>
              </w:rPr>
              <w:t>авансовое использование прибыли</w:t>
            </w:r>
          </w:p>
        </w:tc>
        <w:tc>
          <w:tcPr>
            <w:tcW w:w="434" w:type="pct"/>
            <w:tcBorders>
              <w:top w:val="nil"/>
              <w:left w:val="nil"/>
              <w:bottom w:val="single" w:sz="4" w:space="0" w:color="auto"/>
              <w:right w:val="single" w:sz="4" w:space="0" w:color="auto"/>
            </w:tcBorders>
            <w:shd w:val="clear" w:color="auto" w:fill="auto"/>
            <w:vAlign w:val="center"/>
          </w:tcPr>
          <w:p w14:paraId="7A236E60" w14:textId="77777777" w:rsidR="009A4C46" w:rsidRPr="00874840" w:rsidRDefault="009A4C46" w:rsidP="009A4C46">
            <w:pPr>
              <w:jc w:val="right"/>
              <w:rPr>
                <w:rFonts w:eastAsia="Times New Roman"/>
                <w:sz w:val="18"/>
                <w:szCs w:val="18"/>
                <w:lang w:eastAsia="ru-RU"/>
              </w:rPr>
            </w:pPr>
            <w:r w:rsidRPr="00874840">
              <w:rPr>
                <w:rFonts w:eastAsia="Times New Roman"/>
                <w:sz w:val="18"/>
                <w:szCs w:val="18"/>
                <w:lang w:eastAsia="ru-RU"/>
              </w:rPr>
              <w:t>0,00</w:t>
            </w:r>
          </w:p>
        </w:tc>
        <w:tc>
          <w:tcPr>
            <w:tcW w:w="435" w:type="pct"/>
            <w:tcBorders>
              <w:top w:val="nil"/>
              <w:left w:val="nil"/>
              <w:bottom w:val="single" w:sz="4" w:space="0" w:color="auto"/>
              <w:right w:val="single" w:sz="4" w:space="0" w:color="auto"/>
            </w:tcBorders>
            <w:shd w:val="clear" w:color="auto" w:fill="auto"/>
            <w:vAlign w:val="center"/>
          </w:tcPr>
          <w:p w14:paraId="3C4E4752" w14:textId="77777777" w:rsidR="009A4C46" w:rsidRPr="00874840" w:rsidRDefault="009A4C46" w:rsidP="009A4C46">
            <w:pPr>
              <w:jc w:val="right"/>
              <w:rPr>
                <w:rFonts w:eastAsia="Times New Roman"/>
                <w:sz w:val="18"/>
                <w:szCs w:val="18"/>
                <w:lang w:eastAsia="ru-RU"/>
              </w:rPr>
            </w:pPr>
            <w:r w:rsidRPr="00874840">
              <w:rPr>
                <w:rFonts w:eastAsia="Times New Roman"/>
                <w:sz w:val="18"/>
                <w:szCs w:val="18"/>
                <w:lang w:eastAsia="ru-RU"/>
              </w:rPr>
              <w:t>0,00</w:t>
            </w:r>
          </w:p>
        </w:tc>
        <w:tc>
          <w:tcPr>
            <w:tcW w:w="435" w:type="pct"/>
            <w:tcBorders>
              <w:top w:val="nil"/>
              <w:left w:val="nil"/>
              <w:bottom w:val="single" w:sz="4" w:space="0" w:color="auto"/>
              <w:right w:val="single" w:sz="4" w:space="0" w:color="auto"/>
            </w:tcBorders>
            <w:shd w:val="clear" w:color="auto" w:fill="auto"/>
            <w:vAlign w:val="center"/>
          </w:tcPr>
          <w:p w14:paraId="2212E4BD" w14:textId="77777777" w:rsidR="009A4C46" w:rsidRPr="00874840" w:rsidRDefault="009A4C46" w:rsidP="009A4C46">
            <w:pPr>
              <w:jc w:val="right"/>
              <w:rPr>
                <w:rFonts w:eastAsia="Times New Roman"/>
                <w:sz w:val="18"/>
                <w:szCs w:val="18"/>
                <w:lang w:eastAsia="ru-RU"/>
              </w:rPr>
            </w:pPr>
            <w:r w:rsidRPr="00874840">
              <w:rPr>
                <w:rFonts w:eastAsia="Times New Roman"/>
                <w:sz w:val="18"/>
                <w:szCs w:val="18"/>
                <w:lang w:eastAsia="ru-RU"/>
              </w:rPr>
              <w:t>0,00</w:t>
            </w:r>
          </w:p>
        </w:tc>
        <w:tc>
          <w:tcPr>
            <w:tcW w:w="435" w:type="pct"/>
            <w:tcBorders>
              <w:top w:val="nil"/>
              <w:left w:val="nil"/>
              <w:bottom w:val="single" w:sz="4" w:space="0" w:color="auto"/>
              <w:right w:val="single" w:sz="4" w:space="0" w:color="auto"/>
            </w:tcBorders>
            <w:shd w:val="clear" w:color="auto" w:fill="auto"/>
            <w:vAlign w:val="center"/>
          </w:tcPr>
          <w:p w14:paraId="49DDF93B" w14:textId="77777777" w:rsidR="009A4C46" w:rsidRPr="00874840" w:rsidRDefault="009A4C46" w:rsidP="009A4C46">
            <w:pPr>
              <w:jc w:val="right"/>
              <w:rPr>
                <w:rFonts w:eastAsia="Times New Roman"/>
                <w:sz w:val="18"/>
                <w:szCs w:val="18"/>
                <w:lang w:eastAsia="ru-RU"/>
              </w:rPr>
            </w:pPr>
            <w:r w:rsidRPr="00874840">
              <w:rPr>
                <w:rFonts w:eastAsia="Times New Roman"/>
                <w:sz w:val="18"/>
                <w:szCs w:val="18"/>
                <w:lang w:eastAsia="ru-RU"/>
              </w:rPr>
              <w:t>0,00</w:t>
            </w:r>
          </w:p>
        </w:tc>
        <w:tc>
          <w:tcPr>
            <w:tcW w:w="435" w:type="pct"/>
            <w:tcBorders>
              <w:top w:val="nil"/>
              <w:left w:val="nil"/>
              <w:bottom w:val="single" w:sz="4" w:space="0" w:color="auto"/>
              <w:right w:val="single" w:sz="4" w:space="0" w:color="auto"/>
            </w:tcBorders>
            <w:shd w:val="clear" w:color="auto" w:fill="auto"/>
            <w:vAlign w:val="center"/>
          </w:tcPr>
          <w:p w14:paraId="63AF2CB7" w14:textId="77777777" w:rsidR="009A4C46" w:rsidRPr="00874840" w:rsidRDefault="009A4C46" w:rsidP="009A4C46">
            <w:pPr>
              <w:jc w:val="right"/>
              <w:rPr>
                <w:rFonts w:eastAsia="Times New Roman"/>
                <w:sz w:val="18"/>
                <w:szCs w:val="18"/>
                <w:lang w:eastAsia="ru-RU"/>
              </w:rPr>
            </w:pPr>
            <w:r w:rsidRPr="00874840">
              <w:rPr>
                <w:rFonts w:eastAsia="Times New Roman"/>
                <w:sz w:val="18"/>
                <w:szCs w:val="18"/>
                <w:lang w:eastAsia="ru-RU"/>
              </w:rPr>
              <w:t>0,00</w:t>
            </w:r>
          </w:p>
        </w:tc>
        <w:tc>
          <w:tcPr>
            <w:tcW w:w="503" w:type="pct"/>
            <w:tcBorders>
              <w:top w:val="nil"/>
              <w:left w:val="nil"/>
              <w:bottom w:val="single" w:sz="4" w:space="0" w:color="auto"/>
              <w:right w:val="single" w:sz="4" w:space="0" w:color="auto"/>
            </w:tcBorders>
            <w:shd w:val="clear" w:color="auto" w:fill="auto"/>
            <w:vAlign w:val="center"/>
          </w:tcPr>
          <w:p w14:paraId="525351FB" w14:textId="77777777" w:rsidR="009A4C46" w:rsidRPr="00874840" w:rsidRDefault="009A4C46" w:rsidP="009A4C46">
            <w:pPr>
              <w:jc w:val="right"/>
              <w:rPr>
                <w:rFonts w:eastAsia="Times New Roman"/>
                <w:sz w:val="18"/>
                <w:szCs w:val="18"/>
                <w:lang w:eastAsia="ru-RU"/>
              </w:rPr>
            </w:pPr>
            <w:r w:rsidRPr="00874840">
              <w:rPr>
                <w:rFonts w:eastAsia="Times New Roman"/>
                <w:sz w:val="18"/>
                <w:szCs w:val="18"/>
                <w:lang w:eastAsia="ru-RU"/>
              </w:rPr>
              <w:t>0,00</w:t>
            </w:r>
          </w:p>
        </w:tc>
      </w:tr>
      <w:tr w:rsidR="009A4C46" w:rsidRPr="00874840" w14:paraId="2858FEC1" w14:textId="77777777" w:rsidTr="00874840">
        <w:tc>
          <w:tcPr>
            <w:tcW w:w="523" w:type="pct"/>
            <w:tcBorders>
              <w:top w:val="nil"/>
              <w:left w:val="single" w:sz="4" w:space="0" w:color="auto"/>
              <w:bottom w:val="single" w:sz="4" w:space="0" w:color="auto"/>
              <w:right w:val="single" w:sz="4" w:space="0" w:color="auto"/>
            </w:tcBorders>
            <w:shd w:val="clear" w:color="auto" w:fill="auto"/>
            <w:vAlign w:val="center"/>
          </w:tcPr>
          <w:p w14:paraId="0DD49C69" w14:textId="77777777" w:rsidR="009A4C46" w:rsidRPr="00874840" w:rsidRDefault="009A4C46" w:rsidP="009A4C46">
            <w:pPr>
              <w:jc w:val="center"/>
              <w:rPr>
                <w:rFonts w:eastAsia="Times New Roman"/>
                <w:sz w:val="18"/>
                <w:szCs w:val="18"/>
                <w:lang w:eastAsia="ru-RU"/>
              </w:rPr>
            </w:pPr>
            <w:r w:rsidRPr="00874840">
              <w:rPr>
                <w:rFonts w:eastAsia="Times New Roman"/>
                <w:sz w:val="18"/>
                <w:szCs w:val="18"/>
                <w:lang w:eastAsia="ru-RU"/>
              </w:rPr>
              <w:t>1.1.1.5.2</w:t>
            </w:r>
          </w:p>
        </w:tc>
        <w:tc>
          <w:tcPr>
            <w:tcW w:w="1800" w:type="pct"/>
            <w:tcBorders>
              <w:top w:val="nil"/>
              <w:left w:val="nil"/>
              <w:bottom w:val="single" w:sz="4" w:space="0" w:color="auto"/>
              <w:right w:val="single" w:sz="4" w:space="0" w:color="auto"/>
            </w:tcBorders>
            <w:shd w:val="clear" w:color="auto" w:fill="auto"/>
            <w:vAlign w:val="center"/>
          </w:tcPr>
          <w:p w14:paraId="30811195" w14:textId="77777777" w:rsidR="009A4C46" w:rsidRPr="00874840" w:rsidRDefault="009A4C46" w:rsidP="009A4C46">
            <w:pPr>
              <w:rPr>
                <w:rFonts w:eastAsia="Times New Roman"/>
                <w:sz w:val="18"/>
                <w:szCs w:val="18"/>
                <w:lang w:eastAsia="ru-RU"/>
              </w:rPr>
            </w:pPr>
            <w:r w:rsidRPr="00874840">
              <w:rPr>
                <w:rFonts w:eastAsia="Times New Roman"/>
                <w:sz w:val="18"/>
                <w:szCs w:val="18"/>
                <w:lang w:eastAsia="ru-RU"/>
              </w:rPr>
              <w:t>от технологического присоединения потребителей</w:t>
            </w:r>
          </w:p>
        </w:tc>
        <w:tc>
          <w:tcPr>
            <w:tcW w:w="434" w:type="pct"/>
            <w:tcBorders>
              <w:top w:val="nil"/>
              <w:left w:val="nil"/>
              <w:bottom w:val="single" w:sz="4" w:space="0" w:color="auto"/>
              <w:right w:val="single" w:sz="4" w:space="0" w:color="auto"/>
            </w:tcBorders>
            <w:shd w:val="clear" w:color="auto" w:fill="auto"/>
            <w:vAlign w:val="center"/>
          </w:tcPr>
          <w:p w14:paraId="628C45C3" w14:textId="77777777" w:rsidR="009A4C46" w:rsidRPr="00874840" w:rsidRDefault="009A4C46" w:rsidP="009A4C46">
            <w:pPr>
              <w:jc w:val="right"/>
              <w:rPr>
                <w:rFonts w:eastAsia="Times New Roman"/>
                <w:sz w:val="18"/>
                <w:szCs w:val="18"/>
                <w:lang w:eastAsia="ru-RU"/>
              </w:rPr>
            </w:pPr>
            <w:r w:rsidRPr="00874840">
              <w:rPr>
                <w:rFonts w:eastAsia="Times New Roman"/>
                <w:sz w:val="18"/>
                <w:szCs w:val="18"/>
                <w:lang w:eastAsia="ru-RU"/>
              </w:rPr>
              <w:t>32,34</w:t>
            </w:r>
          </w:p>
        </w:tc>
        <w:tc>
          <w:tcPr>
            <w:tcW w:w="435" w:type="pct"/>
            <w:tcBorders>
              <w:top w:val="nil"/>
              <w:left w:val="nil"/>
              <w:bottom w:val="single" w:sz="4" w:space="0" w:color="auto"/>
              <w:right w:val="single" w:sz="4" w:space="0" w:color="auto"/>
            </w:tcBorders>
            <w:shd w:val="clear" w:color="auto" w:fill="auto"/>
            <w:vAlign w:val="center"/>
          </w:tcPr>
          <w:p w14:paraId="3A5D325E" w14:textId="77777777" w:rsidR="009A4C46" w:rsidRPr="00874840" w:rsidRDefault="009A4C46" w:rsidP="009A4C46">
            <w:pPr>
              <w:jc w:val="right"/>
              <w:rPr>
                <w:rFonts w:eastAsia="Times New Roman"/>
                <w:sz w:val="18"/>
                <w:szCs w:val="18"/>
                <w:lang w:eastAsia="ru-RU"/>
              </w:rPr>
            </w:pPr>
            <w:r w:rsidRPr="00874840">
              <w:rPr>
                <w:rFonts w:eastAsia="Times New Roman"/>
                <w:sz w:val="18"/>
                <w:szCs w:val="18"/>
                <w:lang w:eastAsia="ru-RU"/>
              </w:rPr>
              <w:t>0,00</w:t>
            </w:r>
          </w:p>
        </w:tc>
        <w:tc>
          <w:tcPr>
            <w:tcW w:w="435" w:type="pct"/>
            <w:tcBorders>
              <w:top w:val="nil"/>
              <w:left w:val="nil"/>
              <w:bottom w:val="single" w:sz="4" w:space="0" w:color="auto"/>
              <w:right w:val="single" w:sz="4" w:space="0" w:color="auto"/>
            </w:tcBorders>
            <w:shd w:val="clear" w:color="auto" w:fill="auto"/>
            <w:vAlign w:val="center"/>
          </w:tcPr>
          <w:p w14:paraId="24620289" w14:textId="77777777" w:rsidR="009A4C46" w:rsidRPr="00874840" w:rsidRDefault="009A4C46" w:rsidP="009A4C46">
            <w:pPr>
              <w:jc w:val="right"/>
              <w:rPr>
                <w:rFonts w:eastAsia="Times New Roman"/>
                <w:sz w:val="18"/>
                <w:szCs w:val="18"/>
                <w:lang w:eastAsia="ru-RU"/>
              </w:rPr>
            </w:pPr>
            <w:r w:rsidRPr="00874840">
              <w:rPr>
                <w:rFonts w:eastAsia="Times New Roman"/>
                <w:sz w:val="18"/>
                <w:szCs w:val="18"/>
                <w:lang w:eastAsia="ru-RU"/>
              </w:rPr>
              <w:t>0,00</w:t>
            </w:r>
          </w:p>
        </w:tc>
        <w:tc>
          <w:tcPr>
            <w:tcW w:w="435" w:type="pct"/>
            <w:tcBorders>
              <w:top w:val="nil"/>
              <w:left w:val="nil"/>
              <w:bottom w:val="single" w:sz="4" w:space="0" w:color="auto"/>
              <w:right w:val="single" w:sz="4" w:space="0" w:color="auto"/>
            </w:tcBorders>
            <w:shd w:val="clear" w:color="auto" w:fill="auto"/>
            <w:vAlign w:val="center"/>
          </w:tcPr>
          <w:p w14:paraId="5F08190F" w14:textId="77777777" w:rsidR="009A4C46" w:rsidRPr="00874840" w:rsidRDefault="009A4C46" w:rsidP="009A4C46">
            <w:pPr>
              <w:jc w:val="right"/>
              <w:rPr>
                <w:rFonts w:eastAsia="Times New Roman"/>
                <w:sz w:val="18"/>
                <w:szCs w:val="18"/>
                <w:lang w:eastAsia="ru-RU"/>
              </w:rPr>
            </w:pPr>
            <w:r w:rsidRPr="00874840">
              <w:rPr>
                <w:rFonts w:eastAsia="Times New Roman"/>
                <w:sz w:val="18"/>
                <w:szCs w:val="18"/>
                <w:lang w:eastAsia="ru-RU"/>
              </w:rPr>
              <w:t>0,00</w:t>
            </w:r>
          </w:p>
        </w:tc>
        <w:tc>
          <w:tcPr>
            <w:tcW w:w="435" w:type="pct"/>
            <w:tcBorders>
              <w:top w:val="nil"/>
              <w:left w:val="nil"/>
              <w:bottom w:val="single" w:sz="4" w:space="0" w:color="auto"/>
              <w:right w:val="single" w:sz="4" w:space="0" w:color="auto"/>
            </w:tcBorders>
            <w:shd w:val="clear" w:color="auto" w:fill="auto"/>
            <w:vAlign w:val="center"/>
          </w:tcPr>
          <w:p w14:paraId="54B645BD" w14:textId="77777777" w:rsidR="009A4C46" w:rsidRPr="00874840" w:rsidRDefault="009A4C46" w:rsidP="009A4C46">
            <w:pPr>
              <w:jc w:val="right"/>
              <w:rPr>
                <w:rFonts w:eastAsia="Times New Roman"/>
                <w:sz w:val="18"/>
                <w:szCs w:val="18"/>
                <w:lang w:eastAsia="ru-RU"/>
              </w:rPr>
            </w:pPr>
            <w:r w:rsidRPr="00874840">
              <w:rPr>
                <w:rFonts w:eastAsia="Times New Roman"/>
                <w:sz w:val="18"/>
                <w:szCs w:val="18"/>
                <w:lang w:eastAsia="ru-RU"/>
              </w:rPr>
              <w:t>0,00</w:t>
            </w:r>
          </w:p>
        </w:tc>
        <w:tc>
          <w:tcPr>
            <w:tcW w:w="503" w:type="pct"/>
            <w:tcBorders>
              <w:top w:val="nil"/>
              <w:left w:val="nil"/>
              <w:bottom w:val="single" w:sz="4" w:space="0" w:color="auto"/>
              <w:right w:val="single" w:sz="4" w:space="0" w:color="auto"/>
            </w:tcBorders>
            <w:shd w:val="clear" w:color="auto" w:fill="auto"/>
            <w:vAlign w:val="center"/>
          </w:tcPr>
          <w:p w14:paraId="6F9E5613" w14:textId="77777777" w:rsidR="009A4C46" w:rsidRPr="00874840" w:rsidRDefault="009A4C46" w:rsidP="009A4C46">
            <w:pPr>
              <w:jc w:val="right"/>
              <w:rPr>
                <w:rFonts w:eastAsia="Times New Roman"/>
                <w:sz w:val="18"/>
                <w:szCs w:val="18"/>
                <w:lang w:eastAsia="ru-RU"/>
              </w:rPr>
            </w:pPr>
            <w:r w:rsidRPr="00874840">
              <w:rPr>
                <w:rFonts w:eastAsia="Times New Roman"/>
                <w:sz w:val="18"/>
                <w:szCs w:val="18"/>
                <w:lang w:eastAsia="ru-RU"/>
              </w:rPr>
              <w:t>32,34</w:t>
            </w:r>
          </w:p>
        </w:tc>
      </w:tr>
      <w:tr w:rsidR="009A4C46" w:rsidRPr="00874840" w14:paraId="40E4AA75" w14:textId="77777777" w:rsidTr="00874840">
        <w:tc>
          <w:tcPr>
            <w:tcW w:w="523" w:type="pct"/>
            <w:tcBorders>
              <w:top w:val="nil"/>
              <w:left w:val="single" w:sz="4" w:space="0" w:color="auto"/>
              <w:bottom w:val="single" w:sz="4" w:space="0" w:color="auto"/>
              <w:right w:val="single" w:sz="4" w:space="0" w:color="auto"/>
            </w:tcBorders>
            <w:shd w:val="clear" w:color="auto" w:fill="auto"/>
            <w:vAlign w:val="center"/>
          </w:tcPr>
          <w:p w14:paraId="793202A8" w14:textId="77777777" w:rsidR="009A4C46" w:rsidRPr="00874840" w:rsidRDefault="009A4C46" w:rsidP="009A4C46">
            <w:pPr>
              <w:jc w:val="center"/>
              <w:rPr>
                <w:rFonts w:eastAsia="Times New Roman"/>
                <w:sz w:val="18"/>
                <w:szCs w:val="18"/>
                <w:lang w:eastAsia="ru-RU"/>
              </w:rPr>
            </w:pPr>
            <w:r w:rsidRPr="00874840">
              <w:rPr>
                <w:rFonts w:eastAsia="Times New Roman"/>
                <w:sz w:val="18"/>
                <w:szCs w:val="18"/>
                <w:lang w:eastAsia="ru-RU"/>
              </w:rPr>
              <w:t>1.1.1.5.2.а</w:t>
            </w:r>
          </w:p>
        </w:tc>
        <w:tc>
          <w:tcPr>
            <w:tcW w:w="1800" w:type="pct"/>
            <w:tcBorders>
              <w:top w:val="nil"/>
              <w:left w:val="nil"/>
              <w:bottom w:val="single" w:sz="4" w:space="0" w:color="auto"/>
              <w:right w:val="single" w:sz="4" w:space="0" w:color="auto"/>
            </w:tcBorders>
            <w:shd w:val="clear" w:color="auto" w:fill="auto"/>
            <w:vAlign w:val="center"/>
          </w:tcPr>
          <w:p w14:paraId="0E9CF15A" w14:textId="77777777" w:rsidR="009A4C46" w:rsidRPr="00874840" w:rsidRDefault="009A4C46" w:rsidP="009A4C46">
            <w:pPr>
              <w:rPr>
                <w:rFonts w:eastAsia="Times New Roman"/>
                <w:sz w:val="18"/>
                <w:szCs w:val="18"/>
                <w:lang w:eastAsia="ru-RU"/>
              </w:rPr>
            </w:pPr>
            <w:r w:rsidRPr="00874840">
              <w:rPr>
                <w:rFonts w:eastAsia="Times New Roman"/>
                <w:sz w:val="18"/>
                <w:szCs w:val="18"/>
                <w:lang w:eastAsia="ru-RU"/>
              </w:rPr>
              <w:t>авансовое использование прибыли</w:t>
            </w:r>
          </w:p>
        </w:tc>
        <w:tc>
          <w:tcPr>
            <w:tcW w:w="434" w:type="pct"/>
            <w:tcBorders>
              <w:top w:val="nil"/>
              <w:left w:val="nil"/>
              <w:bottom w:val="single" w:sz="4" w:space="0" w:color="auto"/>
              <w:right w:val="single" w:sz="4" w:space="0" w:color="auto"/>
            </w:tcBorders>
            <w:shd w:val="clear" w:color="auto" w:fill="auto"/>
            <w:vAlign w:val="center"/>
          </w:tcPr>
          <w:p w14:paraId="35E3C929" w14:textId="77777777" w:rsidR="009A4C46" w:rsidRPr="00874840" w:rsidRDefault="009A4C46" w:rsidP="009A4C46">
            <w:pPr>
              <w:jc w:val="right"/>
              <w:rPr>
                <w:rFonts w:eastAsia="Times New Roman"/>
                <w:sz w:val="18"/>
                <w:szCs w:val="18"/>
                <w:lang w:eastAsia="ru-RU"/>
              </w:rPr>
            </w:pPr>
            <w:r w:rsidRPr="00874840">
              <w:rPr>
                <w:rFonts w:eastAsia="Times New Roman"/>
                <w:sz w:val="18"/>
                <w:szCs w:val="18"/>
                <w:lang w:eastAsia="ru-RU"/>
              </w:rPr>
              <w:t>32,34</w:t>
            </w:r>
          </w:p>
        </w:tc>
        <w:tc>
          <w:tcPr>
            <w:tcW w:w="435" w:type="pct"/>
            <w:tcBorders>
              <w:top w:val="nil"/>
              <w:left w:val="nil"/>
              <w:bottom w:val="single" w:sz="4" w:space="0" w:color="auto"/>
              <w:right w:val="single" w:sz="4" w:space="0" w:color="auto"/>
            </w:tcBorders>
            <w:shd w:val="clear" w:color="auto" w:fill="auto"/>
            <w:vAlign w:val="center"/>
          </w:tcPr>
          <w:p w14:paraId="7EA8FDF6" w14:textId="77777777" w:rsidR="009A4C46" w:rsidRPr="00874840" w:rsidRDefault="009A4C46" w:rsidP="009A4C46">
            <w:pPr>
              <w:jc w:val="right"/>
              <w:rPr>
                <w:rFonts w:eastAsia="Times New Roman"/>
                <w:sz w:val="18"/>
                <w:szCs w:val="18"/>
                <w:lang w:eastAsia="ru-RU"/>
              </w:rPr>
            </w:pPr>
            <w:r w:rsidRPr="00874840">
              <w:rPr>
                <w:rFonts w:eastAsia="Times New Roman"/>
                <w:sz w:val="18"/>
                <w:szCs w:val="18"/>
                <w:lang w:eastAsia="ru-RU"/>
              </w:rPr>
              <w:t>0,00</w:t>
            </w:r>
          </w:p>
        </w:tc>
        <w:tc>
          <w:tcPr>
            <w:tcW w:w="435" w:type="pct"/>
            <w:tcBorders>
              <w:top w:val="nil"/>
              <w:left w:val="nil"/>
              <w:bottom w:val="single" w:sz="4" w:space="0" w:color="auto"/>
              <w:right w:val="single" w:sz="4" w:space="0" w:color="auto"/>
            </w:tcBorders>
            <w:shd w:val="clear" w:color="auto" w:fill="auto"/>
            <w:vAlign w:val="center"/>
          </w:tcPr>
          <w:p w14:paraId="3423BEEE" w14:textId="77777777" w:rsidR="009A4C46" w:rsidRPr="00874840" w:rsidRDefault="009A4C46" w:rsidP="009A4C46">
            <w:pPr>
              <w:jc w:val="right"/>
              <w:rPr>
                <w:rFonts w:eastAsia="Times New Roman"/>
                <w:sz w:val="18"/>
                <w:szCs w:val="18"/>
                <w:lang w:eastAsia="ru-RU"/>
              </w:rPr>
            </w:pPr>
            <w:r w:rsidRPr="00874840">
              <w:rPr>
                <w:rFonts w:eastAsia="Times New Roman"/>
                <w:sz w:val="18"/>
                <w:szCs w:val="18"/>
                <w:lang w:eastAsia="ru-RU"/>
              </w:rPr>
              <w:t>0,00</w:t>
            </w:r>
          </w:p>
        </w:tc>
        <w:tc>
          <w:tcPr>
            <w:tcW w:w="435" w:type="pct"/>
            <w:tcBorders>
              <w:top w:val="nil"/>
              <w:left w:val="nil"/>
              <w:bottom w:val="single" w:sz="4" w:space="0" w:color="auto"/>
              <w:right w:val="single" w:sz="4" w:space="0" w:color="auto"/>
            </w:tcBorders>
            <w:shd w:val="clear" w:color="auto" w:fill="auto"/>
            <w:vAlign w:val="center"/>
          </w:tcPr>
          <w:p w14:paraId="5A606DFA" w14:textId="77777777" w:rsidR="009A4C46" w:rsidRPr="00874840" w:rsidRDefault="009A4C46" w:rsidP="009A4C46">
            <w:pPr>
              <w:jc w:val="right"/>
              <w:rPr>
                <w:rFonts w:eastAsia="Times New Roman"/>
                <w:sz w:val="18"/>
                <w:szCs w:val="18"/>
                <w:lang w:eastAsia="ru-RU"/>
              </w:rPr>
            </w:pPr>
            <w:r w:rsidRPr="00874840">
              <w:rPr>
                <w:rFonts w:eastAsia="Times New Roman"/>
                <w:sz w:val="18"/>
                <w:szCs w:val="18"/>
                <w:lang w:eastAsia="ru-RU"/>
              </w:rPr>
              <w:t>0,00</w:t>
            </w:r>
          </w:p>
        </w:tc>
        <w:tc>
          <w:tcPr>
            <w:tcW w:w="435" w:type="pct"/>
            <w:tcBorders>
              <w:top w:val="nil"/>
              <w:left w:val="nil"/>
              <w:bottom w:val="single" w:sz="4" w:space="0" w:color="auto"/>
              <w:right w:val="single" w:sz="4" w:space="0" w:color="auto"/>
            </w:tcBorders>
            <w:shd w:val="clear" w:color="auto" w:fill="auto"/>
            <w:vAlign w:val="center"/>
          </w:tcPr>
          <w:p w14:paraId="4067EE88" w14:textId="77777777" w:rsidR="009A4C46" w:rsidRPr="00874840" w:rsidRDefault="009A4C46" w:rsidP="009A4C46">
            <w:pPr>
              <w:jc w:val="right"/>
              <w:rPr>
                <w:rFonts w:eastAsia="Times New Roman"/>
                <w:sz w:val="18"/>
                <w:szCs w:val="18"/>
                <w:lang w:eastAsia="ru-RU"/>
              </w:rPr>
            </w:pPr>
            <w:r w:rsidRPr="00874840">
              <w:rPr>
                <w:rFonts w:eastAsia="Times New Roman"/>
                <w:sz w:val="18"/>
                <w:szCs w:val="18"/>
                <w:lang w:eastAsia="ru-RU"/>
              </w:rPr>
              <w:t>0,00</w:t>
            </w:r>
          </w:p>
        </w:tc>
        <w:tc>
          <w:tcPr>
            <w:tcW w:w="503" w:type="pct"/>
            <w:tcBorders>
              <w:top w:val="nil"/>
              <w:left w:val="nil"/>
              <w:bottom w:val="single" w:sz="4" w:space="0" w:color="auto"/>
              <w:right w:val="single" w:sz="4" w:space="0" w:color="auto"/>
            </w:tcBorders>
            <w:shd w:val="clear" w:color="auto" w:fill="auto"/>
            <w:vAlign w:val="center"/>
          </w:tcPr>
          <w:p w14:paraId="6E36A1A8" w14:textId="77777777" w:rsidR="009A4C46" w:rsidRPr="00874840" w:rsidRDefault="009A4C46" w:rsidP="009A4C46">
            <w:pPr>
              <w:jc w:val="right"/>
              <w:rPr>
                <w:rFonts w:eastAsia="Times New Roman"/>
                <w:sz w:val="18"/>
                <w:szCs w:val="18"/>
                <w:lang w:eastAsia="ru-RU"/>
              </w:rPr>
            </w:pPr>
            <w:r w:rsidRPr="00874840">
              <w:rPr>
                <w:rFonts w:eastAsia="Times New Roman"/>
                <w:sz w:val="18"/>
                <w:szCs w:val="18"/>
                <w:lang w:eastAsia="ru-RU"/>
              </w:rPr>
              <w:t>32,34</w:t>
            </w:r>
          </w:p>
        </w:tc>
      </w:tr>
      <w:tr w:rsidR="009A4C46" w:rsidRPr="00874840" w14:paraId="18BA44FF" w14:textId="77777777" w:rsidTr="00874840">
        <w:tc>
          <w:tcPr>
            <w:tcW w:w="523" w:type="pct"/>
            <w:tcBorders>
              <w:top w:val="nil"/>
              <w:left w:val="single" w:sz="4" w:space="0" w:color="auto"/>
              <w:bottom w:val="single" w:sz="4" w:space="0" w:color="auto"/>
              <w:right w:val="single" w:sz="4" w:space="0" w:color="auto"/>
            </w:tcBorders>
            <w:shd w:val="clear" w:color="auto" w:fill="auto"/>
            <w:vAlign w:val="center"/>
          </w:tcPr>
          <w:p w14:paraId="1F6C313C" w14:textId="77777777" w:rsidR="009A4C46" w:rsidRPr="00874840" w:rsidRDefault="009A4C46" w:rsidP="009A4C46">
            <w:pPr>
              <w:jc w:val="center"/>
              <w:rPr>
                <w:rFonts w:eastAsia="Times New Roman"/>
                <w:sz w:val="18"/>
                <w:szCs w:val="18"/>
                <w:lang w:eastAsia="ru-RU"/>
              </w:rPr>
            </w:pPr>
            <w:r w:rsidRPr="00874840">
              <w:rPr>
                <w:rFonts w:eastAsia="Times New Roman"/>
                <w:sz w:val="18"/>
                <w:szCs w:val="18"/>
                <w:lang w:eastAsia="ru-RU"/>
              </w:rPr>
              <w:t>1.1.3</w:t>
            </w:r>
          </w:p>
        </w:tc>
        <w:tc>
          <w:tcPr>
            <w:tcW w:w="1800" w:type="pct"/>
            <w:tcBorders>
              <w:top w:val="nil"/>
              <w:left w:val="nil"/>
              <w:bottom w:val="single" w:sz="4" w:space="0" w:color="auto"/>
              <w:right w:val="single" w:sz="4" w:space="0" w:color="auto"/>
            </w:tcBorders>
            <w:shd w:val="clear" w:color="auto" w:fill="auto"/>
            <w:vAlign w:val="center"/>
          </w:tcPr>
          <w:p w14:paraId="14A97F66" w14:textId="77777777" w:rsidR="009A4C46" w:rsidRPr="00874840" w:rsidRDefault="009A4C46" w:rsidP="009A4C46">
            <w:pPr>
              <w:rPr>
                <w:rFonts w:eastAsia="Times New Roman"/>
                <w:sz w:val="18"/>
                <w:szCs w:val="18"/>
                <w:lang w:eastAsia="ru-RU"/>
              </w:rPr>
            </w:pPr>
            <w:r w:rsidRPr="00874840">
              <w:rPr>
                <w:rFonts w:eastAsia="Times New Roman"/>
                <w:sz w:val="18"/>
                <w:szCs w:val="18"/>
                <w:lang w:eastAsia="ru-RU"/>
              </w:rPr>
              <w:t>прочая прибыль</w:t>
            </w:r>
          </w:p>
        </w:tc>
        <w:tc>
          <w:tcPr>
            <w:tcW w:w="434" w:type="pct"/>
            <w:tcBorders>
              <w:top w:val="nil"/>
              <w:left w:val="nil"/>
              <w:bottom w:val="single" w:sz="4" w:space="0" w:color="auto"/>
              <w:right w:val="single" w:sz="4" w:space="0" w:color="auto"/>
            </w:tcBorders>
            <w:shd w:val="clear" w:color="auto" w:fill="auto"/>
            <w:vAlign w:val="center"/>
          </w:tcPr>
          <w:p w14:paraId="45893329" w14:textId="77777777" w:rsidR="009A4C46" w:rsidRPr="00874840" w:rsidRDefault="009A4C46" w:rsidP="009A4C46">
            <w:pPr>
              <w:jc w:val="right"/>
              <w:rPr>
                <w:rFonts w:eastAsia="Times New Roman"/>
                <w:sz w:val="18"/>
                <w:szCs w:val="18"/>
                <w:lang w:eastAsia="ru-RU"/>
              </w:rPr>
            </w:pPr>
            <w:r w:rsidRPr="00874840">
              <w:rPr>
                <w:rFonts w:eastAsia="Times New Roman"/>
                <w:sz w:val="18"/>
                <w:szCs w:val="18"/>
                <w:lang w:eastAsia="ru-RU"/>
              </w:rPr>
              <w:t>0,00</w:t>
            </w:r>
          </w:p>
        </w:tc>
        <w:tc>
          <w:tcPr>
            <w:tcW w:w="435" w:type="pct"/>
            <w:tcBorders>
              <w:top w:val="nil"/>
              <w:left w:val="nil"/>
              <w:bottom w:val="single" w:sz="4" w:space="0" w:color="auto"/>
              <w:right w:val="single" w:sz="4" w:space="0" w:color="auto"/>
            </w:tcBorders>
            <w:shd w:val="clear" w:color="auto" w:fill="auto"/>
            <w:vAlign w:val="center"/>
          </w:tcPr>
          <w:p w14:paraId="3B7C9432" w14:textId="77777777" w:rsidR="009A4C46" w:rsidRPr="00874840" w:rsidRDefault="009A4C46" w:rsidP="009A4C46">
            <w:pPr>
              <w:jc w:val="right"/>
              <w:rPr>
                <w:rFonts w:eastAsia="Times New Roman"/>
                <w:sz w:val="18"/>
                <w:szCs w:val="18"/>
                <w:lang w:eastAsia="ru-RU"/>
              </w:rPr>
            </w:pPr>
            <w:r w:rsidRPr="00874840">
              <w:rPr>
                <w:rFonts w:eastAsia="Times New Roman"/>
                <w:sz w:val="18"/>
                <w:szCs w:val="18"/>
                <w:lang w:eastAsia="ru-RU"/>
              </w:rPr>
              <w:t>0,00</w:t>
            </w:r>
          </w:p>
        </w:tc>
        <w:tc>
          <w:tcPr>
            <w:tcW w:w="435" w:type="pct"/>
            <w:tcBorders>
              <w:top w:val="nil"/>
              <w:left w:val="nil"/>
              <w:bottom w:val="single" w:sz="4" w:space="0" w:color="auto"/>
              <w:right w:val="single" w:sz="4" w:space="0" w:color="auto"/>
            </w:tcBorders>
            <w:shd w:val="clear" w:color="auto" w:fill="auto"/>
            <w:vAlign w:val="center"/>
          </w:tcPr>
          <w:p w14:paraId="354E1603" w14:textId="77777777" w:rsidR="009A4C46" w:rsidRPr="00874840" w:rsidRDefault="009A4C46" w:rsidP="009A4C46">
            <w:pPr>
              <w:jc w:val="right"/>
              <w:rPr>
                <w:rFonts w:eastAsia="Times New Roman"/>
                <w:sz w:val="18"/>
                <w:szCs w:val="18"/>
                <w:lang w:eastAsia="ru-RU"/>
              </w:rPr>
            </w:pPr>
            <w:r w:rsidRPr="00874840">
              <w:rPr>
                <w:rFonts w:eastAsia="Times New Roman"/>
                <w:sz w:val="18"/>
                <w:szCs w:val="18"/>
                <w:lang w:eastAsia="ru-RU"/>
              </w:rPr>
              <w:t>0,00</w:t>
            </w:r>
          </w:p>
        </w:tc>
        <w:tc>
          <w:tcPr>
            <w:tcW w:w="435" w:type="pct"/>
            <w:tcBorders>
              <w:top w:val="nil"/>
              <w:left w:val="nil"/>
              <w:bottom w:val="single" w:sz="4" w:space="0" w:color="auto"/>
              <w:right w:val="single" w:sz="4" w:space="0" w:color="auto"/>
            </w:tcBorders>
            <w:shd w:val="clear" w:color="auto" w:fill="auto"/>
            <w:vAlign w:val="center"/>
          </w:tcPr>
          <w:p w14:paraId="0FAF2E62" w14:textId="77777777" w:rsidR="009A4C46" w:rsidRPr="00874840" w:rsidRDefault="009A4C46" w:rsidP="009A4C46">
            <w:pPr>
              <w:jc w:val="right"/>
              <w:rPr>
                <w:rFonts w:eastAsia="Times New Roman"/>
                <w:sz w:val="18"/>
                <w:szCs w:val="18"/>
                <w:lang w:eastAsia="ru-RU"/>
              </w:rPr>
            </w:pPr>
            <w:r w:rsidRPr="00874840">
              <w:rPr>
                <w:rFonts w:eastAsia="Times New Roman"/>
                <w:sz w:val="18"/>
                <w:szCs w:val="18"/>
                <w:lang w:eastAsia="ru-RU"/>
              </w:rPr>
              <w:t>0,00</w:t>
            </w:r>
          </w:p>
        </w:tc>
        <w:tc>
          <w:tcPr>
            <w:tcW w:w="435" w:type="pct"/>
            <w:tcBorders>
              <w:top w:val="nil"/>
              <w:left w:val="nil"/>
              <w:bottom w:val="single" w:sz="4" w:space="0" w:color="auto"/>
              <w:right w:val="single" w:sz="4" w:space="0" w:color="auto"/>
            </w:tcBorders>
            <w:shd w:val="clear" w:color="auto" w:fill="auto"/>
            <w:vAlign w:val="center"/>
          </w:tcPr>
          <w:p w14:paraId="4E932F68" w14:textId="77777777" w:rsidR="009A4C46" w:rsidRPr="00874840" w:rsidRDefault="009A4C46" w:rsidP="009A4C46">
            <w:pPr>
              <w:jc w:val="right"/>
              <w:rPr>
                <w:rFonts w:eastAsia="Times New Roman"/>
                <w:sz w:val="18"/>
                <w:szCs w:val="18"/>
                <w:lang w:eastAsia="ru-RU"/>
              </w:rPr>
            </w:pPr>
            <w:r w:rsidRPr="00874840">
              <w:rPr>
                <w:rFonts w:eastAsia="Times New Roman"/>
                <w:sz w:val="18"/>
                <w:szCs w:val="18"/>
                <w:lang w:eastAsia="ru-RU"/>
              </w:rPr>
              <w:t>0,00</w:t>
            </w:r>
          </w:p>
        </w:tc>
        <w:tc>
          <w:tcPr>
            <w:tcW w:w="503" w:type="pct"/>
            <w:tcBorders>
              <w:top w:val="nil"/>
              <w:left w:val="nil"/>
              <w:bottom w:val="single" w:sz="4" w:space="0" w:color="auto"/>
              <w:right w:val="single" w:sz="4" w:space="0" w:color="auto"/>
            </w:tcBorders>
            <w:shd w:val="clear" w:color="auto" w:fill="auto"/>
            <w:vAlign w:val="center"/>
          </w:tcPr>
          <w:p w14:paraId="7F8E7F65" w14:textId="77777777" w:rsidR="009A4C46" w:rsidRPr="00874840" w:rsidRDefault="009A4C46" w:rsidP="009A4C46">
            <w:pPr>
              <w:jc w:val="right"/>
              <w:rPr>
                <w:rFonts w:eastAsia="Times New Roman"/>
                <w:sz w:val="18"/>
                <w:szCs w:val="18"/>
                <w:lang w:eastAsia="ru-RU"/>
              </w:rPr>
            </w:pPr>
            <w:r w:rsidRPr="00874840">
              <w:rPr>
                <w:rFonts w:eastAsia="Times New Roman"/>
                <w:sz w:val="18"/>
                <w:szCs w:val="18"/>
                <w:lang w:eastAsia="ru-RU"/>
              </w:rPr>
              <w:t>0,00</w:t>
            </w:r>
          </w:p>
        </w:tc>
      </w:tr>
      <w:tr w:rsidR="009A4C46" w:rsidRPr="00874840" w14:paraId="2E38BD96" w14:textId="77777777" w:rsidTr="00874840">
        <w:tc>
          <w:tcPr>
            <w:tcW w:w="523" w:type="pct"/>
            <w:tcBorders>
              <w:top w:val="nil"/>
              <w:left w:val="single" w:sz="4" w:space="0" w:color="auto"/>
              <w:bottom w:val="single" w:sz="4" w:space="0" w:color="auto"/>
              <w:right w:val="single" w:sz="4" w:space="0" w:color="auto"/>
            </w:tcBorders>
            <w:shd w:val="clear" w:color="auto" w:fill="auto"/>
            <w:vAlign w:val="center"/>
          </w:tcPr>
          <w:p w14:paraId="3CF5B57E" w14:textId="77777777" w:rsidR="009A4C46" w:rsidRPr="00874840" w:rsidRDefault="009A4C46" w:rsidP="009A4C46">
            <w:pPr>
              <w:jc w:val="center"/>
              <w:rPr>
                <w:rFonts w:eastAsia="Times New Roman"/>
                <w:sz w:val="18"/>
                <w:szCs w:val="18"/>
                <w:lang w:eastAsia="ru-RU"/>
              </w:rPr>
            </w:pPr>
            <w:r w:rsidRPr="00874840">
              <w:rPr>
                <w:rFonts w:eastAsia="Times New Roman"/>
                <w:sz w:val="18"/>
                <w:szCs w:val="18"/>
                <w:lang w:eastAsia="ru-RU"/>
              </w:rPr>
              <w:t>1.2</w:t>
            </w:r>
          </w:p>
        </w:tc>
        <w:tc>
          <w:tcPr>
            <w:tcW w:w="1800" w:type="pct"/>
            <w:tcBorders>
              <w:top w:val="nil"/>
              <w:left w:val="nil"/>
              <w:bottom w:val="single" w:sz="4" w:space="0" w:color="auto"/>
              <w:right w:val="single" w:sz="4" w:space="0" w:color="auto"/>
            </w:tcBorders>
            <w:shd w:val="clear" w:color="auto" w:fill="auto"/>
            <w:vAlign w:val="center"/>
          </w:tcPr>
          <w:p w14:paraId="394067DC" w14:textId="77777777" w:rsidR="009A4C46" w:rsidRPr="00874840" w:rsidRDefault="009A4C46" w:rsidP="009A4C46">
            <w:pPr>
              <w:rPr>
                <w:rFonts w:eastAsia="Times New Roman"/>
                <w:sz w:val="18"/>
                <w:szCs w:val="18"/>
                <w:lang w:eastAsia="ru-RU"/>
              </w:rPr>
            </w:pPr>
            <w:r w:rsidRPr="00874840">
              <w:rPr>
                <w:rFonts w:eastAsia="Times New Roman"/>
                <w:sz w:val="18"/>
                <w:szCs w:val="18"/>
                <w:lang w:eastAsia="ru-RU"/>
              </w:rPr>
              <w:t>Амортизация основных средств всего, в том числе:</w:t>
            </w:r>
          </w:p>
        </w:tc>
        <w:tc>
          <w:tcPr>
            <w:tcW w:w="434" w:type="pct"/>
            <w:tcBorders>
              <w:top w:val="nil"/>
              <w:left w:val="nil"/>
              <w:bottom w:val="single" w:sz="4" w:space="0" w:color="auto"/>
              <w:right w:val="single" w:sz="4" w:space="0" w:color="auto"/>
            </w:tcBorders>
            <w:shd w:val="clear" w:color="auto" w:fill="auto"/>
            <w:vAlign w:val="center"/>
          </w:tcPr>
          <w:p w14:paraId="76DD2887" w14:textId="77777777" w:rsidR="009A4C46" w:rsidRPr="00874840" w:rsidRDefault="009A4C46" w:rsidP="009A4C46">
            <w:pPr>
              <w:jc w:val="right"/>
              <w:rPr>
                <w:rFonts w:eastAsia="Times New Roman"/>
                <w:sz w:val="18"/>
                <w:szCs w:val="18"/>
                <w:lang w:eastAsia="ru-RU"/>
              </w:rPr>
            </w:pPr>
            <w:r w:rsidRPr="00874840">
              <w:rPr>
                <w:rFonts w:eastAsia="Times New Roman"/>
                <w:sz w:val="18"/>
                <w:szCs w:val="18"/>
                <w:lang w:eastAsia="ru-RU"/>
              </w:rPr>
              <w:t>71,80</w:t>
            </w:r>
          </w:p>
        </w:tc>
        <w:tc>
          <w:tcPr>
            <w:tcW w:w="435" w:type="pct"/>
            <w:tcBorders>
              <w:top w:val="nil"/>
              <w:left w:val="nil"/>
              <w:bottom w:val="single" w:sz="4" w:space="0" w:color="auto"/>
              <w:right w:val="single" w:sz="4" w:space="0" w:color="auto"/>
            </w:tcBorders>
            <w:shd w:val="clear" w:color="auto" w:fill="auto"/>
            <w:vAlign w:val="center"/>
          </w:tcPr>
          <w:p w14:paraId="1D68B96F" w14:textId="77777777" w:rsidR="009A4C46" w:rsidRPr="00874840" w:rsidRDefault="009A4C46" w:rsidP="009A4C46">
            <w:pPr>
              <w:jc w:val="right"/>
              <w:rPr>
                <w:rFonts w:eastAsia="Times New Roman"/>
                <w:sz w:val="18"/>
                <w:szCs w:val="18"/>
                <w:lang w:eastAsia="ru-RU"/>
              </w:rPr>
            </w:pPr>
            <w:r w:rsidRPr="00874840">
              <w:rPr>
                <w:rFonts w:eastAsia="Times New Roman"/>
                <w:sz w:val="18"/>
                <w:szCs w:val="18"/>
                <w:lang w:eastAsia="ru-RU"/>
              </w:rPr>
              <w:t>77,63</w:t>
            </w:r>
          </w:p>
        </w:tc>
        <w:tc>
          <w:tcPr>
            <w:tcW w:w="435" w:type="pct"/>
            <w:tcBorders>
              <w:top w:val="nil"/>
              <w:left w:val="nil"/>
              <w:bottom w:val="single" w:sz="4" w:space="0" w:color="auto"/>
              <w:right w:val="single" w:sz="4" w:space="0" w:color="auto"/>
            </w:tcBorders>
            <w:shd w:val="clear" w:color="auto" w:fill="auto"/>
            <w:vAlign w:val="center"/>
          </w:tcPr>
          <w:p w14:paraId="559E8A80" w14:textId="77777777" w:rsidR="009A4C46" w:rsidRPr="00874840" w:rsidRDefault="009A4C46" w:rsidP="009A4C46">
            <w:pPr>
              <w:jc w:val="right"/>
              <w:rPr>
                <w:rFonts w:eastAsia="Times New Roman"/>
                <w:sz w:val="18"/>
                <w:szCs w:val="18"/>
                <w:lang w:eastAsia="ru-RU"/>
              </w:rPr>
            </w:pPr>
            <w:r w:rsidRPr="00874840">
              <w:rPr>
                <w:rFonts w:eastAsia="Times New Roman"/>
                <w:sz w:val="18"/>
                <w:szCs w:val="18"/>
                <w:lang w:eastAsia="ru-RU"/>
              </w:rPr>
              <w:t>79,18</w:t>
            </w:r>
          </w:p>
        </w:tc>
        <w:tc>
          <w:tcPr>
            <w:tcW w:w="435" w:type="pct"/>
            <w:tcBorders>
              <w:top w:val="nil"/>
              <w:left w:val="nil"/>
              <w:bottom w:val="single" w:sz="4" w:space="0" w:color="auto"/>
              <w:right w:val="single" w:sz="4" w:space="0" w:color="auto"/>
            </w:tcBorders>
            <w:shd w:val="clear" w:color="auto" w:fill="auto"/>
            <w:vAlign w:val="center"/>
          </w:tcPr>
          <w:p w14:paraId="3E342CAA" w14:textId="77777777" w:rsidR="009A4C46" w:rsidRPr="00874840" w:rsidRDefault="009A4C46" w:rsidP="009A4C46">
            <w:pPr>
              <w:jc w:val="right"/>
              <w:rPr>
                <w:rFonts w:eastAsia="Times New Roman"/>
                <w:sz w:val="18"/>
                <w:szCs w:val="18"/>
                <w:lang w:eastAsia="ru-RU"/>
              </w:rPr>
            </w:pPr>
            <w:r w:rsidRPr="00874840">
              <w:rPr>
                <w:rFonts w:eastAsia="Times New Roman"/>
                <w:sz w:val="18"/>
                <w:szCs w:val="18"/>
                <w:lang w:eastAsia="ru-RU"/>
              </w:rPr>
              <w:t>77,63</w:t>
            </w:r>
          </w:p>
        </w:tc>
        <w:tc>
          <w:tcPr>
            <w:tcW w:w="435" w:type="pct"/>
            <w:tcBorders>
              <w:top w:val="nil"/>
              <w:left w:val="nil"/>
              <w:bottom w:val="single" w:sz="4" w:space="0" w:color="auto"/>
              <w:right w:val="single" w:sz="4" w:space="0" w:color="auto"/>
            </w:tcBorders>
            <w:shd w:val="clear" w:color="auto" w:fill="auto"/>
            <w:vAlign w:val="center"/>
          </w:tcPr>
          <w:p w14:paraId="72A23944" w14:textId="77777777" w:rsidR="009A4C46" w:rsidRPr="00874840" w:rsidRDefault="009A4C46" w:rsidP="009A4C46">
            <w:pPr>
              <w:jc w:val="right"/>
              <w:rPr>
                <w:rFonts w:eastAsia="Times New Roman"/>
                <w:sz w:val="18"/>
                <w:szCs w:val="18"/>
                <w:lang w:eastAsia="ru-RU"/>
              </w:rPr>
            </w:pPr>
            <w:r w:rsidRPr="00874840">
              <w:rPr>
                <w:rFonts w:eastAsia="Times New Roman"/>
                <w:sz w:val="18"/>
                <w:szCs w:val="18"/>
                <w:lang w:eastAsia="ru-RU"/>
              </w:rPr>
              <w:t>80,74</w:t>
            </w:r>
          </w:p>
        </w:tc>
        <w:tc>
          <w:tcPr>
            <w:tcW w:w="503" w:type="pct"/>
            <w:tcBorders>
              <w:top w:val="nil"/>
              <w:left w:val="nil"/>
              <w:bottom w:val="single" w:sz="4" w:space="0" w:color="auto"/>
              <w:right w:val="single" w:sz="4" w:space="0" w:color="auto"/>
            </w:tcBorders>
            <w:shd w:val="clear" w:color="auto" w:fill="auto"/>
            <w:vAlign w:val="center"/>
          </w:tcPr>
          <w:p w14:paraId="547BD8CB" w14:textId="77777777" w:rsidR="009A4C46" w:rsidRPr="00874840" w:rsidRDefault="009A4C46" w:rsidP="009A4C46">
            <w:pPr>
              <w:jc w:val="right"/>
              <w:rPr>
                <w:rFonts w:eastAsia="Times New Roman"/>
                <w:sz w:val="18"/>
                <w:szCs w:val="18"/>
                <w:lang w:eastAsia="ru-RU"/>
              </w:rPr>
            </w:pPr>
            <w:r w:rsidRPr="00874840">
              <w:rPr>
                <w:rFonts w:eastAsia="Times New Roman"/>
                <w:sz w:val="18"/>
                <w:szCs w:val="18"/>
                <w:lang w:eastAsia="ru-RU"/>
              </w:rPr>
              <w:t>386,98</w:t>
            </w:r>
          </w:p>
        </w:tc>
      </w:tr>
      <w:tr w:rsidR="009A4C46" w:rsidRPr="00874840" w14:paraId="2C55F6FF" w14:textId="77777777" w:rsidTr="00874840">
        <w:tc>
          <w:tcPr>
            <w:tcW w:w="523" w:type="pct"/>
            <w:tcBorders>
              <w:top w:val="nil"/>
              <w:left w:val="single" w:sz="4" w:space="0" w:color="auto"/>
              <w:bottom w:val="single" w:sz="4" w:space="0" w:color="auto"/>
              <w:right w:val="single" w:sz="4" w:space="0" w:color="auto"/>
            </w:tcBorders>
            <w:shd w:val="clear" w:color="auto" w:fill="auto"/>
            <w:vAlign w:val="center"/>
          </w:tcPr>
          <w:p w14:paraId="51CDF52A" w14:textId="77777777" w:rsidR="009A4C46" w:rsidRPr="00874840" w:rsidRDefault="009A4C46" w:rsidP="009A4C46">
            <w:pPr>
              <w:jc w:val="center"/>
              <w:rPr>
                <w:rFonts w:eastAsia="Times New Roman"/>
                <w:sz w:val="18"/>
                <w:szCs w:val="18"/>
                <w:lang w:eastAsia="ru-RU"/>
              </w:rPr>
            </w:pPr>
            <w:r w:rsidRPr="00874840">
              <w:rPr>
                <w:rFonts w:eastAsia="Times New Roman"/>
                <w:sz w:val="18"/>
                <w:szCs w:val="18"/>
                <w:lang w:eastAsia="ru-RU"/>
              </w:rPr>
              <w:t>1.2.1</w:t>
            </w:r>
          </w:p>
        </w:tc>
        <w:tc>
          <w:tcPr>
            <w:tcW w:w="1800" w:type="pct"/>
            <w:tcBorders>
              <w:top w:val="nil"/>
              <w:left w:val="nil"/>
              <w:bottom w:val="single" w:sz="4" w:space="0" w:color="auto"/>
              <w:right w:val="single" w:sz="4" w:space="0" w:color="auto"/>
            </w:tcBorders>
            <w:shd w:val="clear" w:color="auto" w:fill="auto"/>
            <w:vAlign w:val="center"/>
          </w:tcPr>
          <w:p w14:paraId="654325A5" w14:textId="77777777" w:rsidR="009A4C46" w:rsidRPr="00874840" w:rsidRDefault="009A4C46" w:rsidP="009A4C46">
            <w:pPr>
              <w:rPr>
                <w:rFonts w:eastAsia="Times New Roman"/>
                <w:sz w:val="18"/>
                <w:szCs w:val="18"/>
                <w:lang w:eastAsia="ru-RU"/>
              </w:rPr>
            </w:pPr>
            <w:r w:rsidRPr="00874840">
              <w:rPr>
                <w:rFonts w:eastAsia="Times New Roman"/>
                <w:sz w:val="18"/>
                <w:szCs w:val="18"/>
                <w:lang w:eastAsia="ru-RU"/>
              </w:rPr>
              <w:t>текущая амортизация, учтенная в ценах (тарифах) всего, в том числе:</w:t>
            </w:r>
          </w:p>
        </w:tc>
        <w:tc>
          <w:tcPr>
            <w:tcW w:w="434" w:type="pct"/>
            <w:tcBorders>
              <w:top w:val="nil"/>
              <w:left w:val="nil"/>
              <w:bottom w:val="single" w:sz="4" w:space="0" w:color="auto"/>
              <w:right w:val="single" w:sz="4" w:space="0" w:color="auto"/>
            </w:tcBorders>
            <w:shd w:val="clear" w:color="auto" w:fill="auto"/>
            <w:vAlign w:val="center"/>
          </w:tcPr>
          <w:p w14:paraId="5C081F87" w14:textId="77777777" w:rsidR="009A4C46" w:rsidRPr="00874840" w:rsidRDefault="009A4C46" w:rsidP="009A4C46">
            <w:pPr>
              <w:jc w:val="right"/>
              <w:rPr>
                <w:rFonts w:eastAsia="Times New Roman"/>
                <w:sz w:val="18"/>
                <w:szCs w:val="18"/>
                <w:lang w:eastAsia="ru-RU"/>
              </w:rPr>
            </w:pPr>
            <w:r w:rsidRPr="00874840">
              <w:rPr>
                <w:rFonts w:eastAsia="Times New Roman"/>
                <w:sz w:val="18"/>
                <w:szCs w:val="18"/>
                <w:lang w:eastAsia="ru-RU"/>
              </w:rPr>
              <w:t>68,12</w:t>
            </w:r>
          </w:p>
        </w:tc>
        <w:tc>
          <w:tcPr>
            <w:tcW w:w="435" w:type="pct"/>
            <w:tcBorders>
              <w:top w:val="nil"/>
              <w:left w:val="nil"/>
              <w:bottom w:val="single" w:sz="4" w:space="0" w:color="auto"/>
              <w:right w:val="single" w:sz="4" w:space="0" w:color="auto"/>
            </w:tcBorders>
            <w:shd w:val="clear" w:color="auto" w:fill="auto"/>
            <w:vAlign w:val="center"/>
          </w:tcPr>
          <w:p w14:paraId="3EAE7029" w14:textId="77777777" w:rsidR="009A4C46" w:rsidRPr="00874840" w:rsidRDefault="009A4C46" w:rsidP="009A4C46">
            <w:pPr>
              <w:jc w:val="right"/>
              <w:rPr>
                <w:rFonts w:eastAsia="Times New Roman"/>
                <w:sz w:val="18"/>
                <w:szCs w:val="18"/>
                <w:lang w:eastAsia="ru-RU"/>
              </w:rPr>
            </w:pPr>
            <w:r w:rsidRPr="00874840">
              <w:rPr>
                <w:rFonts w:eastAsia="Times New Roman"/>
                <w:sz w:val="18"/>
                <w:szCs w:val="18"/>
                <w:lang w:eastAsia="ru-RU"/>
              </w:rPr>
              <w:t>77,63</w:t>
            </w:r>
          </w:p>
        </w:tc>
        <w:tc>
          <w:tcPr>
            <w:tcW w:w="435" w:type="pct"/>
            <w:tcBorders>
              <w:top w:val="nil"/>
              <w:left w:val="nil"/>
              <w:bottom w:val="single" w:sz="4" w:space="0" w:color="auto"/>
              <w:right w:val="single" w:sz="4" w:space="0" w:color="auto"/>
            </w:tcBorders>
            <w:shd w:val="clear" w:color="auto" w:fill="auto"/>
            <w:vAlign w:val="center"/>
          </w:tcPr>
          <w:p w14:paraId="4511A0DF" w14:textId="77777777" w:rsidR="009A4C46" w:rsidRPr="00874840" w:rsidRDefault="009A4C46" w:rsidP="009A4C46">
            <w:pPr>
              <w:jc w:val="right"/>
              <w:rPr>
                <w:rFonts w:eastAsia="Times New Roman"/>
                <w:sz w:val="18"/>
                <w:szCs w:val="18"/>
                <w:lang w:eastAsia="ru-RU"/>
              </w:rPr>
            </w:pPr>
            <w:r w:rsidRPr="00874840">
              <w:rPr>
                <w:rFonts w:eastAsia="Times New Roman"/>
                <w:sz w:val="18"/>
                <w:szCs w:val="18"/>
                <w:lang w:eastAsia="ru-RU"/>
              </w:rPr>
              <w:t>79,18</w:t>
            </w:r>
          </w:p>
        </w:tc>
        <w:tc>
          <w:tcPr>
            <w:tcW w:w="435" w:type="pct"/>
            <w:tcBorders>
              <w:top w:val="nil"/>
              <w:left w:val="nil"/>
              <w:bottom w:val="single" w:sz="4" w:space="0" w:color="auto"/>
              <w:right w:val="single" w:sz="4" w:space="0" w:color="auto"/>
            </w:tcBorders>
            <w:shd w:val="clear" w:color="auto" w:fill="auto"/>
            <w:vAlign w:val="center"/>
          </w:tcPr>
          <w:p w14:paraId="50556BE5" w14:textId="77777777" w:rsidR="009A4C46" w:rsidRPr="00874840" w:rsidRDefault="009A4C46" w:rsidP="009A4C46">
            <w:pPr>
              <w:jc w:val="right"/>
              <w:rPr>
                <w:rFonts w:eastAsia="Times New Roman"/>
                <w:sz w:val="18"/>
                <w:szCs w:val="18"/>
                <w:lang w:eastAsia="ru-RU"/>
              </w:rPr>
            </w:pPr>
            <w:r w:rsidRPr="00874840">
              <w:rPr>
                <w:rFonts w:eastAsia="Times New Roman"/>
                <w:sz w:val="18"/>
                <w:szCs w:val="18"/>
                <w:lang w:eastAsia="ru-RU"/>
              </w:rPr>
              <w:t>77,63</w:t>
            </w:r>
          </w:p>
        </w:tc>
        <w:tc>
          <w:tcPr>
            <w:tcW w:w="435" w:type="pct"/>
            <w:tcBorders>
              <w:top w:val="nil"/>
              <w:left w:val="nil"/>
              <w:bottom w:val="single" w:sz="4" w:space="0" w:color="auto"/>
              <w:right w:val="single" w:sz="4" w:space="0" w:color="auto"/>
            </w:tcBorders>
            <w:shd w:val="clear" w:color="auto" w:fill="auto"/>
            <w:vAlign w:val="center"/>
          </w:tcPr>
          <w:p w14:paraId="781904B5" w14:textId="77777777" w:rsidR="009A4C46" w:rsidRPr="00874840" w:rsidRDefault="009A4C46" w:rsidP="009A4C46">
            <w:pPr>
              <w:jc w:val="right"/>
              <w:rPr>
                <w:rFonts w:eastAsia="Times New Roman"/>
                <w:sz w:val="18"/>
                <w:szCs w:val="18"/>
                <w:lang w:eastAsia="ru-RU"/>
              </w:rPr>
            </w:pPr>
            <w:r w:rsidRPr="00874840">
              <w:rPr>
                <w:rFonts w:eastAsia="Times New Roman"/>
                <w:sz w:val="18"/>
                <w:szCs w:val="18"/>
                <w:lang w:eastAsia="ru-RU"/>
              </w:rPr>
              <w:t>80,74</w:t>
            </w:r>
          </w:p>
        </w:tc>
        <w:tc>
          <w:tcPr>
            <w:tcW w:w="503" w:type="pct"/>
            <w:tcBorders>
              <w:top w:val="nil"/>
              <w:left w:val="nil"/>
              <w:bottom w:val="single" w:sz="4" w:space="0" w:color="auto"/>
              <w:right w:val="single" w:sz="4" w:space="0" w:color="auto"/>
            </w:tcBorders>
            <w:shd w:val="clear" w:color="auto" w:fill="auto"/>
            <w:vAlign w:val="center"/>
          </w:tcPr>
          <w:p w14:paraId="72D68FC2" w14:textId="77777777" w:rsidR="009A4C46" w:rsidRPr="00874840" w:rsidRDefault="009A4C46" w:rsidP="009A4C46">
            <w:pPr>
              <w:jc w:val="right"/>
              <w:rPr>
                <w:rFonts w:eastAsia="Times New Roman"/>
                <w:sz w:val="18"/>
                <w:szCs w:val="18"/>
                <w:lang w:eastAsia="ru-RU"/>
              </w:rPr>
            </w:pPr>
            <w:r w:rsidRPr="00874840">
              <w:rPr>
                <w:rFonts w:eastAsia="Times New Roman"/>
                <w:sz w:val="18"/>
                <w:szCs w:val="18"/>
                <w:lang w:eastAsia="ru-RU"/>
              </w:rPr>
              <w:t>383,30</w:t>
            </w:r>
          </w:p>
        </w:tc>
      </w:tr>
      <w:tr w:rsidR="009A4C46" w:rsidRPr="00874840" w14:paraId="40B64390" w14:textId="77777777" w:rsidTr="00874840">
        <w:tc>
          <w:tcPr>
            <w:tcW w:w="523" w:type="pct"/>
            <w:tcBorders>
              <w:top w:val="nil"/>
              <w:left w:val="single" w:sz="4" w:space="0" w:color="auto"/>
              <w:bottom w:val="single" w:sz="4" w:space="0" w:color="auto"/>
              <w:right w:val="single" w:sz="4" w:space="0" w:color="auto"/>
            </w:tcBorders>
            <w:shd w:val="clear" w:color="auto" w:fill="auto"/>
            <w:vAlign w:val="center"/>
          </w:tcPr>
          <w:p w14:paraId="78F14F4D" w14:textId="77777777" w:rsidR="009A4C46" w:rsidRPr="00874840" w:rsidRDefault="009A4C46" w:rsidP="009A4C46">
            <w:pPr>
              <w:jc w:val="center"/>
              <w:rPr>
                <w:rFonts w:eastAsia="Times New Roman"/>
                <w:sz w:val="18"/>
                <w:szCs w:val="18"/>
                <w:lang w:eastAsia="ru-RU"/>
              </w:rPr>
            </w:pPr>
            <w:r w:rsidRPr="00874840">
              <w:rPr>
                <w:rFonts w:eastAsia="Times New Roman"/>
                <w:sz w:val="18"/>
                <w:szCs w:val="18"/>
                <w:lang w:eastAsia="ru-RU"/>
              </w:rPr>
              <w:t>1.2.1.3</w:t>
            </w:r>
          </w:p>
        </w:tc>
        <w:tc>
          <w:tcPr>
            <w:tcW w:w="1800" w:type="pct"/>
            <w:tcBorders>
              <w:top w:val="nil"/>
              <w:left w:val="nil"/>
              <w:bottom w:val="single" w:sz="4" w:space="0" w:color="auto"/>
              <w:right w:val="single" w:sz="4" w:space="0" w:color="auto"/>
            </w:tcBorders>
            <w:shd w:val="clear" w:color="auto" w:fill="auto"/>
            <w:vAlign w:val="center"/>
          </w:tcPr>
          <w:p w14:paraId="5C7C45CA" w14:textId="77777777" w:rsidR="009A4C46" w:rsidRPr="00874840" w:rsidRDefault="009A4C46" w:rsidP="009A4C46">
            <w:pPr>
              <w:rPr>
                <w:rFonts w:eastAsia="Times New Roman"/>
                <w:sz w:val="18"/>
                <w:szCs w:val="18"/>
                <w:lang w:eastAsia="ru-RU"/>
              </w:rPr>
            </w:pPr>
            <w:r w:rsidRPr="00874840">
              <w:rPr>
                <w:rFonts w:eastAsia="Times New Roman"/>
                <w:sz w:val="18"/>
                <w:szCs w:val="18"/>
                <w:lang w:eastAsia="ru-RU"/>
              </w:rPr>
              <w:t>оказание услуг по передаче электрической энергии</w:t>
            </w:r>
          </w:p>
        </w:tc>
        <w:tc>
          <w:tcPr>
            <w:tcW w:w="434" w:type="pct"/>
            <w:tcBorders>
              <w:top w:val="nil"/>
              <w:left w:val="nil"/>
              <w:bottom w:val="single" w:sz="4" w:space="0" w:color="auto"/>
              <w:right w:val="single" w:sz="4" w:space="0" w:color="auto"/>
            </w:tcBorders>
            <w:shd w:val="clear" w:color="auto" w:fill="auto"/>
            <w:vAlign w:val="center"/>
          </w:tcPr>
          <w:p w14:paraId="268E4A4C" w14:textId="77777777" w:rsidR="009A4C46" w:rsidRPr="00874840" w:rsidRDefault="009A4C46" w:rsidP="009A4C46">
            <w:pPr>
              <w:jc w:val="right"/>
              <w:rPr>
                <w:rFonts w:eastAsia="Times New Roman"/>
                <w:sz w:val="18"/>
                <w:szCs w:val="18"/>
                <w:lang w:eastAsia="ru-RU"/>
              </w:rPr>
            </w:pPr>
            <w:r w:rsidRPr="00874840">
              <w:rPr>
                <w:rFonts w:eastAsia="Times New Roman"/>
                <w:sz w:val="18"/>
                <w:szCs w:val="18"/>
                <w:lang w:eastAsia="ru-RU"/>
              </w:rPr>
              <w:t>68,12</w:t>
            </w:r>
          </w:p>
        </w:tc>
        <w:tc>
          <w:tcPr>
            <w:tcW w:w="435" w:type="pct"/>
            <w:tcBorders>
              <w:top w:val="nil"/>
              <w:left w:val="nil"/>
              <w:bottom w:val="single" w:sz="4" w:space="0" w:color="auto"/>
              <w:right w:val="single" w:sz="4" w:space="0" w:color="auto"/>
            </w:tcBorders>
            <w:shd w:val="clear" w:color="auto" w:fill="auto"/>
            <w:vAlign w:val="center"/>
          </w:tcPr>
          <w:p w14:paraId="3BC51F60" w14:textId="77777777" w:rsidR="009A4C46" w:rsidRPr="00874840" w:rsidRDefault="009A4C46" w:rsidP="009A4C46">
            <w:pPr>
              <w:jc w:val="right"/>
              <w:rPr>
                <w:rFonts w:eastAsia="Times New Roman"/>
                <w:sz w:val="18"/>
                <w:szCs w:val="18"/>
                <w:lang w:eastAsia="ru-RU"/>
              </w:rPr>
            </w:pPr>
            <w:r w:rsidRPr="00874840">
              <w:rPr>
                <w:rFonts w:eastAsia="Times New Roman"/>
                <w:sz w:val="18"/>
                <w:szCs w:val="18"/>
                <w:lang w:eastAsia="ru-RU"/>
              </w:rPr>
              <w:t>77,63</w:t>
            </w:r>
          </w:p>
        </w:tc>
        <w:tc>
          <w:tcPr>
            <w:tcW w:w="435" w:type="pct"/>
            <w:tcBorders>
              <w:top w:val="nil"/>
              <w:left w:val="nil"/>
              <w:bottom w:val="single" w:sz="4" w:space="0" w:color="auto"/>
              <w:right w:val="single" w:sz="4" w:space="0" w:color="auto"/>
            </w:tcBorders>
            <w:shd w:val="clear" w:color="auto" w:fill="auto"/>
            <w:vAlign w:val="center"/>
          </w:tcPr>
          <w:p w14:paraId="14517095" w14:textId="77777777" w:rsidR="009A4C46" w:rsidRPr="00874840" w:rsidRDefault="009A4C46" w:rsidP="009A4C46">
            <w:pPr>
              <w:jc w:val="right"/>
              <w:rPr>
                <w:rFonts w:eastAsia="Times New Roman"/>
                <w:sz w:val="18"/>
                <w:szCs w:val="18"/>
                <w:lang w:eastAsia="ru-RU"/>
              </w:rPr>
            </w:pPr>
            <w:r w:rsidRPr="00874840">
              <w:rPr>
                <w:rFonts w:eastAsia="Times New Roman"/>
                <w:sz w:val="18"/>
                <w:szCs w:val="18"/>
                <w:lang w:eastAsia="ru-RU"/>
              </w:rPr>
              <w:t>79,18</w:t>
            </w:r>
          </w:p>
        </w:tc>
        <w:tc>
          <w:tcPr>
            <w:tcW w:w="435" w:type="pct"/>
            <w:tcBorders>
              <w:top w:val="nil"/>
              <w:left w:val="nil"/>
              <w:bottom w:val="single" w:sz="4" w:space="0" w:color="auto"/>
              <w:right w:val="single" w:sz="4" w:space="0" w:color="auto"/>
            </w:tcBorders>
            <w:shd w:val="clear" w:color="auto" w:fill="auto"/>
            <w:vAlign w:val="center"/>
          </w:tcPr>
          <w:p w14:paraId="1358BB47" w14:textId="77777777" w:rsidR="009A4C46" w:rsidRPr="00874840" w:rsidRDefault="009A4C46" w:rsidP="009A4C46">
            <w:pPr>
              <w:jc w:val="right"/>
              <w:rPr>
                <w:rFonts w:eastAsia="Times New Roman"/>
                <w:sz w:val="18"/>
                <w:szCs w:val="18"/>
                <w:lang w:eastAsia="ru-RU"/>
              </w:rPr>
            </w:pPr>
            <w:r w:rsidRPr="00874840">
              <w:rPr>
                <w:rFonts w:eastAsia="Times New Roman"/>
                <w:sz w:val="18"/>
                <w:szCs w:val="18"/>
                <w:lang w:eastAsia="ru-RU"/>
              </w:rPr>
              <w:t>77,63</w:t>
            </w:r>
          </w:p>
        </w:tc>
        <w:tc>
          <w:tcPr>
            <w:tcW w:w="435" w:type="pct"/>
            <w:tcBorders>
              <w:top w:val="nil"/>
              <w:left w:val="nil"/>
              <w:bottom w:val="single" w:sz="4" w:space="0" w:color="auto"/>
              <w:right w:val="single" w:sz="4" w:space="0" w:color="auto"/>
            </w:tcBorders>
            <w:shd w:val="clear" w:color="auto" w:fill="auto"/>
            <w:vAlign w:val="center"/>
          </w:tcPr>
          <w:p w14:paraId="4E1560A5" w14:textId="77777777" w:rsidR="009A4C46" w:rsidRPr="00874840" w:rsidRDefault="009A4C46" w:rsidP="009A4C46">
            <w:pPr>
              <w:jc w:val="right"/>
              <w:rPr>
                <w:rFonts w:eastAsia="Times New Roman"/>
                <w:sz w:val="18"/>
                <w:szCs w:val="18"/>
                <w:lang w:eastAsia="ru-RU"/>
              </w:rPr>
            </w:pPr>
            <w:r w:rsidRPr="00874840">
              <w:rPr>
                <w:rFonts w:eastAsia="Times New Roman"/>
                <w:sz w:val="18"/>
                <w:szCs w:val="18"/>
                <w:lang w:eastAsia="ru-RU"/>
              </w:rPr>
              <w:t>80,74</w:t>
            </w:r>
          </w:p>
        </w:tc>
        <w:tc>
          <w:tcPr>
            <w:tcW w:w="503" w:type="pct"/>
            <w:tcBorders>
              <w:top w:val="nil"/>
              <w:left w:val="nil"/>
              <w:bottom w:val="single" w:sz="4" w:space="0" w:color="auto"/>
              <w:right w:val="single" w:sz="4" w:space="0" w:color="auto"/>
            </w:tcBorders>
            <w:shd w:val="clear" w:color="auto" w:fill="auto"/>
            <w:vAlign w:val="center"/>
          </w:tcPr>
          <w:p w14:paraId="25296938" w14:textId="77777777" w:rsidR="009A4C46" w:rsidRPr="00874840" w:rsidRDefault="009A4C46" w:rsidP="009A4C46">
            <w:pPr>
              <w:jc w:val="right"/>
              <w:rPr>
                <w:rFonts w:eastAsia="Times New Roman"/>
                <w:sz w:val="18"/>
                <w:szCs w:val="18"/>
                <w:lang w:eastAsia="ru-RU"/>
              </w:rPr>
            </w:pPr>
            <w:r w:rsidRPr="00874840">
              <w:rPr>
                <w:rFonts w:eastAsia="Times New Roman"/>
                <w:sz w:val="18"/>
                <w:szCs w:val="18"/>
                <w:lang w:eastAsia="ru-RU"/>
              </w:rPr>
              <w:t>383,30</w:t>
            </w:r>
          </w:p>
        </w:tc>
      </w:tr>
      <w:tr w:rsidR="009A4C46" w:rsidRPr="00874840" w14:paraId="23CF1FD1" w14:textId="77777777" w:rsidTr="00874840">
        <w:tc>
          <w:tcPr>
            <w:tcW w:w="523" w:type="pct"/>
            <w:tcBorders>
              <w:top w:val="nil"/>
              <w:left w:val="single" w:sz="4" w:space="0" w:color="auto"/>
              <w:bottom w:val="single" w:sz="4" w:space="0" w:color="auto"/>
              <w:right w:val="single" w:sz="4" w:space="0" w:color="auto"/>
            </w:tcBorders>
            <w:shd w:val="clear" w:color="auto" w:fill="auto"/>
            <w:vAlign w:val="center"/>
          </w:tcPr>
          <w:p w14:paraId="2B4ACA53" w14:textId="77777777" w:rsidR="009A4C46" w:rsidRPr="00874840" w:rsidRDefault="009A4C46" w:rsidP="009A4C46">
            <w:pPr>
              <w:jc w:val="center"/>
              <w:rPr>
                <w:rFonts w:eastAsia="Times New Roman"/>
                <w:sz w:val="18"/>
                <w:szCs w:val="18"/>
                <w:lang w:eastAsia="ru-RU"/>
              </w:rPr>
            </w:pPr>
            <w:r w:rsidRPr="00874840">
              <w:rPr>
                <w:rFonts w:eastAsia="Times New Roman"/>
                <w:sz w:val="18"/>
                <w:szCs w:val="18"/>
                <w:lang w:eastAsia="ru-RU"/>
              </w:rPr>
              <w:lastRenderedPageBreak/>
              <w:t>1.2.2</w:t>
            </w:r>
          </w:p>
        </w:tc>
        <w:tc>
          <w:tcPr>
            <w:tcW w:w="1800" w:type="pct"/>
            <w:tcBorders>
              <w:top w:val="nil"/>
              <w:left w:val="nil"/>
              <w:bottom w:val="single" w:sz="4" w:space="0" w:color="auto"/>
              <w:right w:val="single" w:sz="4" w:space="0" w:color="auto"/>
            </w:tcBorders>
            <w:shd w:val="clear" w:color="auto" w:fill="auto"/>
            <w:vAlign w:val="center"/>
          </w:tcPr>
          <w:p w14:paraId="6F4091EA" w14:textId="77777777" w:rsidR="009A4C46" w:rsidRPr="00874840" w:rsidRDefault="009A4C46" w:rsidP="009A4C46">
            <w:pPr>
              <w:rPr>
                <w:rFonts w:eastAsia="Times New Roman"/>
                <w:sz w:val="18"/>
                <w:szCs w:val="18"/>
                <w:lang w:eastAsia="ru-RU"/>
              </w:rPr>
            </w:pPr>
            <w:r w:rsidRPr="00874840">
              <w:rPr>
                <w:rFonts w:eastAsia="Times New Roman"/>
                <w:sz w:val="18"/>
                <w:szCs w:val="18"/>
                <w:lang w:eastAsia="ru-RU"/>
              </w:rPr>
              <w:t>прочая текущая амортизация</w:t>
            </w:r>
          </w:p>
        </w:tc>
        <w:tc>
          <w:tcPr>
            <w:tcW w:w="434" w:type="pct"/>
            <w:tcBorders>
              <w:top w:val="nil"/>
              <w:left w:val="nil"/>
              <w:bottom w:val="single" w:sz="4" w:space="0" w:color="auto"/>
              <w:right w:val="single" w:sz="4" w:space="0" w:color="auto"/>
            </w:tcBorders>
            <w:shd w:val="clear" w:color="auto" w:fill="auto"/>
            <w:vAlign w:val="center"/>
          </w:tcPr>
          <w:p w14:paraId="1B2AADF4" w14:textId="77777777" w:rsidR="009A4C46" w:rsidRPr="00874840" w:rsidRDefault="009A4C46" w:rsidP="009A4C46">
            <w:pPr>
              <w:jc w:val="right"/>
              <w:rPr>
                <w:rFonts w:eastAsia="Times New Roman"/>
                <w:sz w:val="18"/>
                <w:szCs w:val="18"/>
                <w:lang w:eastAsia="ru-RU"/>
              </w:rPr>
            </w:pPr>
            <w:r w:rsidRPr="00874840">
              <w:rPr>
                <w:rFonts w:eastAsia="Times New Roman"/>
                <w:sz w:val="18"/>
                <w:szCs w:val="18"/>
                <w:lang w:eastAsia="ru-RU"/>
              </w:rPr>
              <w:t>0,00</w:t>
            </w:r>
          </w:p>
        </w:tc>
        <w:tc>
          <w:tcPr>
            <w:tcW w:w="435" w:type="pct"/>
            <w:tcBorders>
              <w:top w:val="nil"/>
              <w:left w:val="nil"/>
              <w:bottom w:val="single" w:sz="4" w:space="0" w:color="auto"/>
              <w:right w:val="single" w:sz="4" w:space="0" w:color="auto"/>
            </w:tcBorders>
            <w:shd w:val="clear" w:color="auto" w:fill="auto"/>
            <w:vAlign w:val="center"/>
          </w:tcPr>
          <w:p w14:paraId="4F602B81" w14:textId="77777777" w:rsidR="009A4C46" w:rsidRPr="00874840" w:rsidRDefault="009A4C46" w:rsidP="009A4C46">
            <w:pPr>
              <w:jc w:val="right"/>
              <w:rPr>
                <w:rFonts w:eastAsia="Times New Roman"/>
                <w:sz w:val="18"/>
                <w:szCs w:val="18"/>
                <w:lang w:eastAsia="ru-RU"/>
              </w:rPr>
            </w:pPr>
            <w:r w:rsidRPr="00874840">
              <w:rPr>
                <w:rFonts w:eastAsia="Times New Roman"/>
                <w:sz w:val="18"/>
                <w:szCs w:val="18"/>
                <w:lang w:eastAsia="ru-RU"/>
              </w:rPr>
              <w:t>0,00</w:t>
            </w:r>
          </w:p>
        </w:tc>
        <w:tc>
          <w:tcPr>
            <w:tcW w:w="435" w:type="pct"/>
            <w:tcBorders>
              <w:top w:val="nil"/>
              <w:left w:val="nil"/>
              <w:bottom w:val="single" w:sz="4" w:space="0" w:color="auto"/>
              <w:right w:val="single" w:sz="4" w:space="0" w:color="auto"/>
            </w:tcBorders>
            <w:shd w:val="clear" w:color="auto" w:fill="auto"/>
            <w:vAlign w:val="center"/>
          </w:tcPr>
          <w:p w14:paraId="3771C0BE" w14:textId="77777777" w:rsidR="009A4C46" w:rsidRPr="00874840" w:rsidRDefault="009A4C46" w:rsidP="009A4C46">
            <w:pPr>
              <w:jc w:val="right"/>
              <w:rPr>
                <w:rFonts w:eastAsia="Times New Roman"/>
                <w:sz w:val="18"/>
                <w:szCs w:val="18"/>
                <w:lang w:eastAsia="ru-RU"/>
              </w:rPr>
            </w:pPr>
            <w:r w:rsidRPr="00874840">
              <w:rPr>
                <w:rFonts w:eastAsia="Times New Roman"/>
                <w:sz w:val="18"/>
                <w:szCs w:val="18"/>
                <w:lang w:eastAsia="ru-RU"/>
              </w:rPr>
              <w:t>0,00</w:t>
            </w:r>
          </w:p>
        </w:tc>
        <w:tc>
          <w:tcPr>
            <w:tcW w:w="435" w:type="pct"/>
            <w:tcBorders>
              <w:top w:val="nil"/>
              <w:left w:val="nil"/>
              <w:bottom w:val="single" w:sz="4" w:space="0" w:color="auto"/>
              <w:right w:val="single" w:sz="4" w:space="0" w:color="auto"/>
            </w:tcBorders>
            <w:shd w:val="clear" w:color="auto" w:fill="auto"/>
            <w:vAlign w:val="center"/>
          </w:tcPr>
          <w:p w14:paraId="21FBFA70" w14:textId="77777777" w:rsidR="009A4C46" w:rsidRPr="00874840" w:rsidRDefault="009A4C46" w:rsidP="009A4C46">
            <w:pPr>
              <w:jc w:val="right"/>
              <w:rPr>
                <w:rFonts w:eastAsia="Times New Roman"/>
                <w:sz w:val="18"/>
                <w:szCs w:val="18"/>
                <w:lang w:eastAsia="ru-RU"/>
              </w:rPr>
            </w:pPr>
            <w:r w:rsidRPr="00874840">
              <w:rPr>
                <w:rFonts w:eastAsia="Times New Roman"/>
                <w:sz w:val="18"/>
                <w:szCs w:val="18"/>
                <w:lang w:eastAsia="ru-RU"/>
              </w:rPr>
              <w:t>0,00</w:t>
            </w:r>
          </w:p>
        </w:tc>
        <w:tc>
          <w:tcPr>
            <w:tcW w:w="435" w:type="pct"/>
            <w:tcBorders>
              <w:top w:val="nil"/>
              <w:left w:val="nil"/>
              <w:bottom w:val="single" w:sz="4" w:space="0" w:color="auto"/>
              <w:right w:val="single" w:sz="4" w:space="0" w:color="auto"/>
            </w:tcBorders>
            <w:shd w:val="clear" w:color="auto" w:fill="auto"/>
            <w:vAlign w:val="center"/>
          </w:tcPr>
          <w:p w14:paraId="5AC3641E" w14:textId="77777777" w:rsidR="009A4C46" w:rsidRPr="00874840" w:rsidRDefault="009A4C46" w:rsidP="009A4C46">
            <w:pPr>
              <w:jc w:val="right"/>
              <w:rPr>
                <w:rFonts w:eastAsia="Times New Roman"/>
                <w:sz w:val="18"/>
                <w:szCs w:val="18"/>
                <w:lang w:eastAsia="ru-RU"/>
              </w:rPr>
            </w:pPr>
            <w:r w:rsidRPr="00874840">
              <w:rPr>
                <w:rFonts w:eastAsia="Times New Roman"/>
                <w:sz w:val="18"/>
                <w:szCs w:val="18"/>
                <w:lang w:eastAsia="ru-RU"/>
              </w:rPr>
              <w:t>0,00</w:t>
            </w:r>
          </w:p>
        </w:tc>
        <w:tc>
          <w:tcPr>
            <w:tcW w:w="503" w:type="pct"/>
            <w:tcBorders>
              <w:top w:val="nil"/>
              <w:left w:val="nil"/>
              <w:bottom w:val="single" w:sz="4" w:space="0" w:color="auto"/>
              <w:right w:val="single" w:sz="4" w:space="0" w:color="auto"/>
            </w:tcBorders>
            <w:shd w:val="clear" w:color="auto" w:fill="auto"/>
            <w:vAlign w:val="center"/>
          </w:tcPr>
          <w:p w14:paraId="14E4AD0A" w14:textId="77777777" w:rsidR="009A4C46" w:rsidRPr="00874840" w:rsidRDefault="009A4C46" w:rsidP="009A4C46">
            <w:pPr>
              <w:jc w:val="right"/>
              <w:rPr>
                <w:rFonts w:eastAsia="Times New Roman"/>
                <w:sz w:val="18"/>
                <w:szCs w:val="18"/>
                <w:lang w:eastAsia="ru-RU"/>
              </w:rPr>
            </w:pPr>
            <w:r w:rsidRPr="00874840">
              <w:rPr>
                <w:rFonts w:eastAsia="Times New Roman"/>
                <w:sz w:val="18"/>
                <w:szCs w:val="18"/>
                <w:lang w:eastAsia="ru-RU"/>
              </w:rPr>
              <w:t>0,00</w:t>
            </w:r>
          </w:p>
        </w:tc>
      </w:tr>
      <w:tr w:rsidR="009A4C46" w:rsidRPr="00874840" w14:paraId="53AF7DFD" w14:textId="77777777" w:rsidTr="00874840">
        <w:tc>
          <w:tcPr>
            <w:tcW w:w="523" w:type="pct"/>
            <w:tcBorders>
              <w:top w:val="nil"/>
              <w:left w:val="single" w:sz="4" w:space="0" w:color="auto"/>
              <w:bottom w:val="single" w:sz="4" w:space="0" w:color="auto"/>
              <w:right w:val="single" w:sz="4" w:space="0" w:color="auto"/>
            </w:tcBorders>
            <w:shd w:val="clear" w:color="auto" w:fill="auto"/>
            <w:vAlign w:val="center"/>
          </w:tcPr>
          <w:p w14:paraId="5C045DD4" w14:textId="77777777" w:rsidR="009A4C46" w:rsidRPr="00874840" w:rsidRDefault="009A4C46" w:rsidP="009A4C46">
            <w:pPr>
              <w:jc w:val="center"/>
              <w:rPr>
                <w:rFonts w:eastAsia="Times New Roman"/>
                <w:sz w:val="18"/>
                <w:szCs w:val="18"/>
                <w:lang w:eastAsia="ru-RU"/>
              </w:rPr>
            </w:pPr>
            <w:r w:rsidRPr="00874840">
              <w:rPr>
                <w:rFonts w:eastAsia="Times New Roman"/>
                <w:sz w:val="18"/>
                <w:szCs w:val="18"/>
                <w:lang w:eastAsia="ru-RU"/>
              </w:rPr>
              <w:t>1.2.3</w:t>
            </w:r>
          </w:p>
        </w:tc>
        <w:tc>
          <w:tcPr>
            <w:tcW w:w="1800" w:type="pct"/>
            <w:tcBorders>
              <w:top w:val="nil"/>
              <w:left w:val="nil"/>
              <w:bottom w:val="single" w:sz="4" w:space="0" w:color="auto"/>
              <w:right w:val="single" w:sz="4" w:space="0" w:color="auto"/>
            </w:tcBorders>
            <w:shd w:val="clear" w:color="auto" w:fill="auto"/>
            <w:vAlign w:val="center"/>
          </w:tcPr>
          <w:p w14:paraId="2E90841B" w14:textId="77777777" w:rsidR="009A4C46" w:rsidRPr="00874840" w:rsidRDefault="009A4C46" w:rsidP="009A4C46">
            <w:pPr>
              <w:rPr>
                <w:rFonts w:eastAsia="Times New Roman"/>
                <w:sz w:val="18"/>
                <w:szCs w:val="18"/>
                <w:lang w:eastAsia="ru-RU"/>
              </w:rPr>
            </w:pPr>
            <w:r w:rsidRPr="00874840">
              <w:rPr>
                <w:rFonts w:eastAsia="Times New Roman"/>
                <w:sz w:val="18"/>
                <w:szCs w:val="18"/>
                <w:lang w:eastAsia="ru-RU"/>
              </w:rPr>
              <w:t>недоиспользованная амортизация прошлых лет всего, в том числе:</w:t>
            </w:r>
          </w:p>
        </w:tc>
        <w:tc>
          <w:tcPr>
            <w:tcW w:w="434" w:type="pct"/>
            <w:tcBorders>
              <w:top w:val="nil"/>
              <w:left w:val="nil"/>
              <w:bottom w:val="single" w:sz="4" w:space="0" w:color="auto"/>
              <w:right w:val="single" w:sz="4" w:space="0" w:color="auto"/>
            </w:tcBorders>
            <w:shd w:val="clear" w:color="auto" w:fill="auto"/>
            <w:vAlign w:val="center"/>
          </w:tcPr>
          <w:p w14:paraId="7928BD79" w14:textId="77777777" w:rsidR="009A4C46" w:rsidRPr="00874840" w:rsidRDefault="009A4C46" w:rsidP="009A4C46">
            <w:pPr>
              <w:jc w:val="right"/>
              <w:rPr>
                <w:rFonts w:eastAsia="Times New Roman"/>
                <w:sz w:val="18"/>
                <w:szCs w:val="18"/>
                <w:lang w:eastAsia="ru-RU"/>
              </w:rPr>
            </w:pPr>
            <w:r w:rsidRPr="00874840">
              <w:rPr>
                <w:rFonts w:eastAsia="Times New Roman"/>
                <w:sz w:val="18"/>
                <w:szCs w:val="18"/>
                <w:lang w:eastAsia="ru-RU"/>
              </w:rPr>
              <w:t>3,68</w:t>
            </w:r>
          </w:p>
        </w:tc>
        <w:tc>
          <w:tcPr>
            <w:tcW w:w="435" w:type="pct"/>
            <w:tcBorders>
              <w:top w:val="nil"/>
              <w:left w:val="nil"/>
              <w:bottom w:val="single" w:sz="4" w:space="0" w:color="auto"/>
              <w:right w:val="single" w:sz="4" w:space="0" w:color="auto"/>
            </w:tcBorders>
            <w:shd w:val="clear" w:color="auto" w:fill="auto"/>
            <w:vAlign w:val="center"/>
          </w:tcPr>
          <w:p w14:paraId="2AF9B79B" w14:textId="77777777" w:rsidR="009A4C46" w:rsidRPr="00874840" w:rsidRDefault="009A4C46" w:rsidP="009A4C46">
            <w:pPr>
              <w:jc w:val="right"/>
              <w:rPr>
                <w:rFonts w:eastAsia="Times New Roman"/>
                <w:sz w:val="18"/>
                <w:szCs w:val="18"/>
                <w:lang w:eastAsia="ru-RU"/>
              </w:rPr>
            </w:pPr>
            <w:r w:rsidRPr="00874840">
              <w:rPr>
                <w:rFonts w:eastAsia="Times New Roman"/>
                <w:sz w:val="18"/>
                <w:szCs w:val="18"/>
                <w:lang w:eastAsia="ru-RU"/>
              </w:rPr>
              <w:t>0,00</w:t>
            </w:r>
          </w:p>
        </w:tc>
        <w:tc>
          <w:tcPr>
            <w:tcW w:w="435" w:type="pct"/>
            <w:tcBorders>
              <w:top w:val="nil"/>
              <w:left w:val="nil"/>
              <w:bottom w:val="single" w:sz="4" w:space="0" w:color="auto"/>
              <w:right w:val="single" w:sz="4" w:space="0" w:color="auto"/>
            </w:tcBorders>
            <w:shd w:val="clear" w:color="auto" w:fill="auto"/>
            <w:vAlign w:val="center"/>
          </w:tcPr>
          <w:p w14:paraId="49057778" w14:textId="77777777" w:rsidR="009A4C46" w:rsidRPr="00874840" w:rsidRDefault="009A4C46" w:rsidP="009A4C46">
            <w:pPr>
              <w:jc w:val="right"/>
              <w:rPr>
                <w:rFonts w:eastAsia="Times New Roman"/>
                <w:sz w:val="18"/>
                <w:szCs w:val="18"/>
                <w:lang w:eastAsia="ru-RU"/>
              </w:rPr>
            </w:pPr>
            <w:r w:rsidRPr="00874840">
              <w:rPr>
                <w:rFonts w:eastAsia="Times New Roman"/>
                <w:sz w:val="18"/>
                <w:szCs w:val="18"/>
                <w:lang w:eastAsia="ru-RU"/>
              </w:rPr>
              <w:t>0,00</w:t>
            </w:r>
          </w:p>
        </w:tc>
        <w:tc>
          <w:tcPr>
            <w:tcW w:w="435" w:type="pct"/>
            <w:tcBorders>
              <w:top w:val="nil"/>
              <w:left w:val="nil"/>
              <w:bottom w:val="single" w:sz="4" w:space="0" w:color="auto"/>
              <w:right w:val="single" w:sz="4" w:space="0" w:color="auto"/>
            </w:tcBorders>
            <w:shd w:val="clear" w:color="auto" w:fill="auto"/>
            <w:vAlign w:val="center"/>
          </w:tcPr>
          <w:p w14:paraId="71C51F57" w14:textId="77777777" w:rsidR="009A4C46" w:rsidRPr="00874840" w:rsidRDefault="009A4C46" w:rsidP="009A4C46">
            <w:pPr>
              <w:jc w:val="right"/>
              <w:rPr>
                <w:rFonts w:eastAsia="Times New Roman"/>
                <w:sz w:val="18"/>
                <w:szCs w:val="18"/>
                <w:lang w:eastAsia="ru-RU"/>
              </w:rPr>
            </w:pPr>
            <w:r w:rsidRPr="00874840">
              <w:rPr>
                <w:rFonts w:eastAsia="Times New Roman"/>
                <w:sz w:val="18"/>
                <w:szCs w:val="18"/>
                <w:lang w:eastAsia="ru-RU"/>
              </w:rPr>
              <w:t>0,00</w:t>
            </w:r>
          </w:p>
        </w:tc>
        <w:tc>
          <w:tcPr>
            <w:tcW w:w="435" w:type="pct"/>
            <w:tcBorders>
              <w:top w:val="nil"/>
              <w:left w:val="nil"/>
              <w:bottom w:val="single" w:sz="4" w:space="0" w:color="auto"/>
              <w:right w:val="single" w:sz="4" w:space="0" w:color="auto"/>
            </w:tcBorders>
            <w:shd w:val="clear" w:color="auto" w:fill="auto"/>
            <w:vAlign w:val="center"/>
          </w:tcPr>
          <w:p w14:paraId="32504A43" w14:textId="77777777" w:rsidR="009A4C46" w:rsidRPr="00874840" w:rsidRDefault="009A4C46" w:rsidP="009A4C46">
            <w:pPr>
              <w:jc w:val="right"/>
              <w:rPr>
                <w:rFonts w:eastAsia="Times New Roman"/>
                <w:sz w:val="18"/>
                <w:szCs w:val="18"/>
                <w:lang w:eastAsia="ru-RU"/>
              </w:rPr>
            </w:pPr>
            <w:r w:rsidRPr="00874840">
              <w:rPr>
                <w:rFonts w:eastAsia="Times New Roman"/>
                <w:sz w:val="18"/>
                <w:szCs w:val="18"/>
                <w:lang w:eastAsia="ru-RU"/>
              </w:rPr>
              <w:t>0,00</w:t>
            </w:r>
          </w:p>
        </w:tc>
        <w:tc>
          <w:tcPr>
            <w:tcW w:w="503" w:type="pct"/>
            <w:tcBorders>
              <w:top w:val="nil"/>
              <w:left w:val="nil"/>
              <w:bottom w:val="single" w:sz="4" w:space="0" w:color="auto"/>
              <w:right w:val="single" w:sz="4" w:space="0" w:color="auto"/>
            </w:tcBorders>
            <w:shd w:val="clear" w:color="auto" w:fill="auto"/>
            <w:vAlign w:val="center"/>
          </w:tcPr>
          <w:p w14:paraId="4D3DB758" w14:textId="77777777" w:rsidR="009A4C46" w:rsidRPr="00874840" w:rsidRDefault="009A4C46" w:rsidP="009A4C46">
            <w:pPr>
              <w:jc w:val="right"/>
              <w:rPr>
                <w:rFonts w:eastAsia="Times New Roman"/>
                <w:sz w:val="18"/>
                <w:szCs w:val="18"/>
                <w:lang w:eastAsia="ru-RU"/>
              </w:rPr>
            </w:pPr>
            <w:r w:rsidRPr="00874840">
              <w:rPr>
                <w:rFonts w:eastAsia="Times New Roman"/>
                <w:sz w:val="18"/>
                <w:szCs w:val="18"/>
                <w:lang w:eastAsia="ru-RU"/>
              </w:rPr>
              <w:t>3,68</w:t>
            </w:r>
          </w:p>
        </w:tc>
      </w:tr>
      <w:tr w:rsidR="009A4C46" w:rsidRPr="00874840" w14:paraId="69B0667C" w14:textId="77777777" w:rsidTr="00874840">
        <w:tc>
          <w:tcPr>
            <w:tcW w:w="523" w:type="pct"/>
            <w:tcBorders>
              <w:top w:val="nil"/>
              <w:left w:val="single" w:sz="4" w:space="0" w:color="auto"/>
              <w:bottom w:val="single" w:sz="4" w:space="0" w:color="auto"/>
              <w:right w:val="single" w:sz="4" w:space="0" w:color="auto"/>
            </w:tcBorders>
            <w:shd w:val="clear" w:color="auto" w:fill="auto"/>
            <w:vAlign w:val="center"/>
          </w:tcPr>
          <w:p w14:paraId="0E8136A5" w14:textId="77777777" w:rsidR="009A4C46" w:rsidRPr="00874840" w:rsidRDefault="009A4C46" w:rsidP="009A4C46">
            <w:pPr>
              <w:jc w:val="center"/>
              <w:rPr>
                <w:rFonts w:eastAsia="Times New Roman"/>
                <w:sz w:val="18"/>
                <w:szCs w:val="18"/>
                <w:lang w:eastAsia="ru-RU"/>
              </w:rPr>
            </w:pPr>
            <w:r w:rsidRPr="00874840">
              <w:rPr>
                <w:rFonts w:eastAsia="Times New Roman"/>
                <w:sz w:val="18"/>
                <w:szCs w:val="18"/>
                <w:lang w:eastAsia="ru-RU"/>
              </w:rPr>
              <w:t>1.2.3.3</w:t>
            </w:r>
          </w:p>
        </w:tc>
        <w:tc>
          <w:tcPr>
            <w:tcW w:w="1800" w:type="pct"/>
            <w:tcBorders>
              <w:top w:val="nil"/>
              <w:left w:val="nil"/>
              <w:bottom w:val="single" w:sz="4" w:space="0" w:color="auto"/>
              <w:right w:val="single" w:sz="4" w:space="0" w:color="auto"/>
            </w:tcBorders>
            <w:shd w:val="clear" w:color="auto" w:fill="auto"/>
            <w:vAlign w:val="center"/>
          </w:tcPr>
          <w:p w14:paraId="0E1A025B" w14:textId="77777777" w:rsidR="009A4C46" w:rsidRPr="00874840" w:rsidRDefault="009A4C46" w:rsidP="009A4C46">
            <w:pPr>
              <w:rPr>
                <w:rFonts w:eastAsia="Times New Roman"/>
                <w:sz w:val="18"/>
                <w:szCs w:val="18"/>
                <w:lang w:eastAsia="ru-RU"/>
              </w:rPr>
            </w:pPr>
            <w:r w:rsidRPr="00874840">
              <w:rPr>
                <w:rFonts w:eastAsia="Times New Roman"/>
                <w:sz w:val="18"/>
                <w:szCs w:val="18"/>
                <w:lang w:eastAsia="ru-RU"/>
              </w:rPr>
              <w:t>оказание услуг по передаче электрической энергии</w:t>
            </w:r>
          </w:p>
        </w:tc>
        <w:tc>
          <w:tcPr>
            <w:tcW w:w="434" w:type="pct"/>
            <w:tcBorders>
              <w:top w:val="nil"/>
              <w:left w:val="nil"/>
              <w:bottom w:val="single" w:sz="4" w:space="0" w:color="auto"/>
              <w:right w:val="single" w:sz="4" w:space="0" w:color="auto"/>
            </w:tcBorders>
            <w:shd w:val="clear" w:color="auto" w:fill="auto"/>
            <w:vAlign w:val="center"/>
          </w:tcPr>
          <w:p w14:paraId="16D90932" w14:textId="77777777" w:rsidR="009A4C46" w:rsidRPr="00874840" w:rsidRDefault="009A4C46" w:rsidP="009A4C46">
            <w:pPr>
              <w:jc w:val="right"/>
              <w:rPr>
                <w:rFonts w:eastAsia="Times New Roman"/>
                <w:sz w:val="18"/>
                <w:szCs w:val="18"/>
                <w:lang w:eastAsia="ru-RU"/>
              </w:rPr>
            </w:pPr>
            <w:r w:rsidRPr="00874840">
              <w:rPr>
                <w:rFonts w:eastAsia="Times New Roman"/>
                <w:sz w:val="18"/>
                <w:szCs w:val="18"/>
                <w:lang w:eastAsia="ru-RU"/>
              </w:rPr>
              <w:t>3,68</w:t>
            </w:r>
          </w:p>
        </w:tc>
        <w:tc>
          <w:tcPr>
            <w:tcW w:w="435" w:type="pct"/>
            <w:tcBorders>
              <w:top w:val="nil"/>
              <w:left w:val="nil"/>
              <w:bottom w:val="single" w:sz="4" w:space="0" w:color="auto"/>
              <w:right w:val="single" w:sz="4" w:space="0" w:color="auto"/>
            </w:tcBorders>
            <w:shd w:val="clear" w:color="auto" w:fill="auto"/>
            <w:vAlign w:val="center"/>
          </w:tcPr>
          <w:p w14:paraId="1F42761E" w14:textId="77777777" w:rsidR="009A4C46" w:rsidRPr="00874840" w:rsidRDefault="009A4C46" w:rsidP="009A4C46">
            <w:pPr>
              <w:jc w:val="right"/>
              <w:rPr>
                <w:rFonts w:eastAsia="Times New Roman"/>
                <w:sz w:val="18"/>
                <w:szCs w:val="18"/>
                <w:lang w:eastAsia="ru-RU"/>
              </w:rPr>
            </w:pPr>
            <w:r w:rsidRPr="00874840">
              <w:rPr>
                <w:rFonts w:eastAsia="Times New Roman"/>
                <w:sz w:val="18"/>
                <w:szCs w:val="18"/>
                <w:lang w:eastAsia="ru-RU"/>
              </w:rPr>
              <w:t>0,00</w:t>
            </w:r>
          </w:p>
        </w:tc>
        <w:tc>
          <w:tcPr>
            <w:tcW w:w="435" w:type="pct"/>
            <w:tcBorders>
              <w:top w:val="nil"/>
              <w:left w:val="nil"/>
              <w:bottom w:val="single" w:sz="4" w:space="0" w:color="auto"/>
              <w:right w:val="single" w:sz="4" w:space="0" w:color="auto"/>
            </w:tcBorders>
            <w:shd w:val="clear" w:color="auto" w:fill="auto"/>
            <w:vAlign w:val="center"/>
          </w:tcPr>
          <w:p w14:paraId="53BA2428" w14:textId="77777777" w:rsidR="009A4C46" w:rsidRPr="00874840" w:rsidRDefault="009A4C46" w:rsidP="009A4C46">
            <w:pPr>
              <w:jc w:val="right"/>
              <w:rPr>
                <w:rFonts w:eastAsia="Times New Roman"/>
                <w:sz w:val="18"/>
                <w:szCs w:val="18"/>
                <w:lang w:eastAsia="ru-RU"/>
              </w:rPr>
            </w:pPr>
            <w:r w:rsidRPr="00874840">
              <w:rPr>
                <w:rFonts w:eastAsia="Times New Roman"/>
                <w:sz w:val="18"/>
                <w:szCs w:val="18"/>
                <w:lang w:eastAsia="ru-RU"/>
              </w:rPr>
              <w:t>0,00</w:t>
            </w:r>
          </w:p>
        </w:tc>
        <w:tc>
          <w:tcPr>
            <w:tcW w:w="435" w:type="pct"/>
            <w:tcBorders>
              <w:top w:val="nil"/>
              <w:left w:val="nil"/>
              <w:bottom w:val="single" w:sz="4" w:space="0" w:color="auto"/>
              <w:right w:val="single" w:sz="4" w:space="0" w:color="auto"/>
            </w:tcBorders>
            <w:shd w:val="clear" w:color="auto" w:fill="auto"/>
            <w:vAlign w:val="center"/>
          </w:tcPr>
          <w:p w14:paraId="2709E268" w14:textId="77777777" w:rsidR="009A4C46" w:rsidRPr="00874840" w:rsidRDefault="009A4C46" w:rsidP="009A4C46">
            <w:pPr>
              <w:jc w:val="right"/>
              <w:rPr>
                <w:rFonts w:eastAsia="Times New Roman"/>
                <w:sz w:val="18"/>
                <w:szCs w:val="18"/>
                <w:lang w:eastAsia="ru-RU"/>
              </w:rPr>
            </w:pPr>
            <w:r w:rsidRPr="00874840">
              <w:rPr>
                <w:rFonts w:eastAsia="Times New Roman"/>
                <w:sz w:val="18"/>
                <w:szCs w:val="18"/>
                <w:lang w:eastAsia="ru-RU"/>
              </w:rPr>
              <w:t>0,00</w:t>
            </w:r>
          </w:p>
        </w:tc>
        <w:tc>
          <w:tcPr>
            <w:tcW w:w="435" w:type="pct"/>
            <w:tcBorders>
              <w:top w:val="nil"/>
              <w:left w:val="nil"/>
              <w:bottom w:val="single" w:sz="4" w:space="0" w:color="auto"/>
              <w:right w:val="single" w:sz="4" w:space="0" w:color="auto"/>
            </w:tcBorders>
            <w:shd w:val="clear" w:color="auto" w:fill="auto"/>
            <w:vAlign w:val="center"/>
          </w:tcPr>
          <w:p w14:paraId="413F7B62" w14:textId="77777777" w:rsidR="009A4C46" w:rsidRPr="00874840" w:rsidRDefault="009A4C46" w:rsidP="009A4C46">
            <w:pPr>
              <w:jc w:val="right"/>
              <w:rPr>
                <w:rFonts w:eastAsia="Times New Roman"/>
                <w:sz w:val="18"/>
                <w:szCs w:val="18"/>
                <w:lang w:eastAsia="ru-RU"/>
              </w:rPr>
            </w:pPr>
            <w:r w:rsidRPr="00874840">
              <w:rPr>
                <w:rFonts w:eastAsia="Times New Roman"/>
                <w:sz w:val="18"/>
                <w:szCs w:val="18"/>
                <w:lang w:eastAsia="ru-RU"/>
              </w:rPr>
              <w:t>0,00</w:t>
            </w:r>
          </w:p>
        </w:tc>
        <w:tc>
          <w:tcPr>
            <w:tcW w:w="503" w:type="pct"/>
            <w:tcBorders>
              <w:top w:val="nil"/>
              <w:left w:val="nil"/>
              <w:bottom w:val="single" w:sz="4" w:space="0" w:color="auto"/>
              <w:right w:val="single" w:sz="4" w:space="0" w:color="auto"/>
            </w:tcBorders>
            <w:shd w:val="clear" w:color="auto" w:fill="auto"/>
            <w:vAlign w:val="center"/>
          </w:tcPr>
          <w:p w14:paraId="3B6D4302" w14:textId="77777777" w:rsidR="009A4C46" w:rsidRPr="00874840" w:rsidRDefault="009A4C46" w:rsidP="009A4C46">
            <w:pPr>
              <w:jc w:val="right"/>
              <w:rPr>
                <w:rFonts w:eastAsia="Times New Roman"/>
                <w:sz w:val="18"/>
                <w:szCs w:val="18"/>
                <w:lang w:eastAsia="ru-RU"/>
              </w:rPr>
            </w:pPr>
            <w:r w:rsidRPr="00874840">
              <w:rPr>
                <w:rFonts w:eastAsia="Times New Roman"/>
                <w:sz w:val="18"/>
                <w:szCs w:val="18"/>
                <w:lang w:eastAsia="ru-RU"/>
              </w:rPr>
              <w:t>3,68</w:t>
            </w:r>
          </w:p>
        </w:tc>
      </w:tr>
      <w:tr w:rsidR="009A4C46" w:rsidRPr="00874840" w14:paraId="4A62BA0D" w14:textId="77777777" w:rsidTr="00874840">
        <w:tc>
          <w:tcPr>
            <w:tcW w:w="523" w:type="pct"/>
            <w:tcBorders>
              <w:top w:val="nil"/>
              <w:left w:val="single" w:sz="4" w:space="0" w:color="auto"/>
              <w:bottom w:val="single" w:sz="4" w:space="0" w:color="auto"/>
              <w:right w:val="single" w:sz="4" w:space="0" w:color="auto"/>
            </w:tcBorders>
            <w:shd w:val="clear" w:color="auto" w:fill="auto"/>
            <w:vAlign w:val="center"/>
          </w:tcPr>
          <w:p w14:paraId="2F589D2E" w14:textId="77777777" w:rsidR="009A4C46" w:rsidRPr="00874840" w:rsidRDefault="009A4C46" w:rsidP="009A4C46">
            <w:pPr>
              <w:jc w:val="center"/>
              <w:rPr>
                <w:rFonts w:eastAsia="Times New Roman"/>
                <w:sz w:val="18"/>
                <w:szCs w:val="18"/>
                <w:lang w:eastAsia="ru-RU"/>
              </w:rPr>
            </w:pPr>
            <w:r w:rsidRPr="00874840">
              <w:rPr>
                <w:rFonts w:eastAsia="Times New Roman"/>
                <w:sz w:val="18"/>
                <w:szCs w:val="18"/>
                <w:lang w:eastAsia="ru-RU"/>
              </w:rPr>
              <w:t>1.3</w:t>
            </w:r>
          </w:p>
        </w:tc>
        <w:tc>
          <w:tcPr>
            <w:tcW w:w="1800" w:type="pct"/>
            <w:tcBorders>
              <w:top w:val="nil"/>
              <w:left w:val="nil"/>
              <w:bottom w:val="single" w:sz="4" w:space="0" w:color="auto"/>
              <w:right w:val="single" w:sz="4" w:space="0" w:color="auto"/>
            </w:tcBorders>
            <w:shd w:val="clear" w:color="auto" w:fill="auto"/>
            <w:vAlign w:val="center"/>
          </w:tcPr>
          <w:p w14:paraId="7592CA65" w14:textId="77777777" w:rsidR="009A4C46" w:rsidRPr="00874840" w:rsidRDefault="009A4C46" w:rsidP="009A4C46">
            <w:pPr>
              <w:rPr>
                <w:rFonts w:eastAsia="Times New Roman"/>
                <w:sz w:val="18"/>
                <w:szCs w:val="18"/>
                <w:lang w:eastAsia="ru-RU"/>
              </w:rPr>
            </w:pPr>
            <w:r w:rsidRPr="00874840">
              <w:rPr>
                <w:rFonts w:eastAsia="Times New Roman"/>
                <w:sz w:val="18"/>
                <w:szCs w:val="18"/>
                <w:lang w:eastAsia="ru-RU"/>
              </w:rPr>
              <w:t>Возврат налога на добавленную стоимость</w:t>
            </w:r>
          </w:p>
        </w:tc>
        <w:tc>
          <w:tcPr>
            <w:tcW w:w="434" w:type="pct"/>
            <w:tcBorders>
              <w:top w:val="nil"/>
              <w:left w:val="nil"/>
              <w:bottom w:val="single" w:sz="4" w:space="0" w:color="auto"/>
              <w:right w:val="single" w:sz="4" w:space="0" w:color="auto"/>
            </w:tcBorders>
            <w:shd w:val="clear" w:color="auto" w:fill="auto"/>
            <w:vAlign w:val="center"/>
          </w:tcPr>
          <w:p w14:paraId="1B6B78FC" w14:textId="77777777" w:rsidR="009A4C46" w:rsidRPr="00874840" w:rsidRDefault="009A4C46" w:rsidP="009A4C46">
            <w:pPr>
              <w:jc w:val="right"/>
              <w:rPr>
                <w:rFonts w:eastAsia="Times New Roman"/>
                <w:sz w:val="18"/>
                <w:szCs w:val="18"/>
                <w:lang w:eastAsia="ru-RU"/>
              </w:rPr>
            </w:pPr>
            <w:r w:rsidRPr="00874840">
              <w:rPr>
                <w:rFonts w:eastAsia="Times New Roman"/>
                <w:sz w:val="18"/>
                <w:szCs w:val="18"/>
                <w:lang w:eastAsia="ru-RU"/>
              </w:rPr>
              <w:t>15,41</w:t>
            </w:r>
          </w:p>
        </w:tc>
        <w:tc>
          <w:tcPr>
            <w:tcW w:w="435" w:type="pct"/>
            <w:tcBorders>
              <w:top w:val="nil"/>
              <w:left w:val="nil"/>
              <w:bottom w:val="single" w:sz="4" w:space="0" w:color="auto"/>
              <w:right w:val="single" w:sz="4" w:space="0" w:color="auto"/>
            </w:tcBorders>
            <w:shd w:val="clear" w:color="auto" w:fill="auto"/>
            <w:vAlign w:val="center"/>
          </w:tcPr>
          <w:p w14:paraId="050D0B6E" w14:textId="77777777" w:rsidR="009A4C46" w:rsidRPr="00874840" w:rsidRDefault="009A4C46" w:rsidP="009A4C46">
            <w:pPr>
              <w:jc w:val="right"/>
              <w:rPr>
                <w:rFonts w:eastAsia="Times New Roman"/>
                <w:sz w:val="18"/>
                <w:szCs w:val="18"/>
                <w:lang w:eastAsia="ru-RU"/>
              </w:rPr>
            </w:pPr>
            <w:r w:rsidRPr="00874840">
              <w:rPr>
                <w:rFonts w:eastAsia="Times New Roman"/>
                <w:sz w:val="18"/>
                <w:szCs w:val="18"/>
                <w:lang w:eastAsia="ru-RU"/>
              </w:rPr>
              <w:t>10,49</w:t>
            </w:r>
          </w:p>
        </w:tc>
        <w:tc>
          <w:tcPr>
            <w:tcW w:w="435" w:type="pct"/>
            <w:tcBorders>
              <w:top w:val="nil"/>
              <w:left w:val="nil"/>
              <w:bottom w:val="single" w:sz="4" w:space="0" w:color="auto"/>
              <w:right w:val="single" w:sz="4" w:space="0" w:color="auto"/>
            </w:tcBorders>
            <w:shd w:val="clear" w:color="auto" w:fill="auto"/>
            <w:vAlign w:val="center"/>
          </w:tcPr>
          <w:p w14:paraId="607C310F" w14:textId="77777777" w:rsidR="009A4C46" w:rsidRPr="00874840" w:rsidRDefault="009A4C46" w:rsidP="009A4C46">
            <w:pPr>
              <w:jc w:val="right"/>
              <w:rPr>
                <w:rFonts w:eastAsia="Times New Roman"/>
                <w:sz w:val="18"/>
                <w:szCs w:val="18"/>
                <w:lang w:eastAsia="ru-RU"/>
              </w:rPr>
            </w:pPr>
            <w:r w:rsidRPr="00874840">
              <w:rPr>
                <w:rFonts w:eastAsia="Times New Roman"/>
                <w:sz w:val="18"/>
                <w:szCs w:val="18"/>
                <w:lang w:eastAsia="ru-RU"/>
              </w:rPr>
              <w:t>10,62</w:t>
            </w:r>
          </w:p>
        </w:tc>
        <w:tc>
          <w:tcPr>
            <w:tcW w:w="435" w:type="pct"/>
            <w:tcBorders>
              <w:top w:val="nil"/>
              <w:left w:val="nil"/>
              <w:bottom w:val="single" w:sz="4" w:space="0" w:color="auto"/>
              <w:right w:val="single" w:sz="4" w:space="0" w:color="auto"/>
            </w:tcBorders>
            <w:shd w:val="clear" w:color="auto" w:fill="auto"/>
            <w:vAlign w:val="center"/>
          </w:tcPr>
          <w:p w14:paraId="1772EBD6" w14:textId="77777777" w:rsidR="009A4C46" w:rsidRPr="00874840" w:rsidRDefault="009A4C46" w:rsidP="009A4C46">
            <w:pPr>
              <w:jc w:val="right"/>
              <w:rPr>
                <w:rFonts w:eastAsia="Times New Roman"/>
                <w:sz w:val="18"/>
                <w:szCs w:val="18"/>
                <w:lang w:eastAsia="ru-RU"/>
              </w:rPr>
            </w:pPr>
            <w:r w:rsidRPr="00874840">
              <w:rPr>
                <w:rFonts w:eastAsia="Times New Roman"/>
                <w:sz w:val="18"/>
                <w:szCs w:val="18"/>
                <w:lang w:eastAsia="ru-RU"/>
              </w:rPr>
              <w:t>12,96</w:t>
            </w:r>
          </w:p>
        </w:tc>
        <w:tc>
          <w:tcPr>
            <w:tcW w:w="435" w:type="pct"/>
            <w:tcBorders>
              <w:top w:val="nil"/>
              <w:left w:val="nil"/>
              <w:bottom w:val="single" w:sz="4" w:space="0" w:color="auto"/>
              <w:right w:val="single" w:sz="4" w:space="0" w:color="auto"/>
            </w:tcBorders>
            <w:shd w:val="clear" w:color="auto" w:fill="auto"/>
            <w:vAlign w:val="center"/>
          </w:tcPr>
          <w:p w14:paraId="2ECE2CFC" w14:textId="77777777" w:rsidR="009A4C46" w:rsidRPr="00874840" w:rsidRDefault="009A4C46" w:rsidP="009A4C46">
            <w:pPr>
              <w:jc w:val="right"/>
              <w:rPr>
                <w:rFonts w:eastAsia="Times New Roman"/>
                <w:sz w:val="18"/>
                <w:szCs w:val="18"/>
                <w:lang w:eastAsia="ru-RU"/>
              </w:rPr>
            </w:pPr>
            <w:r w:rsidRPr="00874840">
              <w:rPr>
                <w:rFonts w:eastAsia="Times New Roman"/>
                <w:sz w:val="18"/>
                <w:szCs w:val="18"/>
                <w:lang w:eastAsia="ru-RU"/>
              </w:rPr>
              <w:t>13,47</w:t>
            </w:r>
          </w:p>
        </w:tc>
        <w:tc>
          <w:tcPr>
            <w:tcW w:w="503" w:type="pct"/>
            <w:tcBorders>
              <w:top w:val="nil"/>
              <w:left w:val="nil"/>
              <w:bottom w:val="single" w:sz="4" w:space="0" w:color="auto"/>
              <w:right w:val="single" w:sz="4" w:space="0" w:color="auto"/>
            </w:tcBorders>
            <w:shd w:val="clear" w:color="auto" w:fill="auto"/>
            <w:vAlign w:val="center"/>
          </w:tcPr>
          <w:p w14:paraId="36A09AE3" w14:textId="77777777" w:rsidR="009A4C46" w:rsidRPr="00874840" w:rsidRDefault="009A4C46" w:rsidP="009A4C46">
            <w:pPr>
              <w:jc w:val="right"/>
              <w:rPr>
                <w:rFonts w:eastAsia="Times New Roman"/>
                <w:sz w:val="18"/>
                <w:szCs w:val="18"/>
                <w:lang w:eastAsia="ru-RU"/>
              </w:rPr>
            </w:pPr>
            <w:r w:rsidRPr="00874840">
              <w:rPr>
                <w:rFonts w:eastAsia="Times New Roman"/>
                <w:sz w:val="18"/>
                <w:szCs w:val="18"/>
                <w:lang w:eastAsia="ru-RU"/>
              </w:rPr>
              <w:t>62,94</w:t>
            </w:r>
          </w:p>
        </w:tc>
      </w:tr>
      <w:tr w:rsidR="009A4C46" w:rsidRPr="00874840" w14:paraId="1D1AB0FF" w14:textId="77777777" w:rsidTr="00874840">
        <w:tc>
          <w:tcPr>
            <w:tcW w:w="523" w:type="pct"/>
            <w:tcBorders>
              <w:top w:val="nil"/>
              <w:left w:val="single" w:sz="4" w:space="0" w:color="auto"/>
              <w:bottom w:val="single" w:sz="4" w:space="0" w:color="auto"/>
              <w:right w:val="single" w:sz="4" w:space="0" w:color="auto"/>
            </w:tcBorders>
            <w:shd w:val="clear" w:color="auto" w:fill="auto"/>
            <w:vAlign w:val="center"/>
          </w:tcPr>
          <w:p w14:paraId="4888586B" w14:textId="77777777" w:rsidR="009A4C46" w:rsidRPr="00874840" w:rsidRDefault="009A4C46" w:rsidP="009A4C46">
            <w:pPr>
              <w:jc w:val="center"/>
              <w:rPr>
                <w:rFonts w:eastAsia="Times New Roman"/>
                <w:sz w:val="18"/>
                <w:szCs w:val="18"/>
                <w:lang w:eastAsia="ru-RU"/>
              </w:rPr>
            </w:pPr>
            <w:r w:rsidRPr="00874840">
              <w:rPr>
                <w:rFonts w:eastAsia="Times New Roman"/>
                <w:sz w:val="18"/>
                <w:szCs w:val="18"/>
                <w:lang w:eastAsia="ru-RU"/>
              </w:rPr>
              <w:t>1.4</w:t>
            </w:r>
          </w:p>
        </w:tc>
        <w:tc>
          <w:tcPr>
            <w:tcW w:w="1800" w:type="pct"/>
            <w:tcBorders>
              <w:top w:val="nil"/>
              <w:left w:val="nil"/>
              <w:bottom w:val="single" w:sz="4" w:space="0" w:color="auto"/>
              <w:right w:val="single" w:sz="4" w:space="0" w:color="auto"/>
            </w:tcBorders>
            <w:shd w:val="clear" w:color="auto" w:fill="auto"/>
            <w:vAlign w:val="center"/>
          </w:tcPr>
          <w:p w14:paraId="31B4D697" w14:textId="77777777" w:rsidR="009A4C46" w:rsidRPr="00874840" w:rsidRDefault="009A4C46" w:rsidP="009A4C46">
            <w:pPr>
              <w:rPr>
                <w:rFonts w:eastAsia="Times New Roman"/>
                <w:sz w:val="18"/>
                <w:szCs w:val="18"/>
                <w:lang w:eastAsia="ru-RU"/>
              </w:rPr>
            </w:pPr>
            <w:r w:rsidRPr="00874840">
              <w:rPr>
                <w:rFonts w:eastAsia="Times New Roman"/>
                <w:sz w:val="18"/>
                <w:szCs w:val="18"/>
                <w:lang w:eastAsia="ru-RU"/>
              </w:rPr>
              <w:t>Прочие собственные средства всего, в том числе:</w:t>
            </w:r>
          </w:p>
        </w:tc>
        <w:tc>
          <w:tcPr>
            <w:tcW w:w="434" w:type="pct"/>
            <w:tcBorders>
              <w:top w:val="nil"/>
              <w:left w:val="nil"/>
              <w:bottom w:val="single" w:sz="4" w:space="0" w:color="auto"/>
              <w:right w:val="single" w:sz="4" w:space="0" w:color="auto"/>
            </w:tcBorders>
            <w:shd w:val="clear" w:color="auto" w:fill="auto"/>
            <w:vAlign w:val="center"/>
          </w:tcPr>
          <w:p w14:paraId="019930E8" w14:textId="77777777" w:rsidR="009A4C46" w:rsidRPr="00874840" w:rsidRDefault="009A4C46" w:rsidP="009A4C46">
            <w:pPr>
              <w:jc w:val="right"/>
              <w:rPr>
                <w:rFonts w:eastAsia="Times New Roman"/>
                <w:sz w:val="18"/>
                <w:szCs w:val="18"/>
                <w:lang w:eastAsia="ru-RU"/>
              </w:rPr>
            </w:pPr>
            <w:r w:rsidRPr="00874840">
              <w:rPr>
                <w:rFonts w:eastAsia="Times New Roman"/>
                <w:sz w:val="18"/>
                <w:szCs w:val="18"/>
                <w:lang w:eastAsia="ru-RU"/>
              </w:rPr>
              <w:t>157,60</w:t>
            </w:r>
          </w:p>
        </w:tc>
        <w:tc>
          <w:tcPr>
            <w:tcW w:w="435" w:type="pct"/>
            <w:tcBorders>
              <w:top w:val="nil"/>
              <w:left w:val="nil"/>
              <w:bottom w:val="single" w:sz="4" w:space="0" w:color="auto"/>
              <w:right w:val="single" w:sz="4" w:space="0" w:color="auto"/>
            </w:tcBorders>
            <w:shd w:val="clear" w:color="auto" w:fill="auto"/>
            <w:vAlign w:val="center"/>
          </w:tcPr>
          <w:p w14:paraId="6CF5E3C9" w14:textId="77777777" w:rsidR="009A4C46" w:rsidRPr="00874840" w:rsidRDefault="009A4C46" w:rsidP="009A4C46">
            <w:pPr>
              <w:jc w:val="right"/>
              <w:rPr>
                <w:rFonts w:eastAsia="Times New Roman"/>
                <w:sz w:val="18"/>
                <w:szCs w:val="18"/>
                <w:lang w:eastAsia="ru-RU"/>
              </w:rPr>
            </w:pPr>
            <w:r w:rsidRPr="00874840">
              <w:rPr>
                <w:rFonts w:eastAsia="Times New Roman"/>
                <w:sz w:val="18"/>
                <w:szCs w:val="18"/>
                <w:lang w:eastAsia="ru-RU"/>
              </w:rPr>
              <w:t>575,26</w:t>
            </w:r>
          </w:p>
        </w:tc>
        <w:tc>
          <w:tcPr>
            <w:tcW w:w="435" w:type="pct"/>
            <w:tcBorders>
              <w:top w:val="nil"/>
              <w:left w:val="nil"/>
              <w:bottom w:val="single" w:sz="4" w:space="0" w:color="auto"/>
              <w:right w:val="single" w:sz="4" w:space="0" w:color="auto"/>
            </w:tcBorders>
            <w:shd w:val="clear" w:color="auto" w:fill="auto"/>
            <w:vAlign w:val="center"/>
          </w:tcPr>
          <w:p w14:paraId="30307601" w14:textId="77777777" w:rsidR="009A4C46" w:rsidRPr="00874840" w:rsidRDefault="009A4C46" w:rsidP="009A4C46">
            <w:pPr>
              <w:jc w:val="right"/>
              <w:rPr>
                <w:rFonts w:eastAsia="Times New Roman"/>
                <w:sz w:val="18"/>
                <w:szCs w:val="18"/>
                <w:lang w:eastAsia="ru-RU"/>
              </w:rPr>
            </w:pPr>
            <w:r w:rsidRPr="00874840">
              <w:rPr>
                <w:rFonts w:eastAsia="Times New Roman"/>
                <w:sz w:val="18"/>
                <w:szCs w:val="18"/>
                <w:lang w:eastAsia="ru-RU"/>
              </w:rPr>
              <w:t>0,00</w:t>
            </w:r>
          </w:p>
        </w:tc>
        <w:tc>
          <w:tcPr>
            <w:tcW w:w="435" w:type="pct"/>
            <w:tcBorders>
              <w:top w:val="nil"/>
              <w:left w:val="nil"/>
              <w:bottom w:val="single" w:sz="4" w:space="0" w:color="auto"/>
              <w:right w:val="single" w:sz="4" w:space="0" w:color="auto"/>
            </w:tcBorders>
            <w:shd w:val="clear" w:color="auto" w:fill="auto"/>
            <w:vAlign w:val="center"/>
          </w:tcPr>
          <w:p w14:paraId="4E2BDD9A" w14:textId="77777777" w:rsidR="009A4C46" w:rsidRPr="00874840" w:rsidRDefault="009A4C46" w:rsidP="009A4C46">
            <w:pPr>
              <w:jc w:val="right"/>
              <w:rPr>
                <w:rFonts w:eastAsia="Times New Roman"/>
                <w:sz w:val="18"/>
                <w:szCs w:val="18"/>
                <w:lang w:eastAsia="ru-RU"/>
              </w:rPr>
            </w:pPr>
            <w:r w:rsidRPr="00874840">
              <w:rPr>
                <w:rFonts w:eastAsia="Times New Roman"/>
                <w:sz w:val="18"/>
                <w:szCs w:val="18"/>
                <w:lang w:eastAsia="ru-RU"/>
              </w:rPr>
              <w:t>0,00</w:t>
            </w:r>
          </w:p>
        </w:tc>
        <w:tc>
          <w:tcPr>
            <w:tcW w:w="435" w:type="pct"/>
            <w:tcBorders>
              <w:top w:val="nil"/>
              <w:left w:val="nil"/>
              <w:bottom w:val="single" w:sz="4" w:space="0" w:color="auto"/>
              <w:right w:val="single" w:sz="4" w:space="0" w:color="auto"/>
            </w:tcBorders>
            <w:shd w:val="clear" w:color="auto" w:fill="auto"/>
            <w:vAlign w:val="center"/>
          </w:tcPr>
          <w:p w14:paraId="03E1439A" w14:textId="77777777" w:rsidR="009A4C46" w:rsidRPr="00874840" w:rsidRDefault="009A4C46" w:rsidP="009A4C46">
            <w:pPr>
              <w:jc w:val="right"/>
              <w:rPr>
                <w:rFonts w:eastAsia="Times New Roman"/>
                <w:sz w:val="18"/>
                <w:szCs w:val="18"/>
                <w:lang w:eastAsia="ru-RU"/>
              </w:rPr>
            </w:pPr>
            <w:r w:rsidRPr="00874840">
              <w:rPr>
                <w:rFonts w:eastAsia="Times New Roman"/>
                <w:sz w:val="18"/>
                <w:szCs w:val="18"/>
                <w:lang w:eastAsia="ru-RU"/>
              </w:rPr>
              <w:t>0,00</w:t>
            </w:r>
          </w:p>
        </w:tc>
        <w:tc>
          <w:tcPr>
            <w:tcW w:w="503" w:type="pct"/>
            <w:tcBorders>
              <w:top w:val="nil"/>
              <w:left w:val="nil"/>
              <w:bottom w:val="single" w:sz="4" w:space="0" w:color="auto"/>
              <w:right w:val="single" w:sz="4" w:space="0" w:color="auto"/>
            </w:tcBorders>
            <w:shd w:val="clear" w:color="auto" w:fill="auto"/>
            <w:vAlign w:val="center"/>
          </w:tcPr>
          <w:p w14:paraId="73EB1893" w14:textId="77777777" w:rsidR="009A4C46" w:rsidRPr="00874840" w:rsidRDefault="009A4C46" w:rsidP="009A4C46">
            <w:pPr>
              <w:jc w:val="right"/>
              <w:rPr>
                <w:rFonts w:eastAsia="Times New Roman"/>
                <w:sz w:val="18"/>
                <w:szCs w:val="18"/>
                <w:lang w:eastAsia="ru-RU"/>
              </w:rPr>
            </w:pPr>
            <w:r w:rsidRPr="00874840">
              <w:rPr>
                <w:rFonts w:eastAsia="Times New Roman"/>
                <w:sz w:val="18"/>
                <w:szCs w:val="18"/>
                <w:lang w:eastAsia="ru-RU"/>
              </w:rPr>
              <w:t>732,86</w:t>
            </w:r>
          </w:p>
        </w:tc>
      </w:tr>
      <w:tr w:rsidR="009A4C46" w:rsidRPr="00874840" w14:paraId="377824CD" w14:textId="77777777" w:rsidTr="00874840">
        <w:tc>
          <w:tcPr>
            <w:tcW w:w="523" w:type="pct"/>
            <w:tcBorders>
              <w:top w:val="nil"/>
              <w:left w:val="single" w:sz="4" w:space="0" w:color="auto"/>
              <w:bottom w:val="single" w:sz="4" w:space="0" w:color="auto"/>
              <w:right w:val="single" w:sz="4" w:space="0" w:color="auto"/>
            </w:tcBorders>
            <w:shd w:val="clear" w:color="auto" w:fill="auto"/>
            <w:vAlign w:val="center"/>
          </w:tcPr>
          <w:p w14:paraId="2404E833" w14:textId="77777777" w:rsidR="009A4C46" w:rsidRPr="00874840" w:rsidRDefault="009A4C46" w:rsidP="009A4C46">
            <w:pPr>
              <w:jc w:val="center"/>
              <w:rPr>
                <w:rFonts w:eastAsia="Times New Roman"/>
                <w:sz w:val="18"/>
                <w:szCs w:val="18"/>
                <w:lang w:eastAsia="ru-RU"/>
              </w:rPr>
            </w:pPr>
            <w:r w:rsidRPr="00874840">
              <w:rPr>
                <w:rFonts w:eastAsia="Times New Roman"/>
                <w:sz w:val="18"/>
                <w:szCs w:val="18"/>
                <w:lang w:eastAsia="ru-RU"/>
              </w:rPr>
              <w:t>1.4.1</w:t>
            </w:r>
          </w:p>
        </w:tc>
        <w:tc>
          <w:tcPr>
            <w:tcW w:w="1800" w:type="pct"/>
            <w:tcBorders>
              <w:top w:val="nil"/>
              <w:left w:val="nil"/>
              <w:bottom w:val="single" w:sz="4" w:space="0" w:color="auto"/>
              <w:right w:val="single" w:sz="4" w:space="0" w:color="auto"/>
            </w:tcBorders>
            <w:shd w:val="clear" w:color="auto" w:fill="auto"/>
            <w:vAlign w:val="center"/>
          </w:tcPr>
          <w:p w14:paraId="6B4CC3E4" w14:textId="77777777" w:rsidR="009A4C46" w:rsidRPr="00874840" w:rsidRDefault="009A4C46" w:rsidP="009A4C46">
            <w:pPr>
              <w:rPr>
                <w:rFonts w:eastAsia="Times New Roman"/>
                <w:sz w:val="18"/>
                <w:szCs w:val="18"/>
                <w:lang w:eastAsia="ru-RU"/>
              </w:rPr>
            </w:pPr>
            <w:r w:rsidRPr="00874840">
              <w:rPr>
                <w:rFonts w:eastAsia="Times New Roman"/>
                <w:sz w:val="18"/>
                <w:szCs w:val="18"/>
                <w:lang w:eastAsia="ru-RU"/>
              </w:rPr>
              <w:t>средства от эмиссии акций</w:t>
            </w:r>
          </w:p>
        </w:tc>
        <w:tc>
          <w:tcPr>
            <w:tcW w:w="434" w:type="pct"/>
            <w:tcBorders>
              <w:top w:val="nil"/>
              <w:left w:val="nil"/>
              <w:bottom w:val="single" w:sz="4" w:space="0" w:color="auto"/>
              <w:right w:val="single" w:sz="4" w:space="0" w:color="auto"/>
            </w:tcBorders>
            <w:shd w:val="clear" w:color="auto" w:fill="auto"/>
            <w:vAlign w:val="center"/>
          </w:tcPr>
          <w:p w14:paraId="7B03FA16" w14:textId="77777777" w:rsidR="009A4C46" w:rsidRPr="00874840" w:rsidRDefault="009A4C46" w:rsidP="009A4C46">
            <w:pPr>
              <w:jc w:val="right"/>
              <w:rPr>
                <w:rFonts w:eastAsia="Times New Roman"/>
                <w:sz w:val="18"/>
                <w:szCs w:val="18"/>
                <w:lang w:eastAsia="ru-RU"/>
              </w:rPr>
            </w:pPr>
            <w:r w:rsidRPr="00874840">
              <w:rPr>
                <w:rFonts w:eastAsia="Times New Roman"/>
                <w:sz w:val="18"/>
                <w:szCs w:val="18"/>
                <w:lang w:eastAsia="ru-RU"/>
              </w:rPr>
              <w:t>157,60</w:t>
            </w:r>
          </w:p>
        </w:tc>
        <w:tc>
          <w:tcPr>
            <w:tcW w:w="435" w:type="pct"/>
            <w:tcBorders>
              <w:top w:val="nil"/>
              <w:left w:val="nil"/>
              <w:bottom w:val="single" w:sz="4" w:space="0" w:color="auto"/>
              <w:right w:val="single" w:sz="4" w:space="0" w:color="auto"/>
            </w:tcBorders>
            <w:shd w:val="clear" w:color="auto" w:fill="auto"/>
            <w:vAlign w:val="center"/>
          </w:tcPr>
          <w:p w14:paraId="629E0C5C" w14:textId="77777777" w:rsidR="009A4C46" w:rsidRPr="00874840" w:rsidRDefault="009A4C46" w:rsidP="009A4C46">
            <w:pPr>
              <w:jc w:val="right"/>
              <w:rPr>
                <w:rFonts w:eastAsia="Times New Roman"/>
                <w:sz w:val="18"/>
                <w:szCs w:val="18"/>
                <w:lang w:eastAsia="ru-RU"/>
              </w:rPr>
            </w:pPr>
            <w:r w:rsidRPr="00874840">
              <w:rPr>
                <w:rFonts w:eastAsia="Times New Roman"/>
                <w:sz w:val="18"/>
                <w:szCs w:val="18"/>
                <w:lang w:eastAsia="ru-RU"/>
              </w:rPr>
              <w:t>575,26</w:t>
            </w:r>
          </w:p>
        </w:tc>
        <w:tc>
          <w:tcPr>
            <w:tcW w:w="435" w:type="pct"/>
            <w:tcBorders>
              <w:top w:val="nil"/>
              <w:left w:val="nil"/>
              <w:bottom w:val="single" w:sz="4" w:space="0" w:color="auto"/>
              <w:right w:val="single" w:sz="4" w:space="0" w:color="auto"/>
            </w:tcBorders>
            <w:shd w:val="clear" w:color="auto" w:fill="auto"/>
            <w:vAlign w:val="center"/>
          </w:tcPr>
          <w:p w14:paraId="644D14B0" w14:textId="77777777" w:rsidR="009A4C46" w:rsidRPr="00874840" w:rsidRDefault="009A4C46" w:rsidP="009A4C46">
            <w:pPr>
              <w:jc w:val="right"/>
              <w:rPr>
                <w:rFonts w:eastAsia="Times New Roman"/>
                <w:sz w:val="18"/>
                <w:szCs w:val="18"/>
                <w:lang w:eastAsia="ru-RU"/>
              </w:rPr>
            </w:pPr>
            <w:r w:rsidRPr="00874840">
              <w:rPr>
                <w:rFonts w:eastAsia="Times New Roman"/>
                <w:sz w:val="18"/>
                <w:szCs w:val="18"/>
                <w:lang w:eastAsia="ru-RU"/>
              </w:rPr>
              <w:t>0,00</w:t>
            </w:r>
          </w:p>
        </w:tc>
        <w:tc>
          <w:tcPr>
            <w:tcW w:w="435" w:type="pct"/>
            <w:tcBorders>
              <w:top w:val="nil"/>
              <w:left w:val="nil"/>
              <w:bottom w:val="single" w:sz="4" w:space="0" w:color="auto"/>
              <w:right w:val="single" w:sz="4" w:space="0" w:color="auto"/>
            </w:tcBorders>
            <w:shd w:val="clear" w:color="auto" w:fill="auto"/>
            <w:vAlign w:val="center"/>
          </w:tcPr>
          <w:p w14:paraId="7C1F9A05" w14:textId="77777777" w:rsidR="009A4C46" w:rsidRPr="00874840" w:rsidRDefault="009A4C46" w:rsidP="009A4C46">
            <w:pPr>
              <w:jc w:val="right"/>
              <w:rPr>
                <w:rFonts w:eastAsia="Times New Roman"/>
                <w:sz w:val="18"/>
                <w:szCs w:val="18"/>
                <w:lang w:eastAsia="ru-RU"/>
              </w:rPr>
            </w:pPr>
            <w:r w:rsidRPr="00874840">
              <w:rPr>
                <w:rFonts w:eastAsia="Times New Roman"/>
                <w:sz w:val="18"/>
                <w:szCs w:val="18"/>
                <w:lang w:eastAsia="ru-RU"/>
              </w:rPr>
              <w:t>0,00</w:t>
            </w:r>
          </w:p>
        </w:tc>
        <w:tc>
          <w:tcPr>
            <w:tcW w:w="435" w:type="pct"/>
            <w:tcBorders>
              <w:top w:val="nil"/>
              <w:left w:val="nil"/>
              <w:bottom w:val="single" w:sz="4" w:space="0" w:color="auto"/>
              <w:right w:val="single" w:sz="4" w:space="0" w:color="auto"/>
            </w:tcBorders>
            <w:shd w:val="clear" w:color="auto" w:fill="auto"/>
            <w:vAlign w:val="center"/>
          </w:tcPr>
          <w:p w14:paraId="6364BC35" w14:textId="77777777" w:rsidR="009A4C46" w:rsidRPr="00874840" w:rsidRDefault="009A4C46" w:rsidP="009A4C46">
            <w:pPr>
              <w:jc w:val="right"/>
              <w:rPr>
                <w:rFonts w:eastAsia="Times New Roman"/>
                <w:sz w:val="18"/>
                <w:szCs w:val="18"/>
                <w:lang w:eastAsia="ru-RU"/>
              </w:rPr>
            </w:pPr>
            <w:r w:rsidRPr="00874840">
              <w:rPr>
                <w:rFonts w:eastAsia="Times New Roman"/>
                <w:sz w:val="18"/>
                <w:szCs w:val="18"/>
                <w:lang w:eastAsia="ru-RU"/>
              </w:rPr>
              <w:t>0,00</w:t>
            </w:r>
          </w:p>
        </w:tc>
        <w:tc>
          <w:tcPr>
            <w:tcW w:w="503" w:type="pct"/>
            <w:tcBorders>
              <w:top w:val="nil"/>
              <w:left w:val="nil"/>
              <w:bottom w:val="single" w:sz="4" w:space="0" w:color="auto"/>
              <w:right w:val="single" w:sz="4" w:space="0" w:color="auto"/>
            </w:tcBorders>
            <w:shd w:val="clear" w:color="auto" w:fill="auto"/>
            <w:vAlign w:val="center"/>
          </w:tcPr>
          <w:p w14:paraId="2A9529FA" w14:textId="77777777" w:rsidR="009A4C46" w:rsidRPr="00874840" w:rsidRDefault="009A4C46" w:rsidP="009A4C46">
            <w:pPr>
              <w:jc w:val="right"/>
              <w:rPr>
                <w:rFonts w:eastAsia="Times New Roman"/>
                <w:sz w:val="18"/>
                <w:szCs w:val="18"/>
                <w:lang w:eastAsia="ru-RU"/>
              </w:rPr>
            </w:pPr>
            <w:r w:rsidRPr="00874840">
              <w:rPr>
                <w:rFonts w:eastAsia="Times New Roman"/>
                <w:sz w:val="18"/>
                <w:szCs w:val="18"/>
                <w:lang w:eastAsia="ru-RU"/>
              </w:rPr>
              <w:t>732,86</w:t>
            </w:r>
          </w:p>
        </w:tc>
      </w:tr>
      <w:tr w:rsidR="009A4C46" w:rsidRPr="00874840" w14:paraId="4D812961" w14:textId="77777777" w:rsidTr="00874840">
        <w:tc>
          <w:tcPr>
            <w:tcW w:w="523" w:type="pct"/>
            <w:tcBorders>
              <w:top w:val="nil"/>
              <w:left w:val="single" w:sz="4" w:space="0" w:color="auto"/>
              <w:bottom w:val="single" w:sz="4" w:space="0" w:color="auto"/>
              <w:right w:val="single" w:sz="4" w:space="0" w:color="auto"/>
            </w:tcBorders>
            <w:shd w:val="clear" w:color="auto" w:fill="auto"/>
            <w:vAlign w:val="center"/>
          </w:tcPr>
          <w:p w14:paraId="1728A32B" w14:textId="77777777" w:rsidR="009A4C46" w:rsidRPr="00874840" w:rsidRDefault="009A4C46" w:rsidP="009A4C46">
            <w:pPr>
              <w:jc w:val="center"/>
              <w:rPr>
                <w:rFonts w:eastAsia="Times New Roman"/>
                <w:sz w:val="18"/>
                <w:szCs w:val="18"/>
                <w:lang w:eastAsia="ru-RU"/>
              </w:rPr>
            </w:pPr>
            <w:r w:rsidRPr="00874840">
              <w:rPr>
                <w:rFonts w:eastAsia="Times New Roman"/>
                <w:sz w:val="18"/>
                <w:szCs w:val="18"/>
                <w:lang w:eastAsia="ru-RU"/>
              </w:rPr>
              <w:t>1.4.2</w:t>
            </w:r>
          </w:p>
        </w:tc>
        <w:tc>
          <w:tcPr>
            <w:tcW w:w="1800" w:type="pct"/>
            <w:tcBorders>
              <w:top w:val="nil"/>
              <w:left w:val="nil"/>
              <w:bottom w:val="single" w:sz="4" w:space="0" w:color="auto"/>
              <w:right w:val="single" w:sz="4" w:space="0" w:color="auto"/>
            </w:tcBorders>
            <w:shd w:val="clear" w:color="auto" w:fill="auto"/>
            <w:vAlign w:val="center"/>
          </w:tcPr>
          <w:p w14:paraId="0D08622B" w14:textId="77777777" w:rsidR="009A4C46" w:rsidRPr="00874840" w:rsidRDefault="009A4C46" w:rsidP="009A4C46">
            <w:pPr>
              <w:rPr>
                <w:rFonts w:eastAsia="Times New Roman"/>
                <w:sz w:val="18"/>
                <w:szCs w:val="18"/>
                <w:lang w:eastAsia="ru-RU"/>
              </w:rPr>
            </w:pPr>
            <w:r w:rsidRPr="00874840">
              <w:rPr>
                <w:rFonts w:eastAsia="Times New Roman"/>
                <w:sz w:val="18"/>
                <w:szCs w:val="18"/>
                <w:lang w:eastAsia="ru-RU"/>
              </w:rPr>
              <w:t>остаток собственных средств на начало года</w:t>
            </w:r>
          </w:p>
        </w:tc>
        <w:tc>
          <w:tcPr>
            <w:tcW w:w="434" w:type="pct"/>
            <w:tcBorders>
              <w:top w:val="nil"/>
              <w:left w:val="nil"/>
              <w:bottom w:val="single" w:sz="4" w:space="0" w:color="auto"/>
              <w:right w:val="single" w:sz="4" w:space="0" w:color="auto"/>
            </w:tcBorders>
            <w:shd w:val="clear" w:color="auto" w:fill="auto"/>
            <w:vAlign w:val="center"/>
          </w:tcPr>
          <w:p w14:paraId="15AAD248" w14:textId="77777777" w:rsidR="009A4C46" w:rsidRPr="00874840" w:rsidRDefault="009A4C46" w:rsidP="009A4C46">
            <w:pPr>
              <w:jc w:val="right"/>
              <w:rPr>
                <w:rFonts w:eastAsia="Times New Roman"/>
                <w:sz w:val="18"/>
                <w:szCs w:val="18"/>
                <w:lang w:eastAsia="ru-RU"/>
              </w:rPr>
            </w:pPr>
            <w:r w:rsidRPr="00874840">
              <w:rPr>
                <w:rFonts w:eastAsia="Times New Roman"/>
                <w:sz w:val="18"/>
                <w:szCs w:val="18"/>
                <w:lang w:eastAsia="ru-RU"/>
              </w:rPr>
              <w:t>0,00</w:t>
            </w:r>
          </w:p>
        </w:tc>
        <w:tc>
          <w:tcPr>
            <w:tcW w:w="435" w:type="pct"/>
            <w:tcBorders>
              <w:top w:val="nil"/>
              <w:left w:val="nil"/>
              <w:bottom w:val="single" w:sz="4" w:space="0" w:color="auto"/>
              <w:right w:val="single" w:sz="4" w:space="0" w:color="auto"/>
            </w:tcBorders>
            <w:shd w:val="clear" w:color="auto" w:fill="auto"/>
            <w:vAlign w:val="center"/>
          </w:tcPr>
          <w:p w14:paraId="5551D2A5" w14:textId="77777777" w:rsidR="009A4C46" w:rsidRPr="00874840" w:rsidRDefault="009A4C46" w:rsidP="009A4C46">
            <w:pPr>
              <w:jc w:val="right"/>
              <w:rPr>
                <w:rFonts w:eastAsia="Times New Roman"/>
                <w:sz w:val="18"/>
                <w:szCs w:val="18"/>
                <w:lang w:eastAsia="ru-RU"/>
              </w:rPr>
            </w:pPr>
            <w:r w:rsidRPr="00874840">
              <w:rPr>
                <w:rFonts w:eastAsia="Times New Roman"/>
                <w:sz w:val="18"/>
                <w:szCs w:val="18"/>
                <w:lang w:eastAsia="ru-RU"/>
              </w:rPr>
              <w:t>0,00</w:t>
            </w:r>
          </w:p>
        </w:tc>
        <w:tc>
          <w:tcPr>
            <w:tcW w:w="435" w:type="pct"/>
            <w:tcBorders>
              <w:top w:val="nil"/>
              <w:left w:val="nil"/>
              <w:bottom w:val="single" w:sz="4" w:space="0" w:color="auto"/>
              <w:right w:val="single" w:sz="4" w:space="0" w:color="auto"/>
            </w:tcBorders>
            <w:shd w:val="clear" w:color="auto" w:fill="auto"/>
            <w:vAlign w:val="center"/>
          </w:tcPr>
          <w:p w14:paraId="3F0AF083" w14:textId="77777777" w:rsidR="009A4C46" w:rsidRPr="00874840" w:rsidRDefault="009A4C46" w:rsidP="009A4C46">
            <w:pPr>
              <w:jc w:val="right"/>
              <w:rPr>
                <w:rFonts w:eastAsia="Times New Roman"/>
                <w:sz w:val="18"/>
                <w:szCs w:val="18"/>
                <w:lang w:eastAsia="ru-RU"/>
              </w:rPr>
            </w:pPr>
            <w:r w:rsidRPr="00874840">
              <w:rPr>
                <w:rFonts w:eastAsia="Times New Roman"/>
                <w:sz w:val="18"/>
                <w:szCs w:val="18"/>
                <w:lang w:eastAsia="ru-RU"/>
              </w:rPr>
              <w:t>0,00</w:t>
            </w:r>
          </w:p>
        </w:tc>
        <w:tc>
          <w:tcPr>
            <w:tcW w:w="435" w:type="pct"/>
            <w:tcBorders>
              <w:top w:val="nil"/>
              <w:left w:val="nil"/>
              <w:bottom w:val="single" w:sz="4" w:space="0" w:color="auto"/>
              <w:right w:val="single" w:sz="4" w:space="0" w:color="auto"/>
            </w:tcBorders>
            <w:shd w:val="clear" w:color="auto" w:fill="auto"/>
            <w:vAlign w:val="center"/>
          </w:tcPr>
          <w:p w14:paraId="21B9B300" w14:textId="77777777" w:rsidR="009A4C46" w:rsidRPr="00874840" w:rsidRDefault="009A4C46" w:rsidP="009A4C46">
            <w:pPr>
              <w:jc w:val="right"/>
              <w:rPr>
                <w:rFonts w:eastAsia="Times New Roman"/>
                <w:sz w:val="18"/>
                <w:szCs w:val="18"/>
                <w:lang w:eastAsia="ru-RU"/>
              </w:rPr>
            </w:pPr>
            <w:r w:rsidRPr="00874840">
              <w:rPr>
                <w:rFonts w:eastAsia="Times New Roman"/>
                <w:sz w:val="18"/>
                <w:szCs w:val="18"/>
                <w:lang w:eastAsia="ru-RU"/>
              </w:rPr>
              <w:t>0,00</w:t>
            </w:r>
          </w:p>
        </w:tc>
        <w:tc>
          <w:tcPr>
            <w:tcW w:w="435" w:type="pct"/>
            <w:tcBorders>
              <w:top w:val="nil"/>
              <w:left w:val="nil"/>
              <w:bottom w:val="single" w:sz="4" w:space="0" w:color="auto"/>
              <w:right w:val="single" w:sz="4" w:space="0" w:color="auto"/>
            </w:tcBorders>
            <w:shd w:val="clear" w:color="auto" w:fill="auto"/>
            <w:vAlign w:val="center"/>
          </w:tcPr>
          <w:p w14:paraId="6C14BF92" w14:textId="77777777" w:rsidR="009A4C46" w:rsidRPr="00874840" w:rsidRDefault="009A4C46" w:rsidP="009A4C46">
            <w:pPr>
              <w:jc w:val="right"/>
              <w:rPr>
                <w:rFonts w:eastAsia="Times New Roman"/>
                <w:sz w:val="18"/>
                <w:szCs w:val="18"/>
                <w:lang w:eastAsia="ru-RU"/>
              </w:rPr>
            </w:pPr>
            <w:r w:rsidRPr="00874840">
              <w:rPr>
                <w:rFonts w:eastAsia="Times New Roman"/>
                <w:sz w:val="18"/>
                <w:szCs w:val="18"/>
                <w:lang w:eastAsia="ru-RU"/>
              </w:rPr>
              <w:t>0,00</w:t>
            </w:r>
          </w:p>
        </w:tc>
        <w:tc>
          <w:tcPr>
            <w:tcW w:w="503" w:type="pct"/>
            <w:tcBorders>
              <w:top w:val="nil"/>
              <w:left w:val="nil"/>
              <w:bottom w:val="single" w:sz="4" w:space="0" w:color="auto"/>
              <w:right w:val="single" w:sz="4" w:space="0" w:color="auto"/>
            </w:tcBorders>
            <w:shd w:val="clear" w:color="auto" w:fill="auto"/>
            <w:vAlign w:val="center"/>
          </w:tcPr>
          <w:p w14:paraId="73062332" w14:textId="77777777" w:rsidR="009A4C46" w:rsidRPr="00874840" w:rsidRDefault="009A4C46" w:rsidP="009A4C46">
            <w:pPr>
              <w:jc w:val="right"/>
              <w:rPr>
                <w:rFonts w:eastAsia="Times New Roman"/>
                <w:sz w:val="18"/>
                <w:szCs w:val="18"/>
                <w:lang w:eastAsia="ru-RU"/>
              </w:rPr>
            </w:pPr>
            <w:r w:rsidRPr="00874840">
              <w:rPr>
                <w:rFonts w:eastAsia="Times New Roman"/>
                <w:sz w:val="18"/>
                <w:szCs w:val="18"/>
                <w:lang w:eastAsia="ru-RU"/>
              </w:rPr>
              <w:t>0,00</w:t>
            </w:r>
          </w:p>
        </w:tc>
      </w:tr>
      <w:tr w:rsidR="009A4C46" w:rsidRPr="00874840" w14:paraId="25E21DE5" w14:textId="77777777" w:rsidTr="00874840">
        <w:tc>
          <w:tcPr>
            <w:tcW w:w="523" w:type="pct"/>
            <w:tcBorders>
              <w:top w:val="nil"/>
              <w:left w:val="single" w:sz="4" w:space="0" w:color="auto"/>
              <w:bottom w:val="single" w:sz="4" w:space="0" w:color="auto"/>
              <w:right w:val="single" w:sz="4" w:space="0" w:color="auto"/>
            </w:tcBorders>
            <w:shd w:val="clear" w:color="auto" w:fill="auto"/>
            <w:vAlign w:val="center"/>
          </w:tcPr>
          <w:p w14:paraId="6F1D3D96" w14:textId="77777777" w:rsidR="009A4C46" w:rsidRPr="00874840" w:rsidRDefault="009A4C46" w:rsidP="009A4C46">
            <w:pPr>
              <w:jc w:val="center"/>
              <w:rPr>
                <w:rFonts w:eastAsia="Times New Roman"/>
                <w:b/>
                <w:bCs/>
                <w:sz w:val="18"/>
                <w:szCs w:val="18"/>
                <w:lang w:eastAsia="ru-RU"/>
              </w:rPr>
            </w:pPr>
            <w:r w:rsidRPr="00874840">
              <w:rPr>
                <w:rFonts w:eastAsia="Times New Roman"/>
                <w:b/>
                <w:bCs/>
                <w:sz w:val="18"/>
                <w:szCs w:val="18"/>
                <w:lang w:eastAsia="ru-RU"/>
              </w:rPr>
              <w:t>II</w:t>
            </w:r>
          </w:p>
        </w:tc>
        <w:tc>
          <w:tcPr>
            <w:tcW w:w="1800" w:type="pct"/>
            <w:tcBorders>
              <w:top w:val="nil"/>
              <w:left w:val="nil"/>
              <w:bottom w:val="single" w:sz="4" w:space="0" w:color="auto"/>
              <w:right w:val="single" w:sz="4" w:space="0" w:color="auto"/>
            </w:tcBorders>
            <w:shd w:val="clear" w:color="auto" w:fill="auto"/>
            <w:vAlign w:val="center"/>
          </w:tcPr>
          <w:p w14:paraId="4FD08B0B" w14:textId="77777777" w:rsidR="009A4C46" w:rsidRPr="00874840" w:rsidRDefault="009A4C46" w:rsidP="009A4C46">
            <w:pPr>
              <w:rPr>
                <w:rFonts w:eastAsia="Times New Roman"/>
                <w:b/>
                <w:bCs/>
                <w:sz w:val="18"/>
                <w:szCs w:val="18"/>
                <w:lang w:eastAsia="ru-RU"/>
              </w:rPr>
            </w:pPr>
            <w:r w:rsidRPr="00874840">
              <w:rPr>
                <w:rFonts w:eastAsia="Times New Roman"/>
                <w:b/>
                <w:bCs/>
                <w:sz w:val="18"/>
                <w:szCs w:val="18"/>
                <w:lang w:eastAsia="ru-RU"/>
              </w:rPr>
              <w:t>Привлеченные средства всего, в том числе:</w:t>
            </w:r>
          </w:p>
        </w:tc>
        <w:tc>
          <w:tcPr>
            <w:tcW w:w="434" w:type="pct"/>
            <w:tcBorders>
              <w:top w:val="nil"/>
              <w:left w:val="nil"/>
              <w:bottom w:val="single" w:sz="4" w:space="0" w:color="auto"/>
              <w:right w:val="single" w:sz="4" w:space="0" w:color="auto"/>
            </w:tcBorders>
            <w:shd w:val="clear" w:color="auto" w:fill="auto"/>
            <w:vAlign w:val="center"/>
          </w:tcPr>
          <w:p w14:paraId="0E73000A" w14:textId="77777777" w:rsidR="009A4C46" w:rsidRPr="00874840" w:rsidRDefault="009A4C46" w:rsidP="009A4C46">
            <w:pPr>
              <w:jc w:val="right"/>
              <w:rPr>
                <w:rFonts w:eastAsia="Times New Roman"/>
                <w:b/>
                <w:bCs/>
                <w:sz w:val="18"/>
                <w:szCs w:val="18"/>
                <w:lang w:eastAsia="ru-RU"/>
              </w:rPr>
            </w:pPr>
            <w:r w:rsidRPr="00874840">
              <w:rPr>
                <w:rFonts w:eastAsia="Times New Roman"/>
                <w:b/>
                <w:bCs/>
                <w:sz w:val="18"/>
                <w:szCs w:val="18"/>
                <w:lang w:eastAsia="ru-RU"/>
              </w:rPr>
              <w:t>0,00</w:t>
            </w:r>
          </w:p>
        </w:tc>
        <w:tc>
          <w:tcPr>
            <w:tcW w:w="435" w:type="pct"/>
            <w:tcBorders>
              <w:top w:val="nil"/>
              <w:left w:val="nil"/>
              <w:bottom w:val="single" w:sz="4" w:space="0" w:color="auto"/>
              <w:right w:val="single" w:sz="4" w:space="0" w:color="auto"/>
            </w:tcBorders>
            <w:shd w:val="clear" w:color="auto" w:fill="auto"/>
            <w:vAlign w:val="center"/>
          </w:tcPr>
          <w:p w14:paraId="6CD52758" w14:textId="77777777" w:rsidR="009A4C46" w:rsidRPr="00874840" w:rsidRDefault="009A4C46" w:rsidP="009A4C46">
            <w:pPr>
              <w:jc w:val="right"/>
              <w:rPr>
                <w:rFonts w:eastAsia="Times New Roman"/>
                <w:b/>
                <w:bCs/>
                <w:sz w:val="18"/>
                <w:szCs w:val="18"/>
                <w:lang w:eastAsia="ru-RU"/>
              </w:rPr>
            </w:pPr>
            <w:r w:rsidRPr="00874840">
              <w:rPr>
                <w:rFonts w:eastAsia="Times New Roman"/>
                <w:b/>
                <w:bCs/>
                <w:sz w:val="18"/>
                <w:szCs w:val="18"/>
                <w:lang w:eastAsia="ru-RU"/>
              </w:rPr>
              <w:t>0,00</w:t>
            </w:r>
          </w:p>
        </w:tc>
        <w:tc>
          <w:tcPr>
            <w:tcW w:w="435" w:type="pct"/>
            <w:tcBorders>
              <w:top w:val="nil"/>
              <w:left w:val="nil"/>
              <w:bottom w:val="single" w:sz="4" w:space="0" w:color="auto"/>
              <w:right w:val="single" w:sz="4" w:space="0" w:color="auto"/>
            </w:tcBorders>
            <w:shd w:val="clear" w:color="auto" w:fill="auto"/>
            <w:vAlign w:val="center"/>
          </w:tcPr>
          <w:p w14:paraId="48533F26" w14:textId="77777777" w:rsidR="009A4C46" w:rsidRPr="00874840" w:rsidRDefault="009A4C46" w:rsidP="009A4C46">
            <w:pPr>
              <w:jc w:val="right"/>
              <w:rPr>
                <w:rFonts w:eastAsia="Times New Roman"/>
                <w:b/>
                <w:bCs/>
                <w:sz w:val="18"/>
                <w:szCs w:val="18"/>
                <w:lang w:eastAsia="ru-RU"/>
              </w:rPr>
            </w:pPr>
            <w:r w:rsidRPr="00874840">
              <w:rPr>
                <w:rFonts w:eastAsia="Times New Roman"/>
                <w:b/>
                <w:bCs/>
                <w:sz w:val="18"/>
                <w:szCs w:val="18"/>
                <w:lang w:eastAsia="ru-RU"/>
              </w:rPr>
              <w:t>0,00</w:t>
            </w:r>
          </w:p>
        </w:tc>
        <w:tc>
          <w:tcPr>
            <w:tcW w:w="435" w:type="pct"/>
            <w:tcBorders>
              <w:top w:val="nil"/>
              <w:left w:val="nil"/>
              <w:bottom w:val="single" w:sz="4" w:space="0" w:color="auto"/>
              <w:right w:val="single" w:sz="4" w:space="0" w:color="auto"/>
            </w:tcBorders>
            <w:shd w:val="clear" w:color="auto" w:fill="auto"/>
            <w:vAlign w:val="center"/>
          </w:tcPr>
          <w:p w14:paraId="3CAA6919" w14:textId="77777777" w:rsidR="009A4C46" w:rsidRPr="00874840" w:rsidRDefault="009A4C46" w:rsidP="009A4C46">
            <w:pPr>
              <w:jc w:val="right"/>
              <w:rPr>
                <w:rFonts w:eastAsia="Times New Roman"/>
                <w:b/>
                <w:bCs/>
                <w:sz w:val="18"/>
                <w:szCs w:val="18"/>
                <w:lang w:eastAsia="ru-RU"/>
              </w:rPr>
            </w:pPr>
            <w:r w:rsidRPr="00874840">
              <w:rPr>
                <w:rFonts w:eastAsia="Times New Roman"/>
                <w:b/>
                <w:bCs/>
                <w:sz w:val="18"/>
                <w:szCs w:val="18"/>
                <w:lang w:eastAsia="ru-RU"/>
              </w:rPr>
              <w:t>0,00</w:t>
            </w:r>
          </w:p>
        </w:tc>
        <w:tc>
          <w:tcPr>
            <w:tcW w:w="435" w:type="pct"/>
            <w:tcBorders>
              <w:top w:val="nil"/>
              <w:left w:val="nil"/>
              <w:bottom w:val="single" w:sz="4" w:space="0" w:color="auto"/>
              <w:right w:val="single" w:sz="4" w:space="0" w:color="auto"/>
            </w:tcBorders>
            <w:shd w:val="clear" w:color="auto" w:fill="auto"/>
            <w:vAlign w:val="center"/>
          </w:tcPr>
          <w:p w14:paraId="708ECB2E" w14:textId="77777777" w:rsidR="009A4C46" w:rsidRPr="00874840" w:rsidRDefault="009A4C46" w:rsidP="009A4C46">
            <w:pPr>
              <w:jc w:val="right"/>
              <w:rPr>
                <w:rFonts w:eastAsia="Times New Roman"/>
                <w:b/>
                <w:bCs/>
                <w:sz w:val="18"/>
                <w:szCs w:val="18"/>
                <w:lang w:eastAsia="ru-RU"/>
              </w:rPr>
            </w:pPr>
            <w:r w:rsidRPr="00874840">
              <w:rPr>
                <w:rFonts w:eastAsia="Times New Roman"/>
                <w:b/>
                <w:bCs/>
                <w:sz w:val="18"/>
                <w:szCs w:val="18"/>
                <w:lang w:eastAsia="ru-RU"/>
              </w:rPr>
              <w:t>0,00</w:t>
            </w:r>
          </w:p>
        </w:tc>
        <w:tc>
          <w:tcPr>
            <w:tcW w:w="503" w:type="pct"/>
            <w:tcBorders>
              <w:top w:val="nil"/>
              <w:left w:val="nil"/>
              <w:bottom w:val="single" w:sz="4" w:space="0" w:color="auto"/>
              <w:right w:val="single" w:sz="4" w:space="0" w:color="auto"/>
            </w:tcBorders>
            <w:shd w:val="clear" w:color="auto" w:fill="auto"/>
            <w:vAlign w:val="center"/>
          </w:tcPr>
          <w:p w14:paraId="3115A184" w14:textId="77777777" w:rsidR="009A4C46" w:rsidRPr="00874840" w:rsidRDefault="009A4C46" w:rsidP="009A4C46">
            <w:pPr>
              <w:jc w:val="right"/>
              <w:rPr>
                <w:rFonts w:eastAsia="Times New Roman"/>
                <w:b/>
                <w:bCs/>
                <w:sz w:val="18"/>
                <w:szCs w:val="18"/>
                <w:lang w:eastAsia="ru-RU"/>
              </w:rPr>
            </w:pPr>
            <w:r w:rsidRPr="00874840">
              <w:rPr>
                <w:rFonts w:eastAsia="Times New Roman"/>
                <w:b/>
                <w:bCs/>
                <w:sz w:val="18"/>
                <w:szCs w:val="18"/>
                <w:lang w:eastAsia="ru-RU"/>
              </w:rPr>
              <w:t>0,00</w:t>
            </w:r>
          </w:p>
        </w:tc>
      </w:tr>
      <w:tr w:rsidR="009A4C46" w:rsidRPr="00874840" w14:paraId="5F959C99" w14:textId="77777777" w:rsidTr="00874840">
        <w:tc>
          <w:tcPr>
            <w:tcW w:w="523" w:type="pct"/>
            <w:tcBorders>
              <w:top w:val="nil"/>
              <w:left w:val="single" w:sz="4" w:space="0" w:color="auto"/>
              <w:bottom w:val="single" w:sz="4" w:space="0" w:color="auto"/>
              <w:right w:val="single" w:sz="4" w:space="0" w:color="auto"/>
            </w:tcBorders>
            <w:shd w:val="clear" w:color="auto" w:fill="auto"/>
            <w:vAlign w:val="center"/>
          </w:tcPr>
          <w:p w14:paraId="6EA1A4F8" w14:textId="77777777" w:rsidR="009A4C46" w:rsidRPr="00874840" w:rsidRDefault="009A4C46" w:rsidP="009A4C46">
            <w:pPr>
              <w:jc w:val="center"/>
              <w:rPr>
                <w:rFonts w:eastAsia="Times New Roman"/>
                <w:sz w:val="18"/>
                <w:szCs w:val="18"/>
                <w:lang w:eastAsia="ru-RU"/>
              </w:rPr>
            </w:pPr>
            <w:r w:rsidRPr="00874840">
              <w:rPr>
                <w:rFonts w:eastAsia="Times New Roman"/>
                <w:sz w:val="18"/>
                <w:szCs w:val="18"/>
                <w:lang w:eastAsia="ru-RU"/>
              </w:rPr>
              <w:t>2.1</w:t>
            </w:r>
          </w:p>
        </w:tc>
        <w:tc>
          <w:tcPr>
            <w:tcW w:w="1800" w:type="pct"/>
            <w:tcBorders>
              <w:top w:val="nil"/>
              <w:left w:val="nil"/>
              <w:bottom w:val="single" w:sz="4" w:space="0" w:color="auto"/>
              <w:right w:val="single" w:sz="4" w:space="0" w:color="auto"/>
            </w:tcBorders>
            <w:shd w:val="clear" w:color="auto" w:fill="auto"/>
            <w:vAlign w:val="center"/>
          </w:tcPr>
          <w:p w14:paraId="4A42A293" w14:textId="77777777" w:rsidR="009A4C46" w:rsidRPr="00874840" w:rsidRDefault="009A4C46" w:rsidP="009A4C46">
            <w:pPr>
              <w:rPr>
                <w:rFonts w:eastAsia="Times New Roman"/>
                <w:sz w:val="18"/>
                <w:szCs w:val="18"/>
                <w:lang w:eastAsia="ru-RU"/>
              </w:rPr>
            </w:pPr>
            <w:r w:rsidRPr="00874840">
              <w:rPr>
                <w:rFonts w:eastAsia="Times New Roman"/>
                <w:sz w:val="18"/>
                <w:szCs w:val="18"/>
                <w:lang w:eastAsia="ru-RU"/>
              </w:rPr>
              <w:t>Кредиты</w:t>
            </w:r>
          </w:p>
        </w:tc>
        <w:tc>
          <w:tcPr>
            <w:tcW w:w="434" w:type="pct"/>
            <w:tcBorders>
              <w:top w:val="nil"/>
              <w:left w:val="nil"/>
              <w:bottom w:val="single" w:sz="4" w:space="0" w:color="auto"/>
              <w:right w:val="single" w:sz="4" w:space="0" w:color="auto"/>
            </w:tcBorders>
            <w:shd w:val="clear" w:color="auto" w:fill="auto"/>
            <w:vAlign w:val="center"/>
          </w:tcPr>
          <w:p w14:paraId="7963AB34" w14:textId="77777777" w:rsidR="009A4C46" w:rsidRPr="00874840" w:rsidRDefault="009A4C46" w:rsidP="009A4C46">
            <w:pPr>
              <w:jc w:val="right"/>
              <w:rPr>
                <w:rFonts w:eastAsia="Times New Roman"/>
                <w:sz w:val="18"/>
                <w:szCs w:val="18"/>
                <w:lang w:eastAsia="ru-RU"/>
              </w:rPr>
            </w:pPr>
            <w:r w:rsidRPr="00874840">
              <w:rPr>
                <w:rFonts w:eastAsia="Times New Roman"/>
                <w:sz w:val="18"/>
                <w:szCs w:val="18"/>
                <w:lang w:eastAsia="ru-RU"/>
              </w:rPr>
              <w:t>0,00</w:t>
            </w:r>
          </w:p>
        </w:tc>
        <w:tc>
          <w:tcPr>
            <w:tcW w:w="435" w:type="pct"/>
            <w:tcBorders>
              <w:top w:val="nil"/>
              <w:left w:val="nil"/>
              <w:bottom w:val="single" w:sz="4" w:space="0" w:color="auto"/>
              <w:right w:val="single" w:sz="4" w:space="0" w:color="auto"/>
            </w:tcBorders>
            <w:shd w:val="clear" w:color="auto" w:fill="auto"/>
            <w:vAlign w:val="center"/>
          </w:tcPr>
          <w:p w14:paraId="7FABE6DE" w14:textId="77777777" w:rsidR="009A4C46" w:rsidRPr="00874840" w:rsidRDefault="009A4C46" w:rsidP="009A4C46">
            <w:pPr>
              <w:jc w:val="right"/>
              <w:rPr>
                <w:rFonts w:eastAsia="Times New Roman"/>
                <w:sz w:val="18"/>
                <w:szCs w:val="18"/>
                <w:lang w:eastAsia="ru-RU"/>
              </w:rPr>
            </w:pPr>
            <w:r w:rsidRPr="00874840">
              <w:rPr>
                <w:rFonts w:eastAsia="Times New Roman"/>
                <w:sz w:val="18"/>
                <w:szCs w:val="18"/>
                <w:lang w:eastAsia="ru-RU"/>
              </w:rPr>
              <w:t>0,00</w:t>
            </w:r>
          </w:p>
        </w:tc>
        <w:tc>
          <w:tcPr>
            <w:tcW w:w="435" w:type="pct"/>
            <w:tcBorders>
              <w:top w:val="nil"/>
              <w:left w:val="nil"/>
              <w:bottom w:val="single" w:sz="4" w:space="0" w:color="auto"/>
              <w:right w:val="single" w:sz="4" w:space="0" w:color="auto"/>
            </w:tcBorders>
            <w:shd w:val="clear" w:color="auto" w:fill="auto"/>
            <w:vAlign w:val="center"/>
          </w:tcPr>
          <w:p w14:paraId="00C4D1F5" w14:textId="77777777" w:rsidR="009A4C46" w:rsidRPr="00874840" w:rsidRDefault="009A4C46" w:rsidP="009A4C46">
            <w:pPr>
              <w:jc w:val="right"/>
              <w:rPr>
                <w:rFonts w:eastAsia="Times New Roman"/>
                <w:sz w:val="18"/>
                <w:szCs w:val="18"/>
                <w:lang w:eastAsia="ru-RU"/>
              </w:rPr>
            </w:pPr>
            <w:r w:rsidRPr="00874840">
              <w:rPr>
                <w:rFonts w:eastAsia="Times New Roman"/>
                <w:sz w:val="18"/>
                <w:szCs w:val="18"/>
                <w:lang w:eastAsia="ru-RU"/>
              </w:rPr>
              <w:t>0,00</w:t>
            </w:r>
          </w:p>
        </w:tc>
        <w:tc>
          <w:tcPr>
            <w:tcW w:w="435" w:type="pct"/>
            <w:tcBorders>
              <w:top w:val="nil"/>
              <w:left w:val="nil"/>
              <w:bottom w:val="single" w:sz="4" w:space="0" w:color="auto"/>
              <w:right w:val="single" w:sz="4" w:space="0" w:color="auto"/>
            </w:tcBorders>
            <w:shd w:val="clear" w:color="auto" w:fill="auto"/>
            <w:vAlign w:val="center"/>
          </w:tcPr>
          <w:p w14:paraId="19B7487F" w14:textId="77777777" w:rsidR="009A4C46" w:rsidRPr="00874840" w:rsidRDefault="009A4C46" w:rsidP="009A4C46">
            <w:pPr>
              <w:jc w:val="right"/>
              <w:rPr>
                <w:rFonts w:eastAsia="Times New Roman"/>
                <w:sz w:val="18"/>
                <w:szCs w:val="18"/>
                <w:lang w:eastAsia="ru-RU"/>
              </w:rPr>
            </w:pPr>
            <w:r w:rsidRPr="00874840">
              <w:rPr>
                <w:rFonts w:eastAsia="Times New Roman"/>
                <w:sz w:val="18"/>
                <w:szCs w:val="18"/>
                <w:lang w:eastAsia="ru-RU"/>
              </w:rPr>
              <w:t>0,00</w:t>
            </w:r>
          </w:p>
        </w:tc>
        <w:tc>
          <w:tcPr>
            <w:tcW w:w="435" w:type="pct"/>
            <w:tcBorders>
              <w:top w:val="nil"/>
              <w:left w:val="nil"/>
              <w:bottom w:val="single" w:sz="4" w:space="0" w:color="auto"/>
              <w:right w:val="single" w:sz="4" w:space="0" w:color="auto"/>
            </w:tcBorders>
            <w:shd w:val="clear" w:color="auto" w:fill="auto"/>
            <w:vAlign w:val="center"/>
          </w:tcPr>
          <w:p w14:paraId="2764F539" w14:textId="77777777" w:rsidR="009A4C46" w:rsidRPr="00874840" w:rsidRDefault="009A4C46" w:rsidP="009A4C46">
            <w:pPr>
              <w:jc w:val="right"/>
              <w:rPr>
                <w:rFonts w:eastAsia="Times New Roman"/>
                <w:sz w:val="18"/>
                <w:szCs w:val="18"/>
                <w:lang w:eastAsia="ru-RU"/>
              </w:rPr>
            </w:pPr>
            <w:r w:rsidRPr="00874840">
              <w:rPr>
                <w:rFonts w:eastAsia="Times New Roman"/>
                <w:sz w:val="18"/>
                <w:szCs w:val="18"/>
                <w:lang w:eastAsia="ru-RU"/>
              </w:rPr>
              <w:t>0,00</w:t>
            </w:r>
          </w:p>
        </w:tc>
        <w:tc>
          <w:tcPr>
            <w:tcW w:w="503" w:type="pct"/>
            <w:tcBorders>
              <w:top w:val="nil"/>
              <w:left w:val="nil"/>
              <w:bottom w:val="single" w:sz="4" w:space="0" w:color="auto"/>
              <w:right w:val="single" w:sz="4" w:space="0" w:color="auto"/>
            </w:tcBorders>
            <w:shd w:val="clear" w:color="auto" w:fill="auto"/>
            <w:vAlign w:val="center"/>
          </w:tcPr>
          <w:p w14:paraId="67205CD1" w14:textId="77777777" w:rsidR="009A4C46" w:rsidRPr="00874840" w:rsidRDefault="009A4C46" w:rsidP="009A4C46">
            <w:pPr>
              <w:jc w:val="right"/>
              <w:rPr>
                <w:rFonts w:eastAsia="Times New Roman"/>
                <w:sz w:val="18"/>
                <w:szCs w:val="18"/>
                <w:lang w:eastAsia="ru-RU"/>
              </w:rPr>
            </w:pPr>
            <w:r w:rsidRPr="00874840">
              <w:rPr>
                <w:rFonts w:eastAsia="Times New Roman"/>
                <w:sz w:val="18"/>
                <w:szCs w:val="18"/>
                <w:lang w:eastAsia="ru-RU"/>
              </w:rPr>
              <w:t>0,00</w:t>
            </w:r>
          </w:p>
        </w:tc>
      </w:tr>
      <w:tr w:rsidR="009A4C46" w:rsidRPr="00874840" w14:paraId="656A20E2" w14:textId="77777777" w:rsidTr="00874840">
        <w:tc>
          <w:tcPr>
            <w:tcW w:w="523" w:type="pct"/>
            <w:tcBorders>
              <w:top w:val="nil"/>
              <w:left w:val="single" w:sz="4" w:space="0" w:color="auto"/>
              <w:bottom w:val="single" w:sz="4" w:space="0" w:color="auto"/>
              <w:right w:val="single" w:sz="4" w:space="0" w:color="auto"/>
            </w:tcBorders>
            <w:shd w:val="clear" w:color="auto" w:fill="auto"/>
            <w:vAlign w:val="center"/>
          </w:tcPr>
          <w:p w14:paraId="09A57380" w14:textId="77777777" w:rsidR="009A4C46" w:rsidRPr="00874840" w:rsidRDefault="009A4C46" w:rsidP="009A4C46">
            <w:pPr>
              <w:jc w:val="center"/>
              <w:rPr>
                <w:rFonts w:eastAsia="Times New Roman"/>
                <w:sz w:val="18"/>
                <w:szCs w:val="18"/>
                <w:lang w:eastAsia="ru-RU"/>
              </w:rPr>
            </w:pPr>
            <w:r w:rsidRPr="00874840">
              <w:rPr>
                <w:rFonts w:eastAsia="Times New Roman"/>
                <w:sz w:val="18"/>
                <w:szCs w:val="18"/>
                <w:lang w:eastAsia="ru-RU"/>
              </w:rPr>
              <w:t>2.2</w:t>
            </w:r>
          </w:p>
        </w:tc>
        <w:tc>
          <w:tcPr>
            <w:tcW w:w="1800" w:type="pct"/>
            <w:tcBorders>
              <w:top w:val="nil"/>
              <w:left w:val="nil"/>
              <w:bottom w:val="single" w:sz="4" w:space="0" w:color="auto"/>
              <w:right w:val="single" w:sz="4" w:space="0" w:color="auto"/>
            </w:tcBorders>
            <w:shd w:val="clear" w:color="auto" w:fill="auto"/>
            <w:vAlign w:val="center"/>
          </w:tcPr>
          <w:p w14:paraId="2B4CA7C7" w14:textId="77777777" w:rsidR="009A4C46" w:rsidRPr="00874840" w:rsidRDefault="009A4C46" w:rsidP="009A4C46">
            <w:pPr>
              <w:rPr>
                <w:rFonts w:eastAsia="Times New Roman"/>
                <w:sz w:val="18"/>
                <w:szCs w:val="18"/>
                <w:lang w:eastAsia="ru-RU"/>
              </w:rPr>
            </w:pPr>
            <w:r w:rsidRPr="00874840">
              <w:rPr>
                <w:rFonts w:eastAsia="Times New Roman"/>
                <w:sz w:val="18"/>
                <w:szCs w:val="18"/>
                <w:lang w:eastAsia="ru-RU"/>
              </w:rPr>
              <w:t>Облигационные займы</w:t>
            </w:r>
          </w:p>
        </w:tc>
        <w:tc>
          <w:tcPr>
            <w:tcW w:w="434" w:type="pct"/>
            <w:tcBorders>
              <w:top w:val="nil"/>
              <w:left w:val="nil"/>
              <w:bottom w:val="single" w:sz="4" w:space="0" w:color="auto"/>
              <w:right w:val="single" w:sz="4" w:space="0" w:color="auto"/>
            </w:tcBorders>
            <w:shd w:val="clear" w:color="auto" w:fill="auto"/>
            <w:vAlign w:val="center"/>
          </w:tcPr>
          <w:p w14:paraId="36CD5290" w14:textId="77777777" w:rsidR="009A4C46" w:rsidRPr="00874840" w:rsidRDefault="009A4C46" w:rsidP="009A4C46">
            <w:pPr>
              <w:jc w:val="right"/>
              <w:rPr>
                <w:rFonts w:eastAsia="Times New Roman"/>
                <w:sz w:val="18"/>
                <w:szCs w:val="18"/>
                <w:lang w:eastAsia="ru-RU"/>
              </w:rPr>
            </w:pPr>
            <w:r w:rsidRPr="00874840">
              <w:rPr>
                <w:rFonts w:eastAsia="Times New Roman"/>
                <w:sz w:val="18"/>
                <w:szCs w:val="18"/>
                <w:lang w:eastAsia="ru-RU"/>
              </w:rPr>
              <w:t>0,00</w:t>
            </w:r>
          </w:p>
        </w:tc>
        <w:tc>
          <w:tcPr>
            <w:tcW w:w="435" w:type="pct"/>
            <w:tcBorders>
              <w:top w:val="nil"/>
              <w:left w:val="nil"/>
              <w:bottom w:val="single" w:sz="4" w:space="0" w:color="auto"/>
              <w:right w:val="single" w:sz="4" w:space="0" w:color="auto"/>
            </w:tcBorders>
            <w:shd w:val="clear" w:color="auto" w:fill="auto"/>
            <w:vAlign w:val="center"/>
          </w:tcPr>
          <w:p w14:paraId="7DE52CE9" w14:textId="77777777" w:rsidR="009A4C46" w:rsidRPr="00874840" w:rsidRDefault="009A4C46" w:rsidP="009A4C46">
            <w:pPr>
              <w:jc w:val="right"/>
              <w:rPr>
                <w:rFonts w:eastAsia="Times New Roman"/>
                <w:sz w:val="18"/>
                <w:szCs w:val="18"/>
                <w:lang w:eastAsia="ru-RU"/>
              </w:rPr>
            </w:pPr>
            <w:r w:rsidRPr="00874840">
              <w:rPr>
                <w:rFonts w:eastAsia="Times New Roman"/>
                <w:sz w:val="18"/>
                <w:szCs w:val="18"/>
                <w:lang w:eastAsia="ru-RU"/>
              </w:rPr>
              <w:t>0,00</w:t>
            </w:r>
          </w:p>
        </w:tc>
        <w:tc>
          <w:tcPr>
            <w:tcW w:w="435" w:type="pct"/>
            <w:tcBorders>
              <w:top w:val="nil"/>
              <w:left w:val="nil"/>
              <w:bottom w:val="single" w:sz="4" w:space="0" w:color="auto"/>
              <w:right w:val="single" w:sz="4" w:space="0" w:color="auto"/>
            </w:tcBorders>
            <w:shd w:val="clear" w:color="auto" w:fill="auto"/>
            <w:vAlign w:val="center"/>
          </w:tcPr>
          <w:p w14:paraId="5BF8D53D" w14:textId="77777777" w:rsidR="009A4C46" w:rsidRPr="00874840" w:rsidRDefault="009A4C46" w:rsidP="009A4C46">
            <w:pPr>
              <w:jc w:val="right"/>
              <w:rPr>
                <w:rFonts w:eastAsia="Times New Roman"/>
                <w:sz w:val="18"/>
                <w:szCs w:val="18"/>
                <w:lang w:eastAsia="ru-RU"/>
              </w:rPr>
            </w:pPr>
            <w:r w:rsidRPr="00874840">
              <w:rPr>
                <w:rFonts w:eastAsia="Times New Roman"/>
                <w:sz w:val="18"/>
                <w:szCs w:val="18"/>
                <w:lang w:eastAsia="ru-RU"/>
              </w:rPr>
              <w:t>0,00</w:t>
            </w:r>
          </w:p>
        </w:tc>
        <w:tc>
          <w:tcPr>
            <w:tcW w:w="435" w:type="pct"/>
            <w:tcBorders>
              <w:top w:val="nil"/>
              <w:left w:val="nil"/>
              <w:bottom w:val="single" w:sz="4" w:space="0" w:color="auto"/>
              <w:right w:val="single" w:sz="4" w:space="0" w:color="auto"/>
            </w:tcBorders>
            <w:shd w:val="clear" w:color="auto" w:fill="auto"/>
            <w:vAlign w:val="center"/>
          </w:tcPr>
          <w:p w14:paraId="741962E5" w14:textId="77777777" w:rsidR="009A4C46" w:rsidRPr="00874840" w:rsidRDefault="009A4C46" w:rsidP="009A4C46">
            <w:pPr>
              <w:jc w:val="right"/>
              <w:rPr>
                <w:rFonts w:eastAsia="Times New Roman"/>
                <w:sz w:val="18"/>
                <w:szCs w:val="18"/>
                <w:lang w:eastAsia="ru-RU"/>
              </w:rPr>
            </w:pPr>
            <w:r w:rsidRPr="00874840">
              <w:rPr>
                <w:rFonts w:eastAsia="Times New Roman"/>
                <w:sz w:val="18"/>
                <w:szCs w:val="18"/>
                <w:lang w:eastAsia="ru-RU"/>
              </w:rPr>
              <w:t>0,00</w:t>
            </w:r>
          </w:p>
        </w:tc>
        <w:tc>
          <w:tcPr>
            <w:tcW w:w="435" w:type="pct"/>
            <w:tcBorders>
              <w:top w:val="nil"/>
              <w:left w:val="nil"/>
              <w:bottom w:val="single" w:sz="4" w:space="0" w:color="auto"/>
              <w:right w:val="single" w:sz="4" w:space="0" w:color="auto"/>
            </w:tcBorders>
            <w:shd w:val="clear" w:color="auto" w:fill="auto"/>
            <w:vAlign w:val="center"/>
          </w:tcPr>
          <w:p w14:paraId="0CF3CDF3" w14:textId="77777777" w:rsidR="009A4C46" w:rsidRPr="00874840" w:rsidRDefault="009A4C46" w:rsidP="009A4C46">
            <w:pPr>
              <w:jc w:val="right"/>
              <w:rPr>
                <w:rFonts w:eastAsia="Times New Roman"/>
                <w:sz w:val="18"/>
                <w:szCs w:val="18"/>
                <w:lang w:eastAsia="ru-RU"/>
              </w:rPr>
            </w:pPr>
            <w:r w:rsidRPr="00874840">
              <w:rPr>
                <w:rFonts w:eastAsia="Times New Roman"/>
                <w:sz w:val="18"/>
                <w:szCs w:val="18"/>
                <w:lang w:eastAsia="ru-RU"/>
              </w:rPr>
              <w:t>0,00</w:t>
            </w:r>
          </w:p>
        </w:tc>
        <w:tc>
          <w:tcPr>
            <w:tcW w:w="503" w:type="pct"/>
            <w:tcBorders>
              <w:top w:val="nil"/>
              <w:left w:val="nil"/>
              <w:bottom w:val="single" w:sz="4" w:space="0" w:color="auto"/>
              <w:right w:val="single" w:sz="4" w:space="0" w:color="auto"/>
            </w:tcBorders>
            <w:shd w:val="clear" w:color="auto" w:fill="auto"/>
            <w:vAlign w:val="center"/>
          </w:tcPr>
          <w:p w14:paraId="0030A658" w14:textId="77777777" w:rsidR="009A4C46" w:rsidRPr="00874840" w:rsidRDefault="009A4C46" w:rsidP="009A4C46">
            <w:pPr>
              <w:jc w:val="right"/>
              <w:rPr>
                <w:rFonts w:eastAsia="Times New Roman"/>
                <w:sz w:val="18"/>
                <w:szCs w:val="18"/>
                <w:lang w:eastAsia="ru-RU"/>
              </w:rPr>
            </w:pPr>
            <w:r w:rsidRPr="00874840">
              <w:rPr>
                <w:rFonts w:eastAsia="Times New Roman"/>
                <w:sz w:val="18"/>
                <w:szCs w:val="18"/>
                <w:lang w:eastAsia="ru-RU"/>
              </w:rPr>
              <w:t>0,00</w:t>
            </w:r>
          </w:p>
        </w:tc>
      </w:tr>
      <w:tr w:rsidR="009A4C46" w:rsidRPr="00874840" w14:paraId="2EBC55A9" w14:textId="77777777" w:rsidTr="00874840">
        <w:tc>
          <w:tcPr>
            <w:tcW w:w="523" w:type="pct"/>
            <w:tcBorders>
              <w:top w:val="nil"/>
              <w:left w:val="single" w:sz="4" w:space="0" w:color="auto"/>
              <w:bottom w:val="single" w:sz="4" w:space="0" w:color="auto"/>
              <w:right w:val="single" w:sz="4" w:space="0" w:color="auto"/>
            </w:tcBorders>
            <w:shd w:val="clear" w:color="auto" w:fill="auto"/>
            <w:vAlign w:val="center"/>
          </w:tcPr>
          <w:p w14:paraId="337C70AB" w14:textId="77777777" w:rsidR="009A4C46" w:rsidRPr="00874840" w:rsidRDefault="009A4C46" w:rsidP="009A4C46">
            <w:pPr>
              <w:jc w:val="center"/>
              <w:rPr>
                <w:rFonts w:eastAsia="Times New Roman"/>
                <w:sz w:val="18"/>
                <w:szCs w:val="18"/>
                <w:lang w:eastAsia="ru-RU"/>
              </w:rPr>
            </w:pPr>
            <w:r w:rsidRPr="00874840">
              <w:rPr>
                <w:rFonts w:eastAsia="Times New Roman"/>
                <w:sz w:val="18"/>
                <w:szCs w:val="18"/>
                <w:lang w:eastAsia="ru-RU"/>
              </w:rPr>
              <w:t>2.3</w:t>
            </w:r>
          </w:p>
        </w:tc>
        <w:tc>
          <w:tcPr>
            <w:tcW w:w="1800" w:type="pct"/>
            <w:tcBorders>
              <w:top w:val="nil"/>
              <w:left w:val="nil"/>
              <w:bottom w:val="single" w:sz="4" w:space="0" w:color="auto"/>
              <w:right w:val="single" w:sz="4" w:space="0" w:color="auto"/>
            </w:tcBorders>
            <w:shd w:val="clear" w:color="auto" w:fill="auto"/>
            <w:vAlign w:val="center"/>
          </w:tcPr>
          <w:p w14:paraId="47FB2DEE" w14:textId="77777777" w:rsidR="009A4C46" w:rsidRPr="00874840" w:rsidRDefault="009A4C46" w:rsidP="009A4C46">
            <w:pPr>
              <w:rPr>
                <w:rFonts w:eastAsia="Times New Roman"/>
                <w:sz w:val="18"/>
                <w:szCs w:val="18"/>
                <w:lang w:eastAsia="ru-RU"/>
              </w:rPr>
            </w:pPr>
            <w:proofErr w:type="spellStart"/>
            <w:r w:rsidRPr="00874840">
              <w:rPr>
                <w:rFonts w:eastAsia="Times New Roman"/>
                <w:sz w:val="18"/>
                <w:szCs w:val="18"/>
                <w:lang w:eastAsia="ru-RU"/>
              </w:rPr>
              <w:t>Вексели</w:t>
            </w:r>
            <w:proofErr w:type="spellEnd"/>
          </w:p>
        </w:tc>
        <w:tc>
          <w:tcPr>
            <w:tcW w:w="434" w:type="pct"/>
            <w:tcBorders>
              <w:top w:val="nil"/>
              <w:left w:val="nil"/>
              <w:bottom w:val="single" w:sz="4" w:space="0" w:color="auto"/>
              <w:right w:val="single" w:sz="4" w:space="0" w:color="auto"/>
            </w:tcBorders>
            <w:shd w:val="clear" w:color="auto" w:fill="auto"/>
            <w:vAlign w:val="center"/>
          </w:tcPr>
          <w:p w14:paraId="0A1DED30" w14:textId="77777777" w:rsidR="009A4C46" w:rsidRPr="00874840" w:rsidRDefault="009A4C46" w:rsidP="009A4C46">
            <w:pPr>
              <w:jc w:val="right"/>
              <w:rPr>
                <w:rFonts w:eastAsia="Times New Roman"/>
                <w:sz w:val="18"/>
                <w:szCs w:val="18"/>
                <w:lang w:eastAsia="ru-RU"/>
              </w:rPr>
            </w:pPr>
            <w:r w:rsidRPr="00874840">
              <w:rPr>
                <w:rFonts w:eastAsia="Times New Roman"/>
                <w:sz w:val="18"/>
                <w:szCs w:val="18"/>
                <w:lang w:eastAsia="ru-RU"/>
              </w:rPr>
              <w:t>0,00</w:t>
            </w:r>
          </w:p>
        </w:tc>
        <w:tc>
          <w:tcPr>
            <w:tcW w:w="435" w:type="pct"/>
            <w:tcBorders>
              <w:top w:val="nil"/>
              <w:left w:val="nil"/>
              <w:bottom w:val="single" w:sz="4" w:space="0" w:color="auto"/>
              <w:right w:val="single" w:sz="4" w:space="0" w:color="auto"/>
            </w:tcBorders>
            <w:shd w:val="clear" w:color="auto" w:fill="auto"/>
            <w:vAlign w:val="center"/>
          </w:tcPr>
          <w:p w14:paraId="3921093A" w14:textId="77777777" w:rsidR="009A4C46" w:rsidRPr="00874840" w:rsidRDefault="009A4C46" w:rsidP="009A4C46">
            <w:pPr>
              <w:jc w:val="right"/>
              <w:rPr>
                <w:rFonts w:eastAsia="Times New Roman"/>
                <w:sz w:val="18"/>
                <w:szCs w:val="18"/>
                <w:lang w:eastAsia="ru-RU"/>
              </w:rPr>
            </w:pPr>
            <w:r w:rsidRPr="00874840">
              <w:rPr>
                <w:rFonts w:eastAsia="Times New Roman"/>
                <w:sz w:val="18"/>
                <w:szCs w:val="18"/>
                <w:lang w:eastAsia="ru-RU"/>
              </w:rPr>
              <w:t>0,00</w:t>
            </w:r>
          </w:p>
        </w:tc>
        <w:tc>
          <w:tcPr>
            <w:tcW w:w="435" w:type="pct"/>
            <w:tcBorders>
              <w:top w:val="nil"/>
              <w:left w:val="nil"/>
              <w:bottom w:val="single" w:sz="4" w:space="0" w:color="auto"/>
              <w:right w:val="single" w:sz="4" w:space="0" w:color="auto"/>
            </w:tcBorders>
            <w:shd w:val="clear" w:color="auto" w:fill="auto"/>
            <w:vAlign w:val="center"/>
          </w:tcPr>
          <w:p w14:paraId="436BD827" w14:textId="77777777" w:rsidR="009A4C46" w:rsidRPr="00874840" w:rsidRDefault="009A4C46" w:rsidP="009A4C46">
            <w:pPr>
              <w:jc w:val="right"/>
              <w:rPr>
                <w:rFonts w:eastAsia="Times New Roman"/>
                <w:sz w:val="18"/>
                <w:szCs w:val="18"/>
                <w:lang w:eastAsia="ru-RU"/>
              </w:rPr>
            </w:pPr>
            <w:r w:rsidRPr="00874840">
              <w:rPr>
                <w:rFonts w:eastAsia="Times New Roman"/>
                <w:sz w:val="18"/>
                <w:szCs w:val="18"/>
                <w:lang w:eastAsia="ru-RU"/>
              </w:rPr>
              <w:t>0,00</w:t>
            </w:r>
          </w:p>
        </w:tc>
        <w:tc>
          <w:tcPr>
            <w:tcW w:w="435" w:type="pct"/>
            <w:tcBorders>
              <w:top w:val="nil"/>
              <w:left w:val="nil"/>
              <w:bottom w:val="single" w:sz="4" w:space="0" w:color="auto"/>
              <w:right w:val="single" w:sz="4" w:space="0" w:color="auto"/>
            </w:tcBorders>
            <w:shd w:val="clear" w:color="auto" w:fill="auto"/>
            <w:vAlign w:val="center"/>
          </w:tcPr>
          <w:p w14:paraId="1B502118" w14:textId="77777777" w:rsidR="009A4C46" w:rsidRPr="00874840" w:rsidRDefault="009A4C46" w:rsidP="009A4C46">
            <w:pPr>
              <w:jc w:val="right"/>
              <w:rPr>
                <w:rFonts w:eastAsia="Times New Roman"/>
                <w:sz w:val="18"/>
                <w:szCs w:val="18"/>
                <w:lang w:eastAsia="ru-RU"/>
              </w:rPr>
            </w:pPr>
            <w:r w:rsidRPr="00874840">
              <w:rPr>
                <w:rFonts w:eastAsia="Times New Roman"/>
                <w:sz w:val="18"/>
                <w:szCs w:val="18"/>
                <w:lang w:eastAsia="ru-RU"/>
              </w:rPr>
              <w:t>0,00</w:t>
            </w:r>
          </w:p>
        </w:tc>
        <w:tc>
          <w:tcPr>
            <w:tcW w:w="435" w:type="pct"/>
            <w:tcBorders>
              <w:top w:val="nil"/>
              <w:left w:val="nil"/>
              <w:bottom w:val="single" w:sz="4" w:space="0" w:color="auto"/>
              <w:right w:val="single" w:sz="4" w:space="0" w:color="auto"/>
            </w:tcBorders>
            <w:shd w:val="clear" w:color="auto" w:fill="auto"/>
            <w:vAlign w:val="center"/>
          </w:tcPr>
          <w:p w14:paraId="6C124FC9" w14:textId="77777777" w:rsidR="009A4C46" w:rsidRPr="00874840" w:rsidRDefault="009A4C46" w:rsidP="009A4C46">
            <w:pPr>
              <w:jc w:val="right"/>
              <w:rPr>
                <w:rFonts w:eastAsia="Times New Roman"/>
                <w:sz w:val="18"/>
                <w:szCs w:val="18"/>
                <w:lang w:eastAsia="ru-RU"/>
              </w:rPr>
            </w:pPr>
            <w:r w:rsidRPr="00874840">
              <w:rPr>
                <w:rFonts w:eastAsia="Times New Roman"/>
                <w:sz w:val="18"/>
                <w:szCs w:val="18"/>
                <w:lang w:eastAsia="ru-RU"/>
              </w:rPr>
              <w:t>0,00</w:t>
            </w:r>
          </w:p>
        </w:tc>
        <w:tc>
          <w:tcPr>
            <w:tcW w:w="503" w:type="pct"/>
            <w:tcBorders>
              <w:top w:val="nil"/>
              <w:left w:val="nil"/>
              <w:bottom w:val="single" w:sz="4" w:space="0" w:color="auto"/>
              <w:right w:val="single" w:sz="4" w:space="0" w:color="auto"/>
            </w:tcBorders>
            <w:shd w:val="clear" w:color="auto" w:fill="auto"/>
            <w:vAlign w:val="center"/>
          </w:tcPr>
          <w:p w14:paraId="158BC975" w14:textId="77777777" w:rsidR="009A4C46" w:rsidRPr="00874840" w:rsidRDefault="009A4C46" w:rsidP="009A4C46">
            <w:pPr>
              <w:jc w:val="right"/>
              <w:rPr>
                <w:rFonts w:eastAsia="Times New Roman"/>
                <w:sz w:val="18"/>
                <w:szCs w:val="18"/>
                <w:lang w:eastAsia="ru-RU"/>
              </w:rPr>
            </w:pPr>
            <w:r w:rsidRPr="00874840">
              <w:rPr>
                <w:rFonts w:eastAsia="Times New Roman"/>
                <w:sz w:val="18"/>
                <w:szCs w:val="18"/>
                <w:lang w:eastAsia="ru-RU"/>
              </w:rPr>
              <w:t>0,00</w:t>
            </w:r>
          </w:p>
        </w:tc>
      </w:tr>
      <w:tr w:rsidR="009A4C46" w:rsidRPr="00874840" w14:paraId="59A08A72" w14:textId="77777777" w:rsidTr="00874840">
        <w:tc>
          <w:tcPr>
            <w:tcW w:w="523" w:type="pct"/>
            <w:tcBorders>
              <w:top w:val="nil"/>
              <w:left w:val="single" w:sz="4" w:space="0" w:color="auto"/>
              <w:bottom w:val="single" w:sz="4" w:space="0" w:color="auto"/>
              <w:right w:val="single" w:sz="4" w:space="0" w:color="auto"/>
            </w:tcBorders>
            <w:shd w:val="clear" w:color="auto" w:fill="auto"/>
            <w:vAlign w:val="center"/>
          </w:tcPr>
          <w:p w14:paraId="0A2F0B2A" w14:textId="77777777" w:rsidR="009A4C46" w:rsidRPr="00874840" w:rsidRDefault="009A4C46" w:rsidP="009A4C46">
            <w:pPr>
              <w:jc w:val="center"/>
              <w:rPr>
                <w:rFonts w:eastAsia="Times New Roman"/>
                <w:sz w:val="18"/>
                <w:szCs w:val="18"/>
                <w:lang w:eastAsia="ru-RU"/>
              </w:rPr>
            </w:pPr>
            <w:r w:rsidRPr="00874840">
              <w:rPr>
                <w:rFonts w:eastAsia="Times New Roman"/>
                <w:sz w:val="18"/>
                <w:szCs w:val="18"/>
                <w:lang w:eastAsia="ru-RU"/>
              </w:rPr>
              <w:t>2.4</w:t>
            </w:r>
          </w:p>
        </w:tc>
        <w:tc>
          <w:tcPr>
            <w:tcW w:w="1800" w:type="pct"/>
            <w:tcBorders>
              <w:top w:val="nil"/>
              <w:left w:val="nil"/>
              <w:bottom w:val="single" w:sz="4" w:space="0" w:color="auto"/>
              <w:right w:val="single" w:sz="4" w:space="0" w:color="auto"/>
            </w:tcBorders>
            <w:shd w:val="clear" w:color="auto" w:fill="auto"/>
            <w:vAlign w:val="center"/>
          </w:tcPr>
          <w:p w14:paraId="49CC0AC5" w14:textId="77777777" w:rsidR="009A4C46" w:rsidRPr="00874840" w:rsidRDefault="009A4C46" w:rsidP="009A4C46">
            <w:pPr>
              <w:rPr>
                <w:rFonts w:eastAsia="Times New Roman"/>
                <w:sz w:val="18"/>
                <w:szCs w:val="18"/>
                <w:lang w:eastAsia="ru-RU"/>
              </w:rPr>
            </w:pPr>
            <w:r w:rsidRPr="00874840">
              <w:rPr>
                <w:rFonts w:eastAsia="Times New Roman"/>
                <w:sz w:val="18"/>
                <w:szCs w:val="18"/>
                <w:lang w:eastAsia="ru-RU"/>
              </w:rPr>
              <w:t>Займы организаций</w:t>
            </w:r>
          </w:p>
        </w:tc>
        <w:tc>
          <w:tcPr>
            <w:tcW w:w="434" w:type="pct"/>
            <w:tcBorders>
              <w:top w:val="nil"/>
              <w:left w:val="nil"/>
              <w:bottom w:val="single" w:sz="4" w:space="0" w:color="auto"/>
              <w:right w:val="single" w:sz="4" w:space="0" w:color="auto"/>
            </w:tcBorders>
            <w:shd w:val="clear" w:color="auto" w:fill="auto"/>
            <w:vAlign w:val="center"/>
          </w:tcPr>
          <w:p w14:paraId="33C61078" w14:textId="77777777" w:rsidR="009A4C46" w:rsidRPr="00874840" w:rsidRDefault="009A4C46" w:rsidP="009A4C46">
            <w:pPr>
              <w:jc w:val="right"/>
              <w:rPr>
                <w:rFonts w:eastAsia="Times New Roman"/>
                <w:sz w:val="18"/>
                <w:szCs w:val="18"/>
                <w:lang w:eastAsia="ru-RU"/>
              </w:rPr>
            </w:pPr>
            <w:r w:rsidRPr="00874840">
              <w:rPr>
                <w:rFonts w:eastAsia="Times New Roman"/>
                <w:sz w:val="18"/>
                <w:szCs w:val="18"/>
                <w:lang w:eastAsia="ru-RU"/>
              </w:rPr>
              <w:t>0,00</w:t>
            </w:r>
          </w:p>
        </w:tc>
        <w:tc>
          <w:tcPr>
            <w:tcW w:w="435" w:type="pct"/>
            <w:tcBorders>
              <w:top w:val="nil"/>
              <w:left w:val="nil"/>
              <w:bottom w:val="single" w:sz="4" w:space="0" w:color="auto"/>
              <w:right w:val="single" w:sz="4" w:space="0" w:color="auto"/>
            </w:tcBorders>
            <w:shd w:val="clear" w:color="auto" w:fill="auto"/>
            <w:vAlign w:val="center"/>
          </w:tcPr>
          <w:p w14:paraId="50728A75" w14:textId="77777777" w:rsidR="009A4C46" w:rsidRPr="00874840" w:rsidRDefault="009A4C46" w:rsidP="009A4C46">
            <w:pPr>
              <w:jc w:val="right"/>
              <w:rPr>
                <w:rFonts w:eastAsia="Times New Roman"/>
                <w:sz w:val="18"/>
                <w:szCs w:val="18"/>
                <w:lang w:eastAsia="ru-RU"/>
              </w:rPr>
            </w:pPr>
            <w:r w:rsidRPr="00874840">
              <w:rPr>
                <w:rFonts w:eastAsia="Times New Roman"/>
                <w:sz w:val="18"/>
                <w:szCs w:val="18"/>
                <w:lang w:eastAsia="ru-RU"/>
              </w:rPr>
              <w:t>0,00</w:t>
            </w:r>
          </w:p>
        </w:tc>
        <w:tc>
          <w:tcPr>
            <w:tcW w:w="435" w:type="pct"/>
            <w:tcBorders>
              <w:top w:val="nil"/>
              <w:left w:val="nil"/>
              <w:bottom w:val="single" w:sz="4" w:space="0" w:color="auto"/>
              <w:right w:val="single" w:sz="4" w:space="0" w:color="auto"/>
            </w:tcBorders>
            <w:shd w:val="clear" w:color="auto" w:fill="auto"/>
            <w:vAlign w:val="center"/>
          </w:tcPr>
          <w:p w14:paraId="5536938D" w14:textId="77777777" w:rsidR="009A4C46" w:rsidRPr="00874840" w:rsidRDefault="009A4C46" w:rsidP="009A4C46">
            <w:pPr>
              <w:jc w:val="right"/>
              <w:rPr>
                <w:rFonts w:eastAsia="Times New Roman"/>
                <w:sz w:val="18"/>
                <w:szCs w:val="18"/>
                <w:lang w:eastAsia="ru-RU"/>
              </w:rPr>
            </w:pPr>
            <w:r w:rsidRPr="00874840">
              <w:rPr>
                <w:rFonts w:eastAsia="Times New Roman"/>
                <w:sz w:val="18"/>
                <w:szCs w:val="18"/>
                <w:lang w:eastAsia="ru-RU"/>
              </w:rPr>
              <w:t>0,00</w:t>
            </w:r>
          </w:p>
        </w:tc>
        <w:tc>
          <w:tcPr>
            <w:tcW w:w="435" w:type="pct"/>
            <w:tcBorders>
              <w:top w:val="nil"/>
              <w:left w:val="nil"/>
              <w:bottom w:val="single" w:sz="4" w:space="0" w:color="auto"/>
              <w:right w:val="single" w:sz="4" w:space="0" w:color="auto"/>
            </w:tcBorders>
            <w:shd w:val="clear" w:color="auto" w:fill="auto"/>
            <w:vAlign w:val="center"/>
          </w:tcPr>
          <w:p w14:paraId="29C77B64" w14:textId="77777777" w:rsidR="009A4C46" w:rsidRPr="00874840" w:rsidRDefault="009A4C46" w:rsidP="009A4C46">
            <w:pPr>
              <w:jc w:val="right"/>
              <w:rPr>
                <w:rFonts w:eastAsia="Times New Roman"/>
                <w:sz w:val="18"/>
                <w:szCs w:val="18"/>
                <w:lang w:eastAsia="ru-RU"/>
              </w:rPr>
            </w:pPr>
            <w:r w:rsidRPr="00874840">
              <w:rPr>
                <w:rFonts w:eastAsia="Times New Roman"/>
                <w:sz w:val="18"/>
                <w:szCs w:val="18"/>
                <w:lang w:eastAsia="ru-RU"/>
              </w:rPr>
              <w:t>0,00</w:t>
            </w:r>
          </w:p>
        </w:tc>
        <w:tc>
          <w:tcPr>
            <w:tcW w:w="435" w:type="pct"/>
            <w:tcBorders>
              <w:top w:val="nil"/>
              <w:left w:val="nil"/>
              <w:bottom w:val="single" w:sz="4" w:space="0" w:color="auto"/>
              <w:right w:val="single" w:sz="4" w:space="0" w:color="auto"/>
            </w:tcBorders>
            <w:shd w:val="clear" w:color="auto" w:fill="auto"/>
            <w:vAlign w:val="center"/>
          </w:tcPr>
          <w:p w14:paraId="64D565C5" w14:textId="77777777" w:rsidR="009A4C46" w:rsidRPr="00874840" w:rsidRDefault="009A4C46" w:rsidP="009A4C46">
            <w:pPr>
              <w:jc w:val="right"/>
              <w:rPr>
                <w:rFonts w:eastAsia="Times New Roman"/>
                <w:sz w:val="18"/>
                <w:szCs w:val="18"/>
                <w:lang w:eastAsia="ru-RU"/>
              </w:rPr>
            </w:pPr>
            <w:r w:rsidRPr="00874840">
              <w:rPr>
                <w:rFonts w:eastAsia="Times New Roman"/>
                <w:sz w:val="18"/>
                <w:szCs w:val="18"/>
                <w:lang w:eastAsia="ru-RU"/>
              </w:rPr>
              <w:t>0,00</w:t>
            </w:r>
          </w:p>
        </w:tc>
        <w:tc>
          <w:tcPr>
            <w:tcW w:w="503" w:type="pct"/>
            <w:tcBorders>
              <w:top w:val="nil"/>
              <w:left w:val="nil"/>
              <w:bottom w:val="single" w:sz="4" w:space="0" w:color="auto"/>
              <w:right w:val="single" w:sz="4" w:space="0" w:color="auto"/>
            </w:tcBorders>
            <w:shd w:val="clear" w:color="auto" w:fill="auto"/>
            <w:vAlign w:val="center"/>
          </w:tcPr>
          <w:p w14:paraId="69AE2A7A" w14:textId="77777777" w:rsidR="009A4C46" w:rsidRPr="00874840" w:rsidRDefault="009A4C46" w:rsidP="009A4C46">
            <w:pPr>
              <w:jc w:val="right"/>
              <w:rPr>
                <w:rFonts w:eastAsia="Times New Roman"/>
                <w:sz w:val="18"/>
                <w:szCs w:val="18"/>
                <w:lang w:eastAsia="ru-RU"/>
              </w:rPr>
            </w:pPr>
            <w:r w:rsidRPr="00874840">
              <w:rPr>
                <w:rFonts w:eastAsia="Times New Roman"/>
                <w:sz w:val="18"/>
                <w:szCs w:val="18"/>
                <w:lang w:eastAsia="ru-RU"/>
              </w:rPr>
              <w:t>0,00</w:t>
            </w:r>
          </w:p>
        </w:tc>
      </w:tr>
      <w:tr w:rsidR="009A4C46" w:rsidRPr="00874840" w14:paraId="7AA1E895" w14:textId="77777777" w:rsidTr="00874840">
        <w:tc>
          <w:tcPr>
            <w:tcW w:w="523" w:type="pct"/>
            <w:tcBorders>
              <w:top w:val="nil"/>
              <w:left w:val="single" w:sz="4" w:space="0" w:color="auto"/>
              <w:bottom w:val="single" w:sz="4" w:space="0" w:color="auto"/>
              <w:right w:val="single" w:sz="4" w:space="0" w:color="auto"/>
            </w:tcBorders>
            <w:shd w:val="clear" w:color="auto" w:fill="auto"/>
            <w:vAlign w:val="center"/>
          </w:tcPr>
          <w:p w14:paraId="7EEC287A" w14:textId="77777777" w:rsidR="009A4C46" w:rsidRPr="00874840" w:rsidRDefault="009A4C46" w:rsidP="009A4C46">
            <w:pPr>
              <w:jc w:val="center"/>
              <w:rPr>
                <w:rFonts w:eastAsia="Times New Roman"/>
                <w:sz w:val="18"/>
                <w:szCs w:val="18"/>
                <w:lang w:eastAsia="ru-RU"/>
              </w:rPr>
            </w:pPr>
            <w:r w:rsidRPr="00874840">
              <w:rPr>
                <w:rFonts w:eastAsia="Times New Roman"/>
                <w:sz w:val="18"/>
                <w:szCs w:val="18"/>
                <w:lang w:eastAsia="ru-RU"/>
              </w:rPr>
              <w:t>2.5</w:t>
            </w:r>
          </w:p>
        </w:tc>
        <w:tc>
          <w:tcPr>
            <w:tcW w:w="1800" w:type="pct"/>
            <w:tcBorders>
              <w:top w:val="nil"/>
              <w:left w:val="nil"/>
              <w:bottom w:val="single" w:sz="4" w:space="0" w:color="auto"/>
              <w:right w:val="single" w:sz="4" w:space="0" w:color="auto"/>
            </w:tcBorders>
            <w:shd w:val="clear" w:color="auto" w:fill="auto"/>
            <w:vAlign w:val="center"/>
          </w:tcPr>
          <w:p w14:paraId="44D9D432" w14:textId="77777777" w:rsidR="009A4C46" w:rsidRPr="00874840" w:rsidRDefault="009A4C46" w:rsidP="009A4C46">
            <w:pPr>
              <w:rPr>
                <w:rFonts w:eastAsia="Times New Roman"/>
                <w:sz w:val="18"/>
                <w:szCs w:val="18"/>
                <w:lang w:eastAsia="ru-RU"/>
              </w:rPr>
            </w:pPr>
            <w:r w:rsidRPr="00874840">
              <w:rPr>
                <w:rFonts w:eastAsia="Times New Roman"/>
                <w:sz w:val="18"/>
                <w:szCs w:val="18"/>
                <w:lang w:eastAsia="ru-RU"/>
              </w:rPr>
              <w:t>Бюджетное финансирование</w:t>
            </w:r>
          </w:p>
        </w:tc>
        <w:tc>
          <w:tcPr>
            <w:tcW w:w="434" w:type="pct"/>
            <w:tcBorders>
              <w:top w:val="nil"/>
              <w:left w:val="nil"/>
              <w:bottom w:val="single" w:sz="4" w:space="0" w:color="auto"/>
              <w:right w:val="single" w:sz="4" w:space="0" w:color="auto"/>
            </w:tcBorders>
            <w:shd w:val="clear" w:color="auto" w:fill="auto"/>
            <w:vAlign w:val="center"/>
          </w:tcPr>
          <w:p w14:paraId="73AE5003" w14:textId="77777777" w:rsidR="009A4C46" w:rsidRPr="00874840" w:rsidRDefault="009A4C46" w:rsidP="009A4C46">
            <w:pPr>
              <w:jc w:val="right"/>
              <w:rPr>
                <w:rFonts w:eastAsia="Times New Roman"/>
                <w:sz w:val="18"/>
                <w:szCs w:val="18"/>
                <w:lang w:eastAsia="ru-RU"/>
              </w:rPr>
            </w:pPr>
            <w:r w:rsidRPr="00874840">
              <w:rPr>
                <w:rFonts w:eastAsia="Times New Roman"/>
                <w:sz w:val="18"/>
                <w:szCs w:val="18"/>
                <w:lang w:eastAsia="ru-RU"/>
              </w:rPr>
              <w:t>0,00</w:t>
            </w:r>
          </w:p>
        </w:tc>
        <w:tc>
          <w:tcPr>
            <w:tcW w:w="435" w:type="pct"/>
            <w:tcBorders>
              <w:top w:val="nil"/>
              <w:left w:val="nil"/>
              <w:bottom w:val="single" w:sz="4" w:space="0" w:color="auto"/>
              <w:right w:val="single" w:sz="4" w:space="0" w:color="auto"/>
            </w:tcBorders>
            <w:shd w:val="clear" w:color="auto" w:fill="auto"/>
            <w:vAlign w:val="center"/>
          </w:tcPr>
          <w:p w14:paraId="014078BB" w14:textId="77777777" w:rsidR="009A4C46" w:rsidRPr="00874840" w:rsidRDefault="009A4C46" w:rsidP="009A4C46">
            <w:pPr>
              <w:jc w:val="right"/>
              <w:rPr>
                <w:rFonts w:eastAsia="Times New Roman"/>
                <w:sz w:val="18"/>
                <w:szCs w:val="18"/>
                <w:lang w:eastAsia="ru-RU"/>
              </w:rPr>
            </w:pPr>
            <w:r w:rsidRPr="00874840">
              <w:rPr>
                <w:rFonts w:eastAsia="Times New Roman"/>
                <w:sz w:val="18"/>
                <w:szCs w:val="18"/>
                <w:lang w:eastAsia="ru-RU"/>
              </w:rPr>
              <w:t>0,00</w:t>
            </w:r>
          </w:p>
        </w:tc>
        <w:tc>
          <w:tcPr>
            <w:tcW w:w="435" w:type="pct"/>
            <w:tcBorders>
              <w:top w:val="nil"/>
              <w:left w:val="nil"/>
              <w:bottom w:val="single" w:sz="4" w:space="0" w:color="auto"/>
              <w:right w:val="single" w:sz="4" w:space="0" w:color="auto"/>
            </w:tcBorders>
            <w:shd w:val="clear" w:color="auto" w:fill="auto"/>
            <w:vAlign w:val="center"/>
          </w:tcPr>
          <w:p w14:paraId="2164584E" w14:textId="77777777" w:rsidR="009A4C46" w:rsidRPr="00874840" w:rsidRDefault="009A4C46" w:rsidP="009A4C46">
            <w:pPr>
              <w:jc w:val="right"/>
              <w:rPr>
                <w:rFonts w:eastAsia="Times New Roman"/>
                <w:sz w:val="18"/>
                <w:szCs w:val="18"/>
                <w:lang w:eastAsia="ru-RU"/>
              </w:rPr>
            </w:pPr>
            <w:r w:rsidRPr="00874840">
              <w:rPr>
                <w:rFonts w:eastAsia="Times New Roman"/>
                <w:sz w:val="18"/>
                <w:szCs w:val="18"/>
                <w:lang w:eastAsia="ru-RU"/>
              </w:rPr>
              <w:t>0,00</w:t>
            </w:r>
          </w:p>
        </w:tc>
        <w:tc>
          <w:tcPr>
            <w:tcW w:w="435" w:type="pct"/>
            <w:tcBorders>
              <w:top w:val="nil"/>
              <w:left w:val="nil"/>
              <w:bottom w:val="single" w:sz="4" w:space="0" w:color="auto"/>
              <w:right w:val="single" w:sz="4" w:space="0" w:color="auto"/>
            </w:tcBorders>
            <w:shd w:val="clear" w:color="auto" w:fill="auto"/>
            <w:vAlign w:val="center"/>
          </w:tcPr>
          <w:p w14:paraId="219C6EEC" w14:textId="77777777" w:rsidR="009A4C46" w:rsidRPr="00874840" w:rsidRDefault="009A4C46" w:rsidP="009A4C46">
            <w:pPr>
              <w:jc w:val="right"/>
              <w:rPr>
                <w:rFonts w:eastAsia="Times New Roman"/>
                <w:sz w:val="18"/>
                <w:szCs w:val="18"/>
                <w:lang w:eastAsia="ru-RU"/>
              </w:rPr>
            </w:pPr>
            <w:r w:rsidRPr="00874840">
              <w:rPr>
                <w:rFonts w:eastAsia="Times New Roman"/>
                <w:sz w:val="18"/>
                <w:szCs w:val="18"/>
                <w:lang w:eastAsia="ru-RU"/>
              </w:rPr>
              <w:t>0,00</w:t>
            </w:r>
          </w:p>
        </w:tc>
        <w:tc>
          <w:tcPr>
            <w:tcW w:w="435" w:type="pct"/>
            <w:tcBorders>
              <w:top w:val="nil"/>
              <w:left w:val="nil"/>
              <w:bottom w:val="single" w:sz="4" w:space="0" w:color="auto"/>
              <w:right w:val="single" w:sz="4" w:space="0" w:color="auto"/>
            </w:tcBorders>
            <w:shd w:val="clear" w:color="auto" w:fill="auto"/>
            <w:vAlign w:val="center"/>
          </w:tcPr>
          <w:p w14:paraId="095816C3" w14:textId="77777777" w:rsidR="009A4C46" w:rsidRPr="00874840" w:rsidRDefault="009A4C46" w:rsidP="009A4C46">
            <w:pPr>
              <w:jc w:val="right"/>
              <w:rPr>
                <w:rFonts w:eastAsia="Times New Roman"/>
                <w:sz w:val="18"/>
                <w:szCs w:val="18"/>
                <w:lang w:eastAsia="ru-RU"/>
              </w:rPr>
            </w:pPr>
            <w:r w:rsidRPr="00874840">
              <w:rPr>
                <w:rFonts w:eastAsia="Times New Roman"/>
                <w:sz w:val="18"/>
                <w:szCs w:val="18"/>
                <w:lang w:eastAsia="ru-RU"/>
              </w:rPr>
              <w:t>0,00</w:t>
            </w:r>
          </w:p>
        </w:tc>
        <w:tc>
          <w:tcPr>
            <w:tcW w:w="503" w:type="pct"/>
            <w:tcBorders>
              <w:top w:val="nil"/>
              <w:left w:val="nil"/>
              <w:bottom w:val="single" w:sz="4" w:space="0" w:color="auto"/>
              <w:right w:val="single" w:sz="4" w:space="0" w:color="auto"/>
            </w:tcBorders>
            <w:shd w:val="clear" w:color="auto" w:fill="auto"/>
            <w:vAlign w:val="center"/>
          </w:tcPr>
          <w:p w14:paraId="136DE975" w14:textId="77777777" w:rsidR="009A4C46" w:rsidRPr="00874840" w:rsidRDefault="009A4C46" w:rsidP="009A4C46">
            <w:pPr>
              <w:jc w:val="right"/>
              <w:rPr>
                <w:rFonts w:eastAsia="Times New Roman"/>
                <w:sz w:val="18"/>
                <w:szCs w:val="18"/>
                <w:lang w:eastAsia="ru-RU"/>
              </w:rPr>
            </w:pPr>
            <w:r w:rsidRPr="00874840">
              <w:rPr>
                <w:rFonts w:eastAsia="Times New Roman"/>
                <w:sz w:val="18"/>
                <w:szCs w:val="18"/>
                <w:lang w:eastAsia="ru-RU"/>
              </w:rPr>
              <w:t>0,00</w:t>
            </w:r>
          </w:p>
        </w:tc>
      </w:tr>
      <w:tr w:rsidR="009A4C46" w:rsidRPr="00874840" w14:paraId="5A957751" w14:textId="77777777" w:rsidTr="00874840">
        <w:tc>
          <w:tcPr>
            <w:tcW w:w="523" w:type="pct"/>
            <w:tcBorders>
              <w:top w:val="nil"/>
              <w:left w:val="single" w:sz="4" w:space="0" w:color="auto"/>
              <w:bottom w:val="single" w:sz="4" w:space="0" w:color="auto"/>
              <w:right w:val="single" w:sz="4" w:space="0" w:color="auto"/>
            </w:tcBorders>
            <w:shd w:val="clear" w:color="auto" w:fill="auto"/>
            <w:vAlign w:val="center"/>
          </w:tcPr>
          <w:p w14:paraId="306491BB" w14:textId="77777777" w:rsidR="009A4C46" w:rsidRPr="00874840" w:rsidRDefault="009A4C46" w:rsidP="009A4C46">
            <w:pPr>
              <w:jc w:val="center"/>
              <w:rPr>
                <w:rFonts w:eastAsia="Times New Roman"/>
                <w:sz w:val="18"/>
                <w:szCs w:val="18"/>
                <w:lang w:eastAsia="ru-RU"/>
              </w:rPr>
            </w:pPr>
            <w:r w:rsidRPr="00874840">
              <w:rPr>
                <w:rFonts w:eastAsia="Times New Roman"/>
                <w:sz w:val="18"/>
                <w:szCs w:val="18"/>
                <w:lang w:eastAsia="ru-RU"/>
              </w:rPr>
              <w:t>2.5.1</w:t>
            </w:r>
          </w:p>
        </w:tc>
        <w:tc>
          <w:tcPr>
            <w:tcW w:w="1800" w:type="pct"/>
            <w:tcBorders>
              <w:top w:val="nil"/>
              <w:left w:val="nil"/>
              <w:bottom w:val="single" w:sz="4" w:space="0" w:color="auto"/>
              <w:right w:val="single" w:sz="4" w:space="0" w:color="auto"/>
            </w:tcBorders>
            <w:shd w:val="clear" w:color="auto" w:fill="auto"/>
            <w:vAlign w:val="center"/>
          </w:tcPr>
          <w:p w14:paraId="1D377CE4" w14:textId="77777777" w:rsidR="009A4C46" w:rsidRPr="00874840" w:rsidRDefault="009A4C46" w:rsidP="009A4C46">
            <w:pPr>
              <w:rPr>
                <w:rFonts w:eastAsia="Times New Roman"/>
                <w:sz w:val="18"/>
                <w:szCs w:val="18"/>
                <w:lang w:eastAsia="ru-RU"/>
              </w:rPr>
            </w:pPr>
            <w:r w:rsidRPr="00874840">
              <w:rPr>
                <w:rFonts w:eastAsia="Times New Roman"/>
                <w:sz w:val="18"/>
                <w:szCs w:val="18"/>
                <w:lang w:eastAsia="ru-RU"/>
              </w:rPr>
              <w:t>средства федерального бюджета</w:t>
            </w:r>
          </w:p>
        </w:tc>
        <w:tc>
          <w:tcPr>
            <w:tcW w:w="434" w:type="pct"/>
            <w:tcBorders>
              <w:top w:val="nil"/>
              <w:left w:val="nil"/>
              <w:bottom w:val="single" w:sz="4" w:space="0" w:color="auto"/>
              <w:right w:val="single" w:sz="4" w:space="0" w:color="auto"/>
            </w:tcBorders>
            <w:shd w:val="clear" w:color="auto" w:fill="auto"/>
            <w:vAlign w:val="center"/>
          </w:tcPr>
          <w:p w14:paraId="74BEF504" w14:textId="77777777" w:rsidR="009A4C46" w:rsidRPr="00874840" w:rsidRDefault="009A4C46" w:rsidP="009A4C46">
            <w:pPr>
              <w:jc w:val="right"/>
              <w:rPr>
                <w:rFonts w:eastAsia="Times New Roman"/>
                <w:sz w:val="18"/>
                <w:szCs w:val="18"/>
                <w:lang w:eastAsia="ru-RU"/>
              </w:rPr>
            </w:pPr>
            <w:r w:rsidRPr="00874840">
              <w:rPr>
                <w:rFonts w:eastAsia="Times New Roman"/>
                <w:sz w:val="18"/>
                <w:szCs w:val="18"/>
                <w:lang w:eastAsia="ru-RU"/>
              </w:rPr>
              <w:t>0,00</w:t>
            </w:r>
          </w:p>
        </w:tc>
        <w:tc>
          <w:tcPr>
            <w:tcW w:w="435" w:type="pct"/>
            <w:tcBorders>
              <w:top w:val="nil"/>
              <w:left w:val="nil"/>
              <w:bottom w:val="single" w:sz="4" w:space="0" w:color="auto"/>
              <w:right w:val="single" w:sz="4" w:space="0" w:color="auto"/>
            </w:tcBorders>
            <w:shd w:val="clear" w:color="auto" w:fill="auto"/>
            <w:vAlign w:val="center"/>
          </w:tcPr>
          <w:p w14:paraId="5CCA9183" w14:textId="77777777" w:rsidR="009A4C46" w:rsidRPr="00874840" w:rsidRDefault="009A4C46" w:rsidP="009A4C46">
            <w:pPr>
              <w:jc w:val="right"/>
              <w:rPr>
                <w:rFonts w:eastAsia="Times New Roman"/>
                <w:sz w:val="18"/>
                <w:szCs w:val="18"/>
                <w:lang w:eastAsia="ru-RU"/>
              </w:rPr>
            </w:pPr>
            <w:r w:rsidRPr="00874840">
              <w:rPr>
                <w:rFonts w:eastAsia="Times New Roman"/>
                <w:sz w:val="18"/>
                <w:szCs w:val="18"/>
                <w:lang w:eastAsia="ru-RU"/>
              </w:rPr>
              <w:t>0,00</w:t>
            </w:r>
          </w:p>
        </w:tc>
        <w:tc>
          <w:tcPr>
            <w:tcW w:w="435" w:type="pct"/>
            <w:tcBorders>
              <w:top w:val="nil"/>
              <w:left w:val="nil"/>
              <w:bottom w:val="single" w:sz="4" w:space="0" w:color="auto"/>
              <w:right w:val="single" w:sz="4" w:space="0" w:color="auto"/>
            </w:tcBorders>
            <w:shd w:val="clear" w:color="auto" w:fill="auto"/>
            <w:vAlign w:val="center"/>
          </w:tcPr>
          <w:p w14:paraId="623D408E" w14:textId="77777777" w:rsidR="009A4C46" w:rsidRPr="00874840" w:rsidRDefault="009A4C46" w:rsidP="009A4C46">
            <w:pPr>
              <w:jc w:val="right"/>
              <w:rPr>
                <w:rFonts w:eastAsia="Times New Roman"/>
                <w:sz w:val="18"/>
                <w:szCs w:val="18"/>
                <w:lang w:eastAsia="ru-RU"/>
              </w:rPr>
            </w:pPr>
            <w:r w:rsidRPr="00874840">
              <w:rPr>
                <w:rFonts w:eastAsia="Times New Roman"/>
                <w:sz w:val="18"/>
                <w:szCs w:val="18"/>
                <w:lang w:eastAsia="ru-RU"/>
              </w:rPr>
              <w:t>0,00</w:t>
            </w:r>
          </w:p>
        </w:tc>
        <w:tc>
          <w:tcPr>
            <w:tcW w:w="435" w:type="pct"/>
            <w:tcBorders>
              <w:top w:val="nil"/>
              <w:left w:val="nil"/>
              <w:bottom w:val="single" w:sz="4" w:space="0" w:color="auto"/>
              <w:right w:val="single" w:sz="4" w:space="0" w:color="auto"/>
            </w:tcBorders>
            <w:shd w:val="clear" w:color="auto" w:fill="auto"/>
            <w:vAlign w:val="center"/>
          </w:tcPr>
          <w:p w14:paraId="62E26BFD" w14:textId="77777777" w:rsidR="009A4C46" w:rsidRPr="00874840" w:rsidRDefault="009A4C46" w:rsidP="009A4C46">
            <w:pPr>
              <w:jc w:val="right"/>
              <w:rPr>
                <w:rFonts w:eastAsia="Times New Roman"/>
                <w:sz w:val="18"/>
                <w:szCs w:val="18"/>
                <w:lang w:eastAsia="ru-RU"/>
              </w:rPr>
            </w:pPr>
            <w:r w:rsidRPr="00874840">
              <w:rPr>
                <w:rFonts w:eastAsia="Times New Roman"/>
                <w:sz w:val="18"/>
                <w:szCs w:val="18"/>
                <w:lang w:eastAsia="ru-RU"/>
              </w:rPr>
              <w:t>0,00</w:t>
            </w:r>
          </w:p>
        </w:tc>
        <w:tc>
          <w:tcPr>
            <w:tcW w:w="435" w:type="pct"/>
            <w:tcBorders>
              <w:top w:val="nil"/>
              <w:left w:val="nil"/>
              <w:bottom w:val="single" w:sz="4" w:space="0" w:color="auto"/>
              <w:right w:val="single" w:sz="4" w:space="0" w:color="auto"/>
            </w:tcBorders>
            <w:shd w:val="clear" w:color="auto" w:fill="auto"/>
            <w:vAlign w:val="center"/>
          </w:tcPr>
          <w:p w14:paraId="2355B209" w14:textId="77777777" w:rsidR="009A4C46" w:rsidRPr="00874840" w:rsidRDefault="009A4C46" w:rsidP="009A4C46">
            <w:pPr>
              <w:jc w:val="right"/>
              <w:rPr>
                <w:rFonts w:eastAsia="Times New Roman"/>
                <w:sz w:val="18"/>
                <w:szCs w:val="18"/>
                <w:lang w:eastAsia="ru-RU"/>
              </w:rPr>
            </w:pPr>
            <w:r w:rsidRPr="00874840">
              <w:rPr>
                <w:rFonts w:eastAsia="Times New Roman"/>
                <w:sz w:val="18"/>
                <w:szCs w:val="18"/>
                <w:lang w:eastAsia="ru-RU"/>
              </w:rPr>
              <w:t>0,00</w:t>
            </w:r>
          </w:p>
        </w:tc>
        <w:tc>
          <w:tcPr>
            <w:tcW w:w="503" w:type="pct"/>
            <w:tcBorders>
              <w:top w:val="nil"/>
              <w:left w:val="nil"/>
              <w:bottom w:val="single" w:sz="4" w:space="0" w:color="auto"/>
              <w:right w:val="single" w:sz="4" w:space="0" w:color="auto"/>
            </w:tcBorders>
            <w:shd w:val="clear" w:color="auto" w:fill="auto"/>
            <w:vAlign w:val="center"/>
          </w:tcPr>
          <w:p w14:paraId="299BD70B" w14:textId="77777777" w:rsidR="009A4C46" w:rsidRPr="00874840" w:rsidRDefault="009A4C46" w:rsidP="009A4C46">
            <w:pPr>
              <w:jc w:val="right"/>
              <w:rPr>
                <w:rFonts w:eastAsia="Times New Roman"/>
                <w:sz w:val="18"/>
                <w:szCs w:val="18"/>
                <w:lang w:eastAsia="ru-RU"/>
              </w:rPr>
            </w:pPr>
            <w:r w:rsidRPr="00874840">
              <w:rPr>
                <w:rFonts w:eastAsia="Times New Roman"/>
                <w:sz w:val="18"/>
                <w:szCs w:val="18"/>
                <w:lang w:eastAsia="ru-RU"/>
              </w:rPr>
              <w:t>0,00</w:t>
            </w:r>
          </w:p>
        </w:tc>
      </w:tr>
      <w:tr w:rsidR="009A4C46" w:rsidRPr="00874840" w14:paraId="569FEBA3" w14:textId="77777777" w:rsidTr="00874840">
        <w:tc>
          <w:tcPr>
            <w:tcW w:w="523" w:type="pct"/>
            <w:tcBorders>
              <w:top w:val="nil"/>
              <w:left w:val="single" w:sz="4" w:space="0" w:color="auto"/>
              <w:bottom w:val="single" w:sz="4" w:space="0" w:color="auto"/>
              <w:right w:val="single" w:sz="4" w:space="0" w:color="auto"/>
            </w:tcBorders>
            <w:shd w:val="clear" w:color="auto" w:fill="auto"/>
            <w:vAlign w:val="center"/>
          </w:tcPr>
          <w:p w14:paraId="330F52B7" w14:textId="77777777" w:rsidR="009A4C46" w:rsidRPr="00874840" w:rsidRDefault="009A4C46" w:rsidP="009A4C46">
            <w:pPr>
              <w:jc w:val="center"/>
              <w:rPr>
                <w:rFonts w:eastAsia="Times New Roman"/>
                <w:sz w:val="18"/>
                <w:szCs w:val="18"/>
                <w:lang w:eastAsia="ru-RU"/>
              </w:rPr>
            </w:pPr>
            <w:r w:rsidRPr="00874840">
              <w:rPr>
                <w:rFonts w:eastAsia="Times New Roman"/>
                <w:sz w:val="18"/>
                <w:szCs w:val="18"/>
                <w:lang w:eastAsia="ru-RU"/>
              </w:rPr>
              <w:t>2.5.1.1</w:t>
            </w:r>
          </w:p>
        </w:tc>
        <w:tc>
          <w:tcPr>
            <w:tcW w:w="1800" w:type="pct"/>
            <w:tcBorders>
              <w:top w:val="nil"/>
              <w:left w:val="nil"/>
              <w:bottom w:val="single" w:sz="4" w:space="0" w:color="auto"/>
              <w:right w:val="single" w:sz="4" w:space="0" w:color="auto"/>
            </w:tcBorders>
            <w:shd w:val="clear" w:color="auto" w:fill="auto"/>
            <w:vAlign w:val="center"/>
          </w:tcPr>
          <w:p w14:paraId="6DE50CB8" w14:textId="77777777" w:rsidR="009A4C46" w:rsidRPr="00874840" w:rsidRDefault="009A4C46" w:rsidP="009A4C46">
            <w:pPr>
              <w:rPr>
                <w:rFonts w:eastAsia="Times New Roman"/>
                <w:sz w:val="18"/>
                <w:szCs w:val="18"/>
                <w:lang w:eastAsia="ru-RU"/>
              </w:rPr>
            </w:pPr>
            <w:r w:rsidRPr="00874840">
              <w:rPr>
                <w:rFonts w:eastAsia="Times New Roman"/>
                <w:sz w:val="18"/>
                <w:szCs w:val="18"/>
                <w:lang w:eastAsia="ru-RU"/>
              </w:rPr>
              <w:t>в том числе средства федерального бюджета, недоиспользованные в прошлых периодах</w:t>
            </w:r>
          </w:p>
        </w:tc>
        <w:tc>
          <w:tcPr>
            <w:tcW w:w="434" w:type="pct"/>
            <w:tcBorders>
              <w:top w:val="nil"/>
              <w:left w:val="nil"/>
              <w:bottom w:val="single" w:sz="4" w:space="0" w:color="auto"/>
              <w:right w:val="single" w:sz="4" w:space="0" w:color="auto"/>
            </w:tcBorders>
            <w:shd w:val="clear" w:color="auto" w:fill="auto"/>
            <w:vAlign w:val="center"/>
          </w:tcPr>
          <w:p w14:paraId="0725F1AC" w14:textId="77777777" w:rsidR="009A4C46" w:rsidRPr="00874840" w:rsidRDefault="009A4C46" w:rsidP="009A4C46">
            <w:pPr>
              <w:jc w:val="right"/>
              <w:rPr>
                <w:rFonts w:eastAsia="Times New Roman"/>
                <w:sz w:val="18"/>
                <w:szCs w:val="18"/>
                <w:lang w:eastAsia="ru-RU"/>
              </w:rPr>
            </w:pPr>
            <w:r w:rsidRPr="00874840">
              <w:rPr>
                <w:rFonts w:eastAsia="Times New Roman"/>
                <w:sz w:val="18"/>
                <w:szCs w:val="18"/>
                <w:lang w:eastAsia="ru-RU"/>
              </w:rPr>
              <w:t>0,00</w:t>
            </w:r>
          </w:p>
        </w:tc>
        <w:tc>
          <w:tcPr>
            <w:tcW w:w="435" w:type="pct"/>
            <w:tcBorders>
              <w:top w:val="nil"/>
              <w:left w:val="nil"/>
              <w:bottom w:val="single" w:sz="4" w:space="0" w:color="auto"/>
              <w:right w:val="single" w:sz="4" w:space="0" w:color="auto"/>
            </w:tcBorders>
            <w:shd w:val="clear" w:color="auto" w:fill="auto"/>
            <w:vAlign w:val="center"/>
          </w:tcPr>
          <w:p w14:paraId="55B50CA7" w14:textId="77777777" w:rsidR="009A4C46" w:rsidRPr="00874840" w:rsidRDefault="009A4C46" w:rsidP="009A4C46">
            <w:pPr>
              <w:jc w:val="right"/>
              <w:rPr>
                <w:rFonts w:eastAsia="Times New Roman"/>
                <w:sz w:val="18"/>
                <w:szCs w:val="18"/>
                <w:lang w:eastAsia="ru-RU"/>
              </w:rPr>
            </w:pPr>
            <w:r w:rsidRPr="00874840">
              <w:rPr>
                <w:rFonts w:eastAsia="Times New Roman"/>
                <w:sz w:val="18"/>
                <w:szCs w:val="18"/>
                <w:lang w:eastAsia="ru-RU"/>
              </w:rPr>
              <w:t>0,00</w:t>
            </w:r>
          </w:p>
        </w:tc>
        <w:tc>
          <w:tcPr>
            <w:tcW w:w="435" w:type="pct"/>
            <w:tcBorders>
              <w:top w:val="nil"/>
              <w:left w:val="nil"/>
              <w:bottom w:val="single" w:sz="4" w:space="0" w:color="auto"/>
              <w:right w:val="single" w:sz="4" w:space="0" w:color="auto"/>
            </w:tcBorders>
            <w:shd w:val="clear" w:color="auto" w:fill="auto"/>
            <w:vAlign w:val="center"/>
          </w:tcPr>
          <w:p w14:paraId="1DB35336" w14:textId="77777777" w:rsidR="009A4C46" w:rsidRPr="00874840" w:rsidRDefault="009A4C46" w:rsidP="009A4C46">
            <w:pPr>
              <w:jc w:val="right"/>
              <w:rPr>
                <w:rFonts w:eastAsia="Times New Roman"/>
                <w:sz w:val="18"/>
                <w:szCs w:val="18"/>
                <w:lang w:eastAsia="ru-RU"/>
              </w:rPr>
            </w:pPr>
            <w:r w:rsidRPr="00874840">
              <w:rPr>
                <w:rFonts w:eastAsia="Times New Roman"/>
                <w:sz w:val="18"/>
                <w:szCs w:val="18"/>
                <w:lang w:eastAsia="ru-RU"/>
              </w:rPr>
              <w:t>0,00</w:t>
            </w:r>
          </w:p>
        </w:tc>
        <w:tc>
          <w:tcPr>
            <w:tcW w:w="435" w:type="pct"/>
            <w:tcBorders>
              <w:top w:val="nil"/>
              <w:left w:val="nil"/>
              <w:bottom w:val="single" w:sz="4" w:space="0" w:color="auto"/>
              <w:right w:val="single" w:sz="4" w:space="0" w:color="auto"/>
            </w:tcBorders>
            <w:shd w:val="clear" w:color="auto" w:fill="auto"/>
            <w:vAlign w:val="center"/>
          </w:tcPr>
          <w:p w14:paraId="038C11B7" w14:textId="77777777" w:rsidR="009A4C46" w:rsidRPr="00874840" w:rsidRDefault="009A4C46" w:rsidP="009A4C46">
            <w:pPr>
              <w:jc w:val="right"/>
              <w:rPr>
                <w:rFonts w:eastAsia="Times New Roman"/>
                <w:sz w:val="18"/>
                <w:szCs w:val="18"/>
                <w:lang w:eastAsia="ru-RU"/>
              </w:rPr>
            </w:pPr>
            <w:r w:rsidRPr="00874840">
              <w:rPr>
                <w:rFonts w:eastAsia="Times New Roman"/>
                <w:sz w:val="18"/>
                <w:szCs w:val="18"/>
                <w:lang w:eastAsia="ru-RU"/>
              </w:rPr>
              <w:t>0,00</w:t>
            </w:r>
          </w:p>
        </w:tc>
        <w:tc>
          <w:tcPr>
            <w:tcW w:w="435" w:type="pct"/>
            <w:tcBorders>
              <w:top w:val="nil"/>
              <w:left w:val="nil"/>
              <w:bottom w:val="single" w:sz="4" w:space="0" w:color="auto"/>
              <w:right w:val="single" w:sz="4" w:space="0" w:color="auto"/>
            </w:tcBorders>
            <w:shd w:val="clear" w:color="auto" w:fill="auto"/>
            <w:vAlign w:val="center"/>
          </w:tcPr>
          <w:p w14:paraId="2F905DD1" w14:textId="77777777" w:rsidR="009A4C46" w:rsidRPr="00874840" w:rsidRDefault="009A4C46" w:rsidP="009A4C46">
            <w:pPr>
              <w:jc w:val="right"/>
              <w:rPr>
                <w:rFonts w:eastAsia="Times New Roman"/>
                <w:sz w:val="18"/>
                <w:szCs w:val="18"/>
                <w:lang w:eastAsia="ru-RU"/>
              </w:rPr>
            </w:pPr>
            <w:r w:rsidRPr="00874840">
              <w:rPr>
                <w:rFonts w:eastAsia="Times New Roman"/>
                <w:sz w:val="18"/>
                <w:szCs w:val="18"/>
                <w:lang w:eastAsia="ru-RU"/>
              </w:rPr>
              <w:t>0,00</w:t>
            </w:r>
          </w:p>
        </w:tc>
        <w:tc>
          <w:tcPr>
            <w:tcW w:w="503" w:type="pct"/>
            <w:tcBorders>
              <w:top w:val="nil"/>
              <w:left w:val="nil"/>
              <w:bottom w:val="single" w:sz="4" w:space="0" w:color="auto"/>
              <w:right w:val="single" w:sz="4" w:space="0" w:color="auto"/>
            </w:tcBorders>
            <w:shd w:val="clear" w:color="auto" w:fill="auto"/>
            <w:vAlign w:val="center"/>
          </w:tcPr>
          <w:p w14:paraId="506BE794" w14:textId="77777777" w:rsidR="009A4C46" w:rsidRPr="00874840" w:rsidRDefault="009A4C46" w:rsidP="009A4C46">
            <w:pPr>
              <w:jc w:val="right"/>
              <w:rPr>
                <w:rFonts w:eastAsia="Times New Roman"/>
                <w:sz w:val="18"/>
                <w:szCs w:val="18"/>
                <w:lang w:eastAsia="ru-RU"/>
              </w:rPr>
            </w:pPr>
            <w:r w:rsidRPr="00874840">
              <w:rPr>
                <w:rFonts w:eastAsia="Times New Roman"/>
                <w:sz w:val="18"/>
                <w:szCs w:val="18"/>
                <w:lang w:eastAsia="ru-RU"/>
              </w:rPr>
              <w:t>0,00</w:t>
            </w:r>
          </w:p>
        </w:tc>
      </w:tr>
      <w:tr w:rsidR="009A4C46" w:rsidRPr="00874840" w14:paraId="40E9241C" w14:textId="77777777" w:rsidTr="00874840">
        <w:tc>
          <w:tcPr>
            <w:tcW w:w="523" w:type="pct"/>
            <w:tcBorders>
              <w:top w:val="nil"/>
              <w:left w:val="single" w:sz="4" w:space="0" w:color="auto"/>
              <w:bottom w:val="single" w:sz="4" w:space="0" w:color="auto"/>
              <w:right w:val="single" w:sz="4" w:space="0" w:color="auto"/>
            </w:tcBorders>
            <w:shd w:val="clear" w:color="auto" w:fill="auto"/>
            <w:vAlign w:val="center"/>
          </w:tcPr>
          <w:p w14:paraId="501FA202" w14:textId="77777777" w:rsidR="009A4C46" w:rsidRPr="00874840" w:rsidRDefault="009A4C46" w:rsidP="009A4C46">
            <w:pPr>
              <w:jc w:val="center"/>
              <w:rPr>
                <w:rFonts w:eastAsia="Times New Roman"/>
                <w:sz w:val="18"/>
                <w:szCs w:val="18"/>
                <w:lang w:eastAsia="ru-RU"/>
              </w:rPr>
            </w:pPr>
            <w:r w:rsidRPr="00874840">
              <w:rPr>
                <w:rFonts w:eastAsia="Times New Roman"/>
                <w:sz w:val="18"/>
                <w:szCs w:val="18"/>
                <w:lang w:eastAsia="ru-RU"/>
              </w:rPr>
              <w:t>2.5.2</w:t>
            </w:r>
          </w:p>
        </w:tc>
        <w:tc>
          <w:tcPr>
            <w:tcW w:w="1800" w:type="pct"/>
            <w:tcBorders>
              <w:top w:val="nil"/>
              <w:left w:val="nil"/>
              <w:bottom w:val="single" w:sz="4" w:space="0" w:color="auto"/>
              <w:right w:val="single" w:sz="4" w:space="0" w:color="auto"/>
            </w:tcBorders>
            <w:shd w:val="clear" w:color="auto" w:fill="auto"/>
            <w:vAlign w:val="center"/>
          </w:tcPr>
          <w:p w14:paraId="6896FFBD" w14:textId="77777777" w:rsidR="009A4C46" w:rsidRPr="00874840" w:rsidRDefault="009A4C46" w:rsidP="009A4C46">
            <w:pPr>
              <w:rPr>
                <w:rFonts w:eastAsia="Times New Roman"/>
                <w:sz w:val="18"/>
                <w:szCs w:val="18"/>
                <w:lang w:eastAsia="ru-RU"/>
              </w:rPr>
            </w:pPr>
            <w:r w:rsidRPr="00874840">
              <w:rPr>
                <w:rFonts w:eastAsia="Times New Roman"/>
                <w:sz w:val="18"/>
                <w:szCs w:val="18"/>
                <w:lang w:eastAsia="ru-RU"/>
              </w:rPr>
              <w:t>средства консолидированного бюджета субъекта Российской Федерации</w:t>
            </w:r>
          </w:p>
        </w:tc>
        <w:tc>
          <w:tcPr>
            <w:tcW w:w="434" w:type="pct"/>
            <w:tcBorders>
              <w:top w:val="nil"/>
              <w:left w:val="nil"/>
              <w:bottom w:val="single" w:sz="4" w:space="0" w:color="auto"/>
              <w:right w:val="single" w:sz="4" w:space="0" w:color="auto"/>
            </w:tcBorders>
            <w:shd w:val="clear" w:color="auto" w:fill="auto"/>
            <w:vAlign w:val="center"/>
          </w:tcPr>
          <w:p w14:paraId="03DDEDC6" w14:textId="77777777" w:rsidR="009A4C46" w:rsidRPr="00874840" w:rsidRDefault="009A4C46" w:rsidP="009A4C46">
            <w:pPr>
              <w:jc w:val="right"/>
              <w:rPr>
                <w:rFonts w:eastAsia="Times New Roman"/>
                <w:sz w:val="18"/>
                <w:szCs w:val="18"/>
                <w:lang w:eastAsia="ru-RU"/>
              </w:rPr>
            </w:pPr>
            <w:r w:rsidRPr="00874840">
              <w:rPr>
                <w:rFonts w:eastAsia="Times New Roman"/>
                <w:sz w:val="18"/>
                <w:szCs w:val="18"/>
                <w:lang w:eastAsia="ru-RU"/>
              </w:rPr>
              <w:t>0,00</w:t>
            </w:r>
          </w:p>
        </w:tc>
        <w:tc>
          <w:tcPr>
            <w:tcW w:w="435" w:type="pct"/>
            <w:tcBorders>
              <w:top w:val="nil"/>
              <w:left w:val="nil"/>
              <w:bottom w:val="single" w:sz="4" w:space="0" w:color="auto"/>
              <w:right w:val="single" w:sz="4" w:space="0" w:color="auto"/>
            </w:tcBorders>
            <w:shd w:val="clear" w:color="auto" w:fill="auto"/>
            <w:vAlign w:val="center"/>
          </w:tcPr>
          <w:p w14:paraId="73F77EEC" w14:textId="77777777" w:rsidR="009A4C46" w:rsidRPr="00874840" w:rsidRDefault="009A4C46" w:rsidP="009A4C46">
            <w:pPr>
              <w:jc w:val="right"/>
              <w:rPr>
                <w:rFonts w:eastAsia="Times New Roman"/>
                <w:sz w:val="18"/>
                <w:szCs w:val="18"/>
                <w:lang w:eastAsia="ru-RU"/>
              </w:rPr>
            </w:pPr>
            <w:r w:rsidRPr="00874840">
              <w:rPr>
                <w:rFonts w:eastAsia="Times New Roman"/>
                <w:sz w:val="18"/>
                <w:szCs w:val="18"/>
                <w:lang w:eastAsia="ru-RU"/>
              </w:rPr>
              <w:t>0,00</w:t>
            </w:r>
          </w:p>
        </w:tc>
        <w:tc>
          <w:tcPr>
            <w:tcW w:w="435" w:type="pct"/>
            <w:tcBorders>
              <w:top w:val="nil"/>
              <w:left w:val="nil"/>
              <w:bottom w:val="single" w:sz="4" w:space="0" w:color="auto"/>
              <w:right w:val="single" w:sz="4" w:space="0" w:color="auto"/>
            </w:tcBorders>
            <w:shd w:val="clear" w:color="auto" w:fill="auto"/>
            <w:vAlign w:val="center"/>
          </w:tcPr>
          <w:p w14:paraId="78CD1433" w14:textId="77777777" w:rsidR="009A4C46" w:rsidRPr="00874840" w:rsidRDefault="009A4C46" w:rsidP="009A4C46">
            <w:pPr>
              <w:jc w:val="right"/>
              <w:rPr>
                <w:rFonts w:eastAsia="Times New Roman"/>
                <w:sz w:val="18"/>
                <w:szCs w:val="18"/>
                <w:lang w:eastAsia="ru-RU"/>
              </w:rPr>
            </w:pPr>
            <w:r w:rsidRPr="00874840">
              <w:rPr>
                <w:rFonts w:eastAsia="Times New Roman"/>
                <w:sz w:val="18"/>
                <w:szCs w:val="18"/>
                <w:lang w:eastAsia="ru-RU"/>
              </w:rPr>
              <w:t>0,00</w:t>
            </w:r>
          </w:p>
        </w:tc>
        <w:tc>
          <w:tcPr>
            <w:tcW w:w="435" w:type="pct"/>
            <w:tcBorders>
              <w:top w:val="nil"/>
              <w:left w:val="nil"/>
              <w:bottom w:val="single" w:sz="4" w:space="0" w:color="auto"/>
              <w:right w:val="single" w:sz="4" w:space="0" w:color="auto"/>
            </w:tcBorders>
            <w:shd w:val="clear" w:color="auto" w:fill="auto"/>
            <w:vAlign w:val="center"/>
          </w:tcPr>
          <w:p w14:paraId="6E8CDB17" w14:textId="77777777" w:rsidR="009A4C46" w:rsidRPr="00874840" w:rsidRDefault="009A4C46" w:rsidP="009A4C46">
            <w:pPr>
              <w:jc w:val="right"/>
              <w:rPr>
                <w:rFonts w:eastAsia="Times New Roman"/>
                <w:sz w:val="18"/>
                <w:szCs w:val="18"/>
                <w:lang w:eastAsia="ru-RU"/>
              </w:rPr>
            </w:pPr>
            <w:r w:rsidRPr="00874840">
              <w:rPr>
                <w:rFonts w:eastAsia="Times New Roman"/>
                <w:sz w:val="18"/>
                <w:szCs w:val="18"/>
                <w:lang w:eastAsia="ru-RU"/>
              </w:rPr>
              <w:t>0,00</w:t>
            </w:r>
          </w:p>
        </w:tc>
        <w:tc>
          <w:tcPr>
            <w:tcW w:w="435" w:type="pct"/>
            <w:tcBorders>
              <w:top w:val="nil"/>
              <w:left w:val="nil"/>
              <w:bottom w:val="single" w:sz="4" w:space="0" w:color="auto"/>
              <w:right w:val="single" w:sz="4" w:space="0" w:color="auto"/>
            </w:tcBorders>
            <w:shd w:val="clear" w:color="auto" w:fill="auto"/>
            <w:vAlign w:val="center"/>
          </w:tcPr>
          <w:p w14:paraId="2CBDF738" w14:textId="77777777" w:rsidR="009A4C46" w:rsidRPr="00874840" w:rsidRDefault="009A4C46" w:rsidP="009A4C46">
            <w:pPr>
              <w:jc w:val="right"/>
              <w:rPr>
                <w:rFonts w:eastAsia="Times New Roman"/>
                <w:sz w:val="18"/>
                <w:szCs w:val="18"/>
                <w:lang w:eastAsia="ru-RU"/>
              </w:rPr>
            </w:pPr>
            <w:r w:rsidRPr="00874840">
              <w:rPr>
                <w:rFonts w:eastAsia="Times New Roman"/>
                <w:sz w:val="18"/>
                <w:szCs w:val="18"/>
                <w:lang w:eastAsia="ru-RU"/>
              </w:rPr>
              <w:t>0,00</w:t>
            </w:r>
          </w:p>
        </w:tc>
        <w:tc>
          <w:tcPr>
            <w:tcW w:w="503" w:type="pct"/>
            <w:tcBorders>
              <w:top w:val="nil"/>
              <w:left w:val="nil"/>
              <w:bottom w:val="single" w:sz="4" w:space="0" w:color="auto"/>
              <w:right w:val="single" w:sz="4" w:space="0" w:color="auto"/>
            </w:tcBorders>
            <w:shd w:val="clear" w:color="auto" w:fill="auto"/>
            <w:vAlign w:val="center"/>
          </w:tcPr>
          <w:p w14:paraId="0EC1EE8C" w14:textId="77777777" w:rsidR="009A4C46" w:rsidRPr="00874840" w:rsidRDefault="009A4C46" w:rsidP="009A4C46">
            <w:pPr>
              <w:jc w:val="right"/>
              <w:rPr>
                <w:rFonts w:eastAsia="Times New Roman"/>
                <w:sz w:val="18"/>
                <w:szCs w:val="18"/>
                <w:lang w:eastAsia="ru-RU"/>
              </w:rPr>
            </w:pPr>
            <w:r w:rsidRPr="00874840">
              <w:rPr>
                <w:rFonts w:eastAsia="Times New Roman"/>
                <w:sz w:val="18"/>
                <w:szCs w:val="18"/>
                <w:lang w:eastAsia="ru-RU"/>
              </w:rPr>
              <w:t>0,00</w:t>
            </w:r>
          </w:p>
        </w:tc>
      </w:tr>
      <w:tr w:rsidR="009A4C46" w:rsidRPr="00874840" w14:paraId="208D0027" w14:textId="77777777" w:rsidTr="00874840">
        <w:tc>
          <w:tcPr>
            <w:tcW w:w="523" w:type="pct"/>
            <w:tcBorders>
              <w:top w:val="nil"/>
              <w:left w:val="single" w:sz="4" w:space="0" w:color="auto"/>
              <w:bottom w:val="single" w:sz="4" w:space="0" w:color="auto"/>
              <w:right w:val="single" w:sz="4" w:space="0" w:color="auto"/>
            </w:tcBorders>
            <w:shd w:val="clear" w:color="auto" w:fill="auto"/>
            <w:vAlign w:val="center"/>
          </w:tcPr>
          <w:p w14:paraId="4B1B294D" w14:textId="77777777" w:rsidR="009A4C46" w:rsidRPr="00874840" w:rsidRDefault="009A4C46" w:rsidP="009A4C46">
            <w:pPr>
              <w:jc w:val="center"/>
              <w:rPr>
                <w:rFonts w:eastAsia="Times New Roman"/>
                <w:sz w:val="18"/>
                <w:szCs w:val="18"/>
                <w:lang w:eastAsia="ru-RU"/>
              </w:rPr>
            </w:pPr>
            <w:r w:rsidRPr="00874840">
              <w:rPr>
                <w:rFonts w:eastAsia="Times New Roman"/>
                <w:sz w:val="18"/>
                <w:szCs w:val="18"/>
                <w:lang w:eastAsia="ru-RU"/>
              </w:rPr>
              <w:t>2.5.2.1</w:t>
            </w:r>
          </w:p>
        </w:tc>
        <w:tc>
          <w:tcPr>
            <w:tcW w:w="1800" w:type="pct"/>
            <w:tcBorders>
              <w:top w:val="nil"/>
              <w:left w:val="nil"/>
              <w:bottom w:val="single" w:sz="4" w:space="0" w:color="auto"/>
              <w:right w:val="single" w:sz="4" w:space="0" w:color="auto"/>
            </w:tcBorders>
            <w:shd w:val="clear" w:color="auto" w:fill="auto"/>
            <w:vAlign w:val="center"/>
          </w:tcPr>
          <w:p w14:paraId="6C0C54B9" w14:textId="77777777" w:rsidR="009A4C46" w:rsidRPr="00874840" w:rsidRDefault="009A4C46" w:rsidP="009A4C46">
            <w:pPr>
              <w:rPr>
                <w:rFonts w:eastAsia="Times New Roman"/>
                <w:sz w:val="18"/>
                <w:szCs w:val="18"/>
                <w:lang w:eastAsia="ru-RU"/>
              </w:rPr>
            </w:pPr>
            <w:r w:rsidRPr="00874840">
              <w:rPr>
                <w:rFonts w:eastAsia="Times New Roman"/>
                <w:sz w:val="18"/>
                <w:szCs w:val="18"/>
                <w:lang w:eastAsia="ru-RU"/>
              </w:rPr>
              <w:t>в том числе средства консолидированного бюджета субъекта Российской Федерации, недоиспользованные в прошлых периодах</w:t>
            </w:r>
          </w:p>
        </w:tc>
        <w:tc>
          <w:tcPr>
            <w:tcW w:w="434" w:type="pct"/>
            <w:tcBorders>
              <w:top w:val="nil"/>
              <w:left w:val="nil"/>
              <w:bottom w:val="single" w:sz="4" w:space="0" w:color="auto"/>
              <w:right w:val="single" w:sz="4" w:space="0" w:color="auto"/>
            </w:tcBorders>
            <w:shd w:val="clear" w:color="auto" w:fill="auto"/>
            <w:vAlign w:val="center"/>
          </w:tcPr>
          <w:p w14:paraId="301B30AC" w14:textId="77777777" w:rsidR="009A4C46" w:rsidRPr="00874840" w:rsidRDefault="009A4C46" w:rsidP="009A4C46">
            <w:pPr>
              <w:jc w:val="right"/>
              <w:rPr>
                <w:rFonts w:eastAsia="Times New Roman"/>
                <w:sz w:val="18"/>
                <w:szCs w:val="18"/>
                <w:lang w:eastAsia="ru-RU"/>
              </w:rPr>
            </w:pPr>
            <w:r w:rsidRPr="00874840">
              <w:rPr>
                <w:rFonts w:eastAsia="Times New Roman"/>
                <w:sz w:val="18"/>
                <w:szCs w:val="18"/>
                <w:lang w:eastAsia="ru-RU"/>
              </w:rPr>
              <w:t>0,00</w:t>
            </w:r>
          </w:p>
        </w:tc>
        <w:tc>
          <w:tcPr>
            <w:tcW w:w="435" w:type="pct"/>
            <w:tcBorders>
              <w:top w:val="nil"/>
              <w:left w:val="nil"/>
              <w:bottom w:val="single" w:sz="4" w:space="0" w:color="auto"/>
              <w:right w:val="single" w:sz="4" w:space="0" w:color="auto"/>
            </w:tcBorders>
            <w:shd w:val="clear" w:color="auto" w:fill="auto"/>
            <w:vAlign w:val="center"/>
          </w:tcPr>
          <w:p w14:paraId="1E270CE1" w14:textId="77777777" w:rsidR="009A4C46" w:rsidRPr="00874840" w:rsidRDefault="009A4C46" w:rsidP="009A4C46">
            <w:pPr>
              <w:jc w:val="right"/>
              <w:rPr>
                <w:rFonts w:eastAsia="Times New Roman"/>
                <w:sz w:val="18"/>
                <w:szCs w:val="18"/>
                <w:lang w:eastAsia="ru-RU"/>
              </w:rPr>
            </w:pPr>
            <w:r w:rsidRPr="00874840">
              <w:rPr>
                <w:rFonts w:eastAsia="Times New Roman"/>
                <w:sz w:val="18"/>
                <w:szCs w:val="18"/>
                <w:lang w:eastAsia="ru-RU"/>
              </w:rPr>
              <w:t>0,00</w:t>
            </w:r>
          </w:p>
        </w:tc>
        <w:tc>
          <w:tcPr>
            <w:tcW w:w="435" w:type="pct"/>
            <w:tcBorders>
              <w:top w:val="nil"/>
              <w:left w:val="nil"/>
              <w:bottom w:val="single" w:sz="4" w:space="0" w:color="auto"/>
              <w:right w:val="single" w:sz="4" w:space="0" w:color="auto"/>
            </w:tcBorders>
            <w:shd w:val="clear" w:color="auto" w:fill="auto"/>
            <w:vAlign w:val="center"/>
          </w:tcPr>
          <w:p w14:paraId="5B25D7C6" w14:textId="77777777" w:rsidR="009A4C46" w:rsidRPr="00874840" w:rsidRDefault="009A4C46" w:rsidP="009A4C46">
            <w:pPr>
              <w:jc w:val="right"/>
              <w:rPr>
                <w:rFonts w:eastAsia="Times New Roman"/>
                <w:sz w:val="18"/>
                <w:szCs w:val="18"/>
                <w:lang w:eastAsia="ru-RU"/>
              </w:rPr>
            </w:pPr>
            <w:r w:rsidRPr="00874840">
              <w:rPr>
                <w:rFonts w:eastAsia="Times New Roman"/>
                <w:sz w:val="18"/>
                <w:szCs w:val="18"/>
                <w:lang w:eastAsia="ru-RU"/>
              </w:rPr>
              <w:t>0,00</w:t>
            </w:r>
          </w:p>
        </w:tc>
        <w:tc>
          <w:tcPr>
            <w:tcW w:w="435" w:type="pct"/>
            <w:tcBorders>
              <w:top w:val="nil"/>
              <w:left w:val="nil"/>
              <w:bottom w:val="single" w:sz="4" w:space="0" w:color="auto"/>
              <w:right w:val="single" w:sz="4" w:space="0" w:color="auto"/>
            </w:tcBorders>
            <w:shd w:val="clear" w:color="auto" w:fill="auto"/>
            <w:vAlign w:val="center"/>
          </w:tcPr>
          <w:p w14:paraId="55D39E12" w14:textId="77777777" w:rsidR="009A4C46" w:rsidRPr="00874840" w:rsidRDefault="009A4C46" w:rsidP="009A4C46">
            <w:pPr>
              <w:jc w:val="right"/>
              <w:rPr>
                <w:rFonts w:eastAsia="Times New Roman"/>
                <w:sz w:val="18"/>
                <w:szCs w:val="18"/>
                <w:lang w:eastAsia="ru-RU"/>
              </w:rPr>
            </w:pPr>
            <w:r w:rsidRPr="00874840">
              <w:rPr>
                <w:rFonts w:eastAsia="Times New Roman"/>
                <w:sz w:val="18"/>
                <w:szCs w:val="18"/>
                <w:lang w:eastAsia="ru-RU"/>
              </w:rPr>
              <w:t>0,00</w:t>
            </w:r>
          </w:p>
        </w:tc>
        <w:tc>
          <w:tcPr>
            <w:tcW w:w="435" w:type="pct"/>
            <w:tcBorders>
              <w:top w:val="nil"/>
              <w:left w:val="nil"/>
              <w:bottom w:val="single" w:sz="4" w:space="0" w:color="auto"/>
              <w:right w:val="single" w:sz="4" w:space="0" w:color="auto"/>
            </w:tcBorders>
            <w:shd w:val="clear" w:color="auto" w:fill="auto"/>
            <w:vAlign w:val="center"/>
          </w:tcPr>
          <w:p w14:paraId="3263FBE5" w14:textId="77777777" w:rsidR="009A4C46" w:rsidRPr="00874840" w:rsidRDefault="009A4C46" w:rsidP="009A4C46">
            <w:pPr>
              <w:jc w:val="right"/>
              <w:rPr>
                <w:rFonts w:eastAsia="Times New Roman"/>
                <w:sz w:val="18"/>
                <w:szCs w:val="18"/>
                <w:lang w:eastAsia="ru-RU"/>
              </w:rPr>
            </w:pPr>
            <w:r w:rsidRPr="00874840">
              <w:rPr>
                <w:rFonts w:eastAsia="Times New Roman"/>
                <w:sz w:val="18"/>
                <w:szCs w:val="18"/>
                <w:lang w:eastAsia="ru-RU"/>
              </w:rPr>
              <w:t>0,00</w:t>
            </w:r>
          </w:p>
        </w:tc>
        <w:tc>
          <w:tcPr>
            <w:tcW w:w="503" w:type="pct"/>
            <w:tcBorders>
              <w:top w:val="nil"/>
              <w:left w:val="nil"/>
              <w:bottom w:val="single" w:sz="4" w:space="0" w:color="auto"/>
              <w:right w:val="single" w:sz="4" w:space="0" w:color="auto"/>
            </w:tcBorders>
            <w:shd w:val="clear" w:color="auto" w:fill="auto"/>
            <w:vAlign w:val="center"/>
          </w:tcPr>
          <w:p w14:paraId="40C3547C" w14:textId="77777777" w:rsidR="009A4C46" w:rsidRPr="00874840" w:rsidRDefault="009A4C46" w:rsidP="009A4C46">
            <w:pPr>
              <w:jc w:val="right"/>
              <w:rPr>
                <w:rFonts w:eastAsia="Times New Roman"/>
                <w:sz w:val="18"/>
                <w:szCs w:val="18"/>
                <w:lang w:eastAsia="ru-RU"/>
              </w:rPr>
            </w:pPr>
            <w:r w:rsidRPr="00874840">
              <w:rPr>
                <w:rFonts w:eastAsia="Times New Roman"/>
                <w:sz w:val="18"/>
                <w:szCs w:val="18"/>
                <w:lang w:eastAsia="ru-RU"/>
              </w:rPr>
              <w:t>0,00</w:t>
            </w:r>
          </w:p>
        </w:tc>
      </w:tr>
      <w:tr w:rsidR="009A4C46" w:rsidRPr="00874840" w14:paraId="332115AA" w14:textId="77777777" w:rsidTr="00874840">
        <w:tc>
          <w:tcPr>
            <w:tcW w:w="523" w:type="pct"/>
            <w:tcBorders>
              <w:top w:val="nil"/>
              <w:left w:val="single" w:sz="4" w:space="0" w:color="auto"/>
              <w:bottom w:val="single" w:sz="4" w:space="0" w:color="auto"/>
              <w:right w:val="single" w:sz="4" w:space="0" w:color="auto"/>
            </w:tcBorders>
            <w:shd w:val="clear" w:color="auto" w:fill="auto"/>
            <w:vAlign w:val="center"/>
          </w:tcPr>
          <w:p w14:paraId="5C4B893F" w14:textId="77777777" w:rsidR="009A4C46" w:rsidRPr="00874840" w:rsidRDefault="009A4C46" w:rsidP="009A4C46">
            <w:pPr>
              <w:jc w:val="center"/>
              <w:rPr>
                <w:rFonts w:eastAsia="Times New Roman"/>
                <w:sz w:val="18"/>
                <w:szCs w:val="18"/>
                <w:lang w:eastAsia="ru-RU"/>
              </w:rPr>
            </w:pPr>
            <w:r w:rsidRPr="00874840">
              <w:rPr>
                <w:rFonts w:eastAsia="Times New Roman"/>
                <w:sz w:val="18"/>
                <w:szCs w:val="18"/>
                <w:lang w:eastAsia="ru-RU"/>
              </w:rPr>
              <w:t>2.6</w:t>
            </w:r>
          </w:p>
        </w:tc>
        <w:tc>
          <w:tcPr>
            <w:tcW w:w="1800" w:type="pct"/>
            <w:tcBorders>
              <w:top w:val="nil"/>
              <w:left w:val="nil"/>
              <w:bottom w:val="single" w:sz="4" w:space="0" w:color="auto"/>
              <w:right w:val="single" w:sz="4" w:space="0" w:color="auto"/>
            </w:tcBorders>
            <w:shd w:val="clear" w:color="auto" w:fill="auto"/>
            <w:vAlign w:val="center"/>
          </w:tcPr>
          <w:p w14:paraId="58DD0EC0" w14:textId="77777777" w:rsidR="009A4C46" w:rsidRPr="00874840" w:rsidRDefault="009A4C46" w:rsidP="009A4C46">
            <w:pPr>
              <w:rPr>
                <w:rFonts w:eastAsia="Times New Roman"/>
                <w:sz w:val="18"/>
                <w:szCs w:val="18"/>
                <w:lang w:eastAsia="ru-RU"/>
              </w:rPr>
            </w:pPr>
            <w:r w:rsidRPr="00874840">
              <w:rPr>
                <w:rFonts w:eastAsia="Times New Roman"/>
                <w:sz w:val="18"/>
                <w:szCs w:val="18"/>
                <w:lang w:eastAsia="ru-RU"/>
              </w:rPr>
              <w:t>Использование лизинга</w:t>
            </w:r>
          </w:p>
        </w:tc>
        <w:tc>
          <w:tcPr>
            <w:tcW w:w="434" w:type="pct"/>
            <w:tcBorders>
              <w:top w:val="nil"/>
              <w:left w:val="nil"/>
              <w:bottom w:val="single" w:sz="4" w:space="0" w:color="auto"/>
              <w:right w:val="single" w:sz="4" w:space="0" w:color="auto"/>
            </w:tcBorders>
            <w:shd w:val="clear" w:color="auto" w:fill="auto"/>
            <w:vAlign w:val="center"/>
          </w:tcPr>
          <w:p w14:paraId="338BC5ED" w14:textId="77777777" w:rsidR="009A4C46" w:rsidRPr="00874840" w:rsidRDefault="009A4C46" w:rsidP="009A4C46">
            <w:pPr>
              <w:jc w:val="right"/>
              <w:rPr>
                <w:rFonts w:eastAsia="Times New Roman"/>
                <w:sz w:val="18"/>
                <w:szCs w:val="18"/>
                <w:lang w:eastAsia="ru-RU"/>
              </w:rPr>
            </w:pPr>
            <w:r w:rsidRPr="00874840">
              <w:rPr>
                <w:rFonts w:eastAsia="Times New Roman"/>
                <w:sz w:val="18"/>
                <w:szCs w:val="18"/>
                <w:lang w:eastAsia="ru-RU"/>
              </w:rPr>
              <w:t>0,00</w:t>
            </w:r>
          </w:p>
        </w:tc>
        <w:tc>
          <w:tcPr>
            <w:tcW w:w="435" w:type="pct"/>
            <w:tcBorders>
              <w:top w:val="nil"/>
              <w:left w:val="nil"/>
              <w:bottom w:val="single" w:sz="4" w:space="0" w:color="auto"/>
              <w:right w:val="single" w:sz="4" w:space="0" w:color="auto"/>
            </w:tcBorders>
            <w:shd w:val="clear" w:color="auto" w:fill="auto"/>
            <w:vAlign w:val="center"/>
          </w:tcPr>
          <w:p w14:paraId="1434D756" w14:textId="77777777" w:rsidR="009A4C46" w:rsidRPr="00874840" w:rsidRDefault="009A4C46" w:rsidP="009A4C46">
            <w:pPr>
              <w:jc w:val="right"/>
              <w:rPr>
                <w:rFonts w:eastAsia="Times New Roman"/>
                <w:sz w:val="18"/>
                <w:szCs w:val="18"/>
                <w:lang w:eastAsia="ru-RU"/>
              </w:rPr>
            </w:pPr>
            <w:r w:rsidRPr="00874840">
              <w:rPr>
                <w:rFonts w:eastAsia="Times New Roman"/>
                <w:sz w:val="18"/>
                <w:szCs w:val="18"/>
                <w:lang w:eastAsia="ru-RU"/>
              </w:rPr>
              <w:t>0,00</w:t>
            </w:r>
          </w:p>
        </w:tc>
        <w:tc>
          <w:tcPr>
            <w:tcW w:w="435" w:type="pct"/>
            <w:tcBorders>
              <w:top w:val="nil"/>
              <w:left w:val="nil"/>
              <w:bottom w:val="single" w:sz="4" w:space="0" w:color="auto"/>
              <w:right w:val="single" w:sz="4" w:space="0" w:color="auto"/>
            </w:tcBorders>
            <w:shd w:val="clear" w:color="auto" w:fill="auto"/>
            <w:vAlign w:val="center"/>
          </w:tcPr>
          <w:p w14:paraId="4A35C799" w14:textId="77777777" w:rsidR="009A4C46" w:rsidRPr="00874840" w:rsidRDefault="009A4C46" w:rsidP="009A4C46">
            <w:pPr>
              <w:jc w:val="right"/>
              <w:rPr>
                <w:rFonts w:eastAsia="Times New Roman"/>
                <w:sz w:val="18"/>
                <w:szCs w:val="18"/>
                <w:lang w:eastAsia="ru-RU"/>
              </w:rPr>
            </w:pPr>
            <w:r w:rsidRPr="00874840">
              <w:rPr>
                <w:rFonts w:eastAsia="Times New Roman"/>
                <w:sz w:val="18"/>
                <w:szCs w:val="18"/>
                <w:lang w:eastAsia="ru-RU"/>
              </w:rPr>
              <w:t>0,00</w:t>
            </w:r>
          </w:p>
        </w:tc>
        <w:tc>
          <w:tcPr>
            <w:tcW w:w="435" w:type="pct"/>
            <w:tcBorders>
              <w:top w:val="nil"/>
              <w:left w:val="nil"/>
              <w:bottom w:val="single" w:sz="4" w:space="0" w:color="auto"/>
              <w:right w:val="single" w:sz="4" w:space="0" w:color="auto"/>
            </w:tcBorders>
            <w:shd w:val="clear" w:color="auto" w:fill="auto"/>
            <w:vAlign w:val="center"/>
          </w:tcPr>
          <w:p w14:paraId="0C370BC2" w14:textId="77777777" w:rsidR="009A4C46" w:rsidRPr="00874840" w:rsidRDefault="009A4C46" w:rsidP="009A4C46">
            <w:pPr>
              <w:jc w:val="right"/>
              <w:rPr>
                <w:rFonts w:eastAsia="Times New Roman"/>
                <w:sz w:val="18"/>
                <w:szCs w:val="18"/>
                <w:lang w:eastAsia="ru-RU"/>
              </w:rPr>
            </w:pPr>
            <w:r w:rsidRPr="00874840">
              <w:rPr>
                <w:rFonts w:eastAsia="Times New Roman"/>
                <w:sz w:val="18"/>
                <w:szCs w:val="18"/>
                <w:lang w:eastAsia="ru-RU"/>
              </w:rPr>
              <w:t>0,00</w:t>
            </w:r>
          </w:p>
        </w:tc>
        <w:tc>
          <w:tcPr>
            <w:tcW w:w="435" w:type="pct"/>
            <w:tcBorders>
              <w:top w:val="nil"/>
              <w:left w:val="nil"/>
              <w:bottom w:val="single" w:sz="4" w:space="0" w:color="auto"/>
              <w:right w:val="single" w:sz="4" w:space="0" w:color="auto"/>
            </w:tcBorders>
            <w:shd w:val="clear" w:color="auto" w:fill="auto"/>
            <w:vAlign w:val="center"/>
          </w:tcPr>
          <w:p w14:paraId="36CAB66B" w14:textId="77777777" w:rsidR="009A4C46" w:rsidRPr="00874840" w:rsidRDefault="009A4C46" w:rsidP="009A4C46">
            <w:pPr>
              <w:jc w:val="right"/>
              <w:rPr>
                <w:rFonts w:eastAsia="Times New Roman"/>
                <w:sz w:val="18"/>
                <w:szCs w:val="18"/>
                <w:lang w:eastAsia="ru-RU"/>
              </w:rPr>
            </w:pPr>
            <w:r w:rsidRPr="00874840">
              <w:rPr>
                <w:rFonts w:eastAsia="Times New Roman"/>
                <w:sz w:val="18"/>
                <w:szCs w:val="18"/>
                <w:lang w:eastAsia="ru-RU"/>
              </w:rPr>
              <w:t>0,00</w:t>
            </w:r>
          </w:p>
        </w:tc>
        <w:tc>
          <w:tcPr>
            <w:tcW w:w="503" w:type="pct"/>
            <w:tcBorders>
              <w:top w:val="nil"/>
              <w:left w:val="nil"/>
              <w:bottom w:val="single" w:sz="4" w:space="0" w:color="auto"/>
              <w:right w:val="single" w:sz="4" w:space="0" w:color="auto"/>
            </w:tcBorders>
            <w:shd w:val="clear" w:color="auto" w:fill="auto"/>
            <w:vAlign w:val="center"/>
          </w:tcPr>
          <w:p w14:paraId="19C4EF68" w14:textId="77777777" w:rsidR="009A4C46" w:rsidRPr="00874840" w:rsidRDefault="009A4C46" w:rsidP="009A4C46">
            <w:pPr>
              <w:jc w:val="right"/>
              <w:rPr>
                <w:rFonts w:eastAsia="Times New Roman"/>
                <w:sz w:val="18"/>
                <w:szCs w:val="18"/>
                <w:lang w:eastAsia="ru-RU"/>
              </w:rPr>
            </w:pPr>
            <w:r w:rsidRPr="00874840">
              <w:rPr>
                <w:rFonts w:eastAsia="Times New Roman"/>
                <w:sz w:val="18"/>
                <w:szCs w:val="18"/>
                <w:lang w:eastAsia="ru-RU"/>
              </w:rPr>
              <w:t>0,00</w:t>
            </w:r>
          </w:p>
        </w:tc>
      </w:tr>
      <w:tr w:rsidR="009A4C46" w:rsidRPr="00874840" w14:paraId="1B78DE70" w14:textId="77777777" w:rsidTr="00874840">
        <w:tc>
          <w:tcPr>
            <w:tcW w:w="523" w:type="pct"/>
            <w:tcBorders>
              <w:top w:val="nil"/>
              <w:left w:val="single" w:sz="4" w:space="0" w:color="auto"/>
              <w:bottom w:val="single" w:sz="4" w:space="0" w:color="auto"/>
              <w:right w:val="single" w:sz="4" w:space="0" w:color="auto"/>
            </w:tcBorders>
            <w:shd w:val="clear" w:color="auto" w:fill="auto"/>
            <w:vAlign w:val="center"/>
          </w:tcPr>
          <w:p w14:paraId="1748ED08" w14:textId="77777777" w:rsidR="009A4C46" w:rsidRPr="00874840" w:rsidRDefault="009A4C46" w:rsidP="009A4C46">
            <w:pPr>
              <w:jc w:val="center"/>
              <w:rPr>
                <w:rFonts w:eastAsia="Times New Roman"/>
                <w:sz w:val="18"/>
                <w:szCs w:val="18"/>
                <w:lang w:eastAsia="ru-RU"/>
              </w:rPr>
            </w:pPr>
            <w:r w:rsidRPr="00874840">
              <w:rPr>
                <w:rFonts w:eastAsia="Times New Roman"/>
                <w:sz w:val="18"/>
                <w:szCs w:val="18"/>
                <w:lang w:eastAsia="ru-RU"/>
              </w:rPr>
              <w:t>2.7</w:t>
            </w:r>
          </w:p>
        </w:tc>
        <w:tc>
          <w:tcPr>
            <w:tcW w:w="1800" w:type="pct"/>
            <w:tcBorders>
              <w:top w:val="nil"/>
              <w:left w:val="nil"/>
              <w:bottom w:val="single" w:sz="4" w:space="0" w:color="auto"/>
              <w:right w:val="single" w:sz="4" w:space="0" w:color="auto"/>
            </w:tcBorders>
            <w:shd w:val="clear" w:color="auto" w:fill="auto"/>
            <w:vAlign w:val="center"/>
          </w:tcPr>
          <w:p w14:paraId="63BA1050" w14:textId="77777777" w:rsidR="009A4C46" w:rsidRPr="00874840" w:rsidRDefault="009A4C46" w:rsidP="009A4C46">
            <w:pPr>
              <w:rPr>
                <w:rFonts w:eastAsia="Times New Roman"/>
                <w:sz w:val="18"/>
                <w:szCs w:val="18"/>
                <w:lang w:eastAsia="ru-RU"/>
              </w:rPr>
            </w:pPr>
            <w:r w:rsidRPr="00874840">
              <w:rPr>
                <w:rFonts w:eastAsia="Times New Roman"/>
                <w:sz w:val="18"/>
                <w:szCs w:val="18"/>
                <w:lang w:eastAsia="ru-RU"/>
              </w:rPr>
              <w:t>Прочие привлеченные средства</w:t>
            </w:r>
          </w:p>
        </w:tc>
        <w:tc>
          <w:tcPr>
            <w:tcW w:w="434" w:type="pct"/>
            <w:tcBorders>
              <w:top w:val="nil"/>
              <w:left w:val="nil"/>
              <w:bottom w:val="single" w:sz="4" w:space="0" w:color="auto"/>
              <w:right w:val="single" w:sz="4" w:space="0" w:color="auto"/>
            </w:tcBorders>
            <w:shd w:val="clear" w:color="auto" w:fill="auto"/>
            <w:vAlign w:val="center"/>
          </w:tcPr>
          <w:p w14:paraId="7410C70B" w14:textId="77777777" w:rsidR="009A4C46" w:rsidRPr="00874840" w:rsidRDefault="009A4C46" w:rsidP="009A4C46">
            <w:pPr>
              <w:jc w:val="right"/>
              <w:rPr>
                <w:rFonts w:eastAsia="Times New Roman"/>
                <w:sz w:val="18"/>
                <w:szCs w:val="18"/>
                <w:lang w:eastAsia="ru-RU"/>
              </w:rPr>
            </w:pPr>
            <w:r w:rsidRPr="00874840">
              <w:rPr>
                <w:rFonts w:eastAsia="Times New Roman"/>
                <w:sz w:val="18"/>
                <w:szCs w:val="18"/>
                <w:lang w:eastAsia="ru-RU"/>
              </w:rPr>
              <w:t>0,00</w:t>
            </w:r>
          </w:p>
        </w:tc>
        <w:tc>
          <w:tcPr>
            <w:tcW w:w="435" w:type="pct"/>
            <w:tcBorders>
              <w:top w:val="nil"/>
              <w:left w:val="nil"/>
              <w:bottom w:val="single" w:sz="4" w:space="0" w:color="auto"/>
              <w:right w:val="single" w:sz="4" w:space="0" w:color="auto"/>
            </w:tcBorders>
            <w:shd w:val="clear" w:color="auto" w:fill="auto"/>
            <w:vAlign w:val="center"/>
          </w:tcPr>
          <w:p w14:paraId="42B0E61C" w14:textId="77777777" w:rsidR="009A4C46" w:rsidRPr="00874840" w:rsidRDefault="009A4C46" w:rsidP="009A4C46">
            <w:pPr>
              <w:jc w:val="right"/>
              <w:rPr>
                <w:rFonts w:eastAsia="Times New Roman"/>
                <w:sz w:val="18"/>
                <w:szCs w:val="18"/>
                <w:lang w:eastAsia="ru-RU"/>
              </w:rPr>
            </w:pPr>
            <w:r w:rsidRPr="00874840">
              <w:rPr>
                <w:rFonts w:eastAsia="Times New Roman"/>
                <w:sz w:val="18"/>
                <w:szCs w:val="18"/>
                <w:lang w:eastAsia="ru-RU"/>
              </w:rPr>
              <w:t>0,00</w:t>
            </w:r>
          </w:p>
        </w:tc>
        <w:tc>
          <w:tcPr>
            <w:tcW w:w="435" w:type="pct"/>
            <w:tcBorders>
              <w:top w:val="nil"/>
              <w:left w:val="nil"/>
              <w:bottom w:val="single" w:sz="4" w:space="0" w:color="auto"/>
              <w:right w:val="single" w:sz="4" w:space="0" w:color="auto"/>
            </w:tcBorders>
            <w:shd w:val="clear" w:color="auto" w:fill="auto"/>
            <w:vAlign w:val="center"/>
          </w:tcPr>
          <w:p w14:paraId="1778966B" w14:textId="77777777" w:rsidR="009A4C46" w:rsidRPr="00874840" w:rsidRDefault="009A4C46" w:rsidP="009A4C46">
            <w:pPr>
              <w:jc w:val="right"/>
              <w:rPr>
                <w:rFonts w:eastAsia="Times New Roman"/>
                <w:sz w:val="18"/>
                <w:szCs w:val="18"/>
                <w:lang w:eastAsia="ru-RU"/>
              </w:rPr>
            </w:pPr>
            <w:r w:rsidRPr="00874840">
              <w:rPr>
                <w:rFonts w:eastAsia="Times New Roman"/>
                <w:sz w:val="18"/>
                <w:szCs w:val="18"/>
                <w:lang w:eastAsia="ru-RU"/>
              </w:rPr>
              <w:t>0,00</w:t>
            </w:r>
          </w:p>
        </w:tc>
        <w:tc>
          <w:tcPr>
            <w:tcW w:w="435" w:type="pct"/>
            <w:tcBorders>
              <w:top w:val="nil"/>
              <w:left w:val="nil"/>
              <w:bottom w:val="single" w:sz="4" w:space="0" w:color="auto"/>
              <w:right w:val="single" w:sz="4" w:space="0" w:color="auto"/>
            </w:tcBorders>
            <w:shd w:val="clear" w:color="auto" w:fill="auto"/>
            <w:vAlign w:val="center"/>
          </w:tcPr>
          <w:p w14:paraId="082F3CF9" w14:textId="77777777" w:rsidR="009A4C46" w:rsidRPr="00874840" w:rsidRDefault="009A4C46" w:rsidP="009A4C46">
            <w:pPr>
              <w:jc w:val="right"/>
              <w:rPr>
                <w:rFonts w:eastAsia="Times New Roman"/>
                <w:sz w:val="18"/>
                <w:szCs w:val="18"/>
                <w:lang w:eastAsia="ru-RU"/>
              </w:rPr>
            </w:pPr>
            <w:r w:rsidRPr="00874840">
              <w:rPr>
                <w:rFonts w:eastAsia="Times New Roman"/>
                <w:sz w:val="18"/>
                <w:szCs w:val="18"/>
                <w:lang w:eastAsia="ru-RU"/>
              </w:rPr>
              <w:t>0,00</w:t>
            </w:r>
          </w:p>
        </w:tc>
        <w:tc>
          <w:tcPr>
            <w:tcW w:w="435" w:type="pct"/>
            <w:tcBorders>
              <w:top w:val="nil"/>
              <w:left w:val="nil"/>
              <w:bottom w:val="single" w:sz="4" w:space="0" w:color="auto"/>
              <w:right w:val="single" w:sz="4" w:space="0" w:color="auto"/>
            </w:tcBorders>
            <w:shd w:val="clear" w:color="auto" w:fill="auto"/>
            <w:vAlign w:val="center"/>
          </w:tcPr>
          <w:p w14:paraId="1742D57B" w14:textId="77777777" w:rsidR="009A4C46" w:rsidRPr="00874840" w:rsidRDefault="009A4C46" w:rsidP="009A4C46">
            <w:pPr>
              <w:jc w:val="right"/>
              <w:rPr>
                <w:rFonts w:eastAsia="Times New Roman"/>
                <w:sz w:val="18"/>
                <w:szCs w:val="18"/>
                <w:lang w:eastAsia="ru-RU"/>
              </w:rPr>
            </w:pPr>
            <w:r w:rsidRPr="00874840">
              <w:rPr>
                <w:rFonts w:eastAsia="Times New Roman"/>
                <w:sz w:val="18"/>
                <w:szCs w:val="18"/>
                <w:lang w:eastAsia="ru-RU"/>
              </w:rPr>
              <w:t>0,00</w:t>
            </w:r>
          </w:p>
        </w:tc>
        <w:tc>
          <w:tcPr>
            <w:tcW w:w="503" w:type="pct"/>
            <w:tcBorders>
              <w:top w:val="nil"/>
              <w:left w:val="nil"/>
              <w:bottom w:val="single" w:sz="4" w:space="0" w:color="auto"/>
              <w:right w:val="single" w:sz="4" w:space="0" w:color="auto"/>
            </w:tcBorders>
            <w:shd w:val="clear" w:color="auto" w:fill="auto"/>
            <w:vAlign w:val="center"/>
          </w:tcPr>
          <w:p w14:paraId="7A048BEC" w14:textId="77777777" w:rsidR="009A4C46" w:rsidRPr="00874840" w:rsidRDefault="009A4C46" w:rsidP="009A4C46">
            <w:pPr>
              <w:jc w:val="right"/>
              <w:rPr>
                <w:rFonts w:eastAsia="Times New Roman"/>
                <w:sz w:val="18"/>
                <w:szCs w:val="18"/>
                <w:lang w:eastAsia="ru-RU"/>
              </w:rPr>
            </w:pPr>
            <w:r w:rsidRPr="00874840">
              <w:rPr>
                <w:rFonts w:eastAsia="Times New Roman"/>
                <w:sz w:val="18"/>
                <w:szCs w:val="18"/>
                <w:lang w:eastAsia="ru-RU"/>
              </w:rPr>
              <w:t>0,00</w:t>
            </w:r>
          </w:p>
        </w:tc>
      </w:tr>
    </w:tbl>
    <w:p w14:paraId="476A5AFF" w14:textId="77777777" w:rsidR="009A4C46" w:rsidRPr="00F94FED" w:rsidRDefault="009A4C46" w:rsidP="00F94FED">
      <w:pPr>
        <w:spacing w:after="0" w:line="360" w:lineRule="auto"/>
        <w:ind w:firstLine="567"/>
        <w:contextualSpacing/>
        <w:jc w:val="both"/>
        <w:rPr>
          <w:rFonts w:eastAsia="Calibri"/>
          <w:sz w:val="26"/>
          <w:szCs w:val="26"/>
        </w:rPr>
      </w:pPr>
      <w:r w:rsidRPr="00F94FED">
        <w:rPr>
          <w:rFonts w:eastAsia="Calibri"/>
          <w:sz w:val="26"/>
          <w:szCs w:val="26"/>
        </w:rPr>
        <w:t xml:space="preserve">Объем освоения капитальных вложений утвержден в сумме 586,24 млн. руб. с учетом переходящих объектов предыдущих лет. </w:t>
      </w:r>
    </w:p>
    <w:p w14:paraId="5631BA3C" w14:textId="77777777" w:rsidR="009A4C46" w:rsidRPr="00F94FED" w:rsidRDefault="009A4C46" w:rsidP="00F94FED">
      <w:pPr>
        <w:spacing w:after="0" w:line="360" w:lineRule="auto"/>
        <w:ind w:firstLine="567"/>
        <w:contextualSpacing/>
        <w:jc w:val="both"/>
        <w:rPr>
          <w:rFonts w:eastAsia="Calibri"/>
          <w:sz w:val="26"/>
          <w:szCs w:val="26"/>
        </w:rPr>
      </w:pPr>
      <w:r w:rsidRPr="00F94FED">
        <w:rPr>
          <w:rFonts w:eastAsia="Calibri"/>
          <w:sz w:val="26"/>
          <w:szCs w:val="26"/>
        </w:rPr>
        <w:t>Плановый объем освоения капитальных вложений в соответствии с приказом Минэнерго России на 2017 год составлял 70,888 млн. руб.</w:t>
      </w:r>
    </w:p>
    <w:p w14:paraId="4CC26238" w14:textId="77777777" w:rsidR="009A4C46" w:rsidRPr="00F94FED" w:rsidRDefault="009A4C46" w:rsidP="00F94FED">
      <w:pPr>
        <w:spacing w:after="0" w:line="360" w:lineRule="auto"/>
        <w:ind w:firstLine="567"/>
        <w:contextualSpacing/>
        <w:jc w:val="both"/>
        <w:rPr>
          <w:rFonts w:eastAsia="Calibri"/>
          <w:sz w:val="26"/>
          <w:szCs w:val="26"/>
        </w:rPr>
      </w:pPr>
      <w:r w:rsidRPr="00F94FED">
        <w:rPr>
          <w:rFonts w:eastAsia="Calibri"/>
          <w:sz w:val="26"/>
          <w:szCs w:val="26"/>
        </w:rPr>
        <w:t>Отчеты о реализации инвестиционной программы представляются в Службу по тарифам Республики Тыва в соответствии с регламентом ЕИАС.</w:t>
      </w:r>
    </w:p>
    <w:p w14:paraId="583ED0B0" w14:textId="413CDB72" w:rsidR="009A4C46" w:rsidRPr="00F94FED" w:rsidRDefault="009A4C46" w:rsidP="00F94FED">
      <w:pPr>
        <w:spacing w:after="0" w:line="360" w:lineRule="auto"/>
        <w:ind w:firstLine="567"/>
        <w:contextualSpacing/>
        <w:jc w:val="both"/>
        <w:rPr>
          <w:rFonts w:eastAsia="Calibri"/>
          <w:sz w:val="26"/>
          <w:szCs w:val="26"/>
        </w:rPr>
      </w:pPr>
      <w:r w:rsidRPr="00F94FED">
        <w:rPr>
          <w:rFonts w:eastAsia="Times New Roman"/>
          <w:sz w:val="26"/>
          <w:szCs w:val="26"/>
          <w:lang w:eastAsia="ru-RU"/>
        </w:rPr>
        <w:t>К моменту принятия тарифно-балансового решения (ТБР) на 2019 год срок формирования отчетов о реализации ИПР за 2018-2019 г</w:t>
      </w:r>
      <w:r w:rsidR="00A24D50" w:rsidRPr="00F94FED">
        <w:rPr>
          <w:rFonts w:eastAsia="Times New Roman"/>
          <w:sz w:val="26"/>
          <w:szCs w:val="26"/>
          <w:lang w:eastAsia="ru-RU"/>
        </w:rPr>
        <w:t xml:space="preserve">оды </w:t>
      </w:r>
      <w:r w:rsidRPr="00F94FED">
        <w:rPr>
          <w:rFonts w:eastAsia="Times New Roman"/>
          <w:sz w:val="26"/>
          <w:szCs w:val="26"/>
          <w:lang w:eastAsia="ru-RU"/>
        </w:rPr>
        <w:t>не наступил. В связи с этим отчеты за 2018-2019 г</w:t>
      </w:r>
      <w:r w:rsidR="00203BEE">
        <w:rPr>
          <w:rFonts w:eastAsia="Times New Roman"/>
          <w:sz w:val="26"/>
          <w:szCs w:val="26"/>
          <w:lang w:eastAsia="ru-RU"/>
        </w:rPr>
        <w:t>оды</w:t>
      </w:r>
      <w:r w:rsidRPr="00F94FED">
        <w:rPr>
          <w:rFonts w:eastAsia="Times New Roman"/>
          <w:sz w:val="26"/>
          <w:szCs w:val="26"/>
          <w:lang w:eastAsia="ru-RU"/>
        </w:rPr>
        <w:t xml:space="preserve"> в состав тарифной заявки и дополнительных материалов не включались и Службой по тарифам Республики Тыва не запрашивались и не рассматривались при установлении тарифно-балансовых решений.</w:t>
      </w:r>
    </w:p>
    <w:p w14:paraId="3508DED9" w14:textId="77777777" w:rsidR="0065708A" w:rsidRDefault="0065708A" w:rsidP="00F94FED">
      <w:pPr>
        <w:spacing w:after="0" w:line="360" w:lineRule="auto"/>
        <w:contextualSpacing/>
        <w:jc w:val="center"/>
        <w:rPr>
          <w:rFonts w:eastAsia="Calibri"/>
          <w:b/>
          <w:bCs/>
          <w:iCs/>
          <w:sz w:val="26"/>
          <w:szCs w:val="26"/>
        </w:rPr>
      </w:pPr>
    </w:p>
    <w:p w14:paraId="7CD8E1AD" w14:textId="5F575947" w:rsidR="009A4C46" w:rsidRPr="00F94FED" w:rsidRDefault="009A4C46" w:rsidP="00F94FED">
      <w:pPr>
        <w:spacing w:after="0" w:line="360" w:lineRule="auto"/>
        <w:contextualSpacing/>
        <w:jc w:val="center"/>
        <w:rPr>
          <w:rFonts w:eastAsia="Calibri"/>
          <w:b/>
          <w:bCs/>
          <w:iCs/>
          <w:sz w:val="26"/>
          <w:szCs w:val="26"/>
        </w:rPr>
      </w:pPr>
      <w:r w:rsidRPr="00F94FED">
        <w:rPr>
          <w:rFonts w:eastAsia="Calibri"/>
          <w:b/>
          <w:bCs/>
          <w:iCs/>
          <w:sz w:val="26"/>
          <w:szCs w:val="26"/>
        </w:rPr>
        <w:lastRenderedPageBreak/>
        <w:t>Пообъектный анализ отчетов о ходе реализации инвестиционной программы за 2017 год</w:t>
      </w:r>
    </w:p>
    <w:p w14:paraId="27569FB6" w14:textId="77777777" w:rsidR="009A4C46" w:rsidRPr="00F94FED" w:rsidRDefault="009A4C46" w:rsidP="00F94FED">
      <w:pPr>
        <w:spacing w:after="0" w:line="360" w:lineRule="auto"/>
        <w:ind w:firstLine="567"/>
        <w:contextualSpacing/>
        <w:jc w:val="both"/>
        <w:rPr>
          <w:rFonts w:eastAsia="Calibri"/>
          <w:sz w:val="26"/>
          <w:szCs w:val="26"/>
        </w:rPr>
      </w:pPr>
      <w:r w:rsidRPr="00F94FED">
        <w:rPr>
          <w:rFonts w:eastAsia="Calibri"/>
          <w:sz w:val="26"/>
          <w:szCs w:val="26"/>
        </w:rPr>
        <w:t>При проведении анализа выполнения инвестиционной программы за 2017 год были использованы отчетные данные, представленные АО «Тываэнерго»:</w:t>
      </w:r>
    </w:p>
    <w:p w14:paraId="4139D851" w14:textId="734EA51E" w:rsidR="009A4C46" w:rsidRPr="00F94FED" w:rsidRDefault="009A4C46" w:rsidP="00F94FED">
      <w:pPr>
        <w:numPr>
          <w:ilvl w:val="0"/>
          <w:numId w:val="10"/>
        </w:numPr>
        <w:spacing w:after="0" w:line="360" w:lineRule="auto"/>
        <w:ind w:left="1134" w:hanging="567"/>
        <w:contextualSpacing/>
        <w:jc w:val="both"/>
        <w:rPr>
          <w:rFonts w:eastAsia="Calibri"/>
          <w:sz w:val="26"/>
          <w:szCs w:val="26"/>
        </w:rPr>
      </w:pPr>
      <w:r w:rsidRPr="00F94FED">
        <w:rPr>
          <w:rFonts w:eastAsia="Calibri"/>
          <w:sz w:val="26"/>
          <w:szCs w:val="26"/>
        </w:rPr>
        <w:t>Приказ Минэнерго России от 09.12.2016 № 1308 «О внесении изменений в приказ Минэнерго России от 17.11.2015 № 867».</w:t>
      </w:r>
    </w:p>
    <w:p w14:paraId="632C750A" w14:textId="77777777" w:rsidR="009A4C46" w:rsidRPr="00F94FED" w:rsidRDefault="009A4C46" w:rsidP="00F94FED">
      <w:pPr>
        <w:numPr>
          <w:ilvl w:val="0"/>
          <w:numId w:val="10"/>
        </w:numPr>
        <w:spacing w:after="0" w:line="360" w:lineRule="auto"/>
        <w:ind w:left="1134" w:hanging="567"/>
        <w:contextualSpacing/>
        <w:jc w:val="both"/>
        <w:rPr>
          <w:rFonts w:eastAsia="Calibri"/>
          <w:sz w:val="26"/>
          <w:szCs w:val="26"/>
        </w:rPr>
      </w:pPr>
      <w:r w:rsidRPr="00F94FED">
        <w:rPr>
          <w:rFonts w:eastAsia="Calibri"/>
          <w:sz w:val="26"/>
          <w:szCs w:val="26"/>
        </w:rPr>
        <w:t>Отчет за 2017 год по системе ЕИАС в формате шаблона NET.INV о фактических расходах на инвестиции, в том числе в разрезе источников освоения.</w:t>
      </w:r>
    </w:p>
    <w:p w14:paraId="3B92E3C3" w14:textId="64EE898F" w:rsidR="009A4C46" w:rsidRPr="00F94FED" w:rsidRDefault="009A4C46" w:rsidP="00F94FED">
      <w:pPr>
        <w:numPr>
          <w:ilvl w:val="0"/>
          <w:numId w:val="10"/>
        </w:numPr>
        <w:spacing w:after="0" w:line="360" w:lineRule="auto"/>
        <w:ind w:left="1134" w:hanging="567"/>
        <w:contextualSpacing/>
        <w:jc w:val="both"/>
        <w:rPr>
          <w:rFonts w:eastAsia="Calibri"/>
          <w:sz w:val="26"/>
          <w:szCs w:val="26"/>
        </w:rPr>
      </w:pPr>
      <w:r w:rsidRPr="00F94FED">
        <w:rPr>
          <w:rFonts w:eastAsia="Calibri"/>
          <w:sz w:val="26"/>
          <w:szCs w:val="26"/>
        </w:rPr>
        <w:t>Отчет по форме, утвержденной приказом ФСТ России от 20.02.2014 №</w:t>
      </w:r>
      <w:r w:rsidR="00F94313">
        <w:rPr>
          <w:rFonts w:eastAsia="Calibri"/>
          <w:sz w:val="26"/>
          <w:szCs w:val="26"/>
        </w:rPr>
        <w:t> </w:t>
      </w:r>
      <w:r w:rsidRPr="00F94FED">
        <w:rPr>
          <w:rFonts w:eastAsia="Calibri"/>
          <w:sz w:val="26"/>
          <w:szCs w:val="26"/>
        </w:rPr>
        <w:t>202-э «Об утверждении формы отчета об использовании инвестиционных ресурсов, включенных в регулируемые государством цены (тарифы) в сфере электроэнергетики и в сфере теплоснабжения».</w:t>
      </w:r>
    </w:p>
    <w:p w14:paraId="0D389599" w14:textId="3A4FA45E" w:rsidR="009A4C46" w:rsidRPr="00F94FED" w:rsidRDefault="009A4C46" w:rsidP="00F94FED">
      <w:pPr>
        <w:numPr>
          <w:ilvl w:val="0"/>
          <w:numId w:val="10"/>
        </w:numPr>
        <w:spacing w:after="0" w:line="360" w:lineRule="auto"/>
        <w:ind w:left="1134" w:hanging="567"/>
        <w:contextualSpacing/>
        <w:jc w:val="both"/>
        <w:rPr>
          <w:rFonts w:eastAsia="Calibri"/>
          <w:sz w:val="26"/>
          <w:szCs w:val="26"/>
        </w:rPr>
      </w:pPr>
      <w:r w:rsidRPr="00F94FED">
        <w:rPr>
          <w:rFonts w:eastAsia="Calibri"/>
          <w:sz w:val="26"/>
          <w:szCs w:val="26"/>
        </w:rPr>
        <w:t xml:space="preserve">Отчет по формам, утвержденным приказом Минэнерго России от 25.04.2018 №320 «Об утверждении форм раскрытия сетевой организацией информации об отчетах о реализации инвестиционной программы и об обосновывающих их материалах, указанной в абзацах втором - пятом, седьмом и девятом подпункта ж.1 пункта 11 стандартов раскрытия информации субъектами оптового и розничных рынков электрической энергии, утвержденных постановлением Правительства Российской Федерации от </w:t>
      </w:r>
      <w:r w:rsidR="00203BEE">
        <w:rPr>
          <w:rFonts w:eastAsia="Calibri"/>
          <w:sz w:val="26"/>
          <w:szCs w:val="26"/>
        </w:rPr>
        <w:t>21.01.2004</w:t>
      </w:r>
      <w:r w:rsidRPr="00F94FED">
        <w:rPr>
          <w:rFonts w:eastAsia="Calibri"/>
          <w:sz w:val="26"/>
          <w:szCs w:val="26"/>
        </w:rPr>
        <w:t xml:space="preserve"> № 24, правил заполнения указанных форм и требований к форматам раскрытия сетевой организацией электронных документов, содержащих информацию об отчетах о реализации инвестиционной программы и об обосновывающих их материалах».</w:t>
      </w:r>
    </w:p>
    <w:p w14:paraId="4ECFB552" w14:textId="77777777" w:rsidR="009A4C46" w:rsidRPr="00F94FED" w:rsidRDefault="009A4C46" w:rsidP="00F94FED">
      <w:pPr>
        <w:numPr>
          <w:ilvl w:val="0"/>
          <w:numId w:val="10"/>
        </w:numPr>
        <w:spacing w:after="0" w:line="360" w:lineRule="auto"/>
        <w:ind w:left="1134" w:hanging="567"/>
        <w:contextualSpacing/>
        <w:jc w:val="both"/>
        <w:rPr>
          <w:rFonts w:eastAsia="Calibri"/>
          <w:sz w:val="26"/>
          <w:szCs w:val="26"/>
        </w:rPr>
      </w:pPr>
      <w:r w:rsidRPr="00F94FED">
        <w:rPr>
          <w:rFonts w:eastAsia="Calibri"/>
          <w:sz w:val="26"/>
          <w:szCs w:val="26"/>
        </w:rPr>
        <w:t>Форма статистической отчетности П-2 Сведения об инвестициях в нефинансовые активы и средствах на долевой строительство.</w:t>
      </w:r>
    </w:p>
    <w:p w14:paraId="116BE11C" w14:textId="77777777" w:rsidR="009A4C46" w:rsidRPr="00F94FED" w:rsidRDefault="009A4C46" w:rsidP="00F94FED">
      <w:pPr>
        <w:numPr>
          <w:ilvl w:val="0"/>
          <w:numId w:val="10"/>
        </w:numPr>
        <w:spacing w:after="0" w:line="360" w:lineRule="auto"/>
        <w:ind w:left="1134" w:hanging="567"/>
        <w:contextualSpacing/>
        <w:jc w:val="both"/>
        <w:rPr>
          <w:rFonts w:eastAsia="Calibri"/>
          <w:sz w:val="26"/>
          <w:szCs w:val="26"/>
        </w:rPr>
      </w:pPr>
      <w:r w:rsidRPr="00F94FED">
        <w:rPr>
          <w:rFonts w:eastAsia="Calibri"/>
          <w:sz w:val="26"/>
          <w:szCs w:val="26"/>
        </w:rPr>
        <w:t>Форма статистической отчетности №11 Основные фонды.</w:t>
      </w:r>
    </w:p>
    <w:p w14:paraId="72A7AC3C" w14:textId="77777777" w:rsidR="009A4C46" w:rsidRPr="00F94FED" w:rsidRDefault="009A4C46" w:rsidP="00F94FED">
      <w:pPr>
        <w:numPr>
          <w:ilvl w:val="0"/>
          <w:numId w:val="10"/>
        </w:numPr>
        <w:spacing w:after="0" w:line="360" w:lineRule="auto"/>
        <w:ind w:left="1134" w:hanging="567"/>
        <w:contextualSpacing/>
        <w:jc w:val="both"/>
        <w:rPr>
          <w:rFonts w:eastAsia="Calibri"/>
          <w:sz w:val="26"/>
          <w:szCs w:val="26"/>
        </w:rPr>
      </w:pPr>
      <w:r w:rsidRPr="00F94FED">
        <w:rPr>
          <w:rFonts w:eastAsia="Calibri"/>
          <w:sz w:val="26"/>
          <w:szCs w:val="26"/>
        </w:rPr>
        <w:t>Отчет о выполнении финансового плана, в составе отчета по выполнению ИПР, в рамках раскрытия информации на сайте компании.</w:t>
      </w:r>
    </w:p>
    <w:p w14:paraId="25877B6D" w14:textId="4CA8FC4B" w:rsidR="009A4C46" w:rsidRPr="00F94FED" w:rsidRDefault="009A4C46" w:rsidP="00F94FED">
      <w:pPr>
        <w:spacing w:after="0" w:line="360" w:lineRule="auto"/>
        <w:ind w:firstLine="567"/>
        <w:contextualSpacing/>
        <w:jc w:val="both"/>
        <w:rPr>
          <w:rFonts w:eastAsia="Times New Roman"/>
          <w:sz w:val="26"/>
          <w:szCs w:val="26"/>
          <w:lang w:eastAsia="ru-RU"/>
        </w:rPr>
      </w:pPr>
      <w:r w:rsidRPr="00F94FED">
        <w:rPr>
          <w:rFonts w:eastAsia="Times New Roman"/>
          <w:sz w:val="26"/>
          <w:szCs w:val="26"/>
          <w:lang w:eastAsia="ru-RU"/>
        </w:rPr>
        <w:lastRenderedPageBreak/>
        <w:t>Анализ фактического выполнения инвестиционной программы по данным отчета по системе ЕИАС в формате шаблона NET.INV</w:t>
      </w:r>
      <w:r w:rsidR="00203BEE">
        <w:rPr>
          <w:rFonts w:eastAsia="Times New Roman"/>
          <w:sz w:val="26"/>
          <w:szCs w:val="26"/>
          <w:lang w:eastAsia="ru-RU"/>
        </w:rPr>
        <w:t>.</w:t>
      </w:r>
    </w:p>
    <w:p w14:paraId="5996C15D" w14:textId="3FC04884" w:rsidR="009A4C46" w:rsidRPr="00F94FED" w:rsidRDefault="009A4C46" w:rsidP="00F94FED">
      <w:pPr>
        <w:spacing w:after="0" w:line="360" w:lineRule="auto"/>
        <w:ind w:firstLine="567"/>
        <w:contextualSpacing/>
        <w:jc w:val="both"/>
        <w:rPr>
          <w:rFonts w:eastAsia="Times New Roman"/>
          <w:sz w:val="26"/>
          <w:szCs w:val="26"/>
          <w:lang w:eastAsia="ru-RU"/>
        </w:rPr>
      </w:pPr>
      <w:r w:rsidRPr="00F94FED">
        <w:rPr>
          <w:rFonts w:eastAsia="Times New Roman"/>
          <w:sz w:val="26"/>
          <w:szCs w:val="26"/>
          <w:lang w:eastAsia="ru-RU"/>
        </w:rPr>
        <w:t>В составе обосновывающих материалов к тарифной заявке на 2019 год и предоставления дополнительных материалов данный отчет об использовании амортизации в Службу по тарифам Республики Тыва отдельно не направлялся, так как имеется в распоряжении регул</w:t>
      </w:r>
      <w:r w:rsidR="008B0B3C">
        <w:rPr>
          <w:rFonts w:eastAsia="Times New Roman"/>
          <w:sz w:val="26"/>
          <w:szCs w:val="26"/>
          <w:lang w:eastAsia="ru-RU"/>
        </w:rPr>
        <w:t>ирующего органа</w:t>
      </w:r>
      <w:r w:rsidRPr="00F94FED">
        <w:rPr>
          <w:rFonts w:eastAsia="Times New Roman"/>
          <w:sz w:val="26"/>
          <w:szCs w:val="26"/>
          <w:lang w:eastAsia="ru-RU"/>
        </w:rPr>
        <w:t xml:space="preserve"> в составе информации передаваемой по системе ЕИАС.</w:t>
      </w:r>
    </w:p>
    <w:p w14:paraId="0784F28B" w14:textId="77777777" w:rsidR="009A4C46" w:rsidRPr="00F94FED" w:rsidRDefault="009A4C46" w:rsidP="00F94FED">
      <w:pPr>
        <w:spacing w:after="0" w:line="360" w:lineRule="auto"/>
        <w:ind w:firstLine="567"/>
        <w:contextualSpacing/>
        <w:jc w:val="both"/>
        <w:rPr>
          <w:rFonts w:eastAsia="Times New Roman"/>
          <w:sz w:val="26"/>
          <w:szCs w:val="26"/>
          <w:lang w:eastAsia="ru-RU"/>
        </w:rPr>
      </w:pPr>
      <w:r w:rsidRPr="00F94FED">
        <w:rPr>
          <w:rFonts w:eastAsia="Times New Roman"/>
          <w:sz w:val="26"/>
          <w:szCs w:val="26"/>
          <w:lang w:eastAsia="ru-RU"/>
        </w:rPr>
        <w:t>Фактические расходы на инвестиции (объем освоения капитальных вложений) за 2017 год, в том числе в разрезе источников освоения, приняты по данным представленного шаблона NET.INV, который ежегодно направляется Обществом по системе ЕИАС в формате шаблона NET.INV.</w:t>
      </w:r>
    </w:p>
    <w:p w14:paraId="1259653D" w14:textId="61511244" w:rsidR="009A4C46" w:rsidRPr="00F94FED" w:rsidRDefault="009A4C46" w:rsidP="00F94FED">
      <w:pPr>
        <w:spacing w:after="0" w:line="360" w:lineRule="auto"/>
        <w:ind w:firstLine="567"/>
        <w:contextualSpacing/>
        <w:jc w:val="both"/>
        <w:rPr>
          <w:rFonts w:eastAsia="Times New Roman"/>
          <w:sz w:val="26"/>
          <w:szCs w:val="26"/>
          <w:lang w:eastAsia="ru-RU"/>
        </w:rPr>
      </w:pPr>
      <w:r w:rsidRPr="00F94FED">
        <w:rPr>
          <w:rFonts w:eastAsia="Times New Roman"/>
          <w:sz w:val="26"/>
          <w:szCs w:val="26"/>
          <w:lang w:eastAsia="ru-RU"/>
        </w:rPr>
        <w:t>Фактическое выполнение инвестиционной программы составило 233,471 млн. руб. (без НДС) при плане освоения капвложений (по данным шаблона NET.INV) – 239,295 млн. руб. (без НДС).</w:t>
      </w:r>
    </w:p>
    <w:p w14:paraId="0A8D851E" w14:textId="7E36A04D" w:rsidR="009A4C46" w:rsidRPr="00F94FED" w:rsidRDefault="009A4C46" w:rsidP="00F94FED">
      <w:pPr>
        <w:spacing w:after="0" w:line="360" w:lineRule="auto"/>
        <w:ind w:firstLine="567"/>
        <w:contextualSpacing/>
        <w:jc w:val="both"/>
        <w:rPr>
          <w:rFonts w:eastAsia="Times New Roman"/>
          <w:sz w:val="26"/>
          <w:szCs w:val="26"/>
          <w:lang w:eastAsia="ru-RU"/>
        </w:rPr>
      </w:pPr>
      <w:r w:rsidRPr="00F94FED">
        <w:rPr>
          <w:rFonts w:eastAsia="Times New Roman"/>
          <w:sz w:val="26"/>
          <w:szCs w:val="26"/>
          <w:lang w:eastAsia="ru-RU"/>
        </w:rPr>
        <w:t xml:space="preserve">Отклонение освоения капвложений составило </w:t>
      </w:r>
      <w:r w:rsidR="00203BEE">
        <w:rPr>
          <w:rFonts w:eastAsia="Times New Roman"/>
          <w:sz w:val="26"/>
          <w:szCs w:val="26"/>
          <w:lang w:eastAsia="ru-RU"/>
        </w:rPr>
        <w:t>–</w:t>
      </w:r>
      <w:r w:rsidRPr="00F94FED">
        <w:rPr>
          <w:rFonts w:eastAsia="Times New Roman"/>
          <w:sz w:val="26"/>
          <w:szCs w:val="26"/>
          <w:lang w:eastAsia="ru-RU"/>
        </w:rPr>
        <w:t>5,824 млн. руб., в первую очередь от корректировки объемов капвложений, запланированных об прибыли, формируемой от инвестпроектов, финансируемых за счет платы за технологическое присоединение потребителей.</w:t>
      </w:r>
    </w:p>
    <w:p w14:paraId="72388CF6" w14:textId="77777777" w:rsidR="009A4C46" w:rsidRPr="0065708A" w:rsidRDefault="009A4C46" w:rsidP="00F94FED">
      <w:pPr>
        <w:spacing w:after="0" w:line="360" w:lineRule="auto"/>
        <w:ind w:firstLine="567"/>
        <w:contextualSpacing/>
        <w:jc w:val="both"/>
        <w:rPr>
          <w:rFonts w:eastAsia="Times New Roman"/>
          <w:sz w:val="26"/>
          <w:szCs w:val="26"/>
          <w:lang w:eastAsia="ru-RU"/>
        </w:rPr>
      </w:pPr>
      <w:r w:rsidRPr="00F94FED">
        <w:rPr>
          <w:rFonts w:eastAsia="Times New Roman"/>
          <w:sz w:val="26"/>
          <w:szCs w:val="26"/>
          <w:lang w:eastAsia="ru-RU"/>
        </w:rPr>
        <w:t xml:space="preserve">По данному отчету инвестиционной программой АО «Тываэнерго» на 2017 </w:t>
      </w:r>
      <w:r w:rsidRPr="0065708A">
        <w:rPr>
          <w:rFonts w:eastAsia="Times New Roman"/>
          <w:sz w:val="26"/>
          <w:szCs w:val="26"/>
          <w:lang w:eastAsia="ru-RU"/>
        </w:rPr>
        <w:t>год предусматривалось выполнение 27 инвестиционных проектов, в том числе:</w:t>
      </w:r>
    </w:p>
    <w:p w14:paraId="7E84BAFD" w14:textId="77777777" w:rsidR="009A4C46" w:rsidRPr="0065708A" w:rsidRDefault="009A4C46" w:rsidP="00F94FED">
      <w:pPr>
        <w:pStyle w:val="a3"/>
        <w:numPr>
          <w:ilvl w:val="0"/>
          <w:numId w:val="38"/>
        </w:numPr>
        <w:spacing w:after="0" w:line="360" w:lineRule="auto"/>
        <w:ind w:left="1134" w:hanging="567"/>
        <w:jc w:val="both"/>
        <w:rPr>
          <w:rFonts w:ascii="Myriad Pro" w:eastAsia="Times New Roman" w:hAnsi="Myriad Pro"/>
          <w:sz w:val="26"/>
          <w:szCs w:val="26"/>
          <w:lang w:eastAsia="ru-RU"/>
        </w:rPr>
      </w:pPr>
      <w:r w:rsidRPr="0065708A">
        <w:rPr>
          <w:rFonts w:ascii="Myriad Pro" w:eastAsia="Times New Roman" w:hAnsi="Myriad Pro"/>
          <w:sz w:val="26"/>
          <w:szCs w:val="26"/>
          <w:lang w:eastAsia="ru-RU"/>
        </w:rPr>
        <w:t>по разделу «Реконструкция» - 18 проектов;</w:t>
      </w:r>
    </w:p>
    <w:p w14:paraId="45068567" w14:textId="77777777" w:rsidR="009A4C46" w:rsidRPr="0065708A" w:rsidRDefault="009A4C46" w:rsidP="00F94FED">
      <w:pPr>
        <w:pStyle w:val="a3"/>
        <w:numPr>
          <w:ilvl w:val="0"/>
          <w:numId w:val="38"/>
        </w:numPr>
        <w:spacing w:after="0" w:line="360" w:lineRule="auto"/>
        <w:ind w:left="1134" w:hanging="567"/>
        <w:jc w:val="both"/>
        <w:rPr>
          <w:rFonts w:ascii="Myriad Pro" w:eastAsia="Times New Roman" w:hAnsi="Myriad Pro"/>
          <w:sz w:val="26"/>
          <w:szCs w:val="26"/>
          <w:lang w:eastAsia="ru-RU"/>
        </w:rPr>
      </w:pPr>
      <w:r w:rsidRPr="0065708A">
        <w:rPr>
          <w:rFonts w:ascii="Myriad Pro" w:eastAsia="Times New Roman" w:hAnsi="Myriad Pro"/>
          <w:sz w:val="26"/>
          <w:szCs w:val="26"/>
          <w:lang w:eastAsia="ru-RU"/>
        </w:rPr>
        <w:t>по разделу «Новое строительство» – 9 проектов.</w:t>
      </w:r>
    </w:p>
    <w:p w14:paraId="2638A63F" w14:textId="5A50ED85" w:rsidR="009A4C46" w:rsidRPr="0065708A" w:rsidRDefault="009A4C46" w:rsidP="00F94FED">
      <w:pPr>
        <w:spacing w:after="0" w:line="360" w:lineRule="auto"/>
        <w:ind w:firstLine="567"/>
        <w:contextualSpacing/>
        <w:jc w:val="both"/>
        <w:rPr>
          <w:rFonts w:eastAsia="Times New Roman"/>
          <w:sz w:val="26"/>
          <w:szCs w:val="26"/>
          <w:lang w:eastAsia="ru-RU"/>
        </w:rPr>
      </w:pPr>
      <w:r w:rsidRPr="0065708A">
        <w:rPr>
          <w:rFonts w:eastAsia="Times New Roman"/>
          <w:sz w:val="26"/>
          <w:szCs w:val="26"/>
          <w:lang w:eastAsia="ru-RU"/>
        </w:rPr>
        <w:t>Согласно отчету</w:t>
      </w:r>
      <w:r w:rsidR="0065708A">
        <w:rPr>
          <w:rFonts w:eastAsia="Times New Roman"/>
          <w:sz w:val="26"/>
          <w:szCs w:val="26"/>
          <w:lang w:eastAsia="ru-RU"/>
        </w:rPr>
        <w:t>,</w:t>
      </w:r>
      <w:r w:rsidRPr="0065708A">
        <w:rPr>
          <w:rFonts w:eastAsia="Times New Roman"/>
          <w:sz w:val="26"/>
          <w:szCs w:val="26"/>
          <w:lang w:eastAsia="ru-RU"/>
        </w:rPr>
        <w:t xml:space="preserve"> выполнение по объемам финансирования составило:</w:t>
      </w:r>
    </w:p>
    <w:p w14:paraId="664E92F4" w14:textId="10B0B5DE" w:rsidR="009A4C46" w:rsidRPr="0065708A" w:rsidRDefault="009A4C46" w:rsidP="00F94FED">
      <w:pPr>
        <w:pStyle w:val="a3"/>
        <w:numPr>
          <w:ilvl w:val="0"/>
          <w:numId w:val="39"/>
        </w:numPr>
        <w:spacing w:after="0" w:line="360" w:lineRule="auto"/>
        <w:ind w:left="1134" w:hanging="567"/>
        <w:jc w:val="both"/>
        <w:rPr>
          <w:rFonts w:ascii="Myriad Pro" w:eastAsia="Times New Roman" w:hAnsi="Myriad Pro"/>
          <w:sz w:val="26"/>
          <w:szCs w:val="26"/>
          <w:lang w:eastAsia="ru-RU"/>
        </w:rPr>
      </w:pPr>
      <w:r w:rsidRPr="0065708A">
        <w:rPr>
          <w:rFonts w:ascii="Myriad Pro" w:eastAsia="Times New Roman" w:hAnsi="Myriad Pro"/>
          <w:sz w:val="26"/>
          <w:szCs w:val="26"/>
          <w:lang w:eastAsia="ru-RU"/>
        </w:rPr>
        <w:t xml:space="preserve">по разделу «Реконструкция» </w:t>
      </w:r>
      <w:r w:rsidR="00203BEE" w:rsidRPr="0065708A">
        <w:rPr>
          <w:rFonts w:ascii="Myriad Pro" w:eastAsia="Times New Roman" w:hAnsi="Myriad Pro"/>
          <w:sz w:val="26"/>
          <w:szCs w:val="26"/>
          <w:lang w:eastAsia="ru-RU"/>
        </w:rPr>
        <w:t>–</w:t>
      </w:r>
      <w:r w:rsidRPr="0065708A">
        <w:rPr>
          <w:rFonts w:ascii="Myriad Pro" w:eastAsia="Times New Roman" w:hAnsi="Myriad Pro"/>
          <w:sz w:val="26"/>
          <w:szCs w:val="26"/>
          <w:lang w:eastAsia="ru-RU"/>
        </w:rPr>
        <w:t xml:space="preserve"> 9 проектов;</w:t>
      </w:r>
    </w:p>
    <w:p w14:paraId="6F689333" w14:textId="77777777" w:rsidR="009A4C46" w:rsidRPr="0065708A" w:rsidRDefault="009A4C46" w:rsidP="00F94FED">
      <w:pPr>
        <w:pStyle w:val="a3"/>
        <w:numPr>
          <w:ilvl w:val="0"/>
          <w:numId w:val="39"/>
        </w:numPr>
        <w:spacing w:after="0" w:line="360" w:lineRule="auto"/>
        <w:ind w:left="1134" w:hanging="567"/>
        <w:jc w:val="both"/>
        <w:rPr>
          <w:rFonts w:ascii="Myriad Pro" w:eastAsia="Times New Roman" w:hAnsi="Myriad Pro"/>
          <w:sz w:val="26"/>
          <w:szCs w:val="26"/>
          <w:lang w:eastAsia="ru-RU"/>
        </w:rPr>
      </w:pPr>
      <w:r w:rsidRPr="0065708A">
        <w:rPr>
          <w:rFonts w:ascii="Myriad Pro" w:eastAsia="Times New Roman" w:hAnsi="Myriad Pro"/>
          <w:sz w:val="26"/>
          <w:szCs w:val="26"/>
          <w:lang w:eastAsia="ru-RU"/>
        </w:rPr>
        <w:t>по разделу «Новое строительство» – 3 проекта.</w:t>
      </w:r>
    </w:p>
    <w:p w14:paraId="19E3EF56" w14:textId="41235F6E" w:rsidR="009A4C46" w:rsidRPr="00F94FED" w:rsidRDefault="00203BEE" w:rsidP="00F94FED">
      <w:pPr>
        <w:spacing w:after="0" w:line="360" w:lineRule="auto"/>
        <w:ind w:firstLine="567"/>
        <w:contextualSpacing/>
        <w:jc w:val="both"/>
        <w:rPr>
          <w:rFonts w:eastAsia="Times New Roman"/>
          <w:sz w:val="26"/>
          <w:szCs w:val="26"/>
          <w:lang w:eastAsia="ru-RU"/>
        </w:rPr>
      </w:pPr>
      <w:r>
        <w:rPr>
          <w:rFonts w:eastAsia="Times New Roman"/>
          <w:sz w:val="26"/>
          <w:szCs w:val="26"/>
          <w:lang w:eastAsia="ru-RU"/>
        </w:rPr>
        <w:t>В табл</w:t>
      </w:r>
      <w:r w:rsidR="008D575A">
        <w:rPr>
          <w:rFonts w:eastAsia="Times New Roman"/>
          <w:sz w:val="26"/>
          <w:szCs w:val="26"/>
          <w:lang w:eastAsia="ru-RU"/>
        </w:rPr>
        <w:t>и</w:t>
      </w:r>
      <w:r>
        <w:rPr>
          <w:rFonts w:eastAsia="Times New Roman"/>
          <w:sz w:val="26"/>
          <w:szCs w:val="26"/>
          <w:lang w:eastAsia="ru-RU"/>
        </w:rPr>
        <w:t xml:space="preserve">це </w:t>
      </w:r>
      <w:r w:rsidR="009A4C46" w:rsidRPr="00F94FED">
        <w:rPr>
          <w:rFonts w:eastAsia="Times New Roman"/>
          <w:sz w:val="26"/>
          <w:szCs w:val="26"/>
          <w:lang w:eastAsia="ru-RU"/>
        </w:rPr>
        <w:t>представлен анализ исполнения инвестиционных проектов</w:t>
      </w:r>
    </w:p>
    <w:tbl>
      <w:tblPr>
        <w:tblStyle w:val="af8"/>
        <w:tblW w:w="5000" w:type="pct"/>
        <w:tblLook w:val="04A0" w:firstRow="1" w:lastRow="0" w:firstColumn="1" w:lastColumn="0" w:noHBand="0" w:noVBand="1"/>
      </w:tblPr>
      <w:tblGrid>
        <w:gridCol w:w="4936"/>
        <w:gridCol w:w="1456"/>
        <w:gridCol w:w="1456"/>
        <w:gridCol w:w="1497"/>
      </w:tblGrid>
      <w:tr w:rsidR="009A4C46" w:rsidRPr="009A4C46" w14:paraId="12CD1796" w14:textId="77777777" w:rsidTr="0065708A">
        <w:trPr>
          <w:cantSplit/>
          <w:trHeight w:val="20"/>
          <w:tblHeader/>
        </w:trPr>
        <w:tc>
          <w:tcPr>
            <w:tcW w:w="264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861679E" w14:textId="77777777" w:rsidR="009A4C46" w:rsidRPr="00F94FED" w:rsidRDefault="009A4C46" w:rsidP="009A4C46">
            <w:pPr>
              <w:contextualSpacing/>
              <w:jc w:val="center"/>
              <w:rPr>
                <w:rFonts w:eastAsia="Calibri"/>
                <w:color w:val="FFFFFF" w:themeColor="background1"/>
              </w:rPr>
            </w:pPr>
            <w:r w:rsidRPr="00F94FED">
              <w:rPr>
                <w:rFonts w:eastAsia="Calibri"/>
                <w:b/>
                <w:color w:val="FFFFFF" w:themeColor="background1"/>
              </w:rPr>
              <w:t>Показатель</w:t>
            </w:r>
          </w:p>
        </w:tc>
        <w:tc>
          <w:tcPr>
            <w:tcW w:w="77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2BD10D23" w14:textId="69ABCA05" w:rsidR="009A4C46" w:rsidRPr="00F94FED" w:rsidRDefault="00203BEE" w:rsidP="009A4C46">
            <w:pPr>
              <w:contextualSpacing/>
              <w:jc w:val="center"/>
              <w:rPr>
                <w:rFonts w:eastAsia="Calibri"/>
                <w:color w:val="FFFFFF" w:themeColor="background1"/>
              </w:rPr>
            </w:pPr>
            <w:r w:rsidRPr="00F94FED">
              <w:rPr>
                <w:rFonts w:eastAsia="Calibri"/>
                <w:b/>
                <w:color w:val="FFFFFF" w:themeColor="background1"/>
              </w:rPr>
              <w:t>П</w:t>
            </w:r>
            <w:r w:rsidR="009A4C46" w:rsidRPr="00F94FED">
              <w:rPr>
                <w:rFonts w:eastAsia="Calibri"/>
                <w:b/>
                <w:color w:val="FFFFFF" w:themeColor="background1"/>
              </w:rPr>
              <w:t>лан</w:t>
            </w:r>
          </w:p>
        </w:tc>
        <w:tc>
          <w:tcPr>
            <w:tcW w:w="77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0DF1D168" w14:textId="7E71FFFF" w:rsidR="009A4C46" w:rsidRPr="00F94FED" w:rsidRDefault="00203BEE" w:rsidP="009A4C46">
            <w:pPr>
              <w:contextualSpacing/>
              <w:jc w:val="center"/>
              <w:rPr>
                <w:rFonts w:eastAsia="Calibri"/>
                <w:color w:val="FFFFFF" w:themeColor="background1"/>
              </w:rPr>
            </w:pPr>
            <w:r w:rsidRPr="00F94FED">
              <w:rPr>
                <w:rFonts w:eastAsia="Calibri"/>
                <w:b/>
                <w:color w:val="FFFFFF" w:themeColor="background1"/>
              </w:rPr>
              <w:t>Ф</w:t>
            </w:r>
            <w:r w:rsidR="009A4C46" w:rsidRPr="00F94FED">
              <w:rPr>
                <w:rFonts w:eastAsia="Calibri"/>
                <w:b/>
                <w:color w:val="FFFFFF" w:themeColor="background1"/>
              </w:rPr>
              <w:t>акт</w:t>
            </w:r>
          </w:p>
        </w:tc>
        <w:tc>
          <w:tcPr>
            <w:tcW w:w="80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10FB4685" w14:textId="77777777" w:rsidR="009A4C46" w:rsidRPr="00F94FED" w:rsidRDefault="009A4C46" w:rsidP="009A4C46">
            <w:pPr>
              <w:contextualSpacing/>
              <w:jc w:val="center"/>
              <w:rPr>
                <w:rFonts w:eastAsia="Calibri"/>
                <w:color w:val="FFFFFF" w:themeColor="background1"/>
              </w:rPr>
            </w:pPr>
            <w:r w:rsidRPr="00F94FED">
              <w:rPr>
                <w:rFonts w:eastAsia="Calibri"/>
                <w:b/>
                <w:color w:val="FFFFFF" w:themeColor="background1"/>
              </w:rPr>
              <w:t>Отклонение</w:t>
            </w:r>
          </w:p>
        </w:tc>
      </w:tr>
      <w:tr w:rsidR="009A4C46" w:rsidRPr="009A4C46" w14:paraId="0D51D636" w14:textId="77777777" w:rsidTr="0065708A">
        <w:trPr>
          <w:cantSplit/>
          <w:trHeight w:val="20"/>
          <w:tblHeader/>
        </w:trPr>
        <w:tc>
          <w:tcPr>
            <w:tcW w:w="264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10EA2F7" w14:textId="77777777" w:rsidR="009A4C46" w:rsidRPr="00F94FED" w:rsidRDefault="009A4C46" w:rsidP="009A4C46">
            <w:pPr>
              <w:contextualSpacing/>
              <w:jc w:val="center"/>
              <w:rPr>
                <w:rFonts w:eastAsia="Calibri"/>
                <w:color w:val="FFFFFF" w:themeColor="background1"/>
              </w:rPr>
            </w:pPr>
            <w:r w:rsidRPr="00F94FED">
              <w:rPr>
                <w:rFonts w:eastAsia="Calibri"/>
                <w:color w:val="FFFFFF" w:themeColor="background1"/>
              </w:rPr>
              <w:t>1</w:t>
            </w:r>
          </w:p>
        </w:tc>
        <w:tc>
          <w:tcPr>
            <w:tcW w:w="77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098ED6E5" w14:textId="77777777" w:rsidR="009A4C46" w:rsidRPr="00F94FED" w:rsidRDefault="009A4C46" w:rsidP="009A4C46">
            <w:pPr>
              <w:contextualSpacing/>
              <w:jc w:val="center"/>
              <w:rPr>
                <w:rFonts w:eastAsia="Calibri"/>
                <w:color w:val="FFFFFF" w:themeColor="background1"/>
              </w:rPr>
            </w:pPr>
            <w:r w:rsidRPr="00F94FED">
              <w:rPr>
                <w:rFonts w:eastAsia="Calibri"/>
                <w:color w:val="FFFFFF" w:themeColor="background1"/>
              </w:rPr>
              <w:t>2</w:t>
            </w:r>
          </w:p>
        </w:tc>
        <w:tc>
          <w:tcPr>
            <w:tcW w:w="77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47D6B7A7" w14:textId="77777777" w:rsidR="009A4C46" w:rsidRPr="00F94FED" w:rsidRDefault="009A4C46" w:rsidP="009A4C46">
            <w:pPr>
              <w:contextualSpacing/>
              <w:jc w:val="center"/>
              <w:rPr>
                <w:rFonts w:eastAsia="Calibri"/>
                <w:color w:val="FFFFFF" w:themeColor="background1"/>
              </w:rPr>
            </w:pPr>
            <w:r w:rsidRPr="00F94FED">
              <w:rPr>
                <w:rFonts w:eastAsia="Calibri"/>
                <w:color w:val="FFFFFF" w:themeColor="background1"/>
              </w:rPr>
              <w:t>3</w:t>
            </w:r>
          </w:p>
        </w:tc>
        <w:tc>
          <w:tcPr>
            <w:tcW w:w="80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13505ECF" w14:textId="77777777" w:rsidR="009A4C46" w:rsidRPr="00F94FED" w:rsidRDefault="009A4C46" w:rsidP="009A4C46">
            <w:pPr>
              <w:contextualSpacing/>
              <w:jc w:val="center"/>
              <w:rPr>
                <w:rFonts w:eastAsia="Calibri"/>
                <w:color w:val="FFFFFF" w:themeColor="background1"/>
              </w:rPr>
            </w:pPr>
            <w:r w:rsidRPr="00F94FED">
              <w:rPr>
                <w:rFonts w:eastAsia="Calibri"/>
                <w:color w:val="FFFFFF" w:themeColor="background1"/>
              </w:rPr>
              <w:t>4</w:t>
            </w:r>
          </w:p>
        </w:tc>
      </w:tr>
      <w:tr w:rsidR="009A4C46" w:rsidRPr="009A4C46" w14:paraId="23209EBD" w14:textId="77777777" w:rsidTr="0065708A">
        <w:trPr>
          <w:cantSplit/>
          <w:trHeight w:val="20"/>
          <w:tblHeader/>
        </w:trPr>
        <w:tc>
          <w:tcPr>
            <w:tcW w:w="2641" w:type="pct"/>
            <w:tcBorders>
              <w:top w:val="single" w:sz="4" w:space="0" w:color="FFFFFF" w:themeColor="background1"/>
            </w:tcBorders>
          </w:tcPr>
          <w:p w14:paraId="17939323" w14:textId="77777777" w:rsidR="009A4C46" w:rsidRPr="009A4C46" w:rsidRDefault="009A4C46" w:rsidP="009A4C46">
            <w:pPr>
              <w:contextualSpacing/>
              <w:rPr>
                <w:rFonts w:eastAsia="Calibri"/>
              </w:rPr>
            </w:pPr>
            <w:r w:rsidRPr="009A4C46">
              <w:rPr>
                <w:rFonts w:eastAsia="Calibri"/>
              </w:rPr>
              <w:t>Реконструкция, кол-во проектов</w:t>
            </w:r>
          </w:p>
        </w:tc>
        <w:tc>
          <w:tcPr>
            <w:tcW w:w="779" w:type="pct"/>
            <w:tcBorders>
              <w:top w:val="single" w:sz="4" w:space="0" w:color="FFFFFF" w:themeColor="background1"/>
            </w:tcBorders>
            <w:noWrap/>
            <w:vAlign w:val="center"/>
          </w:tcPr>
          <w:p w14:paraId="13805E10" w14:textId="77777777" w:rsidR="009A4C46" w:rsidRPr="009A4C46" w:rsidRDefault="009A4C46" w:rsidP="009A4C46">
            <w:pPr>
              <w:contextualSpacing/>
              <w:jc w:val="center"/>
              <w:rPr>
                <w:rFonts w:eastAsia="Calibri"/>
              </w:rPr>
            </w:pPr>
            <w:r w:rsidRPr="009A4C46">
              <w:rPr>
                <w:rFonts w:eastAsia="Calibri"/>
              </w:rPr>
              <w:t>18</w:t>
            </w:r>
          </w:p>
        </w:tc>
        <w:tc>
          <w:tcPr>
            <w:tcW w:w="779" w:type="pct"/>
            <w:tcBorders>
              <w:top w:val="single" w:sz="4" w:space="0" w:color="FFFFFF" w:themeColor="background1"/>
            </w:tcBorders>
            <w:noWrap/>
            <w:vAlign w:val="center"/>
          </w:tcPr>
          <w:p w14:paraId="3EA55611" w14:textId="77777777" w:rsidR="009A4C46" w:rsidRPr="009A4C46" w:rsidRDefault="009A4C46" w:rsidP="009A4C46">
            <w:pPr>
              <w:contextualSpacing/>
              <w:jc w:val="center"/>
              <w:rPr>
                <w:rFonts w:eastAsia="Calibri"/>
              </w:rPr>
            </w:pPr>
            <w:r w:rsidRPr="009A4C46">
              <w:rPr>
                <w:rFonts w:eastAsia="Calibri"/>
              </w:rPr>
              <w:t>9</w:t>
            </w:r>
          </w:p>
        </w:tc>
        <w:tc>
          <w:tcPr>
            <w:tcW w:w="801" w:type="pct"/>
            <w:tcBorders>
              <w:top w:val="single" w:sz="4" w:space="0" w:color="FFFFFF" w:themeColor="background1"/>
            </w:tcBorders>
            <w:noWrap/>
            <w:vAlign w:val="center"/>
          </w:tcPr>
          <w:p w14:paraId="67E3A43D" w14:textId="77777777" w:rsidR="009A4C46" w:rsidRPr="009A4C46" w:rsidRDefault="009A4C46" w:rsidP="009A4C46">
            <w:pPr>
              <w:contextualSpacing/>
              <w:jc w:val="center"/>
              <w:rPr>
                <w:rFonts w:eastAsia="Calibri"/>
              </w:rPr>
            </w:pPr>
            <w:r w:rsidRPr="009A4C46">
              <w:rPr>
                <w:rFonts w:eastAsia="Calibri"/>
              </w:rPr>
              <w:t>-9</w:t>
            </w:r>
          </w:p>
        </w:tc>
      </w:tr>
      <w:tr w:rsidR="009A4C46" w:rsidRPr="009A4C46" w14:paraId="1DA38D2D" w14:textId="77777777" w:rsidTr="00F94FED">
        <w:trPr>
          <w:cantSplit/>
          <w:trHeight w:val="20"/>
          <w:tblHeader/>
        </w:trPr>
        <w:tc>
          <w:tcPr>
            <w:tcW w:w="2641" w:type="pct"/>
          </w:tcPr>
          <w:p w14:paraId="357685B0" w14:textId="77777777" w:rsidR="009A4C46" w:rsidRPr="009A4C46" w:rsidRDefault="009A4C46" w:rsidP="009A4C46">
            <w:pPr>
              <w:contextualSpacing/>
              <w:rPr>
                <w:rFonts w:eastAsia="Calibri"/>
              </w:rPr>
            </w:pPr>
            <w:r w:rsidRPr="009A4C46">
              <w:rPr>
                <w:rFonts w:eastAsia="Calibri"/>
              </w:rPr>
              <w:t>Новое строительство, кол-во проектов</w:t>
            </w:r>
          </w:p>
        </w:tc>
        <w:tc>
          <w:tcPr>
            <w:tcW w:w="779" w:type="pct"/>
            <w:noWrap/>
            <w:vAlign w:val="center"/>
          </w:tcPr>
          <w:p w14:paraId="1EF3804A" w14:textId="77777777" w:rsidR="009A4C46" w:rsidRPr="009A4C46" w:rsidRDefault="009A4C46" w:rsidP="009A4C46">
            <w:pPr>
              <w:contextualSpacing/>
              <w:jc w:val="center"/>
              <w:rPr>
                <w:rFonts w:eastAsia="Calibri"/>
              </w:rPr>
            </w:pPr>
            <w:r w:rsidRPr="009A4C46">
              <w:rPr>
                <w:rFonts w:eastAsia="Calibri"/>
              </w:rPr>
              <w:t>9</w:t>
            </w:r>
          </w:p>
        </w:tc>
        <w:tc>
          <w:tcPr>
            <w:tcW w:w="779" w:type="pct"/>
            <w:noWrap/>
            <w:vAlign w:val="center"/>
          </w:tcPr>
          <w:p w14:paraId="7E8D5811" w14:textId="77777777" w:rsidR="009A4C46" w:rsidRPr="009A4C46" w:rsidRDefault="009A4C46" w:rsidP="009A4C46">
            <w:pPr>
              <w:contextualSpacing/>
              <w:jc w:val="center"/>
              <w:rPr>
                <w:rFonts w:eastAsia="Calibri"/>
              </w:rPr>
            </w:pPr>
            <w:r w:rsidRPr="009A4C46">
              <w:rPr>
                <w:rFonts w:eastAsia="Calibri"/>
              </w:rPr>
              <w:t>3</w:t>
            </w:r>
          </w:p>
        </w:tc>
        <w:tc>
          <w:tcPr>
            <w:tcW w:w="801" w:type="pct"/>
            <w:noWrap/>
            <w:vAlign w:val="center"/>
          </w:tcPr>
          <w:p w14:paraId="0F78856E" w14:textId="77777777" w:rsidR="009A4C46" w:rsidRPr="009A4C46" w:rsidRDefault="009A4C46" w:rsidP="009A4C46">
            <w:pPr>
              <w:contextualSpacing/>
              <w:jc w:val="center"/>
              <w:rPr>
                <w:rFonts w:eastAsia="Calibri"/>
              </w:rPr>
            </w:pPr>
            <w:r w:rsidRPr="009A4C46">
              <w:rPr>
                <w:rFonts w:eastAsia="Calibri"/>
              </w:rPr>
              <w:t>-6</w:t>
            </w:r>
          </w:p>
        </w:tc>
      </w:tr>
    </w:tbl>
    <w:p w14:paraId="266BC460" w14:textId="77777777" w:rsidR="009A4C46" w:rsidRPr="00F94FED" w:rsidRDefault="009A4C46" w:rsidP="00F94FED">
      <w:pPr>
        <w:spacing w:after="0" w:line="360" w:lineRule="auto"/>
        <w:ind w:firstLine="567"/>
        <w:contextualSpacing/>
        <w:jc w:val="both"/>
        <w:rPr>
          <w:rFonts w:eastAsia="Times New Roman"/>
          <w:sz w:val="26"/>
          <w:szCs w:val="26"/>
          <w:lang w:eastAsia="ru-RU"/>
        </w:rPr>
      </w:pPr>
    </w:p>
    <w:p w14:paraId="0F59663A" w14:textId="3DE21106" w:rsidR="009A4C46" w:rsidRDefault="009A4C46" w:rsidP="00203BEE">
      <w:pPr>
        <w:spacing w:after="0" w:line="360" w:lineRule="auto"/>
        <w:ind w:firstLine="567"/>
        <w:contextualSpacing/>
        <w:jc w:val="both"/>
        <w:rPr>
          <w:rFonts w:eastAsia="Times New Roman"/>
          <w:sz w:val="26"/>
          <w:szCs w:val="26"/>
          <w:lang w:eastAsia="ru-RU"/>
        </w:rPr>
      </w:pPr>
      <w:r w:rsidRPr="00F94FED">
        <w:rPr>
          <w:rFonts w:eastAsia="Times New Roman"/>
          <w:sz w:val="26"/>
          <w:szCs w:val="26"/>
          <w:lang w:eastAsia="ru-RU"/>
        </w:rPr>
        <w:lastRenderedPageBreak/>
        <w:t xml:space="preserve">Значительные отклонения сложились по инвестиционному проекту «Строительство ПС 110/10 кВ </w:t>
      </w:r>
      <w:r w:rsidR="0065708A">
        <w:rPr>
          <w:rFonts w:eastAsia="Times New Roman"/>
          <w:sz w:val="26"/>
          <w:szCs w:val="26"/>
          <w:lang w:eastAsia="ru-RU"/>
        </w:rPr>
        <w:t>«</w:t>
      </w:r>
      <w:proofErr w:type="spellStart"/>
      <w:r w:rsidRPr="00F94FED">
        <w:rPr>
          <w:rFonts w:eastAsia="Times New Roman"/>
          <w:sz w:val="26"/>
          <w:szCs w:val="26"/>
          <w:lang w:eastAsia="ru-RU"/>
        </w:rPr>
        <w:t>Вавилинская</w:t>
      </w:r>
      <w:proofErr w:type="spellEnd"/>
      <w:r w:rsidR="0065708A">
        <w:rPr>
          <w:rFonts w:eastAsia="Times New Roman"/>
          <w:sz w:val="26"/>
          <w:szCs w:val="26"/>
          <w:lang w:eastAsia="ru-RU"/>
        </w:rPr>
        <w:t>»</w:t>
      </w:r>
      <w:r w:rsidRPr="00F94FED">
        <w:rPr>
          <w:rFonts w:eastAsia="Times New Roman"/>
          <w:sz w:val="26"/>
          <w:szCs w:val="26"/>
          <w:lang w:eastAsia="ru-RU"/>
        </w:rPr>
        <w:t xml:space="preserve"> (2ТМ*16 МВА)», финансируемым за счет платы за технологическое присоединение (при плане 80,893 млн. руб., освоено 69,303 млн. руб</w:t>
      </w:r>
      <w:r w:rsidR="0065708A">
        <w:rPr>
          <w:rFonts w:eastAsia="Times New Roman"/>
          <w:sz w:val="26"/>
          <w:szCs w:val="26"/>
          <w:lang w:eastAsia="ru-RU"/>
        </w:rPr>
        <w:t>.</w:t>
      </w:r>
      <w:r w:rsidRPr="00F94FED">
        <w:rPr>
          <w:rFonts w:eastAsia="Times New Roman"/>
          <w:sz w:val="26"/>
          <w:szCs w:val="26"/>
          <w:lang w:eastAsia="ru-RU"/>
        </w:rPr>
        <w:t>). Корректировка произведена за счет уменьшение объемов работ на основании дополнительного соглашения по инвестиционному проекту.</w:t>
      </w:r>
    </w:p>
    <w:p w14:paraId="34AFC48C" w14:textId="77777777" w:rsidR="00203BEE" w:rsidRPr="00F94FED" w:rsidRDefault="00203BEE" w:rsidP="00F94FED">
      <w:pPr>
        <w:spacing w:after="0" w:line="360" w:lineRule="auto"/>
        <w:ind w:firstLine="567"/>
        <w:contextualSpacing/>
        <w:jc w:val="both"/>
        <w:rPr>
          <w:rFonts w:eastAsia="Times New Roman"/>
          <w:sz w:val="26"/>
          <w:szCs w:val="26"/>
          <w:lang w:eastAsia="ru-RU"/>
        </w:rPr>
      </w:pPr>
    </w:p>
    <w:p w14:paraId="484C3EDD" w14:textId="4A6A2970" w:rsidR="009A4C46" w:rsidRPr="009A4C46" w:rsidRDefault="009A4C46" w:rsidP="00F94FED">
      <w:pPr>
        <w:spacing w:afterLines="32" w:after="76" w:line="360" w:lineRule="auto"/>
        <w:ind w:firstLine="567"/>
        <w:contextualSpacing/>
        <w:jc w:val="center"/>
        <w:rPr>
          <w:rFonts w:eastAsia="Times New Roman"/>
          <w:sz w:val="28"/>
          <w:szCs w:val="28"/>
          <w:lang w:eastAsia="ru-RU"/>
        </w:rPr>
      </w:pPr>
      <w:r w:rsidRPr="00F94FED">
        <w:rPr>
          <w:rFonts w:eastAsia="Times New Roman"/>
          <w:b/>
          <w:bCs/>
          <w:iCs/>
          <w:sz w:val="26"/>
          <w:szCs w:val="26"/>
          <w:lang w:eastAsia="ru-RU"/>
        </w:rPr>
        <w:t>Плановые и фактические показатели реализации инвестиционной программы на 2017 год</w:t>
      </w:r>
    </w:p>
    <w:tbl>
      <w:tblPr>
        <w:tblStyle w:val="52"/>
        <w:tblW w:w="5000" w:type="pct"/>
        <w:tblLayout w:type="fixed"/>
        <w:tblLook w:val="04A0" w:firstRow="1" w:lastRow="0" w:firstColumn="1" w:lastColumn="0" w:noHBand="0" w:noVBand="1"/>
      </w:tblPr>
      <w:tblGrid>
        <w:gridCol w:w="686"/>
        <w:gridCol w:w="3136"/>
        <w:gridCol w:w="1703"/>
        <w:gridCol w:w="1275"/>
        <w:gridCol w:w="1134"/>
        <w:gridCol w:w="1411"/>
      </w:tblGrid>
      <w:tr w:rsidR="008D170D" w:rsidRPr="008D170D" w14:paraId="46B7D380" w14:textId="77777777" w:rsidTr="00F94FED">
        <w:trPr>
          <w:trHeight w:val="501"/>
          <w:tblHeader/>
        </w:trPr>
        <w:tc>
          <w:tcPr>
            <w:tcW w:w="36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0148ADD" w14:textId="77777777" w:rsidR="009A4C46" w:rsidRPr="00F94FED" w:rsidRDefault="009A4C46" w:rsidP="00CB5AA8">
            <w:pPr>
              <w:spacing w:after="100" w:afterAutospacing="1" w:line="283" w:lineRule="auto"/>
              <w:jc w:val="center"/>
              <w:rPr>
                <w:rFonts w:eastAsia="Times New Roman"/>
                <w:b/>
                <w:color w:val="FFFFFF" w:themeColor="background1"/>
                <w:lang w:eastAsia="ru-RU"/>
              </w:rPr>
            </w:pPr>
            <w:r w:rsidRPr="00F94FED">
              <w:rPr>
                <w:rFonts w:eastAsia="Times New Roman"/>
                <w:b/>
                <w:color w:val="FFFFFF" w:themeColor="background1"/>
                <w:lang w:eastAsia="ru-RU"/>
              </w:rPr>
              <w:t>№ п/п</w:t>
            </w:r>
          </w:p>
        </w:tc>
        <w:tc>
          <w:tcPr>
            <w:tcW w:w="167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F200D50" w14:textId="77777777" w:rsidR="009A4C46" w:rsidRPr="00F94FED" w:rsidRDefault="009A4C46" w:rsidP="00CB5AA8">
            <w:pPr>
              <w:spacing w:after="100" w:afterAutospacing="1" w:line="283" w:lineRule="auto"/>
              <w:jc w:val="center"/>
              <w:rPr>
                <w:rFonts w:eastAsia="Times New Roman"/>
                <w:b/>
                <w:color w:val="FFFFFF" w:themeColor="background1"/>
                <w:lang w:eastAsia="ru-RU"/>
              </w:rPr>
            </w:pPr>
            <w:r w:rsidRPr="00F94FED">
              <w:rPr>
                <w:rFonts w:eastAsia="Times New Roman"/>
                <w:b/>
                <w:color w:val="FFFFFF" w:themeColor="background1"/>
                <w:lang w:eastAsia="ru-RU"/>
              </w:rPr>
              <w:t>Показатель</w:t>
            </w:r>
          </w:p>
        </w:tc>
        <w:tc>
          <w:tcPr>
            <w:tcW w:w="91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BAB856A" w14:textId="65C491B7" w:rsidR="009A4C46" w:rsidRPr="00F94FED" w:rsidRDefault="009A4C46" w:rsidP="00CB5AA8">
            <w:pPr>
              <w:spacing w:after="100" w:afterAutospacing="1" w:line="283" w:lineRule="auto"/>
              <w:jc w:val="center"/>
              <w:rPr>
                <w:rFonts w:eastAsia="Times New Roman"/>
                <w:b/>
                <w:color w:val="FFFFFF" w:themeColor="background1"/>
                <w:lang w:eastAsia="ru-RU"/>
              </w:rPr>
            </w:pPr>
            <w:r w:rsidRPr="00F94FED">
              <w:rPr>
                <w:rFonts w:eastAsia="Times New Roman"/>
                <w:b/>
                <w:color w:val="FFFFFF" w:themeColor="background1"/>
                <w:lang w:eastAsia="ru-RU"/>
              </w:rPr>
              <w:t>Утвержденный план 2017 года</w:t>
            </w:r>
            <w:r w:rsidR="00203BEE" w:rsidRPr="00F94FED">
              <w:rPr>
                <w:rFonts w:eastAsia="Times New Roman"/>
                <w:b/>
                <w:color w:val="FFFFFF" w:themeColor="background1"/>
                <w:lang w:eastAsia="ru-RU"/>
              </w:rPr>
              <w:t>, млн. руб.</w:t>
            </w:r>
            <w:r w:rsidRPr="00F94FED">
              <w:rPr>
                <w:rFonts w:eastAsia="Times New Roman"/>
                <w:b/>
                <w:color w:val="FFFFFF" w:themeColor="background1"/>
                <w:lang w:eastAsia="ru-RU"/>
              </w:rPr>
              <w:t>(с НДС)</w:t>
            </w:r>
          </w:p>
        </w:tc>
        <w:tc>
          <w:tcPr>
            <w:tcW w:w="68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E29F4B1" w14:textId="41170620" w:rsidR="009A4C46" w:rsidRPr="00F94FED" w:rsidRDefault="009A4C46" w:rsidP="00CB5AA8">
            <w:pPr>
              <w:spacing w:after="100" w:afterAutospacing="1" w:line="283" w:lineRule="auto"/>
              <w:jc w:val="center"/>
              <w:rPr>
                <w:rFonts w:eastAsia="Times New Roman"/>
                <w:b/>
                <w:color w:val="FFFFFF" w:themeColor="background1"/>
                <w:lang w:eastAsia="ru-RU"/>
              </w:rPr>
            </w:pPr>
            <w:r w:rsidRPr="00F94FED">
              <w:rPr>
                <w:rFonts w:eastAsia="Times New Roman"/>
                <w:b/>
                <w:color w:val="FFFFFF" w:themeColor="background1"/>
                <w:lang w:eastAsia="ru-RU"/>
              </w:rPr>
              <w:t>План 2017 года по шаблону NET.INV</w:t>
            </w:r>
            <w:r w:rsidR="00203BEE" w:rsidRPr="00F94FED">
              <w:rPr>
                <w:rFonts w:eastAsia="Times New Roman"/>
                <w:b/>
                <w:color w:val="FFFFFF" w:themeColor="background1"/>
                <w:lang w:eastAsia="ru-RU"/>
              </w:rPr>
              <w:t xml:space="preserve">. млн. руб. </w:t>
            </w:r>
            <w:r w:rsidRPr="00F94FED">
              <w:rPr>
                <w:rFonts w:eastAsia="Times New Roman"/>
                <w:b/>
                <w:color w:val="FFFFFF" w:themeColor="background1"/>
                <w:lang w:eastAsia="ru-RU"/>
              </w:rPr>
              <w:t>(без НДС)</w:t>
            </w:r>
          </w:p>
        </w:tc>
        <w:tc>
          <w:tcPr>
            <w:tcW w:w="60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A9D2B8D" w14:textId="2B52E200" w:rsidR="009A4C46" w:rsidRPr="00F94FED" w:rsidRDefault="009A4C46" w:rsidP="00CB5AA8">
            <w:pPr>
              <w:spacing w:after="100" w:afterAutospacing="1" w:line="283" w:lineRule="auto"/>
              <w:jc w:val="center"/>
              <w:rPr>
                <w:rFonts w:eastAsia="Times New Roman"/>
                <w:b/>
                <w:color w:val="FFFFFF" w:themeColor="background1"/>
                <w:lang w:eastAsia="ru-RU"/>
              </w:rPr>
            </w:pPr>
            <w:r w:rsidRPr="00F94FED">
              <w:rPr>
                <w:rFonts w:eastAsia="Times New Roman"/>
                <w:b/>
                <w:color w:val="FFFFFF" w:themeColor="background1"/>
                <w:lang w:eastAsia="ru-RU"/>
              </w:rPr>
              <w:t>Факт 2017 года по шаблону NET.INV</w:t>
            </w:r>
            <w:r w:rsidR="00203BEE" w:rsidRPr="00F94FED">
              <w:rPr>
                <w:rFonts w:eastAsia="Times New Roman"/>
                <w:b/>
                <w:color w:val="FFFFFF" w:themeColor="background1"/>
                <w:lang w:eastAsia="ru-RU"/>
              </w:rPr>
              <w:t>, млн. руб.</w:t>
            </w:r>
            <w:r w:rsidR="00203BEE" w:rsidRPr="00F94FED">
              <w:rPr>
                <w:rFonts w:eastAsia="Times New Roman"/>
                <w:b/>
                <w:color w:val="FFFFFF" w:themeColor="background1"/>
                <w:lang w:eastAsia="ru-RU"/>
              </w:rPr>
              <w:br/>
            </w:r>
            <w:r w:rsidRPr="00F94FED">
              <w:rPr>
                <w:rFonts w:eastAsia="Times New Roman"/>
                <w:b/>
                <w:color w:val="FFFFFF" w:themeColor="background1"/>
                <w:lang w:eastAsia="ru-RU"/>
              </w:rPr>
              <w:t>(без НДС)</w:t>
            </w:r>
          </w:p>
        </w:tc>
        <w:tc>
          <w:tcPr>
            <w:tcW w:w="75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A9CA6CC" w14:textId="29DFCC48" w:rsidR="009A4C46" w:rsidRPr="00F94FED" w:rsidRDefault="009A4C46" w:rsidP="00CB5AA8">
            <w:pPr>
              <w:spacing w:after="100" w:afterAutospacing="1" w:line="283" w:lineRule="auto"/>
              <w:jc w:val="center"/>
              <w:rPr>
                <w:rFonts w:eastAsia="Times New Roman"/>
                <w:b/>
                <w:color w:val="FFFFFF" w:themeColor="background1"/>
                <w:lang w:eastAsia="ru-RU"/>
              </w:rPr>
            </w:pPr>
            <w:r w:rsidRPr="00F94FED">
              <w:rPr>
                <w:rFonts w:eastAsia="Times New Roman"/>
                <w:b/>
                <w:color w:val="FFFFFF" w:themeColor="background1"/>
                <w:lang w:eastAsia="ru-RU"/>
              </w:rPr>
              <w:t>Отклонение</w:t>
            </w:r>
            <w:r w:rsidR="00203BEE" w:rsidRPr="00F94FED">
              <w:rPr>
                <w:rFonts w:eastAsia="Times New Roman"/>
                <w:b/>
                <w:color w:val="FFFFFF" w:themeColor="background1"/>
                <w:lang w:eastAsia="ru-RU"/>
              </w:rPr>
              <w:t>. млн. руб.</w:t>
            </w:r>
          </w:p>
        </w:tc>
      </w:tr>
      <w:tr w:rsidR="008D170D" w:rsidRPr="008D170D" w14:paraId="39C5C21E" w14:textId="77777777" w:rsidTr="008D170D">
        <w:trPr>
          <w:trHeight w:val="212"/>
          <w:tblHeader/>
        </w:trPr>
        <w:tc>
          <w:tcPr>
            <w:tcW w:w="36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539A4DA" w14:textId="77777777" w:rsidR="009A4C46" w:rsidRPr="00F94FED" w:rsidRDefault="009A4C46" w:rsidP="00CB5AA8">
            <w:pPr>
              <w:spacing w:after="100" w:afterAutospacing="1" w:line="283" w:lineRule="auto"/>
              <w:jc w:val="center"/>
              <w:rPr>
                <w:rFonts w:eastAsia="Times New Roman"/>
                <w:b/>
                <w:color w:val="FFFFFF" w:themeColor="background1"/>
                <w:lang w:eastAsia="ru-RU"/>
              </w:rPr>
            </w:pPr>
            <w:r w:rsidRPr="00F94FED">
              <w:rPr>
                <w:rFonts w:eastAsia="Times New Roman"/>
                <w:b/>
                <w:color w:val="FFFFFF" w:themeColor="background1"/>
                <w:lang w:eastAsia="ru-RU"/>
              </w:rPr>
              <w:t>1</w:t>
            </w:r>
          </w:p>
        </w:tc>
        <w:tc>
          <w:tcPr>
            <w:tcW w:w="167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F760062" w14:textId="77777777" w:rsidR="009A4C46" w:rsidRPr="00F94FED" w:rsidRDefault="009A4C46" w:rsidP="00CB5AA8">
            <w:pPr>
              <w:spacing w:after="100" w:afterAutospacing="1" w:line="283" w:lineRule="auto"/>
              <w:jc w:val="center"/>
              <w:rPr>
                <w:rFonts w:eastAsia="Times New Roman"/>
                <w:b/>
                <w:color w:val="FFFFFF" w:themeColor="background1"/>
                <w:lang w:eastAsia="ru-RU"/>
              </w:rPr>
            </w:pPr>
            <w:r w:rsidRPr="00F94FED">
              <w:rPr>
                <w:rFonts w:eastAsia="Times New Roman"/>
                <w:b/>
                <w:color w:val="FFFFFF" w:themeColor="background1"/>
                <w:lang w:eastAsia="ru-RU"/>
              </w:rPr>
              <w:t>2</w:t>
            </w:r>
          </w:p>
        </w:tc>
        <w:tc>
          <w:tcPr>
            <w:tcW w:w="91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CF98A7D" w14:textId="77777777" w:rsidR="009A4C46" w:rsidRPr="00F94FED" w:rsidRDefault="009A4C46" w:rsidP="00CB5AA8">
            <w:pPr>
              <w:spacing w:after="100" w:afterAutospacing="1" w:line="283" w:lineRule="auto"/>
              <w:jc w:val="center"/>
              <w:rPr>
                <w:rFonts w:eastAsia="Times New Roman"/>
                <w:b/>
                <w:color w:val="FFFFFF" w:themeColor="background1"/>
                <w:lang w:eastAsia="ru-RU"/>
              </w:rPr>
            </w:pPr>
            <w:r w:rsidRPr="00F94FED">
              <w:rPr>
                <w:rFonts w:eastAsia="Times New Roman"/>
                <w:b/>
                <w:color w:val="FFFFFF" w:themeColor="background1"/>
                <w:lang w:eastAsia="ru-RU"/>
              </w:rPr>
              <w:t>3</w:t>
            </w:r>
          </w:p>
        </w:tc>
        <w:tc>
          <w:tcPr>
            <w:tcW w:w="68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C42C3EA" w14:textId="77777777" w:rsidR="009A4C46" w:rsidRPr="00F94FED" w:rsidRDefault="009A4C46" w:rsidP="00CB5AA8">
            <w:pPr>
              <w:spacing w:after="100" w:afterAutospacing="1" w:line="283" w:lineRule="auto"/>
              <w:jc w:val="center"/>
              <w:rPr>
                <w:rFonts w:eastAsia="Times New Roman"/>
                <w:b/>
                <w:color w:val="FFFFFF" w:themeColor="background1"/>
                <w:lang w:eastAsia="ru-RU"/>
              </w:rPr>
            </w:pPr>
            <w:r w:rsidRPr="00F94FED">
              <w:rPr>
                <w:rFonts w:eastAsia="Times New Roman"/>
                <w:b/>
                <w:color w:val="FFFFFF" w:themeColor="background1"/>
                <w:lang w:eastAsia="ru-RU"/>
              </w:rPr>
              <w:t>4</w:t>
            </w:r>
          </w:p>
        </w:tc>
        <w:tc>
          <w:tcPr>
            <w:tcW w:w="60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862AE11" w14:textId="77777777" w:rsidR="009A4C46" w:rsidRPr="00F94FED" w:rsidRDefault="009A4C46" w:rsidP="00CB5AA8">
            <w:pPr>
              <w:spacing w:after="100" w:afterAutospacing="1" w:line="283" w:lineRule="auto"/>
              <w:jc w:val="center"/>
              <w:rPr>
                <w:rFonts w:eastAsia="Times New Roman"/>
                <w:b/>
                <w:color w:val="FFFFFF" w:themeColor="background1"/>
                <w:lang w:eastAsia="ru-RU"/>
              </w:rPr>
            </w:pPr>
            <w:r w:rsidRPr="00F94FED">
              <w:rPr>
                <w:rFonts w:eastAsia="Times New Roman"/>
                <w:b/>
                <w:color w:val="FFFFFF" w:themeColor="background1"/>
                <w:lang w:eastAsia="ru-RU"/>
              </w:rPr>
              <w:t>5</w:t>
            </w:r>
          </w:p>
        </w:tc>
        <w:tc>
          <w:tcPr>
            <w:tcW w:w="75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CBC95A6" w14:textId="77777777" w:rsidR="009A4C46" w:rsidRPr="00F94FED" w:rsidRDefault="009A4C46" w:rsidP="00CB5AA8">
            <w:pPr>
              <w:spacing w:after="100" w:afterAutospacing="1" w:line="283" w:lineRule="auto"/>
              <w:jc w:val="center"/>
              <w:rPr>
                <w:rFonts w:eastAsia="Times New Roman"/>
                <w:b/>
                <w:color w:val="FFFFFF" w:themeColor="background1"/>
                <w:lang w:eastAsia="ru-RU"/>
              </w:rPr>
            </w:pPr>
            <w:r w:rsidRPr="00F94FED">
              <w:rPr>
                <w:rFonts w:eastAsia="Times New Roman"/>
                <w:b/>
                <w:color w:val="FFFFFF" w:themeColor="background1"/>
                <w:lang w:eastAsia="ru-RU"/>
              </w:rPr>
              <w:t>6</w:t>
            </w:r>
          </w:p>
        </w:tc>
      </w:tr>
      <w:tr w:rsidR="00203BEE" w:rsidRPr="00203BEE" w14:paraId="3D78CD7E" w14:textId="77777777" w:rsidTr="0065708A">
        <w:trPr>
          <w:trHeight w:val="505"/>
        </w:trPr>
        <w:tc>
          <w:tcPr>
            <w:tcW w:w="367" w:type="pct"/>
            <w:tcBorders>
              <w:top w:val="single" w:sz="4" w:space="0" w:color="FFFFFF" w:themeColor="background1"/>
            </w:tcBorders>
            <w:shd w:val="clear" w:color="auto" w:fill="D6E3BC" w:themeFill="accent3" w:themeFillTint="66"/>
            <w:hideMark/>
          </w:tcPr>
          <w:p w14:paraId="72B4D74E" w14:textId="77777777" w:rsidR="009A4C46" w:rsidRPr="00203BEE" w:rsidRDefault="009A4C46" w:rsidP="00CB5AA8">
            <w:pPr>
              <w:spacing w:after="100" w:afterAutospacing="1" w:line="283" w:lineRule="auto"/>
              <w:jc w:val="both"/>
              <w:rPr>
                <w:rFonts w:eastAsia="Times New Roman"/>
                <w:lang w:eastAsia="ru-RU"/>
              </w:rPr>
            </w:pPr>
            <w:r w:rsidRPr="00203BEE">
              <w:rPr>
                <w:rFonts w:eastAsia="Times New Roman"/>
                <w:lang w:eastAsia="ru-RU"/>
              </w:rPr>
              <w:t> </w:t>
            </w:r>
          </w:p>
        </w:tc>
        <w:tc>
          <w:tcPr>
            <w:tcW w:w="1678" w:type="pct"/>
            <w:tcBorders>
              <w:top w:val="single" w:sz="4" w:space="0" w:color="FFFFFF" w:themeColor="background1"/>
            </w:tcBorders>
            <w:shd w:val="clear" w:color="auto" w:fill="D6E3BC" w:themeFill="accent3" w:themeFillTint="66"/>
            <w:hideMark/>
          </w:tcPr>
          <w:p w14:paraId="1EB4C672" w14:textId="77777777" w:rsidR="009A4C46" w:rsidRPr="00203BEE" w:rsidRDefault="009A4C46" w:rsidP="00CB5AA8">
            <w:pPr>
              <w:spacing w:after="100" w:afterAutospacing="1" w:line="283" w:lineRule="auto"/>
              <w:rPr>
                <w:rFonts w:eastAsia="Times New Roman"/>
                <w:bCs/>
                <w:lang w:eastAsia="ru-RU"/>
              </w:rPr>
            </w:pPr>
            <w:r w:rsidRPr="00203BEE">
              <w:rPr>
                <w:rFonts w:eastAsia="Times New Roman"/>
                <w:bCs/>
                <w:lang w:eastAsia="ru-RU"/>
              </w:rPr>
              <w:t>Источники финансирования инвестиционной программы всего, в том числе:</w:t>
            </w:r>
          </w:p>
        </w:tc>
        <w:tc>
          <w:tcPr>
            <w:tcW w:w="911" w:type="pct"/>
            <w:tcBorders>
              <w:top w:val="single" w:sz="4" w:space="0" w:color="FFFFFF" w:themeColor="background1"/>
            </w:tcBorders>
            <w:shd w:val="clear" w:color="auto" w:fill="D6E3BC" w:themeFill="accent3" w:themeFillTint="66"/>
            <w:vAlign w:val="center"/>
          </w:tcPr>
          <w:p w14:paraId="182DC7AD" w14:textId="77777777" w:rsidR="009A4C46" w:rsidRPr="00203BEE" w:rsidRDefault="009A4C46" w:rsidP="00CB5AA8">
            <w:pPr>
              <w:spacing w:after="100" w:afterAutospacing="1" w:line="283" w:lineRule="auto"/>
              <w:jc w:val="center"/>
              <w:rPr>
                <w:rFonts w:eastAsia="Times New Roman"/>
                <w:bCs/>
                <w:lang w:eastAsia="ru-RU"/>
              </w:rPr>
            </w:pPr>
            <w:r w:rsidRPr="00203BEE">
              <w:rPr>
                <w:rFonts w:eastAsia="Times New Roman"/>
                <w:bCs/>
                <w:lang w:eastAsia="ru-RU"/>
              </w:rPr>
              <w:t>257,49</w:t>
            </w:r>
          </w:p>
        </w:tc>
        <w:tc>
          <w:tcPr>
            <w:tcW w:w="682" w:type="pct"/>
            <w:tcBorders>
              <w:top w:val="single" w:sz="4" w:space="0" w:color="FFFFFF" w:themeColor="background1"/>
            </w:tcBorders>
            <w:shd w:val="clear" w:color="auto" w:fill="D6E3BC" w:themeFill="accent3" w:themeFillTint="66"/>
            <w:vAlign w:val="center"/>
          </w:tcPr>
          <w:p w14:paraId="2F51FD88" w14:textId="77777777" w:rsidR="009A4C46" w:rsidRPr="00203BEE" w:rsidRDefault="009A4C46" w:rsidP="00CB5AA8">
            <w:pPr>
              <w:spacing w:after="100" w:afterAutospacing="1" w:line="283" w:lineRule="auto"/>
              <w:jc w:val="center"/>
              <w:rPr>
                <w:rFonts w:eastAsia="Times New Roman"/>
                <w:bCs/>
                <w:lang w:eastAsia="ru-RU"/>
              </w:rPr>
            </w:pPr>
            <w:r w:rsidRPr="00203BEE">
              <w:rPr>
                <w:rFonts w:eastAsia="Times New Roman"/>
                <w:bCs/>
                <w:lang w:eastAsia="ru-RU"/>
              </w:rPr>
              <w:t>239,295</w:t>
            </w:r>
          </w:p>
        </w:tc>
        <w:tc>
          <w:tcPr>
            <w:tcW w:w="607" w:type="pct"/>
            <w:tcBorders>
              <w:top w:val="single" w:sz="4" w:space="0" w:color="FFFFFF" w:themeColor="background1"/>
            </w:tcBorders>
            <w:shd w:val="clear" w:color="auto" w:fill="D6E3BC" w:themeFill="accent3" w:themeFillTint="66"/>
            <w:vAlign w:val="center"/>
          </w:tcPr>
          <w:p w14:paraId="77782165" w14:textId="77777777" w:rsidR="009A4C46" w:rsidRPr="00203BEE" w:rsidRDefault="009A4C46" w:rsidP="00CB5AA8">
            <w:pPr>
              <w:spacing w:after="100" w:afterAutospacing="1" w:line="283" w:lineRule="auto"/>
              <w:jc w:val="center"/>
              <w:rPr>
                <w:rFonts w:eastAsia="Times New Roman"/>
                <w:bCs/>
                <w:lang w:eastAsia="ru-RU"/>
              </w:rPr>
            </w:pPr>
            <w:r w:rsidRPr="00203BEE">
              <w:rPr>
                <w:rFonts w:eastAsia="Times New Roman"/>
                <w:bCs/>
                <w:lang w:eastAsia="ru-RU"/>
              </w:rPr>
              <w:t>233,471</w:t>
            </w:r>
          </w:p>
        </w:tc>
        <w:tc>
          <w:tcPr>
            <w:tcW w:w="755" w:type="pct"/>
            <w:tcBorders>
              <w:top w:val="single" w:sz="4" w:space="0" w:color="FFFFFF" w:themeColor="background1"/>
            </w:tcBorders>
            <w:shd w:val="clear" w:color="auto" w:fill="D6E3BC" w:themeFill="accent3" w:themeFillTint="66"/>
            <w:noWrap/>
            <w:vAlign w:val="center"/>
          </w:tcPr>
          <w:p w14:paraId="56A61B79" w14:textId="77777777" w:rsidR="009A4C46" w:rsidRPr="00203BEE" w:rsidRDefault="009A4C46" w:rsidP="00CB5AA8">
            <w:pPr>
              <w:spacing w:after="100" w:afterAutospacing="1" w:line="283" w:lineRule="auto"/>
              <w:jc w:val="center"/>
              <w:rPr>
                <w:rFonts w:eastAsia="Times New Roman"/>
                <w:bCs/>
                <w:lang w:eastAsia="ru-RU"/>
              </w:rPr>
            </w:pPr>
            <w:r w:rsidRPr="00203BEE">
              <w:rPr>
                <w:rFonts w:eastAsia="Times New Roman"/>
                <w:lang w:eastAsia="ru-RU"/>
              </w:rPr>
              <w:t>-5,824</w:t>
            </w:r>
          </w:p>
        </w:tc>
      </w:tr>
      <w:tr w:rsidR="00203BEE" w:rsidRPr="00203BEE" w14:paraId="4BA2155F" w14:textId="77777777" w:rsidTr="0065708A">
        <w:trPr>
          <w:trHeight w:val="227"/>
        </w:trPr>
        <w:tc>
          <w:tcPr>
            <w:tcW w:w="367" w:type="pct"/>
            <w:shd w:val="clear" w:color="auto" w:fill="D6E3BC" w:themeFill="accent3" w:themeFillTint="66"/>
            <w:noWrap/>
            <w:hideMark/>
          </w:tcPr>
          <w:p w14:paraId="5E704120" w14:textId="77777777" w:rsidR="009A4C46" w:rsidRPr="00203BEE" w:rsidRDefault="009A4C46" w:rsidP="00CB5AA8">
            <w:pPr>
              <w:spacing w:after="100" w:afterAutospacing="1" w:line="283" w:lineRule="auto"/>
              <w:jc w:val="both"/>
              <w:rPr>
                <w:rFonts w:eastAsia="Times New Roman"/>
                <w:lang w:eastAsia="ru-RU"/>
              </w:rPr>
            </w:pPr>
            <w:r w:rsidRPr="00203BEE">
              <w:rPr>
                <w:rFonts w:eastAsia="Times New Roman"/>
                <w:lang w:eastAsia="ru-RU"/>
              </w:rPr>
              <w:t>I</w:t>
            </w:r>
          </w:p>
        </w:tc>
        <w:tc>
          <w:tcPr>
            <w:tcW w:w="1678" w:type="pct"/>
            <w:shd w:val="clear" w:color="auto" w:fill="D6E3BC" w:themeFill="accent3" w:themeFillTint="66"/>
            <w:noWrap/>
            <w:hideMark/>
          </w:tcPr>
          <w:p w14:paraId="137F471D" w14:textId="77777777" w:rsidR="009A4C46" w:rsidRPr="00203BEE" w:rsidRDefault="009A4C46" w:rsidP="00CB5AA8">
            <w:pPr>
              <w:spacing w:after="100" w:afterAutospacing="1" w:line="283" w:lineRule="auto"/>
              <w:rPr>
                <w:rFonts w:eastAsia="Times New Roman"/>
                <w:lang w:eastAsia="ru-RU"/>
              </w:rPr>
            </w:pPr>
            <w:r w:rsidRPr="00203BEE">
              <w:rPr>
                <w:rFonts w:eastAsia="Times New Roman"/>
                <w:lang w:eastAsia="ru-RU"/>
              </w:rPr>
              <w:t>Собственные средства всего, в том числе:</w:t>
            </w:r>
          </w:p>
        </w:tc>
        <w:tc>
          <w:tcPr>
            <w:tcW w:w="911" w:type="pct"/>
            <w:shd w:val="clear" w:color="auto" w:fill="D6E3BC" w:themeFill="accent3" w:themeFillTint="66"/>
            <w:vAlign w:val="center"/>
          </w:tcPr>
          <w:p w14:paraId="14D7D8E3" w14:textId="77777777" w:rsidR="009A4C46" w:rsidRPr="00203BEE" w:rsidRDefault="009A4C46" w:rsidP="00CB5AA8">
            <w:pPr>
              <w:spacing w:after="100" w:afterAutospacing="1" w:line="283" w:lineRule="auto"/>
              <w:jc w:val="center"/>
              <w:rPr>
                <w:rFonts w:eastAsia="Times New Roman"/>
                <w:lang w:eastAsia="ru-RU"/>
              </w:rPr>
            </w:pPr>
            <w:r w:rsidRPr="00203BEE">
              <w:rPr>
                <w:rFonts w:eastAsia="Times New Roman"/>
                <w:lang w:eastAsia="ru-RU"/>
              </w:rPr>
              <w:t>257,49</w:t>
            </w:r>
          </w:p>
        </w:tc>
        <w:tc>
          <w:tcPr>
            <w:tcW w:w="682" w:type="pct"/>
            <w:shd w:val="clear" w:color="auto" w:fill="D6E3BC" w:themeFill="accent3" w:themeFillTint="66"/>
            <w:vAlign w:val="center"/>
          </w:tcPr>
          <w:p w14:paraId="37A83C88" w14:textId="77777777" w:rsidR="009A4C46" w:rsidRPr="00203BEE" w:rsidRDefault="009A4C46" w:rsidP="00CB5AA8">
            <w:pPr>
              <w:spacing w:after="100" w:afterAutospacing="1" w:line="283" w:lineRule="auto"/>
              <w:jc w:val="center"/>
              <w:rPr>
                <w:rFonts w:eastAsia="Times New Roman"/>
                <w:lang w:eastAsia="ru-RU"/>
              </w:rPr>
            </w:pPr>
            <w:r w:rsidRPr="00203BEE">
              <w:rPr>
                <w:rFonts w:eastAsia="Times New Roman"/>
                <w:lang w:eastAsia="ru-RU"/>
              </w:rPr>
              <w:t>239,295</w:t>
            </w:r>
          </w:p>
        </w:tc>
        <w:tc>
          <w:tcPr>
            <w:tcW w:w="607" w:type="pct"/>
            <w:shd w:val="clear" w:color="auto" w:fill="D6E3BC" w:themeFill="accent3" w:themeFillTint="66"/>
            <w:vAlign w:val="center"/>
          </w:tcPr>
          <w:p w14:paraId="4C26EC7F" w14:textId="77777777" w:rsidR="009A4C46" w:rsidRPr="00203BEE" w:rsidRDefault="009A4C46" w:rsidP="00CB5AA8">
            <w:pPr>
              <w:spacing w:after="100" w:afterAutospacing="1" w:line="283" w:lineRule="auto"/>
              <w:jc w:val="center"/>
              <w:rPr>
                <w:rFonts w:eastAsia="Times New Roman"/>
                <w:lang w:eastAsia="ru-RU"/>
              </w:rPr>
            </w:pPr>
            <w:r w:rsidRPr="00203BEE">
              <w:rPr>
                <w:rFonts w:eastAsia="Times New Roman"/>
                <w:lang w:eastAsia="ru-RU"/>
              </w:rPr>
              <w:t>233,471</w:t>
            </w:r>
          </w:p>
        </w:tc>
        <w:tc>
          <w:tcPr>
            <w:tcW w:w="755" w:type="pct"/>
            <w:shd w:val="clear" w:color="auto" w:fill="D6E3BC" w:themeFill="accent3" w:themeFillTint="66"/>
            <w:noWrap/>
            <w:vAlign w:val="center"/>
          </w:tcPr>
          <w:p w14:paraId="0C4B9BBB" w14:textId="77777777" w:rsidR="009A4C46" w:rsidRPr="00203BEE" w:rsidRDefault="009A4C46" w:rsidP="00CB5AA8">
            <w:pPr>
              <w:spacing w:after="100" w:afterAutospacing="1" w:line="283" w:lineRule="auto"/>
              <w:jc w:val="center"/>
              <w:rPr>
                <w:rFonts w:eastAsia="Times New Roman"/>
                <w:lang w:eastAsia="ru-RU"/>
              </w:rPr>
            </w:pPr>
            <w:r w:rsidRPr="00203BEE">
              <w:rPr>
                <w:rFonts w:eastAsia="Times New Roman"/>
                <w:lang w:eastAsia="ru-RU"/>
              </w:rPr>
              <w:t>-5,824</w:t>
            </w:r>
          </w:p>
        </w:tc>
      </w:tr>
      <w:tr w:rsidR="00203BEE" w:rsidRPr="00203BEE" w14:paraId="4DEB20B7" w14:textId="77777777" w:rsidTr="00F94FED">
        <w:trPr>
          <w:trHeight w:val="227"/>
        </w:trPr>
        <w:tc>
          <w:tcPr>
            <w:tcW w:w="367" w:type="pct"/>
            <w:noWrap/>
            <w:hideMark/>
          </w:tcPr>
          <w:p w14:paraId="241ABF72" w14:textId="77777777" w:rsidR="009A4C46" w:rsidRPr="0065708A" w:rsidRDefault="009A4C46" w:rsidP="00CB5AA8">
            <w:pPr>
              <w:spacing w:after="100" w:afterAutospacing="1" w:line="283" w:lineRule="auto"/>
              <w:jc w:val="both"/>
              <w:rPr>
                <w:rFonts w:eastAsia="Times New Roman"/>
                <w:sz w:val="18"/>
                <w:szCs w:val="18"/>
                <w:lang w:eastAsia="ru-RU"/>
              </w:rPr>
            </w:pPr>
            <w:r w:rsidRPr="0065708A">
              <w:rPr>
                <w:rFonts w:eastAsia="Times New Roman"/>
                <w:sz w:val="18"/>
                <w:szCs w:val="18"/>
                <w:lang w:eastAsia="ru-RU"/>
              </w:rPr>
              <w:t>1.1</w:t>
            </w:r>
          </w:p>
        </w:tc>
        <w:tc>
          <w:tcPr>
            <w:tcW w:w="1678" w:type="pct"/>
            <w:noWrap/>
            <w:hideMark/>
          </w:tcPr>
          <w:p w14:paraId="312F3B67" w14:textId="77777777" w:rsidR="009A4C46" w:rsidRPr="00203BEE" w:rsidRDefault="009A4C46" w:rsidP="00CB5AA8">
            <w:pPr>
              <w:spacing w:after="100" w:afterAutospacing="1" w:line="283" w:lineRule="auto"/>
              <w:rPr>
                <w:rFonts w:eastAsia="Times New Roman"/>
                <w:lang w:eastAsia="ru-RU"/>
              </w:rPr>
            </w:pPr>
            <w:r w:rsidRPr="00203BEE">
              <w:rPr>
                <w:rFonts w:eastAsia="Times New Roman"/>
                <w:lang w:eastAsia="ru-RU"/>
              </w:rPr>
              <w:t>Прибыль, направляемая на инвестиции, в том числе:</w:t>
            </w:r>
          </w:p>
        </w:tc>
        <w:tc>
          <w:tcPr>
            <w:tcW w:w="911" w:type="pct"/>
            <w:vAlign w:val="center"/>
          </w:tcPr>
          <w:p w14:paraId="7C06A0BA" w14:textId="77777777" w:rsidR="009A4C46" w:rsidRPr="00203BEE" w:rsidRDefault="009A4C46" w:rsidP="00CB5AA8">
            <w:pPr>
              <w:spacing w:after="100" w:afterAutospacing="1" w:line="283" w:lineRule="auto"/>
              <w:jc w:val="center"/>
              <w:rPr>
                <w:rFonts w:eastAsia="Times New Roman"/>
                <w:lang w:eastAsia="ru-RU"/>
              </w:rPr>
            </w:pPr>
            <w:r w:rsidRPr="00203BEE">
              <w:rPr>
                <w:rFonts w:eastAsia="Times New Roman"/>
                <w:lang w:eastAsia="ru-RU"/>
              </w:rPr>
              <w:t>150,04</w:t>
            </w:r>
          </w:p>
        </w:tc>
        <w:tc>
          <w:tcPr>
            <w:tcW w:w="682" w:type="pct"/>
            <w:vAlign w:val="center"/>
          </w:tcPr>
          <w:p w14:paraId="2550F642" w14:textId="77777777" w:rsidR="009A4C46" w:rsidRPr="00203BEE" w:rsidRDefault="009A4C46" w:rsidP="00CB5AA8">
            <w:pPr>
              <w:spacing w:after="100" w:afterAutospacing="1" w:line="283" w:lineRule="auto"/>
              <w:jc w:val="center"/>
              <w:rPr>
                <w:rFonts w:eastAsia="Times New Roman"/>
                <w:lang w:eastAsia="ru-RU"/>
              </w:rPr>
            </w:pPr>
            <w:r w:rsidRPr="00203BEE">
              <w:rPr>
                <w:rFonts w:eastAsia="Times New Roman"/>
                <w:lang w:eastAsia="ru-RU"/>
              </w:rPr>
              <w:t>159,382</w:t>
            </w:r>
          </w:p>
        </w:tc>
        <w:tc>
          <w:tcPr>
            <w:tcW w:w="607" w:type="pct"/>
            <w:vAlign w:val="center"/>
          </w:tcPr>
          <w:p w14:paraId="2E041107" w14:textId="77777777" w:rsidR="009A4C46" w:rsidRPr="00203BEE" w:rsidRDefault="009A4C46" w:rsidP="00CB5AA8">
            <w:pPr>
              <w:spacing w:after="100" w:afterAutospacing="1" w:line="283" w:lineRule="auto"/>
              <w:jc w:val="center"/>
              <w:rPr>
                <w:rFonts w:eastAsia="Times New Roman"/>
                <w:lang w:eastAsia="ru-RU"/>
              </w:rPr>
            </w:pPr>
            <w:r w:rsidRPr="00203BEE">
              <w:rPr>
                <w:rFonts w:eastAsia="Times New Roman"/>
                <w:lang w:eastAsia="ru-RU"/>
              </w:rPr>
              <w:t>147,034</w:t>
            </w:r>
          </w:p>
        </w:tc>
        <w:tc>
          <w:tcPr>
            <w:tcW w:w="755" w:type="pct"/>
            <w:noWrap/>
            <w:vAlign w:val="center"/>
          </w:tcPr>
          <w:p w14:paraId="6D0E0538" w14:textId="77777777" w:rsidR="009A4C46" w:rsidRPr="00203BEE" w:rsidRDefault="009A4C46" w:rsidP="00CB5AA8">
            <w:pPr>
              <w:spacing w:after="100" w:afterAutospacing="1" w:line="283" w:lineRule="auto"/>
              <w:jc w:val="center"/>
              <w:rPr>
                <w:rFonts w:eastAsia="Times New Roman"/>
                <w:lang w:eastAsia="ru-RU"/>
              </w:rPr>
            </w:pPr>
            <w:r w:rsidRPr="00203BEE">
              <w:rPr>
                <w:rFonts w:eastAsia="Times New Roman"/>
                <w:lang w:eastAsia="ru-RU"/>
              </w:rPr>
              <w:t>-12,347</w:t>
            </w:r>
          </w:p>
        </w:tc>
      </w:tr>
      <w:tr w:rsidR="00203BEE" w:rsidRPr="00203BEE" w14:paraId="7DD0BD6B" w14:textId="77777777" w:rsidTr="00F94FED">
        <w:trPr>
          <w:trHeight w:val="227"/>
        </w:trPr>
        <w:tc>
          <w:tcPr>
            <w:tcW w:w="367" w:type="pct"/>
            <w:noWrap/>
            <w:hideMark/>
          </w:tcPr>
          <w:p w14:paraId="5052F18F" w14:textId="77777777" w:rsidR="009A4C46" w:rsidRPr="0065708A" w:rsidRDefault="009A4C46" w:rsidP="00CB5AA8">
            <w:pPr>
              <w:spacing w:after="100" w:afterAutospacing="1" w:line="283" w:lineRule="auto"/>
              <w:jc w:val="both"/>
              <w:rPr>
                <w:rFonts w:eastAsia="Times New Roman"/>
                <w:sz w:val="18"/>
                <w:szCs w:val="18"/>
                <w:lang w:eastAsia="ru-RU"/>
              </w:rPr>
            </w:pPr>
            <w:r w:rsidRPr="0065708A">
              <w:rPr>
                <w:rFonts w:eastAsia="Times New Roman"/>
                <w:sz w:val="18"/>
                <w:szCs w:val="18"/>
                <w:lang w:eastAsia="ru-RU"/>
              </w:rPr>
              <w:t>1.1.1</w:t>
            </w:r>
          </w:p>
        </w:tc>
        <w:tc>
          <w:tcPr>
            <w:tcW w:w="1678" w:type="pct"/>
            <w:hideMark/>
          </w:tcPr>
          <w:p w14:paraId="1909D611" w14:textId="77777777" w:rsidR="009A4C46" w:rsidRPr="00203BEE" w:rsidRDefault="009A4C46" w:rsidP="00CB5AA8">
            <w:pPr>
              <w:spacing w:after="100" w:afterAutospacing="1" w:line="283" w:lineRule="auto"/>
              <w:rPr>
                <w:rFonts w:eastAsia="Times New Roman"/>
                <w:lang w:eastAsia="ru-RU"/>
              </w:rPr>
            </w:pPr>
            <w:r w:rsidRPr="00203BEE">
              <w:rPr>
                <w:rFonts w:eastAsia="Times New Roman"/>
                <w:lang w:eastAsia="ru-RU"/>
              </w:rPr>
              <w:t xml:space="preserve">инвестиционная составляющая в тарифах, в том числе: </w:t>
            </w:r>
          </w:p>
        </w:tc>
        <w:tc>
          <w:tcPr>
            <w:tcW w:w="911" w:type="pct"/>
            <w:vAlign w:val="center"/>
          </w:tcPr>
          <w:p w14:paraId="2965F8DC" w14:textId="77777777" w:rsidR="009A4C46" w:rsidRPr="00203BEE" w:rsidRDefault="009A4C46" w:rsidP="00CB5AA8">
            <w:pPr>
              <w:spacing w:after="100" w:afterAutospacing="1" w:line="283" w:lineRule="auto"/>
              <w:jc w:val="center"/>
              <w:rPr>
                <w:rFonts w:eastAsia="Times New Roman"/>
                <w:lang w:eastAsia="ru-RU"/>
              </w:rPr>
            </w:pPr>
            <w:r w:rsidRPr="00203BEE">
              <w:rPr>
                <w:rFonts w:eastAsia="Times New Roman"/>
                <w:lang w:eastAsia="ru-RU"/>
              </w:rPr>
              <w:t>150,04</w:t>
            </w:r>
          </w:p>
        </w:tc>
        <w:tc>
          <w:tcPr>
            <w:tcW w:w="682" w:type="pct"/>
            <w:vAlign w:val="center"/>
          </w:tcPr>
          <w:p w14:paraId="4808C99E" w14:textId="77777777" w:rsidR="009A4C46" w:rsidRPr="00203BEE" w:rsidRDefault="009A4C46" w:rsidP="00CB5AA8">
            <w:pPr>
              <w:spacing w:after="100" w:afterAutospacing="1" w:line="283" w:lineRule="auto"/>
              <w:jc w:val="center"/>
              <w:rPr>
                <w:rFonts w:eastAsia="Times New Roman"/>
                <w:lang w:eastAsia="ru-RU"/>
              </w:rPr>
            </w:pPr>
            <w:r w:rsidRPr="00203BEE">
              <w:rPr>
                <w:rFonts w:eastAsia="Times New Roman"/>
                <w:lang w:eastAsia="ru-RU"/>
              </w:rPr>
              <w:t>159,382</w:t>
            </w:r>
          </w:p>
        </w:tc>
        <w:tc>
          <w:tcPr>
            <w:tcW w:w="607" w:type="pct"/>
            <w:vAlign w:val="center"/>
          </w:tcPr>
          <w:p w14:paraId="142B86FF" w14:textId="77777777" w:rsidR="009A4C46" w:rsidRPr="00203BEE" w:rsidRDefault="009A4C46" w:rsidP="00CB5AA8">
            <w:pPr>
              <w:spacing w:after="100" w:afterAutospacing="1" w:line="283" w:lineRule="auto"/>
              <w:jc w:val="center"/>
              <w:rPr>
                <w:rFonts w:eastAsia="Times New Roman"/>
                <w:lang w:eastAsia="ru-RU"/>
              </w:rPr>
            </w:pPr>
            <w:r w:rsidRPr="00203BEE">
              <w:rPr>
                <w:rFonts w:eastAsia="Times New Roman"/>
                <w:lang w:eastAsia="ru-RU"/>
              </w:rPr>
              <w:t>147,034</w:t>
            </w:r>
          </w:p>
        </w:tc>
        <w:tc>
          <w:tcPr>
            <w:tcW w:w="755" w:type="pct"/>
            <w:noWrap/>
            <w:vAlign w:val="center"/>
          </w:tcPr>
          <w:p w14:paraId="64E69AE2" w14:textId="77777777" w:rsidR="009A4C46" w:rsidRPr="00203BEE" w:rsidRDefault="009A4C46" w:rsidP="00CB5AA8">
            <w:pPr>
              <w:spacing w:after="100" w:afterAutospacing="1" w:line="283" w:lineRule="auto"/>
              <w:jc w:val="center"/>
              <w:rPr>
                <w:rFonts w:eastAsia="Times New Roman"/>
                <w:lang w:eastAsia="ru-RU"/>
              </w:rPr>
            </w:pPr>
            <w:r w:rsidRPr="00203BEE">
              <w:rPr>
                <w:rFonts w:eastAsia="Times New Roman"/>
                <w:lang w:eastAsia="ru-RU"/>
              </w:rPr>
              <w:t>-12,347</w:t>
            </w:r>
          </w:p>
        </w:tc>
      </w:tr>
      <w:tr w:rsidR="00203BEE" w:rsidRPr="00203BEE" w14:paraId="6EB7A2FE" w14:textId="77777777" w:rsidTr="00F94FED">
        <w:trPr>
          <w:trHeight w:val="505"/>
        </w:trPr>
        <w:tc>
          <w:tcPr>
            <w:tcW w:w="367" w:type="pct"/>
            <w:noWrap/>
            <w:hideMark/>
          </w:tcPr>
          <w:p w14:paraId="4BFFB299" w14:textId="77777777" w:rsidR="009A4C46" w:rsidRPr="0065708A" w:rsidRDefault="009A4C46" w:rsidP="00CB5AA8">
            <w:pPr>
              <w:spacing w:after="100" w:afterAutospacing="1" w:line="283" w:lineRule="auto"/>
              <w:jc w:val="both"/>
              <w:rPr>
                <w:rFonts w:eastAsia="Times New Roman"/>
                <w:sz w:val="18"/>
                <w:szCs w:val="18"/>
                <w:lang w:eastAsia="ru-RU"/>
              </w:rPr>
            </w:pPr>
            <w:r w:rsidRPr="0065708A">
              <w:rPr>
                <w:rFonts w:eastAsia="Times New Roman"/>
                <w:sz w:val="18"/>
                <w:szCs w:val="18"/>
                <w:lang w:eastAsia="ru-RU"/>
              </w:rPr>
              <w:t>1.1.2</w:t>
            </w:r>
          </w:p>
        </w:tc>
        <w:tc>
          <w:tcPr>
            <w:tcW w:w="1678" w:type="pct"/>
            <w:hideMark/>
          </w:tcPr>
          <w:p w14:paraId="2B7373D2" w14:textId="77777777" w:rsidR="009A4C46" w:rsidRPr="00203BEE" w:rsidRDefault="009A4C46" w:rsidP="00CB5AA8">
            <w:pPr>
              <w:spacing w:after="100" w:afterAutospacing="1" w:line="283" w:lineRule="auto"/>
              <w:rPr>
                <w:rFonts w:eastAsia="Times New Roman"/>
                <w:lang w:eastAsia="ru-RU"/>
              </w:rPr>
            </w:pPr>
            <w:r w:rsidRPr="00203BEE">
              <w:rPr>
                <w:rFonts w:eastAsia="Times New Roman"/>
                <w:lang w:eastAsia="ru-RU"/>
              </w:rPr>
              <w:t>прибыль от продажи электрической энергии (мощности) по нерегулируемым ценам</w:t>
            </w:r>
          </w:p>
        </w:tc>
        <w:tc>
          <w:tcPr>
            <w:tcW w:w="911" w:type="pct"/>
            <w:vAlign w:val="center"/>
          </w:tcPr>
          <w:p w14:paraId="072F09C6" w14:textId="77777777" w:rsidR="009A4C46" w:rsidRPr="00203BEE" w:rsidRDefault="009A4C46" w:rsidP="00CB5AA8">
            <w:pPr>
              <w:spacing w:after="100" w:afterAutospacing="1" w:line="283" w:lineRule="auto"/>
              <w:jc w:val="center"/>
              <w:rPr>
                <w:rFonts w:eastAsia="Times New Roman"/>
                <w:lang w:eastAsia="ru-RU"/>
              </w:rPr>
            </w:pPr>
          </w:p>
        </w:tc>
        <w:tc>
          <w:tcPr>
            <w:tcW w:w="682" w:type="pct"/>
            <w:vAlign w:val="center"/>
          </w:tcPr>
          <w:p w14:paraId="3296932C" w14:textId="77777777" w:rsidR="009A4C46" w:rsidRPr="00203BEE" w:rsidRDefault="009A4C46" w:rsidP="00CB5AA8">
            <w:pPr>
              <w:spacing w:after="100" w:afterAutospacing="1" w:line="283" w:lineRule="auto"/>
              <w:jc w:val="center"/>
              <w:rPr>
                <w:rFonts w:eastAsia="Times New Roman"/>
                <w:lang w:eastAsia="ru-RU"/>
              </w:rPr>
            </w:pPr>
          </w:p>
        </w:tc>
        <w:tc>
          <w:tcPr>
            <w:tcW w:w="607" w:type="pct"/>
            <w:vAlign w:val="center"/>
          </w:tcPr>
          <w:p w14:paraId="5598D932" w14:textId="77777777" w:rsidR="009A4C46" w:rsidRPr="00203BEE" w:rsidRDefault="009A4C46" w:rsidP="00CB5AA8">
            <w:pPr>
              <w:spacing w:after="100" w:afterAutospacing="1" w:line="283" w:lineRule="auto"/>
              <w:jc w:val="center"/>
              <w:rPr>
                <w:rFonts w:eastAsia="Times New Roman"/>
                <w:lang w:eastAsia="ru-RU"/>
              </w:rPr>
            </w:pPr>
          </w:p>
        </w:tc>
        <w:tc>
          <w:tcPr>
            <w:tcW w:w="755" w:type="pct"/>
            <w:noWrap/>
            <w:vAlign w:val="center"/>
          </w:tcPr>
          <w:p w14:paraId="63D147AD" w14:textId="77777777" w:rsidR="009A4C46" w:rsidRPr="00203BEE" w:rsidRDefault="009A4C46" w:rsidP="00CB5AA8">
            <w:pPr>
              <w:spacing w:after="100" w:afterAutospacing="1" w:line="283" w:lineRule="auto"/>
              <w:jc w:val="center"/>
              <w:rPr>
                <w:rFonts w:eastAsia="Times New Roman"/>
                <w:lang w:eastAsia="ru-RU"/>
              </w:rPr>
            </w:pPr>
          </w:p>
        </w:tc>
      </w:tr>
      <w:tr w:rsidR="00203BEE" w:rsidRPr="00203BEE" w14:paraId="207FBCFD" w14:textId="77777777" w:rsidTr="00F94FED">
        <w:trPr>
          <w:trHeight w:val="227"/>
        </w:trPr>
        <w:tc>
          <w:tcPr>
            <w:tcW w:w="367" w:type="pct"/>
            <w:noWrap/>
            <w:hideMark/>
          </w:tcPr>
          <w:p w14:paraId="15F4E0BD" w14:textId="77777777" w:rsidR="009A4C46" w:rsidRPr="0065708A" w:rsidRDefault="009A4C46" w:rsidP="00CB5AA8">
            <w:pPr>
              <w:spacing w:after="100" w:afterAutospacing="1" w:line="283" w:lineRule="auto"/>
              <w:jc w:val="both"/>
              <w:rPr>
                <w:rFonts w:eastAsia="Times New Roman"/>
                <w:sz w:val="18"/>
                <w:szCs w:val="18"/>
                <w:lang w:eastAsia="ru-RU"/>
              </w:rPr>
            </w:pPr>
            <w:r w:rsidRPr="0065708A">
              <w:rPr>
                <w:rFonts w:eastAsia="Times New Roman"/>
                <w:sz w:val="18"/>
                <w:szCs w:val="18"/>
                <w:lang w:eastAsia="ru-RU"/>
              </w:rPr>
              <w:t>1.1.3</w:t>
            </w:r>
          </w:p>
        </w:tc>
        <w:tc>
          <w:tcPr>
            <w:tcW w:w="1678" w:type="pct"/>
            <w:hideMark/>
          </w:tcPr>
          <w:p w14:paraId="6E5E6CE0" w14:textId="77777777" w:rsidR="009A4C46" w:rsidRPr="00203BEE" w:rsidRDefault="009A4C46" w:rsidP="00CB5AA8">
            <w:pPr>
              <w:spacing w:after="100" w:afterAutospacing="1" w:line="283" w:lineRule="auto"/>
              <w:rPr>
                <w:rFonts w:eastAsia="Times New Roman"/>
                <w:lang w:eastAsia="ru-RU"/>
              </w:rPr>
            </w:pPr>
            <w:r w:rsidRPr="00203BEE">
              <w:rPr>
                <w:rFonts w:eastAsia="Times New Roman"/>
                <w:lang w:eastAsia="ru-RU"/>
              </w:rPr>
              <w:t>прибыль от технологического присоединения, в том числе:</w:t>
            </w:r>
          </w:p>
        </w:tc>
        <w:tc>
          <w:tcPr>
            <w:tcW w:w="911" w:type="pct"/>
            <w:vAlign w:val="center"/>
          </w:tcPr>
          <w:p w14:paraId="3783D2C0" w14:textId="77777777" w:rsidR="009A4C46" w:rsidRPr="00203BEE" w:rsidRDefault="009A4C46" w:rsidP="00CB5AA8">
            <w:pPr>
              <w:spacing w:after="100" w:afterAutospacing="1" w:line="283" w:lineRule="auto"/>
              <w:jc w:val="center"/>
              <w:rPr>
                <w:rFonts w:eastAsia="Times New Roman"/>
                <w:lang w:eastAsia="ru-RU"/>
              </w:rPr>
            </w:pPr>
            <w:r w:rsidRPr="00203BEE">
              <w:rPr>
                <w:rFonts w:eastAsia="Times New Roman"/>
                <w:lang w:eastAsia="ru-RU"/>
              </w:rPr>
              <w:t>150,04</w:t>
            </w:r>
          </w:p>
        </w:tc>
        <w:tc>
          <w:tcPr>
            <w:tcW w:w="682" w:type="pct"/>
            <w:vAlign w:val="center"/>
          </w:tcPr>
          <w:p w14:paraId="5738CF83" w14:textId="77777777" w:rsidR="009A4C46" w:rsidRPr="00203BEE" w:rsidRDefault="009A4C46" w:rsidP="00CB5AA8">
            <w:pPr>
              <w:spacing w:after="100" w:afterAutospacing="1" w:line="283" w:lineRule="auto"/>
              <w:jc w:val="center"/>
              <w:rPr>
                <w:rFonts w:eastAsia="Times New Roman"/>
                <w:lang w:eastAsia="ru-RU"/>
              </w:rPr>
            </w:pPr>
            <w:r w:rsidRPr="00203BEE">
              <w:rPr>
                <w:rFonts w:eastAsia="Times New Roman"/>
                <w:lang w:eastAsia="ru-RU"/>
              </w:rPr>
              <w:t>159,382</w:t>
            </w:r>
          </w:p>
        </w:tc>
        <w:tc>
          <w:tcPr>
            <w:tcW w:w="607" w:type="pct"/>
            <w:vAlign w:val="center"/>
          </w:tcPr>
          <w:p w14:paraId="397DC489" w14:textId="77777777" w:rsidR="009A4C46" w:rsidRPr="00203BEE" w:rsidRDefault="009A4C46" w:rsidP="00CB5AA8">
            <w:pPr>
              <w:spacing w:after="100" w:afterAutospacing="1" w:line="283" w:lineRule="auto"/>
              <w:jc w:val="center"/>
              <w:rPr>
                <w:rFonts w:eastAsia="Times New Roman"/>
                <w:lang w:eastAsia="ru-RU"/>
              </w:rPr>
            </w:pPr>
            <w:r w:rsidRPr="00203BEE">
              <w:rPr>
                <w:rFonts w:eastAsia="Times New Roman"/>
                <w:lang w:eastAsia="ru-RU"/>
              </w:rPr>
              <w:t>147,034</w:t>
            </w:r>
          </w:p>
        </w:tc>
        <w:tc>
          <w:tcPr>
            <w:tcW w:w="755" w:type="pct"/>
            <w:noWrap/>
            <w:vAlign w:val="center"/>
          </w:tcPr>
          <w:p w14:paraId="28E97D7C" w14:textId="77777777" w:rsidR="009A4C46" w:rsidRPr="00203BEE" w:rsidRDefault="009A4C46" w:rsidP="00CB5AA8">
            <w:pPr>
              <w:spacing w:after="100" w:afterAutospacing="1" w:line="283" w:lineRule="auto"/>
              <w:jc w:val="center"/>
              <w:rPr>
                <w:rFonts w:eastAsia="Times New Roman"/>
                <w:lang w:eastAsia="ru-RU"/>
              </w:rPr>
            </w:pPr>
            <w:r w:rsidRPr="00203BEE">
              <w:rPr>
                <w:rFonts w:eastAsia="Times New Roman"/>
                <w:lang w:eastAsia="ru-RU"/>
              </w:rPr>
              <w:t>-12,347</w:t>
            </w:r>
          </w:p>
        </w:tc>
      </w:tr>
      <w:tr w:rsidR="00203BEE" w:rsidRPr="00203BEE" w14:paraId="019087A4" w14:textId="77777777" w:rsidTr="00F94FED">
        <w:trPr>
          <w:trHeight w:val="505"/>
        </w:trPr>
        <w:tc>
          <w:tcPr>
            <w:tcW w:w="367" w:type="pct"/>
            <w:noWrap/>
            <w:hideMark/>
          </w:tcPr>
          <w:p w14:paraId="5F81FF90" w14:textId="77777777" w:rsidR="009A4C46" w:rsidRPr="0065708A" w:rsidRDefault="009A4C46" w:rsidP="00CB5AA8">
            <w:pPr>
              <w:spacing w:after="100" w:afterAutospacing="1" w:line="283" w:lineRule="auto"/>
              <w:jc w:val="both"/>
              <w:rPr>
                <w:rFonts w:eastAsia="Times New Roman"/>
                <w:sz w:val="18"/>
                <w:szCs w:val="18"/>
                <w:lang w:eastAsia="ru-RU"/>
              </w:rPr>
            </w:pPr>
            <w:r w:rsidRPr="0065708A">
              <w:rPr>
                <w:rFonts w:eastAsia="Times New Roman"/>
                <w:sz w:val="18"/>
                <w:szCs w:val="18"/>
                <w:lang w:eastAsia="ru-RU"/>
              </w:rPr>
              <w:t>1.1.3.1</w:t>
            </w:r>
          </w:p>
        </w:tc>
        <w:tc>
          <w:tcPr>
            <w:tcW w:w="1678" w:type="pct"/>
            <w:hideMark/>
          </w:tcPr>
          <w:p w14:paraId="1936265C" w14:textId="77777777" w:rsidR="009A4C46" w:rsidRPr="00203BEE" w:rsidRDefault="009A4C46" w:rsidP="00CB5AA8">
            <w:pPr>
              <w:spacing w:after="100" w:afterAutospacing="1" w:line="283" w:lineRule="auto"/>
              <w:rPr>
                <w:rFonts w:eastAsia="Times New Roman"/>
                <w:lang w:eastAsia="ru-RU"/>
              </w:rPr>
            </w:pPr>
            <w:r w:rsidRPr="00203BEE">
              <w:rPr>
                <w:rFonts w:eastAsia="Times New Roman"/>
                <w:lang w:eastAsia="ru-RU"/>
              </w:rPr>
              <w:t>от технологического присоединения объектов по производству электрической энергии</w:t>
            </w:r>
          </w:p>
        </w:tc>
        <w:tc>
          <w:tcPr>
            <w:tcW w:w="911" w:type="pct"/>
            <w:vAlign w:val="center"/>
          </w:tcPr>
          <w:p w14:paraId="4D6A523D" w14:textId="77777777" w:rsidR="009A4C46" w:rsidRPr="00203BEE" w:rsidRDefault="009A4C46" w:rsidP="00CB5AA8">
            <w:pPr>
              <w:spacing w:after="100" w:afterAutospacing="1" w:line="283" w:lineRule="auto"/>
              <w:jc w:val="center"/>
              <w:rPr>
                <w:rFonts w:eastAsia="Times New Roman"/>
                <w:lang w:eastAsia="ru-RU"/>
              </w:rPr>
            </w:pPr>
          </w:p>
        </w:tc>
        <w:tc>
          <w:tcPr>
            <w:tcW w:w="682" w:type="pct"/>
            <w:vAlign w:val="center"/>
          </w:tcPr>
          <w:p w14:paraId="02E1DE8F" w14:textId="77777777" w:rsidR="009A4C46" w:rsidRPr="00203BEE" w:rsidRDefault="009A4C46" w:rsidP="00CB5AA8">
            <w:pPr>
              <w:spacing w:after="100" w:afterAutospacing="1" w:line="283" w:lineRule="auto"/>
              <w:jc w:val="center"/>
              <w:rPr>
                <w:rFonts w:eastAsia="Times New Roman"/>
                <w:lang w:eastAsia="ru-RU"/>
              </w:rPr>
            </w:pPr>
          </w:p>
        </w:tc>
        <w:tc>
          <w:tcPr>
            <w:tcW w:w="607" w:type="pct"/>
            <w:vAlign w:val="center"/>
          </w:tcPr>
          <w:p w14:paraId="2E23B2BF" w14:textId="77777777" w:rsidR="009A4C46" w:rsidRPr="00203BEE" w:rsidRDefault="009A4C46" w:rsidP="00CB5AA8">
            <w:pPr>
              <w:spacing w:after="100" w:afterAutospacing="1" w:line="283" w:lineRule="auto"/>
              <w:jc w:val="center"/>
              <w:rPr>
                <w:rFonts w:eastAsia="Times New Roman"/>
                <w:lang w:eastAsia="ru-RU"/>
              </w:rPr>
            </w:pPr>
          </w:p>
        </w:tc>
        <w:tc>
          <w:tcPr>
            <w:tcW w:w="755" w:type="pct"/>
            <w:noWrap/>
            <w:vAlign w:val="center"/>
          </w:tcPr>
          <w:p w14:paraId="2A8D15F8" w14:textId="77777777" w:rsidR="009A4C46" w:rsidRPr="00203BEE" w:rsidRDefault="009A4C46" w:rsidP="00CB5AA8">
            <w:pPr>
              <w:spacing w:after="100" w:afterAutospacing="1" w:line="283" w:lineRule="auto"/>
              <w:jc w:val="center"/>
              <w:rPr>
                <w:rFonts w:eastAsia="Times New Roman"/>
                <w:lang w:eastAsia="ru-RU"/>
              </w:rPr>
            </w:pPr>
          </w:p>
        </w:tc>
      </w:tr>
      <w:tr w:rsidR="00203BEE" w:rsidRPr="00203BEE" w14:paraId="67D99108" w14:textId="77777777" w:rsidTr="00F94FED">
        <w:trPr>
          <w:trHeight w:val="505"/>
        </w:trPr>
        <w:tc>
          <w:tcPr>
            <w:tcW w:w="367" w:type="pct"/>
            <w:noWrap/>
            <w:hideMark/>
          </w:tcPr>
          <w:p w14:paraId="20B04911" w14:textId="77777777" w:rsidR="009A4C46" w:rsidRPr="0065708A" w:rsidRDefault="009A4C46" w:rsidP="00CB5AA8">
            <w:pPr>
              <w:spacing w:after="100" w:afterAutospacing="1" w:line="283" w:lineRule="auto"/>
              <w:jc w:val="both"/>
              <w:rPr>
                <w:rFonts w:eastAsia="Times New Roman"/>
                <w:sz w:val="18"/>
                <w:szCs w:val="18"/>
                <w:lang w:eastAsia="ru-RU"/>
              </w:rPr>
            </w:pPr>
            <w:r w:rsidRPr="0065708A">
              <w:rPr>
                <w:rFonts w:eastAsia="Times New Roman"/>
                <w:sz w:val="18"/>
                <w:szCs w:val="18"/>
                <w:lang w:eastAsia="ru-RU"/>
              </w:rPr>
              <w:t>1.1.3.2</w:t>
            </w:r>
          </w:p>
        </w:tc>
        <w:tc>
          <w:tcPr>
            <w:tcW w:w="1678" w:type="pct"/>
            <w:hideMark/>
          </w:tcPr>
          <w:p w14:paraId="25EFC448" w14:textId="77777777" w:rsidR="009A4C46" w:rsidRPr="00203BEE" w:rsidRDefault="009A4C46" w:rsidP="00CB5AA8">
            <w:pPr>
              <w:spacing w:after="100" w:afterAutospacing="1" w:line="283" w:lineRule="auto"/>
              <w:rPr>
                <w:rFonts w:eastAsia="Times New Roman"/>
                <w:lang w:eastAsia="ru-RU"/>
              </w:rPr>
            </w:pPr>
            <w:r w:rsidRPr="00203BEE">
              <w:rPr>
                <w:rFonts w:eastAsia="Times New Roman"/>
                <w:lang w:eastAsia="ru-RU"/>
              </w:rPr>
              <w:t>от технологического присоединения потребителей электрической энергии</w:t>
            </w:r>
          </w:p>
        </w:tc>
        <w:tc>
          <w:tcPr>
            <w:tcW w:w="911" w:type="pct"/>
            <w:vAlign w:val="center"/>
          </w:tcPr>
          <w:p w14:paraId="7A49B87C" w14:textId="77777777" w:rsidR="009A4C46" w:rsidRPr="00203BEE" w:rsidRDefault="009A4C46" w:rsidP="00CB5AA8">
            <w:pPr>
              <w:spacing w:after="100" w:afterAutospacing="1" w:line="283" w:lineRule="auto"/>
              <w:jc w:val="center"/>
              <w:rPr>
                <w:rFonts w:eastAsia="Times New Roman"/>
                <w:lang w:eastAsia="ru-RU"/>
              </w:rPr>
            </w:pPr>
            <w:r w:rsidRPr="00203BEE">
              <w:rPr>
                <w:rFonts w:eastAsia="Times New Roman"/>
                <w:lang w:eastAsia="ru-RU"/>
              </w:rPr>
              <w:t>150,04</w:t>
            </w:r>
          </w:p>
        </w:tc>
        <w:tc>
          <w:tcPr>
            <w:tcW w:w="682" w:type="pct"/>
            <w:vAlign w:val="center"/>
          </w:tcPr>
          <w:p w14:paraId="793769B0" w14:textId="77777777" w:rsidR="009A4C46" w:rsidRPr="00203BEE" w:rsidRDefault="009A4C46" w:rsidP="00CB5AA8">
            <w:pPr>
              <w:spacing w:after="100" w:afterAutospacing="1" w:line="283" w:lineRule="auto"/>
              <w:jc w:val="center"/>
              <w:rPr>
                <w:rFonts w:eastAsia="Times New Roman"/>
                <w:lang w:eastAsia="ru-RU"/>
              </w:rPr>
            </w:pPr>
            <w:r w:rsidRPr="00203BEE">
              <w:rPr>
                <w:rFonts w:eastAsia="Times New Roman"/>
                <w:lang w:eastAsia="ru-RU"/>
              </w:rPr>
              <w:t>159,382</w:t>
            </w:r>
          </w:p>
        </w:tc>
        <w:tc>
          <w:tcPr>
            <w:tcW w:w="607" w:type="pct"/>
            <w:vAlign w:val="center"/>
          </w:tcPr>
          <w:p w14:paraId="5DDE781A" w14:textId="77777777" w:rsidR="009A4C46" w:rsidRPr="00203BEE" w:rsidRDefault="009A4C46" w:rsidP="00CB5AA8">
            <w:pPr>
              <w:spacing w:after="100" w:afterAutospacing="1" w:line="283" w:lineRule="auto"/>
              <w:jc w:val="center"/>
              <w:rPr>
                <w:rFonts w:eastAsia="Times New Roman"/>
                <w:lang w:eastAsia="ru-RU"/>
              </w:rPr>
            </w:pPr>
            <w:r w:rsidRPr="00203BEE">
              <w:rPr>
                <w:rFonts w:eastAsia="Times New Roman"/>
                <w:lang w:eastAsia="ru-RU"/>
              </w:rPr>
              <w:t>147,034</w:t>
            </w:r>
          </w:p>
        </w:tc>
        <w:tc>
          <w:tcPr>
            <w:tcW w:w="755" w:type="pct"/>
            <w:noWrap/>
            <w:vAlign w:val="center"/>
          </w:tcPr>
          <w:p w14:paraId="3AB25E54" w14:textId="77777777" w:rsidR="009A4C46" w:rsidRPr="00203BEE" w:rsidRDefault="009A4C46" w:rsidP="00CB5AA8">
            <w:pPr>
              <w:spacing w:after="100" w:afterAutospacing="1" w:line="283" w:lineRule="auto"/>
              <w:jc w:val="center"/>
              <w:rPr>
                <w:rFonts w:eastAsia="Times New Roman"/>
                <w:lang w:eastAsia="ru-RU"/>
              </w:rPr>
            </w:pPr>
            <w:r w:rsidRPr="00203BEE">
              <w:rPr>
                <w:rFonts w:eastAsia="Times New Roman"/>
                <w:lang w:eastAsia="ru-RU"/>
              </w:rPr>
              <w:t>-12,347</w:t>
            </w:r>
          </w:p>
        </w:tc>
      </w:tr>
      <w:tr w:rsidR="00203BEE" w:rsidRPr="00203BEE" w14:paraId="7356A254" w14:textId="77777777" w:rsidTr="00F94FED">
        <w:trPr>
          <w:trHeight w:val="227"/>
        </w:trPr>
        <w:tc>
          <w:tcPr>
            <w:tcW w:w="367" w:type="pct"/>
            <w:noWrap/>
            <w:hideMark/>
          </w:tcPr>
          <w:p w14:paraId="209DDBEA" w14:textId="77777777" w:rsidR="009A4C46" w:rsidRPr="0065708A" w:rsidRDefault="009A4C46" w:rsidP="00CB5AA8">
            <w:pPr>
              <w:spacing w:after="100" w:afterAutospacing="1" w:line="283" w:lineRule="auto"/>
              <w:jc w:val="both"/>
              <w:rPr>
                <w:rFonts w:eastAsia="Times New Roman"/>
                <w:sz w:val="18"/>
                <w:szCs w:val="18"/>
                <w:lang w:eastAsia="ru-RU"/>
              </w:rPr>
            </w:pPr>
            <w:r w:rsidRPr="0065708A">
              <w:rPr>
                <w:rFonts w:eastAsia="Times New Roman"/>
                <w:sz w:val="18"/>
                <w:szCs w:val="18"/>
                <w:lang w:eastAsia="ru-RU"/>
              </w:rPr>
              <w:t>1.1.4</w:t>
            </w:r>
          </w:p>
        </w:tc>
        <w:tc>
          <w:tcPr>
            <w:tcW w:w="1678" w:type="pct"/>
            <w:noWrap/>
            <w:hideMark/>
          </w:tcPr>
          <w:p w14:paraId="630A6B16" w14:textId="77777777" w:rsidR="009A4C46" w:rsidRPr="00203BEE" w:rsidRDefault="009A4C46" w:rsidP="00CB5AA8">
            <w:pPr>
              <w:spacing w:after="100" w:afterAutospacing="1" w:line="283" w:lineRule="auto"/>
              <w:rPr>
                <w:rFonts w:eastAsia="Times New Roman"/>
                <w:lang w:eastAsia="ru-RU"/>
              </w:rPr>
            </w:pPr>
            <w:r w:rsidRPr="00203BEE">
              <w:rPr>
                <w:rFonts w:eastAsia="Times New Roman"/>
                <w:lang w:eastAsia="ru-RU"/>
              </w:rPr>
              <w:t>прочая прибыль</w:t>
            </w:r>
          </w:p>
        </w:tc>
        <w:tc>
          <w:tcPr>
            <w:tcW w:w="911" w:type="pct"/>
            <w:vAlign w:val="center"/>
          </w:tcPr>
          <w:p w14:paraId="21BB04FC" w14:textId="77777777" w:rsidR="009A4C46" w:rsidRPr="00203BEE" w:rsidRDefault="009A4C46" w:rsidP="00CB5AA8">
            <w:pPr>
              <w:spacing w:after="100" w:afterAutospacing="1" w:line="283" w:lineRule="auto"/>
              <w:jc w:val="center"/>
              <w:rPr>
                <w:rFonts w:eastAsia="Times New Roman"/>
                <w:lang w:eastAsia="ru-RU"/>
              </w:rPr>
            </w:pPr>
          </w:p>
        </w:tc>
        <w:tc>
          <w:tcPr>
            <w:tcW w:w="682" w:type="pct"/>
            <w:vAlign w:val="center"/>
          </w:tcPr>
          <w:p w14:paraId="1EBAF0CB" w14:textId="77777777" w:rsidR="009A4C46" w:rsidRPr="00203BEE" w:rsidRDefault="009A4C46" w:rsidP="00CB5AA8">
            <w:pPr>
              <w:spacing w:after="100" w:afterAutospacing="1" w:line="283" w:lineRule="auto"/>
              <w:jc w:val="center"/>
              <w:rPr>
                <w:rFonts w:eastAsia="Times New Roman"/>
                <w:lang w:eastAsia="ru-RU"/>
              </w:rPr>
            </w:pPr>
          </w:p>
        </w:tc>
        <w:tc>
          <w:tcPr>
            <w:tcW w:w="607" w:type="pct"/>
            <w:vAlign w:val="center"/>
          </w:tcPr>
          <w:p w14:paraId="04B46CE6" w14:textId="77777777" w:rsidR="009A4C46" w:rsidRPr="00203BEE" w:rsidRDefault="009A4C46" w:rsidP="00CB5AA8">
            <w:pPr>
              <w:spacing w:after="100" w:afterAutospacing="1" w:line="283" w:lineRule="auto"/>
              <w:jc w:val="center"/>
              <w:rPr>
                <w:rFonts w:eastAsia="Times New Roman"/>
                <w:lang w:eastAsia="ru-RU"/>
              </w:rPr>
            </w:pPr>
          </w:p>
        </w:tc>
        <w:tc>
          <w:tcPr>
            <w:tcW w:w="755" w:type="pct"/>
            <w:noWrap/>
            <w:vAlign w:val="center"/>
          </w:tcPr>
          <w:p w14:paraId="18C25C2B" w14:textId="77777777" w:rsidR="009A4C46" w:rsidRPr="00203BEE" w:rsidRDefault="009A4C46" w:rsidP="00CB5AA8">
            <w:pPr>
              <w:spacing w:after="100" w:afterAutospacing="1" w:line="283" w:lineRule="auto"/>
              <w:jc w:val="center"/>
              <w:rPr>
                <w:rFonts w:eastAsia="Times New Roman"/>
                <w:lang w:eastAsia="ru-RU"/>
              </w:rPr>
            </w:pPr>
          </w:p>
        </w:tc>
      </w:tr>
      <w:tr w:rsidR="00203BEE" w:rsidRPr="00203BEE" w14:paraId="72AC91A9" w14:textId="77777777" w:rsidTr="00F94FED">
        <w:trPr>
          <w:trHeight w:val="227"/>
        </w:trPr>
        <w:tc>
          <w:tcPr>
            <w:tcW w:w="367" w:type="pct"/>
            <w:noWrap/>
            <w:hideMark/>
          </w:tcPr>
          <w:p w14:paraId="5D9E6002" w14:textId="77777777" w:rsidR="009A4C46" w:rsidRPr="0065708A" w:rsidRDefault="009A4C46" w:rsidP="00CB5AA8">
            <w:pPr>
              <w:spacing w:after="100" w:afterAutospacing="1" w:line="283" w:lineRule="auto"/>
              <w:jc w:val="both"/>
              <w:rPr>
                <w:rFonts w:eastAsia="Times New Roman"/>
                <w:sz w:val="18"/>
                <w:szCs w:val="18"/>
                <w:lang w:eastAsia="ru-RU"/>
              </w:rPr>
            </w:pPr>
            <w:r w:rsidRPr="0065708A">
              <w:rPr>
                <w:rFonts w:eastAsia="Times New Roman"/>
                <w:sz w:val="18"/>
                <w:szCs w:val="18"/>
                <w:lang w:eastAsia="ru-RU"/>
              </w:rPr>
              <w:t>1.2</w:t>
            </w:r>
          </w:p>
        </w:tc>
        <w:tc>
          <w:tcPr>
            <w:tcW w:w="1678" w:type="pct"/>
            <w:noWrap/>
            <w:hideMark/>
          </w:tcPr>
          <w:p w14:paraId="1FD6115C" w14:textId="77777777" w:rsidR="009A4C46" w:rsidRPr="00203BEE" w:rsidRDefault="009A4C46" w:rsidP="00CB5AA8">
            <w:pPr>
              <w:spacing w:after="100" w:afterAutospacing="1" w:line="283" w:lineRule="auto"/>
              <w:rPr>
                <w:rFonts w:eastAsia="Times New Roman"/>
                <w:lang w:eastAsia="ru-RU"/>
              </w:rPr>
            </w:pPr>
            <w:r w:rsidRPr="00203BEE">
              <w:rPr>
                <w:rFonts w:eastAsia="Times New Roman"/>
                <w:lang w:eastAsia="ru-RU"/>
              </w:rPr>
              <w:t>Амортизация основных средств всего, в том числе:</w:t>
            </w:r>
          </w:p>
        </w:tc>
        <w:tc>
          <w:tcPr>
            <w:tcW w:w="911" w:type="pct"/>
            <w:vAlign w:val="center"/>
          </w:tcPr>
          <w:p w14:paraId="7264A7B9" w14:textId="77777777" w:rsidR="009A4C46" w:rsidRPr="00203BEE" w:rsidRDefault="009A4C46" w:rsidP="00CB5AA8">
            <w:pPr>
              <w:spacing w:after="100" w:afterAutospacing="1" w:line="283" w:lineRule="auto"/>
              <w:jc w:val="center"/>
              <w:rPr>
                <w:rFonts w:eastAsia="Times New Roman"/>
                <w:lang w:eastAsia="ru-RU"/>
              </w:rPr>
            </w:pPr>
            <w:r w:rsidRPr="00203BEE">
              <w:rPr>
                <w:rFonts w:eastAsia="Times New Roman"/>
                <w:lang w:eastAsia="ru-RU"/>
              </w:rPr>
              <w:t>70,89</w:t>
            </w:r>
          </w:p>
        </w:tc>
        <w:tc>
          <w:tcPr>
            <w:tcW w:w="682" w:type="pct"/>
            <w:vAlign w:val="center"/>
          </w:tcPr>
          <w:p w14:paraId="1A8351FB" w14:textId="77777777" w:rsidR="009A4C46" w:rsidRPr="00203BEE" w:rsidRDefault="009A4C46" w:rsidP="00CB5AA8">
            <w:pPr>
              <w:spacing w:after="100" w:afterAutospacing="1" w:line="283" w:lineRule="auto"/>
              <w:jc w:val="center"/>
              <w:rPr>
                <w:rFonts w:eastAsia="Times New Roman"/>
                <w:lang w:eastAsia="ru-RU"/>
              </w:rPr>
            </w:pPr>
            <w:r w:rsidRPr="00203BEE">
              <w:rPr>
                <w:rFonts w:eastAsia="Times New Roman"/>
                <w:lang w:eastAsia="ru-RU"/>
              </w:rPr>
              <w:t>79,913</w:t>
            </w:r>
          </w:p>
        </w:tc>
        <w:tc>
          <w:tcPr>
            <w:tcW w:w="607" w:type="pct"/>
            <w:vAlign w:val="center"/>
          </w:tcPr>
          <w:p w14:paraId="3AECC1B5" w14:textId="77777777" w:rsidR="009A4C46" w:rsidRPr="00203BEE" w:rsidRDefault="009A4C46" w:rsidP="00CB5AA8">
            <w:pPr>
              <w:spacing w:after="100" w:afterAutospacing="1" w:line="283" w:lineRule="auto"/>
              <w:jc w:val="center"/>
              <w:rPr>
                <w:rFonts w:eastAsia="Times New Roman"/>
                <w:lang w:eastAsia="ru-RU"/>
              </w:rPr>
            </w:pPr>
            <w:r w:rsidRPr="00203BEE">
              <w:rPr>
                <w:rFonts w:eastAsia="Times New Roman"/>
                <w:lang w:eastAsia="ru-RU"/>
              </w:rPr>
              <w:t>86,437</w:t>
            </w:r>
          </w:p>
        </w:tc>
        <w:tc>
          <w:tcPr>
            <w:tcW w:w="755" w:type="pct"/>
            <w:noWrap/>
            <w:vAlign w:val="center"/>
          </w:tcPr>
          <w:p w14:paraId="27D00716" w14:textId="77777777" w:rsidR="009A4C46" w:rsidRPr="00203BEE" w:rsidRDefault="009A4C46" w:rsidP="00CB5AA8">
            <w:pPr>
              <w:spacing w:after="100" w:afterAutospacing="1" w:line="283" w:lineRule="auto"/>
              <w:jc w:val="center"/>
              <w:rPr>
                <w:rFonts w:eastAsia="Times New Roman"/>
                <w:lang w:eastAsia="ru-RU"/>
              </w:rPr>
            </w:pPr>
            <w:r w:rsidRPr="00203BEE">
              <w:rPr>
                <w:rFonts w:eastAsia="Times New Roman"/>
                <w:lang w:eastAsia="ru-RU"/>
              </w:rPr>
              <w:t>6,524</w:t>
            </w:r>
          </w:p>
        </w:tc>
      </w:tr>
      <w:tr w:rsidR="00203BEE" w:rsidRPr="00203BEE" w14:paraId="2B7FEFC2" w14:textId="77777777" w:rsidTr="00F94FED">
        <w:trPr>
          <w:trHeight w:val="227"/>
        </w:trPr>
        <w:tc>
          <w:tcPr>
            <w:tcW w:w="367" w:type="pct"/>
            <w:noWrap/>
            <w:hideMark/>
          </w:tcPr>
          <w:p w14:paraId="615CE2D9" w14:textId="77777777" w:rsidR="009A4C46" w:rsidRPr="0065708A" w:rsidRDefault="009A4C46" w:rsidP="00CB5AA8">
            <w:pPr>
              <w:spacing w:after="100" w:afterAutospacing="1" w:line="283" w:lineRule="auto"/>
              <w:jc w:val="both"/>
              <w:rPr>
                <w:rFonts w:eastAsia="Times New Roman"/>
                <w:sz w:val="18"/>
                <w:szCs w:val="18"/>
                <w:lang w:eastAsia="ru-RU"/>
              </w:rPr>
            </w:pPr>
            <w:r w:rsidRPr="0065708A">
              <w:rPr>
                <w:rFonts w:eastAsia="Times New Roman"/>
                <w:sz w:val="18"/>
                <w:szCs w:val="18"/>
                <w:lang w:eastAsia="ru-RU"/>
              </w:rPr>
              <w:t>1.2.1</w:t>
            </w:r>
          </w:p>
        </w:tc>
        <w:tc>
          <w:tcPr>
            <w:tcW w:w="1678" w:type="pct"/>
            <w:hideMark/>
          </w:tcPr>
          <w:p w14:paraId="437792BF" w14:textId="77777777" w:rsidR="009A4C46" w:rsidRPr="00203BEE" w:rsidRDefault="009A4C46" w:rsidP="00CB5AA8">
            <w:pPr>
              <w:spacing w:after="100" w:afterAutospacing="1" w:line="283" w:lineRule="auto"/>
              <w:rPr>
                <w:rFonts w:eastAsia="Times New Roman"/>
                <w:lang w:eastAsia="ru-RU"/>
              </w:rPr>
            </w:pPr>
            <w:r w:rsidRPr="00203BEE">
              <w:rPr>
                <w:rFonts w:eastAsia="Times New Roman"/>
                <w:lang w:eastAsia="ru-RU"/>
              </w:rPr>
              <w:t>амортизация, учтенная в тарифах, всего, в том числе:</w:t>
            </w:r>
          </w:p>
        </w:tc>
        <w:tc>
          <w:tcPr>
            <w:tcW w:w="911" w:type="pct"/>
            <w:vAlign w:val="center"/>
          </w:tcPr>
          <w:p w14:paraId="5D458326" w14:textId="77777777" w:rsidR="009A4C46" w:rsidRPr="00203BEE" w:rsidRDefault="009A4C46" w:rsidP="00CB5AA8">
            <w:pPr>
              <w:spacing w:after="100" w:afterAutospacing="1" w:line="283" w:lineRule="auto"/>
              <w:jc w:val="center"/>
              <w:rPr>
                <w:rFonts w:eastAsia="Times New Roman"/>
                <w:lang w:eastAsia="ru-RU"/>
              </w:rPr>
            </w:pPr>
            <w:r w:rsidRPr="00203BEE">
              <w:rPr>
                <w:rFonts w:eastAsia="Times New Roman"/>
                <w:lang w:eastAsia="ru-RU"/>
              </w:rPr>
              <w:t>70,52</w:t>
            </w:r>
          </w:p>
        </w:tc>
        <w:tc>
          <w:tcPr>
            <w:tcW w:w="682" w:type="pct"/>
            <w:vAlign w:val="center"/>
          </w:tcPr>
          <w:p w14:paraId="4EC539DF" w14:textId="77777777" w:rsidR="009A4C46" w:rsidRPr="00203BEE" w:rsidRDefault="009A4C46" w:rsidP="00CB5AA8">
            <w:pPr>
              <w:spacing w:after="100" w:afterAutospacing="1" w:line="283" w:lineRule="auto"/>
              <w:jc w:val="center"/>
              <w:rPr>
                <w:rFonts w:eastAsia="Times New Roman"/>
                <w:lang w:eastAsia="ru-RU"/>
              </w:rPr>
            </w:pPr>
          </w:p>
        </w:tc>
        <w:tc>
          <w:tcPr>
            <w:tcW w:w="607" w:type="pct"/>
            <w:vAlign w:val="center"/>
          </w:tcPr>
          <w:p w14:paraId="7F49FD85" w14:textId="77777777" w:rsidR="009A4C46" w:rsidRPr="00203BEE" w:rsidRDefault="009A4C46" w:rsidP="00CB5AA8">
            <w:pPr>
              <w:spacing w:after="100" w:afterAutospacing="1" w:line="283" w:lineRule="auto"/>
              <w:jc w:val="center"/>
              <w:rPr>
                <w:rFonts w:eastAsia="Times New Roman"/>
                <w:lang w:eastAsia="ru-RU"/>
              </w:rPr>
            </w:pPr>
          </w:p>
        </w:tc>
        <w:tc>
          <w:tcPr>
            <w:tcW w:w="755" w:type="pct"/>
            <w:noWrap/>
            <w:vAlign w:val="center"/>
          </w:tcPr>
          <w:p w14:paraId="548FCB87" w14:textId="77777777" w:rsidR="009A4C46" w:rsidRPr="00203BEE" w:rsidRDefault="009A4C46" w:rsidP="00CB5AA8">
            <w:pPr>
              <w:spacing w:after="100" w:afterAutospacing="1" w:line="283" w:lineRule="auto"/>
              <w:jc w:val="center"/>
              <w:rPr>
                <w:rFonts w:eastAsia="Times New Roman"/>
                <w:lang w:eastAsia="ru-RU"/>
              </w:rPr>
            </w:pPr>
          </w:p>
        </w:tc>
      </w:tr>
      <w:tr w:rsidR="00203BEE" w:rsidRPr="00203BEE" w14:paraId="13969458" w14:textId="77777777" w:rsidTr="00F94FED">
        <w:trPr>
          <w:trHeight w:val="227"/>
        </w:trPr>
        <w:tc>
          <w:tcPr>
            <w:tcW w:w="367" w:type="pct"/>
            <w:noWrap/>
            <w:hideMark/>
          </w:tcPr>
          <w:p w14:paraId="661DA6AA" w14:textId="77777777" w:rsidR="009A4C46" w:rsidRPr="0065708A" w:rsidRDefault="009A4C46" w:rsidP="00CB5AA8">
            <w:pPr>
              <w:spacing w:after="100" w:afterAutospacing="1" w:line="283" w:lineRule="auto"/>
              <w:jc w:val="both"/>
              <w:rPr>
                <w:rFonts w:eastAsia="Times New Roman"/>
                <w:sz w:val="18"/>
                <w:szCs w:val="18"/>
                <w:lang w:eastAsia="ru-RU"/>
              </w:rPr>
            </w:pPr>
            <w:r w:rsidRPr="0065708A">
              <w:rPr>
                <w:rFonts w:eastAsia="Times New Roman"/>
                <w:sz w:val="18"/>
                <w:szCs w:val="18"/>
                <w:lang w:eastAsia="ru-RU"/>
              </w:rPr>
              <w:lastRenderedPageBreak/>
              <w:t>1.2.1.1</w:t>
            </w:r>
          </w:p>
        </w:tc>
        <w:tc>
          <w:tcPr>
            <w:tcW w:w="1678" w:type="pct"/>
            <w:hideMark/>
          </w:tcPr>
          <w:p w14:paraId="1A8FA2A6" w14:textId="77777777" w:rsidR="009A4C46" w:rsidRPr="00203BEE" w:rsidRDefault="009A4C46" w:rsidP="00CB5AA8">
            <w:pPr>
              <w:spacing w:after="100" w:afterAutospacing="1" w:line="283" w:lineRule="auto"/>
              <w:rPr>
                <w:rFonts w:eastAsia="Times New Roman"/>
                <w:lang w:eastAsia="ru-RU"/>
              </w:rPr>
            </w:pPr>
            <w:r w:rsidRPr="00203BEE">
              <w:rPr>
                <w:rFonts w:eastAsia="Times New Roman"/>
                <w:lang w:eastAsia="ru-RU"/>
              </w:rPr>
              <w:t xml:space="preserve">производство и поставка электрической энергии (мощности) </w:t>
            </w:r>
          </w:p>
        </w:tc>
        <w:tc>
          <w:tcPr>
            <w:tcW w:w="911" w:type="pct"/>
            <w:vAlign w:val="center"/>
          </w:tcPr>
          <w:p w14:paraId="135F7A72" w14:textId="77777777" w:rsidR="009A4C46" w:rsidRPr="00203BEE" w:rsidRDefault="009A4C46" w:rsidP="00CB5AA8">
            <w:pPr>
              <w:spacing w:after="100" w:afterAutospacing="1" w:line="283" w:lineRule="auto"/>
              <w:jc w:val="center"/>
              <w:rPr>
                <w:rFonts w:eastAsia="Times New Roman"/>
                <w:lang w:eastAsia="ru-RU"/>
              </w:rPr>
            </w:pPr>
            <w:r w:rsidRPr="00203BEE">
              <w:rPr>
                <w:rFonts w:eastAsia="Times New Roman"/>
                <w:lang w:eastAsia="ru-RU"/>
              </w:rPr>
              <w:t>70,52</w:t>
            </w:r>
          </w:p>
        </w:tc>
        <w:tc>
          <w:tcPr>
            <w:tcW w:w="682" w:type="pct"/>
            <w:vAlign w:val="center"/>
          </w:tcPr>
          <w:p w14:paraId="50E92D79" w14:textId="77777777" w:rsidR="009A4C46" w:rsidRPr="00203BEE" w:rsidRDefault="009A4C46" w:rsidP="00CB5AA8">
            <w:pPr>
              <w:spacing w:after="100" w:afterAutospacing="1" w:line="283" w:lineRule="auto"/>
              <w:jc w:val="center"/>
              <w:rPr>
                <w:rFonts w:eastAsia="Times New Roman"/>
                <w:lang w:eastAsia="ru-RU"/>
              </w:rPr>
            </w:pPr>
          </w:p>
        </w:tc>
        <w:tc>
          <w:tcPr>
            <w:tcW w:w="607" w:type="pct"/>
            <w:vAlign w:val="center"/>
          </w:tcPr>
          <w:p w14:paraId="1C824E6E" w14:textId="77777777" w:rsidR="009A4C46" w:rsidRPr="00203BEE" w:rsidRDefault="009A4C46" w:rsidP="00CB5AA8">
            <w:pPr>
              <w:spacing w:after="100" w:afterAutospacing="1" w:line="283" w:lineRule="auto"/>
              <w:jc w:val="center"/>
              <w:rPr>
                <w:rFonts w:eastAsia="Times New Roman"/>
                <w:lang w:eastAsia="ru-RU"/>
              </w:rPr>
            </w:pPr>
          </w:p>
        </w:tc>
        <w:tc>
          <w:tcPr>
            <w:tcW w:w="755" w:type="pct"/>
            <w:noWrap/>
            <w:vAlign w:val="center"/>
          </w:tcPr>
          <w:p w14:paraId="4E0792C6" w14:textId="77777777" w:rsidR="009A4C46" w:rsidRPr="00203BEE" w:rsidRDefault="009A4C46" w:rsidP="00CB5AA8">
            <w:pPr>
              <w:spacing w:after="100" w:afterAutospacing="1" w:line="283" w:lineRule="auto"/>
              <w:jc w:val="center"/>
              <w:rPr>
                <w:rFonts w:eastAsia="Times New Roman"/>
                <w:lang w:eastAsia="ru-RU"/>
              </w:rPr>
            </w:pPr>
          </w:p>
        </w:tc>
      </w:tr>
      <w:tr w:rsidR="00203BEE" w:rsidRPr="00203BEE" w14:paraId="3DE3F7E0" w14:textId="77777777" w:rsidTr="00F94FED">
        <w:trPr>
          <w:trHeight w:val="227"/>
        </w:trPr>
        <w:tc>
          <w:tcPr>
            <w:tcW w:w="367" w:type="pct"/>
            <w:noWrap/>
            <w:hideMark/>
          </w:tcPr>
          <w:p w14:paraId="12C5A25A" w14:textId="77777777" w:rsidR="009A4C46" w:rsidRPr="0065708A" w:rsidRDefault="009A4C46" w:rsidP="00CB5AA8">
            <w:pPr>
              <w:spacing w:after="100" w:afterAutospacing="1" w:line="283" w:lineRule="auto"/>
              <w:jc w:val="both"/>
              <w:rPr>
                <w:rFonts w:eastAsia="Times New Roman"/>
                <w:sz w:val="18"/>
                <w:szCs w:val="18"/>
                <w:lang w:eastAsia="ru-RU"/>
              </w:rPr>
            </w:pPr>
            <w:r w:rsidRPr="0065708A">
              <w:rPr>
                <w:rFonts w:eastAsia="Times New Roman"/>
                <w:sz w:val="18"/>
                <w:szCs w:val="18"/>
                <w:lang w:eastAsia="ru-RU"/>
              </w:rPr>
              <w:t>1.2.2</w:t>
            </w:r>
          </w:p>
        </w:tc>
        <w:tc>
          <w:tcPr>
            <w:tcW w:w="1678" w:type="pct"/>
            <w:noWrap/>
            <w:hideMark/>
          </w:tcPr>
          <w:p w14:paraId="42F21AE1" w14:textId="77777777" w:rsidR="009A4C46" w:rsidRPr="00203BEE" w:rsidRDefault="009A4C46" w:rsidP="00CB5AA8">
            <w:pPr>
              <w:spacing w:after="100" w:afterAutospacing="1" w:line="283" w:lineRule="auto"/>
              <w:rPr>
                <w:rFonts w:eastAsia="Times New Roman"/>
                <w:lang w:eastAsia="ru-RU"/>
              </w:rPr>
            </w:pPr>
            <w:r w:rsidRPr="00203BEE">
              <w:rPr>
                <w:rFonts w:eastAsia="Times New Roman"/>
                <w:lang w:eastAsia="ru-RU"/>
              </w:rPr>
              <w:t>прочая амортизация</w:t>
            </w:r>
          </w:p>
        </w:tc>
        <w:tc>
          <w:tcPr>
            <w:tcW w:w="911" w:type="pct"/>
            <w:vAlign w:val="center"/>
          </w:tcPr>
          <w:p w14:paraId="5CFE0ED1" w14:textId="77777777" w:rsidR="009A4C46" w:rsidRPr="00203BEE" w:rsidRDefault="009A4C46" w:rsidP="00CB5AA8">
            <w:pPr>
              <w:spacing w:after="100" w:afterAutospacing="1" w:line="283" w:lineRule="auto"/>
              <w:jc w:val="center"/>
              <w:rPr>
                <w:rFonts w:eastAsia="Times New Roman"/>
                <w:lang w:eastAsia="ru-RU"/>
              </w:rPr>
            </w:pPr>
          </w:p>
        </w:tc>
        <w:tc>
          <w:tcPr>
            <w:tcW w:w="682" w:type="pct"/>
            <w:vAlign w:val="center"/>
          </w:tcPr>
          <w:p w14:paraId="198B430B" w14:textId="77777777" w:rsidR="009A4C46" w:rsidRPr="00203BEE" w:rsidRDefault="009A4C46" w:rsidP="00CB5AA8">
            <w:pPr>
              <w:spacing w:after="100" w:afterAutospacing="1" w:line="283" w:lineRule="auto"/>
              <w:jc w:val="center"/>
              <w:rPr>
                <w:rFonts w:eastAsia="Times New Roman"/>
                <w:lang w:eastAsia="ru-RU"/>
              </w:rPr>
            </w:pPr>
          </w:p>
        </w:tc>
        <w:tc>
          <w:tcPr>
            <w:tcW w:w="607" w:type="pct"/>
            <w:vAlign w:val="center"/>
          </w:tcPr>
          <w:p w14:paraId="0E97ABAE" w14:textId="77777777" w:rsidR="009A4C46" w:rsidRPr="00203BEE" w:rsidRDefault="009A4C46" w:rsidP="00CB5AA8">
            <w:pPr>
              <w:spacing w:after="100" w:afterAutospacing="1" w:line="283" w:lineRule="auto"/>
              <w:jc w:val="center"/>
              <w:rPr>
                <w:rFonts w:eastAsia="Times New Roman"/>
                <w:lang w:eastAsia="ru-RU"/>
              </w:rPr>
            </w:pPr>
          </w:p>
        </w:tc>
        <w:tc>
          <w:tcPr>
            <w:tcW w:w="755" w:type="pct"/>
            <w:noWrap/>
            <w:vAlign w:val="center"/>
          </w:tcPr>
          <w:p w14:paraId="6BA1EBE7" w14:textId="77777777" w:rsidR="009A4C46" w:rsidRPr="00203BEE" w:rsidRDefault="009A4C46" w:rsidP="00CB5AA8">
            <w:pPr>
              <w:spacing w:after="100" w:afterAutospacing="1" w:line="283" w:lineRule="auto"/>
              <w:jc w:val="center"/>
              <w:rPr>
                <w:rFonts w:eastAsia="Times New Roman"/>
                <w:lang w:eastAsia="ru-RU"/>
              </w:rPr>
            </w:pPr>
          </w:p>
        </w:tc>
      </w:tr>
      <w:tr w:rsidR="00203BEE" w:rsidRPr="00203BEE" w14:paraId="440BF97C" w14:textId="77777777" w:rsidTr="00F94FED">
        <w:trPr>
          <w:trHeight w:val="227"/>
        </w:trPr>
        <w:tc>
          <w:tcPr>
            <w:tcW w:w="367" w:type="pct"/>
            <w:noWrap/>
            <w:hideMark/>
          </w:tcPr>
          <w:p w14:paraId="6DA9290F" w14:textId="77777777" w:rsidR="009A4C46" w:rsidRPr="0065708A" w:rsidRDefault="009A4C46" w:rsidP="00CB5AA8">
            <w:pPr>
              <w:spacing w:after="100" w:afterAutospacing="1" w:line="283" w:lineRule="auto"/>
              <w:jc w:val="both"/>
              <w:rPr>
                <w:rFonts w:eastAsia="Times New Roman"/>
                <w:sz w:val="18"/>
                <w:szCs w:val="18"/>
                <w:lang w:eastAsia="ru-RU"/>
              </w:rPr>
            </w:pPr>
            <w:r w:rsidRPr="0065708A">
              <w:rPr>
                <w:rFonts w:eastAsia="Times New Roman"/>
                <w:sz w:val="18"/>
                <w:szCs w:val="18"/>
                <w:lang w:eastAsia="ru-RU"/>
              </w:rPr>
              <w:t>1.2.3</w:t>
            </w:r>
          </w:p>
        </w:tc>
        <w:tc>
          <w:tcPr>
            <w:tcW w:w="1678" w:type="pct"/>
            <w:hideMark/>
          </w:tcPr>
          <w:p w14:paraId="0D9918BE" w14:textId="77777777" w:rsidR="009A4C46" w:rsidRPr="00203BEE" w:rsidRDefault="009A4C46" w:rsidP="00CB5AA8">
            <w:pPr>
              <w:spacing w:after="100" w:afterAutospacing="1" w:line="283" w:lineRule="auto"/>
              <w:rPr>
                <w:rFonts w:eastAsia="Times New Roman"/>
                <w:lang w:eastAsia="ru-RU"/>
              </w:rPr>
            </w:pPr>
            <w:r w:rsidRPr="00203BEE">
              <w:rPr>
                <w:rFonts w:eastAsia="Times New Roman"/>
                <w:lang w:eastAsia="ru-RU"/>
              </w:rPr>
              <w:t>недоиспользованная амортизация прошлых лет всего, в том числе:</w:t>
            </w:r>
          </w:p>
        </w:tc>
        <w:tc>
          <w:tcPr>
            <w:tcW w:w="911" w:type="pct"/>
            <w:vAlign w:val="center"/>
          </w:tcPr>
          <w:p w14:paraId="4556E0E7" w14:textId="77777777" w:rsidR="009A4C46" w:rsidRPr="00203BEE" w:rsidRDefault="009A4C46" w:rsidP="00CB5AA8">
            <w:pPr>
              <w:spacing w:after="100" w:afterAutospacing="1" w:line="283" w:lineRule="auto"/>
              <w:jc w:val="center"/>
              <w:rPr>
                <w:rFonts w:eastAsia="Times New Roman"/>
                <w:lang w:eastAsia="ru-RU"/>
              </w:rPr>
            </w:pPr>
            <w:r w:rsidRPr="00203BEE">
              <w:rPr>
                <w:rFonts w:eastAsia="Times New Roman"/>
                <w:lang w:eastAsia="ru-RU"/>
              </w:rPr>
              <w:t>0,37</w:t>
            </w:r>
          </w:p>
        </w:tc>
        <w:tc>
          <w:tcPr>
            <w:tcW w:w="682" w:type="pct"/>
            <w:vAlign w:val="center"/>
          </w:tcPr>
          <w:p w14:paraId="30FEDA61" w14:textId="77777777" w:rsidR="009A4C46" w:rsidRPr="00203BEE" w:rsidRDefault="009A4C46" w:rsidP="00CB5AA8">
            <w:pPr>
              <w:spacing w:after="100" w:afterAutospacing="1" w:line="283" w:lineRule="auto"/>
              <w:jc w:val="center"/>
              <w:rPr>
                <w:rFonts w:eastAsia="Times New Roman"/>
                <w:lang w:eastAsia="ru-RU"/>
              </w:rPr>
            </w:pPr>
          </w:p>
        </w:tc>
        <w:tc>
          <w:tcPr>
            <w:tcW w:w="607" w:type="pct"/>
            <w:vAlign w:val="center"/>
          </w:tcPr>
          <w:p w14:paraId="3C0C9A9F" w14:textId="77777777" w:rsidR="009A4C46" w:rsidRPr="00203BEE" w:rsidRDefault="009A4C46" w:rsidP="00CB5AA8">
            <w:pPr>
              <w:spacing w:after="100" w:afterAutospacing="1" w:line="283" w:lineRule="auto"/>
              <w:jc w:val="center"/>
              <w:rPr>
                <w:rFonts w:eastAsia="Times New Roman"/>
                <w:lang w:eastAsia="ru-RU"/>
              </w:rPr>
            </w:pPr>
          </w:p>
        </w:tc>
        <w:tc>
          <w:tcPr>
            <w:tcW w:w="755" w:type="pct"/>
            <w:noWrap/>
            <w:vAlign w:val="center"/>
          </w:tcPr>
          <w:p w14:paraId="4A94A85E" w14:textId="77777777" w:rsidR="009A4C46" w:rsidRPr="00203BEE" w:rsidRDefault="009A4C46" w:rsidP="00CB5AA8">
            <w:pPr>
              <w:spacing w:after="100" w:afterAutospacing="1" w:line="283" w:lineRule="auto"/>
              <w:jc w:val="center"/>
              <w:rPr>
                <w:rFonts w:eastAsia="Times New Roman"/>
                <w:lang w:eastAsia="ru-RU"/>
              </w:rPr>
            </w:pPr>
          </w:p>
        </w:tc>
      </w:tr>
      <w:tr w:rsidR="00203BEE" w:rsidRPr="00203BEE" w14:paraId="012C1AA0" w14:textId="77777777" w:rsidTr="00F94FED">
        <w:trPr>
          <w:trHeight w:val="227"/>
        </w:trPr>
        <w:tc>
          <w:tcPr>
            <w:tcW w:w="367" w:type="pct"/>
            <w:noWrap/>
            <w:hideMark/>
          </w:tcPr>
          <w:p w14:paraId="1A6EF400" w14:textId="77777777" w:rsidR="009A4C46" w:rsidRPr="0065708A" w:rsidRDefault="009A4C46" w:rsidP="00CB5AA8">
            <w:pPr>
              <w:spacing w:after="100" w:afterAutospacing="1" w:line="283" w:lineRule="auto"/>
              <w:jc w:val="both"/>
              <w:rPr>
                <w:rFonts w:eastAsia="Times New Roman"/>
                <w:sz w:val="18"/>
                <w:szCs w:val="18"/>
                <w:lang w:eastAsia="ru-RU"/>
              </w:rPr>
            </w:pPr>
            <w:r w:rsidRPr="0065708A">
              <w:rPr>
                <w:rFonts w:eastAsia="Times New Roman"/>
                <w:sz w:val="18"/>
                <w:szCs w:val="18"/>
                <w:lang w:eastAsia="ru-RU"/>
              </w:rPr>
              <w:t>1.3</w:t>
            </w:r>
          </w:p>
        </w:tc>
        <w:tc>
          <w:tcPr>
            <w:tcW w:w="1678" w:type="pct"/>
            <w:noWrap/>
            <w:hideMark/>
          </w:tcPr>
          <w:p w14:paraId="2D935155" w14:textId="77777777" w:rsidR="009A4C46" w:rsidRPr="00203BEE" w:rsidRDefault="009A4C46" w:rsidP="00CB5AA8">
            <w:pPr>
              <w:spacing w:after="100" w:afterAutospacing="1" w:line="283" w:lineRule="auto"/>
              <w:rPr>
                <w:rFonts w:eastAsia="Times New Roman"/>
                <w:lang w:eastAsia="ru-RU"/>
              </w:rPr>
            </w:pPr>
            <w:r w:rsidRPr="00203BEE">
              <w:rPr>
                <w:rFonts w:eastAsia="Times New Roman"/>
                <w:lang w:eastAsia="ru-RU"/>
              </w:rPr>
              <w:t>Возврат налога на добавленную стоимость</w:t>
            </w:r>
          </w:p>
        </w:tc>
        <w:tc>
          <w:tcPr>
            <w:tcW w:w="911" w:type="pct"/>
            <w:vAlign w:val="center"/>
          </w:tcPr>
          <w:p w14:paraId="07A3FF9A" w14:textId="77777777" w:rsidR="009A4C46" w:rsidRPr="00203BEE" w:rsidRDefault="009A4C46" w:rsidP="00CB5AA8">
            <w:pPr>
              <w:spacing w:after="100" w:afterAutospacing="1" w:line="283" w:lineRule="auto"/>
              <w:jc w:val="center"/>
              <w:rPr>
                <w:rFonts w:eastAsia="Times New Roman"/>
                <w:lang w:eastAsia="ru-RU"/>
              </w:rPr>
            </w:pPr>
            <w:r w:rsidRPr="00203BEE">
              <w:rPr>
                <w:rFonts w:eastAsia="Times New Roman"/>
                <w:lang w:eastAsia="ru-RU"/>
              </w:rPr>
              <w:t>36,56</w:t>
            </w:r>
          </w:p>
        </w:tc>
        <w:tc>
          <w:tcPr>
            <w:tcW w:w="682" w:type="pct"/>
            <w:vAlign w:val="center"/>
          </w:tcPr>
          <w:p w14:paraId="399162A1" w14:textId="77777777" w:rsidR="009A4C46" w:rsidRPr="00203BEE" w:rsidRDefault="009A4C46" w:rsidP="00CB5AA8">
            <w:pPr>
              <w:spacing w:after="100" w:afterAutospacing="1" w:line="283" w:lineRule="auto"/>
              <w:jc w:val="center"/>
              <w:rPr>
                <w:rFonts w:eastAsia="Times New Roman"/>
                <w:lang w:eastAsia="ru-RU"/>
              </w:rPr>
            </w:pPr>
          </w:p>
        </w:tc>
        <w:tc>
          <w:tcPr>
            <w:tcW w:w="607" w:type="pct"/>
            <w:vAlign w:val="center"/>
          </w:tcPr>
          <w:p w14:paraId="1981905C" w14:textId="77777777" w:rsidR="009A4C46" w:rsidRPr="00203BEE" w:rsidRDefault="009A4C46" w:rsidP="00CB5AA8">
            <w:pPr>
              <w:spacing w:after="100" w:afterAutospacing="1" w:line="283" w:lineRule="auto"/>
              <w:jc w:val="center"/>
              <w:rPr>
                <w:rFonts w:eastAsia="Times New Roman"/>
                <w:lang w:eastAsia="ru-RU"/>
              </w:rPr>
            </w:pPr>
          </w:p>
        </w:tc>
        <w:tc>
          <w:tcPr>
            <w:tcW w:w="755" w:type="pct"/>
            <w:noWrap/>
            <w:vAlign w:val="center"/>
          </w:tcPr>
          <w:p w14:paraId="1A8BD30B" w14:textId="77777777" w:rsidR="009A4C46" w:rsidRPr="00203BEE" w:rsidRDefault="009A4C46" w:rsidP="00CB5AA8">
            <w:pPr>
              <w:spacing w:after="100" w:afterAutospacing="1" w:line="283" w:lineRule="auto"/>
              <w:jc w:val="center"/>
              <w:rPr>
                <w:rFonts w:eastAsia="Times New Roman"/>
                <w:lang w:eastAsia="ru-RU"/>
              </w:rPr>
            </w:pPr>
          </w:p>
        </w:tc>
      </w:tr>
      <w:tr w:rsidR="00203BEE" w:rsidRPr="00203BEE" w14:paraId="33AA779C" w14:textId="77777777" w:rsidTr="00F94FED">
        <w:trPr>
          <w:trHeight w:val="227"/>
        </w:trPr>
        <w:tc>
          <w:tcPr>
            <w:tcW w:w="367" w:type="pct"/>
            <w:noWrap/>
            <w:hideMark/>
          </w:tcPr>
          <w:p w14:paraId="1406267F" w14:textId="77777777" w:rsidR="009A4C46" w:rsidRPr="0065708A" w:rsidRDefault="009A4C46" w:rsidP="00CB5AA8">
            <w:pPr>
              <w:spacing w:after="100" w:afterAutospacing="1" w:line="283" w:lineRule="auto"/>
              <w:jc w:val="both"/>
              <w:rPr>
                <w:rFonts w:eastAsia="Times New Roman"/>
                <w:sz w:val="18"/>
                <w:szCs w:val="18"/>
                <w:lang w:eastAsia="ru-RU"/>
              </w:rPr>
            </w:pPr>
            <w:r w:rsidRPr="0065708A">
              <w:rPr>
                <w:rFonts w:eastAsia="Times New Roman"/>
                <w:sz w:val="18"/>
                <w:szCs w:val="18"/>
                <w:lang w:eastAsia="ru-RU"/>
              </w:rPr>
              <w:t>1.4</w:t>
            </w:r>
          </w:p>
        </w:tc>
        <w:tc>
          <w:tcPr>
            <w:tcW w:w="1678" w:type="pct"/>
            <w:noWrap/>
            <w:hideMark/>
          </w:tcPr>
          <w:p w14:paraId="4AFF9CB8" w14:textId="77777777" w:rsidR="009A4C46" w:rsidRPr="00203BEE" w:rsidRDefault="009A4C46" w:rsidP="00CB5AA8">
            <w:pPr>
              <w:spacing w:after="100" w:afterAutospacing="1" w:line="283" w:lineRule="auto"/>
              <w:rPr>
                <w:rFonts w:eastAsia="Times New Roman"/>
                <w:lang w:eastAsia="ru-RU"/>
              </w:rPr>
            </w:pPr>
            <w:r w:rsidRPr="00203BEE">
              <w:rPr>
                <w:rFonts w:eastAsia="Times New Roman"/>
                <w:lang w:eastAsia="ru-RU"/>
              </w:rPr>
              <w:t xml:space="preserve">Прочие собственные средства всего, в том числе: </w:t>
            </w:r>
          </w:p>
        </w:tc>
        <w:tc>
          <w:tcPr>
            <w:tcW w:w="911" w:type="pct"/>
            <w:vAlign w:val="center"/>
          </w:tcPr>
          <w:p w14:paraId="4B2C283B" w14:textId="77777777" w:rsidR="009A4C46" w:rsidRPr="00203BEE" w:rsidRDefault="009A4C46" w:rsidP="00CB5AA8">
            <w:pPr>
              <w:spacing w:after="100" w:afterAutospacing="1" w:line="283" w:lineRule="auto"/>
              <w:jc w:val="center"/>
              <w:rPr>
                <w:rFonts w:eastAsia="Times New Roman"/>
                <w:lang w:eastAsia="ru-RU"/>
              </w:rPr>
            </w:pPr>
          </w:p>
        </w:tc>
        <w:tc>
          <w:tcPr>
            <w:tcW w:w="682" w:type="pct"/>
            <w:vAlign w:val="center"/>
          </w:tcPr>
          <w:p w14:paraId="78103872" w14:textId="77777777" w:rsidR="009A4C46" w:rsidRPr="00203BEE" w:rsidRDefault="009A4C46" w:rsidP="00CB5AA8">
            <w:pPr>
              <w:spacing w:after="100" w:afterAutospacing="1" w:line="283" w:lineRule="auto"/>
              <w:jc w:val="center"/>
              <w:rPr>
                <w:rFonts w:eastAsia="Times New Roman"/>
                <w:lang w:eastAsia="ru-RU"/>
              </w:rPr>
            </w:pPr>
          </w:p>
        </w:tc>
        <w:tc>
          <w:tcPr>
            <w:tcW w:w="607" w:type="pct"/>
            <w:vAlign w:val="center"/>
          </w:tcPr>
          <w:p w14:paraId="21526587" w14:textId="77777777" w:rsidR="009A4C46" w:rsidRPr="00203BEE" w:rsidRDefault="009A4C46" w:rsidP="00CB5AA8">
            <w:pPr>
              <w:spacing w:after="100" w:afterAutospacing="1" w:line="283" w:lineRule="auto"/>
              <w:jc w:val="center"/>
              <w:rPr>
                <w:rFonts w:eastAsia="Times New Roman"/>
                <w:lang w:eastAsia="ru-RU"/>
              </w:rPr>
            </w:pPr>
          </w:p>
        </w:tc>
        <w:tc>
          <w:tcPr>
            <w:tcW w:w="755" w:type="pct"/>
            <w:noWrap/>
            <w:vAlign w:val="center"/>
          </w:tcPr>
          <w:p w14:paraId="710DA61C" w14:textId="77777777" w:rsidR="009A4C46" w:rsidRPr="00203BEE" w:rsidRDefault="009A4C46" w:rsidP="00CB5AA8">
            <w:pPr>
              <w:spacing w:after="100" w:afterAutospacing="1" w:line="283" w:lineRule="auto"/>
              <w:jc w:val="center"/>
              <w:rPr>
                <w:rFonts w:eastAsia="Times New Roman"/>
                <w:lang w:eastAsia="ru-RU"/>
              </w:rPr>
            </w:pPr>
          </w:p>
        </w:tc>
      </w:tr>
      <w:tr w:rsidR="00203BEE" w:rsidRPr="00203BEE" w14:paraId="6C89CD96" w14:textId="77777777" w:rsidTr="00F94FED">
        <w:trPr>
          <w:trHeight w:val="227"/>
        </w:trPr>
        <w:tc>
          <w:tcPr>
            <w:tcW w:w="367" w:type="pct"/>
            <w:noWrap/>
            <w:hideMark/>
          </w:tcPr>
          <w:p w14:paraId="2DBB63D4" w14:textId="77777777" w:rsidR="009A4C46" w:rsidRPr="0065708A" w:rsidRDefault="009A4C46" w:rsidP="00CB5AA8">
            <w:pPr>
              <w:spacing w:after="100" w:afterAutospacing="1" w:line="283" w:lineRule="auto"/>
              <w:jc w:val="both"/>
              <w:rPr>
                <w:rFonts w:eastAsia="Times New Roman"/>
                <w:sz w:val="18"/>
                <w:szCs w:val="18"/>
                <w:lang w:eastAsia="ru-RU"/>
              </w:rPr>
            </w:pPr>
            <w:r w:rsidRPr="0065708A">
              <w:rPr>
                <w:rFonts w:eastAsia="Times New Roman"/>
                <w:sz w:val="18"/>
                <w:szCs w:val="18"/>
                <w:lang w:eastAsia="ru-RU"/>
              </w:rPr>
              <w:t>1.5</w:t>
            </w:r>
          </w:p>
        </w:tc>
        <w:tc>
          <w:tcPr>
            <w:tcW w:w="1678" w:type="pct"/>
            <w:noWrap/>
            <w:hideMark/>
          </w:tcPr>
          <w:p w14:paraId="08F192C9" w14:textId="77777777" w:rsidR="009A4C46" w:rsidRPr="00203BEE" w:rsidRDefault="009A4C46" w:rsidP="00CB5AA8">
            <w:pPr>
              <w:spacing w:after="100" w:afterAutospacing="1" w:line="283" w:lineRule="auto"/>
              <w:rPr>
                <w:rFonts w:eastAsia="Times New Roman"/>
                <w:lang w:eastAsia="ru-RU"/>
              </w:rPr>
            </w:pPr>
            <w:r w:rsidRPr="00203BEE">
              <w:rPr>
                <w:rFonts w:eastAsia="Times New Roman"/>
                <w:lang w:eastAsia="ru-RU"/>
              </w:rPr>
              <w:t>Остаток собственных средств на начало года</w:t>
            </w:r>
          </w:p>
        </w:tc>
        <w:tc>
          <w:tcPr>
            <w:tcW w:w="911" w:type="pct"/>
            <w:vAlign w:val="center"/>
          </w:tcPr>
          <w:p w14:paraId="3698E989" w14:textId="77777777" w:rsidR="009A4C46" w:rsidRPr="00203BEE" w:rsidRDefault="009A4C46" w:rsidP="00CB5AA8">
            <w:pPr>
              <w:spacing w:after="100" w:afterAutospacing="1" w:line="283" w:lineRule="auto"/>
              <w:jc w:val="center"/>
              <w:rPr>
                <w:rFonts w:eastAsia="Times New Roman"/>
                <w:lang w:eastAsia="ru-RU"/>
              </w:rPr>
            </w:pPr>
          </w:p>
        </w:tc>
        <w:tc>
          <w:tcPr>
            <w:tcW w:w="682" w:type="pct"/>
            <w:vAlign w:val="center"/>
          </w:tcPr>
          <w:p w14:paraId="2343EF4F" w14:textId="77777777" w:rsidR="009A4C46" w:rsidRPr="00203BEE" w:rsidRDefault="009A4C46" w:rsidP="00CB5AA8">
            <w:pPr>
              <w:spacing w:after="100" w:afterAutospacing="1" w:line="283" w:lineRule="auto"/>
              <w:jc w:val="center"/>
              <w:rPr>
                <w:rFonts w:eastAsia="Times New Roman"/>
                <w:lang w:eastAsia="ru-RU"/>
              </w:rPr>
            </w:pPr>
          </w:p>
        </w:tc>
        <w:tc>
          <w:tcPr>
            <w:tcW w:w="607" w:type="pct"/>
            <w:vAlign w:val="center"/>
          </w:tcPr>
          <w:p w14:paraId="00406891" w14:textId="77777777" w:rsidR="009A4C46" w:rsidRPr="00203BEE" w:rsidRDefault="009A4C46" w:rsidP="00CB5AA8">
            <w:pPr>
              <w:spacing w:after="100" w:afterAutospacing="1" w:line="283" w:lineRule="auto"/>
              <w:jc w:val="center"/>
              <w:rPr>
                <w:rFonts w:eastAsia="Times New Roman"/>
                <w:lang w:eastAsia="ru-RU"/>
              </w:rPr>
            </w:pPr>
          </w:p>
        </w:tc>
        <w:tc>
          <w:tcPr>
            <w:tcW w:w="755" w:type="pct"/>
            <w:noWrap/>
            <w:vAlign w:val="center"/>
          </w:tcPr>
          <w:p w14:paraId="41F8455D" w14:textId="77777777" w:rsidR="009A4C46" w:rsidRPr="00203BEE" w:rsidRDefault="009A4C46" w:rsidP="00CB5AA8">
            <w:pPr>
              <w:spacing w:after="100" w:afterAutospacing="1" w:line="283" w:lineRule="auto"/>
              <w:jc w:val="center"/>
              <w:rPr>
                <w:rFonts w:eastAsia="Times New Roman"/>
                <w:lang w:eastAsia="ru-RU"/>
              </w:rPr>
            </w:pPr>
          </w:p>
        </w:tc>
      </w:tr>
      <w:tr w:rsidR="00203BEE" w:rsidRPr="00203BEE" w14:paraId="0D3FE8F0" w14:textId="77777777" w:rsidTr="00F94FED">
        <w:trPr>
          <w:trHeight w:val="227"/>
        </w:trPr>
        <w:tc>
          <w:tcPr>
            <w:tcW w:w="367" w:type="pct"/>
            <w:noWrap/>
            <w:hideMark/>
          </w:tcPr>
          <w:p w14:paraId="7DA0E2AF" w14:textId="77777777" w:rsidR="009A4C46" w:rsidRPr="0065708A" w:rsidRDefault="009A4C46" w:rsidP="00CB5AA8">
            <w:pPr>
              <w:spacing w:after="100" w:afterAutospacing="1" w:line="283" w:lineRule="auto"/>
              <w:jc w:val="both"/>
              <w:rPr>
                <w:rFonts w:eastAsia="Times New Roman"/>
                <w:bCs/>
                <w:sz w:val="18"/>
                <w:szCs w:val="18"/>
                <w:lang w:eastAsia="ru-RU"/>
              </w:rPr>
            </w:pPr>
            <w:r w:rsidRPr="0065708A">
              <w:rPr>
                <w:rFonts w:eastAsia="Times New Roman"/>
                <w:bCs/>
                <w:sz w:val="18"/>
                <w:szCs w:val="18"/>
                <w:lang w:eastAsia="ru-RU"/>
              </w:rPr>
              <w:t>2</w:t>
            </w:r>
          </w:p>
        </w:tc>
        <w:tc>
          <w:tcPr>
            <w:tcW w:w="1678" w:type="pct"/>
            <w:noWrap/>
            <w:hideMark/>
          </w:tcPr>
          <w:p w14:paraId="202542B2" w14:textId="77777777" w:rsidR="009A4C46" w:rsidRPr="00203BEE" w:rsidRDefault="009A4C46" w:rsidP="00CB5AA8">
            <w:pPr>
              <w:spacing w:after="100" w:afterAutospacing="1" w:line="283" w:lineRule="auto"/>
              <w:rPr>
                <w:rFonts w:eastAsia="Times New Roman"/>
                <w:bCs/>
                <w:lang w:eastAsia="ru-RU"/>
              </w:rPr>
            </w:pPr>
            <w:r w:rsidRPr="00203BEE">
              <w:rPr>
                <w:rFonts w:eastAsia="Times New Roman"/>
                <w:bCs/>
                <w:lang w:eastAsia="ru-RU"/>
              </w:rPr>
              <w:t>Привлеченные средства всего:</w:t>
            </w:r>
          </w:p>
        </w:tc>
        <w:tc>
          <w:tcPr>
            <w:tcW w:w="911" w:type="pct"/>
          </w:tcPr>
          <w:p w14:paraId="507C6886" w14:textId="77777777" w:rsidR="009A4C46" w:rsidRPr="00203BEE" w:rsidRDefault="009A4C46" w:rsidP="00CB5AA8">
            <w:pPr>
              <w:spacing w:after="100" w:afterAutospacing="1" w:line="283" w:lineRule="auto"/>
              <w:jc w:val="center"/>
              <w:rPr>
                <w:rFonts w:eastAsia="Times New Roman"/>
                <w:bCs/>
                <w:lang w:eastAsia="ru-RU"/>
              </w:rPr>
            </w:pPr>
          </w:p>
        </w:tc>
        <w:tc>
          <w:tcPr>
            <w:tcW w:w="682" w:type="pct"/>
          </w:tcPr>
          <w:p w14:paraId="4FC2CFEB" w14:textId="77777777" w:rsidR="009A4C46" w:rsidRPr="00203BEE" w:rsidRDefault="009A4C46" w:rsidP="00CB5AA8">
            <w:pPr>
              <w:spacing w:after="100" w:afterAutospacing="1" w:line="283" w:lineRule="auto"/>
              <w:jc w:val="center"/>
              <w:rPr>
                <w:rFonts w:eastAsia="Times New Roman"/>
                <w:bCs/>
                <w:lang w:eastAsia="ru-RU"/>
              </w:rPr>
            </w:pPr>
          </w:p>
        </w:tc>
        <w:tc>
          <w:tcPr>
            <w:tcW w:w="607" w:type="pct"/>
          </w:tcPr>
          <w:p w14:paraId="7FAF5225" w14:textId="77777777" w:rsidR="009A4C46" w:rsidRPr="00203BEE" w:rsidRDefault="009A4C46" w:rsidP="00CB5AA8">
            <w:pPr>
              <w:spacing w:after="100" w:afterAutospacing="1" w:line="283" w:lineRule="auto"/>
              <w:jc w:val="center"/>
              <w:rPr>
                <w:rFonts w:eastAsia="Times New Roman"/>
                <w:bCs/>
                <w:lang w:eastAsia="ru-RU"/>
              </w:rPr>
            </w:pPr>
          </w:p>
        </w:tc>
        <w:tc>
          <w:tcPr>
            <w:tcW w:w="755" w:type="pct"/>
            <w:noWrap/>
          </w:tcPr>
          <w:p w14:paraId="03EF453D" w14:textId="77777777" w:rsidR="009A4C46" w:rsidRPr="00203BEE" w:rsidRDefault="009A4C46" w:rsidP="00CB5AA8">
            <w:pPr>
              <w:spacing w:after="100" w:afterAutospacing="1" w:line="283" w:lineRule="auto"/>
              <w:jc w:val="center"/>
              <w:rPr>
                <w:rFonts w:eastAsia="Times New Roman"/>
                <w:bCs/>
                <w:lang w:eastAsia="ru-RU"/>
              </w:rPr>
            </w:pPr>
          </w:p>
        </w:tc>
      </w:tr>
    </w:tbl>
    <w:p w14:paraId="67D8065E" w14:textId="2178F058" w:rsidR="008D170D" w:rsidRDefault="008D170D" w:rsidP="009A4C46">
      <w:pPr>
        <w:spacing w:afterLines="32" w:after="76" w:line="360" w:lineRule="auto"/>
        <w:ind w:firstLine="567"/>
        <w:contextualSpacing/>
        <w:jc w:val="both"/>
        <w:rPr>
          <w:rFonts w:eastAsia="Times New Roman"/>
          <w:sz w:val="28"/>
          <w:szCs w:val="28"/>
          <w:lang w:eastAsia="ru-RU"/>
        </w:rPr>
      </w:pPr>
    </w:p>
    <w:p w14:paraId="75B65F98" w14:textId="3B13ECB4" w:rsidR="009A4C46" w:rsidRPr="00F94FED" w:rsidRDefault="009A4C46" w:rsidP="00CB5AA8">
      <w:pPr>
        <w:jc w:val="center"/>
        <w:rPr>
          <w:rFonts w:eastAsia="Times New Roman"/>
          <w:sz w:val="26"/>
          <w:szCs w:val="26"/>
          <w:lang w:eastAsia="ru-RU"/>
        </w:rPr>
      </w:pPr>
      <w:r w:rsidRPr="00F94FED">
        <w:rPr>
          <w:rFonts w:eastAsia="Times New Roman"/>
          <w:b/>
          <w:bCs/>
          <w:sz w:val="26"/>
          <w:szCs w:val="26"/>
          <w:lang w:eastAsia="ru-RU"/>
        </w:rPr>
        <w:t>Показатели исполнения Инвестиционной программы АО «Тываэнерго» за 2017 год</w:t>
      </w:r>
    </w:p>
    <w:tbl>
      <w:tblPr>
        <w:tblStyle w:val="52"/>
        <w:tblW w:w="0" w:type="auto"/>
        <w:tblLayout w:type="fixed"/>
        <w:tblLook w:val="04A0" w:firstRow="1" w:lastRow="0" w:firstColumn="1" w:lastColumn="0" w:noHBand="0" w:noVBand="1"/>
      </w:tblPr>
      <w:tblGrid>
        <w:gridCol w:w="1984"/>
        <w:gridCol w:w="992"/>
        <w:gridCol w:w="992"/>
        <w:gridCol w:w="992"/>
        <w:gridCol w:w="993"/>
        <w:gridCol w:w="708"/>
        <w:gridCol w:w="709"/>
        <w:gridCol w:w="992"/>
        <w:gridCol w:w="957"/>
      </w:tblGrid>
      <w:tr w:rsidR="009A4C46" w:rsidRPr="008D170D" w14:paraId="2036EC39" w14:textId="77777777" w:rsidTr="00F94FED">
        <w:trPr>
          <w:trHeight w:val="420"/>
        </w:trPr>
        <w:tc>
          <w:tcPr>
            <w:tcW w:w="198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07E2E3F" w14:textId="77777777" w:rsidR="009A4C46" w:rsidRPr="00F94FED" w:rsidRDefault="009A4C46" w:rsidP="00CB5AA8">
            <w:pPr>
              <w:spacing w:line="283" w:lineRule="auto"/>
              <w:jc w:val="center"/>
              <w:rPr>
                <w:rFonts w:eastAsia="Times New Roman"/>
                <w:b/>
                <w:bCs/>
                <w:color w:val="FFFFFF" w:themeColor="background1"/>
                <w:sz w:val="18"/>
                <w:szCs w:val="18"/>
                <w:lang w:eastAsia="ru-RU"/>
              </w:rPr>
            </w:pPr>
            <w:r w:rsidRPr="00F94FED">
              <w:rPr>
                <w:rFonts w:eastAsia="Times New Roman"/>
                <w:b/>
                <w:bCs/>
                <w:color w:val="FFFFFF" w:themeColor="background1"/>
                <w:sz w:val="18"/>
                <w:szCs w:val="18"/>
                <w:lang w:eastAsia="ru-RU"/>
              </w:rPr>
              <w:t>Наименование показателя</w:t>
            </w:r>
          </w:p>
        </w:tc>
        <w:tc>
          <w:tcPr>
            <w:tcW w:w="1984" w:type="dxa"/>
            <w:gridSpan w:val="2"/>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3C1139C" w14:textId="50661D8B" w:rsidR="009A4C46" w:rsidRPr="00F94FED" w:rsidRDefault="009A4C46" w:rsidP="00CB5AA8">
            <w:pPr>
              <w:spacing w:line="283" w:lineRule="auto"/>
              <w:jc w:val="center"/>
              <w:rPr>
                <w:rFonts w:eastAsia="Times New Roman"/>
                <w:b/>
                <w:bCs/>
                <w:color w:val="FFFFFF" w:themeColor="background1"/>
                <w:sz w:val="18"/>
                <w:szCs w:val="18"/>
                <w:lang w:eastAsia="ru-RU"/>
              </w:rPr>
            </w:pPr>
            <w:r w:rsidRPr="00F94FED">
              <w:rPr>
                <w:rFonts w:eastAsia="Times New Roman"/>
                <w:b/>
                <w:bCs/>
                <w:color w:val="FFFFFF" w:themeColor="background1"/>
                <w:sz w:val="18"/>
                <w:szCs w:val="18"/>
                <w:lang w:eastAsia="ru-RU"/>
              </w:rPr>
              <w:t>Итого</w:t>
            </w:r>
            <w:r w:rsidR="0081136F">
              <w:rPr>
                <w:rFonts w:eastAsia="Times New Roman"/>
                <w:b/>
                <w:bCs/>
                <w:color w:val="FFFFFF" w:themeColor="background1"/>
                <w:sz w:val="18"/>
                <w:szCs w:val="18"/>
                <w:lang w:eastAsia="ru-RU"/>
              </w:rPr>
              <w:t xml:space="preserve">, млн. </w:t>
            </w:r>
            <w:proofErr w:type="spellStart"/>
            <w:r w:rsidR="0081136F">
              <w:rPr>
                <w:rFonts w:eastAsia="Times New Roman"/>
                <w:b/>
                <w:bCs/>
                <w:color w:val="FFFFFF" w:themeColor="background1"/>
                <w:sz w:val="18"/>
                <w:szCs w:val="18"/>
                <w:lang w:eastAsia="ru-RU"/>
              </w:rPr>
              <w:t>руб</w:t>
            </w:r>
            <w:proofErr w:type="spellEnd"/>
          </w:p>
        </w:tc>
        <w:tc>
          <w:tcPr>
            <w:tcW w:w="3402" w:type="dxa"/>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11A10BB" w14:textId="77777777" w:rsidR="009A4C46" w:rsidRPr="00F94FED" w:rsidRDefault="009A4C46" w:rsidP="00CB5AA8">
            <w:pPr>
              <w:spacing w:line="283" w:lineRule="auto"/>
              <w:jc w:val="center"/>
              <w:rPr>
                <w:rFonts w:eastAsia="Times New Roman"/>
                <w:b/>
                <w:bCs/>
                <w:color w:val="FFFFFF" w:themeColor="background1"/>
                <w:sz w:val="18"/>
                <w:szCs w:val="18"/>
                <w:lang w:eastAsia="ru-RU"/>
              </w:rPr>
            </w:pPr>
            <w:r w:rsidRPr="00F94FED">
              <w:rPr>
                <w:rFonts w:eastAsia="Times New Roman"/>
                <w:b/>
                <w:bCs/>
                <w:color w:val="FFFFFF" w:themeColor="background1"/>
                <w:sz w:val="18"/>
                <w:szCs w:val="18"/>
                <w:lang w:eastAsia="ru-RU"/>
              </w:rPr>
              <w:t>За счет регулируемых тарифов по передаче</w:t>
            </w:r>
          </w:p>
        </w:tc>
        <w:tc>
          <w:tcPr>
            <w:tcW w:w="1949" w:type="dxa"/>
            <w:gridSpan w:val="2"/>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205BF10" w14:textId="77777777" w:rsidR="0081136F" w:rsidRDefault="009A4C46" w:rsidP="00CB5AA8">
            <w:pPr>
              <w:spacing w:line="283" w:lineRule="auto"/>
              <w:jc w:val="center"/>
              <w:rPr>
                <w:rFonts w:eastAsia="Times New Roman"/>
                <w:b/>
                <w:bCs/>
                <w:color w:val="FFFFFF" w:themeColor="background1"/>
                <w:sz w:val="18"/>
                <w:szCs w:val="18"/>
                <w:lang w:eastAsia="ru-RU"/>
              </w:rPr>
            </w:pPr>
            <w:r w:rsidRPr="00F94FED">
              <w:rPr>
                <w:rFonts w:eastAsia="Times New Roman"/>
                <w:b/>
                <w:bCs/>
                <w:color w:val="FFFFFF" w:themeColor="background1"/>
                <w:sz w:val="18"/>
                <w:szCs w:val="18"/>
                <w:lang w:eastAsia="ru-RU"/>
              </w:rPr>
              <w:t>За счет платы за технологическое присоединение</w:t>
            </w:r>
            <w:r w:rsidR="0081136F">
              <w:rPr>
                <w:rFonts w:eastAsia="Times New Roman"/>
                <w:b/>
                <w:bCs/>
                <w:color w:val="FFFFFF" w:themeColor="background1"/>
                <w:sz w:val="18"/>
                <w:szCs w:val="18"/>
                <w:lang w:eastAsia="ru-RU"/>
              </w:rPr>
              <w:t>,</w:t>
            </w:r>
          </w:p>
          <w:p w14:paraId="30008D3B" w14:textId="017F71F4" w:rsidR="009A4C46" w:rsidRPr="00F94FED" w:rsidRDefault="0081136F" w:rsidP="00CB5AA8">
            <w:pPr>
              <w:spacing w:line="283" w:lineRule="auto"/>
              <w:jc w:val="center"/>
              <w:rPr>
                <w:rFonts w:eastAsia="Times New Roman"/>
                <w:b/>
                <w:bCs/>
                <w:color w:val="FFFFFF" w:themeColor="background1"/>
                <w:sz w:val="18"/>
                <w:szCs w:val="18"/>
                <w:lang w:eastAsia="ru-RU"/>
              </w:rPr>
            </w:pPr>
            <w:r>
              <w:rPr>
                <w:rFonts w:eastAsia="Times New Roman"/>
                <w:b/>
                <w:bCs/>
                <w:color w:val="FFFFFF" w:themeColor="background1"/>
                <w:sz w:val="18"/>
                <w:szCs w:val="18"/>
                <w:lang w:eastAsia="ru-RU"/>
              </w:rPr>
              <w:t>млн. руб.</w:t>
            </w:r>
          </w:p>
        </w:tc>
      </w:tr>
      <w:tr w:rsidR="009A4C46" w:rsidRPr="008D170D" w14:paraId="714E9D4C" w14:textId="77777777" w:rsidTr="00F94FED">
        <w:trPr>
          <w:trHeight w:val="555"/>
        </w:trPr>
        <w:tc>
          <w:tcPr>
            <w:tcW w:w="198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6110DBC" w14:textId="77777777" w:rsidR="009A4C46" w:rsidRPr="00F94FED" w:rsidRDefault="009A4C46" w:rsidP="00CB5AA8">
            <w:pPr>
              <w:spacing w:line="283" w:lineRule="auto"/>
              <w:jc w:val="center"/>
              <w:rPr>
                <w:rFonts w:eastAsia="Times New Roman"/>
                <w:b/>
                <w:bCs/>
                <w:color w:val="FFFFFF" w:themeColor="background1"/>
                <w:sz w:val="18"/>
                <w:szCs w:val="18"/>
                <w:lang w:eastAsia="ru-RU"/>
              </w:rPr>
            </w:pPr>
          </w:p>
        </w:tc>
        <w:tc>
          <w:tcPr>
            <w:tcW w:w="1984" w:type="dxa"/>
            <w:gridSpan w:val="2"/>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748ECFF" w14:textId="77777777" w:rsidR="009A4C46" w:rsidRPr="00F94FED" w:rsidRDefault="009A4C46" w:rsidP="00CB5AA8">
            <w:pPr>
              <w:spacing w:line="283" w:lineRule="auto"/>
              <w:jc w:val="center"/>
              <w:rPr>
                <w:rFonts w:eastAsia="Times New Roman"/>
                <w:b/>
                <w:bCs/>
                <w:color w:val="FFFFFF" w:themeColor="background1"/>
                <w:sz w:val="18"/>
                <w:szCs w:val="18"/>
                <w:lang w:eastAsia="ru-RU"/>
              </w:rPr>
            </w:pPr>
          </w:p>
        </w:tc>
        <w:tc>
          <w:tcPr>
            <w:tcW w:w="1985"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AC55418" w14:textId="71C6B470" w:rsidR="0081136F" w:rsidRDefault="009A4C46" w:rsidP="00CB5AA8">
            <w:pPr>
              <w:spacing w:line="283" w:lineRule="auto"/>
              <w:jc w:val="center"/>
              <w:rPr>
                <w:rFonts w:eastAsia="Times New Roman"/>
                <w:b/>
                <w:bCs/>
                <w:color w:val="FFFFFF" w:themeColor="background1"/>
                <w:sz w:val="18"/>
                <w:szCs w:val="18"/>
                <w:lang w:eastAsia="ru-RU"/>
              </w:rPr>
            </w:pPr>
            <w:r w:rsidRPr="00F94FED">
              <w:rPr>
                <w:rFonts w:eastAsia="Times New Roman"/>
                <w:b/>
                <w:bCs/>
                <w:color w:val="FFFFFF" w:themeColor="background1"/>
                <w:sz w:val="18"/>
                <w:szCs w:val="18"/>
                <w:lang w:eastAsia="ru-RU"/>
              </w:rPr>
              <w:t>Амортизация</w:t>
            </w:r>
            <w:r w:rsidR="0081136F">
              <w:rPr>
                <w:rFonts w:eastAsia="Times New Roman"/>
                <w:b/>
                <w:bCs/>
                <w:color w:val="FFFFFF" w:themeColor="background1"/>
                <w:sz w:val="18"/>
                <w:szCs w:val="18"/>
                <w:lang w:eastAsia="ru-RU"/>
              </w:rPr>
              <w:t xml:space="preserve">, </w:t>
            </w:r>
          </w:p>
          <w:p w14:paraId="13B8A451" w14:textId="2CB5853E" w:rsidR="009A4C46" w:rsidRPr="00F94FED" w:rsidRDefault="0081136F" w:rsidP="00CB5AA8">
            <w:pPr>
              <w:spacing w:line="283" w:lineRule="auto"/>
              <w:jc w:val="center"/>
              <w:rPr>
                <w:rFonts w:eastAsia="Times New Roman"/>
                <w:b/>
                <w:bCs/>
                <w:color w:val="FFFFFF" w:themeColor="background1"/>
                <w:sz w:val="18"/>
                <w:szCs w:val="18"/>
                <w:lang w:eastAsia="ru-RU"/>
              </w:rPr>
            </w:pPr>
            <w:r>
              <w:rPr>
                <w:rFonts w:eastAsia="Times New Roman"/>
                <w:b/>
                <w:bCs/>
                <w:color w:val="FFFFFF" w:themeColor="background1"/>
                <w:sz w:val="18"/>
                <w:szCs w:val="18"/>
                <w:lang w:eastAsia="ru-RU"/>
              </w:rPr>
              <w:t>млн. руб.</w:t>
            </w:r>
          </w:p>
        </w:tc>
        <w:tc>
          <w:tcPr>
            <w:tcW w:w="1417"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D847B50" w14:textId="62097AFF" w:rsidR="009A4C46" w:rsidRPr="00F94FED" w:rsidRDefault="009A4C46" w:rsidP="00CB5AA8">
            <w:pPr>
              <w:spacing w:line="283" w:lineRule="auto"/>
              <w:jc w:val="center"/>
              <w:rPr>
                <w:rFonts w:eastAsia="Times New Roman"/>
                <w:b/>
                <w:bCs/>
                <w:color w:val="FFFFFF" w:themeColor="background1"/>
                <w:sz w:val="18"/>
                <w:szCs w:val="18"/>
                <w:lang w:eastAsia="ru-RU"/>
              </w:rPr>
            </w:pPr>
            <w:r w:rsidRPr="00F94FED">
              <w:rPr>
                <w:rFonts w:eastAsia="Times New Roman"/>
                <w:b/>
                <w:bCs/>
                <w:color w:val="FFFFFF" w:themeColor="background1"/>
                <w:sz w:val="18"/>
                <w:szCs w:val="18"/>
                <w:lang w:eastAsia="ru-RU"/>
              </w:rPr>
              <w:t>Прибыль</w:t>
            </w:r>
            <w:r w:rsidR="0081136F">
              <w:rPr>
                <w:rFonts w:eastAsia="Times New Roman"/>
                <w:b/>
                <w:bCs/>
                <w:color w:val="FFFFFF" w:themeColor="background1"/>
                <w:sz w:val="18"/>
                <w:szCs w:val="18"/>
                <w:lang w:eastAsia="ru-RU"/>
              </w:rPr>
              <w:t>,</w:t>
            </w:r>
            <w:r w:rsidR="0081136F">
              <w:rPr>
                <w:rFonts w:eastAsia="Times New Roman"/>
                <w:b/>
                <w:bCs/>
                <w:color w:val="FFFFFF" w:themeColor="background1"/>
                <w:sz w:val="18"/>
                <w:szCs w:val="18"/>
                <w:lang w:eastAsia="ru-RU"/>
              </w:rPr>
              <w:br/>
              <w:t xml:space="preserve"> млн. руб.</w:t>
            </w:r>
          </w:p>
        </w:tc>
        <w:tc>
          <w:tcPr>
            <w:tcW w:w="1949" w:type="dxa"/>
            <w:gridSpan w:val="2"/>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E7B7544" w14:textId="77777777" w:rsidR="009A4C46" w:rsidRPr="00F94FED" w:rsidRDefault="009A4C46" w:rsidP="00CB5AA8">
            <w:pPr>
              <w:spacing w:line="283" w:lineRule="auto"/>
              <w:jc w:val="center"/>
              <w:rPr>
                <w:rFonts w:eastAsia="Times New Roman"/>
                <w:b/>
                <w:bCs/>
                <w:color w:val="FFFFFF" w:themeColor="background1"/>
                <w:sz w:val="18"/>
                <w:szCs w:val="18"/>
                <w:lang w:eastAsia="ru-RU"/>
              </w:rPr>
            </w:pPr>
          </w:p>
        </w:tc>
      </w:tr>
      <w:tr w:rsidR="009A4C46" w:rsidRPr="008D170D" w14:paraId="5A99F6D6" w14:textId="77777777" w:rsidTr="00F94FED">
        <w:trPr>
          <w:trHeight w:val="338"/>
        </w:trPr>
        <w:tc>
          <w:tcPr>
            <w:tcW w:w="198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FF56684" w14:textId="77777777" w:rsidR="009A4C46" w:rsidRPr="00F94FED" w:rsidRDefault="009A4C46" w:rsidP="00CB5AA8">
            <w:pPr>
              <w:spacing w:line="283" w:lineRule="auto"/>
              <w:jc w:val="center"/>
              <w:rPr>
                <w:rFonts w:eastAsia="Times New Roman"/>
                <w:b/>
                <w:bCs/>
                <w:color w:val="FFFFFF" w:themeColor="background1"/>
                <w:sz w:val="18"/>
                <w:szCs w:val="18"/>
                <w:lang w:eastAsia="ru-RU"/>
              </w:rPr>
            </w:pP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46AC42C" w14:textId="77777777" w:rsidR="009A4C46" w:rsidRPr="00F94FED" w:rsidRDefault="009A4C46" w:rsidP="00CB5AA8">
            <w:pPr>
              <w:spacing w:line="283" w:lineRule="auto"/>
              <w:jc w:val="center"/>
              <w:rPr>
                <w:rFonts w:eastAsia="Times New Roman"/>
                <w:b/>
                <w:bCs/>
                <w:color w:val="FFFFFF" w:themeColor="background1"/>
                <w:sz w:val="18"/>
                <w:szCs w:val="18"/>
                <w:lang w:eastAsia="ru-RU"/>
              </w:rPr>
            </w:pPr>
            <w:r w:rsidRPr="00F94FED">
              <w:rPr>
                <w:rFonts w:eastAsia="Times New Roman"/>
                <w:b/>
                <w:bCs/>
                <w:color w:val="FFFFFF" w:themeColor="background1"/>
                <w:sz w:val="18"/>
                <w:szCs w:val="18"/>
                <w:lang w:eastAsia="ru-RU"/>
              </w:rPr>
              <w:t>План</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EF4AD50" w14:textId="77777777" w:rsidR="009A4C46" w:rsidRPr="00F94FED" w:rsidRDefault="009A4C46" w:rsidP="00CB5AA8">
            <w:pPr>
              <w:spacing w:line="283" w:lineRule="auto"/>
              <w:jc w:val="center"/>
              <w:rPr>
                <w:rFonts w:eastAsia="Times New Roman"/>
                <w:b/>
                <w:bCs/>
                <w:color w:val="FFFFFF" w:themeColor="background1"/>
                <w:sz w:val="18"/>
                <w:szCs w:val="18"/>
                <w:lang w:eastAsia="ru-RU"/>
              </w:rPr>
            </w:pPr>
            <w:r w:rsidRPr="00F94FED">
              <w:rPr>
                <w:rFonts w:eastAsia="Times New Roman"/>
                <w:b/>
                <w:bCs/>
                <w:color w:val="FFFFFF" w:themeColor="background1"/>
                <w:sz w:val="18"/>
                <w:szCs w:val="18"/>
                <w:lang w:eastAsia="ru-RU"/>
              </w:rPr>
              <w:t>Факт</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BA9D465" w14:textId="77777777" w:rsidR="009A4C46" w:rsidRPr="00F94FED" w:rsidRDefault="009A4C46" w:rsidP="00CB5AA8">
            <w:pPr>
              <w:spacing w:line="283" w:lineRule="auto"/>
              <w:jc w:val="center"/>
              <w:rPr>
                <w:rFonts w:eastAsia="Times New Roman"/>
                <w:b/>
                <w:bCs/>
                <w:color w:val="FFFFFF" w:themeColor="background1"/>
                <w:sz w:val="18"/>
                <w:szCs w:val="18"/>
                <w:lang w:eastAsia="ru-RU"/>
              </w:rPr>
            </w:pPr>
            <w:r w:rsidRPr="00F94FED">
              <w:rPr>
                <w:rFonts w:eastAsia="Times New Roman"/>
                <w:b/>
                <w:bCs/>
                <w:color w:val="FFFFFF" w:themeColor="background1"/>
                <w:sz w:val="18"/>
                <w:szCs w:val="18"/>
                <w:lang w:eastAsia="ru-RU"/>
              </w:rPr>
              <w:t>План</w:t>
            </w:r>
          </w:p>
        </w:tc>
        <w:tc>
          <w:tcPr>
            <w:tcW w:w="9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D45E3C3" w14:textId="77777777" w:rsidR="009A4C46" w:rsidRPr="00F94FED" w:rsidRDefault="009A4C46" w:rsidP="00CB5AA8">
            <w:pPr>
              <w:spacing w:line="283" w:lineRule="auto"/>
              <w:jc w:val="center"/>
              <w:rPr>
                <w:rFonts w:eastAsia="Times New Roman"/>
                <w:b/>
                <w:bCs/>
                <w:color w:val="FFFFFF" w:themeColor="background1"/>
                <w:sz w:val="18"/>
                <w:szCs w:val="18"/>
                <w:lang w:eastAsia="ru-RU"/>
              </w:rPr>
            </w:pPr>
            <w:r w:rsidRPr="00F94FED">
              <w:rPr>
                <w:rFonts w:eastAsia="Times New Roman"/>
                <w:b/>
                <w:bCs/>
                <w:color w:val="FFFFFF" w:themeColor="background1"/>
                <w:sz w:val="18"/>
                <w:szCs w:val="18"/>
                <w:lang w:eastAsia="ru-RU"/>
              </w:rPr>
              <w:t>Факт</w:t>
            </w:r>
          </w:p>
        </w:tc>
        <w:tc>
          <w:tcPr>
            <w:tcW w:w="7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D3F64BD" w14:textId="77777777" w:rsidR="009A4C46" w:rsidRPr="00F94FED" w:rsidRDefault="009A4C46" w:rsidP="00CB5AA8">
            <w:pPr>
              <w:spacing w:line="283" w:lineRule="auto"/>
              <w:jc w:val="center"/>
              <w:rPr>
                <w:rFonts w:eastAsia="Times New Roman"/>
                <w:b/>
                <w:bCs/>
                <w:color w:val="FFFFFF" w:themeColor="background1"/>
                <w:sz w:val="18"/>
                <w:szCs w:val="18"/>
                <w:lang w:eastAsia="ru-RU"/>
              </w:rPr>
            </w:pPr>
            <w:r w:rsidRPr="00F94FED">
              <w:rPr>
                <w:rFonts w:eastAsia="Times New Roman"/>
                <w:b/>
                <w:bCs/>
                <w:color w:val="FFFFFF" w:themeColor="background1"/>
                <w:sz w:val="18"/>
                <w:szCs w:val="18"/>
                <w:lang w:eastAsia="ru-RU"/>
              </w:rPr>
              <w:t>План</w:t>
            </w:r>
          </w:p>
        </w:tc>
        <w:tc>
          <w:tcPr>
            <w:tcW w:w="7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40889A5" w14:textId="77777777" w:rsidR="009A4C46" w:rsidRPr="00F94FED" w:rsidRDefault="009A4C46" w:rsidP="00CB5AA8">
            <w:pPr>
              <w:spacing w:line="283" w:lineRule="auto"/>
              <w:jc w:val="center"/>
              <w:rPr>
                <w:rFonts w:eastAsia="Times New Roman"/>
                <w:b/>
                <w:bCs/>
                <w:color w:val="FFFFFF" w:themeColor="background1"/>
                <w:sz w:val="18"/>
                <w:szCs w:val="18"/>
                <w:lang w:eastAsia="ru-RU"/>
              </w:rPr>
            </w:pPr>
            <w:r w:rsidRPr="00F94FED">
              <w:rPr>
                <w:rFonts w:eastAsia="Times New Roman"/>
                <w:b/>
                <w:bCs/>
                <w:color w:val="FFFFFF" w:themeColor="background1"/>
                <w:sz w:val="18"/>
                <w:szCs w:val="18"/>
                <w:lang w:eastAsia="ru-RU"/>
              </w:rPr>
              <w:t>Факт</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6953065" w14:textId="77777777" w:rsidR="009A4C46" w:rsidRPr="00F94FED" w:rsidRDefault="009A4C46" w:rsidP="00CB5AA8">
            <w:pPr>
              <w:spacing w:line="283" w:lineRule="auto"/>
              <w:jc w:val="center"/>
              <w:rPr>
                <w:rFonts w:eastAsia="Times New Roman"/>
                <w:b/>
                <w:bCs/>
                <w:color w:val="FFFFFF" w:themeColor="background1"/>
                <w:sz w:val="18"/>
                <w:szCs w:val="18"/>
                <w:lang w:eastAsia="ru-RU"/>
              </w:rPr>
            </w:pPr>
            <w:r w:rsidRPr="00F94FED">
              <w:rPr>
                <w:rFonts w:eastAsia="Times New Roman"/>
                <w:b/>
                <w:bCs/>
                <w:color w:val="FFFFFF" w:themeColor="background1"/>
                <w:sz w:val="18"/>
                <w:szCs w:val="18"/>
                <w:lang w:eastAsia="ru-RU"/>
              </w:rPr>
              <w:t>План</w:t>
            </w:r>
          </w:p>
        </w:tc>
        <w:tc>
          <w:tcPr>
            <w:tcW w:w="95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46E6809" w14:textId="77777777" w:rsidR="009A4C46" w:rsidRPr="00F94FED" w:rsidRDefault="009A4C46" w:rsidP="00CB5AA8">
            <w:pPr>
              <w:spacing w:line="283" w:lineRule="auto"/>
              <w:jc w:val="center"/>
              <w:rPr>
                <w:rFonts w:eastAsia="Times New Roman"/>
                <w:b/>
                <w:bCs/>
                <w:color w:val="FFFFFF" w:themeColor="background1"/>
                <w:sz w:val="18"/>
                <w:szCs w:val="18"/>
                <w:lang w:eastAsia="ru-RU"/>
              </w:rPr>
            </w:pPr>
            <w:r w:rsidRPr="00F94FED">
              <w:rPr>
                <w:rFonts w:eastAsia="Times New Roman"/>
                <w:b/>
                <w:bCs/>
                <w:color w:val="FFFFFF" w:themeColor="background1"/>
                <w:sz w:val="18"/>
                <w:szCs w:val="18"/>
                <w:lang w:eastAsia="ru-RU"/>
              </w:rPr>
              <w:t>Факт</w:t>
            </w:r>
          </w:p>
        </w:tc>
      </w:tr>
      <w:tr w:rsidR="009A4C46" w:rsidRPr="008D170D" w14:paraId="49B21954" w14:textId="77777777" w:rsidTr="00F94FED">
        <w:trPr>
          <w:trHeight w:val="255"/>
        </w:trPr>
        <w:tc>
          <w:tcPr>
            <w:tcW w:w="19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F9F5A37" w14:textId="77777777" w:rsidR="009A4C46" w:rsidRPr="00F94FED" w:rsidRDefault="009A4C46" w:rsidP="00CB5AA8">
            <w:pPr>
              <w:spacing w:line="283" w:lineRule="auto"/>
              <w:jc w:val="center"/>
              <w:rPr>
                <w:rFonts w:eastAsia="Times New Roman"/>
                <w:b/>
                <w:bCs/>
                <w:color w:val="FFFFFF" w:themeColor="background1"/>
                <w:sz w:val="18"/>
                <w:szCs w:val="18"/>
                <w:lang w:eastAsia="ru-RU"/>
              </w:rPr>
            </w:pPr>
            <w:r w:rsidRPr="00F94FED">
              <w:rPr>
                <w:rFonts w:eastAsia="Times New Roman"/>
                <w:b/>
                <w:bCs/>
                <w:color w:val="FFFFFF" w:themeColor="background1"/>
                <w:sz w:val="18"/>
                <w:szCs w:val="18"/>
                <w:lang w:eastAsia="ru-RU"/>
              </w:rPr>
              <w:t>1</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7F54CE16" w14:textId="77777777" w:rsidR="009A4C46" w:rsidRPr="00F94FED" w:rsidRDefault="009A4C46" w:rsidP="00CB5AA8">
            <w:pPr>
              <w:spacing w:line="283" w:lineRule="auto"/>
              <w:jc w:val="center"/>
              <w:rPr>
                <w:rFonts w:eastAsia="Times New Roman"/>
                <w:b/>
                <w:bCs/>
                <w:color w:val="FFFFFF" w:themeColor="background1"/>
                <w:sz w:val="18"/>
                <w:szCs w:val="18"/>
                <w:lang w:eastAsia="ru-RU"/>
              </w:rPr>
            </w:pPr>
            <w:r w:rsidRPr="00F94FED">
              <w:rPr>
                <w:rFonts w:eastAsia="Times New Roman"/>
                <w:b/>
                <w:bCs/>
                <w:color w:val="FFFFFF" w:themeColor="background1"/>
                <w:sz w:val="18"/>
                <w:szCs w:val="18"/>
                <w:lang w:eastAsia="ru-RU"/>
              </w:rPr>
              <w:t>2</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73732796" w14:textId="77777777" w:rsidR="009A4C46" w:rsidRPr="00F94FED" w:rsidRDefault="009A4C46" w:rsidP="00CB5AA8">
            <w:pPr>
              <w:spacing w:line="283" w:lineRule="auto"/>
              <w:jc w:val="center"/>
              <w:rPr>
                <w:rFonts w:eastAsia="Times New Roman"/>
                <w:b/>
                <w:bCs/>
                <w:color w:val="FFFFFF" w:themeColor="background1"/>
                <w:sz w:val="18"/>
                <w:szCs w:val="18"/>
                <w:lang w:eastAsia="ru-RU"/>
              </w:rPr>
            </w:pPr>
            <w:r w:rsidRPr="00F94FED">
              <w:rPr>
                <w:rFonts w:eastAsia="Times New Roman"/>
                <w:b/>
                <w:bCs/>
                <w:color w:val="FFFFFF" w:themeColor="background1"/>
                <w:sz w:val="18"/>
                <w:szCs w:val="18"/>
                <w:lang w:eastAsia="ru-RU"/>
              </w:rPr>
              <w:t>3</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23C2A09A" w14:textId="77777777" w:rsidR="009A4C46" w:rsidRPr="00F94FED" w:rsidRDefault="009A4C46" w:rsidP="00CB5AA8">
            <w:pPr>
              <w:spacing w:line="283" w:lineRule="auto"/>
              <w:jc w:val="center"/>
              <w:rPr>
                <w:rFonts w:eastAsia="Times New Roman"/>
                <w:b/>
                <w:bCs/>
                <w:color w:val="FFFFFF" w:themeColor="background1"/>
                <w:sz w:val="18"/>
                <w:szCs w:val="18"/>
                <w:lang w:eastAsia="ru-RU"/>
              </w:rPr>
            </w:pPr>
            <w:r w:rsidRPr="00F94FED">
              <w:rPr>
                <w:rFonts w:eastAsia="Times New Roman"/>
                <w:b/>
                <w:bCs/>
                <w:color w:val="FFFFFF" w:themeColor="background1"/>
                <w:sz w:val="18"/>
                <w:szCs w:val="18"/>
                <w:lang w:eastAsia="ru-RU"/>
              </w:rPr>
              <w:t>4</w:t>
            </w:r>
          </w:p>
        </w:tc>
        <w:tc>
          <w:tcPr>
            <w:tcW w:w="9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7C97F834" w14:textId="77777777" w:rsidR="009A4C46" w:rsidRPr="00F94FED" w:rsidRDefault="009A4C46" w:rsidP="00CB5AA8">
            <w:pPr>
              <w:spacing w:line="283" w:lineRule="auto"/>
              <w:jc w:val="center"/>
              <w:rPr>
                <w:rFonts w:eastAsia="Times New Roman"/>
                <w:b/>
                <w:bCs/>
                <w:color w:val="FFFFFF" w:themeColor="background1"/>
                <w:sz w:val="18"/>
                <w:szCs w:val="18"/>
                <w:lang w:eastAsia="ru-RU"/>
              </w:rPr>
            </w:pPr>
            <w:r w:rsidRPr="00F94FED">
              <w:rPr>
                <w:rFonts w:eastAsia="Times New Roman"/>
                <w:b/>
                <w:bCs/>
                <w:color w:val="FFFFFF" w:themeColor="background1"/>
                <w:sz w:val="18"/>
                <w:szCs w:val="18"/>
                <w:lang w:eastAsia="ru-RU"/>
              </w:rPr>
              <w:t>5</w:t>
            </w:r>
          </w:p>
        </w:tc>
        <w:tc>
          <w:tcPr>
            <w:tcW w:w="7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6D19CEEF" w14:textId="77777777" w:rsidR="009A4C46" w:rsidRPr="00F94FED" w:rsidRDefault="009A4C46" w:rsidP="00CB5AA8">
            <w:pPr>
              <w:spacing w:line="283" w:lineRule="auto"/>
              <w:jc w:val="center"/>
              <w:rPr>
                <w:rFonts w:eastAsia="Times New Roman"/>
                <w:b/>
                <w:bCs/>
                <w:color w:val="FFFFFF" w:themeColor="background1"/>
                <w:sz w:val="18"/>
                <w:szCs w:val="18"/>
                <w:lang w:eastAsia="ru-RU"/>
              </w:rPr>
            </w:pPr>
            <w:r w:rsidRPr="00F94FED">
              <w:rPr>
                <w:rFonts w:eastAsia="Times New Roman"/>
                <w:b/>
                <w:bCs/>
                <w:color w:val="FFFFFF" w:themeColor="background1"/>
                <w:sz w:val="18"/>
                <w:szCs w:val="18"/>
                <w:lang w:eastAsia="ru-RU"/>
              </w:rPr>
              <w:t>6</w:t>
            </w:r>
          </w:p>
        </w:tc>
        <w:tc>
          <w:tcPr>
            <w:tcW w:w="7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1224A455" w14:textId="77777777" w:rsidR="009A4C46" w:rsidRPr="00F94FED" w:rsidRDefault="009A4C46" w:rsidP="00CB5AA8">
            <w:pPr>
              <w:spacing w:line="283" w:lineRule="auto"/>
              <w:jc w:val="center"/>
              <w:rPr>
                <w:rFonts w:eastAsia="Times New Roman"/>
                <w:b/>
                <w:bCs/>
                <w:color w:val="FFFFFF" w:themeColor="background1"/>
                <w:sz w:val="18"/>
                <w:szCs w:val="18"/>
                <w:lang w:eastAsia="ru-RU"/>
              </w:rPr>
            </w:pPr>
            <w:r w:rsidRPr="00F94FED">
              <w:rPr>
                <w:rFonts w:eastAsia="Times New Roman"/>
                <w:b/>
                <w:bCs/>
                <w:color w:val="FFFFFF" w:themeColor="background1"/>
                <w:sz w:val="18"/>
                <w:szCs w:val="18"/>
                <w:lang w:eastAsia="ru-RU"/>
              </w:rPr>
              <w:t>7</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22C10DF3" w14:textId="77777777" w:rsidR="009A4C46" w:rsidRPr="00F94FED" w:rsidRDefault="009A4C46" w:rsidP="00CB5AA8">
            <w:pPr>
              <w:spacing w:line="283" w:lineRule="auto"/>
              <w:jc w:val="center"/>
              <w:rPr>
                <w:rFonts w:eastAsia="Times New Roman"/>
                <w:b/>
                <w:bCs/>
                <w:color w:val="FFFFFF" w:themeColor="background1"/>
                <w:sz w:val="18"/>
                <w:szCs w:val="18"/>
                <w:lang w:eastAsia="ru-RU"/>
              </w:rPr>
            </w:pPr>
            <w:r w:rsidRPr="00F94FED">
              <w:rPr>
                <w:rFonts w:eastAsia="Times New Roman"/>
                <w:b/>
                <w:bCs/>
                <w:color w:val="FFFFFF" w:themeColor="background1"/>
                <w:sz w:val="18"/>
                <w:szCs w:val="18"/>
                <w:lang w:eastAsia="ru-RU"/>
              </w:rPr>
              <w:t>8</w:t>
            </w:r>
          </w:p>
        </w:tc>
        <w:tc>
          <w:tcPr>
            <w:tcW w:w="95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6340D82D" w14:textId="77777777" w:rsidR="009A4C46" w:rsidRPr="00F94FED" w:rsidRDefault="009A4C46" w:rsidP="00CB5AA8">
            <w:pPr>
              <w:spacing w:line="283" w:lineRule="auto"/>
              <w:jc w:val="center"/>
              <w:rPr>
                <w:rFonts w:eastAsia="Times New Roman"/>
                <w:b/>
                <w:bCs/>
                <w:color w:val="FFFFFF" w:themeColor="background1"/>
                <w:sz w:val="18"/>
                <w:szCs w:val="18"/>
                <w:lang w:eastAsia="ru-RU"/>
              </w:rPr>
            </w:pPr>
            <w:r w:rsidRPr="00F94FED">
              <w:rPr>
                <w:rFonts w:eastAsia="Times New Roman"/>
                <w:b/>
                <w:bCs/>
                <w:color w:val="FFFFFF" w:themeColor="background1"/>
                <w:sz w:val="18"/>
                <w:szCs w:val="18"/>
                <w:lang w:eastAsia="ru-RU"/>
              </w:rPr>
              <w:t>9</w:t>
            </w:r>
          </w:p>
        </w:tc>
      </w:tr>
      <w:tr w:rsidR="009A4C46" w:rsidRPr="008D170D" w14:paraId="3701E946" w14:textId="77777777" w:rsidTr="00F94FED">
        <w:trPr>
          <w:trHeight w:val="375"/>
        </w:trPr>
        <w:tc>
          <w:tcPr>
            <w:tcW w:w="1984" w:type="dxa"/>
            <w:tcBorders>
              <w:top w:val="single" w:sz="4" w:space="0" w:color="FFFFFF" w:themeColor="background1"/>
            </w:tcBorders>
          </w:tcPr>
          <w:p w14:paraId="50828355" w14:textId="77777777" w:rsidR="009A4C46" w:rsidRPr="00F94FED" w:rsidRDefault="009A4C46" w:rsidP="00CB5AA8">
            <w:pPr>
              <w:spacing w:line="283" w:lineRule="auto"/>
              <w:rPr>
                <w:rFonts w:eastAsia="Times New Roman"/>
                <w:b/>
                <w:bCs/>
                <w:sz w:val="18"/>
                <w:szCs w:val="18"/>
                <w:lang w:eastAsia="ru-RU"/>
              </w:rPr>
            </w:pPr>
            <w:r w:rsidRPr="00F94FED">
              <w:rPr>
                <w:rFonts w:eastAsia="Times New Roman"/>
                <w:b/>
                <w:bCs/>
                <w:sz w:val="18"/>
                <w:szCs w:val="18"/>
                <w:lang w:eastAsia="ru-RU"/>
              </w:rPr>
              <w:t>Период (год долгосрочного периода регулирования)</w:t>
            </w:r>
          </w:p>
        </w:tc>
        <w:tc>
          <w:tcPr>
            <w:tcW w:w="992" w:type="dxa"/>
            <w:tcBorders>
              <w:top w:val="single" w:sz="4" w:space="0" w:color="FFFFFF" w:themeColor="background1"/>
            </w:tcBorders>
            <w:vAlign w:val="center"/>
            <w:hideMark/>
          </w:tcPr>
          <w:p w14:paraId="39F52939" w14:textId="77777777" w:rsidR="009A4C46" w:rsidRPr="00F94FED" w:rsidRDefault="009A4C46" w:rsidP="00CB5AA8">
            <w:pPr>
              <w:spacing w:line="283" w:lineRule="auto"/>
              <w:jc w:val="center"/>
              <w:rPr>
                <w:rFonts w:eastAsia="Times New Roman"/>
                <w:b/>
                <w:bCs/>
                <w:sz w:val="18"/>
                <w:szCs w:val="18"/>
                <w:lang w:eastAsia="ru-RU"/>
              </w:rPr>
            </w:pPr>
            <w:r w:rsidRPr="00F94FED">
              <w:rPr>
                <w:rFonts w:eastAsia="Times New Roman"/>
                <w:b/>
                <w:bCs/>
                <w:sz w:val="18"/>
                <w:szCs w:val="18"/>
                <w:lang w:eastAsia="ru-RU"/>
              </w:rPr>
              <w:t>239,295</w:t>
            </w:r>
          </w:p>
        </w:tc>
        <w:tc>
          <w:tcPr>
            <w:tcW w:w="992" w:type="dxa"/>
            <w:tcBorders>
              <w:top w:val="single" w:sz="4" w:space="0" w:color="FFFFFF" w:themeColor="background1"/>
            </w:tcBorders>
            <w:vAlign w:val="center"/>
            <w:hideMark/>
          </w:tcPr>
          <w:p w14:paraId="0D3B4547" w14:textId="77777777" w:rsidR="009A4C46" w:rsidRPr="00F94FED" w:rsidRDefault="009A4C46" w:rsidP="00CB5AA8">
            <w:pPr>
              <w:spacing w:line="283" w:lineRule="auto"/>
              <w:jc w:val="center"/>
              <w:rPr>
                <w:rFonts w:eastAsia="Times New Roman"/>
                <w:b/>
                <w:bCs/>
                <w:sz w:val="18"/>
                <w:szCs w:val="18"/>
                <w:lang w:eastAsia="ru-RU"/>
              </w:rPr>
            </w:pPr>
            <w:r w:rsidRPr="00F94FED">
              <w:rPr>
                <w:rFonts w:eastAsia="Times New Roman"/>
                <w:b/>
                <w:bCs/>
                <w:sz w:val="18"/>
                <w:szCs w:val="18"/>
                <w:lang w:eastAsia="ru-RU"/>
              </w:rPr>
              <w:t>233,471</w:t>
            </w:r>
          </w:p>
        </w:tc>
        <w:tc>
          <w:tcPr>
            <w:tcW w:w="992" w:type="dxa"/>
            <w:tcBorders>
              <w:top w:val="single" w:sz="4" w:space="0" w:color="FFFFFF" w:themeColor="background1"/>
            </w:tcBorders>
            <w:vAlign w:val="center"/>
            <w:hideMark/>
          </w:tcPr>
          <w:p w14:paraId="35DD78E7" w14:textId="77777777" w:rsidR="009A4C46" w:rsidRPr="00F94FED" w:rsidRDefault="009A4C46" w:rsidP="00CB5AA8">
            <w:pPr>
              <w:spacing w:line="283" w:lineRule="auto"/>
              <w:jc w:val="center"/>
              <w:rPr>
                <w:rFonts w:eastAsia="Times New Roman"/>
                <w:b/>
                <w:bCs/>
                <w:sz w:val="18"/>
                <w:szCs w:val="18"/>
                <w:lang w:eastAsia="ru-RU"/>
              </w:rPr>
            </w:pPr>
            <w:r w:rsidRPr="00F94FED">
              <w:rPr>
                <w:rFonts w:eastAsia="Times New Roman"/>
                <w:b/>
                <w:bCs/>
                <w:sz w:val="18"/>
                <w:szCs w:val="18"/>
                <w:lang w:eastAsia="ru-RU"/>
              </w:rPr>
              <w:t>79,913</w:t>
            </w:r>
          </w:p>
        </w:tc>
        <w:tc>
          <w:tcPr>
            <w:tcW w:w="993" w:type="dxa"/>
            <w:tcBorders>
              <w:top w:val="single" w:sz="4" w:space="0" w:color="FFFFFF" w:themeColor="background1"/>
            </w:tcBorders>
            <w:vAlign w:val="center"/>
            <w:hideMark/>
          </w:tcPr>
          <w:p w14:paraId="0C741408" w14:textId="77777777" w:rsidR="009A4C46" w:rsidRPr="00F94FED" w:rsidRDefault="009A4C46" w:rsidP="00CB5AA8">
            <w:pPr>
              <w:spacing w:line="283" w:lineRule="auto"/>
              <w:jc w:val="center"/>
              <w:rPr>
                <w:rFonts w:eastAsia="Times New Roman"/>
                <w:b/>
                <w:bCs/>
                <w:sz w:val="18"/>
                <w:szCs w:val="18"/>
                <w:lang w:eastAsia="ru-RU"/>
              </w:rPr>
            </w:pPr>
            <w:r w:rsidRPr="00F94FED">
              <w:rPr>
                <w:rFonts w:eastAsia="Times New Roman"/>
                <w:b/>
                <w:bCs/>
                <w:sz w:val="18"/>
                <w:szCs w:val="18"/>
                <w:lang w:eastAsia="ru-RU"/>
              </w:rPr>
              <w:t>86,437</w:t>
            </w:r>
          </w:p>
        </w:tc>
        <w:tc>
          <w:tcPr>
            <w:tcW w:w="708" w:type="dxa"/>
            <w:tcBorders>
              <w:top w:val="single" w:sz="4" w:space="0" w:color="FFFFFF" w:themeColor="background1"/>
            </w:tcBorders>
            <w:vAlign w:val="center"/>
            <w:hideMark/>
          </w:tcPr>
          <w:p w14:paraId="5C312FC7" w14:textId="77777777" w:rsidR="009A4C46" w:rsidRPr="00F94FED" w:rsidRDefault="009A4C46" w:rsidP="00CB5AA8">
            <w:pPr>
              <w:spacing w:line="283" w:lineRule="auto"/>
              <w:jc w:val="center"/>
              <w:rPr>
                <w:rFonts w:eastAsia="Times New Roman"/>
                <w:b/>
                <w:bCs/>
                <w:sz w:val="18"/>
                <w:szCs w:val="18"/>
                <w:lang w:eastAsia="ru-RU"/>
              </w:rPr>
            </w:pPr>
            <w:r w:rsidRPr="00F94FED">
              <w:rPr>
                <w:rFonts w:eastAsia="Times New Roman"/>
                <w:b/>
                <w:bCs/>
                <w:sz w:val="18"/>
                <w:szCs w:val="18"/>
                <w:lang w:eastAsia="ru-RU"/>
              </w:rPr>
              <w:t>0,00</w:t>
            </w:r>
          </w:p>
        </w:tc>
        <w:tc>
          <w:tcPr>
            <w:tcW w:w="709" w:type="dxa"/>
            <w:tcBorders>
              <w:top w:val="single" w:sz="4" w:space="0" w:color="FFFFFF" w:themeColor="background1"/>
            </w:tcBorders>
            <w:vAlign w:val="center"/>
            <w:hideMark/>
          </w:tcPr>
          <w:p w14:paraId="6602B9F6" w14:textId="77777777" w:rsidR="009A4C46" w:rsidRPr="00F94FED" w:rsidRDefault="009A4C46" w:rsidP="00CB5AA8">
            <w:pPr>
              <w:spacing w:line="283" w:lineRule="auto"/>
              <w:jc w:val="center"/>
              <w:rPr>
                <w:rFonts w:eastAsia="Times New Roman"/>
                <w:b/>
                <w:bCs/>
                <w:sz w:val="18"/>
                <w:szCs w:val="18"/>
                <w:lang w:eastAsia="ru-RU"/>
              </w:rPr>
            </w:pPr>
            <w:r w:rsidRPr="00F94FED">
              <w:rPr>
                <w:rFonts w:eastAsia="Times New Roman"/>
                <w:b/>
                <w:bCs/>
                <w:sz w:val="18"/>
                <w:szCs w:val="18"/>
                <w:lang w:eastAsia="ru-RU"/>
              </w:rPr>
              <w:t>0,00</w:t>
            </w:r>
          </w:p>
        </w:tc>
        <w:tc>
          <w:tcPr>
            <w:tcW w:w="992" w:type="dxa"/>
            <w:tcBorders>
              <w:top w:val="single" w:sz="4" w:space="0" w:color="FFFFFF" w:themeColor="background1"/>
            </w:tcBorders>
            <w:vAlign w:val="center"/>
            <w:hideMark/>
          </w:tcPr>
          <w:p w14:paraId="11A4F5F3" w14:textId="77777777" w:rsidR="009A4C46" w:rsidRPr="00F94FED" w:rsidRDefault="009A4C46" w:rsidP="00CB5AA8">
            <w:pPr>
              <w:spacing w:line="283" w:lineRule="auto"/>
              <w:jc w:val="center"/>
              <w:rPr>
                <w:rFonts w:eastAsia="Times New Roman"/>
                <w:b/>
                <w:bCs/>
                <w:sz w:val="18"/>
                <w:szCs w:val="18"/>
                <w:lang w:eastAsia="ru-RU"/>
              </w:rPr>
            </w:pPr>
            <w:r w:rsidRPr="00F94FED">
              <w:rPr>
                <w:rFonts w:eastAsia="Times New Roman"/>
                <w:b/>
                <w:bCs/>
                <w:sz w:val="18"/>
                <w:szCs w:val="18"/>
                <w:lang w:eastAsia="ru-RU"/>
              </w:rPr>
              <w:t>159,382</w:t>
            </w:r>
          </w:p>
        </w:tc>
        <w:tc>
          <w:tcPr>
            <w:tcW w:w="957" w:type="dxa"/>
            <w:tcBorders>
              <w:top w:val="single" w:sz="4" w:space="0" w:color="FFFFFF" w:themeColor="background1"/>
            </w:tcBorders>
            <w:vAlign w:val="center"/>
            <w:hideMark/>
          </w:tcPr>
          <w:p w14:paraId="007C2E1E" w14:textId="77777777" w:rsidR="009A4C46" w:rsidRPr="00F94FED" w:rsidRDefault="009A4C46" w:rsidP="00CB5AA8">
            <w:pPr>
              <w:spacing w:line="283" w:lineRule="auto"/>
              <w:jc w:val="center"/>
              <w:rPr>
                <w:rFonts w:eastAsia="Times New Roman"/>
                <w:b/>
                <w:bCs/>
                <w:sz w:val="18"/>
                <w:szCs w:val="18"/>
                <w:lang w:eastAsia="ru-RU"/>
              </w:rPr>
            </w:pPr>
            <w:r w:rsidRPr="00F94FED">
              <w:rPr>
                <w:rFonts w:eastAsia="Times New Roman"/>
                <w:b/>
                <w:bCs/>
                <w:sz w:val="18"/>
                <w:szCs w:val="18"/>
                <w:lang w:eastAsia="ru-RU"/>
              </w:rPr>
              <w:t>147,034</w:t>
            </w:r>
          </w:p>
        </w:tc>
      </w:tr>
      <w:tr w:rsidR="009A4C46" w:rsidRPr="008D170D" w14:paraId="3AEC3D5B" w14:textId="77777777" w:rsidTr="0063188C">
        <w:trPr>
          <w:trHeight w:val="300"/>
        </w:trPr>
        <w:tc>
          <w:tcPr>
            <w:tcW w:w="1984" w:type="dxa"/>
          </w:tcPr>
          <w:p w14:paraId="5F5EFAFF" w14:textId="77777777" w:rsidR="009A4C46" w:rsidRPr="00F94FED" w:rsidRDefault="009A4C46" w:rsidP="00CB5AA8">
            <w:pPr>
              <w:spacing w:line="283" w:lineRule="auto"/>
              <w:rPr>
                <w:rFonts w:eastAsia="Times New Roman"/>
                <w:b/>
                <w:sz w:val="18"/>
                <w:szCs w:val="18"/>
                <w:lang w:eastAsia="ru-RU"/>
              </w:rPr>
            </w:pPr>
            <w:r w:rsidRPr="00F94FED">
              <w:rPr>
                <w:rFonts w:eastAsia="Times New Roman"/>
                <w:b/>
                <w:sz w:val="18"/>
                <w:szCs w:val="18"/>
                <w:lang w:eastAsia="ru-RU"/>
              </w:rPr>
              <w:t>Достройка, дооборудование, модернизация</w:t>
            </w:r>
          </w:p>
        </w:tc>
        <w:tc>
          <w:tcPr>
            <w:tcW w:w="992" w:type="dxa"/>
            <w:vAlign w:val="center"/>
            <w:hideMark/>
          </w:tcPr>
          <w:p w14:paraId="59CFE266" w14:textId="77777777" w:rsidR="009A4C46" w:rsidRPr="00F94FED" w:rsidRDefault="009A4C46" w:rsidP="00CB5AA8">
            <w:pPr>
              <w:spacing w:line="283" w:lineRule="auto"/>
              <w:jc w:val="center"/>
              <w:rPr>
                <w:rFonts w:eastAsia="Times New Roman"/>
                <w:sz w:val="18"/>
                <w:szCs w:val="18"/>
                <w:lang w:eastAsia="ru-RU"/>
              </w:rPr>
            </w:pPr>
            <w:r w:rsidRPr="00F94FED">
              <w:rPr>
                <w:rFonts w:eastAsia="Times New Roman"/>
                <w:sz w:val="18"/>
                <w:szCs w:val="18"/>
                <w:lang w:eastAsia="ru-RU"/>
              </w:rPr>
              <w:t>0,00</w:t>
            </w:r>
          </w:p>
        </w:tc>
        <w:tc>
          <w:tcPr>
            <w:tcW w:w="992" w:type="dxa"/>
            <w:vAlign w:val="center"/>
            <w:hideMark/>
          </w:tcPr>
          <w:p w14:paraId="172D5420" w14:textId="77777777" w:rsidR="009A4C46" w:rsidRPr="00F94FED" w:rsidRDefault="009A4C46" w:rsidP="00CB5AA8">
            <w:pPr>
              <w:spacing w:line="283" w:lineRule="auto"/>
              <w:jc w:val="center"/>
              <w:rPr>
                <w:rFonts w:eastAsia="Times New Roman"/>
                <w:sz w:val="18"/>
                <w:szCs w:val="18"/>
                <w:lang w:eastAsia="ru-RU"/>
              </w:rPr>
            </w:pPr>
            <w:r w:rsidRPr="00F94FED">
              <w:rPr>
                <w:rFonts w:eastAsia="Times New Roman"/>
                <w:sz w:val="18"/>
                <w:szCs w:val="18"/>
                <w:lang w:eastAsia="ru-RU"/>
              </w:rPr>
              <w:t>0,00</w:t>
            </w:r>
          </w:p>
        </w:tc>
        <w:tc>
          <w:tcPr>
            <w:tcW w:w="992" w:type="dxa"/>
            <w:vAlign w:val="center"/>
            <w:hideMark/>
          </w:tcPr>
          <w:p w14:paraId="410106C6" w14:textId="77777777" w:rsidR="009A4C46" w:rsidRPr="00F94FED" w:rsidRDefault="009A4C46" w:rsidP="00CB5AA8">
            <w:pPr>
              <w:spacing w:line="283" w:lineRule="auto"/>
              <w:jc w:val="center"/>
              <w:rPr>
                <w:rFonts w:eastAsia="Times New Roman"/>
                <w:sz w:val="18"/>
                <w:szCs w:val="18"/>
                <w:lang w:eastAsia="ru-RU"/>
              </w:rPr>
            </w:pPr>
            <w:r w:rsidRPr="00F94FED">
              <w:rPr>
                <w:rFonts w:eastAsia="Times New Roman"/>
                <w:sz w:val="18"/>
                <w:szCs w:val="18"/>
                <w:lang w:eastAsia="ru-RU"/>
              </w:rPr>
              <w:t>0,00</w:t>
            </w:r>
          </w:p>
        </w:tc>
        <w:tc>
          <w:tcPr>
            <w:tcW w:w="993" w:type="dxa"/>
            <w:vAlign w:val="center"/>
            <w:hideMark/>
          </w:tcPr>
          <w:p w14:paraId="5F6DA7C7" w14:textId="77777777" w:rsidR="009A4C46" w:rsidRPr="00F94FED" w:rsidRDefault="009A4C46" w:rsidP="00CB5AA8">
            <w:pPr>
              <w:spacing w:line="283" w:lineRule="auto"/>
              <w:jc w:val="center"/>
              <w:rPr>
                <w:rFonts w:eastAsia="Times New Roman"/>
                <w:sz w:val="18"/>
                <w:szCs w:val="18"/>
                <w:lang w:eastAsia="ru-RU"/>
              </w:rPr>
            </w:pPr>
            <w:r w:rsidRPr="00F94FED">
              <w:rPr>
                <w:rFonts w:eastAsia="Times New Roman"/>
                <w:sz w:val="18"/>
                <w:szCs w:val="18"/>
                <w:lang w:eastAsia="ru-RU"/>
              </w:rPr>
              <w:t>0,00</w:t>
            </w:r>
          </w:p>
        </w:tc>
        <w:tc>
          <w:tcPr>
            <w:tcW w:w="708" w:type="dxa"/>
            <w:vAlign w:val="center"/>
            <w:hideMark/>
          </w:tcPr>
          <w:p w14:paraId="0CCA72EF" w14:textId="77777777" w:rsidR="009A4C46" w:rsidRPr="00F94FED" w:rsidRDefault="009A4C46" w:rsidP="00CB5AA8">
            <w:pPr>
              <w:spacing w:line="283" w:lineRule="auto"/>
              <w:jc w:val="center"/>
              <w:rPr>
                <w:rFonts w:eastAsia="Times New Roman"/>
                <w:sz w:val="18"/>
                <w:szCs w:val="18"/>
                <w:lang w:eastAsia="ru-RU"/>
              </w:rPr>
            </w:pPr>
            <w:r w:rsidRPr="00F94FED">
              <w:rPr>
                <w:rFonts w:eastAsia="Times New Roman"/>
                <w:sz w:val="18"/>
                <w:szCs w:val="18"/>
                <w:lang w:eastAsia="ru-RU"/>
              </w:rPr>
              <w:t>0,00</w:t>
            </w:r>
          </w:p>
        </w:tc>
        <w:tc>
          <w:tcPr>
            <w:tcW w:w="709" w:type="dxa"/>
            <w:vAlign w:val="center"/>
            <w:hideMark/>
          </w:tcPr>
          <w:p w14:paraId="4DA7F50B" w14:textId="77777777" w:rsidR="009A4C46" w:rsidRPr="00F94FED" w:rsidRDefault="009A4C46" w:rsidP="00CB5AA8">
            <w:pPr>
              <w:spacing w:line="283" w:lineRule="auto"/>
              <w:jc w:val="center"/>
              <w:rPr>
                <w:rFonts w:eastAsia="Times New Roman"/>
                <w:sz w:val="18"/>
                <w:szCs w:val="18"/>
                <w:lang w:eastAsia="ru-RU"/>
              </w:rPr>
            </w:pPr>
            <w:r w:rsidRPr="00F94FED">
              <w:rPr>
                <w:rFonts w:eastAsia="Times New Roman"/>
                <w:sz w:val="18"/>
                <w:szCs w:val="18"/>
                <w:lang w:eastAsia="ru-RU"/>
              </w:rPr>
              <w:t>0,00</w:t>
            </w:r>
          </w:p>
        </w:tc>
        <w:tc>
          <w:tcPr>
            <w:tcW w:w="992" w:type="dxa"/>
            <w:vAlign w:val="center"/>
            <w:hideMark/>
          </w:tcPr>
          <w:p w14:paraId="3F708601" w14:textId="77777777" w:rsidR="009A4C46" w:rsidRPr="00F94FED" w:rsidRDefault="009A4C46" w:rsidP="00CB5AA8">
            <w:pPr>
              <w:spacing w:line="283" w:lineRule="auto"/>
              <w:jc w:val="center"/>
              <w:rPr>
                <w:rFonts w:eastAsia="Times New Roman"/>
                <w:sz w:val="18"/>
                <w:szCs w:val="18"/>
                <w:lang w:eastAsia="ru-RU"/>
              </w:rPr>
            </w:pPr>
            <w:r w:rsidRPr="00F94FED">
              <w:rPr>
                <w:rFonts w:eastAsia="Times New Roman"/>
                <w:sz w:val="18"/>
                <w:szCs w:val="18"/>
                <w:lang w:eastAsia="ru-RU"/>
              </w:rPr>
              <w:t>0,00</w:t>
            </w:r>
          </w:p>
        </w:tc>
        <w:tc>
          <w:tcPr>
            <w:tcW w:w="957" w:type="dxa"/>
            <w:vAlign w:val="center"/>
            <w:hideMark/>
          </w:tcPr>
          <w:p w14:paraId="5AD1BA7D" w14:textId="77777777" w:rsidR="009A4C46" w:rsidRPr="00F94FED" w:rsidRDefault="009A4C46" w:rsidP="00CB5AA8">
            <w:pPr>
              <w:spacing w:line="283" w:lineRule="auto"/>
              <w:jc w:val="center"/>
              <w:rPr>
                <w:rFonts w:eastAsia="Times New Roman"/>
                <w:sz w:val="18"/>
                <w:szCs w:val="18"/>
                <w:lang w:eastAsia="ru-RU"/>
              </w:rPr>
            </w:pPr>
            <w:r w:rsidRPr="00F94FED">
              <w:rPr>
                <w:rFonts w:eastAsia="Times New Roman"/>
                <w:sz w:val="18"/>
                <w:szCs w:val="18"/>
                <w:lang w:eastAsia="ru-RU"/>
              </w:rPr>
              <w:t>0,00</w:t>
            </w:r>
          </w:p>
        </w:tc>
      </w:tr>
      <w:tr w:rsidR="009A4C46" w:rsidRPr="008D170D" w14:paraId="6AF274A3" w14:textId="77777777" w:rsidTr="0063188C">
        <w:trPr>
          <w:trHeight w:val="300"/>
        </w:trPr>
        <w:tc>
          <w:tcPr>
            <w:tcW w:w="1984" w:type="dxa"/>
          </w:tcPr>
          <w:p w14:paraId="13FA8DC6" w14:textId="77777777" w:rsidR="009A4C46" w:rsidRPr="00F94FED" w:rsidRDefault="009A4C46" w:rsidP="00CB5AA8">
            <w:pPr>
              <w:spacing w:line="283" w:lineRule="auto"/>
              <w:rPr>
                <w:rFonts w:eastAsia="Times New Roman"/>
                <w:b/>
                <w:sz w:val="18"/>
                <w:szCs w:val="18"/>
                <w:lang w:eastAsia="ru-RU"/>
              </w:rPr>
            </w:pPr>
            <w:r w:rsidRPr="00F94FED">
              <w:rPr>
                <w:rFonts w:eastAsia="Times New Roman"/>
                <w:b/>
                <w:sz w:val="18"/>
                <w:szCs w:val="18"/>
                <w:lang w:eastAsia="ru-RU"/>
              </w:rPr>
              <w:t>Реконструкция</w:t>
            </w:r>
          </w:p>
        </w:tc>
        <w:tc>
          <w:tcPr>
            <w:tcW w:w="992" w:type="dxa"/>
            <w:vAlign w:val="center"/>
            <w:hideMark/>
          </w:tcPr>
          <w:p w14:paraId="0E1DA3DF" w14:textId="77777777" w:rsidR="009A4C46" w:rsidRPr="00F94FED" w:rsidRDefault="009A4C46" w:rsidP="00CB5AA8">
            <w:pPr>
              <w:spacing w:line="283" w:lineRule="auto"/>
              <w:jc w:val="center"/>
              <w:rPr>
                <w:rFonts w:eastAsia="Times New Roman"/>
                <w:sz w:val="18"/>
                <w:szCs w:val="18"/>
                <w:lang w:eastAsia="ru-RU"/>
              </w:rPr>
            </w:pPr>
            <w:r w:rsidRPr="00F94FED">
              <w:rPr>
                <w:rFonts w:eastAsia="Times New Roman"/>
                <w:sz w:val="18"/>
                <w:szCs w:val="18"/>
                <w:lang w:eastAsia="ru-RU"/>
              </w:rPr>
              <w:t>53,729</w:t>
            </w:r>
          </w:p>
        </w:tc>
        <w:tc>
          <w:tcPr>
            <w:tcW w:w="992" w:type="dxa"/>
            <w:vAlign w:val="center"/>
            <w:hideMark/>
          </w:tcPr>
          <w:p w14:paraId="22246BAB" w14:textId="77777777" w:rsidR="009A4C46" w:rsidRPr="00F94FED" w:rsidRDefault="009A4C46" w:rsidP="00CB5AA8">
            <w:pPr>
              <w:spacing w:line="283" w:lineRule="auto"/>
              <w:jc w:val="center"/>
              <w:rPr>
                <w:rFonts w:eastAsia="Times New Roman"/>
                <w:sz w:val="18"/>
                <w:szCs w:val="18"/>
                <w:lang w:eastAsia="ru-RU"/>
              </w:rPr>
            </w:pPr>
            <w:r w:rsidRPr="00F94FED">
              <w:rPr>
                <w:rFonts w:eastAsia="Times New Roman"/>
                <w:sz w:val="18"/>
                <w:szCs w:val="18"/>
                <w:lang w:eastAsia="ru-RU"/>
              </w:rPr>
              <w:t>50,763</w:t>
            </w:r>
          </w:p>
        </w:tc>
        <w:tc>
          <w:tcPr>
            <w:tcW w:w="992" w:type="dxa"/>
            <w:vAlign w:val="center"/>
            <w:hideMark/>
          </w:tcPr>
          <w:p w14:paraId="6A4347CD" w14:textId="77777777" w:rsidR="009A4C46" w:rsidRPr="00F94FED" w:rsidRDefault="009A4C46" w:rsidP="00CB5AA8">
            <w:pPr>
              <w:spacing w:line="283" w:lineRule="auto"/>
              <w:jc w:val="center"/>
              <w:rPr>
                <w:rFonts w:eastAsia="Times New Roman"/>
                <w:sz w:val="18"/>
                <w:szCs w:val="18"/>
                <w:lang w:eastAsia="ru-RU"/>
              </w:rPr>
            </w:pPr>
            <w:r w:rsidRPr="00F94FED">
              <w:rPr>
                <w:rFonts w:eastAsia="Times New Roman"/>
                <w:sz w:val="18"/>
                <w:szCs w:val="18"/>
                <w:lang w:eastAsia="ru-RU"/>
              </w:rPr>
              <w:t>53,729</w:t>
            </w:r>
          </w:p>
        </w:tc>
        <w:tc>
          <w:tcPr>
            <w:tcW w:w="993" w:type="dxa"/>
            <w:vAlign w:val="center"/>
            <w:hideMark/>
          </w:tcPr>
          <w:p w14:paraId="322664A8" w14:textId="77777777" w:rsidR="009A4C46" w:rsidRPr="00F94FED" w:rsidRDefault="009A4C46" w:rsidP="00CB5AA8">
            <w:pPr>
              <w:spacing w:line="283" w:lineRule="auto"/>
              <w:jc w:val="center"/>
              <w:rPr>
                <w:rFonts w:eastAsia="Times New Roman"/>
                <w:sz w:val="18"/>
                <w:szCs w:val="18"/>
                <w:lang w:eastAsia="ru-RU"/>
              </w:rPr>
            </w:pPr>
            <w:r w:rsidRPr="00F94FED">
              <w:rPr>
                <w:rFonts w:eastAsia="Times New Roman"/>
                <w:sz w:val="18"/>
                <w:szCs w:val="18"/>
                <w:lang w:eastAsia="ru-RU"/>
              </w:rPr>
              <w:t>50,763</w:t>
            </w:r>
          </w:p>
        </w:tc>
        <w:tc>
          <w:tcPr>
            <w:tcW w:w="708" w:type="dxa"/>
            <w:vAlign w:val="center"/>
            <w:hideMark/>
          </w:tcPr>
          <w:p w14:paraId="05F04B10" w14:textId="77777777" w:rsidR="009A4C46" w:rsidRPr="00F94FED" w:rsidRDefault="009A4C46" w:rsidP="00CB5AA8">
            <w:pPr>
              <w:spacing w:line="283" w:lineRule="auto"/>
              <w:jc w:val="center"/>
              <w:rPr>
                <w:rFonts w:eastAsia="Times New Roman"/>
                <w:sz w:val="18"/>
                <w:szCs w:val="18"/>
                <w:lang w:eastAsia="ru-RU"/>
              </w:rPr>
            </w:pPr>
            <w:r w:rsidRPr="00F94FED">
              <w:rPr>
                <w:rFonts w:eastAsia="Times New Roman"/>
                <w:sz w:val="18"/>
                <w:szCs w:val="18"/>
                <w:lang w:eastAsia="ru-RU"/>
              </w:rPr>
              <w:t>0,00</w:t>
            </w:r>
          </w:p>
        </w:tc>
        <w:tc>
          <w:tcPr>
            <w:tcW w:w="709" w:type="dxa"/>
            <w:vAlign w:val="center"/>
            <w:hideMark/>
          </w:tcPr>
          <w:p w14:paraId="6E7C69F8" w14:textId="77777777" w:rsidR="009A4C46" w:rsidRPr="00F94FED" w:rsidRDefault="009A4C46" w:rsidP="00CB5AA8">
            <w:pPr>
              <w:spacing w:line="283" w:lineRule="auto"/>
              <w:jc w:val="center"/>
              <w:rPr>
                <w:rFonts w:eastAsia="Times New Roman"/>
                <w:sz w:val="18"/>
                <w:szCs w:val="18"/>
                <w:lang w:eastAsia="ru-RU"/>
              </w:rPr>
            </w:pPr>
            <w:r w:rsidRPr="00F94FED">
              <w:rPr>
                <w:rFonts w:eastAsia="Times New Roman"/>
                <w:sz w:val="18"/>
                <w:szCs w:val="18"/>
                <w:lang w:eastAsia="ru-RU"/>
              </w:rPr>
              <w:t>0,00</w:t>
            </w:r>
          </w:p>
        </w:tc>
        <w:tc>
          <w:tcPr>
            <w:tcW w:w="992" w:type="dxa"/>
            <w:vAlign w:val="center"/>
            <w:hideMark/>
          </w:tcPr>
          <w:p w14:paraId="35FA4209" w14:textId="77777777" w:rsidR="009A4C46" w:rsidRPr="00F94FED" w:rsidRDefault="009A4C46" w:rsidP="00CB5AA8">
            <w:pPr>
              <w:spacing w:line="283" w:lineRule="auto"/>
              <w:jc w:val="center"/>
              <w:rPr>
                <w:rFonts w:eastAsia="Times New Roman"/>
                <w:sz w:val="18"/>
                <w:szCs w:val="18"/>
                <w:lang w:eastAsia="ru-RU"/>
              </w:rPr>
            </w:pPr>
            <w:r w:rsidRPr="00F94FED">
              <w:rPr>
                <w:rFonts w:eastAsia="Times New Roman"/>
                <w:sz w:val="18"/>
                <w:szCs w:val="18"/>
                <w:lang w:eastAsia="ru-RU"/>
              </w:rPr>
              <w:t>0,00</w:t>
            </w:r>
          </w:p>
        </w:tc>
        <w:tc>
          <w:tcPr>
            <w:tcW w:w="957" w:type="dxa"/>
            <w:vAlign w:val="center"/>
            <w:hideMark/>
          </w:tcPr>
          <w:p w14:paraId="5CC41F52" w14:textId="77777777" w:rsidR="009A4C46" w:rsidRPr="00F94FED" w:rsidRDefault="009A4C46" w:rsidP="00CB5AA8">
            <w:pPr>
              <w:spacing w:line="283" w:lineRule="auto"/>
              <w:jc w:val="center"/>
              <w:rPr>
                <w:rFonts w:eastAsia="Times New Roman"/>
                <w:sz w:val="18"/>
                <w:szCs w:val="18"/>
                <w:lang w:eastAsia="ru-RU"/>
              </w:rPr>
            </w:pPr>
            <w:r w:rsidRPr="00F94FED">
              <w:rPr>
                <w:rFonts w:eastAsia="Times New Roman"/>
                <w:sz w:val="18"/>
                <w:szCs w:val="18"/>
                <w:lang w:eastAsia="ru-RU"/>
              </w:rPr>
              <w:t>0,00</w:t>
            </w:r>
          </w:p>
        </w:tc>
      </w:tr>
      <w:tr w:rsidR="009A4C46" w:rsidRPr="008D170D" w14:paraId="64A1A41C" w14:textId="77777777" w:rsidTr="0063188C">
        <w:trPr>
          <w:trHeight w:val="300"/>
        </w:trPr>
        <w:tc>
          <w:tcPr>
            <w:tcW w:w="1984" w:type="dxa"/>
          </w:tcPr>
          <w:p w14:paraId="727187F9" w14:textId="77777777" w:rsidR="009A4C46" w:rsidRPr="00F94FED" w:rsidRDefault="009A4C46" w:rsidP="00CB5AA8">
            <w:pPr>
              <w:spacing w:line="283" w:lineRule="auto"/>
              <w:rPr>
                <w:rFonts w:eastAsia="Times New Roman"/>
                <w:b/>
                <w:sz w:val="18"/>
                <w:szCs w:val="18"/>
                <w:lang w:eastAsia="ru-RU"/>
              </w:rPr>
            </w:pPr>
            <w:r w:rsidRPr="00F94FED">
              <w:rPr>
                <w:rFonts w:eastAsia="Times New Roman"/>
                <w:b/>
                <w:sz w:val="18"/>
                <w:szCs w:val="18"/>
                <w:lang w:eastAsia="ru-RU"/>
              </w:rPr>
              <w:t>Техническое перевооружение</w:t>
            </w:r>
          </w:p>
        </w:tc>
        <w:tc>
          <w:tcPr>
            <w:tcW w:w="992" w:type="dxa"/>
            <w:vAlign w:val="center"/>
            <w:hideMark/>
          </w:tcPr>
          <w:p w14:paraId="087A57EB" w14:textId="77777777" w:rsidR="009A4C46" w:rsidRPr="00F94FED" w:rsidRDefault="009A4C46" w:rsidP="00CB5AA8">
            <w:pPr>
              <w:spacing w:line="283" w:lineRule="auto"/>
              <w:jc w:val="center"/>
              <w:rPr>
                <w:rFonts w:eastAsia="Times New Roman"/>
                <w:sz w:val="18"/>
                <w:szCs w:val="18"/>
                <w:lang w:eastAsia="ru-RU"/>
              </w:rPr>
            </w:pPr>
            <w:r w:rsidRPr="00F94FED">
              <w:rPr>
                <w:rFonts w:eastAsia="Times New Roman"/>
                <w:sz w:val="18"/>
                <w:szCs w:val="18"/>
                <w:lang w:eastAsia="ru-RU"/>
              </w:rPr>
              <w:t>0,00</w:t>
            </w:r>
          </w:p>
        </w:tc>
        <w:tc>
          <w:tcPr>
            <w:tcW w:w="992" w:type="dxa"/>
            <w:vAlign w:val="center"/>
            <w:hideMark/>
          </w:tcPr>
          <w:p w14:paraId="588B7A9B" w14:textId="77777777" w:rsidR="009A4C46" w:rsidRPr="00F94FED" w:rsidRDefault="009A4C46" w:rsidP="00CB5AA8">
            <w:pPr>
              <w:spacing w:line="283" w:lineRule="auto"/>
              <w:jc w:val="center"/>
              <w:rPr>
                <w:rFonts w:eastAsia="Times New Roman"/>
                <w:sz w:val="18"/>
                <w:szCs w:val="18"/>
                <w:lang w:eastAsia="ru-RU"/>
              </w:rPr>
            </w:pPr>
            <w:r w:rsidRPr="00F94FED">
              <w:rPr>
                <w:rFonts w:eastAsia="Times New Roman"/>
                <w:sz w:val="18"/>
                <w:szCs w:val="18"/>
                <w:lang w:eastAsia="ru-RU"/>
              </w:rPr>
              <w:t>0,00</w:t>
            </w:r>
          </w:p>
        </w:tc>
        <w:tc>
          <w:tcPr>
            <w:tcW w:w="992" w:type="dxa"/>
            <w:vAlign w:val="center"/>
            <w:hideMark/>
          </w:tcPr>
          <w:p w14:paraId="79EB7AE6" w14:textId="77777777" w:rsidR="009A4C46" w:rsidRPr="00F94FED" w:rsidRDefault="009A4C46" w:rsidP="00CB5AA8">
            <w:pPr>
              <w:spacing w:line="283" w:lineRule="auto"/>
              <w:jc w:val="center"/>
              <w:rPr>
                <w:rFonts w:eastAsia="Times New Roman"/>
                <w:sz w:val="18"/>
                <w:szCs w:val="18"/>
                <w:lang w:eastAsia="ru-RU"/>
              </w:rPr>
            </w:pPr>
            <w:r w:rsidRPr="00F94FED">
              <w:rPr>
                <w:rFonts w:eastAsia="Times New Roman"/>
                <w:sz w:val="18"/>
                <w:szCs w:val="18"/>
                <w:lang w:eastAsia="ru-RU"/>
              </w:rPr>
              <w:t>0,00</w:t>
            </w:r>
          </w:p>
        </w:tc>
        <w:tc>
          <w:tcPr>
            <w:tcW w:w="993" w:type="dxa"/>
            <w:vAlign w:val="center"/>
            <w:hideMark/>
          </w:tcPr>
          <w:p w14:paraId="59D6CDA7" w14:textId="77777777" w:rsidR="009A4C46" w:rsidRPr="00F94FED" w:rsidRDefault="009A4C46" w:rsidP="00CB5AA8">
            <w:pPr>
              <w:spacing w:line="283" w:lineRule="auto"/>
              <w:jc w:val="center"/>
              <w:rPr>
                <w:rFonts w:eastAsia="Times New Roman"/>
                <w:sz w:val="18"/>
                <w:szCs w:val="18"/>
                <w:lang w:eastAsia="ru-RU"/>
              </w:rPr>
            </w:pPr>
            <w:r w:rsidRPr="00F94FED">
              <w:rPr>
                <w:rFonts w:eastAsia="Times New Roman"/>
                <w:sz w:val="18"/>
                <w:szCs w:val="18"/>
                <w:lang w:eastAsia="ru-RU"/>
              </w:rPr>
              <w:t>0,00</w:t>
            </w:r>
          </w:p>
        </w:tc>
        <w:tc>
          <w:tcPr>
            <w:tcW w:w="708" w:type="dxa"/>
            <w:vAlign w:val="center"/>
            <w:hideMark/>
          </w:tcPr>
          <w:p w14:paraId="209C6280" w14:textId="77777777" w:rsidR="009A4C46" w:rsidRPr="00F94FED" w:rsidRDefault="009A4C46" w:rsidP="00CB5AA8">
            <w:pPr>
              <w:spacing w:line="283" w:lineRule="auto"/>
              <w:jc w:val="center"/>
              <w:rPr>
                <w:rFonts w:eastAsia="Times New Roman"/>
                <w:sz w:val="18"/>
                <w:szCs w:val="18"/>
                <w:lang w:eastAsia="ru-RU"/>
              </w:rPr>
            </w:pPr>
            <w:r w:rsidRPr="00F94FED">
              <w:rPr>
                <w:rFonts w:eastAsia="Times New Roman"/>
                <w:sz w:val="18"/>
                <w:szCs w:val="18"/>
                <w:lang w:eastAsia="ru-RU"/>
              </w:rPr>
              <w:t>0,00</w:t>
            </w:r>
          </w:p>
        </w:tc>
        <w:tc>
          <w:tcPr>
            <w:tcW w:w="709" w:type="dxa"/>
            <w:vAlign w:val="center"/>
            <w:hideMark/>
          </w:tcPr>
          <w:p w14:paraId="2A7B9262" w14:textId="77777777" w:rsidR="009A4C46" w:rsidRPr="00F94FED" w:rsidRDefault="009A4C46" w:rsidP="00CB5AA8">
            <w:pPr>
              <w:spacing w:line="283" w:lineRule="auto"/>
              <w:jc w:val="center"/>
              <w:rPr>
                <w:rFonts w:eastAsia="Times New Roman"/>
                <w:sz w:val="18"/>
                <w:szCs w:val="18"/>
                <w:lang w:eastAsia="ru-RU"/>
              </w:rPr>
            </w:pPr>
            <w:r w:rsidRPr="00F94FED">
              <w:rPr>
                <w:rFonts w:eastAsia="Times New Roman"/>
                <w:sz w:val="18"/>
                <w:szCs w:val="18"/>
                <w:lang w:eastAsia="ru-RU"/>
              </w:rPr>
              <w:t>0,00</w:t>
            </w:r>
          </w:p>
        </w:tc>
        <w:tc>
          <w:tcPr>
            <w:tcW w:w="992" w:type="dxa"/>
            <w:vAlign w:val="center"/>
            <w:hideMark/>
          </w:tcPr>
          <w:p w14:paraId="61AB70D2" w14:textId="77777777" w:rsidR="009A4C46" w:rsidRPr="00F94FED" w:rsidRDefault="009A4C46" w:rsidP="00CB5AA8">
            <w:pPr>
              <w:spacing w:line="283" w:lineRule="auto"/>
              <w:jc w:val="center"/>
              <w:rPr>
                <w:rFonts w:eastAsia="Times New Roman"/>
                <w:sz w:val="18"/>
                <w:szCs w:val="18"/>
                <w:lang w:eastAsia="ru-RU"/>
              </w:rPr>
            </w:pPr>
            <w:r w:rsidRPr="00F94FED">
              <w:rPr>
                <w:rFonts w:eastAsia="Times New Roman"/>
                <w:sz w:val="18"/>
                <w:szCs w:val="18"/>
                <w:lang w:eastAsia="ru-RU"/>
              </w:rPr>
              <w:t>0,00</w:t>
            </w:r>
          </w:p>
        </w:tc>
        <w:tc>
          <w:tcPr>
            <w:tcW w:w="957" w:type="dxa"/>
            <w:vAlign w:val="center"/>
            <w:hideMark/>
          </w:tcPr>
          <w:p w14:paraId="0914237A" w14:textId="77777777" w:rsidR="009A4C46" w:rsidRPr="00F94FED" w:rsidRDefault="009A4C46" w:rsidP="00CB5AA8">
            <w:pPr>
              <w:spacing w:line="283" w:lineRule="auto"/>
              <w:jc w:val="center"/>
              <w:rPr>
                <w:rFonts w:eastAsia="Times New Roman"/>
                <w:sz w:val="18"/>
                <w:szCs w:val="18"/>
                <w:lang w:eastAsia="ru-RU"/>
              </w:rPr>
            </w:pPr>
            <w:r w:rsidRPr="00F94FED">
              <w:rPr>
                <w:rFonts w:eastAsia="Times New Roman"/>
                <w:sz w:val="18"/>
                <w:szCs w:val="18"/>
                <w:lang w:eastAsia="ru-RU"/>
              </w:rPr>
              <w:t>0,00</w:t>
            </w:r>
          </w:p>
        </w:tc>
      </w:tr>
      <w:tr w:rsidR="009A4C46" w:rsidRPr="008D170D" w14:paraId="197D1F4F" w14:textId="77777777" w:rsidTr="0063188C">
        <w:trPr>
          <w:trHeight w:val="300"/>
        </w:trPr>
        <w:tc>
          <w:tcPr>
            <w:tcW w:w="1984" w:type="dxa"/>
          </w:tcPr>
          <w:p w14:paraId="2821A722" w14:textId="77777777" w:rsidR="009A4C46" w:rsidRPr="00F94FED" w:rsidRDefault="009A4C46" w:rsidP="00CB5AA8">
            <w:pPr>
              <w:spacing w:line="283" w:lineRule="auto"/>
              <w:rPr>
                <w:rFonts w:eastAsia="Times New Roman"/>
                <w:b/>
                <w:sz w:val="18"/>
                <w:szCs w:val="18"/>
                <w:lang w:eastAsia="ru-RU"/>
              </w:rPr>
            </w:pPr>
            <w:r w:rsidRPr="00F94FED">
              <w:rPr>
                <w:rFonts w:eastAsia="Times New Roman"/>
                <w:b/>
                <w:sz w:val="18"/>
                <w:szCs w:val="18"/>
                <w:lang w:eastAsia="ru-RU"/>
              </w:rPr>
              <w:t>Новое строительство</w:t>
            </w:r>
          </w:p>
        </w:tc>
        <w:tc>
          <w:tcPr>
            <w:tcW w:w="992" w:type="dxa"/>
            <w:vAlign w:val="center"/>
            <w:hideMark/>
          </w:tcPr>
          <w:p w14:paraId="2E15787A" w14:textId="77777777" w:rsidR="009A4C46" w:rsidRPr="00F94FED" w:rsidRDefault="009A4C46" w:rsidP="00CB5AA8">
            <w:pPr>
              <w:spacing w:line="283" w:lineRule="auto"/>
              <w:jc w:val="center"/>
              <w:rPr>
                <w:rFonts w:eastAsia="Times New Roman"/>
                <w:sz w:val="18"/>
                <w:szCs w:val="18"/>
                <w:lang w:eastAsia="ru-RU"/>
              </w:rPr>
            </w:pPr>
            <w:r w:rsidRPr="00F94FED">
              <w:rPr>
                <w:rFonts w:eastAsia="Times New Roman"/>
                <w:sz w:val="18"/>
                <w:szCs w:val="18"/>
                <w:lang w:eastAsia="ru-RU"/>
              </w:rPr>
              <w:t>185,566</w:t>
            </w:r>
          </w:p>
        </w:tc>
        <w:tc>
          <w:tcPr>
            <w:tcW w:w="992" w:type="dxa"/>
            <w:vAlign w:val="center"/>
            <w:hideMark/>
          </w:tcPr>
          <w:p w14:paraId="08BBB1D9" w14:textId="77777777" w:rsidR="009A4C46" w:rsidRPr="00F94FED" w:rsidRDefault="009A4C46" w:rsidP="00CB5AA8">
            <w:pPr>
              <w:spacing w:line="283" w:lineRule="auto"/>
              <w:jc w:val="center"/>
              <w:rPr>
                <w:rFonts w:eastAsia="Times New Roman"/>
                <w:sz w:val="18"/>
                <w:szCs w:val="18"/>
                <w:lang w:eastAsia="ru-RU"/>
              </w:rPr>
            </w:pPr>
            <w:r w:rsidRPr="00F94FED">
              <w:rPr>
                <w:rFonts w:eastAsia="Times New Roman"/>
                <w:sz w:val="18"/>
                <w:szCs w:val="18"/>
                <w:lang w:eastAsia="ru-RU"/>
              </w:rPr>
              <w:t>182.709</w:t>
            </w:r>
          </w:p>
        </w:tc>
        <w:tc>
          <w:tcPr>
            <w:tcW w:w="992" w:type="dxa"/>
            <w:vAlign w:val="center"/>
            <w:hideMark/>
          </w:tcPr>
          <w:p w14:paraId="23A276EC" w14:textId="77777777" w:rsidR="009A4C46" w:rsidRPr="00F94FED" w:rsidRDefault="009A4C46" w:rsidP="00CB5AA8">
            <w:pPr>
              <w:spacing w:line="283" w:lineRule="auto"/>
              <w:jc w:val="center"/>
              <w:rPr>
                <w:rFonts w:eastAsia="Times New Roman"/>
                <w:sz w:val="18"/>
                <w:szCs w:val="18"/>
                <w:lang w:eastAsia="ru-RU"/>
              </w:rPr>
            </w:pPr>
            <w:r w:rsidRPr="00F94FED">
              <w:rPr>
                <w:rFonts w:eastAsia="Times New Roman"/>
                <w:sz w:val="18"/>
                <w:szCs w:val="18"/>
                <w:lang w:eastAsia="ru-RU"/>
              </w:rPr>
              <w:t>26,184</w:t>
            </w:r>
          </w:p>
        </w:tc>
        <w:tc>
          <w:tcPr>
            <w:tcW w:w="993" w:type="dxa"/>
            <w:vAlign w:val="center"/>
            <w:hideMark/>
          </w:tcPr>
          <w:p w14:paraId="2AB91234" w14:textId="77777777" w:rsidR="009A4C46" w:rsidRPr="00F94FED" w:rsidRDefault="009A4C46" w:rsidP="00CB5AA8">
            <w:pPr>
              <w:spacing w:line="283" w:lineRule="auto"/>
              <w:jc w:val="center"/>
              <w:rPr>
                <w:rFonts w:eastAsia="Times New Roman"/>
                <w:sz w:val="18"/>
                <w:szCs w:val="18"/>
                <w:lang w:eastAsia="ru-RU"/>
              </w:rPr>
            </w:pPr>
            <w:r w:rsidRPr="00F94FED">
              <w:rPr>
                <w:rFonts w:eastAsia="Times New Roman"/>
                <w:sz w:val="18"/>
                <w:szCs w:val="18"/>
                <w:lang w:eastAsia="ru-RU"/>
              </w:rPr>
              <w:t>35,675</w:t>
            </w:r>
          </w:p>
        </w:tc>
        <w:tc>
          <w:tcPr>
            <w:tcW w:w="708" w:type="dxa"/>
            <w:vAlign w:val="center"/>
            <w:hideMark/>
          </w:tcPr>
          <w:p w14:paraId="18FC1FE6" w14:textId="77777777" w:rsidR="009A4C46" w:rsidRPr="00F94FED" w:rsidRDefault="009A4C46" w:rsidP="00CB5AA8">
            <w:pPr>
              <w:spacing w:line="283" w:lineRule="auto"/>
              <w:jc w:val="center"/>
              <w:rPr>
                <w:rFonts w:eastAsia="Times New Roman"/>
                <w:sz w:val="18"/>
                <w:szCs w:val="18"/>
                <w:lang w:eastAsia="ru-RU"/>
              </w:rPr>
            </w:pPr>
            <w:r w:rsidRPr="00F94FED">
              <w:rPr>
                <w:rFonts w:eastAsia="Times New Roman"/>
                <w:sz w:val="18"/>
                <w:szCs w:val="18"/>
                <w:lang w:eastAsia="ru-RU"/>
              </w:rPr>
              <w:t>0,00</w:t>
            </w:r>
          </w:p>
        </w:tc>
        <w:tc>
          <w:tcPr>
            <w:tcW w:w="709" w:type="dxa"/>
            <w:vAlign w:val="center"/>
            <w:hideMark/>
          </w:tcPr>
          <w:p w14:paraId="1B606737" w14:textId="77777777" w:rsidR="009A4C46" w:rsidRPr="00F94FED" w:rsidRDefault="009A4C46" w:rsidP="00CB5AA8">
            <w:pPr>
              <w:spacing w:line="283" w:lineRule="auto"/>
              <w:jc w:val="center"/>
              <w:rPr>
                <w:rFonts w:eastAsia="Times New Roman"/>
                <w:sz w:val="18"/>
                <w:szCs w:val="18"/>
                <w:lang w:eastAsia="ru-RU"/>
              </w:rPr>
            </w:pPr>
            <w:r w:rsidRPr="00F94FED">
              <w:rPr>
                <w:rFonts w:eastAsia="Times New Roman"/>
                <w:sz w:val="18"/>
                <w:szCs w:val="18"/>
                <w:lang w:eastAsia="ru-RU"/>
              </w:rPr>
              <w:t>0,00</w:t>
            </w:r>
          </w:p>
        </w:tc>
        <w:tc>
          <w:tcPr>
            <w:tcW w:w="992" w:type="dxa"/>
            <w:vAlign w:val="center"/>
            <w:hideMark/>
          </w:tcPr>
          <w:p w14:paraId="5C646658" w14:textId="77777777" w:rsidR="009A4C46" w:rsidRPr="00F94FED" w:rsidRDefault="009A4C46" w:rsidP="00CB5AA8">
            <w:pPr>
              <w:spacing w:line="283" w:lineRule="auto"/>
              <w:jc w:val="center"/>
              <w:rPr>
                <w:rFonts w:eastAsia="Times New Roman"/>
                <w:sz w:val="18"/>
                <w:szCs w:val="18"/>
                <w:lang w:eastAsia="ru-RU"/>
              </w:rPr>
            </w:pPr>
            <w:r w:rsidRPr="00F94FED">
              <w:rPr>
                <w:rFonts w:eastAsia="Times New Roman"/>
                <w:sz w:val="18"/>
                <w:szCs w:val="18"/>
                <w:lang w:eastAsia="ru-RU"/>
              </w:rPr>
              <w:t>159,382</w:t>
            </w:r>
          </w:p>
        </w:tc>
        <w:tc>
          <w:tcPr>
            <w:tcW w:w="957" w:type="dxa"/>
            <w:vAlign w:val="center"/>
            <w:hideMark/>
          </w:tcPr>
          <w:p w14:paraId="12B7351C" w14:textId="77777777" w:rsidR="009A4C46" w:rsidRPr="00F94FED" w:rsidRDefault="009A4C46" w:rsidP="00CB5AA8">
            <w:pPr>
              <w:spacing w:line="283" w:lineRule="auto"/>
              <w:jc w:val="center"/>
              <w:rPr>
                <w:rFonts w:eastAsia="Times New Roman"/>
                <w:sz w:val="18"/>
                <w:szCs w:val="18"/>
                <w:lang w:eastAsia="ru-RU"/>
              </w:rPr>
            </w:pPr>
            <w:r w:rsidRPr="00F94FED">
              <w:rPr>
                <w:rFonts w:eastAsia="Times New Roman"/>
                <w:sz w:val="18"/>
                <w:szCs w:val="18"/>
                <w:lang w:eastAsia="ru-RU"/>
              </w:rPr>
              <w:t>147, 034</w:t>
            </w:r>
          </w:p>
        </w:tc>
      </w:tr>
    </w:tbl>
    <w:p w14:paraId="7AF73BD1" w14:textId="77777777" w:rsidR="0081136F" w:rsidRPr="00F94FED" w:rsidRDefault="0081136F" w:rsidP="00F94FED">
      <w:pPr>
        <w:spacing w:after="0" w:afterAutospacing="1" w:line="240" w:lineRule="auto"/>
        <w:contextualSpacing/>
        <w:jc w:val="center"/>
        <w:rPr>
          <w:rFonts w:eastAsia="Times New Roman"/>
          <w:b/>
          <w:bCs/>
          <w:sz w:val="26"/>
          <w:szCs w:val="26"/>
          <w:lang w:eastAsia="ru-RU"/>
        </w:rPr>
      </w:pPr>
    </w:p>
    <w:p w14:paraId="783E13ED" w14:textId="20F0BBDA" w:rsidR="009A4C46" w:rsidRPr="00F94FED" w:rsidRDefault="009A4C46" w:rsidP="00F94FED">
      <w:pPr>
        <w:spacing w:after="0" w:line="360" w:lineRule="auto"/>
        <w:contextualSpacing/>
        <w:jc w:val="center"/>
        <w:rPr>
          <w:rFonts w:eastAsia="Times New Roman"/>
          <w:b/>
          <w:bCs/>
          <w:iCs/>
          <w:sz w:val="26"/>
          <w:szCs w:val="26"/>
          <w:lang w:eastAsia="ru-RU"/>
        </w:rPr>
      </w:pPr>
      <w:r w:rsidRPr="00F94FED">
        <w:rPr>
          <w:rFonts w:eastAsia="Times New Roman"/>
          <w:b/>
          <w:bCs/>
          <w:iCs/>
          <w:sz w:val="26"/>
          <w:szCs w:val="26"/>
          <w:lang w:eastAsia="ru-RU"/>
        </w:rPr>
        <w:t>Анализ фактического выполнения инвестиционной программы по данным отчета по форме, утвержденной приказом ФСТ России от 20.02.2014г. № 202-э</w:t>
      </w:r>
    </w:p>
    <w:p w14:paraId="1A112F57" w14:textId="41E82518" w:rsidR="009A4C46" w:rsidRPr="00F94FED" w:rsidRDefault="009A4C46" w:rsidP="00F94FED">
      <w:pPr>
        <w:spacing w:after="0" w:line="360" w:lineRule="auto"/>
        <w:ind w:firstLine="567"/>
        <w:contextualSpacing/>
        <w:jc w:val="both"/>
        <w:rPr>
          <w:rFonts w:eastAsia="Times New Roman"/>
          <w:sz w:val="26"/>
          <w:szCs w:val="26"/>
          <w:lang w:eastAsia="ru-RU"/>
        </w:rPr>
      </w:pPr>
      <w:r w:rsidRPr="00F94FED">
        <w:rPr>
          <w:rFonts w:eastAsia="Times New Roman"/>
          <w:sz w:val="26"/>
          <w:szCs w:val="26"/>
          <w:lang w:eastAsia="ru-RU"/>
        </w:rPr>
        <w:t xml:space="preserve">Отчет по использовании инвестиционных ресурсов, включенных в регулируемые государством цены (тарифы) в сфере электроэнергетики по форме, </w:t>
      </w:r>
      <w:r w:rsidRPr="00F94FED">
        <w:rPr>
          <w:rFonts w:eastAsia="Times New Roman"/>
          <w:sz w:val="26"/>
          <w:szCs w:val="26"/>
          <w:lang w:eastAsia="ru-RU"/>
        </w:rPr>
        <w:lastRenderedPageBreak/>
        <w:t>утвержденной приказом ФСТ России от 20.02.2014 № 202-э, представляются в Службу по тарифам Республики Тыва ежегодно вне тарифной заявки и дополнительных материалов, без приложения обосновывающих отклонения документов.</w:t>
      </w:r>
    </w:p>
    <w:tbl>
      <w:tblPr>
        <w:tblStyle w:val="52"/>
        <w:tblW w:w="5000" w:type="pct"/>
        <w:tblLook w:val="04A0" w:firstRow="1" w:lastRow="0" w:firstColumn="1" w:lastColumn="0" w:noHBand="0" w:noVBand="1"/>
      </w:tblPr>
      <w:tblGrid>
        <w:gridCol w:w="846"/>
        <w:gridCol w:w="3650"/>
        <w:gridCol w:w="1314"/>
        <w:gridCol w:w="1185"/>
        <w:gridCol w:w="1217"/>
        <w:gridCol w:w="1133"/>
      </w:tblGrid>
      <w:tr w:rsidR="009A4C46" w:rsidRPr="0081136F" w14:paraId="2DCE915B" w14:textId="77777777" w:rsidTr="00CB5AA8">
        <w:trPr>
          <w:trHeight w:val="20"/>
          <w:tblHeader/>
        </w:trPr>
        <w:tc>
          <w:tcPr>
            <w:tcW w:w="45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9EA7DF3" w14:textId="77777777" w:rsidR="0081136F" w:rsidRPr="00F94FED" w:rsidRDefault="009A4C46" w:rsidP="00CB5AA8">
            <w:pPr>
              <w:spacing w:line="283" w:lineRule="auto"/>
              <w:jc w:val="center"/>
              <w:rPr>
                <w:rFonts w:eastAsia="Times New Roman"/>
                <w:b/>
                <w:bCs/>
                <w:color w:val="FFFFFF" w:themeColor="background1"/>
                <w:sz w:val="18"/>
                <w:szCs w:val="18"/>
                <w:lang w:eastAsia="ru-RU"/>
              </w:rPr>
            </w:pPr>
            <w:r w:rsidRPr="00F94FED">
              <w:rPr>
                <w:rFonts w:eastAsia="Times New Roman"/>
                <w:b/>
                <w:bCs/>
                <w:color w:val="FFFFFF" w:themeColor="background1"/>
                <w:sz w:val="18"/>
                <w:szCs w:val="18"/>
                <w:lang w:eastAsia="ru-RU"/>
              </w:rPr>
              <w:t>№</w:t>
            </w:r>
          </w:p>
          <w:p w14:paraId="2051EB95" w14:textId="2946FCD5" w:rsidR="009A4C46" w:rsidRPr="00F94FED" w:rsidRDefault="0081136F" w:rsidP="00CB5AA8">
            <w:pPr>
              <w:spacing w:line="283" w:lineRule="auto"/>
              <w:jc w:val="center"/>
              <w:rPr>
                <w:rFonts w:eastAsia="Times New Roman"/>
                <w:b/>
                <w:bCs/>
                <w:color w:val="FFFFFF" w:themeColor="background1"/>
                <w:sz w:val="18"/>
                <w:szCs w:val="18"/>
                <w:lang w:eastAsia="ru-RU"/>
              </w:rPr>
            </w:pPr>
            <w:r w:rsidRPr="00F94FED">
              <w:rPr>
                <w:rFonts w:eastAsia="Times New Roman"/>
                <w:b/>
                <w:bCs/>
                <w:color w:val="FFFFFF" w:themeColor="background1"/>
                <w:sz w:val="18"/>
                <w:szCs w:val="18"/>
                <w:lang w:eastAsia="ru-RU"/>
              </w:rPr>
              <w:t>п/п</w:t>
            </w:r>
          </w:p>
        </w:tc>
        <w:tc>
          <w:tcPr>
            <w:tcW w:w="195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1C78358" w14:textId="77777777" w:rsidR="009A4C46" w:rsidRPr="00F94FED" w:rsidRDefault="009A4C46" w:rsidP="00CB5AA8">
            <w:pPr>
              <w:spacing w:line="283" w:lineRule="auto"/>
              <w:jc w:val="center"/>
              <w:rPr>
                <w:rFonts w:eastAsia="Times New Roman"/>
                <w:b/>
                <w:bCs/>
                <w:color w:val="FFFFFF" w:themeColor="background1"/>
                <w:sz w:val="18"/>
                <w:szCs w:val="18"/>
                <w:lang w:eastAsia="ru-RU"/>
              </w:rPr>
            </w:pPr>
            <w:r w:rsidRPr="00F94FED">
              <w:rPr>
                <w:rFonts w:eastAsia="Times New Roman"/>
                <w:b/>
                <w:bCs/>
                <w:color w:val="FFFFFF" w:themeColor="background1"/>
                <w:sz w:val="18"/>
                <w:szCs w:val="18"/>
                <w:lang w:eastAsia="ru-RU"/>
              </w:rPr>
              <w:t>Источник финансирования</w:t>
            </w:r>
          </w:p>
        </w:tc>
        <w:tc>
          <w:tcPr>
            <w:tcW w:w="1337"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E067862" w14:textId="77777777" w:rsidR="009A4C46" w:rsidRPr="00F94FED" w:rsidRDefault="009A4C46" w:rsidP="00CB5AA8">
            <w:pPr>
              <w:spacing w:line="283" w:lineRule="auto"/>
              <w:jc w:val="center"/>
              <w:rPr>
                <w:rFonts w:eastAsia="Times New Roman"/>
                <w:b/>
                <w:bCs/>
                <w:color w:val="FFFFFF" w:themeColor="background1"/>
                <w:sz w:val="18"/>
                <w:szCs w:val="18"/>
                <w:lang w:eastAsia="ru-RU"/>
              </w:rPr>
            </w:pPr>
            <w:r w:rsidRPr="00F94FED">
              <w:rPr>
                <w:rFonts w:eastAsia="Times New Roman"/>
                <w:b/>
                <w:bCs/>
                <w:color w:val="FFFFFF" w:themeColor="background1"/>
                <w:sz w:val="18"/>
                <w:szCs w:val="18"/>
                <w:lang w:eastAsia="ru-RU"/>
              </w:rPr>
              <w:t>Объем финансирования (отчетный год/квартал), млн. руб. с НДС</w:t>
            </w:r>
          </w:p>
        </w:tc>
        <w:tc>
          <w:tcPr>
            <w:tcW w:w="1258"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9452CA5" w14:textId="77777777" w:rsidR="009A4C46" w:rsidRPr="00F94FED" w:rsidRDefault="009A4C46" w:rsidP="00CB5AA8">
            <w:pPr>
              <w:spacing w:line="283" w:lineRule="auto"/>
              <w:jc w:val="center"/>
              <w:rPr>
                <w:rFonts w:eastAsia="Times New Roman"/>
                <w:b/>
                <w:bCs/>
                <w:color w:val="FFFFFF" w:themeColor="background1"/>
                <w:sz w:val="18"/>
                <w:szCs w:val="18"/>
                <w:lang w:eastAsia="ru-RU"/>
              </w:rPr>
            </w:pPr>
            <w:r w:rsidRPr="00F94FED">
              <w:rPr>
                <w:rFonts w:eastAsia="Times New Roman"/>
                <w:b/>
                <w:bCs/>
                <w:color w:val="FFFFFF" w:themeColor="background1"/>
                <w:sz w:val="18"/>
                <w:szCs w:val="18"/>
                <w:lang w:eastAsia="ru-RU"/>
              </w:rPr>
              <w:t xml:space="preserve">Отклонения </w:t>
            </w:r>
            <w:r w:rsidRPr="00F94FED">
              <w:rPr>
                <w:rFonts w:eastAsia="Times New Roman"/>
                <w:b/>
                <w:bCs/>
                <w:color w:val="FFFFFF" w:themeColor="background1"/>
                <w:sz w:val="18"/>
                <w:szCs w:val="18"/>
                <w:vertAlign w:val="superscript"/>
                <w:lang w:eastAsia="ru-RU"/>
              </w:rPr>
              <w:t>2</w:t>
            </w:r>
          </w:p>
        </w:tc>
      </w:tr>
      <w:tr w:rsidR="009A4C46" w:rsidRPr="0081136F" w14:paraId="6E89E032" w14:textId="77777777" w:rsidTr="00CB5AA8">
        <w:trPr>
          <w:trHeight w:val="20"/>
          <w:tblHeader/>
        </w:trPr>
        <w:tc>
          <w:tcPr>
            <w:tcW w:w="45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8AB1A9C" w14:textId="77777777" w:rsidR="009A4C46" w:rsidRPr="00F94FED" w:rsidRDefault="009A4C46" w:rsidP="00CB5AA8">
            <w:pPr>
              <w:spacing w:after="100" w:afterAutospacing="1" w:line="283" w:lineRule="auto"/>
              <w:jc w:val="center"/>
              <w:rPr>
                <w:rFonts w:eastAsia="Times New Roman"/>
                <w:b/>
                <w:bCs/>
                <w:color w:val="FFFFFF" w:themeColor="background1"/>
                <w:sz w:val="18"/>
                <w:szCs w:val="18"/>
                <w:lang w:eastAsia="ru-RU"/>
              </w:rPr>
            </w:pPr>
          </w:p>
        </w:tc>
        <w:tc>
          <w:tcPr>
            <w:tcW w:w="195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728C89D" w14:textId="77777777" w:rsidR="009A4C46" w:rsidRPr="00F94FED" w:rsidRDefault="009A4C46" w:rsidP="00CB5AA8">
            <w:pPr>
              <w:spacing w:after="100" w:afterAutospacing="1" w:line="283" w:lineRule="auto"/>
              <w:jc w:val="center"/>
              <w:rPr>
                <w:rFonts w:eastAsia="Times New Roman"/>
                <w:b/>
                <w:bCs/>
                <w:color w:val="FFFFFF" w:themeColor="background1"/>
                <w:sz w:val="18"/>
                <w:szCs w:val="18"/>
                <w:lang w:eastAsia="ru-RU"/>
              </w:rPr>
            </w:pPr>
          </w:p>
        </w:tc>
        <w:tc>
          <w:tcPr>
            <w:tcW w:w="70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2A4DEC4" w14:textId="77777777" w:rsidR="009A4C46" w:rsidRPr="00F94FED" w:rsidRDefault="009A4C46" w:rsidP="00CB5AA8">
            <w:pPr>
              <w:spacing w:line="283" w:lineRule="auto"/>
              <w:jc w:val="center"/>
              <w:rPr>
                <w:rFonts w:eastAsia="Times New Roman"/>
                <w:b/>
                <w:bCs/>
                <w:color w:val="FFFFFF" w:themeColor="background1"/>
                <w:sz w:val="18"/>
                <w:szCs w:val="18"/>
                <w:lang w:eastAsia="ru-RU"/>
              </w:rPr>
            </w:pPr>
            <w:r w:rsidRPr="00F94FED">
              <w:rPr>
                <w:rFonts w:eastAsia="Times New Roman"/>
                <w:b/>
                <w:bCs/>
                <w:color w:val="FFFFFF" w:themeColor="background1"/>
                <w:sz w:val="18"/>
                <w:szCs w:val="18"/>
                <w:lang w:eastAsia="ru-RU"/>
              </w:rPr>
              <w:t xml:space="preserve">План </w:t>
            </w:r>
            <w:r w:rsidRPr="00F94FED">
              <w:rPr>
                <w:rFonts w:eastAsia="Times New Roman"/>
                <w:b/>
                <w:bCs/>
                <w:color w:val="FFFFFF" w:themeColor="background1"/>
                <w:sz w:val="18"/>
                <w:szCs w:val="18"/>
                <w:vertAlign w:val="superscript"/>
                <w:lang w:eastAsia="ru-RU"/>
              </w:rPr>
              <w:t>3</w:t>
            </w:r>
          </w:p>
        </w:tc>
        <w:tc>
          <w:tcPr>
            <w:tcW w:w="63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A02D3BA" w14:textId="77777777" w:rsidR="009A4C46" w:rsidRPr="00F94FED" w:rsidRDefault="009A4C46" w:rsidP="00CB5AA8">
            <w:pPr>
              <w:spacing w:line="283" w:lineRule="auto"/>
              <w:jc w:val="center"/>
              <w:rPr>
                <w:rFonts w:eastAsia="Times New Roman"/>
                <w:b/>
                <w:bCs/>
                <w:color w:val="FFFFFF" w:themeColor="background1"/>
                <w:sz w:val="18"/>
                <w:szCs w:val="18"/>
                <w:lang w:eastAsia="ru-RU"/>
              </w:rPr>
            </w:pPr>
            <w:r w:rsidRPr="00F94FED">
              <w:rPr>
                <w:rFonts w:eastAsia="Times New Roman"/>
                <w:b/>
                <w:bCs/>
                <w:color w:val="FFFFFF" w:themeColor="background1"/>
                <w:sz w:val="18"/>
                <w:szCs w:val="18"/>
                <w:lang w:eastAsia="ru-RU"/>
              </w:rPr>
              <w:t xml:space="preserve">Факт </w:t>
            </w:r>
            <w:r w:rsidRPr="00F94FED">
              <w:rPr>
                <w:rFonts w:eastAsia="Times New Roman"/>
                <w:b/>
                <w:bCs/>
                <w:color w:val="FFFFFF" w:themeColor="background1"/>
                <w:sz w:val="18"/>
                <w:szCs w:val="18"/>
                <w:vertAlign w:val="superscript"/>
                <w:lang w:eastAsia="ru-RU"/>
              </w:rPr>
              <w:t>2</w:t>
            </w:r>
          </w:p>
        </w:tc>
        <w:tc>
          <w:tcPr>
            <w:tcW w:w="65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9816E32" w14:textId="77777777" w:rsidR="009A4C46" w:rsidRPr="00F94FED" w:rsidRDefault="009A4C46" w:rsidP="00CB5AA8">
            <w:pPr>
              <w:spacing w:line="283" w:lineRule="auto"/>
              <w:jc w:val="center"/>
              <w:rPr>
                <w:rFonts w:eastAsia="Times New Roman"/>
                <w:b/>
                <w:bCs/>
                <w:color w:val="FFFFFF" w:themeColor="background1"/>
                <w:sz w:val="18"/>
                <w:szCs w:val="18"/>
                <w:lang w:eastAsia="ru-RU"/>
              </w:rPr>
            </w:pPr>
            <w:r w:rsidRPr="00F94FED">
              <w:rPr>
                <w:rFonts w:eastAsia="Times New Roman"/>
                <w:b/>
                <w:bCs/>
                <w:color w:val="FFFFFF" w:themeColor="background1"/>
                <w:sz w:val="18"/>
                <w:szCs w:val="18"/>
                <w:lang w:eastAsia="ru-RU"/>
              </w:rPr>
              <w:t>млн. руб. с НДС</w:t>
            </w:r>
          </w:p>
        </w:tc>
        <w:tc>
          <w:tcPr>
            <w:tcW w:w="60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56D5606" w14:textId="77777777" w:rsidR="009A4C46" w:rsidRPr="00F94FED" w:rsidRDefault="009A4C46" w:rsidP="00CB5AA8">
            <w:pPr>
              <w:spacing w:line="283" w:lineRule="auto"/>
              <w:jc w:val="center"/>
              <w:rPr>
                <w:rFonts w:eastAsia="Times New Roman"/>
                <w:b/>
                <w:bCs/>
                <w:color w:val="FFFFFF" w:themeColor="background1"/>
                <w:sz w:val="18"/>
                <w:szCs w:val="18"/>
                <w:lang w:eastAsia="ru-RU"/>
              </w:rPr>
            </w:pPr>
            <w:r w:rsidRPr="00F94FED">
              <w:rPr>
                <w:rFonts w:eastAsia="Times New Roman"/>
                <w:b/>
                <w:bCs/>
                <w:color w:val="FFFFFF" w:themeColor="background1"/>
                <w:sz w:val="18"/>
                <w:szCs w:val="18"/>
                <w:lang w:eastAsia="ru-RU"/>
              </w:rPr>
              <w:t>%</w:t>
            </w:r>
          </w:p>
        </w:tc>
      </w:tr>
      <w:tr w:rsidR="009A4C46" w:rsidRPr="0081136F" w14:paraId="1DC6B76C" w14:textId="77777777" w:rsidTr="00CB5AA8">
        <w:trPr>
          <w:trHeight w:val="20"/>
          <w:tblHeader/>
        </w:trPr>
        <w:tc>
          <w:tcPr>
            <w:tcW w:w="45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A6ACAF6" w14:textId="74C45882" w:rsidR="009A4C46" w:rsidRPr="00F94FED" w:rsidRDefault="009A4C46" w:rsidP="00CB5AA8">
            <w:pPr>
              <w:spacing w:after="100" w:afterAutospacing="1" w:line="283" w:lineRule="auto"/>
              <w:jc w:val="both"/>
              <w:rPr>
                <w:rFonts w:eastAsia="Times New Roman"/>
                <w:b/>
                <w:bCs/>
                <w:color w:val="FFFFFF" w:themeColor="background1"/>
                <w:sz w:val="18"/>
                <w:szCs w:val="18"/>
                <w:lang w:eastAsia="ru-RU"/>
              </w:rPr>
            </w:pPr>
            <w:r w:rsidRPr="00F94FED">
              <w:rPr>
                <w:rFonts w:eastAsia="Times New Roman"/>
                <w:b/>
                <w:bCs/>
                <w:color w:val="FFFFFF" w:themeColor="background1"/>
                <w:sz w:val="18"/>
                <w:szCs w:val="18"/>
                <w:lang w:eastAsia="ru-RU"/>
              </w:rPr>
              <w:t> </w:t>
            </w:r>
            <w:r w:rsidR="0081136F" w:rsidRPr="00F94FED">
              <w:rPr>
                <w:rFonts w:eastAsia="Times New Roman"/>
                <w:b/>
                <w:bCs/>
                <w:color w:val="FFFFFF" w:themeColor="background1"/>
                <w:sz w:val="18"/>
                <w:szCs w:val="18"/>
                <w:lang w:eastAsia="ru-RU"/>
              </w:rPr>
              <w:t>1</w:t>
            </w:r>
          </w:p>
        </w:tc>
        <w:tc>
          <w:tcPr>
            <w:tcW w:w="195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DF90F51" w14:textId="235E4A40" w:rsidR="009A4C46" w:rsidRPr="00F94FED" w:rsidRDefault="0081136F" w:rsidP="00CB5AA8">
            <w:pPr>
              <w:spacing w:line="283" w:lineRule="auto"/>
              <w:jc w:val="center"/>
              <w:rPr>
                <w:rFonts w:eastAsia="Times New Roman"/>
                <w:b/>
                <w:bCs/>
                <w:color w:val="FFFFFF" w:themeColor="background1"/>
                <w:sz w:val="18"/>
                <w:szCs w:val="18"/>
                <w:lang w:eastAsia="ru-RU"/>
              </w:rPr>
            </w:pPr>
            <w:r w:rsidRPr="00F94FED">
              <w:rPr>
                <w:rFonts w:eastAsia="Times New Roman"/>
                <w:b/>
                <w:bCs/>
                <w:color w:val="FFFFFF" w:themeColor="background1"/>
                <w:sz w:val="18"/>
                <w:szCs w:val="18"/>
                <w:lang w:eastAsia="ru-RU"/>
              </w:rPr>
              <w:t>2</w:t>
            </w:r>
          </w:p>
        </w:tc>
        <w:tc>
          <w:tcPr>
            <w:tcW w:w="70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6CD68FF" w14:textId="73534F0A" w:rsidR="009A4C46" w:rsidRPr="00F94FED" w:rsidRDefault="0081136F" w:rsidP="00CB5AA8">
            <w:pPr>
              <w:spacing w:line="283" w:lineRule="auto"/>
              <w:jc w:val="center"/>
              <w:rPr>
                <w:rFonts w:eastAsia="Times New Roman"/>
                <w:b/>
                <w:bCs/>
                <w:color w:val="FFFFFF" w:themeColor="background1"/>
                <w:sz w:val="18"/>
                <w:szCs w:val="18"/>
                <w:lang w:eastAsia="ru-RU"/>
              </w:rPr>
            </w:pPr>
            <w:r w:rsidRPr="00F94FED">
              <w:rPr>
                <w:rFonts w:eastAsia="Times New Roman"/>
                <w:b/>
                <w:bCs/>
                <w:color w:val="FFFFFF" w:themeColor="background1"/>
                <w:sz w:val="18"/>
                <w:szCs w:val="18"/>
                <w:lang w:eastAsia="ru-RU"/>
              </w:rPr>
              <w:t>3</w:t>
            </w:r>
          </w:p>
        </w:tc>
        <w:tc>
          <w:tcPr>
            <w:tcW w:w="63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141DEEB" w14:textId="5E0C3202" w:rsidR="009A4C46" w:rsidRPr="00F94FED" w:rsidRDefault="0081136F" w:rsidP="00CB5AA8">
            <w:pPr>
              <w:spacing w:line="283" w:lineRule="auto"/>
              <w:jc w:val="center"/>
              <w:rPr>
                <w:rFonts w:eastAsia="Times New Roman"/>
                <w:b/>
                <w:bCs/>
                <w:color w:val="FFFFFF" w:themeColor="background1"/>
                <w:sz w:val="18"/>
                <w:szCs w:val="18"/>
                <w:lang w:eastAsia="ru-RU"/>
              </w:rPr>
            </w:pPr>
            <w:r w:rsidRPr="00F94FED">
              <w:rPr>
                <w:rFonts w:eastAsia="Times New Roman"/>
                <w:b/>
                <w:bCs/>
                <w:color w:val="FFFFFF" w:themeColor="background1"/>
                <w:sz w:val="18"/>
                <w:szCs w:val="18"/>
                <w:lang w:eastAsia="ru-RU"/>
              </w:rPr>
              <w:t>4</w:t>
            </w:r>
          </w:p>
        </w:tc>
        <w:tc>
          <w:tcPr>
            <w:tcW w:w="65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711C6DE" w14:textId="14E76ED7" w:rsidR="009A4C46" w:rsidRPr="00F94FED" w:rsidRDefault="0081136F" w:rsidP="00CB5AA8">
            <w:pPr>
              <w:spacing w:line="283" w:lineRule="auto"/>
              <w:jc w:val="center"/>
              <w:rPr>
                <w:rFonts w:eastAsia="Times New Roman"/>
                <w:b/>
                <w:bCs/>
                <w:color w:val="FFFFFF" w:themeColor="background1"/>
                <w:sz w:val="18"/>
                <w:szCs w:val="18"/>
                <w:lang w:eastAsia="ru-RU"/>
              </w:rPr>
            </w:pPr>
            <w:r w:rsidRPr="00F94FED">
              <w:rPr>
                <w:rFonts w:eastAsia="Times New Roman"/>
                <w:b/>
                <w:bCs/>
                <w:color w:val="FFFFFF" w:themeColor="background1"/>
                <w:sz w:val="18"/>
                <w:szCs w:val="18"/>
                <w:lang w:eastAsia="ru-RU"/>
              </w:rPr>
              <w:t>5</w:t>
            </w:r>
          </w:p>
        </w:tc>
        <w:tc>
          <w:tcPr>
            <w:tcW w:w="60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0072943" w14:textId="0D93E81A" w:rsidR="009A4C46" w:rsidRPr="00F94FED" w:rsidRDefault="0081136F" w:rsidP="00CB5AA8">
            <w:pPr>
              <w:spacing w:line="283" w:lineRule="auto"/>
              <w:jc w:val="center"/>
              <w:rPr>
                <w:rFonts w:eastAsia="Times New Roman"/>
                <w:b/>
                <w:bCs/>
                <w:color w:val="FFFFFF" w:themeColor="background1"/>
                <w:sz w:val="18"/>
                <w:szCs w:val="18"/>
                <w:lang w:eastAsia="ru-RU"/>
              </w:rPr>
            </w:pPr>
            <w:r w:rsidRPr="00F94FED">
              <w:rPr>
                <w:rFonts w:eastAsia="Times New Roman"/>
                <w:b/>
                <w:bCs/>
                <w:color w:val="FFFFFF" w:themeColor="background1"/>
                <w:sz w:val="18"/>
                <w:szCs w:val="18"/>
                <w:lang w:eastAsia="ru-RU"/>
              </w:rPr>
              <w:t>6</w:t>
            </w:r>
          </w:p>
        </w:tc>
      </w:tr>
      <w:tr w:rsidR="009A4C46" w:rsidRPr="0081136F" w14:paraId="1AD0C968" w14:textId="77777777" w:rsidTr="00CB5AA8">
        <w:trPr>
          <w:trHeight w:val="20"/>
        </w:trPr>
        <w:tc>
          <w:tcPr>
            <w:tcW w:w="453" w:type="pct"/>
            <w:tcBorders>
              <w:top w:val="single" w:sz="4" w:space="0" w:color="FFFFFF" w:themeColor="background1"/>
            </w:tcBorders>
            <w:shd w:val="clear" w:color="auto" w:fill="D6E3BC" w:themeFill="accent3" w:themeFillTint="66"/>
            <w:noWrap/>
            <w:vAlign w:val="center"/>
            <w:hideMark/>
          </w:tcPr>
          <w:p w14:paraId="6B777A08" w14:textId="77777777" w:rsidR="009A4C46" w:rsidRPr="00F94FED" w:rsidRDefault="009A4C46" w:rsidP="00CB5AA8">
            <w:pPr>
              <w:spacing w:line="283" w:lineRule="auto"/>
              <w:jc w:val="both"/>
              <w:rPr>
                <w:rFonts w:eastAsia="Times New Roman"/>
                <w:b/>
                <w:bCs/>
                <w:sz w:val="18"/>
                <w:szCs w:val="18"/>
                <w:lang w:eastAsia="ru-RU"/>
              </w:rPr>
            </w:pPr>
          </w:p>
        </w:tc>
        <w:tc>
          <w:tcPr>
            <w:tcW w:w="1953" w:type="pct"/>
            <w:tcBorders>
              <w:top w:val="single" w:sz="4" w:space="0" w:color="FFFFFF" w:themeColor="background1"/>
            </w:tcBorders>
            <w:shd w:val="clear" w:color="auto" w:fill="D6E3BC" w:themeFill="accent3" w:themeFillTint="66"/>
            <w:vAlign w:val="center"/>
            <w:hideMark/>
          </w:tcPr>
          <w:p w14:paraId="61916FE7" w14:textId="77777777" w:rsidR="009A4C46" w:rsidRPr="00F94FED" w:rsidRDefault="009A4C46" w:rsidP="00CB5AA8">
            <w:pPr>
              <w:spacing w:line="283" w:lineRule="auto"/>
              <w:jc w:val="both"/>
              <w:rPr>
                <w:rFonts w:eastAsia="Times New Roman"/>
                <w:b/>
                <w:bCs/>
                <w:sz w:val="18"/>
                <w:szCs w:val="18"/>
                <w:lang w:eastAsia="ru-RU"/>
              </w:rPr>
            </w:pPr>
            <w:r w:rsidRPr="00F94FED">
              <w:rPr>
                <w:rFonts w:eastAsia="Times New Roman"/>
                <w:b/>
                <w:bCs/>
                <w:sz w:val="18"/>
                <w:szCs w:val="18"/>
                <w:lang w:eastAsia="ru-RU"/>
              </w:rPr>
              <w:t>ВСЕГО,</w:t>
            </w:r>
          </w:p>
        </w:tc>
        <w:tc>
          <w:tcPr>
            <w:tcW w:w="703" w:type="pct"/>
            <w:tcBorders>
              <w:top w:val="single" w:sz="4" w:space="0" w:color="FFFFFF" w:themeColor="background1"/>
            </w:tcBorders>
            <w:shd w:val="clear" w:color="auto" w:fill="D6E3BC" w:themeFill="accent3" w:themeFillTint="66"/>
            <w:vAlign w:val="center"/>
            <w:hideMark/>
          </w:tcPr>
          <w:p w14:paraId="237ED972" w14:textId="77777777" w:rsidR="009A4C46" w:rsidRPr="00F94FED" w:rsidRDefault="009A4C46" w:rsidP="00CB5AA8">
            <w:pPr>
              <w:spacing w:line="283" w:lineRule="auto"/>
              <w:jc w:val="center"/>
              <w:rPr>
                <w:rFonts w:eastAsia="Times New Roman"/>
                <w:b/>
                <w:bCs/>
                <w:sz w:val="18"/>
                <w:szCs w:val="18"/>
                <w:lang w:eastAsia="ru-RU"/>
              </w:rPr>
            </w:pPr>
            <w:r w:rsidRPr="00F94FED">
              <w:rPr>
                <w:rFonts w:eastAsia="Times New Roman"/>
                <w:b/>
                <w:bCs/>
                <w:sz w:val="18"/>
                <w:szCs w:val="18"/>
                <w:lang w:eastAsia="ru-RU"/>
              </w:rPr>
              <w:t>257,492</w:t>
            </w:r>
          </w:p>
        </w:tc>
        <w:tc>
          <w:tcPr>
            <w:tcW w:w="633" w:type="pct"/>
            <w:tcBorders>
              <w:top w:val="single" w:sz="4" w:space="0" w:color="FFFFFF" w:themeColor="background1"/>
            </w:tcBorders>
            <w:shd w:val="clear" w:color="auto" w:fill="D6E3BC" w:themeFill="accent3" w:themeFillTint="66"/>
            <w:vAlign w:val="center"/>
            <w:hideMark/>
          </w:tcPr>
          <w:p w14:paraId="5468ACCD" w14:textId="77777777" w:rsidR="009A4C46" w:rsidRPr="00F94FED" w:rsidRDefault="009A4C46" w:rsidP="00CB5AA8">
            <w:pPr>
              <w:spacing w:line="283" w:lineRule="auto"/>
              <w:jc w:val="center"/>
              <w:rPr>
                <w:rFonts w:eastAsia="Times New Roman"/>
                <w:b/>
                <w:bCs/>
                <w:sz w:val="18"/>
                <w:szCs w:val="18"/>
                <w:lang w:eastAsia="ru-RU"/>
              </w:rPr>
            </w:pPr>
            <w:r w:rsidRPr="00F94FED">
              <w:rPr>
                <w:rFonts w:eastAsia="Times New Roman"/>
                <w:b/>
                <w:bCs/>
                <w:sz w:val="18"/>
                <w:szCs w:val="18"/>
                <w:lang w:eastAsia="ru-RU"/>
              </w:rPr>
              <w:t>263,109</w:t>
            </w:r>
          </w:p>
        </w:tc>
        <w:tc>
          <w:tcPr>
            <w:tcW w:w="651" w:type="pct"/>
            <w:tcBorders>
              <w:top w:val="single" w:sz="4" w:space="0" w:color="FFFFFF" w:themeColor="background1"/>
            </w:tcBorders>
            <w:shd w:val="clear" w:color="auto" w:fill="D6E3BC" w:themeFill="accent3" w:themeFillTint="66"/>
            <w:vAlign w:val="center"/>
            <w:hideMark/>
          </w:tcPr>
          <w:p w14:paraId="4EBA0BC3" w14:textId="77777777" w:rsidR="009A4C46" w:rsidRPr="00F94FED" w:rsidRDefault="009A4C46" w:rsidP="00CB5AA8">
            <w:pPr>
              <w:spacing w:line="283" w:lineRule="auto"/>
              <w:jc w:val="center"/>
              <w:rPr>
                <w:rFonts w:eastAsia="Times New Roman"/>
                <w:b/>
                <w:bCs/>
                <w:sz w:val="18"/>
                <w:szCs w:val="18"/>
                <w:lang w:eastAsia="ru-RU"/>
              </w:rPr>
            </w:pPr>
            <w:r w:rsidRPr="00F94FED">
              <w:rPr>
                <w:rFonts w:eastAsia="Times New Roman"/>
                <w:b/>
                <w:bCs/>
                <w:sz w:val="18"/>
                <w:szCs w:val="18"/>
                <w:lang w:eastAsia="ru-RU"/>
              </w:rPr>
              <w:t>5,616</w:t>
            </w:r>
          </w:p>
        </w:tc>
        <w:tc>
          <w:tcPr>
            <w:tcW w:w="607" w:type="pct"/>
            <w:tcBorders>
              <w:top w:val="single" w:sz="4" w:space="0" w:color="FFFFFF" w:themeColor="background1"/>
            </w:tcBorders>
            <w:shd w:val="clear" w:color="auto" w:fill="D6E3BC" w:themeFill="accent3" w:themeFillTint="66"/>
            <w:vAlign w:val="center"/>
            <w:hideMark/>
          </w:tcPr>
          <w:p w14:paraId="52622921" w14:textId="77777777" w:rsidR="009A4C46" w:rsidRPr="00F94FED" w:rsidRDefault="009A4C46" w:rsidP="00CB5AA8">
            <w:pPr>
              <w:spacing w:line="283" w:lineRule="auto"/>
              <w:jc w:val="center"/>
              <w:rPr>
                <w:rFonts w:eastAsia="Times New Roman"/>
                <w:b/>
                <w:bCs/>
                <w:sz w:val="18"/>
                <w:szCs w:val="18"/>
                <w:lang w:eastAsia="ru-RU"/>
              </w:rPr>
            </w:pPr>
            <w:r w:rsidRPr="00F94FED">
              <w:rPr>
                <w:rFonts w:eastAsia="Times New Roman"/>
                <w:b/>
                <w:bCs/>
                <w:sz w:val="18"/>
                <w:szCs w:val="18"/>
                <w:lang w:eastAsia="ru-RU"/>
              </w:rPr>
              <w:t>1,02</w:t>
            </w:r>
          </w:p>
        </w:tc>
      </w:tr>
      <w:tr w:rsidR="009A4C46" w:rsidRPr="0081136F" w14:paraId="7DB5A992" w14:textId="77777777" w:rsidTr="00CB5AA8">
        <w:trPr>
          <w:trHeight w:val="20"/>
        </w:trPr>
        <w:tc>
          <w:tcPr>
            <w:tcW w:w="453" w:type="pct"/>
            <w:shd w:val="clear" w:color="auto" w:fill="D6E3BC" w:themeFill="accent3" w:themeFillTint="66"/>
            <w:noWrap/>
            <w:vAlign w:val="center"/>
            <w:hideMark/>
          </w:tcPr>
          <w:p w14:paraId="56CB5C44" w14:textId="77777777" w:rsidR="009A4C46" w:rsidRPr="00F94FED" w:rsidRDefault="009A4C46" w:rsidP="00CB5AA8">
            <w:pPr>
              <w:spacing w:line="283" w:lineRule="auto"/>
              <w:jc w:val="both"/>
              <w:rPr>
                <w:rFonts w:eastAsia="Times New Roman"/>
                <w:sz w:val="18"/>
                <w:szCs w:val="18"/>
                <w:lang w:eastAsia="ru-RU"/>
              </w:rPr>
            </w:pPr>
            <w:r w:rsidRPr="00F94FED">
              <w:rPr>
                <w:rFonts w:eastAsia="Times New Roman"/>
                <w:sz w:val="18"/>
                <w:szCs w:val="18"/>
                <w:lang w:eastAsia="ru-RU"/>
              </w:rPr>
              <w:t>А</w:t>
            </w:r>
          </w:p>
        </w:tc>
        <w:tc>
          <w:tcPr>
            <w:tcW w:w="1953" w:type="pct"/>
            <w:shd w:val="clear" w:color="auto" w:fill="D6E3BC" w:themeFill="accent3" w:themeFillTint="66"/>
            <w:vAlign w:val="center"/>
            <w:hideMark/>
          </w:tcPr>
          <w:p w14:paraId="529F9377" w14:textId="77777777" w:rsidR="009A4C46" w:rsidRPr="00F94FED" w:rsidRDefault="009A4C46" w:rsidP="00CB5AA8">
            <w:pPr>
              <w:spacing w:line="283" w:lineRule="auto"/>
              <w:jc w:val="both"/>
              <w:rPr>
                <w:rFonts w:eastAsia="Times New Roman"/>
                <w:sz w:val="18"/>
                <w:szCs w:val="18"/>
                <w:lang w:eastAsia="ru-RU"/>
              </w:rPr>
            </w:pPr>
            <w:r w:rsidRPr="00F94FED">
              <w:rPr>
                <w:rFonts w:eastAsia="Times New Roman"/>
                <w:sz w:val="18"/>
                <w:szCs w:val="18"/>
                <w:lang w:eastAsia="ru-RU"/>
              </w:rPr>
              <w:t>Собственные средства, в т.ч.:</w:t>
            </w:r>
          </w:p>
        </w:tc>
        <w:tc>
          <w:tcPr>
            <w:tcW w:w="703" w:type="pct"/>
            <w:shd w:val="clear" w:color="auto" w:fill="D6E3BC" w:themeFill="accent3" w:themeFillTint="66"/>
            <w:vAlign w:val="center"/>
            <w:hideMark/>
          </w:tcPr>
          <w:p w14:paraId="4EE9123F" w14:textId="77777777" w:rsidR="009A4C46" w:rsidRPr="00F94FED" w:rsidRDefault="009A4C46" w:rsidP="00CB5AA8">
            <w:pPr>
              <w:spacing w:line="283" w:lineRule="auto"/>
              <w:jc w:val="center"/>
              <w:rPr>
                <w:rFonts w:eastAsia="Times New Roman"/>
                <w:sz w:val="18"/>
                <w:szCs w:val="18"/>
                <w:lang w:eastAsia="ru-RU"/>
              </w:rPr>
            </w:pPr>
            <w:r w:rsidRPr="00F94FED">
              <w:rPr>
                <w:rFonts w:eastAsia="Times New Roman"/>
                <w:sz w:val="18"/>
                <w:szCs w:val="18"/>
                <w:lang w:eastAsia="ru-RU"/>
              </w:rPr>
              <w:t>257,492</w:t>
            </w:r>
          </w:p>
        </w:tc>
        <w:tc>
          <w:tcPr>
            <w:tcW w:w="633" w:type="pct"/>
            <w:shd w:val="clear" w:color="auto" w:fill="D6E3BC" w:themeFill="accent3" w:themeFillTint="66"/>
            <w:vAlign w:val="center"/>
            <w:hideMark/>
          </w:tcPr>
          <w:p w14:paraId="5E6DE8CE" w14:textId="77777777" w:rsidR="009A4C46" w:rsidRPr="00F94FED" w:rsidRDefault="009A4C46" w:rsidP="00CB5AA8">
            <w:pPr>
              <w:spacing w:line="283" w:lineRule="auto"/>
              <w:jc w:val="center"/>
              <w:rPr>
                <w:rFonts w:eastAsia="Times New Roman"/>
                <w:sz w:val="18"/>
                <w:szCs w:val="18"/>
                <w:lang w:eastAsia="ru-RU"/>
              </w:rPr>
            </w:pPr>
            <w:r w:rsidRPr="00F94FED">
              <w:rPr>
                <w:rFonts w:eastAsia="Times New Roman"/>
                <w:sz w:val="18"/>
                <w:szCs w:val="18"/>
                <w:lang w:eastAsia="ru-RU"/>
              </w:rPr>
              <w:t>263,109</w:t>
            </w:r>
          </w:p>
        </w:tc>
        <w:tc>
          <w:tcPr>
            <w:tcW w:w="651" w:type="pct"/>
            <w:shd w:val="clear" w:color="auto" w:fill="D6E3BC" w:themeFill="accent3" w:themeFillTint="66"/>
            <w:vAlign w:val="center"/>
            <w:hideMark/>
          </w:tcPr>
          <w:p w14:paraId="39891295" w14:textId="77777777" w:rsidR="009A4C46" w:rsidRPr="00F94FED" w:rsidRDefault="009A4C46" w:rsidP="00CB5AA8">
            <w:pPr>
              <w:spacing w:line="283" w:lineRule="auto"/>
              <w:jc w:val="center"/>
              <w:rPr>
                <w:rFonts w:eastAsia="Times New Roman"/>
                <w:sz w:val="18"/>
                <w:szCs w:val="18"/>
                <w:lang w:eastAsia="ru-RU"/>
              </w:rPr>
            </w:pPr>
            <w:r w:rsidRPr="00F94FED">
              <w:rPr>
                <w:rFonts w:eastAsia="Times New Roman"/>
                <w:sz w:val="18"/>
                <w:szCs w:val="18"/>
                <w:lang w:eastAsia="ru-RU"/>
              </w:rPr>
              <w:t>5,616</w:t>
            </w:r>
          </w:p>
        </w:tc>
        <w:tc>
          <w:tcPr>
            <w:tcW w:w="607" w:type="pct"/>
            <w:shd w:val="clear" w:color="auto" w:fill="D6E3BC" w:themeFill="accent3" w:themeFillTint="66"/>
            <w:vAlign w:val="center"/>
            <w:hideMark/>
          </w:tcPr>
          <w:p w14:paraId="5A9ABF9C" w14:textId="77777777" w:rsidR="009A4C46" w:rsidRPr="00F94FED" w:rsidRDefault="009A4C46" w:rsidP="00CB5AA8">
            <w:pPr>
              <w:spacing w:line="283" w:lineRule="auto"/>
              <w:jc w:val="center"/>
              <w:rPr>
                <w:rFonts w:eastAsia="Times New Roman"/>
                <w:sz w:val="18"/>
                <w:szCs w:val="18"/>
                <w:lang w:eastAsia="ru-RU"/>
              </w:rPr>
            </w:pPr>
            <w:r w:rsidRPr="00F94FED">
              <w:rPr>
                <w:rFonts w:eastAsia="Times New Roman"/>
                <w:sz w:val="18"/>
                <w:szCs w:val="18"/>
                <w:lang w:eastAsia="ru-RU"/>
              </w:rPr>
              <w:t>1,02</w:t>
            </w:r>
          </w:p>
        </w:tc>
      </w:tr>
      <w:tr w:rsidR="009A4C46" w:rsidRPr="0081136F" w14:paraId="6F3389C0" w14:textId="77777777" w:rsidTr="00CB5AA8">
        <w:trPr>
          <w:trHeight w:val="20"/>
        </w:trPr>
        <w:tc>
          <w:tcPr>
            <w:tcW w:w="453" w:type="pct"/>
            <w:noWrap/>
            <w:vAlign w:val="center"/>
            <w:hideMark/>
          </w:tcPr>
          <w:p w14:paraId="3D374771" w14:textId="77777777" w:rsidR="009A4C46" w:rsidRPr="00F94FED" w:rsidRDefault="009A4C46" w:rsidP="00CB5AA8">
            <w:pPr>
              <w:spacing w:line="283" w:lineRule="auto"/>
              <w:jc w:val="both"/>
              <w:rPr>
                <w:rFonts w:eastAsia="Times New Roman"/>
                <w:sz w:val="18"/>
                <w:szCs w:val="18"/>
                <w:lang w:eastAsia="ru-RU"/>
              </w:rPr>
            </w:pPr>
            <w:r w:rsidRPr="00F94FED">
              <w:rPr>
                <w:rFonts w:eastAsia="Times New Roman"/>
                <w:sz w:val="18"/>
                <w:szCs w:val="18"/>
                <w:lang w:eastAsia="ru-RU"/>
              </w:rPr>
              <w:t>А.1</w:t>
            </w:r>
          </w:p>
        </w:tc>
        <w:tc>
          <w:tcPr>
            <w:tcW w:w="1953" w:type="pct"/>
            <w:vAlign w:val="center"/>
            <w:hideMark/>
          </w:tcPr>
          <w:p w14:paraId="0CBC8834" w14:textId="77777777" w:rsidR="009A4C46" w:rsidRPr="00F94FED" w:rsidRDefault="009A4C46" w:rsidP="00CB5AA8">
            <w:pPr>
              <w:spacing w:line="283" w:lineRule="auto"/>
              <w:jc w:val="both"/>
              <w:rPr>
                <w:rFonts w:eastAsia="Times New Roman"/>
                <w:sz w:val="18"/>
                <w:szCs w:val="18"/>
                <w:lang w:eastAsia="ru-RU"/>
              </w:rPr>
            </w:pPr>
            <w:r w:rsidRPr="00F94FED">
              <w:rPr>
                <w:rFonts w:eastAsia="Times New Roman"/>
                <w:sz w:val="18"/>
                <w:szCs w:val="18"/>
                <w:lang w:eastAsia="ru-RU"/>
              </w:rPr>
              <w:t>Чистая прибыль, в т.ч.:</w:t>
            </w:r>
          </w:p>
        </w:tc>
        <w:tc>
          <w:tcPr>
            <w:tcW w:w="703" w:type="pct"/>
            <w:vAlign w:val="center"/>
            <w:hideMark/>
          </w:tcPr>
          <w:p w14:paraId="37C1F7AD" w14:textId="77777777" w:rsidR="009A4C46" w:rsidRPr="00F94FED" w:rsidRDefault="009A4C46" w:rsidP="00CB5AA8">
            <w:pPr>
              <w:spacing w:line="283" w:lineRule="auto"/>
              <w:jc w:val="center"/>
              <w:rPr>
                <w:rFonts w:eastAsia="Times New Roman"/>
                <w:sz w:val="18"/>
                <w:szCs w:val="18"/>
                <w:lang w:eastAsia="ru-RU"/>
              </w:rPr>
            </w:pPr>
            <w:r w:rsidRPr="00F94FED">
              <w:rPr>
                <w:rFonts w:eastAsia="Times New Roman"/>
                <w:sz w:val="18"/>
                <w:szCs w:val="18"/>
                <w:lang w:eastAsia="ru-RU"/>
              </w:rPr>
              <w:t>150,040</w:t>
            </w:r>
          </w:p>
        </w:tc>
        <w:tc>
          <w:tcPr>
            <w:tcW w:w="633" w:type="pct"/>
            <w:vAlign w:val="center"/>
            <w:hideMark/>
          </w:tcPr>
          <w:p w14:paraId="274777F3" w14:textId="77777777" w:rsidR="009A4C46" w:rsidRPr="00F94FED" w:rsidRDefault="009A4C46" w:rsidP="00CB5AA8">
            <w:pPr>
              <w:spacing w:line="283" w:lineRule="auto"/>
              <w:jc w:val="center"/>
              <w:rPr>
                <w:rFonts w:eastAsia="Times New Roman"/>
                <w:sz w:val="18"/>
                <w:szCs w:val="18"/>
                <w:lang w:eastAsia="ru-RU"/>
              </w:rPr>
            </w:pPr>
            <w:r w:rsidRPr="00F94FED">
              <w:rPr>
                <w:rFonts w:eastAsia="Times New Roman"/>
                <w:sz w:val="18"/>
                <w:szCs w:val="18"/>
                <w:lang w:eastAsia="ru-RU"/>
              </w:rPr>
              <w:t>158,109</w:t>
            </w:r>
          </w:p>
        </w:tc>
        <w:tc>
          <w:tcPr>
            <w:tcW w:w="651" w:type="pct"/>
            <w:vAlign w:val="center"/>
            <w:hideMark/>
          </w:tcPr>
          <w:p w14:paraId="7BD15F6B" w14:textId="77777777" w:rsidR="009A4C46" w:rsidRPr="00F94FED" w:rsidRDefault="009A4C46" w:rsidP="00CB5AA8">
            <w:pPr>
              <w:spacing w:line="283" w:lineRule="auto"/>
              <w:jc w:val="center"/>
              <w:rPr>
                <w:rFonts w:eastAsia="Times New Roman"/>
                <w:sz w:val="18"/>
                <w:szCs w:val="18"/>
                <w:lang w:eastAsia="ru-RU"/>
              </w:rPr>
            </w:pPr>
            <w:r w:rsidRPr="00F94FED">
              <w:rPr>
                <w:rFonts w:eastAsia="Times New Roman"/>
                <w:sz w:val="18"/>
                <w:szCs w:val="18"/>
                <w:lang w:eastAsia="ru-RU"/>
              </w:rPr>
              <w:t>8,069</w:t>
            </w:r>
          </w:p>
        </w:tc>
        <w:tc>
          <w:tcPr>
            <w:tcW w:w="607" w:type="pct"/>
            <w:vAlign w:val="center"/>
            <w:hideMark/>
          </w:tcPr>
          <w:p w14:paraId="2A468A47" w14:textId="77777777" w:rsidR="009A4C46" w:rsidRPr="00F94FED" w:rsidRDefault="009A4C46" w:rsidP="00CB5AA8">
            <w:pPr>
              <w:spacing w:line="283" w:lineRule="auto"/>
              <w:jc w:val="center"/>
              <w:rPr>
                <w:rFonts w:eastAsia="Times New Roman"/>
                <w:sz w:val="18"/>
                <w:szCs w:val="18"/>
                <w:lang w:eastAsia="ru-RU"/>
              </w:rPr>
            </w:pPr>
            <w:r w:rsidRPr="00F94FED">
              <w:rPr>
                <w:rFonts w:eastAsia="Times New Roman"/>
                <w:sz w:val="18"/>
                <w:szCs w:val="18"/>
                <w:lang w:eastAsia="ru-RU"/>
              </w:rPr>
              <w:t>1,05</w:t>
            </w:r>
          </w:p>
        </w:tc>
      </w:tr>
      <w:tr w:rsidR="009A4C46" w:rsidRPr="0081136F" w14:paraId="1D5A8BF7" w14:textId="77777777" w:rsidTr="00CB5AA8">
        <w:trPr>
          <w:trHeight w:val="20"/>
        </w:trPr>
        <w:tc>
          <w:tcPr>
            <w:tcW w:w="453" w:type="pct"/>
            <w:noWrap/>
            <w:vAlign w:val="center"/>
            <w:hideMark/>
          </w:tcPr>
          <w:p w14:paraId="2738814A" w14:textId="77777777" w:rsidR="009A4C46" w:rsidRPr="00F94FED" w:rsidRDefault="009A4C46" w:rsidP="00CB5AA8">
            <w:pPr>
              <w:spacing w:line="283" w:lineRule="auto"/>
              <w:jc w:val="both"/>
              <w:rPr>
                <w:rFonts w:eastAsia="Times New Roman"/>
                <w:sz w:val="18"/>
                <w:szCs w:val="18"/>
                <w:lang w:eastAsia="ru-RU"/>
              </w:rPr>
            </w:pPr>
            <w:r w:rsidRPr="00F94FED">
              <w:rPr>
                <w:rFonts w:eastAsia="Times New Roman"/>
                <w:sz w:val="18"/>
                <w:szCs w:val="18"/>
                <w:lang w:eastAsia="ru-RU"/>
              </w:rPr>
              <w:t>А.1.1</w:t>
            </w:r>
          </w:p>
        </w:tc>
        <w:tc>
          <w:tcPr>
            <w:tcW w:w="1953" w:type="pct"/>
            <w:vAlign w:val="center"/>
            <w:hideMark/>
          </w:tcPr>
          <w:p w14:paraId="3DC4B525" w14:textId="77777777" w:rsidR="009A4C46" w:rsidRPr="00F94FED" w:rsidRDefault="009A4C46" w:rsidP="00CB5AA8">
            <w:pPr>
              <w:spacing w:line="283" w:lineRule="auto"/>
              <w:jc w:val="both"/>
              <w:rPr>
                <w:rFonts w:eastAsia="Times New Roman"/>
                <w:sz w:val="18"/>
                <w:szCs w:val="18"/>
                <w:lang w:eastAsia="ru-RU"/>
              </w:rPr>
            </w:pPr>
            <w:r w:rsidRPr="00F94FED">
              <w:rPr>
                <w:rFonts w:eastAsia="Times New Roman"/>
                <w:sz w:val="18"/>
                <w:szCs w:val="18"/>
                <w:lang w:eastAsia="ru-RU"/>
              </w:rPr>
              <w:t>прибыль по каждому регулируемому виду деятельности, в т.ч.:</w:t>
            </w:r>
          </w:p>
        </w:tc>
        <w:tc>
          <w:tcPr>
            <w:tcW w:w="703" w:type="pct"/>
            <w:vAlign w:val="center"/>
            <w:hideMark/>
          </w:tcPr>
          <w:p w14:paraId="3E662E4C" w14:textId="77777777" w:rsidR="009A4C46" w:rsidRPr="00F94FED" w:rsidRDefault="009A4C46" w:rsidP="00CB5AA8">
            <w:pPr>
              <w:spacing w:line="283" w:lineRule="auto"/>
              <w:jc w:val="center"/>
              <w:rPr>
                <w:rFonts w:eastAsia="Times New Roman"/>
                <w:sz w:val="18"/>
                <w:szCs w:val="18"/>
                <w:lang w:eastAsia="ru-RU"/>
              </w:rPr>
            </w:pPr>
          </w:p>
        </w:tc>
        <w:tc>
          <w:tcPr>
            <w:tcW w:w="633" w:type="pct"/>
            <w:vAlign w:val="center"/>
            <w:hideMark/>
          </w:tcPr>
          <w:p w14:paraId="710AFBFD" w14:textId="77777777" w:rsidR="009A4C46" w:rsidRPr="00F94FED" w:rsidRDefault="009A4C46" w:rsidP="00CB5AA8">
            <w:pPr>
              <w:spacing w:line="283" w:lineRule="auto"/>
              <w:jc w:val="center"/>
              <w:rPr>
                <w:rFonts w:eastAsia="Times New Roman"/>
                <w:sz w:val="18"/>
                <w:szCs w:val="18"/>
                <w:lang w:eastAsia="ru-RU"/>
              </w:rPr>
            </w:pPr>
          </w:p>
        </w:tc>
        <w:tc>
          <w:tcPr>
            <w:tcW w:w="651" w:type="pct"/>
            <w:vAlign w:val="center"/>
          </w:tcPr>
          <w:p w14:paraId="4D7205B5" w14:textId="77777777" w:rsidR="009A4C46" w:rsidRPr="00F94FED" w:rsidRDefault="009A4C46" w:rsidP="00CB5AA8">
            <w:pPr>
              <w:spacing w:line="283" w:lineRule="auto"/>
              <w:jc w:val="center"/>
              <w:rPr>
                <w:rFonts w:eastAsia="Times New Roman"/>
                <w:sz w:val="18"/>
                <w:szCs w:val="18"/>
                <w:lang w:eastAsia="ru-RU"/>
              </w:rPr>
            </w:pPr>
          </w:p>
        </w:tc>
        <w:tc>
          <w:tcPr>
            <w:tcW w:w="607" w:type="pct"/>
            <w:vAlign w:val="center"/>
            <w:hideMark/>
          </w:tcPr>
          <w:p w14:paraId="2A51C0B4" w14:textId="77777777" w:rsidR="009A4C46" w:rsidRPr="00F94FED" w:rsidRDefault="009A4C46" w:rsidP="00CB5AA8">
            <w:pPr>
              <w:spacing w:line="283" w:lineRule="auto"/>
              <w:jc w:val="center"/>
              <w:rPr>
                <w:rFonts w:eastAsia="Times New Roman"/>
                <w:sz w:val="18"/>
                <w:szCs w:val="18"/>
                <w:lang w:eastAsia="ru-RU"/>
              </w:rPr>
            </w:pPr>
          </w:p>
        </w:tc>
      </w:tr>
      <w:tr w:rsidR="009A4C46" w:rsidRPr="0081136F" w14:paraId="58A940E8" w14:textId="77777777" w:rsidTr="00CB5AA8">
        <w:trPr>
          <w:trHeight w:val="20"/>
        </w:trPr>
        <w:tc>
          <w:tcPr>
            <w:tcW w:w="453" w:type="pct"/>
            <w:noWrap/>
            <w:vAlign w:val="center"/>
            <w:hideMark/>
          </w:tcPr>
          <w:p w14:paraId="35B83CA7" w14:textId="77777777" w:rsidR="009A4C46" w:rsidRPr="00F94FED" w:rsidRDefault="009A4C46" w:rsidP="00CB5AA8">
            <w:pPr>
              <w:spacing w:line="283" w:lineRule="auto"/>
              <w:jc w:val="both"/>
              <w:rPr>
                <w:rFonts w:eastAsia="Times New Roman"/>
                <w:sz w:val="18"/>
                <w:szCs w:val="18"/>
                <w:lang w:eastAsia="ru-RU"/>
              </w:rPr>
            </w:pPr>
            <w:r w:rsidRPr="00F94FED">
              <w:rPr>
                <w:rFonts w:eastAsia="Times New Roman"/>
                <w:sz w:val="18"/>
                <w:szCs w:val="18"/>
                <w:lang w:eastAsia="ru-RU"/>
              </w:rPr>
              <w:t>А.1.1.1</w:t>
            </w:r>
          </w:p>
        </w:tc>
        <w:tc>
          <w:tcPr>
            <w:tcW w:w="1953" w:type="pct"/>
            <w:vAlign w:val="center"/>
            <w:hideMark/>
          </w:tcPr>
          <w:p w14:paraId="77FB95CD" w14:textId="77777777" w:rsidR="009A4C46" w:rsidRPr="00F94FED" w:rsidRDefault="009A4C46" w:rsidP="00CB5AA8">
            <w:pPr>
              <w:spacing w:line="283" w:lineRule="auto"/>
              <w:jc w:val="both"/>
              <w:rPr>
                <w:rFonts w:eastAsia="Times New Roman"/>
                <w:sz w:val="18"/>
                <w:szCs w:val="18"/>
                <w:lang w:eastAsia="ru-RU"/>
              </w:rPr>
            </w:pPr>
            <w:r w:rsidRPr="00F94FED">
              <w:rPr>
                <w:rFonts w:eastAsia="Times New Roman"/>
                <w:sz w:val="18"/>
                <w:szCs w:val="18"/>
                <w:lang w:eastAsia="ru-RU"/>
              </w:rPr>
              <w:t>прибыль, направляемая на инвестиции, в т.ч.:</w:t>
            </w:r>
          </w:p>
        </w:tc>
        <w:tc>
          <w:tcPr>
            <w:tcW w:w="703" w:type="pct"/>
            <w:vAlign w:val="center"/>
            <w:hideMark/>
          </w:tcPr>
          <w:p w14:paraId="09AED016" w14:textId="77777777" w:rsidR="009A4C46" w:rsidRPr="00F94FED" w:rsidRDefault="009A4C46" w:rsidP="00CB5AA8">
            <w:pPr>
              <w:spacing w:line="283" w:lineRule="auto"/>
              <w:jc w:val="center"/>
              <w:rPr>
                <w:rFonts w:eastAsia="Times New Roman"/>
                <w:sz w:val="18"/>
                <w:szCs w:val="18"/>
                <w:lang w:eastAsia="ru-RU"/>
              </w:rPr>
            </w:pPr>
          </w:p>
        </w:tc>
        <w:tc>
          <w:tcPr>
            <w:tcW w:w="633" w:type="pct"/>
            <w:vAlign w:val="center"/>
            <w:hideMark/>
          </w:tcPr>
          <w:p w14:paraId="1271A427" w14:textId="77777777" w:rsidR="009A4C46" w:rsidRPr="00F94FED" w:rsidRDefault="009A4C46" w:rsidP="00CB5AA8">
            <w:pPr>
              <w:spacing w:line="283" w:lineRule="auto"/>
              <w:jc w:val="center"/>
              <w:rPr>
                <w:rFonts w:eastAsia="Times New Roman"/>
                <w:sz w:val="18"/>
                <w:szCs w:val="18"/>
                <w:lang w:eastAsia="ru-RU"/>
              </w:rPr>
            </w:pPr>
          </w:p>
        </w:tc>
        <w:tc>
          <w:tcPr>
            <w:tcW w:w="651" w:type="pct"/>
            <w:vAlign w:val="center"/>
            <w:hideMark/>
          </w:tcPr>
          <w:p w14:paraId="2CB31C93" w14:textId="77777777" w:rsidR="009A4C46" w:rsidRPr="00F94FED" w:rsidRDefault="009A4C46" w:rsidP="00CB5AA8">
            <w:pPr>
              <w:spacing w:line="283" w:lineRule="auto"/>
              <w:jc w:val="center"/>
              <w:rPr>
                <w:rFonts w:eastAsia="Times New Roman"/>
                <w:sz w:val="18"/>
                <w:szCs w:val="18"/>
                <w:lang w:eastAsia="ru-RU"/>
              </w:rPr>
            </w:pPr>
          </w:p>
        </w:tc>
        <w:tc>
          <w:tcPr>
            <w:tcW w:w="607" w:type="pct"/>
            <w:vAlign w:val="center"/>
            <w:hideMark/>
          </w:tcPr>
          <w:p w14:paraId="6E5BF3EA" w14:textId="77777777" w:rsidR="009A4C46" w:rsidRPr="00F94FED" w:rsidRDefault="009A4C46" w:rsidP="00CB5AA8">
            <w:pPr>
              <w:spacing w:line="283" w:lineRule="auto"/>
              <w:jc w:val="center"/>
              <w:rPr>
                <w:rFonts w:eastAsia="Times New Roman"/>
                <w:sz w:val="18"/>
                <w:szCs w:val="18"/>
                <w:lang w:eastAsia="ru-RU"/>
              </w:rPr>
            </w:pPr>
          </w:p>
        </w:tc>
      </w:tr>
      <w:tr w:rsidR="009A4C46" w:rsidRPr="0081136F" w14:paraId="0043AF7E" w14:textId="77777777" w:rsidTr="00CB5AA8">
        <w:trPr>
          <w:trHeight w:val="20"/>
        </w:trPr>
        <w:tc>
          <w:tcPr>
            <w:tcW w:w="453" w:type="pct"/>
            <w:noWrap/>
            <w:vAlign w:val="center"/>
            <w:hideMark/>
          </w:tcPr>
          <w:p w14:paraId="702BE982" w14:textId="77777777" w:rsidR="009A4C46" w:rsidRPr="00F94FED" w:rsidRDefault="009A4C46" w:rsidP="00CB5AA8">
            <w:pPr>
              <w:spacing w:line="283" w:lineRule="auto"/>
              <w:jc w:val="both"/>
              <w:rPr>
                <w:rFonts w:eastAsia="Times New Roman"/>
                <w:sz w:val="18"/>
                <w:szCs w:val="18"/>
                <w:lang w:eastAsia="ru-RU"/>
              </w:rPr>
            </w:pPr>
            <w:r w:rsidRPr="00F94FED">
              <w:rPr>
                <w:rFonts w:eastAsia="Times New Roman"/>
                <w:sz w:val="18"/>
                <w:szCs w:val="18"/>
                <w:lang w:eastAsia="ru-RU"/>
              </w:rPr>
              <w:t>А.1.1.1.1</w:t>
            </w:r>
          </w:p>
        </w:tc>
        <w:tc>
          <w:tcPr>
            <w:tcW w:w="1953" w:type="pct"/>
            <w:vAlign w:val="center"/>
            <w:hideMark/>
          </w:tcPr>
          <w:p w14:paraId="5FAA0946" w14:textId="77777777" w:rsidR="009A4C46" w:rsidRPr="00F94FED" w:rsidRDefault="009A4C46" w:rsidP="00CB5AA8">
            <w:pPr>
              <w:spacing w:line="283" w:lineRule="auto"/>
              <w:jc w:val="both"/>
              <w:rPr>
                <w:rFonts w:eastAsia="Times New Roman"/>
                <w:sz w:val="18"/>
                <w:szCs w:val="18"/>
                <w:lang w:eastAsia="ru-RU"/>
              </w:rPr>
            </w:pPr>
            <w:r w:rsidRPr="00F94FED">
              <w:rPr>
                <w:rFonts w:eastAsia="Times New Roman"/>
                <w:sz w:val="18"/>
                <w:szCs w:val="18"/>
                <w:lang w:eastAsia="ru-RU"/>
              </w:rPr>
              <w:t>за счет платы за технологическое присоединение</w:t>
            </w:r>
          </w:p>
        </w:tc>
        <w:tc>
          <w:tcPr>
            <w:tcW w:w="703" w:type="pct"/>
            <w:vAlign w:val="center"/>
            <w:hideMark/>
          </w:tcPr>
          <w:p w14:paraId="1932B5BF" w14:textId="77777777" w:rsidR="009A4C46" w:rsidRPr="00F94FED" w:rsidRDefault="009A4C46" w:rsidP="00CB5AA8">
            <w:pPr>
              <w:spacing w:line="283" w:lineRule="auto"/>
              <w:jc w:val="center"/>
              <w:rPr>
                <w:rFonts w:eastAsia="Times New Roman"/>
                <w:sz w:val="18"/>
                <w:szCs w:val="18"/>
                <w:lang w:eastAsia="ru-RU"/>
              </w:rPr>
            </w:pPr>
            <w:r w:rsidRPr="00F94FED">
              <w:rPr>
                <w:rFonts w:eastAsia="Times New Roman"/>
                <w:sz w:val="18"/>
                <w:szCs w:val="18"/>
                <w:lang w:eastAsia="ru-RU"/>
              </w:rPr>
              <w:t>150,040</w:t>
            </w:r>
          </w:p>
        </w:tc>
        <w:tc>
          <w:tcPr>
            <w:tcW w:w="633" w:type="pct"/>
            <w:vAlign w:val="center"/>
            <w:hideMark/>
          </w:tcPr>
          <w:p w14:paraId="497328C4" w14:textId="77777777" w:rsidR="009A4C46" w:rsidRPr="00F94FED" w:rsidRDefault="009A4C46" w:rsidP="00CB5AA8">
            <w:pPr>
              <w:spacing w:line="283" w:lineRule="auto"/>
              <w:jc w:val="center"/>
              <w:rPr>
                <w:rFonts w:eastAsia="Times New Roman"/>
                <w:sz w:val="18"/>
                <w:szCs w:val="18"/>
                <w:lang w:eastAsia="ru-RU"/>
              </w:rPr>
            </w:pPr>
            <w:r w:rsidRPr="00F94FED">
              <w:rPr>
                <w:rFonts w:eastAsia="Times New Roman"/>
                <w:sz w:val="18"/>
                <w:szCs w:val="18"/>
                <w:lang w:eastAsia="ru-RU"/>
              </w:rPr>
              <w:t>158,109</w:t>
            </w:r>
          </w:p>
        </w:tc>
        <w:tc>
          <w:tcPr>
            <w:tcW w:w="651" w:type="pct"/>
            <w:vAlign w:val="center"/>
            <w:hideMark/>
          </w:tcPr>
          <w:p w14:paraId="61EFD2E0" w14:textId="77777777" w:rsidR="009A4C46" w:rsidRPr="00F94FED" w:rsidRDefault="009A4C46" w:rsidP="00CB5AA8">
            <w:pPr>
              <w:spacing w:line="283" w:lineRule="auto"/>
              <w:jc w:val="center"/>
              <w:rPr>
                <w:rFonts w:eastAsia="Times New Roman"/>
                <w:sz w:val="18"/>
                <w:szCs w:val="18"/>
                <w:lang w:eastAsia="ru-RU"/>
              </w:rPr>
            </w:pPr>
            <w:r w:rsidRPr="00F94FED">
              <w:rPr>
                <w:rFonts w:eastAsia="Times New Roman"/>
                <w:sz w:val="18"/>
                <w:szCs w:val="18"/>
                <w:lang w:eastAsia="ru-RU"/>
              </w:rPr>
              <w:t>8,069</w:t>
            </w:r>
          </w:p>
        </w:tc>
        <w:tc>
          <w:tcPr>
            <w:tcW w:w="607" w:type="pct"/>
            <w:vAlign w:val="center"/>
            <w:hideMark/>
          </w:tcPr>
          <w:p w14:paraId="4879B5E3" w14:textId="77777777" w:rsidR="009A4C46" w:rsidRPr="00F94FED" w:rsidRDefault="009A4C46" w:rsidP="00CB5AA8">
            <w:pPr>
              <w:spacing w:line="283" w:lineRule="auto"/>
              <w:jc w:val="center"/>
              <w:rPr>
                <w:rFonts w:eastAsia="Times New Roman"/>
                <w:sz w:val="18"/>
                <w:szCs w:val="18"/>
                <w:lang w:eastAsia="ru-RU"/>
              </w:rPr>
            </w:pPr>
            <w:r w:rsidRPr="00F94FED">
              <w:rPr>
                <w:rFonts w:eastAsia="Times New Roman"/>
                <w:sz w:val="18"/>
                <w:szCs w:val="18"/>
                <w:lang w:eastAsia="ru-RU"/>
              </w:rPr>
              <w:t>1,05</w:t>
            </w:r>
          </w:p>
        </w:tc>
      </w:tr>
      <w:tr w:rsidR="009A4C46" w:rsidRPr="0081136F" w14:paraId="3080BF0B" w14:textId="77777777" w:rsidTr="00CB5AA8">
        <w:trPr>
          <w:trHeight w:val="20"/>
        </w:trPr>
        <w:tc>
          <w:tcPr>
            <w:tcW w:w="453" w:type="pct"/>
            <w:noWrap/>
            <w:vAlign w:val="center"/>
            <w:hideMark/>
          </w:tcPr>
          <w:p w14:paraId="3FB02913" w14:textId="77777777" w:rsidR="009A4C46" w:rsidRPr="00F94FED" w:rsidRDefault="009A4C46" w:rsidP="00CB5AA8">
            <w:pPr>
              <w:spacing w:line="283" w:lineRule="auto"/>
              <w:jc w:val="both"/>
              <w:rPr>
                <w:rFonts w:eastAsia="Times New Roman"/>
                <w:sz w:val="18"/>
                <w:szCs w:val="18"/>
                <w:lang w:eastAsia="ru-RU"/>
              </w:rPr>
            </w:pPr>
            <w:r w:rsidRPr="00F94FED">
              <w:rPr>
                <w:rFonts w:eastAsia="Times New Roman"/>
                <w:sz w:val="18"/>
                <w:szCs w:val="18"/>
                <w:lang w:eastAsia="ru-RU"/>
              </w:rPr>
              <w:t>А.2</w:t>
            </w:r>
          </w:p>
        </w:tc>
        <w:tc>
          <w:tcPr>
            <w:tcW w:w="1953" w:type="pct"/>
            <w:vAlign w:val="center"/>
            <w:hideMark/>
          </w:tcPr>
          <w:p w14:paraId="64248F80" w14:textId="77777777" w:rsidR="009A4C46" w:rsidRPr="00F94FED" w:rsidRDefault="009A4C46" w:rsidP="00CB5AA8">
            <w:pPr>
              <w:spacing w:line="283" w:lineRule="auto"/>
              <w:jc w:val="both"/>
              <w:rPr>
                <w:rFonts w:eastAsia="Times New Roman"/>
                <w:sz w:val="18"/>
                <w:szCs w:val="18"/>
                <w:lang w:eastAsia="ru-RU"/>
              </w:rPr>
            </w:pPr>
            <w:r w:rsidRPr="00F94FED">
              <w:rPr>
                <w:rFonts w:eastAsia="Times New Roman"/>
                <w:sz w:val="18"/>
                <w:szCs w:val="18"/>
                <w:lang w:eastAsia="ru-RU"/>
              </w:rPr>
              <w:t>Амортизационные отчисления</w:t>
            </w:r>
          </w:p>
        </w:tc>
        <w:tc>
          <w:tcPr>
            <w:tcW w:w="703" w:type="pct"/>
            <w:vAlign w:val="center"/>
            <w:hideMark/>
          </w:tcPr>
          <w:p w14:paraId="69A2024E" w14:textId="77777777" w:rsidR="009A4C46" w:rsidRPr="00F94FED" w:rsidRDefault="009A4C46" w:rsidP="00CB5AA8">
            <w:pPr>
              <w:spacing w:line="283" w:lineRule="auto"/>
              <w:jc w:val="center"/>
              <w:rPr>
                <w:rFonts w:eastAsia="Times New Roman"/>
                <w:sz w:val="18"/>
                <w:szCs w:val="18"/>
                <w:lang w:eastAsia="ru-RU"/>
              </w:rPr>
            </w:pPr>
            <w:r w:rsidRPr="00F94FED">
              <w:rPr>
                <w:rFonts w:eastAsia="Times New Roman"/>
                <w:sz w:val="18"/>
                <w:szCs w:val="18"/>
                <w:lang w:eastAsia="ru-RU"/>
              </w:rPr>
              <w:t>70,888</w:t>
            </w:r>
          </w:p>
        </w:tc>
        <w:tc>
          <w:tcPr>
            <w:tcW w:w="633" w:type="pct"/>
            <w:vAlign w:val="center"/>
            <w:hideMark/>
          </w:tcPr>
          <w:p w14:paraId="073F5E41" w14:textId="77777777" w:rsidR="009A4C46" w:rsidRPr="00F94FED" w:rsidRDefault="009A4C46" w:rsidP="00CB5AA8">
            <w:pPr>
              <w:spacing w:line="283" w:lineRule="auto"/>
              <w:jc w:val="center"/>
              <w:rPr>
                <w:rFonts w:eastAsia="Times New Roman"/>
                <w:sz w:val="18"/>
                <w:szCs w:val="18"/>
                <w:lang w:eastAsia="ru-RU"/>
              </w:rPr>
            </w:pPr>
            <w:r w:rsidRPr="00F94FED">
              <w:rPr>
                <w:rFonts w:eastAsia="Times New Roman"/>
                <w:sz w:val="18"/>
                <w:szCs w:val="18"/>
                <w:lang w:eastAsia="ru-RU"/>
              </w:rPr>
              <w:t>68,136</w:t>
            </w:r>
          </w:p>
        </w:tc>
        <w:tc>
          <w:tcPr>
            <w:tcW w:w="651" w:type="pct"/>
            <w:vAlign w:val="center"/>
            <w:hideMark/>
          </w:tcPr>
          <w:p w14:paraId="250F9704" w14:textId="77777777" w:rsidR="009A4C46" w:rsidRPr="00F94FED" w:rsidRDefault="009A4C46" w:rsidP="00CB5AA8">
            <w:pPr>
              <w:spacing w:line="283" w:lineRule="auto"/>
              <w:jc w:val="center"/>
              <w:rPr>
                <w:rFonts w:eastAsia="Times New Roman"/>
                <w:sz w:val="18"/>
                <w:szCs w:val="18"/>
                <w:lang w:eastAsia="ru-RU"/>
              </w:rPr>
            </w:pPr>
            <w:r w:rsidRPr="00F94FED">
              <w:rPr>
                <w:rFonts w:eastAsia="Times New Roman"/>
                <w:sz w:val="18"/>
                <w:szCs w:val="18"/>
                <w:lang w:eastAsia="ru-RU"/>
              </w:rPr>
              <w:t>-2,752</w:t>
            </w:r>
          </w:p>
        </w:tc>
        <w:tc>
          <w:tcPr>
            <w:tcW w:w="607" w:type="pct"/>
            <w:vAlign w:val="center"/>
            <w:hideMark/>
          </w:tcPr>
          <w:p w14:paraId="62213F28" w14:textId="77777777" w:rsidR="009A4C46" w:rsidRPr="00F94FED" w:rsidRDefault="009A4C46" w:rsidP="00CB5AA8">
            <w:pPr>
              <w:spacing w:line="283" w:lineRule="auto"/>
              <w:jc w:val="center"/>
              <w:rPr>
                <w:rFonts w:eastAsia="Times New Roman"/>
                <w:sz w:val="18"/>
                <w:szCs w:val="18"/>
                <w:lang w:eastAsia="ru-RU"/>
              </w:rPr>
            </w:pPr>
            <w:r w:rsidRPr="00F94FED">
              <w:rPr>
                <w:rFonts w:eastAsia="Times New Roman"/>
                <w:sz w:val="18"/>
                <w:szCs w:val="18"/>
                <w:lang w:eastAsia="ru-RU"/>
              </w:rPr>
              <w:t>0,96</w:t>
            </w:r>
          </w:p>
        </w:tc>
      </w:tr>
      <w:tr w:rsidR="009A4C46" w:rsidRPr="0081136F" w14:paraId="52D1F66E" w14:textId="77777777" w:rsidTr="00CB5AA8">
        <w:trPr>
          <w:trHeight w:val="20"/>
        </w:trPr>
        <w:tc>
          <w:tcPr>
            <w:tcW w:w="453" w:type="pct"/>
            <w:noWrap/>
            <w:vAlign w:val="center"/>
            <w:hideMark/>
          </w:tcPr>
          <w:p w14:paraId="562DD6D8" w14:textId="77777777" w:rsidR="009A4C46" w:rsidRPr="00F94FED" w:rsidRDefault="009A4C46" w:rsidP="00CB5AA8">
            <w:pPr>
              <w:spacing w:line="283" w:lineRule="auto"/>
              <w:jc w:val="both"/>
              <w:rPr>
                <w:rFonts w:eastAsia="Times New Roman"/>
                <w:sz w:val="18"/>
                <w:szCs w:val="18"/>
                <w:lang w:eastAsia="ru-RU"/>
              </w:rPr>
            </w:pPr>
            <w:r w:rsidRPr="00F94FED">
              <w:rPr>
                <w:rFonts w:eastAsia="Times New Roman"/>
                <w:sz w:val="18"/>
                <w:szCs w:val="18"/>
                <w:lang w:eastAsia="ru-RU"/>
              </w:rPr>
              <w:t>А.2.1</w:t>
            </w:r>
          </w:p>
        </w:tc>
        <w:tc>
          <w:tcPr>
            <w:tcW w:w="1953" w:type="pct"/>
            <w:vAlign w:val="center"/>
            <w:hideMark/>
          </w:tcPr>
          <w:p w14:paraId="3798121B" w14:textId="77777777" w:rsidR="009A4C46" w:rsidRPr="00F94FED" w:rsidRDefault="009A4C46" w:rsidP="00CB5AA8">
            <w:pPr>
              <w:spacing w:line="283" w:lineRule="auto"/>
              <w:jc w:val="both"/>
              <w:rPr>
                <w:rFonts w:eastAsia="Times New Roman"/>
                <w:sz w:val="18"/>
                <w:szCs w:val="18"/>
                <w:lang w:eastAsia="ru-RU"/>
              </w:rPr>
            </w:pPr>
            <w:r w:rsidRPr="00F94FED">
              <w:rPr>
                <w:rFonts w:eastAsia="Times New Roman"/>
                <w:sz w:val="18"/>
                <w:szCs w:val="18"/>
                <w:lang w:eastAsia="ru-RU"/>
              </w:rPr>
              <w:t>Недоиспользованная амортизация прошлых лет</w:t>
            </w:r>
          </w:p>
        </w:tc>
        <w:tc>
          <w:tcPr>
            <w:tcW w:w="703" w:type="pct"/>
            <w:vAlign w:val="center"/>
            <w:hideMark/>
          </w:tcPr>
          <w:p w14:paraId="5FFB7664" w14:textId="77777777" w:rsidR="009A4C46" w:rsidRPr="00F94FED" w:rsidRDefault="009A4C46" w:rsidP="00CB5AA8">
            <w:pPr>
              <w:spacing w:line="283" w:lineRule="auto"/>
              <w:jc w:val="center"/>
              <w:rPr>
                <w:rFonts w:eastAsia="Times New Roman"/>
                <w:sz w:val="18"/>
                <w:szCs w:val="18"/>
                <w:lang w:eastAsia="ru-RU"/>
              </w:rPr>
            </w:pPr>
          </w:p>
        </w:tc>
        <w:tc>
          <w:tcPr>
            <w:tcW w:w="633" w:type="pct"/>
            <w:vAlign w:val="center"/>
            <w:hideMark/>
          </w:tcPr>
          <w:p w14:paraId="4CF9B956" w14:textId="77777777" w:rsidR="009A4C46" w:rsidRPr="00F94FED" w:rsidRDefault="009A4C46" w:rsidP="00CB5AA8">
            <w:pPr>
              <w:spacing w:line="283" w:lineRule="auto"/>
              <w:jc w:val="center"/>
              <w:rPr>
                <w:rFonts w:eastAsia="Times New Roman"/>
                <w:sz w:val="18"/>
                <w:szCs w:val="18"/>
                <w:lang w:eastAsia="ru-RU"/>
              </w:rPr>
            </w:pPr>
          </w:p>
        </w:tc>
        <w:tc>
          <w:tcPr>
            <w:tcW w:w="651" w:type="pct"/>
            <w:vAlign w:val="center"/>
            <w:hideMark/>
          </w:tcPr>
          <w:p w14:paraId="2347FE5F" w14:textId="77777777" w:rsidR="009A4C46" w:rsidRPr="00F94FED" w:rsidRDefault="009A4C46" w:rsidP="00CB5AA8">
            <w:pPr>
              <w:spacing w:line="283" w:lineRule="auto"/>
              <w:jc w:val="center"/>
              <w:rPr>
                <w:rFonts w:eastAsia="Times New Roman"/>
                <w:sz w:val="18"/>
                <w:szCs w:val="18"/>
                <w:lang w:eastAsia="ru-RU"/>
              </w:rPr>
            </w:pPr>
          </w:p>
        </w:tc>
        <w:tc>
          <w:tcPr>
            <w:tcW w:w="607" w:type="pct"/>
            <w:vAlign w:val="center"/>
            <w:hideMark/>
          </w:tcPr>
          <w:p w14:paraId="1BF64C18" w14:textId="77777777" w:rsidR="009A4C46" w:rsidRPr="00F94FED" w:rsidRDefault="009A4C46" w:rsidP="00CB5AA8">
            <w:pPr>
              <w:spacing w:line="283" w:lineRule="auto"/>
              <w:jc w:val="center"/>
              <w:rPr>
                <w:rFonts w:eastAsia="Times New Roman"/>
                <w:sz w:val="18"/>
                <w:szCs w:val="18"/>
                <w:lang w:eastAsia="ru-RU"/>
              </w:rPr>
            </w:pPr>
          </w:p>
        </w:tc>
      </w:tr>
      <w:tr w:rsidR="009A4C46" w:rsidRPr="0081136F" w14:paraId="3C71FEF9" w14:textId="77777777" w:rsidTr="00CB5AA8">
        <w:trPr>
          <w:trHeight w:val="20"/>
        </w:trPr>
        <w:tc>
          <w:tcPr>
            <w:tcW w:w="453" w:type="pct"/>
            <w:noWrap/>
            <w:vAlign w:val="center"/>
            <w:hideMark/>
          </w:tcPr>
          <w:p w14:paraId="5BE7BF43" w14:textId="77777777" w:rsidR="009A4C46" w:rsidRPr="00F94FED" w:rsidRDefault="009A4C46" w:rsidP="00CB5AA8">
            <w:pPr>
              <w:spacing w:line="283" w:lineRule="auto"/>
              <w:jc w:val="both"/>
              <w:rPr>
                <w:rFonts w:eastAsia="Times New Roman"/>
                <w:sz w:val="18"/>
                <w:szCs w:val="18"/>
                <w:lang w:eastAsia="ru-RU"/>
              </w:rPr>
            </w:pPr>
            <w:r w:rsidRPr="00F94FED">
              <w:rPr>
                <w:rFonts w:eastAsia="Times New Roman"/>
                <w:sz w:val="18"/>
                <w:szCs w:val="18"/>
                <w:lang w:eastAsia="ru-RU"/>
              </w:rPr>
              <w:t>А.3</w:t>
            </w:r>
          </w:p>
        </w:tc>
        <w:tc>
          <w:tcPr>
            <w:tcW w:w="1953" w:type="pct"/>
            <w:vAlign w:val="center"/>
            <w:hideMark/>
          </w:tcPr>
          <w:p w14:paraId="64A15D5B" w14:textId="77777777" w:rsidR="009A4C46" w:rsidRPr="00F94FED" w:rsidRDefault="009A4C46" w:rsidP="00CB5AA8">
            <w:pPr>
              <w:spacing w:line="283" w:lineRule="auto"/>
              <w:jc w:val="both"/>
              <w:rPr>
                <w:rFonts w:eastAsia="Times New Roman"/>
                <w:sz w:val="18"/>
                <w:szCs w:val="18"/>
                <w:lang w:eastAsia="ru-RU"/>
              </w:rPr>
            </w:pPr>
            <w:r w:rsidRPr="00F94FED">
              <w:rPr>
                <w:rFonts w:eastAsia="Times New Roman"/>
                <w:sz w:val="18"/>
                <w:szCs w:val="18"/>
                <w:lang w:eastAsia="ru-RU"/>
              </w:rPr>
              <w:t>Прочие собственные средства</w:t>
            </w:r>
          </w:p>
        </w:tc>
        <w:tc>
          <w:tcPr>
            <w:tcW w:w="703" w:type="pct"/>
            <w:vAlign w:val="center"/>
            <w:hideMark/>
          </w:tcPr>
          <w:p w14:paraId="1D875B1B" w14:textId="77777777" w:rsidR="009A4C46" w:rsidRPr="00F94FED" w:rsidRDefault="009A4C46" w:rsidP="00CB5AA8">
            <w:pPr>
              <w:spacing w:line="283" w:lineRule="auto"/>
              <w:jc w:val="center"/>
              <w:rPr>
                <w:rFonts w:eastAsia="Times New Roman"/>
                <w:sz w:val="18"/>
                <w:szCs w:val="18"/>
                <w:lang w:eastAsia="ru-RU"/>
              </w:rPr>
            </w:pPr>
          </w:p>
        </w:tc>
        <w:tc>
          <w:tcPr>
            <w:tcW w:w="633" w:type="pct"/>
            <w:vAlign w:val="center"/>
            <w:hideMark/>
          </w:tcPr>
          <w:p w14:paraId="6CBED5A0" w14:textId="77777777" w:rsidR="009A4C46" w:rsidRPr="00F94FED" w:rsidRDefault="009A4C46" w:rsidP="00CB5AA8">
            <w:pPr>
              <w:spacing w:line="283" w:lineRule="auto"/>
              <w:jc w:val="center"/>
              <w:rPr>
                <w:rFonts w:eastAsia="Times New Roman"/>
                <w:sz w:val="18"/>
                <w:szCs w:val="18"/>
                <w:lang w:eastAsia="ru-RU"/>
              </w:rPr>
            </w:pPr>
          </w:p>
        </w:tc>
        <w:tc>
          <w:tcPr>
            <w:tcW w:w="651" w:type="pct"/>
            <w:vAlign w:val="center"/>
            <w:hideMark/>
          </w:tcPr>
          <w:p w14:paraId="70164B84" w14:textId="77777777" w:rsidR="009A4C46" w:rsidRPr="00F94FED" w:rsidRDefault="009A4C46" w:rsidP="00CB5AA8">
            <w:pPr>
              <w:spacing w:line="283" w:lineRule="auto"/>
              <w:jc w:val="center"/>
              <w:rPr>
                <w:rFonts w:eastAsia="Times New Roman"/>
                <w:sz w:val="18"/>
                <w:szCs w:val="18"/>
                <w:lang w:eastAsia="ru-RU"/>
              </w:rPr>
            </w:pPr>
          </w:p>
        </w:tc>
        <w:tc>
          <w:tcPr>
            <w:tcW w:w="607" w:type="pct"/>
            <w:vAlign w:val="center"/>
          </w:tcPr>
          <w:p w14:paraId="225BF27A" w14:textId="77777777" w:rsidR="009A4C46" w:rsidRPr="00F94FED" w:rsidRDefault="009A4C46" w:rsidP="00CB5AA8">
            <w:pPr>
              <w:spacing w:line="283" w:lineRule="auto"/>
              <w:jc w:val="center"/>
              <w:rPr>
                <w:rFonts w:eastAsia="Times New Roman"/>
                <w:sz w:val="18"/>
                <w:szCs w:val="18"/>
                <w:lang w:eastAsia="ru-RU"/>
              </w:rPr>
            </w:pPr>
          </w:p>
        </w:tc>
      </w:tr>
      <w:tr w:rsidR="009A4C46" w:rsidRPr="0081136F" w14:paraId="1265C8AD" w14:textId="77777777" w:rsidTr="00CB5AA8">
        <w:trPr>
          <w:trHeight w:val="20"/>
        </w:trPr>
        <w:tc>
          <w:tcPr>
            <w:tcW w:w="453" w:type="pct"/>
            <w:noWrap/>
            <w:vAlign w:val="center"/>
            <w:hideMark/>
          </w:tcPr>
          <w:p w14:paraId="7C4F6953" w14:textId="77777777" w:rsidR="009A4C46" w:rsidRPr="00F94FED" w:rsidRDefault="009A4C46" w:rsidP="00CB5AA8">
            <w:pPr>
              <w:spacing w:line="283" w:lineRule="auto"/>
              <w:jc w:val="both"/>
              <w:rPr>
                <w:rFonts w:eastAsia="Times New Roman"/>
                <w:sz w:val="18"/>
                <w:szCs w:val="18"/>
                <w:lang w:eastAsia="ru-RU"/>
              </w:rPr>
            </w:pPr>
            <w:r w:rsidRPr="00F94FED">
              <w:rPr>
                <w:rFonts w:eastAsia="Times New Roman"/>
                <w:sz w:val="18"/>
                <w:szCs w:val="18"/>
                <w:lang w:eastAsia="ru-RU"/>
              </w:rPr>
              <w:t>А.3.1</w:t>
            </w:r>
          </w:p>
        </w:tc>
        <w:tc>
          <w:tcPr>
            <w:tcW w:w="1953" w:type="pct"/>
            <w:vAlign w:val="center"/>
            <w:hideMark/>
          </w:tcPr>
          <w:p w14:paraId="0D889150" w14:textId="77777777" w:rsidR="009A4C46" w:rsidRPr="00F94FED" w:rsidRDefault="009A4C46" w:rsidP="00CB5AA8">
            <w:pPr>
              <w:spacing w:line="283" w:lineRule="auto"/>
              <w:jc w:val="both"/>
              <w:rPr>
                <w:rFonts w:eastAsia="Times New Roman"/>
                <w:sz w:val="18"/>
                <w:szCs w:val="18"/>
                <w:lang w:eastAsia="ru-RU"/>
              </w:rPr>
            </w:pPr>
            <w:r w:rsidRPr="00F94FED">
              <w:rPr>
                <w:rFonts w:eastAsia="Times New Roman"/>
                <w:sz w:val="18"/>
                <w:szCs w:val="18"/>
                <w:lang w:eastAsia="ru-RU"/>
              </w:rPr>
              <w:t>Наименование источника</w:t>
            </w:r>
          </w:p>
        </w:tc>
        <w:tc>
          <w:tcPr>
            <w:tcW w:w="703" w:type="pct"/>
            <w:vAlign w:val="center"/>
          </w:tcPr>
          <w:p w14:paraId="4B3B5CCA" w14:textId="77777777" w:rsidR="009A4C46" w:rsidRPr="00F94FED" w:rsidRDefault="009A4C46" w:rsidP="00CB5AA8">
            <w:pPr>
              <w:spacing w:line="283" w:lineRule="auto"/>
              <w:jc w:val="center"/>
              <w:rPr>
                <w:rFonts w:eastAsia="Times New Roman"/>
                <w:sz w:val="18"/>
                <w:szCs w:val="18"/>
                <w:lang w:eastAsia="ru-RU"/>
              </w:rPr>
            </w:pPr>
          </w:p>
        </w:tc>
        <w:tc>
          <w:tcPr>
            <w:tcW w:w="633" w:type="pct"/>
            <w:vAlign w:val="center"/>
          </w:tcPr>
          <w:p w14:paraId="3F638A19" w14:textId="77777777" w:rsidR="009A4C46" w:rsidRPr="00F94FED" w:rsidRDefault="009A4C46" w:rsidP="00CB5AA8">
            <w:pPr>
              <w:spacing w:line="283" w:lineRule="auto"/>
              <w:jc w:val="center"/>
              <w:rPr>
                <w:rFonts w:eastAsia="Times New Roman"/>
                <w:sz w:val="18"/>
                <w:szCs w:val="18"/>
                <w:lang w:eastAsia="ru-RU"/>
              </w:rPr>
            </w:pPr>
          </w:p>
        </w:tc>
        <w:tc>
          <w:tcPr>
            <w:tcW w:w="651" w:type="pct"/>
            <w:vAlign w:val="center"/>
          </w:tcPr>
          <w:p w14:paraId="68B5BD51" w14:textId="77777777" w:rsidR="009A4C46" w:rsidRPr="00F94FED" w:rsidRDefault="009A4C46" w:rsidP="00CB5AA8">
            <w:pPr>
              <w:spacing w:line="283" w:lineRule="auto"/>
              <w:jc w:val="center"/>
              <w:rPr>
                <w:rFonts w:eastAsia="Times New Roman"/>
                <w:sz w:val="18"/>
                <w:szCs w:val="18"/>
                <w:lang w:eastAsia="ru-RU"/>
              </w:rPr>
            </w:pPr>
          </w:p>
        </w:tc>
        <w:tc>
          <w:tcPr>
            <w:tcW w:w="607" w:type="pct"/>
            <w:vAlign w:val="center"/>
          </w:tcPr>
          <w:p w14:paraId="1F2CBD45" w14:textId="77777777" w:rsidR="009A4C46" w:rsidRPr="00F94FED" w:rsidRDefault="009A4C46" w:rsidP="00CB5AA8">
            <w:pPr>
              <w:spacing w:line="283" w:lineRule="auto"/>
              <w:jc w:val="center"/>
              <w:rPr>
                <w:rFonts w:eastAsia="Times New Roman"/>
                <w:sz w:val="18"/>
                <w:szCs w:val="18"/>
                <w:lang w:eastAsia="ru-RU"/>
              </w:rPr>
            </w:pPr>
          </w:p>
        </w:tc>
      </w:tr>
      <w:tr w:rsidR="009A4C46" w:rsidRPr="0081136F" w14:paraId="34E5458F" w14:textId="77777777" w:rsidTr="00CB5AA8">
        <w:trPr>
          <w:trHeight w:val="20"/>
        </w:trPr>
        <w:tc>
          <w:tcPr>
            <w:tcW w:w="453" w:type="pct"/>
            <w:noWrap/>
            <w:vAlign w:val="center"/>
            <w:hideMark/>
          </w:tcPr>
          <w:p w14:paraId="65D048B2" w14:textId="77777777" w:rsidR="009A4C46" w:rsidRPr="00F94FED" w:rsidRDefault="009A4C46" w:rsidP="00CB5AA8">
            <w:pPr>
              <w:spacing w:line="283" w:lineRule="auto"/>
              <w:jc w:val="both"/>
              <w:rPr>
                <w:rFonts w:eastAsia="Times New Roman"/>
                <w:sz w:val="18"/>
                <w:szCs w:val="18"/>
                <w:lang w:eastAsia="ru-RU"/>
              </w:rPr>
            </w:pPr>
            <w:r w:rsidRPr="00F94FED">
              <w:rPr>
                <w:rFonts w:eastAsia="Times New Roman"/>
                <w:sz w:val="18"/>
                <w:szCs w:val="18"/>
                <w:lang w:eastAsia="ru-RU"/>
              </w:rPr>
              <w:t>А.4</w:t>
            </w:r>
          </w:p>
        </w:tc>
        <w:tc>
          <w:tcPr>
            <w:tcW w:w="1953" w:type="pct"/>
            <w:vAlign w:val="center"/>
            <w:hideMark/>
          </w:tcPr>
          <w:p w14:paraId="0281C92E" w14:textId="77777777" w:rsidR="009A4C46" w:rsidRPr="00F94FED" w:rsidRDefault="009A4C46" w:rsidP="00CB5AA8">
            <w:pPr>
              <w:spacing w:line="283" w:lineRule="auto"/>
              <w:jc w:val="both"/>
              <w:rPr>
                <w:rFonts w:eastAsia="Times New Roman"/>
                <w:sz w:val="18"/>
                <w:szCs w:val="18"/>
                <w:lang w:eastAsia="ru-RU"/>
              </w:rPr>
            </w:pPr>
            <w:r w:rsidRPr="00F94FED">
              <w:rPr>
                <w:rFonts w:eastAsia="Times New Roman"/>
                <w:sz w:val="18"/>
                <w:szCs w:val="18"/>
                <w:lang w:eastAsia="ru-RU"/>
              </w:rPr>
              <w:t>Возврат НДС</w:t>
            </w:r>
          </w:p>
        </w:tc>
        <w:tc>
          <w:tcPr>
            <w:tcW w:w="703" w:type="pct"/>
            <w:vAlign w:val="center"/>
            <w:hideMark/>
          </w:tcPr>
          <w:p w14:paraId="480FAE7F" w14:textId="77777777" w:rsidR="009A4C46" w:rsidRPr="00F94FED" w:rsidRDefault="009A4C46" w:rsidP="00CB5AA8">
            <w:pPr>
              <w:spacing w:line="283" w:lineRule="auto"/>
              <w:jc w:val="center"/>
              <w:rPr>
                <w:rFonts w:eastAsia="Times New Roman"/>
                <w:sz w:val="18"/>
                <w:szCs w:val="18"/>
                <w:lang w:eastAsia="ru-RU"/>
              </w:rPr>
            </w:pPr>
            <w:r w:rsidRPr="00F94FED">
              <w:rPr>
                <w:rFonts w:eastAsia="Times New Roman"/>
                <w:sz w:val="18"/>
                <w:szCs w:val="18"/>
                <w:lang w:eastAsia="ru-RU"/>
              </w:rPr>
              <w:t>36,564</w:t>
            </w:r>
          </w:p>
        </w:tc>
        <w:tc>
          <w:tcPr>
            <w:tcW w:w="633" w:type="pct"/>
            <w:vAlign w:val="center"/>
            <w:hideMark/>
          </w:tcPr>
          <w:p w14:paraId="1CA60E3D" w14:textId="77777777" w:rsidR="009A4C46" w:rsidRPr="00F94FED" w:rsidRDefault="009A4C46" w:rsidP="00CB5AA8">
            <w:pPr>
              <w:spacing w:line="283" w:lineRule="auto"/>
              <w:jc w:val="center"/>
              <w:rPr>
                <w:rFonts w:eastAsia="Times New Roman"/>
                <w:sz w:val="18"/>
                <w:szCs w:val="18"/>
                <w:lang w:eastAsia="ru-RU"/>
              </w:rPr>
            </w:pPr>
            <w:r w:rsidRPr="00F94FED">
              <w:rPr>
                <w:rFonts w:eastAsia="Times New Roman"/>
                <w:sz w:val="18"/>
                <w:szCs w:val="18"/>
                <w:lang w:eastAsia="ru-RU"/>
              </w:rPr>
              <w:t>36,864</w:t>
            </w:r>
          </w:p>
        </w:tc>
        <w:tc>
          <w:tcPr>
            <w:tcW w:w="651" w:type="pct"/>
            <w:vAlign w:val="center"/>
            <w:hideMark/>
          </w:tcPr>
          <w:p w14:paraId="297D0B4F" w14:textId="77777777" w:rsidR="009A4C46" w:rsidRPr="00F94FED" w:rsidRDefault="009A4C46" w:rsidP="00CB5AA8">
            <w:pPr>
              <w:spacing w:line="283" w:lineRule="auto"/>
              <w:jc w:val="center"/>
              <w:rPr>
                <w:rFonts w:eastAsia="Times New Roman"/>
                <w:sz w:val="18"/>
                <w:szCs w:val="18"/>
                <w:lang w:eastAsia="ru-RU"/>
              </w:rPr>
            </w:pPr>
            <w:r w:rsidRPr="00F94FED">
              <w:rPr>
                <w:rFonts w:eastAsia="Times New Roman"/>
                <w:sz w:val="18"/>
                <w:szCs w:val="18"/>
                <w:lang w:eastAsia="ru-RU"/>
              </w:rPr>
              <w:t>0,299</w:t>
            </w:r>
          </w:p>
        </w:tc>
        <w:tc>
          <w:tcPr>
            <w:tcW w:w="607" w:type="pct"/>
            <w:vAlign w:val="center"/>
            <w:hideMark/>
          </w:tcPr>
          <w:p w14:paraId="3D27A4AD" w14:textId="77777777" w:rsidR="009A4C46" w:rsidRPr="00F94FED" w:rsidRDefault="009A4C46" w:rsidP="00CB5AA8">
            <w:pPr>
              <w:spacing w:line="283" w:lineRule="auto"/>
              <w:jc w:val="center"/>
              <w:rPr>
                <w:rFonts w:eastAsia="Times New Roman"/>
                <w:sz w:val="18"/>
                <w:szCs w:val="18"/>
                <w:lang w:eastAsia="ru-RU"/>
              </w:rPr>
            </w:pPr>
            <w:r w:rsidRPr="00F94FED">
              <w:rPr>
                <w:rFonts w:eastAsia="Times New Roman"/>
                <w:sz w:val="18"/>
                <w:szCs w:val="18"/>
                <w:lang w:eastAsia="ru-RU"/>
              </w:rPr>
              <w:t>1,01</w:t>
            </w:r>
          </w:p>
        </w:tc>
      </w:tr>
      <w:tr w:rsidR="009A4C46" w:rsidRPr="0081136F" w14:paraId="50787187" w14:textId="77777777" w:rsidTr="00CB5AA8">
        <w:trPr>
          <w:trHeight w:val="20"/>
        </w:trPr>
        <w:tc>
          <w:tcPr>
            <w:tcW w:w="453" w:type="pct"/>
            <w:noWrap/>
            <w:vAlign w:val="center"/>
            <w:hideMark/>
          </w:tcPr>
          <w:p w14:paraId="5AAA4814" w14:textId="77777777" w:rsidR="009A4C46" w:rsidRPr="00F94FED" w:rsidRDefault="009A4C46" w:rsidP="00CB5AA8">
            <w:pPr>
              <w:spacing w:line="283" w:lineRule="auto"/>
              <w:jc w:val="both"/>
              <w:rPr>
                <w:rFonts w:eastAsia="Times New Roman"/>
                <w:sz w:val="18"/>
                <w:szCs w:val="18"/>
                <w:lang w:eastAsia="ru-RU"/>
              </w:rPr>
            </w:pPr>
            <w:r w:rsidRPr="00F94FED">
              <w:rPr>
                <w:rFonts w:eastAsia="Times New Roman"/>
                <w:sz w:val="18"/>
                <w:szCs w:val="18"/>
                <w:lang w:eastAsia="ru-RU"/>
              </w:rPr>
              <w:t>Б</w:t>
            </w:r>
          </w:p>
        </w:tc>
        <w:tc>
          <w:tcPr>
            <w:tcW w:w="1953" w:type="pct"/>
            <w:vAlign w:val="center"/>
            <w:hideMark/>
          </w:tcPr>
          <w:p w14:paraId="519C0BE5" w14:textId="77777777" w:rsidR="009A4C46" w:rsidRPr="00F94FED" w:rsidRDefault="009A4C46" w:rsidP="00CB5AA8">
            <w:pPr>
              <w:spacing w:line="283" w:lineRule="auto"/>
              <w:jc w:val="both"/>
              <w:rPr>
                <w:rFonts w:eastAsia="Times New Roman"/>
                <w:sz w:val="18"/>
                <w:szCs w:val="18"/>
                <w:lang w:eastAsia="ru-RU"/>
              </w:rPr>
            </w:pPr>
            <w:r w:rsidRPr="00F94FED">
              <w:rPr>
                <w:rFonts w:eastAsia="Times New Roman"/>
                <w:sz w:val="18"/>
                <w:szCs w:val="18"/>
                <w:lang w:eastAsia="ru-RU"/>
              </w:rPr>
              <w:t>Привлеченные средства, в т.ч.:</w:t>
            </w:r>
          </w:p>
        </w:tc>
        <w:tc>
          <w:tcPr>
            <w:tcW w:w="703" w:type="pct"/>
            <w:vAlign w:val="center"/>
          </w:tcPr>
          <w:p w14:paraId="6A8127DB" w14:textId="77777777" w:rsidR="009A4C46" w:rsidRPr="00F94FED" w:rsidRDefault="009A4C46" w:rsidP="00CB5AA8">
            <w:pPr>
              <w:spacing w:line="283" w:lineRule="auto"/>
              <w:jc w:val="center"/>
              <w:rPr>
                <w:rFonts w:eastAsia="Times New Roman"/>
                <w:sz w:val="18"/>
                <w:szCs w:val="18"/>
                <w:lang w:eastAsia="ru-RU"/>
              </w:rPr>
            </w:pPr>
          </w:p>
        </w:tc>
        <w:tc>
          <w:tcPr>
            <w:tcW w:w="633" w:type="pct"/>
            <w:vAlign w:val="center"/>
          </w:tcPr>
          <w:p w14:paraId="77E2EA53" w14:textId="77777777" w:rsidR="009A4C46" w:rsidRPr="00F94FED" w:rsidRDefault="009A4C46" w:rsidP="00CB5AA8">
            <w:pPr>
              <w:spacing w:line="283" w:lineRule="auto"/>
              <w:jc w:val="center"/>
              <w:rPr>
                <w:rFonts w:eastAsia="Times New Roman"/>
                <w:sz w:val="18"/>
                <w:szCs w:val="18"/>
                <w:lang w:eastAsia="ru-RU"/>
              </w:rPr>
            </w:pPr>
          </w:p>
        </w:tc>
        <w:tc>
          <w:tcPr>
            <w:tcW w:w="651" w:type="pct"/>
            <w:vAlign w:val="center"/>
          </w:tcPr>
          <w:p w14:paraId="57447653" w14:textId="77777777" w:rsidR="009A4C46" w:rsidRPr="00F94FED" w:rsidRDefault="009A4C46" w:rsidP="00CB5AA8">
            <w:pPr>
              <w:spacing w:line="283" w:lineRule="auto"/>
              <w:jc w:val="center"/>
              <w:rPr>
                <w:rFonts w:eastAsia="Times New Roman"/>
                <w:sz w:val="18"/>
                <w:szCs w:val="18"/>
                <w:lang w:eastAsia="ru-RU"/>
              </w:rPr>
            </w:pPr>
          </w:p>
        </w:tc>
        <w:tc>
          <w:tcPr>
            <w:tcW w:w="607" w:type="pct"/>
            <w:vAlign w:val="center"/>
          </w:tcPr>
          <w:p w14:paraId="787C37DF" w14:textId="77777777" w:rsidR="009A4C46" w:rsidRPr="00F94FED" w:rsidRDefault="009A4C46" w:rsidP="00CB5AA8">
            <w:pPr>
              <w:spacing w:line="283" w:lineRule="auto"/>
              <w:jc w:val="center"/>
              <w:rPr>
                <w:rFonts w:eastAsia="Times New Roman"/>
                <w:sz w:val="18"/>
                <w:szCs w:val="18"/>
                <w:lang w:eastAsia="ru-RU"/>
              </w:rPr>
            </w:pPr>
          </w:p>
        </w:tc>
      </w:tr>
      <w:tr w:rsidR="009A4C46" w:rsidRPr="0081136F" w14:paraId="424408C4" w14:textId="77777777" w:rsidTr="00CB5AA8">
        <w:trPr>
          <w:trHeight w:val="20"/>
        </w:trPr>
        <w:tc>
          <w:tcPr>
            <w:tcW w:w="453" w:type="pct"/>
            <w:noWrap/>
            <w:vAlign w:val="center"/>
            <w:hideMark/>
          </w:tcPr>
          <w:p w14:paraId="37A82A46" w14:textId="77777777" w:rsidR="009A4C46" w:rsidRPr="00F94FED" w:rsidRDefault="009A4C46" w:rsidP="00CB5AA8">
            <w:pPr>
              <w:spacing w:line="283" w:lineRule="auto"/>
              <w:jc w:val="both"/>
              <w:rPr>
                <w:rFonts w:eastAsia="Times New Roman"/>
                <w:sz w:val="18"/>
                <w:szCs w:val="18"/>
                <w:lang w:eastAsia="ru-RU"/>
              </w:rPr>
            </w:pPr>
            <w:r w:rsidRPr="00F94FED">
              <w:rPr>
                <w:rFonts w:eastAsia="Times New Roman"/>
                <w:sz w:val="18"/>
                <w:szCs w:val="18"/>
                <w:lang w:eastAsia="ru-RU"/>
              </w:rPr>
              <w:t>Б.1</w:t>
            </w:r>
          </w:p>
        </w:tc>
        <w:tc>
          <w:tcPr>
            <w:tcW w:w="1953" w:type="pct"/>
            <w:vAlign w:val="center"/>
            <w:hideMark/>
          </w:tcPr>
          <w:p w14:paraId="496A9E4A" w14:textId="77777777" w:rsidR="009A4C46" w:rsidRPr="00F94FED" w:rsidRDefault="009A4C46" w:rsidP="00CB5AA8">
            <w:pPr>
              <w:spacing w:line="283" w:lineRule="auto"/>
              <w:jc w:val="both"/>
              <w:rPr>
                <w:rFonts w:eastAsia="Times New Roman"/>
                <w:sz w:val="18"/>
                <w:szCs w:val="18"/>
                <w:lang w:eastAsia="ru-RU"/>
              </w:rPr>
            </w:pPr>
            <w:r w:rsidRPr="00F94FED">
              <w:rPr>
                <w:rFonts w:eastAsia="Times New Roman"/>
                <w:sz w:val="18"/>
                <w:szCs w:val="18"/>
                <w:lang w:eastAsia="ru-RU"/>
              </w:rPr>
              <w:t>Кредиты</w:t>
            </w:r>
          </w:p>
        </w:tc>
        <w:tc>
          <w:tcPr>
            <w:tcW w:w="703" w:type="pct"/>
            <w:vAlign w:val="center"/>
          </w:tcPr>
          <w:p w14:paraId="1A475513" w14:textId="77777777" w:rsidR="009A4C46" w:rsidRPr="00F94FED" w:rsidRDefault="009A4C46" w:rsidP="00CB5AA8">
            <w:pPr>
              <w:spacing w:line="283" w:lineRule="auto"/>
              <w:jc w:val="center"/>
              <w:rPr>
                <w:rFonts w:eastAsia="Times New Roman"/>
                <w:sz w:val="18"/>
                <w:szCs w:val="18"/>
                <w:lang w:eastAsia="ru-RU"/>
              </w:rPr>
            </w:pPr>
          </w:p>
        </w:tc>
        <w:tc>
          <w:tcPr>
            <w:tcW w:w="633" w:type="pct"/>
            <w:vAlign w:val="center"/>
          </w:tcPr>
          <w:p w14:paraId="3D978BB9" w14:textId="77777777" w:rsidR="009A4C46" w:rsidRPr="00F94FED" w:rsidRDefault="009A4C46" w:rsidP="00CB5AA8">
            <w:pPr>
              <w:spacing w:line="283" w:lineRule="auto"/>
              <w:jc w:val="center"/>
              <w:rPr>
                <w:rFonts w:eastAsia="Times New Roman"/>
                <w:sz w:val="18"/>
                <w:szCs w:val="18"/>
                <w:lang w:eastAsia="ru-RU"/>
              </w:rPr>
            </w:pPr>
          </w:p>
        </w:tc>
        <w:tc>
          <w:tcPr>
            <w:tcW w:w="651" w:type="pct"/>
            <w:vAlign w:val="center"/>
          </w:tcPr>
          <w:p w14:paraId="79D81F88" w14:textId="77777777" w:rsidR="009A4C46" w:rsidRPr="00F94FED" w:rsidRDefault="009A4C46" w:rsidP="00CB5AA8">
            <w:pPr>
              <w:spacing w:line="283" w:lineRule="auto"/>
              <w:jc w:val="center"/>
              <w:rPr>
                <w:rFonts w:eastAsia="Times New Roman"/>
                <w:sz w:val="18"/>
                <w:szCs w:val="18"/>
                <w:lang w:eastAsia="ru-RU"/>
              </w:rPr>
            </w:pPr>
          </w:p>
        </w:tc>
        <w:tc>
          <w:tcPr>
            <w:tcW w:w="607" w:type="pct"/>
            <w:vAlign w:val="center"/>
          </w:tcPr>
          <w:p w14:paraId="733E90C0" w14:textId="77777777" w:rsidR="009A4C46" w:rsidRPr="00F94FED" w:rsidRDefault="009A4C46" w:rsidP="00CB5AA8">
            <w:pPr>
              <w:spacing w:line="283" w:lineRule="auto"/>
              <w:jc w:val="center"/>
              <w:rPr>
                <w:rFonts w:eastAsia="Times New Roman"/>
                <w:sz w:val="18"/>
                <w:szCs w:val="18"/>
                <w:lang w:eastAsia="ru-RU"/>
              </w:rPr>
            </w:pPr>
          </w:p>
        </w:tc>
      </w:tr>
      <w:tr w:rsidR="009A4C46" w:rsidRPr="0081136F" w14:paraId="3DE67450" w14:textId="77777777" w:rsidTr="00CB5AA8">
        <w:trPr>
          <w:trHeight w:val="20"/>
        </w:trPr>
        <w:tc>
          <w:tcPr>
            <w:tcW w:w="453" w:type="pct"/>
            <w:noWrap/>
            <w:vAlign w:val="center"/>
            <w:hideMark/>
          </w:tcPr>
          <w:p w14:paraId="47111A26" w14:textId="77777777" w:rsidR="009A4C46" w:rsidRPr="00F94FED" w:rsidRDefault="009A4C46" w:rsidP="00CB5AA8">
            <w:pPr>
              <w:spacing w:line="283" w:lineRule="auto"/>
              <w:jc w:val="both"/>
              <w:rPr>
                <w:rFonts w:eastAsia="Times New Roman"/>
                <w:sz w:val="18"/>
                <w:szCs w:val="18"/>
                <w:lang w:eastAsia="ru-RU"/>
              </w:rPr>
            </w:pPr>
            <w:r w:rsidRPr="00F94FED">
              <w:rPr>
                <w:rFonts w:eastAsia="Times New Roman"/>
                <w:sz w:val="18"/>
                <w:szCs w:val="18"/>
                <w:lang w:eastAsia="ru-RU"/>
              </w:rPr>
              <w:t>Б.2</w:t>
            </w:r>
          </w:p>
        </w:tc>
        <w:tc>
          <w:tcPr>
            <w:tcW w:w="1953" w:type="pct"/>
            <w:vAlign w:val="center"/>
            <w:hideMark/>
          </w:tcPr>
          <w:p w14:paraId="76250090" w14:textId="77777777" w:rsidR="009A4C46" w:rsidRPr="00F94FED" w:rsidRDefault="009A4C46" w:rsidP="00CB5AA8">
            <w:pPr>
              <w:spacing w:line="283" w:lineRule="auto"/>
              <w:jc w:val="both"/>
              <w:rPr>
                <w:rFonts w:eastAsia="Times New Roman"/>
                <w:sz w:val="18"/>
                <w:szCs w:val="18"/>
                <w:lang w:eastAsia="ru-RU"/>
              </w:rPr>
            </w:pPr>
            <w:r w:rsidRPr="00F94FED">
              <w:rPr>
                <w:rFonts w:eastAsia="Times New Roman"/>
                <w:sz w:val="18"/>
                <w:szCs w:val="18"/>
                <w:lang w:eastAsia="ru-RU"/>
              </w:rPr>
              <w:t>Займы</w:t>
            </w:r>
          </w:p>
        </w:tc>
        <w:tc>
          <w:tcPr>
            <w:tcW w:w="703" w:type="pct"/>
            <w:vAlign w:val="center"/>
          </w:tcPr>
          <w:p w14:paraId="04938F93" w14:textId="77777777" w:rsidR="009A4C46" w:rsidRPr="00F94FED" w:rsidRDefault="009A4C46" w:rsidP="00CB5AA8">
            <w:pPr>
              <w:spacing w:line="283" w:lineRule="auto"/>
              <w:jc w:val="center"/>
              <w:rPr>
                <w:rFonts w:eastAsia="Times New Roman"/>
                <w:sz w:val="18"/>
                <w:szCs w:val="18"/>
                <w:lang w:eastAsia="ru-RU"/>
              </w:rPr>
            </w:pPr>
          </w:p>
        </w:tc>
        <w:tc>
          <w:tcPr>
            <w:tcW w:w="633" w:type="pct"/>
            <w:vAlign w:val="center"/>
          </w:tcPr>
          <w:p w14:paraId="2BF7A63D" w14:textId="77777777" w:rsidR="009A4C46" w:rsidRPr="00F94FED" w:rsidRDefault="009A4C46" w:rsidP="00CB5AA8">
            <w:pPr>
              <w:spacing w:line="283" w:lineRule="auto"/>
              <w:jc w:val="center"/>
              <w:rPr>
                <w:rFonts w:eastAsia="Times New Roman"/>
                <w:sz w:val="18"/>
                <w:szCs w:val="18"/>
                <w:lang w:eastAsia="ru-RU"/>
              </w:rPr>
            </w:pPr>
          </w:p>
        </w:tc>
        <w:tc>
          <w:tcPr>
            <w:tcW w:w="651" w:type="pct"/>
            <w:vAlign w:val="center"/>
          </w:tcPr>
          <w:p w14:paraId="56B12F9A" w14:textId="77777777" w:rsidR="009A4C46" w:rsidRPr="00F94FED" w:rsidRDefault="009A4C46" w:rsidP="00CB5AA8">
            <w:pPr>
              <w:spacing w:line="283" w:lineRule="auto"/>
              <w:jc w:val="center"/>
              <w:rPr>
                <w:rFonts w:eastAsia="Times New Roman"/>
                <w:sz w:val="18"/>
                <w:szCs w:val="18"/>
                <w:lang w:eastAsia="ru-RU"/>
              </w:rPr>
            </w:pPr>
          </w:p>
        </w:tc>
        <w:tc>
          <w:tcPr>
            <w:tcW w:w="607" w:type="pct"/>
            <w:vAlign w:val="center"/>
          </w:tcPr>
          <w:p w14:paraId="667BFEAF" w14:textId="77777777" w:rsidR="009A4C46" w:rsidRPr="00F94FED" w:rsidRDefault="009A4C46" w:rsidP="00CB5AA8">
            <w:pPr>
              <w:spacing w:line="283" w:lineRule="auto"/>
              <w:jc w:val="center"/>
              <w:rPr>
                <w:rFonts w:eastAsia="Times New Roman"/>
                <w:sz w:val="18"/>
                <w:szCs w:val="18"/>
                <w:lang w:eastAsia="ru-RU"/>
              </w:rPr>
            </w:pPr>
          </w:p>
        </w:tc>
      </w:tr>
      <w:tr w:rsidR="009A4C46" w:rsidRPr="0081136F" w14:paraId="78BAC870" w14:textId="77777777" w:rsidTr="00CB5AA8">
        <w:trPr>
          <w:trHeight w:val="20"/>
        </w:trPr>
        <w:tc>
          <w:tcPr>
            <w:tcW w:w="453" w:type="pct"/>
            <w:noWrap/>
            <w:vAlign w:val="center"/>
            <w:hideMark/>
          </w:tcPr>
          <w:p w14:paraId="4D08FAC0" w14:textId="77777777" w:rsidR="009A4C46" w:rsidRPr="00F94FED" w:rsidRDefault="009A4C46" w:rsidP="00CB5AA8">
            <w:pPr>
              <w:spacing w:line="283" w:lineRule="auto"/>
              <w:jc w:val="both"/>
              <w:rPr>
                <w:rFonts w:eastAsia="Times New Roman"/>
                <w:sz w:val="18"/>
                <w:szCs w:val="18"/>
                <w:lang w:eastAsia="ru-RU"/>
              </w:rPr>
            </w:pPr>
            <w:r w:rsidRPr="00F94FED">
              <w:rPr>
                <w:rFonts w:eastAsia="Times New Roman"/>
                <w:sz w:val="18"/>
                <w:szCs w:val="18"/>
                <w:lang w:eastAsia="ru-RU"/>
              </w:rPr>
              <w:t>Б.3</w:t>
            </w:r>
          </w:p>
        </w:tc>
        <w:tc>
          <w:tcPr>
            <w:tcW w:w="1953" w:type="pct"/>
            <w:vAlign w:val="center"/>
            <w:hideMark/>
          </w:tcPr>
          <w:p w14:paraId="6C8881D9" w14:textId="77777777" w:rsidR="009A4C46" w:rsidRPr="00F94FED" w:rsidRDefault="009A4C46" w:rsidP="00CB5AA8">
            <w:pPr>
              <w:spacing w:line="283" w:lineRule="auto"/>
              <w:jc w:val="both"/>
              <w:rPr>
                <w:rFonts w:eastAsia="Times New Roman"/>
                <w:sz w:val="18"/>
                <w:szCs w:val="18"/>
                <w:lang w:eastAsia="ru-RU"/>
              </w:rPr>
            </w:pPr>
            <w:r w:rsidRPr="00F94FED">
              <w:rPr>
                <w:rFonts w:eastAsia="Times New Roman"/>
                <w:sz w:val="18"/>
                <w:szCs w:val="18"/>
                <w:lang w:eastAsia="ru-RU"/>
              </w:rPr>
              <w:t>Прочие привлеченные средства</w:t>
            </w:r>
          </w:p>
        </w:tc>
        <w:tc>
          <w:tcPr>
            <w:tcW w:w="703" w:type="pct"/>
            <w:vAlign w:val="center"/>
          </w:tcPr>
          <w:p w14:paraId="4BEA4377" w14:textId="77777777" w:rsidR="009A4C46" w:rsidRPr="00F94FED" w:rsidRDefault="009A4C46" w:rsidP="00CB5AA8">
            <w:pPr>
              <w:spacing w:line="283" w:lineRule="auto"/>
              <w:jc w:val="center"/>
              <w:rPr>
                <w:rFonts w:eastAsia="Times New Roman"/>
                <w:sz w:val="18"/>
                <w:szCs w:val="18"/>
                <w:lang w:eastAsia="ru-RU"/>
              </w:rPr>
            </w:pPr>
          </w:p>
        </w:tc>
        <w:tc>
          <w:tcPr>
            <w:tcW w:w="633" w:type="pct"/>
            <w:vAlign w:val="center"/>
          </w:tcPr>
          <w:p w14:paraId="752AF9C7" w14:textId="77777777" w:rsidR="009A4C46" w:rsidRPr="00F94FED" w:rsidRDefault="009A4C46" w:rsidP="00CB5AA8">
            <w:pPr>
              <w:spacing w:line="283" w:lineRule="auto"/>
              <w:jc w:val="center"/>
              <w:rPr>
                <w:rFonts w:eastAsia="Times New Roman"/>
                <w:sz w:val="18"/>
                <w:szCs w:val="18"/>
                <w:lang w:eastAsia="ru-RU"/>
              </w:rPr>
            </w:pPr>
          </w:p>
        </w:tc>
        <w:tc>
          <w:tcPr>
            <w:tcW w:w="651" w:type="pct"/>
            <w:vAlign w:val="center"/>
          </w:tcPr>
          <w:p w14:paraId="0CBD476C" w14:textId="77777777" w:rsidR="009A4C46" w:rsidRPr="00F94FED" w:rsidRDefault="009A4C46" w:rsidP="00CB5AA8">
            <w:pPr>
              <w:spacing w:line="283" w:lineRule="auto"/>
              <w:jc w:val="center"/>
              <w:rPr>
                <w:rFonts w:eastAsia="Times New Roman"/>
                <w:sz w:val="18"/>
                <w:szCs w:val="18"/>
                <w:lang w:eastAsia="ru-RU"/>
              </w:rPr>
            </w:pPr>
          </w:p>
        </w:tc>
        <w:tc>
          <w:tcPr>
            <w:tcW w:w="607" w:type="pct"/>
            <w:vAlign w:val="center"/>
          </w:tcPr>
          <w:p w14:paraId="5469C516" w14:textId="77777777" w:rsidR="009A4C46" w:rsidRPr="00F94FED" w:rsidRDefault="009A4C46" w:rsidP="00CB5AA8">
            <w:pPr>
              <w:spacing w:line="283" w:lineRule="auto"/>
              <w:jc w:val="center"/>
              <w:rPr>
                <w:rFonts w:eastAsia="Times New Roman"/>
                <w:sz w:val="18"/>
                <w:szCs w:val="18"/>
                <w:lang w:eastAsia="ru-RU"/>
              </w:rPr>
            </w:pPr>
          </w:p>
        </w:tc>
      </w:tr>
      <w:tr w:rsidR="009A4C46" w:rsidRPr="0081136F" w14:paraId="16F6E7B8" w14:textId="77777777" w:rsidTr="00CB5AA8">
        <w:trPr>
          <w:trHeight w:val="20"/>
        </w:trPr>
        <w:tc>
          <w:tcPr>
            <w:tcW w:w="453" w:type="pct"/>
            <w:noWrap/>
            <w:vAlign w:val="center"/>
            <w:hideMark/>
          </w:tcPr>
          <w:p w14:paraId="30A85CA9" w14:textId="77777777" w:rsidR="009A4C46" w:rsidRPr="00F94FED" w:rsidRDefault="009A4C46" w:rsidP="00CB5AA8">
            <w:pPr>
              <w:spacing w:line="283" w:lineRule="auto"/>
              <w:jc w:val="both"/>
              <w:rPr>
                <w:rFonts w:eastAsia="Times New Roman"/>
                <w:sz w:val="18"/>
                <w:szCs w:val="18"/>
                <w:lang w:eastAsia="ru-RU"/>
              </w:rPr>
            </w:pPr>
            <w:r w:rsidRPr="00F94FED">
              <w:rPr>
                <w:rFonts w:eastAsia="Times New Roman"/>
                <w:sz w:val="18"/>
                <w:szCs w:val="18"/>
                <w:lang w:eastAsia="ru-RU"/>
              </w:rPr>
              <w:t>Б.3.1</w:t>
            </w:r>
          </w:p>
        </w:tc>
        <w:tc>
          <w:tcPr>
            <w:tcW w:w="1953" w:type="pct"/>
            <w:vAlign w:val="center"/>
            <w:hideMark/>
          </w:tcPr>
          <w:p w14:paraId="45F78F7E" w14:textId="77777777" w:rsidR="009A4C46" w:rsidRPr="00F94FED" w:rsidRDefault="009A4C46" w:rsidP="00CB5AA8">
            <w:pPr>
              <w:spacing w:line="283" w:lineRule="auto"/>
              <w:jc w:val="both"/>
              <w:rPr>
                <w:rFonts w:eastAsia="Times New Roman"/>
                <w:sz w:val="18"/>
                <w:szCs w:val="18"/>
                <w:lang w:eastAsia="ru-RU"/>
              </w:rPr>
            </w:pPr>
            <w:r w:rsidRPr="00F94FED">
              <w:rPr>
                <w:rFonts w:eastAsia="Times New Roman"/>
                <w:sz w:val="18"/>
                <w:szCs w:val="18"/>
                <w:lang w:eastAsia="ru-RU"/>
              </w:rPr>
              <w:t>Наименование источника</w:t>
            </w:r>
          </w:p>
        </w:tc>
        <w:tc>
          <w:tcPr>
            <w:tcW w:w="703" w:type="pct"/>
            <w:vAlign w:val="center"/>
          </w:tcPr>
          <w:p w14:paraId="4548B548" w14:textId="77777777" w:rsidR="009A4C46" w:rsidRPr="00F94FED" w:rsidRDefault="009A4C46" w:rsidP="00CB5AA8">
            <w:pPr>
              <w:spacing w:line="283" w:lineRule="auto"/>
              <w:jc w:val="center"/>
              <w:rPr>
                <w:rFonts w:eastAsia="Times New Roman"/>
                <w:sz w:val="18"/>
                <w:szCs w:val="18"/>
                <w:lang w:eastAsia="ru-RU"/>
              </w:rPr>
            </w:pPr>
          </w:p>
        </w:tc>
        <w:tc>
          <w:tcPr>
            <w:tcW w:w="633" w:type="pct"/>
            <w:vAlign w:val="center"/>
          </w:tcPr>
          <w:p w14:paraId="115F6333" w14:textId="77777777" w:rsidR="009A4C46" w:rsidRPr="00F94FED" w:rsidRDefault="009A4C46" w:rsidP="00CB5AA8">
            <w:pPr>
              <w:spacing w:line="283" w:lineRule="auto"/>
              <w:jc w:val="center"/>
              <w:rPr>
                <w:rFonts w:eastAsia="Times New Roman"/>
                <w:sz w:val="18"/>
                <w:szCs w:val="18"/>
                <w:lang w:eastAsia="ru-RU"/>
              </w:rPr>
            </w:pPr>
          </w:p>
        </w:tc>
        <w:tc>
          <w:tcPr>
            <w:tcW w:w="651" w:type="pct"/>
            <w:vAlign w:val="center"/>
          </w:tcPr>
          <w:p w14:paraId="136D5F6A" w14:textId="77777777" w:rsidR="009A4C46" w:rsidRPr="00F94FED" w:rsidRDefault="009A4C46" w:rsidP="00CB5AA8">
            <w:pPr>
              <w:spacing w:line="283" w:lineRule="auto"/>
              <w:jc w:val="center"/>
              <w:rPr>
                <w:rFonts w:eastAsia="Times New Roman"/>
                <w:sz w:val="18"/>
                <w:szCs w:val="18"/>
                <w:lang w:eastAsia="ru-RU"/>
              </w:rPr>
            </w:pPr>
          </w:p>
        </w:tc>
        <w:tc>
          <w:tcPr>
            <w:tcW w:w="607" w:type="pct"/>
            <w:vAlign w:val="center"/>
          </w:tcPr>
          <w:p w14:paraId="65F22EB6" w14:textId="77777777" w:rsidR="009A4C46" w:rsidRPr="00F94FED" w:rsidRDefault="009A4C46" w:rsidP="00CB5AA8">
            <w:pPr>
              <w:spacing w:line="283" w:lineRule="auto"/>
              <w:jc w:val="center"/>
              <w:rPr>
                <w:rFonts w:eastAsia="Times New Roman"/>
                <w:sz w:val="18"/>
                <w:szCs w:val="18"/>
                <w:lang w:eastAsia="ru-RU"/>
              </w:rPr>
            </w:pPr>
          </w:p>
        </w:tc>
      </w:tr>
      <w:tr w:rsidR="009A4C46" w:rsidRPr="0081136F" w14:paraId="20AB8898" w14:textId="77777777" w:rsidTr="00CB5AA8">
        <w:trPr>
          <w:trHeight w:val="20"/>
        </w:trPr>
        <w:tc>
          <w:tcPr>
            <w:tcW w:w="453" w:type="pct"/>
            <w:noWrap/>
            <w:vAlign w:val="center"/>
            <w:hideMark/>
          </w:tcPr>
          <w:p w14:paraId="19242B07" w14:textId="77777777" w:rsidR="009A4C46" w:rsidRPr="00F94FED" w:rsidRDefault="009A4C46" w:rsidP="00CB5AA8">
            <w:pPr>
              <w:spacing w:line="283" w:lineRule="auto"/>
              <w:jc w:val="both"/>
              <w:rPr>
                <w:rFonts w:eastAsia="Times New Roman"/>
                <w:sz w:val="18"/>
                <w:szCs w:val="18"/>
                <w:lang w:eastAsia="ru-RU"/>
              </w:rPr>
            </w:pPr>
          </w:p>
        </w:tc>
        <w:tc>
          <w:tcPr>
            <w:tcW w:w="1953" w:type="pct"/>
            <w:vAlign w:val="center"/>
            <w:hideMark/>
          </w:tcPr>
          <w:p w14:paraId="1B937354" w14:textId="77777777" w:rsidR="009A4C46" w:rsidRPr="00F94FED" w:rsidRDefault="009A4C46" w:rsidP="00CB5AA8">
            <w:pPr>
              <w:spacing w:line="283" w:lineRule="auto"/>
              <w:jc w:val="both"/>
              <w:rPr>
                <w:rFonts w:eastAsia="Times New Roman"/>
                <w:sz w:val="18"/>
                <w:szCs w:val="18"/>
                <w:lang w:eastAsia="ru-RU"/>
              </w:rPr>
            </w:pPr>
          </w:p>
        </w:tc>
        <w:tc>
          <w:tcPr>
            <w:tcW w:w="703" w:type="pct"/>
            <w:vAlign w:val="center"/>
          </w:tcPr>
          <w:p w14:paraId="02BC1172" w14:textId="77777777" w:rsidR="009A4C46" w:rsidRPr="00F94FED" w:rsidRDefault="009A4C46" w:rsidP="00CB5AA8">
            <w:pPr>
              <w:spacing w:line="283" w:lineRule="auto"/>
              <w:jc w:val="center"/>
              <w:rPr>
                <w:rFonts w:eastAsia="Times New Roman"/>
                <w:sz w:val="18"/>
                <w:szCs w:val="18"/>
                <w:lang w:eastAsia="ru-RU"/>
              </w:rPr>
            </w:pPr>
          </w:p>
        </w:tc>
        <w:tc>
          <w:tcPr>
            <w:tcW w:w="633" w:type="pct"/>
            <w:vAlign w:val="center"/>
          </w:tcPr>
          <w:p w14:paraId="03F5F12C" w14:textId="77777777" w:rsidR="009A4C46" w:rsidRPr="00F94FED" w:rsidRDefault="009A4C46" w:rsidP="00CB5AA8">
            <w:pPr>
              <w:spacing w:line="283" w:lineRule="auto"/>
              <w:jc w:val="center"/>
              <w:rPr>
                <w:rFonts w:eastAsia="Times New Roman"/>
                <w:sz w:val="18"/>
                <w:szCs w:val="18"/>
                <w:lang w:eastAsia="ru-RU"/>
              </w:rPr>
            </w:pPr>
          </w:p>
        </w:tc>
        <w:tc>
          <w:tcPr>
            <w:tcW w:w="651" w:type="pct"/>
            <w:vAlign w:val="center"/>
          </w:tcPr>
          <w:p w14:paraId="0D31E5A7" w14:textId="77777777" w:rsidR="009A4C46" w:rsidRPr="00F94FED" w:rsidRDefault="009A4C46" w:rsidP="00CB5AA8">
            <w:pPr>
              <w:spacing w:line="283" w:lineRule="auto"/>
              <w:jc w:val="center"/>
              <w:rPr>
                <w:rFonts w:eastAsia="Times New Roman"/>
                <w:sz w:val="18"/>
                <w:szCs w:val="18"/>
                <w:lang w:eastAsia="ru-RU"/>
              </w:rPr>
            </w:pPr>
          </w:p>
        </w:tc>
        <w:tc>
          <w:tcPr>
            <w:tcW w:w="607" w:type="pct"/>
            <w:vAlign w:val="center"/>
          </w:tcPr>
          <w:p w14:paraId="4E43F8C5" w14:textId="77777777" w:rsidR="009A4C46" w:rsidRPr="00F94FED" w:rsidRDefault="009A4C46" w:rsidP="00CB5AA8">
            <w:pPr>
              <w:spacing w:line="283" w:lineRule="auto"/>
              <w:jc w:val="center"/>
              <w:rPr>
                <w:rFonts w:eastAsia="Times New Roman"/>
                <w:sz w:val="18"/>
                <w:szCs w:val="18"/>
                <w:lang w:eastAsia="ru-RU"/>
              </w:rPr>
            </w:pPr>
          </w:p>
        </w:tc>
      </w:tr>
      <w:tr w:rsidR="009A4C46" w:rsidRPr="0081136F" w14:paraId="54418EC7" w14:textId="77777777" w:rsidTr="00CB5AA8">
        <w:trPr>
          <w:trHeight w:val="20"/>
        </w:trPr>
        <w:tc>
          <w:tcPr>
            <w:tcW w:w="453" w:type="pct"/>
            <w:noWrap/>
            <w:vAlign w:val="center"/>
            <w:hideMark/>
          </w:tcPr>
          <w:p w14:paraId="6FA3F8CC" w14:textId="77777777" w:rsidR="009A4C46" w:rsidRPr="00F94FED" w:rsidRDefault="009A4C46" w:rsidP="00CB5AA8">
            <w:pPr>
              <w:spacing w:line="283" w:lineRule="auto"/>
              <w:jc w:val="both"/>
              <w:rPr>
                <w:rFonts w:eastAsia="Times New Roman"/>
                <w:sz w:val="18"/>
                <w:szCs w:val="18"/>
                <w:lang w:eastAsia="ru-RU"/>
              </w:rPr>
            </w:pPr>
            <w:r w:rsidRPr="00F94FED">
              <w:rPr>
                <w:rFonts w:eastAsia="Times New Roman"/>
                <w:sz w:val="18"/>
                <w:szCs w:val="18"/>
                <w:lang w:eastAsia="ru-RU"/>
              </w:rPr>
              <w:t>В</w:t>
            </w:r>
          </w:p>
        </w:tc>
        <w:tc>
          <w:tcPr>
            <w:tcW w:w="1953" w:type="pct"/>
            <w:vAlign w:val="center"/>
            <w:hideMark/>
          </w:tcPr>
          <w:p w14:paraId="008C9230" w14:textId="77777777" w:rsidR="009A4C46" w:rsidRPr="00F94FED" w:rsidRDefault="009A4C46" w:rsidP="00CB5AA8">
            <w:pPr>
              <w:spacing w:line="283" w:lineRule="auto"/>
              <w:jc w:val="both"/>
              <w:rPr>
                <w:rFonts w:eastAsia="Times New Roman"/>
                <w:sz w:val="18"/>
                <w:szCs w:val="18"/>
                <w:lang w:eastAsia="ru-RU"/>
              </w:rPr>
            </w:pPr>
            <w:r w:rsidRPr="00F94FED">
              <w:rPr>
                <w:rFonts w:eastAsia="Times New Roman"/>
                <w:sz w:val="18"/>
                <w:szCs w:val="18"/>
                <w:lang w:eastAsia="ru-RU"/>
              </w:rPr>
              <w:t>Бюджетное финансирование</w:t>
            </w:r>
          </w:p>
        </w:tc>
        <w:tc>
          <w:tcPr>
            <w:tcW w:w="703" w:type="pct"/>
            <w:vAlign w:val="center"/>
          </w:tcPr>
          <w:p w14:paraId="2BD0FA74" w14:textId="77777777" w:rsidR="009A4C46" w:rsidRPr="00F94FED" w:rsidRDefault="009A4C46" w:rsidP="00CB5AA8">
            <w:pPr>
              <w:spacing w:line="283" w:lineRule="auto"/>
              <w:jc w:val="center"/>
              <w:rPr>
                <w:rFonts w:eastAsia="Times New Roman"/>
                <w:sz w:val="18"/>
                <w:szCs w:val="18"/>
                <w:lang w:eastAsia="ru-RU"/>
              </w:rPr>
            </w:pPr>
          </w:p>
        </w:tc>
        <w:tc>
          <w:tcPr>
            <w:tcW w:w="633" w:type="pct"/>
            <w:vAlign w:val="center"/>
          </w:tcPr>
          <w:p w14:paraId="0B2504C5" w14:textId="77777777" w:rsidR="009A4C46" w:rsidRPr="00F94FED" w:rsidRDefault="009A4C46" w:rsidP="00CB5AA8">
            <w:pPr>
              <w:spacing w:line="283" w:lineRule="auto"/>
              <w:jc w:val="center"/>
              <w:rPr>
                <w:rFonts w:eastAsia="Times New Roman"/>
                <w:sz w:val="18"/>
                <w:szCs w:val="18"/>
                <w:lang w:eastAsia="ru-RU"/>
              </w:rPr>
            </w:pPr>
          </w:p>
        </w:tc>
        <w:tc>
          <w:tcPr>
            <w:tcW w:w="651" w:type="pct"/>
            <w:vAlign w:val="center"/>
          </w:tcPr>
          <w:p w14:paraId="2634A344" w14:textId="77777777" w:rsidR="009A4C46" w:rsidRPr="00F94FED" w:rsidRDefault="009A4C46" w:rsidP="00CB5AA8">
            <w:pPr>
              <w:spacing w:line="283" w:lineRule="auto"/>
              <w:jc w:val="center"/>
              <w:rPr>
                <w:rFonts w:eastAsia="Times New Roman"/>
                <w:sz w:val="18"/>
                <w:szCs w:val="18"/>
                <w:lang w:eastAsia="ru-RU"/>
              </w:rPr>
            </w:pPr>
          </w:p>
        </w:tc>
        <w:tc>
          <w:tcPr>
            <w:tcW w:w="607" w:type="pct"/>
            <w:vAlign w:val="center"/>
          </w:tcPr>
          <w:p w14:paraId="4C68318B" w14:textId="77777777" w:rsidR="009A4C46" w:rsidRPr="00F94FED" w:rsidRDefault="009A4C46" w:rsidP="00CB5AA8">
            <w:pPr>
              <w:spacing w:line="283" w:lineRule="auto"/>
              <w:jc w:val="center"/>
              <w:rPr>
                <w:rFonts w:eastAsia="Times New Roman"/>
                <w:sz w:val="18"/>
                <w:szCs w:val="18"/>
                <w:lang w:eastAsia="ru-RU"/>
              </w:rPr>
            </w:pPr>
          </w:p>
        </w:tc>
      </w:tr>
      <w:tr w:rsidR="009A4C46" w:rsidRPr="0081136F" w14:paraId="03EDD675" w14:textId="77777777" w:rsidTr="00CB5AA8">
        <w:trPr>
          <w:trHeight w:val="20"/>
        </w:trPr>
        <w:tc>
          <w:tcPr>
            <w:tcW w:w="453" w:type="pct"/>
            <w:noWrap/>
            <w:vAlign w:val="center"/>
            <w:hideMark/>
          </w:tcPr>
          <w:p w14:paraId="720F5264" w14:textId="77777777" w:rsidR="009A4C46" w:rsidRPr="00F94FED" w:rsidRDefault="009A4C46" w:rsidP="00CB5AA8">
            <w:pPr>
              <w:spacing w:line="283" w:lineRule="auto"/>
              <w:jc w:val="both"/>
              <w:rPr>
                <w:rFonts w:eastAsia="Times New Roman"/>
                <w:sz w:val="18"/>
                <w:szCs w:val="18"/>
                <w:lang w:eastAsia="ru-RU"/>
              </w:rPr>
            </w:pPr>
            <w:r w:rsidRPr="00F94FED">
              <w:rPr>
                <w:rFonts w:eastAsia="Times New Roman"/>
                <w:sz w:val="18"/>
                <w:szCs w:val="18"/>
                <w:lang w:eastAsia="ru-RU"/>
              </w:rPr>
              <w:t>Г</w:t>
            </w:r>
          </w:p>
        </w:tc>
        <w:tc>
          <w:tcPr>
            <w:tcW w:w="1953" w:type="pct"/>
            <w:vAlign w:val="center"/>
            <w:hideMark/>
          </w:tcPr>
          <w:p w14:paraId="50D8A7F6" w14:textId="77777777" w:rsidR="009A4C46" w:rsidRPr="00F94FED" w:rsidRDefault="009A4C46" w:rsidP="00CB5AA8">
            <w:pPr>
              <w:spacing w:line="283" w:lineRule="auto"/>
              <w:jc w:val="both"/>
              <w:rPr>
                <w:rFonts w:eastAsia="Times New Roman"/>
                <w:sz w:val="18"/>
                <w:szCs w:val="18"/>
                <w:lang w:eastAsia="ru-RU"/>
              </w:rPr>
            </w:pPr>
            <w:r w:rsidRPr="00F94FED">
              <w:rPr>
                <w:rFonts w:eastAsia="Times New Roman"/>
                <w:sz w:val="18"/>
                <w:szCs w:val="18"/>
                <w:lang w:eastAsia="ru-RU"/>
              </w:rPr>
              <w:t>Прочие источники финансирования, в т.ч.:</w:t>
            </w:r>
          </w:p>
        </w:tc>
        <w:tc>
          <w:tcPr>
            <w:tcW w:w="703" w:type="pct"/>
            <w:vAlign w:val="center"/>
          </w:tcPr>
          <w:p w14:paraId="22B055EC" w14:textId="77777777" w:rsidR="009A4C46" w:rsidRPr="00F94FED" w:rsidRDefault="009A4C46" w:rsidP="00CB5AA8">
            <w:pPr>
              <w:spacing w:line="283" w:lineRule="auto"/>
              <w:jc w:val="center"/>
              <w:rPr>
                <w:rFonts w:eastAsia="Times New Roman"/>
                <w:sz w:val="18"/>
                <w:szCs w:val="18"/>
                <w:lang w:eastAsia="ru-RU"/>
              </w:rPr>
            </w:pPr>
          </w:p>
        </w:tc>
        <w:tc>
          <w:tcPr>
            <w:tcW w:w="633" w:type="pct"/>
            <w:vAlign w:val="center"/>
          </w:tcPr>
          <w:p w14:paraId="61DCF222" w14:textId="77777777" w:rsidR="009A4C46" w:rsidRPr="00F94FED" w:rsidRDefault="009A4C46" w:rsidP="00CB5AA8">
            <w:pPr>
              <w:spacing w:line="283" w:lineRule="auto"/>
              <w:jc w:val="center"/>
              <w:rPr>
                <w:rFonts w:eastAsia="Times New Roman"/>
                <w:sz w:val="18"/>
                <w:szCs w:val="18"/>
                <w:lang w:eastAsia="ru-RU"/>
              </w:rPr>
            </w:pPr>
          </w:p>
        </w:tc>
        <w:tc>
          <w:tcPr>
            <w:tcW w:w="651" w:type="pct"/>
            <w:vAlign w:val="center"/>
          </w:tcPr>
          <w:p w14:paraId="7441F36A" w14:textId="77777777" w:rsidR="009A4C46" w:rsidRPr="00F94FED" w:rsidRDefault="009A4C46" w:rsidP="00CB5AA8">
            <w:pPr>
              <w:spacing w:line="283" w:lineRule="auto"/>
              <w:jc w:val="center"/>
              <w:rPr>
                <w:rFonts w:eastAsia="Times New Roman"/>
                <w:sz w:val="18"/>
                <w:szCs w:val="18"/>
                <w:lang w:eastAsia="ru-RU"/>
              </w:rPr>
            </w:pPr>
          </w:p>
        </w:tc>
        <w:tc>
          <w:tcPr>
            <w:tcW w:w="607" w:type="pct"/>
            <w:vAlign w:val="center"/>
          </w:tcPr>
          <w:p w14:paraId="21242D62" w14:textId="77777777" w:rsidR="009A4C46" w:rsidRPr="00F94FED" w:rsidRDefault="009A4C46" w:rsidP="00CB5AA8">
            <w:pPr>
              <w:spacing w:line="283" w:lineRule="auto"/>
              <w:jc w:val="center"/>
              <w:rPr>
                <w:rFonts w:eastAsia="Times New Roman"/>
                <w:sz w:val="18"/>
                <w:szCs w:val="18"/>
                <w:lang w:eastAsia="ru-RU"/>
              </w:rPr>
            </w:pPr>
          </w:p>
        </w:tc>
      </w:tr>
      <w:tr w:rsidR="009A4C46" w:rsidRPr="0081136F" w14:paraId="7D088BFA" w14:textId="77777777" w:rsidTr="00CB5AA8">
        <w:trPr>
          <w:trHeight w:val="20"/>
        </w:trPr>
        <w:tc>
          <w:tcPr>
            <w:tcW w:w="453" w:type="pct"/>
            <w:noWrap/>
            <w:vAlign w:val="center"/>
            <w:hideMark/>
          </w:tcPr>
          <w:p w14:paraId="5648EF6A" w14:textId="77777777" w:rsidR="009A4C46" w:rsidRPr="00F94FED" w:rsidRDefault="009A4C46" w:rsidP="00CB5AA8">
            <w:pPr>
              <w:spacing w:line="283" w:lineRule="auto"/>
              <w:jc w:val="both"/>
              <w:rPr>
                <w:rFonts w:eastAsia="Times New Roman"/>
                <w:sz w:val="18"/>
                <w:szCs w:val="18"/>
                <w:lang w:eastAsia="ru-RU"/>
              </w:rPr>
            </w:pPr>
            <w:r w:rsidRPr="00F94FED">
              <w:rPr>
                <w:rFonts w:eastAsia="Times New Roman"/>
                <w:sz w:val="18"/>
                <w:szCs w:val="18"/>
                <w:lang w:eastAsia="ru-RU"/>
              </w:rPr>
              <w:t>Г.1</w:t>
            </w:r>
          </w:p>
        </w:tc>
        <w:tc>
          <w:tcPr>
            <w:tcW w:w="1953" w:type="pct"/>
            <w:vAlign w:val="center"/>
            <w:hideMark/>
          </w:tcPr>
          <w:p w14:paraId="47159617" w14:textId="77777777" w:rsidR="009A4C46" w:rsidRPr="00F94FED" w:rsidRDefault="009A4C46" w:rsidP="00CB5AA8">
            <w:pPr>
              <w:spacing w:line="283" w:lineRule="auto"/>
              <w:jc w:val="both"/>
              <w:rPr>
                <w:rFonts w:eastAsia="Times New Roman"/>
                <w:sz w:val="18"/>
                <w:szCs w:val="18"/>
                <w:lang w:eastAsia="ru-RU"/>
              </w:rPr>
            </w:pPr>
            <w:r w:rsidRPr="00F94FED">
              <w:rPr>
                <w:rFonts w:eastAsia="Times New Roman"/>
                <w:sz w:val="18"/>
                <w:szCs w:val="18"/>
                <w:lang w:eastAsia="ru-RU"/>
              </w:rPr>
              <w:t>Лизинг</w:t>
            </w:r>
          </w:p>
        </w:tc>
        <w:tc>
          <w:tcPr>
            <w:tcW w:w="703" w:type="pct"/>
            <w:vAlign w:val="center"/>
          </w:tcPr>
          <w:p w14:paraId="222BCF5E" w14:textId="77777777" w:rsidR="009A4C46" w:rsidRPr="00F94FED" w:rsidRDefault="009A4C46" w:rsidP="00CB5AA8">
            <w:pPr>
              <w:spacing w:line="283" w:lineRule="auto"/>
              <w:jc w:val="center"/>
              <w:rPr>
                <w:rFonts w:eastAsia="Times New Roman"/>
                <w:sz w:val="18"/>
                <w:szCs w:val="18"/>
                <w:lang w:eastAsia="ru-RU"/>
              </w:rPr>
            </w:pPr>
          </w:p>
        </w:tc>
        <w:tc>
          <w:tcPr>
            <w:tcW w:w="633" w:type="pct"/>
            <w:vAlign w:val="center"/>
          </w:tcPr>
          <w:p w14:paraId="05BF08EB" w14:textId="77777777" w:rsidR="009A4C46" w:rsidRPr="00F94FED" w:rsidRDefault="009A4C46" w:rsidP="00CB5AA8">
            <w:pPr>
              <w:spacing w:line="283" w:lineRule="auto"/>
              <w:jc w:val="center"/>
              <w:rPr>
                <w:rFonts w:eastAsia="Times New Roman"/>
                <w:sz w:val="18"/>
                <w:szCs w:val="18"/>
                <w:lang w:eastAsia="ru-RU"/>
              </w:rPr>
            </w:pPr>
          </w:p>
        </w:tc>
        <w:tc>
          <w:tcPr>
            <w:tcW w:w="651" w:type="pct"/>
            <w:vAlign w:val="center"/>
          </w:tcPr>
          <w:p w14:paraId="0CC5C297" w14:textId="77777777" w:rsidR="009A4C46" w:rsidRPr="00F94FED" w:rsidRDefault="009A4C46" w:rsidP="00CB5AA8">
            <w:pPr>
              <w:spacing w:line="283" w:lineRule="auto"/>
              <w:jc w:val="center"/>
              <w:rPr>
                <w:rFonts w:eastAsia="Times New Roman"/>
                <w:sz w:val="18"/>
                <w:szCs w:val="18"/>
                <w:lang w:eastAsia="ru-RU"/>
              </w:rPr>
            </w:pPr>
          </w:p>
        </w:tc>
        <w:tc>
          <w:tcPr>
            <w:tcW w:w="607" w:type="pct"/>
            <w:vAlign w:val="center"/>
          </w:tcPr>
          <w:p w14:paraId="19C6DC92" w14:textId="77777777" w:rsidR="009A4C46" w:rsidRPr="00F94FED" w:rsidRDefault="009A4C46" w:rsidP="00CB5AA8">
            <w:pPr>
              <w:spacing w:line="283" w:lineRule="auto"/>
              <w:jc w:val="center"/>
              <w:rPr>
                <w:rFonts w:eastAsia="Times New Roman"/>
                <w:sz w:val="18"/>
                <w:szCs w:val="18"/>
                <w:lang w:eastAsia="ru-RU"/>
              </w:rPr>
            </w:pPr>
          </w:p>
        </w:tc>
      </w:tr>
      <w:tr w:rsidR="009A4C46" w:rsidRPr="0081136F" w14:paraId="47C7DC97" w14:textId="77777777" w:rsidTr="00CB5AA8">
        <w:trPr>
          <w:trHeight w:val="20"/>
        </w:trPr>
        <w:tc>
          <w:tcPr>
            <w:tcW w:w="453" w:type="pct"/>
            <w:noWrap/>
            <w:vAlign w:val="center"/>
            <w:hideMark/>
          </w:tcPr>
          <w:p w14:paraId="4BEEE5D6" w14:textId="77777777" w:rsidR="009A4C46" w:rsidRPr="00F94FED" w:rsidRDefault="009A4C46" w:rsidP="00CB5AA8">
            <w:pPr>
              <w:spacing w:line="283" w:lineRule="auto"/>
              <w:jc w:val="both"/>
              <w:rPr>
                <w:rFonts w:eastAsia="Times New Roman"/>
                <w:sz w:val="18"/>
                <w:szCs w:val="18"/>
                <w:lang w:eastAsia="ru-RU"/>
              </w:rPr>
            </w:pPr>
            <w:r w:rsidRPr="00F94FED">
              <w:rPr>
                <w:rFonts w:eastAsia="Times New Roman"/>
                <w:sz w:val="18"/>
                <w:szCs w:val="18"/>
                <w:lang w:eastAsia="ru-RU"/>
              </w:rPr>
              <w:t> </w:t>
            </w:r>
          </w:p>
        </w:tc>
        <w:tc>
          <w:tcPr>
            <w:tcW w:w="1953" w:type="pct"/>
            <w:vAlign w:val="center"/>
            <w:hideMark/>
          </w:tcPr>
          <w:p w14:paraId="26F431DD" w14:textId="77777777" w:rsidR="009A4C46" w:rsidRPr="00F94FED" w:rsidRDefault="009A4C46" w:rsidP="00CB5AA8">
            <w:pPr>
              <w:spacing w:line="283" w:lineRule="auto"/>
              <w:jc w:val="both"/>
              <w:rPr>
                <w:rFonts w:eastAsia="Times New Roman"/>
                <w:sz w:val="18"/>
                <w:szCs w:val="18"/>
                <w:lang w:eastAsia="ru-RU"/>
              </w:rPr>
            </w:pPr>
            <w:r w:rsidRPr="00F94FED">
              <w:rPr>
                <w:rFonts w:eastAsia="Times New Roman"/>
                <w:sz w:val="18"/>
                <w:szCs w:val="18"/>
                <w:lang w:eastAsia="ru-RU"/>
              </w:rPr>
              <w:t>Справочно:</w:t>
            </w:r>
          </w:p>
        </w:tc>
        <w:tc>
          <w:tcPr>
            <w:tcW w:w="703" w:type="pct"/>
            <w:vAlign w:val="center"/>
          </w:tcPr>
          <w:p w14:paraId="0129AD14" w14:textId="77777777" w:rsidR="009A4C46" w:rsidRPr="00F94FED" w:rsidRDefault="009A4C46" w:rsidP="00CB5AA8">
            <w:pPr>
              <w:spacing w:line="283" w:lineRule="auto"/>
              <w:jc w:val="center"/>
              <w:rPr>
                <w:rFonts w:eastAsia="Times New Roman"/>
                <w:sz w:val="18"/>
                <w:szCs w:val="18"/>
                <w:lang w:eastAsia="ru-RU"/>
              </w:rPr>
            </w:pPr>
          </w:p>
        </w:tc>
        <w:tc>
          <w:tcPr>
            <w:tcW w:w="633" w:type="pct"/>
            <w:vAlign w:val="center"/>
          </w:tcPr>
          <w:p w14:paraId="36E177D0" w14:textId="77777777" w:rsidR="009A4C46" w:rsidRPr="00F94FED" w:rsidRDefault="009A4C46" w:rsidP="00CB5AA8">
            <w:pPr>
              <w:spacing w:line="283" w:lineRule="auto"/>
              <w:jc w:val="center"/>
              <w:rPr>
                <w:rFonts w:eastAsia="Times New Roman"/>
                <w:sz w:val="18"/>
                <w:szCs w:val="18"/>
                <w:lang w:eastAsia="ru-RU"/>
              </w:rPr>
            </w:pPr>
          </w:p>
        </w:tc>
        <w:tc>
          <w:tcPr>
            <w:tcW w:w="651" w:type="pct"/>
            <w:vAlign w:val="center"/>
          </w:tcPr>
          <w:p w14:paraId="02BE2C1A" w14:textId="77777777" w:rsidR="009A4C46" w:rsidRPr="00F94FED" w:rsidRDefault="009A4C46" w:rsidP="00CB5AA8">
            <w:pPr>
              <w:spacing w:line="283" w:lineRule="auto"/>
              <w:jc w:val="center"/>
              <w:rPr>
                <w:rFonts w:eastAsia="Times New Roman"/>
                <w:sz w:val="18"/>
                <w:szCs w:val="18"/>
                <w:lang w:eastAsia="ru-RU"/>
              </w:rPr>
            </w:pPr>
          </w:p>
        </w:tc>
        <w:tc>
          <w:tcPr>
            <w:tcW w:w="607" w:type="pct"/>
            <w:vAlign w:val="center"/>
          </w:tcPr>
          <w:p w14:paraId="54AE8F9A" w14:textId="77777777" w:rsidR="009A4C46" w:rsidRPr="00F94FED" w:rsidRDefault="009A4C46" w:rsidP="00CB5AA8">
            <w:pPr>
              <w:spacing w:line="283" w:lineRule="auto"/>
              <w:jc w:val="center"/>
              <w:rPr>
                <w:rFonts w:eastAsia="Times New Roman"/>
                <w:sz w:val="18"/>
                <w:szCs w:val="18"/>
                <w:lang w:eastAsia="ru-RU"/>
              </w:rPr>
            </w:pPr>
          </w:p>
        </w:tc>
      </w:tr>
      <w:tr w:rsidR="009A4C46" w:rsidRPr="0081136F" w14:paraId="2FAB207E" w14:textId="77777777" w:rsidTr="00CB5AA8">
        <w:trPr>
          <w:trHeight w:val="20"/>
        </w:trPr>
        <w:tc>
          <w:tcPr>
            <w:tcW w:w="453" w:type="pct"/>
            <w:noWrap/>
            <w:vAlign w:val="center"/>
            <w:hideMark/>
          </w:tcPr>
          <w:p w14:paraId="59666EEF" w14:textId="77777777" w:rsidR="009A4C46" w:rsidRPr="00F94FED" w:rsidRDefault="009A4C46" w:rsidP="00CB5AA8">
            <w:pPr>
              <w:spacing w:line="283" w:lineRule="auto"/>
              <w:jc w:val="both"/>
              <w:rPr>
                <w:rFonts w:eastAsia="Times New Roman"/>
                <w:sz w:val="18"/>
                <w:szCs w:val="18"/>
                <w:lang w:eastAsia="ru-RU"/>
              </w:rPr>
            </w:pPr>
            <w:r w:rsidRPr="00F94FED">
              <w:rPr>
                <w:rFonts w:eastAsia="Times New Roman"/>
                <w:sz w:val="18"/>
                <w:szCs w:val="18"/>
                <w:lang w:eastAsia="ru-RU"/>
              </w:rPr>
              <w:t>Д</w:t>
            </w:r>
          </w:p>
        </w:tc>
        <w:tc>
          <w:tcPr>
            <w:tcW w:w="1953" w:type="pct"/>
            <w:vAlign w:val="center"/>
            <w:hideMark/>
          </w:tcPr>
          <w:p w14:paraId="49BABE1C" w14:textId="77777777" w:rsidR="009A4C46" w:rsidRPr="00F94FED" w:rsidRDefault="009A4C46" w:rsidP="00CB5AA8">
            <w:pPr>
              <w:spacing w:line="283" w:lineRule="auto"/>
              <w:jc w:val="both"/>
              <w:rPr>
                <w:rFonts w:eastAsia="Times New Roman"/>
                <w:sz w:val="18"/>
                <w:szCs w:val="18"/>
                <w:lang w:eastAsia="ru-RU"/>
              </w:rPr>
            </w:pPr>
            <w:r w:rsidRPr="00F94FED">
              <w:rPr>
                <w:rFonts w:eastAsia="Times New Roman"/>
                <w:sz w:val="18"/>
                <w:szCs w:val="18"/>
                <w:lang w:eastAsia="ru-RU"/>
              </w:rPr>
              <w:t>Доход на инвестированный капитал 5</w:t>
            </w:r>
          </w:p>
        </w:tc>
        <w:tc>
          <w:tcPr>
            <w:tcW w:w="703" w:type="pct"/>
            <w:vAlign w:val="center"/>
          </w:tcPr>
          <w:p w14:paraId="1C1C189B" w14:textId="77777777" w:rsidR="009A4C46" w:rsidRPr="00F94FED" w:rsidRDefault="009A4C46" w:rsidP="00CB5AA8">
            <w:pPr>
              <w:spacing w:line="283" w:lineRule="auto"/>
              <w:jc w:val="center"/>
              <w:rPr>
                <w:rFonts w:eastAsia="Times New Roman"/>
                <w:sz w:val="18"/>
                <w:szCs w:val="18"/>
                <w:lang w:eastAsia="ru-RU"/>
              </w:rPr>
            </w:pPr>
          </w:p>
        </w:tc>
        <w:tc>
          <w:tcPr>
            <w:tcW w:w="633" w:type="pct"/>
            <w:vAlign w:val="center"/>
          </w:tcPr>
          <w:p w14:paraId="7CE8C361" w14:textId="77777777" w:rsidR="009A4C46" w:rsidRPr="00F94FED" w:rsidRDefault="009A4C46" w:rsidP="00CB5AA8">
            <w:pPr>
              <w:spacing w:line="283" w:lineRule="auto"/>
              <w:jc w:val="center"/>
              <w:rPr>
                <w:rFonts w:eastAsia="Times New Roman"/>
                <w:sz w:val="18"/>
                <w:szCs w:val="18"/>
                <w:lang w:eastAsia="ru-RU"/>
              </w:rPr>
            </w:pPr>
          </w:p>
        </w:tc>
        <w:tc>
          <w:tcPr>
            <w:tcW w:w="651" w:type="pct"/>
            <w:vAlign w:val="center"/>
          </w:tcPr>
          <w:p w14:paraId="089C4E9D" w14:textId="77777777" w:rsidR="009A4C46" w:rsidRPr="00F94FED" w:rsidRDefault="009A4C46" w:rsidP="00CB5AA8">
            <w:pPr>
              <w:spacing w:line="283" w:lineRule="auto"/>
              <w:jc w:val="center"/>
              <w:rPr>
                <w:rFonts w:eastAsia="Times New Roman"/>
                <w:sz w:val="18"/>
                <w:szCs w:val="18"/>
                <w:lang w:eastAsia="ru-RU"/>
              </w:rPr>
            </w:pPr>
          </w:p>
        </w:tc>
        <w:tc>
          <w:tcPr>
            <w:tcW w:w="607" w:type="pct"/>
            <w:vAlign w:val="center"/>
          </w:tcPr>
          <w:p w14:paraId="6F807F93" w14:textId="77777777" w:rsidR="009A4C46" w:rsidRPr="00F94FED" w:rsidRDefault="009A4C46" w:rsidP="00CB5AA8">
            <w:pPr>
              <w:spacing w:line="283" w:lineRule="auto"/>
              <w:jc w:val="center"/>
              <w:rPr>
                <w:rFonts w:eastAsia="Times New Roman"/>
                <w:sz w:val="18"/>
                <w:szCs w:val="18"/>
                <w:lang w:eastAsia="ru-RU"/>
              </w:rPr>
            </w:pPr>
          </w:p>
        </w:tc>
      </w:tr>
      <w:tr w:rsidR="009A4C46" w:rsidRPr="0081136F" w14:paraId="205C5081" w14:textId="77777777" w:rsidTr="00CB5AA8">
        <w:trPr>
          <w:trHeight w:val="20"/>
        </w:trPr>
        <w:tc>
          <w:tcPr>
            <w:tcW w:w="453" w:type="pct"/>
            <w:noWrap/>
            <w:vAlign w:val="center"/>
            <w:hideMark/>
          </w:tcPr>
          <w:p w14:paraId="530A3F70" w14:textId="77777777" w:rsidR="009A4C46" w:rsidRPr="00F94FED" w:rsidRDefault="009A4C46" w:rsidP="00CB5AA8">
            <w:pPr>
              <w:spacing w:line="283" w:lineRule="auto"/>
              <w:jc w:val="both"/>
              <w:rPr>
                <w:rFonts w:eastAsia="Times New Roman"/>
                <w:sz w:val="18"/>
                <w:szCs w:val="18"/>
                <w:lang w:eastAsia="ru-RU"/>
              </w:rPr>
            </w:pPr>
            <w:r w:rsidRPr="00F94FED">
              <w:rPr>
                <w:rFonts w:eastAsia="Times New Roman"/>
                <w:sz w:val="18"/>
                <w:szCs w:val="18"/>
                <w:lang w:eastAsia="ru-RU"/>
              </w:rPr>
              <w:t>Е</w:t>
            </w:r>
          </w:p>
        </w:tc>
        <w:tc>
          <w:tcPr>
            <w:tcW w:w="1953" w:type="pct"/>
            <w:vAlign w:val="center"/>
            <w:hideMark/>
          </w:tcPr>
          <w:p w14:paraId="4B309855" w14:textId="77777777" w:rsidR="009A4C46" w:rsidRPr="00F94FED" w:rsidRDefault="009A4C46" w:rsidP="00CB5AA8">
            <w:pPr>
              <w:spacing w:line="283" w:lineRule="auto"/>
              <w:jc w:val="both"/>
              <w:rPr>
                <w:rFonts w:eastAsia="Times New Roman"/>
                <w:sz w:val="18"/>
                <w:szCs w:val="18"/>
                <w:lang w:eastAsia="ru-RU"/>
              </w:rPr>
            </w:pPr>
            <w:r w:rsidRPr="00F94FED">
              <w:rPr>
                <w:rFonts w:eastAsia="Times New Roman"/>
                <w:sz w:val="18"/>
                <w:szCs w:val="18"/>
                <w:lang w:eastAsia="ru-RU"/>
              </w:rPr>
              <w:t>Возврат инвестированного капитала 5</w:t>
            </w:r>
          </w:p>
        </w:tc>
        <w:tc>
          <w:tcPr>
            <w:tcW w:w="703" w:type="pct"/>
            <w:vAlign w:val="center"/>
          </w:tcPr>
          <w:p w14:paraId="2250DD42" w14:textId="77777777" w:rsidR="009A4C46" w:rsidRPr="00F94FED" w:rsidRDefault="009A4C46" w:rsidP="00CB5AA8">
            <w:pPr>
              <w:spacing w:line="283" w:lineRule="auto"/>
              <w:jc w:val="center"/>
              <w:rPr>
                <w:rFonts w:eastAsia="Times New Roman"/>
                <w:sz w:val="18"/>
                <w:szCs w:val="18"/>
                <w:lang w:eastAsia="ru-RU"/>
              </w:rPr>
            </w:pPr>
          </w:p>
        </w:tc>
        <w:tc>
          <w:tcPr>
            <w:tcW w:w="633" w:type="pct"/>
            <w:vAlign w:val="center"/>
          </w:tcPr>
          <w:p w14:paraId="1344E16E" w14:textId="77777777" w:rsidR="009A4C46" w:rsidRPr="00F94FED" w:rsidRDefault="009A4C46" w:rsidP="00CB5AA8">
            <w:pPr>
              <w:spacing w:line="283" w:lineRule="auto"/>
              <w:jc w:val="center"/>
              <w:rPr>
                <w:rFonts w:eastAsia="Times New Roman"/>
                <w:sz w:val="18"/>
                <w:szCs w:val="18"/>
                <w:lang w:eastAsia="ru-RU"/>
              </w:rPr>
            </w:pPr>
          </w:p>
        </w:tc>
        <w:tc>
          <w:tcPr>
            <w:tcW w:w="651" w:type="pct"/>
            <w:vAlign w:val="center"/>
          </w:tcPr>
          <w:p w14:paraId="5488F221" w14:textId="77777777" w:rsidR="009A4C46" w:rsidRPr="00F94FED" w:rsidRDefault="009A4C46" w:rsidP="00CB5AA8">
            <w:pPr>
              <w:spacing w:line="283" w:lineRule="auto"/>
              <w:jc w:val="center"/>
              <w:rPr>
                <w:rFonts w:eastAsia="Times New Roman"/>
                <w:sz w:val="18"/>
                <w:szCs w:val="18"/>
                <w:lang w:eastAsia="ru-RU"/>
              </w:rPr>
            </w:pPr>
          </w:p>
        </w:tc>
        <w:tc>
          <w:tcPr>
            <w:tcW w:w="607" w:type="pct"/>
            <w:vAlign w:val="center"/>
          </w:tcPr>
          <w:p w14:paraId="24BDCC88" w14:textId="77777777" w:rsidR="009A4C46" w:rsidRPr="00F94FED" w:rsidRDefault="009A4C46" w:rsidP="00CB5AA8">
            <w:pPr>
              <w:spacing w:line="283" w:lineRule="auto"/>
              <w:jc w:val="center"/>
              <w:rPr>
                <w:rFonts w:eastAsia="Times New Roman"/>
                <w:sz w:val="18"/>
                <w:szCs w:val="18"/>
                <w:lang w:eastAsia="ru-RU"/>
              </w:rPr>
            </w:pPr>
          </w:p>
        </w:tc>
      </w:tr>
    </w:tbl>
    <w:p w14:paraId="10892933" w14:textId="31B22DD2" w:rsidR="009A4C46" w:rsidRPr="009A4C46" w:rsidRDefault="009A4C46" w:rsidP="00F94FED">
      <w:pPr>
        <w:spacing w:after="0" w:line="240" w:lineRule="auto"/>
        <w:contextualSpacing/>
        <w:jc w:val="both"/>
        <w:rPr>
          <w:rFonts w:eastAsia="Times New Roman"/>
          <w:lang w:eastAsia="ru-RU"/>
        </w:rPr>
      </w:pPr>
      <w:r w:rsidRPr="009A4C46">
        <w:rPr>
          <w:rFonts w:eastAsia="Times New Roman"/>
          <w:lang w:eastAsia="ru-RU"/>
        </w:rPr>
        <w:t xml:space="preserve">1 </w:t>
      </w:r>
      <w:r w:rsidR="0081136F">
        <w:rPr>
          <w:rFonts w:eastAsia="Times New Roman"/>
          <w:lang w:eastAsia="ru-RU"/>
        </w:rPr>
        <w:t xml:space="preserve">– </w:t>
      </w:r>
      <w:r w:rsidRPr="009A4C46">
        <w:rPr>
          <w:rFonts w:eastAsia="Times New Roman"/>
          <w:lang w:eastAsia="ru-RU"/>
        </w:rPr>
        <w:t>Решение об установлении цен (тарифов), при принятии которого в состав необходимой валовой выручки указанного субъекта контроля (надзора) включены расходы, запланированные на финансирование инвестиционных проектов (отдельных мероприятий), предусмотренных инвестиционной программой.</w:t>
      </w:r>
    </w:p>
    <w:p w14:paraId="78FE562D" w14:textId="201BE854" w:rsidR="009A4C46" w:rsidRPr="009A4C46" w:rsidRDefault="009A4C46" w:rsidP="00F94FED">
      <w:pPr>
        <w:spacing w:after="0" w:line="240" w:lineRule="auto"/>
        <w:contextualSpacing/>
        <w:jc w:val="both"/>
        <w:rPr>
          <w:rFonts w:eastAsia="Times New Roman"/>
          <w:lang w:eastAsia="ru-RU"/>
        </w:rPr>
      </w:pPr>
      <w:r w:rsidRPr="009A4C46">
        <w:rPr>
          <w:rFonts w:eastAsia="Times New Roman"/>
          <w:lang w:eastAsia="ru-RU"/>
        </w:rPr>
        <w:t xml:space="preserve">2 </w:t>
      </w:r>
      <w:r w:rsidR="0081136F">
        <w:rPr>
          <w:rFonts w:eastAsia="Times New Roman"/>
          <w:lang w:eastAsia="ru-RU"/>
        </w:rPr>
        <w:t xml:space="preserve">– </w:t>
      </w:r>
      <w:r w:rsidRPr="009A4C46">
        <w:rPr>
          <w:rFonts w:eastAsia="Times New Roman"/>
          <w:lang w:eastAsia="ru-RU"/>
        </w:rPr>
        <w:t>Нарастающим итогом за год.</w:t>
      </w:r>
    </w:p>
    <w:p w14:paraId="503CF595" w14:textId="1C60EF56" w:rsidR="009A4C46" w:rsidRPr="009A4C46" w:rsidRDefault="009A4C46" w:rsidP="00F94FED">
      <w:pPr>
        <w:spacing w:after="0" w:line="240" w:lineRule="auto"/>
        <w:contextualSpacing/>
        <w:jc w:val="both"/>
        <w:rPr>
          <w:rFonts w:eastAsia="Times New Roman"/>
          <w:lang w:eastAsia="ru-RU"/>
        </w:rPr>
      </w:pPr>
      <w:r w:rsidRPr="009A4C46">
        <w:rPr>
          <w:rFonts w:eastAsia="Times New Roman"/>
          <w:lang w:eastAsia="ru-RU"/>
        </w:rPr>
        <w:t xml:space="preserve">3 </w:t>
      </w:r>
      <w:r w:rsidR="0081136F">
        <w:rPr>
          <w:rFonts w:eastAsia="Times New Roman"/>
          <w:lang w:eastAsia="ru-RU"/>
        </w:rPr>
        <w:t xml:space="preserve">– </w:t>
      </w:r>
      <w:r w:rsidRPr="009A4C46">
        <w:rPr>
          <w:rFonts w:eastAsia="Times New Roman"/>
          <w:lang w:eastAsia="ru-RU"/>
        </w:rPr>
        <w:t>В соответствии с утвержденной инвестиционной программой.</w:t>
      </w:r>
    </w:p>
    <w:p w14:paraId="4DA62B12" w14:textId="6B0F94F3" w:rsidR="009A4C46" w:rsidRPr="009A4C46" w:rsidRDefault="009A4C46" w:rsidP="00F94FED">
      <w:pPr>
        <w:spacing w:after="0" w:line="240" w:lineRule="auto"/>
        <w:contextualSpacing/>
        <w:jc w:val="both"/>
        <w:rPr>
          <w:rFonts w:eastAsia="Times New Roman"/>
          <w:lang w:eastAsia="ru-RU"/>
        </w:rPr>
      </w:pPr>
      <w:r w:rsidRPr="009A4C46">
        <w:rPr>
          <w:rFonts w:eastAsia="Times New Roman"/>
          <w:lang w:eastAsia="ru-RU"/>
        </w:rPr>
        <w:t xml:space="preserve">4 </w:t>
      </w:r>
      <w:r w:rsidR="0081136F">
        <w:rPr>
          <w:rFonts w:eastAsia="Times New Roman"/>
          <w:lang w:eastAsia="ru-RU"/>
        </w:rPr>
        <w:t xml:space="preserve">– </w:t>
      </w:r>
      <w:r w:rsidRPr="009A4C46">
        <w:rPr>
          <w:rFonts w:eastAsia="Times New Roman"/>
          <w:lang w:eastAsia="ru-RU"/>
        </w:rPr>
        <w:t>В ценах отчетного года.</w:t>
      </w:r>
    </w:p>
    <w:p w14:paraId="7ACF387D" w14:textId="4CC6DC6F" w:rsidR="009A4C46" w:rsidRPr="009A4C46" w:rsidRDefault="009A4C46" w:rsidP="00F94FED">
      <w:pPr>
        <w:spacing w:after="0" w:line="240" w:lineRule="auto"/>
        <w:contextualSpacing/>
        <w:jc w:val="both"/>
        <w:rPr>
          <w:rFonts w:eastAsia="Times New Roman"/>
          <w:lang w:eastAsia="ru-RU"/>
        </w:rPr>
      </w:pPr>
      <w:r w:rsidRPr="009A4C46">
        <w:rPr>
          <w:rFonts w:eastAsia="Times New Roman"/>
          <w:lang w:eastAsia="ru-RU"/>
        </w:rPr>
        <w:t xml:space="preserve">5 </w:t>
      </w:r>
      <w:r w:rsidR="0081136F">
        <w:rPr>
          <w:rFonts w:eastAsia="Times New Roman"/>
          <w:lang w:eastAsia="ru-RU"/>
        </w:rPr>
        <w:t xml:space="preserve">– </w:t>
      </w:r>
      <w:r w:rsidRPr="009A4C46">
        <w:rPr>
          <w:rFonts w:eastAsia="Times New Roman"/>
          <w:lang w:eastAsia="ru-RU"/>
        </w:rPr>
        <w:t>При государственном регулировании цен (тарифов) с применением метода обеспечения доходности инвестированного капитала.</w:t>
      </w:r>
    </w:p>
    <w:p w14:paraId="7AB70346" w14:textId="77777777" w:rsidR="009A4C46" w:rsidRPr="00F94FED" w:rsidRDefault="009A4C46" w:rsidP="00F94FED">
      <w:pPr>
        <w:spacing w:afterLines="32" w:after="76" w:line="360" w:lineRule="auto"/>
        <w:ind w:firstLine="142"/>
        <w:contextualSpacing/>
        <w:jc w:val="center"/>
        <w:rPr>
          <w:rFonts w:eastAsia="Times New Roman"/>
          <w:b/>
          <w:bCs/>
          <w:sz w:val="26"/>
          <w:szCs w:val="26"/>
          <w:lang w:eastAsia="ru-RU"/>
        </w:rPr>
      </w:pPr>
    </w:p>
    <w:p w14:paraId="69F8C8F7" w14:textId="77777777" w:rsidR="00CB5AA8" w:rsidRDefault="00CB5AA8" w:rsidP="00F94FED">
      <w:pPr>
        <w:spacing w:afterLines="32" w:after="76" w:line="360" w:lineRule="auto"/>
        <w:ind w:firstLine="142"/>
        <w:contextualSpacing/>
        <w:jc w:val="center"/>
        <w:rPr>
          <w:rFonts w:eastAsia="Times New Roman"/>
          <w:b/>
          <w:bCs/>
          <w:sz w:val="26"/>
          <w:szCs w:val="26"/>
          <w:lang w:eastAsia="ru-RU"/>
        </w:rPr>
      </w:pPr>
    </w:p>
    <w:p w14:paraId="7EB139AD" w14:textId="77777777" w:rsidR="00CB5AA8" w:rsidRDefault="00CB5AA8" w:rsidP="00F94FED">
      <w:pPr>
        <w:spacing w:afterLines="32" w:after="76" w:line="360" w:lineRule="auto"/>
        <w:ind w:firstLine="142"/>
        <w:contextualSpacing/>
        <w:jc w:val="center"/>
        <w:rPr>
          <w:rFonts w:eastAsia="Times New Roman"/>
          <w:b/>
          <w:bCs/>
          <w:sz w:val="26"/>
          <w:szCs w:val="26"/>
          <w:lang w:eastAsia="ru-RU"/>
        </w:rPr>
      </w:pPr>
    </w:p>
    <w:p w14:paraId="5A059BF9" w14:textId="08429DED" w:rsidR="009A4C46" w:rsidRPr="00F94FED" w:rsidRDefault="009A4C46" w:rsidP="00F94FED">
      <w:pPr>
        <w:spacing w:afterLines="32" w:after="76" w:line="360" w:lineRule="auto"/>
        <w:ind w:firstLine="142"/>
        <w:contextualSpacing/>
        <w:jc w:val="center"/>
        <w:rPr>
          <w:rFonts w:eastAsia="Times New Roman"/>
          <w:b/>
          <w:bCs/>
          <w:sz w:val="26"/>
          <w:szCs w:val="26"/>
          <w:lang w:eastAsia="ru-RU"/>
        </w:rPr>
      </w:pPr>
      <w:r w:rsidRPr="00F94FED">
        <w:rPr>
          <w:rFonts w:eastAsia="Times New Roman"/>
          <w:b/>
          <w:bCs/>
          <w:sz w:val="26"/>
          <w:szCs w:val="26"/>
          <w:lang w:eastAsia="ru-RU"/>
        </w:rPr>
        <w:lastRenderedPageBreak/>
        <w:t>Пообъектный анализ финансирования (отклонений) по отчету</w:t>
      </w:r>
    </w:p>
    <w:tbl>
      <w:tblPr>
        <w:tblStyle w:val="39"/>
        <w:tblW w:w="5232" w:type="pct"/>
        <w:tblLayout w:type="fixed"/>
        <w:tblLook w:val="04A0" w:firstRow="1" w:lastRow="0" w:firstColumn="1" w:lastColumn="0" w:noHBand="0" w:noVBand="1"/>
      </w:tblPr>
      <w:tblGrid>
        <w:gridCol w:w="410"/>
        <w:gridCol w:w="2138"/>
        <w:gridCol w:w="1005"/>
        <w:gridCol w:w="884"/>
        <w:gridCol w:w="808"/>
        <w:gridCol w:w="888"/>
        <w:gridCol w:w="933"/>
        <w:gridCol w:w="39"/>
        <w:gridCol w:w="1113"/>
        <w:gridCol w:w="39"/>
        <w:gridCol w:w="1522"/>
      </w:tblGrid>
      <w:tr w:rsidR="00CB5AA8" w:rsidRPr="00CB5AA8" w14:paraId="6F5B2F2E" w14:textId="77777777" w:rsidTr="00CB5AA8">
        <w:trPr>
          <w:trHeight w:val="368"/>
          <w:tblHeader/>
        </w:trPr>
        <w:tc>
          <w:tcPr>
            <w:tcW w:w="21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43D8FED" w14:textId="77777777" w:rsidR="009A4C46" w:rsidRPr="00CB5AA8" w:rsidRDefault="009A4C46" w:rsidP="00CB5AA8">
            <w:pPr>
              <w:widowControl w:val="0"/>
              <w:jc w:val="center"/>
              <w:rPr>
                <w:rFonts w:eastAsia="Times New Roman"/>
                <w:b/>
                <w:bCs/>
                <w:color w:val="FFFFFF" w:themeColor="background1"/>
                <w:sz w:val="17"/>
                <w:szCs w:val="17"/>
                <w:lang w:eastAsia="ru-RU"/>
              </w:rPr>
            </w:pPr>
            <w:r w:rsidRPr="00CB5AA8">
              <w:rPr>
                <w:rFonts w:eastAsia="Times New Roman"/>
                <w:b/>
                <w:bCs/>
                <w:color w:val="FFFFFF" w:themeColor="background1"/>
                <w:sz w:val="17"/>
                <w:szCs w:val="17"/>
                <w:lang w:eastAsia="ru-RU"/>
              </w:rPr>
              <w:t>№</w:t>
            </w:r>
          </w:p>
        </w:tc>
        <w:tc>
          <w:tcPr>
            <w:tcW w:w="109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8C74339" w14:textId="77777777" w:rsidR="009A4C46" w:rsidRPr="00CB5AA8" w:rsidRDefault="009A4C46" w:rsidP="00CB5AA8">
            <w:pPr>
              <w:widowControl w:val="0"/>
              <w:jc w:val="center"/>
              <w:rPr>
                <w:rFonts w:eastAsia="Times New Roman"/>
                <w:b/>
                <w:bCs/>
                <w:color w:val="FFFFFF" w:themeColor="background1"/>
                <w:sz w:val="17"/>
                <w:szCs w:val="17"/>
                <w:lang w:eastAsia="ru-RU"/>
              </w:rPr>
            </w:pPr>
            <w:r w:rsidRPr="00CB5AA8">
              <w:rPr>
                <w:rFonts w:eastAsia="Times New Roman"/>
                <w:b/>
                <w:bCs/>
                <w:color w:val="FFFFFF" w:themeColor="background1"/>
                <w:sz w:val="17"/>
                <w:szCs w:val="17"/>
                <w:lang w:eastAsia="ru-RU"/>
              </w:rPr>
              <w:t>Наименование инвестиционного проекта/мероприятия, предусмотренного инвестиционной программой</w:t>
            </w:r>
          </w:p>
        </w:tc>
        <w:tc>
          <w:tcPr>
            <w:tcW w:w="2330" w:type="pct"/>
            <w:gridSpan w:val="6"/>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F6AD087" w14:textId="77777777" w:rsidR="009A4C46" w:rsidRPr="00CB5AA8" w:rsidRDefault="009A4C46" w:rsidP="00CB5AA8">
            <w:pPr>
              <w:widowControl w:val="0"/>
              <w:jc w:val="center"/>
              <w:rPr>
                <w:rFonts w:eastAsia="Times New Roman"/>
                <w:b/>
                <w:bCs/>
                <w:color w:val="FFFFFF" w:themeColor="background1"/>
                <w:sz w:val="17"/>
                <w:szCs w:val="17"/>
                <w:lang w:eastAsia="ru-RU"/>
              </w:rPr>
            </w:pPr>
            <w:r w:rsidRPr="00CB5AA8">
              <w:rPr>
                <w:rFonts w:eastAsia="Times New Roman"/>
                <w:b/>
                <w:bCs/>
                <w:color w:val="FFFFFF" w:themeColor="background1"/>
                <w:sz w:val="17"/>
                <w:szCs w:val="17"/>
                <w:lang w:eastAsia="ru-RU"/>
              </w:rPr>
              <w:t>Стоимостная оценка инвестиций,</w:t>
            </w:r>
          </w:p>
          <w:p w14:paraId="7FCE9751" w14:textId="77777777" w:rsidR="009A4C46" w:rsidRPr="00CB5AA8" w:rsidRDefault="009A4C46" w:rsidP="00CB5AA8">
            <w:pPr>
              <w:widowControl w:val="0"/>
              <w:jc w:val="center"/>
              <w:rPr>
                <w:rFonts w:eastAsia="Times New Roman"/>
                <w:b/>
                <w:bCs/>
                <w:color w:val="FFFFFF" w:themeColor="background1"/>
                <w:sz w:val="17"/>
                <w:szCs w:val="17"/>
                <w:lang w:eastAsia="ru-RU"/>
              </w:rPr>
            </w:pPr>
            <w:r w:rsidRPr="00CB5AA8">
              <w:rPr>
                <w:rFonts w:eastAsia="Times New Roman"/>
                <w:b/>
                <w:bCs/>
                <w:color w:val="FFFFFF" w:themeColor="background1"/>
                <w:sz w:val="17"/>
                <w:szCs w:val="17"/>
                <w:lang w:eastAsia="ru-RU"/>
              </w:rPr>
              <w:t>млн. руб. с НДС</w:t>
            </w:r>
          </w:p>
        </w:tc>
        <w:tc>
          <w:tcPr>
            <w:tcW w:w="589"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38FFB2F" w14:textId="77777777" w:rsidR="009A4C46" w:rsidRPr="00CB5AA8" w:rsidRDefault="009A4C46" w:rsidP="00CB5AA8">
            <w:pPr>
              <w:widowControl w:val="0"/>
              <w:jc w:val="center"/>
              <w:rPr>
                <w:rFonts w:eastAsia="Times New Roman"/>
                <w:b/>
                <w:bCs/>
                <w:color w:val="FFFFFF" w:themeColor="background1"/>
                <w:sz w:val="17"/>
                <w:szCs w:val="17"/>
                <w:lang w:eastAsia="ru-RU"/>
              </w:rPr>
            </w:pPr>
            <w:r w:rsidRPr="00CB5AA8">
              <w:rPr>
                <w:rFonts w:eastAsia="Times New Roman"/>
                <w:b/>
                <w:bCs/>
                <w:color w:val="FFFFFF" w:themeColor="background1"/>
                <w:sz w:val="17"/>
                <w:szCs w:val="17"/>
                <w:lang w:eastAsia="ru-RU"/>
              </w:rPr>
              <w:t>Отклонения</w:t>
            </w:r>
          </w:p>
        </w:tc>
        <w:tc>
          <w:tcPr>
            <w:tcW w:w="77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5A3FE2F" w14:textId="77777777" w:rsidR="009A4C46" w:rsidRPr="00CB5AA8" w:rsidRDefault="009A4C46" w:rsidP="00CB5AA8">
            <w:pPr>
              <w:widowControl w:val="0"/>
              <w:jc w:val="center"/>
              <w:rPr>
                <w:rFonts w:eastAsia="Times New Roman"/>
                <w:b/>
                <w:bCs/>
                <w:color w:val="FFFFFF" w:themeColor="background1"/>
                <w:sz w:val="17"/>
                <w:szCs w:val="17"/>
                <w:lang w:eastAsia="ru-RU"/>
              </w:rPr>
            </w:pPr>
            <w:r w:rsidRPr="00CB5AA8">
              <w:rPr>
                <w:rFonts w:eastAsia="Times New Roman"/>
                <w:b/>
                <w:bCs/>
                <w:color w:val="FFFFFF" w:themeColor="background1"/>
                <w:sz w:val="17"/>
                <w:szCs w:val="17"/>
                <w:lang w:eastAsia="ru-RU"/>
              </w:rPr>
              <w:t>Причины отклонений</w:t>
            </w:r>
          </w:p>
        </w:tc>
      </w:tr>
      <w:tr w:rsidR="00CB5AA8" w:rsidRPr="00CB5AA8" w14:paraId="267FB9F6" w14:textId="77777777" w:rsidTr="00CB5AA8">
        <w:trPr>
          <w:trHeight w:val="1338"/>
          <w:tblHeader/>
        </w:trPr>
        <w:tc>
          <w:tcPr>
            <w:tcW w:w="21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82DFD50" w14:textId="77777777" w:rsidR="009A4C46" w:rsidRPr="00CB5AA8" w:rsidRDefault="009A4C46" w:rsidP="00CB5AA8">
            <w:pPr>
              <w:widowControl w:val="0"/>
              <w:jc w:val="center"/>
              <w:rPr>
                <w:rFonts w:eastAsia="Times New Roman"/>
                <w:b/>
                <w:bCs/>
                <w:color w:val="FFFFFF" w:themeColor="background1"/>
                <w:sz w:val="17"/>
                <w:szCs w:val="17"/>
                <w:lang w:eastAsia="ru-RU"/>
              </w:rPr>
            </w:pPr>
          </w:p>
        </w:tc>
        <w:tc>
          <w:tcPr>
            <w:tcW w:w="109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75B9472" w14:textId="77777777" w:rsidR="009A4C46" w:rsidRPr="00CB5AA8" w:rsidRDefault="009A4C46" w:rsidP="00CB5AA8">
            <w:pPr>
              <w:widowControl w:val="0"/>
              <w:jc w:val="center"/>
              <w:rPr>
                <w:rFonts w:eastAsia="Times New Roman"/>
                <w:b/>
                <w:bCs/>
                <w:color w:val="FFFFFF" w:themeColor="background1"/>
                <w:sz w:val="17"/>
                <w:szCs w:val="17"/>
                <w:lang w:eastAsia="ru-RU"/>
              </w:rPr>
            </w:pPr>
          </w:p>
        </w:tc>
        <w:tc>
          <w:tcPr>
            <w:tcW w:w="51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F5A9D99" w14:textId="7E3BF78C" w:rsidR="009A4C46" w:rsidRPr="00CB5AA8" w:rsidRDefault="0081136F" w:rsidP="00CB5AA8">
            <w:pPr>
              <w:widowControl w:val="0"/>
              <w:jc w:val="center"/>
              <w:rPr>
                <w:rFonts w:eastAsia="Times New Roman"/>
                <w:b/>
                <w:bCs/>
                <w:color w:val="FFFFFF" w:themeColor="background1"/>
                <w:sz w:val="17"/>
                <w:szCs w:val="17"/>
                <w:lang w:eastAsia="ru-RU"/>
              </w:rPr>
            </w:pPr>
            <w:r w:rsidRPr="00CB5AA8">
              <w:rPr>
                <w:rFonts w:eastAsia="Times New Roman"/>
                <w:b/>
                <w:bCs/>
                <w:color w:val="FFFFFF" w:themeColor="background1"/>
                <w:sz w:val="17"/>
                <w:szCs w:val="17"/>
                <w:lang w:eastAsia="ru-RU"/>
              </w:rPr>
              <w:t>П</w:t>
            </w:r>
            <w:r w:rsidR="009A4C46" w:rsidRPr="00CB5AA8">
              <w:rPr>
                <w:rFonts w:eastAsia="Times New Roman"/>
                <w:b/>
                <w:bCs/>
                <w:color w:val="FFFFFF" w:themeColor="background1"/>
                <w:sz w:val="17"/>
                <w:szCs w:val="17"/>
                <w:lang w:eastAsia="ru-RU"/>
              </w:rPr>
              <w:t xml:space="preserve">олная </w:t>
            </w:r>
            <w:proofErr w:type="spellStart"/>
            <w:r w:rsidR="009A4C46" w:rsidRPr="00CB5AA8">
              <w:rPr>
                <w:rFonts w:eastAsia="Times New Roman"/>
                <w:b/>
                <w:bCs/>
                <w:color w:val="FFFFFF" w:themeColor="background1"/>
                <w:sz w:val="17"/>
                <w:szCs w:val="17"/>
                <w:lang w:eastAsia="ru-RU"/>
              </w:rPr>
              <w:t>стои-мость</w:t>
            </w:r>
            <w:proofErr w:type="spellEnd"/>
          </w:p>
        </w:tc>
        <w:tc>
          <w:tcPr>
            <w:tcW w:w="45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25CDBA9" w14:textId="5D94A859" w:rsidR="009A4C46" w:rsidRPr="00CB5AA8" w:rsidRDefault="0081136F" w:rsidP="00CB5AA8">
            <w:pPr>
              <w:widowControl w:val="0"/>
              <w:jc w:val="center"/>
              <w:rPr>
                <w:rFonts w:eastAsia="Times New Roman"/>
                <w:b/>
                <w:bCs/>
                <w:color w:val="FFFFFF" w:themeColor="background1"/>
                <w:sz w:val="17"/>
                <w:szCs w:val="17"/>
                <w:lang w:eastAsia="ru-RU"/>
              </w:rPr>
            </w:pPr>
            <w:r w:rsidRPr="00CB5AA8">
              <w:rPr>
                <w:rFonts w:eastAsia="Times New Roman"/>
                <w:b/>
                <w:bCs/>
                <w:color w:val="FFFFFF" w:themeColor="background1"/>
                <w:sz w:val="17"/>
                <w:szCs w:val="17"/>
                <w:lang w:eastAsia="ru-RU"/>
              </w:rPr>
              <w:t>О</w:t>
            </w:r>
            <w:r w:rsidR="009A4C46" w:rsidRPr="00CB5AA8">
              <w:rPr>
                <w:rFonts w:eastAsia="Times New Roman"/>
                <w:b/>
                <w:bCs/>
                <w:color w:val="FFFFFF" w:themeColor="background1"/>
                <w:sz w:val="17"/>
                <w:szCs w:val="17"/>
                <w:lang w:eastAsia="ru-RU"/>
              </w:rPr>
              <w:t>статок на начало отчетного года</w:t>
            </w:r>
          </w:p>
        </w:tc>
        <w:tc>
          <w:tcPr>
            <w:tcW w:w="867"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F63BD82" w14:textId="2B0B4D27" w:rsidR="009A4C46" w:rsidRPr="00CB5AA8" w:rsidRDefault="0081136F" w:rsidP="00CB5AA8">
            <w:pPr>
              <w:widowControl w:val="0"/>
              <w:jc w:val="center"/>
              <w:rPr>
                <w:rFonts w:eastAsia="Times New Roman"/>
                <w:b/>
                <w:bCs/>
                <w:color w:val="FFFFFF" w:themeColor="background1"/>
                <w:sz w:val="17"/>
                <w:szCs w:val="17"/>
                <w:lang w:eastAsia="ru-RU"/>
              </w:rPr>
            </w:pPr>
            <w:r w:rsidRPr="00CB5AA8">
              <w:rPr>
                <w:rFonts w:eastAsia="Times New Roman"/>
                <w:b/>
                <w:bCs/>
                <w:color w:val="FFFFFF" w:themeColor="background1"/>
                <w:sz w:val="17"/>
                <w:szCs w:val="17"/>
                <w:lang w:eastAsia="ru-RU"/>
              </w:rPr>
              <w:t>Ф</w:t>
            </w:r>
            <w:r w:rsidR="009A4C46" w:rsidRPr="00CB5AA8">
              <w:rPr>
                <w:rFonts w:eastAsia="Times New Roman"/>
                <w:b/>
                <w:bCs/>
                <w:color w:val="FFFFFF" w:themeColor="background1"/>
                <w:sz w:val="17"/>
                <w:szCs w:val="17"/>
                <w:lang w:eastAsia="ru-RU"/>
              </w:rPr>
              <w:t>инансирование в отчетном периоде</w:t>
            </w:r>
          </w:p>
          <w:p w14:paraId="5069F945" w14:textId="6B9B9D71" w:rsidR="009A4C46" w:rsidRPr="00CB5AA8" w:rsidRDefault="009A4C46" w:rsidP="00CB5AA8">
            <w:pPr>
              <w:widowControl w:val="0"/>
              <w:jc w:val="center"/>
              <w:rPr>
                <w:rFonts w:eastAsia="Times New Roman"/>
                <w:b/>
                <w:bCs/>
                <w:color w:val="FFFFFF" w:themeColor="background1"/>
                <w:sz w:val="17"/>
                <w:szCs w:val="17"/>
                <w:lang w:eastAsia="ru-RU"/>
              </w:rPr>
            </w:pPr>
            <w:r w:rsidRPr="00CB5AA8">
              <w:rPr>
                <w:rFonts w:eastAsia="Times New Roman"/>
                <w:b/>
                <w:bCs/>
                <w:color w:val="FFFFFF" w:themeColor="background1"/>
                <w:sz w:val="17"/>
                <w:szCs w:val="17"/>
                <w:lang w:eastAsia="ru-RU"/>
              </w:rPr>
              <w:t>(4 кв.</w:t>
            </w:r>
            <w:r w:rsidR="002D4169" w:rsidRPr="00CB5AA8">
              <w:rPr>
                <w:rFonts w:eastAsia="Times New Roman"/>
                <w:b/>
                <w:bCs/>
                <w:color w:val="FFFFFF" w:themeColor="background1"/>
                <w:sz w:val="17"/>
                <w:szCs w:val="17"/>
                <w:lang w:eastAsia="ru-RU"/>
              </w:rPr>
              <w:t xml:space="preserve"> 2017 года</w:t>
            </w:r>
            <w:r w:rsidRPr="00CB5AA8">
              <w:rPr>
                <w:rFonts w:eastAsia="Times New Roman"/>
                <w:b/>
                <w:bCs/>
                <w:color w:val="FFFFFF" w:themeColor="background1"/>
                <w:sz w:val="17"/>
                <w:szCs w:val="17"/>
                <w:lang w:eastAsia="ru-RU"/>
              </w:rPr>
              <w:t>)</w:t>
            </w:r>
          </w:p>
        </w:tc>
        <w:tc>
          <w:tcPr>
            <w:tcW w:w="47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C8CAC21" w14:textId="4BF3F4CE" w:rsidR="009A4C46" w:rsidRPr="00CB5AA8" w:rsidRDefault="00513F1D" w:rsidP="00CB5AA8">
            <w:pPr>
              <w:widowControl w:val="0"/>
              <w:jc w:val="center"/>
              <w:rPr>
                <w:rFonts w:eastAsia="Times New Roman"/>
                <w:b/>
                <w:bCs/>
                <w:color w:val="FFFFFF" w:themeColor="background1"/>
                <w:sz w:val="17"/>
                <w:szCs w:val="17"/>
                <w:lang w:eastAsia="ru-RU"/>
              </w:rPr>
            </w:pPr>
            <w:r w:rsidRPr="00CB5AA8">
              <w:rPr>
                <w:rFonts w:eastAsia="Times New Roman"/>
                <w:b/>
                <w:bCs/>
                <w:color w:val="FFFFFF" w:themeColor="background1"/>
                <w:sz w:val="17"/>
                <w:szCs w:val="17"/>
                <w:lang w:eastAsia="ru-RU"/>
              </w:rPr>
              <w:t>О</w:t>
            </w:r>
            <w:r w:rsidR="009A4C46" w:rsidRPr="00CB5AA8">
              <w:rPr>
                <w:rFonts w:eastAsia="Times New Roman"/>
                <w:b/>
                <w:bCs/>
                <w:color w:val="FFFFFF" w:themeColor="background1"/>
                <w:sz w:val="17"/>
                <w:szCs w:val="17"/>
                <w:lang w:eastAsia="ru-RU"/>
              </w:rPr>
              <w:t xml:space="preserve">сталось </w:t>
            </w:r>
            <w:proofErr w:type="spellStart"/>
            <w:r w:rsidR="009A4C46" w:rsidRPr="00CB5AA8">
              <w:rPr>
                <w:rFonts w:eastAsia="Times New Roman"/>
                <w:b/>
                <w:bCs/>
                <w:color w:val="FFFFFF" w:themeColor="background1"/>
                <w:sz w:val="17"/>
                <w:szCs w:val="17"/>
                <w:lang w:eastAsia="ru-RU"/>
              </w:rPr>
              <w:t>профинан-сировать</w:t>
            </w:r>
            <w:proofErr w:type="spellEnd"/>
            <w:r w:rsidR="009A4C46" w:rsidRPr="00CB5AA8">
              <w:rPr>
                <w:rFonts w:eastAsia="Times New Roman"/>
                <w:b/>
                <w:bCs/>
                <w:color w:val="FFFFFF" w:themeColor="background1"/>
                <w:sz w:val="17"/>
                <w:szCs w:val="17"/>
                <w:lang w:eastAsia="ru-RU"/>
              </w:rPr>
              <w:t xml:space="preserve"> по </w:t>
            </w:r>
            <w:proofErr w:type="spellStart"/>
            <w:r w:rsidR="009A4C46" w:rsidRPr="00CB5AA8">
              <w:rPr>
                <w:rFonts w:eastAsia="Times New Roman"/>
                <w:b/>
                <w:bCs/>
                <w:color w:val="FFFFFF" w:themeColor="background1"/>
                <w:sz w:val="17"/>
                <w:szCs w:val="17"/>
                <w:lang w:eastAsia="ru-RU"/>
              </w:rPr>
              <w:t>резуль</w:t>
            </w:r>
            <w:proofErr w:type="spellEnd"/>
            <w:r w:rsidR="009A4C46" w:rsidRPr="00CB5AA8">
              <w:rPr>
                <w:rFonts w:eastAsia="Times New Roman"/>
                <w:b/>
                <w:bCs/>
                <w:color w:val="FFFFFF" w:themeColor="background1"/>
                <w:sz w:val="17"/>
                <w:szCs w:val="17"/>
                <w:lang w:eastAsia="ru-RU"/>
              </w:rPr>
              <w:t>-татам отчетного периода</w:t>
            </w:r>
          </w:p>
        </w:tc>
        <w:tc>
          <w:tcPr>
            <w:tcW w:w="589"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BB41C39" w14:textId="77777777" w:rsidR="009A4C46" w:rsidRPr="00CB5AA8" w:rsidRDefault="009A4C46" w:rsidP="00CB5AA8">
            <w:pPr>
              <w:widowControl w:val="0"/>
              <w:jc w:val="center"/>
              <w:rPr>
                <w:rFonts w:eastAsia="Times New Roman"/>
                <w:b/>
                <w:bCs/>
                <w:color w:val="FFFFFF" w:themeColor="background1"/>
                <w:sz w:val="17"/>
                <w:szCs w:val="17"/>
                <w:lang w:eastAsia="ru-RU"/>
              </w:rPr>
            </w:pPr>
            <w:r w:rsidRPr="00CB5AA8">
              <w:rPr>
                <w:rFonts w:eastAsia="Times New Roman"/>
                <w:b/>
                <w:bCs/>
                <w:color w:val="FFFFFF" w:themeColor="background1"/>
                <w:sz w:val="17"/>
                <w:szCs w:val="17"/>
                <w:lang w:eastAsia="ru-RU"/>
              </w:rPr>
              <w:t>млн. руб. с НДС</w:t>
            </w:r>
          </w:p>
        </w:tc>
        <w:tc>
          <w:tcPr>
            <w:tcW w:w="799"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7AB6CF5" w14:textId="77777777" w:rsidR="009A4C46" w:rsidRPr="00CB5AA8" w:rsidRDefault="009A4C46" w:rsidP="00CB5AA8">
            <w:pPr>
              <w:widowControl w:val="0"/>
              <w:jc w:val="center"/>
              <w:rPr>
                <w:rFonts w:eastAsia="Times New Roman"/>
                <w:b/>
                <w:bCs/>
                <w:color w:val="FFFFFF" w:themeColor="background1"/>
                <w:sz w:val="17"/>
                <w:szCs w:val="17"/>
                <w:lang w:eastAsia="ru-RU"/>
              </w:rPr>
            </w:pPr>
          </w:p>
        </w:tc>
      </w:tr>
      <w:tr w:rsidR="00CB5AA8" w:rsidRPr="00CB5AA8" w14:paraId="6833B9E1" w14:textId="77777777" w:rsidTr="00CB5AA8">
        <w:trPr>
          <w:trHeight w:val="263"/>
          <w:tblHeader/>
        </w:trPr>
        <w:tc>
          <w:tcPr>
            <w:tcW w:w="21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D0DECBC" w14:textId="77777777" w:rsidR="009A4C46" w:rsidRPr="00CB5AA8" w:rsidRDefault="009A4C46" w:rsidP="00CB5AA8">
            <w:pPr>
              <w:widowControl w:val="0"/>
              <w:jc w:val="center"/>
              <w:rPr>
                <w:rFonts w:eastAsia="Times New Roman"/>
                <w:b/>
                <w:bCs/>
                <w:color w:val="FFFFFF" w:themeColor="background1"/>
                <w:sz w:val="17"/>
                <w:szCs w:val="17"/>
                <w:lang w:eastAsia="ru-RU"/>
              </w:rPr>
            </w:pPr>
          </w:p>
        </w:tc>
        <w:tc>
          <w:tcPr>
            <w:tcW w:w="109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A3F9E05" w14:textId="77777777" w:rsidR="009A4C46" w:rsidRPr="00CB5AA8" w:rsidRDefault="009A4C46" w:rsidP="00CB5AA8">
            <w:pPr>
              <w:widowControl w:val="0"/>
              <w:jc w:val="center"/>
              <w:rPr>
                <w:rFonts w:eastAsia="Times New Roman"/>
                <w:b/>
                <w:bCs/>
                <w:color w:val="FFFFFF" w:themeColor="background1"/>
                <w:sz w:val="17"/>
                <w:szCs w:val="17"/>
                <w:lang w:eastAsia="ru-RU"/>
              </w:rPr>
            </w:pPr>
          </w:p>
        </w:tc>
        <w:tc>
          <w:tcPr>
            <w:tcW w:w="51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59E08B9" w14:textId="77777777" w:rsidR="009A4C46" w:rsidRPr="00CB5AA8" w:rsidRDefault="009A4C46" w:rsidP="00CB5AA8">
            <w:pPr>
              <w:widowControl w:val="0"/>
              <w:jc w:val="center"/>
              <w:rPr>
                <w:rFonts w:eastAsia="Times New Roman"/>
                <w:b/>
                <w:bCs/>
                <w:color w:val="FFFFFF" w:themeColor="background1"/>
                <w:sz w:val="17"/>
                <w:szCs w:val="17"/>
                <w:lang w:eastAsia="ru-RU"/>
              </w:rPr>
            </w:pPr>
          </w:p>
        </w:tc>
        <w:tc>
          <w:tcPr>
            <w:tcW w:w="45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AC1720E" w14:textId="77777777" w:rsidR="009A4C46" w:rsidRPr="00CB5AA8" w:rsidRDefault="009A4C46" w:rsidP="00CB5AA8">
            <w:pPr>
              <w:widowControl w:val="0"/>
              <w:jc w:val="center"/>
              <w:rPr>
                <w:rFonts w:eastAsia="Times New Roman"/>
                <w:b/>
                <w:bCs/>
                <w:color w:val="FFFFFF" w:themeColor="background1"/>
                <w:sz w:val="17"/>
                <w:szCs w:val="17"/>
                <w:lang w:eastAsia="ru-RU"/>
              </w:rPr>
            </w:pPr>
          </w:p>
        </w:tc>
        <w:tc>
          <w:tcPr>
            <w:tcW w:w="41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A415C8D" w14:textId="69036D4F" w:rsidR="009A4C46" w:rsidRPr="00CB5AA8" w:rsidRDefault="00513F1D" w:rsidP="00CB5AA8">
            <w:pPr>
              <w:widowControl w:val="0"/>
              <w:jc w:val="center"/>
              <w:rPr>
                <w:rFonts w:eastAsia="Times New Roman"/>
                <w:b/>
                <w:bCs/>
                <w:color w:val="FFFFFF" w:themeColor="background1"/>
                <w:sz w:val="17"/>
                <w:szCs w:val="17"/>
                <w:lang w:eastAsia="ru-RU"/>
              </w:rPr>
            </w:pPr>
            <w:r w:rsidRPr="00CB5AA8">
              <w:rPr>
                <w:rFonts w:eastAsia="Times New Roman"/>
                <w:b/>
                <w:bCs/>
                <w:color w:val="FFFFFF" w:themeColor="background1"/>
                <w:sz w:val="17"/>
                <w:szCs w:val="17"/>
                <w:lang w:eastAsia="ru-RU"/>
              </w:rPr>
              <w:t>П</w:t>
            </w:r>
            <w:r w:rsidR="009A4C46" w:rsidRPr="00CB5AA8">
              <w:rPr>
                <w:rFonts w:eastAsia="Times New Roman"/>
                <w:b/>
                <w:bCs/>
                <w:color w:val="FFFFFF" w:themeColor="background1"/>
                <w:sz w:val="17"/>
                <w:szCs w:val="17"/>
                <w:lang w:eastAsia="ru-RU"/>
              </w:rPr>
              <w:t>лан</w:t>
            </w:r>
          </w:p>
        </w:tc>
        <w:tc>
          <w:tcPr>
            <w:tcW w:w="45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888626B" w14:textId="43854DCF" w:rsidR="009A4C46" w:rsidRPr="00CB5AA8" w:rsidRDefault="00513F1D" w:rsidP="00CB5AA8">
            <w:pPr>
              <w:widowControl w:val="0"/>
              <w:jc w:val="center"/>
              <w:rPr>
                <w:rFonts w:eastAsia="Times New Roman"/>
                <w:b/>
                <w:bCs/>
                <w:color w:val="FFFFFF" w:themeColor="background1"/>
                <w:sz w:val="17"/>
                <w:szCs w:val="17"/>
                <w:lang w:eastAsia="ru-RU"/>
              </w:rPr>
            </w:pPr>
            <w:r w:rsidRPr="00CB5AA8">
              <w:rPr>
                <w:rFonts w:eastAsia="Times New Roman"/>
                <w:b/>
                <w:bCs/>
                <w:color w:val="FFFFFF" w:themeColor="background1"/>
                <w:sz w:val="17"/>
                <w:szCs w:val="17"/>
                <w:lang w:eastAsia="ru-RU"/>
              </w:rPr>
              <w:t>Ф</w:t>
            </w:r>
            <w:r w:rsidR="009A4C46" w:rsidRPr="00CB5AA8">
              <w:rPr>
                <w:rFonts w:eastAsia="Times New Roman"/>
                <w:b/>
                <w:bCs/>
                <w:color w:val="FFFFFF" w:themeColor="background1"/>
                <w:sz w:val="17"/>
                <w:szCs w:val="17"/>
                <w:lang w:eastAsia="ru-RU"/>
              </w:rPr>
              <w:t>акт</w:t>
            </w:r>
          </w:p>
        </w:tc>
        <w:tc>
          <w:tcPr>
            <w:tcW w:w="47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3346A81" w14:textId="77777777" w:rsidR="009A4C46" w:rsidRPr="00CB5AA8" w:rsidRDefault="009A4C46" w:rsidP="00CB5AA8">
            <w:pPr>
              <w:widowControl w:val="0"/>
              <w:jc w:val="center"/>
              <w:rPr>
                <w:rFonts w:eastAsia="Times New Roman"/>
                <w:b/>
                <w:bCs/>
                <w:color w:val="FFFFFF" w:themeColor="background1"/>
                <w:sz w:val="17"/>
                <w:szCs w:val="17"/>
                <w:lang w:eastAsia="ru-RU"/>
              </w:rPr>
            </w:pPr>
          </w:p>
        </w:tc>
        <w:tc>
          <w:tcPr>
            <w:tcW w:w="589"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CE6A337" w14:textId="77777777" w:rsidR="009A4C46" w:rsidRPr="00CB5AA8" w:rsidRDefault="009A4C46" w:rsidP="00CB5AA8">
            <w:pPr>
              <w:widowControl w:val="0"/>
              <w:jc w:val="center"/>
              <w:rPr>
                <w:rFonts w:eastAsia="Times New Roman"/>
                <w:b/>
                <w:bCs/>
                <w:color w:val="FFFFFF" w:themeColor="background1"/>
                <w:sz w:val="17"/>
                <w:szCs w:val="17"/>
                <w:lang w:eastAsia="ru-RU"/>
              </w:rPr>
            </w:pPr>
          </w:p>
        </w:tc>
        <w:tc>
          <w:tcPr>
            <w:tcW w:w="799"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7105258" w14:textId="77777777" w:rsidR="009A4C46" w:rsidRPr="00CB5AA8" w:rsidRDefault="009A4C46" w:rsidP="00CB5AA8">
            <w:pPr>
              <w:widowControl w:val="0"/>
              <w:jc w:val="center"/>
              <w:rPr>
                <w:rFonts w:eastAsia="Times New Roman"/>
                <w:b/>
                <w:bCs/>
                <w:color w:val="FFFFFF" w:themeColor="background1"/>
                <w:sz w:val="17"/>
                <w:szCs w:val="17"/>
                <w:lang w:eastAsia="ru-RU"/>
              </w:rPr>
            </w:pPr>
          </w:p>
        </w:tc>
      </w:tr>
      <w:tr w:rsidR="00CB5AA8" w:rsidRPr="00CB5AA8" w14:paraId="029DDBED" w14:textId="77777777" w:rsidTr="00CB5AA8">
        <w:trPr>
          <w:trHeight w:val="285"/>
          <w:tblHeader/>
        </w:trPr>
        <w:tc>
          <w:tcPr>
            <w:tcW w:w="21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36EEA9F" w14:textId="77777777" w:rsidR="009A4C46" w:rsidRPr="00CB5AA8" w:rsidRDefault="009A4C46" w:rsidP="00CB5AA8">
            <w:pPr>
              <w:widowControl w:val="0"/>
              <w:jc w:val="center"/>
              <w:rPr>
                <w:rFonts w:eastAsia="Times New Roman"/>
                <w:b/>
                <w:bCs/>
                <w:color w:val="FFFFFF" w:themeColor="background1"/>
                <w:sz w:val="17"/>
                <w:szCs w:val="17"/>
                <w:lang w:eastAsia="ru-RU"/>
              </w:rPr>
            </w:pPr>
            <w:r w:rsidRPr="00CB5AA8">
              <w:rPr>
                <w:rFonts w:eastAsia="Times New Roman"/>
                <w:b/>
                <w:bCs/>
                <w:color w:val="FFFFFF" w:themeColor="background1"/>
                <w:sz w:val="17"/>
                <w:szCs w:val="17"/>
                <w:lang w:eastAsia="ru-RU"/>
              </w:rPr>
              <w:t>1</w:t>
            </w:r>
          </w:p>
        </w:tc>
        <w:tc>
          <w:tcPr>
            <w:tcW w:w="109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12B8F3B" w14:textId="77777777" w:rsidR="009A4C46" w:rsidRPr="00CB5AA8" w:rsidRDefault="009A4C46" w:rsidP="00CB5AA8">
            <w:pPr>
              <w:widowControl w:val="0"/>
              <w:jc w:val="center"/>
              <w:rPr>
                <w:rFonts w:eastAsia="Times New Roman"/>
                <w:b/>
                <w:bCs/>
                <w:color w:val="FFFFFF" w:themeColor="background1"/>
                <w:sz w:val="17"/>
                <w:szCs w:val="17"/>
                <w:lang w:eastAsia="ru-RU"/>
              </w:rPr>
            </w:pPr>
            <w:r w:rsidRPr="00CB5AA8">
              <w:rPr>
                <w:rFonts w:eastAsia="Times New Roman"/>
                <w:b/>
                <w:bCs/>
                <w:color w:val="FFFFFF" w:themeColor="background1"/>
                <w:sz w:val="17"/>
                <w:szCs w:val="17"/>
                <w:lang w:eastAsia="ru-RU"/>
              </w:rPr>
              <w:t>2</w:t>
            </w:r>
          </w:p>
        </w:tc>
        <w:tc>
          <w:tcPr>
            <w:tcW w:w="5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F22B07D" w14:textId="77777777" w:rsidR="009A4C46" w:rsidRPr="00CB5AA8" w:rsidRDefault="009A4C46" w:rsidP="00CB5AA8">
            <w:pPr>
              <w:widowControl w:val="0"/>
              <w:jc w:val="center"/>
              <w:rPr>
                <w:rFonts w:eastAsia="Times New Roman"/>
                <w:b/>
                <w:bCs/>
                <w:color w:val="FFFFFF" w:themeColor="background1"/>
                <w:sz w:val="17"/>
                <w:szCs w:val="17"/>
                <w:lang w:eastAsia="ru-RU"/>
              </w:rPr>
            </w:pPr>
            <w:r w:rsidRPr="00CB5AA8">
              <w:rPr>
                <w:rFonts w:eastAsia="Times New Roman"/>
                <w:b/>
                <w:bCs/>
                <w:color w:val="FFFFFF" w:themeColor="background1"/>
                <w:sz w:val="17"/>
                <w:szCs w:val="17"/>
                <w:lang w:eastAsia="ru-RU"/>
              </w:rPr>
              <w:t>3</w:t>
            </w:r>
          </w:p>
        </w:tc>
        <w:tc>
          <w:tcPr>
            <w:tcW w:w="45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0D96E2B" w14:textId="77777777" w:rsidR="009A4C46" w:rsidRPr="00CB5AA8" w:rsidRDefault="009A4C46" w:rsidP="00CB5AA8">
            <w:pPr>
              <w:widowControl w:val="0"/>
              <w:jc w:val="center"/>
              <w:rPr>
                <w:rFonts w:eastAsia="Times New Roman"/>
                <w:b/>
                <w:bCs/>
                <w:color w:val="FFFFFF" w:themeColor="background1"/>
                <w:sz w:val="17"/>
                <w:szCs w:val="17"/>
                <w:lang w:eastAsia="ru-RU"/>
              </w:rPr>
            </w:pPr>
            <w:r w:rsidRPr="00CB5AA8">
              <w:rPr>
                <w:rFonts w:eastAsia="Times New Roman"/>
                <w:b/>
                <w:bCs/>
                <w:color w:val="FFFFFF" w:themeColor="background1"/>
                <w:sz w:val="17"/>
                <w:szCs w:val="17"/>
                <w:lang w:eastAsia="ru-RU"/>
              </w:rPr>
              <w:t>4</w:t>
            </w:r>
          </w:p>
        </w:tc>
        <w:tc>
          <w:tcPr>
            <w:tcW w:w="41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06461C2" w14:textId="77777777" w:rsidR="009A4C46" w:rsidRPr="00CB5AA8" w:rsidRDefault="009A4C46" w:rsidP="00CB5AA8">
            <w:pPr>
              <w:widowControl w:val="0"/>
              <w:jc w:val="center"/>
              <w:rPr>
                <w:rFonts w:eastAsia="Times New Roman"/>
                <w:b/>
                <w:bCs/>
                <w:color w:val="FFFFFF" w:themeColor="background1"/>
                <w:sz w:val="17"/>
                <w:szCs w:val="17"/>
                <w:lang w:eastAsia="ru-RU"/>
              </w:rPr>
            </w:pPr>
            <w:r w:rsidRPr="00CB5AA8">
              <w:rPr>
                <w:rFonts w:eastAsia="Times New Roman"/>
                <w:b/>
                <w:bCs/>
                <w:color w:val="FFFFFF" w:themeColor="background1"/>
                <w:sz w:val="17"/>
                <w:szCs w:val="17"/>
                <w:lang w:eastAsia="ru-RU"/>
              </w:rPr>
              <w:t>5</w:t>
            </w:r>
          </w:p>
        </w:tc>
        <w:tc>
          <w:tcPr>
            <w:tcW w:w="45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60705CC" w14:textId="77777777" w:rsidR="009A4C46" w:rsidRPr="00CB5AA8" w:rsidRDefault="009A4C46" w:rsidP="00CB5AA8">
            <w:pPr>
              <w:widowControl w:val="0"/>
              <w:jc w:val="center"/>
              <w:rPr>
                <w:rFonts w:eastAsia="Times New Roman"/>
                <w:b/>
                <w:bCs/>
                <w:color w:val="FFFFFF" w:themeColor="background1"/>
                <w:sz w:val="17"/>
                <w:szCs w:val="17"/>
                <w:lang w:eastAsia="ru-RU"/>
              </w:rPr>
            </w:pPr>
            <w:r w:rsidRPr="00CB5AA8">
              <w:rPr>
                <w:rFonts w:eastAsia="Times New Roman"/>
                <w:b/>
                <w:bCs/>
                <w:color w:val="FFFFFF" w:themeColor="background1"/>
                <w:sz w:val="17"/>
                <w:szCs w:val="17"/>
                <w:lang w:eastAsia="ru-RU"/>
              </w:rPr>
              <w:t>6</w:t>
            </w:r>
          </w:p>
        </w:tc>
        <w:tc>
          <w:tcPr>
            <w:tcW w:w="47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6765767" w14:textId="77777777" w:rsidR="009A4C46" w:rsidRPr="00CB5AA8" w:rsidRDefault="009A4C46" w:rsidP="00CB5AA8">
            <w:pPr>
              <w:widowControl w:val="0"/>
              <w:jc w:val="center"/>
              <w:rPr>
                <w:rFonts w:eastAsia="Times New Roman"/>
                <w:b/>
                <w:bCs/>
                <w:color w:val="FFFFFF" w:themeColor="background1"/>
                <w:sz w:val="17"/>
                <w:szCs w:val="17"/>
                <w:lang w:eastAsia="ru-RU"/>
              </w:rPr>
            </w:pPr>
            <w:r w:rsidRPr="00CB5AA8">
              <w:rPr>
                <w:rFonts w:eastAsia="Times New Roman"/>
                <w:b/>
                <w:bCs/>
                <w:color w:val="FFFFFF" w:themeColor="background1"/>
                <w:sz w:val="17"/>
                <w:szCs w:val="17"/>
                <w:lang w:eastAsia="ru-RU"/>
              </w:rPr>
              <w:t>7</w:t>
            </w:r>
          </w:p>
        </w:tc>
        <w:tc>
          <w:tcPr>
            <w:tcW w:w="589"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503BA4D" w14:textId="77777777" w:rsidR="009A4C46" w:rsidRPr="00CB5AA8" w:rsidRDefault="009A4C46" w:rsidP="00CB5AA8">
            <w:pPr>
              <w:widowControl w:val="0"/>
              <w:jc w:val="center"/>
              <w:rPr>
                <w:rFonts w:eastAsia="Times New Roman"/>
                <w:b/>
                <w:bCs/>
                <w:color w:val="FFFFFF" w:themeColor="background1"/>
                <w:sz w:val="17"/>
                <w:szCs w:val="17"/>
                <w:lang w:eastAsia="ru-RU"/>
              </w:rPr>
            </w:pPr>
            <w:r w:rsidRPr="00CB5AA8">
              <w:rPr>
                <w:rFonts w:eastAsia="Times New Roman"/>
                <w:b/>
                <w:bCs/>
                <w:color w:val="FFFFFF" w:themeColor="background1"/>
                <w:sz w:val="17"/>
                <w:szCs w:val="17"/>
                <w:lang w:eastAsia="ru-RU"/>
              </w:rPr>
              <w:t>8</w:t>
            </w:r>
          </w:p>
        </w:tc>
        <w:tc>
          <w:tcPr>
            <w:tcW w:w="799"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B0ED211" w14:textId="77777777" w:rsidR="009A4C46" w:rsidRPr="00CB5AA8" w:rsidRDefault="009A4C46" w:rsidP="00CB5AA8">
            <w:pPr>
              <w:widowControl w:val="0"/>
              <w:jc w:val="center"/>
              <w:rPr>
                <w:rFonts w:eastAsia="Times New Roman"/>
                <w:b/>
                <w:bCs/>
                <w:color w:val="FFFFFF" w:themeColor="background1"/>
                <w:sz w:val="17"/>
                <w:szCs w:val="17"/>
                <w:lang w:eastAsia="ru-RU"/>
              </w:rPr>
            </w:pPr>
            <w:r w:rsidRPr="00CB5AA8">
              <w:rPr>
                <w:rFonts w:eastAsia="Times New Roman"/>
                <w:b/>
                <w:bCs/>
                <w:color w:val="FFFFFF" w:themeColor="background1"/>
                <w:sz w:val="17"/>
                <w:szCs w:val="17"/>
                <w:lang w:eastAsia="ru-RU"/>
              </w:rPr>
              <w:t>9</w:t>
            </w:r>
          </w:p>
        </w:tc>
      </w:tr>
      <w:tr w:rsidR="00CB5AA8" w:rsidRPr="00CB5AA8" w14:paraId="2A05DEF2" w14:textId="77777777" w:rsidTr="00CB5AA8">
        <w:trPr>
          <w:trHeight w:val="244"/>
        </w:trPr>
        <w:tc>
          <w:tcPr>
            <w:tcW w:w="210" w:type="pct"/>
            <w:tcBorders>
              <w:top w:val="single" w:sz="4" w:space="0" w:color="FFFFFF" w:themeColor="background1"/>
            </w:tcBorders>
            <w:noWrap/>
            <w:hideMark/>
          </w:tcPr>
          <w:p w14:paraId="7D0ACF69" w14:textId="77777777" w:rsidR="009A4C46" w:rsidRPr="00CB5AA8" w:rsidRDefault="009A4C46" w:rsidP="00CB5AA8">
            <w:pPr>
              <w:widowControl w:val="0"/>
              <w:jc w:val="center"/>
              <w:rPr>
                <w:rFonts w:eastAsia="Times New Roman"/>
                <w:b/>
                <w:bCs/>
                <w:sz w:val="17"/>
                <w:szCs w:val="17"/>
                <w:lang w:eastAsia="ru-RU"/>
              </w:rPr>
            </w:pPr>
          </w:p>
        </w:tc>
        <w:tc>
          <w:tcPr>
            <w:tcW w:w="1093" w:type="pct"/>
            <w:tcBorders>
              <w:top w:val="single" w:sz="4" w:space="0" w:color="FFFFFF" w:themeColor="background1"/>
            </w:tcBorders>
            <w:noWrap/>
            <w:hideMark/>
          </w:tcPr>
          <w:p w14:paraId="22C3F7D1" w14:textId="77777777" w:rsidR="009A4C46" w:rsidRPr="00CB5AA8" w:rsidRDefault="009A4C46" w:rsidP="00CB5AA8">
            <w:pPr>
              <w:widowControl w:val="0"/>
              <w:jc w:val="center"/>
              <w:rPr>
                <w:rFonts w:eastAsia="Times New Roman"/>
                <w:b/>
                <w:bCs/>
                <w:sz w:val="17"/>
                <w:szCs w:val="17"/>
                <w:lang w:eastAsia="ru-RU"/>
              </w:rPr>
            </w:pPr>
            <w:r w:rsidRPr="00CB5AA8">
              <w:rPr>
                <w:rFonts w:eastAsia="Times New Roman"/>
                <w:b/>
                <w:bCs/>
                <w:sz w:val="17"/>
                <w:szCs w:val="17"/>
                <w:lang w:eastAsia="ru-RU"/>
              </w:rPr>
              <w:t>ВСЕГО</w:t>
            </w:r>
          </w:p>
        </w:tc>
        <w:tc>
          <w:tcPr>
            <w:tcW w:w="514" w:type="pct"/>
            <w:tcBorders>
              <w:top w:val="single" w:sz="4" w:space="0" w:color="FFFFFF" w:themeColor="background1"/>
            </w:tcBorders>
            <w:hideMark/>
          </w:tcPr>
          <w:p w14:paraId="5306E378" w14:textId="77777777" w:rsidR="009A4C46" w:rsidRPr="00CB5AA8" w:rsidRDefault="009A4C46" w:rsidP="00CB5AA8">
            <w:pPr>
              <w:widowControl w:val="0"/>
              <w:jc w:val="center"/>
              <w:rPr>
                <w:rFonts w:eastAsia="Times New Roman"/>
                <w:b/>
                <w:bCs/>
                <w:sz w:val="17"/>
                <w:szCs w:val="17"/>
                <w:lang w:eastAsia="ru-RU"/>
              </w:rPr>
            </w:pPr>
            <w:r w:rsidRPr="00CB5AA8">
              <w:rPr>
                <w:rFonts w:eastAsia="Times New Roman"/>
                <w:b/>
                <w:bCs/>
                <w:sz w:val="17"/>
                <w:szCs w:val="17"/>
                <w:lang w:eastAsia="ru-RU"/>
              </w:rPr>
              <w:t>1 120,988</w:t>
            </w:r>
          </w:p>
        </w:tc>
        <w:tc>
          <w:tcPr>
            <w:tcW w:w="452" w:type="pct"/>
            <w:tcBorders>
              <w:top w:val="single" w:sz="4" w:space="0" w:color="FFFFFF" w:themeColor="background1"/>
            </w:tcBorders>
            <w:hideMark/>
          </w:tcPr>
          <w:p w14:paraId="4A514491" w14:textId="77777777" w:rsidR="009A4C46" w:rsidRPr="00CB5AA8" w:rsidRDefault="009A4C46" w:rsidP="00CB5AA8">
            <w:pPr>
              <w:widowControl w:val="0"/>
              <w:jc w:val="center"/>
              <w:rPr>
                <w:rFonts w:eastAsia="Times New Roman"/>
                <w:b/>
                <w:bCs/>
                <w:sz w:val="17"/>
                <w:szCs w:val="17"/>
                <w:lang w:eastAsia="ru-RU"/>
              </w:rPr>
            </w:pPr>
            <w:r w:rsidRPr="00CB5AA8">
              <w:rPr>
                <w:rFonts w:eastAsia="Times New Roman"/>
                <w:b/>
                <w:bCs/>
                <w:sz w:val="17"/>
                <w:szCs w:val="17"/>
                <w:lang w:eastAsia="ru-RU"/>
              </w:rPr>
              <w:t>575,534</w:t>
            </w:r>
          </w:p>
        </w:tc>
        <w:tc>
          <w:tcPr>
            <w:tcW w:w="413" w:type="pct"/>
            <w:tcBorders>
              <w:top w:val="single" w:sz="4" w:space="0" w:color="FFFFFF" w:themeColor="background1"/>
            </w:tcBorders>
            <w:hideMark/>
          </w:tcPr>
          <w:p w14:paraId="2AC03D94" w14:textId="77777777" w:rsidR="009A4C46" w:rsidRPr="00CB5AA8" w:rsidRDefault="009A4C46" w:rsidP="00CB5AA8">
            <w:pPr>
              <w:widowControl w:val="0"/>
              <w:jc w:val="center"/>
              <w:rPr>
                <w:rFonts w:eastAsia="Times New Roman"/>
                <w:b/>
                <w:bCs/>
                <w:sz w:val="17"/>
                <w:szCs w:val="17"/>
                <w:lang w:eastAsia="ru-RU"/>
              </w:rPr>
            </w:pPr>
            <w:r w:rsidRPr="00CB5AA8">
              <w:rPr>
                <w:rFonts w:eastAsia="Times New Roman"/>
                <w:b/>
                <w:bCs/>
                <w:sz w:val="17"/>
                <w:szCs w:val="17"/>
                <w:lang w:eastAsia="ru-RU"/>
              </w:rPr>
              <w:t>257,492</w:t>
            </w:r>
          </w:p>
        </w:tc>
        <w:tc>
          <w:tcPr>
            <w:tcW w:w="454" w:type="pct"/>
            <w:tcBorders>
              <w:top w:val="single" w:sz="4" w:space="0" w:color="FFFFFF" w:themeColor="background1"/>
            </w:tcBorders>
            <w:hideMark/>
          </w:tcPr>
          <w:p w14:paraId="2C071482" w14:textId="77777777" w:rsidR="009A4C46" w:rsidRPr="00CB5AA8" w:rsidRDefault="009A4C46" w:rsidP="00CB5AA8">
            <w:pPr>
              <w:widowControl w:val="0"/>
              <w:jc w:val="center"/>
              <w:rPr>
                <w:rFonts w:eastAsia="Times New Roman"/>
                <w:b/>
                <w:bCs/>
                <w:sz w:val="17"/>
                <w:szCs w:val="17"/>
                <w:lang w:eastAsia="ru-RU"/>
              </w:rPr>
            </w:pPr>
            <w:r w:rsidRPr="00CB5AA8">
              <w:rPr>
                <w:rFonts w:eastAsia="Times New Roman"/>
                <w:b/>
                <w:bCs/>
                <w:sz w:val="17"/>
                <w:szCs w:val="17"/>
                <w:lang w:eastAsia="ru-RU"/>
              </w:rPr>
              <w:t>263,109</w:t>
            </w:r>
          </w:p>
        </w:tc>
        <w:tc>
          <w:tcPr>
            <w:tcW w:w="477" w:type="pct"/>
            <w:tcBorders>
              <w:top w:val="single" w:sz="4" w:space="0" w:color="FFFFFF" w:themeColor="background1"/>
            </w:tcBorders>
            <w:hideMark/>
          </w:tcPr>
          <w:p w14:paraId="26AA8C7B" w14:textId="77777777" w:rsidR="009A4C46" w:rsidRPr="00CB5AA8" w:rsidRDefault="009A4C46" w:rsidP="00CB5AA8">
            <w:pPr>
              <w:widowControl w:val="0"/>
              <w:jc w:val="center"/>
              <w:rPr>
                <w:rFonts w:eastAsia="Times New Roman"/>
                <w:b/>
                <w:bCs/>
                <w:sz w:val="17"/>
                <w:szCs w:val="17"/>
                <w:lang w:eastAsia="ru-RU"/>
              </w:rPr>
            </w:pPr>
            <w:r w:rsidRPr="00CB5AA8">
              <w:rPr>
                <w:rFonts w:eastAsia="Times New Roman"/>
                <w:b/>
                <w:bCs/>
                <w:sz w:val="17"/>
                <w:szCs w:val="17"/>
                <w:lang w:eastAsia="ru-RU"/>
              </w:rPr>
              <w:t>207,967</w:t>
            </w:r>
          </w:p>
        </w:tc>
        <w:tc>
          <w:tcPr>
            <w:tcW w:w="589" w:type="pct"/>
            <w:gridSpan w:val="2"/>
            <w:tcBorders>
              <w:top w:val="single" w:sz="4" w:space="0" w:color="FFFFFF" w:themeColor="background1"/>
            </w:tcBorders>
            <w:hideMark/>
          </w:tcPr>
          <w:p w14:paraId="77DC0892" w14:textId="77777777" w:rsidR="009A4C46" w:rsidRPr="00CB5AA8" w:rsidRDefault="009A4C46" w:rsidP="00CB5AA8">
            <w:pPr>
              <w:widowControl w:val="0"/>
              <w:jc w:val="center"/>
              <w:rPr>
                <w:rFonts w:eastAsia="Times New Roman"/>
                <w:b/>
                <w:bCs/>
                <w:sz w:val="17"/>
                <w:szCs w:val="17"/>
                <w:lang w:eastAsia="ru-RU"/>
              </w:rPr>
            </w:pPr>
            <w:r w:rsidRPr="00CB5AA8">
              <w:rPr>
                <w:rFonts w:eastAsia="Times New Roman"/>
                <w:b/>
                <w:bCs/>
                <w:sz w:val="17"/>
                <w:szCs w:val="17"/>
                <w:lang w:eastAsia="ru-RU"/>
              </w:rPr>
              <w:t>5,616</w:t>
            </w:r>
          </w:p>
        </w:tc>
        <w:tc>
          <w:tcPr>
            <w:tcW w:w="799" w:type="pct"/>
            <w:gridSpan w:val="2"/>
            <w:tcBorders>
              <w:top w:val="single" w:sz="4" w:space="0" w:color="FFFFFF" w:themeColor="background1"/>
            </w:tcBorders>
            <w:hideMark/>
          </w:tcPr>
          <w:p w14:paraId="4F41CA97" w14:textId="77777777" w:rsidR="009A4C46" w:rsidRPr="00CB5AA8" w:rsidRDefault="009A4C46" w:rsidP="00CB5AA8">
            <w:pPr>
              <w:widowControl w:val="0"/>
              <w:jc w:val="center"/>
              <w:rPr>
                <w:rFonts w:eastAsia="Times New Roman"/>
                <w:b/>
                <w:bCs/>
                <w:sz w:val="17"/>
                <w:szCs w:val="17"/>
                <w:lang w:eastAsia="ru-RU"/>
              </w:rPr>
            </w:pPr>
          </w:p>
        </w:tc>
      </w:tr>
      <w:tr w:rsidR="00CB5AA8" w:rsidRPr="00CB5AA8" w14:paraId="65C907F5" w14:textId="77777777" w:rsidTr="00CB5AA8">
        <w:trPr>
          <w:trHeight w:val="1950"/>
        </w:trPr>
        <w:tc>
          <w:tcPr>
            <w:tcW w:w="210" w:type="pct"/>
            <w:noWrap/>
            <w:hideMark/>
          </w:tcPr>
          <w:p w14:paraId="3E46A675" w14:textId="77777777" w:rsidR="009A4C46" w:rsidRPr="00CB5AA8" w:rsidRDefault="009A4C46" w:rsidP="00CB5AA8">
            <w:pPr>
              <w:widowControl w:val="0"/>
              <w:rPr>
                <w:rFonts w:eastAsia="Times New Roman"/>
                <w:sz w:val="17"/>
                <w:szCs w:val="17"/>
                <w:lang w:eastAsia="ru-RU"/>
              </w:rPr>
            </w:pPr>
            <w:r w:rsidRPr="00CB5AA8">
              <w:rPr>
                <w:rFonts w:eastAsia="Times New Roman"/>
                <w:sz w:val="17"/>
                <w:szCs w:val="17"/>
                <w:lang w:eastAsia="ru-RU"/>
              </w:rPr>
              <w:t>1</w:t>
            </w:r>
          </w:p>
        </w:tc>
        <w:tc>
          <w:tcPr>
            <w:tcW w:w="1093" w:type="pct"/>
            <w:hideMark/>
          </w:tcPr>
          <w:p w14:paraId="376CA75A" w14:textId="77777777" w:rsidR="009A4C46" w:rsidRPr="00CB5AA8" w:rsidRDefault="009A4C46" w:rsidP="00CB5AA8">
            <w:pPr>
              <w:widowControl w:val="0"/>
              <w:rPr>
                <w:rFonts w:eastAsia="Times New Roman"/>
                <w:sz w:val="17"/>
                <w:szCs w:val="17"/>
                <w:lang w:eastAsia="ru-RU"/>
              </w:rPr>
            </w:pPr>
            <w:r w:rsidRPr="00CB5AA8">
              <w:rPr>
                <w:rFonts w:eastAsia="Times New Roman"/>
                <w:sz w:val="17"/>
                <w:szCs w:val="17"/>
                <w:lang w:eastAsia="ru-RU"/>
              </w:rPr>
              <w:t xml:space="preserve">Комплексная реконструкция ПС 110/35/10 кВ "Городская" (реконструкция конденсаторов КЭС в БСК, реконструкция маслоприемников с прокладкой </w:t>
            </w:r>
            <w:proofErr w:type="spellStart"/>
            <w:r w:rsidRPr="00CB5AA8">
              <w:rPr>
                <w:rFonts w:eastAsia="Times New Roman"/>
                <w:sz w:val="17"/>
                <w:szCs w:val="17"/>
                <w:lang w:eastAsia="ru-RU"/>
              </w:rPr>
              <w:t>маслоотводов</w:t>
            </w:r>
            <w:proofErr w:type="spellEnd"/>
            <w:r w:rsidRPr="00CB5AA8">
              <w:rPr>
                <w:rFonts w:eastAsia="Times New Roman"/>
                <w:sz w:val="17"/>
                <w:szCs w:val="17"/>
                <w:lang w:eastAsia="ru-RU"/>
              </w:rPr>
              <w:t xml:space="preserve"> и реконструкцией </w:t>
            </w:r>
            <w:proofErr w:type="spellStart"/>
            <w:r w:rsidRPr="00CB5AA8">
              <w:rPr>
                <w:rFonts w:eastAsia="Times New Roman"/>
                <w:sz w:val="17"/>
                <w:szCs w:val="17"/>
                <w:lang w:eastAsia="ru-RU"/>
              </w:rPr>
              <w:t>маслосборников,реконструкция</w:t>
            </w:r>
            <w:proofErr w:type="spellEnd"/>
            <w:r w:rsidRPr="00CB5AA8">
              <w:rPr>
                <w:rFonts w:eastAsia="Times New Roman"/>
                <w:sz w:val="17"/>
                <w:szCs w:val="17"/>
                <w:lang w:eastAsia="ru-RU"/>
              </w:rPr>
              <w:t xml:space="preserve"> СОПТ, замена АБ, ЗПУ, ЩПТ) </w:t>
            </w:r>
          </w:p>
        </w:tc>
        <w:tc>
          <w:tcPr>
            <w:tcW w:w="514" w:type="pct"/>
            <w:noWrap/>
            <w:hideMark/>
          </w:tcPr>
          <w:p w14:paraId="5E5D0128" w14:textId="77777777" w:rsidR="009A4C46" w:rsidRPr="00CB5AA8" w:rsidRDefault="009A4C46" w:rsidP="00CB5AA8">
            <w:pPr>
              <w:widowControl w:val="0"/>
              <w:jc w:val="center"/>
              <w:rPr>
                <w:rFonts w:eastAsia="Times New Roman"/>
                <w:sz w:val="17"/>
                <w:szCs w:val="17"/>
                <w:lang w:eastAsia="ru-RU"/>
              </w:rPr>
            </w:pPr>
            <w:r w:rsidRPr="00CB5AA8">
              <w:rPr>
                <w:rFonts w:eastAsia="Times New Roman"/>
                <w:sz w:val="17"/>
                <w:szCs w:val="17"/>
                <w:lang w:eastAsia="ru-RU"/>
              </w:rPr>
              <w:t>17,008</w:t>
            </w:r>
          </w:p>
        </w:tc>
        <w:tc>
          <w:tcPr>
            <w:tcW w:w="452" w:type="pct"/>
            <w:noWrap/>
            <w:hideMark/>
          </w:tcPr>
          <w:p w14:paraId="31025717" w14:textId="77777777" w:rsidR="009A4C46" w:rsidRPr="00CB5AA8" w:rsidRDefault="009A4C46" w:rsidP="00CB5AA8">
            <w:pPr>
              <w:widowControl w:val="0"/>
              <w:jc w:val="center"/>
              <w:rPr>
                <w:rFonts w:eastAsia="Times New Roman"/>
                <w:sz w:val="17"/>
                <w:szCs w:val="17"/>
                <w:lang w:eastAsia="ru-RU"/>
              </w:rPr>
            </w:pPr>
            <w:r w:rsidRPr="00CB5AA8">
              <w:rPr>
                <w:rFonts w:eastAsia="Times New Roman"/>
                <w:sz w:val="17"/>
                <w:szCs w:val="17"/>
                <w:lang w:eastAsia="ru-RU"/>
              </w:rPr>
              <w:t>11,997</w:t>
            </w:r>
          </w:p>
        </w:tc>
        <w:tc>
          <w:tcPr>
            <w:tcW w:w="413" w:type="pct"/>
            <w:noWrap/>
            <w:hideMark/>
          </w:tcPr>
          <w:p w14:paraId="41D3D4FD" w14:textId="77777777" w:rsidR="009A4C46" w:rsidRPr="00CB5AA8" w:rsidRDefault="009A4C46" w:rsidP="00CB5AA8">
            <w:pPr>
              <w:widowControl w:val="0"/>
              <w:jc w:val="center"/>
              <w:rPr>
                <w:rFonts w:eastAsia="Times New Roman"/>
                <w:sz w:val="17"/>
                <w:szCs w:val="17"/>
                <w:lang w:eastAsia="ru-RU"/>
              </w:rPr>
            </w:pPr>
            <w:r w:rsidRPr="00CB5AA8">
              <w:rPr>
                <w:rFonts w:eastAsia="Times New Roman"/>
                <w:sz w:val="17"/>
                <w:szCs w:val="17"/>
                <w:lang w:eastAsia="ru-RU"/>
              </w:rPr>
              <w:t>11,997</w:t>
            </w:r>
          </w:p>
        </w:tc>
        <w:tc>
          <w:tcPr>
            <w:tcW w:w="454" w:type="pct"/>
            <w:noWrap/>
            <w:hideMark/>
          </w:tcPr>
          <w:p w14:paraId="769EBA42" w14:textId="77777777" w:rsidR="009A4C46" w:rsidRPr="00CB5AA8" w:rsidRDefault="009A4C46" w:rsidP="00CB5AA8">
            <w:pPr>
              <w:widowControl w:val="0"/>
              <w:jc w:val="center"/>
              <w:rPr>
                <w:rFonts w:eastAsia="Times New Roman"/>
                <w:sz w:val="17"/>
                <w:szCs w:val="17"/>
                <w:lang w:eastAsia="ru-RU"/>
              </w:rPr>
            </w:pPr>
            <w:r w:rsidRPr="00CB5AA8">
              <w:rPr>
                <w:rFonts w:eastAsia="Times New Roman"/>
                <w:sz w:val="17"/>
                <w:szCs w:val="17"/>
                <w:lang w:eastAsia="ru-RU"/>
              </w:rPr>
              <w:t>9,041</w:t>
            </w:r>
          </w:p>
        </w:tc>
        <w:tc>
          <w:tcPr>
            <w:tcW w:w="477" w:type="pct"/>
            <w:noWrap/>
            <w:hideMark/>
          </w:tcPr>
          <w:p w14:paraId="425C79B3" w14:textId="77777777" w:rsidR="009A4C46" w:rsidRPr="00CB5AA8" w:rsidRDefault="009A4C46" w:rsidP="00CB5AA8">
            <w:pPr>
              <w:widowControl w:val="0"/>
              <w:jc w:val="center"/>
              <w:rPr>
                <w:rFonts w:eastAsia="Times New Roman"/>
                <w:sz w:val="17"/>
                <w:szCs w:val="17"/>
                <w:lang w:eastAsia="ru-RU"/>
              </w:rPr>
            </w:pPr>
            <w:r w:rsidRPr="00CB5AA8">
              <w:rPr>
                <w:rFonts w:eastAsia="Times New Roman"/>
                <w:sz w:val="17"/>
                <w:szCs w:val="17"/>
                <w:lang w:eastAsia="ru-RU"/>
              </w:rPr>
              <w:t>-2,956</w:t>
            </w:r>
          </w:p>
        </w:tc>
        <w:tc>
          <w:tcPr>
            <w:tcW w:w="589" w:type="pct"/>
            <w:gridSpan w:val="2"/>
            <w:noWrap/>
            <w:hideMark/>
          </w:tcPr>
          <w:p w14:paraId="70B5AE74" w14:textId="77777777" w:rsidR="009A4C46" w:rsidRPr="00CB5AA8" w:rsidRDefault="009A4C46" w:rsidP="00CB5AA8">
            <w:pPr>
              <w:widowControl w:val="0"/>
              <w:jc w:val="center"/>
              <w:rPr>
                <w:rFonts w:eastAsia="Times New Roman"/>
                <w:sz w:val="17"/>
                <w:szCs w:val="17"/>
                <w:lang w:eastAsia="ru-RU"/>
              </w:rPr>
            </w:pPr>
            <w:r w:rsidRPr="00CB5AA8">
              <w:rPr>
                <w:rFonts w:eastAsia="Times New Roman"/>
                <w:sz w:val="17"/>
                <w:szCs w:val="17"/>
                <w:lang w:eastAsia="ru-RU"/>
              </w:rPr>
              <w:t>-2,956</w:t>
            </w:r>
          </w:p>
        </w:tc>
        <w:tc>
          <w:tcPr>
            <w:tcW w:w="799" w:type="pct"/>
            <w:gridSpan w:val="2"/>
            <w:hideMark/>
          </w:tcPr>
          <w:p w14:paraId="04F27D99" w14:textId="77777777" w:rsidR="009A4C46" w:rsidRPr="00CB5AA8" w:rsidRDefault="009A4C46" w:rsidP="00CB5AA8">
            <w:pPr>
              <w:widowControl w:val="0"/>
              <w:rPr>
                <w:rFonts w:eastAsia="Times New Roman"/>
                <w:sz w:val="17"/>
                <w:szCs w:val="17"/>
                <w:lang w:eastAsia="ru-RU"/>
              </w:rPr>
            </w:pPr>
            <w:r w:rsidRPr="00CB5AA8">
              <w:rPr>
                <w:rFonts w:eastAsia="Times New Roman"/>
                <w:sz w:val="17"/>
                <w:szCs w:val="17"/>
                <w:lang w:eastAsia="ru-RU"/>
              </w:rPr>
              <w:t xml:space="preserve"> оплата за фактически выполненный объем работ </w:t>
            </w:r>
          </w:p>
        </w:tc>
      </w:tr>
      <w:tr w:rsidR="00CB5AA8" w:rsidRPr="00CB5AA8" w14:paraId="23FE98BE" w14:textId="77777777" w:rsidTr="00CB5AA8">
        <w:trPr>
          <w:trHeight w:val="690"/>
        </w:trPr>
        <w:tc>
          <w:tcPr>
            <w:tcW w:w="210" w:type="pct"/>
            <w:noWrap/>
            <w:hideMark/>
          </w:tcPr>
          <w:p w14:paraId="6C4336BD" w14:textId="77777777" w:rsidR="009A4C46" w:rsidRPr="00CB5AA8" w:rsidRDefault="009A4C46" w:rsidP="00CB5AA8">
            <w:pPr>
              <w:widowControl w:val="0"/>
              <w:rPr>
                <w:rFonts w:eastAsia="Times New Roman"/>
                <w:sz w:val="17"/>
                <w:szCs w:val="17"/>
                <w:lang w:eastAsia="ru-RU"/>
              </w:rPr>
            </w:pPr>
            <w:r w:rsidRPr="00CB5AA8">
              <w:rPr>
                <w:rFonts w:eastAsia="Times New Roman"/>
                <w:sz w:val="17"/>
                <w:szCs w:val="17"/>
                <w:lang w:eastAsia="ru-RU"/>
              </w:rPr>
              <w:t>2</w:t>
            </w:r>
          </w:p>
        </w:tc>
        <w:tc>
          <w:tcPr>
            <w:tcW w:w="1093" w:type="pct"/>
            <w:hideMark/>
          </w:tcPr>
          <w:p w14:paraId="6997F0B6" w14:textId="77777777" w:rsidR="009A4C46" w:rsidRPr="00CB5AA8" w:rsidRDefault="009A4C46" w:rsidP="00CB5AA8">
            <w:pPr>
              <w:widowControl w:val="0"/>
              <w:rPr>
                <w:rFonts w:eastAsia="Times New Roman"/>
                <w:sz w:val="17"/>
                <w:szCs w:val="17"/>
                <w:lang w:eastAsia="ru-RU"/>
              </w:rPr>
            </w:pPr>
            <w:r w:rsidRPr="00CB5AA8">
              <w:rPr>
                <w:rFonts w:eastAsia="Times New Roman"/>
                <w:sz w:val="17"/>
                <w:szCs w:val="17"/>
                <w:lang w:eastAsia="ru-RU"/>
              </w:rPr>
              <w:t>Реконструкция ПС 110/10 кВ "Южная" с заменой ТМ 6,3 МВА на 16 МВА  (2-ой этап)</w:t>
            </w:r>
          </w:p>
        </w:tc>
        <w:tc>
          <w:tcPr>
            <w:tcW w:w="514" w:type="pct"/>
            <w:noWrap/>
            <w:hideMark/>
          </w:tcPr>
          <w:p w14:paraId="04FA604B" w14:textId="77777777" w:rsidR="009A4C46" w:rsidRPr="00CB5AA8" w:rsidRDefault="009A4C46" w:rsidP="00CB5AA8">
            <w:pPr>
              <w:widowControl w:val="0"/>
              <w:jc w:val="center"/>
              <w:rPr>
                <w:rFonts w:eastAsia="Times New Roman"/>
                <w:sz w:val="17"/>
                <w:szCs w:val="17"/>
                <w:lang w:eastAsia="ru-RU"/>
              </w:rPr>
            </w:pPr>
            <w:r w:rsidRPr="00CB5AA8">
              <w:rPr>
                <w:rFonts w:eastAsia="Times New Roman"/>
                <w:sz w:val="17"/>
                <w:szCs w:val="17"/>
                <w:lang w:eastAsia="ru-RU"/>
              </w:rPr>
              <w:t>104,062</w:t>
            </w:r>
          </w:p>
        </w:tc>
        <w:tc>
          <w:tcPr>
            <w:tcW w:w="452" w:type="pct"/>
            <w:noWrap/>
            <w:hideMark/>
          </w:tcPr>
          <w:p w14:paraId="144CDF7C" w14:textId="77777777" w:rsidR="009A4C46" w:rsidRPr="00CB5AA8" w:rsidRDefault="009A4C46" w:rsidP="00CB5AA8">
            <w:pPr>
              <w:widowControl w:val="0"/>
              <w:jc w:val="center"/>
              <w:rPr>
                <w:rFonts w:eastAsia="Times New Roman"/>
                <w:sz w:val="17"/>
                <w:szCs w:val="17"/>
                <w:lang w:eastAsia="ru-RU"/>
              </w:rPr>
            </w:pPr>
            <w:r w:rsidRPr="00CB5AA8">
              <w:rPr>
                <w:rFonts w:eastAsia="Times New Roman"/>
                <w:sz w:val="17"/>
                <w:szCs w:val="17"/>
                <w:lang w:eastAsia="ru-RU"/>
              </w:rPr>
              <w:t>0,500</w:t>
            </w:r>
          </w:p>
        </w:tc>
        <w:tc>
          <w:tcPr>
            <w:tcW w:w="413" w:type="pct"/>
            <w:noWrap/>
            <w:hideMark/>
          </w:tcPr>
          <w:p w14:paraId="64266166" w14:textId="77777777" w:rsidR="009A4C46" w:rsidRPr="00CB5AA8" w:rsidRDefault="009A4C46" w:rsidP="00CB5AA8">
            <w:pPr>
              <w:widowControl w:val="0"/>
              <w:jc w:val="center"/>
              <w:rPr>
                <w:rFonts w:eastAsia="Times New Roman"/>
                <w:sz w:val="17"/>
                <w:szCs w:val="17"/>
                <w:lang w:eastAsia="ru-RU"/>
              </w:rPr>
            </w:pPr>
            <w:r w:rsidRPr="00CB5AA8">
              <w:rPr>
                <w:rFonts w:eastAsia="Times New Roman"/>
                <w:sz w:val="17"/>
                <w:szCs w:val="17"/>
                <w:lang w:eastAsia="ru-RU"/>
              </w:rPr>
              <w:t>0,500</w:t>
            </w:r>
          </w:p>
        </w:tc>
        <w:tc>
          <w:tcPr>
            <w:tcW w:w="454" w:type="pct"/>
            <w:noWrap/>
            <w:hideMark/>
          </w:tcPr>
          <w:p w14:paraId="2F737F97" w14:textId="77777777" w:rsidR="009A4C46" w:rsidRPr="00CB5AA8" w:rsidRDefault="009A4C46" w:rsidP="00CB5AA8">
            <w:pPr>
              <w:widowControl w:val="0"/>
              <w:jc w:val="center"/>
              <w:rPr>
                <w:rFonts w:eastAsia="Times New Roman"/>
                <w:sz w:val="17"/>
                <w:szCs w:val="17"/>
                <w:lang w:eastAsia="ru-RU"/>
              </w:rPr>
            </w:pPr>
            <w:r w:rsidRPr="00CB5AA8">
              <w:rPr>
                <w:rFonts w:eastAsia="Times New Roman"/>
                <w:sz w:val="17"/>
                <w:szCs w:val="17"/>
                <w:lang w:eastAsia="ru-RU"/>
              </w:rPr>
              <w:t>1,481</w:t>
            </w:r>
          </w:p>
        </w:tc>
        <w:tc>
          <w:tcPr>
            <w:tcW w:w="477" w:type="pct"/>
            <w:noWrap/>
            <w:hideMark/>
          </w:tcPr>
          <w:p w14:paraId="7CF28F28" w14:textId="77777777" w:rsidR="009A4C46" w:rsidRPr="00CB5AA8" w:rsidRDefault="009A4C46" w:rsidP="00CB5AA8">
            <w:pPr>
              <w:widowControl w:val="0"/>
              <w:jc w:val="center"/>
              <w:rPr>
                <w:rFonts w:eastAsia="Times New Roman"/>
                <w:sz w:val="17"/>
                <w:szCs w:val="17"/>
                <w:lang w:eastAsia="ru-RU"/>
              </w:rPr>
            </w:pPr>
            <w:r w:rsidRPr="00CB5AA8">
              <w:rPr>
                <w:rFonts w:eastAsia="Times New Roman"/>
                <w:sz w:val="17"/>
                <w:szCs w:val="17"/>
                <w:lang w:eastAsia="ru-RU"/>
              </w:rPr>
              <w:t>0,981</w:t>
            </w:r>
          </w:p>
        </w:tc>
        <w:tc>
          <w:tcPr>
            <w:tcW w:w="589" w:type="pct"/>
            <w:gridSpan w:val="2"/>
            <w:noWrap/>
            <w:hideMark/>
          </w:tcPr>
          <w:p w14:paraId="006AE06E" w14:textId="77777777" w:rsidR="009A4C46" w:rsidRPr="00CB5AA8" w:rsidRDefault="009A4C46" w:rsidP="00CB5AA8">
            <w:pPr>
              <w:widowControl w:val="0"/>
              <w:jc w:val="center"/>
              <w:rPr>
                <w:rFonts w:eastAsia="Times New Roman"/>
                <w:sz w:val="17"/>
                <w:szCs w:val="17"/>
                <w:lang w:eastAsia="ru-RU"/>
              </w:rPr>
            </w:pPr>
            <w:r w:rsidRPr="00CB5AA8">
              <w:rPr>
                <w:rFonts w:eastAsia="Times New Roman"/>
                <w:sz w:val="17"/>
                <w:szCs w:val="17"/>
                <w:lang w:eastAsia="ru-RU"/>
              </w:rPr>
              <w:t>0,981</w:t>
            </w:r>
          </w:p>
        </w:tc>
        <w:tc>
          <w:tcPr>
            <w:tcW w:w="799" w:type="pct"/>
            <w:gridSpan w:val="2"/>
            <w:hideMark/>
          </w:tcPr>
          <w:p w14:paraId="1F3088D8" w14:textId="77777777" w:rsidR="009A4C46" w:rsidRPr="00CB5AA8" w:rsidRDefault="009A4C46" w:rsidP="00CB5AA8">
            <w:pPr>
              <w:widowControl w:val="0"/>
              <w:rPr>
                <w:rFonts w:eastAsia="Times New Roman"/>
                <w:sz w:val="17"/>
                <w:szCs w:val="17"/>
                <w:lang w:eastAsia="ru-RU"/>
              </w:rPr>
            </w:pPr>
            <w:r w:rsidRPr="00CB5AA8">
              <w:rPr>
                <w:rFonts w:eastAsia="Times New Roman"/>
                <w:sz w:val="17"/>
                <w:szCs w:val="17"/>
                <w:lang w:eastAsia="ru-RU"/>
              </w:rPr>
              <w:t xml:space="preserve"> оплата за фактически выполненный объем работ </w:t>
            </w:r>
          </w:p>
        </w:tc>
      </w:tr>
      <w:tr w:rsidR="00CB5AA8" w:rsidRPr="00CB5AA8" w14:paraId="28B6DC22" w14:textId="77777777" w:rsidTr="00CB5AA8">
        <w:trPr>
          <w:trHeight w:val="565"/>
        </w:trPr>
        <w:tc>
          <w:tcPr>
            <w:tcW w:w="210" w:type="pct"/>
            <w:noWrap/>
            <w:hideMark/>
          </w:tcPr>
          <w:p w14:paraId="793680EE" w14:textId="77777777" w:rsidR="009A4C46" w:rsidRPr="00CB5AA8" w:rsidRDefault="009A4C46" w:rsidP="00CB5AA8">
            <w:pPr>
              <w:widowControl w:val="0"/>
              <w:rPr>
                <w:rFonts w:eastAsia="Times New Roman"/>
                <w:sz w:val="17"/>
                <w:szCs w:val="17"/>
                <w:lang w:eastAsia="ru-RU"/>
              </w:rPr>
            </w:pPr>
            <w:r w:rsidRPr="00CB5AA8">
              <w:rPr>
                <w:rFonts w:eastAsia="Times New Roman"/>
                <w:sz w:val="17"/>
                <w:szCs w:val="17"/>
                <w:lang w:eastAsia="ru-RU"/>
              </w:rPr>
              <w:t>3</w:t>
            </w:r>
          </w:p>
        </w:tc>
        <w:tc>
          <w:tcPr>
            <w:tcW w:w="1093" w:type="pct"/>
            <w:hideMark/>
          </w:tcPr>
          <w:p w14:paraId="3AFD3318" w14:textId="77777777" w:rsidR="009A4C46" w:rsidRPr="00CB5AA8" w:rsidRDefault="009A4C46" w:rsidP="00CB5AA8">
            <w:pPr>
              <w:widowControl w:val="0"/>
              <w:rPr>
                <w:rFonts w:eastAsia="Times New Roman"/>
                <w:sz w:val="17"/>
                <w:szCs w:val="17"/>
                <w:lang w:eastAsia="ru-RU"/>
              </w:rPr>
            </w:pPr>
            <w:r w:rsidRPr="00CB5AA8">
              <w:rPr>
                <w:rFonts w:eastAsia="Times New Roman"/>
                <w:sz w:val="17"/>
                <w:szCs w:val="17"/>
                <w:lang w:eastAsia="ru-RU"/>
              </w:rPr>
              <w:t>Строительство 2-х цепной ВЛ 110 кВ к ПС 110 кВ "</w:t>
            </w:r>
            <w:proofErr w:type="spellStart"/>
            <w:r w:rsidRPr="00CB5AA8">
              <w:rPr>
                <w:rFonts w:eastAsia="Times New Roman"/>
                <w:sz w:val="17"/>
                <w:szCs w:val="17"/>
                <w:lang w:eastAsia="ru-RU"/>
              </w:rPr>
              <w:t>Вавилинская</w:t>
            </w:r>
            <w:proofErr w:type="spellEnd"/>
            <w:r w:rsidRPr="00CB5AA8">
              <w:rPr>
                <w:rFonts w:eastAsia="Times New Roman"/>
                <w:sz w:val="17"/>
                <w:szCs w:val="17"/>
                <w:lang w:eastAsia="ru-RU"/>
              </w:rPr>
              <w:t>"</w:t>
            </w:r>
          </w:p>
        </w:tc>
        <w:tc>
          <w:tcPr>
            <w:tcW w:w="514" w:type="pct"/>
            <w:noWrap/>
            <w:hideMark/>
          </w:tcPr>
          <w:p w14:paraId="1E9DEEEC" w14:textId="77777777" w:rsidR="009A4C46" w:rsidRPr="00CB5AA8" w:rsidRDefault="009A4C46" w:rsidP="00CB5AA8">
            <w:pPr>
              <w:widowControl w:val="0"/>
              <w:jc w:val="center"/>
              <w:rPr>
                <w:rFonts w:eastAsia="Times New Roman"/>
                <w:sz w:val="17"/>
                <w:szCs w:val="17"/>
                <w:lang w:eastAsia="ru-RU"/>
              </w:rPr>
            </w:pPr>
            <w:r w:rsidRPr="00CB5AA8">
              <w:rPr>
                <w:rFonts w:eastAsia="Times New Roman"/>
                <w:sz w:val="17"/>
                <w:szCs w:val="17"/>
                <w:lang w:eastAsia="ru-RU"/>
              </w:rPr>
              <w:t>266,345</w:t>
            </w:r>
          </w:p>
        </w:tc>
        <w:tc>
          <w:tcPr>
            <w:tcW w:w="452" w:type="pct"/>
            <w:noWrap/>
            <w:hideMark/>
          </w:tcPr>
          <w:p w14:paraId="2BE386FD" w14:textId="77777777" w:rsidR="009A4C46" w:rsidRPr="00CB5AA8" w:rsidRDefault="009A4C46" w:rsidP="00CB5AA8">
            <w:pPr>
              <w:widowControl w:val="0"/>
              <w:jc w:val="center"/>
              <w:rPr>
                <w:rFonts w:eastAsia="Times New Roman"/>
                <w:sz w:val="17"/>
                <w:szCs w:val="17"/>
                <w:lang w:eastAsia="ru-RU"/>
              </w:rPr>
            </w:pPr>
            <w:r w:rsidRPr="00CB5AA8">
              <w:rPr>
                <w:rFonts w:eastAsia="Times New Roman"/>
                <w:sz w:val="17"/>
                <w:szCs w:val="17"/>
                <w:lang w:eastAsia="ru-RU"/>
              </w:rPr>
              <w:t>110,750</w:t>
            </w:r>
          </w:p>
        </w:tc>
        <w:tc>
          <w:tcPr>
            <w:tcW w:w="413" w:type="pct"/>
            <w:noWrap/>
            <w:hideMark/>
          </w:tcPr>
          <w:p w14:paraId="52BE54AD" w14:textId="77777777" w:rsidR="009A4C46" w:rsidRPr="00CB5AA8" w:rsidRDefault="009A4C46" w:rsidP="00CB5AA8">
            <w:pPr>
              <w:widowControl w:val="0"/>
              <w:jc w:val="center"/>
              <w:rPr>
                <w:rFonts w:eastAsia="Times New Roman"/>
                <w:sz w:val="17"/>
                <w:szCs w:val="17"/>
                <w:lang w:eastAsia="ru-RU"/>
              </w:rPr>
            </w:pPr>
            <w:r w:rsidRPr="00CB5AA8">
              <w:rPr>
                <w:rFonts w:eastAsia="Times New Roman"/>
                <w:sz w:val="17"/>
                <w:szCs w:val="17"/>
                <w:lang w:eastAsia="ru-RU"/>
              </w:rPr>
              <w:t>97,394</w:t>
            </w:r>
          </w:p>
        </w:tc>
        <w:tc>
          <w:tcPr>
            <w:tcW w:w="454" w:type="pct"/>
            <w:noWrap/>
            <w:hideMark/>
          </w:tcPr>
          <w:p w14:paraId="6AC35699" w14:textId="77777777" w:rsidR="009A4C46" w:rsidRPr="00CB5AA8" w:rsidRDefault="009A4C46" w:rsidP="00CB5AA8">
            <w:pPr>
              <w:widowControl w:val="0"/>
              <w:jc w:val="center"/>
              <w:rPr>
                <w:rFonts w:eastAsia="Times New Roman"/>
                <w:sz w:val="17"/>
                <w:szCs w:val="17"/>
                <w:lang w:eastAsia="ru-RU"/>
              </w:rPr>
            </w:pPr>
            <w:r w:rsidRPr="00CB5AA8">
              <w:rPr>
                <w:rFonts w:eastAsia="Times New Roman"/>
                <w:sz w:val="17"/>
                <w:szCs w:val="17"/>
                <w:lang w:eastAsia="ru-RU"/>
              </w:rPr>
              <w:t>86,440</w:t>
            </w:r>
          </w:p>
        </w:tc>
        <w:tc>
          <w:tcPr>
            <w:tcW w:w="477" w:type="pct"/>
            <w:noWrap/>
            <w:hideMark/>
          </w:tcPr>
          <w:p w14:paraId="62DE1F0B" w14:textId="77777777" w:rsidR="009A4C46" w:rsidRPr="00CB5AA8" w:rsidRDefault="009A4C46" w:rsidP="00CB5AA8">
            <w:pPr>
              <w:widowControl w:val="0"/>
              <w:jc w:val="center"/>
              <w:rPr>
                <w:rFonts w:eastAsia="Times New Roman"/>
                <w:sz w:val="17"/>
                <w:szCs w:val="17"/>
                <w:lang w:eastAsia="ru-RU"/>
              </w:rPr>
            </w:pPr>
            <w:r w:rsidRPr="00CB5AA8">
              <w:rPr>
                <w:rFonts w:eastAsia="Times New Roman"/>
                <w:sz w:val="17"/>
                <w:szCs w:val="17"/>
                <w:lang w:eastAsia="ru-RU"/>
              </w:rPr>
              <w:t>24,310</w:t>
            </w:r>
          </w:p>
        </w:tc>
        <w:tc>
          <w:tcPr>
            <w:tcW w:w="589" w:type="pct"/>
            <w:gridSpan w:val="2"/>
            <w:noWrap/>
            <w:hideMark/>
          </w:tcPr>
          <w:p w14:paraId="7E59E5AC" w14:textId="77777777" w:rsidR="009A4C46" w:rsidRPr="00CB5AA8" w:rsidRDefault="009A4C46" w:rsidP="00CB5AA8">
            <w:pPr>
              <w:widowControl w:val="0"/>
              <w:jc w:val="center"/>
              <w:rPr>
                <w:rFonts w:eastAsia="Times New Roman"/>
                <w:sz w:val="17"/>
                <w:szCs w:val="17"/>
                <w:lang w:eastAsia="ru-RU"/>
              </w:rPr>
            </w:pPr>
            <w:r w:rsidRPr="00CB5AA8">
              <w:rPr>
                <w:rFonts w:eastAsia="Times New Roman"/>
                <w:sz w:val="17"/>
                <w:szCs w:val="17"/>
                <w:lang w:eastAsia="ru-RU"/>
              </w:rPr>
              <w:t>-10,954</w:t>
            </w:r>
          </w:p>
        </w:tc>
        <w:tc>
          <w:tcPr>
            <w:tcW w:w="799" w:type="pct"/>
            <w:gridSpan w:val="2"/>
            <w:hideMark/>
          </w:tcPr>
          <w:p w14:paraId="59CD0147" w14:textId="77777777" w:rsidR="009A4C46" w:rsidRPr="00CB5AA8" w:rsidRDefault="009A4C46" w:rsidP="00CB5AA8">
            <w:pPr>
              <w:widowControl w:val="0"/>
              <w:rPr>
                <w:rFonts w:eastAsia="Times New Roman"/>
                <w:sz w:val="17"/>
                <w:szCs w:val="17"/>
                <w:lang w:eastAsia="ru-RU"/>
              </w:rPr>
            </w:pPr>
            <w:r w:rsidRPr="00CB5AA8">
              <w:rPr>
                <w:rFonts w:eastAsia="Times New Roman"/>
                <w:sz w:val="17"/>
                <w:szCs w:val="17"/>
                <w:lang w:eastAsia="ru-RU"/>
              </w:rPr>
              <w:t xml:space="preserve"> уменьшение объемов работ на основании доп. соглашения № 2 </w:t>
            </w:r>
          </w:p>
        </w:tc>
      </w:tr>
      <w:tr w:rsidR="00CB5AA8" w:rsidRPr="00CB5AA8" w14:paraId="52D029B3" w14:textId="77777777" w:rsidTr="00CB5AA8">
        <w:trPr>
          <w:trHeight w:val="735"/>
        </w:trPr>
        <w:tc>
          <w:tcPr>
            <w:tcW w:w="210" w:type="pct"/>
            <w:noWrap/>
            <w:hideMark/>
          </w:tcPr>
          <w:p w14:paraId="0A27C7F1" w14:textId="77777777" w:rsidR="009A4C46" w:rsidRPr="00CB5AA8" w:rsidRDefault="009A4C46" w:rsidP="00CB5AA8">
            <w:pPr>
              <w:widowControl w:val="0"/>
              <w:rPr>
                <w:rFonts w:eastAsia="Times New Roman"/>
                <w:sz w:val="17"/>
                <w:szCs w:val="17"/>
                <w:lang w:eastAsia="ru-RU"/>
              </w:rPr>
            </w:pPr>
            <w:r w:rsidRPr="00CB5AA8">
              <w:rPr>
                <w:rFonts w:eastAsia="Times New Roman"/>
                <w:sz w:val="17"/>
                <w:szCs w:val="17"/>
                <w:lang w:eastAsia="ru-RU"/>
              </w:rPr>
              <w:t>4</w:t>
            </w:r>
          </w:p>
        </w:tc>
        <w:tc>
          <w:tcPr>
            <w:tcW w:w="1093" w:type="pct"/>
            <w:hideMark/>
          </w:tcPr>
          <w:p w14:paraId="332E15E2" w14:textId="77777777" w:rsidR="009A4C46" w:rsidRPr="00CB5AA8" w:rsidRDefault="009A4C46" w:rsidP="00CB5AA8">
            <w:pPr>
              <w:widowControl w:val="0"/>
              <w:rPr>
                <w:rFonts w:eastAsia="Times New Roman"/>
                <w:sz w:val="17"/>
                <w:szCs w:val="17"/>
                <w:lang w:eastAsia="ru-RU"/>
              </w:rPr>
            </w:pPr>
            <w:r w:rsidRPr="00CB5AA8">
              <w:rPr>
                <w:rFonts w:eastAsia="Times New Roman"/>
                <w:sz w:val="17"/>
                <w:szCs w:val="17"/>
                <w:lang w:eastAsia="ru-RU"/>
              </w:rPr>
              <w:t>Строительство ПС 110/10 кВ "</w:t>
            </w:r>
            <w:proofErr w:type="spellStart"/>
            <w:r w:rsidRPr="00CB5AA8">
              <w:rPr>
                <w:rFonts w:eastAsia="Times New Roman"/>
                <w:sz w:val="17"/>
                <w:szCs w:val="17"/>
                <w:lang w:eastAsia="ru-RU"/>
              </w:rPr>
              <w:t>Вавилинская</w:t>
            </w:r>
            <w:proofErr w:type="spellEnd"/>
            <w:r w:rsidRPr="00CB5AA8">
              <w:rPr>
                <w:rFonts w:eastAsia="Times New Roman"/>
                <w:sz w:val="17"/>
                <w:szCs w:val="17"/>
                <w:lang w:eastAsia="ru-RU"/>
              </w:rPr>
              <w:t>" (2ТМ*16 МВА)</w:t>
            </w:r>
          </w:p>
        </w:tc>
        <w:tc>
          <w:tcPr>
            <w:tcW w:w="514" w:type="pct"/>
            <w:noWrap/>
            <w:hideMark/>
          </w:tcPr>
          <w:p w14:paraId="0A0A54D3" w14:textId="77777777" w:rsidR="009A4C46" w:rsidRPr="00CB5AA8" w:rsidRDefault="009A4C46" w:rsidP="00CB5AA8">
            <w:pPr>
              <w:widowControl w:val="0"/>
              <w:jc w:val="center"/>
              <w:rPr>
                <w:rFonts w:eastAsia="Times New Roman"/>
                <w:sz w:val="17"/>
                <w:szCs w:val="17"/>
                <w:lang w:eastAsia="ru-RU"/>
              </w:rPr>
            </w:pPr>
            <w:r w:rsidRPr="00CB5AA8">
              <w:rPr>
                <w:rFonts w:eastAsia="Times New Roman"/>
                <w:sz w:val="17"/>
                <w:szCs w:val="17"/>
                <w:lang w:eastAsia="ru-RU"/>
              </w:rPr>
              <w:t>404,055</w:t>
            </w:r>
          </w:p>
        </w:tc>
        <w:tc>
          <w:tcPr>
            <w:tcW w:w="452" w:type="pct"/>
            <w:noWrap/>
            <w:hideMark/>
          </w:tcPr>
          <w:p w14:paraId="4964CE56" w14:textId="77777777" w:rsidR="009A4C46" w:rsidRPr="00CB5AA8" w:rsidRDefault="009A4C46" w:rsidP="00CB5AA8">
            <w:pPr>
              <w:widowControl w:val="0"/>
              <w:jc w:val="center"/>
              <w:rPr>
                <w:rFonts w:eastAsia="Times New Roman"/>
                <w:sz w:val="17"/>
                <w:szCs w:val="17"/>
                <w:lang w:eastAsia="ru-RU"/>
              </w:rPr>
            </w:pPr>
            <w:r w:rsidRPr="00CB5AA8">
              <w:rPr>
                <w:rFonts w:eastAsia="Times New Roman"/>
                <w:sz w:val="17"/>
                <w:szCs w:val="17"/>
                <w:lang w:eastAsia="ru-RU"/>
              </w:rPr>
              <w:t>104,458</w:t>
            </w:r>
          </w:p>
        </w:tc>
        <w:tc>
          <w:tcPr>
            <w:tcW w:w="413" w:type="pct"/>
            <w:noWrap/>
            <w:hideMark/>
          </w:tcPr>
          <w:p w14:paraId="3B4C8F1C" w14:textId="77777777" w:rsidR="009A4C46" w:rsidRPr="00CB5AA8" w:rsidRDefault="009A4C46" w:rsidP="00CB5AA8">
            <w:pPr>
              <w:widowControl w:val="0"/>
              <w:jc w:val="center"/>
              <w:rPr>
                <w:rFonts w:eastAsia="Times New Roman"/>
                <w:sz w:val="17"/>
                <w:szCs w:val="17"/>
                <w:lang w:eastAsia="ru-RU"/>
              </w:rPr>
            </w:pPr>
            <w:r w:rsidRPr="00CB5AA8">
              <w:rPr>
                <w:rFonts w:eastAsia="Times New Roman"/>
                <w:sz w:val="17"/>
                <w:szCs w:val="17"/>
                <w:lang w:eastAsia="ru-RU"/>
              </w:rPr>
              <w:t>79,653</w:t>
            </w:r>
          </w:p>
        </w:tc>
        <w:tc>
          <w:tcPr>
            <w:tcW w:w="454" w:type="pct"/>
            <w:noWrap/>
            <w:hideMark/>
          </w:tcPr>
          <w:p w14:paraId="031B0529" w14:textId="77777777" w:rsidR="009A4C46" w:rsidRPr="00CB5AA8" w:rsidRDefault="009A4C46" w:rsidP="00CB5AA8">
            <w:pPr>
              <w:widowControl w:val="0"/>
              <w:jc w:val="center"/>
              <w:rPr>
                <w:rFonts w:eastAsia="Times New Roman"/>
                <w:sz w:val="17"/>
                <w:szCs w:val="17"/>
                <w:lang w:eastAsia="ru-RU"/>
              </w:rPr>
            </w:pPr>
            <w:r w:rsidRPr="00CB5AA8">
              <w:rPr>
                <w:rFonts w:eastAsia="Times New Roman"/>
                <w:sz w:val="17"/>
                <w:szCs w:val="17"/>
                <w:lang w:eastAsia="ru-RU"/>
              </w:rPr>
              <w:t>87,759</w:t>
            </w:r>
          </w:p>
        </w:tc>
        <w:tc>
          <w:tcPr>
            <w:tcW w:w="477" w:type="pct"/>
            <w:noWrap/>
            <w:hideMark/>
          </w:tcPr>
          <w:p w14:paraId="3EA19D28" w14:textId="77777777" w:rsidR="009A4C46" w:rsidRPr="00CB5AA8" w:rsidRDefault="009A4C46" w:rsidP="00CB5AA8">
            <w:pPr>
              <w:widowControl w:val="0"/>
              <w:jc w:val="center"/>
              <w:rPr>
                <w:rFonts w:eastAsia="Times New Roman"/>
                <w:sz w:val="17"/>
                <w:szCs w:val="17"/>
                <w:lang w:eastAsia="ru-RU"/>
              </w:rPr>
            </w:pPr>
            <w:r w:rsidRPr="00CB5AA8">
              <w:rPr>
                <w:rFonts w:eastAsia="Times New Roman"/>
                <w:sz w:val="17"/>
                <w:szCs w:val="17"/>
                <w:lang w:eastAsia="ru-RU"/>
              </w:rPr>
              <w:t>16,699</w:t>
            </w:r>
          </w:p>
        </w:tc>
        <w:tc>
          <w:tcPr>
            <w:tcW w:w="589" w:type="pct"/>
            <w:gridSpan w:val="2"/>
            <w:noWrap/>
            <w:hideMark/>
          </w:tcPr>
          <w:p w14:paraId="5916E844" w14:textId="77777777" w:rsidR="009A4C46" w:rsidRPr="00CB5AA8" w:rsidRDefault="009A4C46" w:rsidP="00CB5AA8">
            <w:pPr>
              <w:widowControl w:val="0"/>
              <w:jc w:val="center"/>
              <w:rPr>
                <w:rFonts w:eastAsia="Times New Roman"/>
                <w:sz w:val="17"/>
                <w:szCs w:val="17"/>
                <w:lang w:eastAsia="ru-RU"/>
              </w:rPr>
            </w:pPr>
            <w:r w:rsidRPr="00CB5AA8">
              <w:rPr>
                <w:rFonts w:eastAsia="Times New Roman"/>
                <w:sz w:val="17"/>
                <w:szCs w:val="17"/>
                <w:lang w:eastAsia="ru-RU"/>
              </w:rPr>
              <w:t>8,106</w:t>
            </w:r>
          </w:p>
        </w:tc>
        <w:tc>
          <w:tcPr>
            <w:tcW w:w="799" w:type="pct"/>
            <w:gridSpan w:val="2"/>
            <w:hideMark/>
          </w:tcPr>
          <w:p w14:paraId="5ED95649" w14:textId="77777777" w:rsidR="009A4C46" w:rsidRPr="00CB5AA8" w:rsidRDefault="009A4C46" w:rsidP="00CB5AA8">
            <w:pPr>
              <w:widowControl w:val="0"/>
              <w:rPr>
                <w:rFonts w:eastAsia="Times New Roman"/>
                <w:sz w:val="17"/>
                <w:szCs w:val="17"/>
                <w:lang w:eastAsia="ru-RU"/>
              </w:rPr>
            </w:pPr>
            <w:r w:rsidRPr="00CB5AA8">
              <w:rPr>
                <w:rFonts w:eastAsia="Times New Roman"/>
                <w:sz w:val="17"/>
                <w:szCs w:val="17"/>
                <w:lang w:eastAsia="ru-RU"/>
              </w:rPr>
              <w:t xml:space="preserve"> уменьшение объемов работ на основании доп. соглашения № 2 </w:t>
            </w:r>
          </w:p>
        </w:tc>
      </w:tr>
      <w:tr w:rsidR="00CB5AA8" w:rsidRPr="00CB5AA8" w14:paraId="2AC7C461" w14:textId="77777777" w:rsidTr="00CB5AA8">
        <w:trPr>
          <w:trHeight w:val="3570"/>
        </w:trPr>
        <w:tc>
          <w:tcPr>
            <w:tcW w:w="210" w:type="pct"/>
            <w:noWrap/>
            <w:hideMark/>
          </w:tcPr>
          <w:p w14:paraId="16DCA98C" w14:textId="77777777" w:rsidR="009A4C46" w:rsidRPr="00CB5AA8" w:rsidRDefault="009A4C46" w:rsidP="00CB5AA8">
            <w:pPr>
              <w:widowControl w:val="0"/>
              <w:rPr>
                <w:rFonts w:eastAsia="Times New Roman"/>
                <w:sz w:val="17"/>
                <w:szCs w:val="17"/>
                <w:lang w:eastAsia="ru-RU"/>
              </w:rPr>
            </w:pPr>
            <w:r w:rsidRPr="00CB5AA8">
              <w:rPr>
                <w:rFonts w:eastAsia="Times New Roman"/>
                <w:sz w:val="17"/>
                <w:szCs w:val="17"/>
                <w:lang w:eastAsia="ru-RU"/>
              </w:rPr>
              <w:t>5</w:t>
            </w:r>
          </w:p>
        </w:tc>
        <w:tc>
          <w:tcPr>
            <w:tcW w:w="1093" w:type="pct"/>
            <w:hideMark/>
          </w:tcPr>
          <w:p w14:paraId="2A611A74" w14:textId="77777777" w:rsidR="009A4C46" w:rsidRPr="00CB5AA8" w:rsidRDefault="009A4C46" w:rsidP="00CB5AA8">
            <w:pPr>
              <w:widowControl w:val="0"/>
              <w:rPr>
                <w:rFonts w:eastAsia="Times New Roman"/>
                <w:sz w:val="17"/>
                <w:szCs w:val="17"/>
                <w:lang w:eastAsia="ru-RU"/>
              </w:rPr>
            </w:pPr>
            <w:r w:rsidRPr="00CB5AA8">
              <w:rPr>
                <w:rFonts w:eastAsia="Times New Roman"/>
                <w:sz w:val="17"/>
                <w:szCs w:val="17"/>
                <w:lang w:eastAsia="ru-RU"/>
              </w:rPr>
              <w:t xml:space="preserve"> Организация технологической и диспетчерской ВЧ связи (три канала на каждое направление) по фазе А ВЛ 110 кВ С-405, С-403 на направлениях: ПС 110 кВ Городская – ПС 110 кВ Шагонар, ПС 110 кВ Городская – ПС 110 кВ </w:t>
            </w:r>
            <w:proofErr w:type="spellStart"/>
            <w:r w:rsidRPr="00CB5AA8">
              <w:rPr>
                <w:rFonts w:eastAsia="Times New Roman"/>
                <w:sz w:val="17"/>
                <w:szCs w:val="17"/>
                <w:lang w:eastAsia="ru-RU"/>
              </w:rPr>
              <w:t>Арыг-Узю</w:t>
            </w:r>
            <w:proofErr w:type="spellEnd"/>
            <w:r w:rsidRPr="00CB5AA8">
              <w:rPr>
                <w:rFonts w:eastAsia="Times New Roman"/>
                <w:sz w:val="17"/>
                <w:szCs w:val="17"/>
                <w:lang w:eastAsia="ru-RU"/>
              </w:rPr>
              <w:t xml:space="preserve"> (с учетом организации Заявителем ВЧ связи по ВЛ 110 кВ С-405 на направлении ПС 110 кВ </w:t>
            </w:r>
            <w:proofErr w:type="spellStart"/>
            <w:r w:rsidRPr="00CB5AA8">
              <w:rPr>
                <w:rFonts w:eastAsia="Times New Roman"/>
                <w:sz w:val="17"/>
                <w:szCs w:val="17"/>
                <w:lang w:eastAsia="ru-RU"/>
              </w:rPr>
              <w:t>Межегей</w:t>
            </w:r>
            <w:proofErr w:type="spellEnd"/>
            <w:r w:rsidRPr="00CB5AA8">
              <w:rPr>
                <w:rFonts w:eastAsia="Times New Roman"/>
                <w:sz w:val="17"/>
                <w:szCs w:val="17"/>
                <w:lang w:eastAsia="ru-RU"/>
              </w:rPr>
              <w:t xml:space="preserve"> – ПС 110 кВ Городская) на базе цифровых систем передачи и обработки сигналов</w:t>
            </w:r>
            <w:r w:rsidRPr="00CB5AA8">
              <w:rPr>
                <w:rFonts w:eastAsia="Times New Roman"/>
                <w:sz w:val="17"/>
                <w:szCs w:val="17"/>
                <w:lang w:eastAsia="ru-RU"/>
              </w:rPr>
              <w:br/>
              <w:t xml:space="preserve">РТ, </w:t>
            </w:r>
            <w:proofErr w:type="spellStart"/>
            <w:r w:rsidRPr="00CB5AA8">
              <w:rPr>
                <w:rFonts w:eastAsia="Times New Roman"/>
                <w:sz w:val="17"/>
                <w:szCs w:val="17"/>
                <w:lang w:eastAsia="ru-RU"/>
              </w:rPr>
              <w:t>Тандинский</w:t>
            </w:r>
            <w:proofErr w:type="spellEnd"/>
            <w:r w:rsidRPr="00CB5AA8">
              <w:rPr>
                <w:rFonts w:eastAsia="Times New Roman"/>
                <w:sz w:val="17"/>
                <w:szCs w:val="17"/>
                <w:lang w:eastAsia="ru-RU"/>
              </w:rPr>
              <w:t xml:space="preserve"> </w:t>
            </w:r>
            <w:proofErr w:type="spellStart"/>
            <w:r w:rsidRPr="00CB5AA8">
              <w:rPr>
                <w:rFonts w:eastAsia="Times New Roman"/>
                <w:sz w:val="17"/>
                <w:szCs w:val="17"/>
                <w:lang w:eastAsia="ru-RU"/>
              </w:rPr>
              <w:t>кожуун</w:t>
            </w:r>
            <w:proofErr w:type="spellEnd"/>
            <w:r w:rsidRPr="00CB5AA8">
              <w:rPr>
                <w:rFonts w:eastAsia="Times New Roman"/>
                <w:sz w:val="17"/>
                <w:szCs w:val="17"/>
                <w:lang w:eastAsia="ru-RU"/>
              </w:rPr>
              <w:t xml:space="preserve">, 7 км. на северо-восток от с. </w:t>
            </w:r>
            <w:proofErr w:type="spellStart"/>
            <w:r w:rsidRPr="00CB5AA8">
              <w:rPr>
                <w:rFonts w:eastAsia="Times New Roman"/>
                <w:sz w:val="17"/>
                <w:szCs w:val="17"/>
                <w:lang w:eastAsia="ru-RU"/>
              </w:rPr>
              <w:t>Кочетово</w:t>
            </w:r>
            <w:proofErr w:type="spellEnd"/>
            <w:r w:rsidRPr="00CB5AA8">
              <w:rPr>
                <w:rFonts w:eastAsia="Times New Roman"/>
                <w:sz w:val="17"/>
                <w:szCs w:val="17"/>
                <w:lang w:eastAsia="ru-RU"/>
              </w:rPr>
              <w:t xml:space="preserve"> (№108-1/10000 от 10.04.2013 г.)</w:t>
            </w:r>
          </w:p>
        </w:tc>
        <w:tc>
          <w:tcPr>
            <w:tcW w:w="514" w:type="pct"/>
            <w:noWrap/>
          </w:tcPr>
          <w:p w14:paraId="6A40AFA0" w14:textId="77777777" w:rsidR="009A4C46" w:rsidRPr="00CB5AA8" w:rsidRDefault="009A4C46" w:rsidP="00CB5AA8">
            <w:pPr>
              <w:widowControl w:val="0"/>
              <w:jc w:val="center"/>
              <w:rPr>
                <w:rFonts w:eastAsia="Times New Roman"/>
                <w:sz w:val="17"/>
                <w:szCs w:val="17"/>
                <w:lang w:eastAsia="ru-RU"/>
              </w:rPr>
            </w:pPr>
            <w:r w:rsidRPr="00CB5AA8">
              <w:rPr>
                <w:rFonts w:eastAsia="Times New Roman"/>
                <w:sz w:val="17"/>
                <w:szCs w:val="17"/>
                <w:lang w:eastAsia="ru-RU"/>
              </w:rPr>
              <w:t>-</w:t>
            </w:r>
          </w:p>
        </w:tc>
        <w:tc>
          <w:tcPr>
            <w:tcW w:w="452" w:type="pct"/>
            <w:noWrap/>
            <w:hideMark/>
          </w:tcPr>
          <w:p w14:paraId="4E9E8502" w14:textId="77777777" w:rsidR="009A4C46" w:rsidRPr="00CB5AA8" w:rsidRDefault="009A4C46" w:rsidP="00CB5AA8">
            <w:pPr>
              <w:widowControl w:val="0"/>
              <w:jc w:val="center"/>
              <w:rPr>
                <w:rFonts w:eastAsia="Times New Roman"/>
                <w:sz w:val="17"/>
                <w:szCs w:val="17"/>
                <w:lang w:eastAsia="ru-RU"/>
              </w:rPr>
            </w:pPr>
            <w:r w:rsidRPr="00CB5AA8">
              <w:rPr>
                <w:rFonts w:eastAsia="Times New Roman"/>
                <w:sz w:val="17"/>
                <w:szCs w:val="17"/>
                <w:lang w:eastAsia="ru-RU"/>
              </w:rPr>
              <w:t>-</w:t>
            </w:r>
          </w:p>
        </w:tc>
        <w:tc>
          <w:tcPr>
            <w:tcW w:w="413" w:type="pct"/>
            <w:noWrap/>
            <w:hideMark/>
          </w:tcPr>
          <w:p w14:paraId="32618F8B" w14:textId="77777777" w:rsidR="009A4C46" w:rsidRPr="00CB5AA8" w:rsidRDefault="009A4C46" w:rsidP="00CB5AA8">
            <w:pPr>
              <w:widowControl w:val="0"/>
              <w:jc w:val="center"/>
              <w:rPr>
                <w:rFonts w:eastAsia="Times New Roman"/>
                <w:sz w:val="17"/>
                <w:szCs w:val="17"/>
                <w:lang w:eastAsia="ru-RU"/>
              </w:rPr>
            </w:pPr>
          </w:p>
        </w:tc>
        <w:tc>
          <w:tcPr>
            <w:tcW w:w="454" w:type="pct"/>
            <w:noWrap/>
            <w:hideMark/>
          </w:tcPr>
          <w:p w14:paraId="63CC9DF6" w14:textId="77777777" w:rsidR="009A4C46" w:rsidRPr="00CB5AA8" w:rsidRDefault="009A4C46" w:rsidP="00CB5AA8">
            <w:pPr>
              <w:widowControl w:val="0"/>
              <w:jc w:val="center"/>
              <w:rPr>
                <w:rFonts w:eastAsia="Times New Roman"/>
                <w:sz w:val="17"/>
                <w:szCs w:val="17"/>
                <w:lang w:eastAsia="ru-RU"/>
              </w:rPr>
            </w:pPr>
            <w:r w:rsidRPr="00CB5AA8">
              <w:rPr>
                <w:rFonts w:eastAsia="Times New Roman"/>
                <w:sz w:val="17"/>
                <w:szCs w:val="17"/>
                <w:lang w:eastAsia="ru-RU"/>
              </w:rPr>
              <w:t>1,560</w:t>
            </w:r>
          </w:p>
        </w:tc>
        <w:tc>
          <w:tcPr>
            <w:tcW w:w="477" w:type="pct"/>
            <w:noWrap/>
            <w:hideMark/>
          </w:tcPr>
          <w:p w14:paraId="3BD4D7BC" w14:textId="77777777" w:rsidR="009A4C46" w:rsidRPr="00CB5AA8" w:rsidRDefault="009A4C46" w:rsidP="00CB5AA8">
            <w:pPr>
              <w:widowControl w:val="0"/>
              <w:jc w:val="center"/>
              <w:rPr>
                <w:rFonts w:eastAsia="Times New Roman"/>
                <w:sz w:val="17"/>
                <w:szCs w:val="17"/>
                <w:lang w:eastAsia="ru-RU"/>
              </w:rPr>
            </w:pPr>
            <w:r w:rsidRPr="00CB5AA8">
              <w:rPr>
                <w:rFonts w:eastAsia="Times New Roman"/>
                <w:sz w:val="17"/>
                <w:szCs w:val="17"/>
                <w:lang w:eastAsia="ru-RU"/>
              </w:rPr>
              <w:t>-1,560</w:t>
            </w:r>
          </w:p>
        </w:tc>
        <w:tc>
          <w:tcPr>
            <w:tcW w:w="589" w:type="pct"/>
            <w:gridSpan w:val="2"/>
            <w:noWrap/>
            <w:hideMark/>
          </w:tcPr>
          <w:p w14:paraId="6F651A51" w14:textId="77777777" w:rsidR="009A4C46" w:rsidRPr="00CB5AA8" w:rsidRDefault="009A4C46" w:rsidP="00CB5AA8">
            <w:pPr>
              <w:widowControl w:val="0"/>
              <w:jc w:val="center"/>
              <w:rPr>
                <w:rFonts w:eastAsia="Times New Roman"/>
                <w:sz w:val="17"/>
                <w:szCs w:val="17"/>
                <w:lang w:eastAsia="ru-RU"/>
              </w:rPr>
            </w:pPr>
            <w:r w:rsidRPr="00CB5AA8">
              <w:rPr>
                <w:rFonts w:eastAsia="Times New Roman"/>
                <w:sz w:val="17"/>
                <w:szCs w:val="17"/>
                <w:lang w:eastAsia="ru-RU"/>
              </w:rPr>
              <w:t>1,560</w:t>
            </w:r>
          </w:p>
        </w:tc>
        <w:tc>
          <w:tcPr>
            <w:tcW w:w="799" w:type="pct"/>
            <w:gridSpan w:val="2"/>
            <w:hideMark/>
          </w:tcPr>
          <w:p w14:paraId="14AF7929" w14:textId="77777777" w:rsidR="009A4C46" w:rsidRPr="00CB5AA8" w:rsidRDefault="009A4C46" w:rsidP="00CB5AA8">
            <w:pPr>
              <w:widowControl w:val="0"/>
              <w:rPr>
                <w:rFonts w:eastAsia="Times New Roman"/>
                <w:sz w:val="17"/>
                <w:szCs w:val="17"/>
                <w:lang w:eastAsia="ru-RU"/>
              </w:rPr>
            </w:pPr>
            <w:r w:rsidRPr="00CB5AA8">
              <w:rPr>
                <w:rFonts w:eastAsia="Times New Roman"/>
                <w:sz w:val="17"/>
                <w:szCs w:val="17"/>
                <w:lang w:eastAsia="ru-RU"/>
              </w:rPr>
              <w:t xml:space="preserve"> В связи с дополнением к ТЗ, возникла необходимость установки микропроцессорного терминала </w:t>
            </w:r>
            <w:proofErr w:type="spellStart"/>
            <w:r w:rsidRPr="00CB5AA8">
              <w:rPr>
                <w:rFonts w:eastAsia="Times New Roman"/>
                <w:sz w:val="17"/>
                <w:szCs w:val="17"/>
                <w:lang w:eastAsia="ru-RU"/>
              </w:rPr>
              <w:t>РЗиА</w:t>
            </w:r>
            <w:proofErr w:type="spellEnd"/>
            <w:r w:rsidRPr="00CB5AA8">
              <w:rPr>
                <w:rFonts w:eastAsia="Times New Roman"/>
                <w:sz w:val="17"/>
                <w:szCs w:val="17"/>
                <w:lang w:eastAsia="ru-RU"/>
              </w:rPr>
              <w:t xml:space="preserve"> (интеллектуального электронного устройства) для управления выключателем ВС-405 на ПС 110 кВ Городская. </w:t>
            </w:r>
          </w:p>
        </w:tc>
      </w:tr>
      <w:tr w:rsidR="00CB5AA8" w:rsidRPr="00CB5AA8" w14:paraId="58DCDE60" w14:textId="77777777" w:rsidTr="00CB5AA8">
        <w:trPr>
          <w:trHeight w:val="358"/>
        </w:trPr>
        <w:tc>
          <w:tcPr>
            <w:tcW w:w="210" w:type="pct"/>
            <w:noWrap/>
            <w:hideMark/>
          </w:tcPr>
          <w:p w14:paraId="4CC596B4" w14:textId="77777777" w:rsidR="009A4C46" w:rsidRPr="00CB5AA8" w:rsidRDefault="009A4C46" w:rsidP="00CB5AA8">
            <w:pPr>
              <w:widowControl w:val="0"/>
              <w:rPr>
                <w:rFonts w:eastAsia="Times New Roman"/>
                <w:sz w:val="17"/>
                <w:szCs w:val="17"/>
                <w:lang w:eastAsia="ru-RU"/>
              </w:rPr>
            </w:pPr>
            <w:r w:rsidRPr="00CB5AA8">
              <w:rPr>
                <w:rFonts w:eastAsia="Times New Roman"/>
                <w:sz w:val="17"/>
                <w:szCs w:val="17"/>
                <w:lang w:eastAsia="ru-RU"/>
              </w:rPr>
              <w:t>6</w:t>
            </w:r>
          </w:p>
        </w:tc>
        <w:tc>
          <w:tcPr>
            <w:tcW w:w="1093" w:type="pct"/>
            <w:hideMark/>
          </w:tcPr>
          <w:p w14:paraId="53334C95" w14:textId="77777777" w:rsidR="009A4C46" w:rsidRPr="00CB5AA8" w:rsidRDefault="009A4C46" w:rsidP="00CB5AA8">
            <w:pPr>
              <w:widowControl w:val="0"/>
              <w:rPr>
                <w:rFonts w:eastAsia="Times New Roman"/>
                <w:sz w:val="17"/>
                <w:szCs w:val="17"/>
                <w:lang w:eastAsia="ru-RU"/>
              </w:rPr>
            </w:pPr>
            <w:r w:rsidRPr="00CB5AA8">
              <w:rPr>
                <w:rFonts w:eastAsia="Times New Roman"/>
                <w:sz w:val="17"/>
                <w:szCs w:val="17"/>
                <w:lang w:eastAsia="ru-RU"/>
              </w:rPr>
              <w:t xml:space="preserve">Строительство КЛ-10кВ </w:t>
            </w:r>
            <w:proofErr w:type="spellStart"/>
            <w:r w:rsidRPr="00CB5AA8">
              <w:rPr>
                <w:rFonts w:eastAsia="Times New Roman"/>
                <w:sz w:val="17"/>
                <w:szCs w:val="17"/>
                <w:lang w:eastAsia="ru-RU"/>
              </w:rPr>
              <w:t>г.Кызыл</w:t>
            </w:r>
            <w:proofErr w:type="spellEnd"/>
            <w:r w:rsidRPr="00CB5AA8">
              <w:rPr>
                <w:rFonts w:eastAsia="Times New Roman"/>
                <w:sz w:val="17"/>
                <w:szCs w:val="17"/>
                <w:lang w:eastAsia="ru-RU"/>
              </w:rPr>
              <w:t>, правый берег (шифр ВГ-17-БрБ/1)</w:t>
            </w:r>
          </w:p>
        </w:tc>
        <w:tc>
          <w:tcPr>
            <w:tcW w:w="514" w:type="pct"/>
            <w:noWrap/>
            <w:hideMark/>
          </w:tcPr>
          <w:p w14:paraId="720DDE1F" w14:textId="77777777" w:rsidR="009A4C46" w:rsidRPr="00CB5AA8" w:rsidRDefault="009A4C46" w:rsidP="00CB5AA8">
            <w:pPr>
              <w:widowControl w:val="0"/>
              <w:jc w:val="center"/>
              <w:rPr>
                <w:rFonts w:eastAsia="Times New Roman"/>
                <w:sz w:val="17"/>
                <w:szCs w:val="17"/>
                <w:lang w:eastAsia="ru-RU"/>
              </w:rPr>
            </w:pPr>
          </w:p>
        </w:tc>
        <w:tc>
          <w:tcPr>
            <w:tcW w:w="452" w:type="pct"/>
            <w:noWrap/>
            <w:hideMark/>
          </w:tcPr>
          <w:p w14:paraId="190F3DFB" w14:textId="77777777" w:rsidR="009A4C46" w:rsidRPr="00CB5AA8" w:rsidRDefault="009A4C46" w:rsidP="00CB5AA8">
            <w:pPr>
              <w:widowControl w:val="0"/>
              <w:jc w:val="center"/>
              <w:rPr>
                <w:rFonts w:eastAsia="Times New Roman"/>
                <w:sz w:val="17"/>
                <w:szCs w:val="17"/>
                <w:lang w:eastAsia="ru-RU"/>
              </w:rPr>
            </w:pPr>
          </w:p>
        </w:tc>
        <w:tc>
          <w:tcPr>
            <w:tcW w:w="413" w:type="pct"/>
            <w:noWrap/>
            <w:hideMark/>
          </w:tcPr>
          <w:p w14:paraId="78C97D41" w14:textId="77777777" w:rsidR="009A4C46" w:rsidRPr="00CB5AA8" w:rsidRDefault="009A4C46" w:rsidP="00CB5AA8">
            <w:pPr>
              <w:widowControl w:val="0"/>
              <w:jc w:val="center"/>
              <w:rPr>
                <w:rFonts w:eastAsia="Times New Roman"/>
                <w:sz w:val="17"/>
                <w:szCs w:val="17"/>
                <w:lang w:eastAsia="ru-RU"/>
              </w:rPr>
            </w:pPr>
          </w:p>
        </w:tc>
        <w:tc>
          <w:tcPr>
            <w:tcW w:w="454" w:type="pct"/>
            <w:noWrap/>
            <w:hideMark/>
          </w:tcPr>
          <w:p w14:paraId="64D713DB" w14:textId="77777777" w:rsidR="009A4C46" w:rsidRPr="00CB5AA8" w:rsidRDefault="009A4C46" w:rsidP="00CB5AA8">
            <w:pPr>
              <w:widowControl w:val="0"/>
              <w:jc w:val="center"/>
              <w:rPr>
                <w:rFonts w:eastAsia="Times New Roman"/>
                <w:sz w:val="17"/>
                <w:szCs w:val="17"/>
                <w:lang w:eastAsia="ru-RU"/>
              </w:rPr>
            </w:pPr>
            <w:r w:rsidRPr="00CB5AA8">
              <w:rPr>
                <w:rFonts w:eastAsia="Times New Roman"/>
                <w:sz w:val="17"/>
                <w:szCs w:val="17"/>
                <w:lang w:eastAsia="ru-RU"/>
              </w:rPr>
              <w:t>2,027</w:t>
            </w:r>
          </w:p>
        </w:tc>
        <w:tc>
          <w:tcPr>
            <w:tcW w:w="477" w:type="pct"/>
            <w:noWrap/>
            <w:hideMark/>
          </w:tcPr>
          <w:p w14:paraId="2A21B278" w14:textId="77777777" w:rsidR="009A4C46" w:rsidRPr="00CB5AA8" w:rsidRDefault="009A4C46" w:rsidP="00CB5AA8">
            <w:pPr>
              <w:widowControl w:val="0"/>
              <w:jc w:val="center"/>
              <w:rPr>
                <w:rFonts w:eastAsia="Times New Roman"/>
                <w:sz w:val="17"/>
                <w:szCs w:val="17"/>
                <w:lang w:eastAsia="ru-RU"/>
              </w:rPr>
            </w:pPr>
            <w:r w:rsidRPr="00CB5AA8">
              <w:rPr>
                <w:rFonts w:eastAsia="Times New Roman"/>
                <w:sz w:val="17"/>
                <w:szCs w:val="17"/>
                <w:lang w:eastAsia="ru-RU"/>
              </w:rPr>
              <w:t>-2,027</w:t>
            </w:r>
          </w:p>
        </w:tc>
        <w:tc>
          <w:tcPr>
            <w:tcW w:w="589" w:type="pct"/>
            <w:gridSpan w:val="2"/>
            <w:noWrap/>
            <w:hideMark/>
          </w:tcPr>
          <w:p w14:paraId="69C86D5F" w14:textId="77777777" w:rsidR="009A4C46" w:rsidRPr="00CB5AA8" w:rsidRDefault="009A4C46" w:rsidP="00CB5AA8">
            <w:pPr>
              <w:widowControl w:val="0"/>
              <w:jc w:val="center"/>
              <w:rPr>
                <w:rFonts w:eastAsia="Times New Roman"/>
                <w:sz w:val="17"/>
                <w:szCs w:val="17"/>
                <w:lang w:eastAsia="ru-RU"/>
              </w:rPr>
            </w:pPr>
            <w:r w:rsidRPr="00CB5AA8">
              <w:rPr>
                <w:rFonts w:eastAsia="Times New Roman"/>
                <w:sz w:val="17"/>
                <w:szCs w:val="17"/>
                <w:lang w:eastAsia="ru-RU"/>
              </w:rPr>
              <w:t>2,027</w:t>
            </w:r>
          </w:p>
        </w:tc>
        <w:tc>
          <w:tcPr>
            <w:tcW w:w="799" w:type="pct"/>
            <w:gridSpan w:val="2"/>
            <w:hideMark/>
          </w:tcPr>
          <w:p w14:paraId="4918D62A" w14:textId="77777777" w:rsidR="009A4C46" w:rsidRPr="00CB5AA8" w:rsidRDefault="009A4C46" w:rsidP="00CB5AA8">
            <w:pPr>
              <w:widowControl w:val="0"/>
              <w:rPr>
                <w:rFonts w:eastAsia="Times New Roman"/>
                <w:sz w:val="17"/>
                <w:szCs w:val="17"/>
                <w:lang w:eastAsia="ru-RU"/>
              </w:rPr>
            </w:pPr>
            <w:r w:rsidRPr="00CB5AA8">
              <w:rPr>
                <w:rFonts w:eastAsia="Times New Roman"/>
                <w:sz w:val="17"/>
                <w:szCs w:val="17"/>
                <w:lang w:eastAsia="ru-RU"/>
              </w:rPr>
              <w:t xml:space="preserve">профинансированы фактически </w:t>
            </w:r>
            <w:proofErr w:type="spellStart"/>
            <w:r w:rsidRPr="00CB5AA8">
              <w:rPr>
                <w:rFonts w:eastAsia="Times New Roman"/>
                <w:sz w:val="17"/>
                <w:szCs w:val="17"/>
                <w:lang w:eastAsia="ru-RU"/>
              </w:rPr>
              <w:t>выполненые</w:t>
            </w:r>
            <w:proofErr w:type="spellEnd"/>
            <w:r w:rsidRPr="00CB5AA8">
              <w:rPr>
                <w:rFonts w:eastAsia="Times New Roman"/>
                <w:sz w:val="17"/>
                <w:szCs w:val="17"/>
                <w:lang w:eastAsia="ru-RU"/>
              </w:rPr>
              <w:t xml:space="preserve"> </w:t>
            </w:r>
            <w:r w:rsidRPr="00CB5AA8">
              <w:rPr>
                <w:rFonts w:eastAsia="Times New Roman"/>
                <w:sz w:val="17"/>
                <w:szCs w:val="17"/>
                <w:lang w:eastAsia="ru-RU"/>
              </w:rPr>
              <w:lastRenderedPageBreak/>
              <w:t xml:space="preserve">работы хоз. способом </w:t>
            </w:r>
          </w:p>
        </w:tc>
      </w:tr>
      <w:tr w:rsidR="00CB5AA8" w:rsidRPr="00CB5AA8" w14:paraId="061703DD" w14:textId="77777777" w:rsidTr="00CB5AA8">
        <w:trPr>
          <w:trHeight w:val="816"/>
        </w:trPr>
        <w:tc>
          <w:tcPr>
            <w:tcW w:w="210" w:type="pct"/>
            <w:noWrap/>
            <w:hideMark/>
          </w:tcPr>
          <w:p w14:paraId="2C4BEFE7" w14:textId="77777777" w:rsidR="009A4C46" w:rsidRPr="00CB5AA8" w:rsidRDefault="009A4C46" w:rsidP="00CB5AA8">
            <w:pPr>
              <w:widowControl w:val="0"/>
              <w:rPr>
                <w:rFonts w:eastAsia="Times New Roman"/>
                <w:sz w:val="17"/>
                <w:szCs w:val="17"/>
                <w:lang w:eastAsia="ru-RU"/>
              </w:rPr>
            </w:pPr>
            <w:r w:rsidRPr="00CB5AA8">
              <w:rPr>
                <w:rFonts w:eastAsia="Times New Roman"/>
                <w:sz w:val="17"/>
                <w:szCs w:val="17"/>
                <w:lang w:eastAsia="ru-RU"/>
              </w:rPr>
              <w:lastRenderedPageBreak/>
              <w:t>7</w:t>
            </w:r>
          </w:p>
        </w:tc>
        <w:tc>
          <w:tcPr>
            <w:tcW w:w="1093" w:type="pct"/>
            <w:hideMark/>
          </w:tcPr>
          <w:p w14:paraId="783F4163" w14:textId="77777777" w:rsidR="009A4C46" w:rsidRPr="00CB5AA8" w:rsidRDefault="009A4C46" w:rsidP="00CB5AA8">
            <w:pPr>
              <w:widowControl w:val="0"/>
              <w:rPr>
                <w:rFonts w:eastAsia="Times New Roman"/>
                <w:sz w:val="17"/>
                <w:szCs w:val="17"/>
                <w:lang w:eastAsia="ru-RU"/>
              </w:rPr>
            </w:pPr>
            <w:r w:rsidRPr="00CB5AA8">
              <w:rPr>
                <w:rFonts w:eastAsia="Times New Roman"/>
                <w:sz w:val="17"/>
                <w:szCs w:val="17"/>
                <w:lang w:eastAsia="ru-RU"/>
              </w:rPr>
              <w:t>Реконструкция ВЛ, КЛ 10-0.4 кВ для потребителей до 15-150 кВт для льготных потребителей</w:t>
            </w:r>
          </w:p>
        </w:tc>
        <w:tc>
          <w:tcPr>
            <w:tcW w:w="514" w:type="pct"/>
            <w:noWrap/>
            <w:hideMark/>
          </w:tcPr>
          <w:p w14:paraId="2DBC7651" w14:textId="77777777" w:rsidR="009A4C46" w:rsidRPr="00CB5AA8" w:rsidRDefault="009A4C46" w:rsidP="00CB5AA8">
            <w:pPr>
              <w:widowControl w:val="0"/>
              <w:jc w:val="center"/>
              <w:rPr>
                <w:rFonts w:eastAsia="Times New Roman"/>
                <w:sz w:val="17"/>
                <w:szCs w:val="17"/>
                <w:lang w:eastAsia="ru-RU"/>
              </w:rPr>
            </w:pPr>
          </w:p>
        </w:tc>
        <w:tc>
          <w:tcPr>
            <w:tcW w:w="452" w:type="pct"/>
            <w:noWrap/>
            <w:hideMark/>
          </w:tcPr>
          <w:p w14:paraId="3213C4F0" w14:textId="77777777" w:rsidR="009A4C46" w:rsidRPr="00CB5AA8" w:rsidRDefault="009A4C46" w:rsidP="00CB5AA8">
            <w:pPr>
              <w:widowControl w:val="0"/>
              <w:jc w:val="center"/>
              <w:rPr>
                <w:rFonts w:eastAsia="Times New Roman"/>
                <w:sz w:val="17"/>
                <w:szCs w:val="17"/>
                <w:lang w:eastAsia="ru-RU"/>
              </w:rPr>
            </w:pPr>
            <w:r w:rsidRPr="00CB5AA8">
              <w:rPr>
                <w:rFonts w:eastAsia="Times New Roman"/>
                <w:sz w:val="17"/>
                <w:szCs w:val="17"/>
                <w:lang w:eastAsia="ru-RU"/>
              </w:rPr>
              <w:t>3,377</w:t>
            </w:r>
          </w:p>
        </w:tc>
        <w:tc>
          <w:tcPr>
            <w:tcW w:w="413" w:type="pct"/>
            <w:noWrap/>
            <w:hideMark/>
          </w:tcPr>
          <w:p w14:paraId="3B76F7EA" w14:textId="77777777" w:rsidR="009A4C46" w:rsidRPr="00CB5AA8" w:rsidRDefault="009A4C46" w:rsidP="00CB5AA8">
            <w:pPr>
              <w:widowControl w:val="0"/>
              <w:jc w:val="center"/>
              <w:rPr>
                <w:rFonts w:eastAsia="Times New Roman"/>
                <w:sz w:val="17"/>
                <w:szCs w:val="17"/>
                <w:lang w:eastAsia="ru-RU"/>
              </w:rPr>
            </w:pPr>
            <w:r w:rsidRPr="00CB5AA8">
              <w:rPr>
                <w:rFonts w:eastAsia="Times New Roman"/>
                <w:sz w:val="17"/>
                <w:szCs w:val="17"/>
                <w:lang w:eastAsia="ru-RU"/>
              </w:rPr>
              <w:t>0,727</w:t>
            </w:r>
          </w:p>
        </w:tc>
        <w:tc>
          <w:tcPr>
            <w:tcW w:w="454" w:type="pct"/>
            <w:noWrap/>
            <w:hideMark/>
          </w:tcPr>
          <w:p w14:paraId="5E11A5D8" w14:textId="77777777" w:rsidR="009A4C46" w:rsidRPr="00CB5AA8" w:rsidRDefault="009A4C46" w:rsidP="00CB5AA8">
            <w:pPr>
              <w:widowControl w:val="0"/>
              <w:jc w:val="center"/>
              <w:rPr>
                <w:rFonts w:eastAsia="Times New Roman"/>
                <w:sz w:val="17"/>
                <w:szCs w:val="17"/>
                <w:lang w:eastAsia="ru-RU"/>
              </w:rPr>
            </w:pPr>
            <w:r w:rsidRPr="00CB5AA8">
              <w:rPr>
                <w:rFonts w:eastAsia="Times New Roman"/>
                <w:sz w:val="17"/>
                <w:szCs w:val="17"/>
                <w:lang w:eastAsia="ru-RU"/>
              </w:rPr>
              <w:t>0,720</w:t>
            </w:r>
          </w:p>
        </w:tc>
        <w:tc>
          <w:tcPr>
            <w:tcW w:w="477" w:type="pct"/>
            <w:noWrap/>
            <w:hideMark/>
          </w:tcPr>
          <w:p w14:paraId="66144780" w14:textId="77777777" w:rsidR="009A4C46" w:rsidRPr="00CB5AA8" w:rsidRDefault="009A4C46" w:rsidP="00CB5AA8">
            <w:pPr>
              <w:widowControl w:val="0"/>
              <w:jc w:val="center"/>
              <w:rPr>
                <w:rFonts w:eastAsia="Times New Roman"/>
                <w:sz w:val="17"/>
                <w:szCs w:val="17"/>
                <w:lang w:eastAsia="ru-RU"/>
              </w:rPr>
            </w:pPr>
            <w:r w:rsidRPr="00CB5AA8">
              <w:rPr>
                <w:rFonts w:eastAsia="Times New Roman"/>
                <w:sz w:val="17"/>
                <w:szCs w:val="17"/>
                <w:lang w:eastAsia="ru-RU"/>
              </w:rPr>
              <w:t>2,657</w:t>
            </w:r>
          </w:p>
        </w:tc>
        <w:tc>
          <w:tcPr>
            <w:tcW w:w="589" w:type="pct"/>
            <w:gridSpan w:val="2"/>
            <w:noWrap/>
            <w:hideMark/>
          </w:tcPr>
          <w:p w14:paraId="3307F941" w14:textId="77777777" w:rsidR="009A4C46" w:rsidRPr="00CB5AA8" w:rsidRDefault="009A4C46" w:rsidP="00CB5AA8">
            <w:pPr>
              <w:widowControl w:val="0"/>
              <w:jc w:val="center"/>
              <w:rPr>
                <w:rFonts w:eastAsia="Times New Roman"/>
                <w:sz w:val="17"/>
                <w:szCs w:val="17"/>
                <w:lang w:eastAsia="ru-RU"/>
              </w:rPr>
            </w:pPr>
            <w:r w:rsidRPr="00CB5AA8">
              <w:rPr>
                <w:rFonts w:eastAsia="Times New Roman"/>
                <w:sz w:val="17"/>
                <w:szCs w:val="17"/>
                <w:lang w:eastAsia="ru-RU"/>
              </w:rPr>
              <w:t>-0,007</w:t>
            </w:r>
          </w:p>
        </w:tc>
        <w:tc>
          <w:tcPr>
            <w:tcW w:w="799" w:type="pct"/>
            <w:gridSpan w:val="2"/>
            <w:hideMark/>
          </w:tcPr>
          <w:p w14:paraId="53F200D6" w14:textId="77777777" w:rsidR="009A4C46" w:rsidRPr="00CB5AA8" w:rsidRDefault="009A4C46" w:rsidP="00CB5AA8">
            <w:pPr>
              <w:widowControl w:val="0"/>
              <w:rPr>
                <w:rFonts w:eastAsia="Times New Roman"/>
                <w:sz w:val="17"/>
                <w:szCs w:val="17"/>
                <w:lang w:eastAsia="ru-RU"/>
              </w:rPr>
            </w:pPr>
            <w:r w:rsidRPr="00CB5AA8">
              <w:rPr>
                <w:rFonts w:eastAsia="Times New Roman"/>
                <w:sz w:val="17"/>
                <w:szCs w:val="17"/>
                <w:lang w:eastAsia="ru-RU"/>
              </w:rPr>
              <w:t xml:space="preserve"> Выполнение объектов  ТП </w:t>
            </w:r>
          </w:p>
        </w:tc>
      </w:tr>
      <w:tr w:rsidR="00CB5AA8" w:rsidRPr="00CB5AA8" w14:paraId="21695025" w14:textId="77777777" w:rsidTr="00CB5AA8">
        <w:trPr>
          <w:trHeight w:val="1020"/>
        </w:trPr>
        <w:tc>
          <w:tcPr>
            <w:tcW w:w="210" w:type="pct"/>
            <w:noWrap/>
            <w:hideMark/>
          </w:tcPr>
          <w:p w14:paraId="3BFBDAE6" w14:textId="77777777" w:rsidR="009A4C46" w:rsidRPr="00CB5AA8" w:rsidRDefault="009A4C46" w:rsidP="00CB5AA8">
            <w:pPr>
              <w:widowControl w:val="0"/>
              <w:rPr>
                <w:rFonts w:eastAsia="Times New Roman"/>
                <w:sz w:val="17"/>
                <w:szCs w:val="17"/>
                <w:lang w:eastAsia="ru-RU"/>
              </w:rPr>
            </w:pPr>
            <w:r w:rsidRPr="00CB5AA8">
              <w:rPr>
                <w:rFonts w:eastAsia="Times New Roman"/>
                <w:sz w:val="17"/>
                <w:szCs w:val="17"/>
                <w:lang w:eastAsia="ru-RU"/>
              </w:rPr>
              <w:t>8</w:t>
            </w:r>
          </w:p>
        </w:tc>
        <w:tc>
          <w:tcPr>
            <w:tcW w:w="1093" w:type="pct"/>
            <w:hideMark/>
          </w:tcPr>
          <w:p w14:paraId="48098A70" w14:textId="77777777" w:rsidR="009A4C46" w:rsidRPr="00CB5AA8" w:rsidRDefault="009A4C46" w:rsidP="00CB5AA8">
            <w:pPr>
              <w:widowControl w:val="0"/>
              <w:rPr>
                <w:rFonts w:eastAsia="Times New Roman"/>
                <w:sz w:val="17"/>
                <w:szCs w:val="17"/>
                <w:lang w:eastAsia="ru-RU"/>
              </w:rPr>
            </w:pPr>
            <w:r w:rsidRPr="00CB5AA8">
              <w:rPr>
                <w:rFonts w:eastAsia="Times New Roman"/>
                <w:sz w:val="17"/>
                <w:szCs w:val="17"/>
                <w:lang w:eastAsia="ru-RU"/>
              </w:rPr>
              <w:t xml:space="preserve">Реконструкция ВЛ-10кВ </w:t>
            </w:r>
            <w:proofErr w:type="spellStart"/>
            <w:r w:rsidRPr="00CB5AA8">
              <w:rPr>
                <w:rFonts w:eastAsia="Times New Roman"/>
                <w:sz w:val="17"/>
                <w:szCs w:val="17"/>
                <w:lang w:eastAsia="ru-RU"/>
              </w:rPr>
              <w:t>г.Кызыл</w:t>
            </w:r>
            <w:proofErr w:type="spellEnd"/>
            <w:r w:rsidRPr="00CB5AA8">
              <w:rPr>
                <w:rFonts w:eastAsia="Times New Roman"/>
                <w:sz w:val="17"/>
                <w:szCs w:val="17"/>
                <w:lang w:eastAsia="ru-RU"/>
              </w:rPr>
              <w:t xml:space="preserve">, в 32 метрах восточнее жилого дома 1б по </w:t>
            </w:r>
            <w:proofErr w:type="spellStart"/>
            <w:r w:rsidRPr="00CB5AA8">
              <w:rPr>
                <w:rFonts w:eastAsia="Times New Roman"/>
                <w:sz w:val="17"/>
                <w:szCs w:val="17"/>
                <w:lang w:eastAsia="ru-RU"/>
              </w:rPr>
              <w:t>ул.Фрунзе</w:t>
            </w:r>
            <w:proofErr w:type="spellEnd"/>
          </w:p>
        </w:tc>
        <w:tc>
          <w:tcPr>
            <w:tcW w:w="514" w:type="pct"/>
            <w:noWrap/>
            <w:hideMark/>
          </w:tcPr>
          <w:p w14:paraId="3110BF35" w14:textId="77777777" w:rsidR="009A4C46" w:rsidRPr="00CB5AA8" w:rsidRDefault="009A4C46" w:rsidP="00CB5AA8">
            <w:pPr>
              <w:widowControl w:val="0"/>
              <w:jc w:val="center"/>
              <w:rPr>
                <w:rFonts w:eastAsia="Times New Roman"/>
                <w:sz w:val="17"/>
                <w:szCs w:val="17"/>
                <w:lang w:eastAsia="ru-RU"/>
              </w:rPr>
            </w:pPr>
          </w:p>
        </w:tc>
        <w:tc>
          <w:tcPr>
            <w:tcW w:w="452" w:type="pct"/>
            <w:noWrap/>
            <w:hideMark/>
          </w:tcPr>
          <w:p w14:paraId="6A8429E5" w14:textId="77777777" w:rsidR="009A4C46" w:rsidRPr="00CB5AA8" w:rsidRDefault="009A4C46" w:rsidP="00CB5AA8">
            <w:pPr>
              <w:widowControl w:val="0"/>
              <w:jc w:val="center"/>
              <w:rPr>
                <w:rFonts w:eastAsia="Times New Roman"/>
                <w:sz w:val="17"/>
                <w:szCs w:val="17"/>
                <w:lang w:eastAsia="ru-RU"/>
              </w:rPr>
            </w:pPr>
          </w:p>
        </w:tc>
        <w:tc>
          <w:tcPr>
            <w:tcW w:w="413" w:type="pct"/>
            <w:noWrap/>
            <w:hideMark/>
          </w:tcPr>
          <w:p w14:paraId="6B4827A1" w14:textId="77777777" w:rsidR="009A4C46" w:rsidRPr="00CB5AA8" w:rsidRDefault="009A4C46" w:rsidP="00CB5AA8">
            <w:pPr>
              <w:widowControl w:val="0"/>
              <w:jc w:val="center"/>
              <w:rPr>
                <w:rFonts w:eastAsia="Times New Roman"/>
                <w:sz w:val="17"/>
                <w:szCs w:val="17"/>
                <w:lang w:eastAsia="ru-RU"/>
              </w:rPr>
            </w:pPr>
          </w:p>
        </w:tc>
        <w:tc>
          <w:tcPr>
            <w:tcW w:w="454" w:type="pct"/>
            <w:noWrap/>
            <w:hideMark/>
          </w:tcPr>
          <w:p w14:paraId="4A254BD7" w14:textId="77777777" w:rsidR="009A4C46" w:rsidRPr="00CB5AA8" w:rsidRDefault="009A4C46" w:rsidP="00CB5AA8">
            <w:pPr>
              <w:widowControl w:val="0"/>
              <w:jc w:val="center"/>
              <w:rPr>
                <w:rFonts w:eastAsia="Times New Roman"/>
                <w:sz w:val="17"/>
                <w:szCs w:val="17"/>
                <w:lang w:eastAsia="ru-RU"/>
              </w:rPr>
            </w:pPr>
            <w:r w:rsidRPr="00CB5AA8">
              <w:rPr>
                <w:rFonts w:eastAsia="Times New Roman"/>
                <w:sz w:val="17"/>
                <w:szCs w:val="17"/>
                <w:lang w:eastAsia="ru-RU"/>
              </w:rPr>
              <w:t>0,032</w:t>
            </w:r>
          </w:p>
        </w:tc>
        <w:tc>
          <w:tcPr>
            <w:tcW w:w="477" w:type="pct"/>
            <w:noWrap/>
            <w:hideMark/>
          </w:tcPr>
          <w:p w14:paraId="13DB56CB" w14:textId="77777777" w:rsidR="009A4C46" w:rsidRPr="00CB5AA8" w:rsidRDefault="009A4C46" w:rsidP="00CB5AA8">
            <w:pPr>
              <w:widowControl w:val="0"/>
              <w:jc w:val="center"/>
              <w:rPr>
                <w:rFonts w:eastAsia="Times New Roman"/>
                <w:sz w:val="17"/>
                <w:szCs w:val="17"/>
                <w:lang w:eastAsia="ru-RU"/>
              </w:rPr>
            </w:pPr>
            <w:r w:rsidRPr="00CB5AA8">
              <w:rPr>
                <w:rFonts w:eastAsia="Times New Roman"/>
                <w:sz w:val="17"/>
                <w:szCs w:val="17"/>
                <w:lang w:eastAsia="ru-RU"/>
              </w:rPr>
              <w:t>-0,032</w:t>
            </w:r>
          </w:p>
        </w:tc>
        <w:tc>
          <w:tcPr>
            <w:tcW w:w="589" w:type="pct"/>
            <w:gridSpan w:val="2"/>
            <w:noWrap/>
            <w:hideMark/>
          </w:tcPr>
          <w:p w14:paraId="609D5B7F" w14:textId="77777777" w:rsidR="009A4C46" w:rsidRPr="00CB5AA8" w:rsidRDefault="009A4C46" w:rsidP="00CB5AA8">
            <w:pPr>
              <w:widowControl w:val="0"/>
              <w:jc w:val="center"/>
              <w:rPr>
                <w:rFonts w:eastAsia="Times New Roman"/>
                <w:sz w:val="17"/>
                <w:szCs w:val="17"/>
                <w:lang w:eastAsia="ru-RU"/>
              </w:rPr>
            </w:pPr>
            <w:r w:rsidRPr="00CB5AA8">
              <w:rPr>
                <w:rFonts w:eastAsia="Times New Roman"/>
                <w:sz w:val="17"/>
                <w:szCs w:val="17"/>
                <w:lang w:eastAsia="ru-RU"/>
              </w:rPr>
              <w:t>0,032</w:t>
            </w:r>
          </w:p>
        </w:tc>
        <w:tc>
          <w:tcPr>
            <w:tcW w:w="799" w:type="pct"/>
            <w:gridSpan w:val="2"/>
            <w:hideMark/>
          </w:tcPr>
          <w:p w14:paraId="0FCC085B" w14:textId="77777777" w:rsidR="009A4C46" w:rsidRPr="00CB5AA8" w:rsidRDefault="009A4C46" w:rsidP="00CB5AA8">
            <w:pPr>
              <w:widowControl w:val="0"/>
              <w:rPr>
                <w:rFonts w:eastAsia="Times New Roman"/>
                <w:sz w:val="17"/>
                <w:szCs w:val="17"/>
                <w:lang w:eastAsia="ru-RU"/>
              </w:rPr>
            </w:pPr>
            <w:r w:rsidRPr="00CB5AA8">
              <w:rPr>
                <w:rFonts w:eastAsia="Times New Roman"/>
                <w:sz w:val="17"/>
                <w:szCs w:val="17"/>
                <w:lang w:eastAsia="ru-RU"/>
              </w:rPr>
              <w:t xml:space="preserve">профинансированы фактически </w:t>
            </w:r>
            <w:proofErr w:type="spellStart"/>
            <w:r w:rsidRPr="00CB5AA8">
              <w:rPr>
                <w:rFonts w:eastAsia="Times New Roman"/>
                <w:sz w:val="17"/>
                <w:szCs w:val="17"/>
                <w:lang w:eastAsia="ru-RU"/>
              </w:rPr>
              <w:t>выполненые</w:t>
            </w:r>
            <w:proofErr w:type="spellEnd"/>
            <w:r w:rsidRPr="00CB5AA8">
              <w:rPr>
                <w:rFonts w:eastAsia="Times New Roman"/>
                <w:sz w:val="17"/>
                <w:szCs w:val="17"/>
                <w:lang w:eastAsia="ru-RU"/>
              </w:rPr>
              <w:t xml:space="preserve"> работы хоз. способом </w:t>
            </w:r>
          </w:p>
        </w:tc>
      </w:tr>
      <w:tr w:rsidR="00CB5AA8" w:rsidRPr="00CB5AA8" w14:paraId="03A4B08D" w14:textId="77777777" w:rsidTr="00CB5AA8">
        <w:trPr>
          <w:trHeight w:val="900"/>
        </w:trPr>
        <w:tc>
          <w:tcPr>
            <w:tcW w:w="210" w:type="pct"/>
            <w:noWrap/>
            <w:hideMark/>
          </w:tcPr>
          <w:p w14:paraId="6034610C" w14:textId="77777777" w:rsidR="009A4C46" w:rsidRPr="00CB5AA8" w:rsidRDefault="009A4C46" w:rsidP="00CB5AA8">
            <w:pPr>
              <w:widowControl w:val="0"/>
              <w:rPr>
                <w:rFonts w:eastAsia="Times New Roman"/>
                <w:sz w:val="17"/>
                <w:szCs w:val="17"/>
                <w:lang w:eastAsia="ru-RU"/>
              </w:rPr>
            </w:pPr>
            <w:r w:rsidRPr="00CB5AA8">
              <w:rPr>
                <w:rFonts w:eastAsia="Times New Roman"/>
                <w:sz w:val="17"/>
                <w:szCs w:val="17"/>
                <w:lang w:eastAsia="ru-RU"/>
              </w:rPr>
              <w:t>9</w:t>
            </w:r>
          </w:p>
        </w:tc>
        <w:tc>
          <w:tcPr>
            <w:tcW w:w="1093" w:type="pct"/>
            <w:hideMark/>
          </w:tcPr>
          <w:p w14:paraId="547BFFBF" w14:textId="77777777" w:rsidR="009A4C46" w:rsidRPr="00CB5AA8" w:rsidRDefault="009A4C46" w:rsidP="00CB5AA8">
            <w:pPr>
              <w:widowControl w:val="0"/>
              <w:rPr>
                <w:rFonts w:eastAsia="Times New Roman"/>
                <w:sz w:val="17"/>
                <w:szCs w:val="17"/>
                <w:lang w:eastAsia="ru-RU"/>
              </w:rPr>
            </w:pPr>
            <w:r w:rsidRPr="00CB5AA8">
              <w:rPr>
                <w:rFonts w:eastAsia="Times New Roman"/>
                <w:sz w:val="17"/>
                <w:szCs w:val="17"/>
                <w:lang w:eastAsia="ru-RU"/>
              </w:rPr>
              <w:t xml:space="preserve">Реконструкция  ВЛ 10кВ ф.8-05 </w:t>
            </w:r>
            <w:proofErr w:type="spellStart"/>
            <w:r w:rsidRPr="00CB5AA8">
              <w:rPr>
                <w:rFonts w:eastAsia="Times New Roman"/>
                <w:sz w:val="17"/>
                <w:szCs w:val="17"/>
                <w:lang w:eastAsia="ru-RU"/>
              </w:rPr>
              <w:t>г.Шагонар</w:t>
            </w:r>
            <w:proofErr w:type="spellEnd"/>
            <w:r w:rsidRPr="00CB5AA8">
              <w:rPr>
                <w:rFonts w:eastAsia="Times New Roman"/>
                <w:sz w:val="17"/>
                <w:szCs w:val="17"/>
                <w:lang w:eastAsia="ru-RU"/>
              </w:rPr>
              <w:t xml:space="preserve">, </w:t>
            </w:r>
            <w:proofErr w:type="spellStart"/>
            <w:r w:rsidRPr="00CB5AA8">
              <w:rPr>
                <w:rFonts w:eastAsia="Times New Roman"/>
                <w:sz w:val="17"/>
                <w:szCs w:val="17"/>
                <w:lang w:eastAsia="ru-RU"/>
              </w:rPr>
              <w:t>ул.Магистральная</w:t>
            </w:r>
            <w:proofErr w:type="spellEnd"/>
            <w:r w:rsidRPr="00CB5AA8">
              <w:rPr>
                <w:rFonts w:eastAsia="Times New Roman"/>
                <w:sz w:val="17"/>
                <w:szCs w:val="17"/>
                <w:lang w:eastAsia="ru-RU"/>
              </w:rPr>
              <w:t xml:space="preserve"> д.13</w:t>
            </w:r>
          </w:p>
        </w:tc>
        <w:tc>
          <w:tcPr>
            <w:tcW w:w="514" w:type="pct"/>
            <w:noWrap/>
            <w:hideMark/>
          </w:tcPr>
          <w:p w14:paraId="340F1BED" w14:textId="77777777" w:rsidR="009A4C46" w:rsidRPr="00CB5AA8" w:rsidRDefault="009A4C46" w:rsidP="00CB5AA8">
            <w:pPr>
              <w:widowControl w:val="0"/>
              <w:jc w:val="center"/>
              <w:rPr>
                <w:rFonts w:eastAsia="Times New Roman"/>
                <w:sz w:val="17"/>
                <w:szCs w:val="17"/>
                <w:lang w:eastAsia="ru-RU"/>
              </w:rPr>
            </w:pPr>
          </w:p>
        </w:tc>
        <w:tc>
          <w:tcPr>
            <w:tcW w:w="452" w:type="pct"/>
            <w:noWrap/>
            <w:hideMark/>
          </w:tcPr>
          <w:p w14:paraId="42AF2F42" w14:textId="77777777" w:rsidR="009A4C46" w:rsidRPr="00CB5AA8" w:rsidRDefault="009A4C46" w:rsidP="00CB5AA8">
            <w:pPr>
              <w:widowControl w:val="0"/>
              <w:jc w:val="center"/>
              <w:rPr>
                <w:rFonts w:eastAsia="Times New Roman"/>
                <w:sz w:val="17"/>
                <w:szCs w:val="17"/>
                <w:lang w:eastAsia="ru-RU"/>
              </w:rPr>
            </w:pPr>
          </w:p>
        </w:tc>
        <w:tc>
          <w:tcPr>
            <w:tcW w:w="413" w:type="pct"/>
            <w:noWrap/>
            <w:hideMark/>
          </w:tcPr>
          <w:p w14:paraId="55B4E0D9" w14:textId="77777777" w:rsidR="009A4C46" w:rsidRPr="00CB5AA8" w:rsidRDefault="009A4C46" w:rsidP="00CB5AA8">
            <w:pPr>
              <w:widowControl w:val="0"/>
              <w:jc w:val="center"/>
              <w:rPr>
                <w:rFonts w:eastAsia="Times New Roman"/>
                <w:sz w:val="17"/>
                <w:szCs w:val="17"/>
                <w:lang w:eastAsia="ru-RU"/>
              </w:rPr>
            </w:pPr>
          </w:p>
        </w:tc>
        <w:tc>
          <w:tcPr>
            <w:tcW w:w="454" w:type="pct"/>
            <w:noWrap/>
            <w:hideMark/>
          </w:tcPr>
          <w:p w14:paraId="1722D7ED" w14:textId="77777777" w:rsidR="009A4C46" w:rsidRPr="00CB5AA8" w:rsidRDefault="009A4C46" w:rsidP="00CB5AA8">
            <w:pPr>
              <w:widowControl w:val="0"/>
              <w:jc w:val="center"/>
              <w:rPr>
                <w:rFonts w:eastAsia="Times New Roman"/>
                <w:sz w:val="17"/>
                <w:szCs w:val="17"/>
                <w:lang w:eastAsia="ru-RU"/>
              </w:rPr>
            </w:pPr>
            <w:r w:rsidRPr="00CB5AA8">
              <w:rPr>
                <w:rFonts w:eastAsia="Times New Roman"/>
                <w:sz w:val="17"/>
                <w:szCs w:val="17"/>
                <w:lang w:eastAsia="ru-RU"/>
              </w:rPr>
              <w:t>0,001</w:t>
            </w:r>
          </w:p>
        </w:tc>
        <w:tc>
          <w:tcPr>
            <w:tcW w:w="477" w:type="pct"/>
            <w:noWrap/>
            <w:hideMark/>
          </w:tcPr>
          <w:p w14:paraId="2EC25293" w14:textId="77777777" w:rsidR="009A4C46" w:rsidRPr="00CB5AA8" w:rsidRDefault="009A4C46" w:rsidP="00CB5AA8">
            <w:pPr>
              <w:widowControl w:val="0"/>
              <w:jc w:val="center"/>
              <w:rPr>
                <w:rFonts w:eastAsia="Times New Roman"/>
                <w:sz w:val="17"/>
                <w:szCs w:val="17"/>
                <w:lang w:eastAsia="ru-RU"/>
              </w:rPr>
            </w:pPr>
            <w:r w:rsidRPr="00CB5AA8">
              <w:rPr>
                <w:rFonts w:eastAsia="Times New Roman"/>
                <w:sz w:val="17"/>
                <w:szCs w:val="17"/>
                <w:lang w:eastAsia="ru-RU"/>
              </w:rPr>
              <w:t>-0,001</w:t>
            </w:r>
          </w:p>
        </w:tc>
        <w:tc>
          <w:tcPr>
            <w:tcW w:w="589" w:type="pct"/>
            <w:gridSpan w:val="2"/>
            <w:noWrap/>
            <w:hideMark/>
          </w:tcPr>
          <w:p w14:paraId="6FE6A312" w14:textId="77777777" w:rsidR="009A4C46" w:rsidRPr="00CB5AA8" w:rsidRDefault="009A4C46" w:rsidP="00CB5AA8">
            <w:pPr>
              <w:widowControl w:val="0"/>
              <w:jc w:val="center"/>
              <w:rPr>
                <w:rFonts w:eastAsia="Times New Roman"/>
                <w:sz w:val="17"/>
                <w:szCs w:val="17"/>
                <w:lang w:eastAsia="ru-RU"/>
              </w:rPr>
            </w:pPr>
            <w:r w:rsidRPr="00CB5AA8">
              <w:rPr>
                <w:rFonts w:eastAsia="Times New Roman"/>
                <w:sz w:val="17"/>
                <w:szCs w:val="17"/>
                <w:lang w:eastAsia="ru-RU"/>
              </w:rPr>
              <w:t>0,001</w:t>
            </w:r>
          </w:p>
        </w:tc>
        <w:tc>
          <w:tcPr>
            <w:tcW w:w="799" w:type="pct"/>
            <w:gridSpan w:val="2"/>
            <w:hideMark/>
          </w:tcPr>
          <w:p w14:paraId="7E0AE94A" w14:textId="77777777" w:rsidR="009A4C46" w:rsidRPr="00CB5AA8" w:rsidRDefault="009A4C46" w:rsidP="00CB5AA8">
            <w:pPr>
              <w:widowControl w:val="0"/>
              <w:rPr>
                <w:rFonts w:eastAsia="Times New Roman"/>
                <w:sz w:val="17"/>
                <w:szCs w:val="17"/>
                <w:lang w:eastAsia="ru-RU"/>
              </w:rPr>
            </w:pPr>
            <w:r w:rsidRPr="00CB5AA8">
              <w:rPr>
                <w:rFonts w:eastAsia="Times New Roman"/>
                <w:sz w:val="17"/>
                <w:szCs w:val="17"/>
                <w:lang w:eastAsia="ru-RU"/>
              </w:rPr>
              <w:t xml:space="preserve">профинансированы фактически </w:t>
            </w:r>
            <w:proofErr w:type="spellStart"/>
            <w:r w:rsidRPr="00CB5AA8">
              <w:rPr>
                <w:rFonts w:eastAsia="Times New Roman"/>
                <w:sz w:val="17"/>
                <w:szCs w:val="17"/>
                <w:lang w:eastAsia="ru-RU"/>
              </w:rPr>
              <w:t>выполненые</w:t>
            </w:r>
            <w:proofErr w:type="spellEnd"/>
            <w:r w:rsidRPr="00CB5AA8">
              <w:rPr>
                <w:rFonts w:eastAsia="Times New Roman"/>
                <w:sz w:val="17"/>
                <w:szCs w:val="17"/>
                <w:lang w:eastAsia="ru-RU"/>
              </w:rPr>
              <w:t xml:space="preserve"> работы хоз. способом </w:t>
            </w:r>
          </w:p>
        </w:tc>
      </w:tr>
      <w:tr w:rsidR="00CB5AA8" w:rsidRPr="00CB5AA8" w14:paraId="2FC59364" w14:textId="77777777" w:rsidTr="00CB5AA8">
        <w:trPr>
          <w:trHeight w:val="641"/>
        </w:trPr>
        <w:tc>
          <w:tcPr>
            <w:tcW w:w="210" w:type="pct"/>
            <w:noWrap/>
            <w:hideMark/>
          </w:tcPr>
          <w:p w14:paraId="6015BDA7" w14:textId="77777777" w:rsidR="009A4C46" w:rsidRPr="00CB5AA8" w:rsidRDefault="009A4C46" w:rsidP="00CB5AA8">
            <w:pPr>
              <w:widowControl w:val="0"/>
              <w:rPr>
                <w:rFonts w:eastAsia="Times New Roman"/>
                <w:sz w:val="17"/>
                <w:szCs w:val="17"/>
                <w:lang w:eastAsia="ru-RU"/>
              </w:rPr>
            </w:pPr>
            <w:r w:rsidRPr="00CB5AA8">
              <w:rPr>
                <w:rFonts w:eastAsia="Times New Roman"/>
                <w:sz w:val="17"/>
                <w:szCs w:val="17"/>
                <w:lang w:eastAsia="ru-RU"/>
              </w:rPr>
              <w:t>10</w:t>
            </w:r>
          </w:p>
        </w:tc>
        <w:tc>
          <w:tcPr>
            <w:tcW w:w="1093" w:type="pct"/>
            <w:hideMark/>
          </w:tcPr>
          <w:p w14:paraId="3D19A4DB" w14:textId="77777777" w:rsidR="009A4C46" w:rsidRPr="00CB5AA8" w:rsidRDefault="009A4C46" w:rsidP="00CB5AA8">
            <w:pPr>
              <w:widowControl w:val="0"/>
              <w:rPr>
                <w:rFonts w:eastAsia="Times New Roman"/>
                <w:sz w:val="17"/>
                <w:szCs w:val="17"/>
                <w:lang w:eastAsia="ru-RU"/>
              </w:rPr>
            </w:pPr>
            <w:r w:rsidRPr="00CB5AA8">
              <w:rPr>
                <w:rFonts w:eastAsia="Times New Roman"/>
                <w:sz w:val="17"/>
                <w:szCs w:val="17"/>
                <w:lang w:eastAsia="ru-RU"/>
              </w:rPr>
              <w:t>Реконструкция ВЛ, КЛ 10-0.4 кВ для потребителей до 15 кВт для льготных потребителей</w:t>
            </w:r>
          </w:p>
        </w:tc>
        <w:tc>
          <w:tcPr>
            <w:tcW w:w="514" w:type="pct"/>
            <w:noWrap/>
            <w:hideMark/>
          </w:tcPr>
          <w:p w14:paraId="1BD642B2" w14:textId="77777777" w:rsidR="009A4C46" w:rsidRPr="00CB5AA8" w:rsidRDefault="009A4C46" w:rsidP="00CB5AA8">
            <w:pPr>
              <w:widowControl w:val="0"/>
              <w:jc w:val="center"/>
              <w:rPr>
                <w:rFonts w:eastAsia="Times New Roman"/>
                <w:sz w:val="17"/>
                <w:szCs w:val="17"/>
                <w:lang w:eastAsia="ru-RU"/>
              </w:rPr>
            </w:pPr>
            <w:r w:rsidRPr="00CB5AA8">
              <w:rPr>
                <w:rFonts w:eastAsia="Times New Roman"/>
                <w:sz w:val="17"/>
                <w:szCs w:val="17"/>
                <w:lang w:eastAsia="ru-RU"/>
              </w:rPr>
              <w:t>1,523</w:t>
            </w:r>
          </w:p>
        </w:tc>
        <w:tc>
          <w:tcPr>
            <w:tcW w:w="452" w:type="pct"/>
            <w:noWrap/>
            <w:hideMark/>
          </w:tcPr>
          <w:p w14:paraId="05C9780A" w14:textId="77777777" w:rsidR="009A4C46" w:rsidRPr="00CB5AA8" w:rsidRDefault="009A4C46" w:rsidP="00CB5AA8">
            <w:pPr>
              <w:widowControl w:val="0"/>
              <w:jc w:val="center"/>
              <w:rPr>
                <w:rFonts w:eastAsia="Times New Roman"/>
                <w:sz w:val="17"/>
                <w:szCs w:val="17"/>
                <w:lang w:eastAsia="ru-RU"/>
              </w:rPr>
            </w:pPr>
            <w:r w:rsidRPr="00CB5AA8">
              <w:rPr>
                <w:rFonts w:eastAsia="Times New Roman"/>
                <w:sz w:val="17"/>
                <w:szCs w:val="17"/>
                <w:lang w:eastAsia="ru-RU"/>
              </w:rPr>
              <w:t>1,012</w:t>
            </w:r>
          </w:p>
        </w:tc>
        <w:tc>
          <w:tcPr>
            <w:tcW w:w="413" w:type="pct"/>
            <w:noWrap/>
            <w:hideMark/>
          </w:tcPr>
          <w:p w14:paraId="1D0ED527" w14:textId="77777777" w:rsidR="009A4C46" w:rsidRPr="00CB5AA8" w:rsidRDefault="009A4C46" w:rsidP="00CB5AA8">
            <w:pPr>
              <w:widowControl w:val="0"/>
              <w:jc w:val="center"/>
              <w:rPr>
                <w:rFonts w:eastAsia="Times New Roman"/>
                <w:sz w:val="17"/>
                <w:szCs w:val="17"/>
                <w:lang w:eastAsia="ru-RU"/>
              </w:rPr>
            </w:pPr>
            <w:r w:rsidRPr="00CB5AA8">
              <w:rPr>
                <w:rFonts w:eastAsia="Times New Roman"/>
                <w:sz w:val="17"/>
                <w:szCs w:val="17"/>
                <w:lang w:eastAsia="ru-RU"/>
              </w:rPr>
              <w:t>1,012</w:t>
            </w:r>
          </w:p>
        </w:tc>
        <w:tc>
          <w:tcPr>
            <w:tcW w:w="454" w:type="pct"/>
            <w:noWrap/>
            <w:hideMark/>
          </w:tcPr>
          <w:p w14:paraId="5D13F183" w14:textId="77777777" w:rsidR="009A4C46" w:rsidRPr="00CB5AA8" w:rsidRDefault="009A4C46" w:rsidP="00CB5AA8">
            <w:pPr>
              <w:widowControl w:val="0"/>
              <w:jc w:val="center"/>
              <w:rPr>
                <w:rFonts w:eastAsia="Times New Roman"/>
                <w:sz w:val="17"/>
                <w:szCs w:val="17"/>
                <w:lang w:eastAsia="ru-RU"/>
              </w:rPr>
            </w:pPr>
            <w:r w:rsidRPr="00CB5AA8">
              <w:rPr>
                <w:rFonts w:eastAsia="Times New Roman"/>
                <w:sz w:val="17"/>
                <w:szCs w:val="17"/>
                <w:lang w:eastAsia="ru-RU"/>
              </w:rPr>
              <w:t>0,821</w:t>
            </w:r>
          </w:p>
        </w:tc>
        <w:tc>
          <w:tcPr>
            <w:tcW w:w="477" w:type="pct"/>
            <w:noWrap/>
            <w:hideMark/>
          </w:tcPr>
          <w:p w14:paraId="61251F35" w14:textId="77777777" w:rsidR="009A4C46" w:rsidRPr="00CB5AA8" w:rsidRDefault="009A4C46" w:rsidP="00CB5AA8">
            <w:pPr>
              <w:widowControl w:val="0"/>
              <w:jc w:val="center"/>
              <w:rPr>
                <w:rFonts w:eastAsia="Times New Roman"/>
                <w:sz w:val="17"/>
                <w:szCs w:val="17"/>
                <w:lang w:eastAsia="ru-RU"/>
              </w:rPr>
            </w:pPr>
            <w:r w:rsidRPr="00CB5AA8">
              <w:rPr>
                <w:rFonts w:eastAsia="Times New Roman"/>
                <w:sz w:val="17"/>
                <w:szCs w:val="17"/>
                <w:lang w:eastAsia="ru-RU"/>
              </w:rPr>
              <w:t>0,191</w:t>
            </w:r>
          </w:p>
        </w:tc>
        <w:tc>
          <w:tcPr>
            <w:tcW w:w="589" w:type="pct"/>
            <w:gridSpan w:val="2"/>
            <w:noWrap/>
            <w:hideMark/>
          </w:tcPr>
          <w:p w14:paraId="682B0E51" w14:textId="77777777" w:rsidR="009A4C46" w:rsidRPr="00CB5AA8" w:rsidRDefault="009A4C46" w:rsidP="00CB5AA8">
            <w:pPr>
              <w:widowControl w:val="0"/>
              <w:jc w:val="center"/>
              <w:rPr>
                <w:rFonts w:eastAsia="Times New Roman"/>
                <w:sz w:val="17"/>
                <w:szCs w:val="17"/>
                <w:lang w:eastAsia="ru-RU"/>
              </w:rPr>
            </w:pPr>
            <w:r w:rsidRPr="00CB5AA8">
              <w:rPr>
                <w:rFonts w:eastAsia="Times New Roman"/>
                <w:sz w:val="17"/>
                <w:szCs w:val="17"/>
                <w:lang w:eastAsia="ru-RU"/>
              </w:rPr>
              <w:t>-0,191</w:t>
            </w:r>
          </w:p>
        </w:tc>
        <w:tc>
          <w:tcPr>
            <w:tcW w:w="799" w:type="pct"/>
            <w:gridSpan w:val="2"/>
            <w:hideMark/>
          </w:tcPr>
          <w:p w14:paraId="56D12000" w14:textId="77777777" w:rsidR="009A4C46" w:rsidRPr="00CB5AA8" w:rsidRDefault="009A4C46" w:rsidP="00CB5AA8">
            <w:pPr>
              <w:widowControl w:val="0"/>
              <w:rPr>
                <w:rFonts w:eastAsia="Times New Roman"/>
                <w:sz w:val="17"/>
                <w:szCs w:val="17"/>
                <w:lang w:eastAsia="ru-RU"/>
              </w:rPr>
            </w:pPr>
            <w:r w:rsidRPr="00CB5AA8">
              <w:rPr>
                <w:rFonts w:eastAsia="Times New Roman"/>
                <w:sz w:val="17"/>
                <w:szCs w:val="17"/>
                <w:lang w:eastAsia="ru-RU"/>
              </w:rPr>
              <w:t>Выполнение объектов  ТП</w:t>
            </w:r>
          </w:p>
        </w:tc>
      </w:tr>
      <w:tr w:rsidR="00CB5AA8" w:rsidRPr="00CB5AA8" w14:paraId="2DEF8899" w14:textId="77777777" w:rsidTr="00CB5AA8">
        <w:trPr>
          <w:trHeight w:val="608"/>
        </w:trPr>
        <w:tc>
          <w:tcPr>
            <w:tcW w:w="210" w:type="pct"/>
            <w:noWrap/>
            <w:hideMark/>
          </w:tcPr>
          <w:p w14:paraId="49B432AD" w14:textId="77777777" w:rsidR="009A4C46" w:rsidRPr="00CB5AA8" w:rsidRDefault="009A4C46" w:rsidP="00CB5AA8">
            <w:pPr>
              <w:widowControl w:val="0"/>
              <w:rPr>
                <w:rFonts w:eastAsia="Times New Roman"/>
                <w:sz w:val="17"/>
                <w:szCs w:val="17"/>
                <w:lang w:eastAsia="ru-RU"/>
              </w:rPr>
            </w:pPr>
            <w:r w:rsidRPr="00CB5AA8">
              <w:rPr>
                <w:rFonts w:eastAsia="Times New Roman"/>
                <w:sz w:val="17"/>
                <w:szCs w:val="17"/>
                <w:lang w:eastAsia="ru-RU"/>
              </w:rPr>
              <w:t>11</w:t>
            </w:r>
          </w:p>
        </w:tc>
        <w:tc>
          <w:tcPr>
            <w:tcW w:w="1093" w:type="pct"/>
            <w:hideMark/>
          </w:tcPr>
          <w:p w14:paraId="2108FE67" w14:textId="77777777" w:rsidR="009A4C46" w:rsidRPr="00CB5AA8" w:rsidRDefault="009A4C46" w:rsidP="00CB5AA8">
            <w:pPr>
              <w:widowControl w:val="0"/>
              <w:rPr>
                <w:rFonts w:eastAsia="Times New Roman"/>
                <w:sz w:val="17"/>
                <w:szCs w:val="17"/>
                <w:lang w:eastAsia="ru-RU"/>
              </w:rPr>
            </w:pPr>
            <w:r w:rsidRPr="00CB5AA8">
              <w:rPr>
                <w:rFonts w:eastAsia="Times New Roman"/>
                <w:sz w:val="17"/>
                <w:szCs w:val="17"/>
                <w:lang w:eastAsia="ru-RU"/>
              </w:rPr>
              <w:t>Реконструкция ТП 10/0,4 кВ, для потребителей до 15 кВт для льготных потребителей</w:t>
            </w:r>
          </w:p>
        </w:tc>
        <w:tc>
          <w:tcPr>
            <w:tcW w:w="514" w:type="pct"/>
            <w:noWrap/>
            <w:hideMark/>
          </w:tcPr>
          <w:p w14:paraId="711469F1" w14:textId="77777777" w:rsidR="009A4C46" w:rsidRPr="00CB5AA8" w:rsidRDefault="009A4C46" w:rsidP="00CB5AA8">
            <w:pPr>
              <w:widowControl w:val="0"/>
              <w:jc w:val="center"/>
              <w:rPr>
                <w:rFonts w:eastAsia="Times New Roman"/>
                <w:sz w:val="17"/>
                <w:szCs w:val="17"/>
                <w:lang w:eastAsia="ru-RU"/>
              </w:rPr>
            </w:pPr>
            <w:r w:rsidRPr="00CB5AA8">
              <w:rPr>
                <w:rFonts w:eastAsia="Times New Roman"/>
                <w:sz w:val="17"/>
                <w:szCs w:val="17"/>
                <w:lang w:eastAsia="ru-RU"/>
              </w:rPr>
              <w:t>4,080</w:t>
            </w:r>
          </w:p>
        </w:tc>
        <w:tc>
          <w:tcPr>
            <w:tcW w:w="452" w:type="pct"/>
            <w:noWrap/>
            <w:hideMark/>
          </w:tcPr>
          <w:p w14:paraId="3731290E" w14:textId="77777777" w:rsidR="009A4C46" w:rsidRPr="00CB5AA8" w:rsidRDefault="009A4C46" w:rsidP="00CB5AA8">
            <w:pPr>
              <w:widowControl w:val="0"/>
              <w:jc w:val="center"/>
              <w:rPr>
                <w:rFonts w:eastAsia="Times New Roman"/>
                <w:sz w:val="17"/>
                <w:szCs w:val="17"/>
                <w:lang w:eastAsia="ru-RU"/>
              </w:rPr>
            </w:pPr>
            <w:r w:rsidRPr="00CB5AA8">
              <w:rPr>
                <w:rFonts w:eastAsia="Times New Roman"/>
                <w:sz w:val="17"/>
                <w:szCs w:val="17"/>
                <w:lang w:eastAsia="ru-RU"/>
              </w:rPr>
              <w:t>2,131</w:t>
            </w:r>
          </w:p>
        </w:tc>
        <w:tc>
          <w:tcPr>
            <w:tcW w:w="413" w:type="pct"/>
            <w:noWrap/>
            <w:hideMark/>
          </w:tcPr>
          <w:p w14:paraId="7400C424" w14:textId="77777777" w:rsidR="009A4C46" w:rsidRPr="00CB5AA8" w:rsidRDefault="009A4C46" w:rsidP="00CB5AA8">
            <w:pPr>
              <w:widowControl w:val="0"/>
              <w:jc w:val="center"/>
              <w:rPr>
                <w:rFonts w:eastAsia="Times New Roman"/>
                <w:sz w:val="17"/>
                <w:szCs w:val="17"/>
                <w:lang w:eastAsia="ru-RU"/>
              </w:rPr>
            </w:pPr>
            <w:r w:rsidRPr="00CB5AA8">
              <w:rPr>
                <w:rFonts w:eastAsia="Times New Roman"/>
                <w:sz w:val="17"/>
                <w:szCs w:val="17"/>
                <w:lang w:eastAsia="ru-RU"/>
              </w:rPr>
              <w:t>2,131</w:t>
            </w:r>
          </w:p>
        </w:tc>
        <w:tc>
          <w:tcPr>
            <w:tcW w:w="454" w:type="pct"/>
            <w:noWrap/>
            <w:hideMark/>
          </w:tcPr>
          <w:p w14:paraId="5C7192E9" w14:textId="77777777" w:rsidR="009A4C46" w:rsidRPr="00CB5AA8" w:rsidRDefault="009A4C46" w:rsidP="00CB5AA8">
            <w:pPr>
              <w:widowControl w:val="0"/>
              <w:jc w:val="center"/>
              <w:rPr>
                <w:rFonts w:eastAsia="Times New Roman"/>
                <w:sz w:val="17"/>
                <w:szCs w:val="17"/>
                <w:lang w:eastAsia="ru-RU"/>
              </w:rPr>
            </w:pPr>
            <w:r w:rsidRPr="00CB5AA8">
              <w:rPr>
                <w:rFonts w:eastAsia="Times New Roman"/>
                <w:sz w:val="17"/>
                <w:szCs w:val="17"/>
                <w:lang w:eastAsia="ru-RU"/>
              </w:rPr>
              <w:t>1,890</w:t>
            </w:r>
          </w:p>
        </w:tc>
        <w:tc>
          <w:tcPr>
            <w:tcW w:w="477" w:type="pct"/>
            <w:noWrap/>
            <w:hideMark/>
          </w:tcPr>
          <w:p w14:paraId="0C1DDBF9" w14:textId="77777777" w:rsidR="009A4C46" w:rsidRPr="00CB5AA8" w:rsidRDefault="009A4C46" w:rsidP="00CB5AA8">
            <w:pPr>
              <w:widowControl w:val="0"/>
              <w:jc w:val="center"/>
              <w:rPr>
                <w:rFonts w:eastAsia="Times New Roman"/>
                <w:sz w:val="17"/>
                <w:szCs w:val="17"/>
                <w:lang w:eastAsia="ru-RU"/>
              </w:rPr>
            </w:pPr>
            <w:r w:rsidRPr="00CB5AA8">
              <w:rPr>
                <w:rFonts w:eastAsia="Times New Roman"/>
                <w:sz w:val="17"/>
                <w:szCs w:val="17"/>
                <w:lang w:eastAsia="ru-RU"/>
              </w:rPr>
              <w:t>0,241</w:t>
            </w:r>
          </w:p>
        </w:tc>
        <w:tc>
          <w:tcPr>
            <w:tcW w:w="589" w:type="pct"/>
            <w:gridSpan w:val="2"/>
            <w:noWrap/>
            <w:hideMark/>
          </w:tcPr>
          <w:p w14:paraId="708CA570" w14:textId="77777777" w:rsidR="009A4C46" w:rsidRPr="00CB5AA8" w:rsidRDefault="009A4C46" w:rsidP="00CB5AA8">
            <w:pPr>
              <w:widowControl w:val="0"/>
              <w:jc w:val="center"/>
              <w:rPr>
                <w:rFonts w:eastAsia="Times New Roman"/>
                <w:sz w:val="17"/>
                <w:szCs w:val="17"/>
                <w:lang w:eastAsia="ru-RU"/>
              </w:rPr>
            </w:pPr>
            <w:r w:rsidRPr="00CB5AA8">
              <w:rPr>
                <w:rFonts w:eastAsia="Times New Roman"/>
                <w:sz w:val="17"/>
                <w:szCs w:val="17"/>
                <w:lang w:eastAsia="ru-RU"/>
              </w:rPr>
              <w:t>-0,241</w:t>
            </w:r>
          </w:p>
        </w:tc>
        <w:tc>
          <w:tcPr>
            <w:tcW w:w="799" w:type="pct"/>
            <w:gridSpan w:val="2"/>
            <w:hideMark/>
          </w:tcPr>
          <w:p w14:paraId="5EB3AC8D" w14:textId="77777777" w:rsidR="009A4C46" w:rsidRPr="00CB5AA8" w:rsidRDefault="009A4C46" w:rsidP="00CB5AA8">
            <w:pPr>
              <w:widowControl w:val="0"/>
              <w:rPr>
                <w:rFonts w:eastAsia="Times New Roman"/>
                <w:sz w:val="17"/>
                <w:szCs w:val="17"/>
                <w:lang w:eastAsia="ru-RU"/>
              </w:rPr>
            </w:pPr>
            <w:r w:rsidRPr="00CB5AA8">
              <w:rPr>
                <w:rFonts w:eastAsia="Times New Roman"/>
                <w:sz w:val="17"/>
                <w:szCs w:val="17"/>
                <w:lang w:eastAsia="ru-RU"/>
              </w:rPr>
              <w:t>Выполнение объектов  ТП</w:t>
            </w:r>
          </w:p>
        </w:tc>
      </w:tr>
      <w:tr w:rsidR="00CB5AA8" w:rsidRPr="00CB5AA8" w14:paraId="784EABD5" w14:textId="77777777" w:rsidTr="00CB5AA8">
        <w:trPr>
          <w:trHeight w:val="689"/>
        </w:trPr>
        <w:tc>
          <w:tcPr>
            <w:tcW w:w="210" w:type="pct"/>
            <w:noWrap/>
            <w:hideMark/>
          </w:tcPr>
          <w:p w14:paraId="59581439" w14:textId="77777777" w:rsidR="009A4C46" w:rsidRPr="00CB5AA8" w:rsidRDefault="009A4C46" w:rsidP="00CB5AA8">
            <w:pPr>
              <w:widowControl w:val="0"/>
              <w:rPr>
                <w:rFonts w:eastAsia="Times New Roman"/>
                <w:sz w:val="17"/>
                <w:szCs w:val="17"/>
                <w:lang w:eastAsia="ru-RU"/>
              </w:rPr>
            </w:pPr>
            <w:r w:rsidRPr="00CB5AA8">
              <w:rPr>
                <w:rFonts w:eastAsia="Times New Roman"/>
                <w:sz w:val="17"/>
                <w:szCs w:val="17"/>
                <w:lang w:eastAsia="ru-RU"/>
              </w:rPr>
              <w:t>12</w:t>
            </w:r>
          </w:p>
        </w:tc>
        <w:tc>
          <w:tcPr>
            <w:tcW w:w="1093" w:type="pct"/>
            <w:hideMark/>
          </w:tcPr>
          <w:p w14:paraId="230CA2DB" w14:textId="77777777" w:rsidR="009A4C46" w:rsidRPr="00CB5AA8" w:rsidRDefault="009A4C46" w:rsidP="00CB5AA8">
            <w:pPr>
              <w:widowControl w:val="0"/>
              <w:rPr>
                <w:rFonts w:eastAsia="Times New Roman"/>
                <w:sz w:val="17"/>
                <w:szCs w:val="17"/>
                <w:lang w:eastAsia="ru-RU"/>
              </w:rPr>
            </w:pPr>
            <w:r w:rsidRPr="00CB5AA8">
              <w:rPr>
                <w:rFonts w:eastAsia="Times New Roman"/>
                <w:sz w:val="17"/>
                <w:szCs w:val="17"/>
                <w:lang w:eastAsia="ru-RU"/>
              </w:rPr>
              <w:t>Строительство ВЛ, КЛ 10-0.4 кВ для потребителей до 15 кВт для льготных потребителей</w:t>
            </w:r>
          </w:p>
        </w:tc>
        <w:tc>
          <w:tcPr>
            <w:tcW w:w="514" w:type="pct"/>
            <w:noWrap/>
            <w:hideMark/>
          </w:tcPr>
          <w:p w14:paraId="36D05E5C" w14:textId="77777777" w:rsidR="009A4C46" w:rsidRPr="00CB5AA8" w:rsidRDefault="009A4C46" w:rsidP="00CB5AA8">
            <w:pPr>
              <w:widowControl w:val="0"/>
              <w:jc w:val="center"/>
              <w:rPr>
                <w:rFonts w:eastAsia="Times New Roman"/>
                <w:sz w:val="17"/>
                <w:szCs w:val="17"/>
                <w:lang w:eastAsia="ru-RU"/>
              </w:rPr>
            </w:pPr>
            <w:r w:rsidRPr="00CB5AA8">
              <w:rPr>
                <w:rFonts w:eastAsia="Times New Roman"/>
                <w:sz w:val="17"/>
                <w:szCs w:val="17"/>
                <w:lang w:eastAsia="ru-RU"/>
              </w:rPr>
              <w:t>192,623</w:t>
            </w:r>
          </w:p>
        </w:tc>
        <w:tc>
          <w:tcPr>
            <w:tcW w:w="452" w:type="pct"/>
            <w:noWrap/>
            <w:hideMark/>
          </w:tcPr>
          <w:p w14:paraId="72C0CF1A" w14:textId="77777777" w:rsidR="009A4C46" w:rsidRPr="00CB5AA8" w:rsidRDefault="009A4C46" w:rsidP="00CB5AA8">
            <w:pPr>
              <w:widowControl w:val="0"/>
              <w:jc w:val="center"/>
              <w:rPr>
                <w:rFonts w:eastAsia="Times New Roman"/>
                <w:sz w:val="17"/>
                <w:szCs w:val="17"/>
                <w:lang w:eastAsia="ru-RU"/>
              </w:rPr>
            </w:pPr>
            <w:r w:rsidRPr="00CB5AA8">
              <w:rPr>
                <w:rFonts w:eastAsia="Times New Roman"/>
                <w:sz w:val="17"/>
                <w:szCs w:val="17"/>
                <w:lang w:eastAsia="ru-RU"/>
              </w:rPr>
              <w:t>145,787</w:t>
            </w:r>
          </w:p>
        </w:tc>
        <w:tc>
          <w:tcPr>
            <w:tcW w:w="413" w:type="pct"/>
            <w:noWrap/>
            <w:hideMark/>
          </w:tcPr>
          <w:p w14:paraId="69D616EC" w14:textId="77777777" w:rsidR="009A4C46" w:rsidRPr="00CB5AA8" w:rsidRDefault="009A4C46" w:rsidP="00CB5AA8">
            <w:pPr>
              <w:widowControl w:val="0"/>
              <w:jc w:val="center"/>
              <w:rPr>
                <w:rFonts w:eastAsia="Times New Roman"/>
                <w:sz w:val="17"/>
                <w:szCs w:val="17"/>
                <w:lang w:eastAsia="ru-RU"/>
              </w:rPr>
            </w:pPr>
            <w:r w:rsidRPr="00CB5AA8">
              <w:rPr>
                <w:rFonts w:eastAsia="Times New Roman"/>
                <w:sz w:val="17"/>
                <w:szCs w:val="17"/>
                <w:lang w:eastAsia="ru-RU"/>
              </w:rPr>
              <w:t>22,428</w:t>
            </w:r>
          </w:p>
        </w:tc>
        <w:tc>
          <w:tcPr>
            <w:tcW w:w="454" w:type="pct"/>
            <w:noWrap/>
            <w:hideMark/>
          </w:tcPr>
          <w:p w14:paraId="553A4CF3" w14:textId="77777777" w:rsidR="009A4C46" w:rsidRPr="00CB5AA8" w:rsidRDefault="009A4C46" w:rsidP="00CB5AA8">
            <w:pPr>
              <w:widowControl w:val="0"/>
              <w:jc w:val="center"/>
              <w:rPr>
                <w:rFonts w:eastAsia="Times New Roman"/>
                <w:sz w:val="17"/>
                <w:szCs w:val="17"/>
                <w:lang w:eastAsia="ru-RU"/>
              </w:rPr>
            </w:pPr>
            <w:r w:rsidRPr="00CB5AA8">
              <w:rPr>
                <w:rFonts w:eastAsia="Times New Roman"/>
                <w:sz w:val="17"/>
                <w:szCs w:val="17"/>
                <w:lang w:eastAsia="ru-RU"/>
              </w:rPr>
              <w:t>31,617</w:t>
            </w:r>
          </w:p>
        </w:tc>
        <w:tc>
          <w:tcPr>
            <w:tcW w:w="477" w:type="pct"/>
            <w:noWrap/>
            <w:hideMark/>
          </w:tcPr>
          <w:p w14:paraId="38A6F1BA" w14:textId="77777777" w:rsidR="009A4C46" w:rsidRPr="00CB5AA8" w:rsidRDefault="009A4C46" w:rsidP="00CB5AA8">
            <w:pPr>
              <w:widowControl w:val="0"/>
              <w:jc w:val="center"/>
              <w:rPr>
                <w:rFonts w:eastAsia="Times New Roman"/>
                <w:sz w:val="17"/>
                <w:szCs w:val="17"/>
                <w:lang w:eastAsia="ru-RU"/>
              </w:rPr>
            </w:pPr>
            <w:r w:rsidRPr="00CB5AA8">
              <w:rPr>
                <w:rFonts w:eastAsia="Times New Roman"/>
                <w:sz w:val="17"/>
                <w:szCs w:val="17"/>
                <w:lang w:eastAsia="ru-RU"/>
              </w:rPr>
              <w:t>114,170</w:t>
            </w:r>
          </w:p>
        </w:tc>
        <w:tc>
          <w:tcPr>
            <w:tcW w:w="589" w:type="pct"/>
            <w:gridSpan w:val="2"/>
            <w:noWrap/>
            <w:hideMark/>
          </w:tcPr>
          <w:p w14:paraId="7794322D" w14:textId="77777777" w:rsidR="009A4C46" w:rsidRPr="00CB5AA8" w:rsidRDefault="009A4C46" w:rsidP="00CB5AA8">
            <w:pPr>
              <w:widowControl w:val="0"/>
              <w:jc w:val="center"/>
              <w:rPr>
                <w:rFonts w:eastAsia="Times New Roman"/>
                <w:sz w:val="17"/>
                <w:szCs w:val="17"/>
                <w:lang w:eastAsia="ru-RU"/>
              </w:rPr>
            </w:pPr>
            <w:r w:rsidRPr="00CB5AA8">
              <w:rPr>
                <w:rFonts w:eastAsia="Times New Roman"/>
                <w:sz w:val="17"/>
                <w:szCs w:val="17"/>
                <w:lang w:eastAsia="ru-RU"/>
              </w:rPr>
              <w:t>9,188</w:t>
            </w:r>
          </w:p>
        </w:tc>
        <w:tc>
          <w:tcPr>
            <w:tcW w:w="799" w:type="pct"/>
            <w:gridSpan w:val="2"/>
            <w:hideMark/>
          </w:tcPr>
          <w:p w14:paraId="0B55DEBD" w14:textId="77777777" w:rsidR="009A4C46" w:rsidRPr="00CB5AA8" w:rsidRDefault="009A4C46" w:rsidP="00CB5AA8">
            <w:pPr>
              <w:widowControl w:val="0"/>
              <w:rPr>
                <w:rFonts w:eastAsia="Times New Roman"/>
                <w:sz w:val="17"/>
                <w:szCs w:val="17"/>
                <w:lang w:eastAsia="ru-RU"/>
              </w:rPr>
            </w:pPr>
            <w:r w:rsidRPr="00CB5AA8">
              <w:rPr>
                <w:rFonts w:eastAsia="Times New Roman"/>
                <w:sz w:val="17"/>
                <w:szCs w:val="17"/>
                <w:lang w:eastAsia="ru-RU"/>
              </w:rPr>
              <w:t>Выполнение объектов  ТП</w:t>
            </w:r>
          </w:p>
        </w:tc>
      </w:tr>
      <w:tr w:rsidR="00CB5AA8" w:rsidRPr="00CB5AA8" w14:paraId="7B1132C2" w14:textId="77777777" w:rsidTr="00CB5AA8">
        <w:trPr>
          <w:trHeight w:val="603"/>
        </w:trPr>
        <w:tc>
          <w:tcPr>
            <w:tcW w:w="210" w:type="pct"/>
            <w:noWrap/>
            <w:hideMark/>
          </w:tcPr>
          <w:p w14:paraId="7D230CE7" w14:textId="77777777" w:rsidR="009A4C46" w:rsidRPr="00CB5AA8" w:rsidRDefault="009A4C46" w:rsidP="00CB5AA8">
            <w:pPr>
              <w:widowControl w:val="0"/>
              <w:rPr>
                <w:rFonts w:eastAsia="Times New Roman"/>
                <w:sz w:val="17"/>
                <w:szCs w:val="17"/>
                <w:lang w:eastAsia="ru-RU"/>
              </w:rPr>
            </w:pPr>
            <w:r w:rsidRPr="00CB5AA8">
              <w:rPr>
                <w:rFonts w:eastAsia="Times New Roman"/>
                <w:sz w:val="17"/>
                <w:szCs w:val="17"/>
                <w:lang w:eastAsia="ru-RU"/>
              </w:rPr>
              <w:t>13</w:t>
            </w:r>
          </w:p>
        </w:tc>
        <w:tc>
          <w:tcPr>
            <w:tcW w:w="1093" w:type="pct"/>
            <w:hideMark/>
          </w:tcPr>
          <w:p w14:paraId="44B2E3F1" w14:textId="77777777" w:rsidR="009A4C46" w:rsidRPr="00CB5AA8" w:rsidRDefault="009A4C46" w:rsidP="00CB5AA8">
            <w:pPr>
              <w:widowControl w:val="0"/>
              <w:rPr>
                <w:rFonts w:eastAsia="Times New Roman"/>
                <w:sz w:val="17"/>
                <w:szCs w:val="17"/>
                <w:lang w:eastAsia="ru-RU"/>
              </w:rPr>
            </w:pPr>
            <w:r w:rsidRPr="00CB5AA8">
              <w:rPr>
                <w:rFonts w:eastAsia="Times New Roman"/>
                <w:sz w:val="17"/>
                <w:szCs w:val="17"/>
                <w:lang w:eastAsia="ru-RU"/>
              </w:rPr>
              <w:t>Строительство ТП 10/0.4кВ для потребителей до 15 кВт льготных потребителей</w:t>
            </w:r>
          </w:p>
        </w:tc>
        <w:tc>
          <w:tcPr>
            <w:tcW w:w="514" w:type="pct"/>
            <w:noWrap/>
            <w:hideMark/>
          </w:tcPr>
          <w:p w14:paraId="1DDF6F4B" w14:textId="77777777" w:rsidR="009A4C46" w:rsidRPr="00CB5AA8" w:rsidRDefault="009A4C46" w:rsidP="00CB5AA8">
            <w:pPr>
              <w:widowControl w:val="0"/>
              <w:jc w:val="center"/>
              <w:rPr>
                <w:rFonts w:eastAsia="Times New Roman"/>
                <w:sz w:val="17"/>
                <w:szCs w:val="17"/>
                <w:lang w:eastAsia="ru-RU"/>
              </w:rPr>
            </w:pPr>
            <w:r w:rsidRPr="00CB5AA8">
              <w:rPr>
                <w:rFonts w:eastAsia="Times New Roman"/>
                <w:sz w:val="17"/>
                <w:szCs w:val="17"/>
                <w:lang w:eastAsia="ru-RU"/>
              </w:rPr>
              <w:t>41,556</w:t>
            </w:r>
          </w:p>
        </w:tc>
        <w:tc>
          <w:tcPr>
            <w:tcW w:w="452" w:type="pct"/>
            <w:noWrap/>
            <w:hideMark/>
          </w:tcPr>
          <w:p w14:paraId="1FBD4273" w14:textId="77777777" w:rsidR="009A4C46" w:rsidRPr="00CB5AA8" w:rsidRDefault="009A4C46" w:rsidP="00CB5AA8">
            <w:pPr>
              <w:widowControl w:val="0"/>
              <w:jc w:val="center"/>
              <w:rPr>
                <w:rFonts w:eastAsia="Times New Roman"/>
                <w:sz w:val="17"/>
                <w:szCs w:val="17"/>
                <w:lang w:eastAsia="ru-RU"/>
              </w:rPr>
            </w:pPr>
            <w:r w:rsidRPr="00CB5AA8">
              <w:rPr>
                <w:rFonts w:eastAsia="Times New Roman"/>
                <w:sz w:val="17"/>
                <w:szCs w:val="17"/>
                <w:lang w:eastAsia="ru-RU"/>
              </w:rPr>
              <w:t>27,532</w:t>
            </w:r>
          </w:p>
        </w:tc>
        <w:tc>
          <w:tcPr>
            <w:tcW w:w="413" w:type="pct"/>
            <w:noWrap/>
            <w:hideMark/>
          </w:tcPr>
          <w:p w14:paraId="3AAB0414" w14:textId="77777777" w:rsidR="009A4C46" w:rsidRPr="00CB5AA8" w:rsidRDefault="009A4C46" w:rsidP="00CB5AA8">
            <w:pPr>
              <w:widowControl w:val="0"/>
              <w:jc w:val="center"/>
              <w:rPr>
                <w:rFonts w:eastAsia="Times New Roman"/>
                <w:sz w:val="17"/>
                <w:szCs w:val="17"/>
                <w:lang w:eastAsia="ru-RU"/>
              </w:rPr>
            </w:pPr>
            <w:r w:rsidRPr="00CB5AA8">
              <w:rPr>
                <w:rFonts w:eastAsia="Times New Roman"/>
                <w:sz w:val="17"/>
                <w:szCs w:val="17"/>
                <w:lang w:eastAsia="ru-RU"/>
              </w:rPr>
              <w:t>4,000</w:t>
            </w:r>
          </w:p>
        </w:tc>
        <w:tc>
          <w:tcPr>
            <w:tcW w:w="454" w:type="pct"/>
            <w:noWrap/>
            <w:hideMark/>
          </w:tcPr>
          <w:p w14:paraId="4DC845FC" w14:textId="77777777" w:rsidR="009A4C46" w:rsidRPr="00CB5AA8" w:rsidRDefault="009A4C46" w:rsidP="00CB5AA8">
            <w:pPr>
              <w:widowControl w:val="0"/>
              <w:jc w:val="center"/>
              <w:rPr>
                <w:rFonts w:eastAsia="Times New Roman"/>
                <w:sz w:val="17"/>
                <w:szCs w:val="17"/>
                <w:lang w:eastAsia="ru-RU"/>
              </w:rPr>
            </w:pPr>
            <w:r w:rsidRPr="00CB5AA8">
              <w:rPr>
                <w:rFonts w:eastAsia="Times New Roman"/>
                <w:sz w:val="17"/>
                <w:szCs w:val="17"/>
                <w:lang w:eastAsia="ru-RU"/>
              </w:rPr>
              <w:t>3,594</w:t>
            </w:r>
          </w:p>
        </w:tc>
        <w:tc>
          <w:tcPr>
            <w:tcW w:w="477" w:type="pct"/>
            <w:noWrap/>
            <w:hideMark/>
          </w:tcPr>
          <w:p w14:paraId="1731C2C5" w14:textId="77777777" w:rsidR="009A4C46" w:rsidRPr="00CB5AA8" w:rsidRDefault="009A4C46" w:rsidP="00CB5AA8">
            <w:pPr>
              <w:widowControl w:val="0"/>
              <w:jc w:val="center"/>
              <w:rPr>
                <w:rFonts w:eastAsia="Times New Roman"/>
                <w:sz w:val="17"/>
                <w:szCs w:val="17"/>
                <w:lang w:eastAsia="ru-RU"/>
              </w:rPr>
            </w:pPr>
            <w:r w:rsidRPr="00CB5AA8">
              <w:rPr>
                <w:rFonts w:eastAsia="Times New Roman"/>
                <w:sz w:val="17"/>
                <w:szCs w:val="17"/>
                <w:lang w:eastAsia="ru-RU"/>
              </w:rPr>
              <w:t>23,938</w:t>
            </w:r>
          </w:p>
        </w:tc>
        <w:tc>
          <w:tcPr>
            <w:tcW w:w="589" w:type="pct"/>
            <w:gridSpan w:val="2"/>
            <w:noWrap/>
            <w:hideMark/>
          </w:tcPr>
          <w:p w14:paraId="6B09BA75" w14:textId="77777777" w:rsidR="009A4C46" w:rsidRPr="00CB5AA8" w:rsidRDefault="009A4C46" w:rsidP="00CB5AA8">
            <w:pPr>
              <w:widowControl w:val="0"/>
              <w:jc w:val="center"/>
              <w:rPr>
                <w:rFonts w:eastAsia="Times New Roman"/>
                <w:sz w:val="17"/>
                <w:szCs w:val="17"/>
                <w:lang w:eastAsia="ru-RU"/>
              </w:rPr>
            </w:pPr>
            <w:r w:rsidRPr="00CB5AA8">
              <w:rPr>
                <w:rFonts w:eastAsia="Times New Roman"/>
                <w:sz w:val="17"/>
                <w:szCs w:val="17"/>
                <w:lang w:eastAsia="ru-RU"/>
              </w:rPr>
              <w:t>-0,407</w:t>
            </w:r>
          </w:p>
        </w:tc>
        <w:tc>
          <w:tcPr>
            <w:tcW w:w="799" w:type="pct"/>
            <w:gridSpan w:val="2"/>
            <w:hideMark/>
          </w:tcPr>
          <w:p w14:paraId="6F4311DD" w14:textId="77777777" w:rsidR="009A4C46" w:rsidRPr="00CB5AA8" w:rsidRDefault="009A4C46" w:rsidP="00CB5AA8">
            <w:pPr>
              <w:widowControl w:val="0"/>
              <w:rPr>
                <w:rFonts w:eastAsia="Times New Roman"/>
                <w:sz w:val="17"/>
                <w:szCs w:val="17"/>
                <w:lang w:eastAsia="ru-RU"/>
              </w:rPr>
            </w:pPr>
            <w:r w:rsidRPr="00CB5AA8">
              <w:rPr>
                <w:rFonts w:eastAsia="Times New Roman"/>
                <w:sz w:val="17"/>
                <w:szCs w:val="17"/>
                <w:lang w:eastAsia="ru-RU"/>
              </w:rPr>
              <w:t>Выполнение объектов  ТП</w:t>
            </w:r>
          </w:p>
        </w:tc>
      </w:tr>
      <w:tr w:rsidR="00CB5AA8" w:rsidRPr="00CB5AA8" w14:paraId="158524A3" w14:textId="77777777" w:rsidTr="00CB5AA8">
        <w:trPr>
          <w:trHeight w:val="1845"/>
        </w:trPr>
        <w:tc>
          <w:tcPr>
            <w:tcW w:w="210" w:type="pct"/>
            <w:noWrap/>
            <w:hideMark/>
          </w:tcPr>
          <w:p w14:paraId="5DD536D5" w14:textId="77777777" w:rsidR="009A4C46" w:rsidRPr="00CB5AA8" w:rsidRDefault="009A4C46" w:rsidP="00CB5AA8">
            <w:pPr>
              <w:widowControl w:val="0"/>
              <w:rPr>
                <w:rFonts w:eastAsia="Times New Roman"/>
                <w:sz w:val="17"/>
                <w:szCs w:val="17"/>
                <w:lang w:eastAsia="ru-RU"/>
              </w:rPr>
            </w:pPr>
            <w:r w:rsidRPr="00CB5AA8">
              <w:rPr>
                <w:rFonts w:eastAsia="Times New Roman"/>
                <w:sz w:val="17"/>
                <w:szCs w:val="17"/>
                <w:lang w:eastAsia="ru-RU"/>
              </w:rPr>
              <w:t>14</w:t>
            </w:r>
          </w:p>
        </w:tc>
        <w:tc>
          <w:tcPr>
            <w:tcW w:w="1093" w:type="pct"/>
            <w:hideMark/>
          </w:tcPr>
          <w:p w14:paraId="57A57B0B" w14:textId="77777777" w:rsidR="009A4C46" w:rsidRPr="00CB5AA8" w:rsidRDefault="009A4C46" w:rsidP="00CB5AA8">
            <w:pPr>
              <w:widowControl w:val="0"/>
              <w:rPr>
                <w:rFonts w:eastAsia="Times New Roman"/>
                <w:sz w:val="17"/>
                <w:szCs w:val="17"/>
                <w:lang w:eastAsia="ru-RU"/>
              </w:rPr>
            </w:pPr>
            <w:r w:rsidRPr="00CB5AA8">
              <w:rPr>
                <w:rFonts w:eastAsia="Times New Roman"/>
                <w:sz w:val="17"/>
                <w:szCs w:val="17"/>
                <w:lang w:eastAsia="ru-RU"/>
              </w:rPr>
              <w:t>Строительство ВЛ, КЛ 10-0.4 кВ для потребителей от 15 кВт до 150 кВт (293-2/90 20.17.525.13 от 03.06.2013.; 723-1/95 от 27.06.2013.; 696-1/100 20.17.844.13 от 31.07.2013.; 821-1/100 20.17.904.13 от 09.08.2013.; 936-2/96,6 20.17.899.13 от 09.08.2013.; 1027-4/20 от 27.09.2013. и т.д.)</w:t>
            </w:r>
          </w:p>
        </w:tc>
        <w:tc>
          <w:tcPr>
            <w:tcW w:w="514" w:type="pct"/>
            <w:noWrap/>
          </w:tcPr>
          <w:p w14:paraId="026E43E5" w14:textId="77777777" w:rsidR="009A4C46" w:rsidRPr="00CB5AA8" w:rsidRDefault="009A4C46" w:rsidP="00CB5AA8">
            <w:pPr>
              <w:widowControl w:val="0"/>
              <w:jc w:val="center"/>
              <w:rPr>
                <w:rFonts w:eastAsia="Times New Roman"/>
                <w:sz w:val="17"/>
                <w:szCs w:val="17"/>
                <w:lang w:eastAsia="ru-RU"/>
              </w:rPr>
            </w:pPr>
          </w:p>
        </w:tc>
        <w:tc>
          <w:tcPr>
            <w:tcW w:w="452" w:type="pct"/>
            <w:noWrap/>
          </w:tcPr>
          <w:p w14:paraId="5B2F5512" w14:textId="77777777" w:rsidR="009A4C46" w:rsidRPr="00CB5AA8" w:rsidRDefault="009A4C46" w:rsidP="00CB5AA8">
            <w:pPr>
              <w:widowControl w:val="0"/>
              <w:jc w:val="center"/>
              <w:rPr>
                <w:rFonts w:eastAsia="Times New Roman"/>
                <w:sz w:val="17"/>
                <w:szCs w:val="17"/>
                <w:lang w:eastAsia="ru-RU"/>
              </w:rPr>
            </w:pPr>
          </w:p>
        </w:tc>
        <w:tc>
          <w:tcPr>
            <w:tcW w:w="413" w:type="pct"/>
            <w:noWrap/>
            <w:hideMark/>
          </w:tcPr>
          <w:p w14:paraId="41DF8C2D" w14:textId="77777777" w:rsidR="009A4C46" w:rsidRPr="00CB5AA8" w:rsidRDefault="009A4C46" w:rsidP="00CB5AA8">
            <w:pPr>
              <w:widowControl w:val="0"/>
              <w:jc w:val="center"/>
              <w:rPr>
                <w:rFonts w:eastAsia="Times New Roman"/>
                <w:sz w:val="17"/>
                <w:szCs w:val="17"/>
                <w:lang w:eastAsia="ru-RU"/>
              </w:rPr>
            </w:pPr>
          </w:p>
        </w:tc>
        <w:tc>
          <w:tcPr>
            <w:tcW w:w="454" w:type="pct"/>
            <w:noWrap/>
            <w:hideMark/>
          </w:tcPr>
          <w:p w14:paraId="381175C3" w14:textId="77777777" w:rsidR="009A4C46" w:rsidRPr="00CB5AA8" w:rsidRDefault="009A4C46" w:rsidP="00CB5AA8">
            <w:pPr>
              <w:widowControl w:val="0"/>
              <w:jc w:val="center"/>
              <w:rPr>
                <w:rFonts w:eastAsia="Times New Roman"/>
                <w:sz w:val="17"/>
                <w:szCs w:val="17"/>
                <w:lang w:eastAsia="ru-RU"/>
              </w:rPr>
            </w:pPr>
            <w:r w:rsidRPr="00CB5AA8">
              <w:rPr>
                <w:rFonts w:eastAsia="Times New Roman"/>
                <w:sz w:val="17"/>
                <w:szCs w:val="17"/>
                <w:lang w:eastAsia="ru-RU"/>
              </w:rPr>
              <w:t>1,442</w:t>
            </w:r>
          </w:p>
        </w:tc>
        <w:tc>
          <w:tcPr>
            <w:tcW w:w="477" w:type="pct"/>
            <w:noWrap/>
            <w:hideMark/>
          </w:tcPr>
          <w:p w14:paraId="10DF8466" w14:textId="77777777" w:rsidR="009A4C46" w:rsidRPr="00CB5AA8" w:rsidRDefault="009A4C46" w:rsidP="00CB5AA8">
            <w:pPr>
              <w:widowControl w:val="0"/>
              <w:jc w:val="center"/>
              <w:rPr>
                <w:rFonts w:eastAsia="Times New Roman"/>
                <w:sz w:val="17"/>
                <w:szCs w:val="17"/>
                <w:lang w:eastAsia="ru-RU"/>
              </w:rPr>
            </w:pPr>
            <w:r w:rsidRPr="00CB5AA8">
              <w:rPr>
                <w:rFonts w:eastAsia="Times New Roman"/>
                <w:sz w:val="17"/>
                <w:szCs w:val="17"/>
                <w:lang w:eastAsia="ru-RU"/>
              </w:rPr>
              <w:t>-1,442</w:t>
            </w:r>
          </w:p>
        </w:tc>
        <w:tc>
          <w:tcPr>
            <w:tcW w:w="589" w:type="pct"/>
            <w:gridSpan w:val="2"/>
            <w:noWrap/>
            <w:hideMark/>
          </w:tcPr>
          <w:p w14:paraId="69E6E643" w14:textId="77777777" w:rsidR="009A4C46" w:rsidRPr="00CB5AA8" w:rsidRDefault="009A4C46" w:rsidP="00CB5AA8">
            <w:pPr>
              <w:widowControl w:val="0"/>
              <w:jc w:val="center"/>
              <w:rPr>
                <w:rFonts w:eastAsia="Times New Roman"/>
                <w:sz w:val="17"/>
                <w:szCs w:val="17"/>
                <w:lang w:eastAsia="ru-RU"/>
              </w:rPr>
            </w:pPr>
            <w:r w:rsidRPr="00CB5AA8">
              <w:rPr>
                <w:rFonts w:eastAsia="Times New Roman"/>
                <w:sz w:val="17"/>
                <w:szCs w:val="17"/>
                <w:lang w:eastAsia="ru-RU"/>
              </w:rPr>
              <w:t>1,442</w:t>
            </w:r>
          </w:p>
        </w:tc>
        <w:tc>
          <w:tcPr>
            <w:tcW w:w="799" w:type="pct"/>
            <w:gridSpan w:val="2"/>
            <w:hideMark/>
          </w:tcPr>
          <w:p w14:paraId="5A1C94CB" w14:textId="77777777" w:rsidR="009A4C46" w:rsidRPr="00CB5AA8" w:rsidRDefault="009A4C46" w:rsidP="00CB5AA8">
            <w:pPr>
              <w:widowControl w:val="0"/>
              <w:rPr>
                <w:rFonts w:eastAsia="Times New Roman"/>
                <w:sz w:val="17"/>
                <w:szCs w:val="17"/>
                <w:lang w:eastAsia="ru-RU"/>
              </w:rPr>
            </w:pPr>
            <w:r w:rsidRPr="00CB5AA8">
              <w:rPr>
                <w:rFonts w:eastAsia="Times New Roman"/>
                <w:sz w:val="17"/>
                <w:szCs w:val="17"/>
                <w:lang w:eastAsia="ru-RU"/>
              </w:rPr>
              <w:t>Выполнение объектов  ТП</w:t>
            </w:r>
          </w:p>
        </w:tc>
      </w:tr>
      <w:tr w:rsidR="00CB5AA8" w:rsidRPr="00CB5AA8" w14:paraId="190C8878" w14:textId="77777777" w:rsidTr="00CB5AA8">
        <w:trPr>
          <w:trHeight w:val="2134"/>
        </w:trPr>
        <w:tc>
          <w:tcPr>
            <w:tcW w:w="210" w:type="pct"/>
            <w:noWrap/>
            <w:hideMark/>
          </w:tcPr>
          <w:p w14:paraId="2FDB427B" w14:textId="77777777" w:rsidR="009A4C46" w:rsidRPr="00CB5AA8" w:rsidRDefault="009A4C46" w:rsidP="00CB5AA8">
            <w:pPr>
              <w:widowControl w:val="0"/>
              <w:rPr>
                <w:rFonts w:eastAsia="Times New Roman"/>
                <w:sz w:val="17"/>
                <w:szCs w:val="17"/>
                <w:lang w:eastAsia="ru-RU"/>
              </w:rPr>
            </w:pPr>
            <w:r w:rsidRPr="00CB5AA8">
              <w:rPr>
                <w:rFonts w:eastAsia="Times New Roman"/>
                <w:sz w:val="17"/>
                <w:szCs w:val="17"/>
                <w:lang w:eastAsia="ru-RU"/>
              </w:rPr>
              <w:lastRenderedPageBreak/>
              <w:t>15</w:t>
            </w:r>
          </w:p>
        </w:tc>
        <w:tc>
          <w:tcPr>
            <w:tcW w:w="1093" w:type="pct"/>
            <w:hideMark/>
          </w:tcPr>
          <w:p w14:paraId="0992242E" w14:textId="77777777" w:rsidR="009A4C46" w:rsidRPr="00CB5AA8" w:rsidRDefault="009A4C46" w:rsidP="00CB5AA8">
            <w:pPr>
              <w:widowControl w:val="0"/>
              <w:rPr>
                <w:rFonts w:eastAsia="Times New Roman"/>
                <w:sz w:val="17"/>
                <w:szCs w:val="17"/>
                <w:lang w:eastAsia="ru-RU"/>
              </w:rPr>
            </w:pPr>
            <w:r w:rsidRPr="00CB5AA8">
              <w:rPr>
                <w:rFonts w:eastAsia="Times New Roman"/>
                <w:sz w:val="17"/>
                <w:szCs w:val="17"/>
                <w:lang w:eastAsia="ru-RU"/>
              </w:rPr>
              <w:t>Строительство ТП 10/0.4кВ для потребителей от 15 кВт до 150 кВт (293-2/90 20.17.525.13 от 03.06.2013.; 723-1/95 от 27.06.2013.; 696-1/100 20.17.844.13 от 31.07.2013.; 821-1/100 20.17.904.13 от 09.08.2013.; 936-2/96,6 20.17.899.13 от 09.08.2013.; 1027-4/20 от 27.09.2013. и т.д.)</w:t>
            </w:r>
          </w:p>
        </w:tc>
        <w:tc>
          <w:tcPr>
            <w:tcW w:w="514" w:type="pct"/>
            <w:noWrap/>
          </w:tcPr>
          <w:p w14:paraId="4682B4BA" w14:textId="77777777" w:rsidR="009A4C46" w:rsidRPr="00CB5AA8" w:rsidRDefault="009A4C46" w:rsidP="00CB5AA8">
            <w:pPr>
              <w:widowControl w:val="0"/>
              <w:jc w:val="center"/>
              <w:rPr>
                <w:rFonts w:eastAsia="Times New Roman"/>
                <w:sz w:val="17"/>
                <w:szCs w:val="17"/>
                <w:lang w:eastAsia="ru-RU"/>
              </w:rPr>
            </w:pPr>
          </w:p>
        </w:tc>
        <w:tc>
          <w:tcPr>
            <w:tcW w:w="452" w:type="pct"/>
            <w:noWrap/>
          </w:tcPr>
          <w:p w14:paraId="1F5C305E" w14:textId="77777777" w:rsidR="009A4C46" w:rsidRPr="00CB5AA8" w:rsidRDefault="009A4C46" w:rsidP="00CB5AA8">
            <w:pPr>
              <w:widowControl w:val="0"/>
              <w:jc w:val="center"/>
              <w:rPr>
                <w:rFonts w:eastAsia="Times New Roman"/>
                <w:sz w:val="17"/>
                <w:szCs w:val="17"/>
                <w:lang w:eastAsia="ru-RU"/>
              </w:rPr>
            </w:pPr>
          </w:p>
        </w:tc>
        <w:tc>
          <w:tcPr>
            <w:tcW w:w="413" w:type="pct"/>
            <w:noWrap/>
            <w:hideMark/>
          </w:tcPr>
          <w:p w14:paraId="2EB85619" w14:textId="77777777" w:rsidR="009A4C46" w:rsidRPr="00CB5AA8" w:rsidRDefault="009A4C46" w:rsidP="00CB5AA8">
            <w:pPr>
              <w:widowControl w:val="0"/>
              <w:jc w:val="center"/>
              <w:rPr>
                <w:rFonts w:eastAsia="Times New Roman"/>
                <w:sz w:val="17"/>
                <w:szCs w:val="17"/>
                <w:lang w:eastAsia="ru-RU"/>
              </w:rPr>
            </w:pPr>
          </w:p>
        </w:tc>
        <w:tc>
          <w:tcPr>
            <w:tcW w:w="454" w:type="pct"/>
            <w:noWrap/>
            <w:hideMark/>
          </w:tcPr>
          <w:p w14:paraId="70CBCFA6" w14:textId="77777777" w:rsidR="009A4C46" w:rsidRPr="00CB5AA8" w:rsidRDefault="009A4C46" w:rsidP="00CB5AA8">
            <w:pPr>
              <w:widowControl w:val="0"/>
              <w:jc w:val="center"/>
              <w:rPr>
                <w:rFonts w:eastAsia="Times New Roman"/>
                <w:sz w:val="17"/>
                <w:szCs w:val="17"/>
                <w:lang w:eastAsia="ru-RU"/>
              </w:rPr>
            </w:pPr>
            <w:r w:rsidRPr="00CB5AA8">
              <w:rPr>
                <w:rFonts w:eastAsia="Times New Roman"/>
                <w:sz w:val="17"/>
                <w:szCs w:val="17"/>
                <w:lang w:eastAsia="ru-RU"/>
              </w:rPr>
              <w:t>0,297</w:t>
            </w:r>
          </w:p>
        </w:tc>
        <w:tc>
          <w:tcPr>
            <w:tcW w:w="477" w:type="pct"/>
            <w:noWrap/>
            <w:hideMark/>
          </w:tcPr>
          <w:p w14:paraId="55EA19F3" w14:textId="77777777" w:rsidR="009A4C46" w:rsidRPr="00CB5AA8" w:rsidRDefault="009A4C46" w:rsidP="00CB5AA8">
            <w:pPr>
              <w:widowControl w:val="0"/>
              <w:jc w:val="center"/>
              <w:rPr>
                <w:rFonts w:eastAsia="Times New Roman"/>
                <w:sz w:val="17"/>
                <w:szCs w:val="17"/>
                <w:lang w:eastAsia="ru-RU"/>
              </w:rPr>
            </w:pPr>
            <w:r w:rsidRPr="00CB5AA8">
              <w:rPr>
                <w:rFonts w:eastAsia="Times New Roman"/>
                <w:sz w:val="17"/>
                <w:szCs w:val="17"/>
                <w:lang w:eastAsia="ru-RU"/>
              </w:rPr>
              <w:t>-0,297</w:t>
            </w:r>
          </w:p>
        </w:tc>
        <w:tc>
          <w:tcPr>
            <w:tcW w:w="589" w:type="pct"/>
            <w:gridSpan w:val="2"/>
            <w:noWrap/>
            <w:hideMark/>
          </w:tcPr>
          <w:p w14:paraId="10F268DB" w14:textId="77777777" w:rsidR="009A4C46" w:rsidRPr="00CB5AA8" w:rsidRDefault="009A4C46" w:rsidP="00CB5AA8">
            <w:pPr>
              <w:widowControl w:val="0"/>
              <w:jc w:val="center"/>
              <w:rPr>
                <w:rFonts w:eastAsia="Times New Roman"/>
                <w:sz w:val="17"/>
                <w:szCs w:val="17"/>
                <w:lang w:eastAsia="ru-RU"/>
              </w:rPr>
            </w:pPr>
            <w:r w:rsidRPr="00CB5AA8">
              <w:rPr>
                <w:rFonts w:eastAsia="Times New Roman"/>
                <w:sz w:val="17"/>
                <w:szCs w:val="17"/>
                <w:lang w:eastAsia="ru-RU"/>
              </w:rPr>
              <w:t>0,297</w:t>
            </w:r>
          </w:p>
        </w:tc>
        <w:tc>
          <w:tcPr>
            <w:tcW w:w="799" w:type="pct"/>
            <w:gridSpan w:val="2"/>
            <w:hideMark/>
          </w:tcPr>
          <w:p w14:paraId="3EAD4A6A" w14:textId="77777777" w:rsidR="009A4C46" w:rsidRPr="00CB5AA8" w:rsidRDefault="009A4C46" w:rsidP="00CB5AA8">
            <w:pPr>
              <w:widowControl w:val="0"/>
              <w:rPr>
                <w:rFonts w:eastAsia="Times New Roman"/>
                <w:sz w:val="17"/>
                <w:szCs w:val="17"/>
                <w:lang w:eastAsia="ru-RU"/>
              </w:rPr>
            </w:pPr>
            <w:r w:rsidRPr="00CB5AA8">
              <w:rPr>
                <w:rFonts w:eastAsia="Times New Roman"/>
                <w:sz w:val="17"/>
                <w:szCs w:val="17"/>
                <w:lang w:eastAsia="ru-RU"/>
              </w:rPr>
              <w:t>Выполнение объектов  ТП</w:t>
            </w:r>
          </w:p>
        </w:tc>
      </w:tr>
      <w:tr w:rsidR="00CB5AA8" w:rsidRPr="00CB5AA8" w14:paraId="0DB182C1" w14:textId="77777777" w:rsidTr="00CB5AA8">
        <w:trPr>
          <w:trHeight w:val="1005"/>
        </w:trPr>
        <w:tc>
          <w:tcPr>
            <w:tcW w:w="210" w:type="pct"/>
            <w:noWrap/>
            <w:hideMark/>
          </w:tcPr>
          <w:p w14:paraId="10DC33C5" w14:textId="77777777" w:rsidR="009A4C46" w:rsidRPr="00CB5AA8" w:rsidRDefault="009A4C46" w:rsidP="00CB5AA8">
            <w:pPr>
              <w:widowControl w:val="0"/>
              <w:rPr>
                <w:rFonts w:eastAsia="Times New Roman"/>
                <w:sz w:val="17"/>
                <w:szCs w:val="17"/>
                <w:lang w:eastAsia="ru-RU"/>
              </w:rPr>
            </w:pPr>
            <w:r w:rsidRPr="00CB5AA8">
              <w:rPr>
                <w:rFonts w:eastAsia="Times New Roman"/>
                <w:sz w:val="17"/>
                <w:szCs w:val="17"/>
                <w:lang w:eastAsia="ru-RU"/>
              </w:rPr>
              <w:t>16</w:t>
            </w:r>
          </w:p>
        </w:tc>
        <w:tc>
          <w:tcPr>
            <w:tcW w:w="1093" w:type="pct"/>
            <w:hideMark/>
          </w:tcPr>
          <w:p w14:paraId="6ABACDAD" w14:textId="77777777" w:rsidR="009A4C46" w:rsidRPr="00CB5AA8" w:rsidRDefault="009A4C46" w:rsidP="00CB5AA8">
            <w:pPr>
              <w:widowControl w:val="0"/>
              <w:rPr>
                <w:rFonts w:eastAsia="Times New Roman"/>
                <w:sz w:val="17"/>
                <w:szCs w:val="17"/>
                <w:lang w:eastAsia="ru-RU"/>
              </w:rPr>
            </w:pPr>
            <w:r w:rsidRPr="00CB5AA8">
              <w:rPr>
                <w:rFonts w:eastAsia="Times New Roman"/>
                <w:sz w:val="17"/>
                <w:szCs w:val="17"/>
                <w:lang w:eastAsia="ru-RU"/>
              </w:rPr>
              <w:t>Строительство ВЛ, КЛ 10-0.4 кВ для потребителей от 150 кВт до 670 кВт (№1135-2/190 от 29.10.2013г.; №164-1/195 от 25.06.2013 г. и т.д.)</w:t>
            </w:r>
          </w:p>
        </w:tc>
        <w:tc>
          <w:tcPr>
            <w:tcW w:w="514" w:type="pct"/>
            <w:noWrap/>
            <w:hideMark/>
          </w:tcPr>
          <w:p w14:paraId="1B716022" w14:textId="77777777" w:rsidR="009A4C46" w:rsidRPr="00CB5AA8" w:rsidRDefault="009A4C46" w:rsidP="00CB5AA8">
            <w:pPr>
              <w:widowControl w:val="0"/>
              <w:jc w:val="center"/>
              <w:rPr>
                <w:rFonts w:eastAsia="Times New Roman"/>
                <w:sz w:val="17"/>
                <w:szCs w:val="17"/>
                <w:lang w:eastAsia="ru-RU"/>
              </w:rPr>
            </w:pPr>
          </w:p>
        </w:tc>
        <w:tc>
          <w:tcPr>
            <w:tcW w:w="452" w:type="pct"/>
            <w:noWrap/>
            <w:hideMark/>
          </w:tcPr>
          <w:p w14:paraId="6781BC9C" w14:textId="77777777" w:rsidR="009A4C46" w:rsidRPr="00CB5AA8" w:rsidRDefault="009A4C46" w:rsidP="00CB5AA8">
            <w:pPr>
              <w:widowControl w:val="0"/>
              <w:jc w:val="center"/>
              <w:rPr>
                <w:rFonts w:eastAsia="Times New Roman"/>
                <w:sz w:val="17"/>
                <w:szCs w:val="17"/>
                <w:lang w:eastAsia="ru-RU"/>
              </w:rPr>
            </w:pPr>
          </w:p>
        </w:tc>
        <w:tc>
          <w:tcPr>
            <w:tcW w:w="413" w:type="pct"/>
            <w:noWrap/>
            <w:hideMark/>
          </w:tcPr>
          <w:p w14:paraId="772D98B7" w14:textId="77777777" w:rsidR="009A4C46" w:rsidRPr="00CB5AA8" w:rsidRDefault="009A4C46" w:rsidP="00CB5AA8">
            <w:pPr>
              <w:widowControl w:val="0"/>
              <w:jc w:val="center"/>
              <w:rPr>
                <w:rFonts w:eastAsia="Times New Roman"/>
                <w:sz w:val="17"/>
                <w:szCs w:val="17"/>
                <w:lang w:eastAsia="ru-RU"/>
              </w:rPr>
            </w:pPr>
          </w:p>
        </w:tc>
        <w:tc>
          <w:tcPr>
            <w:tcW w:w="454" w:type="pct"/>
            <w:noWrap/>
            <w:hideMark/>
          </w:tcPr>
          <w:p w14:paraId="2B48A1D6" w14:textId="77777777" w:rsidR="009A4C46" w:rsidRPr="00CB5AA8" w:rsidRDefault="009A4C46" w:rsidP="00CB5AA8">
            <w:pPr>
              <w:widowControl w:val="0"/>
              <w:jc w:val="center"/>
              <w:rPr>
                <w:rFonts w:eastAsia="Times New Roman"/>
                <w:sz w:val="17"/>
                <w:szCs w:val="17"/>
                <w:lang w:eastAsia="ru-RU"/>
              </w:rPr>
            </w:pPr>
            <w:r w:rsidRPr="00CB5AA8">
              <w:rPr>
                <w:rFonts w:eastAsia="Times New Roman"/>
                <w:sz w:val="17"/>
                <w:szCs w:val="17"/>
                <w:lang w:eastAsia="ru-RU"/>
              </w:rPr>
              <w:t>0,832</w:t>
            </w:r>
          </w:p>
        </w:tc>
        <w:tc>
          <w:tcPr>
            <w:tcW w:w="477" w:type="pct"/>
            <w:noWrap/>
            <w:hideMark/>
          </w:tcPr>
          <w:p w14:paraId="1C75643D" w14:textId="77777777" w:rsidR="009A4C46" w:rsidRPr="00CB5AA8" w:rsidRDefault="009A4C46" w:rsidP="00CB5AA8">
            <w:pPr>
              <w:widowControl w:val="0"/>
              <w:jc w:val="center"/>
              <w:rPr>
                <w:rFonts w:eastAsia="Times New Roman"/>
                <w:sz w:val="17"/>
                <w:szCs w:val="17"/>
                <w:lang w:eastAsia="ru-RU"/>
              </w:rPr>
            </w:pPr>
            <w:r w:rsidRPr="00CB5AA8">
              <w:rPr>
                <w:rFonts w:eastAsia="Times New Roman"/>
                <w:sz w:val="17"/>
                <w:szCs w:val="17"/>
                <w:lang w:eastAsia="ru-RU"/>
              </w:rPr>
              <w:t>-0,832</w:t>
            </w:r>
          </w:p>
        </w:tc>
        <w:tc>
          <w:tcPr>
            <w:tcW w:w="589" w:type="pct"/>
            <w:gridSpan w:val="2"/>
            <w:noWrap/>
            <w:hideMark/>
          </w:tcPr>
          <w:p w14:paraId="5E93354D" w14:textId="77777777" w:rsidR="009A4C46" w:rsidRPr="00CB5AA8" w:rsidRDefault="009A4C46" w:rsidP="00CB5AA8">
            <w:pPr>
              <w:widowControl w:val="0"/>
              <w:jc w:val="center"/>
              <w:rPr>
                <w:rFonts w:eastAsia="Times New Roman"/>
                <w:sz w:val="17"/>
                <w:szCs w:val="17"/>
                <w:lang w:eastAsia="ru-RU"/>
              </w:rPr>
            </w:pPr>
            <w:r w:rsidRPr="00CB5AA8">
              <w:rPr>
                <w:rFonts w:eastAsia="Times New Roman"/>
                <w:sz w:val="17"/>
                <w:szCs w:val="17"/>
                <w:lang w:eastAsia="ru-RU"/>
              </w:rPr>
              <w:t>0,832</w:t>
            </w:r>
          </w:p>
        </w:tc>
        <w:tc>
          <w:tcPr>
            <w:tcW w:w="799" w:type="pct"/>
            <w:gridSpan w:val="2"/>
            <w:hideMark/>
          </w:tcPr>
          <w:p w14:paraId="5070AD34" w14:textId="77777777" w:rsidR="009A4C46" w:rsidRPr="00CB5AA8" w:rsidRDefault="009A4C46" w:rsidP="00CB5AA8">
            <w:pPr>
              <w:widowControl w:val="0"/>
              <w:rPr>
                <w:rFonts w:eastAsia="Times New Roman"/>
                <w:sz w:val="17"/>
                <w:szCs w:val="17"/>
                <w:lang w:eastAsia="ru-RU"/>
              </w:rPr>
            </w:pPr>
            <w:r w:rsidRPr="00CB5AA8">
              <w:rPr>
                <w:rFonts w:eastAsia="Times New Roman"/>
                <w:sz w:val="17"/>
                <w:szCs w:val="17"/>
                <w:lang w:eastAsia="ru-RU"/>
              </w:rPr>
              <w:t>Выполнение объектов  ТП</w:t>
            </w:r>
          </w:p>
        </w:tc>
      </w:tr>
      <w:tr w:rsidR="00CB5AA8" w:rsidRPr="00CB5AA8" w14:paraId="0655691B" w14:textId="77777777" w:rsidTr="00CB5AA8">
        <w:trPr>
          <w:trHeight w:val="2658"/>
        </w:trPr>
        <w:tc>
          <w:tcPr>
            <w:tcW w:w="210" w:type="pct"/>
            <w:noWrap/>
            <w:hideMark/>
          </w:tcPr>
          <w:p w14:paraId="6DF1D7F0" w14:textId="77777777" w:rsidR="009A4C46" w:rsidRPr="00CB5AA8" w:rsidRDefault="009A4C46" w:rsidP="00CB5AA8">
            <w:pPr>
              <w:widowControl w:val="0"/>
              <w:rPr>
                <w:rFonts w:eastAsia="Times New Roman"/>
                <w:sz w:val="17"/>
                <w:szCs w:val="17"/>
                <w:lang w:eastAsia="ru-RU"/>
              </w:rPr>
            </w:pPr>
            <w:r w:rsidRPr="00CB5AA8">
              <w:rPr>
                <w:rFonts w:eastAsia="Times New Roman"/>
                <w:sz w:val="17"/>
                <w:szCs w:val="17"/>
                <w:lang w:eastAsia="ru-RU"/>
              </w:rPr>
              <w:t>17</w:t>
            </w:r>
          </w:p>
        </w:tc>
        <w:tc>
          <w:tcPr>
            <w:tcW w:w="1093" w:type="pct"/>
            <w:hideMark/>
          </w:tcPr>
          <w:p w14:paraId="71F60A5F" w14:textId="224C9CE9" w:rsidR="009A4C46" w:rsidRPr="00CB5AA8" w:rsidRDefault="009A4C46" w:rsidP="00CB5AA8">
            <w:pPr>
              <w:widowControl w:val="0"/>
              <w:rPr>
                <w:rFonts w:eastAsia="Times New Roman"/>
                <w:sz w:val="17"/>
                <w:szCs w:val="17"/>
                <w:lang w:eastAsia="ru-RU"/>
              </w:rPr>
            </w:pPr>
            <w:r w:rsidRPr="00CB5AA8">
              <w:rPr>
                <w:rFonts w:eastAsia="Times New Roman"/>
                <w:sz w:val="17"/>
                <w:szCs w:val="17"/>
                <w:lang w:eastAsia="ru-RU"/>
              </w:rPr>
              <w:t xml:space="preserve">Строительство </w:t>
            </w:r>
            <w:proofErr w:type="spellStart"/>
            <w:r w:rsidRPr="00CB5AA8">
              <w:rPr>
                <w:rFonts w:eastAsia="Times New Roman"/>
                <w:sz w:val="17"/>
                <w:szCs w:val="17"/>
                <w:lang w:eastAsia="ru-RU"/>
              </w:rPr>
              <w:t>двухцепной</w:t>
            </w:r>
            <w:proofErr w:type="spellEnd"/>
            <w:r w:rsidRPr="00CB5AA8">
              <w:rPr>
                <w:rFonts w:eastAsia="Times New Roman"/>
                <w:sz w:val="17"/>
                <w:szCs w:val="17"/>
                <w:lang w:eastAsia="ru-RU"/>
              </w:rPr>
              <w:t xml:space="preserve"> воздушной линии (ВЛ)-10кВ от ПС «Западная» до распределительного пункта 10кВ (РП)-8, ~ 5208 м;- установку дополнительной ячейки в распределительном устройстве (РУ)-10кВ ПС «Западная»; Кадетский корпус, г. Кызыл, рядом с</w:t>
            </w:r>
            <w:r w:rsidR="00513F1D" w:rsidRPr="00CB5AA8">
              <w:rPr>
                <w:rFonts w:eastAsia="Times New Roman"/>
                <w:sz w:val="17"/>
                <w:szCs w:val="17"/>
                <w:lang w:eastAsia="ru-RU"/>
              </w:rPr>
              <w:t xml:space="preserve"> </w:t>
            </w:r>
            <w:r w:rsidRPr="00CB5AA8">
              <w:rPr>
                <w:rFonts w:eastAsia="Times New Roman"/>
                <w:sz w:val="17"/>
                <w:szCs w:val="17"/>
                <w:lang w:eastAsia="ru-RU"/>
              </w:rPr>
              <w:t>пересечением с улицей Московской и круговой развязки автомагистрали М-54.</w:t>
            </w:r>
          </w:p>
        </w:tc>
        <w:tc>
          <w:tcPr>
            <w:tcW w:w="514" w:type="pct"/>
            <w:noWrap/>
            <w:hideMark/>
          </w:tcPr>
          <w:p w14:paraId="06F8C5D7" w14:textId="77777777" w:rsidR="009A4C46" w:rsidRPr="00CB5AA8" w:rsidRDefault="009A4C46" w:rsidP="00CB5AA8">
            <w:pPr>
              <w:widowControl w:val="0"/>
              <w:jc w:val="center"/>
              <w:rPr>
                <w:rFonts w:eastAsia="Times New Roman"/>
                <w:sz w:val="17"/>
                <w:szCs w:val="17"/>
                <w:lang w:eastAsia="ru-RU"/>
              </w:rPr>
            </w:pPr>
            <w:r w:rsidRPr="00CB5AA8">
              <w:rPr>
                <w:rFonts w:eastAsia="Times New Roman"/>
                <w:sz w:val="17"/>
                <w:szCs w:val="17"/>
                <w:lang w:eastAsia="ru-RU"/>
              </w:rPr>
              <w:t>10,962</w:t>
            </w:r>
          </w:p>
        </w:tc>
        <w:tc>
          <w:tcPr>
            <w:tcW w:w="452" w:type="pct"/>
            <w:noWrap/>
            <w:hideMark/>
          </w:tcPr>
          <w:p w14:paraId="10CA8F2B" w14:textId="77777777" w:rsidR="009A4C46" w:rsidRPr="00CB5AA8" w:rsidRDefault="009A4C46" w:rsidP="00CB5AA8">
            <w:pPr>
              <w:widowControl w:val="0"/>
              <w:jc w:val="center"/>
              <w:rPr>
                <w:rFonts w:eastAsia="Times New Roman"/>
                <w:sz w:val="17"/>
                <w:szCs w:val="17"/>
                <w:lang w:eastAsia="ru-RU"/>
              </w:rPr>
            </w:pPr>
            <w:r w:rsidRPr="00CB5AA8">
              <w:rPr>
                <w:rFonts w:eastAsia="Times New Roman"/>
                <w:sz w:val="17"/>
                <w:szCs w:val="17"/>
                <w:lang w:eastAsia="ru-RU"/>
              </w:rPr>
              <w:t>1,322</w:t>
            </w:r>
          </w:p>
        </w:tc>
        <w:tc>
          <w:tcPr>
            <w:tcW w:w="413" w:type="pct"/>
            <w:noWrap/>
            <w:hideMark/>
          </w:tcPr>
          <w:p w14:paraId="45E311BA" w14:textId="77777777" w:rsidR="009A4C46" w:rsidRPr="00CB5AA8" w:rsidRDefault="009A4C46" w:rsidP="00CB5AA8">
            <w:pPr>
              <w:widowControl w:val="0"/>
              <w:jc w:val="center"/>
              <w:rPr>
                <w:rFonts w:eastAsia="Times New Roman"/>
                <w:sz w:val="17"/>
                <w:szCs w:val="17"/>
                <w:lang w:eastAsia="ru-RU"/>
              </w:rPr>
            </w:pPr>
            <w:r w:rsidRPr="00CB5AA8">
              <w:rPr>
                <w:rFonts w:eastAsia="Times New Roman"/>
                <w:sz w:val="17"/>
                <w:szCs w:val="17"/>
                <w:lang w:eastAsia="ru-RU"/>
              </w:rPr>
              <w:t>1,322</w:t>
            </w:r>
          </w:p>
        </w:tc>
        <w:tc>
          <w:tcPr>
            <w:tcW w:w="454" w:type="pct"/>
            <w:noWrap/>
            <w:hideMark/>
          </w:tcPr>
          <w:p w14:paraId="332BF3BF" w14:textId="77777777" w:rsidR="009A4C46" w:rsidRPr="00CB5AA8" w:rsidRDefault="009A4C46" w:rsidP="00CB5AA8">
            <w:pPr>
              <w:widowControl w:val="0"/>
              <w:jc w:val="center"/>
              <w:rPr>
                <w:rFonts w:eastAsia="Times New Roman"/>
                <w:sz w:val="17"/>
                <w:szCs w:val="17"/>
                <w:lang w:eastAsia="ru-RU"/>
              </w:rPr>
            </w:pPr>
            <w:r w:rsidRPr="00CB5AA8">
              <w:rPr>
                <w:rFonts w:eastAsia="Times New Roman"/>
                <w:sz w:val="17"/>
                <w:szCs w:val="17"/>
                <w:lang w:eastAsia="ru-RU"/>
              </w:rPr>
              <w:t>1,301</w:t>
            </w:r>
          </w:p>
        </w:tc>
        <w:tc>
          <w:tcPr>
            <w:tcW w:w="477" w:type="pct"/>
            <w:noWrap/>
            <w:hideMark/>
          </w:tcPr>
          <w:p w14:paraId="3832C4CC" w14:textId="77777777" w:rsidR="009A4C46" w:rsidRPr="00CB5AA8" w:rsidRDefault="009A4C46" w:rsidP="00CB5AA8">
            <w:pPr>
              <w:widowControl w:val="0"/>
              <w:jc w:val="center"/>
              <w:rPr>
                <w:rFonts w:eastAsia="Times New Roman"/>
                <w:sz w:val="17"/>
                <w:szCs w:val="17"/>
                <w:lang w:eastAsia="ru-RU"/>
              </w:rPr>
            </w:pPr>
            <w:r w:rsidRPr="00CB5AA8">
              <w:rPr>
                <w:rFonts w:eastAsia="Times New Roman"/>
                <w:sz w:val="17"/>
                <w:szCs w:val="17"/>
                <w:lang w:eastAsia="ru-RU"/>
              </w:rPr>
              <w:t>0,021</w:t>
            </w:r>
          </w:p>
        </w:tc>
        <w:tc>
          <w:tcPr>
            <w:tcW w:w="589" w:type="pct"/>
            <w:gridSpan w:val="2"/>
            <w:noWrap/>
            <w:hideMark/>
          </w:tcPr>
          <w:p w14:paraId="0EB49ADB" w14:textId="77777777" w:rsidR="009A4C46" w:rsidRPr="00CB5AA8" w:rsidRDefault="009A4C46" w:rsidP="00CB5AA8">
            <w:pPr>
              <w:widowControl w:val="0"/>
              <w:jc w:val="center"/>
              <w:rPr>
                <w:rFonts w:eastAsia="Times New Roman"/>
                <w:sz w:val="17"/>
                <w:szCs w:val="17"/>
                <w:lang w:eastAsia="ru-RU"/>
              </w:rPr>
            </w:pPr>
            <w:r w:rsidRPr="00CB5AA8">
              <w:rPr>
                <w:rFonts w:eastAsia="Times New Roman"/>
                <w:sz w:val="17"/>
                <w:szCs w:val="17"/>
                <w:lang w:eastAsia="ru-RU"/>
              </w:rPr>
              <w:t>-0,021</w:t>
            </w:r>
          </w:p>
        </w:tc>
        <w:tc>
          <w:tcPr>
            <w:tcW w:w="799" w:type="pct"/>
            <w:gridSpan w:val="2"/>
            <w:hideMark/>
          </w:tcPr>
          <w:p w14:paraId="41A587BE" w14:textId="77777777" w:rsidR="009A4C46" w:rsidRPr="00CB5AA8" w:rsidRDefault="009A4C46" w:rsidP="00CB5AA8">
            <w:pPr>
              <w:widowControl w:val="0"/>
              <w:rPr>
                <w:rFonts w:eastAsia="Times New Roman"/>
                <w:sz w:val="17"/>
                <w:szCs w:val="17"/>
                <w:lang w:eastAsia="ru-RU"/>
              </w:rPr>
            </w:pPr>
            <w:r w:rsidRPr="00CB5AA8">
              <w:rPr>
                <w:rFonts w:eastAsia="Times New Roman"/>
                <w:sz w:val="17"/>
                <w:szCs w:val="17"/>
                <w:lang w:eastAsia="ru-RU"/>
              </w:rPr>
              <w:t xml:space="preserve"> экономия от ТЗП </w:t>
            </w:r>
          </w:p>
        </w:tc>
      </w:tr>
      <w:tr w:rsidR="00CB5AA8" w:rsidRPr="00CB5AA8" w14:paraId="2C0DB867" w14:textId="77777777" w:rsidTr="00CB5AA8">
        <w:trPr>
          <w:trHeight w:val="1122"/>
        </w:trPr>
        <w:tc>
          <w:tcPr>
            <w:tcW w:w="210" w:type="pct"/>
            <w:noWrap/>
            <w:hideMark/>
          </w:tcPr>
          <w:p w14:paraId="15ADE590" w14:textId="77777777" w:rsidR="009A4C46" w:rsidRPr="00CB5AA8" w:rsidRDefault="009A4C46" w:rsidP="00CB5AA8">
            <w:pPr>
              <w:widowControl w:val="0"/>
              <w:rPr>
                <w:rFonts w:eastAsia="Times New Roman"/>
                <w:sz w:val="17"/>
                <w:szCs w:val="17"/>
                <w:lang w:eastAsia="ru-RU"/>
              </w:rPr>
            </w:pPr>
            <w:r w:rsidRPr="00CB5AA8">
              <w:rPr>
                <w:rFonts w:eastAsia="Times New Roman"/>
                <w:sz w:val="17"/>
                <w:szCs w:val="17"/>
                <w:lang w:eastAsia="ru-RU"/>
              </w:rPr>
              <w:t>18</w:t>
            </w:r>
          </w:p>
        </w:tc>
        <w:tc>
          <w:tcPr>
            <w:tcW w:w="1093" w:type="pct"/>
            <w:hideMark/>
          </w:tcPr>
          <w:p w14:paraId="4B4C73FE" w14:textId="19F75701" w:rsidR="009A4C46" w:rsidRPr="00CB5AA8" w:rsidRDefault="009A4C46" w:rsidP="00CB5AA8">
            <w:pPr>
              <w:widowControl w:val="0"/>
              <w:rPr>
                <w:rFonts w:eastAsia="Times New Roman"/>
                <w:sz w:val="17"/>
                <w:szCs w:val="17"/>
                <w:lang w:eastAsia="ru-RU"/>
              </w:rPr>
            </w:pPr>
            <w:proofErr w:type="spellStart"/>
            <w:r w:rsidRPr="00CB5AA8">
              <w:rPr>
                <w:rFonts w:eastAsia="Times New Roman"/>
                <w:sz w:val="17"/>
                <w:szCs w:val="17"/>
                <w:lang w:eastAsia="ru-RU"/>
              </w:rPr>
              <w:t>Техперевооружение</w:t>
            </w:r>
            <w:proofErr w:type="spellEnd"/>
            <w:r w:rsidRPr="00CB5AA8">
              <w:rPr>
                <w:rFonts w:eastAsia="Times New Roman"/>
                <w:sz w:val="17"/>
                <w:szCs w:val="17"/>
                <w:lang w:eastAsia="ru-RU"/>
              </w:rPr>
              <w:t xml:space="preserve"> с заменой перегруженной и находящейся в неудовлетворительном состоянии КТП 10/0,4 кВ б/н </w:t>
            </w:r>
            <w:r w:rsidR="00513F1D" w:rsidRPr="00CB5AA8">
              <w:rPr>
                <w:rFonts w:eastAsia="Times New Roman"/>
                <w:sz w:val="17"/>
                <w:szCs w:val="17"/>
                <w:lang w:eastAsia="ru-RU"/>
              </w:rPr>
              <w:t>«</w:t>
            </w:r>
            <w:proofErr w:type="spellStart"/>
            <w:r w:rsidR="00513F1D" w:rsidRPr="00CB5AA8">
              <w:rPr>
                <w:rFonts w:eastAsia="Times New Roman"/>
                <w:sz w:val="17"/>
                <w:szCs w:val="17"/>
                <w:lang w:eastAsia="ru-RU"/>
              </w:rPr>
              <w:t>Ал</w:t>
            </w:r>
            <w:r w:rsidRPr="00CB5AA8">
              <w:rPr>
                <w:rFonts w:eastAsia="Times New Roman"/>
                <w:sz w:val="17"/>
                <w:szCs w:val="17"/>
                <w:lang w:eastAsia="ru-RU"/>
              </w:rPr>
              <w:t>дын-Булак</w:t>
            </w:r>
            <w:proofErr w:type="spellEnd"/>
            <w:r w:rsidR="00513F1D" w:rsidRPr="00CB5AA8">
              <w:rPr>
                <w:rFonts w:eastAsia="Times New Roman"/>
                <w:sz w:val="17"/>
                <w:szCs w:val="17"/>
                <w:lang w:eastAsia="ru-RU"/>
              </w:rPr>
              <w:t>»</w:t>
            </w:r>
            <w:r w:rsidRPr="00CB5AA8">
              <w:rPr>
                <w:rFonts w:eastAsia="Times New Roman"/>
                <w:sz w:val="17"/>
                <w:szCs w:val="17"/>
                <w:lang w:eastAsia="ru-RU"/>
              </w:rPr>
              <w:t xml:space="preserve"> ( с 0,16 МВА на 0,25 МВА)</w:t>
            </w:r>
          </w:p>
        </w:tc>
        <w:tc>
          <w:tcPr>
            <w:tcW w:w="514" w:type="pct"/>
            <w:noWrap/>
            <w:hideMark/>
          </w:tcPr>
          <w:p w14:paraId="4F0AB755" w14:textId="77777777" w:rsidR="009A4C46" w:rsidRPr="00CB5AA8" w:rsidRDefault="009A4C46" w:rsidP="00CB5AA8">
            <w:pPr>
              <w:widowControl w:val="0"/>
              <w:jc w:val="center"/>
              <w:rPr>
                <w:rFonts w:eastAsia="Times New Roman"/>
                <w:sz w:val="17"/>
                <w:szCs w:val="17"/>
                <w:lang w:eastAsia="ru-RU"/>
              </w:rPr>
            </w:pPr>
            <w:r w:rsidRPr="00CB5AA8">
              <w:rPr>
                <w:rFonts w:eastAsia="Times New Roman"/>
                <w:sz w:val="17"/>
                <w:szCs w:val="17"/>
                <w:lang w:eastAsia="ru-RU"/>
              </w:rPr>
              <w:t>0,686</w:t>
            </w:r>
          </w:p>
        </w:tc>
        <w:tc>
          <w:tcPr>
            <w:tcW w:w="452" w:type="pct"/>
            <w:noWrap/>
            <w:hideMark/>
          </w:tcPr>
          <w:p w14:paraId="69280C79" w14:textId="77777777" w:rsidR="009A4C46" w:rsidRPr="00CB5AA8" w:rsidRDefault="009A4C46" w:rsidP="00CB5AA8">
            <w:pPr>
              <w:widowControl w:val="0"/>
              <w:jc w:val="center"/>
              <w:rPr>
                <w:rFonts w:eastAsia="Times New Roman"/>
                <w:sz w:val="17"/>
                <w:szCs w:val="17"/>
                <w:lang w:eastAsia="ru-RU"/>
              </w:rPr>
            </w:pPr>
            <w:r w:rsidRPr="00CB5AA8">
              <w:rPr>
                <w:rFonts w:eastAsia="Times New Roman"/>
                <w:sz w:val="17"/>
                <w:szCs w:val="17"/>
                <w:lang w:eastAsia="ru-RU"/>
              </w:rPr>
              <w:t>0,213</w:t>
            </w:r>
          </w:p>
        </w:tc>
        <w:tc>
          <w:tcPr>
            <w:tcW w:w="413" w:type="pct"/>
            <w:noWrap/>
            <w:hideMark/>
          </w:tcPr>
          <w:p w14:paraId="40735A92" w14:textId="77777777" w:rsidR="009A4C46" w:rsidRPr="00CB5AA8" w:rsidRDefault="009A4C46" w:rsidP="00CB5AA8">
            <w:pPr>
              <w:widowControl w:val="0"/>
              <w:jc w:val="center"/>
              <w:rPr>
                <w:rFonts w:eastAsia="Times New Roman"/>
                <w:sz w:val="17"/>
                <w:szCs w:val="17"/>
                <w:lang w:eastAsia="ru-RU"/>
              </w:rPr>
            </w:pPr>
            <w:r w:rsidRPr="00CB5AA8">
              <w:rPr>
                <w:rFonts w:eastAsia="Times New Roman"/>
                <w:sz w:val="17"/>
                <w:szCs w:val="17"/>
                <w:lang w:eastAsia="ru-RU"/>
              </w:rPr>
              <w:t>0,213</w:t>
            </w:r>
          </w:p>
        </w:tc>
        <w:tc>
          <w:tcPr>
            <w:tcW w:w="454" w:type="pct"/>
            <w:noWrap/>
            <w:hideMark/>
          </w:tcPr>
          <w:p w14:paraId="24665A00" w14:textId="77777777" w:rsidR="009A4C46" w:rsidRPr="00CB5AA8" w:rsidRDefault="009A4C46" w:rsidP="00CB5AA8">
            <w:pPr>
              <w:widowControl w:val="0"/>
              <w:jc w:val="center"/>
              <w:rPr>
                <w:rFonts w:eastAsia="Times New Roman"/>
                <w:sz w:val="17"/>
                <w:szCs w:val="17"/>
                <w:lang w:eastAsia="ru-RU"/>
              </w:rPr>
            </w:pPr>
            <w:r w:rsidRPr="00CB5AA8">
              <w:rPr>
                <w:rFonts w:eastAsia="Times New Roman"/>
                <w:sz w:val="17"/>
                <w:szCs w:val="17"/>
                <w:lang w:eastAsia="ru-RU"/>
              </w:rPr>
              <w:t>0,213</w:t>
            </w:r>
          </w:p>
        </w:tc>
        <w:tc>
          <w:tcPr>
            <w:tcW w:w="477" w:type="pct"/>
            <w:noWrap/>
            <w:hideMark/>
          </w:tcPr>
          <w:p w14:paraId="05976601" w14:textId="77777777" w:rsidR="009A4C46" w:rsidRPr="00CB5AA8" w:rsidRDefault="009A4C46" w:rsidP="00CB5AA8">
            <w:pPr>
              <w:widowControl w:val="0"/>
              <w:jc w:val="center"/>
              <w:rPr>
                <w:rFonts w:eastAsia="Times New Roman"/>
                <w:sz w:val="17"/>
                <w:szCs w:val="17"/>
                <w:lang w:eastAsia="ru-RU"/>
              </w:rPr>
            </w:pPr>
          </w:p>
        </w:tc>
        <w:tc>
          <w:tcPr>
            <w:tcW w:w="589" w:type="pct"/>
            <w:gridSpan w:val="2"/>
            <w:noWrap/>
            <w:hideMark/>
          </w:tcPr>
          <w:p w14:paraId="1C30EA17" w14:textId="77777777" w:rsidR="009A4C46" w:rsidRPr="00CB5AA8" w:rsidRDefault="009A4C46" w:rsidP="00CB5AA8">
            <w:pPr>
              <w:widowControl w:val="0"/>
              <w:jc w:val="center"/>
              <w:rPr>
                <w:rFonts w:eastAsia="Times New Roman"/>
                <w:sz w:val="17"/>
                <w:szCs w:val="17"/>
                <w:lang w:eastAsia="ru-RU"/>
              </w:rPr>
            </w:pPr>
          </w:p>
        </w:tc>
        <w:tc>
          <w:tcPr>
            <w:tcW w:w="799" w:type="pct"/>
            <w:gridSpan w:val="2"/>
            <w:hideMark/>
          </w:tcPr>
          <w:p w14:paraId="1B9130E6" w14:textId="77777777" w:rsidR="009A4C46" w:rsidRPr="00CB5AA8" w:rsidRDefault="009A4C46" w:rsidP="00CB5AA8">
            <w:pPr>
              <w:widowControl w:val="0"/>
              <w:rPr>
                <w:rFonts w:eastAsia="Times New Roman"/>
                <w:sz w:val="17"/>
                <w:szCs w:val="17"/>
                <w:lang w:eastAsia="ru-RU"/>
              </w:rPr>
            </w:pPr>
            <w:r w:rsidRPr="00CB5AA8">
              <w:rPr>
                <w:rFonts w:eastAsia="Times New Roman"/>
                <w:sz w:val="17"/>
                <w:szCs w:val="17"/>
                <w:lang w:eastAsia="ru-RU"/>
              </w:rPr>
              <w:t> </w:t>
            </w:r>
          </w:p>
        </w:tc>
      </w:tr>
      <w:tr w:rsidR="00CB5AA8" w:rsidRPr="00CB5AA8" w14:paraId="23C0C387" w14:textId="77777777" w:rsidTr="00CB5AA8">
        <w:trPr>
          <w:trHeight w:val="1395"/>
        </w:trPr>
        <w:tc>
          <w:tcPr>
            <w:tcW w:w="210" w:type="pct"/>
            <w:noWrap/>
            <w:hideMark/>
          </w:tcPr>
          <w:p w14:paraId="256820E2" w14:textId="77777777" w:rsidR="009A4C46" w:rsidRPr="00CB5AA8" w:rsidRDefault="009A4C46" w:rsidP="00CB5AA8">
            <w:pPr>
              <w:widowControl w:val="0"/>
              <w:rPr>
                <w:rFonts w:eastAsia="Times New Roman"/>
                <w:sz w:val="17"/>
                <w:szCs w:val="17"/>
                <w:lang w:eastAsia="ru-RU"/>
              </w:rPr>
            </w:pPr>
            <w:r w:rsidRPr="00CB5AA8">
              <w:rPr>
                <w:rFonts w:eastAsia="Times New Roman"/>
                <w:sz w:val="17"/>
                <w:szCs w:val="17"/>
                <w:lang w:eastAsia="ru-RU"/>
              </w:rPr>
              <w:t>19</w:t>
            </w:r>
          </w:p>
        </w:tc>
        <w:tc>
          <w:tcPr>
            <w:tcW w:w="1093" w:type="pct"/>
            <w:hideMark/>
          </w:tcPr>
          <w:p w14:paraId="26C2534C" w14:textId="77777777" w:rsidR="009A4C46" w:rsidRPr="00CB5AA8" w:rsidRDefault="009A4C46" w:rsidP="00CB5AA8">
            <w:pPr>
              <w:widowControl w:val="0"/>
              <w:rPr>
                <w:rFonts w:eastAsia="Times New Roman"/>
                <w:sz w:val="17"/>
                <w:szCs w:val="17"/>
                <w:lang w:eastAsia="ru-RU"/>
              </w:rPr>
            </w:pPr>
            <w:proofErr w:type="spellStart"/>
            <w:r w:rsidRPr="00CB5AA8">
              <w:rPr>
                <w:rFonts w:eastAsia="Times New Roman"/>
                <w:sz w:val="17"/>
                <w:szCs w:val="17"/>
                <w:lang w:eastAsia="ru-RU"/>
              </w:rPr>
              <w:t>Техперевооружение</w:t>
            </w:r>
            <w:proofErr w:type="spellEnd"/>
            <w:r w:rsidRPr="00CB5AA8">
              <w:rPr>
                <w:rFonts w:eastAsia="Times New Roman"/>
                <w:sz w:val="17"/>
                <w:szCs w:val="17"/>
                <w:lang w:eastAsia="ru-RU"/>
              </w:rPr>
              <w:t xml:space="preserve"> с заменой перегруженной и находящейся в неудовлетворительном состоянии КТП 10/0,4 кВ г. Кызыл, ул. Мира, д. 13/13 ( с 0,25 МВА на 0,4 МВА)</w:t>
            </w:r>
          </w:p>
        </w:tc>
        <w:tc>
          <w:tcPr>
            <w:tcW w:w="514" w:type="pct"/>
            <w:noWrap/>
            <w:hideMark/>
          </w:tcPr>
          <w:p w14:paraId="0802523F" w14:textId="77777777" w:rsidR="009A4C46" w:rsidRPr="00CB5AA8" w:rsidRDefault="009A4C46" w:rsidP="00CB5AA8">
            <w:pPr>
              <w:widowControl w:val="0"/>
              <w:jc w:val="center"/>
              <w:rPr>
                <w:rFonts w:eastAsia="Times New Roman"/>
                <w:sz w:val="17"/>
                <w:szCs w:val="17"/>
                <w:lang w:eastAsia="ru-RU"/>
              </w:rPr>
            </w:pPr>
            <w:r w:rsidRPr="00CB5AA8">
              <w:rPr>
                <w:rFonts w:eastAsia="Times New Roman"/>
                <w:sz w:val="17"/>
                <w:szCs w:val="17"/>
                <w:lang w:eastAsia="ru-RU"/>
              </w:rPr>
              <w:t>0,342</w:t>
            </w:r>
          </w:p>
        </w:tc>
        <w:tc>
          <w:tcPr>
            <w:tcW w:w="452" w:type="pct"/>
            <w:noWrap/>
            <w:hideMark/>
          </w:tcPr>
          <w:p w14:paraId="5C19E0E0" w14:textId="77777777" w:rsidR="009A4C46" w:rsidRPr="00CB5AA8" w:rsidRDefault="009A4C46" w:rsidP="00CB5AA8">
            <w:pPr>
              <w:widowControl w:val="0"/>
              <w:jc w:val="center"/>
              <w:rPr>
                <w:rFonts w:eastAsia="Times New Roman"/>
                <w:sz w:val="17"/>
                <w:szCs w:val="17"/>
                <w:lang w:eastAsia="ru-RU"/>
              </w:rPr>
            </w:pPr>
            <w:r w:rsidRPr="00CB5AA8">
              <w:rPr>
                <w:rFonts w:eastAsia="Times New Roman"/>
                <w:sz w:val="17"/>
                <w:szCs w:val="17"/>
                <w:lang w:eastAsia="ru-RU"/>
              </w:rPr>
              <w:t>0,097</w:t>
            </w:r>
          </w:p>
        </w:tc>
        <w:tc>
          <w:tcPr>
            <w:tcW w:w="413" w:type="pct"/>
            <w:noWrap/>
            <w:hideMark/>
          </w:tcPr>
          <w:p w14:paraId="67D4CEBC" w14:textId="77777777" w:rsidR="009A4C46" w:rsidRPr="00CB5AA8" w:rsidRDefault="009A4C46" w:rsidP="00CB5AA8">
            <w:pPr>
              <w:widowControl w:val="0"/>
              <w:jc w:val="center"/>
              <w:rPr>
                <w:rFonts w:eastAsia="Times New Roman"/>
                <w:sz w:val="17"/>
                <w:szCs w:val="17"/>
                <w:lang w:eastAsia="ru-RU"/>
              </w:rPr>
            </w:pPr>
            <w:r w:rsidRPr="00CB5AA8">
              <w:rPr>
                <w:rFonts w:eastAsia="Times New Roman"/>
                <w:sz w:val="17"/>
                <w:szCs w:val="17"/>
                <w:lang w:eastAsia="ru-RU"/>
              </w:rPr>
              <w:t>0,097</w:t>
            </w:r>
          </w:p>
        </w:tc>
        <w:tc>
          <w:tcPr>
            <w:tcW w:w="454" w:type="pct"/>
            <w:noWrap/>
            <w:hideMark/>
          </w:tcPr>
          <w:p w14:paraId="6A0BE892" w14:textId="77777777" w:rsidR="009A4C46" w:rsidRPr="00CB5AA8" w:rsidRDefault="009A4C46" w:rsidP="00CB5AA8">
            <w:pPr>
              <w:widowControl w:val="0"/>
              <w:jc w:val="center"/>
              <w:rPr>
                <w:rFonts w:eastAsia="Times New Roman"/>
                <w:sz w:val="17"/>
                <w:szCs w:val="17"/>
                <w:lang w:eastAsia="ru-RU"/>
              </w:rPr>
            </w:pPr>
            <w:r w:rsidRPr="00CB5AA8">
              <w:rPr>
                <w:rFonts w:eastAsia="Times New Roman"/>
                <w:sz w:val="17"/>
                <w:szCs w:val="17"/>
                <w:lang w:eastAsia="ru-RU"/>
              </w:rPr>
              <w:t>0,097</w:t>
            </w:r>
          </w:p>
        </w:tc>
        <w:tc>
          <w:tcPr>
            <w:tcW w:w="477" w:type="pct"/>
            <w:noWrap/>
            <w:hideMark/>
          </w:tcPr>
          <w:p w14:paraId="65E626EB" w14:textId="77777777" w:rsidR="009A4C46" w:rsidRPr="00CB5AA8" w:rsidRDefault="009A4C46" w:rsidP="00CB5AA8">
            <w:pPr>
              <w:widowControl w:val="0"/>
              <w:jc w:val="center"/>
              <w:rPr>
                <w:rFonts w:eastAsia="Times New Roman"/>
                <w:sz w:val="17"/>
                <w:szCs w:val="17"/>
                <w:lang w:eastAsia="ru-RU"/>
              </w:rPr>
            </w:pPr>
            <w:r w:rsidRPr="00CB5AA8">
              <w:rPr>
                <w:rFonts w:eastAsia="Times New Roman"/>
                <w:sz w:val="17"/>
                <w:szCs w:val="17"/>
                <w:lang w:eastAsia="ru-RU"/>
              </w:rPr>
              <w:t>0,000</w:t>
            </w:r>
          </w:p>
        </w:tc>
        <w:tc>
          <w:tcPr>
            <w:tcW w:w="589" w:type="pct"/>
            <w:gridSpan w:val="2"/>
            <w:noWrap/>
            <w:hideMark/>
          </w:tcPr>
          <w:p w14:paraId="496FE534" w14:textId="77777777" w:rsidR="009A4C46" w:rsidRPr="00CB5AA8" w:rsidRDefault="009A4C46" w:rsidP="00CB5AA8">
            <w:pPr>
              <w:widowControl w:val="0"/>
              <w:jc w:val="center"/>
              <w:rPr>
                <w:rFonts w:eastAsia="Times New Roman"/>
                <w:sz w:val="17"/>
                <w:szCs w:val="17"/>
                <w:lang w:eastAsia="ru-RU"/>
              </w:rPr>
            </w:pPr>
            <w:r w:rsidRPr="00CB5AA8">
              <w:rPr>
                <w:rFonts w:eastAsia="Times New Roman"/>
                <w:sz w:val="17"/>
                <w:szCs w:val="17"/>
                <w:lang w:eastAsia="ru-RU"/>
              </w:rPr>
              <w:t>-0,000</w:t>
            </w:r>
          </w:p>
        </w:tc>
        <w:tc>
          <w:tcPr>
            <w:tcW w:w="799" w:type="pct"/>
            <w:gridSpan w:val="2"/>
            <w:hideMark/>
          </w:tcPr>
          <w:p w14:paraId="64B8E1F1" w14:textId="77777777" w:rsidR="009A4C46" w:rsidRPr="00CB5AA8" w:rsidRDefault="009A4C46" w:rsidP="00CB5AA8">
            <w:pPr>
              <w:widowControl w:val="0"/>
              <w:rPr>
                <w:rFonts w:eastAsia="Times New Roman"/>
                <w:sz w:val="17"/>
                <w:szCs w:val="17"/>
                <w:lang w:eastAsia="ru-RU"/>
              </w:rPr>
            </w:pPr>
            <w:r w:rsidRPr="00CB5AA8">
              <w:rPr>
                <w:rFonts w:eastAsia="Times New Roman"/>
                <w:sz w:val="17"/>
                <w:szCs w:val="17"/>
                <w:lang w:eastAsia="ru-RU"/>
              </w:rPr>
              <w:t> </w:t>
            </w:r>
          </w:p>
        </w:tc>
      </w:tr>
      <w:tr w:rsidR="00CB5AA8" w:rsidRPr="00CB5AA8" w14:paraId="77CC6F17" w14:textId="77777777" w:rsidTr="00CB5AA8">
        <w:trPr>
          <w:trHeight w:val="93"/>
        </w:trPr>
        <w:tc>
          <w:tcPr>
            <w:tcW w:w="210" w:type="pct"/>
            <w:noWrap/>
            <w:hideMark/>
          </w:tcPr>
          <w:p w14:paraId="3519D7E1" w14:textId="77777777" w:rsidR="009A4C46" w:rsidRPr="00CB5AA8" w:rsidRDefault="009A4C46" w:rsidP="00CB5AA8">
            <w:pPr>
              <w:widowControl w:val="0"/>
              <w:rPr>
                <w:rFonts w:eastAsia="Times New Roman"/>
                <w:sz w:val="17"/>
                <w:szCs w:val="17"/>
                <w:lang w:eastAsia="ru-RU"/>
              </w:rPr>
            </w:pPr>
            <w:r w:rsidRPr="00CB5AA8">
              <w:rPr>
                <w:rFonts w:eastAsia="Times New Roman"/>
                <w:sz w:val="17"/>
                <w:szCs w:val="17"/>
                <w:lang w:eastAsia="ru-RU"/>
              </w:rPr>
              <w:t>20</w:t>
            </w:r>
          </w:p>
        </w:tc>
        <w:tc>
          <w:tcPr>
            <w:tcW w:w="1093" w:type="pct"/>
            <w:hideMark/>
          </w:tcPr>
          <w:p w14:paraId="3B7B914E" w14:textId="77777777" w:rsidR="009A4C46" w:rsidRPr="00CB5AA8" w:rsidRDefault="009A4C46" w:rsidP="00CB5AA8">
            <w:pPr>
              <w:widowControl w:val="0"/>
              <w:rPr>
                <w:rFonts w:eastAsia="Times New Roman"/>
                <w:sz w:val="17"/>
                <w:szCs w:val="17"/>
                <w:lang w:eastAsia="ru-RU"/>
              </w:rPr>
            </w:pPr>
            <w:r w:rsidRPr="00CB5AA8">
              <w:rPr>
                <w:rFonts w:eastAsia="Times New Roman"/>
                <w:sz w:val="17"/>
                <w:szCs w:val="17"/>
                <w:lang w:eastAsia="ru-RU"/>
              </w:rPr>
              <w:t>Реконструкция ВЛ-0,4 с применением СИП г. Кызыл фидер 11/ТП- №18</w:t>
            </w:r>
          </w:p>
        </w:tc>
        <w:tc>
          <w:tcPr>
            <w:tcW w:w="514" w:type="pct"/>
            <w:noWrap/>
            <w:hideMark/>
          </w:tcPr>
          <w:p w14:paraId="0E822A84" w14:textId="77777777" w:rsidR="009A4C46" w:rsidRPr="00CB5AA8" w:rsidRDefault="009A4C46" w:rsidP="00CB5AA8">
            <w:pPr>
              <w:widowControl w:val="0"/>
              <w:jc w:val="center"/>
              <w:rPr>
                <w:rFonts w:eastAsia="Times New Roman"/>
                <w:sz w:val="17"/>
                <w:szCs w:val="17"/>
                <w:lang w:eastAsia="ru-RU"/>
              </w:rPr>
            </w:pPr>
            <w:r w:rsidRPr="00CB5AA8">
              <w:rPr>
                <w:rFonts w:eastAsia="Times New Roman"/>
                <w:sz w:val="17"/>
                <w:szCs w:val="17"/>
                <w:lang w:eastAsia="ru-RU"/>
              </w:rPr>
              <w:t>10,489</w:t>
            </w:r>
          </w:p>
        </w:tc>
        <w:tc>
          <w:tcPr>
            <w:tcW w:w="452" w:type="pct"/>
            <w:noWrap/>
            <w:hideMark/>
          </w:tcPr>
          <w:p w14:paraId="32A5C0E0" w14:textId="77777777" w:rsidR="009A4C46" w:rsidRPr="00CB5AA8" w:rsidRDefault="009A4C46" w:rsidP="00CB5AA8">
            <w:pPr>
              <w:widowControl w:val="0"/>
              <w:jc w:val="center"/>
              <w:rPr>
                <w:rFonts w:eastAsia="Times New Roman"/>
                <w:sz w:val="17"/>
                <w:szCs w:val="17"/>
                <w:lang w:eastAsia="ru-RU"/>
              </w:rPr>
            </w:pPr>
            <w:r w:rsidRPr="00CB5AA8">
              <w:rPr>
                <w:rFonts w:eastAsia="Times New Roman"/>
                <w:sz w:val="17"/>
                <w:szCs w:val="17"/>
                <w:lang w:eastAsia="ru-RU"/>
              </w:rPr>
              <w:t>9,688</w:t>
            </w:r>
          </w:p>
        </w:tc>
        <w:tc>
          <w:tcPr>
            <w:tcW w:w="413" w:type="pct"/>
            <w:noWrap/>
            <w:hideMark/>
          </w:tcPr>
          <w:p w14:paraId="1BE530B0" w14:textId="77777777" w:rsidR="009A4C46" w:rsidRPr="00CB5AA8" w:rsidRDefault="009A4C46" w:rsidP="00CB5AA8">
            <w:pPr>
              <w:widowControl w:val="0"/>
              <w:jc w:val="center"/>
              <w:rPr>
                <w:rFonts w:eastAsia="Times New Roman"/>
                <w:sz w:val="17"/>
                <w:szCs w:val="17"/>
                <w:lang w:eastAsia="ru-RU"/>
              </w:rPr>
            </w:pPr>
            <w:r w:rsidRPr="00CB5AA8">
              <w:rPr>
                <w:rFonts w:eastAsia="Times New Roman"/>
                <w:sz w:val="17"/>
                <w:szCs w:val="17"/>
                <w:lang w:eastAsia="ru-RU"/>
              </w:rPr>
              <w:t>9,688</w:t>
            </w:r>
          </w:p>
        </w:tc>
        <w:tc>
          <w:tcPr>
            <w:tcW w:w="454" w:type="pct"/>
            <w:noWrap/>
            <w:hideMark/>
          </w:tcPr>
          <w:p w14:paraId="42898536" w14:textId="77777777" w:rsidR="009A4C46" w:rsidRPr="00CB5AA8" w:rsidRDefault="009A4C46" w:rsidP="00CB5AA8">
            <w:pPr>
              <w:widowControl w:val="0"/>
              <w:jc w:val="center"/>
              <w:rPr>
                <w:rFonts w:eastAsia="Times New Roman"/>
                <w:sz w:val="17"/>
                <w:szCs w:val="17"/>
                <w:lang w:eastAsia="ru-RU"/>
              </w:rPr>
            </w:pPr>
            <w:r w:rsidRPr="00CB5AA8">
              <w:rPr>
                <w:rFonts w:eastAsia="Times New Roman"/>
                <w:sz w:val="17"/>
                <w:szCs w:val="17"/>
                <w:lang w:eastAsia="ru-RU"/>
              </w:rPr>
              <w:t>7,137</w:t>
            </w:r>
          </w:p>
        </w:tc>
        <w:tc>
          <w:tcPr>
            <w:tcW w:w="477" w:type="pct"/>
            <w:noWrap/>
            <w:hideMark/>
          </w:tcPr>
          <w:p w14:paraId="30C84814" w14:textId="77777777" w:rsidR="009A4C46" w:rsidRPr="00CB5AA8" w:rsidRDefault="009A4C46" w:rsidP="00CB5AA8">
            <w:pPr>
              <w:widowControl w:val="0"/>
              <w:jc w:val="center"/>
              <w:rPr>
                <w:rFonts w:eastAsia="Times New Roman"/>
                <w:sz w:val="17"/>
                <w:szCs w:val="17"/>
                <w:lang w:eastAsia="ru-RU"/>
              </w:rPr>
            </w:pPr>
            <w:r w:rsidRPr="00CB5AA8">
              <w:rPr>
                <w:rFonts w:eastAsia="Times New Roman"/>
                <w:sz w:val="17"/>
                <w:szCs w:val="17"/>
                <w:lang w:eastAsia="ru-RU"/>
              </w:rPr>
              <w:t>2,551</w:t>
            </w:r>
          </w:p>
        </w:tc>
        <w:tc>
          <w:tcPr>
            <w:tcW w:w="589" w:type="pct"/>
            <w:gridSpan w:val="2"/>
            <w:noWrap/>
            <w:hideMark/>
          </w:tcPr>
          <w:p w14:paraId="0E81EA7B" w14:textId="77777777" w:rsidR="009A4C46" w:rsidRPr="00CB5AA8" w:rsidRDefault="009A4C46" w:rsidP="00CB5AA8">
            <w:pPr>
              <w:widowControl w:val="0"/>
              <w:jc w:val="center"/>
              <w:rPr>
                <w:rFonts w:eastAsia="Times New Roman"/>
                <w:sz w:val="17"/>
                <w:szCs w:val="17"/>
                <w:lang w:eastAsia="ru-RU"/>
              </w:rPr>
            </w:pPr>
            <w:r w:rsidRPr="00CB5AA8">
              <w:rPr>
                <w:rFonts w:eastAsia="Times New Roman"/>
                <w:sz w:val="17"/>
                <w:szCs w:val="17"/>
                <w:lang w:eastAsia="ru-RU"/>
              </w:rPr>
              <w:t>-2,551</w:t>
            </w:r>
          </w:p>
        </w:tc>
        <w:tc>
          <w:tcPr>
            <w:tcW w:w="799" w:type="pct"/>
            <w:gridSpan w:val="2"/>
            <w:hideMark/>
          </w:tcPr>
          <w:p w14:paraId="290D218A" w14:textId="0B742722" w:rsidR="009A4C46" w:rsidRPr="00CB5AA8" w:rsidRDefault="009A4C46" w:rsidP="00CB5AA8">
            <w:pPr>
              <w:widowControl w:val="0"/>
              <w:rPr>
                <w:rFonts w:eastAsia="Times New Roman"/>
                <w:sz w:val="17"/>
                <w:szCs w:val="17"/>
                <w:lang w:eastAsia="ru-RU"/>
              </w:rPr>
            </w:pPr>
            <w:r w:rsidRPr="00CB5AA8">
              <w:rPr>
                <w:rFonts w:eastAsia="Times New Roman"/>
                <w:sz w:val="17"/>
                <w:szCs w:val="17"/>
                <w:lang w:eastAsia="ru-RU"/>
              </w:rPr>
              <w:t xml:space="preserve">профинансированы фактически </w:t>
            </w:r>
            <w:proofErr w:type="spellStart"/>
            <w:r w:rsidRPr="00CB5AA8">
              <w:rPr>
                <w:rFonts w:eastAsia="Times New Roman"/>
                <w:sz w:val="17"/>
                <w:szCs w:val="17"/>
                <w:lang w:eastAsia="ru-RU"/>
              </w:rPr>
              <w:t>выполненые</w:t>
            </w:r>
            <w:proofErr w:type="spellEnd"/>
            <w:r w:rsidRPr="00CB5AA8">
              <w:rPr>
                <w:rFonts w:eastAsia="Times New Roman"/>
                <w:sz w:val="17"/>
                <w:szCs w:val="17"/>
                <w:lang w:eastAsia="ru-RU"/>
              </w:rPr>
              <w:t xml:space="preserve"> работы хоз. способом </w:t>
            </w:r>
          </w:p>
        </w:tc>
      </w:tr>
      <w:tr w:rsidR="00CB5AA8" w:rsidRPr="00CB5AA8" w14:paraId="748D8FD0" w14:textId="77777777" w:rsidTr="00CB5AA8">
        <w:trPr>
          <w:trHeight w:val="960"/>
        </w:trPr>
        <w:tc>
          <w:tcPr>
            <w:tcW w:w="210" w:type="pct"/>
            <w:noWrap/>
            <w:hideMark/>
          </w:tcPr>
          <w:p w14:paraId="78CEBBE4" w14:textId="77777777" w:rsidR="009A4C46" w:rsidRPr="00CB5AA8" w:rsidRDefault="009A4C46" w:rsidP="00CB5AA8">
            <w:pPr>
              <w:widowControl w:val="0"/>
              <w:rPr>
                <w:rFonts w:eastAsia="Times New Roman"/>
                <w:sz w:val="17"/>
                <w:szCs w:val="17"/>
                <w:lang w:eastAsia="ru-RU"/>
              </w:rPr>
            </w:pPr>
            <w:r w:rsidRPr="00CB5AA8">
              <w:rPr>
                <w:rFonts w:eastAsia="Times New Roman"/>
                <w:sz w:val="17"/>
                <w:szCs w:val="17"/>
                <w:lang w:eastAsia="ru-RU"/>
              </w:rPr>
              <w:lastRenderedPageBreak/>
              <w:t>21</w:t>
            </w:r>
          </w:p>
        </w:tc>
        <w:tc>
          <w:tcPr>
            <w:tcW w:w="1093" w:type="pct"/>
            <w:hideMark/>
          </w:tcPr>
          <w:p w14:paraId="2E0B0175" w14:textId="77777777" w:rsidR="009A4C46" w:rsidRPr="00CB5AA8" w:rsidRDefault="009A4C46" w:rsidP="00CB5AA8">
            <w:pPr>
              <w:widowControl w:val="0"/>
              <w:rPr>
                <w:rFonts w:eastAsia="Times New Roman"/>
                <w:sz w:val="17"/>
                <w:szCs w:val="17"/>
                <w:lang w:eastAsia="ru-RU"/>
              </w:rPr>
            </w:pPr>
            <w:r w:rsidRPr="00CB5AA8">
              <w:rPr>
                <w:rFonts w:eastAsia="Times New Roman"/>
                <w:sz w:val="17"/>
                <w:szCs w:val="17"/>
                <w:lang w:eastAsia="ru-RU"/>
              </w:rPr>
              <w:t>Создание системы телемеханика и организация цифровых каналов связи на ПС 110/10 кВ «Южная», «Западная»</w:t>
            </w:r>
          </w:p>
        </w:tc>
        <w:tc>
          <w:tcPr>
            <w:tcW w:w="514" w:type="pct"/>
            <w:noWrap/>
            <w:hideMark/>
          </w:tcPr>
          <w:p w14:paraId="7743A112" w14:textId="77777777" w:rsidR="009A4C46" w:rsidRPr="00CB5AA8" w:rsidRDefault="009A4C46" w:rsidP="00CB5AA8">
            <w:pPr>
              <w:widowControl w:val="0"/>
              <w:jc w:val="center"/>
              <w:rPr>
                <w:rFonts w:eastAsia="Times New Roman"/>
                <w:sz w:val="17"/>
                <w:szCs w:val="17"/>
                <w:lang w:eastAsia="ru-RU"/>
              </w:rPr>
            </w:pPr>
            <w:r w:rsidRPr="00CB5AA8">
              <w:rPr>
                <w:rFonts w:eastAsia="Times New Roman"/>
                <w:sz w:val="17"/>
                <w:szCs w:val="17"/>
                <w:lang w:eastAsia="ru-RU"/>
              </w:rPr>
              <w:t>17,286</w:t>
            </w:r>
          </w:p>
        </w:tc>
        <w:tc>
          <w:tcPr>
            <w:tcW w:w="452" w:type="pct"/>
            <w:noWrap/>
            <w:hideMark/>
          </w:tcPr>
          <w:p w14:paraId="788718E3" w14:textId="77777777" w:rsidR="009A4C46" w:rsidRPr="00CB5AA8" w:rsidRDefault="009A4C46" w:rsidP="00CB5AA8">
            <w:pPr>
              <w:widowControl w:val="0"/>
              <w:jc w:val="center"/>
              <w:rPr>
                <w:rFonts w:eastAsia="Times New Roman"/>
                <w:sz w:val="17"/>
                <w:szCs w:val="17"/>
                <w:lang w:eastAsia="ru-RU"/>
              </w:rPr>
            </w:pPr>
            <w:r w:rsidRPr="00CB5AA8">
              <w:rPr>
                <w:rFonts w:eastAsia="Times New Roman"/>
                <w:sz w:val="17"/>
                <w:szCs w:val="17"/>
                <w:lang w:eastAsia="ru-RU"/>
              </w:rPr>
              <w:t>3,188</w:t>
            </w:r>
          </w:p>
        </w:tc>
        <w:tc>
          <w:tcPr>
            <w:tcW w:w="413" w:type="pct"/>
            <w:noWrap/>
            <w:hideMark/>
          </w:tcPr>
          <w:p w14:paraId="71D2A549" w14:textId="77777777" w:rsidR="009A4C46" w:rsidRPr="00CB5AA8" w:rsidRDefault="009A4C46" w:rsidP="00CB5AA8">
            <w:pPr>
              <w:widowControl w:val="0"/>
              <w:jc w:val="center"/>
              <w:rPr>
                <w:rFonts w:eastAsia="Times New Roman"/>
                <w:sz w:val="17"/>
                <w:szCs w:val="17"/>
                <w:lang w:eastAsia="ru-RU"/>
              </w:rPr>
            </w:pPr>
            <w:r w:rsidRPr="00CB5AA8">
              <w:rPr>
                <w:rFonts w:eastAsia="Times New Roman"/>
                <w:sz w:val="17"/>
                <w:szCs w:val="17"/>
                <w:lang w:eastAsia="ru-RU"/>
              </w:rPr>
              <w:t>3,188</w:t>
            </w:r>
          </w:p>
        </w:tc>
        <w:tc>
          <w:tcPr>
            <w:tcW w:w="454" w:type="pct"/>
            <w:noWrap/>
            <w:hideMark/>
          </w:tcPr>
          <w:p w14:paraId="391BE638" w14:textId="77777777" w:rsidR="009A4C46" w:rsidRPr="00CB5AA8" w:rsidRDefault="009A4C46" w:rsidP="00CB5AA8">
            <w:pPr>
              <w:widowControl w:val="0"/>
              <w:jc w:val="center"/>
              <w:rPr>
                <w:rFonts w:eastAsia="Times New Roman"/>
                <w:sz w:val="17"/>
                <w:szCs w:val="17"/>
                <w:lang w:eastAsia="ru-RU"/>
              </w:rPr>
            </w:pPr>
            <w:r w:rsidRPr="00CB5AA8">
              <w:rPr>
                <w:rFonts w:eastAsia="Times New Roman"/>
                <w:sz w:val="17"/>
                <w:szCs w:val="17"/>
                <w:lang w:eastAsia="ru-RU"/>
              </w:rPr>
              <w:t>3,188</w:t>
            </w:r>
          </w:p>
        </w:tc>
        <w:tc>
          <w:tcPr>
            <w:tcW w:w="477" w:type="pct"/>
            <w:noWrap/>
            <w:hideMark/>
          </w:tcPr>
          <w:p w14:paraId="7E5BC031" w14:textId="77777777" w:rsidR="009A4C46" w:rsidRPr="00CB5AA8" w:rsidRDefault="009A4C46" w:rsidP="00CB5AA8">
            <w:pPr>
              <w:widowControl w:val="0"/>
              <w:jc w:val="center"/>
              <w:rPr>
                <w:rFonts w:eastAsia="Times New Roman"/>
                <w:sz w:val="17"/>
                <w:szCs w:val="17"/>
                <w:lang w:eastAsia="ru-RU"/>
              </w:rPr>
            </w:pPr>
          </w:p>
        </w:tc>
        <w:tc>
          <w:tcPr>
            <w:tcW w:w="589" w:type="pct"/>
            <w:gridSpan w:val="2"/>
            <w:noWrap/>
          </w:tcPr>
          <w:p w14:paraId="20E90D71" w14:textId="77777777" w:rsidR="009A4C46" w:rsidRPr="00CB5AA8" w:rsidRDefault="009A4C46" w:rsidP="00CB5AA8">
            <w:pPr>
              <w:widowControl w:val="0"/>
              <w:jc w:val="center"/>
              <w:rPr>
                <w:rFonts w:eastAsia="Times New Roman"/>
                <w:sz w:val="17"/>
                <w:szCs w:val="17"/>
                <w:lang w:eastAsia="ru-RU"/>
              </w:rPr>
            </w:pPr>
          </w:p>
        </w:tc>
        <w:tc>
          <w:tcPr>
            <w:tcW w:w="799" w:type="pct"/>
            <w:gridSpan w:val="2"/>
            <w:hideMark/>
          </w:tcPr>
          <w:p w14:paraId="27B5626C" w14:textId="77777777" w:rsidR="009A4C46" w:rsidRPr="00CB5AA8" w:rsidRDefault="009A4C46" w:rsidP="00CB5AA8">
            <w:pPr>
              <w:widowControl w:val="0"/>
              <w:rPr>
                <w:rFonts w:eastAsia="Times New Roman"/>
                <w:sz w:val="17"/>
                <w:szCs w:val="17"/>
                <w:lang w:eastAsia="ru-RU"/>
              </w:rPr>
            </w:pPr>
            <w:r w:rsidRPr="00CB5AA8">
              <w:rPr>
                <w:rFonts w:eastAsia="Times New Roman"/>
                <w:sz w:val="17"/>
                <w:szCs w:val="17"/>
                <w:lang w:eastAsia="ru-RU"/>
              </w:rPr>
              <w:t> </w:t>
            </w:r>
          </w:p>
        </w:tc>
      </w:tr>
      <w:tr w:rsidR="00CB5AA8" w:rsidRPr="00CB5AA8" w14:paraId="7BF4D8A9" w14:textId="77777777" w:rsidTr="00CB5AA8">
        <w:trPr>
          <w:trHeight w:val="960"/>
        </w:trPr>
        <w:tc>
          <w:tcPr>
            <w:tcW w:w="210" w:type="pct"/>
            <w:noWrap/>
            <w:hideMark/>
          </w:tcPr>
          <w:p w14:paraId="75D322CF" w14:textId="77777777" w:rsidR="009A4C46" w:rsidRPr="00CB5AA8" w:rsidRDefault="009A4C46" w:rsidP="00CB5AA8">
            <w:pPr>
              <w:widowControl w:val="0"/>
              <w:rPr>
                <w:rFonts w:eastAsia="Times New Roman"/>
                <w:sz w:val="17"/>
                <w:szCs w:val="17"/>
                <w:lang w:eastAsia="ru-RU"/>
              </w:rPr>
            </w:pPr>
            <w:r w:rsidRPr="00CB5AA8">
              <w:rPr>
                <w:rFonts w:eastAsia="Times New Roman"/>
                <w:sz w:val="17"/>
                <w:szCs w:val="17"/>
                <w:lang w:eastAsia="ru-RU"/>
              </w:rPr>
              <w:t>22</w:t>
            </w:r>
          </w:p>
        </w:tc>
        <w:tc>
          <w:tcPr>
            <w:tcW w:w="1093" w:type="pct"/>
            <w:hideMark/>
          </w:tcPr>
          <w:p w14:paraId="3FEB4FF7" w14:textId="77777777" w:rsidR="009A4C46" w:rsidRPr="00CB5AA8" w:rsidRDefault="009A4C46" w:rsidP="00CB5AA8">
            <w:pPr>
              <w:widowControl w:val="0"/>
              <w:rPr>
                <w:rFonts w:eastAsia="Times New Roman"/>
                <w:sz w:val="17"/>
                <w:szCs w:val="17"/>
                <w:lang w:eastAsia="ru-RU"/>
              </w:rPr>
            </w:pPr>
            <w:r w:rsidRPr="00CB5AA8">
              <w:rPr>
                <w:rFonts w:eastAsia="Times New Roman"/>
                <w:sz w:val="17"/>
                <w:szCs w:val="17"/>
                <w:lang w:eastAsia="ru-RU"/>
              </w:rPr>
              <w:t>Создание системы телемеханика и организация цифровых каналов связи на ПС 110/35/10 кВ «Шагонар», «</w:t>
            </w:r>
            <w:proofErr w:type="spellStart"/>
            <w:r w:rsidRPr="00CB5AA8">
              <w:rPr>
                <w:rFonts w:eastAsia="Times New Roman"/>
                <w:sz w:val="17"/>
                <w:szCs w:val="17"/>
                <w:lang w:eastAsia="ru-RU"/>
              </w:rPr>
              <w:t>Арыг-Узуу</w:t>
            </w:r>
            <w:proofErr w:type="spellEnd"/>
            <w:r w:rsidRPr="00CB5AA8">
              <w:rPr>
                <w:rFonts w:eastAsia="Times New Roman"/>
                <w:sz w:val="17"/>
                <w:szCs w:val="17"/>
                <w:lang w:eastAsia="ru-RU"/>
              </w:rPr>
              <w:t>»</w:t>
            </w:r>
          </w:p>
        </w:tc>
        <w:tc>
          <w:tcPr>
            <w:tcW w:w="514" w:type="pct"/>
            <w:noWrap/>
            <w:hideMark/>
          </w:tcPr>
          <w:p w14:paraId="41679ECE" w14:textId="77777777" w:rsidR="009A4C46" w:rsidRPr="00CB5AA8" w:rsidRDefault="009A4C46" w:rsidP="00CB5AA8">
            <w:pPr>
              <w:widowControl w:val="0"/>
              <w:jc w:val="center"/>
              <w:rPr>
                <w:rFonts w:eastAsia="Times New Roman"/>
                <w:sz w:val="17"/>
                <w:szCs w:val="17"/>
                <w:lang w:eastAsia="ru-RU"/>
              </w:rPr>
            </w:pPr>
            <w:r w:rsidRPr="00CB5AA8">
              <w:rPr>
                <w:rFonts w:eastAsia="Times New Roman"/>
                <w:sz w:val="17"/>
                <w:szCs w:val="17"/>
                <w:lang w:eastAsia="ru-RU"/>
              </w:rPr>
              <w:t>5,238</w:t>
            </w:r>
          </w:p>
        </w:tc>
        <w:tc>
          <w:tcPr>
            <w:tcW w:w="452" w:type="pct"/>
            <w:noWrap/>
            <w:hideMark/>
          </w:tcPr>
          <w:p w14:paraId="3F442A24" w14:textId="77777777" w:rsidR="009A4C46" w:rsidRPr="00CB5AA8" w:rsidRDefault="009A4C46" w:rsidP="00CB5AA8">
            <w:pPr>
              <w:widowControl w:val="0"/>
              <w:jc w:val="center"/>
              <w:rPr>
                <w:rFonts w:eastAsia="Times New Roman"/>
                <w:sz w:val="17"/>
                <w:szCs w:val="17"/>
                <w:lang w:eastAsia="ru-RU"/>
              </w:rPr>
            </w:pPr>
            <w:r w:rsidRPr="00CB5AA8">
              <w:rPr>
                <w:rFonts w:eastAsia="Times New Roman"/>
                <w:sz w:val="17"/>
                <w:szCs w:val="17"/>
                <w:lang w:eastAsia="ru-RU"/>
              </w:rPr>
              <w:t>5,139</w:t>
            </w:r>
          </w:p>
        </w:tc>
        <w:tc>
          <w:tcPr>
            <w:tcW w:w="413" w:type="pct"/>
            <w:noWrap/>
            <w:hideMark/>
          </w:tcPr>
          <w:p w14:paraId="351170BC" w14:textId="77777777" w:rsidR="009A4C46" w:rsidRPr="00CB5AA8" w:rsidRDefault="009A4C46" w:rsidP="00CB5AA8">
            <w:pPr>
              <w:widowControl w:val="0"/>
              <w:jc w:val="center"/>
              <w:rPr>
                <w:rFonts w:eastAsia="Times New Roman"/>
                <w:sz w:val="17"/>
                <w:szCs w:val="17"/>
                <w:lang w:eastAsia="ru-RU"/>
              </w:rPr>
            </w:pPr>
            <w:r w:rsidRPr="00CB5AA8">
              <w:rPr>
                <w:rFonts w:eastAsia="Times New Roman"/>
                <w:sz w:val="17"/>
                <w:szCs w:val="17"/>
                <w:lang w:eastAsia="ru-RU"/>
              </w:rPr>
              <w:t>5,139</w:t>
            </w:r>
          </w:p>
        </w:tc>
        <w:tc>
          <w:tcPr>
            <w:tcW w:w="454" w:type="pct"/>
            <w:noWrap/>
            <w:hideMark/>
          </w:tcPr>
          <w:p w14:paraId="791EA4F9" w14:textId="77777777" w:rsidR="009A4C46" w:rsidRPr="00CB5AA8" w:rsidRDefault="009A4C46" w:rsidP="00CB5AA8">
            <w:pPr>
              <w:widowControl w:val="0"/>
              <w:jc w:val="center"/>
              <w:rPr>
                <w:rFonts w:eastAsia="Times New Roman"/>
                <w:sz w:val="17"/>
                <w:szCs w:val="17"/>
                <w:lang w:eastAsia="ru-RU"/>
              </w:rPr>
            </w:pPr>
            <w:r w:rsidRPr="00CB5AA8">
              <w:rPr>
                <w:rFonts w:eastAsia="Times New Roman"/>
                <w:sz w:val="17"/>
                <w:szCs w:val="17"/>
                <w:lang w:eastAsia="ru-RU"/>
              </w:rPr>
              <w:t>5,850</w:t>
            </w:r>
          </w:p>
        </w:tc>
        <w:tc>
          <w:tcPr>
            <w:tcW w:w="477" w:type="pct"/>
            <w:noWrap/>
            <w:hideMark/>
          </w:tcPr>
          <w:p w14:paraId="27ABEC01" w14:textId="77777777" w:rsidR="009A4C46" w:rsidRPr="00CB5AA8" w:rsidRDefault="009A4C46" w:rsidP="00CB5AA8">
            <w:pPr>
              <w:widowControl w:val="0"/>
              <w:jc w:val="center"/>
              <w:rPr>
                <w:rFonts w:eastAsia="Times New Roman"/>
                <w:sz w:val="17"/>
                <w:szCs w:val="17"/>
                <w:lang w:eastAsia="ru-RU"/>
              </w:rPr>
            </w:pPr>
            <w:r w:rsidRPr="00CB5AA8">
              <w:rPr>
                <w:rFonts w:eastAsia="Times New Roman"/>
                <w:sz w:val="17"/>
                <w:szCs w:val="17"/>
                <w:lang w:eastAsia="ru-RU"/>
              </w:rPr>
              <w:t>-0,711</w:t>
            </w:r>
          </w:p>
        </w:tc>
        <w:tc>
          <w:tcPr>
            <w:tcW w:w="589" w:type="pct"/>
            <w:gridSpan w:val="2"/>
            <w:noWrap/>
            <w:hideMark/>
          </w:tcPr>
          <w:p w14:paraId="0989AC79" w14:textId="77777777" w:rsidR="009A4C46" w:rsidRPr="00CB5AA8" w:rsidRDefault="009A4C46" w:rsidP="00CB5AA8">
            <w:pPr>
              <w:widowControl w:val="0"/>
              <w:jc w:val="center"/>
              <w:rPr>
                <w:rFonts w:eastAsia="Times New Roman"/>
                <w:sz w:val="17"/>
                <w:szCs w:val="17"/>
                <w:lang w:eastAsia="ru-RU"/>
              </w:rPr>
            </w:pPr>
            <w:r w:rsidRPr="00CB5AA8">
              <w:rPr>
                <w:rFonts w:eastAsia="Times New Roman"/>
                <w:sz w:val="17"/>
                <w:szCs w:val="17"/>
                <w:lang w:eastAsia="ru-RU"/>
              </w:rPr>
              <w:t>0,711</w:t>
            </w:r>
          </w:p>
        </w:tc>
        <w:tc>
          <w:tcPr>
            <w:tcW w:w="799" w:type="pct"/>
            <w:gridSpan w:val="2"/>
            <w:hideMark/>
          </w:tcPr>
          <w:p w14:paraId="01AA43BA" w14:textId="77777777" w:rsidR="009A4C46" w:rsidRPr="00CB5AA8" w:rsidRDefault="009A4C46" w:rsidP="00CB5AA8">
            <w:pPr>
              <w:widowControl w:val="0"/>
              <w:rPr>
                <w:rFonts w:eastAsia="Times New Roman"/>
                <w:sz w:val="17"/>
                <w:szCs w:val="17"/>
                <w:lang w:eastAsia="ru-RU"/>
              </w:rPr>
            </w:pPr>
            <w:r w:rsidRPr="00CB5AA8">
              <w:rPr>
                <w:rFonts w:eastAsia="Times New Roman"/>
                <w:sz w:val="17"/>
                <w:szCs w:val="17"/>
                <w:lang w:eastAsia="ru-RU"/>
              </w:rPr>
              <w:t>При проведении ТЗП контрагенты вышли на торги с превышением стоимости закупки(в  связи с повышением цен на оборудование и материалы), оплата в соответствии с договором поставки</w:t>
            </w:r>
          </w:p>
        </w:tc>
      </w:tr>
      <w:tr w:rsidR="00CB5AA8" w:rsidRPr="00CB5AA8" w14:paraId="25C9EE20" w14:textId="77777777" w:rsidTr="00CB5AA8">
        <w:trPr>
          <w:trHeight w:val="960"/>
        </w:trPr>
        <w:tc>
          <w:tcPr>
            <w:tcW w:w="210" w:type="pct"/>
            <w:noWrap/>
            <w:hideMark/>
          </w:tcPr>
          <w:p w14:paraId="7B28BE08" w14:textId="77777777" w:rsidR="009A4C46" w:rsidRPr="00CB5AA8" w:rsidRDefault="009A4C46" w:rsidP="00CB5AA8">
            <w:pPr>
              <w:widowControl w:val="0"/>
              <w:rPr>
                <w:rFonts w:eastAsia="Times New Roman"/>
                <w:sz w:val="17"/>
                <w:szCs w:val="17"/>
                <w:lang w:eastAsia="ru-RU"/>
              </w:rPr>
            </w:pPr>
            <w:r w:rsidRPr="00CB5AA8">
              <w:rPr>
                <w:rFonts w:eastAsia="Times New Roman"/>
                <w:sz w:val="17"/>
                <w:szCs w:val="17"/>
                <w:lang w:eastAsia="ru-RU"/>
              </w:rPr>
              <w:t>23</w:t>
            </w:r>
          </w:p>
        </w:tc>
        <w:tc>
          <w:tcPr>
            <w:tcW w:w="1093" w:type="pct"/>
            <w:hideMark/>
          </w:tcPr>
          <w:p w14:paraId="650F4133" w14:textId="77777777" w:rsidR="009A4C46" w:rsidRPr="00CB5AA8" w:rsidRDefault="009A4C46" w:rsidP="00CB5AA8">
            <w:pPr>
              <w:widowControl w:val="0"/>
              <w:rPr>
                <w:rFonts w:eastAsia="Times New Roman"/>
                <w:sz w:val="17"/>
                <w:szCs w:val="17"/>
                <w:lang w:eastAsia="ru-RU"/>
              </w:rPr>
            </w:pPr>
            <w:r w:rsidRPr="00CB5AA8">
              <w:rPr>
                <w:rFonts w:eastAsia="Times New Roman"/>
                <w:sz w:val="17"/>
                <w:szCs w:val="17"/>
                <w:lang w:eastAsia="ru-RU"/>
              </w:rPr>
              <w:t>Модернизация системы телемеханика и организация цифровых каналов связи на ПС 110 кВ «</w:t>
            </w:r>
            <w:proofErr w:type="spellStart"/>
            <w:r w:rsidRPr="00CB5AA8">
              <w:rPr>
                <w:rFonts w:eastAsia="Times New Roman"/>
                <w:sz w:val="17"/>
                <w:szCs w:val="17"/>
                <w:lang w:eastAsia="ru-RU"/>
              </w:rPr>
              <w:t>Сукпак</w:t>
            </w:r>
            <w:proofErr w:type="spellEnd"/>
            <w:r w:rsidRPr="00CB5AA8">
              <w:rPr>
                <w:rFonts w:eastAsia="Times New Roman"/>
                <w:sz w:val="17"/>
                <w:szCs w:val="17"/>
                <w:lang w:eastAsia="ru-RU"/>
              </w:rPr>
              <w:t>»</w:t>
            </w:r>
          </w:p>
        </w:tc>
        <w:tc>
          <w:tcPr>
            <w:tcW w:w="514" w:type="pct"/>
            <w:noWrap/>
            <w:hideMark/>
          </w:tcPr>
          <w:p w14:paraId="15452AF4" w14:textId="77777777" w:rsidR="009A4C46" w:rsidRPr="00CB5AA8" w:rsidRDefault="009A4C46" w:rsidP="00CB5AA8">
            <w:pPr>
              <w:widowControl w:val="0"/>
              <w:jc w:val="center"/>
              <w:rPr>
                <w:rFonts w:eastAsia="Times New Roman"/>
                <w:sz w:val="17"/>
                <w:szCs w:val="17"/>
                <w:lang w:eastAsia="ru-RU"/>
              </w:rPr>
            </w:pPr>
            <w:r w:rsidRPr="00CB5AA8">
              <w:rPr>
                <w:rFonts w:eastAsia="Times New Roman"/>
                <w:sz w:val="17"/>
                <w:szCs w:val="17"/>
                <w:lang w:eastAsia="ru-RU"/>
              </w:rPr>
              <w:t>3,758</w:t>
            </w:r>
          </w:p>
        </w:tc>
        <w:tc>
          <w:tcPr>
            <w:tcW w:w="452" w:type="pct"/>
            <w:noWrap/>
            <w:hideMark/>
          </w:tcPr>
          <w:p w14:paraId="198D9BEC" w14:textId="77777777" w:rsidR="009A4C46" w:rsidRPr="00CB5AA8" w:rsidRDefault="009A4C46" w:rsidP="00CB5AA8">
            <w:pPr>
              <w:widowControl w:val="0"/>
              <w:jc w:val="center"/>
              <w:rPr>
                <w:rFonts w:eastAsia="Times New Roman"/>
                <w:sz w:val="17"/>
                <w:szCs w:val="17"/>
                <w:lang w:eastAsia="ru-RU"/>
              </w:rPr>
            </w:pPr>
            <w:r w:rsidRPr="00CB5AA8">
              <w:rPr>
                <w:rFonts w:eastAsia="Times New Roman"/>
                <w:sz w:val="17"/>
                <w:szCs w:val="17"/>
                <w:lang w:eastAsia="ru-RU"/>
              </w:rPr>
              <w:t>3,758</w:t>
            </w:r>
          </w:p>
        </w:tc>
        <w:tc>
          <w:tcPr>
            <w:tcW w:w="413" w:type="pct"/>
            <w:noWrap/>
            <w:hideMark/>
          </w:tcPr>
          <w:p w14:paraId="68A378EF" w14:textId="77777777" w:rsidR="009A4C46" w:rsidRPr="00CB5AA8" w:rsidRDefault="009A4C46" w:rsidP="00CB5AA8">
            <w:pPr>
              <w:widowControl w:val="0"/>
              <w:jc w:val="center"/>
              <w:rPr>
                <w:rFonts w:eastAsia="Times New Roman"/>
                <w:sz w:val="17"/>
                <w:szCs w:val="17"/>
                <w:lang w:eastAsia="ru-RU"/>
              </w:rPr>
            </w:pPr>
            <w:r w:rsidRPr="00CB5AA8">
              <w:rPr>
                <w:rFonts w:eastAsia="Times New Roman"/>
                <w:sz w:val="17"/>
                <w:szCs w:val="17"/>
                <w:lang w:eastAsia="ru-RU"/>
              </w:rPr>
              <w:t>0,113</w:t>
            </w:r>
          </w:p>
        </w:tc>
        <w:tc>
          <w:tcPr>
            <w:tcW w:w="454" w:type="pct"/>
            <w:noWrap/>
            <w:hideMark/>
          </w:tcPr>
          <w:p w14:paraId="62635E9C" w14:textId="77777777" w:rsidR="009A4C46" w:rsidRPr="00CB5AA8" w:rsidRDefault="009A4C46" w:rsidP="00CB5AA8">
            <w:pPr>
              <w:widowControl w:val="0"/>
              <w:jc w:val="center"/>
              <w:rPr>
                <w:rFonts w:eastAsia="Times New Roman"/>
                <w:sz w:val="17"/>
                <w:szCs w:val="17"/>
                <w:lang w:eastAsia="ru-RU"/>
              </w:rPr>
            </w:pPr>
            <w:r w:rsidRPr="00CB5AA8">
              <w:rPr>
                <w:rFonts w:eastAsia="Times New Roman"/>
                <w:sz w:val="17"/>
                <w:szCs w:val="17"/>
                <w:lang w:eastAsia="ru-RU"/>
              </w:rPr>
              <w:t>0,099</w:t>
            </w:r>
          </w:p>
        </w:tc>
        <w:tc>
          <w:tcPr>
            <w:tcW w:w="477" w:type="pct"/>
            <w:noWrap/>
            <w:hideMark/>
          </w:tcPr>
          <w:p w14:paraId="19317532" w14:textId="77777777" w:rsidR="009A4C46" w:rsidRPr="00CB5AA8" w:rsidRDefault="009A4C46" w:rsidP="00CB5AA8">
            <w:pPr>
              <w:widowControl w:val="0"/>
              <w:jc w:val="center"/>
              <w:rPr>
                <w:rFonts w:eastAsia="Times New Roman"/>
                <w:sz w:val="17"/>
                <w:szCs w:val="17"/>
                <w:lang w:eastAsia="ru-RU"/>
              </w:rPr>
            </w:pPr>
            <w:r w:rsidRPr="00CB5AA8">
              <w:rPr>
                <w:rFonts w:eastAsia="Times New Roman"/>
                <w:sz w:val="17"/>
                <w:szCs w:val="17"/>
                <w:lang w:eastAsia="ru-RU"/>
              </w:rPr>
              <w:t>3,659</w:t>
            </w:r>
          </w:p>
        </w:tc>
        <w:tc>
          <w:tcPr>
            <w:tcW w:w="589" w:type="pct"/>
            <w:gridSpan w:val="2"/>
            <w:noWrap/>
            <w:hideMark/>
          </w:tcPr>
          <w:p w14:paraId="1969AF92" w14:textId="77777777" w:rsidR="009A4C46" w:rsidRPr="00CB5AA8" w:rsidRDefault="009A4C46" w:rsidP="00CB5AA8">
            <w:pPr>
              <w:widowControl w:val="0"/>
              <w:jc w:val="center"/>
              <w:rPr>
                <w:rFonts w:eastAsia="Times New Roman"/>
                <w:sz w:val="17"/>
                <w:szCs w:val="17"/>
                <w:lang w:eastAsia="ru-RU"/>
              </w:rPr>
            </w:pPr>
            <w:r w:rsidRPr="00CB5AA8">
              <w:rPr>
                <w:rFonts w:eastAsia="Times New Roman"/>
                <w:sz w:val="17"/>
                <w:szCs w:val="17"/>
                <w:lang w:eastAsia="ru-RU"/>
              </w:rPr>
              <w:t>-0,014</w:t>
            </w:r>
          </w:p>
        </w:tc>
        <w:tc>
          <w:tcPr>
            <w:tcW w:w="799" w:type="pct"/>
            <w:gridSpan w:val="2"/>
            <w:hideMark/>
          </w:tcPr>
          <w:p w14:paraId="0681348E" w14:textId="77777777" w:rsidR="009A4C46" w:rsidRPr="00CB5AA8" w:rsidRDefault="009A4C46" w:rsidP="00CB5AA8">
            <w:pPr>
              <w:widowControl w:val="0"/>
              <w:rPr>
                <w:rFonts w:eastAsia="Times New Roman"/>
                <w:sz w:val="17"/>
                <w:szCs w:val="17"/>
                <w:lang w:eastAsia="ru-RU"/>
              </w:rPr>
            </w:pPr>
            <w:r w:rsidRPr="00CB5AA8">
              <w:rPr>
                <w:rFonts w:eastAsia="Times New Roman"/>
                <w:sz w:val="17"/>
                <w:szCs w:val="17"/>
                <w:lang w:eastAsia="ru-RU"/>
              </w:rPr>
              <w:t>оплата за фактически выполненные ПИР</w:t>
            </w:r>
          </w:p>
        </w:tc>
      </w:tr>
      <w:tr w:rsidR="00CB5AA8" w:rsidRPr="00CB5AA8" w14:paraId="23FCDAA3" w14:textId="77777777" w:rsidTr="00CB5AA8">
        <w:trPr>
          <w:trHeight w:val="1005"/>
        </w:trPr>
        <w:tc>
          <w:tcPr>
            <w:tcW w:w="210" w:type="pct"/>
            <w:noWrap/>
            <w:hideMark/>
          </w:tcPr>
          <w:p w14:paraId="4EC1007D" w14:textId="77777777" w:rsidR="009A4C46" w:rsidRPr="00CB5AA8" w:rsidRDefault="009A4C46" w:rsidP="00CB5AA8">
            <w:pPr>
              <w:widowControl w:val="0"/>
              <w:rPr>
                <w:rFonts w:eastAsia="Times New Roman"/>
                <w:sz w:val="17"/>
                <w:szCs w:val="17"/>
                <w:lang w:eastAsia="ru-RU"/>
              </w:rPr>
            </w:pPr>
            <w:r w:rsidRPr="00CB5AA8">
              <w:rPr>
                <w:rFonts w:eastAsia="Times New Roman"/>
                <w:sz w:val="17"/>
                <w:szCs w:val="17"/>
                <w:lang w:eastAsia="ru-RU"/>
              </w:rPr>
              <w:t>24</w:t>
            </w:r>
          </w:p>
        </w:tc>
        <w:tc>
          <w:tcPr>
            <w:tcW w:w="1093" w:type="pct"/>
            <w:hideMark/>
          </w:tcPr>
          <w:p w14:paraId="5D3CA475" w14:textId="77777777" w:rsidR="009A4C46" w:rsidRPr="00CB5AA8" w:rsidRDefault="009A4C46" w:rsidP="00CB5AA8">
            <w:pPr>
              <w:widowControl w:val="0"/>
              <w:rPr>
                <w:rFonts w:eastAsia="Times New Roman"/>
                <w:sz w:val="17"/>
                <w:szCs w:val="17"/>
                <w:lang w:eastAsia="ru-RU"/>
              </w:rPr>
            </w:pPr>
            <w:r w:rsidRPr="00CB5AA8">
              <w:rPr>
                <w:rFonts w:eastAsia="Times New Roman"/>
                <w:sz w:val="17"/>
                <w:szCs w:val="17"/>
                <w:lang w:eastAsia="ru-RU"/>
              </w:rPr>
              <w:t>Создание системы телемеханика и организация цифровых каналов связи на ПС 110 кВ «Элегест», «Сарыг-Сеп»</w:t>
            </w:r>
          </w:p>
        </w:tc>
        <w:tc>
          <w:tcPr>
            <w:tcW w:w="514" w:type="pct"/>
            <w:noWrap/>
            <w:hideMark/>
          </w:tcPr>
          <w:p w14:paraId="7A7E0FAA" w14:textId="77777777" w:rsidR="009A4C46" w:rsidRPr="00CB5AA8" w:rsidRDefault="009A4C46" w:rsidP="00CB5AA8">
            <w:pPr>
              <w:widowControl w:val="0"/>
              <w:jc w:val="center"/>
              <w:rPr>
                <w:rFonts w:eastAsia="Times New Roman"/>
                <w:sz w:val="17"/>
                <w:szCs w:val="17"/>
                <w:lang w:eastAsia="ru-RU"/>
              </w:rPr>
            </w:pPr>
            <w:r w:rsidRPr="00CB5AA8">
              <w:rPr>
                <w:rFonts w:eastAsia="Times New Roman"/>
                <w:sz w:val="17"/>
                <w:szCs w:val="17"/>
                <w:lang w:eastAsia="ru-RU"/>
              </w:rPr>
              <w:t>5,246</w:t>
            </w:r>
          </w:p>
        </w:tc>
        <w:tc>
          <w:tcPr>
            <w:tcW w:w="452" w:type="pct"/>
            <w:noWrap/>
            <w:hideMark/>
          </w:tcPr>
          <w:p w14:paraId="512BF3ED" w14:textId="77777777" w:rsidR="009A4C46" w:rsidRPr="00CB5AA8" w:rsidRDefault="009A4C46" w:rsidP="00CB5AA8">
            <w:pPr>
              <w:widowControl w:val="0"/>
              <w:jc w:val="center"/>
              <w:rPr>
                <w:rFonts w:eastAsia="Times New Roman"/>
                <w:sz w:val="17"/>
                <w:szCs w:val="17"/>
                <w:lang w:eastAsia="ru-RU"/>
              </w:rPr>
            </w:pPr>
            <w:r w:rsidRPr="00CB5AA8">
              <w:rPr>
                <w:rFonts w:eastAsia="Times New Roman"/>
                <w:sz w:val="17"/>
                <w:szCs w:val="17"/>
                <w:lang w:eastAsia="ru-RU"/>
              </w:rPr>
              <w:t>5,246</w:t>
            </w:r>
          </w:p>
        </w:tc>
        <w:tc>
          <w:tcPr>
            <w:tcW w:w="413" w:type="pct"/>
            <w:noWrap/>
            <w:hideMark/>
          </w:tcPr>
          <w:p w14:paraId="1E39BF04" w14:textId="77777777" w:rsidR="009A4C46" w:rsidRPr="00CB5AA8" w:rsidRDefault="009A4C46" w:rsidP="00CB5AA8">
            <w:pPr>
              <w:widowControl w:val="0"/>
              <w:jc w:val="center"/>
              <w:rPr>
                <w:rFonts w:eastAsia="Times New Roman"/>
                <w:sz w:val="17"/>
                <w:szCs w:val="17"/>
                <w:lang w:eastAsia="ru-RU"/>
              </w:rPr>
            </w:pPr>
            <w:r w:rsidRPr="00CB5AA8">
              <w:rPr>
                <w:rFonts w:eastAsia="Times New Roman"/>
                <w:sz w:val="17"/>
                <w:szCs w:val="17"/>
                <w:lang w:eastAsia="ru-RU"/>
              </w:rPr>
              <w:t>0,113</w:t>
            </w:r>
          </w:p>
        </w:tc>
        <w:tc>
          <w:tcPr>
            <w:tcW w:w="454" w:type="pct"/>
            <w:noWrap/>
            <w:hideMark/>
          </w:tcPr>
          <w:p w14:paraId="2861AFDB" w14:textId="77777777" w:rsidR="009A4C46" w:rsidRPr="00CB5AA8" w:rsidRDefault="009A4C46" w:rsidP="00CB5AA8">
            <w:pPr>
              <w:widowControl w:val="0"/>
              <w:jc w:val="center"/>
              <w:rPr>
                <w:rFonts w:eastAsia="Times New Roman"/>
                <w:sz w:val="17"/>
                <w:szCs w:val="17"/>
                <w:lang w:eastAsia="ru-RU"/>
              </w:rPr>
            </w:pPr>
            <w:r w:rsidRPr="00CB5AA8">
              <w:rPr>
                <w:rFonts w:eastAsia="Times New Roman"/>
                <w:sz w:val="17"/>
                <w:szCs w:val="17"/>
                <w:lang w:eastAsia="ru-RU"/>
              </w:rPr>
              <w:t>0,099</w:t>
            </w:r>
          </w:p>
        </w:tc>
        <w:tc>
          <w:tcPr>
            <w:tcW w:w="477" w:type="pct"/>
            <w:noWrap/>
            <w:hideMark/>
          </w:tcPr>
          <w:p w14:paraId="46A42F43" w14:textId="77777777" w:rsidR="009A4C46" w:rsidRPr="00CB5AA8" w:rsidRDefault="009A4C46" w:rsidP="00CB5AA8">
            <w:pPr>
              <w:widowControl w:val="0"/>
              <w:jc w:val="center"/>
              <w:rPr>
                <w:rFonts w:eastAsia="Times New Roman"/>
                <w:sz w:val="17"/>
                <w:szCs w:val="17"/>
                <w:lang w:eastAsia="ru-RU"/>
              </w:rPr>
            </w:pPr>
            <w:r w:rsidRPr="00CB5AA8">
              <w:rPr>
                <w:rFonts w:eastAsia="Times New Roman"/>
                <w:sz w:val="17"/>
                <w:szCs w:val="17"/>
                <w:lang w:eastAsia="ru-RU"/>
              </w:rPr>
              <w:t>5,147</w:t>
            </w:r>
          </w:p>
        </w:tc>
        <w:tc>
          <w:tcPr>
            <w:tcW w:w="589" w:type="pct"/>
            <w:gridSpan w:val="2"/>
            <w:noWrap/>
            <w:hideMark/>
          </w:tcPr>
          <w:p w14:paraId="23B5FADA" w14:textId="77777777" w:rsidR="009A4C46" w:rsidRPr="00CB5AA8" w:rsidRDefault="009A4C46" w:rsidP="00CB5AA8">
            <w:pPr>
              <w:widowControl w:val="0"/>
              <w:jc w:val="center"/>
              <w:rPr>
                <w:rFonts w:eastAsia="Times New Roman"/>
                <w:sz w:val="17"/>
                <w:szCs w:val="17"/>
                <w:lang w:eastAsia="ru-RU"/>
              </w:rPr>
            </w:pPr>
            <w:r w:rsidRPr="00CB5AA8">
              <w:rPr>
                <w:rFonts w:eastAsia="Times New Roman"/>
                <w:sz w:val="17"/>
                <w:szCs w:val="17"/>
                <w:lang w:eastAsia="ru-RU"/>
              </w:rPr>
              <w:t>-0,014</w:t>
            </w:r>
          </w:p>
        </w:tc>
        <w:tc>
          <w:tcPr>
            <w:tcW w:w="799" w:type="pct"/>
            <w:gridSpan w:val="2"/>
            <w:hideMark/>
          </w:tcPr>
          <w:p w14:paraId="17654B0C" w14:textId="77777777" w:rsidR="009A4C46" w:rsidRPr="00CB5AA8" w:rsidRDefault="009A4C46" w:rsidP="00CB5AA8">
            <w:pPr>
              <w:widowControl w:val="0"/>
              <w:rPr>
                <w:rFonts w:eastAsia="Times New Roman"/>
                <w:sz w:val="17"/>
                <w:szCs w:val="17"/>
                <w:lang w:eastAsia="ru-RU"/>
              </w:rPr>
            </w:pPr>
            <w:r w:rsidRPr="00CB5AA8">
              <w:rPr>
                <w:rFonts w:eastAsia="Times New Roman"/>
                <w:sz w:val="17"/>
                <w:szCs w:val="17"/>
                <w:lang w:eastAsia="ru-RU"/>
              </w:rPr>
              <w:t>оплата за фактически выполненные ПИР</w:t>
            </w:r>
          </w:p>
        </w:tc>
      </w:tr>
      <w:tr w:rsidR="00CB5AA8" w:rsidRPr="00CB5AA8" w14:paraId="20ECAFE4" w14:textId="77777777" w:rsidTr="00CB5AA8">
        <w:trPr>
          <w:trHeight w:val="960"/>
        </w:trPr>
        <w:tc>
          <w:tcPr>
            <w:tcW w:w="210" w:type="pct"/>
            <w:noWrap/>
            <w:hideMark/>
          </w:tcPr>
          <w:p w14:paraId="365C596F" w14:textId="77777777" w:rsidR="009A4C46" w:rsidRPr="00CB5AA8" w:rsidRDefault="009A4C46" w:rsidP="00CB5AA8">
            <w:pPr>
              <w:widowControl w:val="0"/>
              <w:rPr>
                <w:rFonts w:eastAsia="Times New Roman"/>
                <w:sz w:val="17"/>
                <w:szCs w:val="17"/>
                <w:lang w:eastAsia="ru-RU"/>
              </w:rPr>
            </w:pPr>
            <w:r w:rsidRPr="00CB5AA8">
              <w:rPr>
                <w:rFonts w:eastAsia="Times New Roman"/>
                <w:sz w:val="17"/>
                <w:szCs w:val="17"/>
                <w:lang w:eastAsia="ru-RU"/>
              </w:rPr>
              <w:t>25</w:t>
            </w:r>
          </w:p>
        </w:tc>
        <w:tc>
          <w:tcPr>
            <w:tcW w:w="1093" w:type="pct"/>
            <w:hideMark/>
          </w:tcPr>
          <w:p w14:paraId="0FDFD656" w14:textId="77777777" w:rsidR="009A4C46" w:rsidRPr="00CB5AA8" w:rsidRDefault="009A4C46" w:rsidP="00CB5AA8">
            <w:pPr>
              <w:widowControl w:val="0"/>
              <w:rPr>
                <w:rFonts w:eastAsia="Times New Roman"/>
                <w:sz w:val="17"/>
                <w:szCs w:val="17"/>
                <w:lang w:eastAsia="ru-RU"/>
              </w:rPr>
            </w:pPr>
            <w:r w:rsidRPr="00CB5AA8">
              <w:rPr>
                <w:rFonts w:eastAsia="Times New Roman"/>
                <w:sz w:val="17"/>
                <w:szCs w:val="17"/>
                <w:lang w:eastAsia="ru-RU"/>
              </w:rPr>
              <w:t>Создание системы отображения информации диспетчерского пункта центра управления сетями</w:t>
            </w:r>
          </w:p>
        </w:tc>
        <w:tc>
          <w:tcPr>
            <w:tcW w:w="514" w:type="pct"/>
            <w:noWrap/>
            <w:hideMark/>
          </w:tcPr>
          <w:p w14:paraId="192E6102" w14:textId="77777777" w:rsidR="009A4C46" w:rsidRPr="00CB5AA8" w:rsidRDefault="009A4C46" w:rsidP="00CB5AA8">
            <w:pPr>
              <w:widowControl w:val="0"/>
              <w:jc w:val="center"/>
              <w:rPr>
                <w:rFonts w:eastAsia="Times New Roman"/>
                <w:sz w:val="17"/>
                <w:szCs w:val="17"/>
                <w:lang w:eastAsia="ru-RU"/>
              </w:rPr>
            </w:pPr>
            <w:r w:rsidRPr="00CB5AA8">
              <w:rPr>
                <w:rFonts w:eastAsia="Times New Roman"/>
                <w:sz w:val="17"/>
                <w:szCs w:val="17"/>
                <w:lang w:eastAsia="ru-RU"/>
              </w:rPr>
              <w:t>6,280</w:t>
            </w:r>
          </w:p>
        </w:tc>
        <w:tc>
          <w:tcPr>
            <w:tcW w:w="452" w:type="pct"/>
            <w:noWrap/>
            <w:hideMark/>
          </w:tcPr>
          <w:p w14:paraId="234C534F" w14:textId="77777777" w:rsidR="009A4C46" w:rsidRPr="00CB5AA8" w:rsidRDefault="009A4C46" w:rsidP="00CB5AA8">
            <w:pPr>
              <w:widowControl w:val="0"/>
              <w:jc w:val="center"/>
              <w:rPr>
                <w:rFonts w:eastAsia="Times New Roman"/>
                <w:sz w:val="17"/>
                <w:szCs w:val="17"/>
                <w:lang w:eastAsia="ru-RU"/>
              </w:rPr>
            </w:pPr>
            <w:r w:rsidRPr="00CB5AA8">
              <w:rPr>
                <w:rFonts w:eastAsia="Times New Roman"/>
                <w:sz w:val="17"/>
                <w:szCs w:val="17"/>
                <w:lang w:eastAsia="ru-RU"/>
              </w:rPr>
              <w:t>6,907</w:t>
            </w:r>
          </w:p>
        </w:tc>
        <w:tc>
          <w:tcPr>
            <w:tcW w:w="413" w:type="pct"/>
            <w:noWrap/>
            <w:hideMark/>
          </w:tcPr>
          <w:p w14:paraId="4224BF69" w14:textId="77777777" w:rsidR="009A4C46" w:rsidRPr="00CB5AA8" w:rsidRDefault="009A4C46" w:rsidP="00CB5AA8">
            <w:pPr>
              <w:widowControl w:val="0"/>
              <w:jc w:val="center"/>
              <w:rPr>
                <w:rFonts w:eastAsia="Times New Roman"/>
                <w:sz w:val="17"/>
                <w:szCs w:val="17"/>
                <w:lang w:eastAsia="ru-RU"/>
              </w:rPr>
            </w:pPr>
            <w:r w:rsidRPr="00CB5AA8">
              <w:rPr>
                <w:rFonts w:eastAsia="Times New Roman"/>
                <w:sz w:val="17"/>
                <w:szCs w:val="17"/>
                <w:lang w:eastAsia="ru-RU"/>
              </w:rPr>
              <w:t>6,907</w:t>
            </w:r>
          </w:p>
        </w:tc>
        <w:tc>
          <w:tcPr>
            <w:tcW w:w="454" w:type="pct"/>
            <w:noWrap/>
            <w:hideMark/>
          </w:tcPr>
          <w:p w14:paraId="16D00473" w14:textId="77777777" w:rsidR="009A4C46" w:rsidRPr="00CB5AA8" w:rsidRDefault="009A4C46" w:rsidP="00CB5AA8">
            <w:pPr>
              <w:widowControl w:val="0"/>
              <w:jc w:val="center"/>
              <w:rPr>
                <w:rFonts w:eastAsia="Times New Roman"/>
                <w:sz w:val="17"/>
                <w:szCs w:val="17"/>
                <w:lang w:eastAsia="ru-RU"/>
              </w:rPr>
            </w:pPr>
            <w:r w:rsidRPr="00CB5AA8">
              <w:rPr>
                <w:rFonts w:eastAsia="Times New Roman"/>
                <w:sz w:val="17"/>
                <w:szCs w:val="17"/>
                <w:lang w:eastAsia="ru-RU"/>
              </w:rPr>
              <w:t>6,869</w:t>
            </w:r>
          </w:p>
        </w:tc>
        <w:tc>
          <w:tcPr>
            <w:tcW w:w="477" w:type="pct"/>
            <w:noWrap/>
            <w:hideMark/>
          </w:tcPr>
          <w:p w14:paraId="4547796F" w14:textId="77777777" w:rsidR="009A4C46" w:rsidRPr="00CB5AA8" w:rsidRDefault="009A4C46" w:rsidP="00CB5AA8">
            <w:pPr>
              <w:widowControl w:val="0"/>
              <w:jc w:val="center"/>
              <w:rPr>
                <w:rFonts w:eastAsia="Times New Roman"/>
                <w:sz w:val="17"/>
                <w:szCs w:val="17"/>
                <w:lang w:eastAsia="ru-RU"/>
              </w:rPr>
            </w:pPr>
            <w:r w:rsidRPr="00CB5AA8">
              <w:rPr>
                <w:rFonts w:eastAsia="Times New Roman"/>
                <w:sz w:val="17"/>
                <w:szCs w:val="17"/>
                <w:lang w:eastAsia="ru-RU"/>
              </w:rPr>
              <w:t>0,038</w:t>
            </w:r>
          </w:p>
        </w:tc>
        <w:tc>
          <w:tcPr>
            <w:tcW w:w="589" w:type="pct"/>
            <w:gridSpan w:val="2"/>
            <w:noWrap/>
            <w:hideMark/>
          </w:tcPr>
          <w:p w14:paraId="620A6001" w14:textId="77777777" w:rsidR="009A4C46" w:rsidRPr="00CB5AA8" w:rsidRDefault="009A4C46" w:rsidP="00CB5AA8">
            <w:pPr>
              <w:widowControl w:val="0"/>
              <w:jc w:val="center"/>
              <w:rPr>
                <w:rFonts w:eastAsia="Times New Roman"/>
                <w:sz w:val="17"/>
                <w:szCs w:val="17"/>
                <w:lang w:eastAsia="ru-RU"/>
              </w:rPr>
            </w:pPr>
            <w:r w:rsidRPr="00CB5AA8">
              <w:rPr>
                <w:rFonts w:eastAsia="Times New Roman"/>
                <w:sz w:val="17"/>
                <w:szCs w:val="17"/>
                <w:lang w:eastAsia="ru-RU"/>
              </w:rPr>
              <w:t>-0,038</w:t>
            </w:r>
          </w:p>
        </w:tc>
        <w:tc>
          <w:tcPr>
            <w:tcW w:w="799" w:type="pct"/>
            <w:gridSpan w:val="2"/>
            <w:hideMark/>
          </w:tcPr>
          <w:p w14:paraId="4311E78C" w14:textId="77777777" w:rsidR="009A4C46" w:rsidRPr="00CB5AA8" w:rsidRDefault="009A4C46" w:rsidP="00CB5AA8">
            <w:pPr>
              <w:widowControl w:val="0"/>
              <w:rPr>
                <w:rFonts w:eastAsia="Times New Roman"/>
                <w:sz w:val="17"/>
                <w:szCs w:val="17"/>
                <w:lang w:eastAsia="ru-RU"/>
              </w:rPr>
            </w:pPr>
            <w:r w:rsidRPr="00CB5AA8">
              <w:rPr>
                <w:rFonts w:eastAsia="Times New Roman"/>
                <w:sz w:val="17"/>
                <w:szCs w:val="17"/>
                <w:lang w:eastAsia="ru-RU"/>
              </w:rPr>
              <w:t>финансирование фактически выполненного объема работ</w:t>
            </w:r>
          </w:p>
        </w:tc>
      </w:tr>
      <w:tr w:rsidR="00CB5AA8" w:rsidRPr="00CB5AA8" w14:paraId="0FAA77F6" w14:textId="77777777" w:rsidTr="00CB5AA8">
        <w:trPr>
          <w:trHeight w:val="690"/>
        </w:trPr>
        <w:tc>
          <w:tcPr>
            <w:tcW w:w="210" w:type="pct"/>
            <w:noWrap/>
            <w:hideMark/>
          </w:tcPr>
          <w:p w14:paraId="332482FD" w14:textId="77777777" w:rsidR="009A4C46" w:rsidRPr="00CB5AA8" w:rsidRDefault="009A4C46" w:rsidP="00CB5AA8">
            <w:pPr>
              <w:widowControl w:val="0"/>
              <w:rPr>
                <w:rFonts w:eastAsia="Times New Roman"/>
                <w:sz w:val="17"/>
                <w:szCs w:val="17"/>
                <w:lang w:eastAsia="ru-RU"/>
              </w:rPr>
            </w:pPr>
            <w:r w:rsidRPr="00CB5AA8">
              <w:rPr>
                <w:rFonts w:eastAsia="Times New Roman"/>
                <w:sz w:val="17"/>
                <w:szCs w:val="17"/>
                <w:lang w:eastAsia="ru-RU"/>
              </w:rPr>
              <w:t>26</w:t>
            </w:r>
          </w:p>
        </w:tc>
        <w:tc>
          <w:tcPr>
            <w:tcW w:w="1093" w:type="pct"/>
            <w:hideMark/>
          </w:tcPr>
          <w:p w14:paraId="1AC1F07D" w14:textId="77777777" w:rsidR="009A4C46" w:rsidRPr="00CB5AA8" w:rsidRDefault="009A4C46" w:rsidP="00CB5AA8">
            <w:pPr>
              <w:widowControl w:val="0"/>
              <w:rPr>
                <w:rFonts w:eastAsia="Times New Roman"/>
                <w:sz w:val="17"/>
                <w:szCs w:val="17"/>
                <w:lang w:eastAsia="ru-RU"/>
              </w:rPr>
            </w:pPr>
            <w:r w:rsidRPr="00CB5AA8">
              <w:rPr>
                <w:rFonts w:eastAsia="Times New Roman"/>
                <w:sz w:val="17"/>
                <w:szCs w:val="17"/>
                <w:lang w:eastAsia="ru-RU"/>
              </w:rPr>
              <w:t>Покупка экскаваторов, в количестве 6 ед.</w:t>
            </w:r>
          </w:p>
        </w:tc>
        <w:tc>
          <w:tcPr>
            <w:tcW w:w="514" w:type="pct"/>
            <w:noWrap/>
            <w:hideMark/>
          </w:tcPr>
          <w:p w14:paraId="1D33B751" w14:textId="77777777" w:rsidR="009A4C46" w:rsidRPr="00CB5AA8" w:rsidRDefault="009A4C46" w:rsidP="00CB5AA8">
            <w:pPr>
              <w:widowControl w:val="0"/>
              <w:jc w:val="center"/>
              <w:rPr>
                <w:rFonts w:eastAsia="Times New Roman"/>
                <w:sz w:val="17"/>
                <w:szCs w:val="17"/>
                <w:lang w:eastAsia="ru-RU"/>
              </w:rPr>
            </w:pPr>
            <w:r w:rsidRPr="00CB5AA8">
              <w:rPr>
                <w:rFonts w:eastAsia="Times New Roman"/>
                <w:sz w:val="17"/>
                <w:szCs w:val="17"/>
                <w:lang w:eastAsia="ru-RU"/>
              </w:rPr>
              <w:t>15,639</w:t>
            </w:r>
          </w:p>
        </w:tc>
        <w:tc>
          <w:tcPr>
            <w:tcW w:w="452" w:type="pct"/>
            <w:noWrap/>
            <w:hideMark/>
          </w:tcPr>
          <w:p w14:paraId="640C51F9" w14:textId="77777777" w:rsidR="009A4C46" w:rsidRPr="00CB5AA8" w:rsidRDefault="009A4C46" w:rsidP="00CB5AA8">
            <w:pPr>
              <w:widowControl w:val="0"/>
              <w:jc w:val="center"/>
              <w:rPr>
                <w:rFonts w:eastAsia="Times New Roman"/>
                <w:sz w:val="17"/>
                <w:szCs w:val="17"/>
                <w:lang w:eastAsia="ru-RU"/>
              </w:rPr>
            </w:pPr>
            <w:r w:rsidRPr="00CB5AA8">
              <w:rPr>
                <w:rFonts w:eastAsia="Times New Roman"/>
                <w:sz w:val="17"/>
                <w:szCs w:val="17"/>
                <w:lang w:eastAsia="ru-RU"/>
              </w:rPr>
              <w:t>15,639</w:t>
            </w:r>
          </w:p>
        </w:tc>
        <w:tc>
          <w:tcPr>
            <w:tcW w:w="413" w:type="pct"/>
            <w:noWrap/>
            <w:hideMark/>
          </w:tcPr>
          <w:p w14:paraId="47B1BC76" w14:textId="77777777" w:rsidR="009A4C46" w:rsidRPr="00CB5AA8" w:rsidRDefault="009A4C46" w:rsidP="00CB5AA8">
            <w:pPr>
              <w:widowControl w:val="0"/>
              <w:jc w:val="center"/>
              <w:rPr>
                <w:rFonts w:eastAsia="Times New Roman"/>
                <w:sz w:val="17"/>
                <w:szCs w:val="17"/>
                <w:lang w:eastAsia="ru-RU"/>
              </w:rPr>
            </w:pPr>
            <w:r w:rsidRPr="00CB5AA8">
              <w:rPr>
                <w:rFonts w:eastAsia="Times New Roman"/>
                <w:sz w:val="17"/>
                <w:szCs w:val="17"/>
                <w:lang w:eastAsia="ru-RU"/>
              </w:rPr>
              <w:t>2,900</w:t>
            </w:r>
          </w:p>
        </w:tc>
        <w:tc>
          <w:tcPr>
            <w:tcW w:w="454" w:type="pct"/>
            <w:noWrap/>
            <w:hideMark/>
          </w:tcPr>
          <w:p w14:paraId="0897D024" w14:textId="77777777" w:rsidR="009A4C46" w:rsidRPr="00CB5AA8" w:rsidRDefault="009A4C46" w:rsidP="00CB5AA8">
            <w:pPr>
              <w:widowControl w:val="0"/>
              <w:jc w:val="center"/>
              <w:rPr>
                <w:rFonts w:eastAsia="Times New Roman"/>
                <w:sz w:val="17"/>
                <w:szCs w:val="17"/>
                <w:lang w:eastAsia="ru-RU"/>
              </w:rPr>
            </w:pPr>
            <w:r w:rsidRPr="00CB5AA8">
              <w:rPr>
                <w:rFonts w:eastAsia="Times New Roman"/>
                <w:sz w:val="17"/>
                <w:szCs w:val="17"/>
                <w:lang w:eastAsia="ru-RU"/>
              </w:rPr>
              <w:t>2,788</w:t>
            </w:r>
          </w:p>
        </w:tc>
        <w:tc>
          <w:tcPr>
            <w:tcW w:w="477" w:type="pct"/>
            <w:noWrap/>
            <w:hideMark/>
          </w:tcPr>
          <w:p w14:paraId="43189D51" w14:textId="77777777" w:rsidR="009A4C46" w:rsidRPr="00CB5AA8" w:rsidRDefault="009A4C46" w:rsidP="00CB5AA8">
            <w:pPr>
              <w:widowControl w:val="0"/>
              <w:jc w:val="center"/>
              <w:rPr>
                <w:rFonts w:eastAsia="Times New Roman"/>
                <w:sz w:val="17"/>
                <w:szCs w:val="17"/>
                <w:lang w:eastAsia="ru-RU"/>
              </w:rPr>
            </w:pPr>
            <w:r w:rsidRPr="00CB5AA8">
              <w:rPr>
                <w:rFonts w:eastAsia="Times New Roman"/>
                <w:sz w:val="17"/>
                <w:szCs w:val="17"/>
                <w:lang w:eastAsia="ru-RU"/>
              </w:rPr>
              <w:t>12,851</w:t>
            </w:r>
          </w:p>
        </w:tc>
        <w:tc>
          <w:tcPr>
            <w:tcW w:w="589" w:type="pct"/>
            <w:gridSpan w:val="2"/>
            <w:noWrap/>
            <w:hideMark/>
          </w:tcPr>
          <w:p w14:paraId="2257F4A9" w14:textId="77777777" w:rsidR="009A4C46" w:rsidRPr="00CB5AA8" w:rsidRDefault="009A4C46" w:rsidP="00CB5AA8">
            <w:pPr>
              <w:widowControl w:val="0"/>
              <w:jc w:val="center"/>
              <w:rPr>
                <w:rFonts w:eastAsia="Times New Roman"/>
                <w:sz w:val="17"/>
                <w:szCs w:val="17"/>
                <w:lang w:eastAsia="ru-RU"/>
              </w:rPr>
            </w:pPr>
            <w:r w:rsidRPr="00CB5AA8">
              <w:rPr>
                <w:rFonts w:eastAsia="Times New Roman"/>
                <w:sz w:val="17"/>
                <w:szCs w:val="17"/>
                <w:lang w:eastAsia="ru-RU"/>
              </w:rPr>
              <w:t>-0,112</w:t>
            </w:r>
          </w:p>
        </w:tc>
        <w:tc>
          <w:tcPr>
            <w:tcW w:w="799" w:type="pct"/>
            <w:gridSpan w:val="2"/>
            <w:hideMark/>
          </w:tcPr>
          <w:p w14:paraId="2351AEC5" w14:textId="77777777" w:rsidR="009A4C46" w:rsidRPr="00CB5AA8" w:rsidRDefault="009A4C46" w:rsidP="00CB5AA8">
            <w:pPr>
              <w:widowControl w:val="0"/>
              <w:rPr>
                <w:rFonts w:eastAsia="Times New Roman"/>
                <w:sz w:val="17"/>
                <w:szCs w:val="17"/>
                <w:lang w:eastAsia="ru-RU"/>
              </w:rPr>
            </w:pPr>
            <w:r w:rsidRPr="00CB5AA8">
              <w:rPr>
                <w:rFonts w:eastAsia="Times New Roman"/>
                <w:sz w:val="17"/>
                <w:szCs w:val="17"/>
                <w:lang w:eastAsia="ru-RU"/>
              </w:rPr>
              <w:t xml:space="preserve"> оплата за фактически поставленное оборудование </w:t>
            </w:r>
          </w:p>
        </w:tc>
      </w:tr>
      <w:tr w:rsidR="00CB5AA8" w:rsidRPr="00CB5AA8" w14:paraId="1140E64F" w14:textId="77777777" w:rsidTr="00CB5AA8">
        <w:trPr>
          <w:trHeight w:val="720"/>
        </w:trPr>
        <w:tc>
          <w:tcPr>
            <w:tcW w:w="210" w:type="pct"/>
            <w:noWrap/>
            <w:hideMark/>
          </w:tcPr>
          <w:p w14:paraId="19C8DB48" w14:textId="77777777" w:rsidR="009A4C46" w:rsidRPr="00CB5AA8" w:rsidRDefault="009A4C46" w:rsidP="00CB5AA8">
            <w:pPr>
              <w:widowControl w:val="0"/>
              <w:rPr>
                <w:rFonts w:eastAsia="Times New Roman"/>
                <w:sz w:val="17"/>
                <w:szCs w:val="17"/>
                <w:lang w:eastAsia="ru-RU"/>
              </w:rPr>
            </w:pPr>
            <w:r w:rsidRPr="00CB5AA8">
              <w:rPr>
                <w:rFonts w:eastAsia="Times New Roman"/>
                <w:sz w:val="17"/>
                <w:szCs w:val="17"/>
                <w:lang w:eastAsia="ru-RU"/>
              </w:rPr>
              <w:t>27</w:t>
            </w:r>
          </w:p>
        </w:tc>
        <w:tc>
          <w:tcPr>
            <w:tcW w:w="1093" w:type="pct"/>
            <w:hideMark/>
          </w:tcPr>
          <w:p w14:paraId="49911480" w14:textId="77777777" w:rsidR="009A4C46" w:rsidRPr="00CB5AA8" w:rsidRDefault="009A4C46" w:rsidP="00CB5AA8">
            <w:pPr>
              <w:widowControl w:val="0"/>
              <w:rPr>
                <w:rFonts w:eastAsia="Times New Roman"/>
                <w:sz w:val="17"/>
                <w:szCs w:val="17"/>
                <w:lang w:eastAsia="ru-RU"/>
              </w:rPr>
            </w:pPr>
            <w:r w:rsidRPr="00CB5AA8">
              <w:rPr>
                <w:rFonts w:eastAsia="Times New Roman"/>
                <w:sz w:val="17"/>
                <w:szCs w:val="17"/>
                <w:lang w:eastAsia="ru-RU"/>
              </w:rPr>
              <w:t xml:space="preserve">Покупка прибора контроля высоковольтных выключателей ПКВ/М7 полной комплектации </w:t>
            </w:r>
          </w:p>
        </w:tc>
        <w:tc>
          <w:tcPr>
            <w:tcW w:w="514" w:type="pct"/>
            <w:noWrap/>
            <w:hideMark/>
          </w:tcPr>
          <w:p w14:paraId="5DCC46F1" w14:textId="77777777" w:rsidR="009A4C46" w:rsidRPr="00CB5AA8" w:rsidRDefault="009A4C46" w:rsidP="00CB5AA8">
            <w:pPr>
              <w:widowControl w:val="0"/>
              <w:jc w:val="center"/>
              <w:rPr>
                <w:rFonts w:eastAsia="Times New Roman"/>
                <w:sz w:val="17"/>
                <w:szCs w:val="17"/>
                <w:lang w:eastAsia="ru-RU"/>
              </w:rPr>
            </w:pPr>
            <w:r w:rsidRPr="00CB5AA8">
              <w:rPr>
                <w:rFonts w:eastAsia="Times New Roman"/>
                <w:sz w:val="17"/>
                <w:szCs w:val="17"/>
                <w:lang w:eastAsia="ru-RU"/>
              </w:rPr>
              <w:t>0,832</w:t>
            </w:r>
          </w:p>
        </w:tc>
        <w:tc>
          <w:tcPr>
            <w:tcW w:w="452" w:type="pct"/>
            <w:noWrap/>
            <w:hideMark/>
          </w:tcPr>
          <w:p w14:paraId="00CA8098" w14:textId="77777777" w:rsidR="009A4C46" w:rsidRPr="00CB5AA8" w:rsidRDefault="009A4C46" w:rsidP="00CB5AA8">
            <w:pPr>
              <w:widowControl w:val="0"/>
              <w:jc w:val="center"/>
              <w:rPr>
                <w:rFonts w:eastAsia="Times New Roman"/>
                <w:sz w:val="17"/>
                <w:szCs w:val="17"/>
                <w:lang w:eastAsia="ru-RU"/>
              </w:rPr>
            </w:pPr>
            <w:r w:rsidRPr="00CB5AA8">
              <w:rPr>
                <w:rFonts w:eastAsia="Times New Roman"/>
                <w:sz w:val="17"/>
                <w:szCs w:val="17"/>
                <w:lang w:eastAsia="ru-RU"/>
              </w:rPr>
              <w:t>0,832</w:t>
            </w:r>
          </w:p>
        </w:tc>
        <w:tc>
          <w:tcPr>
            <w:tcW w:w="413" w:type="pct"/>
            <w:noWrap/>
            <w:hideMark/>
          </w:tcPr>
          <w:p w14:paraId="73B3F00D" w14:textId="77777777" w:rsidR="009A4C46" w:rsidRPr="00CB5AA8" w:rsidRDefault="009A4C46" w:rsidP="00CB5AA8">
            <w:pPr>
              <w:widowControl w:val="0"/>
              <w:jc w:val="center"/>
              <w:rPr>
                <w:rFonts w:eastAsia="Times New Roman"/>
                <w:sz w:val="17"/>
                <w:szCs w:val="17"/>
                <w:lang w:eastAsia="ru-RU"/>
              </w:rPr>
            </w:pPr>
            <w:r w:rsidRPr="00CB5AA8">
              <w:rPr>
                <w:rFonts w:eastAsia="Times New Roman"/>
                <w:sz w:val="17"/>
                <w:szCs w:val="17"/>
                <w:lang w:eastAsia="ru-RU"/>
              </w:rPr>
              <w:t>0,832</w:t>
            </w:r>
          </w:p>
        </w:tc>
        <w:tc>
          <w:tcPr>
            <w:tcW w:w="454" w:type="pct"/>
            <w:noWrap/>
            <w:hideMark/>
          </w:tcPr>
          <w:p w14:paraId="590D22B3" w14:textId="77777777" w:rsidR="009A4C46" w:rsidRPr="00CB5AA8" w:rsidRDefault="009A4C46" w:rsidP="00CB5AA8">
            <w:pPr>
              <w:widowControl w:val="0"/>
              <w:jc w:val="center"/>
              <w:rPr>
                <w:rFonts w:eastAsia="Times New Roman"/>
                <w:sz w:val="17"/>
                <w:szCs w:val="17"/>
                <w:lang w:eastAsia="ru-RU"/>
              </w:rPr>
            </w:pPr>
          </w:p>
        </w:tc>
        <w:tc>
          <w:tcPr>
            <w:tcW w:w="477" w:type="pct"/>
            <w:noWrap/>
            <w:hideMark/>
          </w:tcPr>
          <w:p w14:paraId="67F91BB2" w14:textId="77777777" w:rsidR="009A4C46" w:rsidRPr="00CB5AA8" w:rsidRDefault="009A4C46" w:rsidP="00CB5AA8">
            <w:pPr>
              <w:widowControl w:val="0"/>
              <w:jc w:val="center"/>
              <w:rPr>
                <w:rFonts w:eastAsia="Times New Roman"/>
                <w:sz w:val="17"/>
                <w:szCs w:val="17"/>
                <w:lang w:eastAsia="ru-RU"/>
              </w:rPr>
            </w:pPr>
            <w:r w:rsidRPr="00CB5AA8">
              <w:rPr>
                <w:rFonts w:eastAsia="Times New Roman"/>
                <w:sz w:val="17"/>
                <w:szCs w:val="17"/>
                <w:lang w:eastAsia="ru-RU"/>
              </w:rPr>
              <w:t>0,832</w:t>
            </w:r>
          </w:p>
        </w:tc>
        <w:tc>
          <w:tcPr>
            <w:tcW w:w="589" w:type="pct"/>
            <w:gridSpan w:val="2"/>
            <w:noWrap/>
            <w:hideMark/>
          </w:tcPr>
          <w:p w14:paraId="5AA8605E" w14:textId="77777777" w:rsidR="009A4C46" w:rsidRPr="00CB5AA8" w:rsidRDefault="009A4C46" w:rsidP="00CB5AA8">
            <w:pPr>
              <w:widowControl w:val="0"/>
              <w:jc w:val="center"/>
              <w:rPr>
                <w:rFonts w:eastAsia="Times New Roman"/>
                <w:sz w:val="17"/>
                <w:szCs w:val="17"/>
                <w:lang w:eastAsia="ru-RU"/>
              </w:rPr>
            </w:pPr>
            <w:r w:rsidRPr="00CB5AA8">
              <w:rPr>
                <w:rFonts w:eastAsia="Times New Roman"/>
                <w:sz w:val="17"/>
                <w:szCs w:val="17"/>
                <w:lang w:eastAsia="ru-RU"/>
              </w:rPr>
              <w:t>0,832</w:t>
            </w:r>
          </w:p>
        </w:tc>
        <w:tc>
          <w:tcPr>
            <w:tcW w:w="799" w:type="pct"/>
            <w:gridSpan w:val="2"/>
            <w:hideMark/>
          </w:tcPr>
          <w:p w14:paraId="0885D4C9" w14:textId="77777777" w:rsidR="009A4C46" w:rsidRPr="00CB5AA8" w:rsidRDefault="009A4C46" w:rsidP="00CB5AA8">
            <w:pPr>
              <w:widowControl w:val="0"/>
              <w:rPr>
                <w:rFonts w:eastAsia="Times New Roman"/>
                <w:sz w:val="17"/>
                <w:szCs w:val="17"/>
                <w:lang w:eastAsia="ru-RU"/>
              </w:rPr>
            </w:pPr>
            <w:r w:rsidRPr="00CB5AA8">
              <w:rPr>
                <w:rFonts w:eastAsia="Times New Roman"/>
                <w:sz w:val="17"/>
                <w:szCs w:val="17"/>
                <w:lang w:eastAsia="ru-RU"/>
              </w:rPr>
              <w:t> </w:t>
            </w:r>
          </w:p>
        </w:tc>
      </w:tr>
      <w:tr w:rsidR="00CB5AA8" w:rsidRPr="00CB5AA8" w14:paraId="09729DA5" w14:textId="77777777" w:rsidTr="00CB5AA8">
        <w:trPr>
          <w:trHeight w:val="780"/>
        </w:trPr>
        <w:tc>
          <w:tcPr>
            <w:tcW w:w="210" w:type="pct"/>
            <w:noWrap/>
            <w:hideMark/>
          </w:tcPr>
          <w:p w14:paraId="01D01C86" w14:textId="77777777" w:rsidR="009A4C46" w:rsidRPr="00CB5AA8" w:rsidRDefault="009A4C46" w:rsidP="00CB5AA8">
            <w:pPr>
              <w:widowControl w:val="0"/>
              <w:rPr>
                <w:rFonts w:eastAsia="Times New Roman"/>
                <w:sz w:val="17"/>
                <w:szCs w:val="17"/>
                <w:lang w:eastAsia="ru-RU"/>
              </w:rPr>
            </w:pPr>
            <w:r w:rsidRPr="00CB5AA8">
              <w:rPr>
                <w:rFonts w:eastAsia="Times New Roman"/>
                <w:sz w:val="17"/>
                <w:szCs w:val="17"/>
                <w:lang w:eastAsia="ru-RU"/>
              </w:rPr>
              <w:t>30</w:t>
            </w:r>
          </w:p>
        </w:tc>
        <w:tc>
          <w:tcPr>
            <w:tcW w:w="1093" w:type="pct"/>
            <w:hideMark/>
          </w:tcPr>
          <w:p w14:paraId="27E30085" w14:textId="77777777" w:rsidR="009A4C46" w:rsidRPr="00CB5AA8" w:rsidRDefault="009A4C46" w:rsidP="00CB5AA8">
            <w:pPr>
              <w:widowControl w:val="0"/>
              <w:rPr>
                <w:rFonts w:eastAsia="Times New Roman"/>
                <w:sz w:val="17"/>
                <w:szCs w:val="17"/>
                <w:lang w:eastAsia="ru-RU"/>
              </w:rPr>
            </w:pPr>
            <w:r w:rsidRPr="00CB5AA8">
              <w:rPr>
                <w:rFonts w:eastAsia="Times New Roman"/>
                <w:sz w:val="17"/>
                <w:szCs w:val="17"/>
                <w:lang w:eastAsia="ru-RU"/>
              </w:rPr>
              <w:t>Покупка диагностического и измерительного оборудования, приборов РЗА, в количестве 99 ед.</w:t>
            </w:r>
          </w:p>
        </w:tc>
        <w:tc>
          <w:tcPr>
            <w:tcW w:w="514" w:type="pct"/>
            <w:noWrap/>
            <w:hideMark/>
          </w:tcPr>
          <w:p w14:paraId="4A97BEDE" w14:textId="77777777" w:rsidR="009A4C46" w:rsidRPr="00CB5AA8" w:rsidRDefault="009A4C46" w:rsidP="00CB5AA8">
            <w:pPr>
              <w:widowControl w:val="0"/>
              <w:jc w:val="center"/>
              <w:rPr>
                <w:rFonts w:eastAsia="Times New Roman"/>
                <w:sz w:val="17"/>
                <w:szCs w:val="17"/>
                <w:lang w:eastAsia="ru-RU"/>
              </w:rPr>
            </w:pPr>
            <w:r w:rsidRPr="00CB5AA8">
              <w:rPr>
                <w:rFonts w:eastAsia="Times New Roman"/>
                <w:sz w:val="17"/>
                <w:szCs w:val="17"/>
                <w:lang w:eastAsia="ru-RU"/>
              </w:rPr>
              <w:t>12,807</w:t>
            </w:r>
          </w:p>
        </w:tc>
        <w:tc>
          <w:tcPr>
            <w:tcW w:w="452" w:type="pct"/>
            <w:noWrap/>
            <w:hideMark/>
          </w:tcPr>
          <w:p w14:paraId="3A821F3E" w14:textId="77777777" w:rsidR="009A4C46" w:rsidRPr="00CB5AA8" w:rsidRDefault="009A4C46" w:rsidP="00CB5AA8">
            <w:pPr>
              <w:widowControl w:val="0"/>
              <w:jc w:val="center"/>
              <w:rPr>
                <w:rFonts w:eastAsia="Times New Roman"/>
                <w:sz w:val="17"/>
                <w:szCs w:val="17"/>
                <w:lang w:eastAsia="ru-RU"/>
              </w:rPr>
            </w:pPr>
            <w:r w:rsidRPr="00CB5AA8">
              <w:rPr>
                <w:rFonts w:eastAsia="Times New Roman"/>
                <w:sz w:val="17"/>
                <w:szCs w:val="17"/>
                <w:lang w:eastAsia="ru-RU"/>
              </w:rPr>
              <w:t>11,334</w:t>
            </w:r>
          </w:p>
        </w:tc>
        <w:tc>
          <w:tcPr>
            <w:tcW w:w="413" w:type="pct"/>
            <w:noWrap/>
            <w:hideMark/>
          </w:tcPr>
          <w:p w14:paraId="2CF56A23" w14:textId="77777777" w:rsidR="009A4C46" w:rsidRPr="00CB5AA8" w:rsidRDefault="009A4C46" w:rsidP="00CB5AA8">
            <w:pPr>
              <w:widowControl w:val="0"/>
              <w:jc w:val="center"/>
              <w:rPr>
                <w:rFonts w:eastAsia="Times New Roman"/>
                <w:sz w:val="17"/>
                <w:szCs w:val="17"/>
                <w:lang w:eastAsia="ru-RU"/>
              </w:rPr>
            </w:pPr>
            <w:r w:rsidRPr="00CB5AA8">
              <w:rPr>
                <w:rFonts w:eastAsia="Times New Roman"/>
                <w:sz w:val="17"/>
                <w:szCs w:val="17"/>
                <w:lang w:eastAsia="ru-RU"/>
              </w:rPr>
              <w:t>6,967</w:t>
            </w:r>
          </w:p>
        </w:tc>
        <w:tc>
          <w:tcPr>
            <w:tcW w:w="454" w:type="pct"/>
            <w:noWrap/>
            <w:hideMark/>
          </w:tcPr>
          <w:p w14:paraId="5DF587AC" w14:textId="77777777" w:rsidR="009A4C46" w:rsidRPr="00CB5AA8" w:rsidRDefault="009A4C46" w:rsidP="00CB5AA8">
            <w:pPr>
              <w:widowControl w:val="0"/>
              <w:jc w:val="center"/>
              <w:rPr>
                <w:rFonts w:eastAsia="Times New Roman"/>
                <w:sz w:val="17"/>
                <w:szCs w:val="17"/>
                <w:lang w:eastAsia="ru-RU"/>
              </w:rPr>
            </w:pPr>
            <w:r w:rsidRPr="00CB5AA8">
              <w:rPr>
                <w:rFonts w:eastAsia="Times New Roman"/>
                <w:sz w:val="17"/>
                <w:szCs w:val="17"/>
                <w:lang w:eastAsia="ru-RU"/>
              </w:rPr>
              <w:t>5,761</w:t>
            </w:r>
          </w:p>
        </w:tc>
        <w:tc>
          <w:tcPr>
            <w:tcW w:w="477" w:type="pct"/>
            <w:noWrap/>
            <w:hideMark/>
          </w:tcPr>
          <w:p w14:paraId="2F62ABD9" w14:textId="77777777" w:rsidR="009A4C46" w:rsidRPr="00CB5AA8" w:rsidRDefault="009A4C46" w:rsidP="00CB5AA8">
            <w:pPr>
              <w:widowControl w:val="0"/>
              <w:jc w:val="center"/>
              <w:rPr>
                <w:rFonts w:eastAsia="Times New Roman"/>
                <w:sz w:val="17"/>
                <w:szCs w:val="17"/>
                <w:lang w:eastAsia="ru-RU"/>
              </w:rPr>
            </w:pPr>
            <w:r w:rsidRPr="00CB5AA8">
              <w:rPr>
                <w:rFonts w:eastAsia="Times New Roman"/>
                <w:sz w:val="17"/>
                <w:szCs w:val="17"/>
                <w:lang w:eastAsia="ru-RU"/>
              </w:rPr>
              <w:t>5,573</w:t>
            </w:r>
          </w:p>
        </w:tc>
        <w:tc>
          <w:tcPr>
            <w:tcW w:w="589" w:type="pct"/>
            <w:gridSpan w:val="2"/>
            <w:noWrap/>
            <w:hideMark/>
          </w:tcPr>
          <w:p w14:paraId="77677FEA" w14:textId="77777777" w:rsidR="009A4C46" w:rsidRPr="00CB5AA8" w:rsidRDefault="009A4C46" w:rsidP="00CB5AA8">
            <w:pPr>
              <w:widowControl w:val="0"/>
              <w:jc w:val="center"/>
              <w:rPr>
                <w:rFonts w:eastAsia="Times New Roman"/>
                <w:sz w:val="17"/>
                <w:szCs w:val="17"/>
                <w:lang w:eastAsia="ru-RU"/>
              </w:rPr>
            </w:pPr>
            <w:r w:rsidRPr="00CB5AA8">
              <w:rPr>
                <w:rFonts w:eastAsia="Times New Roman"/>
                <w:sz w:val="17"/>
                <w:szCs w:val="17"/>
                <w:lang w:eastAsia="ru-RU"/>
              </w:rPr>
              <w:t>-1,206</w:t>
            </w:r>
          </w:p>
        </w:tc>
        <w:tc>
          <w:tcPr>
            <w:tcW w:w="799" w:type="pct"/>
            <w:gridSpan w:val="2"/>
            <w:hideMark/>
          </w:tcPr>
          <w:p w14:paraId="58A33D46" w14:textId="77777777" w:rsidR="009A4C46" w:rsidRPr="00CB5AA8" w:rsidRDefault="009A4C46" w:rsidP="00CB5AA8">
            <w:pPr>
              <w:widowControl w:val="0"/>
              <w:rPr>
                <w:rFonts w:eastAsia="Times New Roman"/>
                <w:sz w:val="17"/>
                <w:szCs w:val="17"/>
                <w:lang w:eastAsia="ru-RU"/>
              </w:rPr>
            </w:pPr>
            <w:r w:rsidRPr="00CB5AA8">
              <w:rPr>
                <w:rFonts w:eastAsia="Times New Roman"/>
                <w:sz w:val="17"/>
                <w:szCs w:val="17"/>
                <w:lang w:eastAsia="ru-RU"/>
              </w:rPr>
              <w:t>оплата за фактически поставленное оборудование</w:t>
            </w:r>
          </w:p>
        </w:tc>
      </w:tr>
      <w:tr w:rsidR="00CB5AA8" w:rsidRPr="00CB5AA8" w14:paraId="3759F374" w14:textId="77777777" w:rsidTr="00CB5AA8">
        <w:trPr>
          <w:trHeight w:val="93"/>
        </w:trPr>
        <w:tc>
          <w:tcPr>
            <w:tcW w:w="210" w:type="pct"/>
            <w:noWrap/>
            <w:hideMark/>
          </w:tcPr>
          <w:p w14:paraId="0D16760C" w14:textId="77777777" w:rsidR="009A4C46" w:rsidRPr="00CB5AA8" w:rsidRDefault="009A4C46" w:rsidP="00CB5AA8">
            <w:pPr>
              <w:widowControl w:val="0"/>
              <w:rPr>
                <w:rFonts w:eastAsia="Times New Roman"/>
                <w:sz w:val="17"/>
                <w:szCs w:val="17"/>
                <w:lang w:eastAsia="ru-RU"/>
              </w:rPr>
            </w:pPr>
            <w:r w:rsidRPr="00CB5AA8">
              <w:rPr>
                <w:rFonts w:eastAsia="Times New Roman"/>
                <w:sz w:val="17"/>
                <w:szCs w:val="17"/>
                <w:lang w:eastAsia="ru-RU"/>
              </w:rPr>
              <w:t>31</w:t>
            </w:r>
          </w:p>
        </w:tc>
        <w:tc>
          <w:tcPr>
            <w:tcW w:w="1093" w:type="pct"/>
            <w:hideMark/>
          </w:tcPr>
          <w:p w14:paraId="31BB5931" w14:textId="42E01B36" w:rsidR="009A4C46" w:rsidRPr="00CB5AA8" w:rsidRDefault="009A4C46" w:rsidP="00CB5AA8">
            <w:pPr>
              <w:widowControl w:val="0"/>
              <w:rPr>
                <w:rFonts w:eastAsia="Times New Roman"/>
                <w:sz w:val="17"/>
                <w:szCs w:val="17"/>
                <w:lang w:eastAsia="ru-RU"/>
              </w:rPr>
            </w:pPr>
            <w:r w:rsidRPr="00CB5AA8">
              <w:rPr>
                <w:rFonts w:eastAsia="Times New Roman"/>
                <w:sz w:val="17"/>
                <w:szCs w:val="17"/>
                <w:lang w:eastAsia="ru-RU"/>
              </w:rPr>
              <w:t xml:space="preserve">Покупка робота-тренажера </w:t>
            </w:r>
            <w:r w:rsidR="00513F1D" w:rsidRPr="00CB5AA8">
              <w:rPr>
                <w:rFonts w:eastAsia="Times New Roman"/>
                <w:sz w:val="17"/>
                <w:szCs w:val="17"/>
                <w:lang w:eastAsia="ru-RU"/>
              </w:rPr>
              <w:t>«</w:t>
            </w:r>
            <w:r w:rsidRPr="00CB5AA8">
              <w:rPr>
                <w:rFonts w:eastAsia="Times New Roman"/>
                <w:sz w:val="17"/>
                <w:szCs w:val="17"/>
                <w:lang w:eastAsia="ru-RU"/>
              </w:rPr>
              <w:t>Антон-1.01</w:t>
            </w:r>
            <w:r w:rsidR="00513F1D" w:rsidRPr="00CB5AA8">
              <w:rPr>
                <w:rFonts w:eastAsia="Times New Roman"/>
                <w:sz w:val="17"/>
                <w:szCs w:val="17"/>
                <w:lang w:eastAsia="ru-RU"/>
              </w:rPr>
              <w:t>»</w:t>
            </w:r>
            <w:r w:rsidRPr="00CB5AA8">
              <w:rPr>
                <w:rFonts w:eastAsia="Times New Roman"/>
                <w:sz w:val="17"/>
                <w:szCs w:val="17"/>
                <w:lang w:eastAsia="ru-RU"/>
              </w:rPr>
              <w:t xml:space="preserve"> с беспроводным планшетным компьютером, 1 ед.</w:t>
            </w:r>
          </w:p>
        </w:tc>
        <w:tc>
          <w:tcPr>
            <w:tcW w:w="514" w:type="pct"/>
            <w:noWrap/>
            <w:hideMark/>
          </w:tcPr>
          <w:p w14:paraId="7B59746E" w14:textId="77777777" w:rsidR="009A4C46" w:rsidRPr="00CB5AA8" w:rsidRDefault="009A4C46" w:rsidP="00CB5AA8">
            <w:pPr>
              <w:widowControl w:val="0"/>
              <w:jc w:val="center"/>
              <w:rPr>
                <w:rFonts w:eastAsia="Times New Roman"/>
                <w:sz w:val="17"/>
                <w:szCs w:val="17"/>
                <w:lang w:eastAsia="ru-RU"/>
              </w:rPr>
            </w:pPr>
            <w:r w:rsidRPr="00CB5AA8">
              <w:rPr>
                <w:rFonts w:eastAsia="Times New Roman"/>
                <w:sz w:val="17"/>
                <w:szCs w:val="17"/>
                <w:lang w:eastAsia="ru-RU"/>
              </w:rPr>
              <w:t>0,170</w:t>
            </w:r>
          </w:p>
        </w:tc>
        <w:tc>
          <w:tcPr>
            <w:tcW w:w="452" w:type="pct"/>
            <w:noWrap/>
            <w:hideMark/>
          </w:tcPr>
          <w:p w14:paraId="31D492AD" w14:textId="77777777" w:rsidR="009A4C46" w:rsidRPr="00CB5AA8" w:rsidRDefault="009A4C46" w:rsidP="00CB5AA8">
            <w:pPr>
              <w:widowControl w:val="0"/>
              <w:jc w:val="center"/>
              <w:rPr>
                <w:rFonts w:eastAsia="Times New Roman"/>
                <w:sz w:val="17"/>
                <w:szCs w:val="17"/>
                <w:lang w:eastAsia="ru-RU"/>
              </w:rPr>
            </w:pPr>
            <w:r w:rsidRPr="00CB5AA8">
              <w:rPr>
                <w:rFonts w:eastAsia="Times New Roman"/>
                <w:sz w:val="17"/>
                <w:szCs w:val="17"/>
                <w:lang w:eastAsia="ru-RU"/>
              </w:rPr>
              <w:t>0,170</w:t>
            </w:r>
          </w:p>
        </w:tc>
        <w:tc>
          <w:tcPr>
            <w:tcW w:w="413" w:type="pct"/>
            <w:noWrap/>
            <w:hideMark/>
          </w:tcPr>
          <w:p w14:paraId="430BD449" w14:textId="77777777" w:rsidR="009A4C46" w:rsidRPr="00CB5AA8" w:rsidRDefault="009A4C46" w:rsidP="00CB5AA8">
            <w:pPr>
              <w:widowControl w:val="0"/>
              <w:jc w:val="center"/>
              <w:rPr>
                <w:rFonts w:eastAsia="Times New Roman"/>
                <w:sz w:val="17"/>
                <w:szCs w:val="17"/>
                <w:lang w:eastAsia="ru-RU"/>
              </w:rPr>
            </w:pPr>
            <w:r w:rsidRPr="00CB5AA8">
              <w:rPr>
                <w:rFonts w:eastAsia="Times New Roman"/>
                <w:sz w:val="17"/>
                <w:szCs w:val="17"/>
                <w:lang w:eastAsia="ru-RU"/>
              </w:rPr>
              <w:t>0,170</w:t>
            </w:r>
          </w:p>
        </w:tc>
        <w:tc>
          <w:tcPr>
            <w:tcW w:w="454" w:type="pct"/>
            <w:noWrap/>
            <w:hideMark/>
          </w:tcPr>
          <w:p w14:paraId="37DBBB67" w14:textId="77777777" w:rsidR="009A4C46" w:rsidRPr="00CB5AA8" w:rsidRDefault="009A4C46" w:rsidP="00CB5AA8">
            <w:pPr>
              <w:widowControl w:val="0"/>
              <w:jc w:val="center"/>
              <w:rPr>
                <w:rFonts w:eastAsia="Times New Roman"/>
                <w:sz w:val="17"/>
                <w:szCs w:val="17"/>
                <w:lang w:eastAsia="ru-RU"/>
              </w:rPr>
            </w:pPr>
            <w:r w:rsidRPr="00CB5AA8">
              <w:rPr>
                <w:rFonts w:eastAsia="Times New Roman"/>
                <w:sz w:val="17"/>
                <w:szCs w:val="17"/>
                <w:lang w:eastAsia="ru-RU"/>
              </w:rPr>
              <w:t>0,151</w:t>
            </w:r>
          </w:p>
        </w:tc>
        <w:tc>
          <w:tcPr>
            <w:tcW w:w="477" w:type="pct"/>
            <w:noWrap/>
            <w:hideMark/>
          </w:tcPr>
          <w:p w14:paraId="03B131D1" w14:textId="77777777" w:rsidR="009A4C46" w:rsidRPr="00CB5AA8" w:rsidRDefault="009A4C46" w:rsidP="00CB5AA8">
            <w:pPr>
              <w:widowControl w:val="0"/>
              <w:jc w:val="center"/>
              <w:rPr>
                <w:rFonts w:eastAsia="Times New Roman"/>
                <w:sz w:val="17"/>
                <w:szCs w:val="17"/>
                <w:lang w:eastAsia="ru-RU"/>
              </w:rPr>
            </w:pPr>
            <w:r w:rsidRPr="00CB5AA8">
              <w:rPr>
                <w:rFonts w:eastAsia="Times New Roman"/>
                <w:sz w:val="17"/>
                <w:szCs w:val="17"/>
                <w:lang w:eastAsia="ru-RU"/>
              </w:rPr>
              <w:t>0,019</w:t>
            </w:r>
          </w:p>
        </w:tc>
        <w:tc>
          <w:tcPr>
            <w:tcW w:w="589" w:type="pct"/>
            <w:gridSpan w:val="2"/>
            <w:noWrap/>
            <w:hideMark/>
          </w:tcPr>
          <w:p w14:paraId="3FD0D8C5" w14:textId="77777777" w:rsidR="009A4C46" w:rsidRPr="00CB5AA8" w:rsidRDefault="009A4C46" w:rsidP="00CB5AA8">
            <w:pPr>
              <w:widowControl w:val="0"/>
              <w:jc w:val="center"/>
              <w:rPr>
                <w:rFonts w:eastAsia="Times New Roman"/>
                <w:sz w:val="17"/>
                <w:szCs w:val="17"/>
                <w:lang w:eastAsia="ru-RU"/>
              </w:rPr>
            </w:pPr>
            <w:r w:rsidRPr="00CB5AA8">
              <w:rPr>
                <w:rFonts w:eastAsia="Times New Roman"/>
                <w:sz w:val="17"/>
                <w:szCs w:val="17"/>
                <w:lang w:eastAsia="ru-RU"/>
              </w:rPr>
              <w:t>-0,019</w:t>
            </w:r>
          </w:p>
        </w:tc>
        <w:tc>
          <w:tcPr>
            <w:tcW w:w="799" w:type="pct"/>
            <w:gridSpan w:val="2"/>
            <w:hideMark/>
          </w:tcPr>
          <w:p w14:paraId="4A18E019" w14:textId="77777777" w:rsidR="009A4C46" w:rsidRPr="00CB5AA8" w:rsidRDefault="009A4C46" w:rsidP="00CB5AA8">
            <w:pPr>
              <w:widowControl w:val="0"/>
              <w:rPr>
                <w:rFonts w:eastAsia="Times New Roman"/>
                <w:sz w:val="17"/>
                <w:szCs w:val="17"/>
                <w:lang w:eastAsia="ru-RU"/>
              </w:rPr>
            </w:pPr>
            <w:r w:rsidRPr="00CB5AA8">
              <w:rPr>
                <w:rFonts w:eastAsia="Times New Roman"/>
                <w:sz w:val="17"/>
                <w:szCs w:val="17"/>
                <w:lang w:eastAsia="ru-RU"/>
              </w:rPr>
              <w:t xml:space="preserve"> оплата за фактически поставленное оборудование </w:t>
            </w:r>
          </w:p>
        </w:tc>
      </w:tr>
    </w:tbl>
    <w:p w14:paraId="1A3F0828" w14:textId="77777777" w:rsidR="009A4C46" w:rsidRPr="00F94FED" w:rsidRDefault="009A4C46" w:rsidP="00F94FED">
      <w:pPr>
        <w:spacing w:after="0" w:line="360" w:lineRule="auto"/>
        <w:ind w:firstLine="567"/>
        <w:contextualSpacing/>
        <w:jc w:val="both"/>
        <w:rPr>
          <w:rFonts w:eastAsia="Times New Roman"/>
          <w:sz w:val="26"/>
          <w:szCs w:val="26"/>
          <w:lang w:eastAsia="ru-RU"/>
        </w:rPr>
      </w:pPr>
      <w:r w:rsidRPr="00F94FED">
        <w:rPr>
          <w:rFonts w:eastAsia="Times New Roman"/>
          <w:sz w:val="26"/>
          <w:szCs w:val="26"/>
          <w:lang w:eastAsia="ru-RU"/>
        </w:rPr>
        <w:lastRenderedPageBreak/>
        <w:t>По данному отчету инвестиционной программой АО «Тываэнерго» на 2017 год предусматривалось выполнение 29 инвестиционных проектов.</w:t>
      </w:r>
    </w:p>
    <w:p w14:paraId="7F289967" w14:textId="2A80BFEF" w:rsidR="009A4C46" w:rsidRPr="00F94FED" w:rsidRDefault="009A4C46" w:rsidP="00F94FED">
      <w:pPr>
        <w:spacing w:after="0" w:line="360" w:lineRule="auto"/>
        <w:ind w:firstLine="567"/>
        <w:contextualSpacing/>
        <w:jc w:val="both"/>
        <w:rPr>
          <w:rFonts w:eastAsia="Times New Roman"/>
          <w:sz w:val="26"/>
          <w:szCs w:val="26"/>
          <w:lang w:eastAsia="ru-RU"/>
        </w:rPr>
      </w:pPr>
      <w:r w:rsidRPr="00F94FED">
        <w:rPr>
          <w:rFonts w:eastAsia="Times New Roman"/>
          <w:sz w:val="26"/>
          <w:szCs w:val="26"/>
          <w:lang w:eastAsia="ru-RU"/>
        </w:rPr>
        <w:t>Фактическое выполнение инвестиционной программы составило 263,109 млн. руб. (с учетом НДС) при плане – 257,492 млн. руб. (с учетом НДС).</w:t>
      </w:r>
    </w:p>
    <w:p w14:paraId="5392116F" w14:textId="77777777" w:rsidR="009A4C46" w:rsidRPr="00F94FED" w:rsidRDefault="009A4C46" w:rsidP="00F94FED">
      <w:pPr>
        <w:spacing w:after="0" w:line="360" w:lineRule="auto"/>
        <w:ind w:firstLine="567"/>
        <w:contextualSpacing/>
        <w:jc w:val="both"/>
        <w:rPr>
          <w:rFonts w:eastAsia="Times New Roman"/>
          <w:sz w:val="26"/>
          <w:szCs w:val="26"/>
          <w:lang w:eastAsia="ru-RU"/>
        </w:rPr>
      </w:pPr>
      <w:r w:rsidRPr="00F94FED">
        <w:rPr>
          <w:rFonts w:eastAsia="Times New Roman"/>
          <w:sz w:val="26"/>
          <w:szCs w:val="26"/>
          <w:lang w:eastAsia="ru-RU"/>
        </w:rPr>
        <w:t>Отклонение (перевыполнение) составило 5,616 млн. руб. или 1,02% от плана.</w:t>
      </w:r>
    </w:p>
    <w:p w14:paraId="25B3A378" w14:textId="77777777" w:rsidR="009A4C46" w:rsidRPr="00F94FED" w:rsidRDefault="009A4C46" w:rsidP="00F94FED">
      <w:pPr>
        <w:spacing w:after="0" w:line="360" w:lineRule="auto"/>
        <w:ind w:firstLine="567"/>
        <w:contextualSpacing/>
        <w:jc w:val="both"/>
        <w:rPr>
          <w:rFonts w:eastAsia="Times New Roman"/>
          <w:sz w:val="26"/>
          <w:szCs w:val="26"/>
          <w:lang w:eastAsia="ru-RU"/>
        </w:rPr>
      </w:pPr>
      <w:r w:rsidRPr="00F94FED">
        <w:rPr>
          <w:rFonts w:eastAsia="Times New Roman"/>
          <w:sz w:val="26"/>
          <w:szCs w:val="26"/>
          <w:lang w:eastAsia="ru-RU"/>
        </w:rPr>
        <w:t>Перевыполнение объема финансирования обусловлено оплатой по фактически выполненным объемам работ за счет инвестпроектов, финансируемых за счет платы за технологическое присоединение.</w:t>
      </w:r>
    </w:p>
    <w:p w14:paraId="77930BC1" w14:textId="77777777" w:rsidR="009A4C46" w:rsidRPr="00F94FED" w:rsidRDefault="009A4C46" w:rsidP="00F94FED">
      <w:pPr>
        <w:spacing w:after="0" w:line="360" w:lineRule="auto"/>
        <w:ind w:firstLine="567"/>
        <w:contextualSpacing/>
        <w:jc w:val="both"/>
        <w:rPr>
          <w:rFonts w:eastAsia="Times New Roman"/>
          <w:sz w:val="26"/>
          <w:szCs w:val="26"/>
          <w:lang w:eastAsia="ru-RU"/>
        </w:rPr>
      </w:pPr>
    </w:p>
    <w:p w14:paraId="5F36F129" w14:textId="77777777" w:rsidR="009A4C46" w:rsidRPr="00F94FED" w:rsidRDefault="009A4C46" w:rsidP="00F94FED">
      <w:pPr>
        <w:spacing w:after="0" w:line="360" w:lineRule="auto"/>
        <w:contextualSpacing/>
        <w:jc w:val="center"/>
        <w:rPr>
          <w:rFonts w:eastAsia="Times New Roman"/>
          <w:b/>
          <w:bCs/>
          <w:iCs/>
          <w:sz w:val="26"/>
          <w:szCs w:val="26"/>
          <w:lang w:eastAsia="ru-RU"/>
        </w:rPr>
      </w:pPr>
      <w:r w:rsidRPr="00F94FED">
        <w:rPr>
          <w:rFonts w:eastAsia="Times New Roman"/>
          <w:b/>
          <w:bCs/>
          <w:iCs/>
          <w:sz w:val="26"/>
          <w:szCs w:val="26"/>
          <w:lang w:eastAsia="ru-RU"/>
        </w:rPr>
        <w:t>Анализ фактического выполнения инвестиционной программы по данным отчета по формам, утвержденным приказом Минэнерго России от 25.04.2018 №320</w:t>
      </w:r>
    </w:p>
    <w:p w14:paraId="59CE8A15" w14:textId="77777777" w:rsidR="009A4C46" w:rsidRPr="00F94FED" w:rsidRDefault="009A4C46" w:rsidP="00F94FED">
      <w:pPr>
        <w:spacing w:after="0" w:line="360" w:lineRule="auto"/>
        <w:ind w:firstLine="567"/>
        <w:contextualSpacing/>
        <w:jc w:val="both"/>
        <w:rPr>
          <w:rFonts w:eastAsia="Times New Roman"/>
          <w:sz w:val="26"/>
          <w:szCs w:val="26"/>
          <w:lang w:eastAsia="ru-RU"/>
        </w:rPr>
      </w:pPr>
      <w:r w:rsidRPr="00F94FED">
        <w:rPr>
          <w:rFonts w:eastAsia="Times New Roman"/>
          <w:sz w:val="26"/>
          <w:szCs w:val="26"/>
          <w:lang w:eastAsia="ru-RU"/>
        </w:rPr>
        <w:t>Отчеты о реализации инвестиционной программы по формам, утвержденным приказом Минэнерго России от 25.04.2018 №320, представляются в Службу по тарифам Республики Тыва ежегодно вне тарифной заявки и дополнительных материалов без приложения обосновывающих отклонения документов.</w:t>
      </w:r>
    </w:p>
    <w:p w14:paraId="63943FD0" w14:textId="77777777" w:rsidR="009A4C46" w:rsidRPr="00F94FED" w:rsidRDefault="009A4C46" w:rsidP="00F94FED">
      <w:pPr>
        <w:spacing w:after="0" w:line="360" w:lineRule="auto"/>
        <w:ind w:firstLine="567"/>
        <w:contextualSpacing/>
        <w:jc w:val="both"/>
        <w:rPr>
          <w:rFonts w:eastAsia="Times New Roman"/>
          <w:sz w:val="26"/>
          <w:szCs w:val="26"/>
          <w:lang w:eastAsia="ru-RU"/>
        </w:rPr>
      </w:pPr>
      <w:r w:rsidRPr="00F94FED">
        <w:rPr>
          <w:rFonts w:eastAsia="Times New Roman"/>
          <w:sz w:val="26"/>
          <w:szCs w:val="26"/>
          <w:lang w:eastAsia="ru-RU"/>
        </w:rPr>
        <w:t xml:space="preserve">Отчет за 2017 год размещен на официальном сайте государственной системы «Единый портал государственных и муниципальных услуг (функций)» в сети «Интернет» (ссылка: </w:t>
      </w:r>
      <w:proofErr w:type="spellStart"/>
      <w:r w:rsidRPr="00F94FED">
        <w:rPr>
          <w:rFonts w:eastAsia="Times New Roman"/>
          <w:sz w:val="26"/>
          <w:szCs w:val="26"/>
          <w:lang w:eastAsia="ru-RU"/>
        </w:rPr>
        <w:t>htpp</w:t>
      </w:r>
      <w:proofErr w:type="spellEnd"/>
      <w:r w:rsidRPr="00F94FED">
        <w:rPr>
          <w:rFonts w:eastAsia="Times New Roman"/>
          <w:sz w:val="26"/>
          <w:szCs w:val="26"/>
          <w:lang w:eastAsia="ru-RU"/>
        </w:rPr>
        <w:t>://invest.gosuslugi.ru/</w:t>
      </w:r>
      <w:proofErr w:type="spellStart"/>
      <w:r w:rsidRPr="00F94FED">
        <w:rPr>
          <w:rFonts w:eastAsia="Times New Roman"/>
          <w:sz w:val="26"/>
          <w:szCs w:val="26"/>
          <w:lang w:eastAsia="ru-RU"/>
        </w:rPr>
        <w:t>epgu-forum</w:t>
      </w:r>
      <w:proofErr w:type="spellEnd"/>
      <w:r w:rsidRPr="00F94FED">
        <w:rPr>
          <w:rFonts w:eastAsia="Times New Roman"/>
          <w:sz w:val="26"/>
          <w:szCs w:val="26"/>
          <w:lang w:eastAsia="ru-RU"/>
        </w:rPr>
        <w:t>/#/</w:t>
      </w:r>
      <w:proofErr w:type="spellStart"/>
      <w:r w:rsidRPr="00F94FED">
        <w:rPr>
          <w:rFonts w:eastAsia="Times New Roman"/>
          <w:sz w:val="26"/>
          <w:szCs w:val="26"/>
          <w:lang w:eastAsia="ru-RU"/>
        </w:rPr>
        <w:t>ipr</w:t>
      </w:r>
      <w:proofErr w:type="spellEnd"/>
      <w:r w:rsidRPr="00F94FED">
        <w:rPr>
          <w:rFonts w:eastAsia="Times New Roman"/>
          <w:sz w:val="26"/>
          <w:szCs w:val="26"/>
          <w:lang w:eastAsia="ru-RU"/>
        </w:rPr>
        <w:t>/00459).</w:t>
      </w:r>
    </w:p>
    <w:p w14:paraId="27C5F1D0" w14:textId="77777777" w:rsidR="009A4C46" w:rsidRPr="00F94FED" w:rsidRDefault="009A4C46" w:rsidP="00F94FED">
      <w:pPr>
        <w:spacing w:after="0" w:line="360" w:lineRule="auto"/>
        <w:ind w:firstLine="567"/>
        <w:contextualSpacing/>
        <w:jc w:val="both"/>
        <w:rPr>
          <w:rFonts w:eastAsia="Times New Roman"/>
          <w:sz w:val="26"/>
          <w:szCs w:val="26"/>
          <w:lang w:eastAsia="ru-RU"/>
        </w:rPr>
      </w:pPr>
      <w:r w:rsidRPr="00F94FED">
        <w:rPr>
          <w:rFonts w:eastAsia="Times New Roman"/>
          <w:sz w:val="26"/>
          <w:szCs w:val="26"/>
          <w:lang w:eastAsia="ru-RU"/>
        </w:rPr>
        <w:t xml:space="preserve">Исполнение плана финансирования капитальных вложений по инвестиционным проектам инвестиционной программы за 2017 год (форма 10) </w:t>
      </w:r>
    </w:p>
    <w:tbl>
      <w:tblPr>
        <w:tblW w:w="511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05"/>
        <w:gridCol w:w="1065"/>
        <w:gridCol w:w="913"/>
        <w:gridCol w:w="807"/>
        <w:gridCol w:w="710"/>
        <w:gridCol w:w="1088"/>
        <w:gridCol w:w="625"/>
        <w:gridCol w:w="694"/>
        <w:gridCol w:w="1257"/>
      </w:tblGrid>
      <w:tr w:rsidR="0065708A" w:rsidRPr="00513F1D" w14:paraId="11D1B149" w14:textId="77777777" w:rsidTr="00CB5AA8">
        <w:trPr>
          <w:trHeight w:val="20"/>
          <w:tblHeader/>
        </w:trPr>
        <w:tc>
          <w:tcPr>
            <w:tcW w:w="125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D2FA21C" w14:textId="77777777" w:rsidR="0065708A" w:rsidRPr="00F94FED" w:rsidRDefault="0065708A" w:rsidP="009A4C46">
            <w:pPr>
              <w:spacing w:after="0" w:line="240" w:lineRule="auto"/>
              <w:jc w:val="center"/>
              <w:rPr>
                <w:rFonts w:eastAsia="Times New Roman"/>
                <w:b/>
                <w:bCs/>
                <w:color w:val="FFFFFF" w:themeColor="background1"/>
                <w:sz w:val="16"/>
                <w:szCs w:val="16"/>
                <w:lang w:eastAsia="ru-RU"/>
              </w:rPr>
            </w:pPr>
            <w:r w:rsidRPr="00F94FED">
              <w:rPr>
                <w:rFonts w:eastAsia="Times New Roman"/>
                <w:b/>
                <w:bCs/>
                <w:color w:val="FFFFFF" w:themeColor="background1"/>
                <w:sz w:val="16"/>
                <w:szCs w:val="16"/>
                <w:lang w:eastAsia="ru-RU"/>
              </w:rPr>
              <w:t>Наименование инвестиционного проекта (группы инвестиционных проектов)</w:t>
            </w:r>
          </w:p>
        </w:tc>
        <w:tc>
          <w:tcPr>
            <w:tcW w:w="55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76AEA36" w14:textId="1F602481" w:rsidR="0065708A" w:rsidRPr="00F94FED" w:rsidRDefault="0065708A" w:rsidP="009A4C46">
            <w:pPr>
              <w:spacing w:after="0" w:line="240" w:lineRule="auto"/>
              <w:jc w:val="center"/>
              <w:rPr>
                <w:rFonts w:eastAsia="Times New Roman"/>
                <w:b/>
                <w:bCs/>
                <w:color w:val="FFFFFF" w:themeColor="background1"/>
                <w:sz w:val="16"/>
                <w:szCs w:val="16"/>
                <w:lang w:eastAsia="ru-RU"/>
              </w:rPr>
            </w:pPr>
            <w:r w:rsidRPr="00F94FED">
              <w:rPr>
                <w:rFonts w:eastAsia="Times New Roman"/>
                <w:b/>
                <w:bCs/>
                <w:color w:val="FFFFFF" w:themeColor="background1"/>
                <w:sz w:val="16"/>
                <w:szCs w:val="16"/>
                <w:lang w:eastAsia="ru-RU"/>
              </w:rPr>
              <w:t>Фактический объем финансирования на 01.01.2017</w:t>
            </w:r>
          </w:p>
        </w:tc>
        <w:tc>
          <w:tcPr>
            <w:tcW w:w="47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vAlign w:val="center"/>
          </w:tcPr>
          <w:p w14:paraId="67163A28" w14:textId="339A9DA3" w:rsidR="0065708A" w:rsidRPr="00F94FED" w:rsidRDefault="0065708A" w:rsidP="0065708A">
            <w:pPr>
              <w:spacing w:after="0" w:line="240" w:lineRule="auto"/>
              <w:ind w:left="113" w:right="113"/>
              <w:jc w:val="center"/>
              <w:rPr>
                <w:rFonts w:eastAsia="Times New Roman"/>
                <w:b/>
                <w:bCs/>
                <w:color w:val="FFFFFF" w:themeColor="background1"/>
                <w:sz w:val="16"/>
                <w:szCs w:val="16"/>
                <w:lang w:eastAsia="ru-RU"/>
              </w:rPr>
            </w:pPr>
            <w:r w:rsidRPr="00F94FED">
              <w:rPr>
                <w:rFonts w:eastAsia="Times New Roman"/>
                <w:b/>
                <w:bCs/>
                <w:color w:val="FFFFFF" w:themeColor="background1"/>
                <w:sz w:val="16"/>
                <w:szCs w:val="16"/>
                <w:lang w:eastAsia="ru-RU"/>
              </w:rPr>
              <w:t xml:space="preserve">Остаток финансирования капитальных вложений на  01.01.2017 в прогнозных ценах соответствующих лет,  млн руб. </w:t>
            </w:r>
          </w:p>
          <w:p w14:paraId="7BA7CB84" w14:textId="49FCA297" w:rsidR="0065708A" w:rsidRPr="00F94FED" w:rsidRDefault="0065708A" w:rsidP="0065708A">
            <w:pPr>
              <w:spacing w:after="0" w:line="240" w:lineRule="auto"/>
              <w:ind w:left="113" w:right="113"/>
              <w:jc w:val="center"/>
              <w:rPr>
                <w:rFonts w:eastAsia="Times New Roman"/>
                <w:b/>
                <w:bCs/>
                <w:color w:val="FFFFFF" w:themeColor="background1"/>
                <w:sz w:val="16"/>
                <w:szCs w:val="16"/>
                <w:lang w:eastAsia="ru-RU"/>
              </w:rPr>
            </w:pPr>
            <w:r w:rsidRPr="00F94FED">
              <w:rPr>
                <w:rFonts w:eastAsia="Times New Roman"/>
                <w:b/>
                <w:bCs/>
                <w:color w:val="FFFFFF" w:themeColor="background1"/>
                <w:sz w:val="16"/>
                <w:szCs w:val="16"/>
                <w:lang w:eastAsia="ru-RU"/>
              </w:rPr>
              <w:t>с НДС</w:t>
            </w:r>
          </w:p>
        </w:tc>
        <w:tc>
          <w:tcPr>
            <w:tcW w:w="79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F37861B" w14:textId="77777777" w:rsidR="0065708A" w:rsidRPr="00F94FED" w:rsidRDefault="0065708A" w:rsidP="009A4C46">
            <w:pPr>
              <w:spacing w:after="0" w:line="240" w:lineRule="auto"/>
              <w:jc w:val="center"/>
              <w:rPr>
                <w:rFonts w:eastAsia="Times New Roman"/>
                <w:b/>
                <w:bCs/>
                <w:color w:val="FFFFFF" w:themeColor="background1"/>
                <w:sz w:val="16"/>
                <w:szCs w:val="16"/>
                <w:lang w:eastAsia="ru-RU"/>
              </w:rPr>
            </w:pPr>
            <w:r w:rsidRPr="00F94FED">
              <w:rPr>
                <w:rFonts w:eastAsia="Times New Roman"/>
                <w:b/>
                <w:bCs/>
                <w:color w:val="FFFFFF" w:themeColor="background1"/>
                <w:sz w:val="16"/>
                <w:szCs w:val="16"/>
                <w:lang w:eastAsia="ru-RU"/>
              </w:rPr>
              <w:t>Объем финансирования, млн рублей (с НДС)</w:t>
            </w:r>
          </w:p>
        </w:tc>
        <w:tc>
          <w:tcPr>
            <w:tcW w:w="56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0209D17" w14:textId="34893D6C" w:rsidR="0065708A" w:rsidRPr="00F94FED" w:rsidRDefault="0065708A" w:rsidP="009A4C46">
            <w:pPr>
              <w:spacing w:after="0" w:line="240" w:lineRule="auto"/>
              <w:jc w:val="center"/>
              <w:rPr>
                <w:rFonts w:eastAsia="Times New Roman"/>
                <w:b/>
                <w:bCs/>
                <w:color w:val="FFFFFF" w:themeColor="background1"/>
                <w:sz w:val="16"/>
                <w:szCs w:val="16"/>
                <w:lang w:eastAsia="ru-RU"/>
              </w:rPr>
            </w:pPr>
            <w:r w:rsidRPr="00F94FED">
              <w:rPr>
                <w:rFonts w:eastAsia="Times New Roman"/>
                <w:b/>
                <w:bCs/>
                <w:color w:val="FFFFFF" w:themeColor="background1"/>
                <w:sz w:val="16"/>
                <w:szCs w:val="16"/>
                <w:lang w:eastAsia="ru-RU"/>
              </w:rPr>
              <w:t>Остаток финансирования капитальных вложений на  01.01.18 в прогнозных ценах соответствующих лет,  млн руб. с НДС</w:t>
            </w:r>
          </w:p>
        </w:tc>
        <w:tc>
          <w:tcPr>
            <w:tcW w:w="690"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E3748C2" w14:textId="77777777" w:rsidR="0065708A" w:rsidRPr="00F94FED" w:rsidRDefault="0065708A" w:rsidP="009A4C46">
            <w:pPr>
              <w:spacing w:after="0" w:line="240" w:lineRule="auto"/>
              <w:jc w:val="center"/>
              <w:rPr>
                <w:rFonts w:eastAsia="Times New Roman"/>
                <w:b/>
                <w:bCs/>
                <w:color w:val="FFFFFF" w:themeColor="background1"/>
                <w:sz w:val="16"/>
                <w:szCs w:val="16"/>
                <w:lang w:eastAsia="ru-RU"/>
              </w:rPr>
            </w:pPr>
            <w:r w:rsidRPr="00F94FED">
              <w:rPr>
                <w:rFonts w:eastAsia="Times New Roman"/>
                <w:b/>
                <w:bCs/>
                <w:color w:val="FFFFFF" w:themeColor="background1"/>
                <w:sz w:val="16"/>
                <w:szCs w:val="16"/>
                <w:lang w:eastAsia="ru-RU"/>
              </w:rPr>
              <w:t xml:space="preserve">Отклонение от плана финансирования </w:t>
            </w:r>
          </w:p>
        </w:tc>
        <w:tc>
          <w:tcPr>
            <w:tcW w:w="65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9EF064D" w14:textId="77777777" w:rsidR="0065708A" w:rsidRPr="00F94FED" w:rsidRDefault="0065708A" w:rsidP="009A4C46">
            <w:pPr>
              <w:spacing w:after="0" w:line="240" w:lineRule="auto"/>
              <w:jc w:val="center"/>
              <w:rPr>
                <w:rFonts w:eastAsia="Times New Roman"/>
                <w:b/>
                <w:bCs/>
                <w:color w:val="FFFFFF" w:themeColor="background1"/>
                <w:sz w:val="16"/>
                <w:szCs w:val="16"/>
                <w:lang w:eastAsia="ru-RU"/>
              </w:rPr>
            </w:pPr>
            <w:r w:rsidRPr="00F94FED">
              <w:rPr>
                <w:rFonts w:eastAsia="Times New Roman"/>
                <w:b/>
                <w:bCs/>
                <w:color w:val="FFFFFF" w:themeColor="background1"/>
                <w:sz w:val="16"/>
                <w:szCs w:val="16"/>
                <w:lang w:eastAsia="ru-RU"/>
              </w:rPr>
              <w:t>Причины отклонений</w:t>
            </w:r>
          </w:p>
        </w:tc>
      </w:tr>
      <w:tr w:rsidR="0065708A" w:rsidRPr="00513F1D" w14:paraId="3D0A1CD9" w14:textId="77777777" w:rsidTr="00CB5AA8">
        <w:trPr>
          <w:trHeight w:val="20"/>
          <w:tblHeader/>
        </w:trPr>
        <w:tc>
          <w:tcPr>
            <w:tcW w:w="125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1BC5344" w14:textId="77777777" w:rsidR="0065708A" w:rsidRPr="00F94FED" w:rsidRDefault="0065708A" w:rsidP="009A4C46">
            <w:pPr>
              <w:spacing w:after="0" w:line="240" w:lineRule="auto"/>
              <w:jc w:val="center"/>
              <w:rPr>
                <w:rFonts w:eastAsia="Times New Roman"/>
                <w:b/>
                <w:bCs/>
                <w:color w:val="FFFFFF" w:themeColor="background1"/>
                <w:sz w:val="16"/>
                <w:szCs w:val="16"/>
                <w:lang w:eastAsia="ru-RU"/>
              </w:rPr>
            </w:pPr>
          </w:p>
        </w:tc>
        <w:tc>
          <w:tcPr>
            <w:tcW w:w="55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0D329D3" w14:textId="77777777" w:rsidR="0065708A" w:rsidRPr="00F94FED" w:rsidRDefault="0065708A" w:rsidP="009A4C46">
            <w:pPr>
              <w:spacing w:after="0" w:line="240" w:lineRule="auto"/>
              <w:jc w:val="center"/>
              <w:rPr>
                <w:rFonts w:eastAsia="Times New Roman"/>
                <w:b/>
                <w:bCs/>
                <w:color w:val="FFFFFF" w:themeColor="background1"/>
                <w:sz w:val="16"/>
                <w:szCs w:val="16"/>
                <w:lang w:eastAsia="ru-RU"/>
              </w:rPr>
            </w:pPr>
          </w:p>
        </w:tc>
        <w:tc>
          <w:tcPr>
            <w:tcW w:w="47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FF8607C" w14:textId="77777777" w:rsidR="0065708A" w:rsidRPr="00F94FED" w:rsidRDefault="0065708A" w:rsidP="009A4C46">
            <w:pPr>
              <w:spacing w:after="0" w:line="240" w:lineRule="auto"/>
              <w:jc w:val="center"/>
              <w:rPr>
                <w:rFonts w:eastAsia="Times New Roman"/>
                <w:b/>
                <w:bCs/>
                <w:color w:val="FFFFFF" w:themeColor="background1"/>
                <w:sz w:val="16"/>
                <w:szCs w:val="16"/>
                <w:lang w:eastAsia="ru-RU"/>
              </w:rPr>
            </w:pPr>
          </w:p>
        </w:tc>
        <w:tc>
          <w:tcPr>
            <w:tcW w:w="42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69A7745" w14:textId="77777777" w:rsidR="0065708A" w:rsidRPr="00F94FED" w:rsidRDefault="0065708A" w:rsidP="009A4C46">
            <w:pPr>
              <w:spacing w:after="0" w:line="240" w:lineRule="auto"/>
              <w:jc w:val="center"/>
              <w:rPr>
                <w:rFonts w:eastAsia="Times New Roman"/>
                <w:b/>
                <w:bCs/>
                <w:color w:val="FFFFFF" w:themeColor="background1"/>
                <w:sz w:val="16"/>
                <w:szCs w:val="16"/>
                <w:lang w:eastAsia="ru-RU"/>
              </w:rPr>
            </w:pPr>
            <w:r w:rsidRPr="00F94FED">
              <w:rPr>
                <w:rFonts w:eastAsia="Times New Roman"/>
                <w:b/>
                <w:bCs/>
                <w:color w:val="FFFFFF" w:themeColor="background1"/>
                <w:sz w:val="16"/>
                <w:szCs w:val="16"/>
                <w:lang w:eastAsia="ru-RU"/>
              </w:rPr>
              <w:t>План</w:t>
            </w:r>
          </w:p>
        </w:tc>
        <w:tc>
          <w:tcPr>
            <w:tcW w:w="37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EDE8695" w14:textId="77777777" w:rsidR="0065708A" w:rsidRPr="00F94FED" w:rsidRDefault="0065708A" w:rsidP="009A4C46">
            <w:pPr>
              <w:spacing w:after="0" w:line="240" w:lineRule="auto"/>
              <w:jc w:val="center"/>
              <w:rPr>
                <w:rFonts w:eastAsia="Times New Roman"/>
                <w:b/>
                <w:bCs/>
                <w:color w:val="FFFFFF" w:themeColor="background1"/>
                <w:sz w:val="16"/>
                <w:szCs w:val="16"/>
                <w:lang w:eastAsia="ru-RU"/>
              </w:rPr>
            </w:pPr>
            <w:r w:rsidRPr="00F94FED">
              <w:rPr>
                <w:rFonts w:eastAsia="Times New Roman"/>
                <w:b/>
                <w:bCs/>
                <w:color w:val="FFFFFF" w:themeColor="background1"/>
                <w:sz w:val="16"/>
                <w:szCs w:val="16"/>
                <w:lang w:eastAsia="ru-RU"/>
              </w:rPr>
              <w:t>Факт</w:t>
            </w:r>
          </w:p>
        </w:tc>
        <w:tc>
          <w:tcPr>
            <w:tcW w:w="56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9DDC6FD" w14:textId="77777777" w:rsidR="0065708A" w:rsidRPr="00F94FED" w:rsidRDefault="0065708A" w:rsidP="009A4C46">
            <w:pPr>
              <w:spacing w:after="0" w:line="240" w:lineRule="auto"/>
              <w:jc w:val="center"/>
              <w:rPr>
                <w:rFonts w:eastAsia="Times New Roman"/>
                <w:b/>
                <w:bCs/>
                <w:color w:val="FFFFFF" w:themeColor="background1"/>
                <w:sz w:val="16"/>
                <w:szCs w:val="16"/>
                <w:lang w:eastAsia="ru-RU"/>
              </w:rPr>
            </w:pPr>
          </w:p>
        </w:tc>
        <w:tc>
          <w:tcPr>
            <w:tcW w:w="3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B91C339" w14:textId="77777777" w:rsidR="0065708A" w:rsidRPr="00F94FED" w:rsidRDefault="0065708A" w:rsidP="009A4C46">
            <w:pPr>
              <w:spacing w:after="0" w:line="240" w:lineRule="auto"/>
              <w:jc w:val="center"/>
              <w:rPr>
                <w:rFonts w:eastAsia="Times New Roman"/>
                <w:b/>
                <w:bCs/>
                <w:color w:val="FFFFFF" w:themeColor="background1"/>
                <w:sz w:val="16"/>
                <w:szCs w:val="16"/>
                <w:lang w:eastAsia="ru-RU"/>
              </w:rPr>
            </w:pPr>
            <w:r w:rsidRPr="00F94FED">
              <w:rPr>
                <w:rFonts w:eastAsia="Times New Roman"/>
                <w:b/>
                <w:bCs/>
                <w:color w:val="FFFFFF" w:themeColor="background1"/>
                <w:sz w:val="16"/>
                <w:szCs w:val="16"/>
                <w:lang w:eastAsia="ru-RU"/>
              </w:rPr>
              <w:t xml:space="preserve">млн руб. </w:t>
            </w:r>
          </w:p>
          <w:p w14:paraId="2C27AEFA" w14:textId="5831DAC8" w:rsidR="0065708A" w:rsidRPr="00F94FED" w:rsidRDefault="0065708A" w:rsidP="009A4C46">
            <w:pPr>
              <w:spacing w:after="0" w:line="240" w:lineRule="auto"/>
              <w:jc w:val="center"/>
              <w:rPr>
                <w:rFonts w:eastAsia="Times New Roman"/>
                <w:b/>
                <w:bCs/>
                <w:color w:val="FFFFFF" w:themeColor="background1"/>
                <w:sz w:val="16"/>
                <w:szCs w:val="16"/>
                <w:lang w:eastAsia="ru-RU"/>
              </w:rPr>
            </w:pPr>
            <w:r w:rsidRPr="00F94FED">
              <w:rPr>
                <w:rFonts w:eastAsia="Times New Roman"/>
                <w:b/>
                <w:bCs/>
                <w:color w:val="FFFFFF" w:themeColor="background1"/>
                <w:sz w:val="16"/>
                <w:szCs w:val="16"/>
                <w:lang w:eastAsia="ru-RU"/>
              </w:rPr>
              <w:t>с НДС</w:t>
            </w:r>
          </w:p>
        </w:tc>
        <w:tc>
          <w:tcPr>
            <w:tcW w:w="36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9708936" w14:textId="77777777" w:rsidR="0065708A" w:rsidRPr="00F94FED" w:rsidRDefault="0065708A" w:rsidP="009A4C46">
            <w:pPr>
              <w:spacing w:after="0" w:line="240" w:lineRule="auto"/>
              <w:jc w:val="center"/>
              <w:rPr>
                <w:rFonts w:eastAsia="Times New Roman"/>
                <w:b/>
                <w:bCs/>
                <w:color w:val="FFFFFF" w:themeColor="background1"/>
                <w:sz w:val="16"/>
                <w:szCs w:val="16"/>
                <w:lang w:eastAsia="ru-RU"/>
              </w:rPr>
            </w:pPr>
            <w:r w:rsidRPr="00F94FED">
              <w:rPr>
                <w:rFonts w:eastAsia="Times New Roman"/>
                <w:b/>
                <w:bCs/>
                <w:color w:val="FFFFFF" w:themeColor="background1"/>
                <w:sz w:val="16"/>
                <w:szCs w:val="16"/>
                <w:lang w:eastAsia="ru-RU"/>
              </w:rPr>
              <w:t>%</w:t>
            </w:r>
          </w:p>
        </w:tc>
        <w:tc>
          <w:tcPr>
            <w:tcW w:w="65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D4C8EAB" w14:textId="77777777" w:rsidR="0065708A" w:rsidRPr="00F94FED" w:rsidRDefault="0065708A" w:rsidP="009A4C46">
            <w:pPr>
              <w:spacing w:after="0" w:line="240" w:lineRule="auto"/>
              <w:jc w:val="center"/>
              <w:rPr>
                <w:rFonts w:eastAsia="Times New Roman"/>
                <w:b/>
                <w:bCs/>
                <w:color w:val="FFFFFF" w:themeColor="background1"/>
                <w:sz w:val="16"/>
                <w:szCs w:val="16"/>
                <w:lang w:eastAsia="ru-RU"/>
              </w:rPr>
            </w:pPr>
          </w:p>
        </w:tc>
      </w:tr>
      <w:tr w:rsidR="0065708A" w:rsidRPr="00513F1D" w14:paraId="02D52C4B" w14:textId="77777777" w:rsidTr="00CB5AA8">
        <w:trPr>
          <w:trHeight w:val="20"/>
          <w:tblHeader/>
        </w:trPr>
        <w:tc>
          <w:tcPr>
            <w:tcW w:w="125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E5CD836" w14:textId="77777777" w:rsidR="0065708A" w:rsidRPr="00F94FED" w:rsidRDefault="0065708A" w:rsidP="009A4C46">
            <w:pPr>
              <w:spacing w:after="0" w:line="240" w:lineRule="auto"/>
              <w:jc w:val="center"/>
              <w:rPr>
                <w:rFonts w:eastAsia="Times New Roman"/>
                <w:b/>
                <w:bCs/>
                <w:color w:val="FFFFFF" w:themeColor="background1"/>
                <w:sz w:val="16"/>
                <w:szCs w:val="16"/>
                <w:lang w:eastAsia="ru-RU"/>
              </w:rPr>
            </w:pPr>
            <w:r w:rsidRPr="00F94FED">
              <w:rPr>
                <w:rFonts w:eastAsia="Times New Roman"/>
                <w:b/>
                <w:bCs/>
                <w:color w:val="FFFFFF" w:themeColor="background1"/>
                <w:sz w:val="16"/>
                <w:szCs w:val="16"/>
                <w:lang w:eastAsia="ru-RU"/>
              </w:rPr>
              <w:t>2</w:t>
            </w:r>
          </w:p>
        </w:tc>
        <w:tc>
          <w:tcPr>
            <w:tcW w:w="5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ADF9E48" w14:textId="77777777" w:rsidR="0065708A" w:rsidRPr="00F94FED" w:rsidRDefault="0065708A" w:rsidP="009A4C46">
            <w:pPr>
              <w:spacing w:after="0" w:line="240" w:lineRule="auto"/>
              <w:jc w:val="center"/>
              <w:rPr>
                <w:rFonts w:eastAsia="Times New Roman"/>
                <w:b/>
                <w:bCs/>
                <w:color w:val="FFFFFF" w:themeColor="background1"/>
                <w:sz w:val="16"/>
                <w:szCs w:val="16"/>
                <w:lang w:eastAsia="ru-RU"/>
              </w:rPr>
            </w:pPr>
            <w:r w:rsidRPr="00F94FED">
              <w:rPr>
                <w:rFonts w:eastAsia="Times New Roman"/>
                <w:b/>
                <w:bCs/>
                <w:color w:val="FFFFFF" w:themeColor="background1"/>
                <w:sz w:val="16"/>
                <w:szCs w:val="16"/>
                <w:lang w:eastAsia="ru-RU"/>
              </w:rPr>
              <w:t>3</w:t>
            </w:r>
          </w:p>
        </w:tc>
        <w:tc>
          <w:tcPr>
            <w:tcW w:w="47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FC803FF" w14:textId="77777777" w:rsidR="0065708A" w:rsidRPr="00F94FED" w:rsidRDefault="0065708A" w:rsidP="009A4C46">
            <w:pPr>
              <w:spacing w:after="0" w:line="240" w:lineRule="auto"/>
              <w:jc w:val="center"/>
              <w:rPr>
                <w:rFonts w:eastAsia="Times New Roman"/>
                <w:b/>
                <w:bCs/>
                <w:color w:val="FFFFFF" w:themeColor="background1"/>
                <w:sz w:val="16"/>
                <w:szCs w:val="16"/>
                <w:lang w:eastAsia="ru-RU"/>
              </w:rPr>
            </w:pPr>
            <w:r w:rsidRPr="00F94FED">
              <w:rPr>
                <w:rFonts w:eastAsia="Times New Roman"/>
                <w:b/>
                <w:bCs/>
                <w:color w:val="FFFFFF" w:themeColor="background1"/>
                <w:sz w:val="16"/>
                <w:szCs w:val="16"/>
                <w:lang w:eastAsia="ru-RU"/>
              </w:rPr>
              <w:t>4</w:t>
            </w:r>
          </w:p>
        </w:tc>
        <w:tc>
          <w:tcPr>
            <w:tcW w:w="42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74E57A8" w14:textId="77777777" w:rsidR="0065708A" w:rsidRPr="00F94FED" w:rsidRDefault="0065708A" w:rsidP="009A4C46">
            <w:pPr>
              <w:spacing w:after="0" w:line="240" w:lineRule="auto"/>
              <w:jc w:val="center"/>
              <w:rPr>
                <w:rFonts w:eastAsia="Times New Roman"/>
                <w:b/>
                <w:bCs/>
                <w:color w:val="FFFFFF" w:themeColor="background1"/>
                <w:sz w:val="16"/>
                <w:szCs w:val="16"/>
                <w:lang w:eastAsia="ru-RU"/>
              </w:rPr>
            </w:pPr>
            <w:r w:rsidRPr="00F94FED">
              <w:rPr>
                <w:rFonts w:eastAsia="Times New Roman"/>
                <w:b/>
                <w:bCs/>
                <w:color w:val="FFFFFF" w:themeColor="background1"/>
                <w:sz w:val="16"/>
                <w:szCs w:val="16"/>
                <w:lang w:eastAsia="ru-RU"/>
              </w:rPr>
              <w:t>5</w:t>
            </w:r>
          </w:p>
        </w:tc>
        <w:tc>
          <w:tcPr>
            <w:tcW w:w="37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38591FC" w14:textId="77777777" w:rsidR="0065708A" w:rsidRPr="00F94FED" w:rsidRDefault="0065708A" w:rsidP="009A4C46">
            <w:pPr>
              <w:spacing w:after="0" w:line="240" w:lineRule="auto"/>
              <w:jc w:val="center"/>
              <w:rPr>
                <w:rFonts w:eastAsia="Times New Roman"/>
                <w:b/>
                <w:bCs/>
                <w:color w:val="FFFFFF" w:themeColor="background1"/>
                <w:sz w:val="16"/>
                <w:szCs w:val="16"/>
                <w:lang w:eastAsia="ru-RU"/>
              </w:rPr>
            </w:pPr>
            <w:r w:rsidRPr="00F94FED">
              <w:rPr>
                <w:rFonts w:eastAsia="Times New Roman"/>
                <w:b/>
                <w:bCs/>
                <w:color w:val="FFFFFF" w:themeColor="background1"/>
                <w:sz w:val="16"/>
                <w:szCs w:val="16"/>
                <w:lang w:eastAsia="ru-RU"/>
              </w:rPr>
              <w:t>6</w:t>
            </w:r>
          </w:p>
        </w:tc>
        <w:tc>
          <w:tcPr>
            <w:tcW w:w="56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63E551A" w14:textId="77777777" w:rsidR="0065708A" w:rsidRPr="00F94FED" w:rsidRDefault="0065708A" w:rsidP="009A4C46">
            <w:pPr>
              <w:spacing w:after="0" w:line="240" w:lineRule="auto"/>
              <w:jc w:val="center"/>
              <w:rPr>
                <w:rFonts w:eastAsia="Times New Roman"/>
                <w:b/>
                <w:bCs/>
                <w:color w:val="FFFFFF" w:themeColor="background1"/>
                <w:sz w:val="16"/>
                <w:szCs w:val="16"/>
                <w:lang w:eastAsia="ru-RU"/>
              </w:rPr>
            </w:pPr>
            <w:r w:rsidRPr="00F94FED">
              <w:rPr>
                <w:rFonts w:eastAsia="Times New Roman"/>
                <w:b/>
                <w:bCs/>
                <w:color w:val="FFFFFF" w:themeColor="background1"/>
                <w:sz w:val="16"/>
                <w:szCs w:val="16"/>
                <w:lang w:eastAsia="ru-RU"/>
              </w:rPr>
              <w:t>7</w:t>
            </w:r>
          </w:p>
        </w:tc>
        <w:tc>
          <w:tcPr>
            <w:tcW w:w="3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0539724" w14:textId="77777777" w:rsidR="0065708A" w:rsidRPr="00F94FED" w:rsidRDefault="0065708A" w:rsidP="009A4C46">
            <w:pPr>
              <w:spacing w:after="0" w:line="240" w:lineRule="auto"/>
              <w:jc w:val="center"/>
              <w:rPr>
                <w:rFonts w:eastAsia="Times New Roman"/>
                <w:b/>
                <w:bCs/>
                <w:color w:val="FFFFFF" w:themeColor="background1"/>
                <w:sz w:val="16"/>
                <w:szCs w:val="16"/>
                <w:lang w:eastAsia="ru-RU"/>
              </w:rPr>
            </w:pPr>
            <w:r w:rsidRPr="00F94FED">
              <w:rPr>
                <w:rFonts w:eastAsia="Times New Roman"/>
                <w:b/>
                <w:bCs/>
                <w:color w:val="FFFFFF" w:themeColor="background1"/>
                <w:sz w:val="16"/>
                <w:szCs w:val="16"/>
                <w:lang w:eastAsia="ru-RU"/>
              </w:rPr>
              <w:t>8</w:t>
            </w:r>
          </w:p>
        </w:tc>
        <w:tc>
          <w:tcPr>
            <w:tcW w:w="36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1DA31F9" w14:textId="77777777" w:rsidR="0065708A" w:rsidRPr="00F94FED" w:rsidRDefault="0065708A" w:rsidP="009A4C46">
            <w:pPr>
              <w:spacing w:after="0" w:line="240" w:lineRule="auto"/>
              <w:jc w:val="center"/>
              <w:rPr>
                <w:rFonts w:eastAsia="Times New Roman"/>
                <w:b/>
                <w:bCs/>
                <w:color w:val="FFFFFF" w:themeColor="background1"/>
                <w:sz w:val="16"/>
                <w:szCs w:val="16"/>
                <w:lang w:eastAsia="ru-RU"/>
              </w:rPr>
            </w:pPr>
            <w:r w:rsidRPr="00F94FED">
              <w:rPr>
                <w:rFonts w:eastAsia="Times New Roman"/>
                <w:b/>
                <w:bCs/>
                <w:color w:val="FFFFFF" w:themeColor="background1"/>
                <w:sz w:val="16"/>
                <w:szCs w:val="16"/>
                <w:lang w:eastAsia="ru-RU"/>
              </w:rPr>
              <w:t>9</w:t>
            </w:r>
          </w:p>
        </w:tc>
        <w:tc>
          <w:tcPr>
            <w:tcW w:w="65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ABBD488" w14:textId="77777777" w:rsidR="0065708A" w:rsidRPr="00F94FED" w:rsidRDefault="0065708A" w:rsidP="009A4C46">
            <w:pPr>
              <w:spacing w:after="0" w:line="240" w:lineRule="auto"/>
              <w:jc w:val="center"/>
              <w:rPr>
                <w:rFonts w:eastAsia="Times New Roman"/>
                <w:b/>
                <w:bCs/>
                <w:color w:val="FFFFFF" w:themeColor="background1"/>
                <w:sz w:val="16"/>
                <w:szCs w:val="16"/>
                <w:lang w:eastAsia="ru-RU"/>
              </w:rPr>
            </w:pPr>
            <w:r w:rsidRPr="00F94FED">
              <w:rPr>
                <w:rFonts w:eastAsia="Times New Roman"/>
                <w:b/>
                <w:bCs/>
                <w:color w:val="FFFFFF" w:themeColor="background1"/>
                <w:sz w:val="16"/>
                <w:szCs w:val="16"/>
                <w:lang w:eastAsia="ru-RU"/>
              </w:rPr>
              <w:t>10</w:t>
            </w:r>
          </w:p>
        </w:tc>
      </w:tr>
      <w:tr w:rsidR="0065708A" w:rsidRPr="00513F1D" w14:paraId="28317ED2" w14:textId="77777777" w:rsidTr="00CB5AA8">
        <w:trPr>
          <w:trHeight w:val="20"/>
        </w:trPr>
        <w:tc>
          <w:tcPr>
            <w:tcW w:w="1257" w:type="pct"/>
            <w:tcBorders>
              <w:top w:val="single" w:sz="4" w:space="0" w:color="FFFFFF" w:themeColor="background1"/>
            </w:tcBorders>
            <w:shd w:val="clear" w:color="auto" w:fill="D6E3BC" w:themeFill="accent3" w:themeFillTint="66"/>
            <w:vAlign w:val="bottom"/>
            <w:hideMark/>
          </w:tcPr>
          <w:p w14:paraId="71D18A4C" w14:textId="77777777" w:rsidR="0065708A" w:rsidRPr="00F94FED" w:rsidRDefault="0065708A" w:rsidP="009A4C46">
            <w:pPr>
              <w:spacing w:after="0" w:line="240" w:lineRule="auto"/>
              <w:rPr>
                <w:rFonts w:eastAsia="Times New Roman"/>
                <w:b/>
                <w:bCs/>
                <w:sz w:val="16"/>
                <w:szCs w:val="16"/>
                <w:lang w:eastAsia="ru-RU"/>
              </w:rPr>
            </w:pPr>
            <w:r w:rsidRPr="00F94FED">
              <w:rPr>
                <w:rFonts w:eastAsia="Times New Roman"/>
                <w:b/>
                <w:bCs/>
                <w:sz w:val="16"/>
                <w:szCs w:val="16"/>
                <w:lang w:eastAsia="ru-RU"/>
              </w:rPr>
              <w:t>ВСЕГО по инвестиционной программе, в том числе:</w:t>
            </w:r>
          </w:p>
        </w:tc>
        <w:tc>
          <w:tcPr>
            <w:tcW w:w="556" w:type="pct"/>
            <w:tcBorders>
              <w:top w:val="single" w:sz="4" w:space="0" w:color="FFFFFF" w:themeColor="background1"/>
            </w:tcBorders>
            <w:shd w:val="clear" w:color="auto" w:fill="D6E3BC" w:themeFill="accent3" w:themeFillTint="66"/>
            <w:noWrap/>
            <w:vAlign w:val="center"/>
            <w:hideMark/>
          </w:tcPr>
          <w:p w14:paraId="0EB37FF8" w14:textId="77777777" w:rsidR="0065708A" w:rsidRPr="00F94FED" w:rsidRDefault="0065708A" w:rsidP="003E2802">
            <w:pPr>
              <w:spacing w:after="0" w:line="240" w:lineRule="auto"/>
              <w:jc w:val="center"/>
              <w:rPr>
                <w:rFonts w:eastAsia="Times New Roman"/>
                <w:b/>
                <w:bCs/>
                <w:sz w:val="16"/>
                <w:szCs w:val="16"/>
                <w:lang w:eastAsia="ru-RU"/>
              </w:rPr>
            </w:pPr>
            <w:r w:rsidRPr="00F94FED">
              <w:rPr>
                <w:rFonts w:eastAsia="Times New Roman"/>
                <w:b/>
                <w:bCs/>
                <w:sz w:val="16"/>
                <w:szCs w:val="16"/>
                <w:lang w:eastAsia="ru-RU"/>
              </w:rPr>
              <w:t>426,1</w:t>
            </w:r>
          </w:p>
        </w:tc>
        <w:tc>
          <w:tcPr>
            <w:tcW w:w="477" w:type="pct"/>
            <w:tcBorders>
              <w:top w:val="single" w:sz="4" w:space="0" w:color="FFFFFF" w:themeColor="background1"/>
            </w:tcBorders>
            <w:shd w:val="clear" w:color="auto" w:fill="D6E3BC" w:themeFill="accent3" w:themeFillTint="66"/>
            <w:noWrap/>
            <w:vAlign w:val="center"/>
            <w:hideMark/>
          </w:tcPr>
          <w:p w14:paraId="17411866" w14:textId="77777777" w:rsidR="0065708A" w:rsidRPr="00F94FED" w:rsidRDefault="0065708A">
            <w:pPr>
              <w:spacing w:after="0" w:line="240" w:lineRule="auto"/>
              <w:jc w:val="center"/>
              <w:rPr>
                <w:rFonts w:eastAsia="Times New Roman"/>
                <w:b/>
                <w:bCs/>
                <w:sz w:val="16"/>
                <w:szCs w:val="16"/>
                <w:lang w:eastAsia="ru-RU"/>
              </w:rPr>
            </w:pPr>
            <w:r w:rsidRPr="00F94FED">
              <w:rPr>
                <w:rFonts w:eastAsia="Times New Roman"/>
                <w:b/>
                <w:bCs/>
                <w:sz w:val="16"/>
                <w:szCs w:val="16"/>
                <w:lang w:eastAsia="ru-RU"/>
              </w:rPr>
              <w:t>792,1</w:t>
            </w:r>
          </w:p>
        </w:tc>
        <w:tc>
          <w:tcPr>
            <w:tcW w:w="422" w:type="pct"/>
            <w:tcBorders>
              <w:top w:val="single" w:sz="4" w:space="0" w:color="FFFFFF" w:themeColor="background1"/>
            </w:tcBorders>
            <w:shd w:val="clear" w:color="auto" w:fill="D6E3BC" w:themeFill="accent3" w:themeFillTint="66"/>
            <w:noWrap/>
            <w:vAlign w:val="center"/>
            <w:hideMark/>
          </w:tcPr>
          <w:p w14:paraId="3751C996" w14:textId="77777777" w:rsidR="0065708A" w:rsidRPr="00F94FED" w:rsidRDefault="0065708A">
            <w:pPr>
              <w:spacing w:after="0" w:line="240" w:lineRule="auto"/>
              <w:jc w:val="center"/>
              <w:rPr>
                <w:rFonts w:eastAsia="Times New Roman"/>
                <w:b/>
                <w:bCs/>
                <w:sz w:val="16"/>
                <w:szCs w:val="16"/>
                <w:lang w:eastAsia="ru-RU"/>
              </w:rPr>
            </w:pPr>
            <w:r w:rsidRPr="00F94FED">
              <w:rPr>
                <w:rFonts w:eastAsia="Times New Roman"/>
                <w:b/>
                <w:bCs/>
                <w:sz w:val="16"/>
                <w:szCs w:val="16"/>
                <w:lang w:eastAsia="ru-RU"/>
              </w:rPr>
              <w:t>257,5</w:t>
            </w:r>
          </w:p>
        </w:tc>
        <w:tc>
          <w:tcPr>
            <w:tcW w:w="371" w:type="pct"/>
            <w:tcBorders>
              <w:top w:val="single" w:sz="4" w:space="0" w:color="FFFFFF" w:themeColor="background1"/>
            </w:tcBorders>
            <w:shd w:val="clear" w:color="auto" w:fill="D6E3BC" w:themeFill="accent3" w:themeFillTint="66"/>
            <w:noWrap/>
            <w:vAlign w:val="center"/>
            <w:hideMark/>
          </w:tcPr>
          <w:p w14:paraId="57AF52BD" w14:textId="77777777" w:rsidR="0065708A" w:rsidRPr="00F94FED" w:rsidRDefault="0065708A">
            <w:pPr>
              <w:spacing w:after="0" w:line="240" w:lineRule="auto"/>
              <w:jc w:val="center"/>
              <w:rPr>
                <w:rFonts w:eastAsia="Times New Roman"/>
                <w:b/>
                <w:bCs/>
                <w:sz w:val="16"/>
                <w:szCs w:val="16"/>
                <w:lang w:eastAsia="ru-RU"/>
              </w:rPr>
            </w:pPr>
            <w:r w:rsidRPr="00F94FED">
              <w:rPr>
                <w:rFonts w:eastAsia="Times New Roman"/>
                <w:b/>
                <w:bCs/>
                <w:sz w:val="16"/>
                <w:szCs w:val="16"/>
                <w:lang w:eastAsia="ru-RU"/>
              </w:rPr>
              <w:t>263,1</w:t>
            </w:r>
          </w:p>
        </w:tc>
        <w:tc>
          <w:tcPr>
            <w:tcW w:w="569" w:type="pct"/>
            <w:tcBorders>
              <w:top w:val="single" w:sz="4" w:space="0" w:color="FFFFFF" w:themeColor="background1"/>
            </w:tcBorders>
            <w:shd w:val="clear" w:color="auto" w:fill="D6E3BC" w:themeFill="accent3" w:themeFillTint="66"/>
            <w:noWrap/>
            <w:vAlign w:val="center"/>
            <w:hideMark/>
          </w:tcPr>
          <w:p w14:paraId="7C05EEEE" w14:textId="77777777" w:rsidR="0065708A" w:rsidRPr="00F94FED" w:rsidRDefault="0065708A">
            <w:pPr>
              <w:spacing w:after="0" w:line="240" w:lineRule="auto"/>
              <w:jc w:val="center"/>
              <w:rPr>
                <w:rFonts w:eastAsia="Times New Roman"/>
                <w:b/>
                <w:bCs/>
                <w:sz w:val="16"/>
                <w:szCs w:val="16"/>
                <w:lang w:eastAsia="ru-RU"/>
              </w:rPr>
            </w:pPr>
            <w:r w:rsidRPr="00F94FED">
              <w:rPr>
                <w:rFonts w:eastAsia="Times New Roman"/>
                <w:b/>
                <w:bCs/>
                <w:sz w:val="16"/>
                <w:szCs w:val="16"/>
                <w:lang w:eastAsia="ru-RU"/>
              </w:rPr>
              <w:t>529,0</w:t>
            </w:r>
          </w:p>
        </w:tc>
        <w:tc>
          <w:tcPr>
            <w:tcW w:w="327" w:type="pct"/>
            <w:tcBorders>
              <w:top w:val="single" w:sz="4" w:space="0" w:color="FFFFFF" w:themeColor="background1"/>
            </w:tcBorders>
            <w:shd w:val="clear" w:color="auto" w:fill="D6E3BC" w:themeFill="accent3" w:themeFillTint="66"/>
            <w:noWrap/>
            <w:vAlign w:val="center"/>
            <w:hideMark/>
          </w:tcPr>
          <w:p w14:paraId="0AAC0B3D" w14:textId="77777777" w:rsidR="0065708A" w:rsidRPr="00F94FED" w:rsidRDefault="0065708A">
            <w:pPr>
              <w:spacing w:after="0" w:line="240" w:lineRule="auto"/>
              <w:jc w:val="center"/>
              <w:rPr>
                <w:rFonts w:eastAsia="Times New Roman"/>
                <w:b/>
                <w:bCs/>
                <w:sz w:val="16"/>
                <w:szCs w:val="16"/>
                <w:lang w:eastAsia="ru-RU"/>
              </w:rPr>
            </w:pPr>
            <w:r w:rsidRPr="00F94FED">
              <w:rPr>
                <w:rFonts w:eastAsia="Times New Roman"/>
                <w:b/>
                <w:bCs/>
                <w:sz w:val="16"/>
                <w:szCs w:val="16"/>
                <w:lang w:eastAsia="ru-RU"/>
              </w:rPr>
              <w:t>5,6</w:t>
            </w:r>
          </w:p>
        </w:tc>
        <w:tc>
          <w:tcPr>
            <w:tcW w:w="363" w:type="pct"/>
            <w:tcBorders>
              <w:top w:val="single" w:sz="4" w:space="0" w:color="FFFFFF" w:themeColor="background1"/>
            </w:tcBorders>
            <w:shd w:val="clear" w:color="auto" w:fill="D6E3BC" w:themeFill="accent3" w:themeFillTint="66"/>
            <w:noWrap/>
            <w:vAlign w:val="center"/>
            <w:hideMark/>
          </w:tcPr>
          <w:p w14:paraId="0537D07F" w14:textId="77777777" w:rsidR="0065708A" w:rsidRPr="00F94FED" w:rsidRDefault="0065708A">
            <w:pPr>
              <w:spacing w:after="0" w:line="240" w:lineRule="auto"/>
              <w:jc w:val="center"/>
              <w:rPr>
                <w:rFonts w:eastAsia="Times New Roman"/>
                <w:b/>
                <w:bCs/>
                <w:sz w:val="16"/>
                <w:szCs w:val="16"/>
                <w:lang w:eastAsia="ru-RU"/>
              </w:rPr>
            </w:pPr>
            <w:r w:rsidRPr="00F94FED">
              <w:rPr>
                <w:rFonts w:eastAsia="Times New Roman"/>
                <w:b/>
                <w:bCs/>
                <w:sz w:val="16"/>
                <w:szCs w:val="16"/>
                <w:lang w:eastAsia="ru-RU"/>
              </w:rPr>
              <w:t>2%</w:t>
            </w:r>
          </w:p>
        </w:tc>
        <w:tc>
          <w:tcPr>
            <w:tcW w:w="657" w:type="pct"/>
            <w:tcBorders>
              <w:top w:val="single" w:sz="4" w:space="0" w:color="FFFFFF" w:themeColor="background1"/>
            </w:tcBorders>
            <w:shd w:val="clear" w:color="auto" w:fill="D6E3BC" w:themeFill="accent3" w:themeFillTint="66"/>
            <w:vAlign w:val="center"/>
            <w:hideMark/>
          </w:tcPr>
          <w:p w14:paraId="4946477E" w14:textId="5AC20964" w:rsidR="0065708A" w:rsidRPr="00F94FED" w:rsidRDefault="0065708A" w:rsidP="00F94FED">
            <w:pPr>
              <w:spacing w:after="0" w:line="240" w:lineRule="auto"/>
              <w:jc w:val="center"/>
              <w:rPr>
                <w:rFonts w:eastAsia="Times New Roman"/>
                <w:b/>
                <w:bCs/>
                <w:sz w:val="16"/>
                <w:szCs w:val="16"/>
                <w:lang w:eastAsia="ru-RU"/>
              </w:rPr>
            </w:pPr>
          </w:p>
        </w:tc>
      </w:tr>
      <w:tr w:rsidR="0065708A" w:rsidRPr="00513F1D" w14:paraId="505E160C" w14:textId="77777777" w:rsidTr="00CB5AA8">
        <w:trPr>
          <w:trHeight w:val="20"/>
        </w:trPr>
        <w:tc>
          <w:tcPr>
            <w:tcW w:w="1257" w:type="pct"/>
            <w:shd w:val="clear" w:color="auto" w:fill="auto"/>
            <w:vAlign w:val="bottom"/>
            <w:hideMark/>
          </w:tcPr>
          <w:p w14:paraId="28A12284" w14:textId="77777777" w:rsidR="0065708A" w:rsidRPr="00513F1D" w:rsidRDefault="0065708A" w:rsidP="009A4C46">
            <w:pPr>
              <w:spacing w:after="0" w:line="240" w:lineRule="auto"/>
              <w:rPr>
                <w:rFonts w:eastAsia="Times New Roman"/>
                <w:sz w:val="16"/>
                <w:szCs w:val="16"/>
                <w:lang w:eastAsia="ru-RU"/>
              </w:rPr>
            </w:pPr>
            <w:r w:rsidRPr="00513F1D">
              <w:rPr>
                <w:rFonts w:eastAsia="Times New Roman"/>
                <w:sz w:val="16"/>
                <w:szCs w:val="16"/>
                <w:lang w:eastAsia="ru-RU"/>
              </w:rPr>
              <w:t>Технологическое присоединение, всего</w:t>
            </w:r>
          </w:p>
        </w:tc>
        <w:tc>
          <w:tcPr>
            <w:tcW w:w="556" w:type="pct"/>
            <w:shd w:val="clear" w:color="auto" w:fill="auto"/>
            <w:noWrap/>
            <w:vAlign w:val="center"/>
            <w:hideMark/>
          </w:tcPr>
          <w:p w14:paraId="48B5EF94" w14:textId="77777777" w:rsidR="0065708A" w:rsidRPr="00513F1D" w:rsidRDefault="0065708A" w:rsidP="003E2802">
            <w:pPr>
              <w:spacing w:after="0" w:line="240" w:lineRule="auto"/>
              <w:jc w:val="center"/>
              <w:rPr>
                <w:rFonts w:eastAsia="Times New Roman"/>
                <w:sz w:val="16"/>
                <w:szCs w:val="16"/>
                <w:lang w:eastAsia="ru-RU"/>
              </w:rPr>
            </w:pPr>
            <w:r w:rsidRPr="00513F1D">
              <w:rPr>
                <w:rFonts w:eastAsia="Times New Roman"/>
                <w:sz w:val="16"/>
                <w:szCs w:val="16"/>
                <w:lang w:eastAsia="ru-RU"/>
              </w:rPr>
              <w:t>406,8</w:t>
            </w:r>
          </w:p>
        </w:tc>
        <w:tc>
          <w:tcPr>
            <w:tcW w:w="477" w:type="pct"/>
            <w:shd w:val="clear" w:color="auto" w:fill="auto"/>
            <w:noWrap/>
            <w:vAlign w:val="center"/>
            <w:hideMark/>
          </w:tcPr>
          <w:p w14:paraId="06B4E180"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430,0</w:t>
            </w:r>
          </w:p>
        </w:tc>
        <w:tc>
          <w:tcPr>
            <w:tcW w:w="422" w:type="pct"/>
            <w:shd w:val="clear" w:color="auto" w:fill="auto"/>
            <w:noWrap/>
            <w:vAlign w:val="center"/>
            <w:hideMark/>
          </w:tcPr>
          <w:p w14:paraId="643BB215"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209,5</w:t>
            </w:r>
          </w:p>
        </w:tc>
        <w:tc>
          <w:tcPr>
            <w:tcW w:w="371" w:type="pct"/>
            <w:shd w:val="clear" w:color="auto" w:fill="auto"/>
            <w:noWrap/>
            <w:vAlign w:val="center"/>
            <w:hideMark/>
          </w:tcPr>
          <w:p w14:paraId="612BAD83"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222,1</w:t>
            </w:r>
          </w:p>
        </w:tc>
        <w:tc>
          <w:tcPr>
            <w:tcW w:w="569" w:type="pct"/>
            <w:shd w:val="clear" w:color="auto" w:fill="auto"/>
            <w:noWrap/>
            <w:vAlign w:val="center"/>
            <w:hideMark/>
          </w:tcPr>
          <w:p w14:paraId="63AC6B48"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207,9</w:t>
            </w:r>
          </w:p>
        </w:tc>
        <w:tc>
          <w:tcPr>
            <w:tcW w:w="327" w:type="pct"/>
            <w:shd w:val="clear" w:color="auto" w:fill="auto"/>
            <w:noWrap/>
            <w:vAlign w:val="center"/>
            <w:hideMark/>
          </w:tcPr>
          <w:p w14:paraId="689C8A30"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12,6</w:t>
            </w:r>
          </w:p>
        </w:tc>
        <w:tc>
          <w:tcPr>
            <w:tcW w:w="363" w:type="pct"/>
            <w:shd w:val="clear" w:color="auto" w:fill="auto"/>
            <w:noWrap/>
            <w:vAlign w:val="center"/>
            <w:hideMark/>
          </w:tcPr>
          <w:p w14:paraId="586E35E4"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6%</w:t>
            </w:r>
          </w:p>
        </w:tc>
        <w:tc>
          <w:tcPr>
            <w:tcW w:w="657" w:type="pct"/>
            <w:shd w:val="clear" w:color="auto" w:fill="auto"/>
            <w:vAlign w:val="center"/>
            <w:hideMark/>
          </w:tcPr>
          <w:p w14:paraId="17165F98" w14:textId="60EF1AA4" w:rsidR="0065708A" w:rsidRPr="00513F1D" w:rsidRDefault="0065708A" w:rsidP="00F94FED">
            <w:pPr>
              <w:spacing w:after="0" w:line="240" w:lineRule="auto"/>
              <w:jc w:val="center"/>
              <w:rPr>
                <w:rFonts w:eastAsia="Times New Roman"/>
                <w:sz w:val="16"/>
                <w:szCs w:val="16"/>
                <w:lang w:eastAsia="ru-RU"/>
              </w:rPr>
            </w:pPr>
          </w:p>
        </w:tc>
      </w:tr>
      <w:tr w:rsidR="0065708A" w:rsidRPr="00513F1D" w14:paraId="6E19F00F" w14:textId="77777777" w:rsidTr="00CB5AA8">
        <w:trPr>
          <w:trHeight w:val="20"/>
        </w:trPr>
        <w:tc>
          <w:tcPr>
            <w:tcW w:w="1257" w:type="pct"/>
            <w:shd w:val="clear" w:color="auto" w:fill="auto"/>
            <w:vAlign w:val="bottom"/>
            <w:hideMark/>
          </w:tcPr>
          <w:p w14:paraId="151F961A" w14:textId="77777777" w:rsidR="0065708A" w:rsidRPr="00513F1D" w:rsidRDefault="0065708A" w:rsidP="009A4C46">
            <w:pPr>
              <w:spacing w:after="0" w:line="240" w:lineRule="auto"/>
              <w:rPr>
                <w:rFonts w:eastAsia="Times New Roman"/>
                <w:sz w:val="16"/>
                <w:szCs w:val="16"/>
                <w:lang w:eastAsia="ru-RU"/>
              </w:rPr>
            </w:pPr>
            <w:r w:rsidRPr="00513F1D">
              <w:rPr>
                <w:rFonts w:eastAsia="Times New Roman"/>
                <w:sz w:val="16"/>
                <w:szCs w:val="16"/>
                <w:lang w:eastAsia="ru-RU"/>
              </w:rPr>
              <w:t>Реконструкция, модернизация, техническое перевооружение, всего</w:t>
            </w:r>
          </w:p>
        </w:tc>
        <w:tc>
          <w:tcPr>
            <w:tcW w:w="556" w:type="pct"/>
            <w:shd w:val="clear" w:color="auto" w:fill="auto"/>
            <w:noWrap/>
            <w:vAlign w:val="center"/>
            <w:hideMark/>
          </w:tcPr>
          <w:p w14:paraId="77CE11F9" w14:textId="77777777" w:rsidR="0065708A" w:rsidRPr="00513F1D" w:rsidRDefault="0065708A" w:rsidP="003E2802">
            <w:pPr>
              <w:spacing w:after="0" w:line="240" w:lineRule="auto"/>
              <w:jc w:val="center"/>
              <w:rPr>
                <w:rFonts w:eastAsia="Times New Roman"/>
                <w:sz w:val="16"/>
                <w:szCs w:val="16"/>
                <w:lang w:eastAsia="ru-RU"/>
              </w:rPr>
            </w:pPr>
            <w:r w:rsidRPr="00513F1D">
              <w:rPr>
                <w:rFonts w:eastAsia="Times New Roman"/>
                <w:sz w:val="16"/>
                <w:szCs w:val="16"/>
                <w:lang w:eastAsia="ru-RU"/>
              </w:rPr>
              <w:t>10,3</w:t>
            </w:r>
          </w:p>
        </w:tc>
        <w:tc>
          <w:tcPr>
            <w:tcW w:w="477" w:type="pct"/>
            <w:shd w:val="clear" w:color="auto" w:fill="auto"/>
            <w:noWrap/>
            <w:vAlign w:val="center"/>
            <w:hideMark/>
          </w:tcPr>
          <w:p w14:paraId="379475F1"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259,0</w:t>
            </w:r>
          </w:p>
        </w:tc>
        <w:tc>
          <w:tcPr>
            <w:tcW w:w="422" w:type="pct"/>
            <w:shd w:val="clear" w:color="auto" w:fill="auto"/>
            <w:noWrap/>
            <w:vAlign w:val="center"/>
            <w:hideMark/>
          </w:tcPr>
          <w:p w14:paraId="557D7B63"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37,1</w:t>
            </w:r>
          </w:p>
        </w:tc>
        <w:tc>
          <w:tcPr>
            <w:tcW w:w="371" w:type="pct"/>
            <w:shd w:val="clear" w:color="auto" w:fill="auto"/>
            <w:noWrap/>
            <w:vAlign w:val="center"/>
            <w:hideMark/>
          </w:tcPr>
          <w:p w14:paraId="49F360D4"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32,3</w:t>
            </w:r>
          </w:p>
        </w:tc>
        <w:tc>
          <w:tcPr>
            <w:tcW w:w="569" w:type="pct"/>
            <w:shd w:val="clear" w:color="auto" w:fill="auto"/>
            <w:noWrap/>
            <w:vAlign w:val="center"/>
            <w:hideMark/>
          </w:tcPr>
          <w:p w14:paraId="18D67305"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226,7</w:t>
            </w:r>
          </w:p>
        </w:tc>
        <w:tc>
          <w:tcPr>
            <w:tcW w:w="327" w:type="pct"/>
            <w:shd w:val="clear" w:color="auto" w:fill="auto"/>
            <w:noWrap/>
            <w:vAlign w:val="center"/>
            <w:hideMark/>
          </w:tcPr>
          <w:p w14:paraId="76073DA9"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-4,9</w:t>
            </w:r>
          </w:p>
        </w:tc>
        <w:tc>
          <w:tcPr>
            <w:tcW w:w="363" w:type="pct"/>
            <w:shd w:val="clear" w:color="auto" w:fill="auto"/>
            <w:noWrap/>
            <w:vAlign w:val="center"/>
            <w:hideMark/>
          </w:tcPr>
          <w:p w14:paraId="0ED57B1A"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-13%</w:t>
            </w:r>
          </w:p>
        </w:tc>
        <w:tc>
          <w:tcPr>
            <w:tcW w:w="657" w:type="pct"/>
            <w:shd w:val="clear" w:color="auto" w:fill="auto"/>
            <w:vAlign w:val="center"/>
            <w:hideMark/>
          </w:tcPr>
          <w:p w14:paraId="2EE04DEB" w14:textId="4FDDF333" w:rsidR="0065708A" w:rsidRPr="00513F1D" w:rsidRDefault="0065708A" w:rsidP="00F94FED">
            <w:pPr>
              <w:spacing w:after="0" w:line="240" w:lineRule="auto"/>
              <w:jc w:val="center"/>
              <w:rPr>
                <w:rFonts w:eastAsia="Times New Roman"/>
                <w:sz w:val="16"/>
                <w:szCs w:val="16"/>
                <w:lang w:eastAsia="ru-RU"/>
              </w:rPr>
            </w:pPr>
          </w:p>
        </w:tc>
      </w:tr>
      <w:tr w:rsidR="0065708A" w:rsidRPr="00513F1D" w14:paraId="771285B3" w14:textId="77777777" w:rsidTr="00CB5AA8">
        <w:trPr>
          <w:trHeight w:val="20"/>
        </w:trPr>
        <w:tc>
          <w:tcPr>
            <w:tcW w:w="1257" w:type="pct"/>
            <w:shd w:val="clear" w:color="auto" w:fill="auto"/>
            <w:vAlign w:val="bottom"/>
            <w:hideMark/>
          </w:tcPr>
          <w:p w14:paraId="581C1381" w14:textId="77777777" w:rsidR="0065708A" w:rsidRPr="00513F1D" w:rsidRDefault="0065708A" w:rsidP="009A4C46">
            <w:pPr>
              <w:spacing w:after="0" w:line="240" w:lineRule="auto"/>
              <w:rPr>
                <w:rFonts w:eastAsia="Times New Roman"/>
                <w:sz w:val="16"/>
                <w:szCs w:val="16"/>
                <w:lang w:eastAsia="ru-RU"/>
              </w:rPr>
            </w:pPr>
            <w:r w:rsidRPr="00513F1D">
              <w:rPr>
                <w:rFonts w:eastAsia="Times New Roman"/>
                <w:sz w:val="16"/>
                <w:szCs w:val="16"/>
                <w:lang w:eastAsia="ru-RU"/>
              </w:rPr>
              <w:t xml:space="preserve">Инвестиционные проекты, реализация которых </w:t>
            </w:r>
            <w:r w:rsidRPr="00513F1D">
              <w:rPr>
                <w:rFonts w:eastAsia="Times New Roman"/>
                <w:sz w:val="16"/>
                <w:szCs w:val="16"/>
                <w:lang w:eastAsia="ru-RU"/>
              </w:rPr>
              <w:lastRenderedPageBreak/>
              <w:t>обуславливается схемами и программами перспективного развития электроэнергетики, всего</w:t>
            </w:r>
          </w:p>
        </w:tc>
        <w:tc>
          <w:tcPr>
            <w:tcW w:w="556" w:type="pct"/>
            <w:shd w:val="clear" w:color="auto" w:fill="auto"/>
            <w:noWrap/>
            <w:vAlign w:val="center"/>
          </w:tcPr>
          <w:p w14:paraId="482527D6" w14:textId="77777777" w:rsidR="0065708A" w:rsidRPr="00513F1D" w:rsidRDefault="0065708A" w:rsidP="003E2802">
            <w:pPr>
              <w:spacing w:after="0" w:line="240" w:lineRule="auto"/>
              <w:jc w:val="center"/>
              <w:rPr>
                <w:rFonts w:eastAsia="Times New Roman"/>
                <w:sz w:val="16"/>
                <w:szCs w:val="16"/>
                <w:lang w:eastAsia="ru-RU"/>
              </w:rPr>
            </w:pPr>
          </w:p>
        </w:tc>
        <w:tc>
          <w:tcPr>
            <w:tcW w:w="477" w:type="pct"/>
            <w:shd w:val="clear" w:color="auto" w:fill="auto"/>
            <w:noWrap/>
            <w:vAlign w:val="center"/>
          </w:tcPr>
          <w:p w14:paraId="54760CC4" w14:textId="77777777" w:rsidR="0065708A" w:rsidRPr="00513F1D" w:rsidRDefault="0065708A">
            <w:pPr>
              <w:spacing w:after="0" w:line="240" w:lineRule="auto"/>
              <w:jc w:val="center"/>
              <w:rPr>
                <w:rFonts w:eastAsia="Times New Roman"/>
                <w:sz w:val="16"/>
                <w:szCs w:val="16"/>
                <w:lang w:eastAsia="ru-RU"/>
              </w:rPr>
            </w:pPr>
          </w:p>
        </w:tc>
        <w:tc>
          <w:tcPr>
            <w:tcW w:w="422" w:type="pct"/>
            <w:shd w:val="clear" w:color="auto" w:fill="auto"/>
            <w:noWrap/>
            <w:vAlign w:val="center"/>
          </w:tcPr>
          <w:p w14:paraId="4FD494BE" w14:textId="77777777" w:rsidR="0065708A" w:rsidRPr="00513F1D" w:rsidRDefault="0065708A">
            <w:pPr>
              <w:spacing w:after="0" w:line="240" w:lineRule="auto"/>
              <w:jc w:val="center"/>
              <w:rPr>
                <w:rFonts w:eastAsia="Times New Roman"/>
                <w:sz w:val="16"/>
                <w:szCs w:val="16"/>
                <w:lang w:eastAsia="ru-RU"/>
              </w:rPr>
            </w:pPr>
          </w:p>
        </w:tc>
        <w:tc>
          <w:tcPr>
            <w:tcW w:w="371" w:type="pct"/>
            <w:shd w:val="clear" w:color="auto" w:fill="auto"/>
            <w:noWrap/>
            <w:vAlign w:val="center"/>
          </w:tcPr>
          <w:p w14:paraId="295B1930" w14:textId="77777777" w:rsidR="0065708A" w:rsidRPr="00513F1D" w:rsidRDefault="0065708A">
            <w:pPr>
              <w:spacing w:after="0" w:line="240" w:lineRule="auto"/>
              <w:jc w:val="center"/>
              <w:rPr>
                <w:rFonts w:eastAsia="Times New Roman"/>
                <w:sz w:val="16"/>
                <w:szCs w:val="16"/>
                <w:lang w:eastAsia="ru-RU"/>
              </w:rPr>
            </w:pPr>
          </w:p>
        </w:tc>
        <w:tc>
          <w:tcPr>
            <w:tcW w:w="569" w:type="pct"/>
            <w:shd w:val="clear" w:color="auto" w:fill="auto"/>
            <w:noWrap/>
            <w:vAlign w:val="center"/>
          </w:tcPr>
          <w:p w14:paraId="26E209F3" w14:textId="77777777" w:rsidR="0065708A" w:rsidRPr="00513F1D" w:rsidRDefault="0065708A">
            <w:pPr>
              <w:spacing w:after="0" w:line="240" w:lineRule="auto"/>
              <w:jc w:val="center"/>
              <w:rPr>
                <w:rFonts w:eastAsia="Times New Roman"/>
                <w:sz w:val="16"/>
                <w:szCs w:val="16"/>
                <w:lang w:eastAsia="ru-RU"/>
              </w:rPr>
            </w:pPr>
          </w:p>
        </w:tc>
        <w:tc>
          <w:tcPr>
            <w:tcW w:w="327" w:type="pct"/>
            <w:shd w:val="clear" w:color="auto" w:fill="auto"/>
            <w:noWrap/>
            <w:vAlign w:val="center"/>
          </w:tcPr>
          <w:p w14:paraId="48A47C01" w14:textId="77777777" w:rsidR="0065708A" w:rsidRPr="00513F1D" w:rsidRDefault="0065708A">
            <w:pPr>
              <w:spacing w:after="0" w:line="240" w:lineRule="auto"/>
              <w:jc w:val="center"/>
              <w:rPr>
                <w:rFonts w:eastAsia="Times New Roman"/>
                <w:sz w:val="16"/>
                <w:szCs w:val="16"/>
                <w:lang w:eastAsia="ru-RU"/>
              </w:rPr>
            </w:pPr>
          </w:p>
        </w:tc>
        <w:tc>
          <w:tcPr>
            <w:tcW w:w="363" w:type="pct"/>
            <w:shd w:val="clear" w:color="auto" w:fill="auto"/>
            <w:noWrap/>
            <w:vAlign w:val="center"/>
            <w:hideMark/>
          </w:tcPr>
          <w:p w14:paraId="69360C33" w14:textId="77777777" w:rsidR="0065708A" w:rsidRPr="00513F1D" w:rsidRDefault="0065708A">
            <w:pPr>
              <w:spacing w:after="0" w:line="240" w:lineRule="auto"/>
              <w:jc w:val="center"/>
              <w:rPr>
                <w:rFonts w:eastAsia="Times New Roman"/>
                <w:sz w:val="16"/>
                <w:szCs w:val="16"/>
                <w:lang w:eastAsia="ru-RU"/>
              </w:rPr>
            </w:pPr>
          </w:p>
        </w:tc>
        <w:tc>
          <w:tcPr>
            <w:tcW w:w="657" w:type="pct"/>
            <w:shd w:val="clear" w:color="auto" w:fill="auto"/>
            <w:vAlign w:val="center"/>
            <w:hideMark/>
          </w:tcPr>
          <w:p w14:paraId="597EF890" w14:textId="10C7BB67" w:rsidR="0065708A" w:rsidRPr="00513F1D" w:rsidRDefault="0065708A" w:rsidP="00F94FED">
            <w:pPr>
              <w:spacing w:after="0" w:line="240" w:lineRule="auto"/>
              <w:jc w:val="center"/>
              <w:rPr>
                <w:rFonts w:eastAsia="Times New Roman"/>
                <w:sz w:val="16"/>
                <w:szCs w:val="16"/>
                <w:lang w:eastAsia="ru-RU"/>
              </w:rPr>
            </w:pPr>
          </w:p>
        </w:tc>
      </w:tr>
      <w:tr w:rsidR="0065708A" w:rsidRPr="00513F1D" w14:paraId="0BBC043E" w14:textId="77777777" w:rsidTr="00CB5AA8">
        <w:trPr>
          <w:trHeight w:val="20"/>
        </w:trPr>
        <w:tc>
          <w:tcPr>
            <w:tcW w:w="1257" w:type="pct"/>
            <w:shd w:val="clear" w:color="auto" w:fill="auto"/>
            <w:vAlign w:val="bottom"/>
            <w:hideMark/>
          </w:tcPr>
          <w:p w14:paraId="44DD3127" w14:textId="77777777" w:rsidR="0065708A" w:rsidRPr="00513F1D" w:rsidRDefault="0065708A" w:rsidP="009A4C46">
            <w:pPr>
              <w:spacing w:after="0" w:line="240" w:lineRule="auto"/>
              <w:rPr>
                <w:rFonts w:eastAsia="Times New Roman"/>
                <w:sz w:val="16"/>
                <w:szCs w:val="16"/>
                <w:lang w:eastAsia="ru-RU"/>
              </w:rPr>
            </w:pPr>
            <w:r w:rsidRPr="00513F1D">
              <w:rPr>
                <w:rFonts w:eastAsia="Times New Roman"/>
                <w:sz w:val="16"/>
                <w:szCs w:val="16"/>
                <w:lang w:eastAsia="ru-RU"/>
              </w:rPr>
              <w:t>Прочее новое строительство объектов электросетевого хозяйства, всего</w:t>
            </w:r>
          </w:p>
        </w:tc>
        <w:tc>
          <w:tcPr>
            <w:tcW w:w="556" w:type="pct"/>
            <w:shd w:val="clear" w:color="auto" w:fill="auto"/>
            <w:noWrap/>
            <w:vAlign w:val="center"/>
          </w:tcPr>
          <w:p w14:paraId="74B37124" w14:textId="77777777" w:rsidR="0065708A" w:rsidRPr="00513F1D" w:rsidRDefault="0065708A" w:rsidP="003E2802">
            <w:pPr>
              <w:spacing w:after="0" w:line="240" w:lineRule="auto"/>
              <w:jc w:val="center"/>
              <w:rPr>
                <w:rFonts w:eastAsia="Times New Roman"/>
                <w:sz w:val="16"/>
                <w:szCs w:val="16"/>
                <w:lang w:eastAsia="ru-RU"/>
              </w:rPr>
            </w:pPr>
          </w:p>
        </w:tc>
        <w:tc>
          <w:tcPr>
            <w:tcW w:w="477" w:type="pct"/>
            <w:shd w:val="clear" w:color="auto" w:fill="auto"/>
            <w:noWrap/>
            <w:vAlign w:val="center"/>
          </w:tcPr>
          <w:p w14:paraId="23087953" w14:textId="77777777" w:rsidR="0065708A" w:rsidRPr="00513F1D" w:rsidRDefault="0065708A">
            <w:pPr>
              <w:spacing w:after="0" w:line="240" w:lineRule="auto"/>
              <w:jc w:val="center"/>
              <w:rPr>
                <w:rFonts w:eastAsia="Times New Roman"/>
                <w:sz w:val="16"/>
                <w:szCs w:val="16"/>
                <w:lang w:eastAsia="ru-RU"/>
              </w:rPr>
            </w:pPr>
          </w:p>
        </w:tc>
        <w:tc>
          <w:tcPr>
            <w:tcW w:w="422" w:type="pct"/>
            <w:shd w:val="clear" w:color="auto" w:fill="auto"/>
            <w:noWrap/>
            <w:vAlign w:val="center"/>
          </w:tcPr>
          <w:p w14:paraId="172339C0" w14:textId="77777777" w:rsidR="0065708A" w:rsidRPr="00513F1D" w:rsidRDefault="0065708A">
            <w:pPr>
              <w:spacing w:after="0" w:line="240" w:lineRule="auto"/>
              <w:jc w:val="center"/>
              <w:rPr>
                <w:rFonts w:eastAsia="Times New Roman"/>
                <w:sz w:val="16"/>
                <w:szCs w:val="16"/>
                <w:lang w:eastAsia="ru-RU"/>
              </w:rPr>
            </w:pPr>
          </w:p>
        </w:tc>
        <w:tc>
          <w:tcPr>
            <w:tcW w:w="371" w:type="pct"/>
            <w:shd w:val="clear" w:color="auto" w:fill="auto"/>
            <w:noWrap/>
            <w:vAlign w:val="center"/>
          </w:tcPr>
          <w:p w14:paraId="3D6B3100" w14:textId="77777777" w:rsidR="0065708A" w:rsidRPr="00513F1D" w:rsidRDefault="0065708A">
            <w:pPr>
              <w:spacing w:after="0" w:line="240" w:lineRule="auto"/>
              <w:jc w:val="center"/>
              <w:rPr>
                <w:rFonts w:eastAsia="Times New Roman"/>
                <w:sz w:val="16"/>
                <w:szCs w:val="16"/>
                <w:lang w:eastAsia="ru-RU"/>
              </w:rPr>
            </w:pPr>
          </w:p>
        </w:tc>
        <w:tc>
          <w:tcPr>
            <w:tcW w:w="569" w:type="pct"/>
            <w:shd w:val="clear" w:color="auto" w:fill="auto"/>
            <w:noWrap/>
            <w:vAlign w:val="center"/>
          </w:tcPr>
          <w:p w14:paraId="544393F5" w14:textId="77777777" w:rsidR="0065708A" w:rsidRPr="00513F1D" w:rsidRDefault="0065708A">
            <w:pPr>
              <w:spacing w:after="0" w:line="240" w:lineRule="auto"/>
              <w:jc w:val="center"/>
              <w:rPr>
                <w:rFonts w:eastAsia="Times New Roman"/>
                <w:sz w:val="16"/>
                <w:szCs w:val="16"/>
                <w:lang w:eastAsia="ru-RU"/>
              </w:rPr>
            </w:pPr>
          </w:p>
        </w:tc>
        <w:tc>
          <w:tcPr>
            <w:tcW w:w="327" w:type="pct"/>
            <w:shd w:val="clear" w:color="auto" w:fill="auto"/>
            <w:noWrap/>
            <w:vAlign w:val="center"/>
          </w:tcPr>
          <w:p w14:paraId="3F8FF85E" w14:textId="77777777" w:rsidR="0065708A" w:rsidRPr="00513F1D" w:rsidRDefault="0065708A">
            <w:pPr>
              <w:spacing w:after="0" w:line="240" w:lineRule="auto"/>
              <w:jc w:val="center"/>
              <w:rPr>
                <w:rFonts w:eastAsia="Times New Roman"/>
                <w:sz w:val="16"/>
                <w:szCs w:val="16"/>
                <w:lang w:eastAsia="ru-RU"/>
              </w:rPr>
            </w:pPr>
          </w:p>
        </w:tc>
        <w:tc>
          <w:tcPr>
            <w:tcW w:w="363" w:type="pct"/>
            <w:shd w:val="clear" w:color="auto" w:fill="auto"/>
            <w:noWrap/>
            <w:vAlign w:val="center"/>
            <w:hideMark/>
          </w:tcPr>
          <w:p w14:paraId="11380A3D" w14:textId="77777777" w:rsidR="0065708A" w:rsidRPr="00513F1D" w:rsidRDefault="0065708A">
            <w:pPr>
              <w:spacing w:after="0" w:line="240" w:lineRule="auto"/>
              <w:jc w:val="center"/>
              <w:rPr>
                <w:rFonts w:eastAsia="Times New Roman"/>
                <w:sz w:val="16"/>
                <w:szCs w:val="16"/>
                <w:lang w:eastAsia="ru-RU"/>
              </w:rPr>
            </w:pPr>
          </w:p>
        </w:tc>
        <w:tc>
          <w:tcPr>
            <w:tcW w:w="657" w:type="pct"/>
            <w:shd w:val="clear" w:color="auto" w:fill="auto"/>
            <w:vAlign w:val="center"/>
            <w:hideMark/>
          </w:tcPr>
          <w:p w14:paraId="2DED82B4" w14:textId="596D2A05" w:rsidR="0065708A" w:rsidRPr="00513F1D" w:rsidRDefault="0065708A" w:rsidP="00F94FED">
            <w:pPr>
              <w:spacing w:after="0" w:line="240" w:lineRule="auto"/>
              <w:jc w:val="center"/>
              <w:rPr>
                <w:rFonts w:eastAsia="Times New Roman"/>
                <w:sz w:val="16"/>
                <w:szCs w:val="16"/>
                <w:lang w:eastAsia="ru-RU"/>
              </w:rPr>
            </w:pPr>
          </w:p>
        </w:tc>
      </w:tr>
      <w:tr w:rsidR="0065708A" w:rsidRPr="00513F1D" w14:paraId="12FA4FCF" w14:textId="77777777" w:rsidTr="00CB5AA8">
        <w:trPr>
          <w:trHeight w:val="20"/>
        </w:trPr>
        <w:tc>
          <w:tcPr>
            <w:tcW w:w="1257" w:type="pct"/>
            <w:shd w:val="clear" w:color="auto" w:fill="auto"/>
            <w:vAlign w:val="bottom"/>
            <w:hideMark/>
          </w:tcPr>
          <w:p w14:paraId="3742DC52" w14:textId="77777777" w:rsidR="0065708A" w:rsidRPr="00513F1D" w:rsidRDefault="0065708A" w:rsidP="009A4C46">
            <w:pPr>
              <w:spacing w:after="0" w:line="240" w:lineRule="auto"/>
              <w:rPr>
                <w:rFonts w:eastAsia="Times New Roman"/>
                <w:sz w:val="16"/>
                <w:szCs w:val="16"/>
                <w:lang w:eastAsia="ru-RU"/>
              </w:rPr>
            </w:pPr>
            <w:r w:rsidRPr="00513F1D">
              <w:rPr>
                <w:rFonts w:eastAsia="Times New Roman"/>
                <w:sz w:val="16"/>
                <w:szCs w:val="16"/>
                <w:lang w:eastAsia="ru-RU"/>
              </w:rPr>
              <w:t>Покупка земельных участков для целей реализации инвестиционных проектов, всего</w:t>
            </w:r>
          </w:p>
        </w:tc>
        <w:tc>
          <w:tcPr>
            <w:tcW w:w="556" w:type="pct"/>
            <w:shd w:val="clear" w:color="auto" w:fill="auto"/>
            <w:noWrap/>
            <w:vAlign w:val="center"/>
          </w:tcPr>
          <w:p w14:paraId="1B0AFD6C" w14:textId="77777777" w:rsidR="0065708A" w:rsidRPr="00513F1D" w:rsidRDefault="0065708A" w:rsidP="003E2802">
            <w:pPr>
              <w:spacing w:after="0" w:line="240" w:lineRule="auto"/>
              <w:jc w:val="center"/>
              <w:rPr>
                <w:rFonts w:eastAsia="Times New Roman"/>
                <w:sz w:val="16"/>
                <w:szCs w:val="16"/>
                <w:lang w:eastAsia="ru-RU"/>
              </w:rPr>
            </w:pPr>
          </w:p>
        </w:tc>
        <w:tc>
          <w:tcPr>
            <w:tcW w:w="477" w:type="pct"/>
            <w:shd w:val="clear" w:color="auto" w:fill="auto"/>
            <w:noWrap/>
            <w:vAlign w:val="center"/>
          </w:tcPr>
          <w:p w14:paraId="0FA8E497" w14:textId="77777777" w:rsidR="0065708A" w:rsidRPr="00513F1D" w:rsidRDefault="0065708A">
            <w:pPr>
              <w:spacing w:after="0" w:line="240" w:lineRule="auto"/>
              <w:jc w:val="center"/>
              <w:rPr>
                <w:rFonts w:eastAsia="Times New Roman"/>
                <w:sz w:val="16"/>
                <w:szCs w:val="16"/>
                <w:lang w:eastAsia="ru-RU"/>
              </w:rPr>
            </w:pPr>
          </w:p>
        </w:tc>
        <w:tc>
          <w:tcPr>
            <w:tcW w:w="422" w:type="pct"/>
            <w:shd w:val="clear" w:color="auto" w:fill="auto"/>
            <w:noWrap/>
            <w:vAlign w:val="center"/>
          </w:tcPr>
          <w:p w14:paraId="5D562BDA" w14:textId="77777777" w:rsidR="0065708A" w:rsidRPr="00513F1D" w:rsidRDefault="0065708A">
            <w:pPr>
              <w:spacing w:after="0" w:line="240" w:lineRule="auto"/>
              <w:jc w:val="center"/>
              <w:rPr>
                <w:rFonts w:eastAsia="Times New Roman"/>
                <w:sz w:val="16"/>
                <w:szCs w:val="16"/>
                <w:lang w:eastAsia="ru-RU"/>
              </w:rPr>
            </w:pPr>
          </w:p>
        </w:tc>
        <w:tc>
          <w:tcPr>
            <w:tcW w:w="371" w:type="pct"/>
            <w:shd w:val="clear" w:color="auto" w:fill="auto"/>
            <w:noWrap/>
            <w:vAlign w:val="center"/>
          </w:tcPr>
          <w:p w14:paraId="4DDD3079" w14:textId="77777777" w:rsidR="0065708A" w:rsidRPr="00513F1D" w:rsidRDefault="0065708A">
            <w:pPr>
              <w:spacing w:after="0" w:line="240" w:lineRule="auto"/>
              <w:jc w:val="center"/>
              <w:rPr>
                <w:rFonts w:eastAsia="Times New Roman"/>
                <w:sz w:val="16"/>
                <w:szCs w:val="16"/>
                <w:lang w:eastAsia="ru-RU"/>
              </w:rPr>
            </w:pPr>
          </w:p>
        </w:tc>
        <w:tc>
          <w:tcPr>
            <w:tcW w:w="569" w:type="pct"/>
            <w:shd w:val="clear" w:color="auto" w:fill="auto"/>
            <w:noWrap/>
            <w:vAlign w:val="center"/>
          </w:tcPr>
          <w:p w14:paraId="39996979" w14:textId="77777777" w:rsidR="0065708A" w:rsidRPr="00513F1D" w:rsidRDefault="0065708A">
            <w:pPr>
              <w:spacing w:after="0" w:line="240" w:lineRule="auto"/>
              <w:jc w:val="center"/>
              <w:rPr>
                <w:rFonts w:eastAsia="Times New Roman"/>
                <w:sz w:val="16"/>
                <w:szCs w:val="16"/>
                <w:lang w:eastAsia="ru-RU"/>
              </w:rPr>
            </w:pPr>
          </w:p>
        </w:tc>
        <w:tc>
          <w:tcPr>
            <w:tcW w:w="327" w:type="pct"/>
            <w:shd w:val="clear" w:color="auto" w:fill="auto"/>
            <w:noWrap/>
            <w:vAlign w:val="center"/>
          </w:tcPr>
          <w:p w14:paraId="4D7026CA" w14:textId="77777777" w:rsidR="0065708A" w:rsidRPr="00513F1D" w:rsidRDefault="0065708A">
            <w:pPr>
              <w:spacing w:after="0" w:line="240" w:lineRule="auto"/>
              <w:jc w:val="center"/>
              <w:rPr>
                <w:rFonts w:eastAsia="Times New Roman"/>
                <w:sz w:val="16"/>
                <w:szCs w:val="16"/>
                <w:lang w:eastAsia="ru-RU"/>
              </w:rPr>
            </w:pPr>
          </w:p>
        </w:tc>
        <w:tc>
          <w:tcPr>
            <w:tcW w:w="363" w:type="pct"/>
            <w:shd w:val="clear" w:color="auto" w:fill="auto"/>
            <w:noWrap/>
            <w:vAlign w:val="center"/>
            <w:hideMark/>
          </w:tcPr>
          <w:p w14:paraId="628CF96F" w14:textId="77777777" w:rsidR="0065708A" w:rsidRPr="00513F1D" w:rsidRDefault="0065708A">
            <w:pPr>
              <w:spacing w:after="0" w:line="240" w:lineRule="auto"/>
              <w:jc w:val="center"/>
              <w:rPr>
                <w:rFonts w:eastAsia="Times New Roman"/>
                <w:sz w:val="16"/>
                <w:szCs w:val="16"/>
                <w:lang w:eastAsia="ru-RU"/>
              </w:rPr>
            </w:pPr>
          </w:p>
        </w:tc>
        <w:tc>
          <w:tcPr>
            <w:tcW w:w="657" w:type="pct"/>
            <w:shd w:val="clear" w:color="auto" w:fill="auto"/>
            <w:vAlign w:val="center"/>
            <w:hideMark/>
          </w:tcPr>
          <w:p w14:paraId="554A004C" w14:textId="4BF1E638" w:rsidR="0065708A" w:rsidRPr="00513F1D" w:rsidRDefault="0065708A" w:rsidP="00F94FED">
            <w:pPr>
              <w:spacing w:after="0" w:line="240" w:lineRule="auto"/>
              <w:jc w:val="center"/>
              <w:rPr>
                <w:rFonts w:eastAsia="Times New Roman"/>
                <w:sz w:val="16"/>
                <w:szCs w:val="16"/>
                <w:lang w:eastAsia="ru-RU"/>
              </w:rPr>
            </w:pPr>
          </w:p>
        </w:tc>
      </w:tr>
      <w:tr w:rsidR="0065708A" w:rsidRPr="00513F1D" w14:paraId="25A1CF71" w14:textId="77777777" w:rsidTr="00CB5AA8">
        <w:trPr>
          <w:trHeight w:val="20"/>
        </w:trPr>
        <w:tc>
          <w:tcPr>
            <w:tcW w:w="1257" w:type="pct"/>
            <w:shd w:val="clear" w:color="auto" w:fill="auto"/>
            <w:vAlign w:val="bottom"/>
            <w:hideMark/>
          </w:tcPr>
          <w:p w14:paraId="1CDD0A62" w14:textId="77777777" w:rsidR="0065708A" w:rsidRPr="00513F1D" w:rsidRDefault="0065708A" w:rsidP="009A4C46">
            <w:pPr>
              <w:spacing w:after="0" w:line="240" w:lineRule="auto"/>
              <w:rPr>
                <w:rFonts w:eastAsia="Times New Roman"/>
                <w:sz w:val="16"/>
                <w:szCs w:val="16"/>
                <w:lang w:eastAsia="ru-RU"/>
              </w:rPr>
            </w:pPr>
            <w:r w:rsidRPr="00513F1D">
              <w:rPr>
                <w:rFonts w:eastAsia="Times New Roman"/>
                <w:sz w:val="16"/>
                <w:szCs w:val="16"/>
                <w:lang w:eastAsia="ru-RU"/>
              </w:rPr>
              <w:t>Прочие инвестиционные проекты, всего</w:t>
            </w:r>
          </w:p>
        </w:tc>
        <w:tc>
          <w:tcPr>
            <w:tcW w:w="556" w:type="pct"/>
            <w:shd w:val="clear" w:color="auto" w:fill="auto"/>
            <w:noWrap/>
            <w:vAlign w:val="center"/>
            <w:hideMark/>
          </w:tcPr>
          <w:p w14:paraId="66E40886" w14:textId="77777777" w:rsidR="0065708A" w:rsidRPr="00513F1D" w:rsidRDefault="0065708A" w:rsidP="003E2802">
            <w:pPr>
              <w:spacing w:after="0" w:line="240" w:lineRule="auto"/>
              <w:jc w:val="center"/>
              <w:rPr>
                <w:rFonts w:eastAsia="Times New Roman"/>
                <w:sz w:val="16"/>
                <w:szCs w:val="16"/>
                <w:lang w:eastAsia="ru-RU"/>
              </w:rPr>
            </w:pPr>
            <w:r w:rsidRPr="00513F1D">
              <w:rPr>
                <w:rFonts w:eastAsia="Times New Roman"/>
                <w:sz w:val="16"/>
                <w:szCs w:val="16"/>
                <w:lang w:eastAsia="ru-RU"/>
              </w:rPr>
              <w:t>9,0</w:t>
            </w:r>
          </w:p>
        </w:tc>
        <w:tc>
          <w:tcPr>
            <w:tcW w:w="477" w:type="pct"/>
            <w:shd w:val="clear" w:color="auto" w:fill="auto"/>
            <w:noWrap/>
            <w:vAlign w:val="center"/>
            <w:hideMark/>
          </w:tcPr>
          <w:p w14:paraId="5527DBFD"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103,2</w:t>
            </w:r>
          </w:p>
        </w:tc>
        <w:tc>
          <w:tcPr>
            <w:tcW w:w="422" w:type="pct"/>
            <w:shd w:val="clear" w:color="auto" w:fill="auto"/>
            <w:noWrap/>
            <w:vAlign w:val="center"/>
            <w:hideMark/>
          </w:tcPr>
          <w:p w14:paraId="752F548B"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10,9</w:t>
            </w:r>
          </w:p>
        </w:tc>
        <w:tc>
          <w:tcPr>
            <w:tcW w:w="371" w:type="pct"/>
            <w:shd w:val="clear" w:color="auto" w:fill="auto"/>
            <w:noWrap/>
            <w:vAlign w:val="center"/>
            <w:hideMark/>
          </w:tcPr>
          <w:p w14:paraId="33CB5E52"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8,7</w:t>
            </w:r>
          </w:p>
        </w:tc>
        <w:tc>
          <w:tcPr>
            <w:tcW w:w="569" w:type="pct"/>
            <w:shd w:val="clear" w:color="auto" w:fill="auto"/>
            <w:noWrap/>
            <w:vAlign w:val="center"/>
            <w:hideMark/>
          </w:tcPr>
          <w:p w14:paraId="1BEE3327"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94,5</w:t>
            </w:r>
          </w:p>
        </w:tc>
        <w:tc>
          <w:tcPr>
            <w:tcW w:w="327" w:type="pct"/>
            <w:shd w:val="clear" w:color="auto" w:fill="auto"/>
            <w:noWrap/>
            <w:vAlign w:val="center"/>
            <w:hideMark/>
          </w:tcPr>
          <w:p w14:paraId="1C2D1DF6"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-2,2</w:t>
            </w:r>
          </w:p>
        </w:tc>
        <w:tc>
          <w:tcPr>
            <w:tcW w:w="363" w:type="pct"/>
            <w:shd w:val="clear" w:color="auto" w:fill="auto"/>
            <w:noWrap/>
            <w:vAlign w:val="center"/>
            <w:hideMark/>
          </w:tcPr>
          <w:p w14:paraId="09E32217"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-20%</w:t>
            </w:r>
          </w:p>
        </w:tc>
        <w:tc>
          <w:tcPr>
            <w:tcW w:w="657" w:type="pct"/>
            <w:shd w:val="clear" w:color="auto" w:fill="auto"/>
            <w:vAlign w:val="center"/>
            <w:hideMark/>
          </w:tcPr>
          <w:p w14:paraId="699F76EA" w14:textId="1A19DB79" w:rsidR="0065708A" w:rsidRPr="00513F1D" w:rsidRDefault="0065708A" w:rsidP="00F94FED">
            <w:pPr>
              <w:spacing w:after="0" w:line="240" w:lineRule="auto"/>
              <w:jc w:val="center"/>
              <w:rPr>
                <w:rFonts w:eastAsia="Times New Roman"/>
                <w:sz w:val="16"/>
                <w:szCs w:val="16"/>
                <w:lang w:eastAsia="ru-RU"/>
              </w:rPr>
            </w:pPr>
          </w:p>
        </w:tc>
      </w:tr>
      <w:tr w:rsidR="0065708A" w:rsidRPr="00513F1D" w14:paraId="52C787E2" w14:textId="77777777" w:rsidTr="00CB5AA8">
        <w:trPr>
          <w:trHeight w:val="20"/>
        </w:trPr>
        <w:tc>
          <w:tcPr>
            <w:tcW w:w="1257" w:type="pct"/>
            <w:shd w:val="clear" w:color="auto" w:fill="auto"/>
            <w:vAlign w:val="bottom"/>
            <w:hideMark/>
          </w:tcPr>
          <w:p w14:paraId="523EDAA1" w14:textId="77777777" w:rsidR="0065708A" w:rsidRPr="00513F1D" w:rsidRDefault="0065708A" w:rsidP="009A4C46">
            <w:pPr>
              <w:spacing w:after="0" w:line="240" w:lineRule="auto"/>
              <w:rPr>
                <w:rFonts w:eastAsia="Times New Roman"/>
                <w:sz w:val="16"/>
                <w:szCs w:val="16"/>
                <w:lang w:eastAsia="ru-RU"/>
              </w:rPr>
            </w:pPr>
            <w:r w:rsidRPr="00513F1D">
              <w:rPr>
                <w:rFonts w:eastAsia="Times New Roman"/>
                <w:sz w:val="16"/>
                <w:szCs w:val="16"/>
                <w:lang w:eastAsia="ru-RU"/>
              </w:rPr>
              <w:t>Республика Тыва</w:t>
            </w:r>
          </w:p>
        </w:tc>
        <w:tc>
          <w:tcPr>
            <w:tcW w:w="556" w:type="pct"/>
            <w:shd w:val="clear" w:color="auto" w:fill="auto"/>
            <w:noWrap/>
            <w:vAlign w:val="center"/>
            <w:hideMark/>
          </w:tcPr>
          <w:p w14:paraId="505641AE" w14:textId="77777777" w:rsidR="0065708A" w:rsidRPr="00513F1D" w:rsidRDefault="0065708A" w:rsidP="003E2802">
            <w:pPr>
              <w:spacing w:after="0" w:line="240" w:lineRule="auto"/>
              <w:jc w:val="center"/>
              <w:rPr>
                <w:rFonts w:eastAsia="Times New Roman"/>
                <w:sz w:val="16"/>
                <w:szCs w:val="16"/>
                <w:lang w:eastAsia="ru-RU"/>
              </w:rPr>
            </w:pPr>
            <w:r w:rsidRPr="00513F1D">
              <w:rPr>
                <w:rFonts w:eastAsia="Times New Roman"/>
                <w:sz w:val="16"/>
                <w:szCs w:val="16"/>
                <w:lang w:eastAsia="ru-RU"/>
              </w:rPr>
              <w:t>426,1</w:t>
            </w:r>
          </w:p>
        </w:tc>
        <w:tc>
          <w:tcPr>
            <w:tcW w:w="477" w:type="pct"/>
            <w:shd w:val="clear" w:color="auto" w:fill="auto"/>
            <w:noWrap/>
            <w:vAlign w:val="center"/>
            <w:hideMark/>
          </w:tcPr>
          <w:p w14:paraId="18229F55"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792,1</w:t>
            </w:r>
          </w:p>
        </w:tc>
        <w:tc>
          <w:tcPr>
            <w:tcW w:w="422" w:type="pct"/>
            <w:shd w:val="clear" w:color="auto" w:fill="auto"/>
            <w:noWrap/>
            <w:vAlign w:val="center"/>
            <w:hideMark/>
          </w:tcPr>
          <w:p w14:paraId="034741AC"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257,5</w:t>
            </w:r>
          </w:p>
        </w:tc>
        <w:tc>
          <w:tcPr>
            <w:tcW w:w="371" w:type="pct"/>
            <w:shd w:val="clear" w:color="auto" w:fill="auto"/>
            <w:noWrap/>
            <w:vAlign w:val="center"/>
            <w:hideMark/>
          </w:tcPr>
          <w:p w14:paraId="5FAF0307"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263,1</w:t>
            </w:r>
          </w:p>
        </w:tc>
        <w:tc>
          <w:tcPr>
            <w:tcW w:w="569" w:type="pct"/>
            <w:shd w:val="clear" w:color="auto" w:fill="auto"/>
            <w:noWrap/>
            <w:vAlign w:val="center"/>
            <w:hideMark/>
          </w:tcPr>
          <w:p w14:paraId="58140F71"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529,0</w:t>
            </w:r>
          </w:p>
        </w:tc>
        <w:tc>
          <w:tcPr>
            <w:tcW w:w="327" w:type="pct"/>
            <w:shd w:val="clear" w:color="auto" w:fill="auto"/>
            <w:noWrap/>
            <w:vAlign w:val="center"/>
            <w:hideMark/>
          </w:tcPr>
          <w:p w14:paraId="14A1421D"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5,6</w:t>
            </w:r>
          </w:p>
        </w:tc>
        <w:tc>
          <w:tcPr>
            <w:tcW w:w="363" w:type="pct"/>
            <w:shd w:val="clear" w:color="auto" w:fill="auto"/>
            <w:noWrap/>
            <w:vAlign w:val="center"/>
            <w:hideMark/>
          </w:tcPr>
          <w:p w14:paraId="097200C5"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2%</w:t>
            </w:r>
          </w:p>
        </w:tc>
        <w:tc>
          <w:tcPr>
            <w:tcW w:w="657" w:type="pct"/>
            <w:shd w:val="clear" w:color="auto" w:fill="auto"/>
            <w:vAlign w:val="center"/>
            <w:hideMark/>
          </w:tcPr>
          <w:p w14:paraId="75943BD0" w14:textId="6D055E5C" w:rsidR="0065708A" w:rsidRPr="00513F1D" w:rsidRDefault="0065708A" w:rsidP="00F94FED">
            <w:pPr>
              <w:spacing w:after="0" w:line="240" w:lineRule="auto"/>
              <w:jc w:val="center"/>
              <w:rPr>
                <w:rFonts w:eastAsia="Times New Roman"/>
                <w:sz w:val="16"/>
                <w:szCs w:val="16"/>
                <w:lang w:eastAsia="ru-RU"/>
              </w:rPr>
            </w:pPr>
          </w:p>
        </w:tc>
      </w:tr>
      <w:tr w:rsidR="0065708A" w:rsidRPr="00513F1D" w14:paraId="099477A9" w14:textId="77777777" w:rsidTr="00CB5AA8">
        <w:trPr>
          <w:trHeight w:val="20"/>
        </w:trPr>
        <w:tc>
          <w:tcPr>
            <w:tcW w:w="1257" w:type="pct"/>
            <w:shd w:val="clear" w:color="auto" w:fill="auto"/>
            <w:vAlign w:val="bottom"/>
            <w:hideMark/>
          </w:tcPr>
          <w:p w14:paraId="70BE682F" w14:textId="77777777" w:rsidR="0065708A" w:rsidRPr="00513F1D" w:rsidRDefault="0065708A" w:rsidP="009A4C46">
            <w:pPr>
              <w:spacing w:after="0" w:line="240" w:lineRule="auto"/>
              <w:rPr>
                <w:rFonts w:eastAsia="Times New Roman"/>
                <w:sz w:val="16"/>
                <w:szCs w:val="16"/>
                <w:lang w:eastAsia="ru-RU"/>
              </w:rPr>
            </w:pPr>
            <w:r w:rsidRPr="00513F1D">
              <w:rPr>
                <w:rFonts w:eastAsia="Times New Roman"/>
                <w:sz w:val="16"/>
                <w:szCs w:val="16"/>
                <w:lang w:eastAsia="ru-RU"/>
              </w:rPr>
              <w:t>Технологическое присоединение, всего, в том числе:</w:t>
            </w:r>
          </w:p>
        </w:tc>
        <w:tc>
          <w:tcPr>
            <w:tcW w:w="556" w:type="pct"/>
            <w:shd w:val="clear" w:color="auto" w:fill="auto"/>
            <w:noWrap/>
            <w:vAlign w:val="center"/>
            <w:hideMark/>
          </w:tcPr>
          <w:p w14:paraId="53AFD839" w14:textId="77777777" w:rsidR="0065708A" w:rsidRPr="00513F1D" w:rsidRDefault="0065708A" w:rsidP="003E2802">
            <w:pPr>
              <w:spacing w:after="0" w:line="240" w:lineRule="auto"/>
              <w:jc w:val="center"/>
              <w:rPr>
                <w:rFonts w:eastAsia="Times New Roman"/>
                <w:sz w:val="16"/>
                <w:szCs w:val="16"/>
                <w:lang w:eastAsia="ru-RU"/>
              </w:rPr>
            </w:pPr>
            <w:r w:rsidRPr="00513F1D">
              <w:rPr>
                <w:rFonts w:eastAsia="Times New Roman"/>
                <w:sz w:val="16"/>
                <w:szCs w:val="16"/>
                <w:lang w:eastAsia="ru-RU"/>
              </w:rPr>
              <w:t>406,8</w:t>
            </w:r>
          </w:p>
        </w:tc>
        <w:tc>
          <w:tcPr>
            <w:tcW w:w="477" w:type="pct"/>
            <w:shd w:val="clear" w:color="auto" w:fill="auto"/>
            <w:noWrap/>
            <w:vAlign w:val="center"/>
            <w:hideMark/>
          </w:tcPr>
          <w:p w14:paraId="1C06D402"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430,0</w:t>
            </w:r>
          </w:p>
        </w:tc>
        <w:tc>
          <w:tcPr>
            <w:tcW w:w="422" w:type="pct"/>
            <w:shd w:val="clear" w:color="auto" w:fill="auto"/>
            <w:noWrap/>
            <w:vAlign w:val="center"/>
            <w:hideMark/>
          </w:tcPr>
          <w:p w14:paraId="4D000746"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209,5</w:t>
            </w:r>
          </w:p>
        </w:tc>
        <w:tc>
          <w:tcPr>
            <w:tcW w:w="371" w:type="pct"/>
            <w:shd w:val="clear" w:color="auto" w:fill="auto"/>
            <w:noWrap/>
            <w:vAlign w:val="center"/>
            <w:hideMark/>
          </w:tcPr>
          <w:p w14:paraId="1523EB43"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222,1</w:t>
            </w:r>
          </w:p>
        </w:tc>
        <w:tc>
          <w:tcPr>
            <w:tcW w:w="569" w:type="pct"/>
            <w:shd w:val="clear" w:color="auto" w:fill="auto"/>
            <w:noWrap/>
            <w:vAlign w:val="center"/>
            <w:hideMark/>
          </w:tcPr>
          <w:p w14:paraId="1E053339"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207,9</w:t>
            </w:r>
          </w:p>
        </w:tc>
        <w:tc>
          <w:tcPr>
            <w:tcW w:w="327" w:type="pct"/>
            <w:shd w:val="clear" w:color="auto" w:fill="auto"/>
            <w:noWrap/>
            <w:vAlign w:val="center"/>
            <w:hideMark/>
          </w:tcPr>
          <w:p w14:paraId="488AC8EE"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12,6</w:t>
            </w:r>
          </w:p>
        </w:tc>
        <w:tc>
          <w:tcPr>
            <w:tcW w:w="363" w:type="pct"/>
            <w:shd w:val="clear" w:color="auto" w:fill="auto"/>
            <w:noWrap/>
            <w:vAlign w:val="center"/>
            <w:hideMark/>
          </w:tcPr>
          <w:p w14:paraId="0F4B2748"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6%</w:t>
            </w:r>
          </w:p>
        </w:tc>
        <w:tc>
          <w:tcPr>
            <w:tcW w:w="657" w:type="pct"/>
            <w:shd w:val="clear" w:color="auto" w:fill="auto"/>
            <w:vAlign w:val="center"/>
            <w:hideMark/>
          </w:tcPr>
          <w:p w14:paraId="512EC04F" w14:textId="0201F27A" w:rsidR="0065708A" w:rsidRPr="00513F1D" w:rsidRDefault="0065708A" w:rsidP="00F94FED">
            <w:pPr>
              <w:spacing w:after="0" w:line="240" w:lineRule="auto"/>
              <w:jc w:val="center"/>
              <w:rPr>
                <w:rFonts w:eastAsia="Times New Roman"/>
                <w:sz w:val="16"/>
                <w:szCs w:val="16"/>
                <w:lang w:eastAsia="ru-RU"/>
              </w:rPr>
            </w:pPr>
          </w:p>
        </w:tc>
      </w:tr>
      <w:tr w:rsidR="0065708A" w:rsidRPr="00513F1D" w14:paraId="479722BF" w14:textId="77777777" w:rsidTr="00CB5AA8">
        <w:trPr>
          <w:trHeight w:val="20"/>
        </w:trPr>
        <w:tc>
          <w:tcPr>
            <w:tcW w:w="1257" w:type="pct"/>
            <w:shd w:val="clear" w:color="auto" w:fill="auto"/>
            <w:vAlign w:val="bottom"/>
            <w:hideMark/>
          </w:tcPr>
          <w:p w14:paraId="078E16D8" w14:textId="77777777" w:rsidR="0065708A" w:rsidRPr="00513F1D" w:rsidRDefault="0065708A" w:rsidP="009A4C46">
            <w:pPr>
              <w:spacing w:after="0" w:line="240" w:lineRule="auto"/>
              <w:rPr>
                <w:rFonts w:eastAsia="Times New Roman"/>
                <w:sz w:val="16"/>
                <w:szCs w:val="16"/>
                <w:lang w:eastAsia="ru-RU"/>
              </w:rPr>
            </w:pPr>
            <w:r w:rsidRPr="00513F1D">
              <w:rPr>
                <w:rFonts w:eastAsia="Times New Roman"/>
                <w:sz w:val="16"/>
                <w:szCs w:val="16"/>
                <w:lang w:eastAsia="ru-RU"/>
              </w:rPr>
              <w:t>Технологическое присоединение энергопринимающих устройств потребителей, всего, в том числе:</w:t>
            </w:r>
          </w:p>
        </w:tc>
        <w:tc>
          <w:tcPr>
            <w:tcW w:w="556" w:type="pct"/>
            <w:shd w:val="clear" w:color="auto" w:fill="auto"/>
            <w:noWrap/>
            <w:vAlign w:val="center"/>
            <w:hideMark/>
          </w:tcPr>
          <w:p w14:paraId="710F018E" w14:textId="77777777" w:rsidR="0065708A" w:rsidRPr="00513F1D" w:rsidRDefault="0065708A" w:rsidP="003E2802">
            <w:pPr>
              <w:spacing w:after="0" w:line="240" w:lineRule="auto"/>
              <w:jc w:val="center"/>
              <w:rPr>
                <w:rFonts w:eastAsia="Times New Roman"/>
                <w:sz w:val="16"/>
                <w:szCs w:val="16"/>
                <w:lang w:eastAsia="ru-RU"/>
              </w:rPr>
            </w:pPr>
            <w:r w:rsidRPr="00513F1D">
              <w:rPr>
                <w:rFonts w:eastAsia="Times New Roman"/>
                <w:sz w:val="16"/>
                <w:szCs w:val="16"/>
                <w:lang w:eastAsia="ru-RU"/>
              </w:rPr>
              <w:t>392,8</w:t>
            </w:r>
          </w:p>
        </w:tc>
        <w:tc>
          <w:tcPr>
            <w:tcW w:w="477" w:type="pct"/>
            <w:shd w:val="clear" w:color="auto" w:fill="auto"/>
            <w:noWrap/>
            <w:vAlign w:val="center"/>
            <w:hideMark/>
          </w:tcPr>
          <w:p w14:paraId="67BBA16A"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396,7</w:t>
            </w:r>
          </w:p>
        </w:tc>
        <w:tc>
          <w:tcPr>
            <w:tcW w:w="422" w:type="pct"/>
            <w:shd w:val="clear" w:color="auto" w:fill="auto"/>
            <w:noWrap/>
            <w:vAlign w:val="center"/>
            <w:hideMark/>
          </w:tcPr>
          <w:p w14:paraId="242C5107"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209,0</w:t>
            </w:r>
          </w:p>
        </w:tc>
        <w:tc>
          <w:tcPr>
            <w:tcW w:w="371" w:type="pct"/>
            <w:shd w:val="clear" w:color="auto" w:fill="auto"/>
            <w:noWrap/>
            <w:vAlign w:val="center"/>
            <w:hideMark/>
          </w:tcPr>
          <w:p w14:paraId="532D3423"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220,6</w:t>
            </w:r>
          </w:p>
        </w:tc>
        <w:tc>
          <w:tcPr>
            <w:tcW w:w="569" w:type="pct"/>
            <w:shd w:val="clear" w:color="auto" w:fill="auto"/>
            <w:noWrap/>
            <w:vAlign w:val="center"/>
            <w:hideMark/>
          </w:tcPr>
          <w:p w14:paraId="0835FE35"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176,0</w:t>
            </w:r>
          </w:p>
        </w:tc>
        <w:tc>
          <w:tcPr>
            <w:tcW w:w="327" w:type="pct"/>
            <w:shd w:val="clear" w:color="auto" w:fill="auto"/>
            <w:noWrap/>
            <w:vAlign w:val="center"/>
            <w:hideMark/>
          </w:tcPr>
          <w:p w14:paraId="1A65E26A"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11,7</w:t>
            </w:r>
          </w:p>
        </w:tc>
        <w:tc>
          <w:tcPr>
            <w:tcW w:w="363" w:type="pct"/>
            <w:shd w:val="clear" w:color="auto" w:fill="auto"/>
            <w:noWrap/>
            <w:vAlign w:val="center"/>
            <w:hideMark/>
          </w:tcPr>
          <w:p w14:paraId="51ABC7F6"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6%</w:t>
            </w:r>
          </w:p>
        </w:tc>
        <w:tc>
          <w:tcPr>
            <w:tcW w:w="657" w:type="pct"/>
            <w:shd w:val="clear" w:color="auto" w:fill="auto"/>
            <w:vAlign w:val="center"/>
            <w:hideMark/>
          </w:tcPr>
          <w:p w14:paraId="4622FED6" w14:textId="1FBFD9F6" w:rsidR="0065708A" w:rsidRPr="00513F1D" w:rsidRDefault="0065708A" w:rsidP="00F94FED">
            <w:pPr>
              <w:spacing w:after="0" w:line="240" w:lineRule="auto"/>
              <w:jc w:val="center"/>
              <w:rPr>
                <w:rFonts w:eastAsia="Times New Roman"/>
                <w:sz w:val="16"/>
                <w:szCs w:val="16"/>
                <w:lang w:eastAsia="ru-RU"/>
              </w:rPr>
            </w:pPr>
          </w:p>
        </w:tc>
      </w:tr>
      <w:tr w:rsidR="0065708A" w:rsidRPr="00513F1D" w14:paraId="106EA1D5" w14:textId="77777777" w:rsidTr="00CB5AA8">
        <w:trPr>
          <w:trHeight w:val="20"/>
        </w:trPr>
        <w:tc>
          <w:tcPr>
            <w:tcW w:w="1257" w:type="pct"/>
            <w:shd w:val="clear" w:color="auto" w:fill="auto"/>
            <w:vAlign w:val="bottom"/>
            <w:hideMark/>
          </w:tcPr>
          <w:p w14:paraId="47DA9583" w14:textId="77777777" w:rsidR="0065708A" w:rsidRPr="00513F1D" w:rsidRDefault="0065708A" w:rsidP="009A4C46">
            <w:pPr>
              <w:spacing w:after="0" w:line="240" w:lineRule="auto"/>
              <w:rPr>
                <w:rFonts w:eastAsia="Times New Roman"/>
                <w:sz w:val="16"/>
                <w:szCs w:val="16"/>
                <w:lang w:eastAsia="ru-RU"/>
              </w:rPr>
            </w:pPr>
            <w:r w:rsidRPr="00513F1D">
              <w:rPr>
                <w:rFonts w:eastAsia="Times New Roman"/>
                <w:sz w:val="16"/>
                <w:szCs w:val="16"/>
                <w:lang w:eastAsia="ru-RU"/>
              </w:rPr>
              <w:t>Технологическое присоединение энергопринимающих устройств потребителей максимальной мощностью до 15 кВт включительно, всего</w:t>
            </w:r>
          </w:p>
        </w:tc>
        <w:tc>
          <w:tcPr>
            <w:tcW w:w="556" w:type="pct"/>
            <w:shd w:val="clear" w:color="auto" w:fill="auto"/>
            <w:noWrap/>
            <w:vAlign w:val="center"/>
            <w:hideMark/>
          </w:tcPr>
          <w:p w14:paraId="27A6935D" w14:textId="77777777" w:rsidR="0065708A" w:rsidRPr="00513F1D" w:rsidRDefault="0065708A" w:rsidP="003E2802">
            <w:pPr>
              <w:spacing w:after="0" w:line="240" w:lineRule="auto"/>
              <w:jc w:val="center"/>
              <w:rPr>
                <w:rFonts w:eastAsia="Times New Roman"/>
                <w:sz w:val="16"/>
                <w:szCs w:val="16"/>
                <w:lang w:eastAsia="ru-RU"/>
              </w:rPr>
            </w:pPr>
            <w:r w:rsidRPr="00513F1D">
              <w:rPr>
                <w:rFonts w:eastAsia="Times New Roman"/>
                <w:sz w:val="16"/>
                <w:szCs w:val="16"/>
                <w:lang w:eastAsia="ru-RU"/>
              </w:rPr>
              <w:t>63,3</w:t>
            </w:r>
          </w:p>
        </w:tc>
        <w:tc>
          <w:tcPr>
            <w:tcW w:w="477" w:type="pct"/>
            <w:shd w:val="clear" w:color="auto" w:fill="auto"/>
            <w:noWrap/>
            <w:vAlign w:val="center"/>
            <w:hideMark/>
          </w:tcPr>
          <w:p w14:paraId="3C702948"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176,5</w:t>
            </w:r>
          </w:p>
        </w:tc>
        <w:tc>
          <w:tcPr>
            <w:tcW w:w="422" w:type="pct"/>
            <w:shd w:val="clear" w:color="auto" w:fill="auto"/>
            <w:noWrap/>
            <w:vAlign w:val="center"/>
            <w:hideMark/>
          </w:tcPr>
          <w:p w14:paraId="35EC8879"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29,6</w:t>
            </w:r>
          </w:p>
        </w:tc>
        <w:tc>
          <w:tcPr>
            <w:tcW w:w="371" w:type="pct"/>
            <w:shd w:val="clear" w:color="auto" w:fill="auto"/>
            <w:noWrap/>
            <w:vAlign w:val="center"/>
            <w:hideMark/>
          </w:tcPr>
          <w:p w14:paraId="4E3C5137"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37,9</w:t>
            </w:r>
          </w:p>
        </w:tc>
        <w:tc>
          <w:tcPr>
            <w:tcW w:w="569" w:type="pct"/>
            <w:shd w:val="clear" w:color="auto" w:fill="auto"/>
            <w:noWrap/>
            <w:vAlign w:val="center"/>
            <w:hideMark/>
          </w:tcPr>
          <w:p w14:paraId="7B047ADA"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38,5</w:t>
            </w:r>
          </w:p>
        </w:tc>
        <w:tc>
          <w:tcPr>
            <w:tcW w:w="327" w:type="pct"/>
            <w:shd w:val="clear" w:color="auto" w:fill="auto"/>
            <w:noWrap/>
            <w:vAlign w:val="center"/>
            <w:hideMark/>
          </w:tcPr>
          <w:p w14:paraId="75E9EF29"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8,4</w:t>
            </w:r>
          </w:p>
        </w:tc>
        <w:tc>
          <w:tcPr>
            <w:tcW w:w="363" w:type="pct"/>
            <w:shd w:val="clear" w:color="auto" w:fill="auto"/>
            <w:noWrap/>
            <w:vAlign w:val="center"/>
            <w:hideMark/>
          </w:tcPr>
          <w:p w14:paraId="2A88DC60"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28%</w:t>
            </w:r>
          </w:p>
        </w:tc>
        <w:tc>
          <w:tcPr>
            <w:tcW w:w="657" w:type="pct"/>
            <w:shd w:val="clear" w:color="auto" w:fill="auto"/>
            <w:vAlign w:val="center"/>
            <w:hideMark/>
          </w:tcPr>
          <w:p w14:paraId="5F7B18AE" w14:textId="1E196938" w:rsidR="0065708A" w:rsidRPr="00513F1D" w:rsidRDefault="0065708A" w:rsidP="00F94FED">
            <w:pPr>
              <w:spacing w:after="0" w:line="240" w:lineRule="auto"/>
              <w:jc w:val="center"/>
              <w:rPr>
                <w:rFonts w:eastAsia="Times New Roman"/>
                <w:sz w:val="16"/>
                <w:szCs w:val="16"/>
                <w:lang w:eastAsia="ru-RU"/>
              </w:rPr>
            </w:pPr>
          </w:p>
        </w:tc>
      </w:tr>
      <w:tr w:rsidR="0065708A" w:rsidRPr="00513F1D" w14:paraId="33F4382F" w14:textId="77777777" w:rsidTr="00CB5AA8">
        <w:trPr>
          <w:trHeight w:val="20"/>
        </w:trPr>
        <w:tc>
          <w:tcPr>
            <w:tcW w:w="1257" w:type="pct"/>
            <w:shd w:val="clear" w:color="auto" w:fill="auto"/>
            <w:vAlign w:val="bottom"/>
            <w:hideMark/>
          </w:tcPr>
          <w:p w14:paraId="4C6DF3C8" w14:textId="77777777" w:rsidR="0065708A" w:rsidRPr="00513F1D" w:rsidRDefault="0065708A" w:rsidP="009A4C46">
            <w:pPr>
              <w:spacing w:after="0" w:line="240" w:lineRule="auto"/>
              <w:rPr>
                <w:rFonts w:eastAsia="Times New Roman"/>
                <w:sz w:val="16"/>
                <w:szCs w:val="16"/>
                <w:lang w:eastAsia="ru-RU"/>
              </w:rPr>
            </w:pPr>
            <w:r w:rsidRPr="00513F1D">
              <w:rPr>
                <w:rFonts w:eastAsia="Times New Roman"/>
                <w:sz w:val="16"/>
                <w:szCs w:val="16"/>
                <w:lang w:eastAsia="ru-RU"/>
              </w:rPr>
              <w:t>Реконструкция ВЛ, КЛ 10-0.4 кВ для потребителей до 15 кВт для льготных потребителей</w:t>
            </w:r>
          </w:p>
        </w:tc>
        <w:tc>
          <w:tcPr>
            <w:tcW w:w="556" w:type="pct"/>
            <w:shd w:val="clear" w:color="auto" w:fill="auto"/>
            <w:vAlign w:val="center"/>
            <w:hideMark/>
          </w:tcPr>
          <w:p w14:paraId="312E2449" w14:textId="77777777" w:rsidR="0065708A" w:rsidRPr="00513F1D" w:rsidRDefault="0065708A" w:rsidP="003E2802">
            <w:pPr>
              <w:spacing w:after="0" w:line="240" w:lineRule="auto"/>
              <w:jc w:val="center"/>
              <w:rPr>
                <w:rFonts w:eastAsia="Times New Roman"/>
                <w:sz w:val="16"/>
                <w:szCs w:val="16"/>
                <w:lang w:eastAsia="ru-RU"/>
              </w:rPr>
            </w:pPr>
            <w:r w:rsidRPr="00513F1D">
              <w:rPr>
                <w:rFonts w:eastAsia="Times New Roman"/>
                <w:sz w:val="16"/>
                <w:szCs w:val="16"/>
                <w:lang w:eastAsia="ru-RU"/>
              </w:rPr>
              <w:t>0,5</w:t>
            </w:r>
          </w:p>
        </w:tc>
        <w:tc>
          <w:tcPr>
            <w:tcW w:w="477" w:type="pct"/>
            <w:shd w:val="clear" w:color="auto" w:fill="auto"/>
            <w:vAlign w:val="center"/>
            <w:hideMark/>
          </w:tcPr>
          <w:p w14:paraId="5232DC2F"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1,0</w:t>
            </w:r>
          </w:p>
        </w:tc>
        <w:tc>
          <w:tcPr>
            <w:tcW w:w="422" w:type="pct"/>
            <w:shd w:val="clear" w:color="auto" w:fill="auto"/>
            <w:noWrap/>
            <w:vAlign w:val="center"/>
            <w:hideMark/>
          </w:tcPr>
          <w:p w14:paraId="0435E4D9"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1,0</w:t>
            </w:r>
          </w:p>
        </w:tc>
        <w:tc>
          <w:tcPr>
            <w:tcW w:w="371" w:type="pct"/>
            <w:shd w:val="clear" w:color="auto" w:fill="auto"/>
            <w:noWrap/>
            <w:vAlign w:val="center"/>
            <w:hideMark/>
          </w:tcPr>
          <w:p w14:paraId="22991048"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0,8</w:t>
            </w:r>
          </w:p>
        </w:tc>
        <w:tc>
          <w:tcPr>
            <w:tcW w:w="569" w:type="pct"/>
            <w:shd w:val="clear" w:color="auto" w:fill="auto"/>
            <w:noWrap/>
            <w:vAlign w:val="center"/>
            <w:hideMark/>
          </w:tcPr>
          <w:p w14:paraId="65125D84"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0,2</w:t>
            </w:r>
          </w:p>
        </w:tc>
        <w:tc>
          <w:tcPr>
            <w:tcW w:w="327" w:type="pct"/>
            <w:shd w:val="clear" w:color="auto" w:fill="auto"/>
            <w:noWrap/>
            <w:vAlign w:val="center"/>
            <w:hideMark/>
          </w:tcPr>
          <w:p w14:paraId="0C9A761C"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-0,2</w:t>
            </w:r>
          </w:p>
        </w:tc>
        <w:tc>
          <w:tcPr>
            <w:tcW w:w="363" w:type="pct"/>
            <w:shd w:val="clear" w:color="auto" w:fill="auto"/>
            <w:noWrap/>
            <w:vAlign w:val="center"/>
            <w:hideMark/>
          </w:tcPr>
          <w:p w14:paraId="1CB1CBE4"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-19%</w:t>
            </w:r>
          </w:p>
        </w:tc>
        <w:tc>
          <w:tcPr>
            <w:tcW w:w="657" w:type="pct"/>
            <w:shd w:val="clear" w:color="auto" w:fill="auto"/>
            <w:vAlign w:val="center"/>
            <w:hideMark/>
          </w:tcPr>
          <w:p w14:paraId="6BE7BAC0" w14:textId="77777777" w:rsidR="0065708A" w:rsidRPr="00513F1D" w:rsidRDefault="0065708A" w:rsidP="00F94FED">
            <w:pPr>
              <w:spacing w:after="0" w:line="240" w:lineRule="auto"/>
              <w:jc w:val="center"/>
              <w:rPr>
                <w:rFonts w:eastAsia="Times New Roman"/>
                <w:sz w:val="16"/>
                <w:szCs w:val="16"/>
                <w:lang w:eastAsia="ru-RU"/>
              </w:rPr>
            </w:pPr>
            <w:r w:rsidRPr="00513F1D">
              <w:rPr>
                <w:rFonts w:eastAsia="Times New Roman"/>
                <w:sz w:val="16"/>
                <w:szCs w:val="16"/>
                <w:lang w:eastAsia="ru-RU"/>
              </w:rPr>
              <w:t>Выполнение объектов  ТП</w:t>
            </w:r>
          </w:p>
        </w:tc>
      </w:tr>
      <w:tr w:rsidR="0065708A" w:rsidRPr="00513F1D" w14:paraId="16B6101B" w14:textId="77777777" w:rsidTr="00CB5AA8">
        <w:trPr>
          <w:trHeight w:val="20"/>
        </w:trPr>
        <w:tc>
          <w:tcPr>
            <w:tcW w:w="1257" w:type="pct"/>
            <w:shd w:val="clear" w:color="auto" w:fill="auto"/>
            <w:vAlign w:val="bottom"/>
            <w:hideMark/>
          </w:tcPr>
          <w:p w14:paraId="440C3DAE" w14:textId="77777777" w:rsidR="0065708A" w:rsidRPr="00513F1D" w:rsidRDefault="0065708A" w:rsidP="009A4C46">
            <w:pPr>
              <w:spacing w:after="0" w:line="240" w:lineRule="auto"/>
              <w:rPr>
                <w:rFonts w:eastAsia="Times New Roman"/>
                <w:sz w:val="16"/>
                <w:szCs w:val="16"/>
                <w:lang w:eastAsia="ru-RU"/>
              </w:rPr>
            </w:pPr>
            <w:r w:rsidRPr="00513F1D">
              <w:rPr>
                <w:rFonts w:eastAsia="Times New Roman"/>
                <w:sz w:val="16"/>
                <w:szCs w:val="16"/>
                <w:lang w:eastAsia="ru-RU"/>
              </w:rPr>
              <w:t>Реконструкция ТП 10/0,4 кВ, для потребителей до 15 кВт для льготных потребителей</w:t>
            </w:r>
          </w:p>
        </w:tc>
        <w:tc>
          <w:tcPr>
            <w:tcW w:w="556" w:type="pct"/>
            <w:shd w:val="clear" w:color="auto" w:fill="auto"/>
            <w:vAlign w:val="center"/>
            <w:hideMark/>
          </w:tcPr>
          <w:p w14:paraId="24A72749" w14:textId="77777777" w:rsidR="0065708A" w:rsidRPr="00513F1D" w:rsidRDefault="0065708A" w:rsidP="003E2802">
            <w:pPr>
              <w:spacing w:after="0" w:line="240" w:lineRule="auto"/>
              <w:jc w:val="center"/>
              <w:rPr>
                <w:rFonts w:eastAsia="Times New Roman"/>
                <w:sz w:val="16"/>
                <w:szCs w:val="16"/>
                <w:lang w:eastAsia="ru-RU"/>
              </w:rPr>
            </w:pPr>
            <w:r w:rsidRPr="00513F1D">
              <w:rPr>
                <w:rFonts w:eastAsia="Times New Roman"/>
                <w:sz w:val="16"/>
                <w:szCs w:val="16"/>
                <w:lang w:eastAsia="ru-RU"/>
              </w:rPr>
              <w:t>1,9</w:t>
            </w:r>
          </w:p>
        </w:tc>
        <w:tc>
          <w:tcPr>
            <w:tcW w:w="477" w:type="pct"/>
            <w:shd w:val="clear" w:color="auto" w:fill="auto"/>
            <w:vAlign w:val="center"/>
            <w:hideMark/>
          </w:tcPr>
          <w:p w14:paraId="3B9AE4A6"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2,1</w:t>
            </w:r>
          </w:p>
        </w:tc>
        <w:tc>
          <w:tcPr>
            <w:tcW w:w="422" w:type="pct"/>
            <w:shd w:val="clear" w:color="auto" w:fill="auto"/>
            <w:noWrap/>
            <w:vAlign w:val="center"/>
            <w:hideMark/>
          </w:tcPr>
          <w:p w14:paraId="404298EF"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2,1</w:t>
            </w:r>
          </w:p>
        </w:tc>
        <w:tc>
          <w:tcPr>
            <w:tcW w:w="371" w:type="pct"/>
            <w:shd w:val="clear" w:color="auto" w:fill="auto"/>
            <w:noWrap/>
            <w:vAlign w:val="center"/>
            <w:hideMark/>
          </w:tcPr>
          <w:p w14:paraId="55F1E07D"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1,9</w:t>
            </w:r>
          </w:p>
        </w:tc>
        <w:tc>
          <w:tcPr>
            <w:tcW w:w="569" w:type="pct"/>
            <w:shd w:val="clear" w:color="auto" w:fill="auto"/>
            <w:noWrap/>
            <w:vAlign w:val="center"/>
            <w:hideMark/>
          </w:tcPr>
          <w:p w14:paraId="3B3E092E"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0,2</w:t>
            </w:r>
          </w:p>
        </w:tc>
        <w:tc>
          <w:tcPr>
            <w:tcW w:w="327" w:type="pct"/>
            <w:shd w:val="clear" w:color="auto" w:fill="auto"/>
            <w:noWrap/>
            <w:vAlign w:val="center"/>
            <w:hideMark/>
          </w:tcPr>
          <w:p w14:paraId="55F30785"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-0,2</w:t>
            </w:r>
          </w:p>
        </w:tc>
        <w:tc>
          <w:tcPr>
            <w:tcW w:w="363" w:type="pct"/>
            <w:shd w:val="clear" w:color="auto" w:fill="auto"/>
            <w:noWrap/>
            <w:vAlign w:val="center"/>
            <w:hideMark/>
          </w:tcPr>
          <w:p w14:paraId="6774630A"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-11%</w:t>
            </w:r>
          </w:p>
        </w:tc>
        <w:tc>
          <w:tcPr>
            <w:tcW w:w="657" w:type="pct"/>
            <w:shd w:val="clear" w:color="auto" w:fill="auto"/>
            <w:vAlign w:val="center"/>
            <w:hideMark/>
          </w:tcPr>
          <w:p w14:paraId="77085BC8" w14:textId="77777777" w:rsidR="0065708A" w:rsidRPr="00513F1D" w:rsidRDefault="0065708A" w:rsidP="00F94FED">
            <w:pPr>
              <w:spacing w:after="0" w:line="240" w:lineRule="auto"/>
              <w:jc w:val="center"/>
              <w:rPr>
                <w:rFonts w:eastAsia="Times New Roman"/>
                <w:sz w:val="16"/>
                <w:szCs w:val="16"/>
                <w:lang w:eastAsia="ru-RU"/>
              </w:rPr>
            </w:pPr>
            <w:r w:rsidRPr="00513F1D">
              <w:rPr>
                <w:rFonts w:eastAsia="Times New Roman"/>
                <w:sz w:val="16"/>
                <w:szCs w:val="16"/>
                <w:lang w:eastAsia="ru-RU"/>
              </w:rPr>
              <w:t>Выполнение объектов  ТП</w:t>
            </w:r>
          </w:p>
        </w:tc>
      </w:tr>
      <w:tr w:rsidR="0065708A" w:rsidRPr="00513F1D" w14:paraId="174433ED" w14:textId="77777777" w:rsidTr="00CB5AA8">
        <w:trPr>
          <w:trHeight w:val="20"/>
        </w:trPr>
        <w:tc>
          <w:tcPr>
            <w:tcW w:w="1257" w:type="pct"/>
            <w:shd w:val="clear" w:color="auto" w:fill="auto"/>
            <w:vAlign w:val="bottom"/>
            <w:hideMark/>
          </w:tcPr>
          <w:p w14:paraId="19F68474" w14:textId="77777777" w:rsidR="0065708A" w:rsidRPr="00513F1D" w:rsidRDefault="0065708A" w:rsidP="009A4C46">
            <w:pPr>
              <w:spacing w:after="0" w:line="240" w:lineRule="auto"/>
              <w:rPr>
                <w:rFonts w:eastAsia="Times New Roman"/>
                <w:sz w:val="16"/>
                <w:szCs w:val="16"/>
                <w:lang w:eastAsia="ru-RU"/>
              </w:rPr>
            </w:pPr>
            <w:r w:rsidRPr="00513F1D">
              <w:rPr>
                <w:rFonts w:eastAsia="Times New Roman"/>
                <w:sz w:val="16"/>
                <w:szCs w:val="16"/>
                <w:lang w:eastAsia="ru-RU"/>
              </w:rPr>
              <w:t>Строительство ВЛ, КЛ 10-0.4 кВ для потребителей до 15 кВт для льготных потребителей</w:t>
            </w:r>
          </w:p>
        </w:tc>
        <w:tc>
          <w:tcPr>
            <w:tcW w:w="556" w:type="pct"/>
            <w:shd w:val="clear" w:color="auto" w:fill="auto"/>
            <w:vAlign w:val="center"/>
            <w:hideMark/>
          </w:tcPr>
          <w:p w14:paraId="21442318" w14:textId="77777777" w:rsidR="0065708A" w:rsidRPr="00513F1D" w:rsidRDefault="0065708A" w:rsidP="003E2802">
            <w:pPr>
              <w:spacing w:after="0" w:line="240" w:lineRule="auto"/>
              <w:jc w:val="center"/>
              <w:rPr>
                <w:rFonts w:eastAsia="Times New Roman"/>
                <w:sz w:val="16"/>
                <w:szCs w:val="16"/>
                <w:lang w:eastAsia="ru-RU"/>
              </w:rPr>
            </w:pPr>
            <w:r w:rsidRPr="00513F1D">
              <w:rPr>
                <w:rFonts w:eastAsia="Times New Roman"/>
                <w:sz w:val="16"/>
                <w:szCs w:val="16"/>
                <w:lang w:eastAsia="ru-RU"/>
              </w:rPr>
              <w:t>46,8</w:t>
            </w:r>
          </w:p>
        </w:tc>
        <w:tc>
          <w:tcPr>
            <w:tcW w:w="477" w:type="pct"/>
            <w:shd w:val="clear" w:color="auto" w:fill="auto"/>
            <w:vAlign w:val="center"/>
            <w:hideMark/>
          </w:tcPr>
          <w:p w14:paraId="4E031819"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145,8</w:t>
            </w:r>
          </w:p>
        </w:tc>
        <w:tc>
          <w:tcPr>
            <w:tcW w:w="422" w:type="pct"/>
            <w:shd w:val="clear" w:color="auto" w:fill="auto"/>
            <w:noWrap/>
            <w:vAlign w:val="center"/>
            <w:hideMark/>
          </w:tcPr>
          <w:p w14:paraId="67C062C0"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22,4</w:t>
            </w:r>
          </w:p>
        </w:tc>
        <w:tc>
          <w:tcPr>
            <w:tcW w:w="371" w:type="pct"/>
            <w:shd w:val="clear" w:color="auto" w:fill="auto"/>
            <w:noWrap/>
            <w:vAlign w:val="center"/>
            <w:hideMark/>
          </w:tcPr>
          <w:p w14:paraId="5A9960A0"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31,</w:t>
            </w:r>
          </w:p>
        </w:tc>
        <w:tc>
          <w:tcPr>
            <w:tcW w:w="569" w:type="pct"/>
            <w:shd w:val="clear" w:color="auto" w:fill="auto"/>
            <w:noWrap/>
            <w:vAlign w:val="center"/>
            <w:hideMark/>
          </w:tcPr>
          <w:p w14:paraId="491CC426"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114,2</w:t>
            </w:r>
          </w:p>
        </w:tc>
        <w:tc>
          <w:tcPr>
            <w:tcW w:w="327" w:type="pct"/>
            <w:shd w:val="clear" w:color="auto" w:fill="auto"/>
            <w:noWrap/>
            <w:vAlign w:val="center"/>
            <w:hideMark/>
          </w:tcPr>
          <w:p w14:paraId="6F9DC077"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9,2</w:t>
            </w:r>
          </w:p>
        </w:tc>
        <w:tc>
          <w:tcPr>
            <w:tcW w:w="363" w:type="pct"/>
            <w:shd w:val="clear" w:color="auto" w:fill="auto"/>
            <w:noWrap/>
            <w:vAlign w:val="center"/>
            <w:hideMark/>
          </w:tcPr>
          <w:p w14:paraId="11ED8D32"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41%</w:t>
            </w:r>
          </w:p>
        </w:tc>
        <w:tc>
          <w:tcPr>
            <w:tcW w:w="657" w:type="pct"/>
            <w:shd w:val="clear" w:color="auto" w:fill="auto"/>
            <w:vAlign w:val="center"/>
            <w:hideMark/>
          </w:tcPr>
          <w:p w14:paraId="614E634C" w14:textId="77777777" w:rsidR="0065708A" w:rsidRPr="00513F1D" w:rsidRDefault="0065708A" w:rsidP="00F94FED">
            <w:pPr>
              <w:spacing w:after="0" w:line="240" w:lineRule="auto"/>
              <w:jc w:val="center"/>
              <w:rPr>
                <w:rFonts w:eastAsia="Times New Roman"/>
                <w:sz w:val="16"/>
                <w:szCs w:val="16"/>
                <w:lang w:eastAsia="ru-RU"/>
              </w:rPr>
            </w:pPr>
            <w:r w:rsidRPr="00513F1D">
              <w:rPr>
                <w:rFonts w:eastAsia="Times New Roman"/>
                <w:sz w:val="16"/>
                <w:szCs w:val="16"/>
                <w:lang w:eastAsia="ru-RU"/>
              </w:rPr>
              <w:t>Выполнение объектов  ТП</w:t>
            </w:r>
          </w:p>
        </w:tc>
      </w:tr>
      <w:tr w:rsidR="0065708A" w:rsidRPr="00513F1D" w14:paraId="31410AA9" w14:textId="77777777" w:rsidTr="00CB5AA8">
        <w:trPr>
          <w:trHeight w:val="20"/>
        </w:trPr>
        <w:tc>
          <w:tcPr>
            <w:tcW w:w="1257" w:type="pct"/>
            <w:shd w:val="clear" w:color="auto" w:fill="auto"/>
            <w:vAlign w:val="bottom"/>
            <w:hideMark/>
          </w:tcPr>
          <w:p w14:paraId="51FABCEE" w14:textId="77777777" w:rsidR="0065708A" w:rsidRPr="00513F1D" w:rsidRDefault="0065708A" w:rsidP="009A4C46">
            <w:pPr>
              <w:spacing w:after="0" w:line="240" w:lineRule="auto"/>
              <w:rPr>
                <w:rFonts w:eastAsia="Times New Roman"/>
                <w:sz w:val="16"/>
                <w:szCs w:val="16"/>
                <w:lang w:eastAsia="ru-RU"/>
              </w:rPr>
            </w:pPr>
            <w:r w:rsidRPr="00513F1D">
              <w:rPr>
                <w:rFonts w:eastAsia="Times New Roman"/>
                <w:sz w:val="16"/>
                <w:szCs w:val="16"/>
                <w:lang w:eastAsia="ru-RU"/>
              </w:rPr>
              <w:t>Строительство ТП 10/0.4кВ для потребителей до 15 кВт льготных потребителей</w:t>
            </w:r>
          </w:p>
        </w:tc>
        <w:tc>
          <w:tcPr>
            <w:tcW w:w="556" w:type="pct"/>
            <w:shd w:val="clear" w:color="auto" w:fill="auto"/>
            <w:vAlign w:val="center"/>
            <w:hideMark/>
          </w:tcPr>
          <w:p w14:paraId="1B2EE86E" w14:textId="77777777" w:rsidR="0065708A" w:rsidRPr="00513F1D" w:rsidRDefault="0065708A" w:rsidP="003E2802">
            <w:pPr>
              <w:spacing w:after="0" w:line="240" w:lineRule="auto"/>
              <w:jc w:val="center"/>
              <w:rPr>
                <w:rFonts w:eastAsia="Times New Roman"/>
                <w:sz w:val="16"/>
                <w:szCs w:val="16"/>
                <w:lang w:eastAsia="ru-RU"/>
              </w:rPr>
            </w:pPr>
            <w:r w:rsidRPr="00513F1D">
              <w:rPr>
                <w:rFonts w:eastAsia="Times New Roman"/>
                <w:sz w:val="16"/>
                <w:szCs w:val="16"/>
                <w:lang w:eastAsia="ru-RU"/>
              </w:rPr>
              <w:t>14,0</w:t>
            </w:r>
          </w:p>
        </w:tc>
        <w:tc>
          <w:tcPr>
            <w:tcW w:w="477" w:type="pct"/>
            <w:shd w:val="clear" w:color="auto" w:fill="auto"/>
            <w:vAlign w:val="center"/>
            <w:hideMark/>
          </w:tcPr>
          <w:p w14:paraId="71978200"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27,5</w:t>
            </w:r>
          </w:p>
        </w:tc>
        <w:tc>
          <w:tcPr>
            <w:tcW w:w="422" w:type="pct"/>
            <w:shd w:val="clear" w:color="auto" w:fill="auto"/>
            <w:noWrap/>
            <w:vAlign w:val="center"/>
            <w:hideMark/>
          </w:tcPr>
          <w:p w14:paraId="5C63231F"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4,0</w:t>
            </w:r>
          </w:p>
        </w:tc>
        <w:tc>
          <w:tcPr>
            <w:tcW w:w="371" w:type="pct"/>
            <w:shd w:val="clear" w:color="auto" w:fill="auto"/>
            <w:noWrap/>
            <w:vAlign w:val="center"/>
            <w:hideMark/>
          </w:tcPr>
          <w:p w14:paraId="62475678"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3,6</w:t>
            </w:r>
          </w:p>
        </w:tc>
        <w:tc>
          <w:tcPr>
            <w:tcW w:w="569" w:type="pct"/>
            <w:shd w:val="clear" w:color="auto" w:fill="auto"/>
            <w:noWrap/>
            <w:vAlign w:val="center"/>
            <w:hideMark/>
          </w:tcPr>
          <w:p w14:paraId="65CD1D3F"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23,9</w:t>
            </w:r>
          </w:p>
        </w:tc>
        <w:tc>
          <w:tcPr>
            <w:tcW w:w="327" w:type="pct"/>
            <w:shd w:val="clear" w:color="auto" w:fill="auto"/>
            <w:noWrap/>
            <w:vAlign w:val="center"/>
            <w:hideMark/>
          </w:tcPr>
          <w:p w14:paraId="08E7EA0F"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-0,4</w:t>
            </w:r>
          </w:p>
        </w:tc>
        <w:tc>
          <w:tcPr>
            <w:tcW w:w="363" w:type="pct"/>
            <w:shd w:val="clear" w:color="auto" w:fill="auto"/>
            <w:noWrap/>
            <w:vAlign w:val="center"/>
            <w:hideMark/>
          </w:tcPr>
          <w:p w14:paraId="440AF1B4"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-10%</w:t>
            </w:r>
          </w:p>
        </w:tc>
        <w:tc>
          <w:tcPr>
            <w:tcW w:w="657" w:type="pct"/>
            <w:shd w:val="clear" w:color="auto" w:fill="auto"/>
            <w:vAlign w:val="center"/>
            <w:hideMark/>
          </w:tcPr>
          <w:p w14:paraId="72E75F54" w14:textId="77777777" w:rsidR="0065708A" w:rsidRPr="00513F1D" w:rsidRDefault="0065708A" w:rsidP="00F94FED">
            <w:pPr>
              <w:spacing w:after="0" w:line="240" w:lineRule="auto"/>
              <w:jc w:val="center"/>
              <w:rPr>
                <w:rFonts w:eastAsia="Times New Roman"/>
                <w:sz w:val="16"/>
                <w:szCs w:val="16"/>
                <w:lang w:eastAsia="ru-RU"/>
              </w:rPr>
            </w:pPr>
            <w:r w:rsidRPr="00513F1D">
              <w:rPr>
                <w:rFonts w:eastAsia="Times New Roman"/>
                <w:sz w:val="16"/>
                <w:szCs w:val="16"/>
                <w:lang w:eastAsia="ru-RU"/>
              </w:rPr>
              <w:t>Выполнение объектов  ТП</w:t>
            </w:r>
          </w:p>
        </w:tc>
      </w:tr>
      <w:tr w:rsidR="0065708A" w:rsidRPr="00513F1D" w14:paraId="77904C2F" w14:textId="77777777" w:rsidTr="00CB5AA8">
        <w:trPr>
          <w:trHeight w:val="20"/>
        </w:trPr>
        <w:tc>
          <w:tcPr>
            <w:tcW w:w="1257" w:type="pct"/>
            <w:shd w:val="clear" w:color="auto" w:fill="auto"/>
            <w:vAlign w:val="bottom"/>
            <w:hideMark/>
          </w:tcPr>
          <w:p w14:paraId="44F33210" w14:textId="77777777" w:rsidR="0065708A" w:rsidRPr="00513F1D" w:rsidRDefault="0065708A" w:rsidP="009A4C46">
            <w:pPr>
              <w:spacing w:after="0" w:line="240" w:lineRule="auto"/>
              <w:rPr>
                <w:rFonts w:eastAsia="Times New Roman"/>
                <w:sz w:val="16"/>
                <w:szCs w:val="16"/>
                <w:lang w:eastAsia="ru-RU"/>
              </w:rPr>
            </w:pPr>
            <w:r w:rsidRPr="00513F1D">
              <w:rPr>
                <w:rFonts w:eastAsia="Times New Roman"/>
                <w:sz w:val="16"/>
                <w:szCs w:val="16"/>
                <w:lang w:eastAsia="ru-RU"/>
              </w:rPr>
              <w:t>Технологическое присоединение энергопринимающих устройств потребителей максимальной мощностью до 150 кВт включительно, всего</w:t>
            </w:r>
          </w:p>
        </w:tc>
        <w:tc>
          <w:tcPr>
            <w:tcW w:w="556" w:type="pct"/>
            <w:shd w:val="clear" w:color="auto" w:fill="auto"/>
            <w:noWrap/>
            <w:vAlign w:val="center"/>
            <w:hideMark/>
          </w:tcPr>
          <w:p w14:paraId="40D45738" w14:textId="77777777" w:rsidR="0065708A" w:rsidRPr="00513F1D" w:rsidRDefault="0065708A" w:rsidP="003E2802">
            <w:pPr>
              <w:spacing w:after="0" w:line="240" w:lineRule="auto"/>
              <w:jc w:val="center"/>
              <w:rPr>
                <w:rFonts w:eastAsia="Times New Roman"/>
                <w:sz w:val="16"/>
                <w:szCs w:val="16"/>
                <w:lang w:eastAsia="ru-RU"/>
              </w:rPr>
            </w:pPr>
            <w:r w:rsidRPr="00513F1D">
              <w:rPr>
                <w:rFonts w:eastAsia="Times New Roman"/>
                <w:sz w:val="16"/>
                <w:szCs w:val="16"/>
                <w:lang w:eastAsia="ru-RU"/>
              </w:rPr>
              <w:t>0,1</w:t>
            </w:r>
          </w:p>
        </w:tc>
        <w:tc>
          <w:tcPr>
            <w:tcW w:w="477" w:type="pct"/>
            <w:shd w:val="clear" w:color="auto" w:fill="auto"/>
            <w:noWrap/>
            <w:vAlign w:val="center"/>
            <w:hideMark/>
          </w:tcPr>
          <w:p w14:paraId="2D22DD28"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3,4</w:t>
            </w:r>
          </w:p>
        </w:tc>
        <w:tc>
          <w:tcPr>
            <w:tcW w:w="422" w:type="pct"/>
            <w:shd w:val="clear" w:color="auto" w:fill="auto"/>
            <w:noWrap/>
            <w:vAlign w:val="center"/>
            <w:hideMark/>
          </w:tcPr>
          <w:p w14:paraId="2D8B0AE5"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0,7</w:t>
            </w:r>
          </w:p>
        </w:tc>
        <w:tc>
          <w:tcPr>
            <w:tcW w:w="371" w:type="pct"/>
            <w:shd w:val="clear" w:color="auto" w:fill="auto"/>
            <w:noWrap/>
            <w:vAlign w:val="center"/>
            <w:hideMark/>
          </w:tcPr>
          <w:p w14:paraId="4A2DB1FB"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2,5</w:t>
            </w:r>
          </w:p>
        </w:tc>
        <w:tc>
          <w:tcPr>
            <w:tcW w:w="569" w:type="pct"/>
            <w:shd w:val="clear" w:color="auto" w:fill="auto"/>
            <w:noWrap/>
            <w:vAlign w:val="center"/>
            <w:hideMark/>
          </w:tcPr>
          <w:p w14:paraId="5611CC44"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0,9</w:t>
            </w:r>
          </w:p>
        </w:tc>
        <w:tc>
          <w:tcPr>
            <w:tcW w:w="327" w:type="pct"/>
            <w:shd w:val="clear" w:color="auto" w:fill="auto"/>
            <w:noWrap/>
            <w:vAlign w:val="center"/>
            <w:hideMark/>
          </w:tcPr>
          <w:p w14:paraId="03D61DA1"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1,7</w:t>
            </w:r>
          </w:p>
        </w:tc>
        <w:tc>
          <w:tcPr>
            <w:tcW w:w="363" w:type="pct"/>
            <w:shd w:val="clear" w:color="auto" w:fill="auto"/>
            <w:noWrap/>
            <w:vAlign w:val="center"/>
            <w:hideMark/>
          </w:tcPr>
          <w:p w14:paraId="483B638F"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238%</w:t>
            </w:r>
          </w:p>
        </w:tc>
        <w:tc>
          <w:tcPr>
            <w:tcW w:w="657" w:type="pct"/>
            <w:shd w:val="clear" w:color="auto" w:fill="auto"/>
            <w:vAlign w:val="center"/>
            <w:hideMark/>
          </w:tcPr>
          <w:p w14:paraId="29673606" w14:textId="77777777" w:rsidR="0065708A" w:rsidRPr="00513F1D" w:rsidRDefault="0065708A" w:rsidP="00F94FED">
            <w:pPr>
              <w:spacing w:after="0" w:line="240" w:lineRule="auto"/>
              <w:jc w:val="center"/>
              <w:rPr>
                <w:rFonts w:eastAsia="Times New Roman"/>
                <w:sz w:val="16"/>
                <w:szCs w:val="16"/>
                <w:lang w:eastAsia="ru-RU"/>
              </w:rPr>
            </w:pPr>
            <w:r w:rsidRPr="00513F1D">
              <w:rPr>
                <w:rFonts w:eastAsia="Times New Roman"/>
                <w:sz w:val="16"/>
                <w:szCs w:val="16"/>
                <w:lang w:eastAsia="ru-RU"/>
              </w:rPr>
              <w:t>0</w:t>
            </w:r>
          </w:p>
        </w:tc>
      </w:tr>
      <w:tr w:rsidR="0065708A" w:rsidRPr="00513F1D" w14:paraId="184C455D" w14:textId="77777777" w:rsidTr="00CB5AA8">
        <w:trPr>
          <w:trHeight w:val="20"/>
        </w:trPr>
        <w:tc>
          <w:tcPr>
            <w:tcW w:w="1257" w:type="pct"/>
            <w:shd w:val="clear" w:color="auto" w:fill="auto"/>
            <w:vAlign w:val="bottom"/>
            <w:hideMark/>
          </w:tcPr>
          <w:p w14:paraId="04DC9DD3" w14:textId="77777777" w:rsidR="0065708A" w:rsidRPr="00513F1D" w:rsidRDefault="0065708A" w:rsidP="009A4C46">
            <w:pPr>
              <w:spacing w:after="0" w:line="240" w:lineRule="auto"/>
              <w:rPr>
                <w:rFonts w:eastAsia="Times New Roman"/>
                <w:sz w:val="16"/>
                <w:szCs w:val="16"/>
                <w:lang w:eastAsia="ru-RU"/>
              </w:rPr>
            </w:pPr>
            <w:r w:rsidRPr="00513F1D">
              <w:rPr>
                <w:rFonts w:eastAsia="Times New Roman"/>
                <w:sz w:val="16"/>
                <w:szCs w:val="16"/>
                <w:lang w:eastAsia="ru-RU"/>
              </w:rPr>
              <w:t>Строительство ВЛ, КЛ 10-0.4 кВ для потребителей от 15 кВт до 150 кВт (293-2/90 20.17.525.13 от 03.06.2013.; 723-1/95 от 27.06.2013.; 696-1/100 20.17.844.13 от 31.07.2013.; 821-1/100 20.17.904.13 от 09.08.2013.; 936-2/96,6 20.17.899.13 от 09.08.2013.; 1027-4/20 от 27.09.2013. и т.д.)</w:t>
            </w:r>
          </w:p>
        </w:tc>
        <w:tc>
          <w:tcPr>
            <w:tcW w:w="556" w:type="pct"/>
            <w:shd w:val="clear" w:color="auto" w:fill="auto"/>
            <w:vAlign w:val="center"/>
          </w:tcPr>
          <w:p w14:paraId="1E9F6984" w14:textId="77777777" w:rsidR="0065708A" w:rsidRPr="00513F1D" w:rsidRDefault="0065708A" w:rsidP="003E2802">
            <w:pPr>
              <w:spacing w:after="0" w:line="240" w:lineRule="auto"/>
              <w:jc w:val="center"/>
              <w:rPr>
                <w:rFonts w:eastAsia="Times New Roman"/>
                <w:sz w:val="16"/>
                <w:szCs w:val="16"/>
                <w:lang w:eastAsia="ru-RU"/>
              </w:rPr>
            </w:pPr>
          </w:p>
        </w:tc>
        <w:tc>
          <w:tcPr>
            <w:tcW w:w="477" w:type="pct"/>
            <w:shd w:val="clear" w:color="auto" w:fill="auto"/>
            <w:vAlign w:val="center"/>
            <w:hideMark/>
          </w:tcPr>
          <w:p w14:paraId="649FB9D4" w14:textId="77777777" w:rsidR="0065708A" w:rsidRPr="00513F1D" w:rsidRDefault="0065708A">
            <w:pPr>
              <w:spacing w:after="0" w:line="240" w:lineRule="auto"/>
              <w:jc w:val="center"/>
              <w:rPr>
                <w:rFonts w:eastAsia="Times New Roman"/>
                <w:sz w:val="16"/>
                <w:szCs w:val="16"/>
                <w:lang w:eastAsia="ru-RU"/>
              </w:rPr>
            </w:pPr>
            <w:proofErr w:type="spellStart"/>
            <w:r w:rsidRPr="00513F1D">
              <w:rPr>
                <w:rFonts w:eastAsia="Times New Roman"/>
                <w:sz w:val="16"/>
                <w:szCs w:val="16"/>
                <w:lang w:eastAsia="ru-RU"/>
              </w:rPr>
              <w:t>нд</w:t>
            </w:r>
            <w:proofErr w:type="spellEnd"/>
          </w:p>
        </w:tc>
        <w:tc>
          <w:tcPr>
            <w:tcW w:w="422" w:type="pct"/>
            <w:shd w:val="clear" w:color="auto" w:fill="auto"/>
            <w:noWrap/>
            <w:vAlign w:val="center"/>
            <w:hideMark/>
          </w:tcPr>
          <w:p w14:paraId="5EA8E1CA" w14:textId="77777777" w:rsidR="0065708A" w:rsidRPr="00513F1D" w:rsidRDefault="0065708A">
            <w:pPr>
              <w:spacing w:after="0" w:line="240" w:lineRule="auto"/>
              <w:jc w:val="center"/>
              <w:rPr>
                <w:rFonts w:eastAsia="Times New Roman"/>
                <w:sz w:val="16"/>
                <w:szCs w:val="16"/>
                <w:lang w:eastAsia="ru-RU"/>
              </w:rPr>
            </w:pPr>
          </w:p>
        </w:tc>
        <w:tc>
          <w:tcPr>
            <w:tcW w:w="371" w:type="pct"/>
            <w:shd w:val="clear" w:color="auto" w:fill="auto"/>
            <w:noWrap/>
            <w:vAlign w:val="center"/>
            <w:hideMark/>
          </w:tcPr>
          <w:p w14:paraId="0FEAF22E"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1,4</w:t>
            </w:r>
          </w:p>
        </w:tc>
        <w:tc>
          <w:tcPr>
            <w:tcW w:w="569" w:type="pct"/>
            <w:shd w:val="clear" w:color="auto" w:fill="auto"/>
            <w:vAlign w:val="center"/>
            <w:hideMark/>
          </w:tcPr>
          <w:p w14:paraId="4359827D" w14:textId="77777777" w:rsidR="0065708A" w:rsidRPr="00513F1D" w:rsidRDefault="0065708A">
            <w:pPr>
              <w:spacing w:after="0" w:line="240" w:lineRule="auto"/>
              <w:jc w:val="center"/>
              <w:rPr>
                <w:rFonts w:eastAsia="Times New Roman"/>
                <w:sz w:val="16"/>
                <w:szCs w:val="16"/>
                <w:lang w:eastAsia="ru-RU"/>
              </w:rPr>
            </w:pPr>
            <w:proofErr w:type="spellStart"/>
            <w:r w:rsidRPr="00513F1D">
              <w:rPr>
                <w:rFonts w:eastAsia="Times New Roman"/>
                <w:sz w:val="16"/>
                <w:szCs w:val="16"/>
                <w:lang w:eastAsia="ru-RU"/>
              </w:rPr>
              <w:t>нд</w:t>
            </w:r>
            <w:proofErr w:type="spellEnd"/>
          </w:p>
        </w:tc>
        <w:tc>
          <w:tcPr>
            <w:tcW w:w="327" w:type="pct"/>
            <w:shd w:val="clear" w:color="auto" w:fill="auto"/>
            <w:noWrap/>
            <w:vAlign w:val="center"/>
            <w:hideMark/>
          </w:tcPr>
          <w:p w14:paraId="5BEFBC97"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1,4</w:t>
            </w:r>
          </w:p>
        </w:tc>
        <w:tc>
          <w:tcPr>
            <w:tcW w:w="363" w:type="pct"/>
            <w:shd w:val="clear" w:color="auto" w:fill="auto"/>
            <w:noWrap/>
            <w:vAlign w:val="center"/>
            <w:hideMark/>
          </w:tcPr>
          <w:p w14:paraId="1722DC20" w14:textId="77777777" w:rsidR="0065708A" w:rsidRPr="00513F1D" w:rsidRDefault="0065708A">
            <w:pPr>
              <w:spacing w:after="0" w:line="240" w:lineRule="auto"/>
              <w:jc w:val="center"/>
              <w:rPr>
                <w:rFonts w:eastAsia="Times New Roman"/>
                <w:sz w:val="16"/>
                <w:szCs w:val="16"/>
                <w:lang w:eastAsia="ru-RU"/>
              </w:rPr>
            </w:pPr>
          </w:p>
        </w:tc>
        <w:tc>
          <w:tcPr>
            <w:tcW w:w="657" w:type="pct"/>
            <w:shd w:val="clear" w:color="auto" w:fill="auto"/>
            <w:vAlign w:val="center"/>
            <w:hideMark/>
          </w:tcPr>
          <w:p w14:paraId="2F63875A" w14:textId="77777777" w:rsidR="0065708A" w:rsidRPr="00513F1D" w:rsidRDefault="0065708A" w:rsidP="00F94FED">
            <w:pPr>
              <w:spacing w:after="0" w:line="240" w:lineRule="auto"/>
              <w:jc w:val="center"/>
              <w:rPr>
                <w:rFonts w:eastAsia="Times New Roman"/>
                <w:sz w:val="16"/>
                <w:szCs w:val="16"/>
                <w:lang w:eastAsia="ru-RU"/>
              </w:rPr>
            </w:pPr>
            <w:r w:rsidRPr="00513F1D">
              <w:rPr>
                <w:rFonts w:eastAsia="Times New Roman"/>
                <w:sz w:val="16"/>
                <w:szCs w:val="16"/>
                <w:lang w:eastAsia="ru-RU"/>
              </w:rPr>
              <w:t>Выполнение объектов  ТП</w:t>
            </w:r>
          </w:p>
        </w:tc>
      </w:tr>
      <w:tr w:rsidR="0065708A" w:rsidRPr="00513F1D" w14:paraId="6492D803" w14:textId="77777777" w:rsidTr="00CB5AA8">
        <w:trPr>
          <w:trHeight w:val="20"/>
        </w:trPr>
        <w:tc>
          <w:tcPr>
            <w:tcW w:w="1257" w:type="pct"/>
            <w:shd w:val="clear" w:color="auto" w:fill="auto"/>
            <w:vAlign w:val="bottom"/>
            <w:hideMark/>
          </w:tcPr>
          <w:p w14:paraId="489ABF8D" w14:textId="77777777" w:rsidR="0065708A" w:rsidRPr="00513F1D" w:rsidRDefault="0065708A" w:rsidP="009A4C46">
            <w:pPr>
              <w:spacing w:after="0" w:line="240" w:lineRule="auto"/>
              <w:rPr>
                <w:rFonts w:eastAsia="Times New Roman"/>
                <w:sz w:val="16"/>
                <w:szCs w:val="16"/>
                <w:lang w:eastAsia="ru-RU"/>
              </w:rPr>
            </w:pPr>
            <w:r w:rsidRPr="00513F1D">
              <w:rPr>
                <w:rFonts w:eastAsia="Times New Roman"/>
                <w:sz w:val="16"/>
                <w:szCs w:val="16"/>
                <w:lang w:eastAsia="ru-RU"/>
              </w:rPr>
              <w:t xml:space="preserve">Строительство ТП 10/0.4кВ для потребителей от 15 кВт до 150 кВт (293-2/90 20.17.525.13 от </w:t>
            </w:r>
            <w:r w:rsidRPr="00513F1D">
              <w:rPr>
                <w:rFonts w:eastAsia="Times New Roman"/>
                <w:sz w:val="16"/>
                <w:szCs w:val="16"/>
                <w:lang w:eastAsia="ru-RU"/>
              </w:rPr>
              <w:lastRenderedPageBreak/>
              <w:t>03.06.2013.; 723-1/95 от 27.06.2013.; 696-1/100 20.17.844.13 от 31.07.2013.; 821-1/100 20.17.904.13 от 09.08.2013.; 936-2/96,6 20.17.899.13 от 09.08.2013.; 1027-4/20 от 27.09.2013. и т.д.)</w:t>
            </w:r>
          </w:p>
        </w:tc>
        <w:tc>
          <w:tcPr>
            <w:tcW w:w="556" w:type="pct"/>
            <w:shd w:val="clear" w:color="auto" w:fill="auto"/>
            <w:vAlign w:val="center"/>
            <w:hideMark/>
          </w:tcPr>
          <w:p w14:paraId="73B35F08" w14:textId="77777777" w:rsidR="0065708A" w:rsidRPr="00513F1D" w:rsidRDefault="0065708A" w:rsidP="003E2802">
            <w:pPr>
              <w:spacing w:after="0" w:line="240" w:lineRule="auto"/>
              <w:jc w:val="center"/>
              <w:rPr>
                <w:rFonts w:eastAsia="Times New Roman"/>
                <w:sz w:val="16"/>
                <w:szCs w:val="16"/>
                <w:lang w:eastAsia="ru-RU"/>
              </w:rPr>
            </w:pPr>
            <w:proofErr w:type="spellStart"/>
            <w:r w:rsidRPr="00513F1D">
              <w:rPr>
                <w:rFonts w:eastAsia="Times New Roman"/>
                <w:sz w:val="16"/>
                <w:szCs w:val="16"/>
                <w:lang w:eastAsia="ru-RU"/>
              </w:rPr>
              <w:lastRenderedPageBreak/>
              <w:t>нд</w:t>
            </w:r>
            <w:proofErr w:type="spellEnd"/>
          </w:p>
        </w:tc>
        <w:tc>
          <w:tcPr>
            <w:tcW w:w="477" w:type="pct"/>
            <w:shd w:val="clear" w:color="auto" w:fill="auto"/>
            <w:vAlign w:val="center"/>
            <w:hideMark/>
          </w:tcPr>
          <w:p w14:paraId="4351BBCE" w14:textId="77777777" w:rsidR="0065708A" w:rsidRPr="00513F1D" w:rsidRDefault="0065708A">
            <w:pPr>
              <w:spacing w:after="0" w:line="240" w:lineRule="auto"/>
              <w:jc w:val="center"/>
              <w:rPr>
                <w:rFonts w:eastAsia="Times New Roman"/>
                <w:sz w:val="16"/>
                <w:szCs w:val="16"/>
                <w:lang w:eastAsia="ru-RU"/>
              </w:rPr>
            </w:pPr>
            <w:proofErr w:type="spellStart"/>
            <w:r w:rsidRPr="00513F1D">
              <w:rPr>
                <w:rFonts w:eastAsia="Times New Roman"/>
                <w:sz w:val="16"/>
                <w:szCs w:val="16"/>
                <w:lang w:eastAsia="ru-RU"/>
              </w:rPr>
              <w:t>нд</w:t>
            </w:r>
            <w:proofErr w:type="spellEnd"/>
          </w:p>
        </w:tc>
        <w:tc>
          <w:tcPr>
            <w:tcW w:w="422" w:type="pct"/>
            <w:shd w:val="clear" w:color="auto" w:fill="auto"/>
            <w:noWrap/>
            <w:vAlign w:val="center"/>
            <w:hideMark/>
          </w:tcPr>
          <w:p w14:paraId="319E9817" w14:textId="77777777" w:rsidR="0065708A" w:rsidRPr="00513F1D" w:rsidRDefault="0065708A">
            <w:pPr>
              <w:spacing w:after="0" w:line="240" w:lineRule="auto"/>
              <w:jc w:val="center"/>
              <w:rPr>
                <w:rFonts w:eastAsia="Times New Roman"/>
                <w:sz w:val="16"/>
                <w:szCs w:val="16"/>
                <w:lang w:eastAsia="ru-RU"/>
              </w:rPr>
            </w:pPr>
          </w:p>
        </w:tc>
        <w:tc>
          <w:tcPr>
            <w:tcW w:w="371" w:type="pct"/>
            <w:shd w:val="clear" w:color="auto" w:fill="auto"/>
            <w:noWrap/>
            <w:vAlign w:val="center"/>
            <w:hideMark/>
          </w:tcPr>
          <w:p w14:paraId="2C3D846C"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0,3</w:t>
            </w:r>
          </w:p>
        </w:tc>
        <w:tc>
          <w:tcPr>
            <w:tcW w:w="569" w:type="pct"/>
            <w:shd w:val="clear" w:color="auto" w:fill="auto"/>
            <w:vAlign w:val="center"/>
            <w:hideMark/>
          </w:tcPr>
          <w:p w14:paraId="4F0DE373" w14:textId="77777777" w:rsidR="0065708A" w:rsidRPr="00513F1D" w:rsidRDefault="0065708A">
            <w:pPr>
              <w:spacing w:after="0" w:line="240" w:lineRule="auto"/>
              <w:jc w:val="center"/>
              <w:rPr>
                <w:rFonts w:eastAsia="Times New Roman"/>
                <w:sz w:val="16"/>
                <w:szCs w:val="16"/>
                <w:lang w:eastAsia="ru-RU"/>
              </w:rPr>
            </w:pPr>
            <w:proofErr w:type="spellStart"/>
            <w:r w:rsidRPr="00513F1D">
              <w:rPr>
                <w:rFonts w:eastAsia="Times New Roman"/>
                <w:sz w:val="16"/>
                <w:szCs w:val="16"/>
                <w:lang w:eastAsia="ru-RU"/>
              </w:rPr>
              <w:t>нд</w:t>
            </w:r>
            <w:proofErr w:type="spellEnd"/>
          </w:p>
        </w:tc>
        <w:tc>
          <w:tcPr>
            <w:tcW w:w="327" w:type="pct"/>
            <w:shd w:val="clear" w:color="auto" w:fill="auto"/>
            <w:noWrap/>
            <w:vAlign w:val="center"/>
            <w:hideMark/>
          </w:tcPr>
          <w:p w14:paraId="62DB7FCD"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0,3</w:t>
            </w:r>
          </w:p>
        </w:tc>
        <w:tc>
          <w:tcPr>
            <w:tcW w:w="363" w:type="pct"/>
            <w:shd w:val="clear" w:color="auto" w:fill="auto"/>
            <w:noWrap/>
            <w:vAlign w:val="center"/>
            <w:hideMark/>
          </w:tcPr>
          <w:p w14:paraId="19C2D130" w14:textId="77777777" w:rsidR="0065708A" w:rsidRPr="00513F1D" w:rsidRDefault="0065708A">
            <w:pPr>
              <w:spacing w:after="0" w:line="240" w:lineRule="auto"/>
              <w:jc w:val="center"/>
              <w:rPr>
                <w:rFonts w:eastAsia="Times New Roman"/>
                <w:sz w:val="16"/>
                <w:szCs w:val="16"/>
                <w:lang w:eastAsia="ru-RU"/>
              </w:rPr>
            </w:pPr>
          </w:p>
        </w:tc>
        <w:tc>
          <w:tcPr>
            <w:tcW w:w="657" w:type="pct"/>
            <w:shd w:val="clear" w:color="auto" w:fill="auto"/>
            <w:vAlign w:val="center"/>
            <w:hideMark/>
          </w:tcPr>
          <w:p w14:paraId="61DFDFA0" w14:textId="77777777" w:rsidR="0065708A" w:rsidRPr="00513F1D" w:rsidRDefault="0065708A" w:rsidP="00F94FED">
            <w:pPr>
              <w:spacing w:after="0" w:line="240" w:lineRule="auto"/>
              <w:jc w:val="center"/>
              <w:rPr>
                <w:rFonts w:eastAsia="Times New Roman"/>
                <w:sz w:val="16"/>
                <w:szCs w:val="16"/>
                <w:lang w:eastAsia="ru-RU"/>
              </w:rPr>
            </w:pPr>
            <w:r w:rsidRPr="00513F1D">
              <w:rPr>
                <w:rFonts w:eastAsia="Times New Roman"/>
                <w:sz w:val="16"/>
                <w:szCs w:val="16"/>
                <w:lang w:eastAsia="ru-RU"/>
              </w:rPr>
              <w:t>Выполнение объектов  ТП</w:t>
            </w:r>
          </w:p>
        </w:tc>
      </w:tr>
      <w:tr w:rsidR="0065708A" w:rsidRPr="00513F1D" w14:paraId="18E25F93" w14:textId="77777777" w:rsidTr="00CB5AA8">
        <w:trPr>
          <w:trHeight w:val="20"/>
        </w:trPr>
        <w:tc>
          <w:tcPr>
            <w:tcW w:w="1257" w:type="pct"/>
            <w:shd w:val="clear" w:color="auto" w:fill="auto"/>
            <w:vAlign w:val="bottom"/>
            <w:hideMark/>
          </w:tcPr>
          <w:p w14:paraId="72F67A46" w14:textId="77777777" w:rsidR="0065708A" w:rsidRPr="00513F1D" w:rsidRDefault="0065708A" w:rsidP="009A4C46">
            <w:pPr>
              <w:spacing w:after="0" w:line="240" w:lineRule="auto"/>
              <w:rPr>
                <w:rFonts w:eastAsia="Times New Roman"/>
                <w:sz w:val="16"/>
                <w:szCs w:val="16"/>
                <w:lang w:eastAsia="ru-RU"/>
              </w:rPr>
            </w:pPr>
            <w:r w:rsidRPr="00513F1D">
              <w:rPr>
                <w:rFonts w:eastAsia="Times New Roman"/>
                <w:sz w:val="16"/>
                <w:szCs w:val="16"/>
                <w:lang w:eastAsia="ru-RU"/>
              </w:rPr>
              <w:t>Реконструкция ВЛ, КЛ 10-0.4 кВ, ТП для потребителей от 15 кВт до 150 кВт</w:t>
            </w:r>
          </w:p>
        </w:tc>
        <w:tc>
          <w:tcPr>
            <w:tcW w:w="556" w:type="pct"/>
            <w:shd w:val="clear" w:color="auto" w:fill="auto"/>
            <w:vAlign w:val="center"/>
            <w:hideMark/>
          </w:tcPr>
          <w:p w14:paraId="74BDC956" w14:textId="77777777" w:rsidR="0065708A" w:rsidRPr="00513F1D" w:rsidRDefault="0065708A" w:rsidP="003E2802">
            <w:pPr>
              <w:spacing w:after="0" w:line="240" w:lineRule="auto"/>
              <w:jc w:val="center"/>
              <w:rPr>
                <w:rFonts w:eastAsia="Times New Roman"/>
                <w:sz w:val="16"/>
                <w:szCs w:val="16"/>
                <w:lang w:eastAsia="ru-RU"/>
              </w:rPr>
            </w:pPr>
            <w:r w:rsidRPr="00513F1D">
              <w:rPr>
                <w:rFonts w:eastAsia="Times New Roman"/>
                <w:sz w:val="16"/>
                <w:szCs w:val="16"/>
                <w:lang w:eastAsia="ru-RU"/>
              </w:rPr>
              <w:t>0,1</w:t>
            </w:r>
          </w:p>
        </w:tc>
        <w:tc>
          <w:tcPr>
            <w:tcW w:w="477" w:type="pct"/>
            <w:shd w:val="clear" w:color="auto" w:fill="auto"/>
            <w:vAlign w:val="center"/>
            <w:hideMark/>
          </w:tcPr>
          <w:p w14:paraId="2FE1D677"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3,4</w:t>
            </w:r>
          </w:p>
        </w:tc>
        <w:tc>
          <w:tcPr>
            <w:tcW w:w="422" w:type="pct"/>
            <w:shd w:val="clear" w:color="auto" w:fill="auto"/>
            <w:noWrap/>
            <w:vAlign w:val="center"/>
            <w:hideMark/>
          </w:tcPr>
          <w:p w14:paraId="05ED4E34"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0,7</w:t>
            </w:r>
          </w:p>
        </w:tc>
        <w:tc>
          <w:tcPr>
            <w:tcW w:w="371" w:type="pct"/>
            <w:shd w:val="clear" w:color="auto" w:fill="auto"/>
            <w:noWrap/>
            <w:vAlign w:val="center"/>
            <w:hideMark/>
          </w:tcPr>
          <w:p w14:paraId="7BDDD27D"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0,7</w:t>
            </w:r>
          </w:p>
        </w:tc>
        <w:tc>
          <w:tcPr>
            <w:tcW w:w="569" w:type="pct"/>
            <w:shd w:val="clear" w:color="auto" w:fill="auto"/>
            <w:noWrap/>
            <w:vAlign w:val="center"/>
            <w:hideMark/>
          </w:tcPr>
          <w:p w14:paraId="07E10F0F"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2,7</w:t>
            </w:r>
          </w:p>
        </w:tc>
        <w:tc>
          <w:tcPr>
            <w:tcW w:w="327" w:type="pct"/>
            <w:shd w:val="clear" w:color="auto" w:fill="auto"/>
            <w:noWrap/>
            <w:vAlign w:val="center"/>
            <w:hideMark/>
          </w:tcPr>
          <w:p w14:paraId="600B597C"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-0,0</w:t>
            </w:r>
          </w:p>
        </w:tc>
        <w:tc>
          <w:tcPr>
            <w:tcW w:w="363" w:type="pct"/>
            <w:shd w:val="clear" w:color="auto" w:fill="auto"/>
            <w:noWrap/>
            <w:vAlign w:val="center"/>
            <w:hideMark/>
          </w:tcPr>
          <w:p w14:paraId="2E74DC3D"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-1%</w:t>
            </w:r>
          </w:p>
        </w:tc>
        <w:tc>
          <w:tcPr>
            <w:tcW w:w="657" w:type="pct"/>
            <w:shd w:val="clear" w:color="auto" w:fill="auto"/>
            <w:vAlign w:val="center"/>
            <w:hideMark/>
          </w:tcPr>
          <w:p w14:paraId="5431E31B" w14:textId="77777777" w:rsidR="0065708A" w:rsidRPr="00513F1D" w:rsidRDefault="0065708A" w:rsidP="00F94FED">
            <w:pPr>
              <w:spacing w:after="0" w:line="240" w:lineRule="auto"/>
              <w:jc w:val="center"/>
              <w:rPr>
                <w:rFonts w:eastAsia="Times New Roman"/>
                <w:sz w:val="16"/>
                <w:szCs w:val="16"/>
                <w:lang w:eastAsia="ru-RU"/>
              </w:rPr>
            </w:pPr>
            <w:r w:rsidRPr="00513F1D">
              <w:rPr>
                <w:rFonts w:eastAsia="Times New Roman"/>
                <w:sz w:val="16"/>
                <w:szCs w:val="16"/>
                <w:lang w:eastAsia="ru-RU"/>
              </w:rPr>
              <w:t>Выполнение объектов  ТП</w:t>
            </w:r>
          </w:p>
        </w:tc>
      </w:tr>
      <w:tr w:rsidR="0065708A" w:rsidRPr="00513F1D" w14:paraId="3CDB8FA0" w14:textId="77777777" w:rsidTr="00CB5AA8">
        <w:trPr>
          <w:trHeight w:val="20"/>
        </w:trPr>
        <w:tc>
          <w:tcPr>
            <w:tcW w:w="1257" w:type="pct"/>
            <w:shd w:val="clear" w:color="auto" w:fill="auto"/>
            <w:vAlign w:val="bottom"/>
            <w:hideMark/>
          </w:tcPr>
          <w:p w14:paraId="2889FAF3" w14:textId="77777777" w:rsidR="0065708A" w:rsidRPr="00513F1D" w:rsidRDefault="0065708A" w:rsidP="009A4C46">
            <w:pPr>
              <w:spacing w:after="0" w:line="240" w:lineRule="auto"/>
              <w:rPr>
                <w:rFonts w:eastAsia="Times New Roman"/>
                <w:sz w:val="16"/>
                <w:szCs w:val="16"/>
                <w:lang w:eastAsia="ru-RU"/>
              </w:rPr>
            </w:pPr>
            <w:r w:rsidRPr="00513F1D">
              <w:rPr>
                <w:rFonts w:eastAsia="Times New Roman"/>
                <w:sz w:val="16"/>
                <w:szCs w:val="16"/>
                <w:lang w:eastAsia="ru-RU"/>
              </w:rPr>
              <w:t>Технологическое присоединение энергопринимающих устройств потребителей свыше 150 кВт, всего, в том числе:</w:t>
            </w:r>
          </w:p>
        </w:tc>
        <w:tc>
          <w:tcPr>
            <w:tcW w:w="556" w:type="pct"/>
            <w:shd w:val="clear" w:color="auto" w:fill="auto"/>
            <w:noWrap/>
            <w:vAlign w:val="center"/>
            <w:hideMark/>
          </w:tcPr>
          <w:p w14:paraId="506CF2C0" w14:textId="77777777" w:rsidR="0065708A" w:rsidRPr="00513F1D" w:rsidRDefault="0065708A" w:rsidP="003E2802">
            <w:pPr>
              <w:spacing w:after="0" w:line="240" w:lineRule="auto"/>
              <w:jc w:val="center"/>
              <w:rPr>
                <w:rFonts w:eastAsia="Times New Roman"/>
                <w:sz w:val="16"/>
                <w:szCs w:val="16"/>
                <w:lang w:eastAsia="ru-RU"/>
              </w:rPr>
            </w:pPr>
            <w:r w:rsidRPr="00513F1D">
              <w:rPr>
                <w:rFonts w:eastAsia="Times New Roman"/>
                <w:sz w:val="16"/>
                <w:szCs w:val="16"/>
                <w:lang w:eastAsia="ru-RU"/>
              </w:rPr>
              <w:t>329,4</w:t>
            </w:r>
          </w:p>
        </w:tc>
        <w:tc>
          <w:tcPr>
            <w:tcW w:w="477" w:type="pct"/>
            <w:shd w:val="clear" w:color="auto" w:fill="auto"/>
            <w:noWrap/>
            <w:vAlign w:val="center"/>
            <w:hideMark/>
          </w:tcPr>
          <w:p w14:paraId="7EA98B9C"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216,8</w:t>
            </w:r>
          </w:p>
        </w:tc>
        <w:tc>
          <w:tcPr>
            <w:tcW w:w="422" w:type="pct"/>
            <w:shd w:val="clear" w:color="auto" w:fill="auto"/>
            <w:noWrap/>
            <w:vAlign w:val="center"/>
            <w:hideMark/>
          </w:tcPr>
          <w:p w14:paraId="495DD409"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178,7</w:t>
            </w:r>
          </w:p>
        </w:tc>
        <w:tc>
          <w:tcPr>
            <w:tcW w:w="371" w:type="pct"/>
            <w:shd w:val="clear" w:color="auto" w:fill="auto"/>
            <w:noWrap/>
            <w:vAlign w:val="center"/>
            <w:hideMark/>
          </w:tcPr>
          <w:p w14:paraId="2F9C3A8E"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180,3</w:t>
            </w:r>
          </w:p>
        </w:tc>
        <w:tc>
          <w:tcPr>
            <w:tcW w:w="569" w:type="pct"/>
            <w:shd w:val="clear" w:color="auto" w:fill="auto"/>
            <w:noWrap/>
            <w:vAlign w:val="center"/>
            <w:hideMark/>
          </w:tcPr>
          <w:p w14:paraId="177F38E6"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36,6</w:t>
            </w:r>
          </w:p>
        </w:tc>
        <w:tc>
          <w:tcPr>
            <w:tcW w:w="327" w:type="pct"/>
            <w:shd w:val="clear" w:color="auto" w:fill="auto"/>
            <w:noWrap/>
            <w:vAlign w:val="center"/>
            <w:hideMark/>
          </w:tcPr>
          <w:p w14:paraId="06B684D5"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1,6</w:t>
            </w:r>
          </w:p>
        </w:tc>
        <w:tc>
          <w:tcPr>
            <w:tcW w:w="363" w:type="pct"/>
            <w:shd w:val="clear" w:color="auto" w:fill="auto"/>
            <w:noWrap/>
            <w:vAlign w:val="center"/>
            <w:hideMark/>
          </w:tcPr>
          <w:p w14:paraId="2312987A"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1%</w:t>
            </w:r>
          </w:p>
        </w:tc>
        <w:tc>
          <w:tcPr>
            <w:tcW w:w="657" w:type="pct"/>
            <w:shd w:val="clear" w:color="auto" w:fill="auto"/>
            <w:vAlign w:val="center"/>
            <w:hideMark/>
          </w:tcPr>
          <w:p w14:paraId="1B704389" w14:textId="77777777" w:rsidR="0065708A" w:rsidRPr="00513F1D" w:rsidRDefault="0065708A" w:rsidP="00F94FED">
            <w:pPr>
              <w:spacing w:after="0" w:line="240" w:lineRule="auto"/>
              <w:jc w:val="center"/>
              <w:rPr>
                <w:rFonts w:eastAsia="Times New Roman"/>
                <w:sz w:val="16"/>
                <w:szCs w:val="16"/>
                <w:lang w:eastAsia="ru-RU"/>
              </w:rPr>
            </w:pPr>
            <w:r w:rsidRPr="00513F1D">
              <w:rPr>
                <w:rFonts w:eastAsia="Times New Roman"/>
                <w:sz w:val="16"/>
                <w:szCs w:val="16"/>
                <w:lang w:eastAsia="ru-RU"/>
              </w:rPr>
              <w:t>0</w:t>
            </w:r>
          </w:p>
        </w:tc>
      </w:tr>
      <w:tr w:rsidR="0065708A" w:rsidRPr="00513F1D" w14:paraId="472159A5" w14:textId="77777777" w:rsidTr="00CB5AA8">
        <w:trPr>
          <w:trHeight w:val="20"/>
        </w:trPr>
        <w:tc>
          <w:tcPr>
            <w:tcW w:w="1257" w:type="pct"/>
            <w:shd w:val="clear" w:color="auto" w:fill="auto"/>
            <w:vAlign w:val="bottom"/>
            <w:hideMark/>
          </w:tcPr>
          <w:p w14:paraId="7D936929" w14:textId="77777777" w:rsidR="0065708A" w:rsidRPr="00513F1D" w:rsidRDefault="0065708A" w:rsidP="009A4C46">
            <w:pPr>
              <w:spacing w:after="0" w:line="240" w:lineRule="auto"/>
              <w:rPr>
                <w:rFonts w:eastAsia="Times New Roman"/>
                <w:sz w:val="16"/>
                <w:szCs w:val="16"/>
                <w:lang w:eastAsia="ru-RU"/>
              </w:rPr>
            </w:pPr>
            <w:r w:rsidRPr="00513F1D">
              <w:rPr>
                <w:rFonts w:eastAsia="Times New Roman"/>
                <w:sz w:val="16"/>
                <w:szCs w:val="16"/>
                <w:lang w:eastAsia="ru-RU"/>
              </w:rPr>
              <w:t>Строительство 2-х цепной ВЛ 110 кВ к ПС 110 кВ "</w:t>
            </w:r>
            <w:proofErr w:type="spellStart"/>
            <w:r w:rsidRPr="00513F1D">
              <w:rPr>
                <w:rFonts w:eastAsia="Times New Roman"/>
                <w:sz w:val="16"/>
                <w:szCs w:val="16"/>
                <w:lang w:eastAsia="ru-RU"/>
              </w:rPr>
              <w:t>Вавилинская</w:t>
            </w:r>
            <w:proofErr w:type="spellEnd"/>
            <w:r w:rsidRPr="00513F1D">
              <w:rPr>
                <w:rFonts w:eastAsia="Times New Roman"/>
                <w:sz w:val="16"/>
                <w:szCs w:val="16"/>
                <w:lang w:eastAsia="ru-RU"/>
              </w:rPr>
              <w:t>"</w:t>
            </w:r>
          </w:p>
        </w:tc>
        <w:tc>
          <w:tcPr>
            <w:tcW w:w="556" w:type="pct"/>
            <w:shd w:val="clear" w:color="auto" w:fill="auto"/>
            <w:vAlign w:val="center"/>
            <w:hideMark/>
          </w:tcPr>
          <w:p w14:paraId="1B3657BD" w14:textId="77777777" w:rsidR="0065708A" w:rsidRPr="00513F1D" w:rsidRDefault="0065708A" w:rsidP="003E2802">
            <w:pPr>
              <w:spacing w:after="0" w:line="240" w:lineRule="auto"/>
              <w:jc w:val="center"/>
              <w:rPr>
                <w:rFonts w:eastAsia="Times New Roman"/>
                <w:sz w:val="16"/>
                <w:szCs w:val="16"/>
                <w:lang w:eastAsia="ru-RU"/>
              </w:rPr>
            </w:pPr>
            <w:r w:rsidRPr="00513F1D">
              <w:rPr>
                <w:rFonts w:eastAsia="Times New Roman"/>
                <w:sz w:val="16"/>
                <w:szCs w:val="16"/>
                <w:lang w:eastAsia="ru-RU"/>
              </w:rPr>
              <w:t>72,8</w:t>
            </w:r>
          </w:p>
        </w:tc>
        <w:tc>
          <w:tcPr>
            <w:tcW w:w="477" w:type="pct"/>
            <w:shd w:val="clear" w:color="auto" w:fill="auto"/>
            <w:vAlign w:val="center"/>
            <w:hideMark/>
          </w:tcPr>
          <w:p w14:paraId="0ED09B4B"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110,8</w:t>
            </w:r>
          </w:p>
        </w:tc>
        <w:tc>
          <w:tcPr>
            <w:tcW w:w="422" w:type="pct"/>
            <w:shd w:val="clear" w:color="auto" w:fill="auto"/>
            <w:noWrap/>
            <w:vAlign w:val="center"/>
            <w:hideMark/>
          </w:tcPr>
          <w:p w14:paraId="73E25779"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97,4</w:t>
            </w:r>
          </w:p>
        </w:tc>
        <w:tc>
          <w:tcPr>
            <w:tcW w:w="371" w:type="pct"/>
            <w:shd w:val="clear" w:color="auto" w:fill="auto"/>
            <w:noWrap/>
            <w:vAlign w:val="center"/>
            <w:hideMark/>
          </w:tcPr>
          <w:p w14:paraId="4D42A4E2"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86,4</w:t>
            </w:r>
          </w:p>
        </w:tc>
        <w:tc>
          <w:tcPr>
            <w:tcW w:w="569" w:type="pct"/>
            <w:shd w:val="clear" w:color="auto" w:fill="auto"/>
            <w:noWrap/>
            <w:vAlign w:val="center"/>
            <w:hideMark/>
          </w:tcPr>
          <w:p w14:paraId="10BC498C"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24,3</w:t>
            </w:r>
          </w:p>
        </w:tc>
        <w:tc>
          <w:tcPr>
            <w:tcW w:w="327" w:type="pct"/>
            <w:shd w:val="clear" w:color="auto" w:fill="auto"/>
            <w:noWrap/>
            <w:vAlign w:val="center"/>
            <w:hideMark/>
          </w:tcPr>
          <w:p w14:paraId="225E325D"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-11,0</w:t>
            </w:r>
          </w:p>
        </w:tc>
        <w:tc>
          <w:tcPr>
            <w:tcW w:w="363" w:type="pct"/>
            <w:shd w:val="clear" w:color="auto" w:fill="auto"/>
            <w:noWrap/>
            <w:vAlign w:val="center"/>
            <w:hideMark/>
          </w:tcPr>
          <w:p w14:paraId="12BEDD99"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-11%</w:t>
            </w:r>
          </w:p>
        </w:tc>
        <w:tc>
          <w:tcPr>
            <w:tcW w:w="657" w:type="pct"/>
            <w:shd w:val="clear" w:color="auto" w:fill="auto"/>
            <w:vAlign w:val="center"/>
            <w:hideMark/>
          </w:tcPr>
          <w:p w14:paraId="3F47F8D2" w14:textId="77777777" w:rsidR="0065708A" w:rsidRPr="00513F1D" w:rsidRDefault="0065708A" w:rsidP="00F94FED">
            <w:pPr>
              <w:spacing w:after="0" w:line="240" w:lineRule="auto"/>
              <w:jc w:val="center"/>
              <w:rPr>
                <w:rFonts w:eastAsia="Times New Roman"/>
                <w:sz w:val="16"/>
                <w:szCs w:val="16"/>
                <w:lang w:eastAsia="ru-RU"/>
              </w:rPr>
            </w:pPr>
            <w:r w:rsidRPr="00513F1D">
              <w:rPr>
                <w:rFonts w:eastAsia="Times New Roman"/>
                <w:sz w:val="16"/>
                <w:szCs w:val="16"/>
                <w:lang w:eastAsia="ru-RU"/>
              </w:rPr>
              <w:t>уменьшение объемов работ на основании доп. соглашения № 2</w:t>
            </w:r>
          </w:p>
        </w:tc>
      </w:tr>
      <w:tr w:rsidR="0065708A" w:rsidRPr="00513F1D" w14:paraId="4E16AB65" w14:textId="77777777" w:rsidTr="00CB5AA8">
        <w:trPr>
          <w:trHeight w:val="20"/>
        </w:trPr>
        <w:tc>
          <w:tcPr>
            <w:tcW w:w="1257" w:type="pct"/>
            <w:shd w:val="clear" w:color="auto" w:fill="auto"/>
            <w:vAlign w:val="bottom"/>
            <w:hideMark/>
          </w:tcPr>
          <w:p w14:paraId="69873DD6" w14:textId="77777777" w:rsidR="0065708A" w:rsidRPr="00513F1D" w:rsidRDefault="0065708A" w:rsidP="009A4C46">
            <w:pPr>
              <w:spacing w:after="0" w:line="240" w:lineRule="auto"/>
              <w:rPr>
                <w:rFonts w:eastAsia="Times New Roman"/>
                <w:sz w:val="16"/>
                <w:szCs w:val="16"/>
                <w:lang w:eastAsia="ru-RU"/>
              </w:rPr>
            </w:pPr>
            <w:r w:rsidRPr="00513F1D">
              <w:rPr>
                <w:rFonts w:eastAsia="Times New Roman"/>
                <w:sz w:val="16"/>
                <w:szCs w:val="16"/>
                <w:lang w:eastAsia="ru-RU"/>
              </w:rPr>
              <w:t>Строительство ПС 110/10 кВ "</w:t>
            </w:r>
            <w:proofErr w:type="spellStart"/>
            <w:r w:rsidRPr="00513F1D">
              <w:rPr>
                <w:rFonts w:eastAsia="Times New Roman"/>
                <w:sz w:val="16"/>
                <w:szCs w:val="16"/>
                <w:lang w:eastAsia="ru-RU"/>
              </w:rPr>
              <w:t>Вавилинская</w:t>
            </w:r>
            <w:proofErr w:type="spellEnd"/>
            <w:r w:rsidRPr="00513F1D">
              <w:rPr>
                <w:rFonts w:eastAsia="Times New Roman"/>
                <w:sz w:val="16"/>
                <w:szCs w:val="16"/>
                <w:lang w:eastAsia="ru-RU"/>
              </w:rPr>
              <w:t>" (2ТМ*16 МВА)</w:t>
            </w:r>
          </w:p>
        </w:tc>
        <w:tc>
          <w:tcPr>
            <w:tcW w:w="556" w:type="pct"/>
            <w:shd w:val="clear" w:color="auto" w:fill="auto"/>
            <w:vAlign w:val="center"/>
            <w:hideMark/>
          </w:tcPr>
          <w:p w14:paraId="045C29A4" w14:textId="77777777" w:rsidR="0065708A" w:rsidRPr="00513F1D" w:rsidRDefault="0065708A" w:rsidP="003E2802">
            <w:pPr>
              <w:spacing w:after="0" w:line="240" w:lineRule="auto"/>
              <w:jc w:val="center"/>
              <w:rPr>
                <w:rFonts w:eastAsia="Times New Roman"/>
                <w:sz w:val="16"/>
                <w:szCs w:val="16"/>
                <w:lang w:eastAsia="ru-RU"/>
              </w:rPr>
            </w:pPr>
            <w:r w:rsidRPr="00513F1D">
              <w:rPr>
                <w:rFonts w:eastAsia="Times New Roman"/>
                <w:sz w:val="16"/>
                <w:szCs w:val="16"/>
                <w:lang w:eastAsia="ru-RU"/>
              </w:rPr>
              <w:t>248,0</w:t>
            </w:r>
          </w:p>
        </w:tc>
        <w:tc>
          <w:tcPr>
            <w:tcW w:w="477" w:type="pct"/>
            <w:shd w:val="clear" w:color="auto" w:fill="auto"/>
            <w:vAlign w:val="center"/>
            <w:hideMark/>
          </w:tcPr>
          <w:p w14:paraId="5EB62575"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104,5</w:t>
            </w:r>
          </w:p>
        </w:tc>
        <w:tc>
          <w:tcPr>
            <w:tcW w:w="422" w:type="pct"/>
            <w:shd w:val="clear" w:color="auto" w:fill="auto"/>
            <w:noWrap/>
            <w:vAlign w:val="center"/>
            <w:hideMark/>
          </w:tcPr>
          <w:p w14:paraId="0CC7F224"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79,7</w:t>
            </w:r>
          </w:p>
        </w:tc>
        <w:tc>
          <w:tcPr>
            <w:tcW w:w="371" w:type="pct"/>
            <w:shd w:val="clear" w:color="auto" w:fill="auto"/>
            <w:noWrap/>
            <w:vAlign w:val="center"/>
            <w:hideMark/>
          </w:tcPr>
          <w:p w14:paraId="6DA1137C"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87,8</w:t>
            </w:r>
          </w:p>
        </w:tc>
        <w:tc>
          <w:tcPr>
            <w:tcW w:w="569" w:type="pct"/>
            <w:shd w:val="clear" w:color="auto" w:fill="auto"/>
            <w:noWrap/>
            <w:vAlign w:val="center"/>
            <w:hideMark/>
          </w:tcPr>
          <w:p w14:paraId="57757607"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16,7</w:t>
            </w:r>
          </w:p>
        </w:tc>
        <w:tc>
          <w:tcPr>
            <w:tcW w:w="327" w:type="pct"/>
            <w:shd w:val="clear" w:color="auto" w:fill="auto"/>
            <w:noWrap/>
            <w:vAlign w:val="center"/>
            <w:hideMark/>
          </w:tcPr>
          <w:p w14:paraId="503DDFA8"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8,1</w:t>
            </w:r>
          </w:p>
        </w:tc>
        <w:tc>
          <w:tcPr>
            <w:tcW w:w="363" w:type="pct"/>
            <w:shd w:val="clear" w:color="auto" w:fill="auto"/>
            <w:noWrap/>
            <w:vAlign w:val="center"/>
            <w:hideMark/>
          </w:tcPr>
          <w:p w14:paraId="70BA0632"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10%</w:t>
            </w:r>
          </w:p>
        </w:tc>
        <w:tc>
          <w:tcPr>
            <w:tcW w:w="657" w:type="pct"/>
            <w:shd w:val="clear" w:color="auto" w:fill="auto"/>
            <w:vAlign w:val="center"/>
            <w:hideMark/>
          </w:tcPr>
          <w:p w14:paraId="2B8CA806" w14:textId="77777777" w:rsidR="0065708A" w:rsidRPr="00513F1D" w:rsidRDefault="0065708A" w:rsidP="00F94FED">
            <w:pPr>
              <w:spacing w:after="0" w:line="240" w:lineRule="auto"/>
              <w:jc w:val="center"/>
              <w:rPr>
                <w:rFonts w:eastAsia="Times New Roman"/>
                <w:sz w:val="16"/>
                <w:szCs w:val="16"/>
                <w:lang w:eastAsia="ru-RU"/>
              </w:rPr>
            </w:pPr>
            <w:r w:rsidRPr="00513F1D">
              <w:rPr>
                <w:rFonts w:eastAsia="Times New Roman"/>
                <w:sz w:val="16"/>
                <w:szCs w:val="16"/>
                <w:lang w:eastAsia="ru-RU"/>
              </w:rPr>
              <w:t>уменьшение объемов работ на основании доп. соглашения № 2</w:t>
            </w:r>
          </w:p>
        </w:tc>
      </w:tr>
      <w:tr w:rsidR="0065708A" w:rsidRPr="00513F1D" w14:paraId="0BF8F3E1" w14:textId="77777777" w:rsidTr="00CB5AA8">
        <w:trPr>
          <w:trHeight w:val="20"/>
        </w:trPr>
        <w:tc>
          <w:tcPr>
            <w:tcW w:w="1257" w:type="pct"/>
            <w:shd w:val="clear" w:color="auto" w:fill="auto"/>
            <w:vAlign w:val="bottom"/>
            <w:hideMark/>
          </w:tcPr>
          <w:p w14:paraId="3F0C4791" w14:textId="77777777" w:rsidR="0065708A" w:rsidRPr="00513F1D" w:rsidRDefault="0065708A" w:rsidP="009A4C46">
            <w:pPr>
              <w:spacing w:after="0" w:line="240" w:lineRule="auto"/>
              <w:rPr>
                <w:rFonts w:eastAsia="Times New Roman"/>
                <w:sz w:val="16"/>
                <w:szCs w:val="16"/>
                <w:lang w:eastAsia="ru-RU"/>
              </w:rPr>
            </w:pPr>
            <w:r w:rsidRPr="00513F1D">
              <w:rPr>
                <w:rFonts w:eastAsia="Times New Roman"/>
                <w:sz w:val="16"/>
                <w:szCs w:val="16"/>
                <w:lang w:eastAsia="ru-RU"/>
              </w:rPr>
              <w:t xml:space="preserve"> Организация технологической и диспетчерской ВЧ связи (три канала на каждое направление) по фазе А ВЛ 110 кВ С-405, С-403 на направлениях: ПС 110 кВ Городская – ПС 110 кВ Шагонар, ПС 110 кВ Городская – ПС 110 кВ </w:t>
            </w:r>
            <w:proofErr w:type="spellStart"/>
            <w:r w:rsidRPr="00513F1D">
              <w:rPr>
                <w:rFonts w:eastAsia="Times New Roman"/>
                <w:sz w:val="16"/>
                <w:szCs w:val="16"/>
                <w:lang w:eastAsia="ru-RU"/>
              </w:rPr>
              <w:t>Арыг-Узю</w:t>
            </w:r>
            <w:proofErr w:type="spellEnd"/>
            <w:r w:rsidRPr="00513F1D">
              <w:rPr>
                <w:rFonts w:eastAsia="Times New Roman"/>
                <w:sz w:val="16"/>
                <w:szCs w:val="16"/>
                <w:lang w:eastAsia="ru-RU"/>
              </w:rPr>
              <w:t xml:space="preserve"> (с учетом организации Заявителем ВЧ связи по ВЛ 110 кВ С-405 на направлении ПС 110 кВ </w:t>
            </w:r>
            <w:proofErr w:type="spellStart"/>
            <w:r w:rsidRPr="00513F1D">
              <w:rPr>
                <w:rFonts w:eastAsia="Times New Roman"/>
                <w:sz w:val="16"/>
                <w:szCs w:val="16"/>
                <w:lang w:eastAsia="ru-RU"/>
              </w:rPr>
              <w:t>Межегей</w:t>
            </w:r>
            <w:proofErr w:type="spellEnd"/>
            <w:r w:rsidRPr="00513F1D">
              <w:rPr>
                <w:rFonts w:eastAsia="Times New Roman"/>
                <w:sz w:val="16"/>
                <w:szCs w:val="16"/>
                <w:lang w:eastAsia="ru-RU"/>
              </w:rPr>
              <w:t xml:space="preserve"> – ПС 110 кВ Городская) на базе цифровых систем передачи и обработки сигналов</w:t>
            </w:r>
            <w:r w:rsidRPr="00513F1D">
              <w:rPr>
                <w:rFonts w:eastAsia="Times New Roman"/>
                <w:sz w:val="16"/>
                <w:szCs w:val="16"/>
                <w:lang w:eastAsia="ru-RU"/>
              </w:rPr>
              <w:br/>
              <w:t xml:space="preserve">РТ, </w:t>
            </w:r>
            <w:proofErr w:type="spellStart"/>
            <w:r w:rsidRPr="00513F1D">
              <w:rPr>
                <w:rFonts w:eastAsia="Times New Roman"/>
                <w:sz w:val="16"/>
                <w:szCs w:val="16"/>
                <w:lang w:eastAsia="ru-RU"/>
              </w:rPr>
              <w:t>Тандинский</w:t>
            </w:r>
            <w:proofErr w:type="spellEnd"/>
            <w:r w:rsidRPr="00513F1D">
              <w:rPr>
                <w:rFonts w:eastAsia="Times New Roman"/>
                <w:sz w:val="16"/>
                <w:szCs w:val="16"/>
                <w:lang w:eastAsia="ru-RU"/>
              </w:rPr>
              <w:t xml:space="preserve"> </w:t>
            </w:r>
            <w:proofErr w:type="spellStart"/>
            <w:r w:rsidRPr="00513F1D">
              <w:rPr>
                <w:rFonts w:eastAsia="Times New Roman"/>
                <w:sz w:val="16"/>
                <w:szCs w:val="16"/>
                <w:lang w:eastAsia="ru-RU"/>
              </w:rPr>
              <w:t>кожуун</w:t>
            </w:r>
            <w:proofErr w:type="spellEnd"/>
            <w:r w:rsidRPr="00513F1D">
              <w:rPr>
                <w:rFonts w:eastAsia="Times New Roman"/>
                <w:sz w:val="16"/>
                <w:szCs w:val="16"/>
                <w:lang w:eastAsia="ru-RU"/>
              </w:rPr>
              <w:t xml:space="preserve">, 7 км. на северо-восток от с. </w:t>
            </w:r>
            <w:proofErr w:type="spellStart"/>
            <w:r w:rsidRPr="00513F1D">
              <w:rPr>
                <w:rFonts w:eastAsia="Times New Roman"/>
                <w:sz w:val="16"/>
                <w:szCs w:val="16"/>
                <w:lang w:eastAsia="ru-RU"/>
              </w:rPr>
              <w:t>Кочетово</w:t>
            </w:r>
            <w:proofErr w:type="spellEnd"/>
            <w:r w:rsidRPr="00513F1D">
              <w:rPr>
                <w:rFonts w:eastAsia="Times New Roman"/>
                <w:sz w:val="16"/>
                <w:szCs w:val="16"/>
                <w:lang w:eastAsia="ru-RU"/>
              </w:rPr>
              <w:t xml:space="preserve"> (№108-1/10000 от 10.04.2013 г.)</w:t>
            </w:r>
          </w:p>
        </w:tc>
        <w:tc>
          <w:tcPr>
            <w:tcW w:w="556" w:type="pct"/>
            <w:shd w:val="clear" w:color="auto" w:fill="auto"/>
            <w:vAlign w:val="center"/>
            <w:hideMark/>
          </w:tcPr>
          <w:p w14:paraId="55225E3D" w14:textId="77777777" w:rsidR="0065708A" w:rsidRPr="00513F1D" w:rsidRDefault="0065708A" w:rsidP="003E2802">
            <w:pPr>
              <w:spacing w:after="0" w:line="240" w:lineRule="auto"/>
              <w:jc w:val="center"/>
              <w:rPr>
                <w:rFonts w:eastAsia="Times New Roman"/>
                <w:sz w:val="16"/>
                <w:szCs w:val="16"/>
                <w:lang w:eastAsia="ru-RU"/>
              </w:rPr>
            </w:pPr>
            <w:proofErr w:type="spellStart"/>
            <w:r w:rsidRPr="00513F1D">
              <w:rPr>
                <w:rFonts w:eastAsia="Times New Roman"/>
                <w:sz w:val="16"/>
                <w:szCs w:val="16"/>
                <w:lang w:eastAsia="ru-RU"/>
              </w:rPr>
              <w:t>нд</w:t>
            </w:r>
            <w:proofErr w:type="spellEnd"/>
          </w:p>
        </w:tc>
        <w:tc>
          <w:tcPr>
            <w:tcW w:w="477" w:type="pct"/>
            <w:shd w:val="clear" w:color="auto" w:fill="auto"/>
            <w:vAlign w:val="center"/>
            <w:hideMark/>
          </w:tcPr>
          <w:p w14:paraId="22863ED3" w14:textId="77777777" w:rsidR="0065708A" w:rsidRPr="00513F1D" w:rsidRDefault="0065708A">
            <w:pPr>
              <w:spacing w:after="0" w:line="240" w:lineRule="auto"/>
              <w:jc w:val="center"/>
              <w:rPr>
                <w:rFonts w:eastAsia="Times New Roman"/>
                <w:sz w:val="16"/>
                <w:szCs w:val="16"/>
                <w:lang w:eastAsia="ru-RU"/>
              </w:rPr>
            </w:pPr>
            <w:proofErr w:type="spellStart"/>
            <w:r w:rsidRPr="00513F1D">
              <w:rPr>
                <w:rFonts w:eastAsia="Times New Roman"/>
                <w:sz w:val="16"/>
                <w:szCs w:val="16"/>
                <w:lang w:eastAsia="ru-RU"/>
              </w:rPr>
              <w:t>нд</w:t>
            </w:r>
            <w:proofErr w:type="spellEnd"/>
          </w:p>
        </w:tc>
        <w:tc>
          <w:tcPr>
            <w:tcW w:w="422" w:type="pct"/>
            <w:shd w:val="clear" w:color="auto" w:fill="auto"/>
            <w:noWrap/>
            <w:vAlign w:val="center"/>
          </w:tcPr>
          <w:p w14:paraId="1324F760" w14:textId="77777777" w:rsidR="0065708A" w:rsidRPr="00513F1D" w:rsidRDefault="0065708A">
            <w:pPr>
              <w:spacing w:after="0" w:line="240" w:lineRule="auto"/>
              <w:jc w:val="center"/>
              <w:rPr>
                <w:rFonts w:eastAsia="Times New Roman"/>
                <w:sz w:val="16"/>
                <w:szCs w:val="16"/>
                <w:lang w:eastAsia="ru-RU"/>
              </w:rPr>
            </w:pPr>
          </w:p>
        </w:tc>
        <w:tc>
          <w:tcPr>
            <w:tcW w:w="371" w:type="pct"/>
            <w:shd w:val="clear" w:color="auto" w:fill="auto"/>
            <w:noWrap/>
            <w:vAlign w:val="center"/>
            <w:hideMark/>
          </w:tcPr>
          <w:p w14:paraId="0C32E5BC"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1,6</w:t>
            </w:r>
          </w:p>
        </w:tc>
        <w:tc>
          <w:tcPr>
            <w:tcW w:w="569" w:type="pct"/>
            <w:shd w:val="clear" w:color="auto" w:fill="auto"/>
            <w:vAlign w:val="center"/>
            <w:hideMark/>
          </w:tcPr>
          <w:p w14:paraId="17A41831" w14:textId="77777777" w:rsidR="0065708A" w:rsidRPr="00513F1D" w:rsidRDefault="0065708A">
            <w:pPr>
              <w:spacing w:after="0" w:line="240" w:lineRule="auto"/>
              <w:jc w:val="center"/>
              <w:rPr>
                <w:rFonts w:eastAsia="Times New Roman"/>
                <w:sz w:val="16"/>
                <w:szCs w:val="16"/>
                <w:lang w:eastAsia="ru-RU"/>
              </w:rPr>
            </w:pPr>
            <w:proofErr w:type="spellStart"/>
            <w:r w:rsidRPr="00513F1D">
              <w:rPr>
                <w:rFonts w:eastAsia="Times New Roman"/>
                <w:sz w:val="16"/>
                <w:szCs w:val="16"/>
                <w:lang w:eastAsia="ru-RU"/>
              </w:rPr>
              <w:t>нд</w:t>
            </w:r>
            <w:proofErr w:type="spellEnd"/>
          </w:p>
        </w:tc>
        <w:tc>
          <w:tcPr>
            <w:tcW w:w="327" w:type="pct"/>
            <w:shd w:val="clear" w:color="auto" w:fill="auto"/>
            <w:noWrap/>
            <w:vAlign w:val="center"/>
            <w:hideMark/>
          </w:tcPr>
          <w:p w14:paraId="0D40E0CD"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1,6</w:t>
            </w:r>
          </w:p>
        </w:tc>
        <w:tc>
          <w:tcPr>
            <w:tcW w:w="363" w:type="pct"/>
            <w:shd w:val="clear" w:color="auto" w:fill="auto"/>
            <w:noWrap/>
            <w:vAlign w:val="center"/>
            <w:hideMark/>
          </w:tcPr>
          <w:p w14:paraId="0CFCD984" w14:textId="77777777" w:rsidR="0065708A" w:rsidRPr="00513F1D" w:rsidRDefault="0065708A">
            <w:pPr>
              <w:spacing w:after="0" w:line="240" w:lineRule="auto"/>
              <w:jc w:val="center"/>
              <w:rPr>
                <w:rFonts w:eastAsia="Times New Roman"/>
                <w:sz w:val="16"/>
                <w:szCs w:val="16"/>
                <w:lang w:eastAsia="ru-RU"/>
              </w:rPr>
            </w:pPr>
          </w:p>
        </w:tc>
        <w:tc>
          <w:tcPr>
            <w:tcW w:w="657" w:type="pct"/>
            <w:shd w:val="clear" w:color="auto" w:fill="auto"/>
            <w:vAlign w:val="center"/>
            <w:hideMark/>
          </w:tcPr>
          <w:p w14:paraId="5B31438A" w14:textId="77777777" w:rsidR="0065708A" w:rsidRPr="00513F1D" w:rsidRDefault="0065708A" w:rsidP="00F94FED">
            <w:pPr>
              <w:spacing w:after="0" w:line="240" w:lineRule="auto"/>
              <w:jc w:val="center"/>
              <w:rPr>
                <w:rFonts w:eastAsia="Times New Roman"/>
                <w:sz w:val="16"/>
                <w:szCs w:val="16"/>
                <w:lang w:eastAsia="ru-RU"/>
              </w:rPr>
            </w:pPr>
            <w:r w:rsidRPr="00513F1D">
              <w:rPr>
                <w:rFonts w:eastAsia="Times New Roman"/>
                <w:sz w:val="16"/>
                <w:szCs w:val="16"/>
                <w:lang w:eastAsia="ru-RU"/>
              </w:rPr>
              <w:t xml:space="preserve">В связи с дополнением к ТЗ, возникла необходимость установки микропроцессорного терминала </w:t>
            </w:r>
            <w:proofErr w:type="spellStart"/>
            <w:r w:rsidRPr="00513F1D">
              <w:rPr>
                <w:rFonts w:eastAsia="Times New Roman"/>
                <w:sz w:val="16"/>
                <w:szCs w:val="16"/>
                <w:lang w:eastAsia="ru-RU"/>
              </w:rPr>
              <w:t>РЗиА</w:t>
            </w:r>
            <w:proofErr w:type="spellEnd"/>
            <w:r w:rsidRPr="00513F1D">
              <w:rPr>
                <w:rFonts w:eastAsia="Times New Roman"/>
                <w:sz w:val="16"/>
                <w:szCs w:val="16"/>
                <w:lang w:eastAsia="ru-RU"/>
              </w:rPr>
              <w:t xml:space="preserve"> (интеллектуального электронного устройства) для управления выключателем ВС-405 на ПС 110 кВ Городская.</w:t>
            </w:r>
          </w:p>
        </w:tc>
      </w:tr>
      <w:tr w:rsidR="0065708A" w:rsidRPr="00513F1D" w14:paraId="62119AC3" w14:textId="77777777" w:rsidTr="00CB5AA8">
        <w:trPr>
          <w:trHeight w:val="20"/>
        </w:trPr>
        <w:tc>
          <w:tcPr>
            <w:tcW w:w="1257" w:type="pct"/>
            <w:shd w:val="clear" w:color="auto" w:fill="auto"/>
            <w:vAlign w:val="bottom"/>
            <w:hideMark/>
          </w:tcPr>
          <w:p w14:paraId="605DDADF" w14:textId="77777777" w:rsidR="0065708A" w:rsidRPr="00513F1D" w:rsidRDefault="0065708A" w:rsidP="009A4C46">
            <w:pPr>
              <w:spacing w:after="0" w:line="240" w:lineRule="auto"/>
              <w:rPr>
                <w:rFonts w:eastAsia="Times New Roman"/>
                <w:sz w:val="16"/>
                <w:szCs w:val="16"/>
                <w:lang w:eastAsia="ru-RU"/>
              </w:rPr>
            </w:pPr>
            <w:r w:rsidRPr="00513F1D">
              <w:rPr>
                <w:rFonts w:eastAsia="Times New Roman"/>
                <w:sz w:val="16"/>
                <w:szCs w:val="16"/>
                <w:lang w:eastAsia="ru-RU"/>
              </w:rPr>
              <w:t xml:space="preserve">Строительство КЛ-10кВ </w:t>
            </w:r>
            <w:proofErr w:type="spellStart"/>
            <w:r w:rsidRPr="00513F1D">
              <w:rPr>
                <w:rFonts w:eastAsia="Times New Roman"/>
                <w:sz w:val="16"/>
                <w:szCs w:val="16"/>
                <w:lang w:eastAsia="ru-RU"/>
              </w:rPr>
              <w:t>г.Кызыл</w:t>
            </w:r>
            <w:proofErr w:type="spellEnd"/>
            <w:r w:rsidRPr="00513F1D">
              <w:rPr>
                <w:rFonts w:eastAsia="Times New Roman"/>
                <w:sz w:val="16"/>
                <w:szCs w:val="16"/>
                <w:lang w:eastAsia="ru-RU"/>
              </w:rPr>
              <w:t>, правый берег (шифр ВГ-17-БрБ/1)</w:t>
            </w:r>
          </w:p>
        </w:tc>
        <w:tc>
          <w:tcPr>
            <w:tcW w:w="556" w:type="pct"/>
            <w:shd w:val="clear" w:color="auto" w:fill="auto"/>
            <w:vAlign w:val="center"/>
            <w:hideMark/>
          </w:tcPr>
          <w:p w14:paraId="0BA2870A" w14:textId="77777777" w:rsidR="0065708A" w:rsidRPr="00513F1D" w:rsidRDefault="0065708A" w:rsidP="003E2802">
            <w:pPr>
              <w:spacing w:after="0" w:line="240" w:lineRule="auto"/>
              <w:jc w:val="center"/>
              <w:rPr>
                <w:rFonts w:eastAsia="Times New Roman"/>
                <w:sz w:val="16"/>
                <w:szCs w:val="16"/>
                <w:lang w:eastAsia="ru-RU"/>
              </w:rPr>
            </w:pPr>
            <w:proofErr w:type="spellStart"/>
            <w:r w:rsidRPr="00513F1D">
              <w:rPr>
                <w:rFonts w:eastAsia="Times New Roman"/>
                <w:sz w:val="16"/>
                <w:szCs w:val="16"/>
                <w:lang w:eastAsia="ru-RU"/>
              </w:rPr>
              <w:t>нд</w:t>
            </w:r>
            <w:proofErr w:type="spellEnd"/>
          </w:p>
        </w:tc>
        <w:tc>
          <w:tcPr>
            <w:tcW w:w="477" w:type="pct"/>
            <w:shd w:val="clear" w:color="auto" w:fill="auto"/>
            <w:vAlign w:val="center"/>
            <w:hideMark/>
          </w:tcPr>
          <w:p w14:paraId="75233EEE" w14:textId="77777777" w:rsidR="0065708A" w:rsidRPr="00513F1D" w:rsidRDefault="0065708A">
            <w:pPr>
              <w:spacing w:after="0" w:line="240" w:lineRule="auto"/>
              <w:jc w:val="center"/>
              <w:rPr>
                <w:rFonts w:eastAsia="Times New Roman"/>
                <w:sz w:val="16"/>
                <w:szCs w:val="16"/>
                <w:lang w:eastAsia="ru-RU"/>
              </w:rPr>
            </w:pPr>
            <w:proofErr w:type="spellStart"/>
            <w:r w:rsidRPr="00513F1D">
              <w:rPr>
                <w:rFonts w:eastAsia="Times New Roman"/>
                <w:sz w:val="16"/>
                <w:szCs w:val="16"/>
                <w:lang w:eastAsia="ru-RU"/>
              </w:rPr>
              <w:t>нд</w:t>
            </w:r>
            <w:proofErr w:type="spellEnd"/>
          </w:p>
        </w:tc>
        <w:tc>
          <w:tcPr>
            <w:tcW w:w="422" w:type="pct"/>
            <w:shd w:val="clear" w:color="auto" w:fill="auto"/>
            <w:noWrap/>
            <w:vAlign w:val="center"/>
          </w:tcPr>
          <w:p w14:paraId="6432286B" w14:textId="77777777" w:rsidR="0065708A" w:rsidRPr="00513F1D" w:rsidRDefault="0065708A">
            <w:pPr>
              <w:spacing w:after="0" w:line="240" w:lineRule="auto"/>
              <w:jc w:val="center"/>
              <w:rPr>
                <w:rFonts w:eastAsia="Times New Roman"/>
                <w:sz w:val="16"/>
                <w:szCs w:val="16"/>
                <w:lang w:eastAsia="ru-RU"/>
              </w:rPr>
            </w:pPr>
          </w:p>
        </w:tc>
        <w:tc>
          <w:tcPr>
            <w:tcW w:w="371" w:type="pct"/>
            <w:shd w:val="clear" w:color="auto" w:fill="auto"/>
            <w:noWrap/>
            <w:vAlign w:val="center"/>
            <w:hideMark/>
          </w:tcPr>
          <w:p w14:paraId="734589BA"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2,0</w:t>
            </w:r>
          </w:p>
        </w:tc>
        <w:tc>
          <w:tcPr>
            <w:tcW w:w="569" w:type="pct"/>
            <w:shd w:val="clear" w:color="auto" w:fill="auto"/>
            <w:vAlign w:val="center"/>
            <w:hideMark/>
          </w:tcPr>
          <w:p w14:paraId="4DC1A43F" w14:textId="77777777" w:rsidR="0065708A" w:rsidRPr="00513F1D" w:rsidRDefault="0065708A">
            <w:pPr>
              <w:spacing w:after="0" w:line="240" w:lineRule="auto"/>
              <w:jc w:val="center"/>
              <w:rPr>
                <w:rFonts w:eastAsia="Times New Roman"/>
                <w:sz w:val="16"/>
                <w:szCs w:val="16"/>
                <w:lang w:eastAsia="ru-RU"/>
              </w:rPr>
            </w:pPr>
            <w:proofErr w:type="spellStart"/>
            <w:r w:rsidRPr="00513F1D">
              <w:rPr>
                <w:rFonts w:eastAsia="Times New Roman"/>
                <w:sz w:val="16"/>
                <w:szCs w:val="16"/>
                <w:lang w:eastAsia="ru-RU"/>
              </w:rPr>
              <w:t>нд</w:t>
            </w:r>
            <w:proofErr w:type="spellEnd"/>
          </w:p>
        </w:tc>
        <w:tc>
          <w:tcPr>
            <w:tcW w:w="327" w:type="pct"/>
            <w:shd w:val="clear" w:color="auto" w:fill="auto"/>
            <w:noWrap/>
            <w:vAlign w:val="center"/>
            <w:hideMark/>
          </w:tcPr>
          <w:p w14:paraId="18C6F282"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2,0</w:t>
            </w:r>
          </w:p>
        </w:tc>
        <w:tc>
          <w:tcPr>
            <w:tcW w:w="363" w:type="pct"/>
            <w:shd w:val="clear" w:color="auto" w:fill="auto"/>
            <w:noWrap/>
            <w:vAlign w:val="center"/>
            <w:hideMark/>
          </w:tcPr>
          <w:p w14:paraId="2352351A" w14:textId="77777777" w:rsidR="0065708A" w:rsidRPr="00513F1D" w:rsidRDefault="0065708A">
            <w:pPr>
              <w:spacing w:after="0" w:line="240" w:lineRule="auto"/>
              <w:jc w:val="center"/>
              <w:rPr>
                <w:rFonts w:eastAsia="Times New Roman"/>
                <w:sz w:val="16"/>
                <w:szCs w:val="16"/>
                <w:lang w:eastAsia="ru-RU"/>
              </w:rPr>
            </w:pPr>
          </w:p>
        </w:tc>
        <w:tc>
          <w:tcPr>
            <w:tcW w:w="657" w:type="pct"/>
            <w:shd w:val="clear" w:color="auto" w:fill="auto"/>
            <w:vAlign w:val="center"/>
            <w:hideMark/>
          </w:tcPr>
          <w:p w14:paraId="23CBF20D" w14:textId="77777777" w:rsidR="0065708A" w:rsidRPr="00513F1D" w:rsidRDefault="0065708A" w:rsidP="00F94FED">
            <w:pPr>
              <w:spacing w:after="0" w:line="240" w:lineRule="auto"/>
              <w:jc w:val="center"/>
              <w:rPr>
                <w:rFonts w:eastAsia="Times New Roman"/>
                <w:sz w:val="16"/>
                <w:szCs w:val="16"/>
                <w:lang w:eastAsia="ru-RU"/>
              </w:rPr>
            </w:pPr>
            <w:r w:rsidRPr="00513F1D">
              <w:rPr>
                <w:rFonts w:eastAsia="Times New Roman"/>
                <w:sz w:val="16"/>
                <w:szCs w:val="16"/>
                <w:lang w:eastAsia="ru-RU"/>
              </w:rPr>
              <w:t xml:space="preserve">профинансированы фактически </w:t>
            </w:r>
            <w:proofErr w:type="spellStart"/>
            <w:r w:rsidRPr="00513F1D">
              <w:rPr>
                <w:rFonts w:eastAsia="Times New Roman"/>
                <w:sz w:val="16"/>
                <w:szCs w:val="16"/>
                <w:lang w:eastAsia="ru-RU"/>
              </w:rPr>
              <w:t>выполненые</w:t>
            </w:r>
            <w:proofErr w:type="spellEnd"/>
            <w:r w:rsidRPr="00513F1D">
              <w:rPr>
                <w:rFonts w:eastAsia="Times New Roman"/>
                <w:sz w:val="16"/>
                <w:szCs w:val="16"/>
                <w:lang w:eastAsia="ru-RU"/>
              </w:rPr>
              <w:t xml:space="preserve"> работы хоз. способом</w:t>
            </w:r>
          </w:p>
        </w:tc>
      </w:tr>
      <w:tr w:rsidR="0065708A" w:rsidRPr="00513F1D" w14:paraId="1C344D9C" w14:textId="77777777" w:rsidTr="00CB5AA8">
        <w:trPr>
          <w:trHeight w:val="20"/>
        </w:trPr>
        <w:tc>
          <w:tcPr>
            <w:tcW w:w="1257" w:type="pct"/>
            <w:shd w:val="clear" w:color="auto" w:fill="auto"/>
            <w:vAlign w:val="bottom"/>
            <w:hideMark/>
          </w:tcPr>
          <w:p w14:paraId="1EE9BE81" w14:textId="77777777" w:rsidR="0065708A" w:rsidRPr="00513F1D" w:rsidRDefault="0065708A" w:rsidP="009A4C46">
            <w:pPr>
              <w:spacing w:after="0" w:line="240" w:lineRule="auto"/>
              <w:rPr>
                <w:rFonts w:eastAsia="Times New Roman"/>
                <w:sz w:val="16"/>
                <w:szCs w:val="16"/>
                <w:lang w:eastAsia="ru-RU"/>
              </w:rPr>
            </w:pPr>
            <w:r w:rsidRPr="00513F1D">
              <w:rPr>
                <w:rFonts w:eastAsia="Times New Roman"/>
                <w:sz w:val="16"/>
                <w:szCs w:val="16"/>
                <w:lang w:eastAsia="ru-RU"/>
              </w:rPr>
              <w:t xml:space="preserve">Реконструкция ВЛ-10кВ </w:t>
            </w:r>
            <w:proofErr w:type="spellStart"/>
            <w:r w:rsidRPr="00513F1D">
              <w:rPr>
                <w:rFonts w:eastAsia="Times New Roman"/>
                <w:sz w:val="16"/>
                <w:szCs w:val="16"/>
                <w:lang w:eastAsia="ru-RU"/>
              </w:rPr>
              <w:t>г.Кызыл</w:t>
            </w:r>
            <w:proofErr w:type="spellEnd"/>
            <w:r w:rsidRPr="00513F1D">
              <w:rPr>
                <w:rFonts w:eastAsia="Times New Roman"/>
                <w:sz w:val="16"/>
                <w:szCs w:val="16"/>
                <w:lang w:eastAsia="ru-RU"/>
              </w:rPr>
              <w:t xml:space="preserve">, в 32 метрах восточнее жилого дома 1б по </w:t>
            </w:r>
            <w:proofErr w:type="spellStart"/>
            <w:r w:rsidRPr="00513F1D">
              <w:rPr>
                <w:rFonts w:eastAsia="Times New Roman"/>
                <w:sz w:val="16"/>
                <w:szCs w:val="16"/>
                <w:lang w:eastAsia="ru-RU"/>
              </w:rPr>
              <w:t>ул.Фрунзе</w:t>
            </w:r>
            <w:proofErr w:type="spellEnd"/>
          </w:p>
        </w:tc>
        <w:tc>
          <w:tcPr>
            <w:tcW w:w="556" w:type="pct"/>
            <w:shd w:val="clear" w:color="auto" w:fill="auto"/>
            <w:vAlign w:val="center"/>
            <w:hideMark/>
          </w:tcPr>
          <w:p w14:paraId="083E1131" w14:textId="77777777" w:rsidR="0065708A" w:rsidRPr="00513F1D" w:rsidRDefault="0065708A" w:rsidP="003E2802">
            <w:pPr>
              <w:spacing w:after="0" w:line="240" w:lineRule="auto"/>
              <w:jc w:val="center"/>
              <w:rPr>
                <w:rFonts w:eastAsia="Times New Roman"/>
                <w:sz w:val="16"/>
                <w:szCs w:val="16"/>
                <w:lang w:eastAsia="ru-RU"/>
              </w:rPr>
            </w:pPr>
            <w:proofErr w:type="spellStart"/>
            <w:r w:rsidRPr="00513F1D">
              <w:rPr>
                <w:rFonts w:eastAsia="Times New Roman"/>
                <w:sz w:val="16"/>
                <w:szCs w:val="16"/>
                <w:lang w:eastAsia="ru-RU"/>
              </w:rPr>
              <w:t>нд</w:t>
            </w:r>
            <w:proofErr w:type="spellEnd"/>
          </w:p>
        </w:tc>
        <w:tc>
          <w:tcPr>
            <w:tcW w:w="477" w:type="pct"/>
            <w:shd w:val="clear" w:color="auto" w:fill="auto"/>
            <w:vAlign w:val="center"/>
            <w:hideMark/>
          </w:tcPr>
          <w:p w14:paraId="50262C5D" w14:textId="77777777" w:rsidR="0065708A" w:rsidRPr="00513F1D" w:rsidRDefault="0065708A">
            <w:pPr>
              <w:spacing w:after="0" w:line="240" w:lineRule="auto"/>
              <w:jc w:val="center"/>
              <w:rPr>
                <w:rFonts w:eastAsia="Times New Roman"/>
                <w:sz w:val="16"/>
                <w:szCs w:val="16"/>
                <w:lang w:eastAsia="ru-RU"/>
              </w:rPr>
            </w:pPr>
            <w:proofErr w:type="spellStart"/>
            <w:r w:rsidRPr="00513F1D">
              <w:rPr>
                <w:rFonts w:eastAsia="Times New Roman"/>
                <w:sz w:val="16"/>
                <w:szCs w:val="16"/>
                <w:lang w:eastAsia="ru-RU"/>
              </w:rPr>
              <w:t>нд</w:t>
            </w:r>
            <w:proofErr w:type="spellEnd"/>
          </w:p>
        </w:tc>
        <w:tc>
          <w:tcPr>
            <w:tcW w:w="422" w:type="pct"/>
            <w:shd w:val="clear" w:color="auto" w:fill="auto"/>
            <w:noWrap/>
            <w:vAlign w:val="center"/>
            <w:hideMark/>
          </w:tcPr>
          <w:p w14:paraId="6380C207" w14:textId="77777777" w:rsidR="0065708A" w:rsidRPr="00513F1D" w:rsidRDefault="0065708A">
            <w:pPr>
              <w:spacing w:after="0" w:line="240" w:lineRule="auto"/>
              <w:jc w:val="center"/>
              <w:rPr>
                <w:rFonts w:eastAsia="Times New Roman"/>
                <w:sz w:val="16"/>
                <w:szCs w:val="16"/>
                <w:lang w:eastAsia="ru-RU"/>
              </w:rPr>
            </w:pPr>
          </w:p>
        </w:tc>
        <w:tc>
          <w:tcPr>
            <w:tcW w:w="371" w:type="pct"/>
            <w:shd w:val="clear" w:color="auto" w:fill="auto"/>
            <w:noWrap/>
            <w:vAlign w:val="center"/>
            <w:hideMark/>
          </w:tcPr>
          <w:p w14:paraId="5DA06301"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0,0</w:t>
            </w:r>
          </w:p>
        </w:tc>
        <w:tc>
          <w:tcPr>
            <w:tcW w:w="569" w:type="pct"/>
            <w:shd w:val="clear" w:color="auto" w:fill="auto"/>
            <w:vAlign w:val="center"/>
            <w:hideMark/>
          </w:tcPr>
          <w:p w14:paraId="6D02FCBF" w14:textId="77777777" w:rsidR="0065708A" w:rsidRPr="00513F1D" w:rsidRDefault="0065708A">
            <w:pPr>
              <w:spacing w:after="0" w:line="240" w:lineRule="auto"/>
              <w:jc w:val="center"/>
              <w:rPr>
                <w:rFonts w:eastAsia="Times New Roman"/>
                <w:sz w:val="16"/>
                <w:szCs w:val="16"/>
                <w:lang w:eastAsia="ru-RU"/>
              </w:rPr>
            </w:pPr>
            <w:proofErr w:type="spellStart"/>
            <w:r w:rsidRPr="00513F1D">
              <w:rPr>
                <w:rFonts w:eastAsia="Times New Roman"/>
                <w:sz w:val="16"/>
                <w:szCs w:val="16"/>
                <w:lang w:eastAsia="ru-RU"/>
              </w:rPr>
              <w:t>нд</w:t>
            </w:r>
            <w:proofErr w:type="spellEnd"/>
          </w:p>
        </w:tc>
        <w:tc>
          <w:tcPr>
            <w:tcW w:w="327" w:type="pct"/>
            <w:shd w:val="clear" w:color="auto" w:fill="auto"/>
            <w:noWrap/>
            <w:vAlign w:val="center"/>
            <w:hideMark/>
          </w:tcPr>
          <w:p w14:paraId="26A70DFF"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0,0</w:t>
            </w:r>
          </w:p>
        </w:tc>
        <w:tc>
          <w:tcPr>
            <w:tcW w:w="363" w:type="pct"/>
            <w:shd w:val="clear" w:color="auto" w:fill="auto"/>
            <w:noWrap/>
            <w:vAlign w:val="center"/>
            <w:hideMark/>
          </w:tcPr>
          <w:p w14:paraId="71D0A49C" w14:textId="77777777" w:rsidR="0065708A" w:rsidRPr="00513F1D" w:rsidRDefault="0065708A">
            <w:pPr>
              <w:spacing w:after="0" w:line="240" w:lineRule="auto"/>
              <w:jc w:val="center"/>
              <w:rPr>
                <w:rFonts w:eastAsia="Times New Roman"/>
                <w:sz w:val="16"/>
                <w:szCs w:val="16"/>
                <w:lang w:eastAsia="ru-RU"/>
              </w:rPr>
            </w:pPr>
          </w:p>
        </w:tc>
        <w:tc>
          <w:tcPr>
            <w:tcW w:w="657" w:type="pct"/>
            <w:shd w:val="clear" w:color="auto" w:fill="auto"/>
            <w:vAlign w:val="center"/>
            <w:hideMark/>
          </w:tcPr>
          <w:p w14:paraId="6C47DE9E" w14:textId="77777777" w:rsidR="0065708A" w:rsidRPr="00513F1D" w:rsidRDefault="0065708A" w:rsidP="00F94FED">
            <w:pPr>
              <w:spacing w:after="0" w:line="240" w:lineRule="auto"/>
              <w:jc w:val="center"/>
              <w:rPr>
                <w:rFonts w:eastAsia="Times New Roman"/>
                <w:sz w:val="16"/>
                <w:szCs w:val="16"/>
                <w:lang w:eastAsia="ru-RU"/>
              </w:rPr>
            </w:pPr>
            <w:r w:rsidRPr="00513F1D">
              <w:rPr>
                <w:rFonts w:eastAsia="Times New Roman"/>
                <w:sz w:val="16"/>
                <w:szCs w:val="16"/>
                <w:lang w:eastAsia="ru-RU"/>
              </w:rPr>
              <w:t xml:space="preserve">профинансированы фактически </w:t>
            </w:r>
            <w:proofErr w:type="spellStart"/>
            <w:r w:rsidRPr="00513F1D">
              <w:rPr>
                <w:rFonts w:eastAsia="Times New Roman"/>
                <w:sz w:val="16"/>
                <w:szCs w:val="16"/>
                <w:lang w:eastAsia="ru-RU"/>
              </w:rPr>
              <w:t>выполненые</w:t>
            </w:r>
            <w:proofErr w:type="spellEnd"/>
            <w:r w:rsidRPr="00513F1D">
              <w:rPr>
                <w:rFonts w:eastAsia="Times New Roman"/>
                <w:sz w:val="16"/>
                <w:szCs w:val="16"/>
                <w:lang w:eastAsia="ru-RU"/>
              </w:rPr>
              <w:t xml:space="preserve"> </w:t>
            </w:r>
            <w:r w:rsidRPr="00513F1D">
              <w:rPr>
                <w:rFonts w:eastAsia="Times New Roman"/>
                <w:sz w:val="16"/>
                <w:szCs w:val="16"/>
                <w:lang w:eastAsia="ru-RU"/>
              </w:rPr>
              <w:lastRenderedPageBreak/>
              <w:t>работы хоз. способом</w:t>
            </w:r>
          </w:p>
        </w:tc>
      </w:tr>
      <w:tr w:rsidR="0065708A" w:rsidRPr="00513F1D" w14:paraId="4F0FA662" w14:textId="77777777" w:rsidTr="00CB5AA8">
        <w:trPr>
          <w:trHeight w:val="20"/>
        </w:trPr>
        <w:tc>
          <w:tcPr>
            <w:tcW w:w="1257" w:type="pct"/>
            <w:shd w:val="clear" w:color="auto" w:fill="auto"/>
            <w:vAlign w:val="bottom"/>
            <w:hideMark/>
          </w:tcPr>
          <w:p w14:paraId="088AAB69" w14:textId="77777777" w:rsidR="0065708A" w:rsidRPr="00513F1D" w:rsidRDefault="0065708A" w:rsidP="009A4C46">
            <w:pPr>
              <w:spacing w:after="0" w:line="240" w:lineRule="auto"/>
              <w:rPr>
                <w:rFonts w:eastAsia="Times New Roman"/>
                <w:sz w:val="16"/>
                <w:szCs w:val="16"/>
                <w:lang w:eastAsia="ru-RU"/>
              </w:rPr>
            </w:pPr>
            <w:r w:rsidRPr="00513F1D">
              <w:rPr>
                <w:rFonts w:eastAsia="Times New Roman"/>
                <w:sz w:val="16"/>
                <w:szCs w:val="16"/>
                <w:lang w:eastAsia="ru-RU"/>
              </w:rPr>
              <w:lastRenderedPageBreak/>
              <w:t xml:space="preserve">Реконструкция  ВЛ 10кВ ф.8-05 </w:t>
            </w:r>
            <w:proofErr w:type="spellStart"/>
            <w:r w:rsidRPr="00513F1D">
              <w:rPr>
                <w:rFonts w:eastAsia="Times New Roman"/>
                <w:sz w:val="16"/>
                <w:szCs w:val="16"/>
                <w:lang w:eastAsia="ru-RU"/>
              </w:rPr>
              <w:t>г.Шагонар</w:t>
            </w:r>
            <w:proofErr w:type="spellEnd"/>
            <w:r w:rsidRPr="00513F1D">
              <w:rPr>
                <w:rFonts w:eastAsia="Times New Roman"/>
                <w:sz w:val="16"/>
                <w:szCs w:val="16"/>
                <w:lang w:eastAsia="ru-RU"/>
              </w:rPr>
              <w:t xml:space="preserve">, </w:t>
            </w:r>
            <w:proofErr w:type="spellStart"/>
            <w:r w:rsidRPr="00513F1D">
              <w:rPr>
                <w:rFonts w:eastAsia="Times New Roman"/>
                <w:sz w:val="16"/>
                <w:szCs w:val="16"/>
                <w:lang w:eastAsia="ru-RU"/>
              </w:rPr>
              <w:t>ул.Магистральная</w:t>
            </w:r>
            <w:proofErr w:type="spellEnd"/>
            <w:r w:rsidRPr="00513F1D">
              <w:rPr>
                <w:rFonts w:eastAsia="Times New Roman"/>
                <w:sz w:val="16"/>
                <w:szCs w:val="16"/>
                <w:lang w:eastAsia="ru-RU"/>
              </w:rPr>
              <w:t xml:space="preserve"> д.13</w:t>
            </w:r>
          </w:p>
        </w:tc>
        <w:tc>
          <w:tcPr>
            <w:tcW w:w="556" w:type="pct"/>
            <w:shd w:val="clear" w:color="auto" w:fill="auto"/>
            <w:vAlign w:val="center"/>
            <w:hideMark/>
          </w:tcPr>
          <w:p w14:paraId="4ADE8747" w14:textId="77777777" w:rsidR="0065708A" w:rsidRPr="00513F1D" w:rsidRDefault="0065708A" w:rsidP="003E2802">
            <w:pPr>
              <w:spacing w:after="0" w:line="240" w:lineRule="auto"/>
              <w:jc w:val="center"/>
              <w:rPr>
                <w:rFonts w:eastAsia="Times New Roman"/>
                <w:sz w:val="16"/>
                <w:szCs w:val="16"/>
                <w:lang w:eastAsia="ru-RU"/>
              </w:rPr>
            </w:pPr>
            <w:proofErr w:type="spellStart"/>
            <w:r w:rsidRPr="00513F1D">
              <w:rPr>
                <w:rFonts w:eastAsia="Times New Roman"/>
                <w:sz w:val="16"/>
                <w:szCs w:val="16"/>
                <w:lang w:eastAsia="ru-RU"/>
              </w:rPr>
              <w:t>нд</w:t>
            </w:r>
            <w:proofErr w:type="spellEnd"/>
          </w:p>
        </w:tc>
        <w:tc>
          <w:tcPr>
            <w:tcW w:w="477" w:type="pct"/>
            <w:shd w:val="clear" w:color="auto" w:fill="auto"/>
            <w:vAlign w:val="center"/>
            <w:hideMark/>
          </w:tcPr>
          <w:p w14:paraId="55F8881B" w14:textId="77777777" w:rsidR="0065708A" w:rsidRPr="00513F1D" w:rsidRDefault="0065708A">
            <w:pPr>
              <w:spacing w:after="0" w:line="240" w:lineRule="auto"/>
              <w:jc w:val="center"/>
              <w:rPr>
                <w:rFonts w:eastAsia="Times New Roman"/>
                <w:sz w:val="16"/>
                <w:szCs w:val="16"/>
                <w:lang w:eastAsia="ru-RU"/>
              </w:rPr>
            </w:pPr>
            <w:proofErr w:type="spellStart"/>
            <w:r w:rsidRPr="00513F1D">
              <w:rPr>
                <w:rFonts w:eastAsia="Times New Roman"/>
                <w:sz w:val="16"/>
                <w:szCs w:val="16"/>
                <w:lang w:eastAsia="ru-RU"/>
              </w:rPr>
              <w:t>нд</w:t>
            </w:r>
            <w:proofErr w:type="spellEnd"/>
          </w:p>
        </w:tc>
        <w:tc>
          <w:tcPr>
            <w:tcW w:w="422" w:type="pct"/>
            <w:shd w:val="clear" w:color="auto" w:fill="auto"/>
            <w:noWrap/>
            <w:vAlign w:val="center"/>
            <w:hideMark/>
          </w:tcPr>
          <w:p w14:paraId="3A8A616E" w14:textId="77777777" w:rsidR="0065708A" w:rsidRPr="00513F1D" w:rsidRDefault="0065708A">
            <w:pPr>
              <w:spacing w:after="0" w:line="240" w:lineRule="auto"/>
              <w:jc w:val="center"/>
              <w:rPr>
                <w:rFonts w:eastAsia="Times New Roman"/>
                <w:sz w:val="16"/>
                <w:szCs w:val="16"/>
                <w:lang w:eastAsia="ru-RU"/>
              </w:rPr>
            </w:pPr>
          </w:p>
        </w:tc>
        <w:tc>
          <w:tcPr>
            <w:tcW w:w="371" w:type="pct"/>
            <w:shd w:val="clear" w:color="auto" w:fill="auto"/>
            <w:noWrap/>
            <w:vAlign w:val="center"/>
            <w:hideMark/>
          </w:tcPr>
          <w:p w14:paraId="69C888D5"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0,0</w:t>
            </w:r>
          </w:p>
        </w:tc>
        <w:tc>
          <w:tcPr>
            <w:tcW w:w="569" w:type="pct"/>
            <w:shd w:val="clear" w:color="auto" w:fill="auto"/>
            <w:vAlign w:val="center"/>
            <w:hideMark/>
          </w:tcPr>
          <w:p w14:paraId="4D364558" w14:textId="77777777" w:rsidR="0065708A" w:rsidRPr="00513F1D" w:rsidRDefault="0065708A">
            <w:pPr>
              <w:spacing w:after="0" w:line="240" w:lineRule="auto"/>
              <w:jc w:val="center"/>
              <w:rPr>
                <w:rFonts w:eastAsia="Times New Roman"/>
                <w:sz w:val="16"/>
                <w:szCs w:val="16"/>
                <w:lang w:eastAsia="ru-RU"/>
              </w:rPr>
            </w:pPr>
            <w:proofErr w:type="spellStart"/>
            <w:r w:rsidRPr="00513F1D">
              <w:rPr>
                <w:rFonts w:eastAsia="Times New Roman"/>
                <w:sz w:val="16"/>
                <w:szCs w:val="16"/>
                <w:lang w:eastAsia="ru-RU"/>
              </w:rPr>
              <w:t>нд</w:t>
            </w:r>
            <w:proofErr w:type="spellEnd"/>
          </w:p>
        </w:tc>
        <w:tc>
          <w:tcPr>
            <w:tcW w:w="327" w:type="pct"/>
            <w:shd w:val="clear" w:color="auto" w:fill="auto"/>
            <w:noWrap/>
            <w:vAlign w:val="center"/>
            <w:hideMark/>
          </w:tcPr>
          <w:p w14:paraId="360F2560"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0,0</w:t>
            </w:r>
          </w:p>
        </w:tc>
        <w:tc>
          <w:tcPr>
            <w:tcW w:w="363" w:type="pct"/>
            <w:shd w:val="clear" w:color="auto" w:fill="auto"/>
            <w:noWrap/>
            <w:vAlign w:val="center"/>
            <w:hideMark/>
          </w:tcPr>
          <w:p w14:paraId="7E1996A2" w14:textId="77777777" w:rsidR="0065708A" w:rsidRPr="00513F1D" w:rsidRDefault="0065708A">
            <w:pPr>
              <w:spacing w:after="0" w:line="240" w:lineRule="auto"/>
              <w:jc w:val="center"/>
              <w:rPr>
                <w:rFonts w:eastAsia="Times New Roman"/>
                <w:sz w:val="16"/>
                <w:szCs w:val="16"/>
                <w:lang w:eastAsia="ru-RU"/>
              </w:rPr>
            </w:pPr>
          </w:p>
        </w:tc>
        <w:tc>
          <w:tcPr>
            <w:tcW w:w="657" w:type="pct"/>
            <w:shd w:val="clear" w:color="auto" w:fill="auto"/>
            <w:vAlign w:val="center"/>
            <w:hideMark/>
          </w:tcPr>
          <w:p w14:paraId="36B4BEFC" w14:textId="77777777" w:rsidR="0065708A" w:rsidRPr="00513F1D" w:rsidRDefault="0065708A" w:rsidP="00F94FED">
            <w:pPr>
              <w:spacing w:after="0" w:line="240" w:lineRule="auto"/>
              <w:jc w:val="center"/>
              <w:rPr>
                <w:rFonts w:eastAsia="Times New Roman"/>
                <w:sz w:val="16"/>
                <w:szCs w:val="16"/>
                <w:lang w:eastAsia="ru-RU"/>
              </w:rPr>
            </w:pPr>
            <w:r w:rsidRPr="00513F1D">
              <w:rPr>
                <w:rFonts w:eastAsia="Times New Roman"/>
                <w:sz w:val="16"/>
                <w:szCs w:val="16"/>
                <w:lang w:eastAsia="ru-RU"/>
              </w:rPr>
              <w:t xml:space="preserve">профинансированы фактически </w:t>
            </w:r>
            <w:proofErr w:type="spellStart"/>
            <w:r w:rsidRPr="00513F1D">
              <w:rPr>
                <w:rFonts w:eastAsia="Times New Roman"/>
                <w:sz w:val="16"/>
                <w:szCs w:val="16"/>
                <w:lang w:eastAsia="ru-RU"/>
              </w:rPr>
              <w:t>выполненые</w:t>
            </w:r>
            <w:proofErr w:type="spellEnd"/>
            <w:r w:rsidRPr="00513F1D">
              <w:rPr>
                <w:rFonts w:eastAsia="Times New Roman"/>
                <w:sz w:val="16"/>
                <w:szCs w:val="16"/>
                <w:lang w:eastAsia="ru-RU"/>
              </w:rPr>
              <w:t xml:space="preserve"> работы хоз. способом</w:t>
            </w:r>
          </w:p>
        </w:tc>
      </w:tr>
      <w:tr w:rsidR="0065708A" w:rsidRPr="00513F1D" w14:paraId="2633EE61" w14:textId="77777777" w:rsidTr="00CB5AA8">
        <w:trPr>
          <w:trHeight w:val="20"/>
        </w:trPr>
        <w:tc>
          <w:tcPr>
            <w:tcW w:w="1257" w:type="pct"/>
            <w:shd w:val="clear" w:color="auto" w:fill="auto"/>
            <w:vAlign w:val="center"/>
            <w:hideMark/>
          </w:tcPr>
          <w:p w14:paraId="0599783C" w14:textId="77777777" w:rsidR="0065708A" w:rsidRPr="00513F1D" w:rsidRDefault="0065708A" w:rsidP="009A4C46">
            <w:pPr>
              <w:spacing w:after="0" w:line="240" w:lineRule="auto"/>
              <w:rPr>
                <w:rFonts w:eastAsia="Times New Roman"/>
                <w:sz w:val="16"/>
                <w:szCs w:val="16"/>
                <w:lang w:eastAsia="ru-RU"/>
              </w:rPr>
            </w:pPr>
            <w:r w:rsidRPr="00513F1D">
              <w:rPr>
                <w:rFonts w:eastAsia="Times New Roman"/>
                <w:sz w:val="16"/>
                <w:szCs w:val="16"/>
                <w:lang w:eastAsia="ru-RU"/>
              </w:rPr>
              <w:t xml:space="preserve">Строительство </w:t>
            </w:r>
            <w:proofErr w:type="spellStart"/>
            <w:r w:rsidRPr="00513F1D">
              <w:rPr>
                <w:rFonts w:eastAsia="Times New Roman"/>
                <w:sz w:val="16"/>
                <w:szCs w:val="16"/>
                <w:lang w:eastAsia="ru-RU"/>
              </w:rPr>
              <w:t>двухцепной</w:t>
            </w:r>
            <w:proofErr w:type="spellEnd"/>
            <w:r w:rsidRPr="00513F1D">
              <w:rPr>
                <w:rFonts w:eastAsia="Times New Roman"/>
                <w:sz w:val="16"/>
                <w:szCs w:val="16"/>
                <w:lang w:eastAsia="ru-RU"/>
              </w:rPr>
              <w:t xml:space="preserve"> воздушной линии (ВЛ)-10кВ от ПС «Западная» до распределительного пункта 10кВ (РП)-8, ~ 5208 м;</w:t>
            </w:r>
            <w:r w:rsidRPr="00513F1D">
              <w:rPr>
                <w:rFonts w:eastAsia="Times New Roman"/>
                <w:sz w:val="16"/>
                <w:szCs w:val="16"/>
                <w:lang w:eastAsia="ru-RU"/>
              </w:rPr>
              <w:br/>
              <w:t>- установку дополнительной ячейки в распределительном устройстве (РУ)-10кВ ПС «Западная»;</w:t>
            </w:r>
            <w:r w:rsidRPr="00513F1D">
              <w:rPr>
                <w:rFonts w:eastAsia="Times New Roman"/>
                <w:sz w:val="16"/>
                <w:szCs w:val="16"/>
                <w:lang w:eastAsia="ru-RU"/>
              </w:rPr>
              <w:br/>
              <w:t xml:space="preserve">Кадетский корпус, г. Кызыл, рядом </w:t>
            </w:r>
            <w:proofErr w:type="spellStart"/>
            <w:r w:rsidRPr="00513F1D">
              <w:rPr>
                <w:rFonts w:eastAsia="Times New Roman"/>
                <w:sz w:val="16"/>
                <w:szCs w:val="16"/>
                <w:lang w:eastAsia="ru-RU"/>
              </w:rPr>
              <w:t>спересечением</w:t>
            </w:r>
            <w:proofErr w:type="spellEnd"/>
            <w:r w:rsidRPr="00513F1D">
              <w:rPr>
                <w:rFonts w:eastAsia="Times New Roman"/>
                <w:sz w:val="16"/>
                <w:szCs w:val="16"/>
                <w:lang w:eastAsia="ru-RU"/>
              </w:rPr>
              <w:t xml:space="preserve"> с улицей Московской и круговой развязки автомагистрали М-54.</w:t>
            </w:r>
          </w:p>
        </w:tc>
        <w:tc>
          <w:tcPr>
            <w:tcW w:w="556" w:type="pct"/>
            <w:shd w:val="clear" w:color="auto" w:fill="auto"/>
            <w:vAlign w:val="center"/>
            <w:hideMark/>
          </w:tcPr>
          <w:p w14:paraId="6BA64CA4" w14:textId="77777777" w:rsidR="0065708A" w:rsidRPr="00513F1D" w:rsidRDefault="0065708A" w:rsidP="003E2802">
            <w:pPr>
              <w:spacing w:after="0" w:line="240" w:lineRule="auto"/>
              <w:jc w:val="center"/>
              <w:rPr>
                <w:rFonts w:eastAsia="Times New Roman"/>
                <w:sz w:val="16"/>
                <w:szCs w:val="16"/>
                <w:lang w:eastAsia="ru-RU"/>
              </w:rPr>
            </w:pPr>
            <w:r w:rsidRPr="00513F1D">
              <w:rPr>
                <w:rFonts w:eastAsia="Times New Roman"/>
                <w:sz w:val="16"/>
                <w:szCs w:val="16"/>
                <w:lang w:eastAsia="ru-RU"/>
              </w:rPr>
              <w:t>7,9</w:t>
            </w:r>
          </w:p>
        </w:tc>
        <w:tc>
          <w:tcPr>
            <w:tcW w:w="477" w:type="pct"/>
            <w:shd w:val="clear" w:color="auto" w:fill="auto"/>
            <w:vAlign w:val="center"/>
            <w:hideMark/>
          </w:tcPr>
          <w:p w14:paraId="65D72E48"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1,3</w:t>
            </w:r>
          </w:p>
        </w:tc>
        <w:tc>
          <w:tcPr>
            <w:tcW w:w="422" w:type="pct"/>
            <w:shd w:val="clear" w:color="auto" w:fill="auto"/>
            <w:noWrap/>
            <w:vAlign w:val="center"/>
            <w:hideMark/>
          </w:tcPr>
          <w:p w14:paraId="0B175FFE"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1,3</w:t>
            </w:r>
          </w:p>
        </w:tc>
        <w:tc>
          <w:tcPr>
            <w:tcW w:w="371" w:type="pct"/>
            <w:shd w:val="clear" w:color="auto" w:fill="auto"/>
            <w:noWrap/>
            <w:vAlign w:val="center"/>
            <w:hideMark/>
          </w:tcPr>
          <w:p w14:paraId="1ACA52F7"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1,3</w:t>
            </w:r>
          </w:p>
        </w:tc>
        <w:tc>
          <w:tcPr>
            <w:tcW w:w="569" w:type="pct"/>
            <w:shd w:val="clear" w:color="auto" w:fill="auto"/>
            <w:vAlign w:val="center"/>
            <w:hideMark/>
          </w:tcPr>
          <w:p w14:paraId="5EDD9057"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0,0</w:t>
            </w:r>
          </w:p>
        </w:tc>
        <w:tc>
          <w:tcPr>
            <w:tcW w:w="327" w:type="pct"/>
            <w:shd w:val="clear" w:color="auto" w:fill="auto"/>
            <w:noWrap/>
            <w:vAlign w:val="center"/>
            <w:hideMark/>
          </w:tcPr>
          <w:p w14:paraId="74F745CD"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-0,0</w:t>
            </w:r>
          </w:p>
        </w:tc>
        <w:tc>
          <w:tcPr>
            <w:tcW w:w="363" w:type="pct"/>
            <w:shd w:val="clear" w:color="auto" w:fill="auto"/>
            <w:noWrap/>
            <w:vAlign w:val="center"/>
            <w:hideMark/>
          </w:tcPr>
          <w:p w14:paraId="4D3DAE67"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-2%</w:t>
            </w:r>
          </w:p>
        </w:tc>
        <w:tc>
          <w:tcPr>
            <w:tcW w:w="657" w:type="pct"/>
            <w:shd w:val="clear" w:color="auto" w:fill="auto"/>
            <w:vAlign w:val="center"/>
            <w:hideMark/>
          </w:tcPr>
          <w:p w14:paraId="525872AB" w14:textId="77777777" w:rsidR="0065708A" w:rsidRPr="00513F1D" w:rsidRDefault="0065708A" w:rsidP="00F94FED">
            <w:pPr>
              <w:spacing w:after="0" w:line="240" w:lineRule="auto"/>
              <w:jc w:val="center"/>
              <w:rPr>
                <w:rFonts w:eastAsia="Times New Roman"/>
                <w:sz w:val="16"/>
                <w:szCs w:val="16"/>
                <w:lang w:eastAsia="ru-RU"/>
              </w:rPr>
            </w:pPr>
            <w:r w:rsidRPr="00513F1D">
              <w:rPr>
                <w:rFonts w:eastAsia="Times New Roman"/>
                <w:sz w:val="16"/>
                <w:szCs w:val="16"/>
                <w:lang w:eastAsia="ru-RU"/>
              </w:rPr>
              <w:t>экономия от ТЗП</w:t>
            </w:r>
          </w:p>
        </w:tc>
      </w:tr>
      <w:tr w:rsidR="0065708A" w:rsidRPr="00513F1D" w14:paraId="1200A603" w14:textId="77777777" w:rsidTr="00CB5AA8">
        <w:trPr>
          <w:trHeight w:val="20"/>
        </w:trPr>
        <w:tc>
          <w:tcPr>
            <w:tcW w:w="1257" w:type="pct"/>
            <w:shd w:val="clear" w:color="auto" w:fill="auto"/>
            <w:vAlign w:val="center"/>
            <w:hideMark/>
          </w:tcPr>
          <w:p w14:paraId="66A4A5D3" w14:textId="77777777" w:rsidR="0065708A" w:rsidRPr="00513F1D" w:rsidRDefault="0065708A" w:rsidP="009A4C46">
            <w:pPr>
              <w:spacing w:after="0" w:line="240" w:lineRule="auto"/>
              <w:rPr>
                <w:rFonts w:eastAsia="Times New Roman"/>
                <w:sz w:val="16"/>
                <w:szCs w:val="16"/>
                <w:lang w:eastAsia="ru-RU"/>
              </w:rPr>
            </w:pPr>
            <w:proofErr w:type="spellStart"/>
            <w:r w:rsidRPr="00513F1D">
              <w:rPr>
                <w:rFonts w:eastAsia="Times New Roman"/>
                <w:sz w:val="16"/>
                <w:szCs w:val="16"/>
                <w:lang w:eastAsia="ru-RU"/>
              </w:rPr>
              <w:t>Техперевооружение</w:t>
            </w:r>
            <w:proofErr w:type="spellEnd"/>
            <w:r w:rsidRPr="00513F1D">
              <w:rPr>
                <w:rFonts w:eastAsia="Times New Roman"/>
                <w:sz w:val="16"/>
                <w:szCs w:val="16"/>
                <w:lang w:eastAsia="ru-RU"/>
              </w:rPr>
              <w:t xml:space="preserve"> с заменой перегруженной и находящейся в неудовлетворительном состоянии КТП 10/0,4 кВ б/н "</w:t>
            </w:r>
            <w:proofErr w:type="spellStart"/>
            <w:r w:rsidRPr="00513F1D">
              <w:rPr>
                <w:rFonts w:eastAsia="Times New Roman"/>
                <w:sz w:val="16"/>
                <w:szCs w:val="16"/>
                <w:lang w:eastAsia="ru-RU"/>
              </w:rPr>
              <w:t>Алдын-Булак</w:t>
            </w:r>
            <w:proofErr w:type="spellEnd"/>
            <w:r w:rsidRPr="00513F1D">
              <w:rPr>
                <w:rFonts w:eastAsia="Times New Roman"/>
                <w:sz w:val="16"/>
                <w:szCs w:val="16"/>
                <w:lang w:eastAsia="ru-RU"/>
              </w:rPr>
              <w:t>" ( с 0,16 МВА на 0,25 МВА)</w:t>
            </w:r>
          </w:p>
        </w:tc>
        <w:tc>
          <w:tcPr>
            <w:tcW w:w="556" w:type="pct"/>
            <w:shd w:val="clear" w:color="auto" w:fill="auto"/>
            <w:vAlign w:val="center"/>
            <w:hideMark/>
          </w:tcPr>
          <w:p w14:paraId="557A6B97" w14:textId="77777777" w:rsidR="0065708A" w:rsidRPr="00513F1D" w:rsidRDefault="0065708A" w:rsidP="003E2802">
            <w:pPr>
              <w:spacing w:after="0" w:line="240" w:lineRule="auto"/>
              <w:jc w:val="center"/>
              <w:rPr>
                <w:rFonts w:eastAsia="Times New Roman"/>
                <w:sz w:val="16"/>
                <w:szCs w:val="16"/>
                <w:lang w:eastAsia="ru-RU"/>
              </w:rPr>
            </w:pPr>
            <w:r w:rsidRPr="00513F1D">
              <w:rPr>
                <w:rFonts w:eastAsia="Times New Roman"/>
                <w:sz w:val="16"/>
                <w:szCs w:val="16"/>
                <w:lang w:eastAsia="ru-RU"/>
              </w:rPr>
              <w:t>0,5</w:t>
            </w:r>
          </w:p>
        </w:tc>
        <w:tc>
          <w:tcPr>
            <w:tcW w:w="477" w:type="pct"/>
            <w:shd w:val="clear" w:color="auto" w:fill="auto"/>
            <w:vAlign w:val="center"/>
            <w:hideMark/>
          </w:tcPr>
          <w:p w14:paraId="547E54D3"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0,2</w:t>
            </w:r>
          </w:p>
        </w:tc>
        <w:tc>
          <w:tcPr>
            <w:tcW w:w="422" w:type="pct"/>
            <w:shd w:val="clear" w:color="auto" w:fill="auto"/>
            <w:noWrap/>
            <w:vAlign w:val="center"/>
            <w:hideMark/>
          </w:tcPr>
          <w:p w14:paraId="0D88FBBF"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0,2</w:t>
            </w:r>
          </w:p>
        </w:tc>
        <w:tc>
          <w:tcPr>
            <w:tcW w:w="371" w:type="pct"/>
            <w:shd w:val="clear" w:color="auto" w:fill="auto"/>
            <w:noWrap/>
            <w:vAlign w:val="center"/>
            <w:hideMark/>
          </w:tcPr>
          <w:p w14:paraId="5B2E80BD"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0,2</w:t>
            </w:r>
          </w:p>
        </w:tc>
        <w:tc>
          <w:tcPr>
            <w:tcW w:w="569" w:type="pct"/>
            <w:shd w:val="clear" w:color="auto" w:fill="auto"/>
            <w:vAlign w:val="center"/>
            <w:hideMark/>
          </w:tcPr>
          <w:p w14:paraId="220DAEE6" w14:textId="77777777" w:rsidR="0065708A" w:rsidRPr="00513F1D" w:rsidRDefault="0065708A">
            <w:pPr>
              <w:spacing w:after="0" w:line="240" w:lineRule="auto"/>
              <w:jc w:val="center"/>
              <w:rPr>
                <w:rFonts w:eastAsia="Times New Roman"/>
                <w:sz w:val="16"/>
                <w:szCs w:val="16"/>
                <w:lang w:eastAsia="ru-RU"/>
              </w:rPr>
            </w:pPr>
          </w:p>
        </w:tc>
        <w:tc>
          <w:tcPr>
            <w:tcW w:w="327" w:type="pct"/>
            <w:shd w:val="clear" w:color="auto" w:fill="auto"/>
            <w:noWrap/>
            <w:vAlign w:val="center"/>
            <w:hideMark/>
          </w:tcPr>
          <w:p w14:paraId="01FB780A" w14:textId="77777777" w:rsidR="0065708A" w:rsidRPr="00513F1D" w:rsidRDefault="0065708A">
            <w:pPr>
              <w:spacing w:after="0" w:line="240" w:lineRule="auto"/>
              <w:jc w:val="center"/>
              <w:rPr>
                <w:rFonts w:eastAsia="Times New Roman"/>
                <w:sz w:val="16"/>
                <w:szCs w:val="16"/>
                <w:lang w:eastAsia="ru-RU"/>
              </w:rPr>
            </w:pPr>
          </w:p>
        </w:tc>
        <w:tc>
          <w:tcPr>
            <w:tcW w:w="363" w:type="pct"/>
            <w:shd w:val="clear" w:color="auto" w:fill="auto"/>
            <w:noWrap/>
            <w:vAlign w:val="center"/>
            <w:hideMark/>
          </w:tcPr>
          <w:p w14:paraId="2738B9E0"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0%</w:t>
            </w:r>
          </w:p>
        </w:tc>
        <w:tc>
          <w:tcPr>
            <w:tcW w:w="657" w:type="pct"/>
            <w:shd w:val="clear" w:color="auto" w:fill="auto"/>
            <w:vAlign w:val="center"/>
            <w:hideMark/>
          </w:tcPr>
          <w:p w14:paraId="463FA097" w14:textId="4FE65253" w:rsidR="0065708A" w:rsidRPr="00513F1D" w:rsidRDefault="0065708A" w:rsidP="00F94FED">
            <w:pPr>
              <w:spacing w:after="0" w:line="240" w:lineRule="auto"/>
              <w:jc w:val="center"/>
              <w:rPr>
                <w:rFonts w:eastAsia="Times New Roman"/>
                <w:sz w:val="16"/>
                <w:szCs w:val="16"/>
                <w:lang w:eastAsia="ru-RU"/>
              </w:rPr>
            </w:pPr>
          </w:p>
        </w:tc>
      </w:tr>
      <w:tr w:rsidR="0065708A" w:rsidRPr="00513F1D" w14:paraId="55BD083F" w14:textId="77777777" w:rsidTr="00CB5AA8">
        <w:trPr>
          <w:trHeight w:val="20"/>
        </w:trPr>
        <w:tc>
          <w:tcPr>
            <w:tcW w:w="1257" w:type="pct"/>
            <w:shd w:val="clear" w:color="auto" w:fill="auto"/>
            <w:vAlign w:val="center"/>
            <w:hideMark/>
          </w:tcPr>
          <w:p w14:paraId="5AD9E21F" w14:textId="77777777" w:rsidR="0065708A" w:rsidRPr="00513F1D" w:rsidRDefault="0065708A" w:rsidP="009A4C46">
            <w:pPr>
              <w:spacing w:after="0" w:line="240" w:lineRule="auto"/>
              <w:rPr>
                <w:rFonts w:eastAsia="Times New Roman"/>
                <w:sz w:val="16"/>
                <w:szCs w:val="16"/>
                <w:lang w:eastAsia="ru-RU"/>
              </w:rPr>
            </w:pPr>
            <w:proofErr w:type="spellStart"/>
            <w:r w:rsidRPr="00513F1D">
              <w:rPr>
                <w:rFonts w:eastAsia="Times New Roman"/>
                <w:sz w:val="16"/>
                <w:szCs w:val="16"/>
                <w:lang w:eastAsia="ru-RU"/>
              </w:rPr>
              <w:t>Техперевооружение</w:t>
            </w:r>
            <w:proofErr w:type="spellEnd"/>
            <w:r w:rsidRPr="00513F1D">
              <w:rPr>
                <w:rFonts w:eastAsia="Times New Roman"/>
                <w:sz w:val="16"/>
                <w:szCs w:val="16"/>
                <w:lang w:eastAsia="ru-RU"/>
              </w:rPr>
              <w:t xml:space="preserve"> с заменой перегруженной и находящейся в неудовлетворительном состоянии КТП 10/0,4 кВ г. Кызыл, ул. Мира, д. 13/13 ( с 0,25 МВА на 0,4 МВА)</w:t>
            </w:r>
          </w:p>
        </w:tc>
        <w:tc>
          <w:tcPr>
            <w:tcW w:w="556" w:type="pct"/>
            <w:shd w:val="clear" w:color="auto" w:fill="auto"/>
            <w:vAlign w:val="center"/>
            <w:hideMark/>
          </w:tcPr>
          <w:p w14:paraId="73C49FB1" w14:textId="77777777" w:rsidR="0065708A" w:rsidRPr="00513F1D" w:rsidRDefault="0065708A" w:rsidP="003E2802">
            <w:pPr>
              <w:spacing w:after="0" w:line="240" w:lineRule="auto"/>
              <w:jc w:val="center"/>
              <w:rPr>
                <w:rFonts w:eastAsia="Times New Roman"/>
                <w:sz w:val="16"/>
                <w:szCs w:val="16"/>
                <w:lang w:eastAsia="ru-RU"/>
              </w:rPr>
            </w:pPr>
            <w:r w:rsidRPr="00513F1D">
              <w:rPr>
                <w:rFonts w:eastAsia="Times New Roman"/>
                <w:sz w:val="16"/>
                <w:szCs w:val="16"/>
                <w:lang w:eastAsia="ru-RU"/>
              </w:rPr>
              <w:t>0,2</w:t>
            </w:r>
          </w:p>
        </w:tc>
        <w:tc>
          <w:tcPr>
            <w:tcW w:w="477" w:type="pct"/>
            <w:shd w:val="clear" w:color="auto" w:fill="auto"/>
            <w:vAlign w:val="center"/>
            <w:hideMark/>
          </w:tcPr>
          <w:p w14:paraId="592F40BC"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0,1</w:t>
            </w:r>
          </w:p>
        </w:tc>
        <w:tc>
          <w:tcPr>
            <w:tcW w:w="422" w:type="pct"/>
            <w:shd w:val="clear" w:color="auto" w:fill="auto"/>
            <w:noWrap/>
            <w:vAlign w:val="center"/>
            <w:hideMark/>
          </w:tcPr>
          <w:p w14:paraId="04D35AD2"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0,1</w:t>
            </w:r>
          </w:p>
        </w:tc>
        <w:tc>
          <w:tcPr>
            <w:tcW w:w="371" w:type="pct"/>
            <w:shd w:val="clear" w:color="auto" w:fill="auto"/>
            <w:noWrap/>
            <w:vAlign w:val="center"/>
            <w:hideMark/>
          </w:tcPr>
          <w:p w14:paraId="3B4FDAB1"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0,1</w:t>
            </w:r>
          </w:p>
        </w:tc>
        <w:tc>
          <w:tcPr>
            <w:tcW w:w="569" w:type="pct"/>
            <w:shd w:val="clear" w:color="auto" w:fill="auto"/>
            <w:vAlign w:val="center"/>
            <w:hideMark/>
          </w:tcPr>
          <w:p w14:paraId="01859F2E"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0,0</w:t>
            </w:r>
          </w:p>
        </w:tc>
        <w:tc>
          <w:tcPr>
            <w:tcW w:w="327" w:type="pct"/>
            <w:shd w:val="clear" w:color="auto" w:fill="auto"/>
            <w:noWrap/>
            <w:vAlign w:val="center"/>
            <w:hideMark/>
          </w:tcPr>
          <w:p w14:paraId="7E386A3E"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0,0</w:t>
            </w:r>
          </w:p>
        </w:tc>
        <w:tc>
          <w:tcPr>
            <w:tcW w:w="363" w:type="pct"/>
            <w:shd w:val="clear" w:color="auto" w:fill="auto"/>
            <w:noWrap/>
            <w:vAlign w:val="center"/>
            <w:hideMark/>
          </w:tcPr>
          <w:p w14:paraId="5550D81D"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0%</w:t>
            </w:r>
          </w:p>
        </w:tc>
        <w:tc>
          <w:tcPr>
            <w:tcW w:w="657" w:type="pct"/>
            <w:shd w:val="clear" w:color="auto" w:fill="auto"/>
            <w:vAlign w:val="center"/>
            <w:hideMark/>
          </w:tcPr>
          <w:p w14:paraId="197FC534" w14:textId="51F110D8" w:rsidR="0065708A" w:rsidRPr="00513F1D" w:rsidRDefault="0065708A" w:rsidP="00F94FED">
            <w:pPr>
              <w:spacing w:after="0" w:line="240" w:lineRule="auto"/>
              <w:jc w:val="center"/>
              <w:rPr>
                <w:rFonts w:eastAsia="Times New Roman"/>
                <w:sz w:val="16"/>
                <w:szCs w:val="16"/>
                <w:lang w:eastAsia="ru-RU"/>
              </w:rPr>
            </w:pPr>
          </w:p>
        </w:tc>
      </w:tr>
      <w:tr w:rsidR="0065708A" w:rsidRPr="00513F1D" w14:paraId="481F38CC" w14:textId="77777777" w:rsidTr="00CB5AA8">
        <w:trPr>
          <w:trHeight w:val="20"/>
        </w:trPr>
        <w:tc>
          <w:tcPr>
            <w:tcW w:w="1257" w:type="pct"/>
            <w:shd w:val="clear" w:color="auto" w:fill="auto"/>
            <w:vAlign w:val="center"/>
            <w:hideMark/>
          </w:tcPr>
          <w:p w14:paraId="1C9EB811" w14:textId="77777777" w:rsidR="0065708A" w:rsidRPr="00513F1D" w:rsidRDefault="0065708A" w:rsidP="009A4C46">
            <w:pPr>
              <w:spacing w:after="0" w:line="240" w:lineRule="auto"/>
              <w:rPr>
                <w:rFonts w:eastAsia="Times New Roman"/>
                <w:sz w:val="16"/>
                <w:szCs w:val="16"/>
                <w:lang w:eastAsia="ru-RU"/>
              </w:rPr>
            </w:pPr>
            <w:r w:rsidRPr="00513F1D">
              <w:rPr>
                <w:rFonts w:eastAsia="Times New Roman"/>
                <w:sz w:val="16"/>
                <w:szCs w:val="16"/>
                <w:lang w:eastAsia="ru-RU"/>
              </w:rPr>
              <w:t>Строительство ВЛ, КЛ 10-0.4 кВ для потребителей от 150 кВт до 670 кВт (№1135-2/190 от 29.10.2013г.; №164-1/195 от 25.06.2013 г. и т.д.)</w:t>
            </w:r>
          </w:p>
        </w:tc>
        <w:tc>
          <w:tcPr>
            <w:tcW w:w="556" w:type="pct"/>
            <w:shd w:val="clear" w:color="auto" w:fill="auto"/>
            <w:vAlign w:val="center"/>
            <w:hideMark/>
          </w:tcPr>
          <w:p w14:paraId="1008352D" w14:textId="77777777" w:rsidR="0065708A" w:rsidRPr="00513F1D" w:rsidRDefault="0065708A" w:rsidP="003E2802">
            <w:pPr>
              <w:spacing w:after="0" w:line="240" w:lineRule="auto"/>
              <w:jc w:val="center"/>
              <w:rPr>
                <w:rFonts w:eastAsia="Times New Roman"/>
                <w:sz w:val="16"/>
                <w:szCs w:val="16"/>
                <w:lang w:eastAsia="ru-RU"/>
              </w:rPr>
            </w:pPr>
            <w:proofErr w:type="spellStart"/>
            <w:r w:rsidRPr="00513F1D">
              <w:rPr>
                <w:rFonts w:eastAsia="Times New Roman"/>
                <w:sz w:val="16"/>
                <w:szCs w:val="16"/>
                <w:lang w:eastAsia="ru-RU"/>
              </w:rPr>
              <w:t>нд</w:t>
            </w:r>
            <w:proofErr w:type="spellEnd"/>
          </w:p>
        </w:tc>
        <w:tc>
          <w:tcPr>
            <w:tcW w:w="477" w:type="pct"/>
            <w:shd w:val="clear" w:color="auto" w:fill="auto"/>
            <w:vAlign w:val="center"/>
            <w:hideMark/>
          </w:tcPr>
          <w:p w14:paraId="25ECC063" w14:textId="77777777" w:rsidR="0065708A" w:rsidRPr="00513F1D" w:rsidRDefault="0065708A">
            <w:pPr>
              <w:spacing w:after="0" w:line="240" w:lineRule="auto"/>
              <w:jc w:val="center"/>
              <w:rPr>
                <w:rFonts w:eastAsia="Times New Roman"/>
                <w:sz w:val="16"/>
                <w:szCs w:val="16"/>
                <w:lang w:eastAsia="ru-RU"/>
              </w:rPr>
            </w:pPr>
            <w:proofErr w:type="spellStart"/>
            <w:r w:rsidRPr="00513F1D">
              <w:rPr>
                <w:rFonts w:eastAsia="Times New Roman"/>
                <w:sz w:val="16"/>
                <w:szCs w:val="16"/>
                <w:lang w:eastAsia="ru-RU"/>
              </w:rPr>
              <w:t>нд</w:t>
            </w:r>
            <w:proofErr w:type="spellEnd"/>
          </w:p>
        </w:tc>
        <w:tc>
          <w:tcPr>
            <w:tcW w:w="422" w:type="pct"/>
            <w:shd w:val="clear" w:color="auto" w:fill="auto"/>
            <w:noWrap/>
            <w:vAlign w:val="center"/>
            <w:hideMark/>
          </w:tcPr>
          <w:p w14:paraId="069D62EC"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w:t>
            </w:r>
          </w:p>
        </w:tc>
        <w:tc>
          <w:tcPr>
            <w:tcW w:w="371" w:type="pct"/>
            <w:shd w:val="clear" w:color="auto" w:fill="auto"/>
            <w:noWrap/>
            <w:vAlign w:val="center"/>
            <w:hideMark/>
          </w:tcPr>
          <w:p w14:paraId="5EE899C0"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0,8</w:t>
            </w:r>
          </w:p>
        </w:tc>
        <w:tc>
          <w:tcPr>
            <w:tcW w:w="569" w:type="pct"/>
            <w:shd w:val="clear" w:color="auto" w:fill="auto"/>
            <w:vAlign w:val="center"/>
            <w:hideMark/>
          </w:tcPr>
          <w:p w14:paraId="1C5F466D" w14:textId="77777777" w:rsidR="0065708A" w:rsidRPr="00513F1D" w:rsidRDefault="0065708A">
            <w:pPr>
              <w:spacing w:after="0" w:line="240" w:lineRule="auto"/>
              <w:jc w:val="center"/>
              <w:rPr>
                <w:rFonts w:eastAsia="Times New Roman"/>
                <w:sz w:val="16"/>
                <w:szCs w:val="16"/>
                <w:lang w:eastAsia="ru-RU"/>
              </w:rPr>
            </w:pPr>
            <w:proofErr w:type="spellStart"/>
            <w:r w:rsidRPr="00513F1D">
              <w:rPr>
                <w:rFonts w:eastAsia="Times New Roman"/>
                <w:sz w:val="16"/>
                <w:szCs w:val="16"/>
                <w:lang w:eastAsia="ru-RU"/>
              </w:rPr>
              <w:t>нд</w:t>
            </w:r>
            <w:proofErr w:type="spellEnd"/>
          </w:p>
        </w:tc>
        <w:tc>
          <w:tcPr>
            <w:tcW w:w="327" w:type="pct"/>
            <w:shd w:val="clear" w:color="auto" w:fill="auto"/>
            <w:noWrap/>
            <w:vAlign w:val="center"/>
            <w:hideMark/>
          </w:tcPr>
          <w:p w14:paraId="0E1D77C0"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0,8</w:t>
            </w:r>
          </w:p>
        </w:tc>
        <w:tc>
          <w:tcPr>
            <w:tcW w:w="363" w:type="pct"/>
            <w:shd w:val="clear" w:color="auto" w:fill="auto"/>
            <w:noWrap/>
            <w:vAlign w:val="center"/>
            <w:hideMark/>
          </w:tcPr>
          <w:p w14:paraId="1B87C46A" w14:textId="77777777" w:rsidR="0065708A" w:rsidRPr="00513F1D" w:rsidRDefault="0065708A">
            <w:pPr>
              <w:spacing w:after="0" w:line="240" w:lineRule="auto"/>
              <w:jc w:val="center"/>
              <w:rPr>
                <w:rFonts w:eastAsia="Times New Roman"/>
                <w:sz w:val="16"/>
                <w:szCs w:val="16"/>
                <w:lang w:eastAsia="ru-RU"/>
              </w:rPr>
            </w:pPr>
          </w:p>
        </w:tc>
        <w:tc>
          <w:tcPr>
            <w:tcW w:w="657" w:type="pct"/>
            <w:shd w:val="clear" w:color="auto" w:fill="auto"/>
            <w:vAlign w:val="center"/>
            <w:hideMark/>
          </w:tcPr>
          <w:p w14:paraId="4286CACF" w14:textId="77777777" w:rsidR="0065708A" w:rsidRPr="00513F1D" w:rsidRDefault="0065708A" w:rsidP="00F94FED">
            <w:pPr>
              <w:spacing w:after="0" w:line="240" w:lineRule="auto"/>
              <w:jc w:val="center"/>
              <w:rPr>
                <w:rFonts w:eastAsia="Times New Roman"/>
                <w:sz w:val="16"/>
                <w:szCs w:val="16"/>
                <w:lang w:eastAsia="ru-RU"/>
              </w:rPr>
            </w:pPr>
            <w:r w:rsidRPr="00513F1D">
              <w:rPr>
                <w:rFonts w:eastAsia="Times New Roman"/>
                <w:sz w:val="16"/>
                <w:szCs w:val="16"/>
                <w:lang w:eastAsia="ru-RU"/>
              </w:rPr>
              <w:t xml:space="preserve">профинансированы фактически </w:t>
            </w:r>
            <w:proofErr w:type="spellStart"/>
            <w:r w:rsidRPr="00513F1D">
              <w:rPr>
                <w:rFonts w:eastAsia="Times New Roman"/>
                <w:sz w:val="16"/>
                <w:szCs w:val="16"/>
                <w:lang w:eastAsia="ru-RU"/>
              </w:rPr>
              <w:t>выполненые</w:t>
            </w:r>
            <w:proofErr w:type="spellEnd"/>
            <w:r w:rsidRPr="00513F1D">
              <w:rPr>
                <w:rFonts w:eastAsia="Times New Roman"/>
                <w:sz w:val="16"/>
                <w:szCs w:val="16"/>
                <w:lang w:eastAsia="ru-RU"/>
              </w:rPr>
              <w:t xml:space="preserve"> работы хоз. способом</w:t>
            </w:r>
          </w:p>
        </w:tc>
      </w:tr>
      <w:tr w:rsidR="0065708A" w:rsidRPr="00513F1D" w14:paraId="332B1CE6" w14:textId="77777777" w:rsidTr="00CB5AA8">
        <w:trPr>
          <w:trHeight w:val="20"/>
        </w:trPr>
        <w:tc>
          <w:tcPr>
            <w:tcW w:w="1257" w:type="pct"/>
            <w:shd w:val="clear" w:color="auto" w:fill="auto"/>
            <w:vAlign w:val="bottom"/>
            <w:hideMark/>
          </w:tcPr>
          <w:p w14:paraId="5F977FC0" w14:textId="77777777" w:rsidR="0065708A" w:rsidRPr="00513F1D" w:rsidRDefault="0065708A" w:rsidP="009A4C46">
            <w:pPr>
              <w:spacing w:after="0" w:line="240" w:lineRule="auto"/>
              <w:rPr>
                <w:rFonts w:eastAsia="Times New Roman"/>
                <w:sz w:val="16"/>
                <w:szCs w:val="16"/>
                <w:lang w:eastAsia="ru-RU"/>
              </w:rPr>
            </w:pPr>
            <w:r w:rsidRPr="00513F1D">
              <w:rPr>
                <w:rFonts w:eastAsia="Times New Roman"/>
                <w:sz w:val="16"/>
                <w:szCs w:val="16"/>
                <w:lang w:eastAsia="ru-RU"/>
              </w:rPr>
              <w:t>Технологическое присоединение объектов электросетевого хозяйства, всего, в том числе:</w:t>
            </w:r>
          </w:p>
        </w:tc>
        <w:tc>
          <w:tcPr>
            <w:tcW w:w="556" w:type="pct"/>
            <w:shd w:val="clear" w:color="auto" w:fill="auto"/>
            <w:noWrap/>
            <w:vAlign w:val="center"/>
          </w:tcPr>
          <w:p w14:paraId="520CDA91" w14:textId="77777777" w:rsidR="0065708A" w:rsidRPr="00513F1D" w:rsidRDefault="0065708A" w:rsidP="003E2802">
            <w:pPr>
              <w:spacing w:after="0" w:line="240" w:lineRule="auto"/>
              <w:jc w:val="center"/>
              <w:rPr>
                <w:rFonts w:eastAsia="Times New Roman"/>
                <w:sz w:val="16"/>
                <w:szCs w:val="16"/>
                <w:lang w:eastAsia="ru-RU"/>
              </w:rPr>
            </w:pPr>
          </w:p>
        </w:tc>
        <w:tc>
          <w:tcPr>
            <w:tcW w:w="477" w:type="pct"/>
            <w:shd w:val="clear" w:color="auto" w:fill="auto"/>
            <w:noWrap/>
            <w:vAlign w:val="center"/>
          </w:tcPr>
          <w:p w14:paraId="5229C324" w14:textId="77777777" w:rsidR="0065708A" w:rsidRPr="00513F1D" w:rsidRDefault="0065708A">
            <w:pPr>
              <w:spacing w:after="0" w:line="240" w:lineRule="auto"/>
              <w:jc w:val="center"/>
              <w:rPr>
                <w:rFonts w:eastAsia="Times New Roman"/>
                <w:sz w:val="16"/>
                <w:szCs w:val="16"/>
                <w:lang w:eastAsia="ru-RU"/>
              </w:rPr>
            </w:pPr>
          </w:p>
        </w:tc>
        <w:tc>
          <w:tcPr>
            <w:tcW w:w="422" w:type="pct"/>
            <w:shd w:val="clear" w:color="auto" w:fill="auto"/>
            <w:noWrap/>
            <w:vAlign w:val="center"/>
          </w:tcPr>
          <w:p w14:paraId="27302D72" w14:textId="77777777" w:rsidR="0065708A" w:rsidRPr="00513F1D" w:rsidRDefault="0065708A">
            <w:pPr>
              <w:spacing w:after="0" w:line="240" w:lineRule="auto"/>
              <w:jc w:val="center"/>
              <w:rPr>
                <w:rFonts w:eastAsia="Times New Roman"/>
                <w:sz w:val="16"/>
                <w:szCs w:val="16"/>
                <w:lang w:eastAsia="ru-RU"/>
              </w:rPr>
            </w:pPr>
          </w:p>
        </w:tc>
        <w:tc>
          <w:tcPr>
            <w:tcW w:w="371" w:type="pct"/>
            <w:shd w:val="clear" w:color="auto" w:fill="auto"/>
            <w:noWrap/>
            <w:vAlign w:val="center"/>
          </w:tcPr>
          <w:p w14:paraId="7E4C416E" w14:textId="77777777" w:rsidR="0065708A" w:rsidRPr="00513F1D" w:rsidRDefault="0065708A">
            <w:pPr>
              <w:spacing w:after="0" w:line="240" w:lineRule="auto"/>
              <w:jc w:val="center"/>
              <w:rPr>
                <w:rFonts w:eastAsia="Times New Roman"/>
                <w:sz w:val="16"/>
                <w:szCs w:val="16"/>
                <w:lang w:eastAsia="ru-RU"/>
              </w:rPr>
            </w:pPr>
          </w:p>
        </w:tc>
        <w:tc>
          <w:tcPr>
            <w:tcW w:w="569" w:type="pct"/>
            <w:shd w:val="clear" w:color="auto" w:fill="auto"/>
            <w:noWrap/>
            <w:vAlign w:val="center"/>
          </w:tcPr>
          <w:p w14:paraId="4E77230E" w14:textId="77777777" w:rsidR="0065708A" w:rsidRPr="00513F1D" w:rsidRDefault="0065708A">
            <w:pPr>
              <w:spacing w:after="0" w:line="240" w:lineRule="auto"/>
              <w:jc w:val="center"/>
              <w:rPr>
                <w:rFonts w:eastAsia="Times New Roman"/>
                <w:sz w:val="16"/>
                <w:szCs w:val="16"/>
                <w:lang w:eastAsia="ru-RU"/>
              </w:rPr>
            </w:pPr>
          </w:p>
        </w:tc>
        <w:tc>
          <w:tcPr>
            <w:tcW w:w="327" w:type="pct"/>
            <w:shd w:val="clear" w:color="auto" w:fill="auto"/>
            <w:noWrap/>
            <w:vAlign w:val="center"/>
          </w:tcPr>
          <w:p w14:paraId="4B88A0EF" w14:textId="77777777" w:rsidR="0065708A" w:rsidRPr="00513F1D" w:rsidRDefault="0065708A">
            <w:pPr>
              <w:spacing w:after="0" w:line="240" w:lineRule="auto"/>
              <w:jc w:val="center"/>
              <w:rPr>
                <w:rFonts w:eastAsia="Times New Roman"/>
                <w:sz w:val="16"/>
                <w:szCs w:val="16"/>
                <w:lang w:eastAsia="ru-RU"/>
              </w:rPr>
            </w:pPr>
          </w:p>
        </w:tc>
        <w:tc>
          <w:tcPr>
            <w:tcW w:w="363" w:type="pct"/>
            <w:shd w:val="clear" w:color="auto" w:fill="auto"/>
            <w:noWrap/>
            <w:vAlign w:val="center"/>
            <w:hideMark/>
          </w:tcPr>
          <w:p w14:paraId="5392CA4A" w14:textId="77777777" w:rsidR="0065708A" w:rsidRPr="00513F1D" w:rsidRDefault="0065708A">
            <w:pPr>
              <w:spacing w:after="0" w:line="240" w:lineRule="auto"/>
              <w:jc w:val="center"/>
              <w:rPr>
                <w:rFonts w:eastAsia="Times New Roman"/>
                <w:sz w:val="16"/>
                <w:szCs w:val="16"/>
                <w:lang w:eastAsia="ru-RU"/>
              </w:rPr>
            </w:pPr>
          </w:p>
        </w:tc>
        <w:tc>
          <w:tcPr>
            <w:tcW w:w="657" w:type="pct"/>
            <w:shd w:val="clear" w:color="auto" w:fill="auto"/>
            <w:vAlign w:val="center"/>
            <w:hideMark/>
          </w:tcPr>
          <w:p w14:paraId="41674E14" w14:textId="77777777" w:rsidR="0065708A" w:rsidRPr="00513F1D" w:rsidRDefault="0065708A" w:rsidP="00F94FED">
            <w:pPr>
              <w:spacing w:after="0" w:line="240" w:lineRule="auto"/>
              <w:jc w:val="center"/>
              <w:rPr>
                <w:rFonts w:eastAsia="Times New Roman"/>
                <w:sz w:val="16"/>
                <w:szCs w:val="16"/>
                <w:lang w:eastAsia="ru-RU"/>
              </w:rPr>
            </w:pPr>
            <w:r w:rsidRPr="00513F1D">
              <w:rPr>
                <w:rFonts w:eastAsia="Times New Roman"/>
                <w:sz w:val="16"/>
                <w:szCs w:val="16"/>
                <w:lang w:eastAsia="ru-RU"/>
              </w:rPr>
              <w:t>0</w:t>
            </w:r>
          </w:p>
        </w:tc>
      </w:tr>
      <w:tr w:rsidR="0065708A" w:rsidRPr="00513F1D" w14:paraId="0CDBF227" w14:textId="77777777" w:rsidTr="00CB5AA8">
        <w:trPr>
          <w:trHeight w:val="20"/>
        </w:trPr>
        <w:tc>
          <w:tcPr>
            <w:tcW w:w="1257" w:type="pct"/>
            <w:shd w:val="clear" w:color="auto" w:fill="auto"/>
            <w:vAlign w:val="bottom"/>
            <w:hideMark/>
          </w:tcPr>
          <w:p w14:paraId="63D1F4A4" w14:textId="77777777" w:rsidR="0065708A" w:rsidRPr="00513F1D" w:rsidRDefault="0065708A" w:rsidP="009A4C46">
            <w:pPr>
              <w:spacing w:after="0" w:line="240" w:lineRule="auto"/>
              <w:rPr>
                <w:rFonts w:eastAsia="Times New Roman"/>
                <w:sz w:val="16"/>
                <w:szCs w:val="16"/>
                <w:lang w:eastAsia="ru-RU"/>
              </w:rPr>
            </w:pPr>
            <w:r w:rsidRPr="00513F1D">
              <w:rPr>
                <w:rFonts w:eastAsia="Times New Roman"/>
                <w:sz w:val="16"/>
                <w:szCs w:val="16"/>
                <w:lang w:eastAsia="ru-RU"/>
              </w:rPr>
              <w:t>Технологическое присоединение объектов электросетевого хозяйства, принадлежащих  иным сетевым организациям и иным лицам, всего, в том числе:</w:t>
            </w:r>
          </w:p>
        </w:tc>
        <w:tc>
          <w:tcPr>
            <w:tcW w:w="556" w:type="pct"/>
            <w:shd w:val="clear" w:color="auto" w:fill="auto"/>
            <w:noWrap/>
            <w:vAlign w:val="center"/>
          </w:tcPr>
          <w:p w14:paraId="08A31DDC" w14:textId="77777777" w:rsidR="0065708A" w:rsidRPr="00513F1D" w:rsidRDefault="0065708A" w:rsidP="003E2802">
            <w:pPr>
              <w:spacing w:after="0" w:line="240" w:lineRule="auto"/>
              <w:jc w:val="center"/>
              <w:rPr>
                <w:rFonts w:eastAsia="Times New Roman"/>
                <w:sz w:val="16"/>
                <w:szCs w:val="16"/>
                <w:lang w:eastAsia="ru-RU"/>
              </w:rPr>
            </w:pPr>
          </w:p>
        </w:tc>
        <w:tc>
          <w:tcPr>
            <w:tcW w:w="477" w:type="pct"/>
            <w:shd w:val="clear" w:color="auto" w:fill="auto"/>
            <w:noWrap/>
            <w:vAlign w:val="center"/>
          </w:tcPr>
          <w:p w14:paraId="74BD3212" w14:textId="77777777" w:rsidR="0065708A" w:rsidRPr="00513F1D" w:rsidRDefault="0065708A">
            <w:pPr>
              <w:spacing w:after="0" w:line="240" w:lineRule="auto"/>
              <w:jc w:val="center"/>
              <w:rPr>
                <w:rFonts w:eastAsia="Times New Roman"/>
                <w:sz w:val="16"/>
                <w:szCs w:val="16"/>
                <w:lang w:eastAsia="ru-RU"/>
              </w:rPr>
            </w:pPr>
          </w:p>
        </w:tc>
        <w:tc>
          <w:tcPr>
            <w:tcW w:w="422" w:type="pct"/>
            <w:shd w:val="clear" w:color="auto" w:fill="auto"/>
            <w:noWrap/>
            <w:vAlign w:val="center"/>
          </w:tcPr>
          <w:p w14:paraId="1936E2BD" w14:textId="77777777" w:rsidR="0065708A" w:rsidRPr="00513F1D" w:rsidRDefault="0065708A">
            <w:pPr>
              <w:spacing w:after="0" w:line="240" w:lineRule="auto"/>
              <w:jc w:val="center"/>
              <w:rPr>
                <w:rFonts w:eastAsia="Times New Roman"/>
                <w:sz w:val="16"/>
                <w:szCs w:val="16"/>
                <w:lang w:eastAsia="ru-RU"/>
              </w:rPr>
            </w:pPr>
          </w:p>
        </w:tc>
        <w:tc>
          <w:tcPr>
            <w:tcW w:w="371" w:type="pct"/>
            <w:shd w:val="clear" w:color="auto" w:fill="auto"/>
            <w:noWrap/>
            <w:vAlign w:val="center"/>
          </w:tcPr>
          <w:p w14:paraId="69A52C6C" w14:textId="77777777" w:rsidR="0065708A" w:rsidRPr="00513F1D" w:rsidRDefault="0065708A">
            <w:pPr>
              <w:spacing w:after="0" w:line="240" w:lineRule="auto"/>
              <w:jc w:val="center"/>
              <w:rPr>
                <w:rFonts w:eastAsia="Times New Roman"/>
                <w:sz w:val="16"/>
                <w:szCs w:val="16"/>
                <w:lang w:eastAsia="ru-RU"/>
              </w:rPr>
            </w:pPr>
          </w:p>
        </w:tc>
        <w:tc>
          <w:tcPr>
            <w:tcW w:w="569" w:type="pct"/>
            <w:shd w:val="clear" w:color="auto" w:fill="auto"/>
            <w:noWrap/>
            <w:vAlign w:val="center"/>
          </w:tcPr>
          <w:p w14:paraId="00A61B2E" w14:textId="77777777" w:rsidR="0065708A" w:rsidRPr="00513F1D" w:rsidRDefault="0065708A">
            <w:pPr>
              <w:spacing w:after="0" w:line="240" w:lineRule="auto"/>
              <w:jc w:val="center"/>
              <w:rPr>
                <w:rFonts w:eastAsia="Times New Roman"/>
                <w:sz w:val="16"/>
                <w:szCs w:val="16"/>
                <w:lang w:eastAsia="ru-RU"/>
              </w:rPr>
            </w:pPr>
          </w:p>
        </w:tc>
        <w:tc>
          <w:tcPr>
            <w:tcW w:w="327" w:type="pct"/>
            <w:shd w:val="clear" w:color="auto" w:fill="auto"/>
            <w:noWrap/>
            <w:vAlign w:val="center"/>
          </w:tcPr>
          <w:p w14:paraId="7F6D756B" w14:textId="77777777" w:rsidR="0065708A" w:rsidRPr="00513F1D" w:rsidRDefault="0065708A">
            <w:pPr>
              <w:spacing w:after="0" w:line="240" w:lineRule="auto"/>
              <w:jc w:val="center"/>
              <w:rPr>
                <w:rFonts w:eastAsia="Times New Roman"/>
                <w:sz w:val="16"/>
                <w:szCs w:val="16"/>
                <w:lang w:eastAsia="ru-RU"/>
              </w:rPr>
            </w:pPr>
          </w:p>
        </w:tc>
        <w:tc>
          <w:tcPr>
            <w:tcW w:w="363" w:type="pct"/>
            <w:shd w:val="clear" w:color="auto" w:fill="auto"/>
            <w:noWrap/>
            <w:vAlign w:val="center"/>
            <w:hideMark/>
          </w:tcPr>
          <w:p w14:paraId="253E958A" w14:textId="77777777" w:rsidR="0065708A" w:rsidRPr="00513F1D" w:rsidRDefault="0065708A">
            <w:pPr>
              <w:spacing w:after="0" w:line="240" w:lineRule="auto"/>
              <w:jc w:val="center"/>
              <w:rPr>
                <w:rFonts w:eastAsia="Times New Roman"/>
                <w:sz w:val="16"/>
                <w:szCs w:val="16"/>
                <w:lang w:eastAsia="ru-RU"/>
              </w:rPr>
            </w:pPr>
          </w:p>
        </w:tc>
        <w:tc>
          <w:tcPr>
            <w:tcW w:w="657" w:type="pct"/>
            <w:shd w:val="clear" w:color="auto" w:fill="auto"/>
            <w:vAlign w:val="center"/>
            <w:hideMark/>
          </w:tcPr>
          <w:p w14:paraId="6CFBA453" w14:textId="77777777" w:rsidR="0065708A" w:rsidRPr="00513F1D" w:rsidRDefault="0065708A" w:rsidP="00F94FED">
            <w:pPr>
              <w:spacing w:after="0" w:line="240" w:lineRule="auto"/>
              <w:jc w:val="center"/>
              <w:rPr>
                <w:rFonts w:eastAsia="Times New Roman"/>
                <w:sz w:val="16"/>
                <w:szCs w:val="16"/>
                <w:lang w:eastAsia="ru-RU"/>
              </w:rPr>
            </w:pPr>
            <w:r w:rsidRPr="00513F1D">
              <w:rPr>
                <w:rFonts w:eastAsia="Times New Roman"/>
                <w:sz w:val="16"/>
                <w:szCs w:val="16"/>
                <w:lang w:eastAsia="ru-RU"/>
              </w:rPr>
              <w:t>0</w:t>
            </w:r>
          </w:p>
        </w:tc>
      </w:tr>
      <w:tr w:rsidR="0065708A" w:rsidRPr="00513F1D" w14:paraId="43036101" w14:textId="77777777" w:rsidTr="00CB5AA8">
        <w:trPr>
          <w:trHeight w:val="20"/>
        </w:trPr>
        <w:tc>
          <w:tcPr>
            <w:tcW w:w="1257" w:type="pct"/>
            <w:shd w:val="clear" w:color="auto" w:fill="auto"/>
            <w:vAlign w:val="bottom"/>
            <w:hideMark/>
          </w:tcPr>
          <w:p w14:paraId="37D9A3E5" w14:textId="77777777" w:rsidR="0065708A" w:rsidRPr="00513F1D" w:rsidRDefault="0065708A" w:rsidP="009A4C46">
            <w:pPr>
              <w:spacing w:after="0" w:line="240" w:lineRule="auto"/>
              <w:rPr>
                <w:rFonts w:eastAsia="Times New Roman"/>
                <w:sz w:val="16"/>
                <w:szCs w:val="16"/>
                <w:lang w:eastAsia="ru-RU"/>
              </w:rPr>
            </w:pPr>
            <w:r w:rsidRPr="00513F1D">
              <w:rPr>
                <w:rFonts w:eastAsia="Times New Roman"/>
                <w:sz w:val="16"/>
                <w:szCs w:val="16"/>
                <w:lang w:eastAsia="ru-RU"/>
              </w:rPr>
              <w:t>Технологическое присоединение к электрическим сетям иных сетевых организаций, всего, в том числе:</w:t>
            </w:r>
          </w:p>
        </w:tc>
        <w:tc>
          <w:tcPr>
            <w:tcW w:w="556" w:type="pct"/>
            <w:shd w:val="clear" w:color="auto" w:fill="auto"/>
            <w:noWrap/>
            <w:vAlign w:val="center"/>
          </w:tcPr>
          <w:p w14:paraId="33714842" w14:textId="77777777" w:rsidR="0065708A" w:rsidRPr="00513F1D" w:rsidRDefault="0065708A" w:rsidP="003E2802">
            <w:pPr>
              <w:spacing w:after="0" w:line="240" w:lineRule="auto"/>
              <w:jc w:val="center"/>
              <w:rPr>
                <w:rFonts w:eastAsia="Times New Roman"/>
                <w:sz w:val="16"/>
                <w:szCs w:val="16"/>
                <w:lang w:eastAsia="ru-RU"/>
              </w:rPr>
            </w:pPr>
          </w:p>
        </w:tc>
        <w:tc>
          <w:tcPr>
            <w:tcW w:w="477" w:type="pct"/>
            <w:shd w:val="clear" w:color="auto" w:fill="auto"/>
            <w:noWrap/>
            <w:vAlign w:val="center"/>
          </w:tcPr>
          <w:p w14:paraId="1BEDCB12" w14:textId="77777777" w:rsidR="0065708A" w:rsidRPr="00513F1D" w:rsidRDefault="0065708A">
            <w:pPr>
              <w:spacing w:after="0" w:line="240" w:lineRule="auto"/>
              <w:jc w:val="center"/>
              <w:rPr>
                <w:rFonts w:eastAsia="Times New Roman"/>
                <w:sz w:val="16"/>
                <w:szCs w:val="16"/>
                <w:lang w:eastAsia="ru-RU"/>
              </w:rPr>
            </w:pPr>
          </w:p>
        </w:tc>
        <w:tc>
          <w:tcPr>
            <w:tcW w:w="422" w:type="pct"/>
            <w:shd w:val="clear" w:color="auto" w:fill="auto"/>
            <w:noWrap/>
            <w:vAlign w:val="center"/>
          </w:tcPr>
          <w:p w14:paraId="0C9422C5" w14:textId="77777777" w:rsidR="0065708A" w:rsidRPr="00513F1D" w:rsidRDefault="0065708A">
            <w:pPr>
              <w:spacing w:after="0" w:line="240" w:lineRule="auto"/>
              <w:jc w:val="center"/>
              <w:rPr>
                <w:rFonts w:eastAsia="Times New Roman"/>
                <w:sz w:val="16"/>
                <w:szCs w:val="16"/>
                <w:lang w:eastAsia="ru-RU"/>
              </w:rPr>
            </w:pPr>
          </w:p>
        </w:tc>
        <w:tc>
          <w:tcPr>
            <w:tcW w:w="371" w:type="pct"/>
            <w:shd w:val="clear" w:color="auto" w:fill="auto"/>
            <w:noWrap/>
            <w:vAlign w:val="center"/>
          </w:tcPr>
          <w:p w14:paraId="2A06A002" w14:textId="77777777" w:rsidR="0065708A" w:rsidRPr="00513F1D" w:rsidRDefault="0065708A">
            <w:pPr>
              <w:spacing w:after="0" w:line="240" w:lineRule="auto"/>
              <w:jc w:val="center"/>
              <w:rPr>
                <w:rFonts w:eastAsia="Times New Roman"/>
                <w:sz w:val="16"/>
                <w:szCs w:val="16"/>
                <w:lang w:eastAsia="ru-RU"/>
              </w:rPr>
            </w:pPr>
          </w:p>
        </w:tc>
        <w:tc>
          <w:tcPr>
            <w:tcW w:w="569" w:type="pct"/>
            <w:shd w:val="clear" w:color="auto" w:fill="auto"/>
            <w:noWrap/>
            <w:vAlign w:val="center"/>
          </w:tcPr>
          <w:p w14:paraId="5B35284B" w14:textId="77777777" w:rsidR="0065708A" w:rsidRPr="00513F1D" w:rsidRDefault="0065708A">
            <w:pPr>
              <w:spacing w:after="0" w:line="240" w:lineRule="auto"/>
              <w:jc w:val="center"/>
              <w:rPr>
                <w:rFonts w:eastAsia="Times New Roman"/>
                <w:sz w:val="16"/>
                <w:szCs w:val="16"/>
                <w:lang w:eastAsia="ru-RU"/>
              </w:rPr>
            </w:pPr>
          </w:p>
        </w:tc>
        <w:tc>
          <w:tcPr>
            <w:tcW w:w="327" w:type="pct"/>
            <w:shd w:val="clear" w:color="auto" w:fill="auto"/>
            <w:noWrap/>
            <w:vAlign w:val="center"/>
          </w:tcPr>
          <w:p w14:paraId="2157AE99" w14:textId="77777777" w:rsidR="0065708A" w:rsidRPr="00513F1D" w:rsidRDefault="0065708A">
            <w:pPr>
              <w:spacing w:after="0" w:line="240" w:lineRule="auto"/>
              <w:jc w:val="center"/>
              <w:rPr>
                <w:rFonts w:eastAsia="Times New Roman"/>
                <w:sz w:val="16"/>
                <w:szCs w:val="16"/>
                <w:lang w:eastAsia="ru-RU"/>
              </w:rPr>
            </w:pPr>
          </w:p>
        </w:tc>
        <w:tc>
          <w:tcPr>
            <w:tcW w:w="363" w:type="pct"/>
            <w:shd w:val="clear" w:color="auto" w:fill="auto"/>
            <w:noWrap/>
            <w:vAlign w:val="center"/>
            <w:hideMark/>
          </w:tcPr>
          <w:p w14:paraId="3BD1E5E5" w14:textId="77777777" w:rsidR="0065708A" w:rsidRPr="00513F1D" w:rsidRDefault="0065708A">
            <w:pPr>
              <w:spacing w:after="0" w:line="240" w:lineRule="auto"/>
              <w:jc w:val="center"/>
              <w:rPr>
                <w:rFonts w:eastAsia="Times New Roman"/>
                <w:sz w:val="16"/>
                <w:szCs w:val="16"/>
                <w:lang w:eastAsia="ru-RU"/>
              </w:rPr>
            </w:pPr>
          </w:p>
        </w:tc>
        <w:tc>
          <w:tcPr>
            <w:tcW w:w="657" w:type="pct"/>
            <w:shd w:val="clear" w:color="auto" w:fill="auto"/>
            <w:vAlign w:val="center"/>
            <w:hideMark/>
          </w:tcPr>
          <w:p w14:paraId="7E6D5283" w14:textId="77777777" w:rsidR="0065708A" w:rsidRPr="00513F1D" w:rsidRDefault="0065708A" w:rsidP="00F94FED">
            <w:pPr>
              <w:spacing w:after="0" w:line="240" w:lineRule="auto"/>
              <w:jc w:val="center"/>
              <w:rPr>
                <w:rFonts w:eastAsia="Times New Roman"/>
                <w:sz w:val="16"/>
                <w:szCs w:val="16"/>
                <w:lang w:eastAsia="ru-RU"/>
              </w:rPr>
            </w:pPr>
            <w:r w:rsidRPr="00513F1D">
              <w:rPr>
                <w:rFonts w:eastAsia="Times New Roman"/>
                <w:sz w:val="16"/>
                <w:szCs w:val="16"/>
                <w:lang w:eastAsia="ru-RU"/>
              </w:rPr>
              <w:t>0</w:t>
            </w:r>
          </w:p>
        </w:tc>
      </w:tr>
      <w:tr w:rsidR="0065708A" w:rsidRPr="00513F1D" w14:paraId="29AE2F9B" w14:textId="77777777" w:rsidTr="00CB5AA8">
        <w:trPr>
          <w:trHeight w:val="20"/>
        </w:trPr>
        <w:tc>
          <w:tcPr>
            <w:tcW w:w="1257" w:type="pct"/>
            <w:shd w:val="clear" w:color="auto" w:fill="auto"/>
            <w:vAlign w:val="bottom"/>
            <w:hideMark/>
          </w:tcPr>
          <w:p w14:paraId="55F55DE0" w14:textId="77777777" w:rsidR="0065708A" w:rsidRPr="00513F1D" w:rsidRDefault="0065708A" w:rsidP="009A4C46">
            <w:pPr>
              <w:spacing w:after="0" w:line="240" w:lineRule="auto"/>
              <w:rPr>
                <w:rFonts w:eastAsia="Times New Roman"/>
                <w:sz w:val="16"/>
                <w:szCs w:val="16"/>
                <w:lang w:eastAsia="ru-RU"/>
              </w:rPr>
            </w:pPr>
            <w:r w:rsidRPr="00513F1D">
              <w:rPr>
                <w:rFonts w:eastAsia="Times New Roman"/>
                <w:sz w:val="16"/>
                <w:szCs w:val="16"/>
                <w:lang w:eastAsia="ru-RU"/>
              </w:rPr>
              <w:t xml:space="preserve">Технологическое присоединение объектов по </w:t>
            </w:r>
            <w:r w:rsidRPr="00513F1D">
              <w:rPr>
                <w:rFonts w:eastAsia="Times New Roman"/>
                <w:sz w:val="16"/>
                <w:szCs w:val="16"/>
                <w:lang w:eastAsia="ru-RU"/>
              </w:rPr>
              <w:lastRenderedPageBreak/>
              <w:t>производству электрической энергии всего, в том числе:</w:t>
            </w:r>
          </w:p>
        </w:tc>
        <w:tc>
          <w:tcPr>
            <w:tcW w:w="556" w:type="pct"/>
            <w:shd w:val="clear" w:color="auto" w:fill="auto"/>
            <w:noWrap/>
            <w:vAlign w:val="center"/>
          </w:tcPr>
          <w:p w14:paraId="411F3B68" w14:textId="77777777" w:rsidR="0065708A" w:rsidRPr="00513F1D" w:rsidRDefault="0065708A" w:rsidP="003E2802">
            <w:pPr>
              <w:spacing w:after="0" w:line="240" w:lineRule="auto"/>
              <w:jc w:val="center"/>
              <w:rPr>
                <w:rFonts w:eastAsia="Times New Roman"/>
                <w:sz w:val="16"/>
                <w:szCs w:val="16"/>
                <w:lang w:eastAsia="ru-RU"/>
              </w:rPr>
            </w:pPr>
          </w:p>
        </w:tc>
        <w:tc>
          <w:tcPr>
            <w:tcW w:w="477" w:type="pct"/>
            <w:shd w:val="clear" w:color="auto" w:fill="auto"/>
            <w:noWrap/>
            <w:vAlign w:val="center"/>
          </w:tcPr>
          <w:p w14:paraId="6636E73C" w14:textId="77777777" w:rsidR="0065708A" w:rsidRPr="00513F1D" w:rsidRDefault="0065708A">
            <w:pPr>
              <w:spacing w:after="0" w:line="240" w:lineRule="auto"/>
              <w:jc w:val="center"/>
              <w:rPr>
                <w:rFonts w:eastAsia="Times New Roman"/>
                <w:sz w:val="16"/>
                <w:szCs w:val="16"/>
                <w:lang w:eastAsia="ru-RU"/>
              </w:rPr>
            </w:pPr>
          </w:p>
        </w:tc>
        <w:tc>
          <w:tcPr>
            <w:tcW w:w="422" w:type="pct"/>
            <w:shd w:val="clear" w:color="auto" w:fill="auto"/>
            <w:noWrap/>
            <w:vAlign w:val="center"/>
          </w:tcPr>
          <w:p w14:paraId="6351DC8F" w14:textId="77777777" w:rsidR="0065708A" w:rsidRPr="00513F1D" w:rsidRDefault="0065708A">
            <w:pPr>
              <w:spacing w:after="0" w:line="240" w:lineRule="auto"/>
              <w:jc w:val="center"/>
              <w:rPr>
                <w:rFonts w:eastAsia="Times New Roman"/>
                <w:sz w:val="16"/>
                <w:szCs w:val="16"/>
                <w:lang w:eastAsia="ru-RU"/>
              </w:rPr>
            </w:pPr>
          </w:p>
        </w:tc>
        <w:tc>
          <w:tcPr>
            <w:tcW w:w="371" w:type="pct"/>
            <w:shd w:val="clear" w:color="auto" w:fill="auto"/>
            <w:noWrap/>
            <w:vAlign w:val="center"/>
          </w:tcPr>
          <w:p w14:paraId="56874C24" w14:textId="77777777" w:rsidR="0065708A" w:rsidRPr="00513F1D" w:rsidRDefault="0065708A">
            <w:pPr>
              <w:spacing w:after="0" w:line="240" w:lineRule="auto"/>
              <w:jc w:val="center"/>
              <w:rPr>
                <w:rFonts w:eastAsia="Times New Roman"/>
                <w:sz w:val="16"/>
                <w:szCs w:val="16"/>
                <w:lang w:eastAsia="ru-RU"/>
              </w:rPr>
            </w:pPr>
          </w:p>
        </w:tc>
        <w:tc>
          <w:tcPr>
            <w:tcW w:w="569" w:type="pct"/>
            <w:shd w:val="clear" w:color="auto" w:fill="auto"/>
            <w:noWrap/>
            <w:vAlign w:val="center"/>
          </w:tcPr>
          <w:p w14:paraId="1F80D407" w14:textId="77777777" w:rsidR="0065708A" w:rsidRPr="00513F1D" w:rsidRDefault="0065708A">
            <w:pPr>
              <w:spacing w:after="0" w:line="240" w:lineRule="auto"/>
              <w:jc w:val="center"/>
              <w:rPr>
                <w:rFonts w:eastAsia="Times New Roman"/>
                <w:sz w:val="16"/>
                <w:szCs w:val="16"/>
                <w:lang w:eastAsia="ru-RU"/>
              </w:rPr>
            </w:pPr>
          </w:p>
        </w:tc>
        <w:tc>
          <w:tcPr>
            <w:tcW w:w="327" w:type="pct"/>
            <w:shd w:val="clear" w:color="auto" w:fill="auto"/>
            <w:noWrap/>
            <w:vAlign w:val="center"/>
          </w:tcPr>
          <w:p w14:paraId="2C52C6F1" w14:textId="77777777" w:rsidR="0065708A" w:rsidRPr="00513F1D" w:rsidRDefault="0065708A">
            <w:pPr>
              <w:spacing w:after="0" w:line="240" w:lineRule="auto"/>
              <w:jc w:val="center"/>
              <w:rPr>
                <w:rFonts w:eastAsia="Times New Roman"/>
                <w:sz w:val="16"/>
                <w:szCs w:val="16"/>
                <w:lang w:eastAsia="ru-RU"/>
              </w:rPr>
            </w:pPr>
          </w:p>
        </w:tc>
        <w:tc>
          <w:tcPr>
            <w:tcW w:w="363" w:type="pct"/>
            <w:shd w:val="clear" w:color="auto" w:fill="auto"/>
            <w:noWrap/>
            <w:vAlign w:val="center"/>
            <w:hideMark/>
          </w:tcPr>
          <w:p w14:paraId="7EA6E071" w14:textId="77777777" w:rsidR="0065708A" w:rsidRPr="00513F1D" w:rsidRDefault="0065708A">
            <w:pPr>
              <w:spacing w:after="0" w:line="240" w:lineRule="auto"/>
              <w:jc w:val="center"/>
              <w:rPr>
                <w:rFonts w:eastAsia="Times New Roman"/>
                <w:sz w:val="16"/>
                <w:szCs w:val="16"/>
                <w:lang w:eastAsia="ru-RU"/>
              </w:rPr>
            </w:pPr>
          </w:p>
        </w:tc>
        <w:tc>
          <w:tcPr>
            <w:tcW w:w="657" w:type="pct"/>
            <w:shd w:val="clear" w:color="auto" w:fill="auto"/>
            <w:vAlign w:val="center"/>
            <w:hideMark/>
          </w:tcPr>
          <w:p w14:paraId="62FD4789" w14:textId="77777777" w:rsidR="0065708A" w:rsidRPr="00513F1D" w:rsidRDefault="0065708A" w:rsidP="00F94FED">
            <w:pPr>
              <w:spacing w:after="0" w:line="240" w:lineRule="auto"/>
              <w:jc w:val="center"/>
              <w:rPr>
                <w:rFonts w:eastAsia="Times New Roman"/>
                <w:sz w:val="16"/>
                <w:szCs w:val="16"/>
                <w:lang w:eastAsia="ru-RU"/>
              </w:rPr>
            </w:pPr>
            <w:r w:rsidRPr="00513F1D">
              <w:rPr>
                <w:rFonts w:eastAsia="Times New Roman"/>
                <w:sz w:val="16"/>
                <w:szCs w:val="16"/>
                <w:lang w:eastAsia="ru-RU"/>
              </w:rPr>
              <w:t>0</w:t>
            </w:r>
          </w:p>
        </w:tc>
      </w:tr>
      <w:tr w:rsidR="0065708A" w:rsidRPr="00513F1D" w14:paraId="3F43CE97" w14:textId="77777777" w:rsidTr="00CB5AA8">
        <w:trPr>
          <w:trHeight w:val="20"/>
        </w:trPr>
        <w:tc>
          <w:tcPr>
            <w:tcW w:w="1257" w:type="pct"/>
            <w:shd w:val="clear" w:color="auto" w:fill="auto"/>
            <w:vAlign w:val="bottom"/>
            <w:hideMark/>
          </w:tcPr>
          <w:p w14:paraId="35E94AFC" w14:textId="77777777" w:rsidR="0065708A" w:rsidRPr="00513F1D" w:rsidRDefault="0065708A" w:rsidP="009A4C46">
            <w:pPr>
              <w:spacing w:after="0" w:line="240" w:lineRule="auto"/>
              <w:rPr>
                <w:rFonts w:eastAsia="Times New Roman"/>
                <w:sz w:val="16"/>
                <w:szCs w:val="16"/>
                <w:lang w:eastAsia="ru-RU"/>
              </w:rPr>
            </w:pPr>
            <w:r w:rsidRPr="00513F1D">
              <w:rPr>
                <w:rFonts w:eastAsia="Times New Roman"/>
                <w:sz w:val="16"/>
                <w:szCs w:val="16"/>
                <w:lang w:eastAsia="ru-RU"/>
              </w:rPr>
              <w:t>Наименование объекта по производству электрической энергии, всего, в том числе:</w:t>
            </w:r>
          </w:p>
        </w:tc>
        <w:tc>
          <w:tcPr>
            <w:tcW w:w="556" w:type="pct"/>
            <w:shd w:val="clear" w:color="auto" w:fill="auto"/>
            <w:noWrap/>
            <w:vAlign w:val="center"/>
          </w:tcPr>
          <w:p w14:paraId="51EE82C2" w14:textId="77777777" w:rsidR="0065708A" w:rsidRPr="00513F1D" w:rsidRDefault="0065708A" w:rsidP="003E2802">
            <w:pPr>
              <w:spacing w:after="0" w:line="240" w:lineRule="auto"/>
              <w:jc w:val="center"/>
              <w:rPr>
                <w:rFonts w:eastAsia="Times New Roman"/>
                <w:sz w:val="16"/>
                <w:szCs w:val="16"/>
                <w:lang w:eastAsia="ru-RU"/>
              </w:rPr>
            </w:pPr>
          </w:p>
        </w:tc>
        <w:tc>
          <w:tcPr>
            <w:tcW w:w="477" w:type="pct"/>
            <w:shd w:val="clear" w:color="auto" w:fill="auto"/>
            <w:noWrap/>
            <w:vAlign w:val="center"/>
          </w:tcPr>
          <w:p w14:paraId="461B24D1" w14:textId="77777777" w:rsidR="0065708A" w:rsidRPr="00513F1D" w:rsidRDefault="0065708A">
            <w:pPr>
              <w:spacing w:after="0" w:line="240" w:lineRule="auto"/>
              <w:jc w:val="center"/>
              <w:rPr>
                <w:rFonts w:eastAsia="Times New Roman"/>
                <w:sz w:val="16"/>
                <w:szCs w:val="16"/>
                <w:lang w:eastAsia="ru-RU"/>
              </w:rPr>
            </w:pPr>
          </w:p>
        </w:tc>
        <w:tc>
          <w:tcPr>
            <w:tcW w:w="422" w:type="pct"/>
            <w:shd w:val="clear" w:color="auto" w:fill="auto"/>
            <w:noWrap/>
            <w:vAlign w:val="center"/>
          </w:tcPr>
          <w:p w14:paraId="1A6045B0" w14:textId="77777777" w:rsidR="0065708A" w:rsidRPr="00513F1D" w:rsidRDefault="0065708A">
            <w:pPr>
              <w:spacing w:after="0" w:line="240" w:lineRule="auto"/>
              <w:jc w:val="center"/>
              <w:rPr>
                <w:rFonts w:eastAsia="Times New Roman"/>
                <w:sz w:val="16"/>
                <w:szCs w:val="16"/>
                <w:lang w:eastAsia="ru-RU"/>
              </w:rPr>
            </w:pPr>
          </w:p>
        </w:tc>
        <w:tc>
          <w:tcPr>
            <w:tcW w:w="371" w:type="pct"/>
            <w:shd w:val="clear" w:color="auto" w:fill="auto"/>
            <w:noWrap/>
            <w:vAlign w:val="center"/>
          </w:tcPr>
          <w:p w14:paraId="7A5E29A8" w14:textId="77777777" w:rsidR="0065708A" w:rsidRPr="00513F1D" w:rsidRDefault="0065708A">
            <w:pPr>
              <w:spacing w:after="0" w:line="240" w:lineRule="auto"/>
              <w:jc w:val="center"/>
              <w:rPr>
                <w:rFonts w:eastAsia="Times New Roman"/>
                <w:sz w:val="16"/>
                <w:szCs w:val="16"/>
                <w:lang w:eastAsia="ru-RU"/>
              </w:rPr>
            </w:pPr>
          </w:p>
        </w:tc>
        <w:tc>
          <w:tcPr>
            <w:tcW w:w="569" w:type="pct"/>
            <w:shd w:val="clear" w:color="auto" w:fill="auto"/>
            <w:noWrap/>
            <w:vAlign w:val="center"/>
          </w:tcPr>
          <w:p w14:paraId="0970FF21" w14:textId="77777777" w:rsidR="0065708A" w:rsidRPr="00513F1D" w:rsidRDefault="0065708A">
            <w:pPr>
              <w:spacing w:after="0" w:line="240" w:lineRule="auto"/>
              <w:jc w:val="center"/>
              <w:rPr>
                <w:rFonts w:eastAsia="Times New Roman"/>
                <w:sz w:val="16"/>
                <w:szCs w:val="16"/>
                <w:lang w:eastAsia="ru-RU"/>
              </w:rPr>
            </w:pPr>
          </w:p>
        </w:tc>
        <w:tc>
          <w:tcPr>
            <w:tcW w:w="327" w:type="pct"/>
            <w:shd w:val="clear" w:color="auto" w:fill="auto"/>
            <w:noWrap/>
            <w:vAlign w:val="center"/>
          </w:tcPr>
          <w:p w14:paraId="4EF85A72" w14:textId="77777777" w:rsidR="0065708A" w:rsidRPr="00513F1D" w:rsidRDefault="0065708A">
            <w:pPr>
              <w:spacing w:after="0" w:line="240" w:lineRule="auto"/>
              <w:jc w:val="center"/>
              <w:rPr>
                <w:rFonts w:eastAsia="Times New Roman"/>
                <w:sz w:val="16"/>
                <w:szCs w:val="16"/>
                <w:lang w:eastAsia="ru-RU"/>
              </w:rPr>
            </w:pPr>
          </w:p>
        </w:tc>
        <w:tc>
          <w:tcPr>
            <w:tcW w:w="363" w:type="pct"/>
            <w:shd w:val="clear" w:color="auto" w:fill="auto"/>
            <w:noWrap/>
            <w:vAlign w:val="center"/>
            <w:hideMark/>
          </w:tcPr>
          <w:p w14:paraId="28B2AFDE" w14:textId="77777777" w:rsidR="0065708A" w:rsidRPr="00513F1D" w:rsidRDefault="0065708A">
            <w:pPr>
              <w:spacing w:after="0" w:line="240" w:lineRule="auto"/>
              <w:jc w:val="center"/>
              <w:rPr>
                <w:rFonts w:eastAsia="Times New Roman"/>
                <w:sz w:val="16"/>
                <w:szCs w:val="16"/>
                <w:lang w:eastAsia="ru-RU"/>
              </w:rPr>
            </w:pPr>
          </w:p>
        </w:tc>
        <w:tc>
          <w:tcPr>
            <w:tcW w:w="657" w:type="pct"/>
            <w:shd w:val="clear" w:color="auto" w:fill="auto"/>
            <w:vAlign w:val="center"/>
            <w:hideMark/>
          </w:tcPr>
          <w:p w14:paraId="6A119310" w14:textId="77777777" w:rsidR="0065708A" w:rsidRPr="00513F1D" w:rsidRDefault="0065708A" w:rsidP="00F94FED">
            <w:pPr>
              <w:spacing w:after="0" w:line="240" w:lineRule="auto"/>
              <w:jc w:val="center"/>
              <w:rPr>
                <w:rFonts w:eastAsia="Times New Roman"/>
                <w:sz w:val="16"/>
                <w:szCs w:val="16"/>
                <w:lang w:eastAsia="ru-RU"/>
              </w:rPr>
            </w:pPr>
            <w:r w:rsidRPr="00513F1D">
              <w:rPr>
                <w:rFonts w:eastAsia="Times New Roman"/>
                <w:sz w:val="16"/>
                <w:szCs w:val="16"/>
                <w:lang w:eastAsia="ru-RU"/>
              </w:rPr>
              <w:t>0</w:t>
            </w:r>
          </w:p>
        </w:tc>
      </w:tr>
      <w:tr w:rsidR="0065708A" w:rsidRPr="00513F1D" w14:paraId="32A36C98" w14:textId="77777777" w:rsidTr="00CB5AA8">
        <w:trPr>
          <w:trHeight w:val="20"/>
        </w:trPr>
        <w:tc>
          <w:tcPr>
            <w:tcW w:w="1257" w:type="pct"/>
            <w:shd w:val="clear" w:color="auto" w:fill="auto"/>
            <w:vAlign w:val="bottom"/>
            <w:hideMark/>
          </w:tcPr>
          <w:p w14:paraId="262F28B8" w14:textId="77777777" w:rsidR="0065708A" w:rsidRPr="00513F1D" w:rsidRDefault="0065708A" w:rsidP="009A4C46">
            <w:pPr>
              <w:spacing w:after="0" w:line="240" w:lineRule="auto"/>
              <w:rPr>
                <w:rFonts w:eastAsia="Times New Roman"/>
                <w:sz w:val="16"/>
                <w:szCs w:val="16"/>
                <w:lang w:eastAsia="ru-RU"/>
              </w:rPr>
            </w:pPr>
            <w:r w:rsidRPr="00513F1D">
              <w:rPr>
                <w:rFonts w:eastAsia="Times New Roman"/>
                <w:sz w:val="16"/>
                <w:szCs w:val="16"/>
                <w:lang w:eastAsia="ru-RU"/>
              </w:rPr>
              <w:t>Строительство новых объектов электросетевого хозяйства  (за исключением усиления существующей электрической сети) в целях осуществления технологического присоединения объекта по производству электрической энергии, всего, в том числе:</w:t>
            </w:r>
          </w:p>
        </w:tc>
        <w:tc>
          <w:tcPr>
            <w:tcW w:w="556" w:type="pct"/>
            <w:shd w:val="clear" w:color="auto" w:fill="auto"/>
            <w:noWrap/>
            <w:vAlign w:val="center"/>
          </w:tcPr>
          <w:p w14:paraId="7A39F0EF" w14:textId="77777777" w:rsidR="0065708A" w:rsidRPr="00513F1D" w:rsidRDefault="0065708A" w:rsidP="003E2802">
            <w:pPr>
              <w:spacing w:after="0" w:line="240" w:lineRule="auto"/>
              <w:jc w:val="center"/>
              <w:rPr>
                <w:rFonts w:eastAsia="Times New Roman"/>
                <w:sz w:val="16"/>
                <w:szCs w:val="16"/>
                <w:lang w:eastAsia="ru-RU"/>
              </w:rPr>
            </w:pPr>
          </w:p>
        </w:tc>
        <w:tc>
          <w:tcPr>
            <w:tcW w:w="477" w:type="pct"/>
            <w:shd w:val="clear" w:color="auto" w:fill="auto"/>
            <w:noWrap/>
            <w:vAlign w:val="center"/>
          </w:tcPr>
          <w:p w14:paraId="1BDCF5B7" w14:textId="77777777" w:rsidR="0065708A" w:rsidRPr="00513F1D" w:rsidRDefault="0065708A">
            <w:pPr>
              <w:spacing w:after="0" w:line="240" w:lineRule="auto"/>
              <w:jc w:val="center"/>
              <w:rPr>
                <w:rFonts w:eastAsia="Times New Roman"/>
                <w:sz w:val="16"/>
                <w:szCs w:val="16"/>
                <w:lang w:eastAsia="ru-RU"/>
              </w:rPr>
            </w:pPr>
          </w:p>
        </w:tc>
        <w:tc>
          <w:tcPr>
            <w:tcW w:w="422" w:type="pct"/>
            <w:shd w:val="clear" w:color="auto" w:fill="auto"/>
            <w:noWrap/>
            <w:vAlign w:val="center"/>
          </w:tcPr>
          <w:p w14:paraId="06CB2EBF" w14:textId="77777777" w:rsidR="0065708A" w:rsidRPr="00513F1D" w:rsidRDefault="0065708A">
            <w:pPr>
              <w:spacing w:after="0" w:line="240" w:lineRule="auto"/>
              <w:jc w:val="center"/>
              <w:rPr>
                <w:rFonts w:eastAsia="Times New Roman"/>
                <w:sz w:val="16"/>
                <w:szCs w:val="16"/>
                <w:lang w:eastAsia="ru-RU"/>
              </w:rPr>
            </w:pPr>
          </w:p>
        </w:tc>
        <w:tc>
          <w:tcPr>
            <w:tcW w:w="371" w:type="pct"/>
            <w:shd w:val="clear" w:color="auto" w:fill="auto"/>
            <w:noWrap/>
            <w:vAlign w:val="center"/>
          </w:tcPr>
          <w:p w14:paraId="3BCD10E1" w14:textId="77777777" w:rsidR="0065708A" w:rsidRPr="00513F1D" w:rsidRDefault="0065708A">
            <w:pPr>
              <w:spacing w:after="0" w:line="240" w:lineRule="auto"/>
              <w:jc w:val="center"/>
              <w:rPr>
                <w:rFonts w:eastAsia="Times New Roman"/>
                <w:sz w:val="16"/>
                <w:szCs w:val="16"/>
                <w:lang w:eastAsia="ru-RU"/>
              </w:rPr>
            </w:pPr>
          </w:p>
        </w:tc>
        <w:tc>
          <w:tcPr>
            <w:tcW w:w="569" w:type="pct"/>
            <w:shd w:val="clear" w:color="auto" w:fill="auto"/>
            <w:noWrap/>
            <w:vAlign w:val="center"/>
          </w:tcPr>
          <w:p w14:paraId="450D6A1F" w14:textId="77777777" w:rsidR="0065708A" w:rsidRPr="00513F1D" w:rsidRDefault="0065708A">
            <w:pPr>
              <w:spacing w:after="0" w:line="240" w:lineRule="auto"/>
              <w:jc w:val="center"/>
              <w:rPr>
                <w:rFonts w:eastAsia="Times New Roman"/>
                <w:sz w:val="16"/>
                <w:szCs w:val="16"/>
                <w:lang w:eastAsia="ru-RU"/>
              </w:rPr>
            </w:pPr>
          </w:p>
        </w:tc>
        <w:tc>
          <w:tcPr>
            <w:tcW w:w="327" w:type="pct"/>
            <w:shd w:val="clear" w:color="auto" w:fill="auto"/>
            <w:noWrap/>
            <w:vAlign w:val="center"/>
          </w:tcPr>
          <w:p w14:paraId="2EACEDB2" w14:textId="77777777" w:rsidR="0065708A" w:rsidRPr="00513F1D" w:rsidRDefault="0065708A">
            <w:pPr>
              <w:spacing w:after="0" w:line="240" w:lineRule="auto"/>
              <w:jc w:val="center"/>
              <w:rPr>
                <w:rFonts w:eastAsia="Times New Roman"/>
                <w:sz w:val="16"/>
                <w:szCs w:val="16"/>
                <w:lang w:eastAsia="ru-RU"/>
              </w:rPr>
            </w:pPr>
          </w:p>
        </w:tc>
        <w:tc>
          <w:tcPr>
            <w:tcW w:w="363" w:type="pct"/>
            <w:shd w:val="clear" w:color="auto" w:fill="auto"/>
            <w:noWrap/>
            <w:vAlign w:val="center"/>
            <w:hideMark/>
          </w:tcPr>
          <w:p w14:paraId="3B27959D" w14:textId="77777777" w:rsidR="0065708A" w:rsidRPr="00513F1D" w:rsidRDefault="0065708A">
            <w:pPr>
              <w:spacing w:after="0" w:line="240" w:lineRule="auto"/>
              <w:jc w:val="center"/>
              <w:rPr>
                <w:rFonts w:eastAsia="Times New Roman"/>
                <w:sz w:val="16"/>
                <w:szCs w:val="16"/>
                <w:lang w:eastAsia="ru-RU"/>
              </w:rPr>
            </w:pPr>
          </w:p>
        </w:tc>
        <w:tc>
          <w:tcPr>
            <w:tcW w:w="657" w:type="pct"/>
            <w:shd w:val="clear" w:color="auto" w:fill="auto"/>
            <w:vAlign w:val="center"/>
            <w:hideMark/>
          </w:tcPr>
          <w:p w14:paraId="78A37A9A" w14:textId="77777777" w:rsidR="0065708A" w:rsidRPr="00513F1D" w:rsidRDefault="0065708A" w:rsidP="00F94FED">
            <w:pPr>
              <w:spacing w:after="0" w:line="240" w:lineRule="auto"/>
              <w:jc w:val="center"/>
              <w:rPr>
                <w:rFonts w:eastAsia="Times New Roman"/>
                <w:sz w:val="16"/>
                <w:szCs w:val="16"/>
                <w:lang w:eastAsia="ru-RU"/>
              </w:rPr>
            </w:pPr>
            <w:r w:rsidRPr="00513F1D">
              <w:rPr>
                <w:rFonts w:eastAsia="Times New Roman"/>
                <w:sz w:val="16"/>
                <w:szCs w:val="16"/>
                <w:lang w:eastAsia="ru-RU"/>
              </w:rPr>
              <w:t>0</w:t>
            </w:r>
          </w:p>
        </w:tc>
      </w:tr>
      <w:tr w:rsidR="0065708A" w:rsidRPr="00513F1D" w14:paraId="3582B372" w14:textId="77777777" w:rsidTr="00CB5AA8">
        <w:trPr>
          <w:trHeight w:val="20"/>
        </w:trPr>
        <w:tc>
          <w:tcPr>
            <w:tcW w:w="1257" w:type="pct"/>
            <w:shd w:val="clear" w:color="auto" w:fill="auto"/>
            <w:vAlign w:val="bottom"/>
            <w:hideMark/>
          </w:tcPr>
          <w:p w14:paraId="3A8E412E" w14:textId="77777777" w:rsidR="0065708A" w:rsidRPr="00513F1D" w:rsidRDefault="0065708A" w:rsidP="009A4C46">
            <w:pPr>
              <w:spacing w:after="0" w:line="240" w:lineRule="auto"/>
              <w:rPr>
                <w:rFonts w:eastAsia="Times New Roman"/>
                <w:sz w:val="16"/>
                <w:szCs w:val="16"/>
                <w:lang w:eastAsia="ru-RU"/>
              </w:rPr>
            </w:pPr>
            <w:r w:rsidRPr="00513F1D">
              <w:rPr>
                <w:rFonts w:eastAsia="Times New Roman"/>
                <w:sz w:val="16"/>
                <w:szCs w:val="16"/>
                <w:lang w:eastAsia="ru-RU"/>
              </w:rPr>
              <w:t>Строительство новых объектов электросетевого хозяйства для усиления электрической сети в целях осуществления технологического присоединения объекта по производству электрической энергии, всего, в том числе:</w:t>
            </w:r>
          </w:p>
        </w:tc>
        <w:tc>
          <w:tcPr>
            <w:tcW w:w="556" w:type="pct"/>
            <w:shd w:val="clear" w:color="auto" w:fill="auto"/>
            <w:noWrap/>
            <w:vAlign w:val="center"/>
          </w:tcPr>
          <w:p w14:paraId="7E6745AB" w14:textId="77777777" w:rsidR="0065708A" w:rsidRPr="00513F1D" w:rsidRDefault="0065708A" w:rsidP="003E2802">
            <w:pPr>
              <w:spacing w:after="0" w:line="240" w:lineRule="auto"/>
              <w:jc w:val="center"/>
              <w:rPr>
                <w:rFonts w:eastAsia="Times New Roman"/>
                <w:sz w:val="16"/>
                <w:szCs w:val="16"/>
                <w:lang w:eastAsia="ru-RU"/>
              </w:rPr>
            </w:pPr>
          </w:p>
        </w:tc>
        <w:tc>
          <w:tcPr>
            <w:tcW w:w="477" w:type="pct"/>
            <w:shd w:val="clear" w:color="auto" w:fill="auto"/>
            <w:noWrap/>
            <w:vAlign w:val="center"/>
          </w:tcPr>
          <w:p w14:paraId="5AE8A7A8" w14:textId="77777777" w:rsidR="0065708A" w:rsidRPr="00513F1D" w:rsidRDefault="0065708A">
            <w:pPr>
              <w:spacing w:after="0" w:line="240" w:lineRule="auto"/>
              <w:jc w:val="center"/>
              <w:rPr>
                <w:rFonts w:eastAsia="Times New Roman"/>
                <w:sz w:val="16"/>
                <w:szCs w:val="16"/>
                <w:lang w:eastAsia="ru-RU"/>
              </w:rPr>
            </w:pPr>
          </w:p>
        </w:tc>
        <w:tc>
          <w:tcPr>
            <w:tcW w:w="422" w:type="pct"/>
            <w:shd w:val="clear" w:color="auto" w:fill="auto"/>
            <w:noWrap/>
            <w:vAlign w:val="center"/>
          </w:tcPr>
          <w:p w14:paraId="2A74BFA9" w14:textId="77777777" w:rsidR="0065708A" w:rsidRPr="00513F1D" w:rsidRDefault="0065708A">
            <w:pPr>
              <w:spacing w:after="0" w:line="240" w:lineRule="auto"/>
              <w:jc w:val="center"/>
              <w:rPr>
                <w:rFonts w:eastAsia="Times New Roman"/>
                <w:sz w:val="16"/>
                <w:szCs w:val="16"/>
                <w:lang w:eastAsia="ru-RU"/>
              </w:rPr>
            </w:pPr>
          </w:p>
        </w:tc>
        <w:tc>
          <w:tcPr>
            <w:tcW w:w="371" w:type="pct"/>
            <w:shd w:val="clear" w:color="auto" w:fill="auto"/>
            <w:noWrap/>
            <w:vAlign w:val="center"/>
          </w:tcPr>
          <w:p w14:paraId="5BE971E3" w14:textId="77777777" w:rsidR="0065708A" w:rsidRPr="00513F1D" w:rsidRDefault="0065708A">
            <w:pPr>
              <w:spacing w:after="0" w:line="240" w:lineRule="auto"/>
              <w:jc w:val="center"/>
              <w:rPr>
                <w:rFonts w:eastAsia="Times New Roman"/>
                <w:sz w:val="16"/>
                <w:szCs w:val="16"/>
                <w:lang w:eastAsia="ru-RU"/>
              </w:rPr>
            </w:pPr>
          </w:p>
        </w:tc>
        <w:tc>
          <w:tcPr>
            <w:tcW w:w="569" w:type="pct"/>
            <w:shd w:val="clear" w:color="auto" w:fill="auto"/>
            <w:noWrap/>
            <w:vAlign w:val="center"/>
          </w:tcPr>
          <w:p w14:paraId="25C2F3D9" w14:textId="77777777" w:rsidR="0065708A" w:rsidRPr="00513F1D" w:rsidRDefault="0065708A">
            <w:pPr>
              <w:spacing w:after="0" w:line="240" w:lineRule="auto"/>
              <w:jc w:val="center"/>
              <w:rPr>
                <w:rFonts w:eastAsia="Times New Roman"/>
                <w:sz w:val="16"/>
                <w:szCs w:val="16"/>
                <w:lang w:eastAsia="ru-RU"/>
              </w:rPr>
            </w:pPr>
          </w:p>
        </w:tc>
        <w:tc>
          <w:tcPr>
            <w:tcW w:w="327" w:type="pct"/>
            <w:shd w:val="clear" w:color="auto" w:fill="auto"/>
            <w:noWrap/>
            <w:vAlign w:val="center"/>
          </w:tcPr>
          <w:p w14:paraId="43119244" w14:textId="77777777" w:rsidR="0065708A" w:rsidRPr="00513F1D" w:rsidRDefault="0065708A">
            <w:pPr>
              <w:spacing w:after="0" w:line="240" w:lineRule="auto"/>
              <w:jc w:val="center"/>
              <w:rPr>
                <w:rFonts w:eastAsia="Times New Roman"/>
                <w:sz w:val="16"/>
                <w:szCs w:val="16"/>
                <w:lang w:eastAsia="ru-RU"/>
              </w:rPr>
            </w:pPr>
          </w:p>
        </w:tc>
        <w:tc>
          <w:tcPr>
            <w:tcW w:w="363" w:type="pct"/>
            <w:shd w:val="clear" w:color="auto" w:fill="auto"/>
            <w:noWrap/>
            <w:vAlign w:val="center"/>
            <w:hideMark/>
          </w:tcPr>
          <w:p w14:paraId="14250AA8" w14:textId="77777777" w:rsidR="0065708A" w:rsidRPr="00513F1D" w:rsidRDefault="0065708A">
            <w:pPr>
              <w:spacing w:after="0" w:line="240" w:lineRule="auto"/>
              <w:jc w:val="center"/>
              <w:rPr>
                <w:rFonts w:eastAsia="Times New Roman"/>
                <w:sz w:val="16"/>
                <w:szCs w:val="16"/>
                <w:lang w:eastAsia="ru-RU"/>
              </w:rPr>
            </w:pPr>
          </w:p>
        </w:tc>
        <w:tc>
          <w:tcPr>
            <w:tcW w:w="657" w:type="pct"/>
            <w:shd w:val="clear" w:color="auto" w:fill="auto"/>
            <w:vAlign w:val="center"/>
            <w:hideMark/>
          </w:tcPr>
          <w:p w14:paraId="6C167B3D" w14:textId="77777777" w:rsidR="0065708A" w:rsidRPr="00513F1D" w:rsidRDefault="0065708A" w:rsidP="00F94FED">
            <w:pPr>
              <w:spacing w:after="0" w:line="240" w:lineRule="auto"/>
              <w:jc w:val="center"/>
              <w:rPr>
                <w:rFonts w:eastAsia="Times New Roman"/>
                <w:sz w:val="16"/>
                <w:szCs w:val="16"/>
                <w:lang w:eastAsia="ru-RU"/>
              </w:rPr>
            </w:pPr>
            <w:r w:rsidRPr="00513F1D">
              <w:rPr>
                <w:rFonts w:eastAsia="Times New Roman"/>
                <w:sz w:val="16"/>
                <w:szCs w:val="16"/>
                <w:lang w:eastAsia="ru-RU"/>
              </w:rPr>
              <w:t>0</w:t>
            </w:r>
          </w:p>
        </w:tc>
      </w:tr>
      <w:tr w:rsidR="0065708A" w:rsidRPr="00513F1D" w14:paraId="708A87DE" w14:textId="77777777" w:rsidTr="00CB5AA8">
        <w:trPr>
          <w:trHeight w:val="20"/>
        </w:trPr>
        <w:tc>
          <w:tcPr>
            <w:tcW w:w="1257" w:type="pct"/>
            <w:shd w:val="clear" w:color="auto" w:fill="auto"/>
            <w:vAlign w:val="bottom"/>
            <w:hideMark/>
          </w:tcPr>
          <w:p w14:paraId="71D1D457" w14:textId="77777777" w:rsidR="0065708A" w:rsidRPr="00513F1D" w:rsidRDefault="0065708A" w:rsidP="009A4C46">
            <w:pPr>
              <w:spacing w:after="0" w:line="240" w:lineRule="auto"/>
              <w:rPr>
                <w:rFonts w:eastAsia="Times New Roman"/>
                <w:sz w:val="16"/>
                <w:szCs w:val="16"/>
                <w:lang w:eastAsia="ru-RU"/>
              </w:rPr>
            </w:pPr>
            <w:r w:rsidRPr="00513F1D">
              <w:rPr>
                <w:rFonts w:eastAsia="Times New Roman"/>
                <w:sz w:val="16"/>
                <w:szCs w:val="16"/>
                <w:lang w:eastAsia="ru-RU"/>
              </w:rPr>
              <w:t>Реконструкция существующих объектов электросетевого хозяйства для усиления электрической сети в целях осуществления технологического присоединения объекта по производству электрической энергии всего, в том числе:</w:t>
            </w:r>
          </w:p>
        </w:tc>
        <w:tc>
          <w:tcPr>
            <w:tcW w:w="556" w:type="pct"/>
            <w:shd w:val="clear" w:color="auto" w:fill="auto"/>
            <w:noWrap/>
            <w:vAlign w:val="center"/>
          </w:tcPr>
          <w:p w14:paraId="19CBF7EE" w14:textId="77777777" w:rsidR="0065708A" w:rsidRPr="00513F1D" w:rsidRDefault="0065708A" w:rsidP="003E2802">
            <w:pPr>
              <w:spacing w:after="0" w:line="240" w:lineRule="auto"/>
              <w:jc w:val="center"/>
              <w:rPr>
                <w:rFonts w:eastAsia="Times New Roman"/>
                <w:sz w:val="16"/>
                <w:szCs w:val="16"/>
                <w:lang w:eastAsia="ru-RU"/>
              </w:rPr>
            </w:pPr>
          </w:p>
        </w:tc>
        <w:tc>
          <w:tcPr>
            <w:tcW w:w="477" w:type="pct"/>
            <w:shd w:val="clear" w:color="auto" w:fill="auto"/>
            <w:noWrap/>
            <w:vAlign w:val="center"/>
          </w:tcPr>
          <w:p w14:paraId="40F335B6" w14:textId="77777777" w:rsidR="0065708A" w:rsidRPr="00513F1D" w:rsidRDefault="0065708A">
            <w:pPr>
              <w:spacing w:after="0" w:line="240" w:lineRule="auto"/>
              <w:jc w:val="center"/>
              <w:rPr>
                <w:rFonts w:eastAsia="Times New Roman"/>
                <w:sz w:val="16"/>
                <w:szCs w:val="16"/>
                <w:lang w:eastAsia="ru-RU"/>
              </w:rPr>
            </w:pPr>
          </w:p>
        </w:tc>
        <w:tc>
          <w:tcPr>
            <w:tcW w:w="422" w:type="pct"/>
            <w:shd w:val="clear" w:color="auto" w:fill="auto"/>
            <w:noWrap/>
            <w:vAlign w:val="center"/>
          </w:tcPr>
          <w:p w14:paraId="4D604F33" w14:textId="77777777" w:rsidR="0065708A" w:rsidRPr="00513F1D" w:rsidRDefault="0065708A">
            <w:pPr>
              <w:spacing w:after="0" w:line="240" w:lineRule="auto"/>
              <w:jc w:val="center"/>
              <w:rPr>
                <w:rFonts w:eastAsia="Times New Roman"/>
                <w:sz w:val="16"/>
                <w:szCs w:val="16"/>
                <w:lang w:eastAsia="ru-RU"/>
              </w:rPr>
            </w:pPr>
          </w:p>
        </w:tc>
        <w:tc>
          <w:tcPr>
            <w:tcW w:w="371" w:type="pct"/>
            <w:shd w:val="clear" w:color="auto" w:fill="auto"/>
            <w:noWrap/>
            <w:vAlign w:val="center"/>
          </w:tcPr>
          <w:p w14:paraId="02CB2754" w14:textId="77777777" w:rsidR="0065708A" w:rsidRPr="00513F1D" w:rsidRDefault="0065708A">
            <w:pPr>
              <w:spacing w:after="0" w:line="240" w:lineRule="auto"/>
              <w:jc w:val="center"/>
              <w:rPr>
                <w:rFonts w:eastAsia="Times New Roman"/>
                <w:sz w:val="16"/>
                <w:szCs w:val="16"/>
                <w:lang w:eastAsia="ru-RU"/>
              </w:rPr>
            </w:pPr>
          </w:p>
        </w:tc>
        <w:tc>
          <w:tcPr>
            <w:tcW w:w="569" w:type="pct"/>
            <w:shd w:val="clear" w:color="auto" w:fill="auto"/>
            <w:noWrap/>
            <w:vAlign w:val="center"/>
          </w:tcPr>
          <w:p w14:paraId="46B08626" w14:textId="77777777" w:rsidR="0065708A" w:rsidRPr="00513F1D" w:rsidRDefault="0065708A">
            <w:pPr>
              <w:spacing w:after="0" w:line="240" w:lineRule="auto"/>
              <w:jc w:val="center"/>
              <w:rPr>
                <w:rFonts w:eastAsia="Times New Roman"/>
                <w:sz w:val="16"/>
                <w:szCs w:val="16"/>
                <w:lang w:eastAsia="ru-RU"/>
              </w:rPr>
            </w:pPr>
          </w:p>
        </w:tc>
        <w:tc>
          <w:tcPr>
            <w:tcW w:w="327" w:type="pct"/>
            <w:shd w:val="clear" w:color="auto" w:fill="auto"/>
            <w:noWrap/>
            <w:vAlign w:val="center"/>
          </w:tcPr>
          <w:p w14:paraId="7D174854" w14:textId="77777777" w:rsidR="0065708A" w:rsidRPr="00513F1D" w:rsidRDefault="0065708A">
            <w:pPr>
              <w:spacing w:after="0" w:line="240" w:lineRule="auto"/>
              <w:jc w:val="center"/>
              <w:rPr>
                <w:rFonts w:eastAsia="Times New Roman"/>
                <w:sz w:val="16"/>
                <w:szCs w:val="16"/>
                <w:lang w:eastAsia="ru-RU"/>
              </w:rPr>
            </w:pPr>
          </w:p>
        </w:tc>
        <w:tc>
          <w:tcPr>
            <w:tcW w:w="363" w:type="pct"/>
            <w:shd w:val="clear" w:color="auto" w:fill="auto"/>
            <w:noWrap/>
            <w:vAlign w:val="center"/>
            <w:hideMark/>
          </w:tcPr>
          <w:p w14:paraId="013EBE46" w14:textId="77777777" w:rsidR="0065708A" w:rsidRPr="00513F1D" w:rsidRDefault="0065708A">
            <w:pPr>
              <w:spacing w:after="0" w:line="240" w:lineRule="auto"/>
              <w:jc w:val="center"/>
              <w:rPr>
                <w:rFonts w:eastAsia="Times New Roman"/>
                <w:sz w:val="16"/>
                <w:szCs w:val="16"/>
                <w:lang w:eastAsia="ru-RU"/>
              </w:rPr>
            </w:pPr>
          </w:p>
        </w:tc>
        <w:tc>
          <w:tcPr>
            <w:tcW w:w="657" w:type="pct"/>
            <w:shd w:val="clear" w:color="auto" w:fill="auto"/>
            <w:vAlign w:val="center"/>
            <w:hideMark/>
          </w:tcPr>
          <w:p w14:paraId="5F162B5D" w14:textId="77777777" w:rsidR="0065708A" w:rsidRPr="00513F1D" w:rsidRDefault="0065708A" w:rsidP="00F94FED">
            <w:pPr>
              <w:spacing w:after="0" w:line="240" w:lineRule="auto"/>
              <w:jc w:val="center"/>
              <w:rPr>
                <w:rFonts w:eastAsia="Times New Roman"/>
                <w:sz w:val="16"/>
                <w:szCs w:val="16"/>
                <w:lang w:eastAsia="ru-RU"/>
              </w:rPr>
            </w:pPr>
            <w:r w:rsidRPr="00513F1D">
              <w:rPr>
                <w:rFonts w:eastAsia="Times New Roman"/>
                <w:sz w:val="16"/>
                <w:szCs w:val="16"/>
                <w:lang w:eastAsia="ru-RU"/>
              </w:rPr>
              <w:t>0</w:t>
            </w:r>
          </w:p>
        </w:tc>
      </w:tr>
      <w:tr w:rsidR="0065708A" w:rsidRPr="00513F1D" w14:paraId="148FB9B8" w14:textId="77777777" w:rsidTr="00CB5AA8">
        <w:trPr>
          <w:trHeight w:val="20"/>
        </w:trPr>
        <w:tc>
          <w:tcPr>
            <w:tcW w:w="1257" w:type="pct"/>
            <w:shd w:val="clear" w:color="auto" w:fill="auto"/>
            <w:vAlign w:val="bottom"/>
            <w:hideMark/>
          </w:tcPr>
          <w:p w14:paraId="33891B1F" w14:textId="77777777" w:rsidR="0065708A" w:rsidRPr="00513F1D" w:rsidRDefault="0065708A" w:rsidP="009A4C46">
            <w:pPr>
              <w:spacing w:after="0" w:line="240" w:lineRule="auto"/>
              <w:rPr>
                <w:rFonts w:eastAsia="Times New Roman"/>
                <w:sz w:val="16"/>
                <w:szCs w:val="16"/>
                <w:lang w:eastAsia="ru-RU"/>
              </w:rPr>
            </w:pPr>
            <w:r w:rsidRPr="00513F1D">
              <w:rPr>
                <w:rFonts w:eastAsia="Times New Roman"/>
                <w:sz w:val="16"/>
                <w:szCs w:val="16"/>
                <w:lang w:eastAsia="ru-RU"/>
              </w:rPr>
              <w:t>Усиление электрической сети в целях осуществления технологического присоединения энергопринимающих устройств потребителей и (или) объектов электросетевого хозяйства всего, в том числе:</w:t>
            </w:r>
          </w:p>
        </w:tc>
        <w:tc>
          <w:tcPr>
            <w:tcW w:w="556" w:type="pct"/>
            <w:shd w:val="clear" w:color="auto" w:fill="auto"/>
            <w:noWrap/>
            <w:vAlign w:val="center"/>
            <w:hideMark/>
          </w:tcPr>
          <w:p w14:paraId="2DE2348D" w14:textId="77777777" w:rsidR="0065708A" w:rsidRPr="00513F1D" w:rsidRDefault="0065708A" w:rsidP="003E2802">
            <w:pPr>
              <w:spacing w:after="0" w:line="240" w:lineRule="auto"/>
              <w:jc w:val="center"/>
              <w:rPr>
                <w:rFonts w:eastAsia="Times New Roman"/>
                <w:sz w:val="16"/>
                <w:szCs w:val="16"/>
                <w:lang w:eastAsia="ru-RU"/>
              </w:rPr>
            </w:pPr>
            <w:r w:rsidRPr="00513F1D">
              <w:rPr>
                <w:rFonts w:eastAsia="Times New Roman"/>
                <w:sz w:val="16"/>
                <w:szCs w:val="16"/>
                <w:lang w:eastAsia="ru-RU"/>
              </w:rPr>
              <w:t>14,0</w:t>
            </w:r>
          </w:p>
        </w:tc>
        <w:tc>
          <w:tcPr>
            <w:tcW w:w="477" w:type="pct"/>
            <w:shd w:val="clear" w:color="auto" w:fill="auto"/>
            <w:noWrap/>
            <w:vAlign w:val="center"/>
            <w:hideMark/>
          </w:tcPr>
          <w:p w14:paraId="5A06D937"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33,3</w:t>
            </w:r>
          </w:p>
        </w:tc>
        <w:tc>
          <w:tcPr>
            <w:tcW w:w="422" w:type="pct"/>
            <w:shd w:val="clear" w:color="auto" w:fill="auto"/>
            <w:noWrap/>
            <w:vAlign w:val="center"/>
            <w:hideMark/>
          </w:tcPr>
          <w:p w14:paraId="53C80492"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0,5</w:t>
            </w:r>
          </w:p>
        </w:tc>
        <w:tc>
          <w:tcPr>
            <w:tcW w:w="371" w:type="pct"/>
            <w:shd w:val="clear" w:color="auto" w:fill="auto"/>
            <w:noWrap/>
            <w:vAlign w:val="center"/>
            <w:hideMark/>
          </w:tcPr>
          <w:p w14:paraId="3B643CF7"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1,5</w:t>
            </w:r>
          </w:p>
        </w:tc>
        <w:tc>
          <w:tcPr>
            <w:tcW w:w="569" w:type="pct"/>
            <w:shd w:val="clear" w:color="auto" w:fill="auto"/>
            <w:noWrap/>
            <w:vAlign w:val="center"/>
            <w:hideMark/>
          </w:tcPr>
          <w:p w14:paraId="0F83A71A"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31,8</w:t>
            </w:r>
          </w:p>
        </w:tc>
        <w:tc>
          <w:tcPr>
            <w:tcW w:w="327" w:type="pct"/>
            <w:shd w:val="clear" w:color="auto" w:fill="auto"/>
            <w:noWrap/>
            <w:vAlign w:val="center"/>
            <w:hideMark/>
          </w:tcPr>
          <w:p w14:paraId="48AE3BFA"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1,0</w:t>
            </w:r>
          </w:p>
        </w:tc>
        <w:tc>
          <w:tcPr>
            <w:tcW w:w="363" w:type="pct"/>
            <w:shd w:val="clear" w:color="auto" w:fill="auto"/>
            <w:noWrap/>
            <w:vAlign w:val="center"/>
            <w:hideMark/>
          </w:tcPr>
          <w:p w14:paraId="5F3FD41D"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196%</w:t>
            </w:r>
          </w:p>
        </w:tc>
        <w:tc>
          <w:tcPr>
            <w:tcW w:w="657" w:type="pct"/>
            <w:shd w:val="clear" w:color="auto" w:fill="auto"/>
            <w:vAlign w:val="center"/>
            <w:hideMark/>
          </w:tcPr>
          <w:p w14:paraId="2EB944C3" w14:textId="77777777" w:rsidR="0065708A" w:rsidRPr="00513F1D" w:rsidRDefault="0065708A" w:rsidP="00F94FED">
            <w:pPr>
              <w:spacing w:after="0" w:line="240" w:lineRule="auto"/>
              <w:jc w:val="center"/>
              <w:rPr>
                <w:rFonts w:eastAsia="Times New Roman"/>
                <w:sz w:val="16"/>
                <w:szCs w:val="16"/>
                <w:lang w:eastAsia="ru-RU"/>
              </w:rPr>
            </w:pPr>
            <w:r w:rsidRPr="00513F1D">
              <w:rPr>
                <w:rFonts w:eastAsia="Times New Roman"/>
                <w:sz w:val="16"/>
                <w:szCs w:val="16"/>
                <w:lang w:eastAsia="ru-RU"/>
              </w:rPr>
              <w:t>0</w:t>
            </w:r>
          </w:p>
        </w:tc>
      </w:tr>
      <w:tr w:rsidR="0065708A" w:rsidRPr="00513F1D" w14:paraId="5ED7609C" w14:textId="77777777" w:rsidTr="00CB5AA8">
        <w:trPr>
          <w:trHeight w:val="20"/>
        </w:trPr>
        <w:tc>
          <w:tcPr>
            <w:tcW w:w="1257" w:type="pct"/>
            <w:shd w:val="clear" w:color="auto" w:fill="auto"/>
            <w:vAlign w:val="bottom"/>
            <w:hideMark/>
          </w:tcPr>
          <w:p w14:paraId="3CA27268" w14:textId="77777777" w:rsidR="0065708A" w:rsidRPr="00513F1D" w:rsidRDefault="0065708A" w:rsidP="009A4C46">
            <w:pPr>
              <w:spacing w:after="0" w:line="240" w:lineRule="auto"/>
              <w:rPr>
                <w:rFonts w:eastAsia="Times New Roman"/>
                <w:sz w:val="16"/>
                <w:szCs w:val="16"/>
                <w:lang w:eastAsia="ru-RU"/>
              </w:rPr>
            </w:pPr>
            <w:r w:rsidRPr="00513F1D">
              <w:rPr>
                <w:rFonts w:eastAsia="Times New Roman"/>
                <w:sz w:val="16"/>
                <w:szCs w:val="16"/>
                <w:lang w:eastAsia="ru-RU"/>
              </w:rPr>
              <w:t>Строительство новых объектов электросетевого хозяйства для усиления электрической сети в целях осуществления технологического присоединения, всего, в том числе:</w:t>
            </w:r>
          </w:p>
        </w:tc>
        <w:tc>
          <w:tcPr>
            <w:tcW w:w="556" w:type="pct"/>
            <w:shd w:val="clear" w:color="auto" w:fill="auto"/>
            <w:noWrap/>
            <w:vAlign w:val="center"/>
          </w:tcPr>
          <w:p w14:paraId="3F0BD9EC" w14:textId="77777777" w:rsidR="0065708A" w:rsidRPr="00513F1D" w:rsidRDefault="0065708A" w:rsidP="003E2802">
            <w:pPr>
              <w:spacing w:after="0" w:line="240" w:lineRule="auto"/>
              <w:jc w:val="center"/>
              <w:rPr>
                <w:rFonts w:eastAsia="Times New Roman"/>
                <w:sz w:val="16"/>
                <w:szCs w:val="16"/>
                <w:lang w:eastAsia="ru-RU"/>
              </w:rPr>
            </w:pPr>
          </w:p>
        </w:tc>
        <w:tc>
          <w:tcPr>
            <w:tcW w:w="477" w:type="pct"/>
            <w:shd w:val="clear" w:color="auto" w:fill="auto"/>
            <w:noWrap/>
            <w:vAlign w:val="center"/>
          </w:tcPr>
          <w:p w14:paraId="44B3F9EB" w14:textId="77777777" w:rsidR="0065708A" w:rsidRPr="00513F1D" w:rsidRDefault="0065708A">
            <w:pPr>
              <w:spacing w:after="0" w:line="240" w:lineRule="auto"/>
              <w:jc w:val="center"/>
              <w:rPr>
                <w:rFonts w:eastAsia="Times New Roman"/>
                <w:sz w:val="16"/>
                <w:szCs w:val="16"/>
                <w:lang w:eastAsia="ru-RU"/>
              </w:rPr>
            </w:pPr>
          </w:p>
        </w:tc>
        <w:tc>
          <w:tcPr>
            <w:tcW w:w="422" w:type="pct"/>
            <w:shd w:val="clear" w:color="auto" w:fill="auto"/>
            <w:noWrap/>
            <w:vAlign w:val="center"/>
          </w:tcPr>
          <w:p w14:paraId="47877547" w14:textId="77777777" w:rsidR="0065708A" w:rsidRPr="00513F1D" w:rsidRDefault="0065708A">
            <w:pPr>
              <w:spacing w:after="0" w:line="240" w:lineRule="auto"/>
              <w:jc w:val="center"/>
              <w:rPr>
                <w:rFonts w:eastAsia="Times New Roman"/>
                <w:sz w:val="16"/>
                <w:szCs w:val="16"/>
                <w:lang w:eastAsia="ru-RU"/>
              </w:rPr>
            </w:pPr>
          </w:p>
        </w:tc>
        <w:tc>
          <w:tcPr>
            <w:tcW w:w="371" w:type="pct"/>
            <w:shd w:val="clear" w:color="auto" w:fill="auto"/>
            <w:noWrap/>
            <w:vAlign w:val="center"/>
          </w:tcPr>
          <w:p w14:paraId="32AAF485" w14:textId="77777777" w:rsidR="0065708A" w:rsidRPr="00513F1D" w:rsidRDefault="0065708A">
            <w:pPr>
              <w:spacing w:after="0" w:line="240" w:lineRule="auto"/>
              <w:jc w:val="center"/>
              <w:rPr>
                <w:rFonts w:eastAsia="Times New Roman"/>
                <w:sz w:val="16"/>
                <w:szCs w:val="16"/>
                <w:lang w:eastAsia="ru-RU"/>
              </w:rPr>
            </w:pPr>
          </w:p>
        </w:tc>
        <w:tc>
          <w:tcPr>
            <w:tcW w:w="569" w:type="pct"/>
            <w:shd w:val="clear" w:color="auto" w:fill="auto"/>
            <w:noWrap/>
            <w:vAlign w:val="center"/>
          </w:tcPr>
          <w:p w14:paraId="63734FFB" w14:textId="77777777" w:rsidR="0065708A" w:rsidRPr="00513F1D" w:rsidRDefault="0065708A">
            <w:pPr>
              <w:spacing w:after="0" w:line="240" w:lineRule="auto"/>
              <w:jc w:val="center"/>
              <w:rPr>
                <w:rFonts w:eastAsia="Times New Roman"/>
                <w:sz w:val="16"/>
                <w:szCs w:val="16"/>
                <w:lang w:eastAsia="ru-RU"/>
              </w:rPr>
            </w:pPr>
          </w:p>
        </w:tc>
        <w:tc>
          <w:tcPr>
            <w:tcW w:w="327" w:type="pct"/>
            <w:shd w:val="clear" w:color="auto" w:fill="auto"/>
            <w:noWrap/>
            <w:vAlign w:val="center"/>
          </w:tcPr>
          <w:p w14:paraId="59D03CD4" w14:textId="77777777" w:rsidR="0065708A" w:rsidRPr="00513F1D" w:rsidRDefault="0065708A">
            <w:pPr>
              <w:spacing w:after="0" w:line="240" w:lineRule="auto"/>
              <w:jc w:val="center"/>
              <w:rPr>
                <w:rFonts w:eastAsia="Times New Roman"/>
                <w:sz w:val="16"/>
                <w:szCs w:val="16"/>
                <w:lang w:eastAsia="ru-RU"/>
              </w:rPr>
            </w:pPr>
          </w:p>
        </w:tc>
        <w:tc>
          <w:tcPr>
            <w:tcW w:w="363" w:type="pct"/>
            <w:shd w:val="clear" w:color="auto" w:fill="auto"/>
            <w:noWrap/>
            <w:vAlign w:val="center"/>
          </w:tcPr>
          <w:p w14:paraId="24BA7965" w14:textId="77777777" w:rsidR="0065708A" w:rsidRPr="00513F1D" w:rsidRDefault="0065708A">
            <w:pPr>
              <w:spacing w:after="0" w:line="240" w:lineRule="auto"/>
              <w:jc w:val="center"/>
              <w:rPr>
                <w:rFonts w:eastAsia="Times New Roman"/>
                <w:sz w:val="16"/>
                <w:szCs w:val="16"/>
                <w:lang w:eastAsia="ru-RU"/>
              </w:rPr>
            </w:pPr>
          </w:p>
        </w:tc>
        <w:tc>
          <w:tcPr>
            <w:tcW w:w="657" w:type="pct"/>
            <w:shd w:val="clear" w:color="auto" w:fill="auto"/>
            <w:vAlign w:val="center"/>
            <w:hideMark/>
          </w:tcPr>
          <w:p w14:paraId="20CFCC25" w14:textId="77777777" w:rsidR="0065708A" w:rsidRPr="00513F1D" w:rsidRDefault="0065708A" w:rsidP="00F94FED">
            <w:pPr>
              <w:spacing w:after="0" w:line="240" w:lineRule="auto"/>
              <w:jc w:val="center"/>
              <w:rPr>
                <w:rFonts w:eastAsia="Times New Roman"/>
                <w:sz w:val="16"/>
                <w:szCs w:val="16"/>
                <w:lang w:eastAsia="ru-RU"/>
              </w:rPr>
            </w:pPr>
            <w:r w:rsidRPr="00513F1D">
              <w:rPr>
                <w:rFonts w:eastAsia="Times New Roman"/>
                <w:sz w:val="16"/>
                <w:szCs w:val="16"/>
                <w:lang w:eastAsia="ru-RU"/>
              </w:rPr>
              <w:t>0</w:t>
            </w:r>
          </w:p>
        </w:tc>
      </w:tr>
      <w:tr w:rsidR="0065708A" w:rsidRPr="00513F1D" w14:paraId="141F4679" w14:textId="77777777" w:rsidTr="00CB5AA8">
        <w:trPr>
          <w:trHeight w:val="20"/>
        </w:trPr>
        <w:tc>
          <w:tcPr>
            <w:tcW w:w="1257" w:type="pct"/>
            <w:shd w:val="clear" w:color="auto" w:fill="auto"/>
            <w:vAlign w:val="bottom"/>
            <w:hideMark/>
          </w:tcPr>
          <w:p w14:paraId="7446DE13" w14:textId="77777777" w:rsidR="0065708A" w:rsidRPr="00513F1D" w:rsidRDefault="0065708A" w:rsidP="009A4C46">
            <w:pPr>
              <w:spacing w:after="0" w:line="240" w:lineRule="auto"/>
              <w:rPr>
                <w:rFonts w:eastAsia="Times New Roman"/>
                <w:sz w:val="16"/>
                <w:szCs w:val="16"/>
                <w:lang w:eastAsia="ru-RU"/>
              </w:rPr>
            </w:pPr>
            <w:r w:rsidRPr="00513F1D">
              <w:rPr>
                <w:rFonts w:eastAsia="Times New Roman"/>
                <w:sz w:val="16"/>
                <w:szCs w:val="16"/>
                <w:lang w:eastAsia="ru-RU"/>
              </w:rPr>
              <w:t>Реконструкция существующих объектов электросетевого хозяйства для усиления электрической сети в целях осуществления технологического присоединения, всего, в том числе:</w:t>
            </w:r>
          </w:p>
        </w:tc>
        <w:tc>
          <w:tcPr>
            <w:tcW w:w="556" w:type="pct"/>
            <w:shd w:val="clear" w:color="auto" w:fill="auto"/>
            <w:noWrap/>
            <w:vAlign w:val="center"/>
            <w:hideMark/>
          </w:tcPr>
          <w:p w14:paraId="5DC26999" w14:textId="77777777" w:rsidR="0065708A" w:rsidRPr="00513F1D" w:rsidRDefault="0065708A" w:rsidP="003E2802">
            <w:pPr>
              <w:spacing w:after="0" w:line="240" w:lineRule="auto"/>
              <w:jc w:val="center"/>
              <w:rPr>
                <w:rFonts w:eastAsia="Times New Roman"/>
                <w:sz w:val="16"/>
                <w:szCs w:val="16"/>
                <w:lang w:eastAsia="ru-RU"/>
              </w:rPr>
            </w:pPr>
            <w:r w:rsidRPr="00513F1D">
              <w:rPr>
                <w:rFonts w:eastAsia="Times New Roman"/>
                <w:sz w:val="16"/>
                <w:szCs w:val="16"/>
                <w:lang w:eastAsia="ru-RU"/>
              </w:rPr>
              <w:t>14,0</w:t>
            </w:r>
          </w:p>
        </w:tc>
        <w:tc>
          <w:tcPr>
            <w:tcW w:w="477" w:type="pct"/>
            <w:shd w:val="clear" w:color="auto" w:fill="auto"/>
            <w:noWrap/>
            <w:vAlign w:val="center"/>
            <w:hideMark/>
          </w:tcPr>
          <w:p w14:paraId="065A059A"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33,3</w:t>
            </w:r>
          </w:p>
        </w:tc>
        <w:tc>
          <w:tcPr>
            <w:tcW w:w="422" w:type="pct"/>
            <w:shd w:val="clear" w:color="auto" w:fill="auto"/>
            <w:noWrap/>
            <w:vAlign w:val="center"/>
            <w:hideMark/>
          </w:tcPr>
          <w:p w14:paraId="46959174"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0,5</w:t>
            </w:r>
          </w:p>
        </w:tc>
        <w:tc>
          <w:tcPr>
            <w:tcW w:w="371" w:type="pct"/>
            <w:shd w:val="clear" w:color="auto" w:fill="auto"/>
            <w:noWrap/>
            <w:vAlign w:val="center"/>
            <w:hideMark/>
          </w:tcPr>
          <w:p w14:paraId="72F9E4EE"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1,5</w:t>
            </w:r>
          </w:p>
        </w:tc>
        <w:tc>
          <w:tcPr>
            <w:tcW w:w="569" w:type="pct"/>
            <w:shd w:val="clear" w:color="auto" w:fill="auto"/>
            <w:noWrap/>
            <w:vAlign w:val="center"/>
            <w:hideMark/>
          </w:tcPr>
          <w:p w14:paraId="77D07DD6"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31,8</w:t>
            </w:r>
          </w:p>
        </w:tc>
        <w:tc>
          <w:tcPr>
            <w:tcW w:w="327" w:type="pct"/>
            <w:shd w:val="clear" w:color="auto" w:fill="auto"/>
            <w:noWrap/>
            <w:vAlign w:val="center"/>
            <w:hideMark/>
          </w:tcPr>
          <w:p w14:paraId="147872DB"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1,0</w:t>
            </w:r>
          </w:p>
        </w:tc>
        <w:tc>
          <w:tcPr>
            <w:tcW w:w="363" w:type="pct"/>
            <w:shd w:val="clear" w:color="auto" w:fill="auto"/>
            <w:noWrap/>
            <w:vAlign w:val="center"/>
            <w:hideMark/>
          </w:tcPr>
          <w:p w14:paraId="6BDAF5A0"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1,96</w:t>
            </w:r>
          </w:p>
        </w:tc>
        <w:tc>
          <w:tcPr>
            <w:tcW w:w="657" w:type="pct"/>
            <w:shd w:val="clear" w:color="auto" w:fill="auto"/>
            <w:noWrap/>
            <w:vAlign w:val="center"/>
          </w:tcPr>
          <w:p w14:paraId="4A0DF28F" w14:textId="77777777" w:rsidR="0065708A" w:rsidRPr="00513F1D" w:rsidRDefault="0065708A" w:rsidP="00F94FED">
            <w:pPr>
              <w:spacing w:after="0" w:line="240" w:lineRule="auto"/>
              <w:jc w:val="center"/>
              <w:rPr>
                <w:rFonts w:eastAsia="Times New Roman"/>
                <w:sz w:val="16"/>
                <w:szCs w:val="16"/>
                <w:lang w:eastAsia="ru-RU"/>
              </w:rPr>
            </w:pPr>
          </w:p>
        </w:tc>
      </w:tr>
      <w:tr w:rsidR="0065708A" w:rsidRPr="00513F1D" w14:paraId="7EECCEDA" w14:textId="77777777" w:rsidTr="00CB5AA8">
        <w:trPr>
          <w:trHeight w:val="20"/>
        </w:trPr>
        <w:tc>
          <w:tcPr>
            <w:tcW w:w="1257" w:type="pct"/>
            <w:shd w:val="clear" w:color="auto" w:fill="auto"/>
            <w:vAlign w:val="bottom"/>
            <w:hideMark/>
          </w:tcPr>
          <w:p w14:paraId="25B4F04D" w14:textId="77777777" w:rsidR="0065708A" w:rsidRPr="00513F1D" w:rsidRDefault="0065708A" w:rsidP="009A4C46">
            <w:pPr>
              <w:spacing w:after="0" w:line="240" w:lineRule="auto"/>
              <w:rPr>
                <w:rFonts w:eastAsia="Times New Roman"/>
                <w:sz w:val="16"/>
                <w:szCs w:val="16"/>
                <w:lang w:eastAsia="ru-RU"/>
              </w:rPr>
            </w:pPr>
            <w:r w:rsidRPr="00513F1D">
              <w:rPr>
                <w:rFonts w:eastAsia="Times New Roman"/>
                <w:sz w:val="16"/>
                <w:szCs w:val="16"/>
                <w:lang w:eastAsia="ru-RU"/>
              </w:rPr>
              <w:t xml:space="preserve">Реконструкция ПС 110/10 кВ "Западная" с установкой доп. </w:t>
            </w:r>
            <w:r w:rsidRPr="00513F1D">
              <w:rPr>
                <w:rFonts w:eastAsia="Times New Roman"/>
                <w:sz w:val="16"/>
                <w:szCs w:val="16"/>
                <w:lang w:eastAsia="ru-RU"/>
              </w:rPr>
              <w:lastRenderedPageBreak/>
              <w:t>силового трансформатора 16 МВА</w:t>
            </w:r>
          </w:p>
        </w:tc>
        <w:tc>
          <w:tcPr>
            <w:tcW w:w="556" w:type="pct"/>
            <w:shd w:val="clear" w:color="auto" w:fill="auto"/>
            <w:vAlign w:val="center"/>
          </w:tcPr>
          <w:p w14:paraId="29737C83" w14:textId="77777777" w:rsidR="0065708A" w:rsidRPr="00513F1D" w:rsidRDefault="0065708A" w:rsidP="003E2802">
            <w:pPr>
              <w:spacing w:after="0" w:line="240" w:lineRule="auto"/>
              <w:jc w:val="center"/>
              <w:rPr>
                <w:rFonts w:eastAsia="Times New Roman"/>
                <w:sz w:val="16"/>
                <w:szCs w:val="16"/>
                <w:lang w:eastAsia="ru-RU"/>
              </w:rPr>
            </w:pPr>
          </w:p>
        </w:tc>
        <w:tc>
          <w:tcPr>
            <w:tcW w:w="477" w:type="pct"/>
            <w:shd w:val="clear" w:color="auto" w:fill="auto"/>
            <w:vAlign w:val="center"/>
            <w:hideMark/>
          </w:tcPr>
          <w:p w14:paraId="4E7C6C74"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32,8</w:t>
            </w:r>
          </w:p>
        </w:tc>
        <w:tc>
          <w:tcPr>
            <w:tcW w:w="422" w:type="pct"/>
            <w:shd w:val="clear" w:color="auto" w:fill="auto"/>
            <w:noWrap/>
            <w:vAlign w:val="center"/>
          </w:tcPr>
          <w:p w14:paraId="16598731" w14:textId="77777777" w:rsidR="0065708A" w:rsidRPr="00513F1D" w:rsidRDefault="0065708A">
            <w:pPr>
              <w:spacing w:after="0" w:line="240" w:lineRule="auto"/>
              <w:jc w:val="center"/>
              <w:rPr>
                <w:rFonts w:eastAsia="Times New Roman"/>
                <w:sz w:val="16"/>
                <w:szCs w:val="16"/>
                <w:lang w:eastAsia="ru-RU"/>
              </w:rPr>
            </w:pPr>
          </w:p>
        </w:tc>
        <w:tc>
          <w:tcPr>
            <w:tcW w:w="371" w:type="pct"/>
            <w:shd w:val="clear" w:color="auto" w:fill="auto"/>
            <w:noWrap/>
            <w:vAlign w:val="center"/>
          </w:tcPr>
          <w:p w14:paraId="03A42F9B" w14:textId="77777777" w:rsidR="0065708A" w:rsidRPr="00513F1D" w:rsidRDefault="0065708A">
            <w:pPr>
              <w:spacing w:after="0" w:line="240" w:lineRule="auto"/>
              <w:jc w:val="center"/>
              <w:rPr>
                <w:rFonts w:eastAsia="Times New Roman"/>
                <w:sz w:val="16"/>
                <w:szCs w:val="16"/>
                <w:lang w:eastAsia="ru-RU"/>
              </w:rPr>
            </w:pPr>
          </w:p>
        </w:tc>
        <w:tc>
          <w:tcPr>
            <w:tcW w:w="569" w:type="pct"/>
            <w:shd w:val="clear" w:color="auto" w:fill="auto"/>
            <w:noWrap/>
            <w:vAlign w:val="center"/>
            <w:hideMark/>
          </w:tcPr>
          <w:p w14:paraId="4CC307C1"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32,8</w:t>
            </w:r>
          </w:p>
        </w:tc>
        <w:tc>
          <w:tcPr>
            <w:tcW w:w="327" w:type="pct"/>
            <w:shd w:val="clear" w:color="auto" w:fill="auto"/>
            <w:noWrap/>
            <w:vAlign w:val="center"/>
            <w:hideMark/>
          </w:tcPr>
          <w:p w14:paraId="710D44A9" w14:textId="77777777" w:rsidR="0065708A" w:rsidRPr="00513F1D" w:rsidRDefault="0065708A">
            <w:pPr>
              <w:spacing w:after="0" w:line="240" w:lineRule="auto"/>
              <w:jc w:val="center"/>
              <w:rPr>
                <w:rFonts w:eastAsia="Times New Roman"/>
                <w:sz w:val="16"/>
                <w:szCs w:val="16"/>
                <w:lang w:eastAsia="ru-RU"/>
              </w:rPr>
            </w:pPr>
          </w:p>
        </w:tc>
        <w:tc>
          <w:tcPr>
            <w:tcW w:w="363" w:type="pct"/>
            <w:shd w:val="clear" w:color="auto" w:fill="auto"/>
            <w:noWrap/>
            <w:vAlign w:val="center"/>
            <w:hideMark/>
          </w:tcPr>
          <w:p w14:paraId="25100786" w14:textId="77777777" w:rsidR="0065708A" w:rsidRPr="00513F1D" w:rsidRDefault="0065708A">
            <w:pPr>
              <w:spacing w:after="0" w:line="240" w:lineRule="auto"/>
              <w:jc w:val="center"/>
              <w:rPr>
                <w:rFonts w:eastAsia="Times New Roman"/>
                <w:sz w:val="16"/>
                <w:szCs w:val="16"/>
                <w:lang w:eastAsia="ru-RU"/>
              </w:rPr>
            </w:pPr>
          </w:p>
        </w:tc>
        <w:tc>
          <w:tcPr>
            <w:tcW w:w="657" w:type="pct"/>
            <w:shd w:val="clear" w:color="auto" w:fill="auto"/>
            <w:vAlign w:val="center"/>
            <w:hideMark/>
          </w:tcPr>
          <w:p w14:paraId="72FD6A88" w14:textId="28200E61" w:rsidR="0065708A" w:rsidRPr="00513F1D" w:rsidRDefault="0065708A" w:rsidP="00F94FED">
            <w:pPr>
              <w:spacing w:after="0" w:line="240" w:lineRule="auto"/>
              <w:jc w:val="center"/>
              <w:rPr>
                <w:rFonts w:eastAsia="Times New Roman"/>
                <w:sz w:val="16"/>
                <w:szCs w:val="16"/>
                <w:lang w:eastAsia="ru-RU"/>
              </w:rPr>
            </w:pPr>
          </w:p>
        </w:tc>
      </w:tr>
      <w:tr w:rsidR="0065708A" w:rsidRPr="00513F1D" w14:paraId="157E285A" w14:textId="77777777" w:rsidTr="00CB5AA8">
        <w:trPr>
          <w:trHeight w:val="20"/>
        </w:trPr>
        <w:tc>
          <w:tcPr>
            <w:tcW w:w="1257" w:type="pct"/>
            <w:shd w:val="clear" w:color="auto" w:fill="auto"/>
            <w:vAlign w:val="bottom"/>
            <w:hideMark/>
          </w:tcPr>
          <w:p w14:paraId="6D169A75" w14:textId="77777777" w:rsidR="0065708A" w:rsidRPr="00513F1D" w:rsidRDefault="0065708A" w:rsidP="009A4C46">
            <w:pPr>
              <w:spacing w:after="0" w:line="240" w:lineRule="auto"/>
              <w:rPr>
                <w:rFonts w:eastAsia="Times New Roman"/>
                <w:sz w:val="16"/>
                <w:szCs w:val="16"/>
                <w:lang w:eastAsia="ru-RU"/>
              </w:rPr>
            </w:pPr>
            <w:r w:rsidRPr="00513F1D">
              <w:rPr>
                <w:rFonts w:eastAsia="Times New Roman"/>
                <w:sz w:val="16"/>
                <w:szCs w:val="16"/>
                <w:lang w:eastAsia="ru-RU"/>
              </w:rPr>
              <w:t>Реконструкция ПС 110/10 кВ "Южная" с заменой ТМ 6,3 МВА на 16 МВА  (2-ой этап)</w:t>
            </w:r>
          </w:p>
        </w:tc>
        <w:tc>
          <w:tcPr>
            <w:tcW w:w="556" w:type="pct"/>
            <w:shd w:val="clear" w:color="auto" w:fill="auto"/>
            <w:vAlign w:val="center"/>
            <w:hideMark/>
          </w:tcPr>
          <w:p w14:paraId="17307923" w14:textId="77777777" w:rsidR="0065708A" w:rsidRPr="00513F1D" w:rsidRDefault="0065708A" w:rsidP="003E2802">
            <w:pPr>
              <w:spacing w:after="0" w:line="240" w:lineRule="auto"/>
              <w:jc w:val="center"/>
              <w:rPr>
                <w:rFonts w:eastAsia="Times New Roman"/>
                <w:sz w:val="16"/>
                <w:szCs w:val="16"/>
                <w:lang w:eastAsia="ru-RU"/>
              </w:rPr>
            </w:pPr>
            <w:r w:rsidRPr="00513F1D">
              <w:rPr>
                <w:rFonts w:eastAsia="Times New Roman"/>
                <w:sz w:val="16"/>
                <w:szCs w:val="16"/>
                <w:lang w:eastAsia="ru-RU"/>
              </w:rPr>
              <w:t>14,0</w:t>
            </w:r>
          </w:p>
        </w:tc>
        <w:tc>
          <w:tcPr>
            <w:tcW w:w="477" w:type="pct"/>
            <w:shd w:val="clear" w:color="auto" w:fill="auto"/>
            <w:vAlign w:val="center"/>
            <w:hideMark/>
          </w:tcPr>
          <w:p w14:paraId="39A3E64B"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0,5</w:t>
            </w:r>
          </w:p>
        </w:tc>
        <w:tc>
          <w:tcPr>
            <w:tcW w:w="422" w:type="pct"/>
            <w:shd w:val="clear" w:color="auto" w:fill="auto"/>
            <w:noWrap/>
            <w:vAlign w:val="center"/>
            <w:hideMark/>
          </w:tcPr>
          <w:p w14:paraId="5FC69606"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0,5</w:t>
            </w:r>
          </w:p>
        </w:tc>
        <w:tc>
          <w:tcPr>
            <w:tcW w:w="371" w:type="pct"/>
            <w:shd w:val="clear" w:color="auto" w:fill="auto"/>
            <w:noWrap/>
            <w:vAlign w:val="center"/>
            <w:hideMark/>
          </w:tcPr>
          <w:p w14:paraId="607648A8"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1,5</w:t>
            </w:r>
          </w:p>
        </w:tc>
        <w:tc>
          <w:tcPr>
            <w:tcW w:w="569" w:type="pct"/>
            <w:shd w:val="clear" w:color="auto" w:fill="auto"/>
            <w:vAlign w:val="center"/>
            <w:hideMark/>
          </w:tcPr>
          <w:p w14:paraId="34CE4520" w14:textId="77777777" w:rsidR="0065708A" w:rsidRPr="00513F1D" w:rsidRDefault="0065708A">
            <w:pPr>
              <w:spacing w:after="0" w:line="240" w:lineRule="auto"/>
              <w:jc w:val="center"/>
              <w:rPr>
                <w:rFonts w:eastAsia="Times New Roman"/>
                <w:sz w:val="16"/>
                <w:szCs w:val="16"/>
                <w:lang w:eastAsia="ru-RU"/>
              </w:rPr>
            </w:pPr>
            <w:proofErr w:type="spellStart"/>
            <w:r w:rsidRPr="00513F1D">
              <w:rPr>
                <w:rFonts w:eastAsia="Times New Roman"/>
                <w:sz w:val="16"/>
                <w:szCs w:val="16"/>
                <w:lang w:eastAsia="ru-RU"/>
              </w:rPr>
              <w:t>нд</w:t>
            </w:r>
            <w:proofErr w:type="spellEnd"/>
          </w:p>
        </w:tc>
        <w:tc>
          <w:tcPr>
            <w:tcW w:w="327" w:type="pct"/>
            <w:shd w:val="clear" w:color="auto" w:fill="auto"/>
            <w:noWrap/>
            <w:vAlign w:val="center"/>
            <w:hideMark/>
          </w:tcPr>
          <w:p w14:paraId="683EAC46"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1,0</w:t>
            </w:r>
          </w:p>
        </w:tc>
        <w:tc>
          <w:tcPr>
            <w:tcW w:w="363" w:type="pct"/>
            <w:shd w:val="clear" w:color="auto" w:fill="auto"/>
            <w:noWrap/>
            <w:vAlign w:val="center"/>
            <w:hideMark/>
          </w:tcPr>
          <w:p w14:paraId="4763D67E"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196%</w:t>
            </w:r>
          </w:p>
        </w:tc>
        <w:tc>
          <w:tcPr>
            <w:tcW w:w="657" w:type="pct"/>
            <w:shd w:val="clear" w:color="auto" w:fill="auto"/>
            <w:vAlign w:val="center"/>
            <w:hideMark/>
          </w:tcPr>
          <w:p w14:paraId="5C286A2D" w14:textId="77777777" w:rsidR="0065708A" w:rsidRPr="00513F1D" w:rsidRDefault="0065708A" w:rsidP="00F94FED">
            <w:pPr>
              <w:spacing w:after="0" w:line="240" w:lineRule="auto"/>
              <w:jc w:val="center"/>
              <w:rPr>
                <w:rFonts w:eastAsia="Times New Roman"/>
                <w:sz w:val="16"/>
                <w:szCs w:val="16"/>
                <w:lang w:eastAsia="ru-RU"/>
              </w:rPr>
            </w:pPr>
            <w:r w:rsidRPr="00513F1D">
              <w:rPr>
                <w:rFonts w:eastAsia="Times New Roman"/>
                <w:sz w:val="16"/>
                <w:szCs w:val="16"/>
                <w:lang w:eastAsia="ru-RU"/>
              </w:rPr>
              <w:t>оплата за фактически выполненный объем работ</w:t>
            </w:r>
          </w:p>
        </w:tc>
      </w:tr>
      <w:tr w:rsidR="0065708A" w:rsidRPr="00513F1D" w14:paraId="7D43C587" w14:textId="77777777" w:rsidTr="00CB5AA8">
        <w:trPr>
          <w:trHeight w:val="20"/>
        </w:trPr>
        <w:tc>
          <w:tcPr>
            <w:tcW w:w="1257" w:type="pct"/>
            <w:shd w:val="clear" w:color="auto" w:fill="auto"/>
            <w:vAlign w:val="bottom"/>
            <w:hideMark/>
          </w:tcPr>
          <w:p w14:paraId="32F8B9E6" w14:textId="77777777" w:rsidR="0065708A" w:rsidRPr="00513F1D" w:rsidRDefault="0065708A" w:rsidP="009A4C46">
            <w:pPr>
              <w:spacing w:after="0" w:line="240" w:lineRule="auto"/>
              <w:rPr>
                <w:rFonts w:eastAsia="Times New Roman"/>
                <w:sz w:val="16"/>
                <w:szCs w:val="16"/>
                <w:lang w:eastAsia="ru-RU"/>
              </w:rPr>
            </w:pPr>
            <w:r w:rsidRPr="00513F1D">
              <w:rPr>
                <w:rFonts w:eastAsia="Times New Roman"/>
                <w:sz w:val="16"/>
                <w:szCs w:val="16"/>
                <w:lang w:eastAsia="ru-RU"/>
              </w:rPr>
              <w:t>Реконструкция, модернизация, техническое перевооружение всего, в том числе:</w:t>
            </w:r>
          </w:p>
        </w:tc>
        <w:tc>
          <w:tcPr>
            <w:tcW w:w="556" w:type="pct"/>
            <w:shd w:val="clear" w:color="auto" w:fill="auto"/>
            <w:noWrap/>
            <w:vAlign w:val="center"/>
            <w:hideMark/>
          </w:tcPr>
          <w:p w14:paraId="0B0074DD" w14:textId="77777777" w:rsidR="0065708A" w:rsidRPr="00513F1D" w:rsidRDefault="0065708A" w:rsidP="003E2802">
            <w:pPr>
              <w:spacing w:after="0" w:line="240" w:lineRule="auto"/>
              <w:jc w:val="center"/>
              <w:rPr>
                <w:rFonts w:eastAsia="Times New Roman"/>
                <w:sz w:val="16"/>
                <w:szCs w:val="16"/>
                <w:lang w:eastAsia="ru-RU"/>
              </w:rPr>
            </w:pPr>
            <w:r w:rsidRPr="00513F1D">
              <w:rPr>
                <w:rFonts w:eastAsia="Times New Roman"/>
                <w:sz w:val="16"/>
                <w:szCs w:val="16"/>
                <w:lang w:eastAsia="ru-RU"/>
              </w:rPr>
              <w:t>10,3</w:t>
            </w:r>
          </w:p>
        </w:tc>
        <w:tc>
          <w:tcPr>
            <w:tcW w:w="477" w:type="pct"/>
            <w:shd w:val="clear" w:color="auto" w:fill="auto"/>
            <w:noWrap/>
            <w:vAlign w:val="center"/>
            <w:hideMark/>
          </w:tcPr>
          <w:p w14:paraId="2B9000A1"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259,0</w:t>
            </w:r>
          </w:p>
        </w:tc>
        <w:tc>
          <w:tcPr>
            <w:tcW w:w="422" w:type="pct"/>
            <w:shd w:val="clear" w:color="auto" w:fill="auto"/>
            <w:noWrap/>
            <w:vAlign w:val="center"/>
            <w:hideMark/>
          </w:tcPr>
          <w:p w14:paraId="4E74D8C2"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37,1</w:t>
            </w:r>
          </w:p>
        </w:tc>
        <w:tc>
          <w:tcPr>
            <w:tcW w:w="371" w:type="pct"/>
            <w:shd w:val="clear" w:color="auto" w:fill="auto"/>
            <w:noWrap/>
            <w:vAlign w:val="center"/>
            <w:hideMark/>
          </w:tcPr>
          <w:p w14:paraId="73AC741F"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32,3</w:t>
            </w:r>
          </w:p>
        </w:tc>
        <w:tc>
          <w:tcPr>
            <w:tcW w:w="569" w:type="pct"/>
            <w:shd w:val="clear" w:color="auto" w:fill="auto"/>
            <w:noWrap/>
            <w:vAlign w:val="center"/>
            <w:hideMark/>
          </w:tcPr>
          <w:p w14:paraId="39EFCDD0"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226,7</w:t>
            </w:r>
          </w:p>
        </w:tc>
        <w:tc>
          <w:tcPr>
            <w:tcW w:w="327" w:type="pct"/>
            <w:shd w:val="clear" w:color="auto" w:fill="auto"/>
            <w:noWrap/>
            <w:vAlign w:val="center"/>
            <w:hideMark/>
          </w:tcPr>
          <w:p w14:paraId="3FB7647A"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-4,9</w:t>
            </w:r>
          </w:p>
        </w:tc>
        <w:tc>
          <w:tcPr>
            <w:tcW w:w="363" w:type="pct"/>
            <w:shd w:val="clear" w:color="auto" w:fill="auto"/>
            <w:noWrap/>
            <w:vAlign w:val="center"/>
            <w:hideMark/>
          </w:tcPr>
          <w:p w14:paraId="799673D5"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-13%</w:t>
            </w:r>
          </w:p>
        </w:tc>
        <w:tc>
          <w:tcPr>
            <w:tcW w:w="657" w:type="pct"/>
            <w:shd w:val="clear" w:color="auto" w:fill="auto"/>
            <w:vAlign w:val="center"/>
            <w:hideMark/>
          </w:tcPr>
          <w:p w14:paraId="1BE6B894" w14:textId="70D465E5" w:rsidR="0065708A" w:rsidRPr="00513F1D" w:rsidRDefault="0065708A" w:rsidP="00F94FED">
            <w:pPr>
              <w:spacing w:after="0" w:line="240" w:lineRule="auto"/>
              <w:jc w:val="center"/>
              <w:rPr>
                <w:rFonts w:eastAsia="Times New Roman"/>
                <w:sz w:val="16"/>
                <w:szCs w:val="16"/>
                <w:lang w:eastAsia="ru-RU"/>
              </w:rPr>
            </w:pPr>
          </w:p>
        </w:tc>
      </w:tr>
      <w:tr w:rsidR="0065708A" w:rsidRPr="00513F1D" w14:paraId="32CDA4B3" w14:textId="77777777" w:rsidTr="00CB5AA8">
        <w:trPr>
          <w:trHeight w:val="20"/>
        </w:trPr>
        <w:tc>
          <w:tcPr>
            <w:tcW w:w="1257" w:type="pct"/>
            <w:shd w:val="clear" w:color="auto" w:fill="auto"/>
            <w:vAlign w:val="bottom"/>
            <w:hideMark/>
          </w:tcPr>
          <w:p w14:paraId="40219AC6" w14:textId="77777777" w:rsidR="0065708A" w:rsidRPr="00513F1D" w:rsidRDefault="0065708A" w:rsidP="009A4C46">
            <w:pPr>
              <w:spacing w:after="0" w:line="240" w:lineRule="auto"/>
              <w:rPr>
                <w:rFonts w:eastAsia="Times New Roman"/>
                <w:sz w:val="16"/>
                <w:szCs w:val="16"/>
                <w:lang w:eastAsia="ru-RU"/>
              </w:rPr>
            </w:pPr>
            <w:r w:rsidRPr="00513F1D">
              <w:rPr>
                <w:rFonts w:eastAsia="Times New Roman"/>
                <w:sz w:val="16"/>
                <w:szCs w:val="16"/>
                <w:lang w:eastAsia="ru-RU"/>
              </w:rPr>
              <w:t>Реконструкция, модернизация, техническое перевооружение  трансформаторных и иных подстанций, распределительных пунктов, всего, в том числе:</w:t>
            </w:r>
          </w:p>
        </w:tc>
        <w:tc>
          <w:tcPr>
            <w:tcW w:w="556" w:type="pct"/>
            <w:shd w:val="clear" w:color="auto" w:fill="auto"/>
            <w:noWrap/>
            <w:vAlign w:val="center"/>
            <w:hideMark/>
          </w:tcPr>
          <w:p w14:paraId="643B6ACE" w14:textId="77777777" w:rsidR="0065708A" w:rsidRPr="00513F1D" w:rsidRDefault="0065708A" w:rsidP="003E2802">
            <w:pPr>
              <w:spacing w:after="0" w:line="240" w:lineRule="auto"/>
              <w:jc w:val="center"/>
              <w:rPr>
                <w:rFonts w:eastAsia="Times New Roman"/>
                <w:sz w:val="16"/>
                <w:szCs w:val="16"/>
                <w:lang w:eastAsia="ru-RU"/>
              </w:rPr>
            </w:pPr>
            <w:r w:rsidRPr="00513F1D">
              <w:rPr>
                <w:rFonts w:eastAsia="Times New Roman"/>
                <w:sz w:val="16"/>
                <w:szCs w:val="16"/>
                <w:lang w:eastAsia="ru-RU"/>
              </w:rPr>
              <w:t>7,6</w:t>
            </w:r>
          </w:p>
        </w:tc>
        <w:tc>
          <w:tcPr>
            <w:tcW w:w="477" w:type="pct"/>
            <w:shd w:val="clear" w:color="auto" w:fill="auto"/>
            <w:noWrap/>
            <w:vAlign w:val="center"/>
            <w:hideMark/>
          </w:tcPr>
          <w:p w14:paraId="567D489C"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39,8</w:t>
            </w:r>
          </w:p>
        </w:tc>
        <w:tc>
          <w:tcPr>
            <w:tcW w:w="422" w:type="pct"/>
            <w:shd w:val="clear" w:color="auto" w:fill="auto"/>
            <w:noWrap/>
            <w:vAlign w:val="center"/>
            <w:hideMark/>
          </w:tcPr>
          <w:p w14:paraId="1F577878"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20,6</w:t>
            </w:r>
          </w:p>
        </w:tc>
        <w:tc>
          <w:tcPr>
            <w:tcW w:w="371" w:type="pct"/>
            <w:shd w:val="clear" w:color="auto" w:fill="auto"/>
            <w:noWrap/>
            <w:vAlign w:val="center"/>
            <w:hideMark/>
          </w:tcPr>
          <w:p w14:paraId="79B5475E"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18,3</w:t>
            </w:r>
          </w:p>
        </w:tc>
        <w:tc>
          <w:tcPr>
            <w:tcW w:w="569" w:type="pct"/>
            <w:shd w:val="clear" w:color="auto" w:fill="auto"/>
            <w:noWrap/>
            <w:vAlign w:val="center"/>
            <w:hideMark/>
          </w:tcPr>
          <w:p w14:paraId="3A7FCEB2"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21,6</w:t>
            </w:r>
          </w:p>
        </w:tc>
        <w:tc>
          <w:tcPr>
            <w:tcW w:w="327" w:type="pct"/>
            <w:shd w:val="clear" w:color="auto" w:fill="auto"/>
            <w:noWrap/>
            <w:vAlign w:val="center"/>
            <w:hideMark/>
          </w:tcPr>
          <w:p w14:paraId="54294BB8"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-2,3</w:t>
            </w:r>
          </w:p>
        </w:tc>
        <w:tc>
          <w:tcPr>
            <w:tcW w:w="363" w:type="pct"/>
            <w:shd w:val="clear" w:color="auto" w:fill="auto"/>
            <w:noWrap/>
            <w:vAlign w:val="center"/>
            <w:hideMark/>
          </w:tcPr>
          <w:p w14:paraId="4F4AAF81"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-11%</w:t>
            </w:r>
          </w:p>
        </w:tc>
        <w:tc>
          <w:tcPr>
            <w:tcW w:w="657" w:type="pct"/>
            <w:shd w:val="clear" w:color="auto" w:fill="auto"/>
            <w:vAlign w:val="center"/>
            <w:hideMark/>
          </w:tcPr>
          <w:p w14:paraId="7F3BC3A6" w14:textId="77777777" w:rsidR="0065708A" w:rsidRPr="00513F1D" w:rsidRDefault="0065708A" w:rsidP="00F94FED">
            <w:pPr>
              <w:spacing w:after="0" w:line="240" w:lineRule="auto"/>
              <w:jc w:val="center"/>
              <w:rPr>
                <w:rFonts w:eastAsia="Times New Roman"/>
                <w:sz w:val="16"/>
                <w:szCs w:val="16"/>
                <w:lang w:eastAsia="ru-RU"/>
              </w:rPr>
            </w:pPr>
            <w:r w:rsidRPr="00513F1D">
              <w:rPr>
                <w:rFonts w:eastAsia="Times New Roman"/>
                <w:sz w:val="16"/>
                <w:szCs w:val="16"/>
                <w:lang w:eastAsia="ru-RU"/>
              </w:rPr>
              <w:t>0</w:t>
            </w:r>
          </w:p>
        </w:tc>
      </w:tr>
      <w:tr w:rsidR="0065708A" w:rsidRPr="00513F1D" w14:paraId="57721BB9" w14:textId="77777777" w:rsidTr="00CB5AA8">
        <w:trPr>
          <w:trHeight w:val="20"/>
        </w:trPr>
        <w:tc>
          <w:tcPr>
            <w:tcW w:w="1257" w:type="pct"/>
            <w:shd w:val="clear" w:color="auto" w:fill="auto"/>
            <w:vAlign w:val="bottom"/>
            <w:hideMark/>
          </w:tcPr>
          <w:p w14:paraId="6EC8C963" w14:textId="77777777" w:rsidR="0065708A" w:rsidRPr="00513F1D" w:rsidRDefault="0065708A" w:rsidP="009A4C46">
            <w:pPr>
              <w:spacing w:after="0" w:line="240" w:lineRule="auto"/>
              <w:rPr>
                <w:rFonts w:eastAsia="Times New Roman"/>
                <w:sz w:val="16"/>
                <w:szCs w:val="16"/>
                <w:lang w:eastAsia="ru-RU"/>
              </w:rPr>
            </w:pPr>
            <w:r w:rsidRPr="00513F1D">
              <w:rPr>
                <w:rFonts w:eastAsia="Times New Roman"/>
                <w:sz w:val="16"/>
                <w:szCs w:val="16"/>
                <w:lang w:eastAsia="ru-RU"/>
              </w:rPr>
              <w:t>Реконструкция трансформаторных и иных подстанций, всего, в том числе:</w:t>
            </w:r>
          </w:p>
        </w:tc>
        <w:tc>
          <w:tcPr>
            <w:tcW w:w="556" w:type="pct"/>
            <w:shd w:val="clear" w:color="auto" w:fill="auto"/>
            <w:noWrap/>
            <w:vAlign w:val="center"/>
            <w:hideMark/>
          </w:tcPr>
          <w:p w14:paraId="27E2BE3F" w14:textId="77777777" w:rsidR="0065708A" w:rsidRPr="00513F1D" w:rsidRDefault="0065708A" w:rsidP="003E2802">
            <w:pPr>
              <w:spacing w:after="0" w:line="240" w:lineRule="auto"/>
              <w:jc w:val="center"/>
              <w:rPr>
                <w:rFonts w:eastAsia="Times New Roman"/>
                <w:sz w:val="16"/>
                <w:szCs w:val="16"/>
                <w:lang w:eastAsia="ru-RU"/>
              </w:rPr>
            </w:pPr>
            <w:r w:rsidRPr="00513F1D">
              <w:rPr>
                <w:rFonts w:eastAsia="Times New Roman"/>
                <w:sz w:val="16"/>
                <w:szCs w:val="16"/>
                <w:lang w:eastAsia="ru-RU"/>
              </w:rPr>
              <w:t>7,4</w:t>
            </w:r>
          </w:p>
        </w:tc>
        <w:tc>
          <w:tcPr>
            <w:tcW w:w="477" w:type="pct"/>
            <w:shd w:val="clear" w:color="auto" w:fill="auto"/>
            <w:noWrap/>
            <w:vAlign w:val="center"/>
            <w:hideMark/>
          </w:tcPr>
          <w:p w14:paraId="40A9444A"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12,0</w:t>
            </w:r>
          </w:p>
        </w:tc>
        <w:tc>
          <w:tcPr>
            <w:tcW w:w="422" w:type="pct"/>
            <w:shd w:val="clear" w:color="auto" w:fill="auto"/>
            <w:noWrap/>
            <w:vAlign w:val="center"/>
            <w:hideMark/>
          </w:tcPr>
          <w:p w14:paraId="38AD96B6"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12,0</w:t>
            </w:r>
          </w:p>
        </w:tc>
        <w:tc>
          <w:tcPr>
            <w:tcW w:w="371" w:type="pct"/>
            <w:shd w:val="clear" w:color="auto" w:fill="auto"/>
            <w:noWrap/>
            <w:vAlign w:val="center"/>
            <w:hideMark/>
          </w:tcPr>
          <w:p w14:paraId="767B970F"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9,0</w:t>
            </w:r>
          </w:p>
        </w:tc>
        <w:tc>
          <w:tcPr>
            <w:tcW w:w="569" w:type="pct"/>
            <w:shd w:val="clear" w:color="auto" w:fill="auto"/>
            <w:noWrap/>
            <w:vAlign w:val="center"/>
            <w:hideMark/>
          </w:tcPr>
          <w:p w14:paraId="7E5F1D92"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3,0</w:t>
            </w:r>
          </w:p>
        </w:tc>
        <w:tc>
          <w:tcPr>
            <w:tcW w:w="327" w:type="pct"/>
            <w:shd w:val="clear" w:color="auto" w:fill="auto"/>
            <w:noWrap/>
            <w:vAlign w:val="center"/>
            <w:hideMark/>
          </w:tcPr>
          <w:p w14:paraId="21FE6573"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-3,0</w:t>
            </w:r>
          </w:p>
        </w:tc>
        <w:tc>
          <w:tcPr>
            <w:tcW w:w="363" w:type="pct"/>
            <w:shd w:val="clear" w:color="auto" w:fill="auto"/>
            <w:noWrap/>
            <w:vAlign w:val="center"/>
            <w:hideMark/>
          </w:tcPr>
          <w:p w14:paraId="3786A68C"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-25%</w:t>
            </w:r>
          </w:p>
        </w:tc>
        <w:tc>
          <w:tcPr>
            <w:tcW w:w="657" w:type="pct"/>
            <w:shd w:val="clear" w:color="auto" w:fill="auto"/>
            <w:vAlign w:val="center"/>
            <w:hideMark/>
          </w:tcPr>
          <w:p w14:paraId="43B0246C" w14:textId="77777777" w:rsidR="0065708A" w:rsidRPr="00513F1D" w:rsidRDefault="0065708A" w:rsidP="00F94FED">
            <w:pPr>
              <w:spacing w:after="0" w:line="240" w:lineRule="auto"/>
              <w:jc w:val="center"/>
              <w:rPr>
                <w:rFonts w:eastAsia="Times New Roman"/>
                <w:sz w:val="16"/>
                <w:szCs w:val="16"/>
                <w:lang w:eastAsia="ru-RU"/>
              </w:rPr>
            </w:pPr>
            <w:r w:rsidRPr="00513F1D">
              <w:rPr>
                <w:rFonts w:eastAsia="Times New Roman"/>
                <w:sz w:val="16"/>
                <w:szCs w:val="16"/>
                <w:lang w:eastAsia="ru-RU"/>
              </w:rPr>
              <w:t>0</w:t>
            </w:r>
          </w:p>
        </w:tc>
      </w:tr>
      <w:tr w:rsidR="0065708A" w:rsidRPr="00513F1D" w14:paraId="3AF20863" w14:textId="77777777" w:rsidTr="00CB5AA8">
        <w:trPr>
          <w:trHeight w:val="20"/>
        </w:trPr>
        <w:tc>
          <w:tcPr>
            <w:tcW w:w="1257" w:type="pct"/>
            <w:shd w:val="clear" w:color="auto" w:fill="auto"/>
            <w:vAlign w:val="bottom"/>
            <w:hideMark/>
          </w:tcPr>
          <w:p w14:paraId="0D1DF5C3" w14:textId="77777777" w:rsidR="0065708A" w:rsidRPr="00513F1D" w:rsidRDefault="0065708A" w:rsidP="009A4C46">
            <w:pPr>
              <w:spacing w:after="0" w:line="240" w:lineRule="auto"/>
              <w:rPr>
                <w:rFonts w:eastAsia="Times New Roman"/>
                <w:sz w:val="16"/>
                <w:szCs w:val="16"/>
                <w:lang w:eastAsia="ru-RU"/>
              </w:rPr>
            </w:pPr>
            <w:r w:rsidRPr="00513F1D">
              <w:rPr>
                <w:rFonts w:eastAsia="Times New Roman"/>
                <w:sz w:val="16"/>
                <w:szCs w:val="16"/>
                <w:lang w:eastAsia="ru-RU"/>
              </w:rPr>
              <w:t xml:space="preserve">Комплексная реконструкция ПС 110/35/10 кВ "Городская" (реконструкция конденсаторов КЭС в БСК, реконструкция маслоприемников с прокладкой </w:t>
            </w:r>
            <w:proofErr w:type="spellStart"/>
            <w:r w:rsidRPr="00513F1D">
              <w:rPr>
                <w:rFonts w:eastAsia="Times New Roman"/>
                <w:sz w:val="16"/>
                <w:szCs w:val="16"/>
                <w:lang w:eastAsia="ru-RU"/>
              </w:rPr>
              <w:t>маслоотводов</w:t>
            </w:r>
            <w:proofErr w:type="spellEnd"/>
            <w:r w:rsidRPr="00513F1D">
              <w:rPr>
                <w:rFonts w:eastAsia="Times New Roman"/>
                <w:sz w:val="16"/>
                <w:szCs w:val="16"/>
                <w:lang w:eastAsia="ru-RU"/>
              </w:rPr>
              <w:t xml:space="preserve"> и реконструкцией </w:t>
            </w:r>
            <w:proofErr w:type="spellStart"/>
            <w:r w:rsidRPr="00513F1D">
              <w:rPr>
                <w:rFonts w:eastAsia="Times New Roman"/>
                <w:sz w:val="16"/>
                <w:szCs w:val="16"/>
                <w:lang w:eastAsia="ru-RU"/>
              </w:rPr>
              <w:t>маслосборников,реконструкция</w:t>
            </w:r>
            <w:proofErr w:type="spellEnd"/>
            <w:r w:rsidRPr="00513F1D">
              <w:rPr>
                <w:rFonts w:eastAsia="Times New Roman"/>
                <w:sz w:val="16"/>
                <w:szCs w:val="16"/>
                <w:lang w:eastAsia="ru-RU"/>
              </w:rPr>
              <w:t xml:space="preserve"> СОПТ, замена АБ, ЗПУ, ЩПТ) </w:t>
            </w:r>
          </w:p>
        </w:tc>
        <w:tc>
          <w:tcPr>
            <w:tcW w:w="556" w:type="pct"/>
            <w:shd w:val="clear" w:color="auto" w:fill="auto"/>
            <w:vAlign w:val="center"/>
            <w:hideMark/>
          </w:tcPr>
          <w:p w14:paraId="516A0152" w14:textId="77777777" w:rsidR="0065708A" w:rsidRPr="00513F1D" w:rsidRDefault="0065708A" w:rsidP="003E2802">
            <w:pPr>
              <w:spacing w:after="0" w:line="240" w:lineRule="auto"/>
              <w:jc w:val="center"/>
              <w:rPr>
                <w:rFonts w:eastAsia="Times New Roman"/>
                <w:sz w:val="16"/>
                <w:szCs w:val="16"/>
                <w:lang w:eastAsia="ru-RU"/>
              </w:rPr>
            </w:pPr>
            <w:r w:rsidRPr="00513F1D">
              <w:rPr>
                <w:rFonts w:eastAsia="Times New Roman"/>
                <w:sz w:val="16"/>
                <w:szCs w:val="16"/>
                <w:lang w:eastAsia="ru-RU"/>
              </w:rPr>
              <w:t>7,4</w:t>
            </w:r>
          </w:p>
        </w:tc>
        <w:tc>
          <w:tcPr>
            <w:tcW w:w="477" w:type="pct"/>
            <w:shd w:val="clear" w:color="auto" w:fill="auto"/>
            <w:vAlign w:val="center"/>
            <w:hideMark/>
          </w:tcPr>
          <w:p w14:paraId="6AC18B91"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12,0</w:t>
            </w:r>
          </w:p>
        </w:tc>
        <w:tc>
          <w:tcPr>
            <w:tcW w:w="422" w:type="pct"/>
            <w:shd w:val="clear" w:color="auto" w:fill="auto"/>
            <w:noWrap/>
            <w:vAlign w:val="center"/>
            <w:hideMark/>
          </w:tcPr>
          <w:p w14:paraId="1E141F48"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12,0</w:t>
            </w:r>
          </w:p>
        </w:tc>
        <w:tc>
          <w:tcPr>
            <w:tcW w:w="371" w:type="pct"/>
            <w:shd w:val="clear" w:color="auto" w:fill="auto"/>
            <w:noWrap/>
            <w:vAlign w:val="center"/>
            <w:hideMark/>
          </w:tcPr>
          <w:p w14:paraId="0500CC53"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9,0</w:t>
            </w:r>
          </w:p>
        </w:tc>
        <w:tc>
          <w:tcPr>
            <w:tcW w:w="569" w:type="pct"/>
            <w:shd w:val="clear" w:color="auto" w:fill="auto"/>
            <w:noWrap/>
            <w:vAlign w:val="center"/>
            <w:hideMark/>
          </w:tcPr>
          <w:p w14:paraId="0AAB445A"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3,0</w:t>
            </w:r>
          </w:p>
        </w:tc>
        <w:tc>
          <w:tcPr>
            <w:tcW w:w="327" w:type="pct"/>
            <w:shd w:val="clear" w:color="auto" w:fill="auto"/>
            <w:noWrap/>
            <w:vAlign w:val="center"/>
            <w:hideMark/>
          </w:tcPr>
          <w:p w14:paraId="6769ED03"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-3,0</w:t>
            </w:r>
          </w:p>
        </w:tc>
        <w:tc>
          <w:tcPr>
            <w:tcW w:w="363" w:type="pct"/>
            <w:shd w:val="clear" w:color="auto" w:fill="auto"/>
            <w:noWrap/>
            <w:vAlign w:val="center"/>
            <w:hideMark/>
          </w:tcPr>
          <w:p w14:paraId="65B66E65"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-25%</w:t>
            </w:r>
          </w:p>
        </w:tc>
        <w:tc>
          <w:tcPr>
            <w:tcW w:w="657" w:type="pct"/>
            <w:shd w:val="clear" w:color="auto" w:fill="auto"/>
            <w:vAlign w:val="center"/>
            <w:hideMark/>
          </w:tcPr>
          <w:p w14:paraId="22B5FE85" w14:textId="77777777" w:rsidR="0065708A" w:rsidRPr="00513F1D" w:rsidRDefault="0065708A" w:rsidP="00F94FED">
            <w:pPr>
              <w:spacing w:after="0" w:line="240" w:lineRule="auto"/>
              <w:jc w:val="center"/>
              <w:rPr>
                <w:rFonts w:eastAsia="Times New Roman"/>
                <w:sz w:val="16"/>
                <w:szCs w:val="16"/>
                <w:lang w:eastAsia="ru-RU"/>
              </w:rPr>
            </w:pPr>
            <w:r w:rsidRPr="00513F1D">
              <w:rPr>
                <w:rFonts w:eastAsia="Times New Roman"/>
                <w:sz w:val="16"/>
                <w:szCs w:val="16"/>
                <w:lang w:eastAsia="ru-RU"/>
              </w:rPr>
              <w:t>оплата за фактически выполненный объем работ</w:t>
            </w:r>
          </w:p>
        </w:tc>
      </w:tr>
      <w:tr w:rsidR="0065708A" w:rsidRPr="00513F1D" w14:paraId="7EDC4E9F" w14:textId="77777777" w:rsidTr="00CB5AA8">
        <w:trPr>
          <w:trHeight w:val="20"/>
        </w:trPr>
        <w:tc>
          <w:tcPr>
            <w:tcW w:w="1257" w:type="pct"/>
            <w:shd w:val="clear" w:color="auto" w:fill="auto"/>
            <w:vAlign w:val="bottom"/>
            <w:hideMark/>
          </w:tcPr>
          <w:p w14:paraId="7EFF58B2" w14:textId="77777777" w:rsidR="0065708A" w:rsidRPr="00513F1D" w:rsidRDefault="0065708A" w:rsidP="009A4C46">
            <w:pPr>
              <w:spacing w:after="0" w:line="240" w:lineRule="auto"/>
              <w:rPr>
                <w:rFonts w:eastAsia="Times New Roman"/>
                <w:sz w:val="16"/>
                <w:szCs w:val="16"/>
                <w:lang w:eastAsia="ru-RU"/>
              </w:rPr>
            </w:pPr>
            <w:r w:rsidRPr="00513F1D">
              <w:rPr>
                <w:rFonts w:eastAsia="Times New Roman"/>
                <w:sz w:val="16"/>
                <w:szCs w:val="16"/>
                <w:lang w:eastAsia="ru-RU"/>
              </w:rPr>
              <w:t>Модернизация, техническое перевооружение трансформаторных и иных подстанций, распределительных пунктов, всего, в том числе:</w:t>
            </w:r>
          </w:p>
        </w:tc>
        <w:tc>
          <w:tcPr>
            <w:tcW w:w="556" w:type="pct"/>
            <w:shd w:val="clear" w:color="auto" w:fill="auto"/>
            <w:noWrap/>
            <w:vAlign w:val="center"/>
            <w:hideMark/>
          </w:tcPr>
          <w:p w14:paraId="24FAA2C5" w14:textId="77777777" w:rsidR="0065708A" w:rsidRPr="00513F1D" w:rsidRDefault="0065708A" w:rsidP="003E2802">
            <w:pPr>
              <w:spacing w:after="0" w:line="240" w:lineRule="auto"/>
              <w:jc w:val="center"/>
              <w:rPr>
                <w:rFonts w:eastAsia="Times New Roman"/>
                <w:sz w:val="16"/>
                <w:szCs w:val="16"/>
                <w:lang w:eastAsia="ru-RU"/>
              </w:rPr>
            </w:pPr>
            <w:r w:rsidRPr="00513F1D">
              <w:rPr>
                <w:rFonts w:eastAsia="Times New Roman"/>
                <w:sz w:val="16"/>
                <w:szCs w:val="16"/>
                <w:lang w:eastAsia="ru-RU"/>
              </w:rPr>
              <w:t>0,2</w:t>
            </w:r>
          </w:p>
        </w:tc>
        <w:tc>
          <w:tcPr>
            <w:tcW w:w="477" w:type="pct"/>
            <w:shd w:val="clear" w:color="auto" w:fill="auto"/>
            <w:noWrap/>
            <w:vAlign w:val="center"/>
            <w:hideMark/>
          </w:tcPr>
          <w:p w14:paraId="3E432E04"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27,8</w:t>
            </w:r>
          </w:p>
        </w:tc>
        <w:tc>
          <w:tcPr>
            <w:tcW w:w="422" w:type="pct"/>
            <w:shd w:val="clear" w:color="auto" w:fill="auto"/>
            <w:noWrap/>
            <w:vAlign w:val="center"/>
            <w:hideMark/>
          </w:tcPr>
          <w:p w14:paraId="3249301D"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8,6</w:t>
            </w:r>
          </w:p>
        </w:tc>
        <w:tc>
          <w:tcPr>
            <w:tcW w:w="371" w:type="pct"/>
            <w:shd w:val="clear" w:color="auto" w:fill="auto"/>
            <w:noWrap/>
            <w:vAlign w:val="center"/>
            <w:hideMark/>
          </w:tcPr>
          <w:p w14:paraId="3CC78826"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9,2</w:t>
            </w:r>
          </w:p>
        </w:tc>
        <w:tc>
          <w:tcPr>
            <w:tcW w:w="569" w:type="pct"/>
            <w:shd w:val="clear" w:color="auto" w:fill="auto"/>
            <w:noWrap/>
            <w:vAlign w:val="center"/>
            <w:hideMark/>
          </w:tcPr>
          <w:p w14:paraId="4DBEFBCF"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18,6</w:t>
            </w:r>
          </w:p>
        </w:tc>
        <w:tc>
          <w:tcPr>
            <w:tcW w:w="327" w:type="pct"/>
            <w:shd w:val="clear" w:color="auto" w:fill="auto"/>
            <w:noWrap/>
            <w:vAlign w:val="center"/>
            <w:hideMark/>
          </w:tcPr>
          <w:p w14:paraId="32CF2485"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0,7</w:t>
            </w:r>
          </w:p>
        </w:tc>
        <w:tc>
          <w:tcPr>
            <w:tcW w:w="363" w:type="pct"/>
            <w:shd w:val="clear" w:color="auto" w:fill="auto"/>
            <w:noWrap/>
            <w:vAlign w:val="center"/>
            <w:hideMark/>
          </w:tcPr>
          <w:p w14:paraId="4FB8C082"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8%</w:t>
            </w:r>
          </w:p>
        </w:tc>
        <w:tc>
          <w:tcPr>
            <w:tcW w:w="657" w:type="pct"/>
            <w:shd w:val="clear" w:color="auto" w:fill="auto"/>
            <w:vAlign w:val="center"/>
            <w:hideMark/>
          </w:tcPr>
          <w:p w14:paraId="7DBE0BEC" w14:textId="77777777" w:rsidR="0065708A" w:rsidRPr="00513F1D" w:rsidRDefault="0065708A" w:rsidP="00F94FED">
            <w:pPr>
              <w:spacing w:after="0" w:line="240" w:lineRule="auto"/>
              <w:jc w:val="center"/>
              <w:rPr>
                <w:rFonts w:eastAsia="Times New Roman"/>
                <w:sz w:val="16"/>
                <w:szCs w:val="16"/>
                <w:lang w:eastAsia="ru-RU"/>
              </w:rPr>
            </w:pPr>
            <w:r w:rsidRPr="00513F1D">
              <w:rPr>
                <w:rFonts w:eastAsia="Times New Roman"/>
                <w:sz w:val="16"/>
                <w:szCs w:val="16"/>
                <w:lang w:eastAsia="ru-RU"/>
              </w:rPr>
              <w:t>0</w:t>
            </w:r>
          </w:p>
        </w:tc>
      </w:tr>
      <w:tr w:rsidR="0065708A" w:rsidRPr="00513F1D" w14:paraId="721DDCCE" w14:textId="77777777" w:rsidTr="00CB5AA8">
        <w:trPr>
          <w:trHeight w:val="20"/>
        </w:trPr>
        <w:tc>
          <w:tcPr>
            <w:tcW w:w="1257" w:type="pct"/>
            <w:shd w:val="clear" w:color="auto" w:fill="auto"/>
            <w:vAlign w:val="bottom"/>
            <w:hideMark/>
          </w:tcPr>
          <w:p w14:paraId="61FDB445" w14:textId="77777777" w:rsidR="0065708A" w:rsidRPr="00513F1D" w:rsidRDefault="0065708A" w:rsidP="009A4C46">
            <w:pPr>
              <w:spacing w:after="0" w:line="240" w:lineRule="auto"/>
              <w:rPr>
                <w:rFonts w:eastAsia="Times New Roman"/>
                <w:sz w:val="16"/>
                <w:szCs w:val="16"/>
                <w:lang w:eastAsia="ru-RU"/>
              </w:rPr>
            </w:pPr>
            <w:r w:rsidRPr="00513F1D">
              <w:rPr>
                <w:rFonts w:eastAsia="Times New Roman"/>
                <w:sz w:val="16"/>
                <w:szCs w:val="16"/>
                <w:lang w:eastAsia="ru-RU"/>
              </w:rPr>
              <w:t>Создание системы телемеханика и организация цифровых каналов связи на ПС 110/10 кВ «Южная», «Западная»</w:t>
            </w:r>
          </w:p>
        </w:tc>
        <w:tc>
          <w:tcPr>
            <w:tcW w:w="556" w:type="pct"/>
            <w:shd w:val="clear" w:color="auto" w:fill="auto"/>
            <w:vAlign w:val="center"/>
            <w:hideMark/>
          </w:tcPr>
          <w:p w14:paraId="5CF9956E" w14:textId="77777777" w:rsidR="0065708A" w:rsidRPr="00513F1D" w:rsidRDefault="0065708A" w:rsidP="003E2802">
            <w:pPr>
              <w:spacing w:after="0" w:line="240" w:lineRule="auto"/>
              <w:jc w:val="center"/>
              <w:rPr>
                <w:rFonts w:eastAsia="Times New Roman"/>
                <w:sz w:val="16"/>
                <w:szCs w:val="16"/>
                <w:lang w:eastAsia="ru-RU"/>
              </w:rPr>
            </w:pPr>
            <w:r w:rsidRPr="00513F1D">
              <w:rPr>
                <w:rFonts w:eastAsia="Times New Roman"/>
                <w:sz w:val="16"/>
                <w:szCs w:val="16"/>
                <w:lang w:eastAsia="ru-RU"/>
              </w:rPr>
              <w:t>0,1</w:t>
            </w:r>
          </w:p>
        </w:tc>
        <w:tc>
          <w:tcPr>
            <w:tcW w:w="477" w:type="pct"/>
            <w:shd w:val="clear" w:color="auto" w:fill="auto"/>
            <w:vAlign w:val="center"/>
            <w:hideMark/>
          </w:tcPr>
          <w:p w14:paraId="6DE6790C"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3,2</w:t>
            </w:r>
          </w:p>
        </w:tc>
        <w:tc>
          <w:tcPr>
            <w:tcW w:w="422" w:type="pct"/>
            <w:shd w:val="clear" w:color="auto" w:fill="auto"/>
            <w:noWrap/>
            <w:vAlign w:val="center"/>
            <w:hideMark/>
          </w:tcPr>
          <w:p w14:paraId="3DBEA444"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3,2</w:t>
            </w:r>
          </w:p>
        </w:tc>
        <w:tc>
          <w:tcPr>
            <w:tcW w:w="371" w:type="pct"/>
            <w:shd w:val="clear" w:color="auto" w:fill="auto"/>
            <w:noWrap/>
            <w:vAlign w:val="center"/>
            <w:hideMark/>
          </w:tcPr>
          <w:p w14:paraId="55B0958D"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3,2</w:t>
            </w:r>
          </w:p>
        </w:tc>
        <w:tc>
          <w:tcPr>
            <w:tcW w:w="569" w:type="pct"/>
            <w:shd w:val="clear" w:color="auto" w:fill="auto"/>
            <w:noWrap/>
            <w:vAlign w:val="center"/>
          </w:tcPr>
          <w:p w14:paraId="72661BAF" w14:textId="77777777" w:rsidR="0065708A" w:rsidRPr="00513F1D" w:rsidRDefault="0065708A">
            <w:pPr>
              <w:spacing w:after="0" w:line="240" w:lineRule="auto"/>
              <w:jc w:val="center"/>
              <w:rPr>
                <w:rFonts w:eastAsia="Times New Roman"/>
                <w:sz w:val="16"/>
                <w:szCs w:val="16"/>
                <w:lang w:eastAsia="ru-RU"/>
              </w:rPr>
            </w:pPr>
          </w:p>
        </w:tc>
        <w:tc>
          <w:tcPr>
            <w:tcW w:w="327" w:type="pct"/>
            <w:shd w:val="clear" w:color="auto" w:fill="auto"/>
            <w:noWrap/>
            <w:vAlign w:val="center"/>
          </w:tcPr>
          <w:p w14:paraId="52410421" w14:textId="77777777" w:rsidR="0065708A" w:rsidRPr="00513F1D" w:rsidRDefault="0065708A">
            <w:pPr>
              <w:spacing w:after="0" w:line="240" w:lineRule="auto"/>
              <w:jc w:val="center"/>
              <w:rPr>
                <w:rFonts w:eastAsia="Times New Roman"/>
                <w:sz w:val="16"/>
                <w:szCs w:val="16"/>
                <w:lang w:eastAsia="ru-RU"/>
              </w:rPr>
            </w:pPr>
          </w:p>
        </w:tc>
        <w:tc>
          <w:tcPr>
            <w:tcW w:w="363" w:type="pct"/>
            <w:shd w:val="clear" w:color="auto" w:fill="auto"/>
            <w:noWrap/>
            <w:vAlign w:val="center"/>
            <w:hideMark/>
          </w:tcPr>
          <w:p w14:paraId="2348540F"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0%</w:t>
            </w:r>
          </w:p>
        </w:tc>
        <w:tc>
          <w:tcPr>
            <w:tcW w:w="657" w:type="pct"/>
            <w:shd w:val="clear" w:color="auto" w:fill="auto"/>
            <w:vAlign w:val="center"/>
            <w:hideMark/>
          </w:tcPr>
          <w:p w14:paraId="28CD96C5" w14:textId="1F55E70C" w:rsidR="0065708A" w:rsidRPr="00513F1D" w:rsidRDefault="0065708A" w:rsidP="00F94FED">
            <w:pPr>
              <w:spacing w:after="0" w:line="240" w:lineRule="auto"/>
              <w:jc w:val="center"/>
              <w:rPr>
                <w:rFonts w:eastAsia="Times New Roman"/>
                <w:sz w:val="16"/>
                <w:szCs w:val="16"/>
                <w:lang w:eastAsia="ru-RU"/>
              </w:rPr>
            </w:pPr>
          </w:p>
        </w:tc>
      </w:tr>
      <w:tr w:rsidR="0065708A" w:rsidRPr="00513F1D" w14:paraId="32DEDF77" w14:textId="77777777" w:rsidTr="00CB5AA8">
        <w:trPr>
          <w:trHeight w:val="20"/>
        </w:trPr>
        <w:tc>
          <w:tcPr>
            <w:tcW w:w="1257" w:type="pct"/>
            <w:shd w:val="clear" w:color="auto" w:fill="auto"/>
            <w:hideMark/>
          </w:tcPr>
          <w:p w14:paraId="4221DC8E" w14:textId="77777777" w:rsidR="0065708A" w:rsidRPr="00513F1D" w:rsidRDefault="0065708A" w:rsidP="009A4C46">
            <w:pPr>
              <w:spacing w:after="0" w:line="240" w:lineRule="auto"/>
              <w:rPr>
                <w:rFonts w:eastAsia="Times New Roman"/>
                <w:sz w:val="16"/>
                <w:szCs w:val="16"/>
                <w:lang w:eastAsia="ru-RU"/>
              </w:rPr>
            </w:pPr>
            <w:r w:rsidRPr="00513F1D">
              <w:rPr>
                <w:rFonts w:eastAsia="Times New Roman"/>
                <w:sz w:val="16"/>
                <w:szCs w:val="16"/>
                <w:lang w:eastAsia="ru-RU"/>
              </w:rPr>
              <w:t>Создание системы телемеханика и организация цифровых каналов связи на ПС 110/35/10 кВ «Шагонар», «</w:t>
            </w:r>
            <w:proofErr w:type="spellStart"/>
            <w:r w:rsidRPr="00513F1D">
              <w:rPr>
                <w:rFonts w:eastAsia="Times New Roman"/>
                <w:sz w:val="16"/>
                <w:szCs w:val="16"/>
                <w:lang w:eastAsia="ru-RU"/>
              </w:rPr>
              <w:t>Арыг-Узуу</w:t>
            </w:r>
            <w:proofErr w:type="spellEnd"/>
            <w:r w:rsidRPr="00513F1D">
              <w:rPr>
                <w:rFonts w:eastAsia="Times New Roman"/>
                <w:sz w:val="16"/>
                <w:szCs w:val="16"/>
                <w:lang w:eastAsia="ru-RU"/>
              </w:rPr>
              <w:t>»</w:t>
            </w:r>
          </w:p>
        </w:tc>
        <w:tc>
          <w:tcPr>
            <w:tcW w:w="556" w:type="pct"/>
            <w:shd w:val="clear" w:color="auto" w:fill="auto"/>
            <w:vAlign w:val="center"/>
            <w:hideMark/>
          </w:tcPr>
          <w:p w14:paraId="28170CD4" w14:textId="77777777" w:rsidR="0065708A" w:rsidRPr="00513F1D" w:rsidRDefault="0065708A" w:rsidP="003E2802">
            <w:pPr>
              <w:spacing w:after="0" w:line="240" w:lineRule="auto"/>
              <w:jc w:val="center"/>
              <w:rPr>
                <w:rFonts w:eastAsia="Times New Roman"/>
                <w:sz w:val="16"/>
                <w:szCs w:val="16"/>
                <w:lang w:eastAsia="ru-RU"/>
              </w:rPr>
            </w:pPr>
            <w:r w:rsidRPr="00513F1D">
              <w:rPr>
                <w:rFonts w:eastAsia="Times New Roman"/>
                <w:sz w:val="16"/>
                <w:szCs w:val="16"/>
                <w:lang w:eastAsia="ru-RU"/>
              </w:rPr>
              <w:t>0,1</w:t>
            </w:r>
          </w:p>
        </w:tc>
        <w:tc>
          <w:tcPr>
            <w:tcW w:w="477" w:type="pct"/>
            <w:shd w:val="clear" w:color="auto" w:fill="auto"/>
            <w:vAlign w:val="center"/>
            <w:hideMark/>
          </w:tcPr>
          <w:p w14:paraId="1753E14F"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5,1</w:t>
            </w:r>
          </w:p>
        </w:tc>
        <w:tc>
          <w:tcPr>
            <w:tcW w:w="422" w:type="pct"/>
            <w:shd w:val="clear" w:color="auto" w:fill="auto"/>
            <w:noWrap/>
            <w:vAlign w:val="center"/>
            <w:hideMark/>
          </w:tcPr>
          <w:p w14:paraId="07F74156"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5,1</w:t>
            </w:r>
          </w:p>
        </w:tc>
        <w:tc>
          <w:tcPr>
            <w:tcW w:w="371" w:type="pct"/>
            <w:shd w:val="clear" w:color="auto" w:fill="auto"/>
            <w:noWrap/>
            <w:vAlign w:val="center"/>
            <w:hideMark/>
          </w:tcPr>
          <w:p w14:paraId="3392251C"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5,9</w:t>
            </w:r>
          </w:p>
        </w:tc>
        <w:tc>
          <w:tcPr>
            <w:tcW w:w="569" w:type="pct"/>
            <w:shd w:val="clear" w:color="auto" w:fill="auto"/>
            <w:vAlign w:val="center"/>
            <w:hideMark/>
          </w:tcPr>
          <w:p w14:paraId="08A664BD" w14:textId="77777777" w:rsidR="0065708A" w:rsidRPr="00513F1D" w:rsidRDefault="0065708A">
            <w:pPr>
              <w:spacing w:after="0" w:line="240" w:lineRule="auto"/>
              <w:jc w:val="center"/>
              <w:rPr>
                <w:rFonts w:eastAsia="Times New Roman"/>
                <w:sz w:val="16"/>
                <w:szCs w:val="16"/>
                <w:lang w:eastAsia="ru-RU"/>
              </w:rPr>
            </w:pPr>
            <w:proofErr w:type="spellStart"/>
            <w:r w:rsidRPr="00513F1D">
              <w:rPr>
                <w:rFonts w:eastAsia="Times New Roman"/>
                <w:sz w:val="16"/>
                <w:szCs w:val="16"/>
                <w:lang w:eastAsia="ru-RU"/>
              </w:rPr>
              <w:t>нд</w:t>
            </w:r>
            <w:proofErr w:type="spellEnd"/>
          </w:p>
        </w:tc>
        <w:tc>
          <w:tcPr>
            <w:tcW w:w="327" w:type="pct"/>
            <w:shd w:val="clear" w:color="auto" w:fill="auto"/>
            <w:noWrap/>
            <w:vAlign w:val="center"/>
            <w:hideMark/>
          </w:tcPr>
          <w:p w14:paraId="727357A9"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0,7</w:t>
            </w:r>
          </w:p>
        </w:tc>
        <w:tc>
          <w:tcPr>
            <w:tcW w:w="363" w:type="pct"/>
            <w:shd w:val="clear" w:color="auto" w:fill="auto"/>
            <w:noWrap/>
            <w:vAlign w:val="center"/>
            <w:hideMark/>
          </w:tcPr>
          <w:p w14:paraId="4DF6E6A7"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14%</w:t>
            </w:r>
          </w:p>
        </w:tc>
        <w:tc>
          <w:tcPr>
            <w:tcW w:w="657" w:type="pct"/>
            <w:shd w:val="clear" w:color="auto" w:fill="auto"/>
            <w:vAlign w:val="center"/>
            <w:hideMark/>
          </w:tcPr>
          <w:p w14:paraId="13FB830A" w14:textId="77777777" w:rsidR="0065708A" w:rsidRPr="00513F1D" w:rsidRDefault="0065708A" w:rsidP="00F94FED">
            <w:pPr>
              <w:spacing w:after="0" w:line="240" w:lineRule="auto"/>
              <w:jc w:val="center"/>
              <w:rPr>
                <w:rFonts w:eastAsia="Times New Roman"/>
                <w:sz w:val="16"/>
                <w:szCs w:val="16"/>
                <w:lang w:eastAsia="ru-RU"/>
              </w:rPr>
            </w:pPr>
            <w:r w:rsidRPr="00513F1D">
              <w:rPr>
                <w:rFonts w:eastAsia="Times New Roman"/>
                <w:sz w:val="16"/>
                <w:szCs w:val="16"/>
                <w:lang w:eastAsia="ru-RU"/>
              </w:rPr>
              <w:t>При проведении ТЗП контрагенты вышли на торги с превышением стоимости закупки(в  связи с повышением цен на оборудование и материалы), оплата в соответствии с договором поставки</w:t>
            </w:r>
          </w:p>
        </w:tc>
      </w:tr>
      <w:tr w:rsidR="0065708A" w:rsidRPr="00513F1D" w14:paraId="0B7B7506" w14:textId="77777777" w:rsidTr="00CB5AA8">
        <w:trPr>
          <w:trHeight w:val="20"/>
        </w:trPr>
        <w:tc>
          <w:tcPr>
            <w:tcW w:w="1257" w:type="pct"/>
            <w:shd w:val="clear" w:color="auto" w:fill="auto"/>
            <w:vAlign w:val="bottom"/>
            <w:hideMark/>
          </w:tcPr>
          <w:p w14:paraId="5D3FCBB2" w14:textId="77777777" w:rsidR="0065708A" w:rsidRPr="00513F1D" w:rsidRDefault="0065708A" w:rsidP="009A4C46">
            <w:pPr>
              <w:spacing w:after="0" w:line="240" w:lineRule="auto"/>
              <w:rPr>
                <w:rFonts w:eastAsia="Times New Roman"/>
                <w:sz w:val="16"/>
                <w:szCs w:val="16"/>
                <w:lang w:eastAsia="ru-RU"/>
              </w:rPr>
            </w:pPr>
            <w:r w:rsidRPr="00513F1D">
              <w:rPr>
                <w:rFonts w:eastAsia="Times New Roman"/>
                <w:sz w:val="16"/>
                <w:szCs w:val="16"/>
                <w:lang w:eastAsia="ru-RU"/>
              </w:rPr>
              <w:t>Модернизация системы телемеханика и организация цифровых каналов связи на ПС 110 кВ «</w:t>
            </w:r>
            <w:proofErr w:type="spellStart"/>
            <w:r w:rsidRPr="00513F1D">
              <w:rPr>
                <w:rFonts w:eastAsia="Times New Roman"/>
                <w:sz w:val="16"/>
                <w:szCs w:val="16"/>
                <w:lang w:eastAsia="ru-RU"/>
              </w:rPr>
              <w:t>Сукпак</w:t>
            </w:r>
            <w:proofErr w:type="spellEnd"/>
            <w:r w:rsidRPr="00513F1D">
              <w:rPr>
                <w:rFonts w:eastAsia="Times New Roman"/>
                <w:sz w:val="16"/>
                <w:szCs w:val="16"/>
                <w:lang w:eastAsia="ru-RU"/>
              </w:rPr>
              <w:t>»</w:t>
            </w:r>
          </w:p>
        </w:tc>
        <w:tc>
          <w:tcPr>
            <w:tcW w:w="556" w:type="pct"/>
            <w:shd w:val="clear" w:color="auto" w:fill="auto"/>
            <w:vAlign w:val="center"/>
            <w:hideMark/>
          </w:tcPr>
          <w:p w14:paraId="737657EF" w14:textId="77777777" w:rsidR="0065708A" w:rsidRPr="00513F1D" w:rsidRDefault="0065708A" w:rsidP="003E2802">
            <w:pPr>
              <w:spacing w:after="0" w:line="240" w:lineRule="auto"/>
              <w:jc w:val="center"/>
              <w:rPr>
                <w:rFonts w:eastAsia="Times New Roman"/>
                <w:sz w:val="16"/>
                <w:szCs w:val="16"/>
                <w:lang w:eastAsia="ru-RU"/>
              </w:rPr>
            </w:pPr>
          </w:p>
        </w:tc>
        <w:tc>
          <w:tcPr>
            <w:tcW w:w="477" w:type="pct"/>
            <w:shd w:val="clear" w:color="auto" w:fill="auto"/>
            <w:vAlign w:val="center"/>
            <w:hideMark/>
          </w:tcPr>
          <w:p w14:paraId="1E1857B9"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3,8</w:t>
            </w:r>
          </w:p>
        </w:tc>
        <w:tc>
          <w:tcPr>
            <w:tcW w:w="422" w:type="pct"/>
            <w:shd w:val="clear" w:color="auto" w:fill="auto"/>
            <w:noWrap/>
            <w:vAlign w:val="center"/>
            <w:hideMark/>
          </w:tcPr>
          <w:p w14:paraId="26EA1D44"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0,1</w:t>
            </w:r>
          </w:p>
        </w:tc>
        <w:tc>
          <w:tcPr>
            <w:tcW w:w="371" w:type="pct"/>
            <w:shd w:val="clear" w:color="auto" w:fill="auto"/>
            <w:noWrap/>
            <w:vAlign w:val="center"/>
            <w:hideMark/>
          </w:tcPr>
          <w:p w14:paraId="7E7170FF"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0,1</w:t>
            </w:r>
          </w:p>
        </w:tc>
        <w:tc>
          <w:tcPr>
            <w:tcW w:w="569" w:type="pct"/>
            <w:shd w:val="clear" w:color="auto" w:fill="auto"/>
            <w:noWrap/>
            <w:vAlign w:val="center"/>
            <w:hideMark/>
          </w:tcPr>
          <w:p w14:paraId="6108E8C9"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3,7</w:t>
            </w:r>
          </w:p>
        </w:tc>
        <w:tc>
          <w:tcPr>
            <w:tcW w:w="327" w:type="pct"/>
            <w:shd w:val="clear" w:color="auto" w:fill="auto"/>
            <w:noWrap/>
            <w:vAlign w:val="center"/>
            <w:hideMark/>
          </w:tcPr>
          <w:p w14:paraId="2DD7547E"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0,0</w:t>
            </w:r>
          </w:p>
        </w:tc>
        <w:tc>
          <w:tcPr>
            <w:tcW w:w="363" w:type="pct"/>
            <w:shd w:val="clear" w:color="auto" w:fill="auto"/>
            <w:noWrap/>
            <w:vAlign w:val="center"/>
            <w:hideMark/>
          </w:tcPr>
          <w:p w14:paraId="38D127B6"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-13%</w:t>
            </w:r>
          </w:p>
        </w:tc>
        <w:tc>
          <w:tcPr>
            <w:tcW w:w="657" w:type="pct"/>
            <w:shd w:val="clear" w:color="auto" w:fill="auto"/>
            <w:vAlign w:val="center"/>
            <w:hideMark/>
          </w:tcPr>
          <w:p w14:paraId="4AED44F6" w14:textId="77777777" w:rsidR="0065708A" w:rsidRPr="00513F1D" w:rsidRDefault="0065708A" w:rsidP="00F94FED">
            <w:pPr>
              <w:spacing w:after="0" w:line="240" w:lineRule="auto"/>
              <w:jc w:val="center"/>
              <w:rPr>
                <w:rFonts w:eastAsia="Times New Roman"/>
                <w:sz w:val="16"/>
                <w:szCs w:val="16"/>
                <w:lang w:eastAsia="ru-RU"/>
              </w:rPr>
            </w:pPr>
            <w:r w:rsidRPr="00513F1D">
              <w:rPr>
                <w:rFonts w:eastAsia="Times New Roman"/>
                <w:sz w:val="16"/>
                <w:szCs w:val="16"/>
                <w:lang w:eastAsia="ru-RU"/>
              </w:rPr>
              <w:t>оплата за фактически выполненные ПИР</w:t>
            </w:r>
          </w:p>
        </w:tc>
      </w:tr>
      <w:tr w:rsidR="0065708A" w:rsidRPr="00513F1D" w14:paraId="0C7CC965" w14:textId="77777777" w:rsidTr="00CB5AA8">
        <w:trPr>
          <w:trHeight w:val="20"/>
        </w:trPr>
        <w:tc>
          <w:tcPr>
            <w:tcW w:w="1257" w:type="pct"/>
            <w:shd w:val="clear" w:color="auto" w:fill="auto"/>
            <w:vAlign w:val="bottom"/>
            <w:hideMark/>
          </w:tcPr>
          <w:p w14:paraId="6B750A29" w14:textId="77777777" w:rsidR="0065708A" w:rsidRPr="00513F1D" w:rsidRDefault="0065708A" w:rsidP="009A4C46">
            <w:pPr>
              <w:spacing w:after="0" w:line="240" w:lineRule="auto"/>
              <w:rPr>
                <w:rFonts w:eastAsia="Times New Roman"/>
                <w:sz w:val="16"/>
                <w:szCs w:val="16"/>
                <w:lang w:eastAsia="ru-RU"/>
              </w:rPr>
            </w:pPr>
            <w:r w:rsidRPr="00513F1D">
              <w:rPr>
                <w:rFonts w:eastAsia="Times New Roman"/>
                <w:sz w:val="16"/>
                <w:szCs w:val="16"/>
                <w:lang w:eastAsia="ru-RU"/>
              </w:rPr>
              <w:lastRenderedPageBreak/>
              <w:t>Создание системы телемеханика и организация цифровых каналов связи на ПС 110 кВ «Элегест», «Сарыг-Сеп»</w:t>
            </w:r>
          </w:p>
        </w:tc>
        <w:tc>
          <w:tcPr>
            <w:tcW w:w="556" w:type="pct"/>
            <w:shd w:val="clear" w:color="auto" w:fill="auto"/>
            <w:vAlign w:val="center"/>
            <w:hideMark/>
          </w:tcPr>
          <w:p w14:paraId="0413C634" w14:textId="77777777" w:rsidR="0065708A" w:rsidRPr="00513F1D" w:rsidRDefault="0065708A" w:rsidP="003E2802">
            <w:pPr>
              <w:spacing w:after="0" w:line="240" w:lineRule="auto"/>
              <w:jc w:val="center"/>
              <w:rPr>
                <w:rFonts w:eastAsia="Times New Roman"/>
                <w:sz w:val="16"/>
                <w:szCs w:val="16"/>
                <w:lang w:eastAsia="ru-RU"/>
              </w:rPr>
            </w:pPr>
          </w:p>
        </w:tc>
        <w:tc>
          <w:tcPr>
            <w:tcW w:w="477" w:type="pct"/>
            <w:shd w:val="clear" w:color="auto" w:fill="auto"/>
            <w:vAlign w:val="center"/>
            <w:hideMark/>
          </w:tcPr>
          <w:p w14:paraId="05A75D62"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5,2</w:t>
            </w:r>
          </w:p>
        </w:tc>
        <w:tc>
          <w:tcPr>
            <w:tcW w:w="422" w:type="pct"/>
            <w:shd w:val="clear" w:color="auto" w:fill="auto"/>
            <w:noWrap/>
            <w:vAlign w:val="center"/>
            <w:hideMark/>
          </w:tcPr>
          <w:p w14:paraId="00B63DB1"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0,1</w:t>
            </w:r>
          </w:p>
        </w:tc>
        <w:tc>
          <w:tcPr>
            <w:tcW w:w="371" w:type="pct"/>
            <w:shd w:val="clear" w:color="auto" w:fill="auto"/>
            <w:noWrap/>
            <w:vAlign w:val="center"/>
            <w:hideMark/>
          </w:tcPr>
          <w:p w14:paraId="6A694E8B"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0,1</w:t>
            </w:r>
          </w:p>
        </w:tc>
        <w:tc>
          <w:tcPr>
            <w:tcW w:w="569" w:type="pct"/>
            <w:shd w:val="clear" w:color="auto" w:fill="auto"/>
            <w:noWrap/>
            <w:vAlign w:val="center"/>
            <w:hideMark/>
          </w:tcPr>
          <w:p w14:paraId="64F720E2"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5,1</w:t>
            </w:r>
          </w:p>
        </w:tc>
        <w:tc>
          <w:tcPr>
            <w:tcW w:w="327" w:type="pct"/>
            <w:shd w:val="clear" w:color="auto" w:fill="auto"/>
            <w:noWrap/>
            <w:vAlign w:val="center"/>
            <w:hideMark/>
          </w:tcPr>
          <w:p w14:paraId="77B5631A"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-0,0</w:t>
            </w:r>
          </w:p>
        </w:tc>
        <w:tc>
          <w:tcPr>
            <w:tcW w:w="363" w:type="pct"/>
            <w:shd w:val="clear" w:color="auto" w:fill="auto"/>
            <w:noWrap/>
            <w:vAlign w:val="center"/>
            <w:hideMark/>
          </w:tcPr>
          <w:p w14:paraId="04A7D6F5"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-13%</w:t>
            </w:r>
          </w:p>
        </w:tc>
        <w:tc>
          <w:tcPr>
            <w:tcW w:w="657" w:type="pct"/>
            <w:shd w:val="clear" w:color="auto" w:fill="auto"/>
            <w:vAlign w:val="center"/>
            <w:hideMark/>
          </w:tcPr>
          <w:p w14:paraId="35EE27E2" w14:textId="77777777" w:rsidR="0065708A" w:rsidRPr="00513F1D" w:rsidRDefault="0065708A" w:rsidP="00F94FED">
            <w:pPr>
              <w:spacing w:after="0" w:line="240" w:lineRule="auto"/>
              <w:jc w:val="center"/>
              <w:rPr>
                <w:rFonts w:eastAsia="Times New Roman"/>
                <w:sz w:val="16"/>
                <w:szCs w:val="16"/>
                <w:lang w:eastAsia="ru-RU"/>
              </w:rPr>
            </w:pPr>
            <w:r w:rsidRPr="00513F1D">
              <w:rPr>
                <w:rFonts w:eastAsia="Times New Roman"/>
                <w:sz w:val="16"/>
                <w:szCs w:val="16"/>
                <w:lang w:eastAsia="ru-RU"/>
              </w:rPr>
              <w:t>оплата за фактически выполненные ПИР</w:t>
            </w:r>
          </w:p>
        </w:tc>
      </w:tr>
      <w:tr w:rsidR="0065708A" w:rsidRPr="00513F1D" w14:paraId="31220737" w14:textId="77777777" w:rsidTr="00CB5AA8">
        <w:trPr>
          <w:trHeight w:val="20"/>
        </w:trPr>
        <w:tc>
          <w:tcPr>
            <w:tcW w:w="1257" w:type="pct"/>
            <w:shd w:val="clear" w:color="auto" w:fill="auto"/>
            <w:vAlign w:val="bottom"/>
            <w:hideMark/>
          </w:tcPr>
          <w:p w14:paraId="7A729C61" w14:textId="77777777" w:rsidR="0065708A" w:rsidRPr="00513F1D" w:rsidRDefault="0065708A" w:rsidP="009A4C46">
            <w:pPr>
              <w:spacing w:after="0" w:line="240" w:lineRule="auto"/>
              <w:rPr>
                <w:rFonts w:eastAsia="Times New Roman"/>
                <w:sz w:val="16"/>
                <w:szCs w:val="16"/>
                <w:lang w:eastAsia="ru-RU"/>
              </w:rPr>
            </w:pPr>
            <w:r w:rsidRPr="00513F1D">
              <w:rPr>
                <w:rFonts w:eastAsia="Times New Roman"/>
                <w:sz w:val="16"/>
                <w:szCs w:val="16"/>
                <w:lang w:eastAsia="ru-RU"/>
              </w:rPr>
              <w:t>Создание системы телемеханика и организация цифровых каналов связи на ПС 110 кВ «Балгазын»</w:t>
            </w:r>
          </w:p>
        </w:tc>
        <w:tc>
          <w:tcPr>
            <w:tcW w:w="556" w:type="pct"/>
            <w:shd w:val="clear" w:color="auto" w:fill="auto"/>
            <w:vAlign w:val="center"/>
          </w:tcPr>
          <w:p w14:paraId="19E61D2B" w14:textId="77777777" w:rsidR="0065708A" w:rsidRPr="00513F1D" w:rsidRDefault="0065708A" w:rsidP="003E2802">
            <w:pPr>
              <w:spacing w:after="0" w:line="240" w:lineRule="auto"/>
              <w:jc w:val="center"/>
              <w:rPr>
                <w:rFonts w:eastAsia="Times New Roman"/>
                <w:sz w:val="16"/>
                <w:szCs w:val="16"/>
                <w:lang w:eastAsia="ru-RU"/>
              </w:rPr>
            </w:pPr>
          </w:p>
        </w:tc>
        <w:tc>
          <w:tcPr>
            <w:tcW w:w="477" w:type="pct"/>
            <w:shd w:val="clear" w:color="auto" w:fill="auto"/>
            <w:vAlign w:val="center"/>
            <w:hideMark/>
          </w:tcPr>
          <w:p w14:paraId="2BF9ABB3"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5,3</w:t>
            </w:r>
          </w:p>
        </w:tc>
        <w:tc>
          <w:tcPr>
            <w:tcW w:w="422" w:type="pct"/>
            <w:shd w:val="clear" w:color="auto" w:fill="auto"/>
            <w:noWrap/>
            <w:vAlign w:val="center"/>
          </w:tcPr>
          <w:p w14:paraId="243CCAE5" w14:textId="77777777" w:rsidR="0065708A" w:rsidRPr="00513F1D" w:rsidRDefault="0065708A">
            <w:pPr>
              <w:spacing w:after="0" w:line="240" w:lineRule="auto"/>
              <w:jc w:val="center"/>
              <w:rPr>
                <w:rFonts w:eastAsia="Times New Roman"/>
                <w:sz w:val="16"/>
                <w:szCs w:val="16"/>
                <w:lang w:eastAsia="ru-RU"/>
              </w:rPr>
            </w:pPr>
          </w:p>
        </w:tc>
        <w:tc>
          <w:tcPr>
            <w:tcW w:w="371" w:type="pct"/>
            <w:shd w:val="clear" w:color="auto" w:fill="auto"/>
            <w:noWrap/>
            <w:vAlign w:val="center"/>
          </w:tcPr>
          <w:p w14:paraId="4B407700" w14:textId="77777777" w:rsidR="0065708A" w:rsidRPr="00513F1D" w:rsidRDefault="0065708A">
            <w:pPr>
              <w:spacing w:after="0" w:line="240" w:lineRule="auto"/>
              <w:jc w:val="center"/>
              <w:rPr>
                <w:rFonts w:eastAsia="Times New Roman"/>
                <w:sz w:val="16"/>
                <w:szCs w:val="16"/>
                <w:lang w:eastAsia="ru-RU"/>
              </w:rPr>
            </w:pPr>
          </w:p>
        </w:tc>
        <w:tc>
          <w:tcPr>
            <w:tcW w:w="569" w:type="pct"/>
            <w:shd w:val="clear" w:color="auto" w:fill="auto"/>
            <w:noWrap/>
            <w:vAlign w:val="center"/>
            <w:hideMark/>
          </w:tcPr>
          <w:p w14:paraId="0322239B"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5,3</w:t>
            </w:r>
          </w:p>
        </w:tc>
        <w:tc>
          <w:tcPr>
            <w:tcW w:w="327" w:type="pct"/>
            <w:shd w:val="clear" w:color="auto" w:fill="auto"/>
            <w:noWrap/>
            <w:vAlign w:val="center"/>
            <w:hideMark/>
          </w:tcPr>
          <w:p w14:paraId="4FBC944D" w14:textId="77777777" w:rsidR="0065708A" w:rsidRPr="00513F1D" w:rsidRDefault="0065708A">
            <w:pPr>
              <w:spacing w:after="0" w:line="240" w:lineRule="auto"/>
              <w:jc w:val="center"/>
              <w:rPr>
                <w:rFonts w:eastAsia="Times New Roman"/>
                <w:sz w:val="16"/>
                <w:szCs w:val="16"/>
                <w:lang w:eastAsia="ru-RU"/>
              </w:rPr>
            </w:pPr>
          </w:p>
        </w:tc>
        <w:tc>
          <w:tcPr>
            <w:tcW w:w="363" w:type="pct"/>
            <w:shd w:val="clear" w:color="auto" w:fill="auto"/>
            <w:noWrap/>
            <w:vAlign w:val="center"/>
            <w:hideMark/>
          </w:tcPr>
          <w:p w14:paraId="10922126" w14:textId="77777777" w:rsidR="0065708A" w:rsidRPr="00513F1D" w:rsidRDefault="0065708A">
            <w:pPr>
              <w:spacing w:after="0" w:line="240" w:lineRule="auto"/>
              <w:jc w:val="center"/>
              <w:rPr>
                <w:rFonts w:eastAsia="Times New Roman"/>
                <w:sz w:val="16"/>
                <w:szCs w:val="16"/>
                <w:lang w:eastAsia="ru-RU"/>
              </w:rPr>
            </w:pPr>
          </w:p>
        </w:tc>
        <w:tc>
          <w:tcPr>
            <w:tcW w:w="657" w:type="pct"/>
            <w:shd w:val="clear" w:color="auto" w:fill="auto"/>
            <w:vAlign w:val="center"/>
            <w:hideMark/>
          </w:tcPr>
          <w:p w14:paraId="510E6ABF" w14:textId="3D8D7DB8" w:rsidR="0065708A" w:rsidRPr="00513F1D" w:rsidRDefault="0065708A" w:rsidP="00F94FED">
            <w:pPr>
              <w:spacing w:after="0" w:line="240" w:lineRule="auto"/>
              <w:jc w:val="center"/>
              <w:rPr>
                <w:rFonts w:eastAsia="Times New Roman"/>
                <w:sz w:val="16"/>
                <w:szCs w:val="16"/>
                <w:lang w:eastAsia="ru-RU"/>
              </w:rPr>
            </w:pPr>
          </w:p>
        </w:tc>
      </w:tr>
      <w:tr w:rsidR="0065708A" w:rsidRPr="00513F1D" w14:paraId="5E0A5F0A" w14:textId="77777777" w:rsidTr="00CB5AA8">
        <w:trPr>
          <w:trHeight w:val="20"/>
        </w:trPr>
        <w:tc>
          <w:tcPr>
            <w:tcW w:w="1257" w:type="pct"/>
            <w:shd w:val="clear" w:color="auto" w:fill="auto"/>
            <w:vAlign w:val="bottom"/>
            <w:hideMark/>
          </w:tcPr>
          <w:p w14:paraId="7E44CDEA" w14:textId="77777777" w:rsidR="0065708A" w:rsidRPr="00513F1D" w:rsidRDefault="0065708A" w:rsidP="009A4C46">
            <w:pPr>
              <w:spacing w:after="0" w:line="240" w:lineRule="auto"/>
              <w:rPr>
                <w:rFonts w:eastAsia="Times New Roman"/>
                <w:sz w:val="16"/>
                <w:szCs w:val="16"/>
                <w:lang w:eastAsia="ru-RU"/>
              </w:rPr>
            </w:pPr>
            <w:r w:rsidRPr="00513F1D">
              <w:rPr>
                <w:rFonts w:eastAsia="Times New Roman"/>
                <w:sz w:val="16"/>
                <w:szCs w:val="16"/>
                <w:lang w:eastAsia="ru-RU"/>
              </w:rPr>
              <w:t>Создание системы телемеханика и организация цифровых каналов связи на ПС 110 кВ «Хову-Аксы», ПС 35 кВ «Птицефабрика»</w:t>
            </w:r>
          </w:p>
        </w:tc>
        <w:tc>
          <w:tcPr>
            <w:tcW w:w="556" w:type="pct"/>
            <w:shd w:val="clear" w:color="auto" w:fill="auto"/>
            <w:vAlign w:val="center"/>
            <w:hideMark/>
          </w:tcPr>
          <w:p w14:paraId="309C942E" w14:textId="77777777" w:rsidR="0065708A" w:rsidRPr="00513F1D" w:rsidRDefault="0065708A" w:rsidP="003E2802">
            <w:pPr>
              <w:spacing w:after="0" w:line="240" w:lineRule="auto"/>
              <w:jc w:val="center"/>
              <w:rPr>
                <w:rFonts w:eastAsia="Times New Roman"/>
                <w:sz w:val="16"/>
                <w:szCs w:val="16"/>
                <w:lang w:eastAsia="ru-RU"/>
              </w:rPr>
            </w:pPr>
          </w:p>
        </w:tc>
        <w:tc>
          <w:tcPr>
            <w:tcW w:w="477" w:type="pct"/>
            <w:shd w:val="clear" w:color="auto" w:fill="auto"/>
            <w:vAlign w:val="center"/>
            <w:hideMark/>
          </w:tcPr>
          <w:p w14:paraId="01ED65A2"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5,2</w:t>
            </w:r>
          </w:p>
        </w:tc>
        <w:tc>
          <w:tcPr>
            <w:tcW w:w="422" w:type="pct"/>
            <w:shd w:val="clear" w:color="auto" w:fill="auto"/>
            <w:noWrap/>
            <w:vAlign w:val="center"/>
          </w:tcPr>
          <w:p w14:paraId="0B609ED1" w14:textId="77777777" w:rsidR="0065708A" w:rsidRPr="00513F1D" w:rsidRDefault="0065708A">
            <w:pPr>
              <w:spacing w:after="0" w:line="240" w:lineRule="auto"/>
              <w:jc w:val="center"/>
              <w:rPr>
                <w:rFonts w:eastAsia="Times New Roman"/>
                <w:sz w:val="16"/>
                <w:szCs w:val="16"/>
                <w:lang w:eastAsia="ru-RU"/>
              </w:rPr>
            </w:pPr>
          </w:p>
        </w:tc>
        <w:tc>
          <w:tcPr>
            <w:tcW w:w="371" w:type="pct"/>
            <w:shd w:val="clear" w:color="auto" w:fill="auto"/>
            <w:noWrap/>
            <w:vAlign w:val="center"/>
            <w:hideMark/>
          </w:tcPr>
          <w:p w14:paraId="14B97CCA" w14:textId="77777777" w:rsidR="0065708A" w:rsidRPr="00513F1D" w:rsidRDefault="0065708A">
            <w:pPr>
              <w:spacing w:after="0" w:line="240" w:lineRule="auto"/>
              <w:jc w:val="center"/>
              <w:rPr>
                <w:rFonts w:eastAsia="Times New Roman"/>
                <w:sz w:val="16"/>
                <w:szCs w:val="16"/>
                <w:lang w:eastAsia="ru-RU"/>
              </w:rPr>
            </w:pPr>
          </w:p>
        </w:tc>
        <w:tc>
          <w:tcPr>
            <w:tcW w:w="569" w:type="pct"/>
            <w:shd w:val="clear" w:color="auto" w:fill="auto"/>
            <w:noWrap/>
            <w:vAlign w:val="center"/>
            <w:hideMark/>
          </w:tcPr>
          <w:p w14:paraId="2AF51915"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5,2</w:t>
            </w:r>
          </w:p>
        </w:tc>
        <w:tc>
          <w:tcPr>
            <w:tcW w:w="327" w:type="pct"/>
            <w:shd w:val="clear" w:color="auto" w:fill="auto"/>
            <w:noWrap/>
            <w:vAlign w:val="center"/>
            <w:hideMark/>
          </w:tcPr>
          <w:p w14:paraId="17CFFEB4" w14:textId="77777777" w:rsidR="0065708A" w:rsidRPr="00513F1D" w:rsidRDefault="0065708A">
            <w:pPr>
              <w:spacing w:after="0" w:line="240" w:lineRule="auto"/>
              <w:jc w:val="center"/>
              <w:rPr>
                <w:rFonts w:eastAsia="Times New Roman"/>
                <w:sz w:val="16"/>
                <w:szCs w:val="16"/>
                <w:lang w:eastAsia="ru-RU"/>
              </w:rPr>
            </w:pPr>
          </w:p>
        </w:tc>
        <w:tc>
          <w:tcPr>
            <w:tcW w:w="363" w:type="pct"/>
            <w:shd w:val="clear" w:color="auto" w:fill="auto"/>
            <w:noWrap/>
            <w:vAlign w:val="center"/>
            <w:hideMark/>
          </w:tcPr>
          <w:p w14:paraId="216B06D6" w14:textId="77777777" w:rsidR="0065708A" w:rsidRPr="00513F1D" w:rsidRDefault="0065708A">
            <w:pPr>
              <w:spacing w:after="0" w:line="240" w:lineRule="auto"/>
              <w:jc w:val="center"/>
              <w:rPr>
                <w:rFonts w:eastAsia="Times New Roman"/>
                <w:sz w:val="16"/>
                <w:szCs w:val="16"/>
                <w:lang w:eastAsia="ru-RU"/>
              </w:rPr>
            </w:pPr>
          </w:p>
        </w:tc>
        <w:tc>
          <w:tcPr>
            <w:tcW w:w="657" w:type="pct"/>
            <w:shd w:val="clear" w:color="auto" w:fill="auto"/>
            <w:vAlign w:val="center"/>
            <w:hideMark/>
          </w:tcPr>
          <w:p w14:paraId="21F20DDB" w14:textId="781CC4D2" w:rsidR="0065708A" w:rsidRPr="00513F1D" w:rsidRDefault="0065708A" w:rsidP="00F94FED">
            <w:pPr>
              <w:spacing w:after="0" w:line="240" w:lineRule="auto"/>
              <w:jc w:val="center"/>
              <w:rPr>
                <w:rFonts w:eastAsia="Times New Roman"/>
                <w:sz w:val="16"/>
                <w:szCs w:val="16"/>
                <w:lang w:eastAsia="ru-RU"/>
              </w:rPr>
            </w:pPr>
          </w:p>
        </w:tc>
      </w:tr>
      <w:tr w:rsidR="0065708A" w:rsidRPr="00513F1D" w14:paraId="16300513" w14:textId="77777777" w:rsidTr="00CB5AA8">
        <w:trPr>
          <w:trHeight w:val="20"/>
        </w:trPr>
        <w:tc>
          <w:tcPr>
            <w:tcW w:w="1257" w:type="pct"/>
            <w:shd w:val="clear" w:color="auto" w:fill="auto"/>
            <w:vAlign w:val="bottom"/>
            <w:hideMark/>
          </w:tcPr>
          <w:p w14:paraId="718C1BD0" w14:textId="77777777" w:rsidR="0065708A" w:rsidRPr="00513F1D" w:rsidRDefault="0065708A" w:rsidP="009A4C46">
            <w:pPr>
              <w:spacing w:after="0" w:line="240" w:lineRule="auto"/>
              <w:rPr>
                <w:rFonts w:eastAsia="Times New Roman"/>
                <w:sz w:val="16"/>
                <w:szCs w:val="16"/>
                <w:lang w:eastAsia="ru-RU"/>
              </w:rPr>
            </w:pPr>
            <w:r w:rsidRPr="00513F1D">
              <w:rPr>
                <w:rFonts w:eastAsia="Times New Roman"/>
                <w:sz w:val="16"/>
                <w:szCs w:val="16"/>
                <w:lang w:eastAsia="ru-RU"/>
              </w:rPr>
              <w:t>Реконструкция, модернизация, техническое перевооружение линий электропередачи, всего, в том числе:</w:t>
            </w:r>
          </w:p>
        </w:tc>
        <w:tc>
          <w:tcPr>
            <w:tcW w:w="556" w:type="pct"/>
            <w:shd w:val="clear" w:color="auto" w:fill="auto"/>
            <w:noWrap/>
            <w:vAlign w:val="center"/>
          </w:tcPr>
          <w:p w14:paraId="2713EB08" w14:textId="77777777" w:rsidR="0065708A" w:rsidRPr="00513F1D" w:rsidRDefault="0065708A" w:rsidP="003E2802">
            <w:pPr>
              <w:spacing w:after="0" w:line="240" w:lineRule="auto"/>
              <w:jc w:val="center"/>
              <w:rPr>
                <w:rFonts w:eastAsia="Times New Roman"/>
                <w:sz w:val="16"/>
                <w:szCs w:val="16"/>
                <w:lang w:eastAsia="ru-RU"/>
              </w:rPr>
            </w:pPr>
          </w:p>
        </w:tc>
        <w:tc>
          <w:tcPr>
            <w:tcW w:w="477" w:type="pct"/>
            <w:shd w:val="clear" w:color="auto" w:fill="auto"/>
            <w:noWrap/>
            <w:vAlign w:val="center"/>
            <w:hideMark/>
          </w:tcPr>
          <w:p w14:paraId="422C5E1C"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211,3</w:t>
            </w:r>
          </w:p>
        </w:tc>
        <w:tc>
          <w:tcPr>
            <w:tcW w:w="422" w:type="pct"/>
            <w:shd w:val="clear" w:color="auto" w:fill="auto"/>
            <w:noWrap/>
            <w:vAlign w:val="center"/>
            <w:hideMark/>
          </w:tcPr>
          <w:p w14:paraId="3B232799"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9,7</w:t>
            </w:r>
          </w:p>
        </w:tc>
        <w:tc>
          <w:tcPr>
            <w:tcW w:w="371" w:type="pct"/>
            <w:shd w:val="clear" w:color="auto" w:fill="auto"/>
            <w:noWrap/>
            <w:vAlign w:val="center"/>
            <w:hideMark/>
          </w:tcPr>
          <w:p w14:paraId="4EB2E0BD"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7,1</w:t>
            </w:r>
          </w:p>
        </w:tc>
        <w:tc>
          <w:tcPr>
            <w:tcW w:w="569" w:type="pct"/>
            <w:shd w:val="clear" w:color="auto" w:fill="auto"/>
            <w:noWrap/>
            <w:vAlign w:val="center"/>
            <w:hideMark/>
          </w:tcPr>
          <w:p w14:paraId="3F64896D"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204,2</w:t>
            </w:r>
          </w:p>
        </w:tc>
        <w:tc>
          <w:tcPr>
            <w:tcW w:w="327" w:type="pct"/>
            <w:shd w:val="clear" w:color="auto" w:fill="auto"/>
            <w:noWrap/>
            <w:vAlign w:val="center"/>
            <w:hideMark/>
          </w:tcPr>
          <w:p w14:paraId="0EF9017A"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-2,6</w:t>
            </w:r>
          </w:p>
        </w:tc>
        <w:tc>
          <w:tcPr>
            <w:tcW w:w="363" w:type="pct"/>
            <w:shd w:val="clear" w:color="auto" w:fill="auto"/>
            <w:noWrap/>
            <w:vAlign w:val="center"/>
            <w:hideMark/>
          </w:tcPr>
          <w:p w14:paraId="01BA67DC"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-26%</w:t>
            </w:r>
          </w:p>
        </w:tc>
        <w:tc>
          <w:tcPr>
            <w:tcW w:w="657" w:type="pct"/>
            <w:shd w:val="clear" w:color="auto" w:fill="auto"/>
            <w:vAlign w:val="center"/>
            <w:hideMark/>
          </w:tcPr>
          <w:p w14:paraId="672F21C9" w14:textId="77777777" w:rsidR="0065708A" w:rsidRPr="00513F1D" w:rsidRDefault="0065708A" w:rsidP="00F94FED">
            <w:pPr>
              <w:spacing w:after="0" w:line="240" w:lineRule="auto"/>
              <w:jc w:val="center"/>
              <w:rPr>
                <w:rFonts w:eastAsia="Times New Roman"/>
                <w:sz w:val="16"/>
                <w:szCs w:val="16"/>
                <w:lang w:eastAsia="ru-RU"/>
              </w:rPr>
            </w:pPr>
            <w:r w:rsidRPr="00513F1D">
              <w:rPr>
                <w:rFonts w:eastAsia="Times New Roman"/>
                <w:sz w:val="16"/>
                <w:szCs w:val="16"/>
                <w:lang w:eastAsia="ru-RU"/>
              </w:rPr>
              <w:t>0</w:t>
            </w:r>
          </w:p>
        </w:tc>
      </w:tr>
      <w:tr w:rsidR="0065708A" w:rsidRPr="00513F1D" w14:paraId="0C29BFD0" w14:textId="77777777" w:rsidTr="00CB5AA8">
        <w:trPr>
          <w:trHeight w:val="20"/>
        </w:trPr>
        <w:tc>
          <w:tcPr>
            <w:tcW w:w="1257" w:type="pct"/>
            <w:shd w:val="clear" w:color="auto" w:fill="auto"/>
            <w:vAlign w:val="bottom"/>
            <w:hideMark/>
          </w:tcPr>
          <w:p w14:paraId="5A6C72B5" w14:textId="77777777" w:rsidR="0065708A" w:rsidRPr="00513F1D" w:rsidRDefault="0065708A" w:rsidP="009A4C46">
            <w:pPr>
              <w:spacing w:after="0" w:line="240" w:lineRule="auto"/>
              <w:rPr>
                <w:rFonts w:eastAsia="Times New Roman"/>
                <w:sz w:val="16"/>
                <w:szCs w:val="16"/>
                <w:lang w:eastAsia="ru-RU"/>
              </w:rPr>
            </w:pPr>
            <w:r w:rsidRPr="00513F1D">
              <w:rPr>
                <w:rFonts w:eastAsia="Times New Roman"/>
                <w:sz w:val="16"/>
                <w:szCs w:val="16"/>
                <w:lang w:eastAsia="ru-RU"/>
              </w:rPr>
              <w:t>Реконструкция линий электропередачи, всего, в том числе:</w:t>
            </w:r>
          </w:p>
        </w:tc>
        <w:tc>
          <w:tcPr>
            <w:tcW w:w="556" w:type="pct"/>
            <w:shd w:val="clear" w:color="auto" w:fill="auto"/>
            <w:noWrap/>
            <w:vAlign w:val="center"/>
          </w:tcPr>
          <w:p w14:paraId="0D797E7F" w14:textId="77777777" w:rsidR="0065708A" w:rsidRPr="00513F1D" w:rsidRDefault="0065708A" w:rsidP="003E2802">
            <w:pPr>
              <w:spacing w:after="0" w:line="240" w:lineRule="auto"/>
              <w:jc w:val="center"/>
              <w:rPr>
                <w:rFonts w:eastAsia="Times New Roman"/>
                <w:sz w:val="16"/>
                <w:szCs w:val="16"/>
                <w:lang w:eastAsia="ru-RU"/>
              </w:rPr>
            </w:pPr>
          </w:p>
        </w:tc>
        <w:tc>
          <w:tcPr>
            <w:tcW w:w="477" w:type="pct"/>
            <w:shd w:val="clear" w:color="auto" w:fill="auto"/>
            <w:noWrap/>
            <w:vAlign w:val="center"/>
            <w:hideMark/>
          </w:tcPr>
          <w:p w14:paraId="08F68177"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211,3</w:t>
            </w:r>
          </w:p>
        </w:tc>
        <w:tc>
          <w:tcPr>
            <w:tcW w:w="422" w:type="pct"/>
            <w:shd w:val="clear" w:color="auto" w:fill="auto"/>
            <w:noWrap/>
            <w:vAlign w:val="center"/>
            <w:hideMark/>
          </w:tcPr>
          <w:p w14:paraId="73D175F6"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9,7</w:t>
            </w:r>
          </w:p>
        </w:tc>
        <w:tc>
          <w:tcPr>
            <w:tcW w:w="371" w:type="pct"/>
            <w:shd w:val="clear" w:color="auto" w:fill="auto"/>
            <w:noWrap/>
            <w:vAlign w:val="center"/>
            <w:hideMark/>
          </w:tcPr>
          <w:p w14:paraId="45A7665D"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7,1</w:t>
            </w:r>
          </w:p>
        </w:tc>
        <w:tc>
          <w:tcPr>
            <w:tcW w:w="569" w:type="pct"/>
            <w:shd w:val="clear" w:color="auto" w:fill="auto"/>
            <w:noWrap/>
            <w:vAlign w:val="center"/>
            <w:hideMark/>
          </w:tcPr>
          <w:p w14:paraId="420ECB56"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204,2</w:t>
            </w:r>
          </w:p>
        </w:tc>
        <w:tc>
          <w:tcPr>
            <w:tcW w:w="327" w:type="pct"/>
            <w:shd w:val="clear" w:color="auto" w:fill="auto"/>
            <w:noWrap/>
            <w:vAlign w:val="center"/>
            <w:hideMark/>
          </w:tcPr>
          <w:p w14:paraId="4C9B7C01"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-2,6</w:t>
            </w:r>
          </w:p>
        </w:tc>
        <w:tc>
          <w:tcPr>
            <w:tcW w:w="363" w:type="pct"/>
            <w:shd w:val="clear" w:color="auto" w:fill="auto"/>
            <w:noWrap/>
            <w:vAlign w:val="center"/>
            <w:hideMark/>
          </w:tcPr>
          <w:p w14:paraId="03F1236F"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-26%</w:t>
            </w:r>
          </w:p>
        </w:tc>
        <w:tc>
          <w:tcPr>
            <w:tcW w:w="657" w:type="pct"/>
            <w:shd w:val="clear" w:color="auto" w:fill="auto"/>
            <w:vAlign w:val="center"/>
            <w:hideMark/>
          </w:tcPr>
          <w:p w14:paraId="54E91078" w14:textId="77777777" w:rsidR="0065708A" w:rsidRPr="00513F1D" w:rsidRDefault="0065708A" w:rsidP="00F94FED">
            <w:pPr>
              <w:spacing w:after="0" w:line="240" w:lineRule="auto"/>
              <w:jc w:val="center"/>
              <w:rPr>
                <w:rFonts w:eastAsia="Times New Roman"/>
                <w:sz w:val="16"/>
                <w:szCs w:val="16"/>
                <w:lang w:eastAsia="ru-RU"/>
              </w:rPr>
            </w:pPr>
            <w:r w:rsidRPr="00513F1D">
              <w:rPr>
                <w:rFonts w:eastAsia="Times New Roman"/>
                <w:sz w:val="16"/>
                <w:szCs w:val="16"/>
                <w:lang w:eastAsia="ru-RU"/>
              </w:rPr>
              <w:t>0</w:t>
            </w:r>
          </w:p>
        </w:tc>
      </w:tr>
      <w:tr w:rsidR="0065708A" w:rsidRPr="00513F1D" w14:paraId="3045D913" w14:textId="77777777" w:rsidTr="00CB5AA8">
        <w:trPr>
          <w:trHeight w:val="20"/>
        </w:trPr>
        <w:tc>
          <w:tcPr>
            <w:tcW w:w="1257" w:type="pct"/>
            <w:shd w:val="clear" w:color="auto" w:fill="auto"/>
            <w:vAlign w:val="bottom"/>
            <w:hideMark/>
          </w:tcPr>
          <w:p w14:paraId="5B4CFD8A" w14:textId="77777777" w:rsidR="0065708A" w:rsidRPr="00513F1D" w:rsidRDefault="0065708A" w:rsidP="009A4C46">
            <w:pPr>
              <w:spacing w:after="0" w:line="240" w:lineRule="auto"/>
              <w:rPr>
                <w:rFonts w:eastAsia="Times New Roman"/>
                <w:sz w:val="16"/>
                <w:szCs w:val="16"/>
                <w:lang w:eastAsia="ru-RU"/>
              </w:rPr>
            </w:pPr>
            <w:r w:rsidRPr="00513F1D">
              <w:rPr>
                <w:rFonts w:eastAsia="Times New Roman"/>
                <w:sz w:val="16"/>
                <w:szCs w:val="16"/>
                <w:lang w:eastAsia="ru-RU"/>
              </w:rPr>
              <w:t>Реконструкция линии Т-5, 35 кВ  от ПС "</w:t>
            </w:r>
            <w:proofErr w:type="spellStart"/>
            <w:r w:rsidRPr="00513F1D">
              <w:rPr>
                <w:rFonts w:eastAsia="Times New Roman"/>
                <w:sz w:val="16"/>
                <w:szCs w:val="16"/>
                <w:lang w:eastAsia="ru-RU"/>
              </w:rPr>
              <w:t>Кызылская</w:t>
            </w:r>
            <w:proofErr w:type="spellEnd"/>
            <w:r w:rsidRPr="00513F1D">
              <w:rPr>
                <w:rFonts w:eastAsia="Times New Roman"/>
                <w:sz w:val="16"/>
                <w:szCs w:val="16"/>
                <w:lang w:eastAsia="ru-RU"/>
              </w:rPr>
              <w:t>" до ПС "</w:t>
            </w:r>
            <w:proofErr w:type="spellStart"/>
            <w:r w:rsidRPr="00513F1D">
              <w:rPr>
                <w:rFonts w:eastAsia="Times New Roman"/>
                <w:sz w:val="16"/>
                <w:szCs w:val="16"/>
                <w:lang w:eastAsia="ru-RU"/>
              </w:rPr>
              <w:t>Майналыг</w:t>
            </w:r>
            <w:proofErr w:type="spellEnd"/>
            <w:r w:rsidRPr="00513F1D">
              <w:rPr>
                <w:rFonts w:eastAsia="Times New Roman"/>
                <w:sz w:val="16"/>
                <w:szCs w:val="16"/>
                <w:lang w:eastAsia="ru-RU"/>
              </w:rPr>
              <w:t>"</w:t>
            </w:r>
          </w:p>
        </w:tc>
        <w:tc>
          <w:tcPr>
            <w:tcW w:w="556" w:type="pct"/>
            <w:shd w:val="clear" w:color="auto" w:fill="auto"/>
            <w:vAlign w:val="center"/>
          </w:tcPr>
          <w:p w14:paraId="33A77625" w14:textId="77777777" w:rsidR="0065708A" w:rsidRPr="00513F1D" w:rsidRDefault="0065708A" w:rsidP="003E2802">
            <w:pPr>
              <w:spacing w:after="0" w:line="240" w:lineRule="auto"/>
              <w:jc w:val="center"/>
              <w:rPr>
                <w:rFonts w:eastAsia="Times New Roman"/>
                <w:sz w:val="16"/>
                <w:szCs w:val="16"/>
                <w:lang w:eastAsia="ru-RU"/>
              </w:rPr>
            </w:pPr>
          </w:p>
        </w:tc>
        <w:tc>
          <w:tcPr>
            <w:tcW w:w="477" w:type="pct"/>
            <w:shd w:val="clear" w:color="auto" w:fill="auto"/>
            <w:vAlign w:val="center"/>
            <w:hideMark/>
          </w:tcPr>
          <w:p w14:paraId="3A6C2935"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38,1</w:t>
            </w:r>
          </w:p>
        </w:tc>
        <w:tc>
          <w:tcPr>
            <w:tcW w:w="422" w:type="pct"/>
            <w:shd w:val="clear" w:color="auto" w:fill="auto"/>
            <w:noWrap/>
            <w:vAlign w:val="center"/>
          </w:tcPr>
          <w:p w14:paraId="62759FD5" w14:textId="77777777" w:rsidR="0065708A" w:rsidRPr="00513F1D" w:rsidRDefault="0065708A">
            <w:pPr>
              <w:spacing w:after="0" w:line="240" w:lineRule="auto"/>
              <w:jc w:val="center"/>
              <w:rPr>
                <w:rFonts w:eastAsia="Times New Roman"/>
                <w:sz w:val="16"/>
                <w:szCs w:val="16"/>
                <w:lang w:eastAsia="ru-RU"/>
              </w:rPr>
            </w:pPr>
          </w:p>
        </w:tc>
        <w:tc>
          <w:tcPr>
            <w:tcW w:w="371" w:type="pct"/>
            <w:shd w:val="clear" w:color="auto" w:fill="auto"/>
            <w:noWrap/>
            <w:vAlign w:val="center"/>
          </w:tcPr>
          <w:p w14:paraId="55819674" w14:textId="77777777" w:rsidR="0065708A" w:rsidRPr="00513F1D" w:rsidRDefault="0065708A">
            <w:pPr>
              <w:spacing w:after="0" w:line="240" w:lineRule="auto"/>
              <w:jc w:val="center"/>
              <w:rPr>
                <w:rFonts w:eastAsia="Times New Roman"/>
                <w:sz w:val="16"/>
                <w:szCs w:val="16"/>
                <w:lang w:eastAsia="ru-RU"/>
              </w:rPr>
            </w:pPr>
          </w:p>
        </w:tc>
        <w:tc>
          <w:tcPr>
            <w:tcW w:w="569" w:type="pct"/>
            <w:shd w:val="clear" w:color="auto" w:fill="auto"/>
            <w:noWrap/>
            <w:vAlign w:val="center"/>
            <w:hideMark/>
          </w:tcPr>
          <w:p w14:paraId="6775C571"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38,1</w:t>
            </w:r>
          </w:p>
        </w:tc>
        <w:tc>
          <w:tcPr>
            <w:tcW w:w="327" w:type="pct"/>
            <w:shd w:val="clear" w:color="auto" w:fill="auto"/>
            <w:noWrap/>
            <w:vAlign w:val="center"/>
            <w:hideMark/>
          </w:tcPr>
          <w:p w14:paraId="2C247012" w14:textId="77777777" w:rsidR="0065708A" w:rsidRPr="00513F1D" w:rsidRDefault="0065708A">
            <w:pPr>
              <w:spacing w:after="0" w:line="240" w:lineRule="auto"/>
              <w:jc w:val="center"/>
              <w:rPr>
                <w:rFonts w:eastAsia="Times New Roman"/>
                <w:sz w:val="16"/>
                <w:szCs w:val="16"/>
                <w:lang w:eastAsia="ru-RU"/>
              </w:rPr>
            </w:pPr>
          </w:p>
        </w:tc>
        <w:tc>
          <w:tcPr>
            <w:tcW w:w="363" w:type="pct"/>
            <w:shd w:val="clear" w:color="auto" w:fill="auto"/>
            <w:noWrap/>
            <w:vAlign w:val="center"/>
            <w:hideMark/>
          </w:tcPr>
          <w:p w14:paraId="0CEC2B39" w14:textId="77777777" w:rsidR="0065708A" w:rsidRPr="00513F1D" w:rsidRDefault="0065708A">
            <w:pPr>
              <w:spacing w:after="0" w:line="240" w:lineRule="auto"/>
              <w:jc w:val="center"/>
              <w:rPr>
                <w:rFonts w:eastAsia="Times New Roman"/>
                <w:sz w:val="16"/>
                <w:szCs w:val="16"/>
                <w:lang w:eastAsia="ru-RU"/>
              </w:rPr>
            </w:pPr>
          </w:p>
        </w:tc>
        <w:tc>
          <w:tcPr>
            <w:tcW w:w="657" w:type="pct"/>
            <w:shd w:val="clear" w:color="auto" w:fill="auto"/>
            <w:vAlign w:val="center"/>
            <w:hideMark/>
          </w:tcPr>
          <w:p w14:paraId="5B42E486" w14:textId="02B7A959" w:rsidR="0065708A" w:rsidRPr="00513F1D" w:rsidRDefault="0065708A" w:rsidP="00F94FED">
            <w:pPr>
              <w:spacing w:after="0" w:line="240" w:lineRule="auto"/>
              <w:jc w:val="center"/>
              <w:rPr>
                <w:rFonts w:eastAsia="Times New Roman"/>
                <w:sz w:val="16"/>
                <w:szCs w:val="16"/>
                <w:lang w:eastAsia="ru-RU"/>
              </w:rPr>
            </w:pPr>
          </w:p>
        </w:tc>
      </w:tr>
      <w:tr w:rsidR="0065708A" w:rsidRPr="00513F1D" w14:paraId="4E6E4147" w14:textId="77777777" w:rsidTr="00CB5AA8">
        <w:trPr>
          <w:trHeight w:val="20"/>
        </w:trPr>
        <w:tc>
          <w:tcPr>
            <w:tcW w:w="1257" w:type="pct"/>
            <w:shd w:val="clear" w:color="auto" w:fill="auto"/>
            <w:vAlign w:val="bottom"/>
            <w:hideMark/>
          </w:tcPr>
          <w:p w14:paraId="203BF964" w14:textId="77777777" w:rsidR="0065708A" w:rsidRPr="00513F1D" w:rsidRDefault="0065708A" w:rsidP="009A4C46">
            <w:pPr>
              <w:spacing w:after="0" w:line="240" w:lineRule="auto"/>
              <w:rPr>
                <w:rFonts w:eastAsia="Times New Roman"/>
                <w:sz w:val="16"/>
                <w:szCs w:val="16"/>
                <w:lang w:eastAsia="ru-RU"/>
              </w:rPr>
            </w:pPr>
            <w:r w:rsidRPr="00513F1D">
              <w:rPr>
                <w:rFonts w:eastAsia="Times New Roman"/>
                <w:sz w:val="16"/>
                <w:szCs w:val="16"/>
                <w:lang w:eastAsia="ru-RU"/>
              </w:rPr>
              <w:t>Реконструкция ВЛ-0,4 с применением СИП г. Кызыл фидер 11/ТП- №18</w:t>
            </w:r>
          </w:p>
        </w:tc>
        <w:tc>
          <w:tcPr>
            <w:tcW w:w="556" w:type="pct"/>
            <w:shd w:val="clear" w:color="auto" w:fill="auto"/>
            <w:vAlign w:val="center"/>
          </w:tcPr>
          <w:p w14:paraId="37DB3D3C" w14:textId="77777777" w:rsidR="0065708A" w:rsidRPr="00513F1D" w:rsidRDefault="0065708A" w:rsidP="003E2802">
            <w:pPr>
              <w:spacing w:after="0" w:line="240" w:lineRule="auto"/>
              <w:jc w:val="center"/>
              <w:rPr>
                <w:rFonts w:eastAsia="Times New Roman"/>
                <w:sz w:val="16"/>
                <w:szCs w:val="16"/>
                <w:lang w:eastAsia="ru-RU"/>
              </w:rPr>
            </w:pPr>
          </w:p>
        </w:tc>
        <w:tc>
          <w:tcPr>
            <w:tcW w:w="477" w:type="pct"/>
            <w:shd w:val="clear" w:color="auto" w:fill="auto"/>
            <w:vAlign w:val="center"/>
            <w:hideMark/>
          </w:tcPr>
          <w:p w14:paraId="70C8F159"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9,7</w:t>
            </w:r>
          </w:p>
        </w:tc>
        <w:tc>
          <w:tcPr>
            <w:tcW w:w="422" w:type="pct"/>
            <w:shd w:val="clear" w:color="auto" w:fill="auto"/>
            <w:noWrap/>
            <w:vAlign w:val="center"/>
            <w:hideMark/>
          </w:tcPr>
          <w:p w14:paraId="67DFD944"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9,7</w:t>
            </w:r>
          </w:p>
        </w:tc>
        <w:tc>
          <w:tcPr>
            <w:tcW w:w="371" w:type="pct"/>
            <w:shd w:val="clear" w:color="auto" w:fill="auto"/>
            <w:noWrap/>
            <w:vAlign w:val="center"/>
            <w:hideMark/>
          </w:tcPr>
          <w:p w14:paraId="119F0250"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7,1</w:t>
            </w:r>
          </w:p>
        </w:tc>
        <w:tc>
          <w:tcPr>
            <w:tcW w:w="569" w:type="pct"/>
            <w:shd w:val="clear" w:color="auto" w:fill="auto"/>
            <w:noWrap/>
            <w:vAlign w:val="center"/>
            <w:hideMark/>
          </w:tcPr>
          <w:p w14:paraId="1C286D2A"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2,6</w:t>
            </w:r>
          </w:p>
        </w:tc>
        <w:tc>
          <w:tcPr>
            <w:tcW w:w="327" w:type="pct"/>
            <w:shd w:val="clear" w:color="auto" w:fill="auto"/>
            <w:noWrap/>
            <w:vAlign w:val="center"/>
            <w:hideMark/>
          </w:tcPr>
          <w:p w14:paraId="55F09D47"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-2,6</w:t>
            </w:r>
          </w:p>
        </w:tc>
        <w:tc>
          <w:tcPr>
            <w:tcW w:w="363" w:type="pct"/>
            <w:shd w:val="clear" w:color="auto" w:fill="auto"/>
            <w:noWrap/>
            <w:vAlign w:val="center"/>
            <w:hideMark/>
          </w:tcPr>
          <w:p w14:paraId="0ACE8F67"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-26%</w:t>
            </w:r>
          </w:p>
        </w:tc>
        <w:tc>
          <w:tcPr>
            <w:tcW w:w="657" w:type="pct"/>
            <w:shd w:val="clear" w:color="auto" w:fill="auto"/>
            <w:vAlign w:val="center"/>
            <w:hideMark/>
          </w:tcPr>
          <w:p w14:paraId="31601765" w14:textId="77777777" w:rsidR="0065708A" w:rsidRPr="00513F1D" w:rsidRDefault="0065708A" w:rsidP="00F94FED">
            <w:pPr>
              <w:spacing w:after="0" w:line="240" w:lineRule="auto"/>
              <w:jc w:val="center"/>
              <w:rPr>
                <w:rFonts w:eastAsia="Times New Roman"/>
                <w:sz w:val="16"/>
                <w:szCs w:val="16"/>
                <w:lang w:eastAsia="ru-RU"/>
              </w:rPr>
            </w:pPr>
            <w:r w:rsidRPr="00513F1D">
              <w:rPr>
                <w:rFonts w:eastAsia="Times New Roman"/>
                <w:sz w:val="16"/>
                <w:szCs w:val="16"/>
                <w:lang w:eastAsia="ru-RU"/>
              </w:rPr>
              <w:t xml:space="preserve">профинансированы фактически </w:t>
            </w:r>
            <w:proofErr w:type="spellStart"/>
            <w:r w:rsidRPr="00513F1D">
              <w:rPr>
                <w:rFonts w:eastAsia="Times New Roman"/>
                <w:sz w:val="16"/>
                <w:szCs w:val="16"/>
                <w:lang w:eastAsia="ru-RU"/>
              </w:rPr>
              <w:t>выполненые</w:t>
            </w:r>
            <w:proofErr w:type="spellEnd"/>
            <w:r w:rsidRPr="00513F1D">
              <w:rPr>
                <w:rFonts w:eastAsia="Times New Roman"/>
                <w:sz w:val="16"/>
                <w:szCs w:val="16"/>
                <w:lang w:eastAsia="ru-RU"/>
              </w:rPr>
              <w:t xml:space="preserve"> работы хоз. способом</w:t>
            </w:r>
          </w:p>
        </w:tc>
      </w:tr>
      <w:tr w:rsidR="0065708A" w:rsidRPr="00513F1D" w14:paraId="6FF95AA5" w14:textId="77777777" w:rsidTr="00CB5AA8">
        <w:trPr>
          <w:trHeight w:val="20"/>
        </w:trPr>
        <w:tc>
          <w:tcPr>
            <w:tcW w:w="1257" w:type="pct"/>
            <w:shd w:val="clear" w:color="auto" w:fill="auto"/>
            <w:vAlign w:val="bottom"/>
            <w:hideMark/>
          </w:tcPr>
          <w:p w14:paraId="67DDD520" w14:textId="77777777" w:rsidR="0065708A" w:rsidRPr="00513F1D" w:rsidRDefault="0065708A" w:rsidP="009A4C46">
            <w:pPr>
              <w:spacing w:after="0" w:line="240" w:lineRule="auto"/>
              <w:rPr>
                <w:rFonts w:eastAsia="Times New Roman"/>
                <w:sz w:val="16"/>
                <w:szCs w:val="16"/>
                <w:lang w:eastAsia="ru-RU"/>
              </w:rPr>
            </w:pPr>
            <w:r w:rsidRPr="00513F1D">
              <w:rPr>
                <w:rFonts w:eastAsia="Times New Roman"/>
                <w:sz w:val="16"/>
                <w:szCs w:val="16"/>
                <w:lang w:eastAsia="ru-RU"/>
              </w:rPr>
              <w:t>Реконструкция ВЛ-0,4 с применением СИП г. Кызыл фидер 11/ТП 10/0,4 №8</w:t>
            </w:r>
          </w:p>
        </w:tc>
        <w:tc>
          <w:tcPr>
            <w:tcW w:w="556" w:type="pct"/>
            <w:shd w:val="clear" w:color="auto" w:fill="auto"/>
            <w:vAlign w:val="center"/>
          </w:tcPr>
          <w:p w14:paraId="44462509" w14:textId="77777777" w:rsidR="0065708A" w:rsidRPr="00513F1D" w:rsidRDefault="0065708A" w:rsidP="003E2802">
            <w:pPr>
              <w:spacing w:after="0" w:line="240" w:lineRule="auto"/>
              <w:jc w:val="center"/>
              <w:rPr>
                <w:rFonts w:eastAsia="Times New Roman"/>
                <w:sz w:val="16"/>
                <w:szCs w:val="16"/>
                <w:lang w:eastAsia="ru-RU"/>
              </w:rPr>
            </w:pPr>
          </w:p>
        </w:tc>
        <w:tc>
          <w:tcPr>
            <w:tcW w:w="477" w:type="pct"/>
            <w:shd w:val="clear" w:color="auto" w:fill="auto"/>
            <w:vAlign w:val="center"/>
            <w:hideMark/>
          </w:tcPr>
          <w:p w14:paraId="5207A023"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4,8</w:t>
            </w:r>
          </w:p>
        </w:tc>
        <w:tc>
          <w:tcPr>
            <w:tcW w:w="422" w:type="pct"/>
            <w:shd w:val="clear" w:color="auto" w:fill="auto"/>
            <w:noWrap/>
            <w:vAlign w:val="center"/>
          </w:tcPr>
          <w:p w14:paraId="09973EB4" w14:textId="77777777" w:rsidR="0065708A" w:rsidRPr="00513F1D" w:rsidRDefault="0065708A">
            <w:pPr>
              <w:spacing w:after="0" w:line="240" w:lineRule="auto"/>
              <w:jc w:val="center"/>
              <w:rPr>
                <w:rFonts w:eastAsia="Times New Roman"/>
                <w:sz w:val="16"/>
                <w:szCs w:val="16"/>
                <w:lang w:eastAsia="ru-RU"/>
              </w:rPr>
            </w:pPr>
          </w:p>
        </w:tc>
        <w:tc>
          <w:tcPr>
            <w:tcW w:w="371" w:type="pct"/>
            <w:shd w:val="clear" w:color="auto" w:fill="auto"/>
            <w:noWrap/>
            <w:vAlign w:val="center"/>
          </w:tcPr>
          <w:p w14:paraId="0A4D26A8" w14:textId="77777777" w:rsidR="0065708A" w:rsidRPr="00513F1D" w:rsidRDefault="0065708A">
            <w:pPr>
              <w:spacing w:after="0" w:line="240" w:lineRule="auto"/>
              <w:jc w:val="center"/>
              <w:rPr>
                <w:rFonts w:eastAsia="Times New Roman"/>
                <w:sz w:val="16"/>
                <w:szCs w:val="16"/>
                <w:lang w:eastAsia="ru-RU"/>
              </w:rPr>
            </w:pPr>
          </w:p>
        </w:tc>
        <w:tc>
          <w:tcPr>
            <w:tcW w:w="569" w:type="pct"/>
            <w:shd w:val="clear" w:color="auto" w:fill="auto"/>
            <w:noWrap/>
            <w:vAlign w:val="center"/>
            <w:hideMark/>
          </w:tcPr>
          <w:p w14:paraId="4CD0B566"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4,8</w:t>
            </w:r>
          </w:p>
        </w:tc>
        <w:tc>
          <w:tcPr>
            <w:tcW w:w="327" w:type="pct"/>
            <w:shd w:val="clear" w:color="auto" w:fill="auto"/>
            <w:noWrap/>
            <w:vAlign w:val="center"/>
            <w:hideMark/>
          </w:tcPr>
          <w:p w14:paraId="7DCBF6FF" w14:textId="77777777" w:rsidR="0065708A" w:rsidRPr="00513F1D" w:rsidRDefault="0065708A">
            <w:pPr>
              <w:spacing w:after="0" w:line="240" w:lineRule="auto"/>
              <w:jc w:val="center"/>
              <w:rPr>
                <w:rFonts w:eastAsia="Times New Roman"/>
                <w:sz w:val="16"/>
                <w:szCs w:val="16"/>
                <w:lang w:eastAsia="ru-RU"/>
              </w:rPr>
            </w:pPr>
          </w:p>
        </w:tc>
        <w:tc>
          <w:tcPr>
            <w:tcW w:w="363" w:type="pct"/>
            <w:shd w:val="clear" w:color="auto" w:fill="auto"/>
            <w:noWrap/>
            <w:vAlign w:val="center"/>
            <w:hideMark/>
          </w:tcPr>
          <w:p w14:paraId="14CF98E3" w14:textId="77777777" w:rsidR="0065708A" w:rsidRPr="00513F1D" w:rsidRDefault="0065708A">
            <w:pPr>
              <w:spacing w:after="0" w:line="240" w:lineRule="auto"/>
              <w:jc w:val="center"/>
              <w:rPr>
                <w:rFonts w:eastAsia="Times New Roman"/>
                <w:sz w:val="16"/>
                <w:szCs w:val="16"/>
                <w:lang w:eastAsia="ru-RU"/>
              </w:rPr>
            </w:pPr>
          </w:p>
        </w:tc>
        <w:tc>
          <w:tcPr>
            <w:tcW w:w="657" w:type="pct"/>
            <w:shd w:val="clear" w:color="auto" w:fill="auto"/>
            <w:vAlign w:val="center"/>
            <w:hideMark/>
          </w:tcPr>
          <w:p w14:paraId="7B2906DE" w14:textId="5AE874F3" w:rsidR="0065708A" w:rsidRPr="00513F1D" w:rsidRDefault="0065708A" w:rsidP="00F94FED">
            <w:pPr>
              <w:spacing w:after="0" w:line="240" w:lineRule="auto"/>
              <w:jc w:val="center"/>
              <w:rPr>
                <w:rFonts w:eastAsia="Times New Roman"/>
                <w:sz w:val="16"/>
                <w:szCs w:val="16"/>
                <w:lang w:eastAsia="ru-RU"/>
              </w:rPr>
            </w:pPr>
          </w:p>
        </w:tc>
      </w:tr>
      <w:tr w:rsidR="0065708A" w:rsidRPr="00513F1D" w14:paraId="3908D7BF" w14:textId="77777777" w:rsidTr="00CB5AA8">
        <w:trPr>
          <w:trHeight w:val="20"/>
        </w:trPr>
        <w:tc>
          <w:tcPr>
            <w:tcW w:w="1257" w:type="pct"/>
            <w:shd w:val="clear" w:color="auto" w:fill="auto"/>
            <w:vAlign w:val="bottom"/>
            <w:hideMark/>
          </w:tcPr>
          <w:p w14:paraId="3A49116E" w14:textId="77777777" w:rsidR="0065708A" w:rsidRPr="00513F1D" w:rsidRDefault="0065708A" w:rsidP="009A4C46">
            <w:pPr>
              <w:spacing w:after="0" w:line="240" w:lineRule="auto"/>
              <w:rPr>
                <w:rFonts w:eastAsia="Times New Roman"/>
                <w:sz w:val="16"/>
                <w:szCs w:val="16"/>
                <w:lang w:eastAsia="ru-RU"/>
              </w:rPr>
            </w:pPr>
            <w:r w:rsidRPr="00513F1D">
              <w:rPr>
                <w:rFonts w:eastAsia="Times New Roman"/>
                <w:sz w:val="16"/>
                <w:szCs w:val="16"/>
                <w:lang w:eastAsia="ru-RU"/>
              </w:rPr>
              <w:t>Реконструкция ВЛ-0,4 с применением СИП г. Кызыл фидер 27/ТП-17</w:t>
            </w:r>
          </w:p>
        </w:tc>
        <w:tc>
          <w:tcPr>
            <w:tcW w:w="556" w:type="pct"/>
            <w:shd w:val="clear" w:color="auto" w:fill="auto"/>
            <w:vAlign w:val="center"/>
          </w:tcPr>
          <w:p w14:paraId="202E783D" w14:textId="77777777" w:rsidR="0065708A" w:rsidRPr="00513F1D" w:rsidRDefault="0065708A" w:rsidP="003E2802">
            <w:pPr>
              <w:spacing w:after="0" w:line="240" w:lineRule="auto"/>
              <w:jc w:val="center"/>
              <w:rPr>
                <w:rFonts w:eastAsia="Times New Roman"/>
                <w:sz w:val="16"/>
                <w:szCs w:val="16"/>
                <w:lang w:eastAsia="ru-RU"/>
              </w:rPr>
            </w:pPr>
          </w:p>
        </w:tc>
        <w:tc>
          <w:tcPr>
            <w:tcW w:w="477" w:type="pct"/>
            <w:shd w:val="clear" w:color="auto" w:fill="auto"/>
            <w:vAlign w:val="center"/>
            <w:hideMark/>
          </w:tcPr>
          <w:p w14:paraId="31C77661"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5,3</w:t>
            </w:r>
          </w:p>
        </w:tc>
        <w:tc>
          <w:tcPr>
            <w:tcW w:w="422" w:type="pct"/>
            <w:shd w:val="clear" w:color="auto" w:fill="auto"/>
            <w:noWrap/>
            <w:vAlign w:val="center"/>
          </w:tcPr>
          <w:p w14:paraId="4C15463F" w14:textId="77777777" w:rsidR="0065708A" w:rsidRPr="00513F1D" w:rsidRDefault="0065708A">
            <w:pPr>
              <w:spacing w:after="0" w:line="240" w:lineRule="auto"/>
              <w:jc w:val="center"/>
              <w:rPr>
                <w:rFonts w:eastAsia="Times New Roman"/>
                <w:sz w:val="16"/>
                <w:szCs w:val="16"/>
                <w:lang w:eastAsia="ru-RU"/>
              </w:rPr>
            </w:pPr>
          </w:p>
        </w:tc>
        <w:tc>
          <w:tcPr>
            <w:tcW w:w="371" w:type="pct"/>
            <w:shd w:val="clear" w:color="auto" w:fill="auto"/>
            <w:noWrap/>
            <w:vAlign w:val="center"/>
          </w:tcPr>
          <w:p w14:paraId="6734C503" w14:textId="77777777" w:rsidR="0065708A" w:rsidRPr="00513F1D" w:rsidRDefault="0065708A">
            <w:pPr>
              <w:spacing w:after="0" w:line="240" w:lineRule="auto"/>
              <w:jc w:val="center"/>
              <w:rPr>
                <w:rFonts w:eastAsia="Times New Roman"/>
                <w:sz w:val="16"/>
                <w:szCs w:val="16"/>
                <w:lang w:eastAsia="ru-RU"/>
              </w:rPr>
            </w:pPr>
          </w:p>
        </w:tc>
        <w:tc>
          <w:tcPr>
            <w:tcW w:w="569" w:type="pct"/>
            <w:shd w:val="clear" w:color="auto" w:fill="auto"/>
            <w:noWrap/>
            <w:vAlign w:val="center"/>
            <w:hideMark/>
          </w:tcPr>
          <w:p w14:paraId="6E76F408"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5,3</w:t>
            </w:r>
          </w:p>
        </w:tc>
        <w:tc>
          <w:tcPr>
            <w:tcW w:w="327" w:type="pct"/>
            <w:shd w:val="clear" w:color="auto" w:fill="auto"/>
            <w:noWrap/>
            <w:vAlign w:val="center"/>
          </w:tcPr>
          <w:p w14:paraId="647CBEFB" w14:textId="77777777" w:rsidR="0065708A" w:rsidRPr="00513F1D" w:rsidRDefault="0065708A">
            <w:pPr>
              <w:spacing w:after="0" w:line="240" w:lineRule="auto"/>
              <w:jc w:val="center"/>
              <w:rPr>
                <w:rFonts w:eastAsia="Times New Roman"/>
                <w:sz w:val="16"/>
                <w:szCs w:val="16"/>
                <w:lang w:eastAsia="ru-RU"/>
              </w:rPr>
            </w:pPr>
          </w:p>
        </w:tc>
        <w:tc>
          <w:tcPr>
            <w:tcW w:w="363" w:type="pct"/>
            <w:shd w:val="clear" w:color="auto" w:fill="auto"/>
            <w:noWrap/>
            <w:vAlign w:val="center"/>
            <w:hideMark/>
          </w:tcPr>
          <w:p w14:paraId="20B78890" w14:textId="77777777" w:rsidR="0065708A" w:rsidRPr="00513F1D" w:rsidRDefault="0065708A">
            <w:pPr>
              <w:spacing w:after="0" w:line="240" w:lineRule="auto"/>
              <w:jc w:val="center"/>
              <w:rPr>
                <w:rFonts w:eastAsia="Times New Roman"/>
                <w:sz w:val="16"/>
                <w:szCs w:val="16"/>
                <w:lang w:eastAsia="ru-RU"/>
              </w:rPr>
            </w:pPr>
          </w:p>
        </w:tc>
        <w:tc>
          <w:tcPr>
            <w:tcW w:w="657" w:type="pct"/>
            <w:shd w:val="clear" w:color="auto" w:fill="auto"/>
            <w:vAlign w:val="center"/>
            <w:hideMark/>
          </w:tcPr>
          <w:p w14:paraId="3BFECCF0" w14:textId="22DB8245" w:rsidR="0065708A" w:rsidRPr="00513F1D" w:rsidRDefault="0065708A" w:rsidP="00F94FED">
            <w:pPr>
              <w:spacing w:after="0" w:line="240" w:lineRule="auto"/>
              <w:jc w:val="center"/>
              <w:rPr>
                <w:rFonts w:eastAsia="Times New Roman"/>
                <w:sz w:val="16"/>
                <w:szCs w:val="16"/>
                <w:lang w:eastAsia="ru-RU"/>
              </w:rPr>
            </w:pPr>
          </w:p>
        </w:tc>
      </w:tr>
      <w:tr w:rsidR="0065708A" w:rsidRPr="00513F1D" w14:paraId="66B1B469" w14:textId="77777777" w:rsidTr="00CB5AA8">
        <w:trPr>
          <w:trHeight w:val="20"/>
        </w:trPr>
        <w:tc>
          <w:tcPr>
            <w:tcW w:w="1257" w:type="pct"/>
            <w:shd w:val="clear" w:color="auto" w:fill="auto"/>
            <w:vAlign w:val="bottom"/>
            <w:hideMark/>
          </w:tcPr>
          <w:p w14:paraId="59F0596C" w14:textId="77777777" w:rsidR="0065708A" w:rsidRPr="00513F1D" w:rsidRDefault="0065708A" w:rsidP="009A4C46">
            <w:pPr>
              <w:spacing w:after="0" w:line="240" w:lineRule="auto"/>
              <w:rPr>
                <w:rFonts w:eastAsia="Times New Roman"/>
                <w:sz w:val="16"/>
                <w:szCs w:val="16"/>
                <w:lang w:eastAsia="ru-RU"/>
              </w:rPr>
            </w:pPr>
            <w:r w:rsidRPr="00513F1D">
              <w:rPr>
                <w:rFonts w:eastAsia="Times New Roman"/>
                <w:sz w:val="16"/>
                <w:szCs w:val="16"/>
                <w:lang w:eastAsia="ru-RU"/>
              </w:rPr>
              <w:t>Реконструкция ВЛ-0,4 с применением СИП г. Кызыл фидер 10-11/ТП-38</w:t>
            </w:r>
          </w:p>
        </w:tc>
        <w:tc>
          <w:tcPr>
            <w:tcW w:w="556" w:type="pct"/>
            <w:shd w:val="clear" w:color="auto" w:fill="auto"/>
            <w:vAlign w:val="center"/>
          </w:tcPr>
          <w:p w14:paraId="74A35B26" w14:textId="77777777" w:rsidR="0065708A" w:rsidRPr="00513F1D" w:rsidRDefault="0065708A" w:rsidP="003E2802">
            <w:pPr>
              <w:spacing w:after="0" w:line="240" w:lineRule="auto"/>
              <w:jc w:val="center"/>
              <w:rPr>
                <w:rFonts w:eastAsia="Times New Roman"/>
                <w:sz w:val="16"/>
                <w:szCs w:val="16"/>
                <w:lang w:eastAsia="ru-RU"/>
              </w:rPr>
            </w:pPr>
          </w:p>
        </w:tc>
        <w:tc>
          <w:tcPr>
            <w:tcW w:w="477" w:type="pct"/>
            <w:shd w:val="clear" w:color="auto" w:fill="auto"/>
            <w:vAlign w:val="center"/>
            <w:hideMark/>
          </w:tcPr>
          <w:p w14:paraId="39ECB59E"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6,2</w:t>
            </w:r>
          </w:p>
        </w:tc>
        <w:tc>
          <w:tcPr>
            <w:tcW w:w="422" w:type="pct"/>
            <w:shd w:val="clear" w:color="auto" w:fill="auto"/>
            <w:noWrap/>
            <w:vAlign w:val="center"/>
          </w:tcPr>
          <w:p w14:paraId="49004F21" w14:textId="77777777" w:rsidR="0065708A" w:rsidRPr="00513F1D" w:rsidRDefault="0065708A">
            <w:pPr>
              <w:spacing w:after="0" w:line="240" w:lineRule="auto"/>
              <w:jc w:val="center"/>
              <w:rPr>
                <w:rFonts w:eastAsia="Times New Roman"/>
                <w:sz w:val="16"/>
                <w:szCs w:val="16"/>
                <w:lang w:eastAsia="ru-RU"/>
              </w:rPr>
            </w:pPr>
          </w:p>
        </w:tc>
        <w:tc>
          <w:tcPr>
            <w:tcW w:w="371" w:type="pct"/>
            <w:shd w:val="clear" w:color="auto" w:fill="auto"/>
            <w:noWrap/>
            <w:vAlign w:val="center"/>
          </w:tcPr>
          <w:p w14:paraId="2BE891F0" w14:textId="77777777" w:rsidR="0065708A" w:rsidRPr="00513F1D" w:rsidRDefault="0065708A">
            <w:pPr>
              <w:spacing w:after="0" w:line="240" w:lineRule="auto"/>
              <w:jc w:val="center"/>
              <w:rPr>
                <w:rFonts w:eastAsia="Times New Roman"/>
                <w:sz w:val="16"/>
                <w:szCs w:val="16"/>
                <w:lang w:eastAsia="ru-RU"/>
              </w:rPr>
            </w:pPr>
          </w:p>
        </w:tc>
        <w:tc>
          <w:tcPr>
            <w:tcW w:w="569" w:type="pct"/>
            <w:shd w:val="clear" w:color="auto" w:fill="auto"/>
            <w:noWrap/>
            <w:vAlign w:val="center"/>
            <w:hideMark/>
          </w:tcPr>
          <w:p w14:paraId="14335BB6"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6,2</w:t>
            </w:r>
          </w:p>
        </w:tc>
        <w:tc>
          <w:tcPr>
            <w:tcW w:w="327" w:type="pct"/>
            <w:shd w:val="clear" w:color="auto" w:fill="auto"/>
            <w:noWrap/>
            <w:vAlign w:val="center"/>
          </w:tcPr>
          <w:p w14:paraId="11521F73" w14:textId="77777777" w:rsidR="0065708A" w:rsidRPr="00513F1D" w:rsidRDefault="0065708A">
            <w:pPr>
              <w:spacing w:after="0" w:line="240" w:lineRule="auto"/>
              <w:jc w:val="center"/>
              <w:rPr>
                <w:rFonts w:eastAsia="Times New Roman"/>
                <w:sz w:val="16"/>
                <w:szCs w:val="16"/>
                <w:lang w:eastAsia="ru-RU"/>
              </w:rPr>
            </w:pPr>
          </w:p>
        </w:tc>
        <w:tc>
          <w:tcPr>
            <w:tcW w:w="363" w:type="pct"/>
            <w:shd w:val="clear" w:color="auto" w:fill="auto"/>
            <w:noWrap/>
            <w:vAlign w:val="center"/>
            <w:hideMark/>
          </w:tcPr>
          <w:p w14:paraId="168D3973" w14:textId="77777777" w:rsidR="0065708A" w:rsidRPr="00513F1D" w:rsidRDefault="0065708A">
            <w:pPr>
              <w:spacing w:after="0" w:line="240" w:lineRule="auto"/>
              <w:jc w:val="center"/>
              <w:rPr>
                <w:rFonts w:eastAsia="Times New Roman"/>
                <w:sz w:val="16"/>
                <w:szCs w:val="16"/>
                <w:lang w:eastAsia="ru-RU"/>
              </w:rPr>
            </w:pPr>
          </w:p>
        </w:tc>
        <w:tc>
          <w:tcPr>
            <w:tcW w:w="657" w:type="pct"/>
            <w:shd w:val="clear" w:color="auto" w:fill="auto"/>
            <w:vAlign w:val="center"/>
            <w:hideMark/>
          </w:tcPr>
          <w:p w14:paraId="42E1ACDF" w14:textId="5A216270" w:rsidR="0065708A" w:rsidRPr="00513F1D" w:rsidRDefault="0065708A" w:rsidP="00F94FED">
            <w:pPr>
              <w:spacing w:after="0" w:line="240" w:lineRule="auto"/>
              <w:jc w:val="center"/>
              <w:rPr>
                <w:rFonts w:eastAsia="Times New Roman"/>
                <w:sz w:val="16"/>
                <w:szCs w:val="16"/>
                <w:lang w:eastAsia="ru-RU"/>
              </w:rPr>
            </w:pPr>
          </w:p>
        </w:tc>
      </w:tr>
      <w:tr w:rsidR="0065708A" w:rsidRPr="00513F1D" w14:paraId="2EF6DD91" w14:textId="77777777" w:rsidTr="00CB5AA8">
        <w:trPr>
          <w:trHeight w:val="20"/>
        </w:trPr>
        <w:tc>
          <w:tcPr>
            <w:tcW w:w="1257" w:type="pct"/>
            <w:shd w:val="clear" w:color="auto" w:fill="auto"/>
            <w:vAlign w:val="bottom"/>
            <w:hideMark/>
          </w:tcPr>
          <w:p w14:paraId="55C34030" w14:textId="77777777" w:rsidR="0065708A" w:rsidRPr="00513F1D" w:rsidRDefault="0065708A" w:rsidP="009A4C46">
            <w:pPr>
              <w:spacing w:after="0" w:line="240" w:lineRule="auto"/>
              <w:rPr>
                <w:rFonts w:eastAsia="Times New Roman"/>
                <w:sz w:val="16"/>
                <w:szCs w:val="16"/>
                <w:lang w:eastAsia="ru-RU"/>
              </w:rPr>
            </w:pPr>
            <w:r w:rsidRPr="00513F1D">
              <w:rPr>
                <w:rFonts w:eastAsia="Times New Roman"/>
                <w:sz w:val="16"/>
                <w:szCs w:val="16"/>
                <w:lang w:eastAsia="ru-RU"/>
              </w:rPr>
              <w:t>Реконструкция ВЛ-0,4 с применением СИП г. Кызыл фидер 13/ТП-52</w:t>
            </w:r>
          </w:p>
        </w:tc>
        <w:tc>
          <w:tcPr>
            <w:tcW w:w="556" w:type="pct"/>
            <w:shd w:val="clear" w:color="auto" w:fill="auto"/>
            <w:vAlign w:val="center"/>
          </w:tcPr>
          <w:p w14:paraId="3E824E33" w14:textId="77777777" w:rsidR="0065708A" w:rsidRPr="00513F1D" w:rsidRDefault="0065708A" w:rsidP="003E2802">
            <w:pPr>
              <w:spacing w:after="0" w:line="240" w:lineRule="auto"/>
              <w:jc w:val="center"/>
              <w:rPr>
                <w:rFonts w:eastAsia="Times New Roman"/>
                <w:sz w:val="16"/>
                <w:szCs w:val="16"/>
                <w:lang w:eastAsia="ru-RU"/>
              </w:rPr>
            </w:pPr>
          </w:p>
        </w:tc>
        <w:tc>
          <w:tcPr>
            <w:tcW w:w="477" w:type="pct"/>
            <w:shd w:val="clear" w:color="auto" w:fill="auto"/>
            <w:vAlign w:val="center"/>
            <w:hideMark/>
          </w:tcPr>
          <w:p w14:paraId="27FECF6C"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5,2</w:t>
            </w:r>
          </w:p>
        </w:tc>
        <w:tc>
          <w:tcPr>
            <w:tcW w:w="422" w:type="pct"/>
            <w:shd w:val="clear" w:color="auto" w:fill="auto"/>
            <w:noWrap/>
            <w:vAlign w:val="center"/>
          </w:tcPr>
          <w:p w14:paraId="7568345A" w14:textId="77777777" w:rsidR="0065708A" w:rsidRPr="00513F1D" w:rsidRDefault="0065708A">
            <w:pPr>
              <w:spacing w:after="0" w:line="240" w:lineRule="auto"/>
              <w:jc w:val="center"/>
              <w:rPr>
                <w:rFonts w:eastAsia="Times New Roman"/>
                <w:sz w:val="16"/>
                <w:szCs w:val="16"/>
                <w:lang w:eastAsia="ru-RU"/>
              </w:rPr>
            </w:pPr>
          </w:p>
        </w:tc>
        <w:tc>
          <w:tcPr>
            <w:tcW w:w="371" w:type="pct"/>
            <w:shd w:val="clear" w:color="auto" w:fill="auto"/>
            <w:noWrap/>
            <w:vAlign w:val="center"/>
          </w:tcPr>
          <w:p w14:paraId="39AD63E5" w14:textId="77777777" w:rsidR="0065708A" w:rsidRPr="00513F1D" w:rsidRDefault="0065708A">
            <w:pPr>
              <w:spacing w:after="0" w:line="240" w:lineRule="auto"/>
              <w:jc w:val="center"/>
              <w:rPr>
                <w:rFonts w:eastAsia="Times New Roman"/>
                <w:sz w:val="16"/>
                <w:szCs w:val="16"/>
                <w:lang w:eastAsia="ru-RU"/>
              </w:rPr>
            </w:pPr>
          </w:p>
        </w:tc>
        <w:tc>
          <w:tcPr>
            <w:tcW w:w="569" w:type="pct"/>
            <w:shd w:val="clear" w:color="auto" w:fill="auto"/>
            <w:noWrap/>
            <w:vAlign w:val="center"/>
            <w:hideMark/>
          </w:tcPr>
          <w:p w14:paraId="4BDE2421"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5,2</w:t>
            </w:r>
          </w:p>
        </w:tc>
        <w:tc>
          <w:tcPr>
            <w:tcW w:w="327" w:type="pct"/>
            <w:shd w:val="clear" w:color="auto" w:fill="auto"/>
            <w:noWrap/>
            <w:vAlign w:val="center"/>
          </w:tcPr>
          <w:p w14:paraId="241CDAF6" w14:textId="77777777" w:rsidR="0065708A" w:rsidRPr="00513F1D" w:rsidRDefault="0065708A">
            <w:pPr>
              <w:spacing w:after="0" w:line="240" w:lineRule="auto"/>
              <w:jc w:val="center"/>
              <w:rPr>
                <w:rFonts w:eastAsia="Times New Roman"/>
                <w:sz w:val="16"/>
                <w:szCs w:val="16"/>
                <w:lang w:eastAsia="ru-RU"/>
              </w:rPr>
            </w:pPr>
          </w:p>
        </w:tc>
        <w:tc>
          <w:tcPr>
            <w:tcW w:w="363" w:type="pct"/>
            <w:shd w:val="clear" w:color="auto" w:fill="auto"/>
            <w:noWrap/>
            <w:vAlign w:val="center"/>
            <w:hideMark/>
          </w:tcPr>
          <w:p w14:paraId="0208C219" w14:textId="77777777" w:rsidR="0065708A" w:rsidRPr="00513F1D" w:rsidRDefault="0065708A">
            <w:pPr>
              <w:spacing w:after="0" w:line="240" w:lineRule="auto"/>
              <w:jc w:val="center"/>
              <w:rPr>
                <w:rFonts w:eastAsia="Times New Roman"/>
                <w:sz w:val="16"/>
                <w:szCs w:val="16"/>
                <w:lang w:eastAsia="ru-RU"/>
              </w:rPr>
            </w:pPr>
          </w:p>
        </w:tc>
        <w:tc>
          <w:tcPr>
            <w:tcW w:w="657" w:type="pct"/>
            <w:shd w:val="clear" w:color="auto" w:fill="auto"/>
            <w:vAlign w:val="center"/>
            <w:hideMark/>
          </w:tcPr>
          <w:p w14:paraId="250AEB70" w14:textId="4DCA4691" w:rsidR="0065708A" w:rsidRPr="00513F1D" w:rsidRDefault="0065708A" w:rsidP="00F94FED">
            <w:pPr>
              <w:spacing w:after="0" w:line="240" w:lineRule="auto"/>
              <w:jc w:val="center"/>
              <w:rPr>
                <w:rFonts w:eastAsia="Times New Roman"/>
                <w:sz w:val="16"/>
                <w:szCs w:val="16"/>
                <w:lang w:eastAsia="ru-RU"/>
              </w:rPr>
            </w:pPr>
          </w:p>
        </w:tc>
      </w:tr>
      <w:tr w:rsidR="0065708A" w:rsidRPr="00513F1D" w14:paraId="339A285E" w14:textId="77777777" w:rsidTr="00CB5AA8">
        <w:trPr>
          <w:trHeight w:val="20"/>
        </w:trPr>
        <w:tc>
          <w:tcPr>
            <w:tcW w:w="1257" w:type="pct"/>
            <w:shd w:val="clear" w:color="auto" w:fill="auto"/>
            <w:vAlign w:val="bottom"/>
            <w:hideMark/>
          </w:tcPr>
          <w:p w14:paraId="180A57A7" w14:textId="77777777" w:rsidR="0065708A" w:rsidRPr="00513F1D" w:rsidRDefault="0065708A" w:rsidP="009A4C46">
            <w:pPr>
              <w:spacing w:after="0" w:line="240" w:lineRule="auto"/>
              <w:rPr>
                <w:rFonts w:eastAsia="Times New Roman"/>
                <w:sz w:val="16"/>
                <w:szCs w:val="16"/>
                <w:lang w:eastAsia="ru-RU"/>
              </w:rPr>
            </w:pPr>
            <w:r w:rsidRPr="00513F1D">
              <w:rPr>
                <w:rFonts w:eastAsia="Times New Roman"/>
                <w:sz w:val="16"/>
                <w:szCs w:val="16"/>
                <w:lang w:eastAsia="ru-RU"/>
              </w:rPr>
              <w:t>Реконструкция ВЛ-0,4 с применением СИП г. Кызыл фидер 10-04/ТП-102</w:t>
            </w:r>
          </w:p>
        </w:tc>
        <w:tc>
          <w:tcPr>
            <w:tcW w:w="556" w:type="pct"/>
            <w:shd w:val="clear" w:color="auto" w:fill="auto"/>
            <w:vAlign w:val="center"/>
          </w:tcPr>
          <w:p w14:paraId="5FD15657" w14:textId="77777777" w:rsidR="0065708A" w:rsidRPr="00513F1D" w:rsidRDefault="0065708A" w:rsidP="003E2802">
            <w:pPr>
              <w:spacing w:after="0" w:line="240" w:lineRule="auto"/>
              <w:jc w:val="center"/>
              <w:rPr>
                <w:rFonts w:eastAsia="Times New Roman"/>
                <w:sz w:val="16"/>
                <w:szCs w:val="16"/>
                <w:lang w:eastAsia="ru-RU"/>
              </w:rPr>
            </w:pPr>
          </w:p>
        </w:tc>
        <w:tc>
          <w:tcPr>
            <w:tcW w:w="477" w:type="pct"/>
            <w:shd w:val="clear" w:color="auto" w:fill="auto"/>
            <w:vAlign w:val="center"/>
            <w:hideMark/>
          </w:tcPr>
          <w:p w14:paraId="7CEA3C0A"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5,6</w:t>
            </w:r>
          </w:p>
        </w:tc>
        <w:tc>
          <w:tcPr>
            <w:tcW w:w="422" w:type="pct"/>
            <w:shd w:val="clear" w:color="auto" w:fill="auto"/>
            <w:noWrap/>
            <w:vAlign w:val="center"/>
          </w:tcPr>
          <w:p w14:paraId="410E562D" w14:textId="77777777" w:rsidR="0065708A" w:rsidRPr="00513F1D" w:rsidRDefault="0065708A">
            <w:pPr>
              <w:spacing w:after="0" w:line="240" w:lineRule="auto"/>
              <w:jc w:val="center"/>
              <w:rPr>
                <w:rFonts w:eastAsia="Times New Roman"/>
                <w:sz w:val="16"/>
                <w:szCs w:val="16"/>
                <w:lang w:eastAsia="ru-RU"/>
              </w:rPr>
            </w:pPr>
          </w:p>
        </w:tc>
        <w:tc>
          <w:tcPr>
            <w:tcW w:w="371" w:type="pct"/>
            <w:shd w:val="clear" w:color="auto" w:fill="auto"/>
            <w:noWrap/>
            <w:vAlign w:val="center"/>
          </w:tcPr>
          <w:p w14:paraId="5E0CD0A4" w14:textId="77777777" w:rsidR="0065708A" w:rsidRPr="00513F1D" w:rsidRDefault="0065708A">
            <w:pPr>
              <w:spacing w:after="0" w:line="240" w:lineRule="auto"/>
              <w:jc w:val="center"/>
              <w:rPr>
                <w:rFonts w:eastAsia="Times New Roman"/>
                <w:sz w:val="16"/>
                <w:szCs w:val="16"/>
                <w:lang w:eastAsia="ru-RU"/>
              </w:rPr>
            </w:pPr>
          </w:p>
        </w:tc>
        <w:tc>
          <w:tcPr>
            <w:tcW w:w="569" w:type="pct"/>
            <w:shd w:val="clear" w:color="auto" w:fill="auto"/>
            <w:noWrap/>
            <w:vAlign w:val="center"/>
            <w:hideMark/>
          </w:tcPr>
          <w:p w14:paraId="2CAD0AAE"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5,6</w:t>
            </w:r>
          </w:p>
        </w:tc>
        <w:tc>
          <w:tcPr>
            <w:tcW w:w="327" w:type="pct"/>
            <w:shd w:val="clear" w:color="auto" w:fill="auto"/>
            <w:noWrap/>
            <w:vAlign w:val="center"/>
          </w:tcPr>
          <w:p w14:paraId="057F8CA8" w14:textId="77777777" w:rsidR="0065708A" w:rsidRPr="00513F1D" w:rsidRDefault="0065708A">
            <w:pPr>
              <w:spacing w:after="0" w:line="240" w:lineRule="auto"/>
              <w:jc w:val="center"/>
              <w:rPr>
                <w:rFonts w:eastAsia="Times New Roman"/>
                <w:sz w:val="16"/>
                <w:szCs w:val="16"/>
                <w:lang w:eastAsia="ru-RU"/>
              </w:rPr>
            </w:pPr>
          </w:p>
        </w:tc>
        <w:tc>
          <w:tcPr>
            <w:tcW w:w="363" w:type="pct"/>
            <w:shd w:val="clear" w:color="auto" w:fill="auto"/>
            <w:noWrap/>
            <w:vAlign w:val="center"/>
            <w:hideMark/>
          </w:tcPr>
          <w:p w14:paraId="0943BB89" w14:textId="77777777" w:rsidR="0065708A" w:rsidRPr="00513F1D" w:rsidRDefault="0065708A">
            <w:pPr>
              <w:spacing w:after="0" w:line="240" w:lineRule="auto"/>
              <w:jc w:val="center"/>
              <w:rPr>
                <w:rFonts w:eastAsia="Times New Roman"/>
                <w:sz w:val="16"/>
                <w:szCs w:val="16"/>
                <w:lang w:eastAsia="ru-RU"/>
              </w:rPr>
            </w:pPr>
          </w:p>
        </w:tc>
        <w:tc>
          <w:tcPr>
            <w:tcW w:w="657" w:type="pct"/>
            <w:shd w:val="clear" w:color="auto" w:fill="auto"/>
            <w:vAlign w:val="center"/>
            <w:hideMark/>
          </w:tcPr>
          <w:p w14:paraId="067E3A95" w14:textId="64020762" w:rsidR="0065708A" w:rsidRPr="00513F1D" w:rsidRDefault="0065708A" w:rsidP="00F94FED">
            <w:pPr>
              <w:spacing w:after="0" w:line="240" w:lineRule="auto"/>
              <w:jc w:val="center"/>
              <w:rPr>
                <w:rFonts w:eastAsia="Times New Roman"/>
                <w:sz w:val="16"/>
                <w:szCs w:val="16"/>
                <w:lang w:eastAsia="ru-RU"/>
              </w:rPr>
            </w:pPr>
          </w:p>
        </w:tc>
      </w:tr>
      <w:tr w:rsidR="0065708A" w:rsidRPr="00513F1D" w14:paraId="4CA07B75" w14:textId="77777777" w:rsidTr="00CB5AA8">
        <w:trPr>
          <w:trHeight w:val="20"/>
        </w:trPr>
        <w:tc>
          <w:tcPr>
            <w:tcW w:w="1257" w:type="pct"/>
            <w:shd w:val="clear" w:color="auto" w:fill="auto"/>
            <w:vAlign w:val="bottom"/>
            <w:hideMark/>
          </w:tcPr>
          <w:p w14:paraId="1C8E9309" w14:textId="77777777" w:rsidR="0065708A" w:rsidRPr="00513F1D" w:rsidRDefault="0065708A" w:rsidP="009A4C46">
            <w:pPr>
              <w:spacing w:after="0" w:line="240" w:lineRule="auto"/>
              <w:rPr>
                <w:rFonts w:eastAsia="Times New Roman"/>
                <w:sz w:val="16"/>
                <w:szCs w:val="16"/>
                <w:lang w:eastAsia="ru-RU"/>
              </w:rPr>
            </w:pPr>
            <w:r w:rsidRPr="00513F1D">
              <w:rPr>
                <w:rFonts w:eastAsia="Times New Roman"/>
                <w:sz w:val="16"/>
                <w:szCs w:val="16"/>
                <w:lang w:eastAsia="ru-RU"/>
              </w:rPr>
              <w:t>Реконструкция ВЛ-0,4 с применением СИП г. Кызыл  фидер 13/ТП- №10</w:t>
            </w:r>
          </w:p>
        </w:tc>
        <w:tc>
          <w:tcPr>
            <w:tcW w:w="556" w:type="pct"/>
            <w:shd w:val="clear" w:color="auto" w:fill="auto"/>
            <w:vAlign w:val="center"/>
          </w:tcPr>
          <w:p w14:paraId="24AB8B93" w14:textId="77777777" w:rsidR="0065708A" w:rsidRPr="00513F1D" w:rsidRDefault="0065708A" w:rsidP="003E2802">
            <w:pPr>
              <w:spacing w:after="0" w:line="240" w:lineRule="auto"/>
              <w:jc w:val="center"/>
              <w:rPr>
                <w:rFonts w:eastAsia="Times New Roman"/>
                <w:sz w:val="16"/>
                <w:szCs w:val="16"/>
                <w:lang w:eastAsia="ru-RU"/>
              </w:rPr>
            </w:pPr>
          </w:p>
        </w:tc>
        <w:tc>
          <w:tcPr>
            <w:tcW w:w="477" w:type="pct"/>
            <w:shd w:val="clear" w:color="auto" w:fill="auto"/>
            <w:vAlign w:val="center"/>
            <w:hideMark/>
          </w:tcPr>
          <w:p w14:paraId="64164EEE"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3,2</w:t>
            </w:r>
          </w:p>
        </w:tc>
        <w:tc>
          <w:tcPr>
            <w:tcW w:w="422" w:type="pct"/>
            <w:shd w:val="clear" w:color="auto" w:fill="auto"/>
            <w:noWrap/>
            <w:vAlign w:val="center"/>
          </w:tcPr>
          <w:p w14:paraId="46DEFA12" w14:textId="77777777" w:rsidR="0065708A" w:rsidRPr="00513F1D" w:rsidRDefault="0065708A">
            <w:pPr>
              <w:spacing w:after="0" w:line="240" w:lineRule="auto"/>
              <w:jc w:val="center"/>
              <w:rPr>
                <w:rFonts w:eastAsia="Times New Roman"/>
                <w:sz w:val="16"/>
                <w:szCs w:val="16"/>
                <w:lang w:eastAsia="ru-RU"/>
              </w:rPr>
            </w:pPr>
          </w:p>
        </w:tc>
        <w:tc>
          <w:tcPr>
            <w:tcW w:w="371" w:type="pct"/>
            <w:shd w:val="clear" w:color="auto" w:fill="auto"/>
            <w:noWrap/>
            <w:vAlign w:val="center"/>
          </w:tcPr>
          <w:p w14:paraId="732C56CF" w14:textId="77777777" w:rsidR="0065708A" w:rsidRPr="00513F1D" w:rsidRDefault="0065708A">
            <w:pPr>
              <w:spacing w:after="0" w:line="240" w:lineRule="auto"/>
              <w:jc w:val="center"/>
              <w:rPr>
                <w:rFonts w:eastAsia="Times New Roman"/>
                <w:sz w:val="16"/>
                <w:szCs w:val="16"/>
                <w:lang w:eastAsia="ru-RU"/>
              </w:rPr>
            </w:pPr>
          </w:p>
        </w:tc>
        <w:tc>
          <w:tcPr>
            <w:tcW w:w="569" w:type="pct"/>
            <w:shd w:val="clear" w:color="auto" w:fill="auto"/>
            <w:noWrap/>
            <w:vAlign w:val="center"/>
            <w:hideMark/>
          </w:tcPr>
          <w:p w14:paraId="070B2DFA"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3,2</w:t>
            </w:r>
          </w:p>
        </w:tc>
        <w:tc>
          <w:tcPr>
            <w:tcW w:w="327" w:type="pct"/>
            <w:shd w:val="clear" w:color="auto" w:fill="auto"/>
            <w:noWrap/>
            <w:vAlign w:val="center"/>
          </w:tcPr>
          <w:p w14:paraId="52EF7D27" w14:textId="77777777" w:rsidR="0065708A" w:rsidRPr="00513F1D" w:rsidRDefault="0065708A">
            <w:pPr>
              <w:spacing w:after="0" w:line="240" w:lineRule="auto"/>
              <w:jc w:val="center"/>
              <w:rPr>
                <w:rFonts w:eastAsia="Times New Roman"/>
                <w:sz w:val="16"/>
                <w:szCs w:val="16"/>
                <w:lang w:eastAsia="ru-RU"/>
              </w:rPr>
            </w:pPr>
          </w:p>
        </w:tc>
        <w:tc>
          <w:tcPr>
            <w:tcW w:w="363" w:type="pct"/>
            <w:shd w:val="clear" w:color="auto" w:fill="auto"/>
            <w:noWrap/>
            <w:vAlign w:val="center"/>
            <w:hideMark/>
          </w:tcPr>
          <w:p w14:paraId="48A116E3" w14:textId="77777777" w:rsidR="0065708A" w:rsidRPr="00513F1D" w:rsidRDefault="0065708A">
            <w:pPr>
              <w:spacing w:after="0" w:line="240" w:lineRule="auto"/>
              <w:jc w:val="center"/>
              <w:rPr>
                <w:rFonts w:eastAsia="Times New Roman"/>
                <w:sz w:val="16"/>
                <w:szCs w:val="16"/>
                <w:lang w:eastAsia="ru-RU"/>
              </w:rPr>
            </w:pPr>
          </w:p>
        </w:tc>
        <w:tc>
          <w:tcPr>
            <w:tcW w:w="657" w:type="pct"/>
            <w:shd w:val="clear" w:color="auto" w:fill="auto"/>
            <w:vAlign w:val="center"/>
            <w:hideMark/>
          </w:tcPr>
          <w:p w14:paraId="66F7D482" w14:textId="3CE22B38" w:rsidR="0065708A" w:rsidRPr="00513F1D" w:rsidRDefault="0065708A" w:rsidP="00F94FED">
            <w:pPr>
              <w:spacing w:after="0" w:line="240" w:lineRule="auto"/>
              <w:jc w:val="center"/>
              <w:rPr>
                <w:rFonts w:eastAsia="Times New Roman"/>
                <w:sz w:val="16"/>
                <w:szCs w:val="16"/>
                <w:lang w:eastAsia="ru-RU"/>
              </w:rPr>
            </w:pPr>
          </w:p>
        </w:tc>
      </w:tr>
      <w:tr w:rsidR="0065708A" w:rsidRPr="00513F1D" w14:paraId="1A5B2C88" w14:textId="77777777" w:rsidTr="00CB5AA8">
        <w:trPr>
          <w:trHeight w:val="20"/>
        </w:trPr>
        <w:tc>
          <w:tcPr>
            <w:tcW w:w="1257" w:type="pct"/>
            <w:shd w:val="clear" w:color="auto" w:fill="auto"/>
            <w:vAlign w:val="bottom"/>
            <w:hideMark/>
          </w:tcPr>
          <w:p w14:paraId="626AE409" w14:textId="77777777" w:rsidR="0065708A" w:rsidRPr="00513F1D" w:rsidRDefault="0065708A" w:rsidP="009A4C46">
            <w:pPr>
              <w:spacing w:after="0" w:line="240" w:lineRule="auto"/>
              <w:rPr>
                <w:rFonts w:eastAsia="Times New Roman"/>
                <w:sz w:val="16"/>
                <w:szCs w:val="16"/>
                <w:lang w:eastAsia="ru-RU"/>
              </w:rPr>
            </w:pPr>
            <w:r w:rsidRPr="00513F1D">
              <w:rPr>
                <w:rFonts w:eastAsia="Times New Roman"/>
                <w:sz w:val="16"/>
                <w:szCs w:val="16"/>
                <w:lang w:eastAsia="ru-RU"/>
              </w:rPr>
              <w:t>Реконструкция ВЛ-0,4 с применением СИП г. Кызыл фидер 12/ТП- №2</w:t>
            </w:r>
          </w:p>
        </w:tc>
        <w:tc>
          <w:tcPr>
            <w:tcW w:w="556" w:type="pct"/>
            <w:shd w:val="clear" w:color="auto" w:fill="auto"/>
            <w:vAlign w:val="center"/>
          </w:tcPr>
          <w:p w14:paraId="39BB0E01" w14:textId="77777777" w:rsidR="0065708A" w:rsidRPr="00513F1D" w:rsidRDefault="0065708A" w:rsidP="003E2802">
            <w:pPr>
              <w:spacing w:after="0" w:line="240" w:lineRule="auto"/>
              <w:jc w:val="center"/>
              <w:rPr>
                <w:rFonts w:eastAsia="Times New Roman"/>
                <w:sz w:val="16"/>
                <w:szCs w:val="16"/>
                <w:lang w:eastAsia="ru-RU"/>
              </w:rPr>
            </w:pPr>
          </w:p>
        </w:tc>
        <w:tc>
          <w:tcPr>
            <w:tcW w:w="477" w:type="pct"/>
            <w:shd w:val="clear" w:color="auto" w:fill="auto"/>
            <w:vAlign w:val="center"/>
            <w:hideMark/>
          </w:tcPr>
          <w:p w14:paraId="581502F2"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1,5</w:t>
            </w:r>
          </w:p>
        </w:tc>
        <w:tc>
          <w:tcPr>
            <w:tcW w:w="422" w:type="pct"/>
            <w:shd w:val="clear" w:color="auto" w:fill="auto"/>
            <w:noWrap/>
            <w:vAlign w:val="center"/>
          </w:tcPr>
          <w:p w14:paraId="391EDBCD" w14:textId="77777777" w:rsidR="0065708A" w:rsidRPr="00513F1D" w:rsidRDefault="0065708A">
            <w:pPr>
              <w:spacing w:after="0" w:line="240" w:lineRule="auto"/>
              <w:jc w:val="center"/>
              <w:rPr>
                <w:rFonts w:eastAsia="Times New Roman"/>
                <w:sz w:val="16"/>
                <w:szCs w:val="16"/>
                <w:lang w:eastAsia="ru-RU"/>
              </w:rPr>
            </w:pPr>
          </w:p>
        </w:tc>
        <w:tc>
          <w:tcPr>
            <w:tcW w:w="371" w:type="pct"/>
            <w:shd w:val="clear" w:color="auto" w:fill="auto"/>
            <w:noWrap/>
            <w:vAlign w:val="center"/>
          </w:tcPr>
          <w:p w14:paraId="6FE311CD" w14:textId="77777777" w:rsidR="0065708A" w:rsidRPr="00513F1D" w:rsidRDefault="0065708A">
            <w:pPr>
              <w:spacing w:after="0" w:line="240" w:lineRule="auto"/>
              <w:jc w:val="center"/>
              <w:rPr>
                <w:rFonts w:eastAsia="Times New Roman"/>
                <w:sz w:val="16"/>
                <w:szCs w:val="16"/>
                <w:lang w:eastAsia="ru-RU"/>
              </w:rPr>
            </w:pPr>
          </w:p>
        </w:tc>
        <w:tc>
          <w:tcPr>
            <w:tcW w:w="569" w:type="pct"/>
            <w:shd w:val="clear" w:color="auto" w:fill="auto"/>
            <w:noWrap/>
            <w:vAlign w:val="center"/>
            <w:hideMark/>
          </w:tcPr>
          <w:p w14:paraId="752EC680"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1,5</w:t>
            </w:r>
          </w:p>
        </w:tc>
        <w:tc>
          <w:tcPr>
            <w:tcW w:w="327" w:type="pct"/>
            <w:shd w:val="clear" w:color="auto" w:fill="auto"/>
            <w:noWrap/>
            <w:vAlign w:val="center"/>
          </w:tcPr>
          <w:p w14:paraId="1E822565" w14:textId="77777777" w:rsidR="0065708A" w:rsidRPr="00513F1D" w:rsidRDefault="0065708A">
            <w:pPr>
              <w:spacing w:after="0" w:line="240" w:lineRule="auto"/>
              <w:jc w:val="center"/>
              <w:rPr>
                <w:rFonts w:eastAsia="Times New Roman"/>
                <w:sz w:val="16"/>
                <w:szCs w:val="16"/>
                <w:lang w:eastAsia="ru-RU"/>
              </w:rPr>
            </w:pPr>
          </w:p>
        </w:tc>
        <w:tc>
          <w:tcPr>
            <w:tcW w:w="363" w:type="pct"/>
            <w:shd w:val="clear" w:color="auto" w:fill="auto"/>
            <w:noWrap/>
            <w:vAlign w:val="center"/>
            <w:hideMark/>
          </w:tcPr>
          <w:p w14:paraId="01E16824" w14:textId="77777777" w:rsidR="0065708A" w:rsidRPr="00513F1D" w:rsidRDefault="0065708A">
            <w:pPr>
              <w:spacing w:after="0" w:line="240" w:lineRule="auto"/>
              <w:jc w:val="center"/>
              <w:rPr>
                <w:rFonts w:eastAsia="Times New Roman"/>
                <w:sz w:val="16"/>
                <w:szCs w:val="16"/>
                <w:lang w:eastAsia="ru-RU"/>
              </w:rPr>
            </w:pPr>
          </w:p>
        </w:tc>
        <w:tc>
          <w:tcPr>
            <w:tcW w:w="657" w:type="pct"/>
            <w:shd w:val="clear" w:color="auto" w:fill="auto"/>
            <w:vAlign w:val="center"/>
            <w:hideMark/>
          </w:tcPr>
          <w:p w14:paraId="3F64D564" w14:textId="4BA0DD68" w:rsidR="0065708A" w:rsidRPr="00513F1D" w:rsidRDefault="0065708A" w:rsidP="00F94FED">
            <w:pPr>
              <w:spacing w:after="0" w:line="240" w:lineRule="auto"/>
              <w:jc w:val="center"/>
              <w:rPr>
                <w:rFonts w:eastAsia="Times New Roman"/>
                <w:sz w:val="16"/>
                <w:szCs w:val="16"/>
                <w:lang w:eastAsia="ru-RU"/>
              </w:rPr>
            </w:pPr>
          </w:p>
        </w:tc>
      </w:tr>
      <w:tr w:rsidR="0065708A" w:rsidRPr="00513F1D" w14:paraId="6B241E22" w14:textId="77777777" w:rsidTr="00CB5AA8">
        <w:trPr>
          <w:trHeight w:val="20"/>
        </w:trPr>
        <w:tc>
          <w:tcPr>
            <w:tcW w:w="1257" w:type="pct"/>
            <w:shd w:val="clear" w:color="auto" w:fill="auto"/>
            <w:vAlign w:val="bottom"/>
            <w:hideMark/>
          </w:tcPr>
          <w:p w14:paraId="37A65876" w14:textId="77777777" w:rsidR="0065708A" w:rsidRPr="00513F1D" w:rsidRDefault="0065708A" w:rsidP="009A4C46">
            <w:pPr>
              <w:spacing w:after="0" w:line="240" w:lineRule="auto"/>
              <w:rPr>
                <w:rFonts w:eastAsia="Times New Roman"/>
                <w:sz w:val="16"/>
                <w:szCs w:val="16"/>
                <w:lang w:eastAsia="ru-RU"/>
              </w:rPr>
            </w:pPr>
            <w:r w:rsidRPr="00513F1D">
              <w:rPr>
                <w:rFonts w:eastAsia="Times New Roman"/>
                <w:sz w:val="16"/>
                <w:szCs w:val="16"/>
                <w:lang w:eastAsia="ru-RU"/>
              </w:rPr>
              <w:t>Реконструкция ВЛ-0,4 с применением СИП г. Кызыл фидер 13/ТП- №5</w:t>
            </w:r>
          </w:p>
        </w:tc>
        <w:tc>
          <w:tcPr>
            <w:tcW w:w="556" w:type="pct"/>
            <w:shd w:val="clear" w:color="auto" w:fill="auto"/>
            <w:vAlign w:val="center"/>
          </w:tcPr>
          <w:p w14:paraId="039C6716" w14:textId="77777777" w:rsidR="0065708A" w:rsidRPr="00513F1D" w:rsidRDefault="0065708A" w:rsidP="003E2802">
            <w:pPr>
              <w:spacing w:after="0" w:line="240" w:lineRule="auto"/>
              <w:jc w:val="center"/>
              <w:rPr>
                <w:rFonts w:eastAsia="Times New Roman"/>
                <w:sz w:val="16"/>
                <w:szCs w:val="16"/>
                <w:lang w:eastAsia="ru-RU"/>
              </w:rPr>
            </w:pPr>
          </w:p>
        </w:tc>
        <w:tc>
          <w:tcPr>
            <w:tcW w:w="477" w:type="pct"/>
            <w:shd w:val="clear" w:color="auto" w:fill="auto"/>
            <w:vAlign w:val="center"/>
            <w:hideMark/>
          </w:tcPr>
          <w:p w14:paraId="222B5DA8"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4,4</w:t>
            </w:r>
          </w:p>
        </w:tc>
        <w:tc>
          <w:tcPr>
            <w:tcW w:w="422" w:type="pct"/>
            <w:shd w:val="clear" w:color="auto" w:fill="auto"/>
            <w:noWrap/>
            <w:vAlign w:val="center"/>
          </w:tcPr>
          <w:p w14:paraId="74B4C561" w14:textId="77777777" w:rsidR="0065708A" w:rsidRPr="00513F1D" w:rsidRDefault="0065708A">
            <w:pPr>
              <w:spacing w:after="0" w:line="240" w:lineRule="auto"/>
              <w:jc w:val="center"/>
              <w:rPr>
                <w:rFonts w:eastAsia="Times New Roman"/>
                <w:sz w:val="16"/>
                <w:szCs w:val="16"/>
                <w:lang w:eastAsia="ru-RU"/>
              </w:rPr>
            </w:pPr>
          </w:p>
        </w:tc>
        <w:tc>
          <w:tcPr>
            <w:tcW w:w="371" w:type="pct"/>
            <w:shd w:val="clear" w:color="auto" w:fill="auto"/>
            <w:noWrap/>
            <w:vAlign w:val="center"/>
          </w:tcPr>
          <w:p w14:paraId="560501CA" w14:textId="77777777" w:rsidR="0065708A" w:rsidRPr="00513F1D" w:rsidRDefault="0065708A">
            <w:pPr>
              <w:spacing w:after="0" w:line="240" w:lineRule="auto"/>
              <w:jc w:val="center"/>
              <w:rPr>
                <w:rFonts w:eastAsia="Times New Roman"/>
                <w:sz w:val="16"/>
                <w:szCs w:val="16"/>
                <w:lang w:eastAsia="ru-RU"/>
              </w:rPr>
            </w:pPr>
          </w:p>
        </w:tc>
        <w:tc>
          <w:tcPr>
            <w:tcW w:w="569" w:type="pct"/>
            <w:shd w:val="clear" w:color="auto" w:fill="auto"/>
            <w:noWrap/>
            <w:vAlign w:val="center"/>
            <w:hideMark/>
          </w:tcPr>
          <w:p w14:paraId="19227D6C"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4,4</w:t>
            </w:r>
          </w:p>
        </w:tc>
        <w:tc>
          <w:tcPr>
            <w:tcW w:w="327" w:type="pct"/>
            <w:shd w:val="clear" w:color="auto" w:fill="auto"/>
            <w:noWrap/>
            <w:vAlign w:val="center"/>
          </w:tcPr>
          <w:p w14:paraId="5B32664F" w14:textId="77777777" w:rsidR="0065708A" w:rsidRPr="00513F1D" w:rsidRDefault="0065708A">
            <w:pPr>
              <w:spacing w:after="0" w:line="240" w:lineRule="auto"/>
              <w:jc w:val="center"/>
              <w:rPr>
                <w:rFonts w:eastAsia="Times New Roman"/>
                <w:sz w:val="16"/>
                <w:szCs w:val="16"/>
                <w:lang w:eastAsia="ru-RU"/>
              </w:rPr>
            </w:pPr>
          </w:p>
        </w:tc>
        <w:tc>
          <w:tcPr>
            <w:tcW w:w="363" w:type="pct"/>
            <w:shd w:val="clear" w:color="auto" w:fill="auto"/>
            <w:noWrap/>
            <w:vAlign w:val="center"/>
            <w:hideMark/>
          </w:tcPr>
          <w:p w14:paraId="378BC8E1" w14:textId="77777777" w:rsidR="0065708A" w:rsidRPr="00513F1D" w:rsidRDefault="0065708A">
            <w:pPr>
              <w:spacing w:after="0" w:line="240" w:lineRule="auto"/>
              <w:jc w:val="center"/>
              <w:rPr>
                <w:rFonts w:eastAsia="Times New Roman"/>
                <w:sz w:val="16"/>
                <w:szCs w:val="16"/>
                <w:lang w:eastAsia="ru-RU"/>
              </w:rPr>
            </w:pPr>
          </w:p>
        </w:tc>
        <w:tc>
          <w:tcPr>
            <w:tcW w:w="657" w:type="pct"/>
            <w:shd w:val="clear" w:color="auto" w:fill="auto"/>
            <w:vAlign w:val="center"/>
            <w:hideMark/>
          </w:tcPr>
          <w:p w14:paraId="08A633F6" w14:textId="755AC55B" w:rsidR="0065708A" w:rsidRPr="00513F1D" w:rsidRDefault="0065708A" w:rsidP="00F94FED">
            <w:pPr>
              <w:spacing w:after="0" w:line="240" w:lineRule="auto"/>
              <w:jc w:val="center"/>
              <w:rPr>
                <w:rFonts w:eastAsia="Times New Roman"/>
                <w:sz w:val="16"/>
                <w:szCs w:val="16"/>
                <w:lang w:eastAsia="ru-RU"/>
              </w:rPr>
            </w:pPr>
          </w:p>
        </w:tc>
      </w:tr>
      <w:tr w:rsidR="0065708A" w:rsidRPr="00513F1D" w14:paraId="2436A91C" w14:textId="77777777" w:rsidTr="00CB5AA8">
        <w:trPr>
          <w:trHeight w:val="20"/>
        </w:trPr>
        <w:tc>
          <w:tcPr>
            <w:tcW w:w="1257" w:type="pct"/>
            <w:shd w:val="clear" w:color="auto" w:fill="auto"/>
            <w:vAlign w:val="bottom"/>
            <w:hideMark/>
          </w:tcPr>
          <w:p w14:paraId="4C087C6F" w14:textId="77777777" w:rsidR="0065708A" w:rsidRPr="00513F1D" w:rsidRDefault="0065708A" w:rsidP="009A4C46">
            <w:pPr>
              <w:spacing w:after="0" w:line="240" w:lineRule="auto"/>
              <w:rPr>
                <w:rFonts w:eastAsia="Times New Roman"/>
                <w:sz w:val="16"/>
                <w:szCs w:val="16"/>
                <w:lang w:eastAsia="ru-RU"/>
              </w:rPr>
            </w:pPr>
            <w:r w:rsidRPr="00513F1D">
              <w:rPr>
                <w:rFonts w:eastAsia="Times New Roman"/>
                <w:sz w:val="16"/>
                <w:szCs w:val="16"/>
                <w:lang w:eastAsia="ru-RU"/>
              </w:rPr>
              <w:t>Реконструкция ВЛ-0,4 с применением СИП г. Кызыл фидер 11/ТП- №16</w:t>
            </w:r>
          </w:p>
        </w:tc>
        <w:tc>
          <w:tcPr>
            <w:tcW w:w="556" w:type="pct"/>
            <w:shd w:val="clear" w:color="auto" w:fill="auto"/>
            <w:vAlign w:val="center"/>
          </w:tcPr>
          <w:p w14:paraId="7C9A8397" w14:textId="77777777" w:rsidR="0065708A" w:rsidRPr="00513F1D" w:rsidRDefault="0065708A" w:rsidP="003E2802">
            <w:pPr>
              <w:spacing w:after="0" w:line="240" w:lineRule="auto"/>
              <w:jc w:val="center"/>
              <w:rPr>
                <w:rFonts w:eastAsia="Times New Roman"/>
                <w:sz w:val="16"/>
                <w:szCs w:val="16"/>
                <w:lang w:eastAsia="ru-RU"/>
              </w:rPr>
            </w:pPr>
          </w:p>
        </w:tc>
        <w:tc>
          <w:tcPr>
            <w:tcW w:w="477" w:type="pct"/>
            <w:shd w:val="clear" w:color="auto" w:fill="auto"/>
            <w:vAlign w:val="center"/>
            <w:hideMark/>
          </w:tcPr>
          <w:p w14:paraId="4EB72CD1"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4,4</w:t>
            </w:r>
          </w:p>
        </w:tc>
        <w:tc>
          <w:tcPr>
            <w:tcW w:w="422" w:type="pct"/>
            <w:shd w:val="clear" w:color="auto" w:fill="auto"/>
            <w:noWrap/>
            <w:vAlign w:val="center"/>
          </w:tcPr>
          <w:p w14:paraId="643F3C98" w14:textId="77777777" w:rsidR="0065708A" w:rsidRPr="00513F1D" w:rsidRDefault="0065708A">
            <w:pPr>
              <w:spacing w:after="0" w:line="240" w:lineRule="auto"/>
              <w:jc w:val="center"/>
              <w:rPr>
                <w:rFonts w:eastAsia="Times New Roman"/>
                <w:sz w:val="16"/>
                <w:szCs w:val="16"/>
                <w:lang w:eastAsia="ru-RU"/>
              </w:rPr>
            </w:pPr>
          </w:p>
        </w:tc>
        <w:tc>
          <w:tcPr>
            <w:tcW w:w="371" w:type="pct"/>
            <w:shd w:val="clear" w:color="auto" w:fill="auto"/>
            <w:noWrap/>
            <w:vAlign w:val="center"/>
          </w:tcPr>
          <w:p w14:paraId="690477EC" w14:textId="77777777" w:rsidR="0065708A" w:rsidRPr="00513F1D" w:rsidRDefault="0065708A">
            <w:pPr>
              <w:spacing w:after="0" w:line="240" w:lineRule="auto"/>
              <w:jc w:val="center"/>
              <w:rPr>
                <w:rFonts w:eastAsia="Times New Roman"/>
                <w:sz w:val="16"/>
                <w:szCs w:val="16"/>
                <w:lang w:eastAsia="ru-RU"/>
              </w:rPr>
            </w:pPr>
          </w:p>
        </w:tc>
        <w:tc>
          <w:tcPr>
            <w:tcW w:w="569" w:type="pct"/>
            <w:shd w:val="clear" w:color="auto" w:fill="auto"/>
            <w:noWrap/>
            <w:vAlign w:val="center"/>
            <w:hideMark/>
          </w:tcPr>
          <w:p w14:paraId="6B79775E"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4,4</w:t>
            </w:r>
          </w:p>
        </w:tc>
        <w:tc>
          <w:tcPr>
            <w:tcW w:w="327" w:type="pct"/>
            <w:shd w:val="clear" w:color="auto" w:fill="auto"/>
            <w:noWrap/>
            <w:vAlign w:val="center"/>
          </w:tcPr>
          <w:p w14:paraId="2DE53ACC" w14:textId="77777777" w:rsidR="0065708A" w:rsidRPr="00513F1D" w:rsidRDefault="0065708A">
            <w:pPr>
              <w:spacing w:after="0" w:line="240" w:lineRule="auto"/>
              <w:jc w:val="center"/>
              <w:rPr>
                <w:rFonts w:eastAsia="Times New Roman"/>
                <w:sz w:val="16"/>
                <w:szCs w:val="16"/>
                <w:lang w:eastAsia="ru-RU"/>
              </w:rPr>
            </w:pPr>
          </w:p>
        </w:tc>
        <w:tc>
          <w:tcPr>
            <w:tcW w:w="363" w:type="pct"/>
            <w:shd w:val="clear" w:color="auto" w:fill="auto"/>
            <w:noWrap/>
            <w:vAlign w:val="center"/>
            <w:hideMark/>
          </w:tcPr>
          <w:p w14:paraId="4E0D8272" w14:textId="77777777" w:rsidR="0065708A" w:rsidRPr="00513F1D" w:rsidRDefault="0065708A">
            <w:pPr>
              <w:spacing w:after="0" w:line="240" w:lineRule="auto"/>
              <w:jc w:val="center"/>
              <w:rPr>
                <w:rFonts w:eastAsia="Times New Roman"/>
                <w:sz w:val="16"/>
                <w:szCs w:val="16"/>
                <w:lang w:eastAsia="ru-RU"/>
              </w:rPr>
            </w:pPr>
          </w:p>
        </w:tc>
        <w:tc>
          <w:tcPr>
            <w:tcW w:w="657" w:type="pct"/>
            <w:shd w:val="clear" w:color="auto" w:fill="auto"/>
            <w:vAlign w:val="center"/>
            <w:hideMark/>
          </w:tcPr>
          <w:p w14:paraId="77521D30" w14:textId="36522773" w:rsidR="0065708A" w:rsidRPr="00513F1D" w:rsidRDefault="0065708A" w:rsidP="00F94FED">
            <w:pPr>
              <w:spacing w:after="0" w:line="240" w:lineRule="auto"/>
              <w:jc w:val="center"/>
              <w:rPr>
                <w:rFonts w:eastAsia="Times New Roman"/>
                <w:sz w:val="16"/>
                <w:szCs w:val="16"/>
                <w:lang w:eastAsia="ru-RU"/>
              </w:rPr>
            </w:pPr>
          </w:p>
        </w:tc>
      </w:tr>
      <w:tr w:rsidR="0065708A" w:rsidRPr="00513F1D" w14:paraId="42483DD2" w14:textId="77777777" w:rsidTr="00CB5AA8">
        <w:trPr>
          <w:trHeight w:val="20"/>
        </w:trPr>
        <w:tc>
          <w:tcPr>
            <w:tcW w:w="1257" w:type="pct"/>
            <w:shd w:val="clear" w:color="auto" w:fill="auto"/>
            <w:vAlign w:val="bottom"/>
            <w:hideMark/>
          </w:tcPr>
          <w:p w14:paraId="549A4118" w14:textId="77777777" w:rsidR="0065708A" w:rsidRPr="00513F1D" w:rsidRDefault="0065708A" w:rsidP="009A4C46">
            <w:pPr>
              <w:spacing w:after="0" w:line="240" w:lineRule="auto"/>
              <w:rPr>
                <w:rFonts w:eastAsia="Times New Roman"/>
                <w:sz w:val="16"/>
                <w:szCs w:val="16"/>
                <w:lang w:eastAsia="ru-RU"/>
              </w:rPr>
            </w:pPr>
            <w:r w:rsidRPr="00513F1D">
              <w:rPr>
                <w:rFonts w:eastAsia="Times New Roman"/>
                <w:sz w:val="16"/>
                <w:szCs w:val="16"/>
                <w:lang w:eastAsia="ru-RU"/>
              </w:rPr>
              <w:t>Реконструкция ВЛ-0,4 с применением СИП г. Кызыл фидер 16/ТП- №36</w:t>
            </w:r>
          </w:p>
        </w:tc>
        <w:tc>
          <w:tcPr>
            <w:tcW w:w="556" w:type="pct"/>
            <w:shd w:val="clear" w:color="auto" w:fill="auto"/>
            <w:vAlign w:val="center"/>
          </w:tcPr>
          <w:p w14:paraId="3CC01B3F" w14:textId="77777777" w:rsidR="0065708A" w:rsidRPr="00513F1D" w:rsidRDefault="0065708A" w:rsidP="003E2802">
            <w:pPr>
              <w:spacing w:after="0" w:line="240" w:lineRule="auto"/>
              <w:jc w:val="center"/>
              <w:rPr>
                <w:rFonts w:eastAsia="Times New Roman"/>
                <w:sz w:val="16"/>
                <w:szCs w:val="16"/>
                <w:lang w:eastAsia="ru-RU"/>
              </w:rPr>
            </w:pPr>
          </w:p>
        </w:tc>
        <w:tc>
          <w:tcPr>
            <w:tcW w:w="477" w:type="pct"/>
            <w:shd w:val="clear" w:color="auto" w:fill="auto"/>
            <w:vAlign w:val="center"/>
            <w:hideMark/>
          </w:tcPr>
          <w:p w14:paraId="30E21E73"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5,6</w:t>
            </w:r>
          </w:p>
        </w:tc>
        <w:tc>
          <w:tcPr>
            <w:tcW w:w="422" w:type="pct"/>
            <w:shd w:val="clear" w:color="auto" w:fill="auto"/>
            <w:noWrap/>
            <w:vAlign w:val="center"/>
          </w:tcPr>
          <w:p w14:paraId="6DB6DE18" w14:textId="77777777" w:rsidR="0065708A" w:rsidRPr="00513F1D" w:rsidRDefault="0065708A">
            <w:pPr>
              <w:spacing w:after="0" w:line="240" w:lineRule="auto"/>
              <w:jc w:val="center"/>
              <w:rPr>
                <w:rFonts w:eastAsia="Times New Roman"/>
                <w:sz w:val="16"/>
                <w:szCs w:val="16"/>
                <w:lang w:eastAsia="ru-RU"/>
              </w:rPr>
            </w:pPr>
          </w:p>
        </w:tc>
        <w:tc>
          <w:tcPr>
            <w:tcW w:w="371" w:type="pct"/>
            <w:shd w:val="clear" w:color="auto" w:fill="auto"/>
            <w:noWrap/>
            <w:vAlign w:val="center"/>
          </w:tcPr>
          <w:p w14:paraId="1B732107" w14:textId="77777777" w:rsidR="0065708A" w:rsidRPr="00513F1D" w:rsidRDefault="0065708A">
            <w:pPr>
              <w:spacing w:after="0" w:line="240" w:lineRule="auto"/>
              <w:jc w:val="center"/>
              <w:rPr>
                <w:rFonts w:eastAsia="Times New Roman"/>
                <w:sz w:val="16"/>
                <w:szCs w:val="16"/>
                <w:lang w:eastAsia="ru-RU"/>
              </w:rPr>
            </w:pPr>
          </w:p>
        </w:tc>
        <w:tc>
          <w:tcPr>
            <w:tcW w:w="569" w:type="pct"/>
            <w:shd w:val="clear" w:color="auto" w:fill="auto"/>
            <w:noWrap/>
            <w:vAlign w:val="center"/>
            <w:hideMark/>
          </w:tcPr>
          <w:p w14:paraId="2AC6C902"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5,6</w:t>
            </w:r>
          </w:p>
        </w:tc>
        <w:tc>
          <w:tcPr>
            <w:tcW w:w="327" w:type="pct"/>
            <w:shd w:val="clear" w:color="auto" w:fill="auto"/>
            <w:noWrap/>
            <w:vAlign w:val="center"/>
          </w:tcPr>
          <w:p w14:paraId="271A25CC" w14:textId="77777777" w:rsidR="0065708A" w:rsidRPr="00513F1D" w:rsidRDefault="0065708A">
            <w:pPr>
              <w:spacing w:after="0" w:line="240" w:lineRule="auto"/>
              <w:jc w:val="center"/>
              <w:rPr>
                <w:rFonts w:eastAsia="Times New Roman"/>
                <w:sz w:val="16"/>
                <w:szCs w:val="16"/>
                <w:lang w:eastAsia="ru-RU"/>
              </w:rPr>
            </w:pPr>
          </w:p>
        </w:tc>
        <w:tc>
          <w:tcPr>
            <w:tcW w:w="363" w:type="pct"/>
            <w:shd w:val="clear" w:color="auto" w:fill="auto"/>
            <w:noWrap/>
            <w:vAlign w:val="center"/>
            <w:hideMark/>
          </w:tcPr>
          <w:p w14:paraId="3128D54F" w14:textId="77777777" w:rsidR="0065708A" w:rsidRPr="00513F1D" w:rsidRDefault="0065708A">
            <w:pPr>
              <w:spacing w:after="0" w:line="240" w:lineRule="auto"/>
              <w:jc w:val="center"/>
              <w:rPr>
                <w:rFonts w:eastAsia="Times New Roman"/>
                <w:sz w:val="16"/>
                <w:szCs w:val="16"/>
                <w:lang w:eastAsia="ru-RU"/>
              </w:rPr>
            </w:pPr>
          </w:p>
        </w:tc>
        <w:tc>
          <w:tcPr>
            <w:tcW w:w="657" w:type="pct"/>
            <w:shd w:val="clear" w:color="auto" w:fill="auto"/>
            <w:vAlign w:val="center"/>
            <w:hideMark/>
          </w:tcPr>
          <w:p w14:paraId="068BF525" w14:textId="08C03621" w:rsidR="0065708A" w:rsidRPr="00513F1D" w:rsidRDefault="0065708A" w:rsidP="00F94FED">
            <w:pPr>
              <w:spacing w:after="0" w:line="240" w:lineRule="auto"/>
              <w:jc w:val="center"/>
              <w:rPr>
                <w:rFonts w:eastAsia="Times New Roman"/>
                <w:sz w:val="16"/>
                <w:szCs w:val="16"/>
                <w:lang w:eastAsia="ru-RU"/>
              </w:rPr>
            </w:pPr>
          </w:p>
        </w:tc>
      </w:tr>
      <w:tr w:rsidR="0065708A" w:rsidRPr="00513F1D" w14:paraId="5E76C3F3" w14:textId="77777777" w:rsidTr="00CB5AA8">
        <w:trPr>
          <w:trHeight w:val="20"/>
        </w:trPr>
        <w:tc>
          <w:tcPr>
            <w:tcW w:w="1257" w:type="pct"/>
            <w:shd w:val="clear" w:color="auto" w:fill="auto"/>
            <w:vAlign w:val="bottom"/>
            <w:hideMark/>
          </w:tcPr>
          <w:p w14:paraId="6F60A672" w14:textId="77777777" w:rsidR="0065708A" w:rsidRPr="00513F1D" w:rsidRDefault="0065708A" w:rsidP="009A4C46">
            <w:pPr>
              <w:spacing w:after="0" w:line="240" w:lineRule="auto"/>
              <w:rPr>
                <w:rFonts w:eastAsia="Times New Roman"/>
                <w:sz w:val="16"/>
                <w:szCs w:val="16"/>
                <w:lang w:eastAsia="ru-RU"/>
              </w:rPr>
            </w:pPr>
            <w:r w:rsidRPr="00513F1D">
              <w:rPr>
                <w:rFonts w:eastAsia="Times New Roman"/>
                <w:sz w:val="16"/>
                <w:szCs w:val="16"/>
                <w:lang w:eastAsia="ru-RU"/>
              </w:rPr>
              <w:lastRenderedPageBreak/>
              <w:t>Реконструкция ВЛ-0,4 с применением СИП г. Кызыл фидер 10-11/ТП- №37</w:t>
            </w:r>
          </w:p>
        </w:tc>
        <w:tc>
          <w:tcPr>
            <w:tcW w:w="556" w:type="pct"/>
            <w:shd w:val="clear" w:color="auto" w:fill="auto"/>
            <w:vAlign w:val="center"/>
          </w:tcPr>
          <w:p w14:paraId="69DE4D83" w14:textId="77777777" w:rsidR="0065708A" w:rsidRPr="00513F1D" w:rsidRDefault="0065708A" w:rsidP="003E2802">
            <w:pPr>
              <w:spacing w:after="0" w:line="240" w:lineRule="auto"/>
              <w:jc w:val="center"/>
              <w:rPr>
                <w:rFonts w:eastAsia="Times New Roman"/>
                <w:sz w:val="16"/>
                <w:szCs w:val="16"/>
                <w:lang w:eastAsia="ru-RU"/>
              </w:rPr>
            </w:pPr>
          </w:p>
        </w:tc>
        <w:tc>
          <w:tcPr>
            <w:tcW w:w="477" w:type="pct"/>
            <w:shd w:val="clear" w:color="auto" w:fill="auto"/>
            <w:vAlign w:val="center"/>
            <w:hideMark/>
          </w:tcPr>
          <w:p w14:paraId="10507C3A"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9,2</w:t>
            </w:r>
          </w:p>
        </w:tc>
        <w:tc>
          <w:tcPr>
            <w:tcW w:w="422" w:type="pct"/>
            <w:shd w:val="clear" w:color="auto" w:fill="auto"/>
            <w:noWrap/>
            <w:vAlign w:val="center"/>
          </w:tcPr>
          <w:p w14:paraId="7ABA642E" w14:textId="77777777" w:rsidR="0065708A" w:rsidRPr="00513F1D" w:rsidRDefault="0065708A">
            <w:pPr>
              <w:spacing w:after="0" w:line="240" w:lineRule="auto"/>
              <w:jc w:val="center"/>
              <w:rPr>
                <w:rFonts w:eastAsia="Times New Roman"/>
                <w:sz w:val="16"/>
                <w:szCs w:val="16"/>
                <w:lang w:eastAsia="ru-RU"/>
              </w:rPr>
            </w:pPr>
          </w:p>
        </w:tc>
        <w:tc>
          <w:tcPr>
            <w:tcW w:w="371" w:type="pct"/>
            <w:shd w:val="clear" w:color="auto" w:fill="auto"/>
            <w:noWrap/>
            <w:vAlign w:val="center"/>
          </w:tcPr>
          <w:p w14:paraId="5BA231DE" w14:textId="77777777" w:rsidR="0065708A" w:rsidRPr="00513F1D" w:rsidRDefault="0065708A">
            <w:pPr>
              <w:spacing w:after="0" w:line="240" w:lineRule="auto"/>
              <w:jc w:val="center"/>
              <w:rPr>
                <w:rFonts w:eastAsia="Times New Roman"/>
                <w:sz w:val="16"/>
                <w:szCs w:val="16"/>
                <w:lang w:eastAsia="ru-RU"/>
              </w:rPr>
            </w:pPr>
          </w:p>
        </w:tc>
        <w:tc>
          <w:tcPr>
            <w:tcW w:w="569" w:type="pct"/>
            <w:shd w:val="clear" w:color="auto" w:fill="auto"/>
            <w:noWrap/>
            <w:vAlign w:val="center"/>
            <w:hideMark/>
          </w:tcPr>
          <w:p w14:paraId="786006E8"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9,2</w:t>
            </w:r>
          </w:p>
        </w:tc>
        <w:tc>
          <w:tcPr>
            <w:tcW w:w="327" w:type="pct"/>
            <w:shd w:val="clear" w:color="auto" w:fill="auto"/>
            <w:noWrap/>
            <w:vAlign w:val="center"/>
          </w:tcPr>
          <w:p w14:paraId="16F5FCC0" w14:textId="77777777" w:rsidR="0065708A" w:rsidRPr="00513F1D" w:rsidRDefault="0065708A">
            <w:pPr>
              <w:spacing w:after="0" w:line="240" w:lineRule="auto"/>
              <w:jc w:val="center"/>
              <w:rPr>
                <w:rFonts w:eastAsia="Times New Roman"/>
                <w:sz w:val="16"/>
                <w:szCs w:val="16"/>
                <w:lang w:eastAsia="ru-RU"/>
              </w:rPr>
            </w:pPr>
          </w:p>
        </w:tc>
        <w:tc>
          <w:tcPr>
            <w:tcW w:w="363" w:type="pct"/>
            <w:shd w:val="clear" w:color="auto" w:fill="auto"/>
            <w:noWrap/>
            <w:vAlign w:val="center"/>
            <w:hideMark/>
          </w:tcPr>
          <w:p w14:paraId="75EE1F00" w14:textId="77777777" w:rsidR="0065708A" w:rsidRPr="00513F1D" w:rsidRDefault="0065708A">
            <w:pPr>
              <w:spacing w:after="0" w:line="240" w:lineRule="auto"/>
              <w:jc w:val="center"/>
              <w:rPr>
                <w:rFonts w:eastAsia="Times New Roman"/>
                <w:sz w:val="16"/>
                <w:szCs w:val="16"/>
                <w:lang w:eastAsia="ru-RU"/>
              </w:rPr>
            </w:pPr>
          </w:p>
        </w:tc>
        <w:tc>
          <w:tcPr>
            <w:tcW w:w="657" w:type="pct"/>
            <w:shd w:val="clear" w:color="auto" w:fill="auto"/>
            <w:vAlign w:val="center"/>
            <w:hideMark/>
          </w:tcPr>
          <w:p w14:paraId="4B282741" w14:textId="50E9512D" w:rsidR="0065708A" w:rsidRPr="00513F1D" w:rsidRDefault="0065708A" w:rsidP="00F94FED">
            <w:pPr>
              <w:spacing w:after="0" w:line="240" w:lineRule="auto"/>
              <w:jc w:val="center"/>
              <w:rPr>
                <w:rFonts w:eastAsia="Times New Roman"/>
                <w:sz w:val="16"/>
                <w:szCs w:val="16"/>
                <w:lang w:eastAsia="ru-RU"/>
              </w:rPr>
            </w:pPr>
          </w:p>
        </w:tc>
      </w:tr>
      <w:tr w:rsidR="0065708A" w:rsidRPr="00513F1D" w14:paraId="02F747EF" w14:textId="77777777" w:rsidTr="00CB5AA8">
        <w:trPr>
          <w:trHeight w:val="20"/>
        </w:trPr>
        <w:tc>
          <w:tcPr>
            <w:tcW w:w="1257" w:type="pct"/>
            <w:shd w:val="clear" w:color="auto" w:fill="auto"/>
            <w:vAlign w:val="bottom"/>
            <w:hideMark/>
          </w:tcPr>
          <w:p w14:paraId="24AF23C4" w14:textId="77777777" w:rsidR="0065708A" w:rsidRPr="00513F1D" w:rsidRDefault="0065708A" w:rsidP="009A4C46">
            <w:pPr>
              <w:spacing w:after="0" w:line="240" w:lineRule="auto"/>
              <w:rPr>
                <w:rFonts w:eastAsia="Times New Roman"/>
                <w:sz w:val="16"/>
                <w:szCs w:val="16"/>
                <w:lang w:eastAsia="ru-RU"/>
              </w:rPr>
            </w:pPr>
            <w:r w:rsidRPr="00513F1D">
              <w:rPr>
                <w:rFonts w:eastAsia="Times New Roman"/>
                <w:sz w:val="16"/>
                <w:szCs w:val="16"/>
                <w:lang w:eastAsia="ru-RU"/>
              </w:rPr>
              <w:t>Реконструкция ВЛ-0,4 с применением СИП г. Кызыл фидер 11-06/ТП- №39</w:t>
            </w:r>
          </w:p>
        </w:tc>
        <w:tc>
          <w:tcPr>
            <w:tcW w:w="556" w:type="pct"/>
            <w:shd w:val="clear" w:color="auto" w:fill="auto"/>
            <w:vAlign w:val="center"/>
          </w:tcPr>
          <w:p w14:paraId="6DFBEBEB" w14:textId="77777777" w:rsidR="0065708A" w:rsidRPr="00513F1D" w:rsidRDefault="0065708A" w:rsidP="003E2802">
            <w:pPr>
              <w:spacing w:after="0" w:line="240" w:lineRule="auto"/>
              <w:jc w:val="center"/>
              <w:rPr>
                <w:rFonts w:eastAsia="Times New Roman"/>
                <w:sz w:val="16"/>
                <w:szCs w:val="16"/>
                <w:lang w:eastAsia="ru-RU"/>
              </w:rPr>
            </w:pPr>
          </w:p>
        </w:tc>
        <w:tc>
          <w:tcPr>
            <w:tcW w:w="477" w:type="pct"/>
            <w:shd w:val="clear" w:color="auto" w:fill="auto"/>
            <w:vAlign w:val="center"/>
            <w:hideMark/>
          </w:tcPr>
          <w:p w14:paraId="74968EC7"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7,0</w:t>
            </w:r>
          </w:p>
        </w:tc>
        <w:tc>
          <w:tcPr>
            <w:tcW w:w="422" w:type="pct"/>
            <w:shd w:val="clear" w:color="auto" w:fill="auto"/>
            <w:noWrap/>
            <w:vAlign w:val="center"/>
          </w:tcPr>
          <w:p w14:paraId="4EF06499" w14:textId="77777777" w:rsidR="0065708A" w:rsidRPr="00513F1D" w:rsidRDefault="0065708A">
            <w:pPr>
              <w:spacing w:after="0" w:line="240" w:lineRule="auto"/>
              <w:jc w:val="center"/>
              <w:rPr>
                <w:rFonts w:eastAsia="Times New Roman"/>
                <w:sz w:val="16"/>
                <w:szCs w:val="16"/>
                <w:lang w:eastAsia="ru-RU"/>
              </w:rPr>
            </w:pPr>
          </w:p>
        </w:tc>
        <w:tc>
          <w:tcPr>
            <w:tcW w:w="371" w:type="pct"/>
            <w:shd w:val="clear" w:color="auto" w:fill="auto"/>
            <w:noWrap/>
            <w:vAlign w:val="center"/>
          </w:tcPr>
          <w:p w14:paraId="7750289B" w14:textId="77777777" w:rsidR="0065708A" w:rsidRPr="00513F1D" w:rsidRDefault="0065708A">
            <w:pPr>
              <w:spacing w:after="0" w:line="240" w:lineRule="auto"/>
              <w:jc w:val="center"/>
              <w:rPr>
                <w:rFonts w:eastAsia="Times New Roman"/>
                <w:sz w:val="16"/>
                <w:szCs w:val="16"/>
                <w:lang w:eastAsia="ru-RU"/>
              </w:rPr>
            </w:pPr>
          </w:p>
        </w:tc>
        <w:tc>
          <w:tcPr>
            <w:tcW w:w="569" w:type="pct"/>
            <w:shd w:val="clear" w:color="auto" w:fill="auto"/>
            <w:noWrap/>
            <w:vAlign w:val="center"/>
            <w:hideMark/>
          </w:tcPr>
          <w:p w14:paraId="5932B925"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7,0</w:t>
            </w:r>
          </w:p>
        </w:tc>
        <w:tc>
          <w:tcPr>
            <w:tcW w:w="327" w:type="pct"/>
            <w:shd w:val="clear" w:color="auto" w:fill="auto"/>
            <w:noWrap/>
            <w:vAlign w:val="center"/>
          </w:tcPr>
          <w:p w14:paraId="09F59D95" w14:textId="77777777" w:rsidR="0065708A" w:rsidRPr="00513F1D" w:rsidRDefault="0065708A">
            <w:pPr>
              <w:spacing w:after="0" w:line="240" w:lineRule="auto"/>
              <w:jc w:val="center"/>
              <w:rPr>
                <w:rFonts w:eastAsia="Times New Roman"/>
                <w:sz w:val="16"/>
                <w:szCs w:val="16"/>
                <w:lang w:eastAsia="ru-RU"/>
              </w:rPr>
            </w:pPr>
          </w:p>
        </w:tc>
        <w:tc>
          <w:tcPr>
            <w:tcW w:w="363" w:type="pct"/>
            <w:shd w:val="clear" w:color="auto" w:fill="auto"/>
            <w:noWrap/>
            <w:vAlign w:val="center"/>
            <w:hideMark/>
          </w:tcPr>
          <w:p w14:paraId="2EAB0824" w14:textId="77777777" w:rsidR="0065708A" w:rsidRPr="00513F1D" w:rsidRDefault="0065708A">
            <w:pPr>
              <w:spacing w:after="0" w:line="240" w:lineRule="auto"/>
              <w:jc w:val="center"/>
              <w:rPr>
                <w:rFonts w:eastAsia="Times New Roman"/>
                <w:sz w:val="16"/>
                <w:szCs w:val="16"/>
                <w:lang w:eastAsia="ru-RU"/>
              </w:rPr>
            </w:pPr>
          </w:p>
        </w:tc>
        <w:tc>
          <w:tcPr>
            <w:tcW w:w="657" w:type="pct"/>
            <w:shd w:val="clear" w:color="auto" w:fill="auto"/>
            <w:vAlign w:val="center"/>
            <w:hideMark/>
          </w:tcPr>
          <w:p w14:paraId="72640A97" w14:textId="21DC063D" w:rsidR="0065708A" w:rsidRPr="00513F1D" w:rsidRDefault="0065708A" w:rsidP="00F94FED">
            <w:pPr>
              <w:spacing w:after="0" w:line="240" w:lineRule="auto"/>
              <w:jc w:val="center"/>
              <w:rPr>
                <w:rFonts w:eastAsia="Times New Roman"/>
                <w:sz w:val="16"/>
                <w:szCs w:val="16"/>
                <w:lang w:eastAsia="ru-RU"/>
              </w:rPr>
            </w:pPr>
          </w:p>
        </w:tc>
      </w:tr>
      <w:tr w:rsidR="0065708A" w:rsidRPr="00513F1D" w14:paraId="39182B13" w14:textId="77777777" w:rsidTr="00CB5AA8">
        <w:trPr>
          <w:trHeight w:val="20"/>
        </w:trPr>
        <w:tc>
          <w:tcPr>
            <w:tcW w:w="1257" w:type="pct"/>
            <w:shd w:val="clear" w:color="auto" w:fill="auto"/>
            <w:vAlign w:val="bottom"/>
            <w:hideMark/>
          </w:tcPr>
          <w:p w14:paraId="098C298D" w14:textId="77777777" w:rsidR="0065708A" w:rsidRPr="00513F1D" w:rsidRDefault="0065708A" w:rsidP="009A4C46">
            <w:pPr>
              <w:spacing w:after="0" w:line="240" w:lineRule="auto"/>
              <w:rPr>
                <w:rFonts w:eastAsia="Times New Roman"/>
                <w:sz w:val="16"/>
                <w:szCs w:val="16"/>
                <w:lang w:eastAsia="ru-RU"/>
              </w:rPr>
            </w:pPr>
            <w:r w:rsidRPr="00513F1D">
              <w:rPr>
                <w:rFonts w:eastAsia="Times New Roman"/>
                <w:sz w:val="16"/>
                <w:szCs w:val="16"/>
                <w:lang w:eastAsia="ru-RU"/>
              </w:rPr>
              <w:t>Реконструкция ВЛ-0,4 с применением СИП г. Кызыл фидер 11/ТП- №41</w:t>
            </w:r>
          </w:p>
        </w:tc>
        <w:tc>
          <w:tcPr>
            <w:tcW w:w="556" w:type="pct"/>
            <w:shd w:val="clear" w:color="auto" w:fill="auto"/>
            <w:vAlign w:val="center"/>
          </w:tcPr>
          <w:p w14:paraId="6122B713" w14:textId="77777777" w:rsidR="0065708A" w:rsidRPr="00513F1D" w:rsidRDefault="0065708A" w:rsidP="003E2802">
            <w:pPr>
              <w:spacing w:after="0" w:line="240" w:lineRule="auto"/>
              <w:jc w:val="center"/>
              <w:rPr>
                <w:rFonts w:eastAsia="Times New Roman"/>
                <w:sz w:val="16"/>
                <w:szCs w:val="16"/>
                <w:lang w:eastAsia="ru-RU"/>
              </w:rPr>
            </w:pPr>
          </w:p>
        </w:tc>
        <w:tc>
          <w:tcPr>
            <w:tcW w:w="477" w:type="pct"/>
            <w:shd w:val="clear" w:color="auto" w:fill="auto"/>
            <w:vAlign w:val="center"/>
            <w:hideMark/>
          </w:tcPr>
          <w:p w14:paraId="0BD63E3B"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7,7</w:t>
            </w:r>
          </w:p>
        </w:tc>
        <w:tc>
          <w:tcPr>
            <w:tcW w:w="422" w:type="pct"/>
            <w:shd w:val="clear" w:color="auto" w:fill="auto"/>
            <w:noWrap/>
            <w:vAlign w:val="center"/>
          </w:tcPr>
          <w:p w14:paraId="351E073F" w14:textId="77777777" w:rsidR="0065708A" w:rsidRPr="00513F1D" w:rsidRDefault="0065708A">
            <w:pPr>
              <w:spacing w:after="0" w:line="240" w:lineRule="auto"/>
              <w:jc w:val="center"/>
              <w:rPr>
                <w:rFonts w:eastAsia="Times New Roman"/>
                <w:sz w:val="16"/>
                <w:szCs w:val="16"/>
                <w:lang w:eastAsia="ru-RU"/>
              </w:rPr>
            </w:pPr>
          </w:p>
        </w:tc>
        <w:tc>
          <w:tcPr>
            <w:tcW w:w="371" w:type="pct"/>
            <w:shd w:val="clear" w:color="auto" w:fill="auto"/>
            <w:noWrap/>
            <w:vAlign w:val="center"/>
          </w:tcPr>
          <w:p w14:paraId="5C08BCFF" w14:textId="77777777" w:rsidR="0065708A" w:rsidRPr="00513F1D" w:rsidRDefault="0065708A">
            <w:pPr>
              <w:spacing w:after="0" w:line="240" w:lineRule="auto"/>
              <w:jc w:val="center"/>
              <w:rPr>
                <w:rFonts w:eastAsia="Times New Roman"/>
                <w:sz w:val="16"/>
                <w:szCs w:val="16"/>
                <w:lang w:eastAsia="ru-RU"/>
              </w:rPr>
            </w:pPr>
          </w:p>
        </w:tc>
        <w:tc>
          <w:tcPr>
            <w:tcW w:w="569" w:type="pct"/>
            <w:shd w:val="clear" w:color="auto" w:fill="auto"/>
            <w:noWrap/>
            <w:vAlign w:val="center"/>
            <w:hideMark/>
          </w:tcPr>
          <w:p w14:paraId="56477CEB"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7,7</w:t>
            </w:r>
          </w:p>
        </w:tc>
        <w:tc>
          <w:tcPr>
            <w:tcW w:w="327" w:type="pct"/>
            <w:shd w:val="clear" w:color="auto" w:fill="auto"/>
            <w:noWrap/>
            <w:vAlign w:val="center"/>
          </w:tcPr>
          <w:p w14:paraId="0F902DFF" w14:textId="77777777" w:rsidR="0065708A" w:rsidRPr="00513F1D" w:rsidRDefault="0065708A">
            <w:pPr>
              <w:spacing w:after="0" w:line="240" w:lineRule="auto"/>
              <w:jc w:val="center"/>
              <w:rPr>
                <w:rFonts w:eastAsia="Times New Roman"/>
                <w:sz w:val="16"/>
                <w:szCs w:val="16"/>
                <w:lang w:eastAsia="ru-RU"/>
              </w:rPr>
            </w:pPr>
          </w:p>
        </w:tc>
        <w:tc>
          <w:tcPr>
            <w:tcW w:w="363" w:type="pct"/>
            <w:shd w:val="clear" w:color="auto" w:fill="auto"/>
            <w:noWrap/>
            <w:vAlign w:val="center"/>
            <w:hideMark/>
          </w:tcPr>
          <w:p w14:paraId="29415552" w14:textId="77777777" w:rsidR="0065708A" w:rsidRPr="00513F1D" w:rsidRDefault="0065708A">
            <w:pPr>
              <w:spacing w:after="0" w:line="240" w:lineRule="auto"/>
              <w:jc w:val="center"/>
              <w:rPr>
                <w:rFonts w:eastAsia="Times New Roman"/>
                <w:sz w:val="16"/>
                <w:szCs w:val="16"/>
                <w:lang w:eastAsia="ru-RU"/>
              </w:rPr>
            </w:pPr>
          </w:p>
        </w:tc>
        <w:tc>
          <w:tcPr>
            <w:tcW w:w="657" w:type="pct"/>
            <w:shd w:val="clear" w:color="auto" w:fill="auto"/>
            <w:vAlign w:val="center"/>
            <w:hideMark/>
          </w:tcPr>
          <w:p w14:paraId="4A7301C8" w14:textId="10E8124D" w:rsidR="0065708A" w:rsidRPr="00513F1D" w:rsidRDefault="0065708A" w:rsidP="00F94FED">
            <w:pPr>
              <w:spacing w:after="0" w:line="240" w:lineRule="auto"/>
              <w:jc w:val="center"/>
              <w:rPr>
                <w:rFonts w:eastAsia="Times New Roman"/>
                <w:sz w:val="16"/>
                <w:szCs w:val="16"/>
                <w:lang w:eastAsia="ru-RU"/>
              </w:rPr>
            </w:pPr>
          </w:p>
        </w:tc>
      </w:tr>
      <w:tr w:rsidR="0065708A" w:rsidRPr="00513F1D" w14:paraId="75CBCBC8" w14:textId="77777777" w:rsidTr="00CB5AA8">
        <w:trPr>
          <w:trHeight w:val="20"/>
        </w:trPr>
        <w:tc>
          <w:tcPr>
            <w:tcW w:w="1257" w:type="pct"/>
            <w:shd w:val="clear" w:color="auto" w:fill="auto"/>
            <w:vAlign w:val="bottom"/>
            <w:hideMark/>
          </w:tcPr>
          <w:p w14:paraId="0569330B" w14:textId="77777777" w:rsidR="0065708A" w:rsidRPr="00513F1D" w:rsidRDefault="0065708A" w:rsidP="009A4C46">
            <w:pPr>
              <w:spacing w:after="0" w:line="240" w:lineRule="auto"/>
              <w:rPr>
                <w:rFonts w:eastAsia="Times New Roman"/>
                <w:sz w:val="16"/>
                <w:szCs w:val="16"/>
                <w:lang w:eastAsia="ru-RU"/>
              </w:rPr>
            </w:pPr>
            <w:r w:rsidRPr="00513F1D">
              <w:rPr>
                <w:rFonts w:eastAsia="Times New Roman"/>
                <w:sz w:val="16"/>
                <w:szCs w:val="16"/>
                <w:lang w:eastAsia="ru-RU"/>
              </w:rPr>
              <w:t>Реконструкция ВЛ-0,4 с применением СИП г. Кызыл фидер 24/ТП- №47</w:t>
            </w:r>
          </w:p>
        </w:tc>
        <w:tc>
          <w:tcPr>
            <w:tcW w:w="556" w:type="pct"/>
            <w:shd w:val="clear" w:color="auto" w:fill="auto"/>
            <w:vAlign w:val="center"/>
          </w:tcPr>
          <w:p w14:paraId="2FD7E545" w14:textId="77777777" w:rsidR="0065708A" w:rsidRPr="00513F1D" w:rsidRDefault="0065708A" w:rsidP="003E2802">
            <w:pPr>
              <w:spacing w:after="0" w:line="240" w:lineRule="auto"/>
              <w:jc w:val="center"/>
              <w:rPr>
                <w:rFonts w:eastAsia="Times New Roman"/>
                <w:sz w:val="16"/>
                <w:szCs w:val="16"/>
                <w:lang w:eastAsia="ru-RU"/>
              </w:rPr>
            </w:pPr>
          </w:p>
        </w:tc>
        <w:tc>
          <w:tcPr>
            <w:tcW w:w="477" w:type="pct"/>
            <w:shd w:val="clear" w:color="auto" w:fill="auto"/>
            <w:vAlign w:val="center"/>
            <w:hideMark/>
          </w:tcPr>
          <w:p w14:paraId="08834B5B"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3,5</w:t>
            </w:r>
          </w:p>
        </w:tc>
        <w:tc>
          <w:tcPr>
            <w:tcW w:w="422" w:type="pct"/>
            <w:shd w:val="clear" w:color="auto" w:fill="auto"/>
            <w:noWrap/>
            <w:vAlign w:val="center"/>
          </w:tcPr>
          <w:p w14:paraId="2FEE99E2" w14:textId="77777777" w:rsidR="0065708A" w:rsidRPr="00513F1D" w:rsidRDefault="0065708A">
            <w:pPr>
              <w:spacing w:after="0" w:line="240" w:lineRule="auto"/>
              <w:jc w:val="center"/>
              <w:rPr>
                <w:rFonts w:eastAsia="Times New Roman"/>
                <w:sz w:val="16"/>
                <w:szCs w:val="16"/>
                <w:lang w:eastAsia="ru-RU"/>
              </w:rPr>
            </w:pPr>
          </w:p>
        </w:tc>
        <w:tc>
          <w:tcPr>
            <w:tcW w:w="371" w:type="pct"/>
            <w:shd w:val="clear" w:color="auto" w:fill="auto"/>
            <w:noWrap/>
            <w:vAlign w:val="center"/>
          </w:tcPr>
          <w:p w14:paraId="6F9232F0" w14:textId="77777777" w:rsidR="0065708A" w:rsidRPr="00513F1D" w:rsidRDefault="0065708A">
            <w:pPr>
              <w:spacing w:after="0" w:line="240" w:lineRule="auto"/>
              <w:jc w:val="center"/>
              <w:rPr>
                <w:rFonts w:eastAsia="Times New Roman"/>
                <w:sz w:val="16"/>
                <w:szCs w:val="16"/>
                <w:lang w:eastAsia="ru-RU"/>
              </w:rPr>
            </w:pPr>
          </w:p>
        </w:tc>
        <w:tc>
          <w:tcPr>
            <w:tcW w:w="569" w:type="pct"/>
            <w:shd w:val="clear" w:color="auto" w:fill="auto"/>
            <w:noWrap/>
            <w:vAlign w:val="center"/>
            <w:hideMark/>
          </w:tcPr>
          <w:p w14:paraId="56B91819"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3,5</w:t>
            </w:r>
          </w:p>
        </w:tc>
        <w:tc>
          <w:tcPr>
            <w:tcW w:w="327" w:type="pct"/>
            <w:shd w:val="clear" w:color="auto" w:fill="auto"/>
            <w:noWrap/>
            <w:vAlign w:val="center"/>
          </w:tcPr>
          <w:p w14:paraId="15DE5B1D" w14:textId="77777777" w:rsidR="0065708A" w:rsidRPr="00513F1D" w:rsidRDefault="0065708A">
            <w:pPr>
              <w:spacing w:after="0" w:line="240" w:lineRule="auto"/>
              <w:jc w:val="center"/>
              <w:rPr>
                <w:rFonts w:eastAsia="Times New Roman"/>
                <w:sz w:val="16"/>
                <w:szCs w:val="16"/>
                <w:lang w:eastAsia="ru-RU"/>
              </w:rPr>
            </w:pPr>
          </w:p>
        </w:tc>
        <w:tc>
          <w:tcPr>
            <w:tcW w:w="363" w:type="pct"/>
            <w:shd w:val="clear" w:color="auto" w:fill="auto"/>
            <w:noWrap/>
            <w:vAlign w:val="center"/>
            <w:hideMark/>
          </w:tcPr>
          <w:p w14:paraId="0E5A2DD2" w14:textId="77777777" w:rsidR="0065708A" w:rsidRPr="00513F1D" w:rsidRDefault="0065708A">
            <w:pPr>
              <w:spacing w:after="0" w:line="240" w:lineRule="auto"/>
              <w:jc w:val="center"/>
              <w:rPr>
                <w:rFonts w:eastAsia="Times New Roman"/>
                <w:sz w:val="16"/>
                <w:szCs w:val="16"/>
                <w:lang w:eastAsia="ru-RU"/>
              </w:rPr>
            </w:pPr>
          </w:p>
        </w:tc>
        <w:tc>
          <w:tcPr>
            <w:tcW w:w="657" w:type="pct"/>
            <w:shd w:val="clear" w:color="auto" w:fill="auto"/>
            <w:vAlign w:val="center"/>
            <w:hideMark/>
          </w:tcPr>
          <w:p w14:paraId="349C934D" w14:textId="3212DA08" w:rsidR="0065708A" w:rsidRPr="00513F1D" w:rsidRDefault="0065708A" w:rsidP="00F94FED">
            <w:pPr>
              <w:spacing w:after="0" w:line="240" w:lineRule="auto"/>
              <w:jc w:val="center"/>
              <w:rPr>
                <w:rFonts w:eastAsia="Times New Roman"/>
                <w:sz w:val="16"/>
                <w:szCs w:val="16"/>
                <w:lang w:eastAsia="ru-RU"/>
              </w:rPr>
            </w:pPr>
          </w:p>
        </w:tc>
      </w:tr>
      <w:tr w:rsidR="0065708A" w:rsidRPr="00513F1D" w14:paraId="2420812B" w14:textId="77777777" w:rsidTr="00CB5AA8">
        <w:trPr>
          <w:trHeight w:val="20"/>
        </w:trPr>
        <w:tc>
          <w:tcPr>
            <w:tcW w:w="1257" w:type="pct"/>
            <w:shd w:val="clear" w:color="auto" w:fill="auto"/>
            <w:vAlign w:val="bottom"/>
            <w:hideMark/>
          </w:tcPr>
          <w:p w14:paraId="4255BAD7" w14:textId="77777777" w:rsidR="0065708A" w:rsidRPr="00513F1D" w:rsidRDefault="0065708A" w:rsidP="009A4C46">
            <w:pPr>
              <w:spacing w:after="0" w:line="240" w:lineRule="auto"/>
              <w:rPr>
                <w:rFonts w:eastAsia="Times New Roman"/>
                <w:sz w:val="16"/>
                <w:szCs w:val="16"/>
                <w:lang w:eastAsia="ru-RU"/>
              </w:rPr>
            </w:pPr>
            <w:r w:rsidRPr="00513F1D">
              <w:rPr>
                <w:rFonts w:eastAsia="Times New Roman"/>
                <w:sz w:val="16"/>
                <w:szCs w:val="16"/>
                <w:lang w:eastAsia="ru-RU"/>
              </w:rPr>
              <w:t>Реконструкция ВЛ-0,4 с применением СИП г. Кызыл фидер 20-03/ТП – 49</w:t>
            </w:r>
          </w:p>
        </w:tc>
        <w:tc>
          <w:tcPr>
            <w:tcW w:w="556" w:type="pct"/>
            <w:shd w:val="clear" w:color="auto" w:fill="auto"/>
            <w:vAlign w:val="center"/>
          </w:tcPr>
          <w:p w14:paraId="6DEDA42B" w14:textId="77777777" w:rsidR="0065708A" w:rsidRPr="00513F1D" w:rsidRDefault="0065708A" w:rsidP="003E2802">
            <w:pPr>
              <w:spacing w:after="0" w:line="240" w:lineRule="auto"/>
              <w:jc w:val="center"/>
              <w:rPr>
                <w:rFonts w:eastAsia="Times New Roman"/>
                <w:sz w:val="16"/>
                <w:szCs w:val="16"/>
                <w:lang w:eastAsia="ru-RU"/>
              </w:rPr>
            </w:pPr>
          </w:p>
        </w:tc>
        <w:tc>
          <w:tcPr>
            <w:tcW w:w="477" w:type="pct"/>
            <w:shd w:val="clear" w:color="auto" w:fill="auto"/>
            <w:vAlign w:val="center"/>
            <w:hideMark/>
          </w:tcPr>
          <w:p w14:paraId="50BFEC32"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2,6</w:t>
            </w:r>
          </w:p>
        </w:tc>
        <w:tc>
          <w:tcPr>
            <w:tcW w:w="422" w:type="pct"/>
            <w:shd w:val="clear" w:color="auto" w:fill="auto"/>
            <w:noWrap/>
            <w:vAlign w:val="center"/>
          </w:tcPr>
          <w:p w14:paraId="6DD52DA0" w14:textId="77777777" w:rsidR="0065708A" w:rsidRPr="00513F1D" w:rsidRDefault="0065708A">
            <w:pPr>
              <w:spacing w:after="0" w:line="240" w:lineRule="auto"/>
              <w:jc w:val="center"/>
              <w:rPr>
                <w:rFonts w:eastAsia="Times New Roman"/>
                <w:sz w:val="16"/>
                <w:szCs w:val="16"/>
                <w:lang w:eastAsia="ru-RU"/>
              </w:rPr>
            </w:pPr>
          </w:p>
        </w:tc>
        <w:tc>
          <w:tcPr>
            <w:tcW w:w="371" w:type="pct"/>
            <w:shd w:val="clear" w:color="auto" w:fill="auto"/>
            <w:noWrap/>
            <w:vAlign w:val="center"/>
          </w:tcPr>
          <w:p w14:paraId="26444FCF" w14:textId="77777777" w:rsidR="0065708A" w:rsidRPr="00513F1D" w:rsidRDefault="0065708A">
            <w:pPr>
              <w:spacing w:after="0" w:line="240" w:lineRule="auto"/>
              <w:jc w:val="center"/>
              <w:rPr>
                <w:rFonts w:eastAsia="Times New Roman"/>
                <w:sz w:val="16"/>
                <w:szCs w:val="16"/>
                <w:lang w:eastAsia="ru-RU"/>
              </w:rPr>
            </w:pPr>
          </w:p>
        </w:tc>
        <w:tc>
          <w:tcPr>
            <w:tcW w:w="569" w:type="pct"/>
            <w:shd w:val="clear" w:color="auto" w:fill="auto"/>
            <w:noWrap/>
            <w:vAlign w:val="center"/>
            <w:hideMark/>
          </w:tcPr>
          <w:p w14:paraId="25B67545"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2,6</w:t>
            </w:r>
          </w:p>
        </w:tc>
        <w:tc>
          <w:tcPr>
            <w:tcW w:w="327" w:type="pct"/>
            <w:shd w:val="clear" w:color="auto" w:fill="auto"/>
            <w:noWrap/>
            <w:vAlign w:val="center"/>
          </w:tcPr>
          <w:p w14:paraId="63BD8CF7" w14:textId="77777777" w:rsidR="0065708A" w:rsidRPr="00513F1D" w:rsidRDefault="0065708A">
            <w:pPr>
              <w:spacing w:after="0" w:line="240" w:lineRule="auto"/>
              <w:jc w:val="center"/>
              <w:rPr>
                <w:rFonts w:eastAsia="Times New Roman"/>
                <w:sz w:val="16"/>
                <w:szCs w:val="16"/>
                <w:lang w:eastAsia="ru-RU"/>
              </w:rPr>
            </w:pPr>
          </w:p>
        </w:tc>
        <w:tc>
          <w:tcPr>
            <w:tcW w:w="363" w:type="pct"/>
            <w:shd w:val="clear" w:color="auto" w:fill="auto"/>
            <w:noWrap/>
            <w:vAlign w:val="center"/>
            <w:hideMark/>
          </w:tcPr>
          <w:p w14:paraId="79D5C2B5" w14:textId="77777777" w:rsidR="0065708A" w:rsidRPr="00513F1D" w:rsidRDefault="0065708A">
            <w:pPr>
              <w:spacing w:after="0" w:line="240" w:lineRule="auto"/>
              <w:jc w:val="center"/>
              <w:rPr>
                <w:rFonts w:eastAsia="Times New Roman"/>
                <w:sz w:val="16"/>
                <w:szCs w:val="16"/>
                <w:lang w:eastAsia="ru-RU"/>
              </w:rPr>
            </w:pPr>
          </w:p>
        </w:tc>
        <w:tc>
          <w:tcPr>
            <w:tcW w:w="657" w:type="pct"/>
            <w:shd w:val="clear" w:color="auto" w:fill="auto"/>
            <w:vAlign w:val="center"/>
            <w:hideMark/>
          </w:tcPr>
          <w:p w14:paraId="189B97F0" w14:textId="18433861" w:rsidR="0065708A" w:rsidRPr="00513F1D" w:rsidRDefault="0065708A" w:rsidP="00F94FED">
            <w:pPr>
              <w:spacing w:after="0" w:line="240" w:lineRule="auto"/>
              <w:jc w:val="center"/>
              <w:rPr>
                <w:rFonts w:eastAsia="Times New Roman"/>
                <w:sz w:val="16"/>
                <w:szCs w:val="16"/>
                <w:lang w:eastAsia="ru-RU"/>
              </w:rPr>
            </w:pPr>
          </w:p>
        </w:tc>
      </w:tr>
      <w:tr w:rsidR="0065708A" w:rsidRPr="00513F1D" w14:paraId="020AD3A1" w14:textId="77777777" w:rsidTr="00CB5AA8">
        <w:trPr>
          <w:trHeight w:val="20"/>
        </w:trPr>
        <w:tc>
          <w:tcPr>
            <w:tcW w:w="1257" w:type="pct"/>
            <w:shd w:val="clear" w:color="auto" w:fill="auto"/>
            <w:vAlign w:val="bottom"/>
            <w:hideMark/>
          </w:tcPr>
          <w:p w14:paraId="69612FE9" w14:textId="77777777" w:rsidR="0065708A" w:rsidRPr="00513F1D" w:rsidRDefault="0065708A" w:rsidP="009A4C46">
            <w:pPr>
              <w:spacing w:after="0" w:line="240" w:lineRule="auto"/>
              <w:rPr>
                <w:rFonts w:eastAsia="Times New Roman"/>
                <w:sz w:val="16"/>
                <w:szCs w:val="16"/>
                <w:lang w:eastAsia="ru-RU"/>
              </w:rPr>
            </w:pPr>
            <w:r w:rsidRPr="00513F1D">
              <w:rPr>
                <w:rFonts w:eastAsia="Times New Roman"/>
                <w:sz w:val="16"/>
                <w:szCs w:val="16"/>
                <w:lang w:eastAsia="ru-RU"/>
              </w:rPr>
              <w:t>Реконструкция ВЛ-0,4 с применением СИП г. Кызыл фидер 37/ТП- №50</w:t>
            </w:r>
          </w:p>
        </w:tc>
        <w:tc>
          <w:tcPr>
            <w:tcW w:w="556" w:type="pct"/>
            <w:shd w:val="clear" w:color="auto" w:fill="auto"/>
            <w:vAlign w:val="center"/>
          </w:tcPr>
          <w:p w14:paraId="5077DBC1" w14:textId="77777777" w:rsidR="0065708A" w:rsidRPr="00513F1D" w:rsidRDefault="0065708A" w:rsidP="003E2802">
            <w:pPr>
              <w:spacing w:after="0" w:line="240" w:lineRule="auto"/>
              <w:jc w:val="center"/>
              <w:rPr>
                <w:rFonts w:eastAsia="Times New Roman"/>
                <w:sz w:val="16"/>
                <w:szCs w:val="16"/>
                <w:lang w:eastAsia="ru-RU"/>
              </w:rPr>
            </w:pPr>
          </w:p>
        </w:tc>
        <w:tc>
          <w:tcPr>
            <w:tcW w:w="477" w:type="pct"/>
            <w:shd w:val="clear" w:color="auto" w:fill="auto"/>
            <w:vAlign w:val="center"/>
            <w:hideMark/>
          </w:tcPr>
          <w:p w14:paraId="21365A59"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5,3</w:t>
            </w:r>
          </w:p>
        </w:tc>
        <w:tc>
          <w:tcPr>
            <w:tcW w:w="422" w:type="pct"/>
            <w:shd w:val="clear" w:color="auto" w:fill="auto"/>
            <w:noWrap/>
            <w:vAlign w:val="center"/>
          </w:tcPr>
          <w:p w14:paraId="3D34DD00" w14:textId="77777777" w:rsidR="0065708A" w:rsidRPr="00513F1D" w:rsidRDefault="0065708A">
            <w:pPr>
              <w:spacing w:after="0" w:line="240" w:lineRule="auto"/>
              <w:jc w:val="center"/>
              <w:rPr>
                <w:rFonts w:eastAsia="Times New Roman"/>
                <w:sz w:val="16"/>
                <w:szCs w:val="16"/>
                <w:lang w:eastAsia="ru-RU"/>
              </w:rPr>
            </w:pPr>
          </w:p>
        </w:tc>
        <w:tc>
          <w:tcPr>
            <w:tcW w:w="371" w:type="pct"/>
            <w:shd w:val="clear" w:color="auto" w:fill="auto"/>
            <w:noWrap/>
            <w:vAlign w:val="center"/>
          </w:tcPr>
          <w:p w14:paraId="300F2C95" w14:textId="77777777" w:rsidR="0065708A" w:rsidRPr="00513F1D" w:rsidRDefault="0065708A">
            <w:pPr>
              <w:spacing w:after="0" w:line="240" w:lineRule="auto"/>
              <w:jc w:val="center"/>
              <w:rPr>
                <w:rFonts w:eastAsia="Times New Roman"/>
                <w:sz w:val="16"/>
                <w:szCs w:val="16"/>
                <w:lang w:eastAsia="ru-RU"/>
              </w:rPr>
            </w:pPr>
          </w:p>
        </w:tc>
        <w:tc>
          <w:tcPr>
            <w:tcW w:w="569" w:type="pct"/>
            <w:shd w:val="clear" w:color="auto" w:fill="auto"/>
            <w:noWrap/>
            <w:vAlign w:val="center"/>
            <w:hideMark/>
          </w:tcPr>
          <w:p w14:paraId="512E12F7"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5,3</w:t>
            </w:r>
          </w:p>
        </w:tc>
        <w:tc>
          <w:tcPr>
            <w:tcW w:w="327" w:type="pct"/>
            <w:shd w:val="clear" w:color="auto" w:fill="auto"/>
            <w:noWrap/>
            <w:vAlign w:val="center"/>
          </w:tcPr>
          <w:p w14:paraId="6F9A6877" w14:textId="77777777" w:rsidR="0065708A" w:rsidRPr="00513F1D" w:rsidRDefault="0065708A">
            <w:pPr>
              <w:spacing w:after="0" w:line="240" w:lineRule="auto"/>
              <w:jc w:val="center"/>
              <w:rPr>
                <w:rFonts w:eastAsia="Times New Roman"/>
                <w:sz w:val="16"/>
                <w:szCs w:val="16"/>
                <w:lang w:eastAsia="ru-RU"/>
              </w:rPr>
            </w:pPr>
          </w:p>
        </w:tc>
        <w:tc>
          <w:tcPr>
            <w:tcW w:w="363" w:type="pct"/>
            <w:shd w:val="clear" w:color="auto" w:fill="auto"/>
            <w:noWrap/>
            <w:vAlign w:val="center"/>
            <w:hideMark/>
          </w:tcPr>
          <w:p w14:paraId="11A69C2A" w14:textId="77777777" w:rsidR="0065708A" w:rsidRPr="00513F1D" w:rsidRDefault="0065708A">
            <w:pPr>
              <w:spacing w:after="0" w:line="240" w:lineRule="auto"/>
              <w:jc w:val="center"/>
              <w:rPr>
                <w:rFonts w:eastAsia="Times New Roman"/>
                <w:sz w:val="16"/>
                <w:szCs w:val="16"/>
                <w:lang w:eastAsia="ru-RU"/>
              </w:rPr>
            </w:pPr>
          </w:p>
        </w:tc>
        <w:tc>
          <w:tcPr>
            <w:tcW w:w="657" w:type="pct"/>
            <w:shd w:val="clear" w:color="auto" w:fill="auto"/>
            <w:vAlign w:val="center"/>
            <w:hideMark/>
          </w:tcPr>
          <w:p w14:paraId="3FC19F58" w14:textId="65D6A20D" w:rsidR="0065708A" w:rsidRPr="00513F1D" w:rsidRDefault="0065708A" w:rsidP="00F94FED">
            <w:pPr>
              <w:spacing w:after="0" w:line="240" w:lineRule="auto"/>
              <w:jc w:val="center"/>
              <w:rPr>
                <w:rFonts w:eastAsia="Times New Roman"/>
                <w:sz w:val="16"/>
                <w:szCs w:val="16"/>
                <w:lang w:eastAsia="ru-RU"/>
              </w:rPr>
            </w:pPr>
          </w:p>
        </w:tc>
      </w:tr>
      <w:tr w:rsidR="0065708A" w:rsidRPr="00513F1D" w14:paraId="31E32427" w14:textId="77777777" w:rsidTr="00CB5AA8">
        <w:trPr>
          <w:trHeight w:val="20"/>
        </w:trPr>
        <w:tc>
          <w:tcPr>
            <w:tcW w:w="1257" w:type="pct"/>
            <w:shd w:val="clear" w:color="auto" w:fill="auto"/>
            <w:vAlign w:val="bottom"/>
            <w:hideMark/>
          </w:tcPr>
          <w:p w14:paraId="75FCD273" w14:textId="77777777" w:rsidR="0065708A" w:rsidRPr="00513F1D" w:rsidRDefault="0065708A" w:rsidP="009A4C46">
            <w:pPr>
              <w:spacing w:after="0" w:line="240" w:lineRule="auto"/>
              <w:rPr>
                <w:rFonts w:eastAsia="Times New Roman"/>
                <w:sz w:val="16"/>
                <w:szCs w:val="16"/>
                <w:lang w:eastAsia="ru-RU"/>
              </w:rPr>
            </w:pPr>
            <w:r w:rsidRPr="00513F1D">
              <w:rPr>
                <w:rFonts w:eastAsia="Times New Roman"/>
                <w:sz w:val="16"/>
                <w:szCs w:val="16"/>
                <w:lang w:eastAsia="ru-RU"/>
              </w:rPr>
              <w:t>Реконструкция ВЛ-0,4 с применением СИП г. Кызыл фидер 11-06/ТП- №51</w:t>
            </w:r>
          </w:p>
        </w:tc>
        <w:tc>
          <w:tcPr>
            <w:tcW w:w="556" w:type="pct"/>
            <w:shd w:val="clear" w:color="auto" w:fill="auto"/>
            <w:vAlign w:val="center"/>
          </w:tcPr>
          <w:p w14:paraId="7F228D2B" w14:textId="77777777" w:rsidR="0065708A" w:rsidRPr="00513F1D" w:rsidRDefault="0065708A" w:rsidP="003E2802">
            <w:pPr>
              <w:spacing w:after="0" w:line="240" w:lineRule="auto"/>
              <w:jc w:val="center"/>
              <w:rPr>
                <w:rFonts w:eastAsia="Times New Roman"/>
                <w:sz w:val="16"/>
                <w:szCs w:val="16"/>
                <w:lang w:eastAsia="ru-RU"/>
              </w:rPr>
            </w:pPr>
          </w:p>
        </w:tc>
        <w:tc>
          <w:tcPr>
            <w:tcW w:w="477" w:type="pct"/>
            <w:shd w:val="clear" w:color="auto" w:fill="auto"/>
            <w:vAlign w:val="center"/>
            <w:hideMark/>
          </w:tcPr>
          <w:p w14:paraId="6B8EB383"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7,7</w:t>
            </w:r>
          </w:p>
        </w:tc>
        <w:tc>
          <w:tcPr>
            <w:tcW w:w="422" w:type="pct"/>
            <w:shd w:val="clear" w:color="auto" w:fill="auto"/>
            <w:noWrap/>
            <w:vAlign w:val="center"/>
          </w:tcPr>
          <w:p w14:paraId="5C89A365" w14:textId="77777777" w:rsidR="0065708A" w:rsidRPr="00513F1D" w:rsidRDefault="0065708A">
            <w:pPr>
              <w:spacing w:after="0" w:line="240" w:lineRule="auto"/>
              <w:jc w:val="center"/>
              <w:rPr>
                <w:rFonts w:eastAsia="Times New Roman"/>
                <w:sz w:val="16"/>
                <w:szCs w:val="16"/>
                <w:lang w:eastAsia="ru-RU"/>
              </w:rPr>
            </w:pPr>
          </w:p>
        </w:tc>
        <w:tc>
          <w:tcPr>
            <w:tcW w:w="371" w:type="pct"/>
            <w:shd w:val="clear" w:color="auto" w:fill="auto"/>
            <w:noWrap/>
            <w:vAlign w:val="center"/>
          </w:tcPr>
          <w:p w14:paraId="274E4ECE" w14:textId="77777777" w:rsidR="0065708A" w:rsidRPr="00513F1D" w:rsidRDefault="0065708A">
            <w:pPr>
              <w:spacing w:after="0" w:line="240" w:lineRule="auto"/>
              <w:jc w:val="center"/>
              <w:rPr>
                <w:rFonts w:eastAsia="Times New Roman"/>
                <w:sz w:val="16"/>
                <w:szCs w:val="16"/>
                <w:lang w:eastAsia="ru-RU"/>
              </w:rPr>
            </w:pPr>
          </w:p>
        </w:tc>
        <w:tc>
          <w:tcPr>
            <w:tcW w:w="569" w:type="pct"/>
            <w:shd w:val="clear" w:color="auto" w:fill="auto"/>
            <w:noWrap/>
            <w:vAlign w:val="center"/>
            <w:hideMark/>
          </w:tcPr>
          <w:p w14:paraId="02320B02"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7,7</w:t>
            </w:r>
          </w:p>
        </w:tc>
        <w:tc>
          <w:tcPr>
            <w:tcW w:w="327" w:type="pct"/>
            <w:shd w:val="clear" w:color="auto" w:fill="auto"/>
            <w:noWrap/>
            <w:vAlign w:val="center"/>
          </w:tcPr>
          <w:p w14:paraId="54DCFADB" w14:textId="77777777" w:rsidR="0065708A" w:rsidRPr="00513F1D" w:rsidRDefault="0065708A">
            <w:pPr>
              <w:spacing w:after="0" w:line="240" w:lineRule="auto"/>
              <w:jc w:val="center"/>
              <w:rPr>
                <w:rFonts w:eastAsia="Times New Roman"/>
                <w:sz w:val="16"/>
                <w:szCs w:val="16"/>
                <w:lang w:eastAsia="ru-RU"/>
              </w:rPr>
            </w:pPr>
          </w:p>
        </w:tc>
        <w:tc>
          <w:tcPr>
            <w:tcW w:w="363" w:type="pct"/>
            <w:shd w:val="clear" w:color="auto" w:fill="auto"/>
            <w:noWrap/>
            <w:vAlign w:val="center"/>
            <w:hideMark/>
          </w:tcPr>
          <w:p w14:paraId="3C908711" w14:textId="77777777" w:rsidR="0065708A" w:rsidRPr="00513F1D" w:rsidRDefault="0065708A">
            <w:pPr>
              <w:spacing w:after="0" w:line="240" w:lineRule="auto"/>
              <w:jc w:val="center"/>
              <w:rPr>
                <w:rFonts w:eastAsia="Times New Roman"/>
                <w:sz w:val="16"/>
                <w:szCs w:val="16"/>
                <w:lang w:eastAsia="ru-RU"/>
              </w:rPr>
            </w:pPr>
          </w:p>
        </w:tc>
        <w:tc>
          <w:tcPr>
            <w:tcW w:w="657" w:type="pct"/>
            <w:shd w:val="clear" w:color="auto" w:fill="auto"/>
            <w:vAlign w:val="center"/>
            <w:hideMark/>
          </w:tcPr>
          <w:p w14:paraId="0F9A6A0D" w14:textId="7613AB21" w:rsidR="0065708A" w:rsidRPr="00513F1D" w:rsidRDefault="0065708A" w:rsidP="00F94FED">
            <w:pPr>
              <w:spacing w:after="0" w:line="240" w:lineRule="auto"/>
              <w:jc w:val="center"/>
              <w:rPr>
                <w:rFonts w:eastAsia="Times New Roman"/>
                <w:sz w:val="16"/>
                <w:szCs w:val="16"/>
                <w:lang w:eastAsia="ru-RU"/>
              </w:rPr>
            </w:pPr>
          </w:p>
        </w:tc>
      </w:tr>
      <w:tr w:rsidR="0065708A" w:rsidRPr="00513F1D" w14:paraId="70EE274F" w14:textId="77777777" w:rsidTr="00CB5AA8">
        <w:trPr>
          <w:trHeight w:val="20"/>
        </w:trPr>
        <w:tc>
          <w:tcPr>
            <w:tcW w:w="1257" w:type="pct"/>
            <w:shd w:val="clear" w:color="auto" w:fill="auto"/>
            <w:vAlign w:val="bottom"/>
            <w:hideMark/>
          </w:tcPr>
          <w:p w14:paraId="700F6DD2" w14:textId="77777777" w:rsidR="0065708A" w:rsidRPr="00513F1D" w:rsidRDefault="0065708A" w:rsidP="009A4C46">
            <w:pPr>
              <w:spacing w:after="0" w:line="240" w:lineRule="auto"/>
              <w:rPr>
                <w:rFonts w:eastAsia="Times New Roman"/>
                <w:sz w:val="16"/>
                <w:szCs w:val="16"/>
                <w:lang w:eastAsia="ru-RU"/>
              </w:rPr>
            </w:pPr>
            <w:r w:rsidRPr="00513F1D">
              <w:rPr>
                <w:rFonts w:eastAsia="Times New Roman"/>
                <w:sz w:val="16"/>
                <w:szCs w:val="16"/>
                <w:lang w:eastAsia="ru-RU"/>
              </w:rPr>
              <w:t>Реконструкция ВЛ-0,4 с применением СИП г. Кызыл фидер 21,26/ТП-№56</w:t>
            </w:r>
          </w:p>
        </w:tc>
        <w:tc>
          <w:tcPr>
            <w:tcW w:w="556" w:type="pct"/>
            <w:shd w:val="clear" w:color="auto" w:fill="auto"/>
            <w:vAlign w:val="center"/>
          </w:tcPr>
          <w:p w14:paraId="1AF4F1B9" w14:textId="77777777" w:rsidR="0065708A" w:rsidRPr="00513F1D" w:rsidRDefault="0065708A" w:rsidP="003E2802">
            <w:pPr>
              <w:spacing w:after="0" w:line="240" w:lineRule="auto"/>
              <w:jc w:val="center"/>
              <w:rPr>
                <w:rFonts w:eastAsia="Times New Roman"/>
                <w:sz w:val="16"/>
                <w:szCs w:val="16"/>
                <w:lang w:eastAsia="ru-RU"/>
              </w:rPr>
            </w:pPr>
          </w:p>
        </w:tc>
        <w:tc>
          <w:tcPr>
            <w:tcW w:w="477" w:type="pct"/>
            <w:shd w:val="clear" w:color="auto" w:fill="auto"/>
            <w:vAlign w:val="center"/>
            <w:hideMark/>
          </w:tcPr>
          <w:p w14:paraId="41EA175B"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0,5</w:t>
            </w:r>
          </w:p>
        </w:tc>
        <w:tc>
          <w:tcPr>
            <w:tcW w:w="422" w:type="pct"/>
            <w:shd w:val="clear" w:color="auto" w:fill="auto"/>
            <w:noWrap/>
            <w:vAlign w:val="center"/>
          </w:tcPr>
          <w:p w14:paraId="4C8ECD08" w14:textId="77777777" w:rsidR="0065708A" w:rsidRPr="00513F1D" w:rsidRDefault="0065708A">
            <w:pPr>
              <w:spacing w:after="0" w:line="240" w:lineRule="auto"/>
              <w:jc w:val="center"/>
              <w:rPr>
                <w:rFonts w:eastAsia="Times New Roman"/>
                <w:sz w:val="16"/>
                <w:szCs w:val="16"/>
                <w:lang w:eastAsia="ru-RU"/>
              </w:rPr>
            </w:pPr>
          </w:p>
        </w:tc>
        <w:tc>
          <w:tcPr>
            <w:tcW w:w="371" w:type="pct"/>
            <w:shd w:val="clear" w:color="auto" w:fill="auto"/>
            <w:noWrap/>
            <w:vAlign w:val="center"/>
          </w:tcPr>
          <w:p w14:paraId="1D5C96FB" w14:textId="77777777" w:rsidR="0065708A" w:rsidRPr="00513F1D" w:rsidRDefault="0065708A">
            <w:pPr>
              <w:spacing w:after="0" w:line="240" w:lineRule="auto"/>
              <w:jc w:val="center"/>
              <w:rPr>
                <w:rFonts w:eastAsia="Times New Roman"/>
                <w:sz w:val="16"/>
                <w:szCs w:val="16"/>
                <w:lang w:eastAsia="ru-RU"/>
              </w:rPr>
            </w:pPr>
          </w:p>
        </w:tc>
        <w:tc>
          <w:tcPr>
            <w:tcW w:w="569" w:type="pct"/>
            <w:shd w:val="clear" w:color="auto" w:fill="auto"/>
            <w:noWrap/>
            <w:vAlign w:val="center"/>
            <w:hideMark/>
          </w:tcPr>
          <w:p w14:paraId="0418E451"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0,5</w:t>
            </w:r>
          </w:p>
        </w:tc>
        <w:tc>
          <w:tcPr>
            <w:tcW w:w="327" w:type="pct"/>
            <w:shd w:val="clear" w:color="auto" w:fill="auto"/>
            <w:noWrap/>
            <w:vAlign w:val="center"/>
          </w:tcPr>
          <w:p w14:paraId="49FBB5B1" w14:textId="77777777" w:rsidR="0065708A" w:rsidRPr="00513F1D" w:rsidRDefault="0065708A">
            <w:pPr>
              <w:spacing w:after="0" w:line="240" w:lineRule="auto"/>
              <w:jc w:val="center"/>
              <w:rPr>
                <w:rFonts w:eastAsia="Times New Roman"/>
                <w:sz w:val="16"/>
                <w:szCs w:val="16"/>
                <w:lang w:eastAsia="ru-RU"/>
              </w:rPr>
            </w:pPr>
          </w:p>
        </w:tc>
        <w:tc>
          <w:tcPr>
            <w:tcW w:w="363" w:type="pct"/>
            <w:shd w:val="clear" w:color="auto" w:fill="auto"/>
            <w:noWrap/>
            <w:vAlign w:val="center"/>
            <w:hideMark/>
          </w:tcPr>
          <w:p w14:paraId="58761EF7" w14:textId="77777777" w:rsidR="0065708A" w:rsidRPr="00513F1D" w:rsidRDefault="0065708A">
            <w:pPr>
              <w:spacing w:after="0" w:line="240" w:lineRule="auto"/>
              <w:jc w:val="center"/>
              <w:rPr>
                <w:rFonts w:eastAsia="Times New Roman"/>
                <w:sz w:val="16"/>
                <w:szCs w:val="16"/>
                <w:lang w:eastAsia="ru-RU"/>
              </w:rPr>
            </w:pPr>
          </w:p>
        </w:tc>
        <w:tc>
          <w:tcPr>
            <w:tcW w:w="657" w:type="pct"/>
            <w:shd w:val="clear" w:color="auto" w:fill="auto"/>
            <w:vAlign w:val="center"/>
            <w:hideMark/>
          </w:tcPr>
          <w:p w14:paraId="468ED780" w14:textId="6B990C18" w:rsidR="0065708A" w:rsidRPr="00513F1D" w:rsidRDefault="0065708A" w:rsidP="00F94FED">
            <w:pPr>
              <w:spacing w:after="0" w:line="240" w:lineRule="auto"/>
              <w:jc w:val="center"/>
              <w:rPr>
                <w:rFonts w:eastAsia="Times New Roman"/>
                <w:sz w:val="16"/>
                <w:szCs w:val="16"/>
                <w:lang w:eastAsia="ru-RU"/>
              </w:rPr>
            </w:pPr>
          </w:p>
        </w:tc>
      </w:tr>
      <w:tr w:rsidR="0065708A" w:rsidRPr="00513F1D" w14:paraId="450F3C53" w14:textId="77777777" w:rsidTr="00CB5AA8">
        <w:trPr>
          <w:trHeight w:val="20"/>
        </w:trPr>
        <w:tc>
          <w:tcPr>
            <w:tcW w:w="1257" w:type="pct"/>
            <w:shd w:val="clear" w:color="auto" w:fill="auto"/>
            <w:vAlign w:val="bottom"/>
            <w:hideMark/>
          </w:tcPr>
          <w:p w14:paraId="36627377" w14:textId="77777777" w:rsidR="0065708A" w:rsidRPr="00513F1D" w:rsidRDefault="0065708A" w:rsidP="009A4C46">
            <w:pPr>
              <w:spacing w:after="0" w:line="240" w:lineRule="auto"/>
              <w:rPr>
                <w:rFonts w:eastAsia="Times New Roman"/>
                <w:sz w:val="16"/>
                <w:szCs w:val="16"/>
                <w:lang w:eastAsia="ru-RU"/>
              </w:rPr>
            </w:pPr>
            <w:r w:rsidRPr="00513F1D">
              <w:rPr>
                <w:rFonts w:eastAsia="Times New Roman"/>
                <w:sz w:val="16"/>
                <w:szCs w:val="16"/>
                <w:lang w:eastAsia="ru-RU"/>
              </w:rPr>
              <w:t>Реконструкция ВЛ-0,4 с применением СИП г. Кызыл фидер 20/ТП-№31</w:t>
            </w:r>
          </w:p>
        </w:tc>
        <w:tc>
          <w:tcPr>
            <w:tcW w:w="556" w:type="pct"/>
            <w:shd w:val="clear" w:color="auto" w:fill="auto"/>
            <w:vAlign w:val="center"/>
          </w:tcPr>
          <w:p w14:paraId="79F45EFD" w14:textId="77777777" w:rsidR="0065708A" w:rsidRPr="00513F1D" w:rsidRDefault="0065708A" w:rsidP="003E2802">
            <w:pPr>
              <w:spacing w:after="0" w:line="240" w:lineRule="auto"/>
              <w:jc w:val="center"/>
              <w:rPr>
                <w:rFonts w:eastAsia="Times New Roman"/>
                <w:sz w:val="16"/>
                <w:szCs w:val="16"/>
                <w:lang w:eastAsia="ru-RU"/>
              </w:rPr>
            </w:pPr>
          </w:p>
        </w:tc>
        <w:tc>
          <w:tcPr>
            <w:tcW w:w="477" w:type="pct"/>
            <w:shd w:val="clear" w:color="auto" w:fill="auto"/>
            <w:vAlign w:val="center"/>
            <w:hideMark/>
          </w:tcPr>
          <w:p w14:paraId="2EED0A0B"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1,0</w:t>
            </w:r>
          </w:p>
        </w:tc>
        <w:tc>
          <w:tcPr>
            <w:tcW w:w="422" w:type="pct"/>
            <w:shd w:val="clear" w:color="auto" w:fill="auto"/>
            <w:noWrap/>
            <w:vAlign w:val="center"/>
          </w:tcPr>
          <w:p w14:paraId="56A724D5" w14:textId="77777777" w:rsidR="0065708A" w:rsidRPr="00513F1D" w:rsidRDefault="0065708A">
            <w:pPr>
              <w:spacing w:after="0" w:line="240" w:lineRule="auto"/>
              <w:jc w:val="center"/>
              <w:rPr>
                <w:rFonts w:eastAsia="Times New Roman"/>
                <w:sz w:val="16"/>
                <w:szCs w:val="16"/>
                <w:lang w:eastAsia="ru-RU"/>
              </w:rPr>
            </w:pPr>
          </w:p>
        </w:tc>
        <w:tc>
          <w:tcPr>
            <w:tcW w:w="371" w:type="pct"/>
            <w:shd w:val="clear" w:color="auto" w:fill="auto"/>
            <w:noWrap/>
            <w:vAlign w:val="center"/>
          </w:tcPr>
          <w:p w14:paraId="653CDB3D" w14:textId="77777777" w:rsidR="0065708A" w:rsidRPr="00513F1D" w:rsidRDefault="0065708A">
            <w:pPr>
              <w:spacing w:after="0" w:line="240" w:lineRule="auto"/>
              <w:jc w:val="center"/>
              <w:rPr>
                <w:rFonts w:eastAsia="Times New Roman"/>
                <w:sz w:val="16"/>
                <w:szCs w:val="16"/>
                <w:lang w:eastAsia="ru-RU"/>
              </w:rPr>
            </w:pPr>
          </w:p>
        </w:tc>
        <w:tc>
          <w:tcPr>
            <w:tcW w:w="569" w:type="pct"/>
            <w:shd w:val="clear" w:color="auto" w:fill="auto"/>
            <w:noWrap/>
            <w:vAlign w:val="center"/>
            <w:hideMark/>
          </w:tcPr>
          <w:p w14:paraId="6AB3A786"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1,0</w:t>
            </w:r>
          </w:p>
        </w:tc>
        <w:tc>
          <w:tcPr>
            <w:tcW w:w="327" w:type="pct"/>
            <w:shd w:val="clear" w:color="auto" w:fill="auto"/>
            <w:noWrap/>
            <w:vAlign w:val="center"/>
          </w:tcPr>
          <w:p w14:paraId="092E9CE5" w14:textId="77777777" w:rsidR="0065708A" w:rsidRPr="00513F1D" w:rsidRDefault="0065708A">
            <w:pPr>
              <w:spacing w:after="0" w:line="240" w:lineRule="auto"/>
              <w:jc w:val="center"/>
              <w:rPr>
                <w:rFonts w:eastAsia="Times New Roman"/>
                <w:sz w:val="16"/>
                <w:szCs w:val="16"/>
                <w:lang w:eastAsia="ru-RU"/>
              </w:rPr>
            </w:pPr>
          </w:p>
        </w:tc>
        <w:tc>
          <w:tcPr>
            <w:tcW w:w="363" w:type="pct"/>
            <w:shd w:val="clear" w:color="auto" w:fill="auto"/>
            <w:noWrap/>
            <w:vAlign w:val="center"/>
            <w:hideMark/>
          </w:tcPr>
          <w:p w14:paraId="5C45AF2B" w14:textId="77777777" w:rsidR="0065708A" w:rsidRPr="00513F1D" w:rsidRDefault="0065708A">
            <w:pPr>
              <w:spacing w:after="0" w:line="240" w:lineRule="auto"/>
              <w:jc w:val="center"/>
              <w:rPr>
                <w:rFonts w:eastAsia="Times New Roman"/>
                <w:sz w:val="16"/>
                <w:szCs w:val="16"/>
                <w:lang w:eastAsia="ru-RU"/>
              </w:rPr>
            </w:pPr>
          </w:p>
        </w:tc>
        <w:tc>
          <w:tcPr>
            <w:tcW w:w="657" w:type="pct"/>
            <w:shd w:val="clear" w:color="auto" w:fill="auto"/>
            <w:vAlign w:val="center"/>
            <w:hideMark/>
          </w:tcPr>
          <w:p w14:paraId="785DE460" w14:textId="6971DF57" w:rsidR="0065708A" w:rsidRPr="00513F1D" w:rsidRDefault="0065708A" w:rsidP="00F94FED">
            <w:pPr>
              <w:spacing w:after="0" w:line="240" w:lineRule="auto"/>
              <w:jc w:val="center"/>
              <w:rPr>
                <w:rFonts w:eastAsia="Times New Roman"/>
                <w:sz w:val="16"/>
                <w:szCs w:val="16"/>
                <w:lang w:eastAsia="ru-RU"/>
              </w:rPr>
            </w:pPr>
          </w:p>
        </w:tc>
      </w:tr>
      <w:tr w:rsidR="0065708A" w:rsidRPr="00513F1D" w14:paraId="315A3145" w14:textId="77777777" w:rsidTr="00CB5AA8">
        <w:trPr>
          <w:trHeight w:val="20"/>
        </w:trPr>
        <w:tc>
          <w:tcPr>
            <w:tcW w:w="1257" w:type="pct"/>
            <w:shd w:val="clear" w:color="auto" w:fill="auto"/>
            <w:vAlign w:val="bottom"/>
            <w:hideMark/>
          </w:tcPr>
          <w:p w14:paraId="6DA063CB" w14:textId="77777777" w:rsidR="0065708A" w:rsidRPr="00513F1D" w:rsidRDefault="0065708A" w:rsidP="009A4C46">
            <w:pPr>
              <w:spacing w:after="0" w:line="240" w:lineRule="auto"/>
              <w:rPr>
                <w:rFonts w:eastAsia="Times New Roman"/>
                <w:sz w:val="16"/>
                <w:szCs w:val="16"/>
                <w:lang w:eastAsia="ru-RU"/>
              </w:rPr>
            </w:pPr>
            <w:r w:rsidRPr="00513F1D">
              <w:rPr>
                <w:rFonts w:eastAsia="Times New Roman"/>
                <w:sz w:val="16"/>
                <w:szCs w:val="16"/>
                <w:lang w:eastAsia="ru-RU"/>
              </w:rPr>
              <w:t>Реконструкция ВЛ-0,4 с применением СИП г. Кызыл фидер 20/ТП-№32</w:t>
            </w:r>
          </w:p>
        </w:tc>
        <w:tc>
          <w:tcPr>
            <w:tcW w:w="556" w:type="pct"/>
            <w:shd w:val="clear" w:color="auto" w:fill="auto"/>
            <w:vAlign w:val="center"/>
          </w:tcPr>
          <w:p w14:paraId="3D214713" w14:textId="77777777" w:rsidR="0065708A" w:rsidRPr="00513F1D" w:rsidRDefault="0065708A" w:rsidP="003E2802">
            <w:pPr>
              <w:spacing w:after="0" w:line="240" w:lineRule="auto"/>
              <w:jc w:val="center"/>
              <w:rPr>
                <w:rFonts w:eastAsia="Times New Roman"/>
                <w:sz w:val="16"/>
                <w:szCs w:val="16"/>
                <w:lang w:eastAsia="ru-RU"/>
              </w:rPr>
            </w:pPr>
          </w:p>
        </w:tc>
        <w:tc>
          <w:tcPr>
            <w:tcW w:w="477" w:type="pct"/>
            <w:shd w:val="clear" w:color="auto" w:fill="auto"/>
            <w:vAlign w:val="center"/>
            <w:hideMark/>
          </w:tcPr>
          <w:p w14:paraId="40B08622"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2,1</w:t>
            </w:r>
          </w:p>
        </w:tc>
        <w:tc>
          <w:tcPr>
            <w:tcW w:w="422" w:type="pct"/>
            <w:shd w:val="clear" w:color="auto" w:fill="auto"/>
            <w:noWrap/>
            <w:vAlign w:val="center"/>
          </w:tcPr>
          <w:p w14:paraId="4F16A536" w14:textId="77777777" w:rsidR="0065708A" w:rsidRPr="00513F1D" w:rsidRDefault="0065708A">
            <w:pPr>
              <w:spacing w:after="0" w:line="240" w:lineRule="auto"/>
              <w:jc w:val="center"/>
              <w:rPr>
                <w:rFonts w:eastAsia="Times New Roman"/>
                <w:sz w:val="16"/>
                <w:szCs w:val="16"/>
                <w:lang w:eastAsia="ru-RU"/>
              </w:rPr>
            </w:pPr>
          </w:p>
        </w:tc>
        <w:tc>
          <w:tcPr>
            <w:tcW w:w="371" w:type="pct"/>
            <w:shd w:val="clear" w:color="auto" w:fill="auto"/>
            <w:noWrap/>
            <w:vAlign w:val="center"/>
          </w:tcPr>
          <w:p w14:paraId="32CCE0CF" w14:textId="77777777" w:rsidR="0065708A" w:rsidRPr="00513F1D" w:rsidRDefault="0065708A">
            <w:pPr>
              <w:spacing w:after="0" w:line="240" w:lineRule="auto"/>
              <w:jc w:val="center"/>
              <w:rPr>
                <w:rFonts w:eastAsia="Times New Roman"/>
                <w:sz w:val="16"/>
                <w:szCs w:val="16"/>
                <w:lang w:eastAsia="ru-RU"/>
              </w:rPr>
            </w:pPr>
          </w:p>
        </w:tc>
        <w:tc>
          <w:tcPr>
            <w:tcW w:w="569" w:type="pct"/>
            <w:shd w:val="clear" w:color="auto" w:fill="auto"/>
            <w:noWrap/>
            <w:vAlign w:val="center"/>
            <w:hideMark/>
          </w:tcPr>
          <w:p w14:paraId="78D93705"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2,1</w:t>
            </w:r>
          </w:p>
        </w:tc>
        <w:tc>
          <w:tcPr>
            <w:tcW w:w="327" w:type="pct"/>
            <w:shd w:val="clear" w:color="auto" w:fill="auto"/>
            <w:noWrap/>
            <w:vAlign w:val="center"/>
          </w:tcPr>
          <w:p w14:paraId="4020A225" w14:textId="77777777" w:rsidR="0065708A" w:rsidRPr="00513F1D" w:rsidRDefault="0065708A">
            <w:pPr>
              <w:spacing w:after="0" w:line="240" w:lineRule="auto"/>
              <w:jc w:val="center"/>
              <w:rPr>
                <w:rFonts w:eastAsia="Times New Roman"/>
                <w:sz w:val="16"/>
                <w:szCs w:val="16"/>
                <w:lang w:eastAsia="ru-RU"/>
              </w:rPr>
            </w:pPr>
          </w:p>
        </w:tc>
        <w:tc>
          <w:tcPr>
            <w:tcW w:w="363" w:type="pct"/>
            <w:shd w:val="clear" w:color="auto" w:fill="auto"/>
            <w:noWrap/>
            <w:vAlign w:val="center"/>
            <w:hideMark/>
          </w:tcPr>
          <w:p w14:paraId="3EF92B80" w14:textId="77777777" w:rsidR="0065708A" w:rsidRPr="00513F1D" w:rsidRDefault="0065708A">
            <w:pPr>
              <w:spacing w:after="0" w:line="240" w:lineRule="auto"/>
              <w:jc w:val="center"/>
              <w:rPr>
                <w:rFonts w:eastAsia="Times New Roman"/>
                <w:sz w:val="16"/>
                <w:szCs w:val="16"/>
                <w:lang w:eastAsia="ru-RU"/>
              </w:rPr>
            </w:pPr>
          </w:p>
        </w:tc>
        <w:tc>
          <w:tcPr>
            <w:tcW w:w="657" w:type="pct"/>
            <w:shd w:val="clear" w:color="auto" w:fill="auto"/>
            <w:vAlign w:val="center"/>
            <w:hideMark/>
          </w:tcPr>
          <w:p w14:paraId="7806A0F8" w14:textId="5091F8BA" w:rsidR="0065708A" w:rsidRPr="00513F1D" w:rsidRDefault="0065708A" w:rsidP="00F94FED">
            <w:pPr>
              <w:spacing w:after="0" w:line="240" w:lineRule="auto"/>
              <w:jc w:val="center"/>
              <w:rPr>
                <w:rFonts w:eastAsia="Times New Roman"/>
                <w:sz w:val="16"/>
                <w:szCs w:val="16"/>
                <w:lang w:eastAsia="ru-RU"/>
              </w:rPr>
            </w:pPr>
          </w:p>
        </w:tc>
      </w:tr>
      <w:tr w:rsidR="0065708A" w:rsidRPr="00513F1D" w14:paraId="1F5E3560" w14:textId="77777777" w:rsidTr="00CB5AA8">
        <w:trPr>
          <w:trHeight w:val="20"/>
        </w:trPr>
        <w:tc>
          <w:tcPr>
            <w:tcW w:w="1257" w:type="pct"/>
            <w:shd w:val="clear" w:color="auto" w:fill="auto"/>
            <w:vAlign w:val="bottom"/>
            <w:hideMark/>
          </w:tcPr>
          <w:p w14:paraId="496BB6EF" w14:textId="77777777" w:rsidR="0065708A" w:rsidRPr="00513F1D" w:rsidRDefault="0065708A" w:rsidP="009A4C46">
            <w:pPr>
              <w:spacing w:after="0" w:line="240" w:lineRule="auto"/>
              <w:rPr>
                <w:rFonts w:eastAsia="Times New Roman"/>
                <w:sz w:val="16"/>
                <w:szCs w:val="16"/>
                <w:lang w:eastAsia="ru-RU"/>
              </w:rPr>
            </w:pPr>
            <w:r w:rsidRPr="00513F1D">
              <w:rPr>
                <w:rFonts w:eastAsia="Times New Roman"/>
                <w:sz w:val="16"/>
                <w:szCs w:val="16"/>
                <w:lang w:eastAsia="ru-RU"/>
              </w:rPr>
              <w:t>Реконструкция ВЛ-0,4 с применением СИП г. Кызыл фидер 23/ТП-№44</w:t>
            </w:r>
          </w:p>
        </w:tc>
        <w:tc>
          <w:tcPr>
            <w:tcW w:w="556" w:type="pct"/>
            <w:shd w:val="clear" w:color="auto" w:fill="auto"/>
            <w:vAlign w:val="center"/>
          </w:tcPr>
          <w:p w14:paraId="4455D540" w14:textId="77777777" w:rsidR="0065708A" w:rsidRPr="00513F1D" w:rsidRDefault="0065708A" w:rsidP="003E2802">
            <w:pPr>
              <w:spacing w:after="0" w:line="240" w:lineRule="auto"/>
              <w:jc w:val="center"/>
              <w:rPr>
                <w:rFonts w:eastAsia="Times New Roman"/>
                <w:sz w:val="16"/>
                <w:szCs w:val="16"/>
                <w:lang w:eastAsia="ru-RU"/>
              </w:rPr>
            </w:pPr>
          </w:p>
        </w:tc>
        <w:tc>
          <w:tcPr>
            <w:tcW w:w="477" w:type="pct"/>
            <w:shd w:val="clear" w:color="auto" w:fill="auto"/>
            <w:vAlign w:val="center"/>
            <w:hideMark/>
          </w:tcPr>
          <w:p w14:paraId="2BE2DDB4"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5,9</w:t>
            </w:r>
          </w:p>
        </w:tc>
        <w:tc>
          <w:tcPr>
            <w:tcW w:w="422" w:type="pct"/>
            <w:shd w:val="clear" w:color="auto" w:fill="auto"/>
            <w:noWrap/>
            <w:vAlign w:val="center"/>
          </w:tcPr>
          <w:p w14:paraId="396019FC" w14:textId="77777777" w:rsidR="0065708A" w:rsidRPr="00513F1D" w:rsidRDefault="0065708A">
            <w:pPr>
              <w:spacing w:after="0" w:line="240" w:lineRule="auto"/>
              <w:jc w:val="center"/>
              <w:rPr>
                <w:rFonts w:eastAsia="Times New Roman"/>
                <w:sz w:val="16"/>
                <w:szCs w:val="16"/>
                <w:lang w:eastAsia="ru-RU"/>
              </w:rPr>
            </w:pPr>
          </w:p>
        </w:tc>
        <w:tc>
          <w:tcPr>
            <w:tcW w:w="371" w:type="pct"/>
            <w:shd w:val="clear" w:color="auto" w:fill="auto"/>
            <w:noWrap/>
            <w:vAlign w:val="center"/>
          </w:tcPr>
          <w:p w14:paraId="36D198FC" w14:textId="77777777" w:rsidR="0065708A" w:rsidRPr="00513F1D" w:rsidRDefault="0065708A">
            <w:pPr>
              <w:spacing w:after="0" w:line="240" w:lineRule="auto"/>
              <w:jc w:val="center"/>
              <w:rPr>
                <w:rFonts w:eastAsia="Times New Roman"/>
                <w:sz w:val="16"/>
                <w:szCs w:val="16"/>
                <w:lang w:eastAsia="ru-RU"/>
              </w:rPr>
            </w:pPr>
          </w:p>
        </w:tc>
        <w:tc>
          <w:tcPr>
            <w:tcW w:w="569" w:type="pct"/>
            <w:shd w:val="clear" w:color="auto" w:fill="auto"/>
            <w:noWrap/>
            <w:vAlign w:val="center"/>
            <w:hideMark/>
          </w:tcPr>
          <w:p w14:paraId="21E6DD7B"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5,9</w:t>
            </w:r>
          </w:p>
        </w:tc>
        <w:tc>
          <w:tcPr>
            <w:tcW w:w="327" w:type="pct"/>
            <w:shd w:val="clear" w:color="auto" w:fill="auto"/>
            <w:noWrap/>
            <w:vAlign w:val="center"/>
          </w:tcPr>
          <w:p w14:paraId="30CB7AAC" w14:textId="77777777" w:rsidR="0065708A" w:rsidRPr="00513F1D" w:rsidRDefault="0065708A">
            <w:pPr>
              <w:spacing w:after="0" w:line="240" w:lineRule="auto"/>
              <w:jc w:val="center"/>
              <w:rPr>
                <w:rFonts w:eastAsia="Times New Roman"/>
                <w:sz w:val="16"/>
                <w:szCs w:val="16"/>
                <w:lang w:eastAsia="ru-RU"/>
              </w:rPr>
            </w:pPr>
          </w:p>
        </w:tc>
        <w:tc>
          <w:tcPr>
            <w:tcW w:w="363" w:type="pct"/>
            <w:shd w:val="clear" w:color="auto" w:fill="auto"/>
            <w:noWrap/>
            <w:vAlign w:val="center"/>
            <w:hideMark/>
          </w:tcPr>
          <w:p w14:paraId="092DDACD" w14:textId="77777777" w:rsidR="0065708A" w:rsidRPr="00513F1D" w:rsidRDefault="0065708A">
            <w:pPr>
              <w:spacing w:after="0" w:line="240" w:lineRule="auto"/>
              <w:jc w:val="center"/>
              <w:rPr>
                <w:rFonts w:eastAsia="Times New Roman"/>
                <w:sz w:val="16"/>
                <w:szCs w:val="16"/>
                <w:lang w:eastAsia="ru-RU"/>
              </w:rPr>
            </w:pPr>
          </w:p>
        </w:tc>
        <w:tc>
          <w:tcPr>
            <w:tcW w:w="657" w:type="pct"/>
            <w:shd w:val="clear" w:color="auto" w:fill="auto"/>
            <w:vAlign w:val="center"/>
            <w:hideMark/>
          </w:tcPr>
          <w:p w14:paraId="3F2F946F" w14:textId="0AFFD589" w:rsidR="0065708A" w:rsidRPr="00513F1D" w:rsidRDefault="0065708A" w:rsidP="00F94FED">
            <w:pPr>
              <w:spacing w:after="0" w:line="240" w:lineRule="auto"/>
              <w:jc w:val="center"/>
              <w:rPr>
                <w:rFonts w:eastAsia="Times New Roman"/>
                <w:sz w:val="16"/>
                <w:szCs w:val="16"/>
                <w:lang w:eastAsia="ru-RU"/>
              </w:rPr>
            </w:pPr>
          </w:p>
        </w:tc>
      </w:tr>
      <w:tr w:rsidR="0065708A" w:rsidRPr="00513F1D" w14:paraId="20300271" w14:textId="77777777" w:rsidTr="00CB5AA8">
        <w:trPr>
          <w:trHeight w:val="20"/>
        </w:trPr>
        <w:tc>
          <w:tcPr>
            <w:tcW w:w="1257" w:type="pct"/>
            <w:shd w:val="clear" w:color="auto" w:fill="auto"/>
            <w:vAlign w:val="bottom"/>
            <w:hideMark/>
          </w:tcPr>
          <w:p w14:paraId="35EE5F99" w14:textId="77777777" w:rsidR="0065708A" w:rsidRPr="00513F1D" w:rsidRDefault="0065708A" w:rsidP="009A4C46">
            <w:pPr>
              <w:spacing w:after="0" w:line="240" w:lineRule="auto"/>
              <w:rPr>
                <w:rFonts w:eastAsia="Times New Roman"/>
                <w:sz w:val="16"/>
                <w:szCs w:val="16"/>
                <w:lang w:eastAsia="ru-RU"/>
              </w:rPr>
            </w:pPr>
            <w:r w:rsidRPr="00513F1D">
              <w:rPr>
                <w:rFonts w:eastAsia="Times New Roman"/>
                <w:sz w:val="16"/>
                <w:szCs w:val="16"/>
                <w:lang w:eastAsia="ru-RU"/>
              </w:rPr>
              <w:t>Реконструкция ВЛ-0,4 с применением СИП г. Кызыл фидер 20-03/ТП – 150</w:t>
            </w:r>
          </w:p>
        </w:tc>
        <w:tc>
          <w:tcPr>
            <w:tcW w:w="556" w:type="pct"/>
            <w:shd w:val="clear" w:color="auto" w:fill="auto"/>
            <w:vAlign w:val="center"/>
          </w:tcPr>
          <w:p w14:paraId="14D62F4D" w14:textId="77777777" w:rsidR="0065708A" w:rsidRPr="00513F1D" w:rsidRDefault="0065708A" w:rsidP="003E2802">
            <w:pPr>
              <w:spacing w:after="0" w:line="240" w:lineRule="auto"/>
              <w:jc w:val="center"/>
              <w:rPr>
                <w:rFonts w:eastAsia="Times New Roman"/>
                <w:sz w:val="16"/>
                <w:szCs w:val="16"/>
                <w:lang w:eastAsia="ru-RU"/>
              </w:rPr>
            </w:pPr>
          </w:p>
        </w:tc>
        <w:tc>
          <w:tcPr>
            <w:tcW w:w="477" w:type="pct"/>
            <w:shd w:val="clear" w:color="auto" w:fill="auto"/>
            <w:vAlign w:val="center"/>
            <w:hideMark/>
          </w:tcPr>
          <w:p w14:paraId="77E151B8"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15,7</w:t>
            </w:r>
          </w:p>
        </w:tc>
        <w:tc>
          <w:tcPr>
            <w:tcW w:w="422" w:type="pct"/>
            <w:shd w:val="clear" w:color="auto" w:fill="auto"/>
            <w:noWrap/>
            <w:vAlign w:val="center"/>
          </w:tcPr>
          <w:p w14:paraId="1A08FB41" w14:textId="77777777" w:rsidR="0065708A" w:rsidRPr="00513F1D" w:rsidRDefault="0065708A">
            <w:pPr>
              <w:spacing w:after="0" w:line="240" w:lineRule="auto"/>
              <w:jc w:val="center"/>
              <w:rPr>
                <w:rFonts w:eastAsia="Times New Roman"/>
                <w:sz w:val="16"/>
                <w:szCs w:val="16"/>
                <w:lang w:eastAsia="ru-RU"/>
              </w:rPr>
            </w:pPr>
          </w:p>
        </w:tc>
        <w:tc>
          <w:tcPr>
            <w:tcW w:w="371" w:type="pct"/>
            <w:shd w:val="clear" w:color="auto" w:fill="auto"/>
            <w:noWrap/>
            <w:vAlign w:val="center"/>
          </w:tcPr>
          <w:p w14:paraId="659BA662" w14:textId="77777777" w:rsidR="0065708A" w:rsidRPr="00513F1D" w:rsidRDefault="0065708A">
            <w:pPr>
              <w:spacing w:after="0" w:line="240" w:lineRule="auto"/>
              <w:jc w:val="center"/>
              <w:rPr>
                <w:rFonts w:eastAsia="Times New Roman"/>
                <w:sz w:val="16"/>
                <w:szCs w:val="16"/>
                <w:lang w:eastAsia="ru-RU"/>
              </w:rPr>
            </w:pPr>
          </w:p>
        </w:tc>
        <w:tc>
          <w:tcPr>
            <w:tcW w:w="569" w:type="pct"/>
            <w:shd w:val="clear" w:color="auto" w:fill="auto"/>
            <w:noWrap/>
            <w:vAlign w:val="center"/>
            <w:hideMark/>
          </w:tcPr>
          <w:p w14:paraId="1F4AD92B"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15,7</w:t>
            </w:r>
          </w:p>
        </w:tc>
        <w:tc>
          <w:tcPr>
            <w:tcW w:w="327" w:type="pct"/>
            <w:shd w:val="clear" w:color="auto" w:fill="auto"/>
            <w:noWrap/>
            <w:vAlign w:val="center"/>
          </w:tcPr>
          <w:p w14:paraId="1579F8C0" w14:textId="77777777" w:rsidR="0065708A" w:rsidRPr="00513F1D" w:rsidRDefault="0065708A">
            <w:pPr>
              <w:spacing w:after="0" w:line="240" w:lineRule="auto"/>
              <w:jc w:val="center"/>
              <w:rPr>
                <w:rFonts w:eastAsia="Times New Roman"/>
                <w:sz w:val="16"/>
                <w:szCs w:val="16"/>
                <w:lang w:eastAsia="ru-RU"/>
              </w:rPr>
            </w:pPr>
          </w:p>
        </w:tc>
        <w:tc>
          <w:tcPr>
            <w:tcW w:w="363" w:type="pct"/>
            <w:shd w:val="clear" w:color="auto" w:fill="auto"/>
            <w:noWrap/>
            <w:vAlign w:val="center"/>
            <w:hideMark/>
          </w:tcPr>
          <w:p w14:paraId="0348A516" w14:textId="77777777" w:rsidR="0065708A" w:rsidRPr="00513F1D" w:rsidRDefault="0065708A">
            <w:pPr>
              <w:spacing w:after="0" w:line="240" w:lineRule="auto"/>
              <w:jc w:val="center"/>
              <w:rPr>
                <w:rFonts w:eastAsia="Times New Roman"/>
                <w:sz w:val="16"/>
                <w:szCs w:val="16"/>
                <w:lang w:eastAsia="ru-RU"/>
              </w:rPr>
            </w:pPr>
          </w:p>
        </w:tc>
        <w:tc>
          <w:tcPr>
            <w:tcW w:w="657" w:type="pct"/>
            <w:shd w:val="clear" w:color="auto" w:fill="auto"/>
            <w:vAlign w:val="center"/>
            <w:hideMark/>
          </w:tcPr>
          <w:p w14:paraId="14F1ED79" w14:textId="13AF93B5" w:rsidR="0065708A" w:rsidRPr="00513F1D" w:rsidRDefault="0065708A" w:rsidP="00F94FED">
            <w:pPr>
              <w:spacing w:after="0" w:line="240" w:lineRule="auto"/>
              <w:jc w:val="center"/>
              <w:rPr>
                <w:rFonts w:eastAsia="Times New Roman"/>
                <w:sz w:val="16"/>
                <w:szCs w:val="16"/>
                <w:lang w:eastAsia="ru-RU"/>
              </w:rPr>
            </w:pPr>
          </w:p>
        </w:tc>
      </w:tr>
      <w:tr w:rsidR="0065708A" w:rsidRPr="00513F1D" w14:paraId="7E6FE30F" w14:textId="77777777" w:rsidTr="00CB5AA8">
        <w:trPr>
          <w:trHeight w:val="20"/>
        </w:trPr>
        <w:tc>
          <w:tcPr>
            <w:tcW w:w="1257" w:type="pct"/>
            <w:shd w:val="clear" w:color="auto" w:fill="auto"/>
            <w:vAlign w:val="bottom"/>
            <w:hideMark/>
          </w:tcPr>
          <w:p w14:paraId="15329E22" w14:textId="77777777" w:rsidR="0065708A" w:rsidRPr="00513F1D" w:rsidRDefault="0065708A" w:rsidP="009A4C46">
            <w:pPr>
              <w:spacing w:after="0" w:line="240" w:lineRule="auto"/>
              <w:rPr>
                <w:rFonts w:eastAsia="Times New Roman"/>
                <w:sz w:val="16"/>
                <w:szCs w:val="16"/>
                <w:lang w:eastAsia="ru-RU"/>
              </w:rPr>
            </w:pPr>
            <w:r w:rsidRPr="00513F1D">
              <w:rPr>
                <w:rFonts w:eastAsia="Times New Roman"/>
                <w:sz w:val="16"/>
                <w:szCs w:val="16"/>
                <w:lang w:eastAsia="ru-RU"/>
              </w:rPr>
              <w:t>Реконструкция ВЛ-0,4 с применением СИП г. Кызыл фидер 16/ТП-№57</w:t>
            </w:r>
          </w:p>
        </w:tc>
        <w:tc>
          <w:tcPr>
            <w:tcW w:w="556" w:type="pct"/>
            <w:shd w:val="clear" w:color="auto" w:fill="auto"/>
            <w:vAlign w:val="center"/>
          </w:tcPr>
          <w:p w14:paraId="51E93E6A" w14:textId="77777777" w:rsidR="0065708A" w:rsidRPr="00513F1D" w:rsidRDefault="0065708A" w:rsidP="003E2802">
            <w:pPr>
              <w:spacing w:after="0" w:line="240" w:lineRule="auto"/>
              <w:jc w:val="center"/>
              <w:rPr>
                <w:rFonts w:eastAsia="Times New Roman"/>
                <w:sz w:val="16"/>
                <w:szCs w:val="16"/>
                <w:lang w:eastAsia="ru-RU"/>
              </w:rPr>
            </w:pPr>
          </w:p>
        </w:tc>
        <w:tc>
          <w:tcPr>
            <w:tcW w:w="477" w:type="pct"/>
            <w:shd w:val="clear" w:color="auto" w:fill="auto"/>
            <w:vAlign w:val="center"/>
            <w:hideMark/>
          </w:tcPr>
          <w:p w14:paraId="7C0C4DF5"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6,2</w:t>
            </w:r>
          </w:p>
        </w:tc>
        <w:tc>
          <w:tcPr>
            <w:tcW w:w="422" w:type="pct"/>
            <w:shd w:val="clear" w:color="auto" w:fill="auto"/>
            <w:noWrap/>
            <w:vAlign w:val="center"/>
          </w:tcPr>
          <w:p w14:paraId="7F17ADF4" w14:textId="77777777" w:rsidR="0065708A" w:rsidRPr="00513F1D" w:rsidRDefault="0065708A">
            <w:pPr>
              <w:spacing w:after="0" w:line="240" w:lineRule="auto"/>
              <w:jc w:val="center"/>
              <w:rPr>
                <w:rFonts w:eastAsia="Times New Roman"/>
                <w:sz w:val="16"/>
                <w:szCs w:val="16"/>
                <w:lang w:eastAsia="ru-RU"/>
              </w:rPr>
            </w:pPr>
          </w:p>
        </w:tc>
        <w:tc>
          <w:tcPr>
            <w:tcW w:w="371" w:type="pct"/>
            <w:shd w:val="clear" w:color="auto" w:fill="auto"/>
            <w:noWrap/>
            <w:vAlign w:val="center"/>
          </w:tcPr>
          <w:p w14:paraId="4A7976E1" w14:textId="77777777" w:rsidR="0065708A" w:rsidRPr="00513F1D" w:rsidRDefault="0065708A">
            <w:pPr>
              <w:spacing w:after="0" w:line="240" w:lineRule="auto"/>
              <w:jc w:val="center"/>
              <w:rPr>
                <w:rFonts w:eastAsia="Times New Roman"/>
                <w:sz w:val="16"/>
                <w:szCs w:val="16"/>
                <w:lang w:eastAsia="ru-RU"/>
              </w:rPr>
            </w:pPr>
          </w:p>
        </w:tc>
        <w:tc>
          <w:tcPr>
            <w:tcW w:w="569" w:type="pct"/>
            <w:shd w:val="clear" w:color="auto" w:fill="auto"/>
            <w:noWrap/>
            <w:vAlign w:val="center"/>
            <w:hideMark/>
          </w:tcPr>
          <w:p w14:paraId="30D27EB7"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6,2</w:t>
            </w:r>
          </w:p>
        </w:tc>
        <w:tc>
          <w:tcPr>
            <w:tcW w:w="327" w:type="pct"/>
            <w:shd w:val="clear" w:color="auto" w:fill="auto"/>
            <w:noWrap/>
            <w:vAlign w:val="center"/>
          </w:tcPr>
          <w:p w14:paraId="1653F851" w14:textId="77777777" w:rsidR="0065708A" w:rsidRPr="00513F1D" w:rsidRDefault="0065708A">
            <w:pPr>
              <w:spacing w:after="0" w:line="240" w:lineRule="auto"/>
              <w:jc w:val="center"/>
              <w:rPr>
                <w:rFonts w:eastAsia="Times New Roman"/>
                <w:sz w:val="16"/>
                <w:szCs w:val="16"/>
                <w:lang w:eastAsia="ru-RU"/>
              </w:rPr>
            </w:pPr>
          </w:p>
        </w:tc>
        <w:tc>
          <w:tcPr>
            <w:tcW w:w="363" w:type="pct"/>
            <w:shd w:val="clear" w:color="auto" w:fill="auto"/>
            <w:noWrap/>
            <w:vAlign w:val="center"/>
            <w:hideMark/>
          </w:tcPr>
          <w:p w14:paraId="2E69F9FE" w14:textId="77777777" w:rsidR="0065708A" w:rsidRPr="00513F1D" w:rsidRDefault="0065708A">
            <w:pPr>
              <w:spacing w:after="0" w:line="240" w:lineRule="auto"/>
              <w:jc w:val="center"/>
              <w:rPr>
                <w:rFonts w:eastAsia="Times New Roman"/>
                <w:sz w:val="16"/>
                <w:szCs w:val="16"/>
                <w:lang w:eastAsia="ru-RU"/>
              </w:rPr>
            </w:pPr>
          </w:p>
        </w:tc>
        <w:tc>
          <w:tcPr>
            <w:tcW w:w="657" w:type="pct"/>
            <w:shd w:val="clear" w:color="auto" w:fill="auto"/>
            <w:vAlign w:val="center"/>
            <w:hideMark/>
          </w:tcPr>
          <w:p w14:paraId="32A85273" w14:textId="51C23D4D" w:rsidR="0065708A" w:rsidRPr="00513F1D" w:rsidRDefault="0065708A" w:rsidP="00F94FED">
            <w:pPr>
              <w:spacing w:after="0" w:line="240" w:lineRule="auto"/>
              <w:jc w:val="center"/>
              <w:rPr>
                <w:rFonts w:eastAsia="Times New Roman"/>
                <w:sz w:val="16"/>
                <w:szCs w:val="16"/>
                <w:lang w:eastAsia="ru-RU"/>
              </w:rPr>
            </w:pPr>
          </w:p>
        </w:tc>
      </w:tr>
      <w:tr w:rsidR="0065708A" w:rsidRPr="00513F1D" w14:paraId="4B1075A0" w14:textId="77777777" w:rsidTr="00CB5AA8">
        <w:trPr>
          <w:trHeight w:val="20"/>
        </w:trPr>
        <w:tc>
          <w:tcPr>
            <w:tcW w:w="1257" w:type="pct"/>
            <w:shd w:val="clear" w:color="auto" w:fill="auto"/>
            <w:vAlign w:val="bottom"/>
            <w:hideMark/>
          </w:tcPr>
          <w:p w14:paraId="714BCCE5" w14:textId="77777777" w:rsidR="0065708A" w:rsidRPr="00513F1D" w:rsidRDefault="0065708A" w:rsidP="009A4C46">
            <w:pPr>
              <w:spacing w:after="0" w:line="240" w:lineRule="auto"/>
              <w:rPr>
                <w:rFonts w:eastAsia="Times New Roman"/>
                <w:sz w:val="16"/>
                <w:szCs w:val="16"/>
                <w:lang w:eastAsia="ru-RU"/>
              </w:rPr>
            </w:pPr>
            <w:r w:rsidRPr="00513F1D">
              <w:rPr>
                <w:rFonts w:eastAsia="Times New Roman"/>
                <w:sz w:val="16"/>
                <w:szCs w:val="16"/>
                <w:lang w:eastAsia="ru-RU"/>
              </w:rPr>
              <w:t xml:space="preserve">Реконструкция ВЛ-0,4 с применением СИП г. Кызыл фидер 22/ТП-№23 </w:t>
            </w:r>
          </w:p>
        </w:tc>
        <w:tc>
          <w:tcPr>
            <w:tcW w:w="556" w:type="pct"/>
            <w:shd w:val="clear" w:color="auto" w:fill="auto"/>
            <w:vAlign w:val="center"/>
          </w:tcPr>
          <w:p w14:paraId="04007304" w14:textId="77777777" w:rsidR="0065708A" w:rsidRPr="00513F1D" w:rsidRDefault="0065708A" w:rsidP="003E2802">
            <w:pPr>
              <w:spacing w:after="0" w:line="240" w:lineRule="auto"/>
              <w:jc w:val="center"/>
              <w:rPr>
                <w:rFonts w:eastAsia="Times New Roman"/>
                <w:sz w:val="16"/>
                <w:szCs w:val="16"/>
                <w:lang w:eastAsia="ru-RU"/>
              </w:rPr>
            </w:pPr>
          </w:p>
        </w:tc>
        <w:tc>
          <w:tcPr>
            <w:tcW w:w="477" w:type="pct"/>
            <w:shd w:val="clear" w:color="auto" w:fill="auto"/>
            <w:vAlign w:val="center"/>
            <w:hideMark/>
          </w:tcPr>
          <w:p w14:paraId="204923D1"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43,0</w:t>
            </w:r>
          </w:p>
        </w:tc>
        <w:tc>
          <w:tcPr>
            <w:tcW w:w="422" w:type="pct"/>
            <w:shd w:val="clear" w:color="auto" w:fill="auto"/>
            <w:noWrap/>
            <w:vAlign w:val="center"/>
          </w:tcPr>
          <w:p w14:paraId="30EFC7B8" w14:textId="77777777" w:rsidR="0065708A" w:rsidRPr="00513F1D" w:rsidRDefault="0065708A">
            <w:pPr>
              <w:spacing w:after="0" w:line="240" w:lineRule="auto"/>
              <w:jc w:val="center"/>
              <w:rPr>
                <w:rFonts w:eastAsia="Times New Roman"/>
                <w:sz w:val="16"/>
                <w:szCs w:val="16"/>
                <w:lang w:eastAsia="ru-RU"/>
              </w:rPr>
            </w:pPr>
          </w:p>
        </w:tc>
        <w:tc>
          <w:tcPr>
            <w:tcW w:w="371" w:type="pct"/>
            <w:shd w:val="clear" w:color="auto" w:fill="auto"/>
            <w:noWrap/>
            <w:vAlign w:val="center"/>
          </w:tcPr>
          <w:p w14:paraId="79CD998F" w14:textId="77777777" w:rsidR="0065708A" w:rsidRPr="00513F1D" w:rsidRDefault="0065708A">
            <w:pPr>
              <w:spacing w:after="0" w:line="240" w:lineRule="auto"/>
              <w:jc w:val="center"/>
              <w:rPr>
                <w:rFonts w:eastAsia="Times New Roman"/>
                <w:sz w:val="16"/>
                <w:szCs w:val="16"/>
                <w:lang w:eastAsia="ru-RU"/>
              </w:rPr>
            </w:pPr>
          </w:p>
        </w:tc>
        <w:tc>
          <w:tcPr>
            <w:tcW w:w="569" w:type="pct"/>
            <w:shd w:val="clear" w:color="auto" w:fill="auto"/>
            <w:noWrap/>
            <w:vAlign w:val="center"/>
            <w:hideMark/>
          </w:tcPr>
          <w:p w14:paraId="5F88FA3C"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43,0</w:t>
            </w:r>
          </w:p>
        </w:tc>
        <w:tc>
          <w:tcPr>
            <w:tcW w:w="327" w:type="pct"/>
            <w:shd w:val="clear" w:color="auto" w:fill="auto"/>
            <w:noWrap/>
            <w:vAlign w:val="center"/>
          </w:tcPr>
          <w:p w14:paraId="24F4B03B" w14:textId="77777777" w:rsidR="0065708A" w:rsidRPr="00513F1D" w:rsidRDefault="0065708A">
            <w:pPr>
              <w:spacing w:after="0" w:line="240" w:lineRule="auto"/>
              <w:jc w:val="center"/>
              <w:rPr>
                <w:rFonts w:eastAsia="Times New Roman"/>
                <w:sz w:val="16"/>
                <w:szCs w:val="16"/>
                <w:lang w:eastAsia="ru-RU"/>
              </w:rPr>
            </w:pPr>
          </w:p>
        </w:tc>
        <w:tc>
          <w:tcPr>
            <w:tcW w:w="363" w:type="pct"/>
            <w:shd w:val="clear" w:color="auto" w:fill="auto"/>
            <w:noWrap/>
            <w:vAlign w:val="center"/>
            <w:hideMark/>
          </w:tcPr>
          <w:p w14:paraId="5A199881" w14:textId="77777777" w:rsidR="0065708A" w:rsidRPr="00513F1D" w:rsidRDefault="0065708A">
            <w:pPr>
              <w:spacing w:after="0" w:line="240" w:lineRule="auto"/>
              <w:jc w:val="center"/>
              <w:rPr>
                <w:rFonts w:eastAsia="Times New Roman"/>
                <w:sz w:val="16"/>
                <w:szCs w:val="16"/>
                <w:lang w:eastAsia="ru-RU"/>
              </w:rPr>
            </w:pPr>
          </w:p>
        </w:tc>
        <w:tc>
          <w:tcPr>
            <w:tcW w:w="657" w:type="pct"/>
            <w:shd w:val="clear" w:color="auto" w:fill="auto"/>
            <w:vAlign w:val="center"/>
            <w:hideMark/>
          </w:tcPr>
          <w:p w14:paraId="22FC7B3C" w14:textId="23B695CE" w:rsidR="0065708A" w:rsidRPr="00513F1D" w:rsidRDefault="0065708A" w:rsidP="00F94FED">
            <w:pPr>
              <w:spacing w:after="0" w:line="240" w:lineRule="auto"/>
              <w:jc w:val="center"/>
              <w:rPr>
                <w:rFonts w:eastAsia="Times New Roman"/>
                <w:sz w:val="16"/>
                <w:szCs w:val="16"/>
                <w:lang w:eastAsia="ru-RU"/>
              </w:rPr>
            </w:pPr>
          </w:p>
        </w:tc>
      </w:tr>
      <w:tr w:rsidR="0065708A" w:rsidRPr="00513F1D" w14:paraId="415056E4" w14:textId="77777777" w:rsidTr="00CB5AA8">
        <w:trPr>
          <w:trHeight w:val="20"/>
        </w:trPr>
        <w:tc>
          <w:tcPr>
            <w:tcW w:w="1257" w:type="pct"/>
            <w:shd w:val="clear" w:color="auto" w:fill="auto"/>
            <w:vAlign w:val="bottom"/>
            <w:hideMark/>
          </w:tcPr>
          <w:p w14:paraId="5361B4AC" w14:textId="77777777" w:rsidR="0065708A" w:rsidRPr="00513F1D" w:rsidRDefault="0065708A" w:rsidP="009A4C46">
            <w:pPr>
              <w:spacing w:after="0" w:line="240" w:lineRule="auto"/>
              <w:rPr>
                <w:rFonts w:eastAsia="Times New Roman"/>
                <w:sz w:val="16"/>
                <w:szCs w:val="16"/>
                <w:lang w:eastAsia="ru-RU"/>
              </w:rPr>
            </w:pPr>
            <w:r w:rsidRPr="00513F1D">
              <w:rPr>
                <w:rFonts w:eastAsia="Times New Roman"/>
                <w:sz w:val="16"/>
                <w:szCs w:val="16"/>
                <w:lang w:eastAsia="ru-RU"/>
              </w:rPr>
              <w:t>Модернизация, техническое перевооружение линий электропередачи, всего, в том числе:</w:t>
            </w:r>
          </w:p>
        </w:tc>
        <w:tc>
          <w:tcPr>
            <w:tcW w:w="556" w:type="pct"/>
            <w:shd w:val="clear" w:color="auto" w:fill="auto"/>
            <w:noWrap/>
            <w:vAlign w:val="center"/>
          </w:tcPr>
          <w:p w14:paraId="665D16C1" w14:textId="77777777" w:rsidR="0065708A" w:rsidRPr="00513F1D" w:rsidRDefault="0065708A" w:rsidP="003E2802">
            <w:pPr>
              <w:spacing w:after="0" w:line="240" w:lineRule="auto"/>
              <w:jc w:val="center"/>
              <w:rPr>
                <w:rFonts w:eastAsia="Times New Roman"/>
                <w:sz w:val="16"/>
                <w:szCs w:val="16"/>
                <w:lang w:eastAsia="ru-RU"/>
              </w:rPr>
            </w:pPr>
          </w:p>
        </w:tc>
        <w:tc>
          <w:tcPr>
            <w:tcW w:w="477" w:type="pct"/>
            <w:shd w:val="clear" w:color="auto" w:fill="auto"/>
            <w:noWrap/>
            <w:vAlign w:val="center"/>
          </w:tcPr>
          <w:p w14:paraId="1C3ED603" w14:textId="77777777" w:rsidR="0065708A" w:rsidRPr="00513F1D" w:rsidRDefault="0065708A">
            <w:pPr>
              <w:spacing w:after="0" w:line="240" w:lineRule="auto"/>
              <w:jc w:val="center"/>
              <w:rPr>
                <w:rFonts w:eastAsia="Times New Roman"/>
                <w:sz w:val="16"/>
                <w:szCs w:val="16"/>
                <w:lang w:eastAsia="ru-RU"/>
              </w:rPr>
            </w:pPr>
          </w:p>
        </w:tc>
        <w:tc>
          <w:tcPr>
            <w:tcW w:w="422" w:type="pct"/>
            <w:shd w:val="clear" w:color="auto" w:fill="auto"/>
            <w:noWrap/>
            <w:vAlign w:val="center"/>
          </w:tcPr>
          <w:p w14:paraId="31A4FA25" w14:textId="77777777" w:rsidR="0065708A" w:rsidRPr="00513F1D" w:rsidRDefault="0065708A">
            <w:pPr>
              <w:spacing w:after="0" w:line="240" w:lineRule="auto"/>
              <w:jc w:val="center"/>
              <w:rPr>
                <w:rFonts w:eastAsia="Times New Roman"/>
                <w:sz w:val="16"/>
                <w:szCs w:val="16"/>
                <w:lang w:eastAsia="ru-RU"/>
              </w:rPr>
            </w:pPr>
          </w:p>
        </w:tc>
        <w:tc>
          <w:tcPr>
            <w:tcW w:w="371" w:type="pct"/>
            <w:shd w:val="clear" w:color="auto" w:fill="auto"/>
            <w:noWrap/>
            <w:vAlign w:val="center"/>
          </w:tcPr>
          <w:p w14:paraId="211D3B1B" w14:textId="77777777" w:rsidR="0065708A" w:rsidRPr="00513F1D" w:rsidRDefault="0065708A">
            <w:pPr>
              <w:spacing w:after="0" w:line="240" w:lineRule="auto"/>
              <w:jc w:val="center"/>
              <w:rPr>
                <w:rFonts w:eastAsia="Times New Roman"/>
                <w:sz w:val="16"/>
                <w:szCs w:val="16"/>
                <w:lang w:eastAsia="ru-RU"/>
              </w:rPr>
            </w:pPr>
          </w:p>
        </w:tc>
        <w:tc>
          <w:tcPr>
            <w:tcW w:w="569" w:type="pct"/>
            <w:shd w:val="clear" w:color="auto" w:fill="auto"/>
            <w:noWrap/>
            <w:vAlign w:val="center"/>
          </w:tcPr>
          <w:p w14:paraId="7971303B" w14:textId="77777777" w:rsidR="0065708A" w:rsidRPr="00513F1D" w:rsidRDefault="0065708A">
            <w:pPr>
              <w:spacing w:after="0" w:line="240" w:lineRule="auto"/>
              <w:jc w:val="center"/>
              <w:rPr>
                <w:rFonts w:eastAsia="Times New Roman"/>
                <w:sz w:val="16"/>
                <w:szCs w:val="16"/>
                <w:lang w:eastAsia="ru-RU"/>
              </w:rPr>
            </w:pPr>
          </w:p>
        </w:tc>
        <w:tc>
          <w:tcPr>
            <w:tcW w:w="327" w:type="pct"/>
            <w:shd w:val="clear" w:color="auto" w:fill="auto"/>
            <w:noWrap/>
            <w:vAlign w:val="center"/>
          </w:tcPr>
          <w:p w14:paraId="065434D5" w14:textId="77777777" w:rsidR="0065708A" w:rsidRPr="00513F1D" w:rsidRDefault="0065708A">
            <w:pPr>
              <w:spacing w:after="0" w:line="240" w:lineRule="auto"/>
              <w:jc w:val="center"/>
              <w:rPr>
                <w:rFonts w:eastAsia="Times New Roman"/>
                <w:sz w:val="16"/>
                <w:szCs w:val="16"/>
                <w:lang w:eastAsia="ru-RU"/>
              </w:rPr>
            </w:pPr>
          </w:p>
        </w:tc>
        <w:tc>
          <w:tcPr>
            <w:tcW w:w="363" w:type="pct"/>
            <w:shd w:val="clear" w:color="auto" w:fill="auto"/>
            <w:noWrap/>
            <w:vAlign w:val="center"/>
            <w:hideMark/>
          </w:tcPr>
          <w:p w14:paraId="677B8A58" w14:textId="77777777" w:rsidR="0065708A" w:rsidRPr="00513F1D" w:rsidRDefault="0065708A">
            <w:pPr>
              <w:spacing w:after="0" w:line="240" w:lineRule="auto"/>
              <w:jc w:val="center"/>
              <w:rPr>
                <w:rFonts w:eastAsia="Times New Roman"/>
                <w:sz w:val="16"/>
                <w:szCs w:val="16"/>
                <w:lang w:eastAsia="ru-RU"/>
              </w:rPr>
            </w:pPr>
          </w:p>
        </w:tc>
        <w:tc>
          <w:tcPr>
            <w:tcW w:w="657" w:type="pct"/>
            <w:shd w:val="clear" w:color="auto" w:fill="auto"/>
            <w:vAlign w:val="center"/>
            <w:hideMark/>
          </w:tcPr>
          <w:p w14:paraId="0977504D" w14:textId="77777777" w:rsidR="0065708A" w:rsidRPr="00513F1D" w:rsidRDefault="0065708A" w:rsidP="00F94FED">
            <w:pPr>
              <w:spacing w:after="0" w:line="240" w:lineRule="auto"/>
              <w:jc w:val="center"/>
              <w:rPr>
                <w:rFonts w:eastAsia="Times New Roman"/>
                <w:sz w:val="16"/>
                <w:szCs w:val="16"/>
                <w:lang w:eastAsia="ru-RU"/>
              </w:rPr>
            </w:pPr>
            <w:r w:rsidRPr="00513F1D">
              <w:rPr>
                <w:rFonts w:eastAsia="Times New Roman"/>
                <w:sz w:val="16"/>
                <w:szCs w:val="16"/>
                <w:lang w:eastAsia="ru-RU"/>
              </w:rPr>
              <w:t>0</w:t>
            </w:r>
          </w:p>
        </w:tc>
      </w:tr>
      <w:tr w:rsidR="0065708A" w:rsidRPr="00513F1D" w14:paraId="4201E406" w14:textId="77777777" w:rsidTr="00CB5AA8">
        <w:trPr>
          <w:trHeight w:val="20"/>
        </w:trPr>
        <w:tc>
          <w:tcPr>
            <w:tcW w:w="1257" w:type="pct"/>
            <w:shd w:val="clear" w:color="auto" w:fill="auto"/>
            <w:vAlign w:val="bottom"/>
            <w:hideMark/>
          </w:tcPr>
          <w:p w14:paraId="35846164" w14:textId="77777777" w:rsidR="0065708A" w:rsidRPr="00513F1D" w:rsidRDefault="0065708A" w:rsidP="009A4C46">
            <w:pPr>
              <w:spacing w:after="0" w:line="240" w:lineRule="auto"/>
              <w:rPr>
                <w:rFonts w:eastAsia="Times New Roman"/>
                <w:sz w:val="16"/>
                <w:szCs w:val="16"/>
                <w:lang w:eastAsia="ru-RU"/>
              </w:rPr>
            </w:pPr>
            <w:r w:rsidRPr="00513F1D">
              <w:rPr>
                <w:rFonts w:eastAsia="Times New Roman"/>
                <w:sz w:val="16"/>
                <w:szCs w:val="16"/>
                <w:lang w:eastAsia="ru-RU"/>
              </w:rPr>
              <w:t>Развитие и модернизация учета электрической энергии (мощности), всего, в том числе:</w:t>
            </w:r>
          </w:p>
        </w:tc>
        <w:tc>
          <w:tcPr>
            <w:tcW w:w="556" w:type="pct"/>
            <w:shd w:val="clear" w:color="auto" w:fill="auto"/>
            <w:noWrap/>
            <w:vAlign w:val="center"/>
            <w:hideMark/>
          </w:tcPr>
          <w:p w14:paraId="32991065" w14:textId="77777777" w:rsidR="0065708A" w:rsidRPr="00513F1D" w:rsidRDefault="0065708A" w:rsidP="003E2802">
            <w:pPr>
              <w:spacing w:after="0" w:line="240" w:lineRule="auto"/>
              <w:jc w:val="center"/>
              <w:rPr>
                <w:rFonts w:eastAsia="Times New Roman"/>
                <w:sz w:val="16"/>
                <w:szCs w:val="16"/>
                <w:lang w:eastAsia="ru-RU"/>
              </w:rPr>
            </w:pPr>
            <w:r w:rsidRPr="00513F1D">
              <w:rPr>
                <w:rFonts w:eastAsia="Times New Roman"/>
                <w:sz w:val="16"/>
                <w:szCs w:val="16"/>
                <w:lang w:eastAsia="ru-RU"/>
              </w:rPr>
              <w:t>2,8</w:t>
            </w:r>
          </w:p>
        </w:tc>
        <w:tc>
          <w:tcPr>
            <w:tcW w:w="477" w:type="pct"/>
            <w:shd w:val="clear" w:color="auto" w:fill="auto"/>
            <w:noWrap/>
            <w:vAlign w:val="center"/>
          </w:tcPr>
          <w:p w14:paraId="3516CF14" w14:textId="77777777" w:rsidR="0065708A" w:rsidRPr="00513F1D" w:rsidRDefault="0065708A">
            <w:pPr>
              <w:spacing w:after="0" w:line="240" w:lineRule="auto"/>
              <w:jc w:val="center"/>
              <w:rPr>
                <w:rFonts w:eastAsia="Times New Roman"/>
                <w:sz w:val="16"/>
                <w:szCs w:val="16"/>
                <w:lang w:eastAsia="ru-RU"/>
              </w:rPr>
            </w:pPr>
          </w:p>
        </w:tc>
        <w:tc>
          <w:tcPr>
            <w:tcW w:w="422" w:type="pct"/>
            <w:shd w:val="clear" w:color="auto" w:fill="auto"/>
            <w:noWrap/>
            <w:vAlign w:val="center"/>
          </w:tcPr>
          <w:p w14:paraId="47130AAE" w14:textId="77777777" w:rsidR="0065708A" w:rsidRPr="00513F1D" w:rsidRDefault="0065708A">
            <w:pPr>
              <w:spacing w:after="0" w:line="240" w:lineRule="auto"/>
              <w:jc w:val="center"/>
              <w:rPr>
                <w:rFonts w:eastAsia="Times New Roman"/>
                <w:sz w:val="16"/>
                <w:szCs w:val="16"/>
                <w:lang w:eastAsia="ru-RU"/>
              </w:rPr>
            </w:pPr>
          </w:p>
        </w:tc>
        <w:tc>
          <w:tcPr>
            <w:tcW w:w="371" w:type="pct"/>
            <w:shd w:val="clear" w:color="auto" w:fill="auto"/>
            <w:noWrap/>
            <w:vAlign w:val="center"/>
          </w:tcPr>
          <w:p w14:paraId="408D9BF0" w14:textId="77777777" w:rsidR="0065708A" w:rsidRPr="00513F1D" w:rsidRDefault="0065708A">
            <w:pPr>
              <w:spacing w:after="0" w:line="240" w:lineRule="auto"/>
              <w:jc w:val="center"/>
              <w:rPr>
                <w:rFonts w:eastAsia="Times New Roman"/>
                <w:sz w:val="16"/>
                <w:szCs w:val="16"/>
                <w:lang w:eastAsia="ru-RU"/>
              </w:rPr>
            </w:pPr>
          </w:p>
        </w:tc>
        <w:tc>
          <w:tcPr>
            <w:tcW w:w="569" w:type="pct"/>
            <w:shd w:val="clear" w:color="auto" w:fill="auto"/>
            <w:noWrap/>
            <w:vAlign w:val="center"/>
          </w:tcPr>
          <w:p w14:paraId="13A42127" w14:textId="77777777" w:rsidR="0065708A" w:rsidRPr="00513F1D" w:rsidRDefault="0065708A">
            <w:pPr>
              <w:spacing w:after="0" w:line="240" w:lineRule="auto"/>
              <w:jc w:val="center"/>
              <w:rPr>
                <w:rFonts w:eastAsia="Times New Roman"/>
                <w:sz w:val="16"/>
                <w:szCs w:val="16"/>
                <w:lang w:eastAsia="ru-RU"/>
              </w:rPr>
            </w:pPr>
          </w:p>
        </w:tc>
        <w:tc>
          <w:tcPr>
            <w:tcW w:w="327" w:type="pct"/>
            <w:shd w:val="clear" w:color="auto" w:fill="auto"/>
            <w:noWrap/>
            <w:vAlign w:val="center"/>
          </w:tcPr>
          <w:p w14:paraId="1A989C47" w14:textId="77777777" w:rsidR="0065708A" w:rsidRPr="00513F1D" w:rsidRDefault="0065708A">
            <w:pPr>
              <w:spacing w:after="0" w:line="240" w:lineRule="auto"/>
              <w:jc w:val="center"/>
              <w:rPr>
                <w:rFonts w:eastAsia="Times New Roman"/>
                <w:sz w:val="16"/>
                <w:szCs w:val="16"/>
                <w:lang w:eastAsia="ru-RU"/>
              </w:rPr>
            </w:pPr>
          </w:p>
        </w:tc>
        <w:tc>
          <w:tcPr>
            <w:tcW w:w="363" w:type="pct"/>
            <w:shd w:val="clear" w:color="auto" w:fill="auto"/>
            <w:noWrap/>
            <w:vAlign w:val="center"/>
            <w:hideMark/>
          </w:tcPr>
          <w:p w14:paraId="6BB011BA" w14:textId="77777777" w:rsidR="0065708A" w:rsidRPr="00513F1D" w:rsidRDefault="0065708A">
            <w:pPr>
              <w:spacing w:after="0" w:line="240" w:lineRule="auto"/>
              <w:jc w:val="center"/>
              <w:rPr>
                <w:rFonts w:eastAsia="Times New Roman"/>
                <w:sz w:val="16"/>
                <w:szCs w:val="16"/>
                <w:lang w:eastAsia="ru-RU"/>
              </w:rPr>
            </w:pPr>
          </w:p>
        </w:tc>
        <w:tc>
          <w:tcPr>
            <w:tcW w:w="657" w:type="pct"/>
            <w:shd w:val="clear" w:color="auto" w:fill="auto"/>
            <w:vAlign w:val="center"/>
            <w:hideMark/>
          </w:tcPr>
          <w:p w14:paraId="5CA506C7" w14:textId="77777777" w:rsidR="0065708A" w:rsidRPr="00513F1D" w:rsidRDefault="0065708A" w:rsidP="00F94FED">
            <w:pPr>
              <w:spacing w:after="0" w:line="240" w:lineRule="auto"/>
              <w:jc w:val="center"/>
              <w:rPr>
                <w:rFonts w:eastAsia="Times New Roman"/>
                <w:sz w:val="16"/>
                <w:szCs w:val="16"/>
                <w:lang w:eastAsia="ru-RU"/>
              </w:rPr>
            </w:pPr>
            <w:r w:rsidRPr="00513F1D">
              <w:rPr>
                <w:rFonts w:eastAsia="Times New Roman"/>
                <w:sz w:val="16"/>
                <w:szCs w:val="16"/>
                <w:lang w:eastAsia="ru-RU"/>
              </w:rPr>
              <w:t>0</w:t>
            </w:r>
          </w:p>
        </w:tc>
      </w:tr>
      <w:tr w:rsidR="0065708A" w:rsidRPr="00513F1D" w14:paraId="48692C5C" w14:textId="77777777" w:rsidTr="00CB5AA8">
        <w:trPr>
          <w:trHeight w:val="20"/>
        </w:trPr>
        <w:tc>
          <w:tcPr>
            <w:tcW w:w="1257" w:type="pct"/>
            <w:shd w:val="clear" w:color="auto" w:fill="auto"/>
            <w:vAlign w:val="bottom"/>
            <w:hideMark/>
          </w:tcPr>
          <w:p w14:paraId="4D008523" w14:textId="77777777" w:rsidR="0065708A" w:rsidRPr="00513F1D" w:rsidRDefault="0065708A" w:rsidP="009A4C46">
            <w:pPr>
              <w:spacing w:after="0" w:line="240" w:lineRule="auto"/>
              <w:rPr>
                <w:rFonts w:eastAsia="Times New Roman"/>
                <w:sz w:val="16"/>
                <w:szCs w:val="16"/>
                <w:lang w:eastAsia="ru-RU"/>
              </w:rPr>
            </w:pPr>
            <w:r w:rsidRPr="00513F1D">
              <w:rPr>
                <w:rFonts w:eastAsia="Times New Roman"/>
                <w:sz w:val="16"/>
                <w:szCs w:val="16"/>
                <w:lang w:eastAsia="ru-RU"/>
              </w:rPr>
              <w:t>«Установка приборов учета, класс напряжения 0,22 (0,4) кВ, всего, в том числе:»</w:t>
            </w:r>
          </w:p>
        </w:tc>
        <w:tc>
          <w:tcPr>
            <w:tcW w:w="556" w:type="pct"/>
            <w:shd w:val="clear" w:color="auto" w:fill="auto"/>
            <w:noWrap/>
            <w:vAlign w:val="center"/>
            <w:hideMark/>
          </w:tcPr>
          <w:p w14:paraId="28006908" w14:textId="77777777" w:rsidR="0065708A" w:rsidRPr="00513F1D" w:rsidRDefault="0065708A" w:rsidP="003E2802">
            <w:pPr>
              <w:spacing w:after="0" w:line="240" w:lineRule="auto"/>
              <w:jc w:val="center"/>
              <w:rPr>
                <w:rFonts w:eastAsia="Times New Roman"/>
                <w:sz w:val="16"/>
                <w:szCs w:val="16"/>
                <w:lang w:eastAsia="ru-RU"/>
              </w:rPr>
            </w:pPr>
            <w:r w:rsidRPr="00513F1D">
              <w:rPr>
                <w:rFonts w:eastAsia="Times New Roman"/>
                <w:sz w:val="16"/>
                <w:szCs w:val="16"/>
                <w:lang w:eastAsia="ru-RU"/>
              </w:rPr>
              <w:t>2,8</w:t>
            </w:r>
          </w:p>
        </w:tc>
        <w:tc>
          <w:tcPr>
            <w:tcW w:w="477" w:type="pct"/>
            <w:shd w:val="clear" w:color="auto" w:fill="auto"/>
            <w:noWrap/>
            <w:vAlign w:val="center"/>
          </w:tcPr>
          <w:p w14:paraId="32CA1F2A" w14:textId="77777777" w:rsidR="0065708A" w:rsidRPr="00513F1D" w:rsidRDefault="0065708A">
            <w:pPr>
              <w:spacing w:after="0" w:line="240" w:lineRule="auto"/>
              <w:jc w:val="center"/>
              <w:rPr>
                <w:rFonts w:eastAsia="Times New Roman"/>
                <w:sz w:val="16"/>
                <w:szCs w:val="16"/>
                <w:lang w:eastAsia="ru-RU"/>
              </w:rPr>
            </w:pPr>
          </w:p>
        </w:tc>
        <w:tc>
          <w:tcPr>
            <w:tcW w:w="422" w:type="pct"/>
            <w:shd w:val="clear" w:color="auto" w:fill="auto"/>
            <w:noWrap/>
            <w:vAlign w:val="center"/>
          </w:tcPr>
          <w:p w14:paraId="0F1A5E22" w14:textId="77777777" w:rsidR="0065708A" w:rsidRPr="00513F1D" w:rsidRDefault="0065708A">
            <w:pPr>
              <w:spacing w:after="0" w:line="240" w:lineRule="auto"/>
              <w:jc w:val="center"/>
              <w:rPr>
                <w:rFonts w:eastAsia="Times New Roman"/>
                <w:sz w:val="16"/>
                <w:szCs w:val="16"/>
                <w:lang w:eastAsia="ru-RU"/>
              </w:rPr>
            </w:pPr>
          </w:p>
        </w:tc>
        <w:tc>
          <w:tcPr>
            <w:tcW w:w="371" w:type="pct"/>
            <w:shd w:val="clear" w:color="auto" w:fill="auto"/>
            <w:noWrap/>
            <w:vAlign w:val="center"/>
          </w:tcPr>
          <w:p w14:paraId="019A09F5" w14:textId="77777777" w:rsidR="0065708A" w:rsidRPr="00513F1D" w:rsidRDefault="0065708A">
            <w:pPr>
              <w:spacing w:after="0" w:line="240" w:lineRule="auto"/>
              <w:jc w:val="center"/>
              <w:rPr>
                <w:rFonts w:eastAsia="Times New Roman"/>
                <w:sz w:val="16"/>
                <w:szCs w:val="16"/>
                <w:lang w:eastAsia="ru-RU"/>
              </w:rPr>
            </w:pPr>
          </w:p>
        </w:tc>
        <w:tc>
          <w:tcPr>
            <w:tcW w:w="569" w:type="pct"/>
            <w:shd w:val="clear" w:color="auto" w:fill="auto"/>
            <w:noWrap/>
            <w:vAlign w:val="center"/>
          </w:tcPr>
          <w:p w14:paraId="0D7CBA0C" w14:textId="77777777" w:rsidR="0065708A" w:rsidRPr="00513F1D" w:rsidRDefault="0065708A">
            <w:pPr>
              <w:spacing w:after="0" w:line="240" w:lineRule="auto"/>
              <w:jc w:val="center"/>
              <w:rPr>
                <w:rFonts w:eastAsia="Times New Roman"/>
                <w:sz w:val="16"/>
                <w:szCs w:val="16"/>
                <w:lang w:eastAsia="ru-RU"/>
              </w:rPr>
            </w:pPr>
          </w:p>
        </w:tc>
        <w:tc>
          <w:tcPr>
            <w:tcW w:w="327" w:type="pct"/>
            <w:shd w:val="clear" w:color="auto" w:fill="auto"/>
            <w:noWrap/>
            <w:vAlign w:val="center"/>
          </w:tcPr>
          <w:p w14:paraId="04FA2120" w14:textId="77777777" w:rsidR="0065708A" w:rsidRPr="00513F1D" w:rsidRDefault="0065708A">
            <w:pPr>
              <w:spacing w:after="0" w:line="240" w:lineRule="auto"/>
              <w:jc w:val="center"/>
              <w:rPr>
                <w:rFonts w:eastAsia="Times New Roman"/>
                <w:sz w:val="16"/>
                <w:szCs w:val="16"/>
                <w:lang w:eastAsia="ru-RU"/>
              </w:rPr>
            </w:pPr>
          </w:p>
        </w:tc>
        <w:tc>
          <w:tcPr>
            <w:tcW w:w="363" w:type="pct"/>
            <w:shd w:val="clear" w:color="auto" w:fill="auto"/>
            <w:noWrap/>
            <w:vAlign w:val="center"/>
            <w:hideMark/>
          </w:tcPr>
          <w:p w14:paraId="0AD58189" w14:textId="77777777" w:rsidR="0065708A" w:rsidRPr="00513F1D" w:rsidRDefault="0065708A">
            <w:pPr>
              <w:spacing w:after="0" w:line="240" w:lineRule="auto"/>
              <w:jc w:val="center"/>
              <w:rPr>
                <w:rFonts w:eastAsia="Times New Roman"/>
                <w:sz w:val="16"/>
                <w:szCs w:val="16"/>
                <w:lang w:eastAsia="ru-RU"/>
              </w:rPr>
            </w:pPr>
          </w:p>
        </w:tc>
        <w:tc>
          <w:tcPr>
            <w:tcW w:w="657" w:type="pct"/>
            <w:shd w:val="clear" w:color="auto" w:fill="auto"/>
            <w:vAlign w:val="center"/>
            <w:hideMark/>
          </w:tcPr>
          <w:p w14:paraId="3BD729BE" w14:textId="77777777" w:rsidR="0065708A" w:rsidRPr="00513F1D" w:rsidRDefault="0065708A" w:rsidP="00F94FED">
            <w:pPr>
              <w:spacing w:after="0" w:line="240" w:lineRule="auto"/>
              <w:jc w:val="center"/>
              <w:rPr>
                <w:rFonts w:eastAsia="Times New Roman"/>
                <w:sz w:val="16"/>
                <w:szCs w:val="16"/>
                <w:lang w:eastAsia="ru-RU"/>
              </w:rPr>
            </w:pPr>
            <w:r w:rsidRPr="00513F1D">
              <w:rPr>
                <w:rFonts w:eastAsia="Times New Roman"/>
                <w:sz w:val="16"/>
                <w:szCs w:val="16"/>
                <w:lang w:eastAsia="ru-RU"/>
              </w:rPr>
              <w:t>0</w:t>
            </w:r>
          </w:p>
        </w:tc>
      </w:tr>
      <w:tr w:rsidR="0065708A" w:rsidRPr="00513F1D" w14:paraId="2CF254CF" w14:textId="77777777" w:rsidTr="00CB5AA8">
        <w:trPr>
          <w:trHeight w:val="20"/>
        </w:trPr>
        <w:tc>
          <w:tcPr>
            <w:tcW w:w="1257" w:type="pct"/>
            <w:shd w:val="clear" w:color="auto" w:fill="auto"/>
            <w:vAlign w:val="bottom"/>
            <w:hideMark/>
          </w:tcPr>
          <w:p w14:paraId="3E58A43E" w14:textId="77777777" w:rsidR="0065708A" w:rsidRPr="00513F1D" w:rsidRDefault="0065708A" w:rsidP="009A4C46">
            <w:pPr>
              <w:spacing w:after="0" w:line="240" w:lineRule="auto"/>
              <w:rPr>
                <w:rFonts w:eastAsia="Times New Roman"/>
                <w:sz w:val="16"/>
                <w:szCs w:val="16"/>
                <w:lang w:eastAsia="ru-RU"/>
              </w:rPr>
            </w:pPr>
            <w:r w:rsidRPr="00513F1D">
              <w:rPr>
                <w:rFonts w:eastAsia="Times New Roman"/>
                <w:sz w:val="16"/>
                <w:szCs w:val="16"/>
                <w:lang w:eastAsia="ru-RU"/>
              </w:rPr>
              <w:t>Модернизация комплексов учета электроэнергии (0,4 кВ)</w:t>
            </w:r>
          </w:p>
        </w:tc>
        <w:tc>
          <w:tcPr>
            <w:tcW w:w="556" w:type="pct"/>
            <w:shd w:val="clear" w:color="auto" w:fill="auto"/>
            <w:vAlign w:val="center"/>
            <w:hideMark/>
          </w:tcPr>
          <w:p w14:paraId="69A1AED8" w14:textId="77777777" w:rsidR="0065708A" w:rsidRPr="00513F1D" w:rsidRDefault="0065708A" w:rsidP="003E2802">
            <w:pPr>
              <w:spacing w:after="0" w:line="240" w:lineRule="auto"/>
              <w:jc w:val="center"/>
              <w:rPr>
                <w:rFonts w:eastAsia="Times New Roman"/>
                <w:sz w:val="16"/>
                <w:szCs w:val="16"/>
                <w:lang w:eastAsia="ru-RU"/>
              </w:rPr>
            </w:pPr>
            <w:r w:rsidRPr="00513F1D">
              <w:rPr>
                <w:rFonts w:eastAsia="Times New Roman"/>
                <w:sz w:val="16"/>
                <w:szCs w:val="16"/>
                <w:lang w:eastAsia="ru-RU"/>
              </w:rPr>
              <w:t>2,8</w:t>
            </w:r>
          </w:p>
        </w:tc>
        <w:tc>
          <w:tcPr>
            <w:tcW w:w="477" w:type="pct"/>
            <w:shd w:val="clear" w:color="auto" w:fill="auto"/>
            <w:vAlign w:val="center"/>
          </w:tcPr>
          <w:p w14:paraId="7ABD89E1" w14:textId="77777777" w:rsidR="0065708A" w:rsidRPr="00513F1D" w:rsidRDefault="0065708A">
            <w:pPr>
              <w:spacing w:after="0" w:line="240" w:lineRule="auto"/>
              <w:jc w:val="center"/>
              <w:rPr>
                <w:rFonts w:eastAsia="Times New Roman"/>
                <w:sz w:val="16"/>
                <w:szCs w:val="16"/>
                <w:lang w:eastAsia="ru-RU"/>
              </w:rPr>
            </w:pPr>
          </w:p>
        </w:tc>
        <w:tc>
          <w:tcPr>
            <w:tcW w:w="422" w:type="pct"/>
            <w:shd w:val="clear" w:color="auto" w:fill="auto"/>
            <w:noWrap/>
            <w:vAlign w:val="center"/>
          </w:tcPr>
          <w:p w14:paraId="545F6EC7" w14:textId="77777777" w:rsidR="0065708A" w:rsidRPr="00513F1D" w:rsidRDefault="0065708A">
            <w:pPr>
              <w:spacing w:after="0" w:line="240" w:lineRule="auto"/>
              <w:jc w:val="center"/>
              <w:rPr>
                <w:rFonts w:eastAsia="Times New Roman"/>
                <w:sz w:val="16"/>
                <w:szCs w:val="16"/>
                <w:lang w:eastAsia="ru-RU"/>
              </w:rPr>
            </w:pPr>
          </w:p>
        </w:tc>
        <w:tc>
          <w:tcPr>
            <w:tcW w:w="371" w:type="pct"/>
            <w:shd w:val="clear" w:color="auto" w:fill="auto"/>
            <w:noWrap/>
            <w:vAlign w:val="center"/>
          </w:tcPr>
          <w:p w14:paraId="6C29B3D0" w14:textId="77777777" w:rsidR="0065708A" w:rsidRPr="00513F1D" w:rsidRDefault="0065708A">
            <w:pPr>
              <w:spacing w:after="0" w:line="240" w:lineRule="auto"/>
              <w:jc w:val="center"/>
              <w:rPr>
                <w:rFonts w:eastAsia="Times New Roman"/>
                <w:sz w:val="16"/>
                <w:szCs w:val="16"/>
                <w:lang w:eastAsia="ru-RU"/>
              </w:rPr>
            </w:pPr>
          </w:p>
        </w:tc>
        <w:tc>
          <w:tcPr>
            <w:tcW w:w="569" w:type="pct"/>
            <w:shd w:val="clear" w:color="auto" w:fill="auto"/>
            <w:noWrap/>
            <w:vAlign w:val="center"/>
          </w:tcPr>
          <w:p w14:paraId="16E42581" w14:textId="77777777" w:rsidR="0065708A" w:rsidRPr="00513F1D" w:rsidRDefault="0065708A">
            <w:pPr>
              <w:spacing w:after="0" w:line="240" w:lineRule="auto"/>
              <w:jc w:val="center"/>
              <w:rPr>
                <w:rFonts w:eastAsia="Times New Roman"/>
                <w:sz w:val="16"/>
                <w:szCs w:val="16"/>
                <w:lang w:eastAsia="ru-RU"/>
              </w:rPr>
            </w:pPr>
          </w:p>
        </w:tc>
        <w:tc>
          <w:tcPr>
            <w:tcW w:w="327" w:type="pct"/>
            <w:shd w:val="clear" w:color="auto" w:fill="auto"/>
            <w:noWrap/>
            <w:vAlign w:val="center"/>
          </w:tcPr>
          <w:p w14:paraId="497F91EA" w14:textId="77777777" w:rsidR="0065708A" w:rsidRPr="00513F1D" w:rsidRDefault="0065708A">
            <w:pPr>
              <w:spacing w:after="0" w:line="240" w:lineRule="auto"/>
              <w:jc w:val="center"/>
              <w:rPr>
                <w:rFonts w:eastAsia="Times New Roman"/>
                <w:sz w:val="16"/>
                <w:szCs w:val="16"/>
                <w:lang w:eastAsia="ru-RU"/>
              </w:rPr>
            </w:pPr>
          </w:p>
        </w:tc>
        <w:tc>
          <w:tcPr>
            <w:tcW w:w="363" w:type="pct"/>
            <w:shd w:val="clear" w:color="auto" w:fill="auto"/>
            <w:noWrap/>
            <w:vAlign w:val="center"/>
            <w:hideMark/>
          </w:tcPr>
          <w:p w14:paraId="3E0DA5DC" w14:textId="77777777" w:rsidR="0065708A" w:rsidRPr="00513F1D" w:rsidRDefault="0065708A">
            <w:pPr>
              <w:spacing w:after="0" w:line="240" w:lineRule="auto"/>
              <w:jc w:val="center"/>
              <w:rPr>
                <w:rFonts w:eastAsia="Times New Roman"/>
                <w:sz w:val="16"/>
                <w:szCs w:val="16"/>
                <w:lang w:eastAsia="ru-RU"/>
              </w:rPr>
            </w:pPr>
          </w:p>
        </w:tc>
        <w:tc>
          <w:tcPr>
            <w:tcW w:w="657" w:type="pct"/>
            <w:shd w:val="clear" w:color="auto" w:fill="auto"/>
            <w:vAlign w:val="center"/>
            <w:hideMark/>
          </w:tcPr>
          <w:p w14:paraId="2CA0B952" w14:textId="2E9DC9B7" w:rsidR="0065708A" w:rsidRPr="00513F1D" w:rsidRDefault="0065708A" w:rsidP="00F94FED">
            <w:pPr>
              <w:spacing w:after="0" w:line="240" w:lineRule="auto"/>
              <w:jc w:val="center"/>
              <w:rPr>
                <w:rFonts w:eastAsia="Times New Roman"/>
                <w:sz w:val="16"/>
                <w:szCs w:val="16"/>
                <w:lang w:eastAsia="ru-RU"/>
              </w:rPr>
            </w:pPr>
          </w:p>
        </w:tc>
      </w:tr>
      <w:tr w:rsidR="0065708A" w:rsidRPr="00513F1D" w14:paraId="52063F3C" w14:textId="77777777" w:rsidTr="00CB5AA8">
        <w:trPr>
          <w:trHeight w:val="20"/>
        </w:trPr>
        <w:tc>
          <w:tcPr>
            <w:tcW w:w="1257" w:type="pct"/>
            <w:shd w:val="clear" w:color="auto" w:fill="auto"/>
            <w:vAlign w:val="bottom"/>
            <w:hideMark/>
          </w:tcPr>
          <w:p w14:paraId="58A2E7DC" w14:textId="77777777" w:rsidR="0065708A" w:rsidRPr="00513F1D" w:rsidRDefault="0065708A" w:rsidP="009A4C46">
            <w:pPr>
              <w:spacing w:after="0" w:line="240" w:lineRule="auto"/>
              <w:rPr>
                <w:rFonts w:eastAsia="Times New Roman"/>
                <w:sz w:val="16"/>
                <w:szCs w:val="16"/>
                <w:lang w:eastAsia="ru-RU"/>
              </w:rPr>
            </w:pPr>
            <w:r w:rsidRPr="00513F1D">
              <w:rPr>
                <w:rFonts w:eastAsia="Times New Roman"/>
                <w:sz w:val="16"/>
                <w:szCs w:val="16"/>
                <w:lang w:eastAsia="ru-RU"/>
              </w:rPr>
              <w:t>«Установка приборов учета, класс напряжения 6 (10) кВ, всего, в том числе:»</w:t>
            </w:r>
          </w:p>
        </w:tc>
        <w:tc>
          <w:tcPr>
            <w:tcW w:w="556" w:type="pct"/>
            <w:shd w:val="clear" w:color="auto" w:fill="auto"/>
            <w:noWrap/>
            <w:vAlign w:val="center"/>
          </w:tcPr>
          <w:p w14:paraId="7CA5C466" w14:textId="77777777" w:rsidR="0065708A" w:rsidRPr="00513F1D" w:rsidRDefault="0065708A" w:rsidP="003E2802">
            <w:pPr>
              <w:spacing w:after="0" w:line="240" w:lineRule="auto"/>
              <w:jc w:val="center"/>
              <w:rPr>
                <w:rFonts w:eastAsia="Times New Roman"/>
                <w:sz w:val="16"/>
                <w:szCs w:val="16"/>
                <w:lang w:eastAsia="ru-RU"/>
              </w:rPr>
            </w:pPr>
          </w:p>
        </w:tc>
        <w:tc>
          <w:tcPr>
            <w:tcW w:w="477" w:type="pct"/>
            <w:shd w:val="clear" w:color="auto" w:fill="auto"/>
            <w:noWrap/>
            <w:vAlign w:val="center"/>
          </w:tcPr>
          <w:p w14:paraId="7E6C8951" w14:textId="77777777" w:rsidR="0065708A" w:rsidRPr="00513F1D" w:rsidRDefault="0065708A">
            <w:pPr>
              <w:spacing w:after="0" w:line="240" w:lineRule="auto"/>
              <w:jc w:val="center"/>
              <w:rPr>
                <w:rFonts w:eastAsia="Times New Roman"/>
                <w:sz w:val="16"/>
                <w:szCs w:val="16"/>
                <w:lang w:eastAsia="ru-RU"/>
              </w:rPr>
            </w:pPr>
          </w:p>
        </w:tc>
        <w:tc>
          <w:tcPr>
            <w:tcW w:w="422" w:type="pct"/>
            <w:shd w:val="clear" w:color="auto" w:fill="auto"/>
            <w:noWrap/>
            <w:vAlign w:val="center"/>
          </w:tcPr>
          <w:p w14:paraId="24DCE9D4" w14:textId="77777777" w:rsidR="0065708A" w:rsidRPr="00513F1D" w:rsidRDefault="0065708A">
            <w:pPr>
              <w:spacing w:after="0" w:line="240" w:lineRule="auto"/>
              <w:jc w:val="center"/>
              <w:rPr>
                <w:rFonts w:eastAsia="Times New Roman"/>
                <w:sz w:val="16"/>
                <w:szCs w:val="16"/>
                <w:lang w:eastAsia="ru-RU"/>
              </w:rPr>
            </w:pPr>
          </w:p>
        </w:tc>
        <w:tc>
          <w:tcPr>
            <w:tcW w:w="371" w:type="pct"/>
            <w:shd w:val="clear" w:color="auto" w:fill="auto"/>
            <w:noWrap/>
            <w:vAlign w:val="center"/>
          </w:tcPr>
          <w:p w14:paraId="4A03382A" w14:textId="77777777" w:rsidR="0065708A" w:rsidRPr="00513F1D" w:rsidRDefault="0065708A">
            <w:pPr>
              <w:spacing w:after="0" w:line="240" w:lineRule="auto"/>
              <w:jc w:val="center"/>
              <w:rPr>
                <w:rFonts w:eastAsia="Times New Roman"/>
                <w:sz w:val="16"/>
                <w:szCs w:val="16"/>
                <w:lang w:eastAsia="ru-RU"/>
              </w:rPr>
            </w:pPr>
          </w:p>
        </w:tc>
        <w:tc>
          <w:tcPr>
            <w:tcW w:w="569" w:type="pct"/>
            <w:shd w:val="clear" w:color="auto" w:fill="auto"/>
            <w:noWrap/>
            <w:vAlign w:val="center"/>
          </w:tcPr>
          <w:p w14:paraId="788E8E67" w14:textId="77777777" w:rsidR="0065708A" w:rsidRPr="00513F1D" w:rsidRDefault="0065708A">
            <w:pPr>
              <w:spacing w:after="0" w:line="240" w:lineRule="auto"/>
              <w:jc w:val="center"/>
              <w:rPr>
                <w:rFonts w:eastAsia="Times New Roman"/>
                <w:sz w:val="16"/>
                <w:szCs w:val="16"/>
                <w:lang w:eastAsia="ru-RU"/>
              </w:rPr>
            </w:pPr>
          </w:p>
        </w:tc>
        <w:tc>
          <w:tcPr>
            <w:tcW w:w="327" w:type="pct"/>
            <w:shd w:val="clear" w:color="auto" w:fill="auto"/>
            <w:noWrap/>
            <w:vAlign w:val="center"/>
          </w:tcPr>
          <w:p w14:paraId="0FF9FBE2" w14:textId="77777777" w:rsidR="0065708A" w:rsidRPr="00513F1D" w:rsidRDefault="0065708A">
            <w:pPr>
              <w:spacing w:after="0" w:line="240" w:lineRule="auto"/>
              <w:jc w:val="center"/>
              <w:rPr>
                <w:rFonts w:eastAsia="Times New Roman"/>
                <w:sz w:val="16"/>
                <w:szCs w:val="16"/>
                <w:lang w:eastAsia="ru-RU"/>
              </w:rPr>
            </w:pPr>
          </w:p>
        </w:tc>
        <w:tc>
          <w:tcPr>
            <w:tcW w:w="363" w:type="pct"/>
            <w:shd w:val="clear" w:color="auto" w:fill="auto"/>
            <w:noWrap/>
            <w:vAlign w:val="center"/>
            <w:hideMark/>
          </w:tcPr>
          <w:p w14:paraId="0440C753" w14:textId="77777777" w:rsidR="0065708A" w:rsidRPr="00513F1D" w:rsidRDefault="0065708A">
            <w:pPr>
              <w:spacing w:after="0" w:line="240" w:lineRule="auto"/>
              <w:jc w:val="center"/>
              <w:rPr>
                <w:rFonts w:eastAsia="Times New Roman"/>
                <w:sz w:val="16"/>
                <w:szCs w:val="16"/>
                <w:lang w:eastAsia="ru-RU"/>
              </w:rPr>
            </w:pPr>
          </w:p>
        </w:tc>
        <w:tc>
          <w:tcPr>
            <w:tcW w:w="657" w:type="pct"/>
            <w:shd w:val="clear" w:color="auto" w:fill="auto"/>
            <w:vAlign w:val="center"/>
            <w:hideMark/>
          </w:tcPr>
          <w:p w14:paraId="442B73CC" w14:textId="77777777" w:rsidR="0065708A" w:rsidRPr="00513F1D" w:rsidRDefault="0065708A" w:rsidP="00F94FED">
            <w:pPr>
              <w:spacing w:after="0" w:line="240" w:lineRule="auto"/>
              <w:jc w:val="center"/>
              <w:rPr>
                <w:rFonts w:eastAsia="Times New Roman"/>
                <w:sz w:val="16"/>
                <w:szCs w:val="16"/>
                <w:lang w:eastAsia="ru-RU"/>
              </w:rPr>
            </w:pPr>
            <w:r w:rsidRPr="00513F1D">
              <w:rPr>
                <w:rFonts w:eastAsia="Times New Roman"/>
                <w:sz w:val="16"/>
                <w:szCs w:val="16"/>
                <w:lang w:eastAsia="ru-RU"/>
              </w:rPr>
              <w:t>0</w:t>
            </w:r>
          </w:p>
        </w:tc>
      </w:tr>
      <w:tr w:rsidR="0065708A" w:rsidRPr="00513F1D" w14:paraId="28F31136" w14:textId="77777777" w:rsidTr="00CB5AA8">
        <w:trPr>
          <w:trHeight w:val="20"/>
        </w:trPr>
        <w:tc>
          <w:tcPr>
            <w:tcW w:w="1257" w:type="pct"/>
            <w:shd w:val="clear" w:color="auto" w:fill="auto"/>
            <w:vAlign w:val="bottom"/>
            <w:hideMark/>
          </w:tcPr>
          <w:p w14:paraId="37B8CABD" w14:textId="77777777" w:rsidR="0065708A" w:rsidRPr="00513F1D" w:rsidRDefault="0065708A" w:rsidP="009A4C46">
            <w:pPr>
              <w:spacing w:after="0" w:line="240" w:lineRule="auto"/>
              <w:rPr>
                <w:rFonts w:eastAsia="Times New Roman"/>
                <w:sz w:val="16"/>
                <w:szCs w:val="16"/>
                <w:lang w:eastAsia="ru-RU"/>
              </w:rPr>
            </w:pPr>
            <w:r w:rsidRPr="00513F1D">
              <w:rPr>
                <w:rFonts w:eastAsia="Times New Roman"/>
                <w:sz w:val="16"/>
                <w:szCs w:val="16"/>
                <w:lang w:eastAsia="ru-RU"/>
              </w:rPr>
              <w:lastRenderedPageBreak/>
              <w:t>«Установка приборов учета, класс напряжения 35 кВ, всего, в том числе:»</w:t>
            </w:r>
          </w:p>
        </w:tc>
        <w:tc>
          <w:tcPr>
            <w:tcW w:w="556" w:type="pct"/>
            <w:shd w:val="clear" w:color="auto" w:fill="auto"/>
            <w:noWrap/>
            <w:vAlign w:val="center"/>
          </w:tcPr>
          <w:p w14:paraId="4746739A" w14:textId="77777777" w:rsidR="0065708A" w:rsidRPr="00513F1D" w:rsidRDefault="0065708A" w:rsidP="003E2802">
            <w:pPr>
              <w:spacing w:after="0" w:line="240" w:lineRule="auto"/>
              <w:jc w:val="center"/>
              <w:rPr>
                <w:rFonts w:eastAsia="Times New Roman"/>
                <w:sz w:val="16"/>
                <w:szCs w:val="16"/>
                <w:lang w:eastAsia="ru-RU"/>
              </w:rPr>
            </w:pPr>
          </w:p>
        </w:tc>
        <w:tc>
          <w:tcPr>
            <w:tcW w:w="477" w:type="pct"/>
            <w:shd w:val="clear" w:color="auto" w:fill="auto"/>
            <w:noWrap/>
            <w:vAlign w:val="center"/>
          </w:tcPr>
          <w:p w14:paraId="74CDA499" w14:textId="77777777" w:rsidR="0065708A" w:rsidRPr="00513F1D" w:rsidRDefault="0065708A">
            <w:pPr>
              <w:spacing w:after="0" w:line="240" w:lineRule="auto"/>
              <w:jc w:val="center"/>
              <w:rPr>
                <w:rFonts w:eastAsia="Times New Roman"/>
                <w:sz w:val="16"/>
                <w:szCs w:val="16"/>
                <w:lang w:eastAsia="ru-RU"/>
              </w:rPr>
            </w:pPr>
          </w:p>
        </w:tc>
        <w:tc>
          <w:tcPr>
            <w:tcW w:w="422" w:type="pct"/>
            <w:shd w:val="clear" w:color="auto" w:fill="auto"/>
            <w:noWrap/>
            <w:vAlign w:val="center"/>
          </w:tcPr>
          <w:p w14:paraId="103070A1" w14:textId="77777777" w:rsidR="0065708A" w:rsidRPr="00513F1D" w:rsidRDefault="0065708A">
            <w:pPr>
              <w:spacing w:after="0" w:line="240" w:lineRule="auto"/>
              <w:jc w:val="center"/>
              <w:rPr>
                <w:rFonts w:eastAsia="Times New Roman"/>
                <w:sz w:val="16"/>
                <w:szCs w:val="16"/>
                <w:lang w:eastAsia="ru-RU"/>
              </w:rPr>
            </w:pPr>
          </w:p>
        </w:tc>
        <w:tc>
          <w:tcPr>
            <w:tcW w:w="371" w:type="pct"/>
            <w:shd w:val="clear" w:color="auto" w:fill="auto"/>
            <w:noWrap/>
            <w:vAlign w:val="center"/>
          </w:tcPr>
          <w:p w14:paraId="2D5D8B75" w14:textId="77777777" w:rsidR="0065708A" w:rsidRPr="00513F1D" w:rsidRDefault="0065708A">
            <w:pPr>
              <w:spacing w:after="0" w:line="240" w:lineRule="auto"/>
              <w:jc w:val="center"/>
              <w:rPr>
                <w:rFonts w:eastAsia="Times New Roman"/>
                <w:sz w:val="16"/>
                <w:szCs w:val="16"/>
                <w:lang w:eastAsia="ru-RU"/>
              </w:rPr>
            </w:pPr>
          </w:p>
        </w:tc>
        <w:tc>
          <w:tcPr>
            <w:tcW w:w="569" w:type="pct"/>
            <w:shd w:val="clear" w:color="auto" w:fill="auto"/>
            <w:noWrap/>
            <w:vAlign w:val="center"/>
          </w:tcPr>
          <w:p w14:paraId="78BBDF77" w14:textId="77777777" w:rsidR="0065708A" w:rsidRPr="00513F1D" w:rsidRDefault="0065708A">
            <w:pPr>
              <w:spacing w:after="0" w:line="240" w:lineRule="auto"/>
              <w:jc w:val="center"/>
              <w:rPr>
                <w:rFonts w:eastAsia="Times New Roman"/>
                <w:sz w:val="16"/>
                <w:szCs w:val="16"/>
                <w:lang w:eastAsia="ru-RU"/>
              </w:rPr>
            </w:pPr>
          </w:p>
        </w:tc>
        <w:tc>
          <w:tcPr>
            <w:tcW w:w="327" w:type="pct"/>
            <w:shd w:val="clear" w:color="auto" w:fill="auto"/>
            <w:noWrap/>
            <w:vAlign w:val="center"/>
          </w:tcPr>
          <w:p w14:paraId="5A78E1DF" w14:textId="77777777" w:rsidR="0065708A" w:rsidRPr="00513F1D" w:rsidRDefault="0065708A">
            <w:pPr>
              <w:spacing w:after="0" w:line="240" w:lineRule="auto"/>
              <w:jc w:val="center"/>
              <w:rPr>
                <w:rFonts w:eastAsia="Times New Roman"/>
                <w:sz w:val="16"/>
                <w:szCs w:val="16"/>
                <w:lang w:eastAsia="ru-RU"/>
              </w:rPr>
            </w:pPr>
          </w:p>
        </w:tc>
        <w:tc>
          <w:tcPr>
            <w:tcW w:w="363" w:type="pct"/>
            <w:shd w:val="clear" w:color="auto" w:fill="auto"/>
            <w:noWrap/>
            <w:vAlign w:val="center"/>
            <w:hideMark/>
          </w:tcPr>
          <w:p w14:paraId="6A7E1BC6" w14:textId="77777777" w:rsidR="0065708A" w:rsidRPr="00513F1D" w:rsidRDefault="0065708A">
            <w:pPr>
              <w:spacing w:after="0" w:line="240" w:lineRule="auto"/>
              <w:jc w:val="center"/>
              <w:rPr>
                <w:rFonts w:eastAsia="Times New Roman"/>
                <w:sz w:val="16"/>
                <w:szCs w:val="16"/>
                <w:lang w:eastAsia="ru-RU"/>
              </w:rPr>
            </w:pPr>
          </w:p>
        </w:tc>
        <w:tc>
          <w:tcPr>
            <w:tcW w:w="657" w:type="pct"/>
            <w:shd w:val="clear" w:color="auto" w:fill="auto"/>
            <w:vAlign w:val="center"/>
            <w:hideMark/>
          </w:tcPr>
          <w:p w14:paraId="02FC6D20" w14:textId="77777777" w:rsidR="0065708A" w:rsidRPr="00513F1D" w:rsidRDefault="0065708A" w:rsidP="00F94FED">
            <w:pPr>
              <w:spacing w:after="0" w:line="240" w:lineRule="auto"/>
              <w:jc w:val="center"/>
              <w:rPr>
                <w:rFonts w:eastAsia="Times New Roman"/>
                <w:sz w:val="16"/>
                <w:szCs w:val="16"/>
                <w:lang w:eastAsia="ru-RU"/>
              </w:rPr>
            </w:pPr>
            <w:r w:rsidRPr="00513F1D">
              <w:rPr>
                <w:rFonts w:eastAsia="Times New Roman"/>
                <w:sz w:val="16"/>
                <w:szCs w:val="16"/>
                <w:lang w:eastAsia="ru-RU"/>
              </w:rPr>
              <w:t>0</w:t>
            </w:r>
          </w:p>
        </w:tc>
      </w:tr>
      <w:tr w:rsidR="0065708A" w:rsidRPr="00513F1D" w14:paraId="79191A2D" w14:textId="77777777" w:rsidTr="00CB5AA8">
        <w:trPr>
          <w:trHeight w:val="20"/>
        </w:trPr>
        <w:tc>
          <w:tcPr>
            <w:tcW w:w="1257" w:type="pct"/>
            <w:shd w:val="clear" w:color="auto" w:fill="auto"/>
            <w:vAlign w:val="bottom"/>
            <w:hideMark/>
          </w:tcPr>
          <w:p w14:paraId="5195B459" w14:textId="77777777" w:rsidR="0065708A" w:rsidRPr="00513F1D" w:rsidRDefault="0065708A" w:rsidP="009A4C46">
            <w:pPr>
              <w:spacing w:after="0" w:line="240" w:lineRule="auto"/>
              <w:rPr>
                <w:rFonts w:eastAsia="Times New Roman"/>
                <w:sz w:val="16"/>
                <w:szCs w:val="16"/>
                <w:lang w:eastAsia="ru-RU"/>
              </w:rPr>
            </w:pPr>
            <w:r w:rsidRPr="00513F1D">
              <w:rPr>
                <w:rFonts w:eastAsia="Times New Roman"/>
                <w:sz w:val="16"/>
                <w:szCs w:val="16"/>
                <w:lang w:eastAsia="ru-RU"/>
              </w:rPr>
              <w:t>«Установка приборов учета, класс напряжения 110 кВ и выше, всего, в том числе:»</w:t>
            </w:r>
          </w:p>
        </w:tc>
        <w:tc>
          <w:tcPr>
            <w:tcW w:w="556" w:type="pct"/>
            <w:shd w:val="clear" w:color="auto" w:fill="auto"/>
            <w:noWrap/>
            <w:vAlign w:val="center"/>
          </w:tcPr>
          <w:p w14:paraId="7734A9BF" w14:textId="77777777" w:rsidR="0065708A" w:rsidRPr="00513F1D" w:rsidRDefault="0065708A" w:rsidP="003E2802">
            <w:pPr>
              <w:spacing w:after="0" w:line="240" w:lineRule="auto"/>
              <w:jc w:val="center"/>
              <w:rPr>
                <w:rFonts w:eastAsia="Times New Roman"/>
                <w:sz w:val="16"/>
                <w:szCs w:val="16"/>
                <w:lang w:eastAsia="ru-RU"/>
              </w:rPr>
            </w:pPr>
          </w:p>
        </w:tc>
        <w:tc>
          <w:tcPr>
            <w:tcW w:w="477" w:type="pct"/>
            <w:shd w:val="clear" w:color="auto" w:fill="auto"/>
            <w:noWrap/>
            <w:vAlign w:val="center"/>
          </w:tcPr>
          <w:p w14:paraId="3A610869" w14:textId="77777777" w:rsidR="0065708A" w:rsidRPr="00513F1D" w:rsidRDefault="0065708A">
            <w:pPr>
              <w:spacing w:after="0" w:line="240" w:lineRule="auto"/>
              <w:jc w:val="center"/>
              <w:rPr>
                <w:rFonts w:eastAsia="Times New Roman"/>
                <w:sz w:val="16"/>
                <w:szCs w:val="16"/>
                <w:lang w:eastAsia="ru-RU"/>
              </w:rPr>
            </w:pPr>
          </w:p>
        </w:tc>
        <w:tc>
          <w:tcPr>
            <w:tcW w:w="422" w:type="pct"/>
            <w:shd w:val="clear" w:color="auto" w:fill="auto"/>
            <w:noWrap/>
            <w:vAlign w:val="center"/>
          </w:tcPr>
          <w:p w14:paraId="378C8015" w14:textId="77777777" w:rsidR="0065708A" w:rsidRPr="00513F1D" w:rsidRDefault="0065708A">
            <w:pPr>
              <w:spacing w:after="0" w:line="240" w:lineRule="auto"/>
              <w:jc w:val="center"/>
              <w:rPr>
                <w:rFonts w:eastAsia="Times New Roman"/>
                <w:sz w:val="16"/>
                <w:szCs w:val="16"/>
                <w:lang w:eastAsia="ru-RU"/>
              </w:rPr>
            </w:pPr>
          </w:p>
        </w:tc>
        <w:tc>
          <w:tcPr>
            <w:tcW w:w="371" w:type="pct"/>
            <w:shd w:val="clear" w:color="auto" w:fill="auto"/>
            <w:noWrap/>
            <w:vAlign w:val="center"/>
          </w:tcPr>
          <w:p w14:paraId="241A7A9A" w14:textId="77777777" w:rsidR="0065708A" w:rsidRPr="00513F1D" w:rsidRDefault="0065708A">
            <w:pPr>
              <w:spacing w:after="0" w:line="240" w:lineRule="auto"/>
              <w:jc w:val="center"/>
              <w:rPr>
                <w:rFonts w:eastAsia="Times New Roman"/>
                <w:sz w:val="16"/>
                <w:szCs w:val="16"/>
                <w:lang w:eastAsia="ru-RU"/>
              </w:rPr>
            </w:pPr>
          </w:p>
        </w:tc>
        <w:tc>
          <w:tcPr>
            <w:tcW w:w="569" w:type="pct"/>
            <w:shd w:val="clear" w:color="auto" w:fill="auto"/>
            <w:noWrap/>
            <w:vAlign w:val="center"/>
          </w:tcPr>
          <w:p w14:paraId="26DE18AC" w14:textId="77777777" w:rsidR="0065708A" w:rsidRPr="00513F1D" w:rsidRDefault="0065708A">
            <w:pPr>
              <w:spacing w:after="0" w:line="240" w:lineRule="auto"/>
              <w:jc w:val="center"/>
              <w:rPr>
                <w:rFonts w:eastAsia="Times New Roman"/>
                <w:sz w:val="16"/>
                <w:szCs w:val="16"/>
                <w:lang w:eastAsia="ru-RU"/>
              </w:rPr>
            </w:pPr>
          </w:p>
        </w:tc>
        <w:tc>
          <w:tcPr>
            <w:tcW w:w="327" w:type="pct"/>
            <w:shd w:val="clear" w:color="auto" w:fill="auto"/>
            <w:noWrap/>
            <w:vAlign w:val="center"/>
          </w:tcPr>
          <w:p w14:paraId="31655733" w14:textId="77777777" w:rsidR="0065708A" w:rsidRPr="00513F1D" w:rsidRDefault="0065708A">
            <w:pPr>
              <w:spacing w:after="0" w:line="240" w:lineRule="auto"/>
              <w:jc w:val="center"/>
              <w:rPr>
                <w:rFonts w:eastAsia="Times New Roman"/>
                <w:sz w:val="16"/>
                <w:szCs w:val="16"/>
                <w:lang w:eastAsia="ru-RU"/>
              </w:rPr>
            </w:pPr>
          </w:p>
        </w:tc>
        <w:tc>
          <w:tcPr>
            <w:tcW w:w="363" w:type="pct"/>
            <w:shd w:val="clear" w:color="auto" w:fill="auto"/>
            <w:noWrap/>
            <w:vAlign w:val="center"/>
            <w:hideMark/>
          </w:tcPr>
          <w:p w14:paraId="17CF1BC4" w14:textId="77777777" w:rsidR="0065708A" w:rsidRPr="00513F1D" w:rsidRDefault="0065708A">
            <w:pPr>
              <w:spacing w:after="0" w:line="240" w:lineRule="auto"/>
              <w:jc w:val="center"/>
              <w:rPr>
                <w:rFonts w:eastAsia="Times New Roman"/>
                <w:sz w:val="16"/>
                <w:szCs w:val="16"/>
                <w:lang w:eastAsia="ru-RU"/>
              </w:rPr>
            </w:pPr>
          </w:p>
        </w:tc>
        <w:tc>
          <w:tcPr>
            <w:tcW w:w="657" w:type="pct"/>
            <w:shd w:val="clear" w:color="auto" w:fill="auto"/>
            <w:vAlign w:val="center"/>
            <w:hideMark/>
          </w:tcPr>
          <w:p w14:paraId="7F68F8AE" w14:textId="77777777" w:rsidR="0065708A" w:rsidRPr="00513F1D" w:rsidRDefault="0065708A" w:rsidP="00F94FED">
            <w:pPr>
              <w:spacing w:after="0" w:line="240" w:lineRule="auto"/>
              <w:jc w:val="center"/>
              <w:rPr>
                <w:rFonts w:eastAsia="Times New Roman"/>
                <w:sz w:val="16"/>
                <w:szCs w:val="16"/>
                <w:lang w:eastAsia="ru-RU"/>
              </w:rPr>
            </w:pPr>
            <w:r w:rsidRPr="00513F1D">
              <w:rPr>
                <w:rFonts w:eastAsia="Times New Roman"/>
                <w:sz w:val="16"/>
                <w:szCs w:val="16"/>
                <w:lang w:eastAsia="ru-RU"/>
              </w:rPr>
              <w:t>0</w:t>
            </w:r>
          </w:p>
        </w:tc>
      </w:tr>
      <w:tr w:rsidR="0065708A" w:rsidRPr="00513F1D" w14:paraId="1352EE42" w14:textId="77777777" w:rsidTr="00CB5AA8">
        <w:trPr>
          <w:trHeight w:val="20"/>
        </w:trPr>
        <w:tc>
          <w:tcPr>
            <w:tcW w:w="1257" w:type="pct"/>
            <w:shd w:val="clear" w:color="auto" w:fill="auto"/>
            <w:vAlign w:val="bottom"/>
            <w:hideMark/>
          </w:tcPr>
          <w:p w14:paraId="627AA231" w14:textId="77777777" w:rsidR="0065708A" w:rsidRPr="00513F1D" w:rsidRDefault="0065708A" w:rsidP="009A4C46">
            <w:pPr>
              <w:spacing w:after="0" w:line="240" w:lineRule="auto"/>
              <w:rPr>
                <w:rFonts w:eastAsia="Times New Roman"/>
                <w:sz w:val="16"/>
                <w:szCs w:val="16"/>
                <w:lang w:eastAsia="ru-RU"/>
              </w:rPr>
            </w:pPr>
            <w:r w:rsidRPr="00513F1D">
              <w:rPr>
                <w:rFonts w:eastAsia="Times New Roman"/>
                <w:sz w:val="16"/>
                <w:szCs w:val="16"/>
                <w:lang w:eastAsia="ru-RU"/>
              </w:rPr>
              <w:t>«Включение приборов учета в систему сбора и передачи данных, класс напряжения 0,22 (0,4) кВ, всего, в том числе:»</w:t>
            </w:r>
          </w:p>
        </w:tc>
        <w:tc>
          <w:tcPr>
            <w:tcW w:w="556" w:type="pct"/>
            <w:shd w:val="clear" w:color="auto" w:fill="auto"/>
            <w:noWrap/>
            <w:vAlign w:val="center"/>
          </w:tcPr>
          <w:p w14:paraId="15AD1FCC" w14:textId="77777777" w:rsidR="0065708A" w:rsidRPr="00513F1D" w:rsidRDefault="0065708A" w:rsidP="003E2802">
            <w:pPr>
              <w:spacing w:after="0" w:line="240" w:lineRule="auto"/>
              <w:jc w:val="center"/>
              <w:rPr>
                <w:rFonts w:eastAsia="Times New Roman"/>
                <w:sz w:val="16"/>
                <w:szCs w:val="16"/>
                <w:lang w:eastAsia="ru-RU"/>
              </w:rPr>
            </w:pPr>
          </w:p>
        </w:tc>
        <w:tc>
          <w:tcPr>
            <w:tcW w:w="477" w:type="pct"/>
            <w:shd w:val="clear" w:color="auto" w:fill="auto"/>
            <w:noWrap/>
            <w:vAlign w:val="center"/>
          </w:tcPr>
          <w:p w14:paraId="2DA9A176" w14:textId="77777777" w:rsidR="0065708A" w:rsidRPr="00513F1D" w:rsidRDefault="0065708A">
            <w:pPr>
              <w:spacing w:after="0" w:line="240" w:lineRule="auto"/>
              <w:jc w:val="center"/>
              <w:rPr>
                <w:rFonts w:eastAsia="Times New Roman"/>
                <w:sz w:val="16"/>
                <w:szCs w:val="16"/>
                <w:lang w:eastAsia="ru-RU"/>
              </w:rPr>
            </w:pPr>
          </w:p>
        </w:tc>
        <w:tc>
          <w:tcPr>
            <w:tcW w:w="422" w:type="pct"/>
            <w:shd w:val="clear" w:color="auto" w:fill="auto"/>
            <w:noWrap/>
            <w:vAlign w:val="center"/>
          </w:tcPr>
          <w:p w14:paraId="5FA4093A" w14:textId="77777777" w:rsidR="0065708A" w:rsidRPr="00513F1D" w:rsidRDefault="0065708A">
            <w:pPr>
              <w:spacing w:after="0" w:line="240" w:lineRule="auto"/>
              <w:jc w:val="center"/>
              <w:rPr>
                <w:rFonts w:eastAsia="Times New Roman"/>
                <w:sz w:val="16"/>
                <w:szCs w:val="16"/>
                <w:lang w:eastAsia="ru-RU"/>
              </w:rPr>
            </w:pPr>
          </w:p>
        </w:tc>
        <w:tc>
          <w:tcPr>
            <w:tcW w:w="371" w:type="pct"/>
            <w:shd w:val="clear" w:color="auto" w:fill="auto"/>
            <w:noWrap/>
            <w:vAlign w:val="center"/>
          </w:tcPr>
          <w:p w14:paraId="3302DC59" w14:textId="77777777" w:rsidR="0065708A" w:rsidRPr="00513F1D" w:rsidRDefault="0065708A">
            <w:pPr>
              <w:spacing w:after="0" w:line="240" w:lineRule="auto"/>
              <w:jc w:val="center"/>
              <w:rPr>
                <w:rFonts w:eastAsia="Times New Roman"/>
                <w:sz w:val="16"/>
                <w:szCs w:val="16"/>
                <w:lang w:eastAsia="ru-RU"/>
              </w:rPr>
            </w:pPr>
          </w:p>
        </w:tc>
        <w:tc>
          <w:tcPr>
            <w:tcW w:w="569" w:type="pct"/>
            <w:shd w:val="clear" w:color="auto" w:fill="auto"/>
            <w:noWrap/>
            <w:vAlign w:val="center"/>
          </w:tcPr>
          <w:p w14:paraId="0FCC19DA" w14:textId="77777777" w:rsidR="0065708A" w:rsidRPr="00513F1D" w:rsidRDefault="0065708A">
            <w:pPr>
              <w:spacing w:after="0" w:line="240" w:lineRule="auto"/>
              <w:jc w:val="center"/>
              <w:rPr>
                <w:rFonts w:eastAsia="Times New Roman"/>
                <w:sz w:val="16"/>
                <w:szCs w:val="16"/>
                <w:lang w:eastAsia="ru-RU"/>
              </w:rPr>
            </w:pPr>
          </w:p>
        </w:tc>
        <w:tc>
          <w:tcPr>
            <w:tcW w:w="327" w:type="pct"/>
            <w:shd w:val="clear" w:color="auto" w:fill="auto"/>
            <w:noWrap/>
            <w:vAlign w:val="center"/>
          </w:tcPr>
          <w:p w14:paraId="240879AB" w14:textId="77777777" w:rsidR="0065708A" w:rsidRPr="00513F1D" w:rsidRDefault="0065708A">
            <w:pPr>
              <w:spacing w:after="0" w:line="240" w:lineRule="auto"/>
              <w:jc w:val="center"/>
              <w:rPr>
                <w:rFonts w:eastAsia="Times New Roman"/>
                <w:sz w:val="16"/>
                <w:szCs w:val="16"/>
                <w:lang w:eastAsia="ru-RU"/>
              </w:rPr>
            </w:pPr>
          </w:p>
        </w:tc>
        <w:tc>
          <w:tcPr>
            <w:tcW w:w="363" w:type="pct"/>
            <w:shd w:val="clear" w:color="auto" w:fill="auto"/>
            <w:noWrap/>
            <w:vAlign w:val="center"/>
            <w:hideMark/>
          </w:tcPr>
          <w:p w14:paraId="743054CF" w14:textId="77777777" w:rsidR="0065708A" w:rsidRPr="00513F1D" w:rsidRDefault="0065708A">
            <w:pPr>
              <w:spacing w:after="0" w:line="240" w:lineRule="auto"/>
              <w:jc w:val="center"/>
              <w:rPr>
                <w:rFonts w:eastAsia="Times New Roman"/>
                <w:sz w:val="16"/>
                <w:szCs w:val="16"/>
                <w:lang w:eastAsia="ru-RU"/>
              </w:rPr>
            </w:pPr>
          </w:p>
        </w:tc>
        <w:tc>
          <w:tcPr>
            <w:tcW w:w="657" w:type="pct"/>
            <w:shd w:val="clear" w:color="auto" w:fill="auto"/>
            <w:vAlign w:val="center"/>
            <w:hideMark/>
          </w:tcPr>
          <w:p w14:paraId="7D32722C" w14:textId="77777777" w:rsidR="0065708A" w:rsidRPr="00513F1D" w:rsidRDefault="0065708A" w:rsidP="00F94FED">
            <w:pPr>
              <w:spacing w:after="0" w:line="240" w:lineRule="auto"/>
              <w:jc w:val="center"/>
              <w:rPr>
                <w:rFonts w:eastAsia="Times New Roman"/>
                <w:sz w:val="16"/>
                <w:szCs w:val="16"/>
                <w:lang w:eastAsia="ru-RU"/>
              </w:rPr>
            </w:pPr>
            <w:r w:rsidRPr="00513F1D">
              <w:rPr>
                <w:rFonts w:eastAsia="Times New Roman"/>
                <w:sz w:val="16"/>
                <w:szCs w:val="16"/>
                <w:lang w:eastAsia="ru-RU"/>
              </w:rPr>
              <w:t>0</w:t>
            </w:r>
          </w:p>
        </w:tc>
      </w:tr>
      <w:tr w:rsidR="0065708A" w:rsidRPr="00513F1D" w14:paraId="11DB0EE7" w14:textId="77777777" w:rsidTr="00CB5AA8">
        <w:trPr>
          <w:trHeight w:val="20"/>
        </w:trPr>
        <w:tc>
          <w:tcPr>
            <w:tcW w:w="1257" w:type="pct"/>
            <w:shd w:val="clear" w:color="auto" w:fill="auto"/>
            <w:vAlign w:val="bottom"/>
            <w:hideMark/>
          </w:tcPr>
          <w:p w14:paraId="47478D84" w14:textId="77777777" w:rsidR="0065708A" w:rsidRPr="00513F1D" w:rsidRDefault="0065708A" w:rsidP="009A4C46">
            <w:pPr>
              <w:spacing w:after="0" w:line="240" w:lineRule="auto"/>
              <w:rPr>
                <w:rFonts w:eastAsia="Times New Roman"/>
                <w:sz w:val="16"/>
                <w:szCs w:val="16"/>
                <w:lang w:eastAsia="ru-RU"/>
              </w:rPr>
            </w:pPr>
            <w:r w:rsidRPr="00513F1D">
              <w:rPr>
                <w:rFonts w:eastAsia="Times New Roman"/>
                <w:sz w:val="16"/>
                <w:szCs w:val="16"/>
                <w:lang w:eastAsia="ru-RU"/>
              </w:rPr>
              <w:t>«Включение приборов учета в систему сбора и передачи данных, класс напряжения 6 (10) кВ, всего, в том числе:»</w:t>
            </w:r>
          </w:p>
        </w:tc>
        <w:tc>
          <w:tcPr>
            <w:tcW w:w="556" w:type="pct"/>
            <w:shd w:val="clear" w:color="auto" w:fill="auto"/>
            <w:noWrap/>
            <w:vAlign w:val="center"/>
          </w:tcPr>
          <w:p w14:paraId="1F0CDA7F" w14:textId="77777777" w:rsidR="0065708A" w:rsidRPr="00513F1D" w:rsidRDefault="0065708A" w:rsidP="003E2802">
            <w:pPr>
              <w:spacing w:after="0" w:line="240" w:lineRule="auto"/>
              <w:jc w:val="center"/>
              <w:rPr>
                <w:rFonts w:eastAsia="Times New Roman"/>
                <w:sz w:val="16"/>
                <w:szCs w:val="16"/>
                <w:lang w:eastAsia="ru-RU"/>
              </w:rPr>
            </w:pPr>
          </w:p>
        </w:tc>
        <w:tc>
          <w:tcPr>
            <w:tcW w:w="477" w:type="pct"/>
            <w:shd w:val="clear" w:color="auto" w:fill="auto"/>
            <w:noWrap/>
            <w:vAlign w:val="center"/>
          </w:tcPr>
          <w:p w14:paraId="4B26EFEF" w14:textId="77777777" w:rsidR="0065708A" w:rsidRPr="00513F1D" w:rsidRDefault="0065708A">
            <w:pPr>
              <w:spacing w:after="0" w:line="240" w:lineRule="auto"/>
              <w:jc w:val="center"/>
              <w:rPr>
                <w:rFonts w:eastAsia="Times New Roman"/>
                <w:sz w:val="16"/>
                <w:szCs w:val="16"/>
                <w:lang w:eastAsia="ru-RU"/>
              </w:rPr>
            </w:pPr>
          </w:p>
        </w:tc>
        <w:tc>
          <w:tcPr>
            <w:tcW w:w="422" w:type="pct"/>
            <w:shd w:val="clear" w:color="auto" w:fill="auto"/>
            <w:noWrap/>
            <w:vAlign w:val="center"/>
          </w:tcPr>
          <w:p w14:paraId="2FCF8DB3" w14:textId="77777777" w:rsidR="0065708A" w:rsidRPr="00513F1D" w:rsidRDefault="0065708A">
            <w:pPr>
              <w:spacing w:after="0" w:line="240" w:lineRule="auto"/>
              <w:jc w:val="center"/>
              <w:rPr>
                <w:rFonts w:eastAsia="Times New Roman"/>
                <w:sz w:val="16"/>
                <w:szCs w:val="16"/>
                <w:lang w:eastAsia="ru-RU"/>
              </w:rPr>
            </w:pPr>
          </w:p>
        </w:tc>
        <w:tc>
          <w:tcPr>
            <w:tcW w:w="371" w:type="pct"/>
            <w:shd w:val="clear" w:color="auto" w:fill="auto"/>
            <w:noWrap/>
            <w:vAlign w:val="center"/>
          </w:tcPr>
          <w:p w14:paraId="487BD8C1" w14:textId="77777777" w:rsidR="0065708A" w:rsidRPr="00513F1D" w:rsidRDefault="0065708A">
            <w:pPr>
              <w:spacing w:after="0" w:line="240" w:lineRule="auto"/>
              <w:jc w:val="center"/>
              <w:rPr>
                <w:rFonts w:eastAsia="Times New Roman"/>
                <w:sz w:val="16"/>
                <w:szCs w:val="16"/>
                <w:lang w:eastAsia="ru-RU"/>
              </w:rPr>
            </w:pPr>
          </w:p>
        </w:tc>
        <w:tc>
          <w:tcPr>
            <w:tcW w:w="569" w:type="pct"/>
            <w:shd w:val="clear" w:color="auto" w:fill="auto"/>
            <w:noWrap/>
            <w:vAlign w:val="center"/>
          </w:tcPr>
          <w:p w14:paraId="52373DF4" w14:textId="77777777" w:rsidR="0065708A" w:rsidRPr="00513F1D" w:rsidRDefault="0065708A">
            <w:pPr>
              <w:spacing w:after="0" w:line="240" w:lineRule="auto"/>
              <w:jc w:val="center"/>
              <w:rPr>
                <w:rFonts w:eastAsia="Times New Roman"/>
                <w:sz w:val="16"/>
                <w:szCs w:val="16"/>
                <w:lang w:eastAsia="ru-RU"/>
              </w:rPr>
            </w:pPr>
          </w:p>
        </w:tc>
        <w:tc>
          <w:tcPr>
            <w:tcW w:w="327" w:type="pct"/>
            <w:shd w:val="clear" w:color="auto" w:fill="auto"/>
            <w:noWrap/>
            <w:vAlign w:val="center"/>
          </w:tcPr>
          <w:p w14:paraId="2C508B50" w14:textId="77777777" w:rsidR="0065708A" w:rsidRPr="00513F1D" w:rsidRDefault="0065708A">
            <w:pPr>
              <w:spacing w:after="0" w:line="240" w:lineRule="auto"/>
              <w:jc w:val="center"/>
              <w:rPr>
                <w:rFonts w:eastAsia="Times New Roman"/>
                <w:sz w:val="16"/>
                <w:szCs w:val="16"/>
                <w:lang w:eastAsia="ru-RU"/>
              </w:rPr>
            </w:pPr>
          </w:p>
        </w:tc>
        <w:tc>
          <w:tcPr>
            <w:tcW w:w="363" w:type="pct"/>
            <w:shd w:val="clear" w:color="auto" w:fill="auto"/>
            <w:noWrap/>
            <w:vAlign w:val="center"/>
            <w:hideMark/>
          </w:tcPr>
          <w:p w14:paraId="28FD5574" w14:textId="77777777" w:rsidR="0065708A" w:rsidRPr="00513F1D" w:rsidRDefault="0065708A">
            <w:pPr>
              <w:spacing w:after="0" w:line="240" w:lineRule="auto"/>
              <w:jc w:val="center"/>
              <w:rPr>
                <w:rFonts w:eastAsia="Times New Roman"/>
                <w:sz w:val="16"/>
                <w:szCs w:val="16"/>
                <w:lang w:eastAsia="ru-RU"/>
              </w:rPr>
            </w:pPr>
          </w:p>
        </w:tc>
        <w:tc>
          <w:tcPr>
            <w:tcW w:w="657" w:type="pct"/>
            <w:shd w:val="clear" w:color="auto" w:fill="auto"/>
            <w:vAlign w:val="center"/>
            <w:hideMark/>
          </w:tcPr>
          <w:p w14:paraId="19C4115E" w14:textId="77777777" w:rsidR="0065708A" w:rsidRPr="00513F1D" w:rsidRDefault="0065708A" w:rsidP="00F94FED">
            <w:pPr>
              <w:spacing w:after="0" w:line="240" w:lineRule="auto"/>
              <w:jc w:val="center"/>
              <w:rPr>
                <w:rFonts w:eastAsia="Times New Roman"/>
                <w:sz w:val="16"/>
                <w:szCs w:val="16"/>
                <w:lang w:eastAsia="ru-RU"/>
              </w:rPr>
            </w:pPr>
            <w:r w:rsidRPr="00513F1D">
              <w:rPr>
                <w:rFonts w:eastAsia="Times New Roman"/>
                <w:sz w:val="16"/>
                <w:szCs w:val="16"/>
                <w:lang w:eastAsia="ru-RU"/>
              </w:rPr>
              <w:t>0</w:t>
            </w:r>
          </w:p>
        </w:tc>
      </w:tr>
      <w:tr w:rsidR="0065708A" w:rsidRPr="00513F1D" w14:paraId="68B04358" w14:textId="77777777" w:rsidTr="00CB5AA8">
        <w:trPr>
          <w:trHeight w:val="20"/>
        </w:trPr>
        <w:tc>
          <w:tcPr>
            <w:tcW w:w="1257" w:type="pct"/>
            <w:shd w:val="clear" w:color="auto" w:fill="auto"/>
            <w:vAlign w:val="bottom"/>
            <w:hideMark/>
          </w:tcPr>
          <w:p w14:paraId="35525513" w14:textId="77777777" w:rsidR="0065708A" w:rsidRPr="00513F1D" w:rsidRDefault="0065708A" w:rsidP="009A4C46">
            <w:pPr>
              <w:spacing w:after="0" w:line="240" w:lineRule="auto"/>
              <w:rPr>
                <w:rFonts w:eastAsia="Times New Roman"/>
                <w:sz w:val="16"/>
                <w:szCs w:val="16"/>
                <w:lang w:eastAsia="ru-RU"/>
              </w:rPr>
            </w:pPr>
            <w:r w:rsidRPr="00513F1D">
              <w:rPr>
                <w:rFonts w:eastAsia="Times New Roman"/>
                <w:sz w:val="16"/>
                <w:szCs w:val="16"/>
                <w:lang w:eastAsia="ru-RU"/>
              </w:rPr>
              <w:t>«Включение приборов учета в систему сбора и передачи данных, класс напряжения 35 кВ, всего, в том числе:»</w:t>
            </w:r>
          </w:p>
        </w:tc>
        <w:tc>
          <w:tcPr>
            <w:tcW w:w="556" w:type="pct"/>
            <w:shd w:val="clear" w:color="auto" w:fill="auto"/>
            <w:noWrap/>
            <w:vAlign w:val="center"/>
          </w:tcPr>
          <w:p w14:paraId="32968E6C" w14:textId="77777777" w:rsidR="0065708A" w:rsidRPr="00513F1D" w:rsidRDefault="0065708A" w:rsidP="003E2802">
            <w:pPr>
              <w:spacing w:after="0" w:line="240" w:lineRule="auto"/>
              <w:jc w:val="center"/>
              <w:rPr>
                <w:rFonts w:eastAsia="Times New Roman"/>
                <w:sz w:val="16"/>
                <w:szCs w:val="16"/>
                <w:lang w:eastAsia="ru-RU"/>
              </w:rPr>
            </w:pPr>
          </w:p>
        </w:tc>
        <w:tc>
          <w:tcPr>
            <w:tcW w:w="477" w:type="pct"/>
            <w:shd w:val="clear" w:color="auto" w:fill="auto"/>
            <w:noWrap/>
            <w:vAlign w:val="center"/>
          </w:tcPr>
          <w:p w14:paraId="54E29AE0" w14:textId="77777777" w:rsidR="0065708A" w:rsidRPr="00513F1D" w:rsidRDefault="0065708A">
            <w:pPr>
              <w:spacing w:after="0" w:line="240" w:lineRule="auto"/>
              <w:jc w:val="center"/>
              <w:rPr>
                <w:rFonts w:eastAsia="Times New Roman"/>
                <w:sz w:val="16"/>
                <w:szCs w:val="16"/>
                <w:lang w:eastAsia="ru-RU"/>
              </w:rPr>
            </w:pPr>
          </w:p>
        </w:tc>
        <w:tc>
          <w:tcPr>
            <w:tcW w:w="422" w:type="pct"/>
            <w:shd w:val="clear" w:color="auto" w:fill="auto"/>
            <w:noWrap/>
            <w:vAlign w:val="center"/>
          </w:tcPr>
          <w:p w14:paraId="145C74D2" w14:textId="77777777" w:rsidR="0065708A" w:rsidRPr="00513F1D" w:rsidRDefault="0065708A">
            <w:pPr>
              <w:spacing w:after="0" w:line="240" w:lineRule="auto"/>
              <w:jc w:val="center"/>
              <w:rPr>
                <w:rFonts w:eastAsia="Times New Roman"/>
                <w:sz w:val="16"/>
                <w:szCs w:val="16"/>
                <w:lang w:eastAsia="ru-RU"/>
              </w:rPr>
            </w:pPr>
          </w:p>
        </w:tc>
        <w:tc>
          <w:tcPr>
            <w:tcW w:w="371" w:type="pct"/>
            <w:shd w:val="clear" w:color="auto" w:fill="auto"/>
            <w:noWrap/>
            <w:vAlign w:val="center"/>
          </w:tcPr>
          <w:p w14:paraId="39FA4FEA" w14:textId="77777777" w:rsidR="0065708A" w:rsidRPr="00513F1D" w:rsidRDefault="0065708A">
            <w:pPr>
              <w:spacing w:after="0" w:line="240" w:lineRule="auto"/>
              <w:jc w:val="center"/>
              <w:rPr>
                <w:rFonts w:eastAsia="Times New Roman"/>
                <w:sz w:val="16"/>
                <w:szCs w:val="16"/>
                <w:lang w:eastAsia="ru-RU"/>
              </w:rPr>
            </w:pPr>
          </w:p>
        </w:tc>
        <w:tc>
          <w:tcPr>
            <w:tcW w:w="569" w:type="pct"/>
            <w:shd w:val="clear" w:color="auto" w:fill="auto"/>
            <w:noWrap/>
            <w:vAlign w:val="center"/>
          </w:tcPr>
          <w:p w14:paraId="52D8A39E" w14:textId="77777777" w:rsidR="0065708A" w:rsidRPr="00513F1D" w:rsidRDefault="0065708A">
            <w:pPr>
              <w:spacing w:after="0" w:line="240" w:lineRule="auto"/>
              <w:jc w:val="center"/>
              <w:rPr>
                <w:rFonts w:eastAsia="Times New Roman"/>
                <w:sz w:val="16"/>
                <w:szCs w:val="16"/>
                <w:lang w:eastAsia="ru-RU"/>
              </w:rPr>
            </w:pPr>
          </w:p>
        </w:tc>
        <w:tc>
          <w:tcPr>
            <w:tcW w:w="327" w:type="pct"/>
            <w:shd w:val="clear" w:color="auto" w:fill="auto"/>
            <w:noWrap/>
            <w:vAlign w:val="center"/>
          </w:tcPr>
          <w:p w14:paraId="5C09B58B" w14:textId="77777777" w:rsidR="0065708A" w:rsidRPr="00513F1D" w:rsidRDefault="0065708A">
            <w:pPr>
              <w:spacing w:after="0" w:line="240" w:lineRule="auto"/>
              <w:jc w:val="center"/>
              <w:rPr>
                <w:rFonts w:eastAsia="Times New Roman"/>
                <w:sz w:val="16"/>
                <w:szCs w:val="16"/>
                <w:lang w:eastAsia="ru-RU"/>
              </w:rPr>
            </w:pPr>
          </w:p>
        </w:tc>
        <w:tc>
          <w:tcPr>
            <w:tcW w:w="363" w:type="pct"/>
            <w:shd w:val="clear" w:color="auto" w:fill="auto"/>
            <w:noWrap/>
            <w:vAlign w:val="center"/>
            <w:hideMark/>
          </w:tcPr>
          <w:p w14:paraId="7B868AD5" w14:textId="77777777" w:rsidR="0065708A" w:rsidRPr="00513F1D" w:rsidRDefault="0065708A">
            <w:pPr>
              <w:spacing w:after="0" w:line="240" w:lineRule="auto"/>
              <w:jc w:val="center"/>
              <w:rPr>
                <w:rFonts w:eastAsia="Times New Roman"/>
                <w:sz w:val="16"/>
                <w:szCs w:val="16"/>
                <w:lang w:eastAsia="ru-RU"/>
              </w:rPr>
            </w:pPr>
          </w:p>
        </w:tc>
        <w:tc>
          <w:tcPr>
            <w:tcW w:w="657" w:type="pct"/>
            <w:shd w:val="clear" w:color="auto" w:fill="auto"/>
            <w:vAlign w:val="center"/>
            <w:hideMark/>
          </w:tcPr>
          <w:p w14:paraId="7388F873" w14:textId="77777777" w:rsidR="0065708A" w:rsidRPr="00513F1D" w:rsidRDefault="0065708A" w:rsidP="00F94FED">
            <w:pPr>
              <w:spacing w:after="0" w:line="240" w:lineRule="auto"/>
              <w:jc w:val="center"/>
              <w:rPr>
                <w:rFonts w:eastAsia="Times New Roman"/>
                <w:sz w:val="16"/>
                <w:szCs w:val="16"/>
                <w:lang w:eastAsia="ru-RU"/>
              </w:rPr>
            </w:pPr>
            <w:r w:rsidRPr="00513F1D">
              <w:rPr>
                <w:rFonts w:eastAsia="Times New Roman"/>
                <w:sz w:val="16"/>
                <w:szCs w:val="16"/>
                <w:lang w:eastAsia="ru-RU"/>
              </w:rPr>
              <w:t>0</w:t>
            </w:r>
          </w:p>
        </w:tc>
      </w:tr>
      <w:tr w:rsidR="0065708A" w:rsidRPr="00513F1D" w14:paraId="14151023" w14:textId="77777777" w:rsidTr="00CB5AA8">
        <w:trPr>
          <w:trHeight w:val="20"/>
        </w:trPr>
        <w:tc>
          <w:tcPr>
            <w:tcW w:w="1257" w:type="pct"/>
            <w:shd w:val="clear" w:color="auto" w:fill="auto"/>
            <w:vAlign w:val="bottom"/>
            <w:hideMark/>
          </w:tcPr>
          <w:p w14:paraId="247ED818" w14:textId="77777777" w:rsidR="0065708A" w:rsidRPr="00513F1D" w:rsidRDefault="0065708A" w:rsidP="009A4C46">
            <w:pPr>
              <w:spacing w:after="0" w:line="240" w:lineRule="auto"/>
              <w:rPr>
                <w:rFonts w:eastAsia="Times New Roman"/>
                <w:sz w:val="16"/>
                <w:szCs w:val="16"/>
                <w:lang w:eastAsia="ru-RU"/>
              </w:rPr>
            </w:pPr>
            <w:r w:rsidRPr="00513F1D">
              <w:rPr>
                <w:rFonts w:eastAsia="Times New Roman"/>
                <w:sz w:val="16"/>
                <w:szCs w:val="16"/>
                <w:lang w:eastAsia="ru-RU"/>
              </w:rPr>
              <w:t>«Включение приборов учета в систему сбора и передачи данных, класс напряжения 110 кВ и выше, всего, в том числе:»</w:t>
            </w:r>
          </w:p>
        </w:tc>
        <w:tc>
          <w:tcPr>
            <w:tcW w:w="556" w:type="pct"/>
            <w:shd w:val="clear" w:color="auto" w:fill="auto"/>
            <w:noWrap/>
            <w:vAlign w:val="center"/>
          </w:tcPr>
          <w:p w14:paraId="3134D461" w14:textId="77777777" w:rsidR="0065708A" w:rsidRPr="00513F1D" w:rsidRDefault="0065708A" w:rsidP="003E2802">
            <w:pPr>
              <w:spacing w:after="0" w:line="240" w:lineRule="auto"/>
              <w:jc w:val="center"/>
              <w:rPr>
                <w:rFonts w:eastAsia="Times New Roman"/>
                <w:sz w:val="16"/>
                <w:szCs w:val="16"/>
                <w:lang w:eastAsia="ru-RU"/>
              </w:rPr>
            </w:pPr>
          </w:p>
        </w:tc>
        <w:tc>
          <w:tcPr>
            <w:tcW w:w="477" w:type="pct"/>
            <w:shd w:val="clear" w:color="auto" w:fill="auto"/>
            <w:noWrap/>
            <w:vAlign w:val="center"/>
          </w:tcPr>
          <w:p w14:paraId="52C467E7" w14:textId="77777777" w:rsidR="0065708A" w:rsidRPr="00513F1D" w:rsidRDefault="0065708A">
            <w:pPr>
              <w:spacing w:after="0" w:line="240" w:lineRule="auto"/>
              <w:jc w:val="center"/>
              <w:rPr>
                <w:rFonts w:eastAsia="Times New Roman"/>
                <w:sz w:val="16"/>
                <w:szCs w:val="16"/>
                <w:lang w:eastAsia="ru-RU"/>
              </w:rPr>
            </w:pPr>
          </w:p>
        </w:tc>
        <w:tc>
          <w:tcPr>
            <w:tcW w:w="422" w:type="pct"/>
            <w:shd w:val="clear" w:color="auto" w:fill="auto"/>
            <w:noWrap/>
            <w:vAlign w:val="center"/>
          </w:tcPr>
          <w:p w14:paraId="53D2DA84" w14:textId="77777777" w:rsidR="0065708A" w:rsidRPr="00513F1D" w:rsidRDefault="0065708A">
            <w:pPr>
              <w:spacing w:after="0" w:line="240" w:lineRule="auto"/>
              <w:jc w:val="center"/>
              <w:rPr>
                <w:rFonts w:eastAsia="Times New Roman"/>
                <w:sz w:val="16"/>
                <w:szCs w:val="16"/>
                <w:lang w:eastAsia="ru-RU"/>
              </w:rPr>
            </w:pPr>
          </w:p>
        </w:tc>
        <w:tc>
          <w:tcPr>
            <w:tcW w:w="371" w:type="pct"/>
            <w:shd w:val="clear" w:color="auto" w:fill="auto"/>
            <w:noWrap/>
            <w:vAlign w:val="center"/>
          </w:tcPr>
          <w:p w14:paraId="5B15CC5F" w14:textId="77777777" w:rsidR="0065708A" w:rsidRPr="00513F1D" w:rsidRDefault="0065708A">
            <w:pPr>
              <w:spacing w:after="0" w:line="240" w:lineRule="auto"/>
              <w:jc w:val="center"/>
              <w:rPr>
                <w:rFonts w:eastAsia="Times New Roman"/>
                <w:sz w:val="16"/>
                <w:szCs w:val="16"/>
                <w:lang w:eastAsia="ru-RU"/>
              </w:rPr>
            </w:pPr>
          </w:p>
        </w:tc>
        <w:tc>
          <w:tcPr>
            <w:tcW w:w="569" w:type="pct"/>
            <w:shd w:val="clear" w:color="auto" w:fill="auto"/>
            <w:noWrap/>
            <w:vAlign w:val="center"/>
          </w:tcPr>
          <w:p w14:paraId="6E4E5138" w14:textId="77777777" w:rsidR="0065708A" w:rsidRPr="00513F1D" w:rsidRDefault="0065708A">
            <w:pPr>
              <w:spacing w:after="0" w:line="240" w:lineRule="auto"/>
              <w:jc w:val="center"/>
              <w:rPr>
                <w:rFonts w:eastAsia="Times New Roman"/>
                <w:sz w:val="16"/>
                <w:szCs w:val="16"/>
                <w:lang w:eastAsia="ru-RU"/>
              </w:rPr>
            </w:pPr>
          </w:p>
        </w:tc>
        <w:tc>
          <w:tcPr>
            <w:tcW w:w="327" w:type="pct"/>
            <w:shd w:val="clear" w:color="auto" w:fill="auto"/>
            <w:noWrap/>
            <w:vAlign w:val="center"/>
          </w:tcPr>
          <w:p w14:paraId="4D8EC316" w14:textId="77777777" w:rsidR="0065708A" w:rsidRPr="00513F1D" w:rsidRDefault="0065708A">
            <w:pPr>
              <w:spacing w:after="0" w:line="240" w:lineRule="auto"/>
              <w:jc w:val="center"/>
              <w:rPr>
                <w:rFonts w:eastAsia="Times New Roman"/>
                <w:sz w:val="16"/>
                <w:szCs w:val="16"/>
                <w:lang w:eastAsia="ru-RU"/>
              </w:rPr>
            </w:pPr>
          </w:p>
        </w:tc>
        <w:tc>
          <w:tcPr>
            <w:tcW w:w="363" w:type="pct"/>
            <w:shd w:val="clear" w:color="auto" w:fill="auto"/>
            <w:noWrap/>
            <w:vAlign w:val="center"/>
            <w:hideMark/>
          </w:tcPr>
          <w:p w14:paraId="78DEF2A3" w14:textId="77777777" w:rsidR="0065708A" w:rsidRPr="00513F1D" w:rsidRDefault="0065708A">
            <w:pPr>
              <w:spacing w:after="0" w:line="240" w:lineRule="auto"/>
              <w:jc w:val="center"/>
              <w:rPr>
                <w:rFonts w:eastAsia="Times New Roman"/>
                <w:sz w:val="16"/>
                <w:szCs w:val="16"/>
                <w:lang w:eastAsia="ru-RU"/>
              </w:rPr>
            </w:pPr>
          </w:p>
        </w:tc>
        <w:tc>
          <w:tcPr>
            <w:tcW w:w="657" w:type="pct"/>
            <w:shd w:val="clear" w:color="auto" w:fill="auto"/>
            <w:vAlign w:val="center"/>
            <w:hideMark/>
          </w:tcPr>
          <w:p w14:paraId="1C0F5AA4" w14:textId="77777777" w:rsidR="0065708A" w:rsidRPr="00513F1D" w:rsidRDefault="0065708A" w:rsidP="00F94FED">
            <w:pPr>
              <w:spacing w:after="0" w:line="240" w:lineRule="auto"/>
              <w:jc w:val="center"/>
              <w:rPr>
                <w:rFonts w:eastAsia="Times New Roman"/>
                <w:sz w:val="16"/>
                <w:szCs w:val="16"/>
                <w:lang w:eastAsia="ru-RU"/>
              </w:rPr>
            </w:pPr>
            <w:r w:rsidRPr="00513F1D">
              <w:rPr>
                <w:rFonts w:eastAsia="Times New Roman"/>
                <w:sz w:val="16"/>
                <w:szCs w:val="16"/>
                <w:lang w:eastAsia="ru-RU"/>
              </w:rPr>
              <w:t>0</w:t>
            </w:r>
          </w:p>
        </w:tc>
      </w:tr>
      <w:tr w:rsidR="0065708A" w:rsidRPr="00513F1D" w14:paraId="1FBCD218" w14:textId="77777777" w:rsidTr="00CB5AA8">
        <w:trPr>
          <w:trHeight w:val="20"/>
        </w:trPr>
        <w:tc>
          <w:tcPr>
            <w:tcW w:w="1257" w:type="pct"/>
            <w:shd w:val="clear" w:color="auto" w:fill="auto"/>
            <w:vAlign w:val="bottom"/>
            <w:hideMark/>
          </w:tcPr>
          <w:p w14:paraId="5A54D530" w14:textId="77777777" w:rsidR="0065708A" w:rsidRPr="00513F1D" w:rsidRDefault="0065708A" w:rsidP="009A4C46">
            <w:pPr>
              <w:spacing w:after="0" w:line="240" w:lineRule="auto"/>
              <w:rPr>
                <w:rFonts w:eastAsia="Times New Roman"/>
                <w:sz w:val="16"/>
                <w:szCs w:val="16"/>
                <w:lang w:eastAsia="ru-RU"/>
              </w:rPr>
            </w:pPr>
            <w:r w:rsidRPr="00513F1D">
              <w:rPr>
                <w:rFonts w:eastAsia="Times New Roman"/>
                <w:sz w:val="16"/>
                <w:szCs w:val="16"/>
                <w:lang w:eastAsia="ru-RU"/>
              </w:rPr>
              <w:t>Реконструкция, модернизация, техническое перевооружение прочих объектов основных средств, всего, в том числе:</w:t>
            </w:r>
          </w:p>
        </w:tc>
        <w:tc>
          <w:tcPr>
            <w:tcW w:w="556" w:type="pct"/>
            <w:shd w:val="clear" w:color="auto" w:fill="auto"/>
            <w:noWrap/>
            <w:vAlign w:val="center"/>
          </w:tcPr>
          <w:p w14:paraId="03838754" w14:textId="77777777" w:rsidR="0065708A" w:rsidRPr="00513F1D" w:rsidRDefault="0065708A" w:rsidP="003E2802">
            <w:pPr>
              <w:spacing w:after="0" w:line="240" w:lineRule="auto"/>
              <w:jc w:val="center"/>
              <w:rPr>
                <w:rFonts w:eastAsia="Times New Roman"/>
                <w:sz w:val="16"/>
                <w:szCs w:val="16"/>
                <w:lang w:eastAsia="ru-RU"/>
              </w:rPr>
            </w:pPr>
          </w:p>
        </w:tc>
        <w:tc>
          <w:tcPr>
            <w:tcW w:w="477" w:type="pct"/>
            <w:shd w:val="clear" w:color="auto" w:fill="auto"/>
            <w:noWrap/>
            <w:vAlign w:val="center"/>
            <w:hideMark/>
          </w:tcPr>
          <w:p w14:paraId="67EB62C7"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7,8</w:t>
            </w:r>
          </w:p>
        </w:tc>
        <w:tc>
          <w:tcPr>
            <w:tcW w:w="422" w:type="pct"/>
            <w:shd w:val="clear" w:color="auto" w:fill="auto"/>
            <w:noWrap/>
            <w:vAlign w:val="center"/>
            <w:hideMark/>
          </w:tcPr>
          <w:p w14:paraId="4C394E26"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6,9</w:t>
            </w:r>
          </w:p>
        </w:tc>
        <w:tc>
          <w:tcPr>
            <w:tcW w:w="371" w:type="pct"/>
            <w:shd w:val="clear" w:color="auto" w:fill="auto"/>
            <w:noWrap/>
            <w:vAlign w:val="center"/>
            <w:hideMark/>
          </w:tcPr>
          <w:p w14:paraId="4D77EA2F"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6,9</w:t>
            </w:r>
          </w:p>
        </w:tc>
        <w:tc>
          <w:tcPr>
            <w:tcW w:w="569" w:type="pct"/>
            <w:shd w:val="clear" w:color="auto" w:fill="auto"/>
            <w:noWrap/>
            <w:vAlign w:val="center"/>
            <w:hideMark/>
          </w:tcPr>
          <w:p w14:paraId="0C5FF9E0"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0,9</w:t>
            </w:r>
          </w:p>
        </w:tc>
        <w:tc>
          <w:tcPr>
            <w:tcW w:w="327" w:type="pct"/>
            <w:shd w:val="clear" w:color="auto" w:fill="auto"/>
            <w:noWrap/>
            <w:vAlign w:val="center"/>
            <w:hideMark/>
          </w:tcPr>
          <w:p w14:paraId="5901AFF6"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-0,0</w:t>
            </w:r>
          </w:p>
        </w:tc>
        <w:tc>
          <w:tcPr>
            <w:tcW w:w="363" w:type="pct"/>
            <w:shd w:val="clear" w:color="auto" w:fill="auto"/>
            <w:noWrap/>
            <w:vAlign w:val="center"/>
            <w:hideMark/>
          </w:tcPr>
          <w:p w14:paraId="30C842F0"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-1%</w:t>
            </w:r>
          </w:p>
        </w:tc>
        <w:tc>
          <w:tcPr>
            <w:tcW w:w="657" w:type="pct"/>
            <w:shd w:val="clear" w:color="auto" w:fill="auto"/>
            <w:vAlign w:val="center"/>
            <w:hideMark/>
          </w:tcPr>
          <w:p w14:paraId="0DBCD179" w14:textId="77777777" w:rsidR="0065708A" w:rsidRPr="00513F1D" w:rsidRDefault="0065708A" w:rsidP="00F94FED">
            <w:pPr>
              <w:spacing w:after="0" w:line="240" w:lineRule="auto"/>
              <w:jc w:val="center"/>
              <w:rPr>
                <w:rFonts w:eastAsia="Times New Roman"/>
                <w:sz w:val="16"/>
                <w:szCs w:val="16"/>
                <w:lang w:eastAsia="ru-RU"/>
              </w:rPr>
            </w:pPr>
            <w:r w:rsidRPr="00513F1D">
              <w:rPr>
                <w:rFonts w:eastAsia="Times New Roman"/>
                <w:sz w:val="16"/>
                <w:szCs w:val="16"/>
                <w:lang w:eastAsia="ru-RU"/>
              </w:rPr>
              <w:t>0</w:t>
            </w:r>
          </w:p>
        </w:tc>
      </w:tr>
      <w:tr w:rsidR="0065708A" w:rsidRPr="00513F1D" w14:paraId="081BDDDB" w14:textId="77777777" w:rsidTr="00CB5AA8">
        <w:trPr>
          <w:trHeight w:val="20"/>
        </w:trPr>
        <w:tc>
          <w:tcPr>
            <w:tcW w:w="1257" w:type="pct"/>
            <w:shd w:val="clear" w:color="auto" w:fill="auto"/>
            <w:vAlign w:val="bottom"/>
            <w:hideMark/>
          </w:tcPr>
          <w:p w14:paraId="5FE29C2C" w14:textId="77777777" w:rsidR="0065708A" w:rsidRPr="00513F1D" w:rsidRDefault="0065708A" w:rsidP="009A4C46">
            <w:pPr>
              <w:spacing w:after="0" w:line="240" w:lineRule="auto"/>
              <w:rPr>
                <w:rFonts w:eastAsia="Times New Roman"/>
                <w:sz w:val="16"/>
                <w:szCs w:val="16"/>
                <w:lang w:eastAsia="ru-RU"/>
              </w:rPr>
            </w:pPr>
            <w:r w:rsidRPr="00513F1D">
              <w:rPr>
                <w:rFonts w:eastAsia="Times New Roman"/>
                <w:sz w:val="16"/>
                <w:szCs w:val="16"/>
                <w:lang w:eastAsia="ru-RU"/>
              </w:rPr>
              <w:t>Реконструкция прочих объектов основных средств, всего, в том числе:</w:t>
            </w:r>
          </w:p>
        </w:tc>
        <w:tc>
          <w:tcPr>
            <w:tcW w:w="556" w:type="pct"/>
            <w:shd w:val="clear" w:color="auto" w:fill="auto"/>
            <w:noWrap/>
            <w:vAlign w:val="center"/>
          </w:tcPr>
          <w:p w14:paraId="138E3A26" w14:textId="77777777" w:rsidR="0065708A" w:rsidRPr="00513F1D" w:rsidRDefault="0065708A" w:rsidP="003E2802">
            <w:pPr>
              <w:spacing w:after="0" w:line="240" w:lineRule="auto"/>
              <w:jc w:val="center"/>
              <w:rPr>
                <w:rFonts w:eastAsia="Times New Roman"/>
                <w:sz w:val="16"/>
                <w:szCs w:val="16"/>
                <w:lang w:eastAsia="ru-RU"/>
              </w:rPr>
            </w:pPr>
          </w:p>
        </w:tc>
        <w:tc>
          <w:tcPr>
            <w:tcW w:w="477" w:type="pct"/>
            <w:shd w:val="clear" w:color="auto" w:fill="auto"/>
            <w:noWrap/>
            <w:vAlign w:val="center"/>
          </w:tcPr>
          <w:p w14:paraId="52598870" w14:textId="77777777" w:rsidR="0065708A" w:rsidRPr="00513F1D" w:rsidRDefault="0065708A">
            <w:pPr>
              <w:spacing w:after="0" w:line="240" w:lineRule="auto"/>
              <w:jc w:val="center"/>
              <w:rPr>
                <w:rFonts w:eastAsia="Times New Roman"/>
                <w:sz w:val="16"/>
                <w:szCs w:val="16"/>
                <w:lang w:eastAsia="ru-RU"/>
              </w:rPr>
            </w:pPr>
          </w:p>
        </w:tc>
        <w:tc>
          <w:tcPr>
            <w:tcW w:w="422" w:type="pct"/>
            <w:shd w:val="clear" w:color="auto" w:fill="auto"/>
            <w:noWrap/>
            <w:vAlign w:val="center"/>
          </w:tcPr>
          <w:p w14:paraId="4FD41936" w14:textId="77777777" w:rsidR="0065708A" w:rsidRPr="00513F1D" w:rsidRDefault="0065708A">
            <w:pPr>
              <w:spacing w:after="0" w:line="240" w:lineRule="auto"/>
              <w:jc w:val="center"/>
              <w:rPr>
                <w:rFonts w:eastAsia="Times New Roman"/>
                <w:sz w:val="16"/>
                <w:szCs w:val="16"/>
                <w:lang w:eastAsia="ru-RU"/>
              </w:rPr>
            </w:pPr>
          </w:p>
        </w:tc>
        <w:tc>
          <w:tcPr>
            <w:tcW w:w="371" w:type="pct"/>
            <w:shd w:val="clear" w:color="auto" w:fill="auto"/>
            <w:noWrap/>
            <w:vAlign w:val="center"/>
          </w:tcPr>
          <w:p w14:paraId="16D8155F" w14:textId="77777777" w:rsidR="0065708A" w:rsidRPr="00513F1D" w:rsidRDefault="0065708A">
            <w:pPr>
              <w:spacing w:after="0" w:line="240" w:lineRule="auto"/>
              <w:jc w:val="center"/>
              <w:rPr>
                <w:rFonts w:eastAsia="Times New Roman"/>
                <w:sz w:val="16"/>
                <w:szCs w:val="16"/>
                <w:lang w:eastAsia="ru-RU"/>
              </w:rPr>
            </w:pPr>
          </w:p>
        </w:tc>
        <w:tc>
          <w:tcPr>
            <w:tcW w:w="569" w:type="pct"/>
            <w:shd w:val="clear" w:color="auto" w:fill="auto"/>
            <w:noWrap/>
            <w:vAlign w:val="center"/>
          </w:tcPr>
          <w:p w14:paraId="7AB88E70" w14:textId="77777777" w:rsidR="0065708A" w:rsidRPr="00513F1D" w:rsidRDefault="0065708A">
            <w:pPr>
              <w:spacing w:after="0" w:line="240" w:lineRule="auto"/>
              <w:jc w:val="center"/>
              <w:rPr>
                <w:rFonts w:eastAsia="Times New Roman"/>
                <w:sz w:val="16"/>
                <w:szCs w:val="16"/>
                <w:lang w:eastAsia="ru-RU"/>
              </w:rPr>
            </w:pPr>
          </w:p>
        </w:tc>
        <w:tc>
          <w:tcPr>
            <w:tcW w:w="327" w:type="pct"/>
            <w:shd w:val="clear" w:color="auto" w:fill="auto"/>
            <w:noWrap/>
            <w:vAlign w:val="center"/>
          </w:tcPr>
          <w:p w14:paraId="153D4FFB" w14:textId="77777777" w:rsidR="0065708A" w:rsidRPr="00513F1D" w:rsidRDefault="0065708A">
            <w:pPr>
              <w:spacing w:after="0" w:line="240" w:lineRule="auto"/>
              <w:jc w:val="center"/>
              <w:rPr>
                <w:rFonts w:eastAsia="Times New Roman"/>
                <w:sz w:val="16"/>
                <w:szCs w:val="16"/>
                <w:lang w:eastAsia="ru-RU"/>
              </w:rPr>
            </w:pPr>
          </w:p>
        </w:tc>
        <w:tc>
          <w:tcPr>
            <w:tcW w:w="363" w:type="pct"/>
            <w:shd w:val="clear" w:color="auto" w:fill="auto"/>
            <w:noWrap/>
            <w:vAlign w:val="center"/>
            <w:hideMark/>
          </w:tcPr>
          <w:p w14:paraId="6C321C3C" w14:textId="77777777" w:rsidR="0065708A" w:rsidRPr="00513F1D" w:rsidRDefault="0065708A">
            <w:pPr>
              <w:spacing w:after="0" w:line="240" w:lineRule="auto"/>
              <w:jc w:val="center"/>
              <w:rPr>
                <w:rFonts w:eastAsia="Times New Roman"/>
                <w:sz w:val="16"/>
                <w:szCs w:val="16"/>
                <w:lang w:eastAsia="ru-RU"/>
              </w:rPr>
            </w:pPr>
          </w:p>
        </w:tc>
        <w:tc>
          <w:tcPr>
            <w:tcW w:w="657" w:type="pct"/>
            <w:shd w:val="clear" w:color="auto" w:fill="auto"/>
            <w:vAlign w:val="center"/>
            <w:hideMark/>
          </w:tcPr>
          <w:p w14:paraId="597211A5" w14:textId="77777777" w:rsidR="0065708A" w:rsidRPr="00513F1D" w:rsidRDefault="0065708A" w:rsidP="00F94FED">
            <w:pPr>
              <w:spacing w:after="0" w:line="240" w:lineRule="auto"/>
              <w:jc w:val="center"/>
              <w:rPr>
                <w:rFonts w:eastAsia="Times New Roman"/>
                <w:sz w:val="16"/>
                <w:szCs w:val="16"/>
                <w:lang w:eastAsia="ru-RU"/>
              </w:rPr>
            </w:pPr>
            <w:r w:rsidRPr="00513F1D">
              <w:rPr>
                <w:rFonts w:eastAsia="Times New Roman"/>
                <w:sz w:val="16"/>
                <w:szCs w:val="16"/>
                <w:lang w:eastAsia="ru-RU"/>
              </w:rPr>
              <w:t>0</w:t>
            </w:r>
          </w:p>
        </w:tc>
      </w:tr>
      <w:tr w:rsidR="0065708A" w:rsidRPr="00513F1D" w14:paraId="74B50782" w14:textId="77777777" w:rsidTr="00CB5AA8">
        <w:trPr>
          <w:trHeight w:val="20"/>
        </w:trPr>
        <w:tc>
          <w:tcPr>
            <w:tcW w:w="1257" w:type="pct"/>
            <w:shd w:val="clear" w:color="auto" w:fill="auto"/>
            <w:vAlign w:val="bottom"/>
            <w:hideMark/>
          </w:tcPr>
          <w:p w14:paraId="10E30F7C" w14:textId="77777777" w:rsidR="0065708A" w:rsidRPr="00513F1D" w:rsidRDefault="0065708A" w:rsidP="009A4C46">
            <w:pPr>
              <w:spacing w:after="0" w:line="240" w:lineRule="auto"/>
              <w:rPr>
                <w:rFonts w:eastAsia="Times New Roman"/>
                <w:sz w:val="16"/>
                <w:szCs w:val="16"/>
                <w:lang w:eastAsia="ru-RU"/>
              </w:rPr>
            </w:pPr>
            <w:r w:rsidRPr="00513F1D">
              <w:rPr>
                <w:rFonts w:eastAsia="Times New Roman"/>
                <w:sz w:val="16"/>
                <w:szCs w:val="16"/>
                <w:lang w:eastAsia="ru-RU"/>
              </w:rPr>
              <w:t>Модернизация, техническое перевооружение прочих объектов основных средств, всего, в том числе:</w:t>
            </w:r>
          </w:p>
        </w:tc>
        <w:tc>
          <w:tcPr>
            <w:tcW w:w="556" w:type="pct"/>
            <w:shd w:val="clear" w:color="auto" w:fill="auto"/>
            <w:noWrap/>
            <w:vAlign w:val="center"/>
          </w:tcPr>
          <w:p w14:paraId="71D5CE2D" w14:textId="77777777" w:rsidR="0065708A" w:rsidRPr="00513F1D" w:rsidRDefault="0065708A" w:rsidP="003E2802">
            <w:pPr>
              <w:spacing w:after="0" w:line="240" w:lineRule="auto"/>
              <w:jc w:val="center"/>
              <w:rPr>
                <w:rFonts w:eastAsia="Times New Roman"/>
                <w:sz w:val="16"/>
                <w:szCs w:val="16"/>
                <w:lang w:eastAsia="ru-RU"/>
              </w:rPr>
            </w:pPr>
          </w:p>
        </w:tc>
        <w:tc>
          <w:tcPr>
            <w:tcW w:w="477" w:type="pct"/>
            <w:shd w:val="clear" w:color="auto" w:fill="auto"/>
            <w:noWrap/>
            <w:vAlign w:val="center"/>
            <w:hideMark/>
          </w:tcPr>
          <w:p w14:paraId="32539527"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7,8</w:t>
            </w:r>
          </w:p>
        </w:tc>
        <w:tc>
          <w:tcPr>
            <w:tcW w:w="422" w:type="pct"/>
            <w:shd w:val="clear" w:color="auto" w:fill="auto"/>
            <w:noWrap/>
            <w:vAlign w:val="center"/>
            <w:hideMark/>
          </w:tcPr>
          <w:p w14:paraId="4B8DB5EF"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6,9</w:t>
            </w:r>
          </w:p>
        </w:tc>
        <w:tc>
          <w:tcPr>
            <w:tcW w:w="371" w:type="pct"/>
            <w:shd w:val="clear" w:color="auto" w:fill="auto"/>
            <w:noWrap/>
            <w:vAlign w:val="center"/>
            <w:hideMark/>
          </w:tcPr>
          <w:p w14:paraId="16897794"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6,9</w:t>
            </w:r>
          </w:p>
        </w:tc>
        <w:tc>
          <w:tcPr>
            <w:tcW w:w="569" w:type="pct"/>
            <w:shd w:val="clear" w:color="auto" w:fill="auto"/>
            <w:noWrap/>
            <w:vAlign w:val="center"/>
            <w:hideMark/>
          </w:tcPr>
          <w:p w14:paraId="32BD35DE"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0,9</w:t>
            </w:r>
          </w:p>
        </w:tc>
        <w:tc>
          <w:tcPr>
            <w:tcW w:w="327" w:type="pct"/>
            <w:shd w:val="clear" w:color="auto" w:fill="auto"/>
            <w:noWrap/>
            <w:vAlign w:val="center"/>
            <w:hideMark/>
          </w:tcPr>
          <w:p w14:paraId="1FC85BF8"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-0,0</w:t>
            </w:r>
          </w:p>
        </w:tc>
        <w:tc>
          <w:tcPr>
            <w:tcW w:w="363" w:type="pct"/>
            <w:shd w:val="clear" w:color="auto" w:fill="auto"/>
            <w:noWrap/>
            <w:vAlign w:val="center"/>
            <w:hideMark/>
          </w:tcPr>
          <w:p w14:paraId="647CF629"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-1%</w:t>
            </w:r>
          </w:p>
        </w:tc>
        <w:tc>
          <w:tcPr>
            <w:tcW w:w="657" w:type="pct"/>
            <w:shd w:val="clear" w:color="auto" w:fill="auto"/>
            <w:vAlign w:val="center"/>
            <w:hideMark/>
          </w:tcPr>
          <w:p w14:paraId="28FC5E29" w14:textId="77777777" w:rsidR="0065708A" w:rsidRPr="00513F1D" w:rsidRDefault="0065708A" w:rsidP="00F94FED">
            <w:pPr>
              <w:spacing w:after="0" w:line="240" w:lineRule="auto"/>
              <w:jc w:val="center"/>
              <w:rPr>
                <w:rFonts w:eastAsia="Times New Roman"/>
                <w:sz w:val="16"/>
                <w:szCs w:val="16"/>
                <w:lang w:eastAsia="ru-RU"/>
              </w:rPr>
            </w:pPr>
            <w:r w:rsidRPr="00513F1D">
              <w:rPr>
                <w:rFonts w:eastAsia="Times New Roman"/>
                <w:sz w:val="16"/>
                <w:szCs w:val="16"/>
                <w:lang w:eastAsia="ru-RU"/>
              </w:rPr>
              <w:t>0</w:t>
            </w:r>
          </w:p>
        </w:tc>
      </w:tr>
      <w:tr w:rsidR="0065708A" w:rsidRPr="00513F1D" w14:paraId="648A5EAD" w14:textId="77777777" w:rsidTr="00CB5AA8">
        <w:trPr>
          <w:trHeight w:val="20"/>
        </w:trPr>
        <w:tc>
          <w:tcPr>
            <w:tcW w:w="1257" w:type="pct"/>
            <w:shd w:val="clear" w:color="auto" w:fill="auto"/>
            <w:vAlign w:val="bottom"/>
            <w:hideMark/>
          </w:tcPr>
          <w:p w14:paraId="492BDF20" w14:textId="77777777" w:rsidR="0065708A" w:rsidRPr="00513F1D" w:rsidRDefault="0065708A" w:rsidP="009A4C46">
            <w:pPr>
              <w:spacing w:after="0" w:line="240" w:lineRule="auto"/>
              <w:rPr>
                <w:rFonts w:eastAsia="Times New Roman"/>
                <w:sz w:val="16"/>
                <w:szCs w:val="16"/>
                <w:lang w:eastAsia="ru-RU"/>
              </w:rPr>
            </w:pPr>
            <w:r w:rsidRPr="00513F1D">
              <w:rPr>
                <w:rFonts w:eastAsia="Times New Roman"/>
                <w:sz w:val="16"/>
                <w:szCs w:val="16"/>
                <w:lang w:eastAsia="ru-RU"/>
              </w:rPr>
              <w:t>Создание системы отображения информации диспетчерского пункта центра управления сетями</w:t>
            </w:r>
          </w:p>
        </w:tc>
        <w:tc>
          <w:tcPr>
            <w:tcW w:w="556" w:type="pct"/>
            <w:shd w:val="clear" w:color="auto" w:fill="auto"/>
            <w:vAlign w:val="center"/>
          </w:tcPr>
          <w:p w14:paraId="331BA432" w14:textId="77777777" w:rsidR="0065708A" w:rsidRPr="00513F1D" w:rsidRDefault="0065708A" w:rsidP="003E2802">
            <w:pPr>
              <w:spacing w:after="0" w:line="240" w:lineRule="auto"/>
              <w:jc w:val="center"/>
              <w:rPr>
                <w:rFonts w:eastAsia="Times New Roman"/>
                <w:sz w:val="16"/>
                <w:szCs w:val="16"/>
                <w:lang w:eastAsia="ru-RU"/>
              </w:rPr>
            </w:pPr>
          </w:p>
        </w:tc>
        <w:tc>
          <w:tcPr>
            <w:tcW w:w="477" w:type="pct"/>
            <w:shd w:val="clear" w:color="auto" w:fill="auto"/>
            <w:vAlign w:val="center"/>
            <w:hideMark/>
          </w:tcPr>
          <w:p w14:paraId="4676D646"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6,9</w:t>
            </w:r>
          </w:p>
        </w:tc>
        <w:tc>
          <w:tcPr>
            <w:tcW w:w="422" w:type="pct"/>
            <w:shd w:val="clear" w:color="auto" w:fill="auto"/>
            <w:noWrap/>
            <w:vAlign w:val="center"/>
            <w:hideMark/>
          </w:tcPr>
          <w:p w14:paraId="5807198A"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6,9</w:t>
            </w:r>
          </w:p>
        </w:tc>
        <w:tc>
          <w:tcPr>
            <w:tcW w:w="371" w:type="pct"/>
            <w:shd w:val="clear" w:color="auto" w:fill="auto"/>
            <w:noWrap/>
            <w:vAlign w:val="center"/>
            <w:hideMark/>
          </w:tcPr>
          <w:p w14:paraId="236BA25E"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6,9</w:t>
            </w:r>
          </w:p>
        </w:tc>
        <w:tc>
          <w:tcPr>
            <w:tcW w:w="569" w:type="pct"/>
            <w:shd w:val="clear" w:color="auto" w:fill="auto"/>
            <w:noWrap/>
            <w:vAlign w:val="center"/>
            <w:hideMark/>
          </w:tcPr>
          <w:p w14:paraId="7340C4D1"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0,0</w:t>
            </w:r>
          </w:p>
        </w:tc>
        <w:tc>
          <w:tcPr>
            <w:tcW w:w="327" w:type="pct"/>
            <w:shd w:val="clear" w:color="auto" w:fill="auto"/>
            <w:noWrap/>
            <w:vAlign w:val="center"/>
            <w:hideMark/>
          </w:tcPr>
          <w:p w14:paraId="16CB6982"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-0,0</w:t>
            </w:r>
          </w:p>
        </w:tc>
        <w:tc>
          <w:tcPr>
            <w:tcW w:w="363" w:type="pct"/>
            <w:shd w:val="clear" w:color="auto" w:fill="auto"/>
            <w:noWrap/>
            <w:vAlign w:val="center"/>
            <w:hideMark/>
          </w:tcPr>
          <w:p w14:paraId="149B6324"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-1%</w:t>
            </w:r>
          </w:p>
        </w:tc>
        <w:tc>
          <w:tcPr>
            <w:tcW w:w="657" w:type="pct"/>
            <w:shd w:val="clear" w:color="auto" w:fill="auto"/>
            <w:vAlign w:val="center"/>
            <w:hideMark/>
          </w:tcPr>
          <w:p w14:paraId="2837176C" w14:textId="77777777" w:rsidR="0065708A" w:rsidRPr="00513F1D" w:rsidRDefault="0065708A" w:rsidP="00F94FED">
            <w:pPr>
              <w:spacing w:after="0" w:line="240" w:lineRule="auto"/>
              <w:jc w:val="center"/>
              <w:rPr>
                <w:rFonts w:eastAsia="Times New Roman"/>
                <w:sz w:val="16"/>
                <w:szCs w:val="16"/>
                <w:lang w:eastAsia="ru-RU"/>
              </w:rPr>
            </w:pPr>
            <w:r w:rsidRPr="00513F1D">
              <w:rPr>
                <w:rFonts w:eastAsia="Times New Roman"/>
                <w:sz w:val="16"/>
                <w:szCs w:val="16"/>
                <w:lang w:eastAsia="ru-RU"/>
              </w:rPr>
              <w:t>финансирование фактически выполненного объема работ</w:t>
            </w:r>
          </w:p>
        </w:tc>
      </w:tr>
      <w:tr w:rsidR="0065708A" w:rsidRPr="00513F1D" w14:paraId="2F8CA454" w14:textId="77777777" w:rsidTr="00CB5AA8">
        <w:trPr>
          <w:trHeight w:val="20"/>
        </w:trPr>
        <w:tc>
          <w:tcPr>
            <w:tcW w:w="1257" w:type="pct"/>
            <w:shd w:val="clear" w:color="auto" w:fill="auto"/>
            <w:vAlign w:val="bottom"/>
            <w:hideMark/>
          </w:tcPr>
          <w:p w14:paraId="77BE5EA9" w14:textId="77777777" w:rsidR="0065708A" w:rsidRPr="00513F1D" w:rsidRDefault="0065708A" w:rsidP="009A4C46">
            <w:pPr>
              <w:spacing w:after="0" w:line="240" w:lineRule="auto"/>
              <w:rPr>
                <w:rFonts w:eastAsia="Times New Roman"/>
                <w:sz w:val="16"/>
                <w:szCs w:val="16"/>
                <w:lang w:eastAsia="ru-RU"/>
              </w:rPr>
            </w:pPr>
            <w:r w:rsidRPr="00513F1D">
              <w:rPr>
                <w:rFonts w:eastAsia="Times New Roman"/>
                <w:sz w:val="16"/>
                <w:szCs w:val="16"/>
                <w:lang w:eastAsia="ru-RU"/>
              </w:rPr>
              <w:t>Создание системы видеонаблюдения на ПС 110/10 кВ "Западная", ПС 110/35/10 кВ "Городская"</w:t>
            </w:r>
          </w:p>
        </w:tc>
        <w:tc>
          <w:tcPr>
            <w:tcW w:w="556" w:type="pct"/>
            <w:shd w:val="clear" w:color="auto" w:fill="auto"/>
            <w:vAlign w:val="center"/>
          </w:tcPr>
          <w:p w14:paraId="5D42795F" w14:textId="77777777" w:rsidR="0065708A" w:rsidRPr="00513F1D" w:rsidRDefault="0065708A" w:rsidP="003E2802">
            <w:pPr>
              <w:spacing w:after="0" w:line="240" w:lineRule="auto"/>
              <w:jc w:val="center"/>
              <w:rPr>
                <w:rFonts w:eastAsia="Times New Roman"/>
                <w:sz w:val="16"/>
                <w:szCs w:val="16"/>
                <w:lang w:eastAsia="ru-RU"/>
              </w:rPr>
            </w:pPr>
          </w:p>
        </w:tc>
        <w:tc>
          <w:tcPr>
            <w:tcW w:w="477" w:type="pct"/>
            <w:shd w:val="clear" w:color="auto" w:fill="auto"/>
            <w:vAlign w:val="center"/>
            <w:hideMark/>
          </w:tcPr>
          <w:p w14:paraId="5A3714A4"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0,9</w:t>
            </w:r>
          </w:p>
        </w:tc>
        <w:tc>
          <w:tcPr>
            <w:tcW w:w="422" w:type="pct"/>
            <w:shd w:val="clear" w:color="auto" w:fill="auto"/>
            <w:noWrap/>
            <w:vAlign w:val="center"/>
          </w:tcPr>
          <w:p w14:paraId="0E1FBD56" w14:textId="77777777" w:rsidR="0065708A" w:rsidRPr="00513F1D" w:rsidRDefault="0065708A">
            <w:pPr>
              <w:spacing w:after="0" w:line="240" w:lineRule="auto"/>
              <w:jc w:val="center"/>
              <w:rPr>
                <w:rFonts w:eastAsia="Times New Roman"/>
                <w:sz w:val="16"/>
                <w:szCs w:val="16"/>
                <w:lang w:eastAsia="ru-RU"/>
              </w:rPr>
            </w:pPr>
          </w:p>
        </w:tc>
        <w:tc>
          <w:tcPr>
            <w:tcW w:w="371" w:type="pct"/>
            <w:shd w:val="clear" w:color="auto" w:fill="auto"/>
            <w:noWrap/>
            <w:vAlign w:val="center"/>
          </w:tcPr>
          <w:p w14:paraId="72AF32FA" w14:textId="77777777" w:rsidR="0065708A" w:rsidRPr="00513F1D" w:rsidRDefault="0065708A">
            <w:pPr>
              <w:spacing w:after="0" w:line="240" w:lineRule="auto"/>
              <w:jc w:val="center"/>
              <w:rPr>
                <w:rFonts w:eastAsia="Times New Roman"/>
                <w:sz w:val="16"/>
                <w:szCs w:val="16"/>
                <w:lang w:eastAsia="ru-RU"/>
              </w:rPr>
            </w:pPr>
          </w:p>
        </w:tc>
        <w:tc>
          <w:tcPr>
            <w:tcW w:w="569" w:type="pct"/>
            <w:shd w:val="clear" w:color="auto" w:fill="auto"/>
            <w:noWrap/>
            <w:vAlign w:val="center"/>
            <w:hideMark/>
          </w:tcPr>
          <w:p w14:paraId="46439D80"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0,9</w:t>
            </w:r>
          </w:p>
        </w:tc>
        <w:tc>
          <w:tcPr>
            <w:tcW w:w="327" w:type="pct"/>
            <w:shd w:val="clear" w:color="auto" w:fill="auto"/>
            <w:noWrap/>
            <w:vAlign w:val="center"/>
          </w:tcPr>
          <w:p w14:paraId="2AFE1AEE" w14:textId="77777777" w:rsidR="0065708A" w:rsidRPr="00513F1D" w:rsidRDefault="0065708A">
            <w:pPr>
              <w:spacing w:after="0" w:line="240" w:lineRule="auto"/>
              <w:jc w:val="center"/>
              <w:rPr>
                <w:rFonts w:eastAsia="Times New Roman"/>
                <w:sz w:val="16"/>
                <w:szCs w:val="16"/>
                <w:lang w:eastAsia="ru-RU"/>
              </w:rPr>
            </w:pPr>
          </w:p>
        </w:tc>
        <w:tc>
          <w:tcPr>
            <w:tcW w:w="363" w:type="pct"/>
            <w:shd w:val="clear" w:color="auto" w:fill="auto"/>
            <w:noWrap/>
            <w:vAlign w:val="center"/>
            <w:hideMark/>
          </w:tcPr>
          <w:p w14:paraId="715BF7B9" w14:textId="77777777" w:rsidR="0065708A" w:rsidRPr="00513F1D" w:rsidRDefault="0065708A">
            <w:pPr>
              <w:spacing w:after="0" w:line="240" w:lineRule="auto"/>
              <w:jc w:val="center"/>
              <w:rPr>
                <w:rFonts w:eastAsia="Times New Roman"/>
                <w:sz w:val="16"/>
                <w:szCs w:val="16"/>
                <w:lang w:eastAsia="ru-RU"/>
              </w:rPr>
            </w:pPr>
          </w:p>
        </w:tc>
        <w:tc>
          <w:tcPr>
            <w:tcW w:w="657" w:type="pct"/>
            <w:shd w:val="clear" w:color="auto" w:fill="auto"/>
            <w:vAlign w:val="center"/>
            <w:hideMark/>
          </w:tcPr>
          <w:p w14:paraId="703B572F" w14:textId="76504F10" w:rsidR="0065708A" w:rsidRPr="00513F1D" w:rsidRDefault="0065708A" w:rsidP="00F94FED">
            <w:pPr>
              <w:spacing w:after="0" w:line="240" w:lineRule="auto"/>
              <w:jc w:val="center"/>
              <w:rPr>
                <w:rFonts w:eastAsia="Times New Roman"/>
                <w:sz w:val="16"/>
                <w:szCs w:val="16"/>
                <w:lang w:eastAsia="ru-RU"/>
              </w:rPr>
            </w:pPr>
          </w:p>
        </w:tc>
      </w:tr>
      <w:tr w:rsidR="0065708A" w:rsidRPr="00513F1D" w14:paraId="6D388A46" w14:textId="77777777" w:rsidTr="00CB5AA8">
        <w:trPr>
          <w:trHeight w:val="20"/>
        </w:trPr>
        <w:tc>
          <w:tcPr>
            <w:tcW w:w="1257" w:type="pct"/>
            <w:shd w:val="clear" w:color="auto" w:fill="auto"/>
            <w:vAlign w:val="bottom"/>
            <w:hideMark/>
          </w:tcPr>
          <w:p w14:paraId="40DAA455" w14:textId="77777777" w:rsidR="0065708A" w:rsidRPr="00513F1D" w:rsidRDefault="0065708A" w:rsidP="009A4C46">
            <w:pPr>
              <w:spacing w:after="0" w:line="240" w:lineRule="auto"/>
              <w:rPr>
                <w:rFonts w:eastAsia="Times New Roman"/>
                <w:sz w:val="16"/>
                <w:szCs w:val="16"/>
                <w:lang w:eastAsia="ru-RU"/>
              </w:rPr>
            </w:pPr>
            <w:r w:rsidRPr="00513F1D">
              <w:rPr>
                <w:rFonts w:eastAsia="Times New Roman"/>
                <w:sz w:val="16"/>
                <w:szCs w:val="16"/>
                <w:lang w:eastAsia="ru-RU"/>
              </w:rPr>
              <w:t>Инвестиционные проекты, реализация которых обуславливается схемами и программами перспективного развития электроэнергетики, всего, в том числе:</w:t>
            </w:r>
          </w:p>
        </w:tc>
        <w:tc>
          <w:tcPr>
            <w:tcW w:w="556" w:type="pct"/>
            <w:shd w:val="clear" w:color="auto" w:fill="auto"/>
            <w:noWrap/>
            <w:vAlign w:val="center"/>
          </w:tcPr>
          <w:p w14:paraId="1EDF379C" w14:textId="77777777" w:rsidR="0065708A" w:rsidRPr="00513F1D" w:rsidRDefault="0065708A" w:rsidP="003E2802">
            <w:pPr>
              <w:spacing w:after="0" w:line="240" w:lineRule="auto"/>
              <w:jc w:val="center"/>
              <w:rPr>
                <w:rFonts w:eastAsia="Times New Roman"/>
                <w:sz w:val="16"/>
                <w:szCs w:val="16"/>
                <w:lang w:eastAsia="ru-RU"/>
              </w:rPr>
            </w:pPr>
          </w:p>
        </w:tc>
        <w:tc>
          <w:tcPr>
            <w:tcW w:w="477" w:type="pct"/>
            <w:shd w:val="clear" w:color="auto" w:fill="auto"/>
            <w:noWrap/>
            <w:vAlign w:val="center"/>
          </w:tcPr>
          <w:p w14:paraId="74651045" w14:textId="77777777" w:rsidR="0065708A" w:rsidRPr="00513F1D" w:rsidRDefault="0065708A">
            <w:pPr>
              <w:spacing w:after="0" w:line="240" w:lineRule="auto"/>
              <w:jc w:val="center"/>
              <w:rPr>
                <w:rFonts w:eastAsia="Times New Roman"/>
                <w:sz w:val="16"/>
                <w:szCs w:val="16"/>
                <w:lang w:eastAsia="ru-RU"/>
              </w:rPr>
            </w:pPr>
          </w:p>
        </w:tc>
        <w:tc>
          <w:tcPr>
            <w:tcW w:w="422" w:type="pct"/>
            <w:shd w:val="clear" w:color="auto" w:fill="auto"/>
            <w:noWrap/>
            <w:vAlign w:val="center"/>
          </w:tcPr>
          <w:p w14:paraId="642E1489" w14:textId="77777777" w:rsidR="0065708A" w:rsidRPr="00513F1D" w:rsidRDefault="0065708A">
            <w:pPr>
              <w:spacing w:after="0" w:line="240" w:lineRule="auto"/>
              <w:jc w:val="center"/>
              <w:rPr>
                <w:rFonts w:eastAsia="Times New Roman"/>
                <w:sz w:val="16"/>
                <w:szCs w:val="16"/>
                <w:lang w:eastAsia="ru-RU"/>
              </w:rPr>
            </w:pPr>
          </w:p>
        </w:tc>
        <w:tc>
          <w:tcPr>
            <w:tcW w:w="371" w:type="pct"/>
            <w:shd w:val="clear" w:color="auto" w:fill="auto"/>
            <w:noWrap/>
            <w:vAlign w:val="center"/>
          </w:tcPr>
          <w:p w14:paraId="56D6B425" w14:textId="77777777" w:rsidR="0065708A" w:rsidRPr="00513F1D" w:rsidRDefault="0065708A">
            <w:pPr>
              <w:spacing w:after="0" w:line="240" w:lineRule="auto"/>
              <w:jc w:val="center"/>
              <w:rPr>
                <w:rFonts w:eastAsia="Times New Roman"/>
                <w:sz w:val="16"/>
                <w:szCs w:val="16"/>
                <w:lang w:eastAsia="ru-RU"/>
              </w:rPr>
            </w:pPr>
          </w:p>
        </w:tc>
        <w:tc>
          <w:tcPr>
            <w:tcW w:w="569" w:type="pct"/>
            <w:shd w:val="clear" w:color="auto" w:fill="auto"/>
            <w:noWrap/>
            <w:vAlign w:val="center"/>
          </w:tcPr>
          <w:p w14:paraId="05C9CA42" w14:textId="77777777" w:rsidR="0065708A" w:rsidRPr="00513F1D" w:rsidRDefault="0065708A">
            <w:pPr>
              <w:spacing w:after="0" w:line="240" w:lineRule="auto"/>
              <w:jc w:val="center"/>
              <w:rPr>
                <w:rFonts w:eastAsia="Times New Roman"/>
                <w:sz w:val="16"/>
                <w:szCs w:val="16"/>
                <w:lang w:eastAsia="ru-RU"/>
              </w:rPr>
            </w:pPr>
          </w:p>
        </w:tc>
        <w:tc>
          <w:tcPr>
            <w:tcW w:w="327" w:type="pct"/>
            <w:shd w:val="clear" w:color="auto" w:fill="auto"/>
            <w:noWrap/>
            <w:vAlign w:val="center"/>
          </w:tcPr>
          <w:p w14:paraId="2960FF26" w14:textId="77777777" w:rsidR="0065708A" w:rsidRPr="00513F1D" w:rsidRDefault="0065708A">
            <w:pPr>
              <w:spacing w:after="0" w:line="240" w:lineRule="auto"/>
              <w:jc w:val="center"/>
              <w:rPr>
                <w:rFonts w:eastAsia="Times New Roman"/>
                <w:sz w:val="16"/>
                <w:szCs w:val="16"/>
                <w:lang w:eastAsia="ru-RU"/>
              </w:rPr>
            </w:pPr>
          </w:p>
        </w:tc>
        <w:tc>
          <w:tcPr>
            <w:tcW w:w="363" w:type="pct"/>
            <w:shd w:val="clear" w:color="auto" w:fill="auto"/>
            <w:noWrap/>
            <w:vAlign w:val="center"/>
            <w:hideMark/>
          </w:tcPr>
          <w:p w14:paraId="09291EFD" w14:textId="77777777" w:rsidR="0065708A" w:rsidRPr="00513F1D" w:rsidRDefault="0065708A">
            <w:pPr>
              <w:spacing w:after="0" w:line="240" w:lineRule="auto"/>
              <w:jc w:val="center"/>
              <w:rPr>
                <w:rFonts w:eastAsia="Times New Roman"/>
                <w:sz w:val="16"/>
                <w:szCs w:val="16"/>
                <w:lang w:eastAsia="ru-RU"/>
              </w:rPr>
            </w:pPr>
          </w:p>
        </w:tc>
        <w:tc>
          <w:tcPr>
            <w:tcW w:w="657" w:type="pct"/>
            <w:shd w:val="clear" w:color="auto" w:fill="auto"/>
            <w:vAlign w:val="center"/>
            <w:hideMark/>
          </w:tcPr>
          <w:p w14:paraId="09967CA5" w14:textId="77777777" w:rsidR="0065708A" w:rsidRPr="00513F1D" w:rsidRDefault="0065708A" w:rsidP="00F94FED">
            <w:pPr>
              <w:spacing w:after="0" w:line="240" w:lineRule="auto"/>
              <w:jc w:val="center"/>
              <w:rPr>
                <w:rFonts w:eastAsia="Times New Roman"/>
                <w:sz w:val="16"/>
                <w:szCs w:val="16"/>
                <w:lang w:eastAsia="ru-RU"/>
              </w:rPr>
            </w:pPr>
            <w:r w:rsidRPr="00513F1D">
              <w:rPr>
                <w:rFonts w:eastAsia="Times New Roman"/>
                <w:sz w:val="16"/>
                <w:szCs w:val="16"/>
                <w:lang w:eastAsia="ru-RU"/>
              </w:rPr>
              <w:t>0</w:t>
            </w:r>
          </w:p>
        </w:tc>
      </w:tr>
      <w:tr w:rsidR="0065708A" w:rsidRPr="00513F1D" w14:paraId="430F25C0" w14:textId="77777777" w:rsidTr="00CB5AA8">
        <w:trPr>
          <w:trHeight w:val="20"/>
        </w:trPr>
        <w:tc>
          <w:tcPr>
            <w:tcW w:w="1257" w:type="pct"/>
            <w:shd w:val="clear" w:color="auto" w:fill="auto"/>
            <w:vAlign w:val="bottom"/>
            <w:hideMark/>
          </w:tcPr>
          <w:p w14:paraId="6287F25C" w14:textId="77777777" w:rsidR="0065708A" w:rsidRPr="00513F1D" w:rsidRDefault="0065708A" w:rsidP="009A4C46">
            <w:pPr>
              <w:spacing w:after="0" w:line="240" w:lineRule="auto"/>
              <w:rPr>
                <w:rFonts w:eastAsia="Times New Roman"/>
                <w:sz w:val="16"/>
                <w:szCs w:val="16"/>
                <w:lang w:eastAsia="ru-RU"/>
              </w:rPr>
            </w:pPr>
            <w:r w:rsidRPr="00513F1D">
              <w:rPr>
                <w:rFonts w:eastAsia="Times New Roman"/>
                <w:sz w:val="16"/>
                <w:szCs w:val="16"/>
                <w:lang w:eastAsia="ru-RU"/>
              </w:rPr>
              <w:t>Инвестиционные проекты, предусмотренные схемой и программой развития Единой энергетической системы России, всего, в том числе:</w:t>
            </w:r>
          </w:p>
        </w:tc>
        <w:tc>
          <w:tcPr>
            <w:tcW w:w="556" w:type="pct"/>
            <w:shd w:val="clear" w:color="auto" w:fill="auto"/>
            <w:noWrap/>
            <w:vAlign w:val="center"/>
          </w:tcPr>
          <w:p w14:paraId="14699030" w14:textId="77777777" w:rsidR="0065708A" w:rsidRPr="00513F1D" w:rsidRDefault="0065708A" w:rsidP="003E2802">
            <w:pPr>
              <w:spacing w:after="0" w:line="240" w:lineRule="auto"/>
              <w:jc w:val="center"/>
              <w:rPr>
                <w:rFonts w:eastAsia="Times New Roman"/>
                <w:sz w:val="16"/>
                <w:szCs w:val="16"/>
                <w:lang w:eastAsia="ru-RU"/>
              </w:rPr>
            </w:pPr>
          </w:p>
        </w:tc>
        <w:tc>
          <w:tcPr>
            <w:tcW w:w="477" w:type="pct"/>
            <w:shd w:val="clear" w:color="auto" w:fill="auto"/>
            <w:noWrap/>
            <w:vAlign w:val="center"/>
          </w:tcPr>
          <w:p w14:paraId="30CD2FF8" w14:textId="77777777" w:rsidR="0065708A" w:rsidRPr="00513F1D" w:rsidRDefault="0065708A">
            <w:pPr>
              <w:spacing w:after="0" w:line="240" w:lineRule="auto"/>
              <w:jc w:val="center"/>
              <w:rPr>
                <w:rFonts w:eastAsia="Times New Roman"/>
                <w:sz w:val="16"/>
                <w:szCs w:val="16"/>
                <w:lang w:eastAsia="ru-RU"/>
              </w:rPr>
            </w:pPr>
          </w:p>
        </w:tc>
        <w:tc>
          <w:tcPr>
            <w:tcW w:w="422" w:type="pct"/>
            <w:shd w:val="clear" w:color="auto" w:fill="auto"/>
            <w:noWrap/>
            <w:vAlign w:val="center"/>
          </w:tcPr>
          <w:p w14:paraId="4AB60F37" w14:textId="77777777" w:rsidR="0065708A" w:rsidRPr="00513F1D" w:rsidRDefault="0065708A">
            <w:pPr>
              <w:spacing w:after="0" w:line="240" w:lineRule="auto"/>
              <w:jc w:val="center"/>
              <w:rPr>
                <w:rFonts w:eastAsia="Times New Roman"/>
                <w:sz w:val="16"/>
                <w:szCs w:val="16"/>
                <w:lang w:eastAsia="ru-RU"/>
              </w:rPr>
            </w:pPr>
          </w:p>
        </w:tc>
        <w:tc>
          <w:tcPr>
            <w:tcW w:w="371" w:type="pct"/>
            <w:shd w:val="clear" w:color="auto" w:fill="auto"/>
            <w:noWrap/>
            <w:vAlign w:val="center"/>
          </w:tcPr>
          <w:p w14:paraId="45728DD1" w14:textId="77777777" w:rsidR="0065708A" w:rsidRPr="00513F1D" w:rsidRDefault="0065708A">
            <w:pPr>
              <w:spacing w:after="0" w:line="240" w:lineRule="auto"/>
              <w:jc w:val="center"/>
              <w:rPr>
                <w:rFonts w:eastAsia="Times New Roman"/>
                <w:sz w:val="16"/>
                <w:szCs w:val="16"/>
                <w:lang w:eastAsia="ru-RU"/>
              </w:rPr>
            </w:pPr>
          </w:p>
        </w:tc>
        <w:tc>
          <w:tcPr>
            <w:tcW w:w="569" w:type="pct"/>
            <w:shd w:val="clear" w:color="auto" w:fill="auto"/>
            <w:noWrap/>
            <w:vAlign w:val="center"/>
          </w:tcPr>
          <w:p w14:paraId="56B766C9" w14:textId="77777777" w:rsidR="0065708A" w:rsidRPr="00513F1D" w:rsidRDefault="0065708A">
            <w:pPr>
              <w:spacing w:after="0" w:line="240" w:lineRule="auto"/>
              <w:jc w:val="center"/>
              <w:rPr>
                <w:rFonts w:eastAsia="Times New Roman"/>
                <w:sz w:val="16"/>
                <w:szCs w:val="16"/>
                <w:lang w:eastAsia="ru-RU"/>
              </w:rPr>
            </w:pPr>
          </w:p>
        </w:tc>
        <w:tc>
          <w:tcPr>
            <w:tcW w:w="327" w:type="pct"/>
            <w:shd w:val="clear" w:color="auto" w:fill="auto"/>
            <w:noWrap/>
            <w:vAlign w:val="center"/>
          </w:tcPr>
          <w:p w14:paraId="54EF2162" w14:textId="77777777" w:rsidR="0065708A" w:rsidRPr="00513F1D" w:rsidRDefault="0065708A">
            <w:pPr>
              <w:spacing w:after="0" w:line="240" w:lineRule="auto"/>
              <w:jc w:val="center"/>
              <w:rPr>
                <w:rFonts w:eastAsia="Times New Roman"/>
                <w:sz w:val="16"/>
                <w:szCs w:val="16"/>
                <w:lang w:eastAsia="ru-RU"/>
              </w:rPr>
            </w:pPr>
          </w:p>
        </w:tc>
        <w:tc>
          <w:tcPr>
            <w:tcW w:w="363" w:type="pct"/>
            <w:shd w:val="clear" w:color="auto" w:fill="auto"/>
            <w:noWrap/>
            <w:vAlign w:val="center"/>
            <w:hideMark/>
          </w:tcPr>
          <w:p w14:paraId="74E089CF" w14:textId="77777777" w:rsidR="0065708A" w:rsidRPr="00513F1D" w:rsidRDefault="0065708A">
            <w:pPr>
              <w:spacing w:after="0" w:line="240" w:lineRule="auto"/>
              <w:jc w:val="center"/>
              <w:rPr>
                <w:rFonts w:eastAsia="Times New Roman"/>
                <w:sz w:val="16"/>
                <w:szCs w:val="16"/>
                <w:lang w:eastAsia="ru-RU"/>
              </w:rPr>
            </w:pPr>
          </w:p>
        </w:tc>
        <w:tc>
          <w:tcPr>
            <w:tcW w:w="657" w:type="pct"/>
            <w:shd w:val="clear" w:color="auto" w:fill="auto"/>
            <w:vAlign w:val="center"/>
            <w:hideMark/>
          </w:tcPr>
          <w:p w14:paraId="6513C8E7" w14:textId="77777777" w:rsidR="0065708A" w:rsidRPr="00513F1D" w:rsidRDefault="0065708A" w:rsidP="00F94FED">
            <w:pPr>
              <w:spacing w:after="0" w:line="240" w:lineRule="auto"/>
              <w:jc w:val="center"/>
              <w:rPr>
                <w:rFonts w:eastAsia="Times New Roman"/>
                <w:sz w:val="16"/>
                <w:szCs w:val="16"/>
                <w:lang w:eastAsia="ru-RU"/>
              </w:rPr>
            </w:pPr>
            <w:r w:rsidRPr="00513F1D">
              <w:rPr>
                <w:rFonts w:eastAsia="Times New Roman"/>
                <w:sz w:val="16"/>
                <w:szCs w:val="16"/>
                <w:lang w:eastAsia="ru-RU"/>
              </w:rPr>
              <w:t>0</w:t>
            </w:r>
          </w:p>
        </w:tc>
      </w:tr>
      <w:tr w:rsidR="0065708A" w:rsidRPr="00513F1D" w14:paraId="32719ABE" w14:textId="77777777" w:rsidTr="00CB5AA8">
        <w:trPr>
          <w:trHeight w:val="20"/>
        </w:trPr>
        <w:tc>
          <w:tcPr>
            <w:tcW w:w="1257" w:type="pct"/>
            <w:shd w:val="clear" w:color="auto" w:fill="auto"/>
            <w:vAlign w:val="bottom"/>
            <w:hideMark/>
          </w:tcPr>
          <w:p w14:paraId="18E5CD73" w14:textId="77777777" w:rsidR="0065708A" w:rsidRPr="00513F1D" w:rsidRDefault="0065708A" w:rsidP="009A4C46">
            <w:pPr>
              <w:spacing w:after="0" w:line="240" w:lineRule="auto"/>
              <w:rPr>
                <w:rFonts w:eastAsia="Times New Roman"/>
                <w:sz w:val="16"/>
                <w:szCs w:val="16"/>
                <w:lang w:eastAsia="ru-RU"/>
              </w:rPr>
            </w:pPr>
            <w:r w:rsidRPr="00513F1D">
              <w:rPr>
                <w:rFonts w:eastAsia="Times New Roman"/>
                <w:sz w:val="16"/>
                <w:szCs w:val="16"/>
                <w:lang w:eastAsia="ru-RU"/>
              </w:rPr>
              <w:t>Инвестиционные проекты, предусмотренные схемой и программой развития субъекта Российской Федерации, всего, в том числе:</w:t>
            </w:r>
          </w:p>
        </w:tc>
        <w:tc>
          <w:tcPr>
            <w:tcW w:w="556" w:type="pct"/>
            <w:shd w:val="clear" w:color="auto" w:fill="auto"/>
            <w:noWrap/>
            <w:vAlign w:val="center"/>
          </w:tcPr>
          <w:p w14:paraId="43077A9C" w14:textId="77777777" w:rsidR="0065708A" w:rsidRPr="00513F1D" w:rsidRDefault="0065708A" w:rsidP="003E2802">
            <w:pPr>
              <w:spacing w:after="0" w:line="240" w:lineRule="auto"/>
              <w:jc w:val="center"/>
              <w:rPr>
                <w:rFonts w:eastAsia="Times New Roman"/>
                <w:sz w:val="16"/>
                <w:szCs w:val="16"/>
                <w:lang w:eastAsia="ru-RU"/>
              </w:rPr>
            </w:pPr>
          </w:p>
        </w:tc>
        <w:tc>
          <w:tcPr>
            <w:tcW w:w="477" w:type="pct"/>
            <w:shd w:val="clear" w:color="auto" w:fill="auto"/>
            <w:noWrap/>
            <w:vAlign w:val="center"/>
          </w:tcPr>
          <w:p w14:paraId="10F7979A" w14:textId="77777777" w:rsidR="0065708A" w:rsidRPr="00513F1D" w:rsidRDefault="0065708A">
            <w:pPr>
              <w:spacing w:after="0" w:line="240" w:lineRule="auto"/>
              <w:jc w:val="center"/>
              <w:rPr>
                <w:rFonts w:eastAsia="Times New Roman"/>
                <w:sz w:val="16"/>
                <w:szCs w:val="16"/>
                <w:lang w:eastAsia="ru-RU"/>
              </w:rPr>
            </w:pPr>
          </w:p>
        </w:tc>
        <w:tc>
          <w:tcPr>
            <w:tcW w:w="422" w:type="pct"/>
            <w:shd w:val="clear" w:color="auto" w:fill="auto"/>
            <w:noWrap/>
            <w:vAlign w:val="center"/>
          </w:tcPr>
          <w:p w14:paraId="057FBC20" w14:textId="77777777" w:rsidR="0065708A" w:rsidRPr="00513F1D" w:rsidRDefault="0065708A">
            <w:pPr>
              <w:spacing w:after="0" w:line="240" w:lineRule="auto"/>
              <w:jc w:val="center"/>
              <w:rPr>
                <w:rFonts w:eastAsia="Times New Roman"/>
                <w:sz w:val="16"/>
                <w:szCs w:val="16"/>
                <w:lang w:eastAsia="ru-RU"/>
              </w:rPr>
            </w:pPr>
          </w:p>
        </w:tc>
        <w:tc>
          <w:tcPr>
            <w:tcW w:w="371" w:type="pct"/>
            <w:shd w:val="clear" w:color="auto" w:fill="auto"/>
            <w:noWrap/>
            <w:vAlign w:val="center"/>
          </w:tcPr>
          <w:p w14:paraId="1060CE8D" w14:textId="77777777" w:rsidR="0065708A" w:rsidRPr="00513F1D" w:rsidRDefault="0065708A">
            <w:pPr>
              <w:spacing w:after="0" w:line="240" w:lineRule="auto"/>
              <w:jc w:val="center"/>
              <w:rPr>
                <w:rFonts w:eastAsia="Times New Roman"/>
                <w:sz w:val="16"/>
                <w:szCs w:val="16"/>
                <w:lang w:eastAsia="ru-RU"/>
              </w:rPr>
            </w:pPr>
          </w:p>
        </w:tc>
        <w:tc>
          <w:tcPr>
            <w:tcW w:w="569" w:type="pct"/>
            <w:shd w:val="clear" w:color="auto" w:fill="auto"/>
            <w:noWrap/>
            <w:vAlign w:val="center"/>
          </w:tcPr>
          <w:p w14:paraId="6CE0B02A" w14:textId="77777777" w:rsidR="0065708A" w:rsidRPr="00513F1D" w:rsidRDefault="0065708A">
            <w:pPr>
              <w:spacing w:after="0" w:line="240" w:lineRule="auto"/>
              <w:jc w:val="center"/>
              <w:rPr>
                <w:rFonts w:eastAsia="Times New Roman"/>
                <w:sz w:val="16"/>
                <w:szCs w:val="16"/>
                <w:lang w:eastAsia="ru-RU"/>
              </w:rPr>
            </w:pPr>
          </w:p>
        </w:tc>
        <w:tc>
          <w:tcPr>
            <w:tcW w:w="327" w:type="pct"/>
            <w:shd w:val="clear" w:color="auto" w:fill="auto"/>
            <w:noWrap/>
            <w:vAlign w:val="center"/>
          </w:tcPr>
          <w:p w14:paraId="02D33D43" w14:textId="77777777" w:rsidR="0065708A" w:rsidRPr="00513F1D" w:rsidRDefault="0065708A">
            <w:pPr>
              <w:spacing w:after="0" w:line="240" w:lineRule="auto"/>
              <w:jc w:val="center"/>
              <w:rPr>
                <w:rFonts w:eastAsia="Times New Roman"/>
                <w:sz w:val="16"/>
                <w:szCs w:val="16"/>
                <w:lang w:eastAsia="ru-RU"/>
              </w:rPr>
            </w:pPr>
          </w:p>
        </w:tc>
        <w:tc>
          <w:tcPr>
            <w:tcW w:w="363" w:type="pct"/>
            <w:shd w:val="clear" w:color="auto" w:fill="auto"/>
            <w:noWrap/>
            <w:vAlign w:val="center"/>
            <w:hideMark/>
          </w:tcPr>
          <w:p w14:paraId="7CE1EC82" w14:textId="77777777" w:rsidR="0065708A" w:rsidRPr="00513F1D" w:rsidRDefault="0065708A">
            <w:pPr>
              <w:spacing w:after="0" w:line="240" w:lineRule="auto"/>
              <w:jc w:val="center"/>
              <w:rPr>
                <w:rFonts w:eastAsia="Times New Roman"/>
                <w:sz w:val="16"/>
                <w:szCs w:val="16"/>
                <w:lang w:eastAsia="ru-RU"/>
              </w:rPr>
            </w:pPr>
          </w:p>
        </w:tc>
        <w:tc>
          <w:tcPr>
            <w:tcW w:w="657" w:type="pct"/>
            <w:shd w:val="clear" w:color="auto" w:fill="auto"/>
            <w:vAlign w:val="center"/>
            <w:hideMark/>
          </w:tcPr>
          <w:p w14:paraId="023B27C6" w14:textId="77777777" w:rsidR="0065708A" w:rsidRPr="00513F1D" w:rsidRDefault="0065708A" w:rsidP="00F94FED">
            <w:pPr>
              <w:spacing w:after="0" w:line="240" w:lineRule="auto"/>
              <w:jc w:val="center"/>
              <w:rPr>
                <w:rFonts w:eastAsia="Times New Roman"/>
                <w:sz w:val="16"/>
                <w:szCs w:val="16"/>
                <w:lang w:eastAsia="ru-RU"/>
              </w:rPr>
            </w:pPr>
            <w:r w:rsidRPr="00513F1D">
              <w:rPr>
                <w:rFonts w:eastAsia="Times New Roman"/>
                <w:sz w:val="16"/>
                <w:szCs w:val="16"/>
                <w:lang w:eastAsia="ru-RU"/>
              </w:rPr>
              <w:t>0</w:t>
            </w:r>
          </w:p>
        </w:tc>
      </w:tr>
      <w:tr w:rsidR="0065708A" w:rsidRPr="00513F1D" w14:paraId="2B26AE7F" w14:textId="77777777" w:rsidTr="00CB5AA8">
        <w:trPr>
          <w:trHeight w:val="20"/>
        </w:trPr>
        <w:tc>
          <w:tcPr>
            <w:tcW w:w="1257" w:type="pct"/>
            <w:shd w:val="clear" w:color="auto" w:fill="auto"/>
            <w:vAlign w:val="bottom"/>
            <w:hideMark/>
          </w:tcPr>
          <w:p w14:paraId="77B743B2" w14:textId="77777777" w:rsidR="0065708A" w:rsidRPr="00513F1D" w:rsidRDefault="0065708A" w:rsidP="009A4C46">
            <w:pPr>
              <w:spacing w:after="0" w:line="240" w:lineRule="auto"/>
              <w:rPr>
                <w:rFonts w:eastAsia="Times New Roman"/>
                <w:sz w:val="16"/>
                <w:szCs w:val="16"/>
                <w:lang w:eastAsia="ru-RU"/>
              </w:rPr>
            </w:pPr>
            <w:r w:rsidRPr="00513F1D">
              <w:rPr>
                <w:rFonts w:eastAsia="Times New Roman"/>
                <w:sz w:val="16"/>
                <w:szCs w:val="16"/>
                <w:lang w:eastAsia="ru-RU"/>
              </w:rPr>
              <w:lastRenderedPageBreak/>
              <w:t>Прочее новое строительство объектов электросетевого хозяйства, всего, в том числе:</w:t>
            </w:r>
          </w:p>
        </w:tc>
        <w:tc>
          <w:tcPr>
            <w:tcW w:w="556" w:type="pct"/>
            <w:shd w:val="clear" w:color="auto" w:fill="auto"/>
            <w:noWrap/>
            <w:vAlign w:val="center"/>
          </w:tcPr>
          <w:p w14:paraId="4CACF422" w14:textId="77777777" w:rsidR="0065708A" w:rsidRPr="00513F1D" w:rsidRDefault="0065708A" w:rsidP="003E2802">
            <w:pPr>
              <w:spacing w:after="0" w:line="240" w:lineRule="auto"/>
              <w:jc w:val="center"/>
              <w:rPr>
                <w:rFonts w:eastAsia="Times New Roman"/>
                <w:sz w:val="16"/>
                <w:szCs w:val="16"/>
                <w:lang w:eastAsia="ru-RU"/>
              </w:rPr>
            </w:pPr>
          </w:p>
        </w:tc>
        <w:tc>
          <w:tcPr>
            <w:tcW w:w="477" w:type="pct"/>
            <w:shd w:val="clear" w:color="auto" w:fill="auto"/>
            <w:noWrap/>
            <w:vAlign w:val="center"/>
          </w:tcPr>
          <w:p w14:paraId="221E888E" w14:textId="77777777" w:rsidR="0065708A" w:rsidRPr="00513F1D" w:rsidRDefault="0065708A">
            <w:pPr>
              <w:spacing w:after="0" w:line="240" w:lineRule="auto"/>
              <w:jc w:val="center"/>
              <w:rPr>
                <w:rFonts w:eastAsia="Times New Roman"/>
                <w:sz w:val="16"/>
                <w:szCs w:val="16"/>
                <w:lang w:eastAsia="ru-RU"/>
              </w:rPr>
            </w:pPr>
          </w:p>
        </w:tc>
        <w:tc>
          <w:tcPr>
            <w:tcW w:w="422" w:type="pct"/>
            <w:shd w:val="clear" w:color="auto" w:fill="auto"/>
            <w:noWrap/>
            <w:vAlign w:val="center"/>
          </w:tcPr>
          <w:p w14:paraId="08697F03" w14:textId="77777777" w:rsidR="0065708A" w:rsidRPr="00513F1D" w:rsidRDefault="0065708A">
            <w:pPr>
              <w:spacing w:after="0" w:line="240" w:lineRule="auto"/>
              <w:jc w:val="center"/>
              <w:rPr>
                <w:rFonts w:eastAsia="Times New Roman"/>
                <w:sz w:val="16"/>
                <w:szCs w:val="16"/>
                <w:lang w:eastAsia="ru-RU"/>
              </w:rPr>
            </w:pPr>
          </w:p>
        </w:tc>
        <w:tc>
          <w:tcPr>
            <w:tcW w:w="371" w:type="pct"/>
            <w:shd w:val="clear" w:color="auto" w:fill="auto"/>
            <w:noWrap/>
            <w:vAlign w:val="center"/>
          </w:tcPr>
          <w:p w14:paraId="523A5E3F" w14:textId="77777777" w:rsidR="0065708A" w:rsidRPr="00513F1D" w:rsidRDefault="0065708A">
            <w:pPr>
              <w:spacing w:after="0" w:line="240" w:lineRule="auto"/>
              <w:jc w:val="center"/>
              <w:rPr>
                <w:rFonts w:eastAsia="Times New Roman"/>
                <w:sz w:val="16"/>
                <w:szCs w:val="16"/>
                <w:lang w:eastAsia="ru-RU"/>
              </w:rPr>
            </w:pPr>
          </w:p>
        </w:tc>
        <w:tc>
          <w:tcPr>
            <w:tcW w:w="569" w:type="pct"/>
            <w:shd w:val="clear" w:color="auto" w:fill="auto"/>
            <w:noWrap/>
            <w:vAlign w:val="center"/>
          </w:tcPr>
          <w:p w14:paraId="243E6DA8" w14:textId="77777777" w:rsidR="0065708A" w:rsidRPr="00513F1D" w:rsidRDefault="0065708A">
            <w:pPr>
              <w:spacing w:after="0" w:line="240" w:lineRule="auto"/>
              <w:jc w:val="center"/>
              <w:rPr>
                <w:rFonts w:eastAsia="Times New Roman"/>
                <w:sz w:val="16"/>
                <w:szCs w:val="16"/>
                <w:lang w:eastAsia="ru-RU"/>
              </w:rPr>
            </w:pPr>
          </w:p>
        </w:tc>
        <w:tc>
          <w:tcPr>
            <w:tcW w:w="327" w:type="pct"/>
            <w:shd w:val="clear" w:color="auto" w:fill="auto"/>
            <w:noWrap/>
            <w:vAlign w:val="center"/>
          </w:tcPr>
          <w:p w14:paraId="0A01868C" w14:textId="77777777" w:rsidR="0065708A" w:rsidRPr="00513F1D" w:rsidRDefault="0065708A">
            <w:pPr>
              <w:spacing w:after="0" w:line="240" w:lineRule="auto"/>
              <w:jc w:val="center"/>
              <w:rPr>
                <w:rFonts w:eastAsia="Times New Roman"/>
                <w:sz w:val="16"/>
                <w:szCs w:val="16"/>
                <w:lang w:eastAsia="ru-RU"/>
              </w:rPr>
            </w:pPr>
          </w:p>
        </w:tc>
        <w:tc>
          <w:tcPr>
            <w:tcW w:w="363" w:type="pct"/>
            <w:shd w:val="clear" w:color="auto" w:fill="auto"/>
            <w:noWrap/>
            <w:vAlign w:val="center"/>
            <w:hideMark/>
          </w:tcPr>
          <w:p w14:paraId="77936B65" w14:textId="77777777" w:rsidR="0065708A" w:rsidRPr="00513F1D" w:rsidRDefault="0065708A">
            <w:pPr>
              <w:spacing w:after="0" w:line="240" w:lineRule="auto"/>
              <w:jc w:val="center"/>
              <w:rPr>
                <w:rFonts w:eastAsia="Times New Roman"/>
                <w:sz w:val="16"/>
                <w:szCs w:val="16"/>
                <w:lang w:eastAsia="ru-RU"/>
              </w:rPr>
            </w:pPr>
          </w:p>
        </w:tc>
        <w:tc>
          <w:tcPr>
            <w:tcW w:w="657" w:type="pct"/>
            <w:shd w:val="clear" w:color="auto" w:fill="auto"/>
            <w:vAlign w:val="center"/>
            <w:hideMark/>
          </w:tcPr>
          <w:p w14:paraId="6D8BE6EB" w14:textId="77777777" w:rsidR="0065708A" w:rsidRPr="00513F1D" w:rsidRDefault="0065708A" w:rsidP="00F94FED">
            <w:pPr>
              <w:spacing w:after="0" w:line="240" w:lineRule="auto"/>
              <w:jc w:val="center"/>
              <w:rPr>
                <w:rFonts w:eastAsia="Times New Roman"/>
                <w:sz w:val="16"/>
                <w:szCs w:val="16"/>
                <w:lang w:eastAsia="ru-RU"/>
              </w:rPr>
            </w:pPr>
            <w:r w:rsidRPr="00513F1D">
              <w:rPr>
                <w:rFonts w:eastAsia="Times New Roman"/>
                <w:sz w:val="16"/>
                <w:szCs w:val="16"/>
                <w:lang w:eastAsia="ru-RU"/>
              </w:rPr>
              <w:t>0</w:t>
            </w:r>
          </w:p>
        </w:tc>
      </w:tr>
      <w:tr w:rsidR="0065708A" w:rsidRPr="00513F1D" w14:paraId="5A4C4ACE" w14:textId="77777777" w:rsidTr="00CB5AA8">
        <w:trPr>
          <w:trHeight w:val="20"/>
        </w:trPr>
        <w:tc>
          <w:tcPr>
            <w:tcW w:w="1257" w:type="pct"/>
            <w:shd w:val="clear" w:color="auto" w:fill="auto"/>
            <w:vAlign w:val="bottom"/>
            <w:hideMark/>
          </w:tcPr>
          <w:p w14:paraId="721BADD6" w14:textId="77777777" w:rsidR="0065708A" w:rsidRPr="00513F1D" w:rsidRDefault="0065708A" w:rsidP="009A4C46">
            <w:pPr>
              <w:spacing w:after="0" w:line="240" w:lineRule="auto"/>
              <w:rPr>
                <w:rFonts w:eastAsia="Times New Roman"/>
                <w:sz w:val="16"/>
                <w:szCs w:val="16"/>
                <w:lang w:eastAsia="ru-RU"/>
              </w:rPr>
            </w:pPr>
            <w:r w:rsidRPr="00513F1D">
              <w:rPr>
                <w:rFonts w:eastAsia="Times New Roman"/>
                <w:sz w:val="16"/>
                <w:szCs w:val="16"/>
                <w:lang w:eastAsia="ru-RU"/>
              </w:rPr>
              <w:t>Покупка земельных участков для целей реализации инвестиционных проектов, всего, в том числе:</w:t>
            </w:r>
          </w:p>
        </w:tc>
        <w:tc>
          <w:tcPr>
            <w:tcW w:w="556" w:type="pct"/>
            <w:shd w:val="clear" w:color="auto" w:fill="auto"/>
            <w:noWrap/>
            <w:vAlign w:val="center"/>
          </w:tcPr>
          <w:p w14:paraId="2AE8DAE9" w14:textId="77777777" w:rsidR="0065708A" w:rsidRPr="00513F1D" w:rsidRDefault="0065708A" w:rsidP="003E2802">
            <w:pPr>
              <w:spacing w:after="0" w:line="240" w:lineRule="auto"/>
              <w:jc w:val="center"/>
              <w:rPr>
                <w:rFonts w:eastAsia="Times New Roman"/>
                <w:sz w:val="16"/>
                <w:szCs w:val="16"/>
                <w:lang w:eastAsia="ru-RU"/>
              </w:rPr>
            </w:pPr>
          </w:p>
        </w:tc>
        <w:tc>
          <w:tcPr>
            <w:tcW w:w="477" w:type="pct"/>
            <w:shd w:val="clear" w:color="auto" w:fill="auto"/>
            <w:noWrap/>
            <w:vAlign w:val="center"/>
          </w:tcPr>
          <w:p w14:paraId="4222F356" w14:textId="77777777" w:rsidR="0065708A" w:rsidRPr="00513F1D" w:rsidRDefault="0065708A">
            <w:pPr>
              <w:spacing w:after="0" w:line="240" w:lineRule="auto"/>
              <w:jc w:val="center"/>
              <w:rPr>
                <w:rFonts w:eastAsia="Times New Roman"/>
                <w:sz w:val="16"/>
                <w:szCs w:val="16"/>
                <w:lang w:eastAsia="ru-RU"/>
              </w:rPr>
            </w:pPr>
          </w:p>
        </w:tc>
        <w:tc>
          <w:tcPr>
            <w:tcW w:w="422" w:type="pct"/>
            <w:shd w:val="clear" w:color="auto" w:fill="auto"/>
            <w:noWrap/>
            <w:vAlign w:val="center"/>
          </w:tcPr>
          <w:p w14:paraId="51DE0A26" w14:textId="77777777" w:rsidR="0065708A" w:rsidRPr="00513F1D" w:rsidRDefault="0065708A">
            <w:pPr>
              <w:spacing w:after="0" w:line="240" w:lineRule="auto"/>
              <w:jc w:val="center"/>
              <w:rPr>
                <w:rFonts w:eastAsia="Times New Roman"/>
                <w:sz w:val="16"/>
                <w:szCs w:val="16"/>
                <w:lang w:eastAsia="ru-RU"/>
              </w:rPr>
            </w:pPr>
          </w:p>
        </w:tc>
        <w:tc>
          <w:tcPr>
            <w:tcW w:w="371" w:type="pct"/>
            <w:shd w:val="clear" w:color="auto" w:fill="auto"/>
            <w:noWrap/>
            <w:vAlign w:val="center"/>
          </w:tcPr>
          <w:p w14:paraId="4E3840D3" w14:textId="77777777" w:rsidR="0065708A" w:rsidRPr="00513F1D" w:rsidRDefault="0065708A">
            <w:pPr>
              <w:spacing w:after="0" w:line="240" w:lineRule="auto"/>
              <w:jc w:val="center"/>
              <w:rPr>
                <w:rFonts w:eastAsia="Times New Roman"/>
                <w:sz w:val="16"/>
                <w:szCs w:val="16"/>
                <w:lang w:eastAsia="ru-RU"/>
              </w:rPr>
            </w:pPr>
          </w:p>
        </w:tc>
        <w:tc>
          <w:tcPr>
            <w:tcW w:w="569" w:type="pct"/>
            <w:shd w:val="clear" w:color="auto" w:fill="auto"/>
            <w:noWrap/>
            <w:vAlign w:val="center"/>
          </w:tcPr>
          <w:p w14:paraId="5F1BC381" w14:textId="77777777" w:rsidR="0065708A" w:rsidRPr="00513F1D" w:rsidRDefault="0065708A">
            <w:pPr>
              <w:spacing w:after="0" w:line="240" w:lineRule="auto"/>
              <w:jc w:val="center"/>
              <w:rPr>
                <w:rFonts w:eastAsia="Times New Roman"/>
                <w:sz w:val="16"/>
                <w:szCs w:val="16"/>
                <w:lang w:eastAsia="ru-RU"/>
              </w:rPr>
            </w:pPr>
          </w:p>
        </w:tc>
        <w:tc>
          <w:tcPr>
            <w:tcW w:w="327" w:type="pct"/>
            <w:shd w:val="clear" w:color="auto" w:fill="auto"/>
            <w:noWrap/>
            <w:vAlign w:val="center"/>
          </w:tcPr>
          <w:p w14:paraId="4728186F" w14:textId="77777777" w:rsidR="0065708A" w:rsidRPr="00513F1D" w:rsidRDefault="0065708A">
            <w:pPr>
              <w:spacing w:after="0" w:line="240" w:lineRule="auto"/>
              <w:jc w:val="center"/>
              <w:rPr>
                <w:rFonts w:eastAsia="Times New Roman"/>
                <w:sz w:val="16"/>
                <w:szCs w:val="16"/>
                <w:lang w:eastAsia="ru-RU"/>
              </w:rPr>
            </w:pPr>
          </w:p>
        </w:tc>
        <w:tc>
          <w:tcPr>
            <w:tcW w:w="363" w:type="pct"/>
            <w:shd w:val="clear" w:color="auto" w:fill="auto"/>
            <w:noWrap/>
            <w:vAlign w:val="center"/>
            <w:hideMark/>
          </w:tcPr>
          <w:p w14:paraId="683E3BBB" w14:textId="77777777" w:rsidR="0065708A" w:rsidRPr="00513F1D" w:rsidRDefault="0065708A">
            <w:pPr>
              <w:spacing w:after="0" w:line="240" w:lineRule="auto"/>
              <w:jc w:val="center"/>
              <w:rPr>
                <w:rFonts w:eastAsia="Times New Roman"/>
                <w:sz w:val="16"/>
                <w:szCs w:val="16"/>
                <w:lang w:eastAsia="ru-RU"/>
              </w:rPr>
            </w:pPr>
          </w:p>
        </w:tc>
        <w:tc>
          <w:tcPr>
            <w:tcW w:w="657" w:type="pct"/>
            <w:shd w:val="clear" w:color="auto" w:fill="auto"/>
            <w:vAlign w:val="center"/>
            <w:hideMark/>
          </w:tcPr>
          <w:p w14:paraId="368653DE" w14:textId="77777777" w:rsidR="0065708A" w:rsidRPr="00513F1D" w:rsidRDefault="0065708A" w:rsidP="00F94FED">
            <w:pPr>
              <w:spacing w:after="0" w:line="240" w:lineRule="auto"/>
              <w:jc w:val="center"/>
              <w:rPr>
                <w:rFonts w:eastAsia="Times New Roman"/>
                <w:sz w:val="16"/>
                <w:szCs w:val="16"/>
                <w:lang w:eastAsia="ru-RU"/>
              </w:rPr>
            </w:pPr>
            <w:r w:rsidRPr="00513F1D">
              <w:rPr>
                <w:rFonts w:eastAsia="Times New Roman"/>
                <w:sz w:val="16"/>
                <w:szCs w:val="16"/>
                <w:lang w:eastAsia="ru-RU"/>
              </w:rPr>
              <w:t>0</w:t>
            </w:r>
          </w:p>
        </w:tc>
      </w:tr>
      <w:tr w:rsidR="0065708A" w:rsidRPr="00513F1D" w14:paraId="51AEA2F1" w14:textId="77777777" w:rsidTr="00CB5AA8">
        <w:trPr>
          <w:trHeight w:val="20"/>
        </w:trPr>
        <w:tc>
          <w:tcPr>
            <w:tcW w:w="1257" w:type="pct"/>
            <w:shd w:val="clear" w:color="auto" w:fill="auto"/>
            <w:vAlign w:val="bottom"/>
            <w:hideMark/>
          </w:tcPr>
          <w:p w14:paraId="69CEC341" w14:textId="77777777" w:rsidR="0065708A" w:rsidRPr="00513F1D" w:rsidRDefault="0065708A" w:rsidP="009A4C46">
            <w:pPr>
              <w:spacing w:after="0" w:line="240" w:lineRule="auto"/>
              <w:rPr>
                <w:rFonts w:eastAsia="Times New Roman"/>
                <w:sz w:val="16"/>
                <w:szCs w:val="16"/>
                <w:lang w:eastAsia="ru-RU"/>
              </w:rPr>
            </w:pPr>
            <w:r w:rsidRPr="00513F1D">
              <w:rPr>
                <w:rFonts w:eastAsia="Times New Roman"/>
                <w:sz w:val="16"/>
                <w:szCs w:val="16"/>
                <w:lang w:eastAsia="ru-RU"/>
              </w:rPr>
              <w:t>Прочие инвестиционные проекты, всего, в том числе:</w:t>
            </w:r>
          </w:p>
        </w:tc>
        <w:tc>
          <w:tcPr>
            <w:tcW w:w="556" w:type="pct"/>
            <w:shd w:val="clear" w:color="auto" w:fill="auto"/>
            <w:noWrap/>
            <w:vAlign w:val="center"/>
            <w:hideMark/>
          </w:tcPr>
          <w:p w14:paraId="3C257D70" w14:textId="77777777" w:rsidR="0065708A" w:rsidRPr="00513F1D" w:rsidRDefault="0065708A" w:rsidP="003E2802">
            <w:pPr>
              <w:spacing w:after="0" w:line="240" w:lineRule="auto"/>
              <w:jc w:val="center"/>
              <w:rPr>
                <w:rFonts w:eastAsia="Times New Roman"/>
                <w:sz w:val="16"/>
                <w:szCs w:val="16"/>
                <w:lang w:eastAsia="ru-RU"/>
              </w:rPr>
            </w:pPr>
            <w:r w:rsidRPr="00513F1D">
              <w:rPr>
                <w:rFonts w:eastAsia="Times New Roman"/>
                <w:sz w:val="16"/>
                <w:szCs w:val="16"/>
                <w:lang w:eastAsia="ru-RU"/>
              </w:rPr>
              <w:t>9,0</w:t>
            </w:r>
          </w:p>
        </w:tc>
        <w:tc>
          <w:tcPr>
            <w:tcW w:w="477" w:type="pct"/>
            <w:shd w:val="clear" w:color="auto" w:fill="auto"/>
            <w:noWrap/>
            <w:vAlign w:val="center"/>
            <w:hideMark/>
          </w:tcPr>
          <w:p w14:paraId="054A0FF4"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103,2</w:t>
            </w:r>
          </w:p>
        </w:tc>
        <w:tc>
          <w:tcPr>
            <w:tcW w:w="422" w:type="pct"/>
            <w:shd w:val="clear" w:color="auto" w:fill="auto"/>
            <w:noWrap/>
            <w:vAlign w:val="center"/>
            <w:hideMark/>
          </w:tcPr>
          <w:p w14:paraId="0552A417"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10,9</w:t>
            </w:r>
          </w:p>
        </w:tc>
        <w:tc>
          <w:tcPr>
            <w:tcW w:w="371" w:type="pct"/>
            <w:shd w:val="clear" w:color="auto" w:fill="auto"/>
            <w:noWrap/>
            <w:vAlign w:val="center"/>
            <w:hideMark/>
          </w:tcPr>
          <w:p w14:paraId="4E6DAC6B"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8,7</w:t>
            </w:r>
          </w:p>
        </w:tc>
        <w:tc>
          <w:tcPr>
            <w:tcW w:w="569" w:type="pct"/>
            <w:shd w:val="clear" w:color="auto" w:fill="auto"/>
            <w:noWrap/>
            <w:vAlign w:val="center"/>
            <w:hideMark/>
          </w:tcPr>
          <w:p w14:paraId="607C6933"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94,5</w:t>
            </w:r>
          </w:p>
        </w:tc>
        <w:tc>
          <w:tcPr>
            <w:tcW w:w="327" w:type="pct"/>
            <w:shd w:val="clear" w:color="auto" w:fill="auto"/>
            <w:noWrap/>
            <w:vAlign w:val="center"/>
            <w:hideMark/>
          </w:tcPr>
          <w:p w14:paraId="1FDCABB0"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-2,2</w:t>
            </w:r>
          </w:p>
        </w:tc>
        <w:tc>
          <w:tcPr>
            <w:tcW w:w="363" w:type="pct"/>
            <w:shd w:val="clear" w:color="auto" w:fill="auto"/>
            <w:noWrap/>
            <w:vAlign w:val="center"/>
            <w:hideMark/>
          </w:tcPr>
          <w:p w14:paraId="6FB33076"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-20%</w:t>
            </w:r>
          </w:p>
        </w:tc>
        <w:tc>
          <w:tcPr>
            <w:tcW w:w="657" w:type="pct"/>
            <w:shd w:val="clear" w:color="auto" w:fill="auto"/>
            <w:vAlign w:val="center"/>
            <w:hideMark/>
          </w:tcPr>
          <w:p w14:paraId="4857218B" w14:textId="01F61400" w:rsidR="0065708A" w:rsidRPr="00513F1D" w:rsidRDefault="0065708A" w:rsidP="00F94FED">
            <w:pPr>
              <w:spacing w:after="0" w:line="240" w:lineRule="auto"/>
              <w:jc w:val="center"/>
              <w:rPr>
                <w:rFonts w:eastAsia="Times New Roman"/>
                <w:sz w:val="16"/>
                <w:szCs w:val="16"/>
                <w:lang w:eastAsia="ru-RU"/>
              </w:rPr>
            </w:pPr>
          </w:p>
        </w:tc>
      </w:tr>
      <w:tr w:rsidR="0065708A" w:rsidRPr="00513F1D" w14:paraId="1E9DC4FD" w14:textId="77777777" w:rsidTr="00CB5AA8">
        <w:trPr>
          <w:trHeight w:val="20"/>
        </w:trPr>
        <w:tc>
          <w:tcPr>
            <w:tcW w:w="1257" w:type="pct"/>
            <w:shd w:val="clear" w:color="auto" w:fill="auto"/>
            <w:vAlign w:val="bottom"/>
            <w:hideMark/>
          </w:tcPr>
          <w:p w14:paraId="30D33DA5" w14:textId="77777777" w:rsidR="0065708A" w:rsidRPr="00513F1D" w:rsidRDefault="0065708A" w:rsidP="009A4C46">
            <w:pPr>
              <w:spacing w:after="0" w:line="240" w:lineRule="auto"/>
              <w:rPr>
                <w:rFonts w:eastAsia="Times New Roman"/>
                <w:sz w:val="16"/>
                <w:szCs w:val="16"/>
                <w:lang w:eastAsia="ru-RU"/>
              </w:rPr>
            </w:pPr>
            <w:r w:rsidRPr="00513F1D">
              <w:rPr>
                <w:rFonts w:eastAsia="Times New Roman"/>
                <w:sz w:val="16"/>
                <w:szCs w:val="16"/>
                <w:lang w:eastAsia="ru-RU"/>
              </w:rPr>
              <w:t>Покупка бригадных автомобилей, в количестве 22 ед.</w:t>
            </w:r>
          </w:p>
        </w:tc>
        <w:tc>
          <w:tcPr>
            <w:tcW w:w="556" w:type="pct"/>
            <w:shd w:val="clear" w:color="auto" w:fill="auto"/>
            <w:vAlign w:val="center"/>
            <w:hideMark/>
          </w:tcPr>
          <w:p w14:paraId="32F0AD92" w14:textId="77777777" w:rsidR="0065708A" w:rsidRPr="00513F1D" w:rsidRDefault="0065708A" w:rsidP="003E2802">
            <w:pPr>
              <w:spacing w:after="0" w:line="240" w:lineRule="auto"/>
              <w:jc w:val="center"/>
              <w:rPr>
                <w:rFonts w:eastAsia="Times New Roman"/>
                <w:sz w:val="16"/>
                <w:szCs w:val="16"/>
                <w:lang w:eastAsia="ru-RU"/>
              </w:rPr>
            </w:pPr>
            <w:r w:rsidRPr="00513F1D">
              <w:rPr>
                <w:rFonts w:eastAsia="Times New Roman"/>
                <w:sz w:val="16"/>
                <w:szCs w:val="16"/>
                <w:lang w:eastAsia="ru-RU"/>
              </w:rPr>
              <w:t>7,5</w:t>
            </w:r>
          </w:p>
        </w:tc>
        <w:tc>
          <w:tcPr>
            <w:tcW w:w="477" w:type="pct"/>
            <w:shd w:val="clear" w:color="auto" w:fill="auto"/>
            <w:vAlign w:val="center"/>
            <w:hideMark/>
          </w:tcPr>
          <w:p w14:paraId="563F9095"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14,0</w:t>
            </w:r>
          </w:p>
        </w:tc>
        <w:tc>
          <w:tcPr>
            <w:tcW w:w="422" w:type="pct"/>
            <w:shd w:val="clear" w:color="auto" w:fill="auto"/>
            <w:noWrap/>
            <w:vAlign w:val="center"/>
          </w:tcPr>
          <w:p w14:paraId="5F9A7619" w14:textId="77777777" w:rsidR="0065708A" w:rsidRPr="00513F1D" w:rsidRDefault="0065708A">
            <w:pPr>
              <w:spacing w:after="0" w:line="240" w:lineRule="auto"/>
              <w:jc w:val="center"/>
              <w:rPr>
                <w:rFonts w:eastAsia="Times New Roman"/>
                <w:sz w:val="16"/>
                <w:szCs w:val="16"/>
                <w:lang w:eastAsia="ru-RU"/>
              </w:rPr>
            </w:pPr>
          </w:p>
        </w:tc>
        <w:tc>
          <w:tcPr>
            <w:tcW w:w="371" w:type="pct"/>
            <w:shd w:val="clear" w:color="auto" w:fill="auto"/>
            <w:noWrap/>
            <w:vAlign w:val="center"/>
          </w:tcPr>
          <w:p w14:paraId="43B19258" w14:textId="77777777" w:rsidR="0065708A" w:rsidRPr="00513F1D" w:rsidRDefault="0065708A">
            <w:pPr>
              <w:spacing w:after="0" w:line="240" w:lineRule="auto"/>
              <w:jc w:val="center"/>
              <w:rPr>
                <w:rFonts w:eastAsia="Times New Roman"/>
                <w:sz w:val="16"/>
                <w:szCs w:val="16"/>
                <w:lang w:eastAsia="ru-RU"/>
              </w:rPr>
            </w:pPr>
          </w:p>
        </w:tc>
        <w:tc>
          <w:tcPr>
            <w:tcW w:w="569" w:type="pct"/>
            <w:shd w:val="clear" w:color="auto" w:fill="auto"/>
            <w:noWrap/>
            <w:vAlign w:val="center"/>
            <w:hideMark/>
          </w:tcPr>
          <w:p w14:paraId="0E481E14"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14,0</w:t>
            </w:r>
          </w:p>
        </w:tc>
        <w:tc>
          <w:tcPr>
            <w:tcW w:w="327" w:type="pct"/>
            <w:shd w:val="clear" w:color="auto" w:fill="auto"/>
            <w:noWrap/>
            <w:vAlign w:val="center"/>
          </w:tcPr>
          <w:p w14:paraId="7FB68C26" w14:textId="77777777" w:rsidR="0065708A" w:rsidRPr="00513F1D" w:rsidRDefault="0065708A">
            <w:pPr>
              <w:spacing w:after="0" w:line="240" w:lineRule="auto"/>
              <w:jc w:val="center"/>
              <w:rPr>
                <w:rFonts w:eastAsia="Times New Roman"/>
                <w:sz w:val="16"/>
                <w:szCs w:val="16"/>
                <w:lang w:eastAsia="ru-RU"/>
              </w:rPr>
            </w:pPr>
          </w:p>
        </w:tc>
        <w:tc>
          <w:tcPr>
            <w:tcW w:w="363" w:type="pct"/>
            <w:shd w:val="clear" w:color="auto" w:fill="auto"/>
            <w:noWrap/>
            <w:vAlign w:val="center"/>
            <w:hideMark/>
          </w:tcPr>
          <w:p w14:paraId="192B986D" w14:textId="77777777" w:rsidR="0065708A" w:rsidRPr="00513F1D" w:rsidRDefault="0065708A">
            <w:pPr>
              <w:spacing w:after="0" w:line="240" w:lineRule="auto"/>
              <w:jc w:val="center"/>
              <w:rPr>
                <w:rFonts w:eastAsia="Times New Roman"/>
                <w:sz w:val="16"/>
                <w:szCs w:val="16"/>
                <w:lang w:eastAsia="ru-RU"/>
              </w:rPr>
            </w:pPr>
          </w:p>
        </w:tc>
        <w:tc>
          <w:tcPr>
            <w:tcW w:w="657" w:type="pct"/>
            <w:shd w:val="clear" w:color="auto" w:fill="auto"/>
            <w:vAlign w:val="center"/>
            <w:hideMark/>
          </w:tcPr>
          <w:p w14:paraId="38834293" w14:textId="5869E8CA" w:rsidR="0065708A" w:rsidRPr="00513F1D" w:rsidRDefault="0065708A" w:rsidP="00F94FED">
            <w:pPr>
              <w:spacing w:after="0" w:line="240" w:lineRule="auto"/>
              <w:jc w:val="center"/>
              <w:rPr>
                <w:rFonts w:eastAsia="Times New Roman"/>
                <w:sz w:val="16"/>
                <w:szCs w:val="16"/>
                <w:lang w:eastAsia="ru-RU"/>
              </w:rPr>
            </w:pPr>
          </w:p>
        </w:tc>
      </w:tr>
      <w:tr w:rsidR="0065708A" w:rsidRPr="00513F1D" w14:paraId="3137F649" w14:textId="77777777" w:rsidTr="00CB5AA8">
        <w:trPr>
          <w:trHeight w:val="20"/>
        </w:trPr>
        <w:tc>
          <w:tcPr>
            <w:tcW w:w="1257" w:type="pct"/>
            <w:shd w:val="clear" w:color="auto" w:fill="auto"/>
            <w:vAlign w:val="bottom"/>
            <w:hideMark/>
          </w:tcPr>
          <w:p w14:paraId="44339D07" w14:textId="77777777" w:rsidR="0065708A" w:rsidRPr="00513F1D" w:rsidRDefault="0065708A" w:rsidP="009A4C46">
            <w:pPr>
              <w:spacing w:after="0" w:line="240" w:lineRule="auto"/>
              <w:rPr>
                <w:rFonts w:eastAsia="Times New Roman"/>
                <w:sz w:val="16"/>
                <w:szCs w:val="16"/>
                <w:lang w:eastAsia="ru-RU"/>
              </w:rPr>
            </w:pPr>
            <w:r w:rsidRPr="00513F1D">
              <w:rPr>
                <w:rFonts w:eastAsia="Times New Roman"/>
                <w:sz w:val="16"/>
                <w:szCs w:val="16"/>
                <w:lang w:eastAsia="ru-RU"/>
              </w:rPr>
              <w:t>Покупка бурильно-крановых машин, в количестве 6 ед.</w:t>
            </w:r>
          </w:p>
        </w:tc>
        <w:tc>
          <w:tcPr>
            <w:tcW w:w="556" w:type="pct"/>
            <w:shd w:val="clear" w:color="auto" w:fill="auto"/>
            <w:vAlign w:val="center"/>
          </w:tcPr>
          <w:p w14:paraId="0B1BE798" w14:textId="77777777" w:rsidR="0065708A" w:rsidRPr="00513F1D" w:rsidRDefault="0065708A" w:rsidP="003E2802">
            <w:pPr>
              <w:spacing w:after="0" w:line="240" w:lineRule="auto"/>
              <w:jc w:val="center"/>
              <w:rPr>
                <w:rFonts w:eastAsia="Times New Roman"/>
                <w:sz w:val="16"/>
                <w:szCs w:val="16"/>
                <w:lang w:eastAsia="ru-RU"/>
              </w:rPr>
            </w:pPr>
          </w:p>
        </w:tc>
        <w:tc>
          <w:tcPr>
            <w:tcW w:w="477" w:type="pct"/>
            <w:shd w:val="clear" w:color="auto" w:fill="auto"/>
            <w:vAlign w:val="center"/>
            <w:hideMark/>
          </w:tcPr>
          <w:p w14:paraId="489061B9"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27,1</w:t>
            </w:r>
          </w:p>
        </w:tc>
        <w:tc>
          <w:tcPr>
            <w:tcW w:w="422" w:type="pct"/>
            <w:shd w:val="clear" w:color="auto" w:fill="auto"/>
            <w:noWrap/>
            <w:vAlign w:val="center"/>
          </w:tcPr>
          <w:p w14:paraId="6601D630" w14:textId="77777777" w:rsidR="0065708A" w:rsidRPr="00513F1D" w:rsidRDefault="0065708A">
            <w:pPr>
              <w:spacing w:after="0" w:line="240" w:lineRule="auto"/>
              <w:jc w:val="center"/>
              <w:rPr>
                <w:rFonts w:eastAsia="Times New Roman"/>
                <w:sz w:val="16"/>
                <w:szCs w:val="16"/>
                <w:lang w:eastAsia="ru-RU"/>
              </w:rPr>
            </w:pPr>
          </w:p>
        </w:tc>
        <w:tc>
          <w:tcPr>
            <w:tcW w:w="371" w:type="pct"/>
            <w:shd w:val="clear" w:color="auto" w:fill="auto"/>
            <w:noWrap/>
            <w:vAlign w:val="center"/>
          </w:tcPr>
          <w:p w14:paraId="6F82E36D" w14:textId="77777777" w:rsidR="0065708A" w:rsidRPr="00513F1D" w:rsidRDefault="0065708A">
            <w:pPr>
              <w:spacing w:after="0" w:line="240" w:lineRule="auto"/>
              <w:jc w:val="center"/>
              <w:rPr>
                <w:rFonts w:eastAsia="Times New Roman"/>
                <w:sz w:val="16"/>
                <w:szCs w:val="16"/>
                <w:lang w:eastAsia="ru-RU"/>
              </w:rPr>
            </w:pPr>
          </w:p>
        </w:tc>
        <w:tc>
          <w:tcPr>
            <w:tcW w:w="569" w:type="pct"/>
            <w:shd w:val="clear" w:color="auto" w:fill="auto"/>
            <w:noWrap/>
            <w:vAlign w:val="center"/>
            <w:hideMark/>
          </w:tcPr>
          <w:p w14:paraId="0B5BAD55"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27,1</w:t>
            </w:r>
          </w:p>
        </w:tc>
        <w:tc>
          <w:tcPr>
            <w:tcW w:w="327" w:type="pct"/>
            <w:shd w:val="clear" w:color="auto" w:fill="auto"/>
            <w:noWrap/>
            <w:vAlign w:val="center"/>
          </w:tcPr>
          <w:p w14:paraId="57155C89" w14:textId="77777777" w:rsidR="0065708A" w:rsidRPr="00513F1D" w:rsidRDefault="0065708A">
            <w:pPr>
              <w:spacing w:after="0" w:line="240" w:lineRule="auto"/>
              <w:jc w:val="center"/>
              <w:rPr>
                <w:rFonts w:eastAsia="Times New Roman"/>
                <w:sz w:val="16"/>
                <w:szCs w:val="16"/>
                <w:lang w:eastAsia="ru-RU"/>
              </w:rPr>
            </w:pPr>
          </w:p>
        </w:tc>
        <w:tc>
          <w:tcPr>
            <w:tcW w:w="363" w:type="pct"/>
            <w:shd w:val="clear" w:color="auto" w:fill="auto"/>
            <w:noWrap/>
            <w:vAlign w:val="center"/>
            <w:hideMark/>
          </w:tcPr>
          <w:p w14:paraId="698BD89F" w14:textId="77777777" w:rsidR="0065708A" w:rsidRPr="00513F1D" w:rsidRDefault="0065708A">
            <w:pPr>
              <w:spacing w:after="0" w:line="240" w:lineRule="auto"/>
              <w:jc w:val="center"/>
              <w:rPr>
                <w:rFonts w:eastAsia="Times New Roman"/>
                <w:sz w:val="16"/>
                <w:szCs w:val="16"/>
                <w:lang w:eastAsia="ru-RU"/>
              </w:rPr>
            </w:pPr>
          </w:p>
        </w:tc>
        <w:tc>
          <w:tcPr>
            <w:tcW w:w="657" w:type="pct"/>
            <w:shd w:val="clear" w:color="auto" w:fill="auto"/>
            <w:vAlign w:val="center"/>
            <w:hideMark/>
          </w:tcPr>
          <w:p w14:paraId="35023855" w14:textId="72146E57" w:rsidR="0065708A" w:rsidRPr="00513F1D" w:rsidRDefault="0065708A" w:rsidP="00F94FED">
            <w:pPr>
              <w:spacing w:after="0" w:line="240" w:lineRule="auto"/>
              <w:jc w:val="center"/>
              <w:rPr>
                <w:rFonts w:eastAsia="Times New Roman"/>
                <w:sz w:val="16"/>
                <w:szCs w:val="16"/>
                <w:lang w:eastAsia="ru-RU"/>
              </w:rPr>
            </w:pPr>
          </w:p>
        </w:tc>
      </w:tr>
      <w:tr w:rsidR="0065708A" w:rsidRPr="00513F1D" w14:paraId="7EC67DE8" w14:textId="77777777" w:rsidTr="00CB5AA8">
        <w:trPr>
          <w:trHeight w:val="20"/>
        </w:trPr>
        <w:tc>
          <w:tcPr>
            <w:tcW w:w="1257" w:type="pct"/>
            <w:shd w:val="clear" w:color="auto" w:fill="auto"/>
            <w:vAlign w:val="bottom"/>
            <w:hideMark/>
          </w:tcPr>
          <w:p w14:paraId="7B0C9A4C" w14:textId="77777777" w:rsidR="0065708A" w:rsidRPr="00513F1D" w:rsidRDefault="0065708A" w:rsidP="009A4C46">
            <w:pPr>
              <w:spacing w:after="0" w:line="240" w:lineRule="auto"/>
              <w:rPr>
                <w:rFonts w:eastAsia="Times New Roman"/>
                <w:sz w:val="16"/>
                <w:szCs w:val="16"/>
                <w:lang w:eastAsia="ru-RU"/>
              </w:rPr>
            </w:pPr>
            <w:r w:rsidRPr="00513F1D">
              <w:rPr>
                <w:rFonts w:eastAsia="Times New Roman"/>
                <w:sz w:val="16"/>
                <w:szCs w:val="16"/>
                <w:lang w:eastAsia="ru-RU"/>
              </w:rPr>
              <w:t>Покупка грузовых автомобилей, в количестве 5 ед.</w:t>
            </w:r>
          </w:p>
        </w:tc>
        <w:tc>
          <w:tcPr>
            <w:tcW w:w="556" w:type="pct"/>
            <w:shd w:val="clear" w:color="auto" w:fill="auto"/>
            <w:vAlign w:val="center"/>
          </w:tcPr>
          <w:p w14:paraId="2D8849AD" w14:textId="77777777" w:rsidR="0065708A" w:rsidRPr="00513F1D" w:rsidRDefault="0065708A" w:rsidP="003E2802">
            <w:pPr>
              <w:spacing w:after="0" w:line="240" w:lineRule="auto"/>
              <w:jc w:val="center"/>
              <w:rPr>
                <w:rFonts w:eastAsia="Times New Roman"/>
                <w:sz w:val="16"/>
                <w:szCs w:val="16"/>
                <w:lang w:eastAsia="ru-RU"/>
              </w:rPr>
            </w:pPr>
          </w:p>
        </w:tc>
        <w:tc>
          <w:tcPr>
            <w:tcW w:w="477" w:type="pct"/>
            <w:shd w:val="clear" w:color="auto" w:fill="auto"/>
            <w:vAlign w:val="center"/>
            <w:hideMark/>
          </w:tcPr>
          <w:p w14:paraId="607F3342"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13,3</w:t>
            </w:r>
          </w:p>
        </w:tc>
        <w:tc>
          <w:tcPr>
            <w:tcW w:w="422" w:type="pct"/>
            <w:shd w:val="clear" w:color="auto" w:fill="auto"/>
            <w:noWrap/>
            <w:vAlign w:val="center"/>
          </w:tcPr>
          <w:p w14:paraId="0ADE5AC6" w14:textId="77777777" w:rsidR="0065708A" w:rsidRPr="00513F1D" w:rsidRDefault="0065708A">
            <w:pPr>
              <w:spacing w:after="0" w:line="240" w:lineRule="auto"/>
              <w:jc w:val="center"/>
              <w:rPr>
                <w:rFonts w:eastAsia="Times New Roman"/>
                <w:sz w:val="16"/>
                <w:szCs w:val="16"/>
                <w:lang w:eastAsia="ru-RU"/>
              </w:rPr>
            </w:pPr>
          </w:p>
        </w:tc>
        <w:tc>
          <w:tcPr>
            <w:tcW w:w="371" w:type="pct"/>
            <w:shd w:val="clear" w:color="auto" w:fill="auto"/>
            <w:noWrap/>
            <w:vAlign w:val="center"/>
          </w:tcPr>
          <w:p w14:paraId="0F4D11B5" w14:textId="77777777" w:rsidR="0065708A" w:rsidRPr="00513F1D" w:rsidRDefault="0065708A">
            <w:pPr>
              <w:spacing w:after="0" w:line="240" w:lineRule="auto"/>
              <w:jc w:val="center"/>
              <w:rPr>
                <w:rFonts w:eastAsia="Times New Roman"/>
                <w:sz w:val="16"/>
                <w:szCs w:val="16"/>
                <w:lang w:eastAsia="ru-RU"/>
              </w:rPr>
            </w:pPr>
          </w:p>
        </w:tc>
        <w:tc>
          <w:tcPr>
            <w:tcW w:w="569" w:type="pct"/>
            <w:shd w:val="clear" w:color="auto" w:fill="auto"/>
            <w:noWrap/>
            <w:vAlign w:val="center"/>
            <w:hideMark/>
          </w:tcPr>
          <w:p w14:paraId="1AAD13F0"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13,3</w:t>
            </w:r>
          </w:p>
        </w:tc>
        <w:tc>
          <w:tcPr>
            <w:tcW w:w="327" w:type="pct"/>
            <w:shd w:val="clear" w:color="auto" w:fill="auto"/>
            <w:noWrap/>
            <w:vAlign w:val="center"/>
          </w:tcPr>
          <w:p w14:paraId="7CE2A717" w14:textId="77777777" w:rsidR="0065708A" w:rsidRPr="00513F1D" w:rsidRDefault="0065708A">
            <w:pPr>
              <w:spacing w:after="0" w:line="240" w:lineRule="auto"/>
              <w:jc w:val="center"/>
              <w:rPr>
                <w:rFonts w:eastAsia="Times New Roman"/>
                <w:sz w:val="16"/>
                <w:szCs w:val="16"/>
                <w:lang w:eastAsia="ru-RU"/>
              </w:rPr>
            </w:pPr>
          </w:p>
        </w:tc>
        <w:tc>
          <w:tcPr>
            <w:tcW w:w="363" w:type="pct"/>
            <w:shd w:val="clear" w:color="auto" w:fill="auto"/>
            <w:noWrap/>
            <w:vAlign w:val="center"/>
            <w:hideMark/>
          </w:tcPr>
          <w:p w14:paraId="1E311372" w14:textId="77777777" w:rsidR="0065708A" w:rsidRPr="00513F1D" w:rsidRDefault="0065708A">
            <w:pPr>
              <w:spacing w:after="0" w:line="240" w:lineRule="auto"/>
              <w:jc w:val="center"/>
              <w:rPr>
                <w:rFonts w:eastAsia="Times New Roman"/>
                <w:sz w:val="16"/>
                <w:szCs w:val="16"/>
                <w:lang w:eastAsia="ru-RU"/>
              </w:rPr>
            </w:pPr>
          </w:p>
        </w:tc>
        <w:tc>
          <w:tcPr>
            <w:tcW w:w="657" w:type="pct"/>
            <w:shd w:val="clear" w:color="auto" w:fill="auto"/>
            <w:vAlign w:val="center"/>
            <w:hideMark/>
          </w:tcPr>
          <w:p w14:paraId="5BC3BA14" w14:textId="14D9F219" w:rsidR="0065708A" w:rsidRPr="00513F1D" w:rsidRDefault="0065708A" w:rsidP="00F94FED">
            <w:pPr>
              <w:spacing w:after="0" w:line="240" w:lineRule="auto"/>
              <w:jc w:val="center"/>
              <w:rPr>
                <w:rFonts w:eastAsia="Times New Roman"/>
                <w:sz w:val="16"/>
                <w:szCs w:val="16"/>
                <w:lang w:eastAsia="ru-RU"/>
              </w:rPr>
            </w:pPr>
          </w:p>
        </w:tc>
      </w:tr>
      <w:tr w:rsidR="0065708A" w:rsidRPr="00513F1D" w14:paraId="114EA61B" w14:textId="77777777" w:rsidTr="00CB5AA8">
        <w:trPr>
          <w:trHeight w:val="20"/>
        </w:trPr>
        <w:tc>
          <w:tcPr>
            <w:tcW w:w="1257" w:type="pct"/>
            <w:shd w:val="clear" w:color="auto" w:fill="auto"/>
            <w:vAlign w:val="bottom"/>
            <w:hideMark/>
          </w:tcPr>
          <w:p w14:paraId="6BE066B4" w14:textId="77777777" w:rsidR="0065708A" w:rsidRPr="00513F1D" w:rsidRDefault="0065708A" w:rsidP="009A4C46">
            <w:pPr>
              <w:spacing w:after="0" w:line="240" w:lineRule="auto"/>
              <w:rPr>
                <w:rFonts w:eastAsia="Times New Roman"/>
                <w:sz w:val="16"/>
                <w:szCs w:val="16"/>
                <w:lang w:eastAsia="ru-RU"/>
              </w:rPr>
            </w:pPr>
            <w:r w:rsidRPr="00513F1D">
              <w:rPr>
                <w:rFonts w:eastAsia="Times New Roman"/>
                <w:sz w:val="16"/>
                <w:szCs w:val="16"/>
                <w:lang w:eastAsia="ru-RU"/>
              </w:rPr>
              <w:t>Покупка диагностического и измерительного оборудования, приборов РЗА, в количестве 99 ед.</w:t>
            </w:r>
          </w:p>
        </w:tc>
        <w:tc>
          <w:tcPr>
            <w:tcW w:w="556" w:type="pct"/>
            <w:shd w:val="clear" w:color="auto" w:fill="auto"/>
            <w:vAlign w:val="center"/>
            <w:hideMark/>
          </w:tcPr>
          <w:p w14:paraId="1AD0EDE5" w14:textId="77777777" w:rsidR="0065708A" w:rsidRPr="00513F1D" w:rsidRDefault="0065708A" w:rsidP="003E2802">
            <w:pPr>
              <w:spacing w:after="0" w:line="240" w:lineRule="auto"/>
              <w:jc w:val="center"/>
              <w:rPr>
                <w:rFonts w:eastAsia="Times New Roman"/>
                <w:sz w:val="16"/>
                <w:szCs w:val="16"/>
                <w:lang w:eastAsia="ru-RU"/>
              </w:rPr>
            </w:pPr>
            <w:r w:rsidRPr="00513F1D">
              <w:rPr>
                <w:rFonts w:eastAsia="Times New Roman"/>
                <w:sz w:val="16"/>
                <w:szCs w:val="16"/>
                <w:lang w:eastAsia="ru-RU"/>
              </w:rPr>
              <w:t>1,5</w:t>
            </w:r>
          </w:p>
        </w:tc>
        <w:tc>
          <w:tcPr>
            <w:tcW w:w="477" w:type="pct"/>
            <w:shd w:val="clear" w:color="auto" w:fill="auto"/>
            <w:vAlign w:val="center"/>
            <w:hideMark/>
          </w:tcPr>
          <w:p w14:paraId="5C43303F"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11,3</w:t>
            </w:r>
          </w:p>
        </w:tc>
        <w:tc>
          <w:tcPr>
            <w:tcW w:w="422" w:type="pct"/>
            <w:shd w:val="clear" w:color="auto" w:fill="auto"/>
            <w:noWrap/>
            <w:vAlign w:val="center"/>
            <w:hideMark/>
          </w:tcPr>
          <w:p w14:paraId="189EDAB9"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7,0</w:t>
            </w:r>
          </w:p>
        </w:tc>
        <w:tc>
          <w:tcPr>
            <w:tcW w:w="371" w:type="pct"/>
            <w:shd w:val="clear" w:color="auto" w:fill="auto"/>
            <w:noWrap/>
            <w:vAlign w:val="center"/>
            <w:hideMark/>
          </w:tcPr>
          <w:p w14:paraId="2139AC06"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5,8</w:t>
            </w:r>
          </w:p>
        </w:tc>
        <w:tc>
          <w:tcPr>
            <w:tcW w:w="569" w:type="pct"/>
            <w:shd w:val="clear" w:color="auto" w:fill="auto"/>
            <w:noWrap/>
            <w:vAlign w:val="center"/>
            <w:hideMark/>
          </w:tcPr>
          <w:p w14:paraId="3C891A3A"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5,6</w:t>
            </w:r>
          </w:p>
        </w:tc>
        <w:tc>
          <w:tcPr>
            <w:tcW w:w="327" w:type="pct"/>
            <w:shd w:val="clear" w:color="auto" w:fill="auto"/>
            <w:noWrap/>
            <w:vAlign w:val="center"/>
            <w:hideMark/>
          </w:tcPr>
          <w:p w14:paraId="72BFF7D0"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-1,2</w:t>
            </w:r>
          </w:p>
        </w:tc>
        <w:tc>
          <w:tcPr>
            <w:tcW w:w="363" w:type="pct"/>
            <w:shd w:val="clear" w:color="auto" w:fill="auto"/>
            <w:noWrap/>
            <w:vAlign w:val="center"/>
            <w:hideMark/>
          </w:tcPr>
          <w:p w14:paraId="4992D11C"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-17%</w:t>
            </w:r>
          </w:p>
        </w:tc>
        <w:tc>
          <w:tcPr>
            <w:tcW w:w="657" w:type="pct"/>
            <w:shd w:val="clear" w:color="auto" w:fill="auto"/>
            <w:vAlign w:val="center"/>
            <w:hideMark/>
          </w:tcPr>
          <w:p w14:paraId="206D0467" w14:textId="77777777" w:rsidR="0065708A" w:rsidRPr="00513F1D" w:rsidRDefault="0065708A" w:rsidP="00F94FED">
            <w:pPr>
              <w:spacing w:after="0" w:line="240" w:lineRule="auto"/>
              <w:jc w:val="center"/>
              <w:rPr>
                <w:rFonts w:eastAsia="Times New Roman"/>
                <w:sz w:val="16"/>
                <w:szCs w:val="16"/>
                <w:lang w:eastAsia="ru-RU"/>
              </w:rPr>
            </w:pPr>
            <w:r w:rsidRPr="00513F1D">
              <w:rPr>
                <w:rFonts w:eastAsia="Times New Roman"/>
                <w:sz w:val="16"/>
                <w:szCs w:val="16"/>
                <w:lang w:eastAsia="ru-RU"/>
              </w:rPr>
              <w:t>оплата за фактически поставленное оборудование</w:t>
            </w:r>
          </w:p>
        </w:tc>
      </w:tr>
      <w:tr w:rsidR="0065708A" w:rsidRPr="00513F1D" w14:paraId="039739C8" w14:textId="77777777" w:rsidTr="00CB5AA8">
        <w:trPr>
          <w:trHeight w:val="20"/>
        </w:trPr>
        <w:tc>
          <w:tcPr>
            <w:tcW w:w="1257" w:type="pct"/>
            <w:shd w:val="clear" w:color="auto" w:fill="auto"/>
            <w:vAlign w:val="bottom"/>
            <w:hideMark/>
          </w:tcPr>
          <w:p w14:paraId="71A10F7A" w14:textId="77777777" w:rsidR="0065708A" w:rsidRPr="00513F1D" w:rsidRDefault="0065708A" w:rsidP="009A4C46">
            <w:pPr>
              <w:spacing w:after="0" w:line="240" w:lineRule="auto"/>
              <w:rPr>
                <w:rFonts w:eastAsia="Times New Roman"/>
                <w:sz w:val="16"/>
                <w:szCs w:val="16"/>
                <w:lang w:eastAsia="ru-RU"/>
              </w:rPr>
            </w:pPr>
            <w:r w:rsidRPr="00513F1D">
              <w:rPr>
                <w:rFonts w:eastAsia="Times New Roman"/>
                <w:sz w:val="16"/>
                <w:szCs w:val="16"/>
                <w:lang w:eastAsia="ru-RU"/>
              </w:rPr>
              <w:t xml:space="preserve">Покупка генераторов, электрических двигателей и станций, прочего оборудования </w:t>
            </w:r>
            <w:proofErr w:type="spellStart"/>
            <w:r w:rsidRPr="00513F1D">
              <w:rPr>
                <w:rFonts w:eastAsia="Times New Roman"/>
                <w:sz w:val="16"/>
                <w:szCs w:val="16"/>
                <w:lang w:eastAsia="ru-RU"/>
              </w:rPr>
              <w:t>хозяйтсвенных</w:t>
            </w:r>
            <w:proofErr w:type="spellEnd"/>
            <w:r w:rsidRPr="00513F1D">
              <w:rPr>
                <w:rFonts w:eastAsia="Times New Roman"/>
                <w:sz w:val="16"/>
                <w:szCs w:val="16"/>
                <w:lang w:eastAsia="ru-RU"/>
              </w:rPr>
              <w:t xml:space="preserve"> нужд</w:t>
            </w:r>
          </w:p>
        </w:tc>
        <w:tc>
          <w:tcPr>
            <w:tcW w:w="556" w:type="pct"/>
            <w:shd w:val="clear" w:color="auto" w:fill="auto"/>
            <w:vAlign w:val="center"/>
          </w:tcPr>
          <w:p w14:paraId="4ADBAF3C" w14:textId="77777777" w:rsidR="0065708A" w:rsidRPr="00513F1D" w:rsidRDefault="0065708A" w:rsidP="003E2802">
            <w:pPr>
              <w:spacing w:after="0" w:line="240" w:lineRule="auto"/>
              <w:jc w:val="center"/>
              <w:rPr>
                <w:rFonts w:eastAsia="Times New Roman"/>
                <w:sz w:val="16"/>
                <w:szCs w:val="16"/>
                <w:lang w:eastAsia="ru-RU"/>
              </w:rPr>
            </w:pPr>
          </w:p>
        </w:tc>
        <w:tc>
          <w:tcPr>
            <w:tcW w:w="477" w:type="pct"/>
            <w:shd w:val="clear" w:color="auto" w:fill="auto"/>
            <w:vAlign w:val="center"/>
            <w:hideMark/>
          </w:tcPr>
          <w:p w14:paraId="68DE6AA2"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19,4</w:t>
            </w:r>
          </w:p>
        </w:tc>
        <w:tc>
          <w:tcPr>
            <w:tcW w:w="422" w:type="pct"/>
            <w:shd w:val="clear" w:color="auto" w:fill="auto"/>
            <w:noWrap/>
            <w:vAlign w:val="center"/>
          </w:tcPr>
          <w:p w14:paraId="37ADC0E3" w14:textId="77777777" w:rsidR="0065708A" w:rsidRPr="00513F1D" w:rsidRDefault="0065708A">
            <w:pPr>
              <w:spacing w:after="0" w:line="240" w:lineRule="auto"/>
              <w:jc w:val="center"/>
              <w:rPr>
                <w:rFonts w:eastAsia="Times New Roman"/>
                <w:sz w:val="16"/>
                <w:szCs w:val="16"/>
                <w:lang w:eastAsia="ru-RU"/>
              </w:rPr>
            </w:pPr>
          </w:p>
        </w:tc>
        <w:tc>
          <w:tcPr>
            <w:tcW w:w="371" w:type="pct"/>
            <w:shd w:val="clear" w:color="auto" w:fill="auto"/>
            <w:noWrap/>
            <w:vAlign w:val="center"/>
          </w:tcPr>
          <w:p w14:paraId="1FCD9DDB" w14:textId="77777777" w:rsidR="0065708A" w:rsidRPr="00513F1D" w:rsidRDefault="0065708A">
            <w:pPr>
              <w:spacing w:after="0" w:line="240" w:lineRule="auto"/>
              <w:jc w:val="center"/>
              <w:rPr>
                <w:rFonts w:eastAsia="Times New Roman"/>
                <w:sz w:val="16"/>
                <w:szCs w:val="16"/>
                <w:lang w:eastAsia="ru-RU"/>
              </w:rPr>
            </w:pPr>
          </w:p>
        </w:tc>
        <w:tc>
          <w:tcPr>
            <w:tcW w:w="569" w:type="pct"/>
            <w:shd w:val="clear" w:color="auto" w:fill="auto"/>
            <w:noWrap/>
            <w:vAlign w:val="center"/>
            <w:hideMark/>
          </w:tcPr>
          <w:p w14:paraId="2E2DA8C9"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19,4</w:t>
            </w:r>
          </w:p>
        </w:tc>
        <w:tc>
          <w:tcPr>
            <w:tcW w:w="327" w:type="pct"/>
            <w:shd w:val="clear" w:color="auto" w:fill="auto"/>
            <w:noWrap/>
            <w:vAlign w:val="center"/>
          </w:tcPr>
          <w:p w14:paraId="28B0F2C6" w14:textId="77777777" w:rsidR="0065708A" w:rsidRPr="00513F1D" w:rsidRDefault="0065708A">
            <w:pPr>
              <w:spacing w:after="0" w:line="240" w:lineRule="auto"/>
              <w:jc w:val="center"/>
              <w:rPr>
                <w:rFonts w:eastAsia="Times New Roman"/>
                <w:sz w:val="16"/>
                <w:szCs w:val="16"/>
                <w:lang w:eastAsia="ru-RU"/>
              </w:rPr>
            </w:pPr>
          </w:p>
        </w:tc>
        <w:tc>
          <w:tcPr>
            <w:tcW w:w="363" w:type="pct"/>
            <w:shd w:val="clear" w:color="auto" w:fill="auto"/>
            <w:noWrap/>
            <w:vAlign w:val="center"/>
            <w:hideMark/>
          </w:tcPr>
          <w:p w14:paraId="275E61E9" w14:textId="77777777" w:rsidR="0065708A" w:rsidRPr="00513F1D" w:rsidRDefault="0065708A">
            <w:pPr>
              <w:spacing w:after="0" w:line="240" w:lineRule="auto"/>
              <w:jc w:val="center"/>
              <w:rPr>
                <w:rFonts w:eastAsia="Times New Roman"/>
                <w:sz w:val="16"/>
                <w:szCs w:val="16"/>
                <w:lang w:eastAsia="ru-RU"/>
              </w:rPr>
            </w:pPr>
          </w:p>
        </w:tc>
        <w:tc>
          <w:tcPr>
            <w:tcW w:w="657" w:type="pct"/>
            <w:shd w:val="clear" w:color="auto" w:fill="auto"/>
            <w:vAlign w:val="center"/>
            <w:hideMark/>
          </w:tcPr>
          <w:p w14:paraId="6ADEE229" w14:textId="0829718B" w:rsidR="0065708A" w:rsidRPr="00513F1D" w:rsidRDefault="0065708A" w:rsidP="00F94FED">
            <w:pPr>
              <w:spacing w:after="0" w:line="240" w:lineRule="auto"/>
              <w:jc w:val="center"/>
              <w:rPr>
                <w:rFonts w:eastAsia="Times New Roman"/>
                <w:sz w:val="16"/>
                <w:szCs w:val="16"/>
                <w:lang w:eastAsia="ru-RU"/>
              </w:rPr>
            </w:pPr>
          </w:p>
        </w:tc>
      </w:tr>
      <w:tr w:rsidR="0065708A" w:rsidRPr="00513F1D" w14:paraId="614F56A4" w14:textId="77777777" w:rsidTr="00CB5AA8">
        <w:trPr>
          <w:trHeight w:val="20"/>
        </w:trPr>
        <w:tc>
          <w:tcPr>
            <w:tcW w:w="1257" w:type="pct"/>
            <w:shd w:val="clear" w:color="auto" w:fill="auto"/>
            <w:vAlign w:val="bottom"/>
            <w:hideMark/>
          </w:tcPr>
          <w:p w14:paraId="4C4A2E44" w14:textId="77777777" w:rsidR="0065708A" w:rsidRPr="00513F1D" w:rsidRDefault="0065708A" w:rsidP="009A4C46">
            <w:pPr>
              <w:spacing w:after="0" w:line="240" w:lineRule="auto"/>
              <w:rPr>
                <w:rFonts w:eastAsia="Times New Roman"/>
                <w:sz w:val="16"/>
                <w:szCs w:val="16"/>
                <w:lang w:eastAsia="ru-RU"/>
              </w:rPr>
            </w:pPr>
            <w:r w:rsidRPr="00513F1D">
              <w:rPr>
                <w:rFonts w:eastAsia="Times New Roman"/>
                <w:sz w:val="16"/>
                <w:szCs w:val="16"/>
                <w:lang w:eastAsia="ru-RU"/>
              </w:rPr>
              <w:t>Покупка робота-тренажера "Антон-1.01" с беспроводным планшетным компьютером, 1 ед.</w:t>
            </w:r>
          </w:p>
        </w:tc>
        <w:tc>
          <w:tcPr>
            <w:tcW w:w="556" w:type="pct"/>
            <w:shd w:val="clear" w:color="auto" w:fill="auto"/>
            <w:vAlign w:val="center"/>
          </w:tcPr>
          <w:p w14:paraId="54DDC0B1" w14:textId="77777777" w:rsidR="0065708A" w:rsidRPr="00513F1D" w:rsidRDefault="0065708A" w:rsidP="003E2802">
            <w:pPr>
              <w:spacing w:after="0" w:line="240" w:lineRule="auto"/>
              <w:jc w:val="center"/>
              <w:rPr>
                <w:rFonts w:eastAsia="Times New Roman"/>
                <w:sz w:val="16"/>
                <w:szCs w:val="16"/>
                <w:lang w:eastAsia="ru-RU"/>
              </w:rPr>
            </w:pPr>
          </w:p>
        </w:tc>
        <w:tc>
          <w:tcPr>
            <w:tcW w:w="477" w:type="pct"/>
            <w:shd w:val="clear" w:color="auto" w:fill="auto"/>
            <w:vAlign w:val="center"/>
            <w:hideMark/>
          </w:tcPr>
          <w:p w14:paraId="5A3625E8"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0,2</w:t>
            </w:r>
          </w:p>
        </w:tc>
        <w:tc>
          <w:tcPr>
            <w:tcW w:w="422" w:type="pct"/>
            <w:shd w:val="clear" w:color="auto" w:fill="auto"/>
            <w:noWrap/>
            <w:vAlign w:val="center"/>
            <w:hideMark/>
          </w:tcPr>
          <w:p w14:paraId="6A592CCA"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0,2</w:t>
            </w:r>
          </w:p>
        </w:tc>
        <w:tc>
          <w:tcPr>
            <w:tcW w:w="371" w:type="pct"/>
            <w:shd w:val="clear" w:color="auto" w:fill="auto"/>
            <w:noWrap/>
            <w:vAlign w:val="center"/>
            <w:hideMark/>
          </w:tcPr>
          <w:p w14:paraId="7A1836B8"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0,2</w:t>
            </w:r>
          </w:p>
        </w:tc>
        <w:tc>
          <w:tcPr>
            <w:tcW w:w="569" w:type="pct"/>
            <w:shd w:val="clear" w:color="auto" w:fill="auto"/>
            <w:noWrap/>
            <w:vAlign w:val="center"/>
            <w:hideMark/>
          </w:tcPr>
          <w:p w14:paraId="0DF81BEB"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0,0</w:t>
            </w:r>
          </w:p>
        </w:tc>
        <w:tc>
          <w:tcPr>
            <w:tcW w:w="327" w:type="pct"/>
            <w:shd w:val="clear" w:color="auto" w:fill="auto"/>
            <w:noWrap/>
            <w:vAlign w:val="center"/>
            <w:hideMark/>
          </w:tcPr>
          <w:p w14:paraId="0253CF95"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-0,0</w:t>
            </w:r>
          </w:p>
        </w:tc>
        <w:tc>
          <w:tcPr>
            <w:tcW w:w="363" w:type="pct"/>
            <w:shd w:val="clear" w:color="auto" w:fill="auto"/>
            <w:noWrap/>
            <w:vAlign w:val="center"/>
            <w:hideMark/>
          </w:tcPr>
          <w:p w14:paraId="644F25FF"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-11%</w:t>
            </w:r>
          </w:p>
        </w:tc>
        <w:tc>
          <w:tcPr>
            <w:tcW w:w="657" w:type="pct"/>
            <w:shd w:val="clear" w:color="auto" w:fill="auto"/>
            <w:vAlign w:val="center"/>
            <w:hideMark/>
          </w:tcPr>
          <w:p w14:paraId="4B71A18C" w14:textId="77777777" w:rsidR="0065708A" w:rsidRPr="00513F1D" w:rsidRDefault="0065708A" w:rsidP="00F94FED">
            <w:pPr>
              <w:spacing w:after="0" w:line="240" w:lineRule="auto"/>
              <w:jc w:val="center"/>
              <w:rPr>
                <w:rFonts w:eastAsia="Times New Roman"/>
                <w:sz w:val="16"/>
                <w:szCs w:val="16"/>
                <w:lang w:eastAsia="ru-RU"/>
              </w:rPr>
            </w:pPr>
            <w:r w:rsidRPr="00513F1D">
              <w:rPr>
                <w:rFonts w:eastAsia="Times New Roman"/>
                <w:sz w:val="16"/>
                <w:szCs w:val="16"/>
                <w:lang w:eastAsia="ru-RU"/>
              </w:rPr>
              <w:t>оплата за фактически поставленное оборудование</w:t>
            </w:r>
          </w:p>
        </w:tc>
      </w:tr>
      <w:tr w:rsidR="0065708A" w:rsidRPr="00513F1D" w14:paraId="1614D292" w14:textId="77777777" w:rsidTr="00CB5AA8">
        <w:trPr>
          <w:trHeight w:val="20"/>
        </w:trPr>
        <w:tc>
          <w:tcPr>
            <w:tcW w:w="1257" w:type="pct"/>
            <w:shd w:val="clear" w:color="auto" w:fill="auto"/>
            <w:vAlign w:val="center"/>
            <w:hideMark/>
          </w:tcPr>
          <w:p w14:paraId="2E212634" w14:textId="77777777" w:rsidR="0065708A" w:rsidRPr="00513F1D" w:rsidRDefault="0065708A" w:rsidP="009A4C46">
            <w:pPr>
              <w:spacing w:after="0" w:line="240" w:lineRule="auto"/>
              <w:rPr>
                <w:rFonts w:eastAsia="Times New Roman"/>
                <w:sz w:val="16"/>
                <w:szCs w:val="16"/>
                <w:lang w:eastAsia="ru-RU"/>
              </w:rPr>
            </w:pPr>
            <w:r w:rsidRPr="00513F1D">
              <w:rPr>
                <w:rFonts w:eastAsia="Times New Roman"/>
                <w:sz w:val="16"/>
                <w:szCs w:val="16"/>
                <w:lang w:eastAsia="ru-RU"/>
              </w:rPr>
              <w:t>Покупка экскаваторов, в количестве 6 ед.</w:t>
            </w:r>
          </w:p>
        </w:tc>
        <w:tc>
          <w:tcPr>
            <w:tcW w:w="556" w:type="pct"/>
            <w:shd w:val="clear" w:color="auto" w:fill="auto"/>
            <w:vAlign w:val="center"/>
            <w:hideMark/>
          </w:tcPr>
          <w:p w14:paraId="48C3597B" w14:textId="77777777" w:rsidR="0065708A" w:rsidRPr="00513F1D" w:rsidRDefault="0065708A" w:rsidP="003E2802">
            <w:pPr>
              <w:spacing w:after="0" w:line="240" w:lineRule="auto"/>
              <w:jc w:val="center"/>
              <w:rPr>
                <w:rFonts w:eastAsia="Times New Roman"/>
                <w:sz w:val="16"/>
                <w:szCs w:val="16"/>
                <w:lang w:eastAsia="ru-RU"/>
              </w:rPr>
            </w:pPr>
          </w:p>
        </w:tc>
        <w:tc>
          <w:tcPr>
            <w:tcW w:w="477" w:type="pct"/>
            <w:shd w:val="clear" w:color="auto" w:fill="auto"/>
            <w:vAlign w:val="center"/>
            <w:hideMark/>
          </w:tcPr>
          <w:p w14:paraId="094C8D31"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15,6</w:t>
            </w:r>
          </w:p>
        </w:tc>
        <w:tc>
          <w:tcPr>
            <w:tcW w:w="422" w:type="pct"/>
            <w:shd w:val="clear" w:color="auto" w:fill="auto"/>
            <w:noWrap/>
            <w:vAlign w:val="center"/>
            <w:hideMark/>
          </w:tcPr>
          <w:p w14:paraId="58D14B8B"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2,9</w:t>
            </w:r>
          </w:p>
        </w:tc>
        <w:tc>
          <w:tcPr>
            <w:tcW w:w="371" w:type="pct"/>
            <w:shd w:val="clear" w:color="auto" w:fill="auto"/>
            <w:noWrap/>
            <w:vAlign w:val="center"/>
            <w:hideMark/>
          </w:tcPr>
          <w:p w14:paraId="704BFCEB"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2,8</w:t>
            </w:r>
          </w:p>
        </w:tc>
        <w:tc>
          <w:tcPr>
            <w:tcW w:w="569" w:type="pct"/>
            <w:shd w:val="clear" w:color="auto" w:fill="auto"/>
            <w:noWrap/>
            <w:vAlign w:val="center"/>
            <w:hideMark/>
          </w:tcPr>
          <w:p w14:paraId="2E32B304"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12,9</w:t>
            </w:r>
          </w:p>
        </w:tc>
        <w:tc>
          <w:tcPr>
            <w:tcW w:w="327" w:type="pct"/>
            <w:shd w:val="clear" w:color="auto" w:fill="auto"/>
            <w:noWrap/>
            <w:vAlign w:val="center"/>
            <w:hideMark/>
          </w:tcPr>
          <w:p w14:paraId="6A0A6CCE"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-0,1</w:t>
            </w:r>
          </w:p>
        </w:tc>
        <w:tc>
          <w:tcPr>
            <w:tcW w:w="363" w:type="pct"/>
            <w:shd w:val="clear" w:color="auto" w:fill="auto"/>
            <w:noWrap/>
            <w:vAlign w:val="center"/>
            <w:hideMark/>
          </w:tcPr>
          <w:p w14:paraId="2CFCF833"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-4%</w:t>
            </w:r>
          </w:p>
        </w:tc>
        <w:tc>
          <w:tcPr>
            <w:tcW w:w="657" w:type="pct"/>
            <w:shd w:val="clear" w:color="auto" w:fill="auto"/>
            <w:vAlign w:val="center"/>
            <w:hideMark/>
          </w:tcPr>
          <w:p w14:paraId="7FCA7C70" w14:textId="77777777" w:rsidR="0065708A" w:rsidRPr="00513F1D" w:rsidRDefault="0065708A" w:rsidP="00F94FED">
            <w:pPr>
              <w:spacing w:after="0" w:line="240" w:lineRule="auto"/>
              <w:jc w:val="center"/>
              <w:rPr>
                <w:rFonts w:eastAsia="Times New Roman"/>
                <w:sz w:val="16"/>
                <w:szCs w:val="16"/>
                <w:lang w:eastAsia="ru-RU"/>
              </w:rPr>
            </w:pPr>
            <w:r w:rsidRPr="00513F1D">
              <w:rPr>
                <w:rFonts w:eastAsia="Times New Roman"/>
                <w:sz w:val="16"/>
                <w:szCs w:val="16"/>
                <w:lang w:eastAsia="ru-RU"/>
              </w:rPr>
              <w:t>оплата за фактически поставленное оборудование</w:t>
            </w:r>
          </w:p>
        </w:tc>
      </w:tr>
      <w:tr w:rsidR="0065708A" w:rsidRPr="00513F1D" w14:paraId="3CED038B" w14:textId="77777777" w:rsidTr="00CB5AA8">
        <w:trPr>
          <w:trHeight w:val="20"/>
        </w:trPr>
        <w:tc>
          <w:tcPr>
            <w:tcW w:w="1257" w:type="pct"/>
            <w:shd w:val="clear" w:color="auto" w:fill="auto"/>
            <w:vAlign w:val="center"/>
            <w:hideMark/>
          </w:tcPr>
          <w:p w14:paraId="7CF13547" w14:textId="77777777" w:rsidR="0065708A" w:rsidRPr="00513F1D" w:rsidRDefault="0065708A" w:rsidP="009A4C46">
            <w:pPr>
              <w:spacing w:after="0" w:line="240" w:lineRule="auto"/>
              <w:rPr>
                <w:rFonts w:eastAsia="Times New Roman"/>
                <w:sz w:val="16"/>
                <w:szCs w:val="16"/>
                <w:lang w:eastAsia="ru-RU"/>
              </w:rPr>
            </w:pPr>
            <w:r w:rsidRPr="00513F1D">
              <w:rPr>
                <w:rFonts w:eastAsia="Times New Roman"/>
                <w:sz w:val="16"/>
                <w:szCs w:val="16"/>
                <w:lang w:eastAsia="ru-RU"/>
              </w:rPr>
              <w:t xml:space="preserve">Покупка оборудования для ремонта автомобилей (Автомобильный </w:t>
            </w:r>
            <w:proofErr w:type="spellStart"/>
            <w:r w:rsidRPr="00513F1D">
              <w:rPr>
                <w:rFonts w:eastAsia="Times New Roman"/>
                <w:sz w:val="16"/>
                <w:szCs w:val="16"/>
                <w:lang w:eastAsia="ru-RU"/>
              </w:rPr>
              <w:t>двухстоечный</w:t>
            </w:r>
            <w:proofErr w:type="spellEnd"/>
            <w:r w:rsidRPr="00513F1D">
              <w:rPr>
                <w:rFonts w:eastAsia="Times New Roman"/>
                <w:sz w:val="16"/>
                <w:szCs w:val="16"/>
                <w:lang w:eastAsia="ru-RU"/>
              </w:rPr>
              <w:t xml:space="preserve"> подъемник ПГА 5000), в количестве 1 ед.</w:t>
            </w:r>
          </w:p>
        </w:tc>
        <w:tc>
          <w:tcPr>
            <w:tcW w:w="556" w:type="pct"/>
            <w:shd w:val="clear" w:color="auto" w:fill="auto"/>
            <w:vAlign w:val="center"/>
          </w:tcPr>
          <w:p w14:paraId="4C95CDC4" w14:textId="77777777" w:rsidR="0065708A" w:rsidRPr="00513F1D" w:rsidRDefault="0065708A" w:rsidP="003E2802">
            <w:pPr>
              <w:spacing w:after="0" w:line="240" w:lineRule="auto"/>
              <w:jc w:val="center"/>
              <w:rPr>
                <w:rFonts w:eastAsia="Times New Roman"/>
                <w:sz w:val="16"/>
                <w:szCs w:val="16"/>
                <w:lang w:eastAsia="ru-RU"/>
              </w:rPr>
            </w:pPr>
          </w:p>
        </w:tc>
        <w:tc>
          <w:tcPr>
            <w:tcW w:w="477" w:type="pct"/>
            <w:shd w:val="clear" w:color="auto" w:fill="auto"/>
            <w:vAlign w:val="center"/>
            <w:hideMark/>
          </w:tcPr>
          <w:p w14:paraId="2A03C47A"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0,2</w:t>
            </w:r>
          </w:p>
        </w:tc>
        <w:tc>
          <w:tcPr>
            <w:tcW w:w="422" w:type="pct"/>
            <w:shd w:val="clear" w:color="auto" w:fill="auto"/>
            <w:noWrap/>
            <w:vAlign w:val="center"/>
          </w:tcPr>
          <w:p w14:paraId="6D9541DA" w14:textId="77777777" w:rsidR="0065708A" w:rsidRPr="00513F1D" w:rsidRDefault="0065708A">
            <w:pPr>
              <w:spacing w:after="0" w:line="240" w:lineRule="auto"/>
              <w:jc w:val="center"/>
              <w:rPr>
                <w:rFonts w:eastAsia="Times New Roman"/>
                <w:sz w:val="16"/>
                <w:szCs w:val="16"/>
                <w:lang w:eastAsia="ru-RU"/>
              </w:rPr>
            </w:pPr>
          </w:p>
        </w:tc>
        <w:tc>
          <w:tcPr>
            <w:tcW w:w="371" w:type="pct"/>
            <w:shd w:val="clear" w:color="auto" w:fill="auto"/>
            <w:noWrap/>
            <w:vAlign w:val="center"/>
          </w:tcPr>
          <w:p w14:paraId="120C379E" w14:textId="77777777" w:rsidR="0065708A" w:rsidRPr="00513F1D" w:rsidRDefault="0065708A">
            <w:pPr>
              <w:spacing w:after="0" w:line="240" w:lineRule="auto"/>
              <w:jc w:val="center"/>
              <w:rPr>
                <w:rFonts w:eastAsia="Times New Roman"/>
                <w:sz w:val="16"/>
                <w:szCs w:val="16"/>
                <w:lang w:eastAsia="ru-RU"/>
              </w:rPr>
            </w:pPr>
          </w:p>
        </w:tc>
        <w:tc>
          <w:tcPr>
            <w:tcW w:w="569" w:type="pct"/>
            <w:shd w:val="clear" w:color="auto" w:fill="auto"/>
            <w:noWrap/>
            <w:vAlign w:val="center"/>
            <w:hideMark/>
          </w:tcPr>
          <w:p w14:paraId="79BE5FC4"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0,2</w:t>
            </w:r>
          </w:p>
        </w:tc>
        <w:tc>
          <w:tcPr>
            <w:tcW w:w="327" w:type="pct"/>
            <w:shd w:val="clear" w:color="auto" w:fill="auto"/>
            <w:noWrap/>
            <w:vAlign w:val="center"/>
          </w:tcPr>
          <w:p w14:paraId="176CEB53" w14:textId="77777777" w:rsidR="0065708A" w:rsidRPr="00513F1D" w:rsidRDefault="0065708A">
            <w:pPr>
              <w:spacing w:after="0" w:line="240" w:lineRule="auto"/>
              <w:jc w:val="center"/>
              <w:rPr>
                <w:rFonts w:eastAsia="Times New Roman"/>
                <w:sz w:val="16"/>
                <w:szCs w:val="16"/>
                <w:lang w:eastAsia="ru-RU"/>
              </w:rPr>
            </w:pPr>
          </w:p>
        </w:tc>
        <w:tc>
          <w:tcPr>
            <w:tcW w:w="363" w:type="pct"/>
            <w:shd w:val="clear" w:color="auto" w:fill="auto"/>
            <w:noWrap/>
            <w:vAlign w:val="center"/>
            <w:hideMark/>
          </w:tcPr>
          <w:p w14:paraId="488C9237" w14:textId="77777777" w:rsidR="0065708A" w:rsidRPr="00513F1D" w:rsidRDefault="0065708A">
            <w:pPr>
              <w:spacing w:after="0" w:line="240" w:lineRule="auto"/>
              <w:jc w:val="center"/>
              <w:rPr>
                <w:rFonts w:eastAsia="Times New Roman"/>
                <w:sz w:val="16"/>
                <w:szCs w:val="16"/>
                <w:lang w:eastAsia="ru-RU"/>
              </w:rPr>
            </w:pPr>
          </w:p>
        </w:tc>
        <w:tc>
          <w:tcPr>
            <w:tcW w:w="657" w:type="pct"/>
            <w:shd w:val="clear" w:color="auto" w:fill="auto"/>
            <w:vAlign w:val="center"/>
            <w:hideMark/>
          </w:tcPr>
          <w:p w14:paraId="53D21142" w14:textId="38F58769" w:rsidR="0065708A" w:rsidRPr="00513F1D" w:rsidRDefault="0065708A" w:rsidP="00F94FED">
            <w:pPr>
              <w:spacing w:after="0" w:line="240" w:lineRule="auto"/>
              <w:jc w:val="center"/>
              <w:rPr>
                <w:rFonts w:eastAsia="Times New Roman"/>
                <w:sz w:val="16"/>
                <w:szCs w:val="16"/>
                <w:lang w:eastAsia="ru-RU"/>
              </w:rPr>
            </w:pPr>
          </w:p>
        </w:tc>
      </w:tr>
      <w:tr w:rsidR="0065708A" w:rsidRPr="00513F1D" w14:paraId="07A7DE8D" w14:textId="77777777" w:rsidTr="00CB5AA8">
        <w:trPr>
          <w:trHeight w:val="20"/>
        </w:trPr>
        <w:tc>
          <w:tcPr>
            <w:tcW w:w="1257" w:type="pct"/>
            <w:shd w:val="clear" w:color="auto" w:fill="auto"/>
            <w:vAlign w:val="center"/>
            <w:hideMark/>
          </w:tcPr>
          <w:p w14:paraId="02E8B7E5" w14:textId="77777777" w:rsidR="0065708A" w:rsidRPr="00513F1D" w:rsidRDefault="0065708A" w:rsidP="009A4C46">
            <w:pPr>
              <w:spacing w:after="0" w:line="240" w:lineRule="auto"/>
              <w:rPr>
                <w:rFonts w:eastAsia="Times New Roman"/>
                <w:sz w:val="16"/>
                <w:szCs w:val="16"/>
                <w:lang w:eastAsia="ru-RU"/>
              </w:rPr>
            </w:pPr>
            <w:r w:rsidRPr="00513F1D">
              <w:rPr>
                <w:rFonts w:eastAsia="Times New Roman"/>
                <w:sz w:val="16"/>
                <w:szCs w:val="16"/>
                <w:lang w:eastAsia="ru-RU"/>
              </w:rPr>
              <w:t xml:space="preserve">Покупка прибора контроля высоковольтных выключателей ПКВ/М7 полной комплектации </w:t>
            </w:r>
          </w:p>
        </w:tc>
        <w:tc>
          <w:tcPr>
            <w:tcW w:w="556" w:type="pct"/>
            <w:shd w:val="clear" w:color="auto" w:fill="auto"/>
            <w:vAlign w:val="center"/>
          </w:tcPr>
          <w:p w14:paraId="34E37CAC" w14:textId="77777777" w:rsidR="0065708A" w:rsidRPr="00513F1D" w:rsidRDefault="0065708A" w:rsidP="003E2802">
            <w:pPr>
              <w:spacing w:after="0" w:line="240" w:lineRule="auto"/>
              <w:jc w:val="center"/>
              <w:rPr>
                <w:rFonts w:eastAsia="Times New Roman"/>
                <w:sz w:val="16"/>
                <w:szCs w:val="16"/>
                <w:lang w:eastAsia="ru-RU"/>
              </w:rPr>
            </w:pPr>
          </w:p>
        </w:tc>
        <w:tc>
          <w:tcPr>
            <w:tcW w:w="477" w:type="pct"/>
            <w:shd w:val="clear" w:color="auto" w:fill="auto"/>
            <w:vAlign w:val="center"/>
            <w:hideMark/>
          </w:tcPr>
          <w:p w14:paraId="163299F9"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0,8</w:t>
            </w:r>
          </w:p>
        </w:tc>
        <w:tc>
          <w:tcPr>
            <w:tcW w:w="422" w:type="pct"/>
            <w:shd w:val="clear" w:color="auto" w:fill="auto"/>
            <w:noWrap/>
            <w:vAlign w:val="center"/>
            <w:hideMark/>
          </w:tcPr>
          <w:p w14:paraId="2E499483"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0,8</w:t>
            </w:r>
          </w:p>
        </w:tc>
        <w:tc>
          <w:tcPr>
            <w:tcW w:w="371" w:type="pct"/>
            <w:shd w:val="clear" w:color="auto" w:fill="auto"/>
            <w:noWrap/>
            <w:vAlign w:val="center"/>
          </w:tcPr>
          <w:p w14:paraId="57D34220" w14:textId="77777777" w:rsidR="0065708A" w:rsidRPr="00513F1D" w:rsidRDefault="0065708A">
            <w:pPr>
              <w:spacing w:after="0" w:line="240" w:lineRule="auto"/>
              <w:jc w:val="center"/>
              <w:rPr>
                <w:rFonts w:eastAsia="Times New Roman"/>
                <w:sz w:val="16"/>
                <w:szCs w:val="16"/>
                <w:lang w:eastAsia="ru-RU"/>
              </w:rPr>
            </w:pPr>
          </w:p>
        </w:tc>
        <w:tc>
          <w:tcPr>
            <w:tcW w:w="569" w:type="pct"/>
            <w:shd w:val="clear" w:color="auto" w:fill="auto"/>
            <w:noWrap/>
            <w:vAlign w:val="center"/>
            <w:hideMark/>
          </w:tcPr>
          <w:p w14:paraId="5E9CABFA"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0,8</w:t>
            </w:r>
          </w:p>
        </w:tc>
        <w:tc>
          <w:tcPr>
            <w:tcW w:w="327" w:type="pct"/>
            <w:shd w:val="clear" w:color="auto" w:fill="auto"/>
            <w:noWrap/>
            <w:vAlign w:val="center"/>
            <w:hideMark/>
          </w:tcPr>
          <w:p w14:paraId="3B7E744E"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-0,8</w:t>
            </w:r>
          </w:p>
        </w:tc>
        <w:tc>
          <w:tcPr>
            <w:tcW w:w="363" w:type="pct"/>
            <w:shd w:val="clear" w:color="auto" w:fill="auto"/>
            <w:noWrap/>
            <w:vAlign w:val="center"/>
            <w:hideMark/>
          </w:tcPr>
          <w:p w14:paraId="7D40B00B"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-100%</w:t>
            </w:r>
          </w:p>
        </w:tc>
        <w:tc>
          <w:tcPr>
            <w:tcW w:w="657" w:type="pct"/>
            <w:shd w:val="clear" w:color="auto" w:fill="auto"/>
            <w:vAlign w:val="center"/>
            <w:hideMark/>
          </w:tcPr>
          <w:p w14:paraId="35AEA2CA" w14:textId="3E589D8A" w:rsidR="0065708A" w:rsidRPr="00513F1D" w:rsidRDefault="0065708A" w:rsidP="00F94FED">
            <w:pPr>
              <w:spacing w:after="0" w:line="240" w:lineRule="auto"/>
              <w:jc w:val="center"/>
              <w:rPr>
                <w:rFonts w:eastAsia="Times New Roman"/>
                <w:sz w:val="16"/>
                <w:szCs w:val="16"/>
                <w:lang w:eastAsia="ru-RU"/>
              </w:rPr>
            </w:pPr>
          </w:p>
        </w:tc>
      </w:tr>
      <w:tr w:rsidR="0065708A" w:rsidRPr="00513F1D" w14:paraId="74D24602" w14:textId="77777777" w:rsidTr="00CB5AA8">
        <w:trPr>
          <w:trHeight w:val="20"/>
        </w:trPr>
        <w:tc>
          <w:tcPr>
            <w:tcW w:w="1257" w:type="pct"/>
            <w:shd w:val="clear" w:color="auto" w:fill="auto"/>
            <w:vAlign w:val="center"/>
            <w:hideMark/>
          </w:tcPr>
          <w:p w14:paraId="10520E8E" w14:textId="77777777" w:rsidR="0065708A" w:rsidRPr="00513F1D" w:rsidRDefault="0065708A" w:rsidP="009A4C46">
            <w:pPr>
              <w:spacing w:after="0" w:line="240" w:lineRule="auto"/>
              <w:rPr>
                <w:rFonts w:eastAsia="Times New Roman"/>
                <w:sz w:val="16"/>
                <w:szCs w:val="16"/>
                <w:lang w:eastAsia="ru-RU"/>
              </w:rPr>
            </w:pPr>
            <w:r w:rsidRPr="00513F1D">
              <w:rPr>
                <w:rFonts w:eastAsia="Times New Roman"/>
                <w:sz w:val="16"/>
                <w:szCs w:val="16"/>
                <w:lang w:eastAsia="ru-RU"/>
              </w:rPr>
              <w:t xml:space="preserve">Покупка оборудования (Спиральный компрессор NEW </w:t>
            </w:r>
            <w:proofErr w:type="spellStart"/>
            <w:r w:rsidRPr="00513F1D">
              <w:rPr>
                <w:rFonts w:eastAsia="Times New Roman"/>
                <w:sz w:val="16"/>
                <w:szCs w:val="16"/>
                <w:lang w:eastAsia="ru-RU"/>
              </w:rPr>
              <w:t>Silver</w:t>
            </w:r>
            <w:proofErr w:type="spellEnd"/>
            <w:r w:rsidRPr="00513F1D">
              <w:rPr>
                <w:rFonts w:eastAsia="Times New Roman"/>
                <w:sz w:val="16"/>
                <w:szCs w:val="16"/>
                <w:lang w:eastAsia="ru-RU"/>
              </w:rPr>
              <w:t xml:space="preserve"> D 15-500), в количестве 2 ед.</w:t>
            </w:r>
          </w:p>
        </w:tc>
        <w:tc>
          <w:tcPr>
            <w:tcW w:w="556" w:type="pct"/>
            <w:shd w:val="clear" w:color="auto" w:fill="auto"/>
            <w:vAlign w:val="center"/>
            <w:hideMark/>
          </w:tcPr>
          <w:p w14:paraId="37051988" w14:textId="77777777" w:rsidR="0065708A" w:rsidRPr="00513F1D" w:rsidRDefault="0065708A" w:rsidP="003E2802">
            <w:pPr>
              <w:spacing w:after="0" w:line="240" w:lineRule="auto"/>
              <w:jc w:val="center"/>
              <w:rPr>
                <w:rFonts w:eastAsia="Times New Roman"/>
                <w:sz w:val="16"/>
                <w:szCs w:val="16"/>
                <w:lang w:eastAsia="ru-RU"/>
              </w:rPr>
            </w:pPr>
          </w:p>
        </w:tc>
        <w:tc>
          <w:tcPr>
            <w:tcW w:w="477" w:type="pct"/>
            <w:shd w:val="clear" w:color="auto" w:fill="auto"/>
            <w:vAlign w:val="center"/>
            <w:hideMark/>
          </w:tcPr>
          <w:p w14:paraId="59B135DF"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0,9</w:t>
            </w:r>
          </w:p>
        </w:tc>
        <w:tc>
          <w:tcPr>
            <w:tcW w:w="422" w:type="pct"/>
            <w:shd w:val="clear" w:color="auto" w:fill="auto"/>
            <w:noWrap/>
            <w:vAlign w:val="center"/>
          </w:tcPr>
          <w:p w14:paraId="7E6C8014" w14:textId="77777777" w:rsidR="0065708A" w:rsidRPr="00513F1D" w:rsidRDefault="0065708A">
            <w:pPr>
              <w:spacing w:after="0" w:line="240" w:lineRule="auto"/>
              <w:jc w:val="center"/>
              <w:rPr>
                <w:rFonts w:eastAsia="Times New Roman"/>
                <w:sz w:val="16"/>
                <w:szCs w:val="16"/>
                <w:lang w:eastAsia="ru-RU"/>
              </w:rPr>
            </w:pPr>
          </w:p>
        </w:tc>
        <w:tc>
          <w:tcPr>
            <w:tcW w:w="371" w:type="pct"/>
            <w:shd w:val="clear" w:color="auto" w:fill="auto"/>
            <w:noWrap/>
            <w:vAlign w:val="center"/>
          </w:tcPr>
          <w:p w14:paraId="237A77D4" w14:textId="77777777" w:rsidR="0065708A" w:rsidRPr="00513F1D" w:rsidRDefault="0065708A">
            <w:pPr>
              <w:spacing w:after="0" w:line="240" w:lineRule="auto"/>
              <w:jc w:val="center"/>
              <w:rPr>
                <w:rFonts w:eastAsia="Times New Roman"/>
                <w:sz w:val="16"/>
                <w:szCs w:val="16"/>
                <w:lang w:eastAsia="ru-RU"/>
              </w:rPr>
            </w:pPr>
          </w:p>
        </w:tc>
        <w:tc>
          <w:tcPr>
            <w:tcW w:w="569" w:type="pct"/>
            <w:shd w:val="clear" w:color="auto" w:fill="auto"/>
            <w:noWrap/>
            <w:vAlign w:val="center"/>
            <w:hideMark/>
          </w:tcPr>
          <w:p w14:paraId="2C53BD89"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0,9</w:t>
            </w:r>
          </w:p>
        </w:tc>
        <w:tc>
          <w:tcPr>
            <w:tcW w:w="327" w:type="pct"/>
            <w:shd w:val="clear" w:color="auto" w:fill="auto"/>
            <w:noWrap/>
            <w:vAlign w:val="center"/>
            <w:hideMark/>
          </w:tcPr>
          <w:p w14:paraId="239AE91E" w14:textId="77777777" w:rsidR="0065708A" w:rsidRPr="00513F1D" w:rsidRDefault="0065708A">
            <w:pPr>
              <w:spacing w:after="0" w:line="240" w:lineRule="auto"/>
              <w:jc w:val="center"/>
              <w:rPr>
                <w:rFonts w:eastAsia="Times New Roman"/>
                <w:sz w:val="16"/>
                <w:szCs w:val="16"/>
                <w:lang w:eastAsia="ru-RU"/>
              </w:rPr>
            </w:pPr>
          </w:p>
        </w:tc>
        <w:tc>
          <w:tcPr>
            <w:tcW w:w="363" w:type="pct"/>
            <w:shd w:val="clear" w:color="auto" w:fill="auto"/>
            <w:noWrap/>
            <w:vAlign w:val="center"/>
            <w:hideMark/>
          </w:tcPr>
          <w:p w14:paraId="08EDEE28" w14:textId="77777777" w:rsidR="0065708A" w:rsidRPr="00513F1D" w:rsidRDefault="0065708A">
            <w:pPr>
              <w:spacing w:after="0" w:line="240" w:lineRule="auto"/>
              <w:jc w:val="center"/>
              <w:rPr>
                <w:rFonts w:eastAsia="Times New Roman"/>
                <w:sz w:val="16"/>
                <w:szCs w:val="16"/>
                <w:lang w:eastAsia="ru-RU"/>
              </w:rPr>
            </w:pPr>
          </w:p>
        </w:tc>
        <w:tc>
          <w:tcPr>
            <w:tcW w:w="657" w:type="pct"/>
            <w:shd w:val="clear" w:color="auto" w:fill="auto"/>
            <w:vAlign w:val="center"/>
            <w:hideMark/>
          </w:tcPr>
          <w:p w14:paraId="2AD6283C" w14:textId="68A07B2A" w:rsidR="0065708A" w:rsidRPr="00513F1D" w:rsidRDefault="0065708A" w:rsidP="00F94FED">
            <w:pPr>
              <w:spacing w:after="0" w:line="240" w:lineRule="auto"/>
              <w:jc w:val="center"/>
              <w:rPr>
                <w:rFonts w:eastAsia="Times New Roman"/>
                <w:sz w:val="16"/>
                <w:szCs w:val="16"/>
                <w:lang w:eastAsia="ru-RU"/>
              </w:rPr>
            </w:pPr>
          </w:p>
        </w:tc>
      </w:tr>
      <w:tr w:rsidR="0065708A" w:rsidRPr="00513F1D" w14:paraId="3C7F5393" w14:textId="77777777" w:rsidTr="00CB5AA8">
        <w:trPr>
          <w:trHeight w:val="20"/>
        </w:trPr>
        <w:tc>
          <w:tcPr>
            <w:tcW w:w="1257" w:type="pct"/>
            <w:shd w:val="clear" w:color="auto" w:fill="auto"/>
            <w:vAlign w:val="center"/>
            <w:hideMark/>
          </w:tcPr>
          <w:p w14:paraId="17288440" w14:textId="77777777" w:rsidR="0065708A" w:rsidRPr="00513F1D" w:rsidRDefault="0065708A" w:rsidP="009A4C46">
            <w:pPr>
              <w:spacing w:after="0" w:line="240" w:lineRule="auto"/>
              <w:rPr>
                <w:rFonts w:eastAsia="Times New Roman"/>
                <w:sz w:val="16"/>
                <w:szCs w:val="16"/>
                <w:lang w:eastAsia="ru-RU"/>
              </w:rPr>
            </w:pPr>
            <w:r w:rsidRPr="00513F1D">
              <w:rPr>
                <w:rFonts w:eastAsia="Times New Roman"/>
                <w:sz w:val="16"/>
                <w:szCs w:val="16"/>
                <w:lang w:eastAsia="ru-RU"/>
              </w:rPr>
              <w:t>Покупка оборудования для ремонта автошин  (Шиномонтажный стенд ГШС 515 А), в количестве 1 ед.</w:t>
            </w:r>
          </w:p>
        </w:tc>
        <w:tc>
          <w:tcPr>
            <w:tcW w:w="556" w:type="pct"/>
            <w:shd w:val="clear" w:color="auto" w:fill="auto"/>
            <w:vAlign w:val="center"/>
            <w:hideMark/>
          </w:tcPr>
          <w:p w14:paraId="08664C71" w14:textId="77777777" w:rsidR="0065708A" w:rsidRPr="00513F1D" w:rsidRDefault="0065708A" w:rsidP="003E2802">
            <w:pPr>
              <w:spacing w:after="0" w:line="240" w:lineRule="auto"/>
              <w:jc w:val="center"/>
              <w:rPr>
                <w:rFonts w:eastAsia="Times New Roman"/>
                <w:sz w:val="16"/>
                <w:szCs w:val="16"/>
                <w:lang w:eastAsia="ru-RU"/>
              </w:rPr>
            </w:pPr>
          </w:p>
        </w:tc>
        <w:tc>
          <w:tcPr>
            <w:tcW w:w="477" w:type="pct"/>
            <w:shd w:val="clear" w:color="auto" w:fill="auto"/>
            <w:vAlign w:val="center"/>
            <w:hideMark/>
          </w:tcPr>
          <w:p w14:paraId="578F3F93"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0,3</w:t>
            </w:r>
          </w:p>
        </w:tc>
        <w:tc>
          <w:tcPr>
            <w:tcW w:w="422" w:type="pct"/>
            <w:shd w:val="clear" w:color="auto" w:fill="auto"/>
            <w:noWrap/>
            <w:vAlign w:val="center"/>
          </w:tcPr>
          <w:p w14:paraId="2D86D0E8" w14:textId="77777777" w:rsidR="0065708A" w:rsidRPr="00513F1D" w:rsidRDefault="0065708A">
            <w:pPr>
              <w:spacing w:after="0" w:line="240" w:lineRule="auto"/>
              <w:jc w:val="center"/>
              <w:rPr>
                <w:rFonts w:eastAsia="Times New Roman"/>
                <w:sz w:val="16"/>
                <w:szCs w:val="16"/>
                <w:lang w:eastAsia="ru-RU"/>
              </w:rPr>
            </w:pPr>
          </w:p>
        </w:tc>
        <w:tc>
          <w:tcPr>
            <w:tcW w:w="371" w:type="pct"/>
            <w:shd w:val="clear" w:color="auto" w:fill="auto"/>
            <w:noWrap/>
            <w:vAlign w:val="center"/>
          </w:tcPr>
          <w:p w14:paraId="28091A57" w14:textId="77777777" w:rsidR="0065708A" w:rsidRPr="00513F1D" w:rsidRDefault="0065708A">
            <w:pPr>
              <w:spacing w:after="0" w:line="240" w:lineRule="auto"/>
              <w:jc w:val="center"/>
              <w:rPr>
                <w:rFonts w:eastAsia="Times New Roman"/>
                <w:sz w:val="16"/>
                <w:szCs w:val="16"/>
                <w:lang w:eastAsia="ru-RU"/>
              </w:rPr>
            </w:pPr>
          </w:p>
        </w:tc>
        <w:tc>
          <w:tcPr>
            <w:tcW w:w="569" w:type="pct"/>
            <w:shd w:val="clear" w:color="auto" w:fill="auto"/>
            <w:noWrap/>
            <w:vAlign w:val="center"/>
            <w:hideMark/>
          </w:tcPr>
          <w:p w14:paraId="00444F14" w14:textId="77777777" w:rsidR="0065708A" w:rsidRPr="00513F1D" w:rsidRDefault="0065708A">
            <w:pPr>
              <w:spacing w:after="0" w:line="240" w:lineRule="auto"/>
              <w:jc w:val="center"/>
              <w:rPr>
                <w:rFonts w:eastAsia="Times New Roman"/>
                <w:sz w:val="16"/>
                <w:szCs w:val="16"/>
                <w:lang w:eastAsia="ru-RU"/>
              </w:rPr>
            </w:pPr>
            <w:r w:rsidRPr="00513F1D">
              <w:rPr>
                <w:rFonts w:eastAsia="Times New Roman"/>
                <w:sz w:val="16"/>
                <w:szCs w:val="16"/>
                <w:lang w:eastAsia="ru-RU"/>
              </w:rPr>
              <w:t>0,3</w:t>
            </w:r>
          </w:p>
        </w:tc>
        <w:tc>
          <w:tcPr>
            <w:tcW w:w="327" w:type="pct"/>
            <w:shd w:val="clear" w:color="auto" w:fill="auto"/>
            <w:noWrap/>
            <w:vAlign w:val="center"/>
            <w:hideMark/>
          </w:tcPr>
          <w:p w14:paraId="579A7314" w14:textId="77777777" w:rsidR="0065708A" w:rsidRPr="00513F1D" w:rsidRDefault="0065708A">
            <w:pPr>
              <w:spacing w:after="0" w:line="240" w:lineRule="auto"/>
              <w:jc w:val="center"/>
              <w:rPr>
                <w:rFonts w:eastAsia="Times New Roman"/>
                <w:sz w:val="16"/>
                <w:szCs w:val="16"/>
                <w:lang w:eastAsia="ru-RU"/>
              </w:rPr>
            </w:pPr>
          </w:p>
        </w:tc>
        <w:tc>
          <w:tcPr>
            <w:tcW w:w="363" w:type="pct"/>
            <w:shd w:val="clear" w:color="auto" w:fill="auto"/>
            <w:noWrap/>
            <w:vAlign w:val="center"/>
            <w:hideMark/>
          </w:tcPr>
          <w:p w14:paraId="5B3DA4AD" w14:textId="77777777" w:rsidR="0065708A" w:rsidRPr="00513F1D" w:rsidRDefault="0065708A">
            <w:pPr>
              <w:spacing w:after="0" w:line="240" w:lineRule="auto"/>
              <w:jc w:val="center"/>
              <w:rPr>
                <w:rFonts w:eastAsia="Times New Roman"/>
                <w:sz w:val="16"/>
                <w:szCs w:val="16"/>
                <w:lang w:eastAsia="ru-RU"/>
              </w:rPr>
            </w:pPr>
          </w:p>
        </w:tc>
        <w:tc>
          <w:tcPr>
            <w:tcW w:w="657" w:type="pct"/>
            <w:shd w:val="clear" w:color="auto" w:fill="auto"/>
            <w:vAlign w:val="center"/>
            <w:hideMark/>
          </w:tcPr>
          <w:p w14:paraId="66E363FA" w14:textId="6FA1F7C3" w:rsidR="0065708A" w:rsidRPr="00513F1D" w:rsidRDefault="0065708A" w:rsidP="00F94FED">
            <w:pPr>
              <w:spacing w:after="0" w:line="240" w:lineRule="auto"/>
              <w:jc w:val="center"/>
              <w:rPr>
                <w:rFonts w:eastAsia="Times New Roman"/>
                <w:sz w:val="16"/>
                <w:szCs w:val="16"/>
                <w:lang w:eastAsia="ru-RU"/>
              </w:rPr>
            </w:pPr>
          </w:p>
        </w:tc>
      </w:tr>
      <w:tr w:rsidR="0065708A" w:rsidRPr="00513F1D" w14:paraId="3493D997" w14:textId="77777777" w:rsidTr="00CB5AA8">
        <w:trPr>
          <w:trHeight w:val="20"/>
        </w:trPr>
        <w:tc>
          <w:tcPr>
            <w:tcW w:w="1257" w:type="pct"/>
            <w:shd w:val="clear" w:color="auto" w:fill="auto"/>
            <w:vAlign w:val="bottom"/>
            <w:hideMark/>
          </w:tcPr>
          <w:p w14:paraId="0F7E5A2F" w14:textId="77777777" w:rsidR="0065708A" w:rsidRPr="00513F1D" w:rsidRDefault="0065708A" w:rsidP="009A4C46">
            <w:pPr>
              <w:spacing w:after="0" w:line="240" w:lineRule="auto"/>
              <w:rPr>
                <w:rFonts w:eastAsia="Times New Roman"/>
                <w:sz w:val="16"/>
                <w:szCs w:val="16"/>
                <w:lang w:eastAsia="ru-RU"/>
              </w:rPr>
            </w:pPr>
            <w:r w:rsidRPr="00513F1D">
              <w:rPr>
                <w:rFonts w:eastAsia="Times New Roman"/>
                <w:sz w:val="16"/>
                <w:szCs w:val="16"/>
                <w:lang w:eastAsia="ru-RU"/>
              </w:rPr>
              <w:t>Объекты НЗС, не включенные в ИПР</w:t>
            </w:r>
          </w:p>
        </w:tc>
        <w:tc>
          <w:tcPr>
            <w:tcW w:w="556" w:type="pct"/>
            <w:shd w:val="clear" w:color="auto" w:fill="auto"/>
            <w:vAlign w:val="center"/>
            <w:hideMark/>
          </w:tcPr>
          <w:p w14:paraId="7D567A23" w14:textId="77777777" w:rsidR="0065708A" w:rsidRPr="00513F1D" w:rsidRDefault="0065708A" w:rsidP="003E2802">
            <w:pPr>
              <w:spacing w:after="0" w:line="240" w:lineRule="auto"/>
              <w:jc w:val="center"/>
              <w:rPr>
                <w:rFonts w:eastAsia="Times New Roman"/>
                <w:sz w:val="16"/>
                <w:szCs w:val="16"/>
                <w:lang w:eastAsia="ru-RU"/>
              </w:rPr>
            </w:pPr>
            <w:proofErr w:type="spellStart"/>
            <w:r w:rsidRPr="00513F1D">
              <w:rPr>
                <w:rFonts w:eastAsia="Times New Roman"/>
                <w:sz w:val="16"/>
                <w:szCs w:val="16"/>
                <w:lang w:eastAsia="ru-RU"/>
              </w:rPr>
              <w:t>нд</w:t>
            </w:r>
            <w:proofErr w:type="spellEnd"/>
          </w:p>
        </w:tc>
        <w:tc>
          <w:tcPr>
            <w:tcW w:w="477" w:type="pct"/>
            <w:shd w:val="clear" w:color="auto" w:fill="auto"/>
            <w:vAlign w:val="center"/>
            <w:hideMark/>
          </w:tcPr>
          <w:p w14:paraId="79989256" w14:textId="77777777" w:rsidR="0065708A" w:rsidRPr="00513F1D" w:rsidRDefault="0065708A">
            <w:pPr>
              <w:spacing w:after="0" w:line="240" w:lineRule="auto"/>
              <w:jc w:val="center"/>
              <w:rPr>
                <w:rFonts w:eastAsia="Times New Roman"/>
                <w:sz w:val="16"/>
                <w:szCs w:val="16"/>
                <w:lang w:eastAsia="ru-RU"/>
              </w:rPr>
            </w:pPr>
            <w:proofErr w:type="spellStart"/>
            <w:r w:rsidRPr="00513F1D">
              <w:rPr>
                <w:rFonts w:eastAsia="Times New Roman"/>
                <w:sz w:val="16"/>
                <w:szCs w:val="16"/>
                <w:lang w:eastAsia="ru-RU"/>
              </w:rPr>
              <w:t>нд</w:t>
            </w:r>
            <w:proofErr w:type="spellEnd"/>
          </w:p>
        </w:tc>
        <w:tc>
          <w:tcPr>
            <w:tcW w:w="422" w:type="pct"/>
            <w:shd w:val="clear" w:color="auto" w:fill="auto"/>
            <w:noWrap/>
            <w:vAlign w:val="center"/>
          </w:tcPr>
          <w:p w14:paraId="6D32F6BC" w14:textId="77777777" w:rsidR="0065708A" w:rsidRPr="00513F1D" w:rsidRDefault="0065708A">
            <w:pPr>
              <w:spacing w:after="0" w:line="240" w:lineRule="auto"/>
              <w:jc w:val="center"/>
              <w:rPr>
                <w:rFonts w:eastAsia="Times New Roman"/>
                <w:sz w:val="16"/>
                <w:szCs w:val="16"/>
                <w:lang w:eastAsia="ru-RU"/>
              </w:rPr>
            </w:pPr>
          </w:p>
        </w:tc>
        <w:tc>
          <w:tcPr>
            <w:tcW w:w="371" w:type="pct"/>
            <w:shd w:val="clear" w:color="auto" w:fill="auto"/>
            <w:noWrap/>
            <w:vAlign w:val="center"/>
          </w:tcPr>
          <w:p w14:paraId="57307020" w14:textId="77777777" w:rsidR="0065708A" w:rsidRPr="00513F1D" w:rsidRDefault="0065708A">
            <w:pPr>
              <w:spacing w:after="0" w:line="240" w:lineRule="auto"/>
              <w:jc w:val="center"/>
              <w:rPr>
                <w:rFonts w:eastAsia="Times New Roman"/>
                <w:sz w:val="16"/>
                <w:szCs w:val="16"/>
                <w:lang w:eastAsia="ru-RU"/>
              </w:rPr>
            </w:pPr>
          </w:p>
        </w:tc>
        <w:tc>
          <w:tcPr>
            <w:tcW w:w="569" w:type="pct"/>
            <w:shd w:val="clear" w:color="auto" w:fill="auto"/>
            <w:vAlign w:val="center"/>
            <w:hideMark/>
          </w:tcPr>
          <w:p w14:paraId="784A4FC4" w14:textId="77777777" w:rsidR="0065708A" w:rsidRPr="00513F1D" w:rsidRDefault="0065708A">
            <w:pPr>
              <w:spacing w:after="0" w:line="240" w:lineRule="auto"/>
              <w:jc w:val="center"/>
              <w:rPr>
                <w:rFonts w:eastAsia="Times New Roman"/>
                <w:sz w:val="16"/>
                <w:szCs w:val="16"/>
                <w:lang w:eastAsia="ru-RU"/>
              </w:rPr>
            </w:pPr>
            <w:proofErr w:type="spellStart"/>
            <w:r w:rsidRPr="00513F1D">
              <w:rPr>
                <w:rFonts w:eastAsia="Times New Roman"/>
                <w:sz w:val="16"/>
                <w:szCs w:val="16"/>
                <w:lang w:eastAsia="ru-RU"/>
              </w:rPr>
              <w:t>нд</w:t>
            </w:r>
            <w:proofErr w:type="spellEnd"/>
          </w:p>
        </w:tc>
        <w:tc>
          <w:tcPr>
            <w:tcW w:w="327" w:type="pct"/>
            <w:shd w:val="clear" w:color="auto" w:fill="auto"/>
            <w:noWrap/>
            <w:vAlign w:val="center"/>
          </w:tcPr>
          <w:p w14:paraId="55E311BB" w14:textId="77777777" w:rsidR="0065708A" w:rsidRPr="00513F1D" w:rsidRDefault="0065708A">
            <w:pPr>
              <w:spacing w:after="0" w:line="240" w:lineRule="auto"/>
              <w:jc w:val="center"/>
              <w:rPr>
                <w:rFonts w:eastAsia="Times New Roman"/>
                <w:sz w:val="16"/>
                <w:szCs w:val="16"/>
                <w:lang w:eastAsia="ru-RU"/>
              </w:rPr>
            </w:pPr>
          </w:p>
        </w:tc>
        <w:tc>
          <w:tcPr>
            <w:tcW w:w="363" w:type="pct"/>
            <w:shd w:val="clear" w:color="auto" w:fill="auto"/>
            <w:noWrap/>
            <w:vAlign w:val="center"/>
            <w:hideMark/>
          </w:tcPr>
          <w:p w14:paraId="032C12C5" w14:textId="77777777" w:rsidR="0065708A" w:rsidRPr="00513F1D" w:rsidRDefault="0065708A">
            <w:pPr>
              <w:spacing w:after="0" w:line="240" w:lineRule="auto"/>
              <w:jc w:val="center"/>
              <w:rPr>
                <w:rFonts w:eastAsia="Times New Roman"/>
                <w:sz w:val="16"/>
                <w:szCs w:val="16"/>
                <w:lang w:eastAsia="ru-RU"/>
              </w:rPr>
            </w:pPr>
          </w:p>
        </w:tc>
        <w:tc>
          <w:tcPr>
            <w:tcW w:w="657" w:type="pct"/>
            <w:shd w:val="clear" w:color="auto" w:fill="auto"/>
            <w:vAlign w:val="center"/>
            <w:hideMark/>
          </w:tcPr>
          <w:p w14:paraId="4CD8CF41" w14:textId="33AAD732" w:rsidR="0065708A" w:rsidRPr="00513F1D" w:rsidRDefault="0065708A" w:rsidP="00F94FED">
            <w:pPr>
              <w:spacing w:after="0" w:line="240" w:lineRule="auto"/>
              <w:jc w:val="center"/>
              <w:rPr>
                <w:rFonts w:eastAsia="Times New Roman"/>
                <w:sz w:val="16"/>
                <w:szCs w:val="16"/>
                <w:lang w:eastAsia="ru-RU"/>
              </w:rPr>
            </w:pPr>
          </w:p>
        </w:tc>
      </w:tr>
      <w:tr w:rsidR="0065708A" w:rsidRPr="00513F1D" w14:paraId="1D93295F" w14:textId="77777777" w:rsidTr="00CB5AA8">
        <w:trPr>
          <w:trHeight w:val="20"/>
        </w:trPr>
        <w:tc>
          <w:tcPr>
            <w:tcW w:w="1257" w:type="pct"/>
            <w:shd w:val="clear" w:color="auto" w:fill="auto"/>
            <w:vAlign w:val="bottom"/>
            <w:hideMark/>
          </w:tcPr>
          <w:p w14:paraId="11E42C2A" w14:textId="77777777" w:rsidR="0065708A" w:rsidRPr="00513F1D" w:rsidRDefault="0065708A" w:rsidP="009A4C46">
            <w:pPr>
              <w:spacing w:after="0" w:line="240" w:lineRule="auto"/>
              <w:rPr>
                <w:rFonts w:eastAsia="Times New Roman"/>
                <w:sz w:val="16"/>
                <w:szCs w:val="16"/>
                <w:lang w:eastAsia="ru-RU"/>
              </w:rPr>
            </w:pPr>
            <w:r w:rsidRPr="00513F1D">
              <w:rPr>
                <w:rFonts w:eastAsia="Times New Roman"/>
                <w:sz w:val="16"/>
                <w:szCs w:val="16"/>
                <w:lang w:eastAsia="ru-RU"/>
              </w:rPr>
              <w:t xml:space="preserve">Нераспределенные затраты ОКС по </w:t>
            </w:r>
            <w:proofErr w:type="spellStart"/>
            <w:r w:rsidRPr="00513F1D">
              <w:rPr>
                <w:rFonts w:eastAsia="Times New Roman"/>
                <w:sz w:val="16"/>
                <w:szCs w:val="16"/>
                <w:lang w:eastAsia="ru-RU"/>
              </w:rPr>
              <w:t>ТПиР</w:t>
            </w:r>
            <w:proofErr w:type="spellEnd"/>
          </w:p>
        </w:tc>
        <w:tc>
          <w:tcPr>
            <w:tcW w:w="556" w:type="pct"/>
            <w:shd w:val="clear" w:color="auto" w:fill="auto"/>
            <w:vAlign w:val="center"/>
            <w:hideMark/>
          </w:tcPr>
          <w:p w14:paraId="797F1541" w14:textId="77777777" w:rsidR="0065708A" w:rsidRPr="00513F1D" w:rsidRDefault="0065708A" w:rsidP="003E2802">
            <w:pPr>
              <w:spacing w:after="0" w:line="240" w:lineRule="auto"/>
              <w:jc w:val="center"/>
              <w:rPr>
                <w:rFonts w:eastAsia="Times New Roman"/>
                <w:sz w:val="16"/>
                <w:szCs w:val="16"/>
                <w:lang w:eastAsia="ru-RU"/>
              </w:rPr>
            </w:pPr>
            <w:proofErr w:type="spellStart"/>
            <w:r w:rsidRPr="00513F1D">
              <w:rPr>
                <w:rFonts w:eastAsia="Times New Roman"/>
                <w:sz w:val="16"/>
                <w:szCs w:val="16"/>
                <w:lang w:eastAsia="ru-RU"/>
              </w:rPr>
              <w:t>нд</w:t>
            </w:r>
            <w:proofErr w:type="spellEnd"/>
          </w:p>
        </w:tc>
        <w:tc>
          <w:tcPr>
            <w:tcW w:w="477" w:type="pct"/>
            <w:shd w:val="clear" w:color="auto" w:fill="auto"/>
            <w:vAlign w:val="center"/>
            <w:hideMark/>
          </w:tcPr>
          <w:p w14:paraId="1B5F6231" w14:textId="77777777" w:rsidR="0065708A" w:rsidRPr="00513F1D" w:rsidRDefault="0065708A">
            <w:pPr>
              <w:spacing w:after="0" w:line="240" w:lineRule="auto"/>
              <w:jc w:val="center"/>
              <w:rPr>
                <w:rFonts w:eastAsia="Times New Roman"/>
                <w:sz w:val="16"/>
                <w:szCs w:val="16"/>
                <w:lang w:eastAsia="ru-RU"/>
              </w:rPr>
            </w:pPr>
            <w:proofErr w:type="spellStart"/>
            <w:r w:rsidRPr="00513F1D">
              <w:rPr>
                <w:rFonts w:eastAsia="Times New Roman"/>
                <w:sz w:val="16"/>
                <w:szCs w:val="16"/>
                <w:lang w:eastAsia="ru-RU"/>
              </w:rPr>
              <w:t>нд</w:t>
            </w:r>
            <w:proofErr w:type="spellEnd"/>
          </w:p>
        </w:tc>
        <w:tc>
          <w:tcPr>
            <w:tcW w:w="422" w:type="pct"/>
            <w:shd w:val="clear" w:color="auto" w:fill="auto"/>
            <w:noWrap/>
            <w:vAlign w:val="center"/>
          </w:tcPr>
          <w:p w14:paraId="3546A3C7" w14:textId="77777777" w:rsidR="0065708A" w:rsidRPr="00513F1D" w:rsidRDefault="0065708A">
            <w:pPr>
              <w:spacing w:after="0" w:line="240" w:lineRule="auto"/>
              <w:jc w:val="center"/>
              <w:rPr>
                <w:rFonts w:eastAsia="Times New Roman"/>
                <w:sz w:val="16"/>
                <w:szCs w:val="16"/>
                <w:lang w:eastAsia="ru-RU"/>
              </w:rPr>
            </w:pPr>
          </w:p>
        </w:tc>
        <w:tc>
          <w:tcPr>
            <w:tcW w:w="371" w:type="pct"/>
            <w:shd w:val="clear" w:color="auto" w:fill="auto"/>
            <w:noWrap/>
            <w:vAlign w:val="center"/>
          </w:tcPr>
          <w:p w14:paraId="7205E90C" w14:textId="77777777" w:rsidR="0065708A" w:rsidRPr="00513F1D" w:rsidRDefault="0065708A">
            <w:pPr>
              <w:spacing w:after="0" w:line="240" w:lineRule="auto"/>
              <w:jc w:val="center"/>
              <w:rPr>
                <w:rFonts w:eastAsia="Times New Roman"/>
                <w:sz w:val="16"/>
                <w:szCs w:val="16"/>
                <w:lang w:eastAsia="ru-RU"/>
              </w:rPr>
            </w:pPr>
          </w:p>
        </w:tc>
        <w:tc>
          <w:tcPr>
            <w:tcW w:w="569" w:type="pct"/>
            <w:shd w:val="clear" w:color="auto" w:fill="auto"/>
            <w:vAlign w:val="center"/>
            <w:hideMark/>
          </w:tcPr>
          <w:p w14:paraId="67CA76CE" w14:textId="77777777" w:rsidR="0065708A" w:rsidRPr="00513F1D" w:rsidRDefault="0065708A">
            <w:pPr>
              <w:spacing w:after="0" w:line="240" w:lineRule="auto"/>
              <w:jc w:val="center"/>
              <w:rPr>
                <w:rFonts w:eastAsia="Times New Roman"/>
                <w:sz w:val="16"/>
                <w:szCs w:val="16"/>
                <w:lang w:eastAsia="ru-RU"/>
              </w:rPr>
            </w:pPr>
            <w:proofErr w:type="spellStart"/>
            <w:r w:rsidRPr="00513F1D">
              <w:rPr>
                <w:rFonts w:eastAsia="Times New Roman"/>
                <w:sz w:val="16"/>
                <w:szCs w:val="16"/>
                <w:lang w:eastAsia="ru-RU"/>
              </w:rPr>
              <w:t>нд</w:t>
            </w:r>
            <w:proofErr w:type="spellEnd"/>
          </w:p>
        </w:tc>
        <w:tc>
          <w:tcPr>
            <w:tcW w:w="327" w:type="pct"/>
            <w:shd w:val="clear" w:color="auto" w:fill="auto"/>
            <w:noWrap/>
            <w:vAlign w:val="center"/>
          </w:tcPr>
          <w:p w14:paraId="5D3CAA01" w14:textId="77777777" w:rsidR="0065708A" w:rsidRPr="00513F1D" w:rsidRDefault="0065708A">
            <w:pPr>
              <w:spacing w:after="0" w:line="240" w:lineRule="auto"/>
              <w:jc w:val="center"/>
              <w:rPr>
                <w:rFonts w:eastAsia="Times New Roman"/>
                <w:sz w:val="16"/>
                <w:szCs w:val="16"/>
                <w:lang w:eastAsia="ru-RU"/>
              </w:rPr>
            </w:pPr>
          </w:p>
        </w:tc>
        <w:tc>
          <w:tcPr>
            <w:tcW w:w="363" w:type="pct"/>
            <w:shd w:val="clear" w:color="auto" w:fill="auto"/>
            <w:noWrap/>
            <w:vAlign w:val="center"/>
            <w:hideMark/>
          </w:tcPr>
          <w:p w14:paraId="7B52DB26" w14:textId="77777777" w:rsidR="0065708A" w:rsidRPr="00513F1D" w:rsidRDefault="0065708A">
            <w:pPr>
              <w:spacing w:after="0" w:line="240" w:lineRule="auto"/>
              <w:jc w:val="center"/>
              <w:rPr>
                <w:rFonts w:eastAsia="Times New Roman"/>
                <w:sz w:val="16"/>
                <w:szCs w:val="16"/>
                <w:lang w:eastAsia="ru-RU"/>
              </w:rPr>
            </w:pPr>
          </w:p>
        </w:tc>
        <w:tc>
          <w:tcPr>
            <w:tcW w:w="657" w:type="pct"/>
            <w:shd w:val="clear" w:color="auto" w:fill="auto"/>
            <w:vAlign w:val="center"/>
            <w:hideMark/>
          </w:tcPr>
          <w:p w14:paraId="34AE4B7F" w14:textId="3C0E6D9C" w:rsidR="0065708A" w:rsidRPr="00513F1D" w:rsidRDefault="0065708A" w:rsidP="00F94FED">
            <w:pPr>
              <w:spacing w:after="0" w:line="240" w:lineRule="auto"/>
              <w:jc w:val="center"/>
              <w:rPr>
                <w:rFonts w:eastAsia="Times New Roman"/>
                <w:sz w:val="16"/>
                <w:szCs w:val="16"/>
                <w:lang w:eastAsia="ru-RU"/>
              </w:rPr>
            </w:pPr>
          </w:p>
        </w:tc>
      </w:tr>
      <w:tr w:rsidR="0065708A" w:rsidRPr="00513F1D" w14:paraId="29E51918" w14:textId="77777777" w:rsidTr="00CB5AA8">
        <w:trPr>
          <w:trHeight w:val="20"/>
        </w:trPr>
        <w:tc>
          <w:tcPr>
            <w:tcW w:w="1257" w:type="pct"/>
            <w:shd w:val="clear" w:color="auto" w:fill="auto"/>
            <w:vAlign w:val="bottom"/>
            <w:hideMark/>
          </w:tcPr>
          <w:p w14:paraId="690656EA" w14:textId="77777777" w:rsidR="0065708A" w:rsidRPr="00513F1D" w:rsidRDefault="0065708A" w:rsidP="009A4C46">
            <w:pPr>
              <w:spacing w:after="0" w:line="240" w:lineRule="auto"/>
              <w:rPr>
                <w:rFonts w:eastAsia="Times New Roman"/>
                <w:sz w:val="16"/>
                <w:szCs w:val="16"/>
                <w:lang w:eastAsia="ru-RU"/>
              </w:rPr>
            </w:pPr>
            <w:r w:rsidRPr="00513F1D">
              <w:rPr>
                <w:rFonts w:eastAsia="Times New Roman"/>
                <w:sz w:val="16"/>
                <w:szCs w:val="16"/>
                <w:lang w:eastAsia="ru-RU"/>
              </w:rPr>
              <w:t>Нераспределенные затраты ОКС по новому строительству</w:t>
            </w:r>
          </w:p>
        </w:tc>
        <w:tc>
          <w:tcPr>
            <w:tcW w:w="556" w:type="pct"/>
            <w:shd w:val="clear" w:color="auto" w:fill="auto"/>
            <w:vAlign w:val="center"/>
            <w:hideMark/>
          </w:tcPr>
          <w:p w14:paraId="33414732" w14:textId="77777777" w:rsidR="0065708A" w:rsidRPr="00513F1D" w:rsidRDefault="0065708A" w:rsidP="003E2802">
            <w:pPr>
              <w:spacing w:after="0" w:line="240" w:lineRule="auto"/>
              <w:jc w:val="center"/>
              <w:rPr>
                <w:rFonts w:eastAsia="Times New Roman"/>
                <w:sz w:val="16"/>
                <w:szCs w:val="16"/>
                <w:lang w:eastAsia="ru-RU"/>
              </w:rPr>
            </w:pPr>
            <w:proofErr w:type="spellStart"/>
            <w:r w:rsidRPr="00513F1D">
              <w:rPr>
                <w:rFonts w:eastAsia="Times New Roman"/>
                <w:sz w:val="16"/>
                <w:szCs w:val="16"/>
                <w:lang w:eastAsia="ru-RU"/>
              </w:rPr>
              <w:t>нд</w:t>
            </w:r>
            <w:proofErr w:type="spellEnd"/>
          </w:p>
        </w:tc>
        <w:tc>
          <w:tcPr>
            <w:tcW w:w="477" w:type="pct"/>
            <w:shd w:val="clear" w:color="auto" w:fill="auto"/>
            <w:vAlign w:val="center"/>
            <w:hideMark/>
          </w:tcPr>
          <w:p w14:paraId="6A550A20" w14:textId="77777777" w:rsidR="0065708A" w:rsidRPr="00513F1D" w:rsidRDefault="0065708A">
            <w:pPr>
              <w:spacing w:after="0" w:line="240" w:lineRule="auto"/>
              <w:jc w:val="center"/>
              <w:rPr>
                <w:rFonts w:eastAsia="Times New Roman"/>
                <w:sz w:val="16"/>
                <w:szCs w:val="16"/>
                <w:lang w:eastAsia="ru-RU"/>
              </w:rPr>
            </w:pPr>
            <w:proofErr w:type="spellStart"/>
            <w:r w:rsidRPr="00513F1D">
              <w:rPr>
                <w:rFonts w:eastAsia="Times New Roman"/>
                <w:sz w:val="16"/>
                <w:szCs w:val="16"/>
                <w:lang w:eastAsia="ru-RU"/>
              </w:rPr>
              <w:t>нд</w:t>
            </w:r>
            <w:proofErr w:type="spellEnd"/>
          </w:p>
        </w:tc>
        <w:tc>
          <w:tcPr>
            <w:tcW w:w="422" w:type="pct"/>
            <w:shd w:val="clear" w:color="auto" w:fill="auto"/>
            <w:noWrap/>
            <w:vAlign w:val="center"/>
          </w:tcPr>
          <w:p w14:paraId="5B7259F8" w14:textId="77777777" w:rsidR="0065708A" w:rsidRPr="00513F1D" w:rsidRDefault="0065708A">
            <w:pPr>
              <w:spacing w:after="0" w:line="240" w:lineRule="auto"/>
              <w:jc w:val="center"/>
              <w:rPr>
                <w:rFonts w:eastAsia="Times New Roman"/>
                <w:sz w:val="16"/>
                <w:szCs w:val="16"/>
                <w:lang w:eastAsia="ru-RU"/>
              </w:rPr>
            </w:pPr>
          </w:p>
        </w:tc>
        <w:tc>
          <w:tcPr>
            <w:tcW w:w="371" w:type="pct"/>
            <w:shd w:val="clear" w:color="auto" w:fill="auto"/>
            <w:noWrap/>
            <w:vAlign w:val="center"/>
          </w:tcPr>
          <w:p w14:paraId="4CF271F5" w14:textId="77777777" w:rsidR="0065708A" w:rsidRPr="00513F1D" w:rsidRDefault="0065708A">
            <w:pPr>
              <w:spacing w:after="0" w:line="240" w:lineRule="auto"/>
              <w:jc w:val="center"/>
              <w:rPr>
                <w:rFonts w:eastAsia="Times New Roman"/>
                <w:sz w:val="16"/>
                <w:szCs w:val="16"/>
                <w:lang w:eastAsia="ru-RU"/>
              </w:rPr>
            </w:pPr>
          </w:p>
        </w:tc>
        <w:tc>
          <w:tcPr>
            <w:tcW w:w="569" w:type="pct"/>
            <w:shd w:val="clear" w:color="auto" w:fill="auto"/>
            <w:vAlign w:val="center"/>
            <w:hideMark/>
          </w:tcPr>
          <w:p w14:paraId="0C0AAF4E" w14:textId="77777777" w:rsidR="0065708A" w:rsidRPr="00513F1D" w:rsidRDefault="0065708A">
            <w:pPr>
              <w:spacing w:after="0" w:line="240" w:lineRule="auto"/>
              <w:jc w:val="center"/>
              <w:rPr>
                <w:rFonts w:eastAsia="Times New Roman"/>
                <w:sz w:val="16"/>
                <w:szCs w:val="16"/>
                <w:lang w:eastAsia="ru-RU"/>
              </w:rPr>
            </w:pPr>
            <w:proofErr w:type="spellStart"/>
            <w:r w:rsidRPr="00513F1D">
              <w:rPr>
                <w:rFonts w:eastAsia="Times New Roman"/>
                <w:sz w:val="16"/>
                <w:szCs w:val="16"/>
                <w:lang w:eastAsia="ru-RU"/>
              </w:rPr>
              <w:t>нд</w:t>
            </w:r>
            <w:proofErr w:type="spellEnd"/>
          </w:p>
        </w:tc>
        <w:tc>
          <w:tcPr>
            <w:tcW w:w="327" w:type="pct"/>
            <w:shd w:val="clear" w:color="auto" w:fill="auto"/>
            <w:noWrap/>
            <w:vAlign w:val="center"/>
          </w:tcPr>
          <w:p w14:paraId="10F3FB03" w14:textId="77777777" w:rsidR="0065708A" w:rsidRPr="00513F1D" w:rsidRDefault="0065708A">
            <w:pPr>
              <w:spacing w:after="0" w:line="240" w:lineRule="auto"/>
              <w:jc w:val="center"/>
              <w:rPr>
                <w:rFonts w:eastAsia="Times New Roman"/>
                <w:sz w:val="16"/>
                <w:szCs w:val="16"/>
                <w:lang w:eastAsia="ru-RU"/>
              </w:rPr>
            </w:pPr>
          </w:p>
        </w:tc>
        <w:tc>
          <w:tcPr>
            <w:tcW w:w="363" w:type="pct"/>
            <w:shd w:val="clear" w:color="auto" w:fill="auto"/>
            <w:noWrap/>
            <w:vAlign w:val="center"/>
            <w:hideMark/>
          </w:tcPr>
          <w:p w14:paraId="7AF153FD" w14:textId="77777777" w:rsidR="0065708A" w:rsidRPr="00513F1D" w:rsidRDefault="0065708A">
            <w:pPr>
              <w:spacing w:after="0" w:line="240" w:lineRule="auto"/>
              <w:jc w:val="center"/>
              <w:rPr>
                <w:rFonts w:eastAsia="Times New Roman"/>
                <w:sz w:val="16"/>
                <w:szCs w:val="16"/>
                <w:lang w:eastAsia="ru-RU"/>
              </w:rPr>
            </w:pPr>
          </w:p>
        </w:tc>
        <w:tc>
          <w:tcPr>
            <w:tcW w:w="657" w:type="pct"/>
            <w:shd w:val="clear" w:color="auto" w:fill="auto"/>
            <w:vAlign w:val="center"/>
            <w:hideMark/>
          </w:tcPr>
          <w:p w14:paraId="17301011" w14:textId="108FC85A" w:rsidR="0065708A" w:rsidRPr="00513F1D" w:rsidRDefault="0065708A" w:rsidP="00F94FED">
            <w:pPr>
              <w:spacing w:after="0" w:line="240" w:lineRule="auto"/>
              <w:jc w:val="center"/>
              <w:rPr>
                <w:rFonts w:eastAsia="Times New Roman"/>
                <w:sz w:val="16"/>
                <w:szCs w:val="16"/>
                <w:lang w:eastAsia="ru-RU"/>
              </w:rPr>
            </w:pPr>
          </w:p>
        </w:tc>
      </w:tr>
    </w:tbl>
    <w:p w14:paraId="65145B55" w14:textId="77777777" w:rsidR="0065708A" w:rsidRDefault="0065708A" w:rsidP="00F94FED">
      <w:pPr>
        <w:spacing w:after="0" w:line="360" w:lineRule="auto"/>
        <w:contextualSpacing/>
        <w:jc w:val="center"/>
        <w:rPr>
          <w:rFonts w:eastAsia="Times New Roman"/>
          <w:b/>
          <w:bCs/>
          <w:sz w:val="26"/>
          <w:szCs w:val="26"/>
          <w:lang w:eastAsia="ru-RU"/>
        </w:rPr>
      </w:pPr>
      <w:r>
        <w:rPr>
          <w:rFonts w:eastAsia="Times New Roman"/>
          <w:b/>
          <w:bCs/>
          <w:sz w:val="26"/>
          <w:szCs w:val="26"/>
          <w:lang w:eastAsia="ru-RU"/>
        </w:rPr>
        <w:br w:type="page"/>
      </w:r>
    </w:p>
    <w:p w14:paraId="29E5B2E3" w14:textId="437E7326" w:rsidR="009A4C46" w:rsidRPr="00F94FED" w:rsidRDefault="009A4C46" w:rsidP="00F94FED">
      <w:pPr>
        <w:spacing w:after="0" w:line="360" w:lineRule="auto"/>
        <w:contextualSpacing/>
        <w:jc w:val="center"/>
        <w:rPr>
          <w:rFonts w:eastAsia="Times New Roman"/>
          <w:sz w:val="26"/>
          <w:szCs w:val="26"/>
          <w:lang w:eastAsia="ru-RU"/>
        </w:rPr>
      </w:pPr>
      <w:r w:rsidRPr="00F94FED">
        <w:rPr>
          <w:rFonts w:eastAsia="Times New Roman"/>
          <w:b/>
          <w:bCs/>
          <w:sz w:val="26"/>
          <w:szCs w:val="26"/>
          <w:lang w:eastAsia="ru-RU"/>
        </w:rPr>
        <w:lastRenderedPageBreak/>
        <w:t>Фактическое выполнение плана финансирования капитальных вложений за 2017 год по данным отчета по формам, утвержденным приказом Минэнерго России от 25.04.2018 №320</w:t>
      </w:r>
    </w:p>
    <w:tbl>
      <w:tblPr>
        <w:tblW w:w="5000" w:type="pct"/>
        <w:tblLook w:val="04A0" w:firstRow="1" w:lastRow="0" w:firstColumn="1" w:lastColumn="0" w:noHBand="0" w:noVBand="1"/>
      </w:tblPr>
      <w:tblGrid>
        <w:gridCol w:w="547"/>
        <w:gridCol w:w="2193"/>
        <w:gridCol w:w="660"/>
        <w:gridCol w:w="660"/>
        <w:gridCol w:w="660"/>
        <w:gridCol w:w="660"/>
        <w:gridCol w:w="662"/>
        <w:gridCol w:w="660"/>
        <w:gridCol w:w="660"/>
        <w:gridCol w:w="660"/>
        <w:gridCol w:w="660"/>
        <w:gridCol w:w="663"/>
      </w:tblGrid>
      <w:tr w:rsidR="009A4C46" w:rsidRPr="002D4169" w14:paraId="394C0CC1" w14:textId="77777777" w:rsidTr="00F94FED">
        <w:trPr>
          <w:trHeight w:val="250"/>
        </w:trPr>
        <w:tc>
          <w:tcPr>
            <w:tcW w:w="29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C0C854E" w14:textId="7104023F" w:rsidR="009A4C46" w:rsidRPr="00F94FED" w:rsidRDefault="009A4C46" w:rsidP="009A4C46">
            <w:pPr>
              <w:spacing w:after="0" w:line="240" w:lineRule="auto"/>
              <w:contextualSpacing/>
              <w:jc w:val="center"/>
              <w:rPr>
                <w:rFonts w:eastAsia="Times New Roman"/>
                <w:b/>
                <w:bCs/>
                <w:color w:val="FFFFFF" w:themeColor="background1"/>
                <w:sz w:val="18"/>
                <w:szCs w:val="18"/>
                <w:lang w:eastAsia="ru-RU"/>
              </w:rPr>
            </w:pPr>
            <w:r w:rsidRPr="00F94FED">
              <w:rPr>
                <w:rFonts w:eastAsia="Times New Roman"/>
                <w:b/>
                <w:bCs/>
                <w:color w:val="FFFFFF" w:themeColor="background1"/>
                <w:sz w:val="18"/>
                <w:szCs w:val="18"/>
                <w:lang w:eastAsia="ru-RU"/>
              </w:rPr>
              <w:t>№ п</w:t>
            </w:r>
            <w:r w:rsidR="002D4169" w:rsidRPr="00F94FED">
              <w:rPr>
                <w:rFonts w:eastAsia="Times New Roman"/>
                <w:b/>
                <w:bCs/>
                <w:color w:val="FFFFFF" w:themeColor="background1"/>
                <w:sz w:val="18"/>
                <w:szCs w:val="18"/>
                <w:lang w:eastAsia="ru-RU"/>
              </w:rPr>
              <w:t>/</w:t>
            </w:r>
            <w:r w:rsidRPr="00F94FED">
              <w:rPr>
                <w:rFonts w:eastAsia="Times New Roman"/>
                <w:b/>
                <w:bCs/>
                <w:color w:val="FFFFFF" w:themeColor="background1"/>
                <w:sz w:val="18"/>
                <w:szCs w:val="18"/>
                <w:lang w:eastAsia="ru-RU"/>
              </w:rPr>
              <w:t>п</w:t>
            </w:r>
          </w:p>
        </w:tc>
        <w:tc>
          <w:tcPr>
            <w:tcW w:w="117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762EF2F" w14:textId="77777777" w:rsidR="009A4C46" w:rsidRPr="00F94FED" w:rsidRDefault="009A4C46" w:rsidP="009A4C46">
            <w:pPr>
              <w:spacing w:after="0" w:line="240" w:lineRule="auto"/>
              <w:contextualSpacing/>
              <w:jc w:val="center"/>
              <w:rPr>
                <w:rFonts w:eastAsia="Times New Roman"/>
                <w:b/>
                <w:bCs/>
                <w:color w:val="FFFFFF" w:themeColor="background1"/>
                <w:sz w:val="18"/>
                <w:szCs w:val="18"/>
                <w:lang w:eastAsia="ru-RU"/>
              </w:rPr>
            </w:pPr>
            <w:r w:rsidRPr="00F94FED">
              <w:rPr>
                <w:rFonts w:eastAsia="Times New Roman"/>
                <w:b/>
                <w:bCs/>
                <w:color w:val="FFFFFF" w:themeColor="background1"/>
                <w:sz w:val="18"/>
                <w:szCs w:val="18"/>
                <w:lang w:eastAsia="ru-RU"/>
              </w:rPr>
              <w:t>Наименование инвестиционного проекта (группы инвестиционных проектов)</w:t>
            </w:r>
          </w:p>
        </w:tc>
        <w:tc>
          <w:tcPr>
            <w:tcW w:w="3533" w:type="pct"/>
            <w:gridSpan w:val="10"/>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97E9CA3" w14:textId="77777777" w:rsidR="009A4C46" w:rsidRPr="00F94FED" w:rsidRDefault="009A4C46" w:rsidP="009A4C46">
            <w:pPr>
              <w:spacing w:after="0" w:line="240" w:lineRule="auto"/>
              <w:contextualSpacing/>
              <w:jc w:val="center"/>
              <w:rPr>
                <w:rFonts w:eastAsia="Times New Roman"/>
                <w:b/>
                <w:bCs/>
                <w:color w:val="FFFFFF" w:themeColor="background1"/>
                <w:sz w:val="18"/>
                <w:szCs w:val="18"/>
                <w:lang w:eastAsia="ru-RU"/>
              </w:rPr>
            </w:pPr>
            <w:r w:rsidRPr="00F94FED">
              <w:rPr>
                <w:rFonts w:eastAsia="Times New Roman"/>
                <w:b/>
                <w:bCs/>
                <w:color w:val="FFFFFF" w:themeColor="background1"/>
                <w:sz w:val="18"/>
                <w:szCs w:val="18"/>
                <w:lang w:eastAsia="ru-RU"/>
              </w:rPr>
              <w:t>Объем финансирования, млн рублей (с НДС)</w:t>
            </w:r>
          </w:p>
        </w:tc>
      </w:tr>
      <w:tr w:rsidR="009A4C46" w:rsidRPr="002D4169" w14:paraId="1060EEB2" w14:textId="77777777" w:rsidTr="00F94FED">
        <w:trPr>
          <w:trHeight w:val="269"/>
        </w:trPr>
        <w:tc>
          <w:tcPr>
            <w:tcW w:w="29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5922566" w14:textId="77777777" w:rsidR="009A4C46" w:rsidRPr="00F94FED" w:rsidRDefault="009A4C46" w:rsidP="009A4C46">
            <w:pPr>
              <w:spacing w:after="0" w:line="240" w:lineRule="auto"/>
              <w:contextualSpacing/>
              <w:jc w:val="both"/>
              <w:rPr>
                <w:rFonts w:eastAsia="Times New Roman"/>
                <w:b/>
                <w:bCs/>
                <w:color w:val="FFFFFF" w:themeColor="background1"/>
                <w:sz w:val="18"/>
                <w:szCs w:val="18"/>
                <w:lang w:eastAsia="ru-RU"/>
              </w:rPr>
            </w:pPr>
          </w:p>
        </w:tc>
        <w:tc>
          <w:tcPr>
            <w:tcW w:w="117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2B1995D" w14:textId="77777777" w:rsidR="009A4C46" w:rsidRPr="00F94FED" w:rsidRDefault="009A4C46" w:rsidP="009A4C46">
            <w:pPr>
              <w:spacing w:after="0" w:line="240" w:lineRule="auto"/>
              <w:contextualSpacing/>
              <w:jc w:val="both"/>
              <w:rPr>
                <w:rFonts w:eastAsia="Times New Roman"/>
                <w:b/>
                <w:bCs/>
                <w:color w:val="FFFFFF" w:themeColor="background1"/>
                <w:sz w:val="18"/>
                <w:szCs w:val="18"/>
                <w:lang w:eastAsia="ru-RU"/>
              </w:rPr>
            </w:pPr>
          </w:p>
        </w:tc>
        <w:tc>
          <w:tcPr>
            <w:tcW w:w="3533" w:type="pct"/>
            <w:gridSpan w:val="10"/>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255606C" w14:textId="77777777" w:rsidR="009A4C46" w:rsidRPr="00F94FED" w:rsidRDefault="009A4C46" w:rsidP="009A4C46">
            <w:pPr>
              <w:spacing w:after="0" w:line="240" w:lineRule="auto"/>
              <w:contextualSpacing/>
              <w:jc w:val="center"/>
              <w:rPr>
                <w:rFonts w:eastAsia="Times New Roman"/>
                <w:b/>
                <w:bCs/>
                <w:color w:val="FFFFFF" w:themeColor="background1"/>
                <w:sz w:val="18"/>
                <w:szCs w:val="18"/>
                <w:lang w:eastAsia="ru-RU"/>
              </w:rPr>
            </w:pPr>
            <w:r w:rsidRPr="00F94FED">
              <w:rPr>
                <w:rFonts w:eastAsia="Times New Roman"/>
                <w:b/>
                <w:bCs/>
                <w:color w:val="FFFFFF" w:themeColor="background1"/>
                <w:sz w:val="18"/>
                <w:szCs w:val="18"/>
                <w:lang w:eastAsia="ru-RU"/>
              </w:rPr>
              <w:t>Всего</w:t>
            </w:r>
          </w:p>
        </w:tc>
      </w:tr>
      <w:tr w:rsidR="009A4C46" w:rsidRPr="002D4169" w14:paraId="261D4994" w14:textId="77777777" w:rsidTr="00F94FED">
        <w:trPr>
          <w:trHeight w:val="286"/>
        </w:trPr>
        <w:tc>
          <w:tcPr>
            <w:tcW w:w="29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1B1E5DF" w14:textId="77777777" w:rsidR="009A4C46" w:rsidRPr="00F94FED" w:rsidRDefault="009A4C46" w:rsidP="009A4C46">
            <w:pPr>
              <w:spacing w:after="0" w:line="240" w:lineRule="auto"/>
              <w:contextualSpacing/>
              <w:jc w:val="both"/>
              <w:rPr>
                <w:rFonts w:eastAsia="Times New Roman"/>
                <w:b/>
                <w:bCs/>
                <w:color w:val="FFFFFF" w:themeColor="background1"/>
                <w:sz w:val="18"/>
                <w:szCs w:val="18"/>
                <w:lang w:eastAsia="ru-RU"/>
              </w:rPr>
            </w:pPr>
          </w:p>
        </w:tc>
        <w:tc>
          <w:tcPr>
            <w:tcW w:w="117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0CC9997" w14:textId="77777777" w:rsidR="009A4C46" w:rsidRPr="00F94FED" w:rsidRDefault="009A4C46" w:rsidP="009A4C46">
            <w:pPr>
              <w:spacing w:after="0" w:line="240" w:lineRule="auto"/>
              <w:contextualSpacing/>
              <w:jc w:val="both"/>
              <w:rPr>
                <w:rFonts w:eastAsia="Times New Roman"/>
                <w:b/>
                <w:bCs/>
                <w:color w:val="FFFFFF" w:themeColor="background1"/>
                <w:sz w:val="18"/>
                <w:szCs w:val="18"/>
                <w:lang w:eastAsia="ru-RU"/>
              </w:rPr>
            </w:pPr>
          </w:p>
        </w:tc>
        <w:tc>
          <w:tcPr>
            <w:tcW w:w="1766" w:type="pct"/>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42D202E" w14:textId="77777777" w:rsidR="009A4C46" w:rsidRPr="00F94FED" w:rsidRDefault="009A4C46" w:rsidP="009A4C46">
            <w:pPr>
              <w:spacing w:after="0" w:line="240" w:lineRule="auto"/>
              <w:contextualSpacing/>
              <w:jc w:val="center"/>
              <w:rPr>
                <w:rFonts w:eastAsia="Times New Roman"/>
                <w:b/>
                <w:bCs/>
                <w:color w:val="FFFFFF" w:themeColor="background1"/>
                <w:sz w:val="18"/>
                <w:szCs w:val="18"/>
                <w:lang w:eastAsia="ru-RU"/>
              </w:rPr>
            </w:pPr>
            <w:r w:rsidRPr="00F94FED">
              <w:rPr>
                <w:rFonts w:eastAsia="Times New Roman"/>
                <w:b/>
                <w:bCs/>
                <w:color w:val="FFFFFF" w:themeColor="background1"/>
                <w:sz w:val="18"/>
                <w:szCs w:val="18"/>
                <w:lang w:eastAsia="ru-RU"/>
              </w:rPr>
              <w:t>План</w:t>
            </w:r>
          </w:p>
        </w:tc>
        <w:tc>
          <w:tcPr>
            <w:tcW w:w="1767" w:type="pct"/>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23854E2" w14:textId="77777777" w:rsidR="009A4C46" w:rsidRPr="00F94FED" w:rsidRDefault="009A4C46" w:rsidP="009A4C46">
            <w:pPr>
              <w:spacing w:after="0" w:line="240" w:lineRule="auto"/>
              <w:contextualSpacing/>
              <w:jc w:val="center"/>
              <w:rPr>
                <w:rFonts w:eastAsia="Times New Roman"/>
                <w:b/>
                <w:bCs/>
                <w:color w:val="FFFFFF" w:themeColor="background1"/>
                <w:sz w:val="18"/>
                <w:szCs w:val="18"/>
                <w:lang w:eastAsia="ru-RU"/>
              </w:rPr>
            </w:pPr>
            <w:r w:rsidRPr="00F94FED">
              <w:rPr>
                <w:rFonts w:eastAsia="Times New Roman"/>
                <w:b/>
                <w:bCs/>
                <w:color w:val="FFFFFF" w:themeColor="background1"/>
                <w:sz w:val="18"/>
                <w:szCs w:val="18"/>
                <w:lang w:eastAsia="ru-RU"/>
              </w:rPr>
              <w:t>Факт</w:t>
            </w:r>
          </w:p>
        </w:tc>
      </w:tr>
      <w:tr w:rsidR="00F94FED" w:rsidRPr="002D4169" w14:paraId="247A62BE" w14:textId="77777777" w:rsidTr="00F94FED">
        <w:trPr>
          <w:trHeight w:val="3375"/>
        </w:trPr>
        <w:tc>
          <w:tcPr>
            <w:tcW w:w="29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C9C86AF" w14:textId="77777777" w:rsidR="009A4C46" w:rsidRPr="00F94FED" w:rsidRDefault="009A4C46" w:rsidP="009A4C46">
            <w:pPr>
              <w:spacing w:after="0" w:line="240" w:lineRule="auto"/>
              <w:contextualSpacing/>
              <w:jc w:val="both"/>
              <w:rPr>
                <w:rFonts w:eastAsia="Times New Roman"/>
                <w:b/>
                <w:bCs/>
                <w:color w:val="FFFFFF" w:themeColor="background1"/>
                <w:sz w:val="18"/>
                <w:szCs w:val="18"/>
                <w:lang w:eastAsia="ru-RU"/>
              </w:rPr>
            </w:pPr>
          </w:p>
        </w:tc>
        <w:tc>
          <w:tcPr>
            <w:tcW w:w="117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BE7D233" w14:textId="77777777" w:rsidR="009A4C46" w:rsidRPr="00F94FED" w:rsidRDefault="009A4C46" w:rsidP="009A4C46">
            <w:pPr>
              <w:spacing w:after="0" w:line="240" w:lineRule="auto"/>
              <w:contextualSpacing/>
              <w:jc w:val="both"/>
              <w:rPr>
                <w:rFonts w:eastAsia="Times New Roman"/>
                <w:b/>
                <w:bCs/>
                <w:color w:val="FFFFFF" w:themeColor="background1"/>
                <w:sz w:val="18"/>
                <w:szCs w:val="18"/>
                <w:lang w:eastAsia="ru-RU"/>
              </w:rPr>
            </w:pPr>
          </w:p>
        </w:tc>
        <w:tc>
          <w:tcPr>
            <w:tcW w:w="35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vAlign w:val="center"/>
            <w:hideMark/>
          </w:tcPr>
          <w:p w14:paraId="7777B435" w14:textId="77777777" w:rsidR="009A4C46" w:rsidRPr="00F94FED" w:rsidRDefault="009A4C46" w:rsidP="009A4C46">
            <w:pPr>
              <w:spacing w:after="0" w:line="240" w:lineRule="auto"/>
              <w:contextualSpacing/>
              <w:rPr>
                <w:rFonts w:eastAsia="Times New Roman"/>
                <w:b/>
                <w:bCs/>
                <w:color w:val="FFFFFF" w:themeColor="background1"/>
                <w:sz w:val="18"/>
                <w:szCs w:val="18"/>
                <w:lang w:eastAsia="ru-RU"/>
              </w:rPr>
            </w:pPr>
            <w:r w:rsidRPr="00F94FED">
              <w:rPr>
                <w:rFonts w:eastAsia="Times New Roman"/>
                <w:b/>
                <w:bCs/>
                <w:color w:val="FFFFFF" w:themeColor="background1"/>
                <w:sz w:val="18"/>
                <w:szCs w:val="18"/>
                <w:lang w:eastAsia="ru-RU"/>
              </w:rPr>
              <w:t>Общий плановый объем финансирования, в том числе за счет:</w:t>
            </w:r>
          </w:p>
        </w:tc>
        <w:tc>
          <w:tcPr>
            <w:tcW w:w="35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vAlign w:val="center"/>
            <w:hideMark/>
          </w:tcPr>
          <w:p w14:paraId="4649529C" w14:textId="77777777" w:rsidR="009A4C46" w:rsidRPr="00F94FED" w:rsidRDefault="009A4C46" w:rsidP="009A4C46">
            <w:pPr>
              <w:spacing w:after="0" w:line="240" w:lineRule="auto"/>
              <w:contextualSpacing/>
              <w:rPr>
                <w:rFonts w:eastAsia="Times New Roman"/>
                <w:b/>
                <w:bCs/>
                <w:color w:val="FFFFFF" w:themeColor="background1"/>
                <w:sz w:val="18"/>
                <w:szCs w:val="18"/>
                <w:lang w:eastAsia="ru-RU"/>
              </w:rPr>
            </w:pPr>
            <w:r w:rsidRPr="00F94FED">
              <w:rPr>
                <w:rFonts w:eastAsia="Times New Roman"/>
                <w:b/>
                <w:bCs/>
                <w:color w:val="FFFFFF" w:themeColor="background1"/>
                <w:sz w:val="18"/>
                <w:szCs w:val="18"/>
                <w:lang w:eastAsia="ru-RU"/>
              </w:rPr>
              <w:t>федерального бюджета</w:t>
            </w:r>
          </w:p>
        </w:tc>
        <w:tc>
          <w:tcPr>
            <w:tcW w:w="35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vAlign w:val="center"/>
            <w:hideMark/>
          </w:tcPr>
          <w:p w14:paraId="05F3002B" w14:textId="77777777" w:rsidR="009A4C46" w:rsidRPr="00F94FED" w:rsidRDefault="009A4C46" w:rsidP="009A4C46">
            <w:pPr>
              <w:spacing w:after="0" w:line="240" w:lineRule="auto"/>
              <w:contextualSpacing/>
              <w:rPr>
                <w:rFonts w:eastAsia="Times New Roman"/>
                <w:b/>
                <w:bCs/>
                <w:color w:val="FFFFFF" w:themeColor="background1"/>
                <w:sz w:val="18"/>
                <w:szCs w:val="18"/>
                <w:lang w:eastAsia="ru-RU"/>
              </w:rPr>
            </w:pPr>
            <w:r w:rsidRPr="00F94FED">
              <w:rPr>
                <w:rFonts w:eastAsia="Times New Roman"/>
                <w:b/>
                <w:bCs/>
                <w:color w:val="FFFFFF" w:themeColor="background1"/>
                <w:sz w:val="18"/>
                <w:szCs w:val="18"/>
                <w:lang w:eastAsia="ru-RU"/>
              </w:rPr>
              <w:t>бюджетов субъектов Российской Федерации</w:t>
            </w:r>
          </w:p>
        </w:tc>
        <w:tc>
          <w:tcPr>
            <w:tcW w:w="35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vAlign w:val="center"/>
            <w:hideMark/>
          </w:tcPr>
          <w:p w14:paraId="565A2EC3" w14:textId="77777777" w:rsidR="009A4C46" w:rsidRPr="00F94FED" w:rsidRDefault="009A4C46" w:rsidP="009A4C46">
            <w:pPr>
              <w:spacing w:after="0" w:line="240" w:lineRule="auto"/>
              <w:contextualSpacing/>
              <w:rPr>
                <w:rFonts w:eastAsia="Times New Roman"/>
                <w:b/>
                <w:bCs/>
                <w:color w:val="FFFFFF" w:themeColor="background1"/>
                <w:sz w:val="18"/>
                <w:szCs w:val="18"/>
                <w:lang w:eastAsia="ru-RU"/>
              </w:rPr>
            </w:pPr>
            <w:r w:rsidRPr="00F94FED">
              <w:rPr>
                <w:rFonts w:eastAsia="Times New Roman"/>
                <w:b/>
                <w:bCs/>
                <w:color w:val="FFFFFF" w:themeColor="background1"/>
                <w:sz w:val="18"/>
                <w:szCs w:val="18"/>
                <w:lang w:eastAsia="ru-RU"/>
              </w:rPr>
              <w:t>средств, полученных от оказания услуг по регулируемым государством ценам (тарифам)</w:t>
            </w:r>
          </w:p>
        </w:tc>
        <w:tc>
          <w:tcPr>
            <w:tcW w:w="35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vAlign w:val="center"/>
            <w:hideMark/>
          </w:tcPr>
          <w:p w14:paraId="5CC0D112" w14:textId="77777777" w:rsidR="009A4C46" w:rsidRPr="00F94FED" w:rsidRDefault="009A4C46" w:rsidP="009A4C46">
            <w:pPr>
              <w:spacing w:after="0" w:line="240" w:lineRule="auto"/>
              <w:contextualSpacing/>
              <w:rPr>
                <w:rFonts w:eastAsia="Times New Roman"/>
                <w:b/>
                <w:bCs/>
                <w:color w:val="FFFFFF" w:themeColor="background1"/>
                <w:sz w:val="18"/>
                <w:szCs w:val="18"/>
                <w:lang w:eastAsia="ru-RU"/>
              </w:rPr>
            </w:pPr>
            <w:r w:rsidRPr="00F94FED">
              <w:rPr>
                <w:rFonts w:eastAsia="Times New Roman"/>
                <w:b/>
                <w:bCs/>
                <w:color w:val="FFFFFF" w:themeColor="background1"/>
                <w:sz w:val="18"/>
                <w:szCs w:val="18"/>
                <w:lang w:eastAsia="ru-RU"/>
              </w:rPr>
              <w:t>иных источников финансирования</w:t>
            </w:r>
          </w:p>
        </w:tc>
        <w:tc>
          <w:tcPr>
            <w:tcW w:w="35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vAlign w:val="center"/>
            <w:hideMark/>
          </w:tcPr>
          <w:p w14:paraId="6C217E65" w14:textId="77777777" w:rsidR="009A4C46" w:rsidRPr="00F94FED" w:rsidRDefault="009A4C46" w:rsidP="009A4C46">
            <w:pPr>
              <w:spacing w:after="0" w:line="240" w:lineRule="auto"/>
              <w:contextualSpacing/>
              <w:rPr>
                <w:rFonts w:eastAsia="Times New Roman"/>
                <w:b/>
                <w:bCs/>
                <w:color w:val="FFFFFF" w:themeColor="background1"/>
                <w:sz w:val="18"/>
                <w:szCs w:val="18"/>
                <w:lang w:eastAsia="ru-RU"/>
              </w:rPr>
            </w:pPr>
            <w:r w:rsidRPr="00F94FED">
              <w:rPr>
                <w:rFonts w:eastAsia="Times New Roman"/>
                <w:b/>
                <w:bCs/>
                <w:color w:val="FFFFFF" w:themeColor="background1"/>
                <w:sz w:val="18"/>
                <w:szCs w:val="18"/>
                <w:lang w:eastAsia="ru-RU"/>
              </w:rPr>
              <w:t>Общий плановый объем финансирования, в том числе за счет:</w:t>
            </w:r>
          </w:p>
        </w:tc>
        <w:tc>
          <w:tcPr>
            <w:tcW w:w="35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vAlign w:val="center"/>
            <w:hideMark/>
          </w:tcPr>
          <w:p w14:paraId="5BFAE73E" w14:textId="77777777" w:rsidR="009A4C46" w:rsidRPr="00F94FED" w:rsidRDefault="009A4C46" w:rsidP="009A4C46">
            <w:pPr>
              <w:spacing w:after="0" w:line="240" w:lineRule="auto"/>
              <w:contextualSpacing/>
              <w:rPr>
                <w:rFonts w:eastAsia="Times New Roman"/>
                <w:b/>
                <w:bCs/>
                <w:color w:val="FFFFFF" w:themeColor="background1"/>
                <w:sz w:val="18"/>
                <w:szCs w:val="18"/>
                <w:lang w:eastAsia="ru-RU"/>
              </w:rPr>
            </w:pPr>
            <w:r w:rsidRPr="00F94FED">
              <w:rPr>
                <w:rFonts w:eastAsia="Times New Roman"/>
                <w:b/>
                <w:bCs/>
                <w:color w:val="FFFFFF" w:themeColor="background1"/>
                <w:sz w:val="18"/>
                <w:szCs w:val="18"/>
                <w:lang w:eastAsia="ru-RU"/>
              </w:rPr>
              <w:t>федерального бюджета</w:t>
            </w:r>
          </w:p>
        </w:tc>
        <w:tc>
          <w:tcPr>
            <w:tcW w:w="35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vAlign w:val="center"/>
            <w:hideMark/>
          </w:tcPr>
          <w:p w14:paraId="43862DC9" w14:textId="77777777" w:rsidR="009A4C46" w:rsidRPr="00F94FED" w:rsidRDefault="009A4C46" w:rsidP="009A4C46">
            <w:pPr>
              <w:spacing w:after="0" w:line="240" w:lineRule="auto"/>
              <w:contextualSpacing/>
              <w:rPr>
                <w:rFonts w:eastAsia="Times New Roman"/>
                <w:b/>
                <w:bCs/>
                <w:color w:val="FFFFFF" w:themeColor="background1"/>
                <w:sz w:val="18"/>
                <w:szCs w:val="18"/>
                <w:lang w:eastAsia="ru-RU"/>
              </w:rPr>
            </w:pPr>
            <w:r w:rsidRPr="00F94FED">
              <w:rPr>
                <w:rFonts w:eastAsia="Times New Roman"/>
                <w:b/>
                <w:bCs/>
                <w:color w:val="FFFFFF" w:themeColor="background1"/>
                <w:sz w:val="18"/>
                <w:szCs w:val="18"/>
                <w:lang w:eastAsia="ru-RU"/>
              </w:rPr>
              <w:t>бюджетов субъектов Российской Федерации</w:t>
            </w:r>
          </w:p>
        </w:tc>
        <w:tc>
          <w:tcPr>
            <w:tcW w:w="35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vAlign w:val="center"/>
            <w:hideMark/>
          </w:tcPr>
          <w:p w14:paraId="0D973FF4" w14:textId="77777777" w:rsidR="009A4C46" w:rsidRPr="00F94FED" w:rsidRDefault="009A4C46" w:rsidP="009A4C46">
            <w:pPr>
              <w:spacing w:after="0" w:line="240" w:lineRule="auto"/>
              <w:contextualSpacing/>
              <w:rPr>
                <w:rFonts w:eastAsia="Times New Roman"/>
                <w:b/>
                <w:bCs/>
                <w:color w:val="FFFFFF" w:themeColor="background1"/>
                <w:sz w:val="18"/>
                <w:szCs w:val="18"/>
                <w:lang w:eastAsia="ru-RU"/>
              </w:rPr>
            </w:pPr>
            <w:r w:rsidRPr="00F94FED">
              <w:rPr>
                <w:rFonts w:eastAsia="Times New Roman"/>
                <w:b/>
                <w:bCs/>
                <w:color w:val="FFFFFF" w:themeColor="background1"/>
                <w:sz w:val="18"/>
                <w:szCs w:val="18"/>
                <w:lang w:eastAsia="ru-RU"/>
              </w:rPr>
              <w:t>средств, полученных от оказания услуг по регулируемым государством ценам (тарифам)</w:t>
            </w:r>
          </w:p>
        </w:tc>
        <w:tc>
          <w:tcPr>
            <w:tcW w:w="35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vAlign w:val="center"/>
            <w:hideMark/>
          </w:tcPr>
          <w:p w14:paraId="7E7D3580" w14:textId="77777777" w:rsidR="009A4C46" w:rsidRPr="00F94FED" w:rsidRDefault="009A4C46" w:rsidP="009A4C46">
            <w:pPr>
              <w:spacing w:after="0" w:line="240" w:lineRule="auto"/>
              <w:contextualSpacing/>
              <w:rPr>
                <w:rFonts w:eastAsia="Times New Roman"/>
                <w:b/>
                <w:bCs/>
                <w:color w:val="FFFFFF" w:themeColor="background1"/>
                <w:sz w:val="18"/>
                <w:szCs w:val="18"/>
                <w:lang w:eastAsia="ru-RU"/>
              </w:rPr>
            </w:pPr>
            <w:r w:rsidRPr="00F94FED">
              <w:rPr>
                <w:rFonts w:eastAsia="Times New Roman"/>
                <w:b/>
                <w:bCs/>
                <w:color w:val="FFFFFF" w:themeColor="background1"/>
                <w:sz w:val="18"/>
                <w:szCs w:val="18"/>
                <w:lang w:eastAsia="ru-RU"/>
              </w:rPr>
              <w:t>иных источников финансирования</w:t>
            </w:r>
          </w:p>
        </w:tc>
      </w:tr>
      <w:tr w:rsidR="00F94FED" w:rsidRPr="002D4169" w14:paraId="5C792B5E" w14:textId="77777777" w:rsidTr="00F94FED">
        <w:trPr>
          <w:trHeight w:val="315"/>
        </w:trPr>
        <w:tc>
          <w:tcPr>
            <w:tcW w:w="29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62AD497" w14:textId="77777777" w:rsidR="009A4C46" w:rsidRPr="00F94FED" w:rsidRDefault="009A4C46" w:rsidP="009A4C46">
            <w:pPr>
              <w:spacing w:after="0" w:line="240" w:lineRule="auto"/>
              <w:contextualSpacing/>
              <w:jc w:val="center"/>
              <w:rPr>
                <w:rFonts w:eastAsia="Times New Roman"/>
                <w:b/>
                <w:bCs/>
                <w:color w:val="FFFFFF" w:themeColor="background1"/>
                <w:sz w:val="18"/>
                <w:szCs w:val="18"/>
                <w:lang w:eastAsia="ru-RU"/>
              </w:rPr>
            </w:pPr>
            <w:r w:rsidRPr="00F94FED">
              <w:rPr>
                <w:rFonts w:eastAsia="Times New Roman"/>
                <w:b/>
                <w:bCs/>
                <w:color w:val="FFFFFF" w:themeColor="background1"/>
                <w:sz w:val="18"/>
                <w:szCs w:val="18"/>
                <w:lang w:eastAsia="ru-RU"/>
              </w:rPr>
              <w:t>1</w:t>
            </w:r>
          </w:p>
        </w:tc>
        <w:tc>
          <w:tcPr>
            <w:tcW w:w="117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42A55DC" w14:textId="77777777" w:rsidR="009A4C46" w:rsidRPr="00F94FED" w:rsidRDefault="009A4C46" w:rsidP="009A4C46">
            <w:pPr>
              <w:spacing w:after="0" w:line="240" w:lineRule="auto"/>
              <w:contextualSpacing/>
              <w:jc w:val="center"/>
              <w:rPr>
                <w:rFonts w:eastAsia="Times New Roman"/>
                <w:b/>
                <w:bCs/>
                <w:color w:val="FFFFFF" w:themeColor="background1"/>
                <w:sz w:val="18"/>
                <w:szCs w:val="18"/>
                <w:lang w:eastAsia="ru-RU"/>
              </w:rPr>
            </w:pPr>
            <w:r w:rsidRPr="00F94FED">
              <w:rPr>
                <w:rFonts w:eastAsia="Times New Roman"/>
                <w:b/>
                <w:bCs/>
                <w:color w:val="FFFFFF" w:themeColor="background1"/>
                <w:sz w:val="18"/>
                <w:szCs w:val="18"/>
                <w:lang w:eastAsia="ru-RU"/>
              </w:rPr>
              <w:t>2</w:t>
            </w:r>
          </w:p>
        </w:tc>
        <w:tc>
          <w:tcPr>
            <w:tcW w:w="35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72CAAD1" w14:textId="77777777" w:rsidR="009A4C46" w:rsidRPr="00F94FED" w:rsidRDefault="009A4C46" w:rsidP="009A4C46">
            <w:pPr>
              <w:spacing w:after="0" w:line="240" w:lineRule="auto"/>
              <w:contextualSpacing/>
              <w:jc w:val="center"/>
              <w:rPr>
                <w:rFonts w:eastAsia="Times New Roman"/>
                <w:b/>
                <w:bCs/>
                <w:color w:val="FFFFFF" w:themeColor="background1"/>
                <w:sz w:val="18"/>
                <w:szCs w:val="18"/>
                <w:lang w:eastAsia="ru-RU"/>
              </w:rPr>
            </w:pPr>
            <w:r w:rsidRPr="00F94FED">
              <w:rPr>
                <w:rFonts w:eastAsia="Times New Roman"/>
                <w:b/>
                <w:bCs/>
                <w:color w:val="FFFFFF" w:themeColor="background1"/>
                <w:sz w:val="18"/>
                <w:szCs w:val="18"/>
                <w:lang w:eastAsia="ru-RU"/>
              </w:rPr>
              <w:t>4</w:t>
            </w:r>
          </w:p>
        </w:tc>
        <w:tc>
          <w:tcPr>
            <w:tcW w:w="35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7A20238" w14:textId="77777777" w:rsidR="009A4C46" w:rsidRPr="00F94FED" w:rsidRDefault="009A4C46" w:rsidP="009A4C46">
            <w:pPr>
              <w:spacing w:after="0" w:line="240" w:lineRule="auto"/>
              <w:contextualSpacing/>
              <w:jc w:val="center"/>
              <w:rPr>
                <w:rFonts w:eastAsia="Times New Roman"/>
                <w:b/>
                <w:bCs/>
                <w:color w:val="FFFFFF" w:themeColor="background1"/>
                <w:sz w:val="18"/>
                <w:szCs w:val="18"/>
                <w:lang w:eastAsia="ru-RU"/>
              </w:rPr>
            </w:pPr>
            <w:r w:rsidRPr="00F94FED">
              <w:rPr>
                <w:rFonts w:eastAsia="Times New Roman"/>
                <w:b/>
                <w:bCs/>
                <w:color w:val="FFFFFF" w:themeColor="background1"/>
                <w:sz w:val="18"/>
                <w:szCs w:val="18"/>
                <w:lang w:eastAsia="ru-RU"/>
              </w:rPr>
              <w:t>5</w:t>
            </w:r>
          </w:p>
        </w:tc>
        <w:tc>
          <w:tcPr>
            <w:tcW w:w="35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D3C0692" w14:textId="77777777" w:rsidR="009A4C46" w:rsidRPr="00F94FED" w:rsidRDefault="009A4C46" w:rsidP="009A4C46">
            <w:pPr>
              <w:spacing w:after="0" w:line="240" w:lineRule="auto"/>
              <w:contextualSpacing/>
              <w:jc w:val="center"/>
              <w:rPr>
                <w:rFonts w:eastAsia="Times New Roman"/>
                <w:b/>
                <w:bCs/>
                <w:color w:val="FFFFFF" w:themeColor="background1"/>
                <w:sz w:val="18"/>
                <w:szCs w:val="18"/>
                <w:lang w:eastAsia="ru-RU"/>
              </w:rPr>
            </w:pPr>
            <w:r w:rsidRPr="00F94FED">
              <w:rPr>
                <w:rFonts w:eastAsia="Times New Roman"/>
                <w:b/>
                <w:bCs/>
                <w:color w:val="FFFFFF" w:themeColor="background1"/>
                <w:sz w:val="18"/>
                <w:szCs w:val="18"/>
                <w:lang w:eastAsia="ru-RU"/>
              </w:rPr>
              <w:t>6</w:t>
            </w:r>
          </w:p>
        </w:tc>
        <w:tc>
          <w:tcPr>
            <w:tcW w:w="35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2D4DBEB" w14:textId="77777777" w:rsidR="009A4C46" w:rsidRPr="00F94FED" w:rsidRDefault="009A4C46" w:rsidP="009A4C46">
            <w:pPr>
              <w:spacing w:after="0" w:line="240" w:lineRule="auto"/>
              <w:contextualSpacing/>
              <w:jc w:val="center"/>
              <w:rPr>
                <w:rFonts w:eastAsia="Times New Roman"/>
                <w:b/>
                <w:bCs/>
                <w:color w:val="FFFFFF" w:themeColor="background1"/>
                <w:sz w:val="18"/>
                <w:szCs w:val="18"/>
                <w:lang w:eastAsia="ru-RU"/>
              </w:rPr>
            </w:pPr>
            <w:r w:rsidRPr="00F94FED">
              <w:rPr>
                <w:rFonts w:eastAsia="Times New Roman"/>
                <w:b/>
                <w:bCs/>
                <w:color w:val="FFFFFF" w:themeColor="background1"/>
                <w:sz w:val="18"/>
                <w:szCs w:val="18"/>
                <w:lang w:eastAsia="ru-RU"/>
              </w:rPr>
              <w:t>7</w:t>
            </w:r>
          </w:p>
        </w:tc>
        <w:tc>
          <w:tcPr>
            <w:tcW w:w="35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B0587C9" w14:textId="77777777" w:rsidR="009A4C46" w:rsidRPr="00F94FED" w:rsidRDefault="009A4C46" w:rsidP="009A4C46">
            <w:pPr>
              <w:spacing w:after="0" w:line="240" w:lineRule="auto"/>
              <w:contextualSpacing/>
              <w:jc w:val="center"/>
              <w:rPr>
                <w:rFonts w:eastAsia="Times New Roman"/>
                <w:b/>
                <w:bCs/>
                <w:color w:val="FFFFFF" w:themeColor="background1"/>
                <w:sz w:val="18"/>
                <w:szCs w:val="18"/>
                <w:lang w:eastAsia="ru-RU"/>
              </w:rPr>
            </w:pPr>
            <w:r w:rsidRPr="00F94FED">
              <w:rPr>
                <w:rFonts w:eastAsia="Times New Roman"/>
                <w:b/>
                <w:bCs/>
                <w:color w:val="FFFFFF" w:themeColor="background1"/>
                <w:sz w:val="18"/>
                <w:szCs w:val="18"/>
                <w:lang w:eastAsia="ru-RU"/>
              </w:rPr>
              <w:t>8</w:t>
            </w:r>
          </w:p>
        </w:tc>
        <w:tc>
          <w:tcPr>
            <w:tcW w:w="35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E36F372" w14:textId="77777777" w:rsidR="009A4C46" w:rsidRPr="00F94FED" w:rsidRDefault="009A4C46" w:rsidP="009A4C46">
            <w:pPr>
              <w:spacing w:after="0" w:line="240" w:lineRule="auto"/>
              <w:contextualSpacing/>
              <w:jc w:val="center"/>
              <w:rPr>
                <w:rFonts w:eastAsia="Times New Roman"/>
                <w:b/>
                <w:bCs/>
                <w:color w:val="FFFFFF" w:themeColor="background1"/>
                <w:sz w:val="18"/>
                <w:szCs w:val="18"/>
                <w:lang w:eastAsia="ru-RU"/>
              </w:rPr>
            </w:pPr>
            <w:r w:rsidRPr="00F94FED">
              <w:rPr>
                <w:rFonts w:eastAsia="Times New Roman"/>
                <w:b/>
                <w:bCs/>
                <w:color w:val="FFFFFF" w:themeColor="background1"/>
                <w:sz w:val="18"/>
                <w:szCs w:val="18"/>
                <w:lang w:eastAsia="ru-RU"/>
              </w:rPr>
              <w:t>9</w:t>
            </w:r>
          </w:p>
        </w:tc>
        <w:tc>
          <w:tcPr>
            <w:tcW w:w="35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D265CEA" w14:textId="77777777" w:rsidR="009A4C46" w:rsidRPr="00F94FED" w:rsidRDefault="009A4C46" w:rsidP="009A4C46">
            <w:pPr>
              <w:spacing w:after="0" w:line="240" w:lineRule="auto"/>
              <w:contextualSpacing/>
              <w:jc w:val="center"/>
              <w:rPr>
                <w:rFonts w:eastAsia="Times New Roman"/>
                <w:b/>
                <w:bCs/>
                <w:color w:val="FFFFFF" w:themeColor="background1"/>
                <w:sz w:val="18"/>
                <w:szCs w:val="18"/>
                <w:lang w:eastAsia="ru-RU"/>
              </w:rPr>
            </w:pPr>
            <w:r w:rsidRPr="00F94FED">
              <w:rPr>
                <w:rFonts w:eastAsia="Times New Roman"/>
                <w:b/>
                <w:bCs/>
                <w:color w:val="FFFFFF" w:themeColor="background1"/>
                <w:sz w:val="18"/>
                <w:szCs w:val="18"/>
                <w:lang w:eastAsia="ru-RU"/>
              </w:rPr>
              <w:t>10</w:t>
            </w:r>
          </w:p>
        </w:tc>
        <w:tc>
          <w:tcPr>
            <w:tcW w:w="35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3C76AA1" w14:textId="77777777" w:rsidR="009A4C46" w:rsidRPr="00F94FED" w:rsidRDefault="009A4C46" w:rsidP="009A4C46">
            <w:pPr>
              <w:spacing w:after="0" w:line="240" w:lineRule="auto"/>
              <w:contextualSpacing/>
              <w:jc w:val="center"/>
              <w:rPr>
                <w:rFonts w:eastAsia="Times New Roman"/>
                <w:b/>
                <w:bCs/>
                <w:color w:val="FFFFFF" w:themeColor="background1"/>
                <w:sz w:val="18"/>
                <w:szCs w:val="18"/>
                <w:lang w:eastAsia="ru-RU"/>
              </w:rPr>
            </w:pPr>
            <w:r w:rsidRPr="00F94FED">
              <w:rPr>
                <w:rFonts w:eastAsia="Times New Roman"/>
                <w:b/>
                <w:bCs/>
                <w:color w:val="FFFFFF" w:themeColor="background1"/>
                <w:sz w:val="18"/>
                <w:szCs w:val="18"/>
                <w:lang w:eastAsia="ru-RU"/>
              </w:rPr>
              <w:t>11</w:t>
            </w:r>
          </w:p>
        </w:tc>
        <w:tc>
          <w:tcPr>
            <w:tcW w:w="35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452725D" w14:textId="77777777" w:rsidR="009A4C46" w:rsidRPr="00F94FED" w:rsidRDefault="009A4C46" w:rsidP="009A4C46">
            <w:pPr>
              <w:spacing w:after="0" w:line="240" w:lineRule="auto"/>
              <w:contextualSpacing/>
              <w:jc w:val="center"/>
              <w:rPr>
                <w:rFonts w:eastAsia="Times New Roman"/>
                <w:b/>
                <w:bCs/>
                <w:color w:val="FFFFFF" w:themeColor="background1"/>
                <w:sz w:val="18"/>
                <w:szCs w:val="18"/>
                <w:lang w:eastAsia="ru-RU"/>
              </w:rPr>
            </w:pPr>
            <w:r w:rsidRPr="00F94FED">
              <w:rPr>
                <w:rFonts w:eastAsia="Times New Roman"/>
                <w:b/>
                <w:bCs/>
                <w:color w:val="FFFFFF" w:themeColor="background1"/>
                <w:sz w:val="18"/>
                <w:szCs w:val="18"/>
                <w:lang w:eastAsia="ru-RU"/>
              </w:rPr>
              <w:t>12</w:t>
            </w:r>
          </w:p>
        </w:tc>
        <w:tc>
          <w:tcPr>
            <w:tcW w:w="35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9FA2564" w14:textId="77777777" w:rsidR="009A4C46" w:rsidRPr="00F94FED" w:rsidRDefault="009A4C46" w:rsidP="009A4C46">
            <w:pPr>
              <w:spacing w:after="0" w:line="240" w:lineRule="auto"/>
              <w:contextualSpacing/>
              <w:jc w:val="center"/>
              <w:rPr>
                <w:rFonts w:eastAsia="Times New Roman"/>
                <w:b/>
                <w:bCs/>
                <w:color w:val="FFFFFF" w:themeColor="background1"/>
                <w:sz w:val="18"/>
                <w:szCs w:val="18"/>
                <w:lang w:eastAsia="ru-RU"/>
              </w:rPr>
            </w:pPr>
            <w:r w:rsidRPr="00F94FED">
              <w:rPr>
                <w:rFonts w:eastAsia="Times New Roman"/>
                <w:b/>
                <w:bCs/>
                <w:color w:val="FFFFFF" w:themeColor="background1"/>
                <w:sz w:val="18"/>
                <w:szCs w:val="18"/>
                <w:lang w:eastAsia="ru-RU"/>
              </w:rPr>
              <w:t>13</w:t>
            </w:r>
          </w:p>
        </w:tc>
      </w:tr>
      <w:tr w:rsidR="009A4C46" w:rsidRPr="002D4169" w14:paraId="73F2029F" w14:textId="77777777" w:rsidTr="0065708A">
        <w:trPr>
          <w:trHeight w:val="600"/>
        </w:trPr>
        <w:tc>
          <w:tcPr>
            <w:tcW w:w="293" w:type="pct"/>
            <w:tcBorders>
              <w:top w:val="single" w:sz="4" w:space="0" w:color="FFFFFF" w:themeColor="background1"/>
              <w:left w:val="single" w:sz="4" w:space="0" w:color="auto"/>
              <w:bottom w:val="single" w:sz="4" w:space="0" w:color="auto"/>
              <w:right w:val="single" w:sz="4" w:space="0" w:color="auto"/>
            </w:tcBorders>
            <w:shd w:val="clear" w:color="auto" w:fill="D6E3BC" w:themeFill="accent3" w:themeFillTint="66"/>
            <w:vAlign w:val="bottom"/>
            <w:hideMark/>
          </w:tcPr>
          <w:p w14:paraId="2F819E46" w14:textId="2624EECC" w:rsidR="009A4C46" w:rsidRPr="00F94FED" w:rsidRDefault="009A4C46" w:rsidP="009A4C46">
            <w:pPr>
              <w:spacing w:after="0" w:line="240" w:lineRule="auto"/>
              <w:contextualSpacing/>
              <w:jc w:val="both"/>
              <w:rPr>
                <w:rFonts w:eastAsia="Times New Roman"/>
                <w:sz w:val="18"/>
                <w:szCs w:val="18"/>
                <w:lang w:eastAsia="ru-RU"/>
              </w:rPr>
            </w:pPr>
          </w:p>
        </w:tc>
        <w:tc>
          <w:tcPr>
            <w:tcW w:w="1174" w:type="pct"/>
            <w:tcBorders>
              <w:top w:val="single" w:sz="4" w:space="0" w:color="FFFFFF" w:themeColor="background1"/>
              <w:left w:val="nil"/>
              <w:bottom w:val="single" w:sz="4" w:space="0" w:color="auto"/>
              <w:right w:val="single" w:sz="4" w:space="0" w:color="auto"/>
            </w:tcBorders>
            <w:shd w:val="clear" w:color="auto" w:fill="D6E3BC" w:themeFill="accent3" w:themeFillTint="66"/>
            <w:vAlign w:val="bottom"/>
            <w:hideMark/>
          </w:tcPr>
          <w:p w14:paraId="1AA1B734" w14:textId="77777777" w:rsidR="009A4C46" w:rsidRPr="00F94FED" w:rsidRDefault="009A4C46" w:rsidP="009A4C46">
            <w:pPr>
              <w:spacing w:after="0" w:line="240" w:lineRule="auto"/>
              <w:contextualSpacing/>
              <w:rPr>
                <w:rFonts w:eastAsia="Times New Roman"/>
                <w:sz w:val="18"/>
                <w:szCs w:val="18"/>
                <w:lang w:eastAsia="ru-RU"/>
              </w:rPr>
            </w:pPr>
            <w:r w:rsidRPr="00F94FED">
              <w:rPr>
                <w:rFonts w:eastAsia="Times New Roman"/>
                <w:sz w:val="18"/>
                <w:szCs w:val="18"/>
                <w:lang w:eastAsia="ru-RU"/>
              </w:rPr>
              <w:t>ВСЕГО по инвестиционной программе, в том числе:</w:t>
            </w:r>
          </w:p>
        </w:tc>
        <w:tc>
          <w:tcPr>
            <w:tcW w:w="353" w:type="pct"/>
            <w:tcBorders>
              <w:top w:val="single" w:sz="4" w:space="0" w:color="FFFFFF" w:themeColor="background1"/>
              <w:left w:val="nil"/>
              <w:bottom w:val="single" w:sz="4" w:space="0" w:color="auto"/>
              <w:right w:val="single" w:sz="4" w:space="0" w:color="auto"/>
            </w:tcBorders>
            <w:shd w:val="clear" w:color="auto" w:fill="D6E3BC" w:themeFill="accent3" w:themeFillTint="66"/>
            <w:vAlign w:val="center"/>
            <w:hideMark/>
          </w:tcPr>
          <w:p w14:paraId="48FDFC37" w14:textId="77777777" w:rsidR="009A4C46" w:rsidRPr="00F94FED" w:rsidRDefault="009A4C46" w:rsidP="009A4C46">
            <w:pPr>
              <w:spacing w:after="0" w:line="240" w:lineRule="auto"/>
              <w:contextualSpacing/>
              <w:jc w:val="center"/>
              <w:rPr>
                <w:rFonts w:eastAsia="Times New Roman"/>
                <w:sz w:val="18"/>
                <w:szCs w:val="18"/>
                <w:lang w:eastAsia="ru-RU"/>
              </w:rPr>
            </w:pPr>
            <w:r w:rsidRPr="00F94FED">
              <w:rPr>
                <w:rFonts w:eastAsia="Times New Roman"/>
                <w:sz w:val="18"/>
                <w:szCs w:val="18"/>
                <w:lang w:eastAsia="ru-RU"/>
              </w:rPr>
              <w:t>257,5</w:t>
            </w:r>
          </w:p>
        </w:tc>
        <w:tc>
          <w:tcPr>
            <w:tcW w:w="353" w:type="pct"/>
            <w:tcBorders>
              <w:top w:val="single" w:sz="4" w:space="0" w:color="FFFFFF" w:themeColor="background1"/>
              <w:left w:val="nil"/>
              <w:bottom w:val="single" w:sz="4" w:space="0" w:color="auto"/>
              <w:right w:val="single" w:sz="4" w:space="0" w:color="auto"/>
            </w:tcBorders>
            <w:shd w:val="clear" w:color="auto" w:fill="D6E3BC" w:themeFill="accent3" w:themeFillTint="66"/>
            <w:vAlign w:val="center"/>
            <w:hideMark/>
          </w:tcPr>
          <w:p w14:paraId="52C197E8" w14:textId="77777777" w:rsidR="009A4C46" w:rsidRPr="00F94FED" w:rsidRDefault="009A4C46" w:rsidP="009A4C46">
            <w:pPr>
              <w:spacing w:after="0" w:line="240" w:lineRule="auto"/>
              <w:contextualSpacing/>
              <w:jc w:val="center"/>
              <w:rPr>
                <w:rFonts w:eastAsia="Times New Roman"/>
                <w:sz w:val="18"/>
                <w:szCs w:val="18"/>
                <w:lang w:eastAsia="ru-RU"/>
              </w:rPr>
            </w:pPr>
          </w:p>
        </w:tc>
        <w:tc>
          <w:tcPr>
            <w:tcW w:w="353" w:type="pct"/>
            <w:tcBorders>
              <w:top w:val="single" w:sz="4" w:space="0" w:color="FFFFFF" w:themeColor="background1"/>
              <w:left w:val="nil"/>
              <w:bottom w:val="single" w:sz="4" w:space="0" w:color="auto"/>
              <w:right w:val="single" w:sz="4" w:space="0" w:color="auto"/>
            </w:tcBorders>
            <w:shd w:val="clear" w:color="auto" w:fill="D6E3BC" w:themeFill="accent3" w:themeFillTint="66"/>
            <w:vAlign w:val="center"/>
          </w:tcPr>
          <w:p w14:paraId="67ED7586" w14:textId="77777777" w:rsidR="009A4C46" w:rsidRPr="00F94FED" w:rsidRDefault="009A4C46" w:rsidP="009A4C46">
            <w:pPr>
              <w:spacing w:after="0" w:line="240" w:lineRule="auto"/>
              <w:contextualSpacing/>
              <w:jc w:val="center"/>
              <w:rPr>
                <w:rFonts w:eastAsia="Times New Roman"/>
                <w:sz w:val="18"/>
                <w:szCs w:val="18"/>
                <w:lang w:eastAsia="ru-RU"/>
              </w:rPr>
            </w:pPr>
          </w:p>
        </w:tc>
        <w:tc>
          <w:tcPr>
            <w:tcW w:w="353" w:type="pct"/>
            <w:tcBorders>
              <w:top w:val="single" w:sz="4" w:space="0" w:color="FFFFFF" w:themeColor="background1"/>
              <w:left w:val="nil"/>
              <w:bottom w:val="single" w:sz="4" w:space="0" w:color="auto"/>
              <w:right w:val="single" w:sz="4" w:space="0" w:color="auto"/>
            </w:tcBorders>
            <w:shd w:val="clear" w:color="auto" w:fill="D6E3BC" w:themeFill="accent3" w:themeFillTint="66"/>
            <w:vAlign w:val="center"/>
            <w:hideMark/>
          </w:tcPr>
          <w:p w14:paraId="1BC27225" w14:textId="77777777" w:rsidR="009A4C46" w:rsidRPr="00F94FED" w:rsidRDefault="009A4C46" w:rsidP="009A4C46">
            <w:pPr>
              <w:spacing w:after="0" w:line="240" w:lineRule="auto"/>
              <w:contextualSpacing/>
              <w:jc w:val="center"/>
              <w:rPr>
                <w:rFonts w:eastAsia="Times New Roman"/>
                <w:sz w:val="18"/>
                <w:szCs w:val="18"/>
                <w:lang w:eastAsia="ru-RU"/>
              </w:rPr>
            </w:pPr>
            <w:r w:rsidRPr="00F94FED">
              <w:rPr>
                <w:rFonts w:eastAsia="Times New Roman"/>
                <w:sz w:val="18"/>
                <w:szCs w:val="18"/>
                <w:lang w:eastAsia="ru-RU"/>
              </w:rPr>
              <w:t>70,9</w:t>
            </w:r>
          </w:p>
        </w:tc>
        <w:tc>
          <w:tcPr>
            <w:tcW w:w="354" w:type="pct"/>
            <w:tcBorders>
              <w:top w:val="single" w:sz="4" w:space="0" w:color="FFFFFF" w:themeColor="background1"/>
              <w:left w:val="nil"/>
              <w:bottom w:val="single" w:sz="4" w:space="0" w:color="auto"/>
              <w:right w:val="single" w:sz="4" w:space="0" w:color="auto"/>
            </w:tcBorders>
            <w:shd w:val="clear" w:color="auto" w:fill="D6E3BC" w:themeFill="accent3" w:themeFillTint="66"/>
            <w:vAlign w:val="center"/>
            <w:hideMark/>
          </w:tcPr>
          <w:p w14:paraId="0DA1AE77" w14:textId="77777777" w:rsidR="009A4C46" w:rsidRPr="00F94FED" w:rsidRDefault="009A4C46" w:rsidP="009A4C46">
            <w:pPr>
              <w:spacing w:after="0" w:line="240" w:lineRule="auto"/>
              <w:contextualSpacing/>
              <w:jc w:val="center"/>
              <w:rPr>
                <w:rFonts w:eastAsia="Times New Roman"/>
                <w:sz w:val="18"/>
                <w:szCs w:val="18"/>
                <w:lang w:eastAsia="ru-RU"/>
              </w:rPr>
            </w:pPr>
            <w:r w:rsidRPr="00F94FED">
              <w:rPr>
                <w:rFonts w:eastAsia="Times New Roman"/>
                <w:sz w:val="18"/>
                <w:szCs w:val="18"/>
                <w:lang w:eastAsia="ru-RU"/>
              </w:rPr>
              <w:t>186,6</w:t>
            </w:r>
          </w:p>
        </w:tc>
        <w:tc>
          <w:tcPr>
            <w:tcW w:w="353" w:type="pct"/>
            <w:tcBorders>
              <w:top w:val="single" w:sz="4" w:space="0" w:color="FFFFFF" w:themeColor="background1"/>
              <w:left w:val="nil"/>
              <w:bottom w:val="single" w:sz="4" w:space="0" w:color="auto"/>
              <w:right w:val="single" w:sz="4" w:space="0" w:color="auto"/>
            </w:tcBorders>
            <w:shd w:val="clear" w:color="auto" w:fill="D6E3BC" w:themeFill="accent3" w:themeFillTint="66"/>
            <w:vAlign w:val="center"/>
            <w:hideMark/>
          </w:tcPr>
          <w:p w14:paraId="0EAEC77A" w14:textId="77777777" w:rsidR="009A4C46" w:rsidRPr="00F94FED" w:rsidRDefault="009A4C46" w:rsidP="009A4C46">
            <w:pPr>
              <w:spacing w:after="0" w:line="240" w:lineRule="auto"/>
              <w:contextualSpacing/>
              <w:jc w:val="center"/>
              <w:rPr>
                <w:rFonts w:eastAsia="Times New Roman"/>
                <w:sz w:val="18"/>
                <w:szCs w:val="18"/>
                <w:lang w:eastAsia="ru-RU"/>
              </w:rPr>
            </w:pPr>
            <w:r w:rsidRPr="00F94FED">
              <w:rPr>
                <w:rFonts w:eastAsia="Times New Roman"/>
                <w:sz w:val="18"/>
                <w:szCs w:val="18"/>
                <w:lang w:eastAsia="ru-RU"/>
              </w:rPr>
              <w:t>263,1</w:t>
            </w:r>
          </w:p>
        </w:tc>
        <w:tc>
          <w:tcPr>
            <w:tcW w:w="353" w:type="pct"/>
            <w:tcBorders>
              <w:top w:val="single" w:sz="4" w:space="0" w:color="FFFFFF" w:themeColor="background1"/>
              <w:left w:val="nil"/>
              <w:bottom w:val="single" w:sz="4" w:space="0" w:color="auto"/>
              <w:right w:val="single" w:sz="4" w:space="0" w:color="auto"/>
            </w:tcBorders>
            <w:shd w:val="clear" w:color="auto" w:fill="D6E3BC" w:themeFill="accent3" w:themeFillTint="66"/>
            <w:vAlign w:val="center"/>
          </w:tcPr>
          <w:p w14:paraId="6227484B" w14:textId="77777777" w:rsidR="009A4C46" w:rsidRPr="00F94FED" w:rsidRDefault="009A4C46" w:rsidP="009A4C46">
            <w:pPr>
              <w:spacing w:after="0" w:line="240" w:lineRule="auto"/>
              <w:contextualSpacing/>
              <w:jc w:val="center"/>
              <w:rPr>
                <w:rFonts w:eastAsia="Times New Roman"/>
                <w:sz w:val="18"/>
                <w:szCs w:val="18"/>
                <w:lang w:eastAsia="ru-RU"/>
              </w:rPr>
            </w:pPr>
          </w:p>
        </w:tc>
        <w:tc>
          <w:tcPr>
            <w:tcW w:w="353" w:type="pct"/>
            <w:tcBorders>
              <w:top w:val="single" w:sz="4" w:space="0" w:color="FFFFFF" w:themeColor="background1"/>
              <w:left w:val="nil"/>
              <w:bottom w:val="single" w:sz="4" w:space="0" w:color="auto"/>
              <w:right w:val="single" w:sz="4" w:space="0" w:color="auto"/>
            </w:tcBorders>
            <w:shd w:val="clear" w:color="auto" w:fill="D6E3BC" w:themeFill="accent3" w:themeFillTint="66"/>
            <w:vAlign w:val="center"/>
          </w:tcPr>
          <w:p w14:paraId="180D4F33" w14:textId="77777777" w:rsidR="009A4C46" w:rsidRPr="00F94FED" w:rsidRDefault="009A4C46" w:rsidP="009A4C46">
            <w:pPr>
              <w:spacing w:after="0" w:line="240" w:lineRule="auto"/>
              <w:contextualSpacing/>
              <w:jc w:val="center"/>
              <w:rPr>
                <w:rFonts w:eastAsia="Times New Roman"/>
                <w:sz w:val="18"/>
                <w:szCs w:val="18"/>
                <w:lang w:eastAsia="ru-RU"/>
              </w:rPr>
            </w:pPr>
          </w:p>
        </w:tc>
        <w:tc>
          <w:tcPr>
            <w:tcW w:w="353" w:type="pct"/>
            <w:tcBorders>
              <w:top w:val="single" w:sz="4" w:space="0" w:color="FFFFFF" w:themeColor="background1"/>
              <w:left w:val="nil"/>
              <w:bottom w:val="single" w:sz="4" w:space="0" w:color="auto"/>
              <w:right w:val="single" w:sz="4" w:space="0" w:color="auto"/>
            </w:tcBorders>
            <w:shd w:val="clear" w:color="auto" w:fill="D6E3BC" w:themeFill="accent3" w:themeFillTint="66"/>
            <w:vAlign w:val="center"/>
            <w:hideMark/>
          </w:tcPr>
          <w:p w14:paraId="51A404DC" w14:textId="77777777" w:rsidR="009A4C46" w:rsidRPr="00F94FED" w:rsidRDefault="009A4C46" w:rsidP="009A4C46">
            <w:pPr>
              <w:spacing w:after="0" w:line="240" w:lineRule="auto"/>
              <w:contextualSpacing/>
              <w:jc w:val="center"/>
              <w:rPr>
                <w:rFonts w:eastAsia="Times New Roman"/>
                <w:sz w:val="18"/>
                <w:szCs w:val="18"/>
                <w:lang w:eastAsia="ru-RU"/>
              </w:rPr>
            </w:pPr>
            <w:r w:rsidRPr="00F94FED">
              <w:rPr>
                <w:rFonts w:eastAsia="Times New Roman"/>
                <w:sz w:val="18"/>
                <w:szCs w:val="18"/>
                <w:lang w:eastAsia="ru-RU"/>
              </w:rPr>
              <w:t>68,1</w:t>
            </w:r>
          </w:p>
        </w:tc>
        <w:tc>
          <w:tcPr>
            <w:tcW w:w="354" w:type="pct"/>
            <w:tcBorders>
              <w:top w:val="single" w:sz="4" w:space="0" w:color="FFFFFF" w:themeColor="background1"/>
              <w:left w:val="nil"/>
              <w:bottom w:val="single" w:sz="4" w:space="0" w:color="auto"/>
              <w:right w:val="single" w:sz="4" w:space="0" w:color="auto"/>
            </w:tcBorders>
            <w:shd w:val="clear" w:color="auto" w:fill="D6E3BC" w:themeFill="accent3" w:themeFillTint="66"/>
            <w:vAlign w:val="center"/>
            <w:hideMark/>
          </w:tcPr>
          <w:p w14:paraId="1C5B41A4" w14:textId="77777777" w:rsidR="009A4C46" w:rsidRPr="00F94FED" w:rsidRDefault="009A4C46" w:rsidP="009A4C46">
            <w:pPr>
              <w:spacing w:after="0" w:line="240" w:lineRule="auto"/>
              <w:contextualSpacing/>
              <w:jc w:val="center"/>
              <w:rPr>
                <w:rFonts w:eastAsia="Times New Roman"/>
                <w:sz w:val="18"/>
                <w:szCs w:val="18"/>
                <w:lang w:eastAsia="ru-RU"/>
              </w:rPr>
            </w:pPr>
            <w:r w:rsidRPr="00F94FED">
              <w:rPr>
                <w:rFonts w:eastAsia="Times New Roman"/>
                <w:sz w:val="18"/>
                <w:szCs w:val="18"/>
                <w:lang w:eastAsia="ru-RU"/>
              </w:rPr>
              <w:t>195,0</w:t>
            </w:r>
          </w:p>
        </w:tc>
      </w:tr>
      <w:tr w:rsidR="009A4C46" w:rsidRPr="002D4169" w14:paraId="7AE90DFD" w14:textId="77777777" w:rsidTr="0065708A">
        <w:trPr>
          <w:trHeight w:val="300"/>
        </w:trPr>
        <w:tc>
          <w:tcPr>
            <w:tcW w:w="293" w:type="pct"/>
            <w:tcBorders>
              <w:top w:val="nil"/>
              <w:left w:val="single" w:sz="4" w:space="0" w:color="auto"/>
              <w:bottom w:val="single" w:sz="4" w:space="0" w:color="auto"/>
              <w:right w:val="single" w:sz="4" w:space="0" w:color="auto"/>
            </w:tcBorders>
            <w:shd w:val="clear" w:color="auto" w:fill="auto"/>
            <w:vAlign w:val="bottom"/>
            <w:hideMark/>
          </w:tcPr>
          <w:p w14:paraId="265B89FF" w14:textId="77777777" w:rsidR="009A4C46" w:rsidRPr="00F94FED" w:rsidRDefault="009A4C46" w:rsidP="009A4C46">
            <w:pPr>
              <w:spacing w:after="0" w:line="240" w:lineRule="auto"/>
              <w:contextualSpacing/>
              <w:jc w:val="both"/>
              <w:rPr>
                <w:rFonts w:eastAsia="Times New Roman"/>
                <w:sz w:val="18"/>
                <w:szCs w:val="18"/>
                <w:lang w:eastAsia="ru-RU"/>
              </w:rPr>
            </w:pPr>
            <w:r w:rsidRPr="00F94FED">
              <w:rPr>
                <w:rFonts w:eastAsia="Times New Roman"/>
                <w:sz w:val="18"/>
                <w:szCs w:val="18"/>
                <w:lang w:eastAsia="ru-RU"/>
              </w:rPr>
              <w:t>0.1</w:t>
            </w:r>
          </w:p>
        </w:tc>
        <w:tc>
          <w:tcPr>
            <w:tcW w:w="1174" w:type="pct"/>
            <w:tcBorders>
              <w:top w:val="nil"/>
              <w:left w:val="nil"/>
              <w:bottom w:val="single" w:sz="4" w:space="0" w:color="auto"/>
              <w:right w:val="single" w:sz="4" w:space="0" w:color="auto"/>
            </w:tcBorders>
            <w:shd w:val="clear" w:color="auto" w:fill="auto"/>
            <w:vAlign w:val="bottom"/>
            <w:hideMark/>
          </w:tcPr>
          <w:p w14:paraId="20C9B569" w14:textId="77777777" w:rsidR="009A4C46" w:rsidRPr="00F94FED" w:rsidRDefault="009A4C46" w:rsidP="009A4C46">
            <w:pPr>
              <w:spacing w:after="0" w:line="240" w:lineRule="auto"/>
              <w:contextualSpacing/>
              <w:rPr>
                <w:rFonts w:eastAsia="Times New Roman"/>
                <w:sz w:val="18"/>
                <w:szCs w:val="18"/>
                <w:lang w:eastAsia="ru-RU"/>
              </w:rPr>
            </w:pPr>
            <w:r w:rsidRPr="00F94FED">
              <w:rPr>
                <w:rFonts w:eastAsia="Times New Roman"/>
                <w:sz w:val="18"/>
                <w:szCs w:val="18"/>
                <w:lang w:eastAsia="ru-RU"/>
              </w:rPr>
              <w:t>Технологическое присоединение, всего</w:t>
            </w:r>
          </w:p>
        </w:tc>
        <w:tc>
          <w:tcPr>
            <w:tcW w:w="353" w:type="pct"/>
            <w:tcBorders>
              <w:top w:val="nil"/>
              <w:left w:val="nil"/>
              <w:bottom w:val="single" w:sz="4" w:space="0" w:color="auto"/>
              <w:right w:val="single" w:sz="4" w:space="0" w:color="auto"/>
            </w:tcBorders>
            <w:shd w:val="clear" w:color="auto" w:fill="auto"/>
            <w:vAlign w:val="center"/>
            <w:hideMark/>
          </w:tcPr>
          <w:p w14:paraId="75413257" w14:textId="77777777" w:rsidR="009A4C46" w:rsidRPr="00F94FED" w:rsidRDefault="009A4C46" w:rsidP="009A4C46">
            <w:pPr>
              <w:spacing w:after="0" w:line="240" w:lineRule="auto"/>
              <w:contextualSpacing/>
              <w:jc w:val="center"/>
              <w:rPr>
                <w:rFonts w:eastAsia="Times New Roman"/>
                <w:sz w:val="18"/>
                <w:szCs w:val="18"/>
                <w:lang w:eastAsia="ru-RU"/>
              </w:rPr>
            </w:pPr>
            <w:r w:rsidRPr="00F94FED">
              <w:rPr>
                <w:rFonts w:eastAsia="Times New Roman"/>
                <w:sz w:val="18"/>
                <w:szCs w:val="18"/>
                <w:lang w:eastAsia="ru-RU"/>
              </w:rPr>
              <w:t>209,5</w:t>
            </w:r>
          </w:p>
        </w:tc>
        <w:tc>
          <w:tcPr>
            <w:tcW w:w="353" w:type="pct"/>
            <w:tcBorders>
              <w:top w:val="nil"/>
              <w:left w:val="nil"/>
              <w:bottom w:val="single" w:sz="4" w:space="0" w:color="auto"/>
              <w:right w:val="single" w:sz="4" w:space="0" w:color="auto"/>
            </w:tcBorders>
            <w:shd w:val="clear" w:color="auto" w:fill="auto"/>
            <w:vAlign w:val="center"/>
          </w:tcPr>
          <w:p w14:paraId="61353275" w14:textId="77777777" w:rsidR="009A4C46" w:rsidRPr="00F94FED" w:rsidRDefault="009A4C46" w:rsidP="009A4C46">
            <w:pPr>
              <w:spacing w:after="0" w:line="240" w:lineRule="auto"/>
              <w:contextualSpacing/>
              <w:jc w:val="center"/>
              <w:rPr>
                <w:rFonts w:eastAsia="Times New Roman"/>
                <w:sz w:val="18"/>
                <w:szCs w:val="18"/>
                <w:lang w:eastAsia="ru-RU"/>
              </w:rPr>
            </w:pPr>
          </w:p>
        </w:tc>
        <w:tc>
          <w:tcPr>
            <w:tcW w:w="353" w:type="pct"/>
            <w:tcBorders>
              <w:top w:val="nil"/>
              <w:left w:val="nil"/>
              <w:bottom w:val="single" w:sz="4" w:space="0" w:color="auto"/>
              <w:right w:val="single" w:sz="4" w:space="0" w:color="auto"/>
            </w:tcBorders>
            <w:shd w:val="clear" w:color="auto" w:fill="auto"/>
            <w:vAlign w:val="center"/>
          </w:tcPr>
          <w:p w14:paraId="50DDA046" w14:textId="77777777" w:rsidR="009A4C46" w:rsidRPr="00F94FED" w:rsidRDefault="009A4C46" w:rsidP="009A4C46">
            <w:pPr>
              <w:spacing w:after="0" w:line="240" w:lineRule="auto"/>
              <w:contextualSpacing/>
              <w:jc w:val="center"/>
              <w:rPr>
                <w:rFonts w:eastAsia="Times New Roman"/>
                <w:sz w:val="18"/>
                <w:szCs w:val="18"/>
                <w:lang w:eastAsia="ru-RU"/>
              </w:rPr>
            </w:pPr>
          </w:p>
        </w:tc>
        <w:tc>
          <w:tcPr>
            <w:tcW w:w="353" w:type="pct"/>
            <w:tcBorders>
              <w:top w:val="nil"/>
              <w:left w:val="nil"/>
              <w:bottom w:val="single" w:sz="4" w:space="0" w:color="auto"/>
              <w:right w:val="single" w:sz="4" w:space="0" w:color="auto"/>
            </w:tcBorders>
            <w:shd w:val="clear" w:color="auto" w:fill="auto"/>
            <w:vAlign w:val="center"/>
            <w:hideMark/>
          </w:tcPr>
          <w:p w14:paraId="615A7B3D" w14:textId="77777777" w:rsidR="009A4C46" w:rsidRPr="00F94FED" w:rsidRDefault="009A4C46" w:rsidP="009A4C46">
            <w:pPr>
              <w:spacing w:after="0" w:line="240" w:lineRule="auto"/>
              <w:contextualSpacing/>
              <w:jc w:val="center"/>
              <w:rPr>
                <w:rFonts w:eastAsia="Times New Roman"/>
                <w:sz w:val="18"/>
                <w:szCs w:val="18"/>
                <w:lang w:eastAsia="ru-RU"/>
              </w:rPr>
            </w:pPr>
            <w:r w:rsidRPr="00F94FED">
              <w:rPr>
                <w:rFonts w:eastAsia="Times New Roman"/>
                <w:sz w:val="18"/>
                <w:szCs w:val="18"/>
                <w:lang w:eastAsia="ru-RU"/>
              </w:rPr>
              <w:t>30,2</w:t>
            </w:r>
          </w:p>
        </w:tc>
        <w:tc>
          <w:tcPr>
            <w:tcW w:w="354" w:type="pct"/>
            <w:tcBorders>
              <w:top w:val="nil"/>
              <w:left w:val="nil"/>
              <w:bottom w:val="single" w:sz="4" w:space="0" w:color="auto"/>
              <w:right w:val="single" w:sz="4" w:space="0" w:color="auto"/>
            </w:tcBorders>
            <w:shd w:val="clear" w:color="auto" w:fill="auto"/>
            <w:vAlign w:val="center"/>
            <w:hideMark/>
          </w:tcPr>
          <w:p w14:paraId="6736BCE2" w14:textId="77777777" w:rsidR="009A4C46" w:rsidRPr="00F94FED" w:rsidRDefault="009A4C46" w:rsidP="009A4C46">
            <w:pPr>
              <w:spacing w:after="0" w:line="240" w:lineRule="auto"/>
              <w:contextualSpacing/>
              <w:jc w:val="center"/>
              <w:rPr>
                <w:rFonts w:eastAsia="Times New Roman"/>
                <w:sz w:val="18"/>
                <w:szCs w:val="18"/>
                <w:lang w:eastAsia="ru-RU"/>
              </w:rPr>
            </w:pPr>
            <w:r w:rsidRPr="00F94FED">
              <w:rPr>
                <w:rFonts w:eastAsia="Times New Roman"/>
                <w:sz w:val="18"/>
                <w:szCs w:val="18"/>
                <w:lang w:eastAsia="ru-RU"/>
              </w:rPr>
              <w:t>179,3</w:t>
            </w:r>
          </w:p>
        </w:tc>
        <w:tc>
          <w:tcPr>
            <w:tcW w:w="353" w:type="pct"/>
            <w:tcBorders>
              <w:top w:val="nil"/>
              <w:left w:val="nil"/>
              <w:bottom w:val="single" w:sz="4" w:space="0" w:color="auto"/>
              <w:right w:val="single" w:sz="4" w:space="0" w:color="auto"/>
            </w:tcBorders>
            <w:shd w:val="clear" w:color="auto" w:fill="auto"/>
            <w:vAlign w:val="center"/>
            <w:hideMark/>
          </w:tcPr>
          <w:p w14:paraId="39F90F41" w14:textId="77777777" w:rsidR="009A4C46" w:rsidRPr="00F94FED" w:rsidRDefault="009A4C46" w:rsidP="009A4C46">
            <w:pPr>
              <w:spacing w:after="0" w:line="240" w:lineRule="auto"/>
              <w:contextualSpacing/>
              <w:jc w:val="center"/>
              <w:rPr>
                <w:rFonts w:eastAsia="Times New Roman"/>
                <w:sz w:val="18"/>
                <w:szCs w:val="18"/>
                <w:lang w:eastAsia="ru-RU"/>
              </w:rPr>
            </w:pPr>
            <w:r w:rsidRPr="00F94FED">
              <w:rPr>
                <w:rFonts w:eastAsia="Times New Roman"/>
                <w:sz w:val="18"/>
                <w:szCs w:val="18"/>
                <w:lang w:eastAsia="ru-RU"/>
              </w:rPr>
              <w:t>222,1</w:t>
            </w:r>
          </w:p>
        </w:tc>
        <w:tc>
          <w:tcPr>
            <w:tcW w:w="353" w:type="pct"/>
            <w:tcBorders>
              <w:top w:val="nil"/>
              <w:left w:val="nil"/>
              <w:bottom w:val="single" w:sz="4" w:space="0" w:color="auto"/>
              <w:right w:val="single" w:sz="4" w:space="0" w:color="auto"/>
            </w:tcBorders>
            <w:shd w:val="clear" w:color="auto" w:fill="auto"/>
            <w:vAlign w:val="center"/>
          </w:tcPr>
          <w:p w14:paraId="22CB12B2" w14:textId="77777777" w:rsidR="009A4C46" w:rsidRPr="00F94FED" w:rsidRDefault="009A4C46" w:rsidP="009A4C46">
            <w:pPr>
              <w:spacing w:after="0" w:line="240" w:lineRule="auto"/>
              <w:contextualSpacing/>
              <w:jc w:val="center"/>
              <w:rPr>
                <w:rFonts w:eastAsia="Times New Roman"/>
                <w:sz w:val="18"/>
                <w:szCs w:val="18"/>
                <w:lang w:eastAsia="ru-RU"/>
              </w:rPr>
            </w:pPr>
          </w:p>
        </w:tc>
        <w:tc>
          <w:tcPr>
            <w:tcW w:w="353" w:type="pct"/>
            <w:tcBorders>
              <w:top w:val="nil"/>
              <w:left w:val="nil"/>
              <w:bottom w:val="single" w:sz="4" w:space="0" w:color="auto"/>
              <w:right w:val="single" w:sz="4" w:space="0" w:color="auto"/>
            </w:tcBorders>
            <w:shd w:val="clear" w:color="auto" w:fill="auto"/>
            <w:vAlign w:val="center"/>
          </w:tcPr>
          <w:p w14:paraId="63990796" w14:textId="77777777" w:rsidR="009A4C46" w:rsidRPr="00F94FED" w:rsidRDefault="009A4C46" w:rsidP="009A4C46">
            <w:pPr>
              <w:spacing w:after="0" w:line="240" w:lineRule="auto"/>
              <w:contextualSpacing/>
              <w:jc w:val="center"/>
              <w:rPr>
                <w:rFonts w:eastAsia="Times New Roman"/>
                <w:sz w:val="18"/>
                <w:szCs w:val="18"/>
                <w:lang w:eastAsia="ru-RU"/>
              </w:rPr>
            </w:pPr>
          </w:p>
        </w:tc>
        <w:tc>
          <w:tcPr>
            <w:tcW w:w="353" w:type="pct"/>
            <w:tcBorders>
              <w:top w:val="nil"/>
              <w:left w:val="nil"/>
              <w:bottom w:val="single" w:sz="4" w:space="0" w:color="auto"/>
              <w:right w:val="single" w:sz="4" w:space="0" w:color="auto"/>
            </w:tcBorders>
            <w:shd w:val="clear" w:color="auto" w:fill="auto"/>
            <w:vAlign w:val="center"/>
            <w:hideMark/>
          </w:tcPr>
          <w:p w14:paraId="00C4E5EE" w14:textId="77777777" w:rsidR="009A4C46" w:rsidRPr="00F94FED" w:rsidRDefault="009A4C46" w:rsidP="009A4C46">
            <w:pPr>
              <w:spacing w:after="0" w:line="240" w:lineRule="auto"/>
              <w:contextualSpacing/>
              <w:jc w:val="center"/>
              <w:rPr>
                <w:rFonts w:eastAsia="Times New Roman"/>
                <w:sz w:val="18"/>
                <w:szCs w:val="18"/>
                <w:lang w:eastAsia="ru-RU"/>
              </w:rPr>
            </w:pPr>
            <w:r w:rsidRPr="00F94FED">
              <w:rPr>
                <w:rFonts w:eastAsia="Times New Roman"/>
                <w:sz w:val="18"/>
                <w:szCs w:val="18"/>
                <w:lang w:eastAsia="ru-RU"/>
              </w:rPr>
              <w:t>32,3</w:t>
            </w:r>
          </w:p>
        </w:tc>
        <w:tc>
          <w:tcPr>
            <w:tcW w:w="354" w:type="pct"/>
            <w:tcBorders>
              <w:top w:val="nil"/>
              <w:left w:val="nil"/>
              <w:bottom w:val="single" w:sz="4" w:space="0" w:color="auto"/>
              <w:right w:val="single" w:sz="4" w:space="0" w:color="auto"/>
            </w:tcBorders>
            <w:shd w:val="clear" w:color="auto" w:fill="auto"/>
            <w:vAlign w:val="center"/>
            <w:hideMark/>
          </w:tcPr>
          <w:p w14:paraId="1CB5862C" w14:textId="77777777" w:rsidR="009A4C46" w:rsidRPr="00F94FED" w:rsidRDefault="009A4C46" w:rsidP="009A4C46">
            <w:pPr>
              <w:spacing w:after="0" w:line="240" w:lineRule="auto"/>
              <w:contextualSpacing/>
              <w:jc w:val="center"/>
              <w:rPr>
                <w:rFonts w:eastAsia="Times New Roman"/>
                <w:sz w:val="18"/>
                <w:szCs w:val="18"/>
                <w:lang w:eastAsia="ru-RU"/>
              </w:rPr>
            </w:pPr>
            <w:r w:rsidRPr="00F94FED">
              <w:rPr>
                <w:rFonts w:eastAsia="Times New Roman"/>
                <w:sz w:val="18"/>
                <w:szCs w:val="18"/>
                <w:lang w:eastAsia="ru-RU"/>
              </w:rPr>
              <w:t>189,8</w:t>
            </w:r>
          </w:p>
        </w:tc>
      </w:tr>
      <w:tr w:rsidR="009A4C46" w:rsidRPr="002D4169" w14:paraId="118611D9" w14:textId="77777777" w:rsidTr="00F94FED">
        <w:trPr>
          <w:trHeight w:val="600"/>
        </w:trPr>
        <w:tc>
          <w:tcPr>
            <w:tcW w:w="293" w:type="pct"/>
            <w:tcBorders>
              <w:top w:val="nil"/>
              <w:left w:val="single" w:sz="4" w:space="0" w:color="auto"/>
              <w:bottom w:val="single" w:sz="4" w:space="0" w:color="auto"/>
              <w:right w:val="single" w:sz="4" w:space="0" w:color="auto"/>
            </w:tcBorders>
            <w:shd w:val="clear" w:color="auto" w:fill="auto"/>
            <w:vAlign w:val="bottom"/>
            <w:hideMark/>
          </w:tcPr>
          <w:p w14:paraId="59CA9D9B" w14:textId="77777777" w:rsidR="009A4C46" w:rsidRPr="00F94FED" w:rsidRDefault="009A4C46" w:rsidP="009A4C46">
            <w:pPr>
              <w:spacing w:after="0" w:line="240" w:lineRule="auto"/>
              <w:contextualSpacing/>
              <w:jc w:val="both"/>
              <w:rPr>
                <w:rFonts w:eastAsia="Times New Roman"/>
                <w:sz w:val="18"/>
                <w:szCs w:val="18"/>
                <w:lang w:eastAsia="ru-RU"/>
              </w:rPr>
            </w:pPr>
            <w:r w:rsidRPr="00F94FED">
              <w:rPr>
                <w:rFonts w:eastAsia="Times New Roman"/>
                <w:sz w:val="18"/>
                <w:szCs w:val="18"/>
                <w:lang w:eastAsia="ru-RU"/>
              </w:rPr>
              <w:t>0.2</w:t>
            </w:r>
          </w:p>
        </w:tc>
        <w:tc>
          <w:tcPr>
            <w:tcW w:w="1174" w:type="pct"/>
            <w:tcBorders>
              <w:top w:val="nil"/>
              <w:left w:val="nil"/>
              <w:bottom w:val="single" w:sz="4" w:space="0" w:color="auto"/>
              <w:right w:val="single" w:sz="4" w:space="0" w:color="auto"/>
            </w:tcBorders>
            <w:shd w:val="clear" w:color="auto" w:fill="auto"/>
            <w:vAlign w:val="bottom"/>
            <w:hideMark/>
          </w:tcPr>
          <w:p w14:paraId="4D0D1AC0" w14:textId="77777777" w:rsidR="009A4C46" w:rsidRPr="00F94FED" w:rsidRDefault="009A4C46" w:rsidP="009A4C46">
            <w:pPr>
              <w:spacing w:after="0" w:line="240" w:lineRule="auto"/>
              <w:contextualSpacing/>
              <w:rPr>
                <w:rFonts w:eastAsia="Times New Roman"/>
                <w:sz w:val="18"/>
                <w:szCs w:val="18"/>
                <w:lang w:eastAsia="ru-RU"/>
              </w:rPr>
            </w:pPr>
            <w:r w:rsidRPr="00F94FED">
              <w:rPr>
                <w:rFonts w:eastAsia="Times New Roman"/>
                <w:sz w:val="18"/>
                <w:szCs w:val="18"/>
                <w:lang w:eastAsia="ru-RU"/>
              </w:rPr>
              <w:t>Реконструкция, модернизация, техническое перевооружение, всего</w:t>
            </w:r>
          </w:p>
        </w:tc>
        <w:tc>
          <w:tcPr>
            <w:tcW w:w="353" w:type="pct"/>
            <w:tcBorders>
              <w:top w:val="nil"/>
              <w:left w:val="nil"/>
              <w:bottom w:val="single" w:sz="4" w:space="0" w:color="auto"/>
              <w:right w:val="single" w:sz="4" w:space="0" w:color="auto"/>
            </w:tcBorders>
            <w:shd w:val="clear" w:color="auto" w:fill="auto"/>
            <w:vAlign w:val="center"/>
            <w:hideMark/>
          </w:tcPr>
          <w:p w14:paraId="0AC8109E" w14:textId="77777777" w:rsidR="009A4C46" w:rsidRPr="00F94FED" w:rsidRDefault="009A4C46" w:rsidP="009A4C46">
            <w:pPr>
              <w:spacing w:after="0" w:line="240" w:lineRule="auto"/>
              <w:contextualSpacing/>
              <w:jc w:val="center"/>
              <w:rPr>
                <w:rFonts w:eastAsia="Times New Roman"/>
                <w:sz w:val="18"/>
                <w:szCs w:val="18"/>
                <w:lang w:eastAsia="ru-RU"/>
              </w:rPr>
            </w:pPr>
            <w:r w:rsidRPr="00F94FED">
              <w:rPr>
                <w:rFonts w:eastAsia="Times New Roman"/>
                <w:sz w:val="18"/>
                <w:szCs w:val="18"/>
                <w:lang w:eastAsia="ru-RU"/>
              </w:rPr>
              <w:t>37,1</w:t>
            </w:r>
          </w:p>
        </w:tc>
        <w:tc>
          <w:tcPr>
            <w:tcW w:w="353" w:type="pct"/>
            <w:tcBorders>
              <w:top w:val="nil"/>
              <w:left w:val="nil"/>
              <w:bottom w:val="single" w:sz="4" w:space="0" w:color="auto"/>
              <w:right w:val="single" w:sz="4" w:space="0" w:color="auto"/>
            </w:tcBorders>
            <w:shd w:val="clear" w:color="auto" w:fill="auto"/>
            <w:vAlign w:val="center"/>
          </w:tcPr>
          <w:p w14:paraId="38324136" w14:textId="77777777" w:rsidR="009A4C46" w:rsidRPr="00F94FED" w:rsidRDefault="009A4C46" w:rsidP="009A4C46">
            <w:pPr>
              <w:spacing w:after="0" w:line="240" w:lineRule="auto"/>
              <w:contextualSpacing/>
              <w:jc w:val="center"/>
              <w:rPr>
                <w:rFonts w:eastAsia="Times New Roman"/>
                <w:sz w:val="18"/>
                <w:szCs w:val="18"/>
                <w:lang w:eastAsia="ru-RU"/>
              </w:rPr>
            </w:pPr>
          </w:p>
        </w:tc>
        <w:tc>
          <w:tcPr>
            <w:tcW w:w="353" w:type="pct"/>
            <w:tcBorders>
              <w:top w:val="nil"/>
              <w:left w:val="nil"/>
              <w:bottom w:val="single" w:sz="4" w:space="0" w:color="auto"/>
              <w:right w:val="single" w:sz="4" w:space="0" w:color="auto"/>
            </w:tcBorders>
            <w:shd w:val="clear" w:color="auto" w:fill="auto"/>
            <w:vAlign w:val="center"/>
          </w:tcPr>
          <w:p w14:paraId="7AFC76DA" w14:textId="77777777" w:rsidR="009A4C46" w:rsidRPr="00F94FED" w:rsidRDefault="009A4C46" w:rsidP="009A4C46">
            <w:pPr>
              <w:spacing w:after="0" w:line="240" w:lineRule="auto"/>
              <w:contextualSpacing/>
              <w:jc w:val="center"/>
              <w:rPr>
                <w:rFonts w:eastAsia="Times New Roman"/>
                <w:sz w:val="18"/>
                <w:szCs w:val="18"/>
                <w:lang w:eastAsia="ru-RU"/>
              </w:rPr>
            </w:pPr>
          </w:p>
        </w:tc>
        <w:tc>
          <w:tcPr>
            <w:tcW w:w="353" w:type="pct"/>
            <w:tcBorders>
              <w:top w:val="nil"/>
              <w:left w:val="nil"/>
              <w:bottom w:val="single" w:sz="4" w:space="0" w:color="auto"/>
              <w:right w:val="single" w:sz="4" w:space="0" w:color="auto"/>
            </w:tcBorders>
            <w:shd w:val="clear" w:color="auto" w:fill="auto"/>
            <w:vAlign w:val="center"/>
            <w:hideMark/>
          </w:tcPr>
          <w:p w14:paraId="426878EA" w14:textId="77777777" w:rsidR="009A4C46" w:rsidRPr="00F94FED" w:rsidRDefault="009A4C46" w:rsidP="009A4C46">
            <w:pPr>
              <w:spacing w:after="0" w:line="240" w:lineRule="auto"/>
              <w:contextualSpacing/>
              <w:jc w:val="center"/>
              <w:rPr>
                <w:rFonts w:eastAsia="Times New Roman"/>
                <w:sz w:val="18"/>
                <w:szCs w:val="18"/>
                <w:lang w:eastAsia="ru-RU"/>
              </w:rPr>
            </w:pPr>
            <w:r w:rsidRPr="00F94FED">
              <w:rPr>
                <w:rFonts w:eastAsia="Times New Roman"/>
                <w:sz w:val="18"/>
                <w:szCs w:val="18"/>
                <w:lang w:eastAsia="ru-RU"/>
              </w:rPr>
              <w:t>31,5</w:t>
            </w:r>
          </w:p>
        </w:tc>
        <w:tc>
          <w:tcPr>
            <w:tcW w:w="354" w:type="pct"/>
            <w:tcBorders>
              <w:top w:val="nil"/>
              <w:left w:val="nil"/>
              <w:bottom w:val="single" w:sz="4" w:space="0" w:color="auto"/>
              <w:right w:val="single" w:sz="4" w:space="0" w:color="auto"/>
            </w:tcBorders>
            <w:shd w:val="clear" w:color="auto" w:fill="auto"/>
            <w:vAlign w:val="center"/>
            <w:hideMark/>
          </w:tcPr>
          <w:p w14:paraId="3CF37C41" w14:textId="77777777" w:rsidR="009A4C46" w:rsidRPr="00F94FED" w:rsidRDefault="009A4C46" w:rsidP="009A4C46">
            <w:pPr>
              <w:spacing w:after="0" w:line="240" w:lineRule="auto"/>
              <w:contextualSpacing/>
              <w:jc w:val="center"/>
              <w:rPr>
                <w:rFonts w:eastAsia="Times New Roman"/>
                <w:sz w:val="18"/>
                <w:szCs w:val="18"/>
                <w:lang w:eastAsia="ru-RU"/>
              </w:rPr>
            </w:pPr>
            <w:r w:rsidRPr="00F94FED">
              <w:rPr>
                <w:rFonts w:eastAsia="Times New Roman"/>
                <w:sz w:val="18"/>
                <w:szCs w:val="18"/>
                <w:lang w:eastAsia="ru-RU"/>
              </w:rPr>
              <w:t>5,7</w:t>
            </w:r>
          </w:p>
        </w:tc>
        <w:tc>
          <w:tcPr>
            <w:tcW w:w="353" w:type="pct"/>
            <w:tcBorders>
              <w:top w:val="nil"/>
              <w:left w:val="nil"/>
              <w:bottom w:val="single" w:sz="4" w:space="0" w:color="auto"/>
              <w:right w:val="single" w:sz="4" w:space="0" w:color="auto"/>
            </w:tcBorders>
            <w:shd w:val="clear" w:color="auto" w:fill="auto"/>
            <w:vAlign w:val="center"/>
            <w:hideMark/>
          </w:tcPr>
          <w:p w14:paraId="63F29BE2" w14:textId="77777777" w:rsidR="009A4C46" w:rsidRPr="00F94FED" w:rsidRDefault="009A4C46" w:rsidP="009A4C46">
            <w:pPr>
              <w:spacing w:after="0" w:line="240" w:lineRule="auto"/>
              <w:contextualSpacing/>
              <w:jc w:val="center"/>
              <w:rPr>
                <w:rFonts w:eastAsia="Times New Roman"/>
                <w:sz w:val="18"/>
                <w:szCs w:val="18"/>
                <w:lang w:eastAsia="ru-RU"/>
              </w:rPr>
            </w:pPr>
            <w:r w:rsidRPr="00F94FED">
              <w:rPr>
                <w:rFonts w:eastAsia="Times New Roman"/>
                <w:sz w:val="18"/>
                <w:szCs w:val="18"/>
                <w:lang w:eastAsia="ru-RU"/>
              </w:rPr>
              <w:t>32,3</w:t>
            </w:r>
          </w:p>
        </w:tc>
        <w:tc>
          <w:tcPr>
            <w:tcW w:w="353" w:type="pct"/>
            <w:tcBorders>
              <w:top w:val="nil"/>
              <w:left w:val="nil"/>
              <w:bottom w:val="single" w:sz="4" w:space="0" w:color="auto"/>
              <w:right w:val="single" w:sz="4" w:space="0" w:color="auto"/>
            </w:tcBorders>
            <w:shd w:val="clear" w:color="auto" w:fill="auto"/>
            <w:vAlign w:val="center"/>
          </w:tcPr>
          <w:p w14:paraId="6D5317DF" w14:textId="77777777" w:rsidR="009A4C46" w:rsidRPr="00F94FED" w:rsidRDefault="009A4C46" w:rsidP="009A4C46">
            <w:pPr>
              <w:spacing w:after="0" w:line="240" w:lineRule="auto"/>
              <w:contextualSpacing/>
              <w:jc w:val="center"/>
              <w:rPr>
                <w:rFonts w:eastAsia="Times New Roman"/>
                <w:sz w:val="18"/>
                <w:szCs w:val="18"/>
                <w:lang w:eastAsia="ru-RU"/>
              </w:rPr>
            </w:pPr>
          </w:p>
        </w:tc>
        <w:tc>
          <w:tcPr>
            <w:tcW w:w="353" w:type="pct"/>
            <w:tcBorders>
              <w:top w:val="nil"/>
              <w:left w:val="nil"/>
              <w:bottom w:val="single" w:sz="4" w:space="0" w:color="auto"/>
              <w:right w:val="single" w:sz="4" w:space="0" w:color="auto"/>
            </w:tcBorders>
            <w:shd w:val="clear" w:color="auto" w:fill="auto"/>
            <w:vAlign w:val="center"/>
          </w:tcPr>
          <w:p w14:paraId="27C7BFFF" w14:textId="77777777" w:rsidR="009A4C46" w:rsidRPr="00F94FED" w:rsidRDefault="009A4C46" w:rsidP="009A4C46">
            <w:pPr>
              <w:spacing w:after="0" w:line="240" w:lineRule="auto"/>
              <w:contextualSpacing/>
              <w:jc w:val="center"/>
              <w:rPr>
                <w:rFonts w:eastAsia="Times New Roman"/>
                <w:sz w:val="18"/>
                <w:szCs w:val="18"/>
                <w:lang w:eastAsia="ru-RU"/>
              </w:rPr>
            </w:pPr>
          </w:p>
        </w:tc>
        <w:tc>
          <w:tcPr>
            <w:tcW w:w="353" w:type="pct"/>
            <w:tcBorders>
              <w:top w:val="nil"/>
              <w:left w:val="nil"/>
              <w:bottom w:val="single" w:sz="4" w:space="0" w:color="auto"/>
              <w:right w:val="single" w:sz="4" w:space="0" w:color="auto"/>
            </w:tcBorders>
            <w:shd w:val="clear" w:color="auto" w:fill="auto"/>
            <w:vAlign w:val="center"/>
            <w:hideMark/>
          </w:tcPr>
          <w:p w14:paraId="351D6863" w14:textId="77777777" w:rsidR="009A4C46" w:rsidRPr="00F94FED" w:rsidRDefault="009A4C46" w:rsidP="009A4C46">
            <w:pPr>
              <w:spacing w:after="0" w:line="240" w:lineRule="auto"/>
              <w:contextualSpacing/>
              <w:jc w:val="center"/>
              <w:rPr>
                <w:rFonts w:eastAsia="Times New Roman"/>
                <w:sz w:val="18"/>
                <w:szCs w:val="18"/>
                <w:lang w:eastAsia="ru-RU"/>
              </w:rPr>
            </w:pPr>
            <w:r w:rsidRPr="00F94FED">
              <w:rPr>
                <w:rFonts w:eastAsia="Times New Roman"/>
                <w:sz w:val="18"/>
                <w:szCs w:val="18"/>
                <w:lang w:eastAsia="ru-RU"/>
              </w:rPr>
              <w:t>28,5</w:t>
            </w:r>
          </w:p>
        </w:tc>
        <w:tc>
          <w:tcPr>
            <w:tcW w:w="354" w:type="pct"/>
            <w:tcBorders>
              <w:top w:val="nil"/>
              <w:left w:val="nil"/>
              <w:bottom w:val="single" w:sz="4" w:space="0" w:color="auto"/>
              <w:right w:val="single" w:sz="4" w:space="0" w:color="auto"/>
            </w:tcBorders>
            <w:shd w:val="clear" w:color="auto" w:fill="auto"/>
            <w:vAlign w:val="center"/>
            <w:hideMark/>
          </w:tcPr>
          <w:p w14:paraId="443A7422" w14:textId="77777777" w:rsidR="009A4C46" w:rsidRPr="00F94FED" w:rsidRDefault="009A4C46" w:rsidP="009A4C46">
            <w:pPr>
              <w:spacing w:after="0" w:line="240" w:lineRule="auto"/>
              <w:contextualSpacing/>
              <w:jc w:val="center"/>
              <w:rPr>
                <w:rFonts w:eastAsia="Times New Roman"/>
                <w:sz w:val="18"/>
                <w:szCs w:val="18"/>
                <w:lang w:eastAsia="ru-RU"/>
              </w:rPr>
            </w:pPr>
            <w:r w:rsidRPr="00F94FED">
              <w:rPr>
                <w:rFonts w:eastAsia="Times New Roman"/>
                <w:sz w:val="18"/>
                <w:szCs w:val="18"/>
                <w:lang w:eastAsia="ru-RU"/>
              </w:rPr>
              <w:t>3,8</w:t>
            </w:r>
          </w:p>
        </w:tc>
      </w:tr>
      <w:tr w:rsidR="009A4C46" w:rsidRPr="002D4169" w14:paraId="0244F5E0" w14:textId="77777777" w:rsidTr="00F94FED">
        <w:trPr>
          <w:trHeight w:val="1200"/>
        </w:trPr>
        <w:tc>
          <w:tcPr>
            <w:tcW w:w="293" w:type="pct"/>
            <w:tcBorders>
              <w:top w:val="nil"/>
              <w:left w:val="single" w:sz="4" w:space="0" w:color="auto"/>
              <w:bottom w:val="single" w:sz="4" w:space="0" w:color="auto"/>
              <w:right w:val="single" w:sz="4" w:space="0" w:color="auto"/>
            </w:tcBorders>
            <w:shd w:val="clear" w:color="auto" w:fill="auto"/>
            <w:vAlign w:val="bottom"/>
            <w:hideMark/>
          </w:tcPr>
          <w:p w14:paraId="5F676EF9" w14:textId="77777777" w:rsidR="009A4C46" w:rsidRPr="00F94FED" w:rsidRDefault="009A4C46" w:rsidP="009A4C46">
            <w:pPr>
              <w:spacing w:after="0" w:line="240" w:lineRule="auto"/>
              <w:contextualSpacing/>
              <w:jc w:val="both"/>
              <w:rPr>
                <w:rFonts w:eastAsia="Times New Roman"/>
                <w:sz w:val="18"/>
                <w:szCs w:val="18"/>
                <w:lang w:eastAsia="ru-RU"/>
              </w:rPr>
            </w:pPr>
            <w:r w:rsidRPr="00F94FED">
              <w:rPr>
                <w:rFonts w:eastAsia="Times New Roman"/>
                <w:sz w:val="18"/>
                <w:szCs w:val="18"/>
                <w:lang w:eastAsia="ru-RU"/>
              </w:rPr>
              <w:t>0.3</w:t>
            </w:r>
          </w:p>
        </w:tc>
        <w:tc>
          <w:tcPr>
            <w:tcW w:w="1174" w:type="pct"/>
            <w:tcBorders>
              <w:top w:val="nil"/>
              <w:left w:val="nil"/>
              <w:bottom w:val="single" w:sz="4" w:space="0" w:color="auto"/>
              <w:right w:val="single" w:sz="4" w:space="0" w:color="auto"/>
            </w:tcBorders>
            <w:shd w:val="clear" w:color="auto" w:fill="auto"/>
            <w:vAlign w:val="bottom"/>
            <w:hideMark/>
          </w:tcPr>
          <w:p w14:paraId="1E1928B1" w14:textId="77777777" w:rsidR="009A4C46" w:rsidRPr="00F94FED" w:rsidRDefault="009A4C46" w:rsidP="009A4C46">
            <w:pPr>
              <w:spacing w:after="0" w:line="240" w:lineRule="auto"/>
              <w:contextualSpacing/>
              <w:rPr>
                <w:rFonts w:eastAsia="Times New Roman"/>
                <w:sz w:val="18"/>
                <w:szCs w:val="18"/>
                <w:lang w:eastAsia="ru-RU"/>
              </w:rPr>
            </w:pPr>
            <w:r w:rsidRPr="00F94FED">
              <w:rPr>
                <w:rFonts w:eastAsia="Times New Roman"/>
                <w:sz w:val="18"/>
                <w:szCs w:val="18"/>
                <w:lang w:eastAsia="ru-RU"/>
              </w:rPr>
              <w:t>Инвестиционные проекты, реализация которых обуславливается схемами и программами перспективного развития электроэнергетики, всего</w:t>
            </w:r>
          </w:p>
        </w:tc>
        <w:tc>
          <w:tcPr>
            <w:tcW w:w="353" w:type="pct"/>
            <w:tcBorders>
              <w:top w:val="nil"/>
              <w:left w:val="nil"/>
              <w:bottom w:val="single" w:sz="4" w:space="0" w:color="auto"/>
              <w:right w:val="single" w:sz="4" w:space="0" w:color="auto"/>
            </w:tcBorders>
            <w:shd w:val="clear" w:color="auto" w:fill="auto"/>
            <w:vAlign w:val="center"/>
          </w:tcPr>
          <w:p w14:paraId="463AC6CC" w14:textId="77777777" w:rsidR="009A4C46" w:rsidRPr="00F94FED" w:rsidRDefault="009A4C46" w:rsidP="009A4C46">
            <w:pPr>
              <w:spacing w:after="0" w:line="240" w:lineRule="auto"/>
              <w:contextualSpacing/>
              <w:jc w:val="center"/>
              <w:rPr>
                <w:rFonts w:eastAsia="Times New Roman"/>
                <w:sz w:val="18"/>
                <w:szCs w:val="18"/>
                <w:lang w:eastAsia="ru-RU"/>
              </w:rPr>
            </w:pPr>
          </w:p>
        </w:tc>
        <w:tc>
          <w:tcPr>
            <w:tcW w:w="353" w:type="pct"/>
            <w:tcBorders>
              <w:top w:val="nil"/>
              <w:left w:val="nil"/>
              <w:bottom w:val="single" w:sz="4" w:space="0" w:color="auto"/>
              <w:right w:val="single" w:sz="4" w:space="0" w:color="auto"/>
            </w:tcBorders>
            <w:shd w:val="clear" w:color="auto" w:fill="auto"/>
            <w:vAlign w:val="center"/>
          </w:tcPr>
          <w:p w14:paraId="57E9584D" w14:textId="77777777" w:rsidR="009A4C46" w:rsidRPr="00F94FED" w:rsidRDefault="009A4C46" w:rsidP="009A4C46">
            <w:pPr>
              <w:spacing w:after="0" w:line="240" w:lineRule="auto"/>
              <w:contextualSpacing/>
              <w:jc w:val="center"/>
              <w:rPr>
                <w:rFonts w:eastAsia="Times New Roman"/>
                <w:sz w:val="18"/>
                <w:szCs w:val="18"/>
                <w:lang w:eastAsia="ru-RU"/>
              </w:rPr>
            </w:pPr>
          </w:p>
        </w:tc>
        <w:tc>
          <w:tcPr>
            <w:tcW w:w="353" w:type="pct"/>
            <w:tcBorders>
              <w:top w:val="nil"/>
              <w:left w:val="nil"/>
              <w:bottom w:val="single" w:sz="4" w:space="0" w:color="auto"/>
              <w:right w:val="single" w:sz="4" w:space="0" w:color="auto"/>
            </w:tcBorders>
            <w:shd w:val="clear" w:color="auto" w:fill="auto"/>
            <w:vAlign w:val="center"/>
          </w:tcPr>
          <w:p w14:paraId="2DED53CC" w14:textId="77777777" w:rsidR="009A4C46" w:rsidRPr="00F94FED" w:rsidRDefault="009A4C46" w:rsidP="009A4C46">
            <w:pPr>
              <w:spacing w:after="0" w:line="240" w:lineRule="auto"/>
              <w:contextualSpacing/>
              <w:jc w:val="center"/>
              <w:rPr>
                <w:rFonts w:eastAsia="Times New Roman"/>
                <w:sz w:val="18"/>
                <w:szCs w:val="18"/>
                <w:lang w:eastAsia="ru-RU"/>
              </w:rPr>
            </w:pPr>
          </w:p>
        </w:tc>
        <w:tc>
          <w:tcPr>
            <w:tcW w:w="353" w:type="pct"/>
            <w:tcBorders>
              <w:top w:val="nil"/>
              <w:left w:val="nil"/>
              <w:bottom w:val="single" w:sz="4" w:space="0" w:color="auto"/>
              <w:right w:val="single" w:sz="4" w:space="0" w:color="auto"/>
            </w:tcBorders>
            <w:shd w:val="clear" w:color="auto" w:fill="auto"/>
            <w:vAlign w:val="center"/>
          </w:tcPr>
          <w:p w14:paraId="04B47A13" w14:textId="77777777" w:rsidR="009A4C46" w:rsidRPr="00F94FED" w:rsidRDefault="009A4C46" w:rsidP="009A4C46">
            <w:pPr>
              <w:spacing w:after="0" w:line="240" w:lineRule="auto"/>
              <w:contextualSpacing/>
              <w:jc w:val="center"/>
              <w:rPr>
                <w:rFonts w:eastAsia="Times New Roman"/>
                <w:sz w:val="18"/>
                <w:szCs w:val="18"/>
                <w:lang w:eastAsia="ru-RU"/>
              </w:rPr>
            </w:pPr>
          </w:p>
        </w:tc>
        <w:tc>
          <w:tcPr>
            <w:tcW w:w="354" w:type="pct"/>
            <w:tcBorders>
              <w:top w:val="nil"/>
              <w:left w:val="nil"/>
              <w:bottom w:val="single" w:sz="4" w:space="0" w:color="auto"/>
              <w:right w:val="single" w:sz="4" w:space="0" w:color="auto"/>
            </w:tcBorders>
            <w:shd w:val="clear" w:color="auto" w:fill="auto"/>
            <w:vAlign w:val="center"/>
          </w:tcPr>
          <w:p w14:paraId="1ABBF0E3" w14:textId="77777777" w:rsidR="009A4C46" w:rsidRPr="00F94FED" w:rsidRDefault="009A4C46" w:rsidP="009A4C46">
            <w:pPr>
              <w:spacing w:after="0" w:line="240" w:lineRule="auto"/>
              <w:contextualSpacing/>
              <w:jc w:val="center"/>
              <w:rPr>
                <w:rFonts w:eastAsia="Times New Roman"/>
                <w:sz w:val="18"/>
                <w:szCs w:val="18"/>
                <w:lang w:eastAsia="ru-RU"/>
              </w:rPr>
            </w:pPr>
          </w:p>
        </w:tc>
        <w:tc>
          <w:tcPr>
            <w:tcW w:w="353" w:type="pct"/>
            <w:tcBorders>
              <w:top w:val="nil"/>
              <w:left w:val="nil"/>
              <w:bottom w:val="single" w:sz="4" w:space="0" w:color="auto"/>
              <w:right w:val="single" w:sz="4" w:space="0" w:color="auto"/>
            </w:tcBorders>
            <w:shd w:val="clear" w:color="auto" w:fill="auto"/>
            <w:vAlign w:val="center"/>
          </w:tcPr>
          <w:p w14:paraId="371500F8" w14:textId="77777777" w:rsidR="009A4C46" w:rsidRPr="00F94FED" w:rsidRDefault="009A4C46" w:rsidP="009A4C46">
            <w:pPr>
              <w:spacing w:after="0" w:line="240" w:lineRule="auto"/>
              <w:contextualSpacing/>
              <w:jc w:val="center"/>
              <w:rPr>
                <w:rFonts w:eastAsia="Times New Roman"/>
                <w:sz w:val="18"/>
                <w:szCs w:val="18"/>
                <w:lang w:eastAsia="ru-RU"/>
              </w:rPr>
            </w:pPr>
          </w:p>
        </w:tc>
        <w:tc>
          <w:tcPr>
            <w:tcW w:w="353" w:type="pct"/>
            <w:tcBorders>
              <w:top w:val="nil"/>
              <w:left w:val="nil"/>
              <w:bottom w:val="single" w:sz="4" w:space="0" w:color="auto"/>
              <w:right w:val="single" w:sz="4" w:space="0" w:color="auto"/>
            </w:tcBorders>
            <w:shd w:val="clear" w:color="auto" w:fill="auto"/>
            <w:vAlign w:val="center"/>
          </w:tcPr>
          <w:p w14:paraId="3BD2EF07" w14:textId="77777777" w:rsidR="009A4C46" w:rsidRPr="00F94FED" w:rsidRDefault="009A4C46" w:rsidP="009A4C46">
            <w:pPr>
              <w:spacing w:after="0" w:line="240" w:lineRule="auto"/>
              <w:contextualSpacing/>
              <w:jc w:val="center"/>
              <w:rPr>
                <w:rFonts w:eastAsia="Times New Roman"/>
                <w:sz w:val="18"/>
                <w:szCs w:val="18"/>
                <w:lang w:eastAsia="ru-RU"/>
              </w:rPr>
            </w:pPr>
          </w:p>
        </w:tc>
        <w:tc>
          <w:tcPr>
            <w:tcW w:w="353" w:type="pct"/>
            <w:tcBorders>
              <w:top w:val="nil"/>
              <w:left w:val="nil"/>
              <w:bottom w:val="single" w:sz="4" w:space="0" w:color="auto"/>
              <w:right w:val="single" w:sz="4" w:space="0" w:color="auto"/>
            </w:tcBorders>
            <w:shd w:val="clear" w:color="auto" w:fill="auto"/>
            <w:vAlign w:val="center"/>
          </w:tcPr>
          <w:p w14:paraId="2628BD94" w14:textId="77777777" w:rsidR="009A4C46" w:rsidRPr="00F94FED" w:rsidRDefault="009A4C46" w:rsidP="009A4C46">
            <w:pPr>
              <w:spacing w:after="0" w:line="240" w:lineRule="auto"/>
              <w:contextualSpacing/>
              <w:jc w:val="center"/>
              <w:rPr>
                <w:rFonts w:eastAsia="Times New Roman"/>
                <w:sz w:val="18"/>
                <w:szCs w:val="18"/>
                <w:lang w:eastAsia="ru-RU"/>
              </w:rPr>
            </w:pPr>
          </w:p>
        </w:tc>
        <w:tc>
          <w:tcPr>
            <w:tcW w:w="353" w:type="pct"/>
            <w:tcBorders>
              <w:top w:val="nil"/>
              <w:left w:val="nil"/>
              <w:bottom w:val="single" w:sz="4" w:space="0" w:color="auto"/>
              <w:right w:val="single" w:sz="4" w:space="0" w:color="auto"/>
            </w:tcBorders>
            <w:shd w:val="clear" w:color="auto" w:fill="auto"/>
            <w:vAlign w:val="center"/>
          </w:tcPr>
          <w:p w14:paraId="03FDAF09" w14:textId="77777777" w:rsidR="009A4C46" w:rsidRPr="00F94FED" w:rsidRDefault="009A4C46" w:rsidP="009A4C46">
            <w:pPr>
              <w:spacing w:after="0" w:line="240" w:lineRule="auto"/>
              <w:contextualSpacing/>
              <w:jc w:val="center"/>
              <w:rPr>
                <w:rFonts w:eastAsia="Times New Roman"/>
                <w:sz w:val="18"/>
                <w:szCs w:val="18"/>
                <w:lang w:eastAsia="ru-RU"/>
              </w:rPr>
            </w:pPr>
          </w:p>
        </w:tc>
        <w:tc>
          <w:tcPr>
            <w:tcW w:w="354" w:type="pct"/>
            <w:tcBorders>
              <w:top w:val="nil"/>
              <w:left w:val="nil"/>
              <w:bottom w:val="single" w:sz="4" w:space="0" w:color="auto"/>
              <w:right w:val="single" w:sz="4" w:space="0" w:color="auto"/>
            </w:tcBorders>
            <w:shd w:val="clear" w:color="auto" w:fill="auto"/>
            <w:vAlign w:val="center"/>
          </w:tcPr>
          <w:p w14:paraId="36309EB2" w14:textId="77777777" w:rsidR="009A4C46" w:rsidRPr="00F94FED" w:rsidRDefault="009A4C46" w:rsidP="009A4C46">
            <w:pPr>
              <w:spacing w:after="0" w:line="240" w:lineRule="auto"/>
              <w:contextualSpacing/>
              <w:jc w:val="center"/>
              <w:rPr>
                <w:rFonts w:eastAsia="Times New Roman"/>
                <w:sz w:val="18"/>
                <w:szCs w:val="18"/>
                <w:lang w:eastAsia="ru-RU"/>
              </w:rPr>
            </w:pPr>
          </w:p>
        </w:tc>
      </w:tr>
      <w:tr w:rsidR="009A4C46" w:rsidRPr="002D4169" w14:paraId="695649DA" w14:textId="77777777" w:rsidTr="00F94FED">
        <w:trPr>
          <w:trHeight w:val="600"/>
        </w:trPr>
        <w:tc>
          <w:tcPr>
            <w:tcW w:w="293" w:type="pct"/>
            <w:tcBorders>
              <w:top w:val="nil"/>
              <w:left w:val="single" w:sz="4" w:space="0" w:color="auto"/>
              <w:bottom w:val="single" w:sz="4" w:space="0" w:color="auto"/>
              <w:right w:val="single" w:sz="4" w:space="0" w:color="auto"/>
            </w:tcBorders>
            <w:shd w:val="clear" w:color="auto" w:fill="auto"/>
            <w:vAlign w:val="bottom"/>
            <w:hideMark/>
          </w:tcPr>
          <w:p w14:paraId="2A99325F" w14:textId="77777777" w:rsidR="009A4C46" w:rsidRPr="00F94FED" w:rsidRDefault="009A4C46" w:rsidP="009A4C46">
            <w:pPr>
              <w:spacing w:after="0" w:line="240" w:lineRule="auto"/>
              <w:contextualSpacing/>
              <w:jc w:val="both"/>
              <w:rPr>
                <w:rFonts w:eastAsia="Times New Roman"/>
                <w:sz w:val="18"/>
                <w:szCs w:val="18"/>
                <w:lang w:eastAsia="ru-RU"/>
              </w:rPr>
            </w:pPr>
            <w:r w:rsidRPr="00F94FED">
              <w:rPr>
                <w:rFonts w:eastAsia="Times New Roman"/>
                <w:sz w:val="18"/>
                <w:szCs w:val="18"/>
                <w:lang w:eastAsia="ru-RU"/>
              </w:rPr>
              <w:t>0.4</w:t>
            </w:r>
          </w:p>
        </w:tc>
        <w:tc>
          <w:tcPr>
            <w:tcW w:w="1174" w:type="pct"/>
            <w:tcBorders>
              <w:top w:val="nil"/>
              <w:left w:val="nil"/>
              <w:bottom w:val="single" w:sz="4" w:space="0" w:color="auto"/>
              <w:right w:val="single" w:sz="4" w:space="0" w:color="auto"/>
            </w:tcBorders>
            <w:shd w:val="clear" w:color="auto" w:fill="auto"/>
            <w:vAlign w:val="bottom"/>
            <w:hideMark/>
          </w:tcPr>
          <w:p w14:paraId="522E2F7E" w14:textId="77777777" w:rsidR="009A4C46" w:rsidRPr="00F94FED" w:rsidRDefault="009A4C46" w:rsidP="009A4C46">
            <w:pPr>
              <w:spacing w:after="0" w:line="240" w:lineRule="auto"/>
              <w:contextualSpacing/>
              <w:rPr>
                <w:rFonts w:eastAsia="Times New Roman"/>
                <w:sz w:val="18"/>
                <w:szCs w:val="18"/>
                <w:lang w:eastAsia="ru-RU"/>
              </w:rPr>
            </w:pPr>
            <w:r w:rsidRPr="00F94FED">
              <w:rPr>
                <w:rFonts w:eastAsia="Times New Roman"/>
                <w:sz w:val="18"/>
                <w:szCs w:val="18"/>
                <w:lang w:eastAsia="ru-RU"/>
              </w:rPr>
              <w:t>Прочее новое строительство объектов электросетевого хозяйства, всего</w:t>
            </w:r>
          </w:p>
        </w:tc>
        <w:tc>
          <w:tcPr>
            <w:tcW w:w="353" w:type="pct"/>
            <w:tcBorders>
              <w:top w:val="nil"/>
              <w:left w:val="nil"/>
              <w:bottom w:val="single" w:sz="4" w:space="0" w:color="auto"/>
              <w:right w:val="single" w:sz="4" w:space="0" w:color="auto"/>
            </w:tcBorders>
            <w:shd w:val="clear" w:color="auto" w:fill="auto"/>
            <w:vAlign w:val="center"/>
          </w:tcPr>
          <w:p w14:paraId="50E0E278" w14:textId="77777777" w:rsidR="009A4C46" w:rsidRPr="00F94FED" w:rsidRDefault="009A4C46" w:rsidP="009A4C46">
            <w:pPr>
              <w:spacing w:after="0" w:line="240" w:lineRule="auto"/>
              <w:contextualSpacing/>
              <w:jc w:val="center"/>
              <w:rPr>
                <w:rFonts w:eastAsia="Times New Roman"/>
                <w:sz w:val="18"/>
                <w:szCs w:val="18"/>
                <w:lang w:eastAsia="ru-RU"/>
              </w:rPr>
            </w:pPr>
          </w:p>
        </w:tc>
        <w:tc>
          <w:tcPr>
            <w:tcW w:w="353" w:type="pct"/>
            <w:tcBorders>
              <w:top w:val="nil"/>
              <w:left w:val="nil"/>
              <w:bottom w:val="single" w:sz="4" w:space="0" w:color="auto"/>
              <w:right w:val="single" w:sz="4" w:space="0" w:color="auto"/>
            </w:tcBorders>
            <w:shd w:val="clear" w:color="auto" w:fill="auto"/>
            <w:vAlign w:val="center"/>
          </w:tcPr>
          <w:p w14:paraId="5E5CEC6F" w14:textId="77777777" w:rsidR="009A4C46" w:rsidRPr="00F94FED" w:rsidRDefault="009A4C46" w:rsidP="009A4C46">
            <w:pPr>
              <w:spacing w:after="0" w:line="240" w:lineRule="auto"/>
              <w:contextualSpacing/>
              <w:jc w:val="center"/>
              <w:rPr>
                <w:rFonts w:eastAsia="Times New Roman"/>
                <w:sz w:val="18"/>
                <w:szCs w:val="18"/>
                <w:lang w:eastAsia="ru-RU"/>
              </w:rPr>
            </w:pPr>
          </w:p>
        </w:tc>
        <w:tc>
          <w:tcPr>
            <w:tcW w:w="353" w:type="pct"/>
            <w:tcBorders>
              <w:top w:val="nil"/>
              <w:left w:val="nil"/>
              <w:bottom w:val="single" w:sz="4" w:space="0" w:color="auto"/>
              <w:right w:val="single" w:sz="4" w:space="0" w:color="auto"/>
            </w:tcBorders>
            <w:shd w:val="clear" w:color="auto" w:fill="auto"/>
            <w:vAlign w:val="center"/>
          </w:tcPr>
          <w:p w14:paraId="2DE74C2C" w14:textId="77777777" w:rsidR="009A4C46" w:rsidRPr="00F94FED" w:rsidRDefault="009A4C46" w:rsidP="009A4C46">
            <w:pPr>
              <w:spacing w:after="0" w:line="240" w:lineRule="auto"/>
              <w:contextualSpacing/>
              <w:jc w:val="center"/>
              <w:rPr>
                <w:rFonts w:eastAsia="Times New Roman"/>
                <w:sz w:val="18"/>
                <w:szCs w:val="18"/>
                <w:lang w:eastAsia="ru-RU"/>
              </w:rPr>
            </w:pPr>
          </w:p>
        </w:tc>
        <w:tc>
          <w:tcPr>
            <w:tcW w:w="353" w:type="pct"/>
            <w:tcBorders>
              <w:top w:val="nil"/>
              <w:left w:val="nil"/>
              <w:bottom w:val="single" w:sz="4" w:space="0" w:color="auto"/>
              <w:right w:val="single" w:sz="4" w:space="0" w:color="auto"/>
            </w:tcBorders>
            <w:shd w:val="clear" w:color="auto" w:fill="auto"/>
            <w:vAlign w:val="center"/>
          </w:tcPr>
          <w:p w14:paraId="1D61F267" w14:textId="77777777" w:rsidR="009A4C46" w:rsidRPr="00F94FED" w:rsidRDefault="009A4C46" w:rsidP="009A4C46">
            <w:pPr>
              <w:spacing w:after="0" w:line="240" w:lineRule="auto"/>
              <w:contextualSpacing/>
              <w:jc w:val="center"/>
              <w:rPr>
                <w:rFonts w:eastAsia="Times New Roman"/>
                <w:sz w:val="18"/>
                <w:szCs w:val="18"/>
                <w:lang w:eastAsia="ru-RU"/>
              </w:rPr>
            </w:pPr>
          </w:p>
        </w:tc>
        <w:tc>
          <w:tcPr>
            <w:tcW w:w="354" w:type="pct"/>
            <w:tcBorders>
              <w:top w:val="nil"/>
              <w:left w:val="nil"/>
              <w:bottom w:val="single" w:sz="4" w:space="0" w:color="auto"/>
              <w:right w:val="single" w:sz="4" w:space="0" w:color="auto"/>
            </w:tcBorders>
            <w:shd w:val="clear" w:color="auto" w:fill="auto"/>
            <w:vAlign w:val="center"/>
          </w:tcPr>
          <w:p w14:paraId="519D18A8" w14:textId="77777777" w:rsidR="009A4C46" w:rsidRPr="00F94FED" w:rsidRDefault="009A4C46" w:rsidP="009A4C46">
            <w:pPr>
              <w:spacing w:after="0" w:line="240" w:lineRule="auto"/>
              <w:contextualSpacing/>
              <w:jc w:val="center"/>
              <w:rPr>
                <w:rFonts w:eastAsia="Times New Roman"/>
                <w:sz w:val="18"/>
                <w:szCs w:val="18"/>
                <w:lang w:eastAsia="ru-RU"/>
              </w:rPr>
            </w:pPr>
          </w:p>
        </w:tc>
        <w:tc>
          <w:tcPr>
            <w:tcW w:w="353" w:type="pct"/>
            <w:tcBorders>
              <w:top w:val="nil"/>
              <w:left w:val="nil"/>
              <w:bottom w:val="single" w:sz="4" w:space="0" w:color="auto"/>
              <w:right w:val="single" w:sz="4" w:space="0" w:color="auto"/>
            </w:tcBorders>
            <w:shd w:val="clear" w:color="auto" w:fill="auto"/>
            <w:vAlign w:val="center"/>
          </w:tcPr>
          <w:p w14:paraId="12C7CA90" w14:textId="77777777" w:rsidR="009A4C46" w:rsidRPr="00F94FED" w:rsidRDefault="009A4C46" w:rsidP="009A4C46">
            <w:pPr>
              <w:spacing w:after="0" w:line="240" w:lineRule="auto"/>
              <w:contextualSpacing/>
              <w:jc w:val="center"/>
              <w:rPr>
                <w:rFonts w:eastAsia="Times New Roman"/>
                <w:sz w:val="18"/>
                <w:szCs w:val="18"/>
                <w:lang w:eastAsia="ru-RU"/>
              </w:rPr>
            </w:pPr>
          </w:p>
        </w:tc>
        <w:tc>
          <w:tcPr>
            <w:tcW w:w="353" w:type="pct"/>
            <w:tcBorders>
              <w:top w:val="nil"/>
              <w:left w:val="nil"/>
              <w:bottom w:val="single" w:sz="4" w:space="0" w:color="auto"/>
              <w:right w:val="single" w:sz="4" w:space="0" w:color="auto"/>
            </w:tcBorders>
            <w:shd w:val="clear" w:color="auto" w:fill="auto"/>
            <w:vAlign w:val="center"/>
          </w:tcPr>
          <w:p w14:paraId="15B2AE83" w14:textId="77777777" w:rsidR="009A4C46" w:rsidRPr="00F94FED" w:rsidRDefault="009A4C46" w:rsidP="009A4C46">
            <w:pPr>
              <w:spacing w:after="0" w:line="240" w:lineRule="auto"/>
              <w:contextualSpacing/>
              <w:jc w:val="center"/>
              <w:rPr>
                <w:rFonts w:eastAsia="Times New Roman"/>
                <w:sz w:val="18"/>
                <w:szCs w:val="18"/>
                <w:lang w:eastAsia="ru-RU"/>
              </w:rPr>
            </w:pPr>
          </w:p>
        </w:tc>
        <w:tc>
          <w:tcPr>
            <w:tcW w:w="353" w:type="pct"/>
            <w:tcBorders>
              <w:top w:val="nil"/>
              <w:left w:val="nil"/>
              <w:bottom w:val="single" w:sz="4" w:space="0" w:color="auto"/>
              <w:right w:val="single" w:sz="4" w:space="0" w:color="auto"/>
            </w:tcBorders>
            <w:shd w:val="clear" w:color="auto" w:fill="auto"/>
            <w:vAlign w:val="center"/>
          </w:tcPr>
          <w:p w14:paraId="02DD93E9" w14:textId="77777777" w:rsidR="009A4C46" w:rsidRPr="00F94FED" w:rsidRDefault="009A4C46" w:rsidP="009A4C46">
            <w:pPr>
              <w:spacing w:after="0" w:line="240" w:lineRule="auto"/>
              <w:contextualSpacing/>
              <w:jc w:val="center"/>
              <w:rPr>
                <w:rFonts w:eastAsia="Times New Roman"/>
                <w:sz w:val="18"/>
                <w:szCs w:val="18"/>
                <w:lang w:eastAsia="ru-RU"/>
              </w:rPr>
            </w:pPr>
          </w:p>
        </w:tc>
        <w:tc>
          <w:tcPr>
            <w:tcW w:w="353" w:type="pct"/>
            <w:tcBorders>
              <w:top w:val="nil"/>
              <w:left w:val="nil"/>
              <w:bottom w:val="single" w:sz="4" w:space="0" w:color="auto"/>
              <w:right w:val="single" w:sz="4" w:space="0" w:color="auto"/>
            </w:tcBorders>
            <w:shd w:val="clear" w:color="auto" w:fill="auto"/>
            <w:vAlign w:val="center"/>
          </w:tcPr>
          <w:p w14:paraId="09800D97" w14:textId="77777777" w:rsidR="009A4C46" w:rsidRPr="00F94FED" w:rsidRDefault="009A4C46" w:rsidP="009A4C46">
            <w:pPr>
              <w:spacing w:after="0" w:line="240" w:lineRule="auto"/>
              <w:contextualSpacing/>
              <w:jc w:val="center"/>
              <w:rPr>
                <w:rFonts w:eastAsia="Times New Roman"/>
                <w:sz w:val="18"/>
                <w:szCs w:val="18"/>
                <w:lang w:eastAsia="ru-RU"/>
              </w:rPr>
            </w:pPr>
          </w:p>
        </w:tc>
        <w:tc>
          <w:tcPr>
            <w:tcW w:w="354" w:type="pct"/>
            <w:tcBorders>
              <w:top w:val="nil"/>
              <w:left w:val="nil"/>
              <w:bottom w:val="single" w:sz="4" w:space="0" w:color="auto"/>
              <w:right w:val="single" w:sz="4" w:space="0" w:color="auto"/>
            </w:tcBorders>
            <w:shd w:val="clear" w:color="auto" w:fill="auto"/>
            <w:vAlign w:val="center"/>
          </w:tcPr>
          <w:p w14:paraId="10961953" w14:textId="77777777" w:rsidR="009A4C46" w:rsidRPr="00F94FED" w:rsidRDefault="009A4C46" w:rsidP="009A4C46">
            <w:pPr>
              <w:spacing w:after="0" w:line="240" w:lineRule="auto"/>
              <w:contextualSpacing/>
              <w:jc w:val="center"/>
              <w:rPr>
                <w:rFonts w:eastAsia="Times New Roman"/>
                <w:sz w:val="18"/>
                <w:szCs w:val="18"/>
                <w:lang w:eastAsia="ru-RU"/>
              </w:rPr>
            </w:pPr>
          </w:p>
        </w:tc>
      </w:tr>
      <w:tr w:rsidR="009A4C46" w:rsidRPr="002D4169" w14:paraId="66F0CDCC" w14:textId="77777777" w:rsidTr="00F94FED">
        <w:trPr>
          <w:trHeight w:val="600"/>
        </w:trPr>
        <w:tc>
          <w:tcPr>
            <w:tcW w:w="293" w:type="pct"/>
            <w:tcBorders>
              <w:top w:val="nil"/>
              <w:left w:val="single" w:sz="4" w:space="0" w:color="auto"/>
              <w:bottom w:val="single" w:sz="4" w:space="0" w:color="auto"/>
              <w:right w:val="single" w:sz="4" w:space="0" w:color="auto"/>
            </w:tcBorders>
            <w:shd w:val="clear" w:color="auto" w:fill="auto"/>
            <w:vAlign w:val="bottom"/>
            <w:hideMark/>
          </w:tcPr>
          <w:p w14:paraId="2E5C1071" w14:textId="77777777" w:rsidR="009A4C46" w:rsidRPr="00F94FED" w:rsidRDefault="009A4C46" w:rsidP="009A4C46">
            <w:pPr>
              <w:spacing w:after="0" w:line="240" w:lineRule="auto"/>
              <w:contextualSpacing/>
              <w:jc w:val="both"/>
              <w:rPr>
                <w:rFonts w:eastAsia="Times New Roman"/>
                <w:sz w:val="18"/>
                <w:szCs w:val="18"/>
                <w:lang w:eastAsia="ru-RU"/>
              </w:rPr>
            </w:pPr>
            <w:r w:rsidRPr="00F94FED">
              <w:rPr>
                <w:rFonts w:eastAsia="Times New Roman"/>
                <w:sz w:val="18"/>
                <w:szCs w:val="18"/>
                <w:lang w:eastAsia="ru-RU"/>
              </w:rPr>
              <w:t>0.5</w:t>
            </w:r>
          </w:p>
        </w:tc>
        <w:tc>
          <w:tcPr>
            <w:tcW w:w="1174" w:type="pct"/>
            <w:tcBorders>
              <w:top w:val="nil"/>
              <w:left w:val="nil"/>
              <w:bottom w:val="single" w:sz="4" w:space="0" w:color="auto"/>
              <w:right w:val="single" w:sz="4" w:space="0" w:color="auto"/>
            </w:tcBorders>
            <w:shd w:val="clear" w:color="auto" w:fill="auto"/>
            <w:vAlign w:val="bottom"/>
            <w:hideMark/>
          </w:tcPr>
          <w:p w14:paraId="1CEF91ED" w14:textId="77777777" w:rsidR="009A4C46" w:rsidRPr="00F94FED" w:rsidRDefault="009A4C46" w:rsidP="009A4C46">
            <w:pPr>
              <w:spacing w:after="0" w:line="240" w:lineRule="auto"/>
              <w:contextualSpacing/>
              <w:rPr>
                <w:rFonts w:eastAsia="Times New Roman"/>
                <w:sz w:val="18"/>
                <w:szCs w:val="18"/>
                <w:lang w:eastAsia="ru-RU"/>
              </w:rPr>
            </w:pPr>
            <w:r w:rsidRPr="00F94FED">
              <w:rPr>
                <w:rFonts w:eastAsia="Times New Roman"/>
                <w:sz w:val="18"/>
                <w:szCs w:val="18"/>
                <w:lang w:eastAsia="ru-RU"/>
              </w:rPr>
              <w:t>Покупка земельных участков для целей реализации инвестиционных проектов, всего</w:t>
            </w:r>
          </w:p>
        </w:tc>
        <w:tc>
          <w:tcPr>
            <w:tcW w:w="353" w:type="pct"/>
            <w:tcBorders>
              <w:top w:val="nil"/>
              <w:left w:val="nil"/>
              <w:bottom w:val="single" w:sz="4" w:space="0" w:color="auto"/>
              <w:right w:val="single" w:sz="4" w:space="0" w:color="auto"/>
            </w:tcBorders>
            <w:shd w:val="clear" w:color="auto" w:fill="auto"/>
            <w:vAlign w:val="center"/>
          </w:tcPr>
          <w:p w14:paraId="2DBDE087" w14:textId="77777777" w:rsidR="009A4C46" w:rsidRPr="00F94FED" w:rsidRDefault="009A4C46" w:rsidP="009A4C46">
            <w:pPr>
              <w:spacing w:after="0" w:line="240" w:lineRule="auto"/>
              <w:contextualSpacing/>
              <w:jc w:val="center"/>
              <w:rPr>
                <w:rFonts w:eastAsia="Times New Roman"/>
                <w:sz w:val="18"/>
                <w:szCs w:val="18"/>
                <w:lang w:eastAsia="ru-RU"/>
              </w:rPr>
            </w:pPr>
          </w:p>
        </w:tc>
        <w:tc>
          <w:tcPr>
            <w:tcW w:w="353" w:type="pct"/>
            <w:tcBorders>
              <w:top w:val="nil"/>
              <w:left w:val="nil"/>
              <w:bottom w:val="single" w:sz="4" w:space="0" w:color="auto"/>
              <w:right w:val="single" w:sz="4" w:space="0" w:color="auto"/>
            </w:tcBorders>
            <w:shd w:val="clear" w:color="auto" w:fill="auto"/>
            <w:vAlign w:val="center"/>
          </w:tcPr>
          <w:p w14:paraId="685B740E" w14:textId="77777777" w:rsidR="009A4C46" w:rsidRPr="00F94FED" w:rsidRDefault="009A4C46" w:rsidP="009A4C46">
            <w:pPr>
              <w:spacing w:after="0" w:line="240" w:lineRule="auto"/>
              <w:contextualSpacing/>
              <w:jc w:val="center"/>
              <w:rPr>
                <w:rFonts w:eastAsia="Times New Roman"/>
                <w:sz w:val="18"/>
                <w:szCs w:val="18"/>
                <w:lang w:eastAsia="ru-RU"/>
              </w:rPr>
            </w:pPr>
          </w:p>
        </w:tc>
        <w:tc>
          <w:tcPr>
            <w:tcW w:w="353" w:type="pct"/>
            <w:tcBorders>
              <w:top w:val="nil"/>
              <w:left w:val="nil"/>
              <w:bottom w:val="single" w:sz="4" w:space="0" w:color="auto"/>
              <w:right w:val="single" w:sz="4" w:space="0" w:color="auto"/>
            </w:tcBorders>
            <w:shd w:val="clear" w:color="auto" w:fill="auto"/>
            <w:vAlign w:val="center"/>
          </w:tcPr>
          <w:p w14:paraId="17803533" w14:textId="77777777" w:rsidR="009A4C46" w:rsidRPr="00F94FED" w:rsidRDefault="009A4C46" w:rsidP="009A4C46">
            <w:pPr>
              <w:spacing w:after="0" w:line="240" w:lineRule="auto"/>
              <w:contextualSpacing/>
              <w:jc w:val="center"/>
              <w:rPr>
                <w:rFonts w:eastAsia="Times New Roman"/>
                <w:sz w:val="18"/>
                <w:szCs w:val="18"/>
                <w:lang w:eastAsia="ru-RU"/>
              </w:rPr>
            </w:pPr>
          </w:p>
        </w:tc>
        <w:tc>
          <w:tcPr>
            <w:tcW w:w="353" w:type="pct"/>
            <w:tcBorders>
              <w:top w:val="nil"/>
              <w:left w:val="nil"/>
              <w:bottom w:val="single" w:sz="4" w:space="0" w:color="auto"/>
              <w:right w:val="single" w:sz="4" w:space="0" w:color="auto"/>
            </w:tcBorders>
            <w:shd w:val="clear" w:color="auto" w:fill="auto"/>
            <w:vAlign w:val="center"/>
          </w:tcPr>
          <w:p w14:paraId="2C859F86" w14:textId="77777777" w:rsidR="009A4C46" w:rsidRPr="00F94FED" w:rsidRDefault="009A4C46" w:rsidP="009A4C46">
            <w:pPr>
              <w:spacing w:after="0" w:line="240" w:lineRule="auto"/>
              <w:contextualSpacing/>
              <w:jc w:val="center"/>
              <w:rPr>
                <w:rFonts w:eastAsia="Times New Roman"/>
                <w:sz w:val="18"/>
                <w:szCs w:val="18"/>
                <w:lang w:eastAsia="ru-RU"/>
              </w:rPr>
            </w:pPr>
          </w:p>
        </w:tc>
        <w:tc>
          <w:tcPr>
            <w:tcW w:w="354" w:type="pct"/>
            <w:tcBorders>
              <w:top w:val="nil"/>
              <w:left w:val="nil"/>
              <w:bottom w:val="single" w:sz="4" w:space="0" w:color="auto"/>
              <w:right w:val="single" w:sz="4" w:space="0" w:color="auto"/>
            </w:tcBorders>
            <w:shd w:val="clear" w:color="auto" w:fill="auto"/>
            <w:vAlign w:val="center"/>
          </w:tcPr>
          <w:p w14:paraId="1D45A1C9" w14:textId="77777777" w:rsidR="009A4C46" w:rsidRPr="00F94FED" w:rsidRDefault="009A4C46" w:rsidP="009A4C46">
            <w:pPr>
              <w:spacing w:after="0" w:line="240" w:lineRule="auto"/>
              <w:contextualSpacing/>
              <w:jc w:val="center"/>
              <w:rPr>
                <w:rFonts w:eastAsia="Times New Roman"/>
                <w:sz w:val="18"/>
                <w:szCs w:val="18"/>
                <w:lang w:eastAsia="ru-RU"/>
              </w:rPr>
            </w:pPr>
          </w:p>
        </w:tc>
        <w:tc>
          <w:tcPr>
            <w:tcW w:w="353" w:type="pct"/>
            <w:tcBorders>
              <w:top w:val="nil"/>
              <w:left w:val="nil"/>
              <w:bottom w:val="single" w:sz="4" w:space="0" w:color="auto"/>
              <w:right w:val="single" w:sz="4" w:space="0" w:color="auto"/>
            </w:tcBorders>
            <w:shd w:val="clear" w:color="auto" w:fill="auto"/>
            <w:vAlign w:val="center"/>
          </w:tcPr>
          <w:p w14:paraId="135C6826" w14:textId="77777777" w:rsidR="009A4C46" w:rsidRPr="00F94FED" w:rsidRDefault="009A4C46" w:rsidP="009A4C46">
            <w:pPr>
              <w:spacing w:after="0" w:line="240" w:lineRule="auto"/>
              <w:contextualSpacing/>
              <w:jc w:val="center"/>
              <w:rPr>
                <w:rFonts w:eastAsia="Times New Roman"/>
                <w:sz w:val="18"/>
                <w:szCs w:val="18"/>
                <w:lang w:eastAsia="ru-RU"/>
              </w:rPr>
            </w:pPr>
          </w:p>
        </w:tc>
        <w:tc>
          <w:tcPr>
            <w:tcW w:w="353" w:type="pct"/>
            <w:tcBorders>
              <w:top w:val="nil"/>
              <w:left w:val="nil"/>
              <w:bottom w:val="single" w:sz="4" w:space="0" w:color="auto"/>
              <w:right w:val="single" w:sz="4" w:space="0" w:color="auto"/>
            </w:tcBorders>
            <w:shd w:val="clear" w:color="auto" w:fill="auto"/>
            <w:vAlign w:val="center"/>
          </w:tcPr>
          <w:p w14:paraId="5B144242" w14:textId="77777777" w:rsidR="009A4C46" w:rsidRPr="00F94FED" w:rsidRDefault="009A4C46" w:rsidP="009A4C46">
            <w:pPr>
              <w:spacing w:after="0" w:line="240" w:lineRule="auto"/>
              <w:contextualSpacing/>
              <w:jc w:val="center"/>
              <w:rPr>
                <w:rFonts w:eastAsia="Times New Roman"/>
                <w:sz w:val="18"/>
                <w:szCs w:val="18"/>
                <w:lang w:eastAsia="ru-RU"/>
              </w:rPr>
            </w:pPr>
          </w:p>
        </w:tc>
        <w:tc>
          <w:tcPr>
            <w:tcW w:w="353" w:type="pct"/>
            <w:tcBorders>
              <w:top w:val="nil"/>
              <w:left w:val="nil"/>
              <w:bottom w:val="single" w:sz="4" w:space="0" w:color="auto"/>
              <w:right w:val="single" w:sz="4" w:space="0" w:color="auto"/>
            </w:tcBorders>
            <w:shd w:val="clear" w:color="auto" w:fill="auto"/>
            <w:vAlign w:val="center"/>
          </w:tcPr>
          <w:p w14:paraId="333ED09E" w14:textId="77777777" w:rsidR="009A4C46" w:rsidRPr="00F94FED" w:rsidRDefault="009A4C46" w:rsidP="009A4C46">
            <w:pPr>
              <w:spacing w:after="0" w:line="240" w:lineRule="auto"/>
              <w:contextualSpacing/>
              <w:jc w:val="center"/>
              <w:rPr>
                <w:rFonts w:eastAsia="Times New Roman"/>
                <w:sz w:val="18"/>
                <w:szCs w:val="18"/>
                <w:lang w:eastAsia="ru-RU"/>
              </w:rPr>
            </w:pPr>
          </w:p>
        </w:tc>
        <w:tc>
          <w:tcPr>
            <w:tcW w:w="353" w:type="pct"/>
            <w:tcBorders>
              <w:top w:val="nil"/>
              <w:left w:val="nil"/>
              <w:bottom w:val="single" w:sz="4" w:space="0" w:color="auto"/>
              <w:right w:val="single" w:sz="4" w:space="0" w:color="auto"/>
            </w:tcBorders>
            <w:shd w:val="clear" w:color="auto" w:fill="auto"/>
            <w:vAlign w:val="center"/>
          </w:tcPr>
          <w:p w14:paraId="0BD613CB" w14:textId="77777777" w:rsidR="009A4C46" w:rsidRPr="00F94FED" w:rsidRDefault="009A4C46" w:rsidP="009A4C46">
            <w:pPr>
              <w:spacing w:after="0" w:line="240" w:lineRule="auto"/>
              <w:contextualSpacing/>
              <w:jc w:val="center"/>
              <w:rPr>
                <w:rFonts w:eastAsia="Times New Roman"/>
                <w:sz w:val="18"/>
                <w:szCs w:val="18"/>
                <w:lang w:eastAsia="ru-RU"/>
              </w:rPr>
            </w:pPr>
          </w:p>
        </w:tc>
        <w:tc>
          <w:tcPr>
            <w:tcW w:w="354" w:type="pct"/>
            <w:tcBorders>
              <w:top w:val="nil"/>
              <w:left w:val="nil"/>
              <w:bottom w:val="single" w:sz="4" w:space="0" w:color="auto"/>
              <w:right w:val="single" w:sz="4" w:space="0" w:color="auto"/>
            </w:tcBorders>
            <w:shd w:val="clear" w:color="auto" w:fill="auto"/>
            <w:vAlign w:val="center"/>
          </w:tcPr>
          <w:p w14:paraId="2EC216C8" w14:textId="77777777" w:rsidR="009A4C46" w:rsidRPr="00F94FED" w:rsidRDefault="009A4C46" w:rsidP="009A4C46">
            <w:pPr>
              <w:spacing w:after="0" w:line="240" w:lineRule="auto"/>
              <w:contextualSpacing/>
              <w:jc w:val="center"/>
              <w:rPr>
                <w:rFonts w:eastAsia="Times New Roman"/>
                <w:sz w:val="18"/>
                <w:szCs w:val="18"/>
                <w:lang w:eastAsia="ru-RU"/>
              </w:rPr>
            </w:pPr>
          </w:p>
        </w:tc>
      </w:tr>
      <w:tr w:rsidR="009A4C46" w:rsidRPr="002D4169" w14:paraId="541DCD5D" w14:textId="77777777" w:rsidTr="00F94FED">
        <w:trPr>
          <w:trHeight w:val="300"/>
        </w:trPr>
        <w:tc>
          <w:tcPr>
            <w:tcW w:w="293" w:type="pct"/>
            <w:tcBorders>
              <w:top w:val="nil"/>
              <w:left w:val="single" w:sz="4" w:space="0" w:color="auto"/>
              <w:bottom w:val="single" w:sz="4" w:space="0" w:color="auto"/>
              <w:right w:val="single" w:sz="4" w:space="0" w:color="auto"/>
            </w:tcBorders>
            <w:shd w:val="clear" w:color="auto" w:fill="auto"/>
            <w:vAlign w:val="bottom"/>
            <w:hideMark/>
          </w:tcPr>
          <w:p w14:paraId="3F13EE77" w14:textId="77777777" w:rsidR="009A4C46" w:rsidRPr="00F94FED" w:rsidRDefault="009A4C46" w:rsidP="009A4C46">
            <w:pPr>
              <w:spacing w:after="0" w:line="240" w:lineRule="auto"/>
              <w:contextualSpacing/>
              <w:jc w:val="both"/>
              <w:rPr>
                <w:rFonts w:eastAsia="Times New Roman"/>
                <w:sz w:val="18"/>
                <w:szCs w:val="18"/>
                <w:lang w:eastAsia="ru-RU"/>
              </w:rPr>
            </w:pPr>
            <w:r w:rsidRPr="00F94FED">
              <w:rPr>
                <w:rFonts w:eastAsia="Times New Roman"/>
                <w:sz w:val="18"/>
                <w:szCs w:val="18"/>
                <w:lang w:eastAsia="ru-RU"/>
              </w:rPr>
              <w:t>0.6</w:t>
            </w:r>
          </w:p>
        </w:tc>
        <w:tc>
          <w:tcPr>
            <w:tcW w:w="1174" w:type="pct"/>
            <w:tcBorders>
              <w:top w:val="nil"/>
              <w:left w:val="nil"/>
              <w:bottom w:val="single" w:sz="4" w:space="0" w:color="auto"/>
              <w:right w:val="single" w:sz="4" w:space="0" w:color="auto"/>
            </w:tcBorders>
            <w:shd w:val="clear" w:color="auto" w:fill="auto"/>
            <w:vAlign w:val="bottom"/>
            <w:hideMark/>
          </w:tcPr>
          <w:p w14:paraId="7AB01F86" w14:textId="77777777" w:rsidR="009A4C46" w:rsidRPr="00F94FED" w:rsidRDefault="009A4C46" w:rsidP="009A4C46">
            <w:pPr>
              <w:spacing w:after="0" w:line="240" w:lineRule="auto"/>
              <w:contextualSpacing/>
              <w:rPr>
                <w:rFonts w:eastAsia="Times New Roman"/>
                <w:sz w:val="18"/>
                <w:szCs w:val="18"/>
                <w:lang w:eastAsia="ru-RU"/>
              </w:rPr>
            </w:pPr>
            <w:r w:rsidRPr="00F94FED">
              <w:rPr>
                <w:rFonts w:eastAsia="Times New Roman"/>
                <w:sz w:val="18"/>
                <w:szCs w:val="18"/>
                <w:lang w:eastAsia="ru-RU"/>
              </w:rPr>
              <w:t>Прочие инвестиционные проекты, всего</w:t>
            </w:r>
          </w:p>
        </w:tc>
        <w:tc>
          <w:tcPr>
            <w:tcW w:w="353" w:type="pct"/>
            <w:tcBorders>
              <w:top w:val="nil"/>
              <w:left w:val="nil"/>
              <w:bottom w:val="single" w:sz="4" w:space="0" w:color="auto"/>
              <w:right w:val="single" w:sz="4" w:space="0" w:color="auto"/>
            </w:tcBorders>
            <w:shd w:val="clear" w:color="auto" w:fill="auto"/>
            <w:vAlign w:val="center"/>
            <w:hideMark/>
          </w:tcPr>
          <w:p w14:paraId="51B63EC8" w14:textId="77777777" w:rsidR="009A4C46" w:rsidRPr="00F94FED" w:rsidRDefault="009A4C46" w:rsidP="009A4C46">
            <w:pPr>
              <w:spacing w:after="0" w:line="240" w:lineRule="auto"/>
              <w:contextualSpacing/>
              <w:jc w:val="center"/>
              <w:rPr>
                <w:rFonts w:eastAsia="Times New Roman"/>
                <w:sz w:val="18"/>
                <w:szCs w:val="18"/>
                <w:lang w:eastAsia="ru-RU"/>
              </w:rPr>
            </w:pPr>
            <w:r w:rsidRPr="00F94FED">
              <w:rPr>
                <w:rFonts w:eastAsia="Times New Roman"/>
                <w:sz w:val="18"/>
                <w:szCs w:val="18"/>
                <w:lang w:eastAsia="ru-RU"/>
              </w:rPr>
              <w:t>10,9</w:t>
            </w:r>
          </w:p>
        </w:tc>
        <w:tc>
          <w:tcPr>
            <w:tcW w:w="353" w:type="pct"/>
            <w:tcBorders>
              <w:top w:val="nil"/>
              <w:left w:val="nil"/>
              <w:bottom w:val="single" w:sz="4" w:space="0" w:color="auto"/>
              <w:right w:val="single" w:sz="4" w:space="0" w:color="auto"/>
            </w:tcBorders>
            <w:shd w:val="clear" w:color="auto" w:fill="auto"/>
            <w:vAlign w:val="center"/>
          </w:tcPr>
          <w:p w14:paraId="57935619" w14:textId="77777777" w:rsidR="009A4C46" w:rsidRPr="00F94FED" w:rsidRDefault="009A4C46" w:rsidP="009A4C46">
            <w:pPr>
              <w:spacing w:after="0" w:line="240" w:lineRule="auto"/>
              <w:contextualSpacing/>
              <w:jc w:val="center"/>
              <w:rPr>
                <w:rFonts w:eastAsia="Times New Roman"/>
                <w:sz w:val="18"/>
                <w:szCs w:val="18"/>
                <w:lang w:eastAsia="ru-RU"/>
              </w:rPr>
            </w:pPr>
          </w:p>
        </w:tc>
        <w:tc>
          <w:tcPr>
            <w:tcW w:w="353" w:type="pct"/>
            <w:tcBorders>
              <w:top w:val="nil"/>
              <w:left w:val="nil"/>
              <w:bottom w:val="single" w:sz="4" w:space="0" w:color="auto"/>
              <w:right w:val="single" w:sz="4" w:space="0" w:color="auto"/>
            </w:tcBorders>
            <w:shd w:val="clear" w:color="auto" w:fill="auto"/>
            <w:vAlign w:val="center"/>
          </w:tcPr>
          <w:p w14:paraId="4A5AD5F2" w14:textId="77777777" w:rsidR="009A4C46" w:rsidRPr="00F94FED" w:rsidRDefault="009A4C46" w:rsidP="009A4C46">
            <w:pPr>
              <w:spacing w:after="0" w:line="240" w:lineRule="auto"/>
              <w:contextualSpacing/>
              <w:jc w:val="center"/>
              <w:rPr>
                <w:rFonts w:eastAsia="Times New Roman"/>
                <w:sz w:val="18"/>
                <w:szCs w:val="18"/>
                <w:lang w:eastAsia="ru-RU"/>
              </w:rPr>
            </w:pPr>
          </w:p>
        </w:tc>
        <w:tc>
          <w:tcPr>
            <w:tcW w:w="353" w:type="pct"/>
            <w:tcBorders>
              <w:top w:val="nil"/>
              <w:left w:val="nil"/>
              <w:bottom w:val="single" w:sz="4" w:space="0" w:color="auto"/>
              <w:right w:val="single" w:sz="4" w:space="0" w:color="auto"/>
            </w:tcBorders>
            <w:shd w:val="clear" w:color="auto" w:fill="auto"/>
            <w:vAlign w:val="center"/>
            <w:hideMark/>
          </w:tcPr>
          <w:p w14:paraId="19CE8F17" w14:textId="77777777" w:rsidR="009A4C46" w:rsidRPr="00F94FED" w:rsidRDefault="009A4C46" w:rsidP="009A4C46">
            <w:pPr>
              <w:spacing w:after="0" w:line="240" w:lineRule="auto"/>
              <w:contextualSpacing/>
              <w:jc w:val="center"/>
              <w:rPr>
                <w:rFonts w:eastAsia="Times New Roman"/>
                <w:sz w:val="18"/>
                <w:szCs w:val="18"/>
                <w:lang w:eastAsia="ru-RU"/>
              </w:rPr>
            </w:pPr>
            <w:r w:rsidRPr="00F94FED">
              <w:rPr>
                <w:rFonts w:eastAsia="Times New Roman"/>
                <w:sz w:val="18"/>
                <w:szCs w:val="18"/>
                <w:lang w:eastAsia="ru-RU"/>
              </w:rPr>
              <w:t>9,2</w:t>
            </w:r>
          </w:p>
        </w:tc>
        <w:tc>
          <w:tcPr>
            <w:tcW w:w="354" w:type="pct"/>
            <w:tcBorders>
              <w:top w:val="nil"/>
              <w:left w:val="nil"/>
              <w:bottom w:val="single" w:sz="4" w:space="0" w:color="auto"/>
              <w:right w:val="single" w:sz="4" w:space="0" w:color="auto"/>
            </w:tcBorders>
            <w:shd w:val="clear" w:color="auto" w:fill="auto"/>
            <w:vAlign w:val="center"/>
            <w:hideMark/>
          </w:tcPr>
          <w:p w14:paraId="24542798" w14:textId="77777777" w:rsidR="009A4C46" w:rsidRPr="00F94FED" w:rsidRDefault="009A4C46" w:rsidP="009A4C46">
            <w:pPr>
              <w:spacing w:after="0" w:line="240" w:lineRule="auto"/>
              <w:contextualSpacing/>
              <w:jc w:val="center"/>
              <w:rPr>
                <w:rFonts w:eastAsia="Times New Roman"/>
                <w:sz w:val="18"/>
                <w:szCs w:val="18"/>
                <w:lang w:eastAsia="ru-RU"/>
              </w:rPr>
            </w:pPr>
            <w:r w:rsidRPr="00F94FED">
              <w:rPr>
                <w:rFonts w:eastAsia="Times New Roman"/>
                <w:sz w:val="18"/>
                <w:szCs w:val="18"/>
                <w:lang w:eastAsia="ru-RU"/>
              </w:rPr>
              <w:t>1,7</w:t>
            </w:r>
          </w:p>
        </w:tc>
        <w:tc>
          <w:tcPr>
            <w:tcW w:w="353" w:type="pct"/>
            <w:tcBorders>
              <w:top w:val="nil"/>
              <w:left w:val="nil"/>
              <w:bottom w:val="single" w:sz="4" w:space="0" w:color="auto"/>
              <w:right w:val="single" w:sz="4" w:space="0" w:color="auto"/>
            </w:tcBorders>
            <w:shd w:val="clear" w:color="auto" w:fill="auto"/>
            <w:vAlign w:val="center"/>
            <w:hideMark/>
          </w:tcPr>
          <w:p w14:paraId="4B7FBB93" w14:textId="77777777" w:rsidR="009A4C46" w:rsidRPr="00F94FED" w:rsidRDefault="009A4C46" w:rsidP="009A4C46">
            <w:pPr>
              <w:spacing w:after="0" w:line="240" w:lineRule="auto"/>
              <w:contextualSpacing/>
              <w:jc w:val="center"/>
              <w:rPr>
                <w:rFonts w:eastAsia="Times New Roman"/>
                <w:sz w:val="18"/>
                <w:szCs w:val="18"/>
                <w:lang w:eastAsia="ru-RU"/>
              </w:rPr>
            </w:pPr>
            <w:r w:rsidRPr="00F94FED">
              <w:rPr>
                <w:rFonts w:eastAsia="Times New Roman"/>
                <w:sz w:val="18"/>
                <w:szCs w:val="18"/>
                <w:lang w:eastAsia="ru-RU"/>
              </w:rPr>
              <w:t>8,7</w:t>
            </w:r>
          </w:p>
        </w:tc>
        <w:tc>
          <w:tcPr>
            <w:tcW w:w="353" w:type="pct"/>
            <w:tcBorders>
              <w:top w:val="nil"/>
              <w:left w:val="nil"/>
              <w:bottom w:val="single" w:sz="4" w:space="0" w:color="auto"/>
              <w:right w:val="single" w:sz="4" w:space="0" w:color="auto"/>
            </w:tcBorders>
            <w:shd w:val="clear" w:color="auto" w:fill="auto"/>
            <w:vAlign w:val="center"/>
          </w:tcPr>
          <w:p w14:paraId="7E4BC992" w14:textId="77777777" w:rsidR="009A4C46" w:rsidRPr="00F94FED" w:rsidRDefault="009A4C46" w:rsidP="009A4C46">
            <w:pPr>
              <w:spacing w:after="0" w:line="240" w:lineRule="auto"/>
              <w:contextualSpacing/>
              <w:jc w:val="center"/>
              <w:rPr>
                <w:rFonts w:eastAsia="Times New Roman"/>
                <w:sz w:val="18"/>
                <w:szCs w:val="18"/>
                <w:lang w:eastAsia="ru-RU"/>
              </w:rPr>
            </w:pPr>
          </w:p>
        </w:tc>
        <w:tc>
          <w:tcPr>
            <w:tcW w:w="353" w:type="pct"/>
            <w:tcBorders>
              <w:top w:val="nil"/>
              <w:left w:val="nil"/>
              <w:bottom w:val="single" w:sz="4" w:space="0" w:color="auto"/>
              <w:right w:val="single" w:sz="4" w:space="0" w:color="auto"/>
            </w:tcBorders>
            <w:shd w:val="clear" w:color="auto" w:fill="auto"/>
            <w:vAlign w:val="center"/>
          </w:tcPr>
          <w:p w14:paraId="3C80D7B5" w14:textId="77777777" w:rsidR="009A4C46" w:rsidRPr="00F94FED" w:rsidRDefault="009A4C46" w:rsidP="009A4C46">
            <w:pPr>
              <w:spacing w:after="0" w:line="240" w:lineRule="auto"/>
              <w:contextualSpacing/>
              <w:jc w:val="center"/>
              <w:rPr>
                <w:rFonts w:eastAsia="Times New Roman"/>
                <w:sz w:val="18"/>
                <w:szCs w:val="18"/>
                <w:lang w:eastAsia="ru-RU"/>
              </w:rPr>
            </w:pPr>
          </w:p>
        </w:tc>
        <w:tc>
          <w:tcPr>
            <w:tcW w:w="353" w:type="pct"/>
            <w:tcBorders>
              <w:top w:val="nil"/>
              <w:left w:val="nil"/>
              <w:bottom w:val="single" w:sz="4" w:space="0" w:color="auto"/>
              <w:right w:val="single" w:sz="4" w:space="0" w:color="auto"/>
            </w:tcBorders>
            <w:shd w:val="clear" w:color="auto" w:fill="auto"/>
            <w:vAlign w:val="center"/>
            <w:hideMark/>
          </w:tcPr>
          <w:p w14:paraId="35E0035C" w14:textId="77777777" w:rsidR="009A4C46" w:rsidRPr="00F94FED" w:rsidRDefault="009A4C46" w:rsidP="009A4C46">
            <w:pPr>
              <w:spacing w:after="0" w:line="240" w:lineRule="auto"/>
              <w:contextualSpacing/>
              <w:jc w:val="center"/>
              <w:rPr>
                <w:rFonts w:eastAsia="Times New Roman"/>
                <w:sz w:val="18"/>
                <w:szCs w:val="18"/>
                <w:lang w:eastAsia="ru-RU"/>
              </w:rPr>
            </w:pPr>
            <w:r w:rsidRPr="00F94FED">
              <w:rPr>
                <w:rFonts w:eastAsia="Times New Roman"/>
                <w:sz w:val="18"/>
                <w:szCs w:val="18"/>
                <w:lang w:eastAsia="ru-RU"/>
              </w:rPr>
              <w:t>7,4</w:t>
            </w:r>
          </w:p>
        </w:tc>
        <w:tc>
          <w:tcPr>
            <w:tcW w:w="354" w:type="pct"/>
            <w:tcBorders>
              <w:top w:val="nil"/>
              <w:left w:val="nil"/>
              <w:bottom w:val="single" w:sz="4" w:space="0" w:color="auto"/>
              <w:right w:val="single" w:sz="4" w:space="0" w:color="auto"/>
            </w:tcBorders>
            <w:shd w:val="clear" w:color="auto" w:fill="auto"/>
            <w:vAlign w:val="center"/>
            <w:hideMark/>
          </w:tcPr>
          <w:p w14:paraId="6DEDBAA2" w14:textId="77777777" w:rsidR="009A4C46" w:rsidRPr="00F94FED" w:rsidRDefault="009A4C46" w:rsidP="009A4C46">
            <w:pPr>
              <w:spacing w:after="0" w:line="240" w:lineRule="auto"/>
              <w:contextualSpacing/>
              <w:jc w:val="center"/>
              <w:rPr>
                <w:rFonts w:eastAsia="Times New Roman"/>
                <w:sz w:val="18"/>
                <w:szCs w:val="18"/>
                <w:lang w:eastAsia="ru-RU"/>
              </w:rPr>
            </w:pPr>
            <w:r w:rsidRPr="00F94FED">
              <w:rPr>
                <w:rFonts w:eastAsia="Times New Roman"/>
                <w:sz w:val="18"/>
                <w:szCs w:val="18"/>
                <w:lang w:eastAsia="ru-RU"/>
              </w:rPr>
              <w:t>1,3</w:t>
            </w:r>
          </w:p>
        </w:tc>
      </w:tr>
    </w:tbl>
    <w:p w14:paraId="165C5403" w14:textId="01D06073" w:rsidR="002D4169" w:rsidRDefault="002D4169" w:rsidP="009A4C46">
      <w:pPr>
        <w:spacing w:afterLines="32" w:after="76" w:line="360" w:lineRule="auto"/>
        <w:ind w:firstLine="567"/>
        <w:contextualSpacing/>
        <w:jc w:val="both"/>
        <w:rPr>
          <w:rFonts w:eastAsia="Times New Roman"/>
          <w:sz w:val="28"/>
          <w:szCs w:val="28"/>
          <w:lang w:eastAsia="ru-RU"/>
        </w:rPr>
      </w:pPr>
    </w:p>
    <w:p w14:paraId="3210C98F" w14:textId="77777777" w:rsidR="002D4169" w:rsidRDefault="002D4169">
      <w:pPr>
        <w:rPr>
          <w:rFonts w:eastAsia="Times New Roman"/>
          <w:sz w:val="28"/>
          <w:szCs w:val="28"/>
          <w:lang w:eastAsia="ru-RU"/>
        </w:rPr>
      </w:pPr>
      <w:r>
        <w:rPr>
          <w:rFonts w:eastAsia="Times New Roman"/>
          <w:sz w:val="28"/>
          <w:szCs w:val="28"/>
          <w:lang w:eastAsia="ru-RU"/>
        </w:rPr>
        <w:br w:type="page"/>
      </w:r>
    </w:p>
    <w:p w14:paraId="6F0FA7CA" w14:textId="1575B9A9" w:rsidR="009A4C46" w:rsidRPr="00F94FED" w:rsidRDefault="009A4C46" w:rsidP="00F94FED">
      <w:pPr>
        <w:spacing w:after="0" w:line="360" w:lineRule="auto"/>
        <w:contextualSpacing/>
        <w:jc w:val="center"/>
        <w:rPr>
          <w:rFonts w:eastAsia="Calibri"/>
          <w:b/>
          <w:bCs/>
          <w:iCs/>
          <w:sz w:val="26"/>
          <w:szCs w:val="26"/>
        </w:rPr>
      </w:pPr>
      <w:r w:rsidRPr="00F94FED">
        <w:rPr>
          <w:rFonts w:eastAsia="Calibri"/>
          <w:b/>
          <w:bCs/>
          <w:iCs/>
          <w:sz w:val="26"/>
          <w:szCs w:val="26"/>
        </w:rPr>
        <w:lastRenderedPageBreak/>
        <w:t xml:space="preserve">Анализ документов, подтверждающих отчеты о реализации ИПР за 2017 </w:t>
      </w:r>
      <w:r w:rsidR="00E45F91" w:rsidRPr="00F94FED">
        <w:rPr>
          <w:rFonts w:eastAsia="Calibri"/>
          <w:b/>
          <w:bCs/>
          <w:iCs/>
          <w:sz w:val="26"/>
          <w:szCs w:val="26"/>
        </w:rPr>
        <w:t xml:space="preserve">год </w:t>
      </w:r>
      <w:r w:rsidRPr="00F94FED">
        <w:rPr>
          <w:rFonts w:eastAsia="Calibri"/>
          <w:b/>
          <w:bCs/>
          <w:iCs/>
          <w:sz w:val="26"/>
          <w:szCs w:val="26"/>
        </w:rPr>
        <w:t xml:space="preserve">(КС-2, КС-3, КС-11, КС-14, ОС-1, ОС-3, НМА-1, </w:t>
      </w:r>
      <w:r w:rsidR="00E45F91" w:rsidRPr="00F94FED">
        <w:rPr>
          <w:rFonts w:eastAsia="Calibri"/>
          <w:b/>
          <w:bCs/>
          <w:iCs/>
          <w:sz w:val="26"/>
          <w:szCs w:val="26"/>
        </w:rPr>
        <w:br/>
      </w:r>
      <w:r w:rsidRPr="00F94FED">
        <w:rPr>
          <w:rFonts w:eastAsia="Calibri"/>
          <w:b/>
          <w:bCs/>
          <w:iCs/>
          <w:sz w:val="26"/>
          <w:szCs w:val="26"/>
        </w:rPr>
        <w:t>акты о выводе из эксплуатации, об осуществлении технологического присоединения, и др.)</w:t>
      </w:r>
    </w:p>
    <w:p w14:paraId="411037D8" w14:textId="77777777" w:rsidR="009A4C46" w:rsidRPr="00F94FED" w:rsidRDefault="009A4C46" w:rsidP="00F94FED">
      <w:pPr>
        <w:spacing w:after="0" w:line="360" w:lineRule="auto"/>
        <w:ind w:firstLine="567"/>
        <w:contextualSpacing/>
        <w:jc w:val="both"/>
        <w:rPr>
          <w:rFonts w:eastAsia="Times New Roman"/>
          <w:sz w:val="26"/>
          <w:szCs w:val="26"/>
          <w:lang w:eastAsia="ru-RU"/>
        </w:rPr>
      </w:pPr>
      <w:r w:rsidRPr="00F94FED">
        <w:rPr>
          <w:rFonts w:eastAsia="Times New Roman"/>
          <w:sz w:val="26"/>
          <w:szCs w:val="26"/>
          <w:lang w:eastAsia="ru-RU"/>
        </w:rPr>
        <w:t>Согласно представленной АО «Тываэнерго» информации в составе тарифной заявки на 2019 г. акты о приемке выполненных работ (форма КС-2), Справки о стоимости выполненных работ и затрат (форма КС-3) за 2017 год не направляли.</w:t>
      </w:r>
    </w:p>
    <w:p w14:paraId="263B20CD" w14:textId="6C792CE7" w:rsidR="009A4C46" w:rsidRPr="00F863EC" w:rsidRDefault="009A4C46" w:rsidP="00F94FED">
      <w:pPr>
        <w:spacing w:after="0" w:line="360" w:lineRule="auto"/>
        <w:ind w:firstLine="567"/>
        <w:contextualSpacing/>
        <w:jc w:val="both"/>
        <w:rPr>
          <w:rFonts w:eastAsia="Times New Roman"/>
          <w:color w:val="0000CC"/>
          <w:sz w:val="26"/>
          <w:szCs w:val="26"/>
          <w:lang w:eastAsia="ru-RU"/>
        </w:rPr>
      </w:pPr>
      <w:r w:rsidRPr="00F94FED">
        <w:rPr>
          <w:rFonts w:eastAsia="Times New Roman"/>
          <w:sz w:val="26"/>
          <w:szCs w:val="26"/>
          <w:lang w:eastAsia="ru-RU"/>
        </w:rPr>
        <w:t>Реестры и копии договоров и актов выполненных работ, а также иных обосновывающих документов, связанных с реализацией инвестиционной программы, актов по форме КС-3, КС-14 в Службу по тарифам Республики Тыва не представлялись.</w:t>
      </w:r>
      <w:r w:rsidR="00F863EC">
        <w:rPr>
          <w:rFonts w:eastAsia="Times New Roman"/>
          <w:sz w:val="26"/>
          <w:szCs w:val="26"/>
          <w:lang w:eastAsia="ru-RU"/>
        </w:rPr>
        <w:t xml:space="preserve"> </w:t>
      </w:r>
      <w:r w:rsidR="00965254">
        <w:rPr>
          <w:rFonts w:eastAsia="Times New Roman"/>
          <w:color w:val="0000CC"/>
          <w:sz w:val="26"/>
          <w:szCs w:val="26"/>
          <w:lang w:eastAsia="ru-RU"/>
        </w:rPr>
        <w:t xml:space="preserve"> </w:t>
      </w:r>
    </w:p>
    <w:p w14:paraId="45662F51" w14:textId="77777777" w:rsidR="009A4C46" w:rsidRPr="00F94FED" w:rsidRDefault="009A4C46" w:rsidP="00F94FED">
      <w:pPr>
        <w:spacing w:after="0" w:line="360" w:lineRule="auto"/>
        <w:ind w:firstLine="567"/>
        <w:contextualSpacing/>
        <w:jc w:val="both"/>
        <w:rPr>
          <w:rFonts w:eastAsia="Times New Roman"/>
          <w:sz w:val="26"/>
          <w:szCs w:val="26"/>
          <w:lang w:eastAsia="ru-RU"/>
        </w:rPr>
      </w:pPr>
      <w:r w:rsidRPr="00F94FED">
        <w:rPr>
          <w:rFonts w:eastAsia="Times New Roman"/>
          <w:sz w:val="26"/>
          <w:szCs w:val="26"/>
          <w:lang w:eastAsia="ru-RU"/>
        </w:rPr>
        <w:t>Дополнительно экспертами рассмотрены отчеты по формам:</w:t>
      </w:r>
    </w:p>
    <w:p w14:paraId="7C31FDE7" w14:textId="60603413" w:rsidR="009A4C46" w:rsidRPr="00F94FED" w:rsidRDefault="009A4C46" w:rsidP="00F94FED">
      <w:pPr>
        <w:pStyle w:val="a3"/>
        <w:numPr>
          <w:ilvl w:val="0"/>
          <w:numId w:val="41"/>
        </w:numPr>
        <w:spacing w:after="0" w:line="360" w:lineRule="auto"/>
        <w:ind w:left="1134" w:hanging="567"/>
        <w:jc w:val="both"/>
        <w:rPr>
          <w:rFonts w:eastAsia="Times New Roman"/>
          <w:sz w:val="26"/>
          <w:szCs w:val="26"/>
          <w:lang w:eastAsia="ru-RU"/>
        </w:rPr>
      </w:pPr>
      <w:r w:rsidRPr="00F94FED">
        <w:rPr>
          <w:rFonts w:eastAsia="Times New Roman"/>
          <w:sz w:val="26"/>
          <w:szCs w:val="26"/>
          <w:lang w:eastAsia="ru-RU"/>
        </w:rPr>
        <w:t>Форма статистической отчетности П-2 Сведения об инвестициях в нефинансовые активы и средствах на долевой строительство.</w:t>
      </w:r>
    </w:p>
    <w:p w14:paraId="24E69210" w14:textId="65BAB922" w:rsidR="009A4C46" w:rsidRPr="00F94FED" w:rsidRDefault="009A4C46" w:rsidP="00F94FED">
      <w:pPr>
        <w:pStyle w:val="a3"/>
        <w:numPr>
          <w:ilvl w:val="0"/>
          <w:numId w:val="41"/>
        </w:numPr>
        <w:spacing w:after="0" w:line="360" w:lineRule="auto"/>
        <w:ind w:left="1134" w:hanging="567"/>
        <w:jc w:val="both"/>
        <w:rPr>
          <w:rFonts w:eastAsia="Times New Roman"/>
          <w:sz w:val="26"/>
          <w:szCs w:val="26"/>
          <w:lang w:eastAsia="ru-RU"/>
        </w:rPr>
      </w:pPr>
      <w:r w:rsidRPr="00F94FED">
        <w:rPr>
          <w:rFonts w:eastAsia="Times New Roman"/>
          <w:sz w:val="26"/>
          <w:szCs w:val="26"/>
          <w:lang w:eastAsia="ru-RU"/>
        </w:rPr>
        <w:t>Форма статистической отчетности №11 Основные фонды</w:t>
      </w:r>
      <w:r w:rsidR="00E45F91" w:rsidRPr="00F94FED">
        <w:rPr>
          <w:rFonts w:eastAsia="Times New Roman"/>
          <w:sz w:val="26"/>
          <w:szCs w:val="26"/>
          <w:lang w:eastAsia="ru-RU"/>
        </w:rPr>
        <w:t>.</w:t>
      </w:r>
    </w:p>
    <w:p w14:paraId="3C7E2F21" w14:textId="77777777" w:rsidR="009A4C46" w:rsidRPr="00F94FED" w:rsidRDefault="009A4C46" w:rsidP="00F94FED">
      <w:pPr>
        <w:spacing w:after="0" w:line="360" w:lineRule="auto"/>
        <w:ind w:firstLine="567"/>
        <w:contextualSpacing/>
        <w:jc w:val="both"/>
        <w:rPr>
          <w:rFonts w:eastAsia="Times New Roman"/>
          <w:sz w:val="26"/>
          <w:szCs w:val="26"/>
          <w:lang w:eastAsia="ru-RU"/>
        </w:rPr>
      </w:pPr>
      <w:r w:rsidRPr="00F94FED">
        <w:rPr>
          <w:rFonts w:eastAsia="Times New Roman"/>
          <w:sz w:val="26"/>
          <w:szCs w:val="26"/>
          <w:lang w:eastAsia="ru-RU"/>
        </w:rPr>
        <w:t>По данным формы статистического отчета П-2(квартальная)2017г. «Сведения об инвестициях в нефинансовые активы и средствах на долевое строительство инвестиции в основной капитал» за 2017 год по виду деятельности «Передача электрической энергии» 35.12.1 составили 218 131 тыс. руб., в том числе:</w:t>
      </w:r>
    </w:p>
    <w:p w14:paraId="4FE2CB1F" w14:textId="77777777" w:rsidR="009A4C46" w:rsidRPr="00F94FED" w:rsidRDefault="009A4C46" w:rsidP="00F94FED">
      <w:pPr>
        <w:pStyle w:val="a3"/>
        <w:numPr>
          <w:ilvl w:val="0"/>
          <w:numId w:val="40"/>
        </w:numPr>
        <w:spacing w:after="0" w:line="360" w:lineRule="auto"/>
        <w:ind w:left="1134" w:hanging="567"/>
        <w:jc w:val="both"/>
        <w:rPr>
          <w:rFonts w:eastAsia="Times New Roman"/>
          <w:sz w:val="26"/>
          <w:szCs w:val="26"/>
          <w:lang w:eastAsia="ru-RU"/>
        </w:rPr>
      </w:pPr>
      <w:r w:rsidRPr="00F94FED">
        <w:rPr>
          <w:rFonts w:ascii="Myriad Pro" w:eastAsia="Times New Roman" w:hAnsi="Myriad Pro"/>
          <w:sz w:val="26"/>
          <w:szCs w:val="26"/>
          <w:lang w:eastAsia="ru-RU"/>
        </w:rPr>
        <w:t>сооружения – 202 417 тыс. руб.;</w:t>
      </w:r>
    </w:p>
    <w:p w14:paraId="4A973EB3" w14:textId="77777777" w:rsidR="009A4C46" w:rsidRPr="00F94FED" w:rsidRDefault="009A4C46" w:rsidP="00F94FED">
      <w:pPr>
        <w:pStyle w:val="a3"/>
        <w:numPr>
          <w:ilvl w:val="0"/>
          <w:numId w:val="40"/>
        </w:numPr>
        <w:spacing w:after="0" w:line="360" w:lineRule="auto"/>
        <w:ind w:left="1134" w:hanging="567"/>
        <w:jc w:val="both"/>
        <w:rPr>
          <w:rFonts w:eastAsia="Times New Roman"/>
          <w:sz w:val="26"/>
          <w:szCs w:val="26"/>
          <w:lang w:eastAsia="ru-RU"/>
        </w:rPr>
      </w:pPr>
      <w:r w:rsidRPr="00F94FED">
        <w:rPr>
          <w:rFonts w:ascii="Myriad Pro" w:eastAsia="Times New Roman" w:hAnsi="Myriad Pro"/>
          <w:sz w:val="26"/>
          <w:szCs w:val="26"/>
          <w:lang w:eastAsia="ru-RU"/>
        </w:rPr>
        <w:t>транспортные средства – 2 458 тыс. руб.;</w:t>
      </w:r>
    </w:p>
    <w:p w14:paraId="274D3C16" w14:textId="77777777" w:rsidR="009A4C46" w:rsidRPr="00F94FED" w:rsidRDefault="009A4C46" w:rsidP="00F94FED">
      <w:pPr>
        <w:pStyle w:val="a3"/>
        <w:numPr>
          <w:ilvl w:val="0"/>
          <w:numId w:val="40"/>
        </w:numPr>
        <w:spacing w:after="0" w:line="360" w:lineRule="auto"/>
        <w:ind w:left="1134" w:hanging="567"/>
        <w:jc w:val="both"/>
        <w:rPr>
          <w:rFonts w:eastAsia="Times New Roman"/>
          <w:sz w:val="26"/>
          <w:szCs w:val="26"/>
          <w:lang w:eastAsia="ru-RU"/>
        </w:rPr>
      </w:pPr>
      <w:r w:rsidRPr="00F94FED">
        <w:rPr>
          <w:rFonts w:ascii="Myriad Pro" w:eastAsia="Times New Roman" w:hAnsi="Myriad Pro"/>
          <w:sz w:val="26"/>
          <w:szCs w:val="26"/>
          <w:lang w:eastAsia="ru-RU"/>
        </w:rPr>
        <w:t>ИКТ оборудование – 265 тыс. руб.;</w:t>
      </w:r>
    </w:p>
    <w:p w14:paraId="5906D069" w14:textId="77777777" w:rsidR="009A4C46" w:rsidRPr="00F94FED" w:rsidRDefault="009A4C46" w:rsidP="00F94FED">
      <w:pPr>
        <w:pStyle w:val="a3"/>
        <w:numPr>
          <w:ilvl w:val="0"/>
          <w:numId w:val="40"/>
        </w:numPr>
        <w:spacing w:after="0" w:line="360" w:lineRule="auto"/>
        <w:ind w:left="1134" w:hanging="567"/>
        <w:jc w:val="both"/>
        <w:rPr>
          <w:rFonts w:eastAsia="Times New Roman"/>
          <w:sz w:val="26"/>
          <w:szCs w:val="26"/>
          <w:lang w:eastAsia="ru-RU"/>
        </w:rPr>
      </w:pPr>
      <w:r w:rsidRPr="00F94FED">
        <w:rPr>
          <w:rFonts w:ascii="Myriad Pro" w:eastAsia="Times New Roman" w:hAnsi="Myriad Pro"/>
          <w:sz w:val="26"/>
          <w:szCs w:val="26"/>
          <w:lang w:eastAsia="ru-RU"/>
        </w:rPr>
        <w:t>прочие машины и оборудование – 12 991 тыс. руб.</w:t>
      </w:r>
    </w:p>
    <w:p w14:paraId="757643BA" w14:textId="77777777" w:rsidR="009A4C46" w:rsidRPr="00F94FED" w:rsidRDefault="009A4C46" w:rsidP="00F94FED">
      <w:pPr>
        <w:spacing w:after="0" w:line="360" w:lineRule="auto"/>
        <w:ind w:firstLine="567"/>
        <w:contextualSpacing/>
        <w:jc w:val="center"/>
        <w:rPr>
          <w:rFonts w:eastAsia="Times New Roman"/>
          <w:b/>
          <w:iCs/>
          <w:sz w:val="26"/>
          <w:szCs w:val="26"/>
          <w:lang w:eastAsia="ru-RU"/>
        </w:rPr>
      </w:pPr>
      <w:r w:rsidRPr="00F94FED">
        <w:rPr>
          <w:rFonts w:eastAsia="Times New Roman"/>
          <w:b/>
          <w:iCs/>
          <w:sz w:val="26"/>
          <w:szCs w:val="26"/>
          <w:lang w:eastAsia="ru-RU"/>
        </w:rPr>
        <w:t>Сравнительные данные отчетных документов по исполнению инвестиционной программы, представленные АО «Тываэнерго» за 2017 год</w:t>
      </w:r>
    </w:p>
    <w:tbl>
      <w:tblPr>
        <w:tblStyle w:val="52"/>
        <w:tblW w:w="5000" w:type="pct"/>
        <w:tblLook w:val="04A0" w:firstRow="1" w:lastRow="0" w:firstColumn="1" w:lastColumn="0" w:noHBand="0" w:noVBand="1"/>
      </w:tblPr>
      <w:tblGrid>
        <w:gridCol w:w="572"/>
        <w:gridCol w:w="2626"/>
        <w:gridCol w:w="1540"/>
        <w:gridCol w:w="1534"/>
        <w:gridCol w:w="1533"/>
        <w:gridCol w:w="6"/>
        <w:gridCol w:w="1534"/>
      </w:tblGrid>
      <w:tr w:rsidR="00370BF5" w:rsidRPr="00370BF5" w14:paraId="14F4528C" w14:textId="77777777" w:rsidTr="00CB5AA8">
        <w:trPr>
          <w:tblHeader/>
        </w:trPr>
        <w:tc>
          <w:tcPr>
            <w:tcW w:w="30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51132E0" w14:textId="77777777" w:rsidR="009A4C46" w:rsidRPr="00F94FED" w:rsidRDefault="009A4C46" w:rsidP="003E2802">
            <w:pPr>
              <w:jc w:val="center"/>
              <w:rPr>
                <w:rFonts w:eastAsia="Times New Roman"/>
                <w:b/>
                <w:bCs/>
                <w:color w:val="FFFFFF" w:themeColor="background1"/>
                <w:lang w:eastAsia="ru-RU"/>
              </w:rPr>
            </w:pPr>
            <w:r w:rsidRPr="00F94FED">
              <w:rPr>
                <w:rFonts w:eastAsia="Times New Roman"/>
                <w:b/>
                <w:bCs/>
                <w:color w:val="FFFFFF" w:themeColor="background1"/>
                <w:lang w:eastAsia="ru-RU"/>
              </w:rPr>
              <w:t>№ п/п</w:t>
            </w:r>
          </w:p>
        </w:tc>
        <w:tc>
          <w:tcPr>
            <w:tcW w:w="140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FD9A268" w14:textId="77777777" w:rsidR="009A4C46" w:rsidRPr="00F94FED" w:rsidRDefault="009A4C46">
            <w:pPr>
              <w:jc w:val="center"/>
              <w:rPr>
                <w:rFonts w:eastAsia="Times New Roman"/>
                <w:b/>
                <w:bCs/>
                <w:color w:val="FFFFFF" w:themeColor="background1"/>
                <w:lang w:eastAsia="ru-RU"/>
              </w:rPr>
            </w:pPr>
            <w:r w:rsidRPr="00F94FED">
              <w:rPr>
                <w:rFonts w:eastAsia="Times New Roman"/>
                <w:b/>
                <w:bCs/>
                <w:color w:val="FFFFFF" w:themeColor="background1"/>
                <w:lang w:eastAsia="ru-RU"/>
              </w:rPr>
              <w:t>Наименование отчетного документа</w:t>
            </w:r>
          </w:p>
        </w:tc>
        <w:tc>
          <w:tcPr>
            <w:tcW w:w="1645"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B3819E4" w14:textId="091CC067" w:rsidR="009A4C46" w:rsidRPr="00F94FED" w:rsidRDefault="009A4C46">
            <w:pPr>
              <w:jc w:val="center"/>
              <w:rPr>
                <w:rFonts w:eastAsia="Times New Roman"/>
                <w:b/>
                <w:bCs/>
                <w:color w:val="FFFFFF" w:themeColor="background1"/>
                <w:lang w:eastAsia="ru-RU"/>
              </w:rPr>
            </w:pPr>
            <w:r w:rsidRPr="00F94FED">
              <w:rPr>
                <w:rFonts w:eastAsia="Times New Roman"/>
                <w:b/>
                <w:bCs/>
                <w:color w:val="FFFFFF" w:themeColor="background1"/>
                <w:lang w:eastAsia="ru-RU"/>
              </w:rPr>
              <w:t>Объем финансирования,</w:t>
            </w:r>
          </w:p>
          <w:p w14:paraId="22461CD1" w14:textId="77777777" w:rsidR="009A4C46" w:rsidRPr="00F94FED" w:rsidRDefault="009A4C46">
            <w:pPr>
              <w:jc w:val="center"/>
              <w:rPr>
                <w:rFonts w:eastAsia="Times New Roman"/>
                <w:b/>
                <w:bCs/>
                <w:color w:val="FFFFFF" w:themeColor="background1"/>
                <w:lang w:eastAsia="ru-RU"/>
              </w:rPr>
            </w:pPr>
            <w:r w:rsidRPr="00F94FED">
              <w:rPr>
                <w:rFonts w:eastAsia="Times New Roman"/>
                <w:b/>
                <w:bCs/>
                <w:color w:val="FFFFFF" w:themeColor="background1"/>
                <w:lang w:eastAsia="ru-RU"/>
              </w:rPr>
              <w:t>с учетом НДС, млн. руб.</w:t>
            </w:r>
          </w:p>
        </w:tc>
        <w:tc>
          <w:tcPr>
            <w:tcW w:w="1644"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6CC415C" w14:textId="77777777" w:rsidR="009A4C46" w:rsidRPr="00F94FED" w:rsidRDefault="009A4C46">
            <w:pPr>
              <w:jc w:val="center"/>
              <w:rPr>
                <w:rFonts w:eastAsia="Times New Roman"/>
                <w:b/>
                <w:bCs/>
                <w:color w:val="FFFFFF" w:themeColor="background1"/>
                <w:lang w:eastAsia="ru-RU"/>
              </w:rPr>
            </w:pPr>
            <w:r w:rsidRPr="00F94FED">
              <w:rPr>
                <w:rFonts w:eastAsia="Times New Roman"/>
                <w:b/>
                <w:bCs/>
                <w:color w:val="FFFFFF" w:themeColor="background1"/>
                <w:lang w:eastAsia="ru-RU"/>
              </w:rPr>
              <w:t>Объем финансирования, без учета НДС, млн. руб.</w:t>
            </w:r>
          </w:p>
        </w:tc>
      </w:tr>
      <w:tr w:rsidR="00370BF5" w:rsidRPr="00370BF5" w14:paraId="64E1B03C" w14:textId="77777777" w:rsidTr="00CB5AA8">
        <w:trPr>
          <w:tblHeader/>
        </w:trPr>
        <w:tc>
          <w:tcPr>
            <w:tcW w:w="30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C0F7C87" w14:textId="77777777" w:rsidR="009A4C46" w:rsidRPr="00F94FED" w:rsidRDefault="009A4C46" w:rsidP="00F94FED">
            <w:pPr>
              <w:jc w:val="center"/>
              <w:rPr>
                <w:rFonts w:eastAsia="Times New Roman"/>
                <w:b/>
                <w:bCs/>
                <w:color w:val="FFFFFF" w:themeColor="background1"/>
                <w:lang w:eastAsia="ru-RU"/>
              </w:rPr>
            </w:pPr>
          </w:p>
        </w:tc>
        <w:tc>
          <w:tcPr>
            <w:tcW w:w="140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92945AB" w14:textId="77777777" w:rsidR="009A4C46" w:rsidRPr="00F94FED" w:rsidRDefault="009A4C46" w:rsidP="00F94FED">
            <w:pPr>
              <w:jc w:val="center"/>
              <w:rPr>
                <w:rFonts w:eastAsia="Times New Roman"/>
                <w:b/>
                <w:bCs/>
                <w:color w:val="FFFFFF" w:themeColor="background1"/>
                <w:lang w:eastAsia="ru-RU"/>
              </w:rPr>
            </w:pPr>
          </w:p>
        </w:tc>
        <w:tc>
          <w:tcPr>
            <w:tcW w:w="82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F62B06D" w14:textId="77777777" w:rsidR="009A4C46" w:rsidRPr="00F94FED" w:rsidRDefault="009A4C46" w:rsidP="003E2802">
            <w:pPr>
              <w:jc w:val="center"/>
              <w:rPr>
                <w:rFonts w:eastAsia="Times New Roman"/>
                <w:b/>
                <w:bCs/>
                <w:color w:val="FFFFFF" w:themeColor="background1"/>
                <w:lang w:eastAsia="ru-RU"/>
              </w:rPr>
            </w:pPr>
            <w:r w:rsidRPr="00F94FED">
              <w:rPr>
                <w:rFonts w:eastAsia="Times New Roman"/>
                <w:b/>
                <w:bCs/>
                <w:color w:val="FFFFFF" w:themeColor="background1"/>
                <w:lang w:eastAsia="ru-RU"/>
              </w:rPr>
              <w:t>План</w:t>
            </w:r>
          </w:p>
        </w:tc>
        <w:tc>
          <w:tcPr>
            <w:tcW w:w="82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8171073" w14:textId="77777777" w:rsidR="009A4C46" w:rsidRPr="00F94FED" w:rsidRDefault="009A4C46">
            <w:pPr>
              <w:jc w:val="center"/>
              <w:rPr>
                <w:rFonts w:eastAsia="Times New Roman"/>
                <w:b/>
                <w:bCs/>
                <w:color w:val="FFFFFF" w:themeColor="background1"/>
                <w:lang w:eastAsia="ru-RU"/>
              </w:rPr>
            </w:pPr>
            <w:r w:rsidRPr="00F94FED">
              <w:rPr>
                <w:rFonts w:eastAsia="Times New Roman"/>
                <w:b/>
                <w:bCs/>
                <w:color w:val="FFFFFF" w:themeColor="background1"/>
                <w:lang w:eastAsia="ru-RU"/>
              </w:rPr>
              <w:t>Факт</w:t>
            </w:r>
          </w:p>
        </w:tc>
        <w:tc>
          <w:tcPr>
            <w:tcW w:w="82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7DEF73A" w14:textId="77777777" w:rsidR="009A4C46" w:rsidRPr="00F94FED" w:rsidRDefault="009A4C46">
            <w:pPr>
              <w:jc w:val="center"/>
              <w:rPr>
                <w:rFonts w:eastAsia="Times New Roman"/>
                <w:b/>
                <w:bCs/>
                <w:color w:val="FFFFFF" w:themeColor="background1"/>
                <w:lang w:eastAsia="ru-RU"/>
              </w:rPr>
            </w:pPr>
            <w:r w:rsidRPr="00F94FED">
              <w:rPr>
                <w:rFonts w:eastAsia="Times New Roman"/>
                <w:b/>
                <w:bCs/>
                <w:color w:val="FFFFFF" w:themeColor="background1"/>
                <w:lang w:eastAsia="ru-RU"/>
              </w:rPr>
              <w:t>План</w:t>
            </w:r>
          </w:p>
        </w:tc>
        <w:tc>
          <w:tcPr>
            <w:tcW w:w="82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FBF31AD" w14:textId="77777777" w:rsidR="009A4C46" w:rsidRPr="00F94FED" w:rsidRDefault="009A4C46">
            <w:pPr>
              <w:jc w:val="center"/>
              <w:rPr>
                <w:rFonts w:eastAsia="Times New Roman"/>
                <w:b/>
                <w:bCs/>
                <w:color w:val="FFFFFF" w:themeColor="background1"/>
                <w:lang w:eastAsia="ru-RU"/>
              </w:rPr>
            </w:pPr>
            <w:r w:rsidRPr="00F94FED">
              <w:rPr>
                <w:rFonts w:eastAsia="Times New Roman"/>
                <w:b/>
                <w:bCs/>
                <w:color w:val="FFFFFF" w:themeColor="background1"/>
                <w:lang w:eastAsia="ru-RU"/>
              </w:rPr>
              <w:t>Факт</w:t>
            </w:r>
          </w:p>
        </w:tc>
      </w:tr>
      <w:tr w:rsidR="00370BF5" w:rsidRPr="00370BF5" w14:paraId="372D9561" w14:textId="77777777" w:rsidTr="00CB5AA8">
        <w:trPr>
          <w:tblHeader/>
        </w:trPr>
        <w:tc>
          <w:tcPr>
            <w:tcW w:w="30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CE4D4DF" w14:textId="6AC86F8B" w:rsidR="00370BF5" w:rsidRPr="00F94FED" w:rsidRDefault="00370BF5" w:rsidP="00F94FED">
            <w:pPr>
              <w:jc w:val="center"/>
              <w:rPr>
                <w:rFonts w:eastAsia="Times New Roman"/>
                <w:b/>
                <w:bCs/>
                <w:color w:val="FFFFFF" w:themeColor="background1"/>
                <w:lang w:eastAsia="ru-RU"/>
              </w:rPr>
            </w:pPr>
            <w:r w:rsidRPr="00F94FED">
              <w:rPr>
                <w:rFonts w:eastAsia="Times New Roman"/>
                <w:b/>
                <w:bCs/>
                <w:color w:val="FFFFFF" w:themeColor="background1"/>
                <w:lang w:eastAsia="ru-RU"/>
              </w:rPr>
              <w:t>1</w:t>
            </w:r>
          </w:p>
        </w:tc>
        <w:tc>
          <w:tcPr>
            <w:tcW w:w="140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1C75D3B" w14:textId="266C2860" w:rsidR="00370BF5" w:rsidRPr="00F94FED" w:rsidRDefault="00370BF5" w:rsidP="00F94FED">
            <w:pPr>
              <w:jc w:val="center"/>
              <w:rPr>
                <w:rFonts w:eastAsia="Times New Roman"/>
                <w:b/>
                <w:bCs/>
                <w:color w:val="FFFFFF" w:themeColor="background1"/>
                <w:lang w:eastAsia="ru-RU"/>
              </w:rPr>
            </w:pPr>
            <w:r w:rsidRPr="00F94FED">
              <w:rPr>
                <w:rFonts w:eastAsia="Times New Roman"/>
                <w:b/>
                <w:bCs/>
                <w:color w:val="FFFFFF" w:themeColor="background1"/>
                <w:lang w:eastAsia="ru-RU"/>
              </w:rPr>
              <w:t>2</w:t>
            </w:r>
          </w:p>
        </w:tc>
        <w:tc>
          <w:tcPr>
            <w:tcW w:w="82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85081B0" w14:textId="1E55AE8A" w:rsidR="00370BF5" w:rsidRPr="00F94FED" w:rsidRDefault="00370BF5" w:rsidP="003E2802">
            <w:pPr>
              <w:jc w:val="center"/>
              <w:rPr>
                <w:rFonts w:eastAsia="Times New Roman"/>
                <w:b/>
                <w:bCs/>
                <w:color w:val="FFFFFF" w:themeColor="background1"/>
                <w:lang w:eastAsia="ru-RU"/>
              </w:rPr>
            </w:pPr>
            <w:r w:rsidRPr="00F94FED">
              <w:rPr>
                <w:rFonts w:eastAsia="Times New Roman"/>
                <w:b/>
                <w:bCs/>
                <w:color w:val="FFFFFF" w:themeColor="background1"/>
                <w:lang w:eastAsia="ru-RU"/>
              </w:rPr>
              <w:t>3</w:t>
            </w:r>
          </w:p>
        </w:tc>
        <w:tc>
          <w:tcPr>
            <w:tcW w:w="82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38C344C" w14:textId="5815986E" w:rsidR="00370BF5" w:rsidRPr="00F94FED" w:rsidRDefault="00370BF5">
            <w:pPr>
              <w:jc w:val="center"/>
              <w:rPr>
                <w:rFonts w:eastAsia="Times New Roman"/>
                <w:b/>
                <w:bCs/>
                <w:color w:val="FFFFFF" w:themeColor="background1"/>
                <w:lang w:eastAsia="ru-RU"/>
              </w:rPr>
            </w:pPr>
            <w:r w:rsidRPr="00F94FED">
              <w:rPr>
                <w:rFonts w:eastAsia="Times New Roman"/>
                <w:b/>
                <w:bCs/>
                <w:color w:val="FFFFFF" w:themeColor="background1"/>
                <w:lang w:eastAsia="ru-RU"/>
              </w:rPr>
              <w:t>4</w:t>
            </w:r>
          </w:p>
        </w:tc>
        <w:tc>
          <w:tcPr>
            <w:tcW w:w="82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4BF2F02" w14:textId="4F85ABEC" w:rsidR="00370BF5" w:rsidRPr="00F94FED" w:rsidRDefault="00370BF5">
            <w:pPr>
              <w:jc w:val="center"/>
              <w:rPr>
                <w:rFonts w:eastAsia="Times New Roman"/>
                <w:b/>
                <w:bCs/>
                <w:color w:val="FFFFFF" w:themeColor="background1"/>
                <w:lang w:eastAsia="ru-RU"/>
              </w:rPr>
            </w:pPr>
            <w:r w:rsidRPr="00F94FED">
              <w:rPr>
                <w:rFonts w:eastAsia="Times New Roman"/>
                <w:b/>
                <w:bCs/>
                <w:color w:val="FFFFFF" w:themeColor="background1"/>
                <w:lang w:eastAsia="ru-RU"/>
              </w:rPr>
              <w:t>5</w:t>
            </w:r>
          </w:p>
        </w:tc>
        <w:tc>
          <w:tcPr>
            <w:tcW w:w="82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57B530B" w14:textId="645E1A1D" w:rsidR="00370BF5" w:rsidRPr="00F94FED" w:rsidRDefault="00370BF5">
            <w:pPr>
              <w:jc w:val="center"/>
              <w:rPr>
                <w:rFonts w:eastAsia="Times New Roman"/>
                <w:b/>
                <w:bCs/>
                <w:color w:val="FFFFFF" w:themeColor="background1"/>
                <w:lang w:eastAsia="ru-RU"/>
              </w:rPr>
            </w:pPr>
            <w:r w:rsidRPr="00F94FED">
              <w:rPr>
                <w:rFonts w:eastAsia="Times New Roman"/>
                <w:b/>
                <w:bCs/>
                <w:color w:val="FFFFFF" w:themeColor="background1"/>
                <w:lang w:eastAsia="ru-RU"/>
              </w:rPr>
              <w:t>6</w:t>
            </w:r>
          </w:p>
        </w:tc>
      </w:tr>
      <w:tr w:rsidR="009A4C46" w:rsidRPr="00370BF5" w14:paraId="7B58F68B" w14:textId="77777777" w:rsidTr="00CB5AA8">
        <w:tc>
          <w:tcPr>
            <w:tcW w:w="306" w:type="pct"/>
            <w:tcBorders>
              <w:top w:val="single" w:sz="4" w:space="0" w:color="FFFFFF" w:themeColor="background1"/>
            </w:tcBorders>
          </w:tcPr>
          <w:p w14:paraId="4132C756" w14:textId="77777777" w:rsidR="009A4C46" w:rsidRPr="00F94FED" w:rsidRDefault="009A4C46" w:rsidP="009A4C46">
            <w:pPr>
              <w:jc w:val="both"/>
              <w:rPr>
                <w:rFonts w:eastAsia="Times New Roman"/>
                <w:lang w:eastAsia="ru-RU"/>
              </w:rPr>
            </w:pPr>
            <w:r w:rsidRPr="00F94FED">
              <w:rPr>
                <w:rFonts w:eastAsia="Times New Roman"/>
                <w:lang w:eastAsia="ru-RU"/>
              </w:rPr>
              <w:t>1</w:t>
            </w:r>
          </w:p>
        </w:tc>
        <w:tc>
          <w:tcPr>
            <w:tcW w:w="1405" w:type="pct"/>
            <w:tcBorders>
              <w:top w:val="single" w:sz="4" w:space="0" w:color="FFFFFF" w:themeColor="background1"/>
            </w:tcBorders>
          </w:tcPr>
          <w:p w14:paraId="54160A67" w14:textId="77777777" w:rsidR="009A4C46" w:rsidRPr="00F94FED" w:rsidRDefault="009A4C46" w:rsidP="009A4C46">
            <w:pPr>
              <w:rPr>
                <w:rFonts w:eastAsia="Times New Roman"/>
                <w:lang w:eastAsia="ru-RU"/>
              </w:rPr>
            </w:pPr>
            <w:r w:rsidRPr="00F94FED">
              <w:rPr>
                <w:rFonts w:eastAsia="Times New Roman"/>
                <w:lang w:eastAsia="ru-RU"/>
              </w:rPr>
              <w:t>Приказ Минэнерго России от 27.10.2017 г. № 6@, в т.ч.</w:t>
            </w:r>
          </w:p>
        </w:tc>
        <w:tc>
          <w:tcPr>
            <w:tcW w:w="824" w:type="pct"/>
            <w:tcBorders>
              <w:top w:val="single" w:sz="4" w:space="0" w:color="FFFFFF" w:themeColor="background1"/>
            </w:tcBorders>
          </w:tcPr>
          <w:p w14:paraId="6C99FB4A" w14:textId="77777777" w:rsidR="009A4C46" w:rsidRPr="00F94FED" w:rsidRDefault="009A4C46" w:rsidP="009A4C46">
            <w:pPr>
              <w:jc w:val="center"/>
              <w:rPr>
                <w:rFonts w:eastAsia="Times New Roman"/>
                <w:b/>
                <w:lang w:eastAsia="ru-RU"/>
              </w:rPr>
            </w:pPr>
            <w:r w:rsidRPr="00F94FED">
              <w:rPr>
                <w:rFonts w:eastAsia="Times New Roman"/>
                <w:b/>
                <w:lang w:eastAsia="ru-RU"/>
              </w:rPr>
              <w:t>257,49</w:t>
            </w:r>
          </w:p>
        </w:tc>
        <w:tc>
          <w:tcPr>
            <w:tcW w:w="821" w:type="pct"/>
            <w:tcBorders>
              <w:top w:val="single" w:sz="4" w:space="0" w:color="FFFFFF" w:themeColor="background1"/>
            </w:tcBorders>
          </w:tcPr>
          <w:p w14:paraId="6A4A38F8" w14:textId="77777777" w:rsidR="009A4C46" w:rsidRPr="00F94FED" w:rsidRDefault="009A4C46" w:rsidP="009A4C46">
            <w:pPr>
              <w:jc w:val="center"/>
              <w:rPr>
                <w:rFonts w:eastAsia="Times New Roman"/>
                <w:lang w:eastAsia="ru-RU"/>
              </w:rPr>
            </w:pPr>
            <w:r w:rsidRPr="00F94FED">
              <w:rPr>
                <w:rFonts w:eastAsia="Times New Roman"/>
                <w:lang w:eastAsia="ru-RU"/>
              </w:rPr>
              <w:t>-</w:t>
            </w:r>
          </w:p>
        </w:tc>
        <w:tc>
          <w:tcPr>
            <w:tcW w:w="823" w:type="pct"/>
            <w:gridSpan w:val="2"/>
            <w:tcBorders>
              <w:top w:val="single" w:sz="4" w:space="0" w:color="FFFFFF" w:themeColor="background1"/>
            </w:tcBorders>
          </w:tcPr>
          <w:p w14:paraId="3C78824C" w14:textId="77777777" w:rsidR="009A4C46" w:rsidRPr="00F94FED" w:rsidRDefault="009A4C46" w:rsidP="009A4C46">
            <w:pPr>
              <w:jc w:val="center"/>
              <w:rPr>
                <w:rFonts w:eastAsia="Times New Roman"/>
                <w:lang w:eastAsia="ru-RU"/>
              </w:rPr>
            </w:pPr>
            <w:r w:rsidRPr="00F94FED">
              <w:rPr>
                <w:rFonts w:eastAsia="Times New Roman"/>
                <w:lang w:eastAsia="ru-RU"/>
              </w:rPr>
              <w:t>-</w:t>
            </w:r>
          </w:p>
        </w:tc>
        <w:tc>
          <w:tcPr>
            <w:tcW w:w="821" w:type="pct"/>
            <w:tcBorders>
              <w:top w:val="single" w:sz="4" w:space="0" w:color="FFFFFF" w:themeColor="background1"/>
            </w:tcBorders>
          </w:tcPr>
          <w:p w14:paraId="762B6F47" w14:textId="77777777" w:rsidR="009A4C46" w:rsidRPr="00F94FED" w:rsidRDefault="009A4C46" w:rsidP="009A4C46">
            <w:pPr>
              <w:jc w:val="center"/>
              <w:rPr>
                <w:rFonts w:eastAsia="Times New Roman"/>
                <w:lang w:eastAsia="ru-RU"/>
              </w:rPr>
            </w:pPr>
            <w:r w:rsidRPr="00F94FED">
              <w:rPr>
                <w:rFonts w:eastAsia="Times New Roman"/>
                <w:lang w:eastAsia="ru-RU"/>
              </w:rPr>
              <w:t>-</w:t>
            </w:r>
          </w:p>
        </w:tc>
      </w:tr>
      <w:tr w:rsidR="009A4C46" w:rsidRPr="00370BF5" w14:paraId="441216D9" w14:textId="77777777" w:rsidTr="00CB5AA8">
        <w:tc>
          <w:tcPr>
            <w:tcW w:w="306" w:type="pct"/>
          </w:tcPr>
          <w:p w14:paraId="1EF72729" w14:textId="77777777" w:rsidR="009A4C46" w:rsidRPr="00F94FED" w:rsidRDefault="009A4C46" w:rsidP="009A4C46">
            <w:pPr>
              <w:jc w:val="both"/>
              <w:rPr>
                <w:rFonts w:eastAsia="Times New Roman"/>
                <w:lang w:eastAsia="ru-RU"/>
              </w:rPr>
            </w:pPr>
            <w:r w:rsidRPr="00F94FED">
              <w:rPr>
                <w:rFonts w:eastAsia="Times New Roman"/>
                <w:lang w:eastAsia="ru-RU"/>
              </w:rPr>
              <w:t>1.1</w:t>
            </w:r>
          </w:p>
        </w:tc>
        <w:tc>
          <w:tcPr>
            <w:tcW w:w="1405" w:type="pct"/>
          </w:tcPr>
          <w:p w14:paraId="0AA622B2" w14:textId="77777777" w:rsidR="009A4C46" w:rsidRPr="00F94FED" w:rsidRDefault="009A4C46" w:rsidP="009A4C46">
            <w:pPr>
              <w:rPr>
                <w:rFonts w:eastAsia="Times New Roman"/>
                <w:lang w:eastAsia="ru-RU"/>
              </w:rPr>
            </w:pPr>
            <w:r w:rsidRPr="00F94FED">
              <w:rPr>
                <w:rFonts w:eastAsia="Times New Roman"/>
                <w:lang w:eastAsia="ru-RU"/>
              </w:rPr>
              <w:t>амортизация</w:t>
            </w:r>
          </w:p>
        </w:tc>
        <w:tc>
          <w:tcPr>
            <w:tcW w:w="824" w:type="pct"/>
          </w:tcPr>
          <w:p w14:paraId="228DAF21" w14:textId="77777777" w:rsidR="009A4C46" w:rsidRPr="00F94FED" w:rsidRDefault="009A4C46" w:rsidP="009A4C46">
            <w:pPr>
              <w:jc w:val="center"/>
              <w:rPr>
                <w:rFonts w:eastAsia="Times New Roman"/>
                <w:lang w:eastAsia="ru-RU"/>
              </w:rPr>
            </w:pPr>
            <w:r w:rsidRPr="00F94FED">
              <w:rPr>
                <w:rFonts w:eastAsia="Times New Roman"/>
                <w:lang w:eastAsia="ru-RU"/>
              </w:rPr>
              <w:t>-</w:t>
            </w:r>
          </w:p>
        </w:tc>
        <w:tc>
          <w:tcPr>
            <w:tcW w:w="821" w:type="pct"/>
          </w:tcPr>
          <w:p w14:paraId="30843BC3" w14:textId="77777777" w:rsidR="009A4C46" w:rsidRPr="00F94FED" w:rsidRDefault="009A4C46" w:rsidP="009A4C46">
            <w:pPr>
              <w:jc w:val="center"/>
              <w:rPr>
                <w:rFonts w:eastAsia="Times New Roman"/>
                <w:lang w:eastAsia="ru-RU"/>
              </w:rPr>
            </w:pPr>
            <w:r w:rsidRPr="00F94FED">
              <w:rPr>
                <w:rFonts w:eastAsia="Times New Roman"/>
                <w:lang w:eastAsia="ru-RU"/>
              </w:rPr>
              <w:t>-</w:t>
            </w:r>
          </w:p>
        </w:tc>
        <w:tc>
          <w:tcPr>
            <w:tcW w:w="823" w:type="pct"/>
            <w:gridSpan w:val="2"/>
          </w:tcPr>
          <w:p w14:paraId="5BF57936" w14:textId="77777777" w:rsidR="009A4C46" w:rsidRPr="00F94FED" w:rsidRDefault="009A4C46" w:rsidP="009A4C46">
            <w:pPr>
              <w:jc w:val="center"/>
              <w:rPr>
                <w:rFonts w:eastAsia="Times New Roman"/>
                <w:b/>
                <w:lang w:eastAsia="ru-RU"/>
              </w:rPr>
            </w:pPr>
            <w:r w:rsidRPr="00F94FED">
              <w:rPr>
                <w:rFonts w:eastAsia="Times New Roman"/>
                <w:b/>
                <w:lang w:eastAsia="ru-RU"/>
              </w:rPr>
              <w:t>70,89</w:t>
            </w:r>
          </w:p>
        </w:tc>
        <w:tc>
          <w:tcPr>
            <w:tcW w:w="821" w:type="pct"/>
          </w:tcPr>
          <w:p w14:paraId="7337F07E" w14:textId="77777777" w:rsidR="009A4C46" w:rsidRPr="00F94FED" w:rsidRDefault="009A4C46" w:rsidP="009A4C46">
            <w:pPr>
              <w:jc w:val="center"/>
              <w:rPr>
                <w:rFonts w:eastAsia="Times New Roman"/>
                <w:lang w:eastAsia="ru-RU"/>
              </w:rPr>
            </w:pPr>
            <w:r w:rsidRPr="00F94FED">
              <w:rPr>
                <w:rFonts w:eastAsia="Times New Roman"/>
                <w:lang w:eastAsia="ru-RU"/>
              </w:rPr>
              <w:t>-</w:t>
            </w:r>
          </w:p>
        </w:tc>
      </w:tr>
      <w:tr w:rsidR="009A4C46" w:rsidRPr="00370BF5" w14:paraId="18F2B4EB" w14:textId="77777777" w:rsidTr="00CB5AA8">
        <w:tc>
          <w:tcPr>
            <w:tcW w:w="306" w:type="pct"/>
          </w:tcPr>
          <w:p w14:paraId="05034D17" w14:textId="77777777" w:rsidR="009A4C46" w:rsidRPr="00F94FED" w:rsidRDefault="009A4C46" w:rsidP="009A4C46">
            <w:pPr>
              <w:jc w:val="both"/>
              <w:rPr>
                <w:rFonts w:eastAsia="Times New Roman"/>
                <w:lang w:eastAsia="ru-RU"/>
              </w:rPr>
            </w:pPr>
            <w:r w:rsidRPr="00F94FED">
              <w:rPr>
                <w:rFonts w:eastAsia="Times New Roman"/>
                <w:lang w:eastAsia="ru-RU"/>
              </w:rPr>
              <w:t>2</w:t>
            </w:r>
          </w:p>
        </w:tc>
        <w:tc>
          <w:tcPr>
            <w:tcW w:w="1405" w:type="pct"/>
          </w:tcPr>
          <w:p w14:paraId="6AB11F0E" w14:textId="77777777" w:rsidR="009A4C46" w:rsidRPr="00F94FED" w:rsidRDefault="009A4C46" w:rsidP="009A4C46">
            <w:pPr>
              <w:rPr>
                <w:rFonts w:eastAsia="Times New Roman"/>
                <w:lang w:eastAsia="ru-RU"/>
              </w:rPr>
            </w:pPr>
            <w:r w:rsidRPr="00F94FED">
              <w:rPr>
                <w:rFonts w:eastAsia="Times New Roman"/>
                <w:lang w:eastAsia="ru-RU"/>
              </w:rPr>
              <w:t>Отчет в формате шаблона ЕИАС NET.INV, в т. ч.</w:t>
            </w:r>
          </w:p>
        </w:tc>
        <w:tc>
          <w:tcPr>
            <w:tcW w:w="824" w:type="pct"/>
          </w:tcPr>
          <w:p w14:paraId="280142AA" w14:textId="77777777" w:rsidR="009A4C46" w:rsidRPr="00F94FED" w:rsidRDefault="009A4C46" w:rsidP="009A4C46">
            <w:pPr>
              <w:jc w:val="center"/>
              <w:rPr>
                <w:rFonts w:eastAsia="Times New Roman"/>
                <w:lang w:eastAsia="ru-RU"/>
              </w:rPr>
            </w:pPr>
            <w:r w:rsidRPr="00F94FED">
              <w:rPr>
                <w:rFonts w:eastAsia="Times New Roman"/>
                <w:lang w:eastAsia="ru-RU"/>
              </w:rPr>
              <w:t>-</w:t>
            </w:r>
          </w:p>
        </w:tc>
        <w:tc>
          <w:tcPr>
            <w:tcW w:w="821" w:type="pct"/>
          </w:tcPr>
          <w:p w14:paraId="536740C9" w14:textId="77777777" w:rsidR="009A4C46" w:rsidRPr="00F94FED" w:rsidRDefault="009A4C46" w:rsidP="009A4C46">
            <w:pPr>
              <w:jc w:val="center"/>
              <w:rPr>
                <w:rFonts w:eastAsia="Times New Roman"/>
                <w:lang w:eastAsia="ru-RU"/>
              </w:rPr>
            </w:pPr>
            <w:r w:rsidRPr="00F94FED">
              <w:rPr>
                <w:rFonts w:eastAsia="Times New Roman"/>
                <w:lang w:eastAsia="ru-RU"/>
              </w:rPr>
              <w:t>-</w:t>
            </w:r>
          </w:p>
        </w:tc>
        <w:tc>
          <w:tcPr>
            <w:tcW w:w="823" w:type="pct"/>
            <w:gridSpan w:val="2"/>
          </w:tcPr>
          <w:p w14:paraId="3B2D2E5F" w14:textId="77777777" w:rsidR="009A4C46" w:rsidRPr="00F94FED" w:rsidRDefault="009A4C46" w:rsidP="009A4C46">
            <w:pPr>
              <w:spacing w:after="100" w:afterAutospacing="1"/>
              <w:jc w:val="center"/>
              <w:rPr>
                <w:rFonts w:eastAsia="Times New Roman"/>
                <w:b/>
                <w:bCs/>
                <w:lang w:eastAsia="ru-RU"/>
              </w:rPr>
            </w:pPr>
            <w:r w:rsidRPr="00F94FED">
              <w:rPr>
                <w:rFonts w:eastAsia="Times New Roman"/>
                <w:b/>
                <w:bCs/>
                <w:lang w:eastAsia="ru-RU"/>
              </w:rPr>
              <w:t>239,30*</w:t>
            </w:r>
          </w:p>
        </w:tc>
        <w:tc>
          <w:tcPr>
            <w:tcW w:w="821" w:type="pct"/>
          </w:tcPr>
          <w:p w14:paraId="4F58B3B3" w14:textId="77777777" w:rsidR="009A4C46" w:rsidRPr="00F94FED" w:rsidRDefault="009A4C46" w:rsidP="009A4C46">
            <w:pPr>
              <w:spacing w:after="100" w:afterAutospacing="1"/>
              <w:jc w:val="center"/>
              <w:rPr>
                <w:rFonts w:eastAsia="Times New Roman"/>
                <w:b/>
                <w:bCs/>
                <w:lang w:eastAsia="ru-RU"/>
              </w:rPr>
            </w:pPr>
            <w:r w:rsidRPr="00F94FED">
              <w:rPr>
                <w:rFonts w:eastAsia="Times New Roman"/>
                <w:b/>
                <w:bCs/>
                <w:lang w:eastAsia="ru-RU"/>
              </w:rPr>
              <w:t>233,47</w:t>
            </w:r>
          </w:p>
        </w:tc>
      </w:tr>
      <w:tr w:rsidR="009A4C46" w:rsidRPr="00370BF5" w14:paraId="6335E58A" w14:textId="77777777" w:rsidTr="00CB5AA8">
        <w:tc>
          <w:tcPr>
            <w:tcW w:w="306" w:type="pct"/>
          </w:tcPr>
          <w:p w14:paraId="32135B83" w14:textId="77777777" w:rsidR="009A4C46" w:rsidRPr="00F94FED" w:rsidRDefault="009A4C46" w:rsidP="009A4C46">
            <w:pPr>
              <w:jc w:val="both"/>
              <w:rPr>
                <w:rFonts w:eastAsia="Times New Roman"/>
                <w:lang w:eastAsia="ru-RU"/>
              </w:rPr>
            </w:pPr>
            <w:r w:rsidRPr="00F94FED">
              <w:rPr>
                <w:rFonts w:eastAsia="Times New Roman"/>
                <w:lang w:eastAsia="ru-RU"/>
              </w:rPr>
              <w:t>2.1</w:t>
            </w:r>
          </w:p>
        </w:tc>
        <w:tc>
          <w:tcPr>
            <w:tcW w:w="1405" w:type="pct"/>
          </w:tcPr>
          <w:p w14:paraId="2BAA76A6" w14:textId="77777777" w:rsidR="009A4C46" w:rsidRPr="00F94FED" w:rsidRDefault="009A4C46" w:rsidP="009A4C46">
            <w:pPr>
              <w:rPr>
                <w:rFonts w:eastAsia="Times New Roman"/>
                <w:lang w:eastAsia="ru-RU"/>
              </w:rPr>
            </w:pPr>
            <w:r w:rsidRPr="00F94FED">
              <w:rPr>
                <w:rFonts w:eastAsia="Times New Roman"/>
                <w:lang w:eastAsia="ru-RU"/>
              </w:rPr>
              <w:t>амортизация</w:t>
            </w:r>
          </w:p>
        </w:tc>
        <w:tc>
          <w:tcPr>
            <w:tcW w:w="824" w:type="pct"/>
          </w:tcPr>
          <w:p w14:paraId="459691C6" w14:textId="77777777" w:rsidR="009A4C46" w:rsidRPr="00F94FED" w:rsidRDefault="009A4C46" w:rsidP="009A4C46">
            <w:pPr>
              <w:jc w:val="center"/>
              <w:rPr>
                <w:rFonts w:eastAsia="Times New Roman"/>
                <w:lang w:eastAsia="ru-RU"/>
              </w:rPr>
            </w:pPr>
            <w:r w:rsidRPr="00F94FED">
              <w:rPr>
                <w:rFonts w:eastAsia="Times New Roman"/>
                <w:lang w:eastAsia="ru-RU"/>
              </w:rPr>
              <w:t>-</w:t>
            </w:r>
          </w:p>
        </w:tc>
        <w:tc>
          <w:tcPr>
            <w:tcW w:w="821" w:type="pct"/>
          </w:tcPr>
          <w:p w14:paraId="3C63401B" w14:textId="77777777" w:rsidR="009A4C46" w:rsidRPr="00F94FED" w:rsidRDefault="009A4C46" w:rsidP="009A4C46">
            <w:pPr>
              <w:jc w:val="center"/>
              <w:rPr>
                <w:rFonts w:eastAsia="Times New Roman"/>
                <w:lang w:eastAsia="ru-RU"/>
              </w:rPr>
            </w:pPr>
            <w:r w:rsidRPr="00F94FED">
              <w:rPr>
                <w:rFonts w:eastAsia="Times New Roman"/>
                <w:lang w:eastAsia="ru-RU"/>
              </w:rPr>
              <w:t>-</w:t>
            </w:r>
          </w:p>
        </w:tc>
        <w:tc>
          <w:tcPr>
            <w:tcW w:w="823" w:type="pct"/>
            <w:gridSpan w:val="2"/>
          </w:tcPr>
          <w:p w14:paraId="469F2A38" w14:textId="77777777" w:rsidR="009A4C46" w:rsidRPr="00F94FED" w:rsidRDefault="009A4C46" w:rsidP="009A4C46">
            <w:pPr>
              <w:spacing w:after="100" w:afterAutospacing="1"/>
              <w:jc w:val="center"/>
              <w:rPr>
                <w:rFonts w:eastAsia="Times New Roman"/>
                <w:b/>
                <w:bCs/>
                <w:lang w:eastAsia="ru-RU"/>
              </w:rPr>
            </w:pPr>
            <w:r w:rsidRPr="00F94FED">
              <w:rPr>
                <w:rFonts w:eastAsia="Times New Roman"/>
                <w:b/>
                <w:bCs/>
                <w:lang w:eastAsia="ru-RU"/>
              </w:rPr>
              <w:t>79,91</w:t>
            </w:r>
          </w:p>
        </w:tc>
        <w:tc>
          <w:tcPr>
            <w:tcW w:w="821" w:type="pct"/>
          </w:tcPr>
          <w:p w14:paraId="63237B16" w14:textId="77777777" w:rsidR="009A4C46" w:rsidRPr="00F94FED" w:rsidRDefault="009A4C46" w:rsidP="009A4C46">
            <w:pPr>
              <w:spacing w:after="100" w:afterAutospacing="1"/>
              <w:jc w:val="center"/>
              <w:rPr>
                <w:rFonts w:eastAsia="Times New Roman"/>
                <w:b/>
                <w:bCs/>
                <w:lang w:eastAsia="ru-RU"/>
              </w:rPr>
            </w:pPr>
            <w:r w:rsidRPr="00F94FED">
              <w:rPr>
                <w:rFonts w:eastAsia="Times New Roman"/>
                <w:b/>
                <w:bCs/>
                <w:lang w:eastAsia="ru-RU"/>
              </w:rPr>
              <w:t>86,44</w:t>
            </w:r>
          </w:p>
        </w:tc>
      </w:tr>
      <w:tr w:rsidR="009A4C46" w:rsidRPr="00370BF5" w14:paraId="077C4FF0" w14:textId="77777777" w:rsidTr="00CB5AA8">
        <w:tc>
          <w:tcPr>
            <w:tcW w:w="306" w:type="pct"/>
          </w:tcPr>
          <w:p w14:paraId="25B3C437" w14:textId="77777777" w:rsidR="009A4C46" w:rsidRPr="00F94FED" w:rsidRDefault="009A4C46" w:rsidP="009A4C46">
            <w:pPr>
              <w:jc w:val="both"/>
              <w:rPr>
                <w:rFonts w:eastAsia="Times New Roman"/>
                <w:lang w:eastAsia="ru-RU"/>
              </w:rPr>
            </w:pPr>
            <w:r w:rsidRPr="00F94FED">
              <w:rPr>
                <w:rFonts w:eastAsia="Times New Roman"/>
                <w:lang w:eastAsia="ru-RU"/>
              </w:rPr>
              <w:lastRenderedPageBreak/>
              <w:t>3</w:t>
            </w:r>
          </w:p>
        </w:tc>
        <w:tc>
          <w:tcPr>
            <w:tcW w:w="1405" w:type="pct"/>
          </w:tcPr>
          <w:p w14:paraId="7C7B26BA" w14:textId="77777777" w:rsidR="009A4C46" w:rsidRPr="00F94FED" w:rsidRDefault="009A4C46" w:rsidP="009A4C46">
            <w:pPr>
              <w:rPr>
                <w:rFonts w:eastAsia="Times New Roman"/>
                <w:lang w:eastAsia="ru-RU"/>
              </w:rPr>
            </w:pPr>
            <w:r w:rsidRPr="00F94FED">
              <w:rPr>
                <w:rFonts w:eastAsia="Times New Roman"/>
                <w:lang w:eastAsia="ru-RU"/>
              </w:rPr>
              <w:t>Отчет по формам, утвержденным приказом ФСТ России от 20.02.2014 г. № 202-э, в т.ч.</w:t>
            </w:r>
          </w:p>
        </w:tc>
        <w:tc>
          <w:tcPr>
            <w:tcW w:w="824" w:type="pct"/>
          </w:tcPr>
          <w:p w14:paraId="1B89A8FB" w14:textId="77777777" w:rsidR="009A4C46" w:rsidRPr="00F94FED" w:rsidRDefault="009A4C46" w:rsidP="009A4C46">
            <w:pPr>
              <w:jc w:val="center"/>
              <w:rPr>
                <w:rFonts w:eastAsia="Times New Roman"/>
                <w:b/>
                <w:lang w:eastAsia="ru-RU"/>
              </w:rPr>
            </w:pPr>
            <w:r w:rsidRPr="00F94FED">
              <w:rPr>
                <w:rFonts w:eastAsia="Times New Roman"/>
                <w:b/>
                <w:lang w:eastAsia="ru-RU"/>
              </w:rPr>
              <w:t>257,49</w:t>
            </w:r>
          </w:p>
        </w:tc>
        <w:tc>
          <w:tcPr>
            <w:tcW w:w="821" w:type="pct"/>
          </w:tcPr>
          <w:p w14:paraId="0B245EF5" w14:textId="77777777" w:rsidR="009A4C46" w:rsidRPr="00F94FED" w:rsidRDefault="009A4C46" w:rsidP="009A4C46">
            <w:pPr>
              <w:jc w:val="center"/>
              <w:rPr>
                <w:rFonts w:eastAsia="Times New Roman"/>
                <w:b/>
                <w:lang w:eastAsia="ru-RU"/>
              </w:rPr>
            </w:pPr>
            <w:r w:rsidRPr="00F94FED">
              <w:rPr>
                <w:rFonts w:eastAsia="Times New Roman"/>
                <w:b/>
                <w:lang w:eastAsia="ru-RU"/>
              </w:rPr>
              <w:t>263,11</w:t>
            </w:r>
          </w:p>
        </w:tc>
        <w:tc>
          <w:tcPr>
            <w:tcW w:w="823" w:type="pct"/>
            <w:gridSpan w:val="2"/>
          </w:tcPr>
          <w:p w14:paraId="0D5B9235" w14:textId="77777777" w:rsidR="009A4C46" w:rsidRPr="00F94FED" w:rsidRDefault="009A4C46" w:rsidP="009A4C46">
            <w:pPr>
              <w:jc w:val="center"/>
              <w:rPr>
                <w:rFonts w:eastAsia="Times New Roman"/>
                <w:lang w:eastAsia="ru-RU"/>
              </w:rPr>
            </w:pPr>
            <w:r w:rsidRPr="00F94FED">
              <w:rPr>
                <w:rFonts w:eastAsia="Times New Roman"/>
                <w:lang w:eastAsia="ru-RU"/>
              </w:rPr>
              <w:t>-</w:t>
            </w:r>
          </w:p>
        </w:tc>
        <w:tc>
          <w:tcPr>
            <w:tcW w:w="821" w:type="pct"/>
          </w:tcPr>
          <w:p w14:paraId="0D04AD62" w14:textId="77777777" w:rsidR="009A4C46" w:rsidRPr="00F94FED" w:rsidRDefault="009A4C46" w:rsidP="009A4C46">
            <w:pPr>
              <w:jc w:val="center"/>
              <w:rPr>
                <w:rFonts w:eastAsia="Times New Roman"/>
                <w:lang w:eastAsia="ru-RU"/>
              </w:rPr>
            </w:pPr>
            <w:r w:rsidRPr="00F94FED">
              <w:rPr>
                <w:rFonts w:eastAsia="Times New Roman"/>
                <w:lang w:eastAsia="ru-RU"/>
              </w:rPr>
              <w:t>-</w:t>
            </w:r>
          </w:p>
        </w:tc>
      </w:tr>
      <w:tr w:rsidR="009A4C46" w:rsidRPr="00370BF5" w14:paraId="3EE55EAC" w14:textId="77777777" w:rsidTr="00CB5AA8">
        <w:tc>
          <w:tcPr>
            <w:tcW w:w="306" w:type="pct"/>
          </w:tcPr>
          <w:p w14:paraId="47135AAA" w14:textId="77777777" w:rsidR="009A4C46" w:rsidRPr="00F94FED" w:rsidRDefault="009A4C46" w:rsidP="009A4C46">
            <w:pPr>
              <w:jc w:val="both"/>
              <w:rPr>
                <w:rFonts w:eastAsia="Times New Roman"/>
                <w:lang w:eastAsia="ru-RU"/>
              </w:rPr>
            </w:pPr>
            <w:r w:rsidRPr="00F94FED">
              <w:rPr>
                <w:rFonts w:eastAsia="Times New Roman"/>
                <w:lang w:eastAsia="ru-RU"/>
              </w:rPr>
              <w:t>2.2</w:t>
            </w:r>
          </w:p>
        </w:tc>
        <w:tc>
          <w:tcPr>
            <w:tcW w:w="1405" w:type="pct"/>
          </w:tcPr>
          <w:p w14:paraId="4C8A199A" w14:textId="77777777" w:rsidR="009A4C46" w:rsidRPr="00F94FED" w:rsidRDefault="009A4C46" w:rsidP="009A4C46">
            <w:pPr>
              <w:rPr>
                <w:rFonts w:eastAsia="Times New Roman"/>
                <w:lang w:eastAsia="ru-RU"/>
              </w:rPr>
            </w:pPr>
            <w:r w:rsidRPr="00F94FED">
              <w:rPr>
                <w:rFonts w:eastAsia="Times New Roman"/>
                <w:lang w:eastAsia="ru-RU"/>
              </w:rPr>
              <w:t>амортизация</w:t>
            </w:r>
          </w:p>
        </w:tc>
        <w:tc>
          <w:tcPr>
            <w:tcW w:w="824" w:type="pct"/>
          </w:tcPr>
          <w:p w14:paraId="69050DB9" w14:textId="77777777" w:rsidR="009A4C46" w:rsidRPr="00F94FED" w:rsidRDefault="009A4C46" w:rsidP="009A4C46">
            <w:pPr>
              <w:jc w:val="center"/>
              <w:rPr>
                <w:rFonts w:eastAsia="Times New Roman"/>
                <w:lang w:eastAsia="ru-RU"/>
              </w:rPr>
            </w:pPr>
            <w:r w:rsidRPr="00F94FED">
              <w:rPr>
                <w:rFonts w:eastAsia="Times New Roman"/>
                <w:lang w:eastAsia="ru-RU"/>
              </w:rPr>
              <w:t>-</w:t>
            </w:r>
          </w:p>
        </w:tc>
        <w:tc>
          <w:tcPr>
            <w:tcW w:w="821" w:type="pct"/>
          </w:tcPr>
          <w:p w14:paraId="01EC57D0" w14:textId="77777777" w:rsidR="009A4C46" w:rsidRPr="00F94FED" w:rsidRDefault="009A4C46" w:rsidP="009A4C46">
            <w:pPr>
              <w:jc w:val="center"/>
              <w:rPr>
                <w:rFonts w:eastAsia="Times New Roman"/>
                <w:lang w:eastAsia="ru-RU"/>
              </w:rPr>
            </w:pPr>
            <w:r w:rsidRPr="00F94FED">
              <w:rPr>
                <w:rFonts w:eastAsia="Times New Roman"/>
                <w:lang w:eastAsia="ru-RU"/>
              </w:rPr>
              <w:t>-</w:t>
            </w:r>
          </w:p>
        </w:tc>
        <w:tc>
          <w:tcPr>
            <w:tcW w:w="820" w:type="pct"/>
          </w:tcPr>
          <w:p w14:paraId="62F185BA" w14:textId="77777777" w:rsidR="009A4C46" w:rsidRPr="00F94FED" w:rsidRDefault="009A4C46" w:rsidP="009A4C46">
            <w:pPr>
              <w:jc w:val="center"/>
              <w:rPr>
                <w:rFonts w:eastAsia="Times New Roman"/>
                <w:lang w:eastAsia="ru-RU"/>
              </w:rPr>
            </w:pPr>
            <w:r w:rsidRPr="00F94FED">
              <w:rPr>
                <w:rFonts w:eastAsia="Times New Roman"/>
                <w:b/>
                <w:lang w:eastAsia="ru-RU"/>
              </w:rPr>
              <w:t>70,89</w:t>
            </w:r>
          </w:p>
        </w:tc>
        <w:tc>
          <w:tcPr>
            <w:tcW w:w="824" w:type="pct"/>
            <w:gridSpan w:val="2"/>
          </w:tcPr>
          <w:p w14:paraId="66A40F21" w14:textId="77777777" w:rsidR="009A4C46" w:rsidRPr="00F94FED" w:rsidRDefault="009A4C46" w:rsidP="009A4C46">
            <w:pPr>
              <w:jc w:val="center"/>
              <w:rPr>
                <w:rFonts w:eastAsia="Times New Roman"/>
                <w:lang w:eastAsia="ru-RU"/>
              </w:rPr>
            </w:pPr>
            <w:r w:rsidRPr="00F94FED">
              <w:rPr>
                <w:rFonts w:eastAsia="Times New Roman"/>
                <w:b/>
                <w:lang w:eastAsia="ru-RU"/>
              </w:rPr>
              <w:t>68,14</w:t>
            </w:r>
          </w:p>
        </w:tc>
      </w:tr>
      <w:tr w:rsidR="009A4C46" w:rsidRPr="00370BF5" w14:paraId="3F46B74C" w14:textId="77777777" w:rsidTr="00CB5AA8">
        <w:tc>
          <w:tcPr>
            <w:tcW w:w="306" w:type="pct"/>
          </w:tcPr>
          <w:p w14:paraId="006DC5BA" w14:textId="77777777" w:rsidR="009A4C46" w:rsidRPr="00F94FED" w:rsidRDefault="009A4C46" w:rsidP="009A4C46">
            <w:pPr>
              <w:jc w:val="both"/>
              <w:rPr>
                <w:rFonts w:eastAsia="Times New Roman"/>
                <w:lang w:eastAsia="ru-RU"/>
              </w:rPr>
            </w:pPr>
            <w:r w:rsidRPr="00F94FED">
              <w:rPr>
                <w:rFonts w:eastAsia="Times New Roman"/>
                <w:lang w:eastAsia="ru-RU"/>
              </w:rPr>
              <w:t>4</w:t>
            </w:r>
          </w:p>
        </w:tc>
        <w:tc>
          <w:tcPr>
            <w:tcW w:w="1405" w:type="pct"/>
          </w:tcPr>
          <w:p w14:paraId="0E4730DD" w14:textId="77777777" w:rsidR="009A4C46" w:rsidRPr="00F94FED" w:rsidRDefault="009A4C46" w:rsidP="009A4C46">
            <w:pPr>
              <w:rPr>
                <w:rFonts w:eastAsia="Times New Roman"/>
                <w:lang w:eastAsia="ru-RU"/>
              </w:rPr>
            </w:pPr>
            <w:r w:rsidRPr="00F94FED">
              <w:rPr>
                <w:rFonts w:eastAsia="Times New Roman"/>
                <w:lang w:eastAsia="ru-RU"/>
              </w:rPr>
              <w:t>Отчет по формам, утвержденным приказом Минэнерго России от 25.04.2018 №320, в т.ч.</w:t>
            </w:r>
          </w:p>
        </w:tc>
        <w:tc>
          <w:tcPr>
            <w:tcW w:w="824" w:type="pct"/>
          </w:tcPr>
          <w:p w14:paraId="5C2A3BEB" w14:textId="77777777" w:rsidR="009A4C46" w:rsidRPr="00F94FED" w:rsidRDefault="009A4C46" w:rsidP="009A4C46">
            <w:pPr>
              <w:jc w:val="center"/>
              <w:rPr>
                <w:rFonts w:eastAsia="Times New Roman"/>
                <w:b/>
                <w:lang w:eastAsia="ru-RU"/>
              </w:rPr>
            </w:pPr>
            <w:r w:rsidRPr="00F94FED">
              <w:rPr>
                <w:rFonts w:eastAsia="Times New Roman"/>
                <w:b/>
                <w:lang w:eastAsia="ru-RU"/>
              </w:rPr>
              <w:t>257,5</w:t>
            </w:r>
          </w:p>
        </w:tc>
        <w:tc>
          <w:tcPr>
            <w:tcW w:w="821" w:type="pct"/>
          </w:tcPr>
          <w:p w14:paraId="5B497D19" w14:textId="77777777" w:rsidR="009A4C46" w:rsidRPr="00F94FED" w:rsidRDefault="009A4C46" w:rsidP="009A4C46">
            <w:pPr>
              <w:jc w:val="center"/>
              <w:rPr>
                <w:rFonts w:eastAsia="Times New Roman"/>
                <w:b/>
                <w:lang w:eastAsia="ru-RU"/>
              </w:rPr>
            </w:pPr>
            <w:r w:rsidRPr="00F94FED">
              <w:rPr>
                <w:rFonts w:eastAsia="Times New Roman"/>
                <w:b/>
                <w:lang w:eastAsia="ru-RU"/>
              </w:rPr>
              <w:t>263,1</w:t>
            </w:r>
          </w:p>
        </w:tc>
        <w:tc>
          <w:tcPr>
            <w:tcW w:w="820" w:type="pct"/>
          </w:tcPr>
          <w:p w14:paraId="2D511E9F" w14:textId="77777777" w:rsidR="009A4C46" w:rsidRPr="00F94FED" w:rsidRDefault="009A4C46" w:rsidP="009A4C46">
            <w:pPr>
              <w:jc w:val="center"/>
              <w:rPr>
                <w:rFonts w:eastAsia="Times New Roman"/>
                <w:lang w:eastAsia="ru-RU"/>
              </w:rPr>
            </w:pPr>
            <w:r w:rsidRPr="00F94FED">
              <w:rPr>
                <w:rFonts w:eastAsia="Times New Roman"/>
                <w:lang w:eastAsia="ru-RU"/>
              </w:rPr>
              <w:t>-</w:t>
            </w:r>
          </w:p>
        </w:tc>
        <w:tc>
          <w:tcPr>
            <w:tcW w:w="824" w:type="pct"/>
            <w:gridSpan w:val="2"/>
          </w:tcPr>
          <w:p w14:paraId="1C107AE0" w14:textId="77777777" w:rsidR="009A4C46" w:rsidRPr="00F94FED" w:rsidRDefault="009A4C46" w:rsidP="009A4C46">
            <w:pPr>
              <w:jc w:val="center"/>
              <w:rPr>
                <w:rFonts w:eastAsia="Times New Roman"/>
                <w:lang w:eastAsia="ru-RU"/>
              </w:rPr>
            </w:pPr>
            <w:r w:rsidRPr="00F94FED">
              <w:rPr>
                <w:rFonts w:eastAsia="Times New Roman"/>
                <w:lang w:eastAsia="ru-RU"/>
              </w:rPr>
              <w:t>-</w:t>
            </w:r>
          </w:p>
        </w:tc>
      </w:tr>
      <w:tr w:rsidR="009A4C46" w:rsidRPr="00370BF5" w14:paraId="23179F32" w14:textId="77777777" w:rsidTr="00CB5AA8">
        <w:tc>
          <w:tcPr>
            <w:tcW w:w="306" w:type="pct"/>
          </w:tcPr>
          <w:p w14:paraId="16F2A2DF" w14:textId="77777777" w:rsidR="009A4C46" w:rsidRPr="00F94FED" w:rsidRDefault="009A4C46" w:rsidP="009A4C46">
            <w:pPr>
              <w:jc w:val="both"/>
              <w:rPr>
                <w:rFonts w:eastAsia="Times New Roman"/>
                <w:lang w:eastAsia="ru-RU"/>
              </w:rPr>
            </w:pPr>
            <w:r w:rsidRPr="00F94FED">
              <w:rPr>
                <w:rFonts w:eastAsia="Times New Roman"/>
                <w:lang w:eastAsia="ru-RU"/>
              </w:rPr>
              <w:t>4.1</w:t>
            </w:r>
          </w:p>
        </w:tc>
        <w:tc>
          <w:tcPr>
            <w:tcW w:w="1405" w:type="pct"/>
          </w:tcPr>
          <w:p w14:paraId="755F0AB1" w14:textId="77777777" w:rsidR="009A4C46" w:rsidRPr="00F94FED" w:rsidRDefault="009A4C46" w:rsidP="009A4C46">
            <w:pPr>
              <w:rPr>
                <w:rFonts w:eastAsia="Times New Roman"/>
                <w:lang w:eastAsia="ru-RU"/>
              </w:rPr>
            </w:pPr>
            <w:r w:rsidRPr="00F94FED">
              <w:rPr>
                <w:rFonts w:eastAsia="Times New Roman"/>
                <w:lang w:eastAsia="ru-RU"/>
              </w:rPr>
              <w:t>амортизация</w:t>
            </w:r>
          </w:p>
        </w:tc>
        <w:tc>
          <w:tcPr>
            <w:tcW w:w="824" w:type="pct"/>
          </w:tcPr>
          <w:p w14:paraId="5A2A25A8" w14:textId="77777777" w:rsidR="009A4C46" w:rsidRPr="00F94FED" w:rsidRDefault="009A4C46" w:rsidP="009A4C46">
            <w:pPr>
              <w:jc w:val="center"/>
              <w:rPr>
                <w:rFonts w:eastAsia="Times New Roman"/>
                <w:lang w:eastAsia="ru-RU"/>
              </w:rPr>
            </w:pPr>
            <w:r w:rsidRPr="00F94FED">
              <w:rPr>
                <w:rFonts w:eastAsia="Times New Roman"/>
                <w:lang w:eastAsia="ru-RU"/>
              </w:rPr>
              <w:t>-</w:t>
            </w:r>
          </w:p>
        </w:tc>
        <w:tc>
          <w:tcPr>
            <w:tcW w:w="821" w:type="pct"/>
          </w:tcPr>
          <w:p w14:paraId="1DF37387" w14:textId="77777777" w:rsidR="009A4C46" w:rsidRPr="00F94FED" w:rsidRDefault="009A4C46" w:rsidP="009A4C46">
            <w:pPr>
              <w:jc w:val="center"/>
              <w:rPr>
                <w:rFonts w:eastAsia="Times New Roman"/>
                <w:lang w:eastAsia="ru-RU"/>
              </w:rPr>
            </w:pPr>
            <w:r w:rsidRPr="00F94FED">
              <w:rPr>
                <w:rFonts w:eastAsia="Times New Roman"/>
                <w:lang w:eastAsia="ru-RU"/>
              </w:rPr>
              <w:t>-</w:t>
            </w:r>
          </w:p>
        </w:tc>
        <w:tc>
          <w:tcPr>
            <w:tcW w:w="820" w:type="pct"/>
          </w:tcPr>
          <w:p w14:paraId="1FA3BF30" w14:textId="77777777" w:rsidR="009A4C46" w:rsidRPr="00F94FED" w:rsidRDefault="009A4C46" w:rsidP="009A4C46">
            <w:pPr>
              <w:jc w:val="center"/>
              <w:rPr>
                <w:rFonts w:eastAsia="Times New Roman"/>
                <w:lang w:eastAsia="ru-RU"/>
              </w:rPr>
            </w:pPr>
            <w:r w:rsidRPr="00F94FED">
              <w:rPr>
                <w:rFonts w:eastAsia="Times New Roman"/>
                <w:b/>
                <w:lang w:eastAsia="ru-RU"/>
              </w:rPr>
              <w:t>70,9</w:t>
            </w:r>
          </w:p>
        </w:tc>
        <w:tc>
          <w:tcPr>
            <w:tcW w:w="824" w:type="pct"/>
            <w:gridSpan w:val="2"/>
          </w:tcPr>
          <w:p w14:paraId="67EA504E" w14:textId="77777777" w:rsidR="009A4C46" w:rsidRPr="00F94FED" w:rsidRDefault="009A4C46" w:rsidP="009A4C46">
            <w:pPr>
              <w:jc w:val="center"/>
              <w:rPr>
                <w:rFonts w:eastAsia="Times New Roman"/>
                <w:lang w:eastAsia="ru-RU"/>
              </w:rPr>
            </w:pPr>
            <w:r w:rsidRPr="00F94FED">
              <w:rPr>
                <w:rFonts w:eastAsia="Times New Roman"/>
                <w:b/>
                <w:lang w:eastAsia="ru-RU"/>
              </w:rPr>
              <w:t>68,1</w:t>
            </w:r>
          </w:p>
        </w:tc>
      </w:tr>
      <w:tr w:rsidR="009A4C46" w:rsidRPr="00370BF5" w14:paraId="7780703D" w14:textId="77777777" w:rsidTr="00CB5AA8">
        <w:tc>
          <w:tcPr>
            <w:tcW w:w="306" w:type="pct"/>
          </w:tcPr>
          <w:p w14:paraId="5C43195A" w14:textId="77777777" w:rsidR="009A4C46" w:rsidRPr="00F94FED" w:rsidRDefault="009A4C46" w:rsidP="009A4C46">
            <w:pPr>
              <w:jc w:val="both"/>
              <w:rPr>
                <w:rFonts w:eastAsia="Times New Roman"/>
                <w:lang w:eastAsia="ru-RU"/>
              </w:rPr>
            </w:pPr>
            <w:r w:rsidRPr="00F94FED">
              <w:rPr>
                <w:rFonts w:eastAsia="Times New Roman"/>
                <w:lang w:eastAsia="ru-RU"/>
              </w:rPr>
              <w:t>5</w:t>
            </w:r>
          </w:p>
        </w:tc>
        <w:tc>
          <w:tcPr>
            <w:tcW w:w="1405" w:type="pct"/>
          </w:tcPr>
          <w:p w14:paraId="153089E2" w14:textId="77777777" w:rsidR="009A4C46" w:rsidRPr="00F94FED" w:rsidRDefault="009A4C46" w:rsidP="009A4C46">
            <w:pPr>
              <w:jc w:val="both"/>
              <w:rPr>
                <w:rFonts w:eastAsia="Times New Roman"/>
                <w:lang w:eastAsia="ru-RU"/>
              </w:rPr>
            </w:pPr>
            <w:r w:rsidRPr="00F94FED">
              <w:rPr>
                <w:rFonts w:eastAsia="Times New Roman"/>
                <w:lang w:eastAsia="ru-RU"/>
              </w:rPr>
              <w:t xml:space="preserve">Форма </w:t>
            </w:r>
            <w:proofErr w:type="spellStart"/>
            <w:r w:rsidRPr="00F94FED">
              <w:rPr>
                <w:rFonts w:eastAsia="Times New Roman"/>
                <w:lang w:eastAsia="ru-RU"/>
              </w:rPr>
              <w:t>статотчетности</w:t>
            </w:r>
            <w:proofErr w:type="spellEnd"/>
            <w:r w:rsidRPr="00F94FED">
              <w:rPr>
                <w:rFonts w:eastAsia="Times New Roman"/>
                <w:lang w:eastAsia="ru-RU"/>
              </w:rPr>
              <w:t xml:space="preserve"> П-2</w:t>
            </w:r>
          </w:p>
        </w:tc>
        <w:tc>
          <w:tcPr>
            <w:tcW w:w="824" w:type="pct"/>
          </w:tcPr>
          <w:p w14:paraId="02266412" w14:textId="77777777" w:rsidR="009A4C46" w:rsidRPr="00F94FED" w:rsidRDefault="009A4C46" w:rsidP="009A4C46">
            <w:pPr>
              <w:jc w:val="center"/>
              <w:rPr>
                <w:rFonts w:eastAsia="Times New Roman"/>
                <w:lang w:eastAsia="ru-RU"/>
              </w:rPr>
            </w:pPr>
            <w:r w:rsidRPr="00F94FED">
              <w:rPr>
                <w:rFonts w:eastAsia="Times New Roman"/>
                <w:lang w:eastAsia="ru-RU"/>
              </w:rPr>
              <w:t>-</w:t>
            </w:r>
          </w:p>
        </w:tc>
        <w:tc>
          <w:tcPr>
            <w:tcW w:w="821" w:type="pct"/>
          </w:tcPr>
          <w:p w14:paraId="15D9A629" w14:textId="77777777" w:rsidR="009A4C46" w:rsidRPr="00F94FED" w:rsidRDefault="009A4C46" w:rsidP="009A4C46">
            <w:pPr>
              <w:jc w:val="center"/>
              <w:rPr>
                <w:rFonts w:eastAsia="Times New Roman"/>
                <w:lang w:eastAsia="ru-RU"/>
              </w:rPr>
            </w:pPr>
            <w:r w:rsidRPr="00F94FED">
              <w:rPr>
                <w:rFonts w:eastAsia="Times New Roman"/>
                <w:lang w:eastAsia="ru-RU"/>
              </w:rPr>
              <w:t>-</w:t>
            </w:r>
          </w:p>
        </w:tc>
        <w:tc>
          <w:tcPr>
            <w:tcW w:w="820" w:type="pct"/>
          </w:tcPr>
          <w:p w14:paraId="59C83F66" w14:textId="77777777" w:rsidR="009A4C46" w:rsidRPr="00F94FED" w:rsidRDefault="009A4C46" w:rsidP="009A4C46">
            <w:pPr>
              <w:jc w:val="center"/>
              <w:rPr>
                <w:rFonts w:eastAsia="Times New Roman"/>
                <w:lang w:eastAsia="ru-RU"/>
              </w:rPr>
            </w:pPr>
            <w:r w:rsidRPr="00F94FED">
              <w:rPr>
                <w:rFonts w:eastAsia="Times New Roman"/>
                <w:lang w:eastAsia="ru-RU"/>
              </w:rPr>
              <w:t>-</w:t>
            </w:r>
          </w:p>
        </w:tc>
        <w:tc>
          <w:tcPr>
            <w:tcW w:w="824" w:type="pct"/>
            <w:gridSpan w:val="2"/>
          </w:tcPr>
          <w:p w14:paraId="723507FD" w14:textId="77777777" w:rsidR="009A4C46" w:rsidRPr="00F94FED" w:rsidRDefault="009A4C46" w:rsidP="009A4C46">
            <w:pPr>
              <w:jc w:val="center"/>
              <w:rPr>
                <w:rFonts w:eastAsia="Times New Roman"/>
                <w:b/>
                <w:lang w:eastAsia="ru-RU"/>
              </w:rPr>
            </w:pPr>
            <w:r w:rsidRPr="00F94FED">
              <w:rPr>
                <w:rFonts w:eastAsia="Times New Roman"/>
                <w:b/>
                <w:lang w:eastAsia="ru-RU"/>
              </w:rPr>
              <w:t>218,13</w:t>
            </w:r>
          </w:p>
        </w:tc>
      </w:tr>
      <w:tr w:rsidR="009A4C46" w:rsidRPr="00370BF5" w14:paraId="2391A172" w14:textId="77777777" w:rsidTr="00CB5AA8">
        <w:tc>
          <w:tcPr>
            <w:tcW w:w="306" w:type="pct"/>
          </w:tcPr>
          <w:p w14:paraId="155ED3C4" w14:textId="77777777" w:rsidR="009A4C46" w:rsidRPr="00F94FED" w:rsidRDefault="009A4C46" w:rsidP="009A4C46">
            <w:pPr>
              <w:jc w:val="both"/>
              <w:rPr>
                <w:rFonts w:eastAsia="Times New Roman"/>
                <w:lang w:eastAsia="ru-RU"/>
              </w:rPr>
            </w:pPr>
            <w:r w:rsidRPr="00F94FED">
              <w:rPr>
                <w:rFonts w:eastAsia="Times New Roman"/>
                <w:lang w:eastAsia="ru-RU"/>
              </w:rPr>
              <w:t>5.1</w:t>
            </w:r>
          </w:p>
        </w:tc>
        <w:tc>
          <w:tcPr>
            <w:tcW w:w="1405" w:type="pct"/>
          </w:tcPr>
          <w:p w14:paraId="71EEC690" w14:textId="77777777" w:rsidR="009A4C46" w:rsidRPr="00F94FED" w:rsidRDefault="009A4C46" w:rsidP="009A4C46">
            <w:pPr>
              <w:jc w:val="both"/>
              <w:rPr>
                <w:rFonts w:eastAsia="Times New Roman"/>
                <w:lang w:eastAsia="ru-RU"/>
              </w:rPr>
            </w:pPr>
            <w:r w:rsidRPr="00F94FED">
              <w:rPr>
                <w:rFonts w:eastAsia="Times New Roman"/>
                <w:lang w:eastAsia="ru-RU"/>
              </w:rPr>
              <w:t>амортизация</w:t>
            </w:r>
          </w:p>
        </w:tc>
        <w:tc>
          <w:tcPr>
            <w:tcW w:w="824" w:type="pct"/>
          </w:tcPr>
          <w:p w14:paraId="704483A3" w14:textId="77777777" w:rsidR="009A4C46" w:rsidRPr="00F94FED" w:rsidRDefault="009A4C46" w:rsidP="009A4C46">
            <w:pPr>
              <w:jc w:val="center"/>
              <w:rPr>
                <w:rFonts w:eastAsia="Times New Roman"/>
                <w:lang w:eastAsia="ru-RU"/>
              </w:rPr>
            </w:pPr>
            <w:r w:rsidRPr="00F94FED">
              <w:rPr>
                <w:rFonts w:eastAsia="Times New Roman"/>
                <w:lang w:eastAsia="ru-RU"/>
              </w:rPr>
              <w:t>-</w:t>
            </w:r>
          </w:p>
        </w:tc>
        <w:tc>
          <w:tcPr>
            <w:tcW w:w="821" w:type="pct"/>
          </w:tcPr>
          <w:p w14:paraId="0F7AF1D7" w14:textId="77777777" w:rsidR="009A4C46" w:rsidRPr="00F94FED" w:rsidRDefault="009A4C46" w:rsidP="009A4C46">
            <w:pPr>
              <w:jc w:val="center"/>
              <w:rPr>
                <w:rFonts w:eastAsia="Times New Roman"/>
                <w:lang w:eastAsia="ru-RU"/>
              </w:rPr>
            </w:pPr>
            <w:r w:rsidRPr="00F94FED">
              <w:rPr>
                <w:rFonts w:eastAsia="Times New Roman"/>
                <w:lang w:eastAsia="ru-RU"/>
              </w:rPr>
              <w:t>-</w:t>
            </w:r>
          </w:p>
        </w:tc>
        <w:tc>
          <w:tcPr>
            <w:tcW w:w="820" w:type="pct"/>
          </w:tcPr>
          <w:p w14:paraId="7A9C6EB0" w14:textId="77777777" w:rsidR="009A4C46" w:rsidRPr="00F94FED" w:rsidRDefault="009A4C46" w:rsidP="009A4C46">
            <w:pPr>
              <w:jc w:val="center"/>
              <w:rPr>
                <w:rFonts w:eastAsia="Times New Roman"/>
                <w:lang w:eastAsia="ru-RU"/>
              </w:rPr>
            </w:pPr>
            <w:r w:rsidRPr="00F94FED">
              <w:rPr>
                <w:rFonts w:eastAsia="Times New Roman"/>
                <w:lang w:eastAsia="ru-RU"/>
              </w:rPr>
              <w:t>-</w:t>
            </w:r>
          </w:p>
        </w:tc>
        <w:tc>
          <w:tcPr>
            <w:tcW w:w="824" w:type="pct"/>
            <w:gridSpan w:val="2"/>
          </w:tcPr>
          <w:p w14:paraId="5E4F4EDF" w14:textId="77777777" w:rsidR="009A4C46" w:rsidRPr="00F94FED" w:rsidRDefault="009A4C46" w:rsidP="009A4C46">
            <w:pPr>
              <w:jc w:val="center"/>
              <w:rPr>
                <w:rFonts w:eastAsia="Times New Roman"/>
                <w:lang w:eastAsia="ru-RU"/>
              </w:rPr>
            </w:pPr>
            <w:r w:rsidRPr="00F94FED">
              <w:rPr>
                <w:rFonts w:eastAsia="Times New Roman"/>
                <w:lang w:eastAsia="ru-RU"/>
              </w:rPr>
              <w:t>-</w:t>
            </w:r>
          </w:p>
        </w:tc>
      </w:tr>
      <w:tr w:rsidR="009A4C46" w:rsidRPr="00370BF5" w14:paraId="580E9885" w14:textId="77777777" w:rsidTr="00CB5AA8">
        <w:tc>
          <w:tcPr>
            <w:tcW w:w="306" w:type="pct"/>
          </w:tcPr>
          <w:p w14:paraId="24EB637D" w14:textId="77777777" w:rsidR="009A4C46" w:rsidRPr="00F94FED" w:rsidRDefault="009A4C46" w:rsidP="009A4C46">
            <w:pPr>
              <w:jc w:val="both"/>
              <w:rPr>
                <w:rFonts w:eastAsia="Times New Roman"/>
                <w:lang w:eastAsia="ru-RU"/>
              </w:rPr>
            </w:pPr>
            <w:r w:rsidRPr="00F94FED">
              <w:rPr>
                <w:rFonts w:eastAsia="Times New Roman"/>
                <w:lang w:eastAsia="ru-RU"/>
              </w:rPr>
              <w:t>6</w:t>
            </w:r>
          </w:p>
        </w:tc>
        <w:tc>
          <w:tcPr>
            <w:tcW w:w="1405" w:type="pct"/>
          </w:tcPr>
          <w:p w14:paraId="75547A6A" w14:textId="77777777" w:rsidR="009A4C46" w:rsidRPr="00F94FED" w:rsidRDefault="009A4C46" w:rsidP="009A4C46">
            <w:pPr>
              <w:jc w:val="both"/>
              <w:rPr>
                <w:rFonts w:eastAsia="Times New Roman"/>
                <w:lang w:eastAsia="ru-RU"/>
              </w:rPr>
            </w:pPr>
            <w:r w:rsidRPr="00F94FED">
              <w:rPr>
                <w:rFonts w:eastAsia="Times New Roman"/>
                <w:lang w:eastAsia="ru-RU"/>
              </w:rPr>
              <w:t xml:space="preserve">Форма </w:t>
            </w:r>
            <w:proofErr w:type="spellStart"/>
            <w:r w:rsidRPr="00F94FED">
              <w:rPr>
                <w:rFonts w:eastAsia="Times New Roman"/>
                <w:lang w:eastAsia="ru-RU"/>
              </w:rPr>
              <w:t>статотчетности</w:t>
            </w:r>
            <w:proofErr w:type="spellEnd"/>
            <w:r w:rsidRPr="00F94FED">
              <w:rPr>
                <w:rFonts w:eastAsia="Times New Roman"/>
                <w:lang w:eastAsia="ru-RU"/>
              </w:rPr>
              <w:t xml:space="preserve"> №11</w:t>
            </w:r>
          </w:p>
        </w:tc>
        <w:tc>
          <w:tcPr>
            <w:tcW w:w="824" w:type="pct"/>
          </w:tcPr>
          <w:p w14:paraId="44E923B4" w14:textId="77777777" w:rsidR="009A4C46" w:rsidRPr="00F94FED" w:rsidRDefault="009A4C46" w:rsidP="009A4C46">
            <w:pPr>
              <w:jc w:val="center"/>
              <w:rPr>
                <w:rFonts w:eastAsia="Times New Roman"/>
                <w:lang w:eastAsia="ru-RU"/>
              </w:rPr>
            </w:pPr>
            <w:r w:rsidRPr="00F94FED">
              <w:rPr>
                <w:rFonts w:eastAsia="Times New Roman"/>
                <w:lang w:eastAsia="ru-RU"/>
              </w:rPr>
              <w:t>-</w:t>
            </w:r>
          </w:p>
        </w:tc>
        <w:tc>
          <w:tcPr>
            <w:tcW w:w="821" w:type="pct"/>
          </w:tcPr>
          <w:p w14:paraId="3F0B7925" w14:textId="77777777" w:rsidR="009A4C46" w:rsidRPr="00F94FED" w:rsidRDefault="009A4C46" w:rsidP="009A4C46">
            <w:pPr>
              <w:jc w:val="center"/>
              <w:rPr>
                <w:rFonts w:eastAsia="Times New Roman"/>
                <w:lang w:eastAsia="ru-RU"/>
              </w:rPr>
            </w:pPr>
            <w:r w:rsidRPr="00F94FED">
              <w:rPr>
                <w:rFonts w:eastAsia="Times New Roman"/>
                <w:lang w:eastAsia="ru-RU"/>
              </w:rPr>
              <w:t>-</w:t>
            </w:r>
          </w:p>
        </w:tc>
        <w:tc>
          <w:tcPr>
            <w:tcW w:w="820" w:type="pct"/>
          </w:tcPr>
          <w:p w14:paraId="36336898" w14:textId="77777777" w:rsidR="009A4C46" w:rsidRPr="00F94FED" w:rsidRDefault="009A4C46" w:rsidP="009A4C46">
            <w:pPr>
              <w:jc w:val="center"/>
              <w:rPr>
                <w:rFonts w:eastAsia="Times New Roman"/>
                <w:lang w:eastAsia="ru-RU"/>
              </w:rPr>
            </w:pPr>
            <w:r w:rsidRPr="00F94FED">
              <w:rPr>
                <w:rFonts w:eastAsia="Times New Roman"/>
                <w:lang w:eastAsia="ru-RU"/>
              </w:rPr>
              <w:t>-</w:t>
            </w:r>
          </w:p>
        </w:tc>
        <w:tc>
          <w:tcPr>
            <w:tcW w:w="824" w:type="pct"/>
            <w:gridSpan w:val="2"/>
          </w:tcPr>
          <w:p w14:paraId="6D405520" w14:textId="77777777" w:rsidR="009A4C46" w:rsidRPr="00F94FED" w:rsidRDefault="009A4C46" w:rsidP="009A4C46">
            <w:pPr>
              <w:jc w:val="center"/>
              <w:rPr>
                <w:rFonts w:eastAsia="Times New Roman"/>
                <w:lang w:eastAsia="ru-RU"/>
              </w:rPr>
            </w:pPr>
            <w:r w:rsidRPr="00F94FED">
              <w:rPr>
                <w:rFonts w:eastAsia="Times New Roman"/>
                <w:lang w:eastAsia="ru-RU"/>
              </w:rPr>
              <w:t>-</w:t>
            </w:r>
          </w:p>
        </w:tc>
      </w:tr>
      <w:tr w:rsidR="009A4C46" w:rsidRPr="00370BF5" w14:paraId="02E1B8A4" w14:textId="77777777" w:rsidTr="00CB5AA8">
        <w:tc>
          <w:tcPr>
            <w:tcW w:w="306" w:type="pct"/>
          </w:tcPr>
          <w:p w14:paraId="42FE15BC" w14:textId="77777777" w:rsidR="009A4C46" w:rsidRPr="00F94FED" w:rsidRDefault="009A4C46" w:rsidP="009A4C46">
            <w:pPr>
              <w:jc w:val="both"/>
              <w:rPr>
                <w:rFonts w:eastAsia="Times New Roman"/>
                <w:lang w:eastAsia="ru-RU"/>
              </w:rPr>
            </w:pPr>
            <w:r w:rsidRPr="00F94FED">
              <w:rPr>
                <w:rFonts w:eastAsia="Times New Roman"/>
                <w:lang w:eastAsia="ru-RU"/>
              </w:rPr>
              <w:t>6.1</w:t>
            </w:r>
          </w:p>
        </w:tc>
        <w:tc>
          <w:tcPr>
            <w:tcW w:w="1405" w:type="pct"/>
          </w:tcPr>
          <w:p w14:paraId="2894AAF6" w14:textId="77777777" w:rsidR="009A4C46" w:rsidRPr="00F94FED" w:rsidRDefault="009A4C46" w:rsidP="009A4C46">
            <w:pPr>
              <w:jc w:val="both"/>
              <w:rPr>
                <w:rFonts w:eastAsia="Times New Roman"/>
                <w:lang w:eastAsia="ru-RU"/>
              </w:rPr>
            </w:pPr>
            <w:r w:rsidRPr="00F94FED">
              <w:rPr>
                <w:rFonts w:eastAsia="Times New Roman"/>
                <w:lang w:eastAsia="ru-RU"/>
              </w:rPr>
              <w:t>амортизация</w:t>
            </w:r>
          </w:p>
        </w:tc>
        <w:tc>
          <w:tcPr>
            <w:tcW w:w="824" w:type="pct"/>
            <w:tcBorders>
              <w:bottom w:val="single" w:sz="4" w:space="0" w:color="auto"/>
            </w:tcBorders>
          </w:tcPr>
          <w:p w14:paraId="6A6F54CA" w14:textId="77777777" w:rsidR="009A4C46" w:rsidRPr="00F94FED" w:rsidRDefault="009A4C46" w:rsidP="009A4C46">
            <w:pPr>
              <w:jc w:val="center"/>
              <w:rPr>
                <w:rFonts w:eastAsia="Times New Roman"/>
                <w:lang w:eastAsia="ru-RU"/>
              </w:rPr>
            </w:pPr>
            <w:r w:rsidRPr="00F94FED">
              <w:rPr>
                <w:rFonts w:eastAsia="Times New Roman"/>
                <w:lang w:eastAsia="ru-RU"/>
              </w:rPr>
              <w:t>-</w:t>
            </w:r>
          </w:p>
        </w:tc>
        <w:tc>
          <w:tcPr>
            <w:tcW w:w="821" w:type="pct"/>
            <w:tcBorders>
              <w:bottom w:val="single" w:sz="4" w:space="0" w:color="auto"/>
            </w:tcBorders>
          </w:tcPr>
          <w:p w14:paraId="4C14B6C7" w14:textId="77777777" w:rsidR="009A4C46" w:rsidRPr="00F94FED" w:rsidRDefault="009A4C46" w:rsidP="009A4C46">
            <w:pPr>
              <w:jc w:val="center"/>
              <w:rPr>
                <w:rFonts w:eastAsia="Times New Roman"/>
                <w:lang w:eastAsia="ru-RU"/>
              </w:rPr>
            </w:pPr>
            <w:r w:rsidRPr="00F94FED">
              <w:rPr>
                <w:rFonts w:eastAsia="Times New Roman"/>
                <w:lang w:eastAsia="ru-RU"/>
              </w:rPr>
              <w:t>-</w:t>
            </w:r>
          </w:p>
        </w:tc>
        <w:tc>
          <w:tcPr>
            <w:tcW w:w="820" w:type="pct"/>
          </w:tcPr>
          <w:p w14:paraId="51B4D1A0" w14:textId="77777777" w:rsidR="009A4C46" w:rsidRPr="00F94FED" w:rsidRDefault="009A4C46" w:rsidP="009A4C46">
            <w:pPr>
              <w:jc w:val="center"/>
              <w:rPr>
                <w:rFonts w:eastAsia="Times New Roman"/>
                <w:lang w:eastAsia="ru-RU"/>
              </w:rPr>
            </w:pPr>
            <w:r w:rsidRPr="00F94FED">
              <w:rPr>
                <w:rFonts w:eastAsia="Times New Roman"/>
                <w:lang w:eastAsia="ru-RU"/>
              </w:rPr>
              <w:t>-</w:t>
            </w:r>
          </w:p>
        </w:tc>
        <w:tc>
          <w:tcPr>
            <w:tcW w:w="824" w:type="pct"/>
            <w:gridSpan w:val="2"/>
          </w:tcPr>
          <w:p w14:paraId="20DABF18" w14:textId="77777777" w:rsidR="009A4C46" w:rsidRPr="00F94FED" w:rsidRDefault="009A4C46" w:rsidP="009A4C46">
            <w:pPr>
              <w:jc w:val="center"/>
              <w:rPr>
                <w:rFonts w:eastAsia="Times New Roman"/>
                <w:b/>
                <w:lang w:eastAsia="ru-RU"/>
              </w:rPr>
            </w:pPr>
            <w:r w:rsidRPr="00F94FED">
              <w:rPr>
                <w:rFonts w:eastAsia="Times New Roman"/>
                <w:b/>
                <w:lang w:eastAsia="ru-RU"/>
              </w:rPr>
              <w:t>73,99</w:t>
            </w:r>
          </w:p>
        </w:tc>
      </w:tr>
      <w:tr w:rsidR="009A4C46" w:rsidRPr="00370BF5" w14:paraId="3B1D5D40" w14:textId="77777777" w:rsidTr="00CB5AA8">
        <w:tc>
          <w:tcPr>
            <w:tcW w:w="306" w:type="pct"/>
          </w:tcPr>
          <w:p w14:paraId="2875128B" w14:textId="77777777" w:rsidR="009A4C46" w:rsidRPr="00F94FED" w:rsidRDefault="009A4C46" w:rsidP="009A4C46">
            <w:pPr>
              <w:jc w:val="both"/>
              <w:rPr>
                <w:rFonts w:eastAsia="Times New Roman"/>
                <w:lang w:eastAsia="ru-RU"/>
              </w:rPr>
            </w:pPr>
            <w:r w:rsidRPr="00F94FED">
              <w:rPr>
                <w:rFonts w:eastAsia="Times New Roman"/>
                <w:lang w:eastAsia="ru-RU"/>
              </w:rPr>
              <w:t>7</w:t>
            </w:r>
          </w:p>
        </w:tc>
        <w:tc>
          <w:tcPr>
            <w:tcW w:w="1405" w:type="pct"/>
            <w:tcBorders>
              <w:right w:val="single" w:sz="4" w:space="0" w:color="auto"/>
            </w:tcBorders>
          </w:tcPr>
          <w:p w14:paraId="2E55235C" w14:textId="77777777" w:rsidR="009A4C46" w:rsidRPr="00F94FED" w:rsidRDefault="009A4C46" w:rsidP="009A4C46">
            <w:pPr>
              <w:jc w:val="both"/>
              <w:rPr>
                <w:rFonts w:eastAsia="Times New Roman"/>
                <w:lang w:eastAsia="ru-RU"/>
              </w:rPr>
            </w:pPr>
            <w:r w:rsidRPr="00F94FED">
              <w:rPr>
                <w:rFonts w:eastAsia="Times New Roman"/>
                <w:lang w:eastAsia="ru-RU"/>
              </w:rPr>
              <w:t>Отчет о выполнении финансового плана (ИПР)</w:t>
            </w:r>
          </w:p>
        </w:tc>
        <w:tc>
          <w:tcPr>
            <w:tcW w:w="824" w:type="pct"/>
            <w:tcBorders>
              <w:top w:val="single" w:sz="4" w:space="0" w:color="auto"/>
              <w:left w:val="single" w:sz="4" w:space="0" w:color="auto"/>
              <w:bottom w:val="single" w:sz="4" w:space="0" w:color="auto"/>
              <w:right w:val="single" w:sz="4" w:space="0" w:color="auto"/>
            </w:tcBorders>
            <w:shd w:val="clear" w:color="auto" w:fill="auto"/>
          </w:tcPr>
          <w:p w14:paraId="133A4822" w14:textId="77777777" w:rsidR="009A4C46" w:rsidRPr="00F94FED" w:rsidRDefault="009A4C46" w:rsidP="009A4C46">
            <w:pPr>
              <w:jc w:val="center"/>
              <w:rPr>
                <w:rFonts w:eastAsia="Times New Roman"/>
                <w:b/>
                <w:bCs/>
                <w:lang w:eastAsia="ru-RU"/>
              </w:rPr>
            </w:pPr>
            <w:r w:rsidRPr="00F94FED">
              <w:rPr>
                <w:rFonts w:eastAsia="Times New Roman"/>
                <w:b/>
                <w:bCs/>
                <w:lang w:eastAsia="ru-RU"/>
              </w:rPr>
              <w:t>257,5</w:t>
            </w:r>
          </w:p>
        </w:tc>
        <w:tc>
          <w:tcPr>
            <w:tcW w:w="821" w:type="pct"/>
            <w:tcBorders>
              <w:top w:val="single" w:sz="4" w:space="0" w:color="auto"/>
              <w:left w:val="nil"/>
              <w:bottom w:val="single" w:sz="4" w:space="0" w:color="auto"/>
              <w:right w:val="single" w:sz="4" w:space="0" w:color="auto"/>
            </w:tcBorders>
            <w:shd w:val="clear" w:color="auto" w:fill="auto"/>
          </w:tcPr>
          <w:p w14:paraId="3DEDED4F" w14:textId="77777777" w:rsidR="009A4C46" w:rsidRPr="00F94FED" w:rsidRDefault="009A4C46" w:rsidP="009A4C46">
            <w:pPr>
              <w:jc w:val="center"/>
              <w:rPr>
                <w:rFonts w:eastAsia="Times New Roman"/>
                <w:b/>
                <w:bCs/>
                <w:lang w:eastAsia="ru-RU"/>
              </w:rPr>
            </w:pPr>
            <w:r w:rsidRPr="00F94FED">
              <w:rPr>
                <w:rFonts w:eastAsia="Times New Roman"/>
                <w:b/>
                <w:bCs/>
                <w:lang w:eastAsia="ru-RU"/>
              </w:rPr>
              <w:t>263,1</w:t>
            </w:r>
          </w:p>
        </w:tc>
        <w:tc>
          <w:tcPr>
            <w:tcW w:w="820" w:type="pct"/>
          </w:tcPr>
          <w:p w14:paraId="6BB5C8F0" w14:textId="77777777" w:rsidR="009A4C46" w:rsidRPr="00F94FED" w:rsidRDefault="009A4C46" w:rsidP="009A4C46">
            <w:pPr>
              <w:jc w:val="center"/>
              <w:rPr>
                <w:rFonts w:eastAsia="Times New Roman"/>
                <w:lang w:eastAsia="ru-RU"/>
              </w:rPr>
            </w:pPr>
            <w:r w:rsidRPr="00F94FED">
              <w:rPr>
                <w:rFonts w:eastAsia="Times New Roman"/>
                <w:lang w:eastAsia="ru-RU"/>
              </w:rPr>
              <w:t>-</w:t>
            </w:r>
          </w:p>
        </w:tc>
        <w:tc>
          <w:tcPr>
            <w:tcW w:w="824" w:type="pct"/>
            <w:gridSpan w:val="2"/>
          </w:tcPr>
          <w:p w14:paraId="37EA85D7" w14:textId="77777777" w:rsidR="009A4C46" w:rsidRPr="00F94FED" w:rsidRDefault="009A4C46" w:rsidP="009A4C46">
            <w:pPr>
              <w:jc w:val="center"/>
              <w:rPr>
                <w:rFonts w:eastAsia="Times New Roman"/>
                <w:b/>
                <w:lang w:eastAsia="ru-RU"/>
              </w:rPr>
            </w:pPr>
            <w:r w:rsidRPr="00F94FED">
              <w:rPr>
                <w:rFonts w:eastAsia="Times New Roman"/>
                <w:b/>
                <w:lang w:eastAsia="ru-RU"/>
              </w:rPr>
              <w:t>-</w:t>
            </w:r>
          </w:p>
        </w:tc>
      </w:tr>
      <w:tr w:rsidR="009A4C46" w:rsidRPr="00370BF5" w14:paraId="3DDB7A79" w14:textId="77777777" w:rsidTr="00CB5AA8">
        <w:tc>
          <w:tcPr>
            <w:tcW w:w="306" w:type="pct"/>
          </w:tcPr>
          <w:p w14:paraId="708F3969" w14:textId="77777777" w:rsidR="009A4C46" w:rsidRPr="00F94FED" w:rsidRDefault="009A4C46" w:rsidP="009A4C46">
            <w:pPr>
              <w:jc w:val="both"/>
              <w:rPr>
                <w:rFonts w:eastAsia="Times New Roman"/>
                <w:lang w:eastAsia="ru-RU"/>
              </w:rPr>
            </w:pPr>
            <w:r w:rsidRPr="00F94FED">
              <w:rPr>
                <w:rFonts w:eastAsia="Times New Roman"/>
                <w:lang w:eastAsia="ru-RU"/>
              </w:rPr>
              <w:t>7.1</w:t>
            </w:r>
          </w:p>
        </w:tc>
        <w:tc>
          <w:tcPr>
            <w:tcW w:w="1405" w:type="pct"/>
          </w:tcPr>
          <w:p w14:paraId="419A7731" w14:textId="77777777" w:rsidR="009A4C46" w:rsidRPr="00F94FED" w:rsidRDefault="009A4C46" w:rsidP="009A4C46">
            <w:pPr>
              <w:jc w:val="both"/>
              <w:rPr>
                <w:rFonts w:eastAsia="Times New Roman"/>
                <w:lang w:eastAsia="ru-RU"/>
              </w:rPr>
            </w:pPr>
            <w:r w:rsidRPr="00F94FED">
              <w:rPr>
                <w:rFonts w:eastAsia="Times New Roman"/>
                <w:lang w:eastAsia="ru-RU"/>
              </w:rPr>
              <w:t>Амортизация ИПР</w:t>
            </w:r>
          </w:p>
        </w:tc>
        <w:tc>
          <w:tcPr>
            <w:tcW w:w="824" w:type="pct"/>
            <w:tcBorders>
              <w:top w:val="single" w:sz="4" w:space="0" w:color="auto"/>
            </w:tcBorders>
          </w:tcPr>
          <w:p w14:paraId="5DDB6AFD" w14:textId="77777777" w:rsidR="009A4C46" w:rsidRPr="00F94FED" w:rsidRDefault="009A4C46" w:rsidP="009A4C46">
            <w:pPr>
              <w:jc w:val="center"/>
              <w:rPr>
                <w:rFonts w:eastAsia="Times New Roman"/>
                <w:lang w:eastAsia="ru-RU"/>
              </w:rPr>
            </w:pPr>
            <w:r w:rsidRPr="00F94FED">
              <w:rPr>
                <w:rFonts w:eastAsia="Times New Roman"/>
                <w:lang w:eastAsia="ru-RU"/>
              </w:rPr>
              <w:t>-</w:t>
            </w:r>
          </w:p>
        </w:tc>
        <w:tc>
          <w:tcPr>
            <w:tcW w:w="821" w:type="pct"/>
            <w:tcBorders>
              <w:top w:val="single" w:sz="4" w:space="0" w:color="auto"/>
            </w:tcBorders>
          </w:tcPr>
          <w:p w14:paraId="45A46418" w14:textId="77777777" w:rsidR="009A4C46" w:rsidRPr="00F94FED" w:rsidRDefault="009A4C46" w:rsidP="009A4C46">
            <w:pPr>
              <w:jc w:val="center"/>
              <w:rPr>
                <w:rFonts w:eastAsia="Times New Roman"/>
                <w:lang w:eastAsia="ru-RU"/>
              </w:rPr>
            </w:pPr>
            <w:r w:rsidRPr="00F94FED">
              <w:rPr>
                <w:rFonts w:eastAsia="Times New Roman"/>
                <w:lang w:eastAsia="ru-RU"/>
              </w:rPr>
              <w:t>-</w:t>
            </w:r>
          </w:p>
        </w:tc>
        <w:tc>
          <w:tcPr>
            <w:tcW w:w="820" w:type="pct"/>
            <w:tcBorders>
              <w:top w:val="single" w:sz="4" w:space="0" w:color="auto"/>
            </w:tcBorders>
          </w:tcPr>
          <w:p w14:paraId="4EA0D40B" w14:textId="77777777" w:rsidR="009A4C46" w:rsidRPr="00F94FED" w:rsidRDefault="009A4C46" w:rsidP="009A4C46">
            <w:pPr>
              <w:jc w:val="center"/>
              <w:rPr>
                <w:rFonts w:eastAsia="Times New Roman"/>
                <w:b/>
                <w:lang w:eastAsia="ru-RU"/>
              </w:rPr>
            </w:pPr>
            <w:r w:rsidRPr="00F94FED">
              <w:rPr>
                <w:rFonts w:eastAsia="Times New Roman"/>
                <w:b/>
                <w:lang w:eastAsia="ru-RU"/>
              </w:rPr>
              <w:t>70,9</w:t>
            </w:r>
          </w:p>
        </w:tc>
        <w:tc>
          <w:tcPr>
            <w:tcW w:w="824" w:type="pct"/>
            <w:gridSpan w:val="2"/>
            <w:tcBorders>
              <w:top w:val="single" w:sz="4" w:space="0" w:color="auto"/>
            </w:tcBorders>
          </w:tcPr>
          <w:p w14:paraId="0AF39659" w14:textId="77777777" w:rsidR="009A4C46" w:rsidRPr="00F94FED" w:rsidRDefault="009A4C46" w:rsidP="009A4C46">
            <w:pPr>
              <w:jc w:val="center"/>
              <w:rPr>
                <w:rFonts w:eastAsia="Times New Roman"/>
                <w:b/>
                <w:lang w:eastAsia="ru-RU"/>
              </w:rPr>
            </w:pPr>
            <w:r w:rsidRPr="00F94FED">
              <w:rPr>
                <w:rFonts w:eastAsia="Times New Roman"/>
                <w:b/>
                <w:lang w:eastAsia="ru-RU"/>
              </w:rPr>
              <w:t>68,1</w:t>
            </w:r>
          </w:p>
        </w:tc>
      </w:tr>
      <w:tr w:rsidR="009A4C46" w:rsidRPr="00370BF5" w14:paraId="0974F614" w14:textId="77777777" w:rsidTr="00CB5AA8">
        <w:tc>
          <w:tcPr>
            <w:tcW w:w="306" w:type="pct"/>
          </w:tcPr>
          <w:p w14:paraId="27F638E5" w14:textId="77777777" w:rsidR="009A4C46" w:rsidRPr="00F94FED" w:rsidRDefault="009A4C46" w:rsidP="009A4C46">
            <w:pPr>
              <w:jc w:val="both"/>
              <w:rPr>
                <w:rFonts w:eastAsia="Times New Roman"/>
                <w:lang w:eastAsia="ru-RU"/>
              </w:rPr>
            </w:pPr>
            <w:r w:rsidRPr="00F94FED">
              <w:rPr>
                <w:rFonts w:eastAsia="Times New Roman"/>
                <w:lang w:eastAsia="ru-RU"/>
              </w:rPr>
              <w:t>7.2</w:t>
            </w:r>
          </w:p>
        </w:tc>
        <w:tc>
          <w:tcPr>
            <w:tcW w:w="1405" w:type="pct"/>
          </w:tcPr>
          <w:p w14:paraId="2BF160DD" w14:textId="77777777" w:rsidR="009A4C46" w:rsidRPr="00F94FED" w:rsidRDefault="009A4C46" w:rsidP="009A4C46">
            <w:pPr>
              <w:jc w:val="both"/>
              <w:rPr>
                <w:rFonts w:eastAsia="Times New Roman"/>
                <w:lang w:eastAsia="ru-RU"/>
              </w:rPr>
            </w:pPr>
            <w:r w:rsidRPr="00F94FED">
              <w:rPr>
                <w:rFonts w:eastAsia="Times New Roman"/>
                <w:lang w:eastAsia="ru-RU"/>
              </w:rPr>
              <w:t>Амортизация по БУ</w:t>
            </w:r>
          </w:p>
        </w:tc>
        <w:tc>
          <w:tcPr>
            <w:tcW w:w="824" w:type="pct"/>
          </w:tcPr>
          <w:p w14:paraId="661DD68C" w14:textId="77777777" w:rsidR="009A4C46" w:rsidRPr="00F94FED" w:rsidRDefault="009A4C46" w:rsidP="009A4C46">
            <w:pPr>
              <w:jc w:val="center"/>
              <w:rPr>
                <w:rFonts w:eastAsia="Times New Roman"/>
                <w:lang w:eastAsia="ru-RU"/>
              </w:rPr>
            </w:pPr>
            <w:r w:rsidRPr="00F94FED">
              <w:rPr>
                <w:rFonts w:eastAsia="Times New Roman"/>
                <w:lang w:eastAsia="ru-RU"/>
              </w:rPr>
              <w:t>-</w:t>
            </w:r>
          </w:p>
        </w:tc>
        <w:tc>
          <w:tcPr>
            <w:tcW w:w="821" w:type="pct"/>
          </w:tcPr>
          <w:p w14:paraId="21BCB804" w14:textId="77777777" w:rsidR="009A4C46" w:rsidRPr="00F94FED" w:rsidRDefault="009A4C46" w:rsidP="009A4C46">
            <w:pPr>
              <w:jc w:val="center"/>
              <w:rPr>
                <w:rFonts w:eastAsia="Times New Roman"/>
                <w:lang w:eastAsia="ru-RU"/>
              </w:rPr>
            </w:pPr>
            <w:r w:rsidRPr="00F94FED">
              <w:rPr>
                <w:rFonts w:eastAsia="Times New Roman"/>
                <w:lang w:eastAsia="ru-RU"/>
              </w:rPr>
              <w:t>-</w:t>
            </w:r>
          </w:p>
        </w:tc>
        <w:tc>
          <w:tcPr>
            <w:tcW w:w="820" w:type="pct"/>
          </w:tcPr>
          <w:p w14:paraId="5FEC2E4B" w14:textId="77777777" w:rsidR="009A4C46" w:rsidRPr="00F94FED" w:rsidRDefault="009A4C46" w:rsidP="009A4C46">
            <w:pPr>
              <w:jc w:val="center"/>
              <w:rPr>
                <w:rFonts w:eastAsia="Times New Roman"/>
                <w:b/>
                <w:lang w:eastAsia="ru-RU"/>
              </w:rPr>
            </w:pPr>
            <w:r w:rsidRPr="00F94FED">
              <w:rPr>
                <w:rFonts w:eastAsia="Times New Roman"/>
                <w:b/>
                <w:lang w:eastAsia="ru-RU"/>
              </w:rPr>
              <w:t>75,8</w:t>
            </w:r>
          </w:p>
        </w:tc>
        <w:tc>
          <w:tcPr>
            <w:tcW w:w="824" w:type="pct"/>
            <w:gridSpan w:val="2"/>
          </w:tcPr>
          <w:p w14:paraId="02B8DFF9" w14:textId="77777777" w:rsidR="009A4C46" w:rsidRPr="00F94FED" w:rsidRDefault="009A4C46" w:rsidP="009A4C46">
            <w:pPr>
              <w:jc w:val="center"/>
              <w:rPr>
                <w:rFonts w:eastAsia="Times New Roman"/>
                <w:b/>
                <w:lang w:eastAsia="ru-RU"/>
              </w:rPr>
            </w:pPr>
            <w:r w:rsidRPr="00F94FED">
              <w:rPr>
                <w:rFonts w:eastAsia="Times New Roman"/>
                <w:b/>
                <w:lang w:eastAsia="ru-RU"/>
              </w:rPr>
              <w:t>73.8</w:t>
            </w:r>
          </w:p>
        </w:tc>
      </w:tr>
    </w:tbl>
    <w:p w14:paraId="67110D98" w14:textId="77777777" w:rsidR="009A4C46" w:rsidRPr="008B0B3C" w:rsidRDefault="009A4C46" w:rsidP="008B0B3C">
      <w:pPr>
        <w:spacing w:after="0" w:line="360" w:lineRule="auto"/>
        <w:rPr>
          <w:rFonts w:eastAsia="Times New Roman"/>
          <w:i/>
          <w:iCs/>
          <w:lang w:eastAsia="ru-RU"/>
        </w:rPr>
      </w:pPr>
      <w:r w:rsidRPr="008B0B3C">
        <w:rPr>
          <w:rFonts w:eastAsia="Times New Roman"/>
          <w:i/>
          <w:iCs/>
          <w:lang w:eastAsia="ru-RU"/>
        </w:rPr>
        <w:t>*Освоение капитальных вложений</w:t>
      </w:r>
    </w:p>
    <w:p w14:paraId="412B2F5B" w14:textId="77777777" w:rsidR="00370BF5" w:rsidRPr="00F94FED" w:rsidRDefault="00370BF5" w:rsidP="00F94FED">
      <w:pPr>
        <w:spacing w:after="0" w:line="360" w:lineRule="auto"/>
        <w:ind w:firstLine="567"/>
        <w:contextualSpacing/>
        <w:rPr>
          <w:rFonts w:eastAsia="Calibri"/>
          <w:i/>
          <w:sz w:val="26"/>
          <w:szCs w:val="26"/>
        </w:rPr>
      </w:pPr>
    </w:p>
    <w:p w14:paraId="53F49489" w14:textId="55AFE149" w:rsidR="0065708A" w:rsidRDefault="009A4C46" w:rsidP="00F94313">
      <w:pPr>
        <w:spacing w:after="0" w:line="360" w:lineRule="auto"/>
        <w:contextualSpacing/>
        <w:jc w:val="center"/>
        <w:rPr>
          <w:rFonts w:eastAsia="Calibri"/>
          <w:b/>
          <w:bCs/>
          <w:iCs/>
          <w:sz w:val="26"/>
          <w:szCs w:val="26"/>
        </w:rPr>
      </w:pPr>
      <w:r w:rsidRPr="00F94FED">
        <w:rPr>
          <w:rFonts w:eastAsia="Calibri"/>
          <w:b/>
          <w:bCs/>
          <w:iCs/>
          <w:sz w:val="26"/>
          <w:szCs w:val="26"/>
        </w:rPr>
        <w:t>Заключение и выводы по исполнению</w:t>
      </w:r>
    </w:p>
    <w:p w14:paraId="14437720" w14:textId="1E91A1B0" w:rsidR="009A4C46" w:rsidRPr="00F94FED" w:rsidRDefault="009A4C46" w:rsidP="00F94313">
      <w:pPr>
        <w:spacing w:after="0" w:line="360" w:lineRule="auto"/>
        <w:contextualSpacing/>
        <w:jc w:val="center"/>
        <w:rPr>
          <w:rFonts w:eastAsia="Calibri"/>
          <w:b/>
          <w:bCs/>
          <w:iCs/>
          <w:sz w:val="26"/>
          <w:szCs w:val="26"/>
        </w:rPr>
      </w:pPr>
      <w:r w:rsidRPr="00F94FED">
        <w:rPr>
          <w:rFonts w:eastAsia="Calibri"/>
          <w:b/>
          <w:bCs/>
          <w:iCs/>
          <w:sz w:val="26"/>
          <w:szCs w:val="26"/>
        </w:rPr>
        <w:t>инвестиционной программы за 2017 год</w:t>
      </w:r>
    </w:p>
    <w:p w14:paraId="7B3DB4ED" w14:textId="475D2D56" w:rsidR="009A4C46" w:rsidRPr="00F94FED" w:rsidRDefault="009A4C46" w:rsidP="00F94FED">
      <w:pPr>
        <w:spacing w:after="0" w:line="360" w:lineRule="auto"/>
        <w:ind w:firstLine="567"/>
        <w:contextualSpacing/>
        <w:jc w:val="both"/>
        <w:rPr>
          <w:rFonts w:eastAsia="Calibri"/>
          <w:sz w:val="26"/>
          <w:szCs w:val="26"/>
        </w:rPr>
      </w:pPr>
      <w:r w:rsidRPr="00F94FED">
        <w:rPr>
          <w:rFonts w:eastAsia="Calibri"/>
          <w:sz w:val="26"/>
          <w:szCs w:val="26"/>
        </w:rPr>
        <w:t>Инвестиционная программа АО «Тываэнерго» соответствует требованиям Постановления Правительства РФ от 01.12.2009 № 977 (ред. от 15.05.2019)</w:t>
      </w:r>
      <w:r w:rsidR="00370BF5">
        <w:rPr>
          <w:rFonts w:eastAsia="Calibri"/>
          <w:sz w:val="26"/>
          <w:szCs w:val="26"/>
        </w:rPr>
        <w:br/>
      </w:r>
      <w:r w:rsidRPr="00F94FED">
        <w:rPr>
          <w:rFonts w:eastAsia="Calibri"/>
          <w:sz w:val="26"/>
          <w:szCs w:val="26"/>
        </w:rPr>
        <w:t>«Об инвестиционных программах субъектов электроэнергетики» (вместе с «Правилами утверждения инвестиционных программ субъектов электроэнергетики», «Правилами осуществления контроля за реализацией инвестиционных программ субъектов электроэнергетики») и утверждена соответствующими приказами Минэнерго России.</w:t>
      </w:r>
    </w:p>
    <w:p w14:paraId="0952F20B" w14:textId="77777777" w:rsidR="009A4C46" w:rsidRPr="00F94FED" w:rsidRDefault="009A4C46" w:rsidP="00F94FED">
      <w:pPr>
        <w:spacing w:after="0" w:line="360" w:lineRule="auto"/>
        <w:ind w:firstLine="567"/>
        <w:contextualSpacing/>
        <w:jc w:val="both"/>
        <w:rPr>
          <w:rFonts w:eastAsia="Calibri"/>
          <w:sz w:val="26"/>
          <w:szCs w:val="26"/>
        </w:rPr>
      </w:pPr>
      <w:r w:rsidRPr="00F94FED">
        <w:rPr>
          <w:rFonts w:eastAsia="Calibri"/>
          <w:sz w:val="26"/>
          <w:szCs w:val="26"/>
        </w:rPr>
        <w:t>Объем финансирования капитальных вложений инвестиционной программы АО «Тываэнерго», соответствует показателям, утвержденным соответствующими приказами Минэнерго России.</w:t>
      </w:r>
    </w:p>
    <w:p w14:paraId="4E1C52E8" w14:textId="77777777" w:rsidR="009A4C46" w:rsidRPr="00F94FED" w:rsidRDefault="009A4C46" w:rsidP="00F94FED">
      <w:pPr>
        <w:spacing w:after="0" w:line="360" w:lineRule="auto"/>
        <w:ind w:firstLine="567"/>
        <w:contextualSpacing/>
        <w:jc w:val="both"/>
        <w:rPr>
          <w:rFonts w:eastAsia="Calibri"/>
          <w:sz w:val="26"/>
          <w:szCs w:val="26"/>
        </w:rPr>
      </w:pPr>
      <w:r w:rsidRPr="00F94FED">
        <w:rPr>
          <w:rFonts w:eastAsia="Calibri"/>
          <w:sz w:val="26"/>
          <w:szCs w:val="26"/>
        </w:rPr>
        <w:t>Раскрытие информации в части формирования и выполнения инвестиционных программ соответствует требованиям законодательства.</w:t>
      </w:r>
    </w:p>
    <w:p w14:paraId="2FA56FFD" w14:textId="77777777" w:rsidR="009A4C46" w:rsidRPr="00F94FED" w:rsidRDefault="009A4C46" w:rsidP="00F94FED">
      <w:pPr>
        <w:spacing w:after="0" w:line="360" w:lineRule="auto"/>
        <w:ind w:firstLine="567"/>
        <w:contextualSpacing/>
        <w:jc w:val="both"/>
        <w:rPr>
          <w:rFonts w:eastAsia="Calibri"/>
          <w:sz w:val="26"/>
          <w:szCs w:val="26"/>
        </w:rPr>
      </w:pPr>
      <w:r w:rsidRPr="00F94FED">
        <w:rPr>
          <w:rFonts w:eastAsia="Calibri"/>
          <w:sz w:val="26"/>
          <w:szCs w:val="26"/>
        </w:rPr>
        <w:t>Определение пообъектных объемов отклонений по выполнению плановых показателей инвестиционной программы. Причины отклонений</w:t>
      </w:r>
      <w:r w:rsidRPr="00F94FED">
        <w:rPr>
          <w:rFonts w:eastAsia="Calibri"/>
          <w:sz w:val="26"/>
          <w:szCs w:val="26"/>
          <w:lang w:val="en-US"/>
        </w:rPr>
        <w:t>:</w:t>
      </w:r>
    </w:p>
    <w:p w14:paraId="78C6115A" w14:textId="29046A62" w:rsidR="009A4C46" w:rsidRPr="00F94FED" w:rsidRDefault="009A4C46" w:rsidP="00F94FED">
      <w:pPr>
        <w:numPr>
          <w:ilvl w:val="0"/>
          <w:numId w:val="11"/>
        </w:numPr>
        <w:spacing w:after="0" w:line="360" w:lineRule="auto"/>
        <w:ind w:left="1134" w:hanging="567"/>
        <w:contextualSpacing/>
        <w:jc w:val="both"/>
        <w:rPr>
          <w:rFonts w:eastAsia="Calibri"/>
          <w:sz w:val="26"/>
          <w:szCs w:val="26"/>
        </w:rPr>
      </w:pPr>
      <w:r w:rsidRPr="00F94FED">
        <w:rPr>
          <w:rFonts w:eastAsia="Calibri"/>
          <w:sz w:val="26"/>
          <w:szCs w:val="26"/>
        </w:rPr>
        <w:lastRenderedPageBreak/>
        <w:t xml:space="preserve">Проведенный </w:t>
      </w:r>
      <w:proofErr w:type="spellStart"/>
      <w:r w:rsidRPr="00F94FED">
        <w:rPr>
          <w:rFonts w:eastAsia="Calibri"/>
          <w:sz w:val="26"/>
          <w:szCs w:val="26"/>
        </w:rPr>
        <w:t>пообъектный</w:t>
      </w:r>
      <w:proofErr w:type="spellEnd"/>
      <w:r w:rsidRPr="00F94FED">
        <w:rPr>
          <w:rFonts w:eastAsia="Calibri"/>
          <w:sz w:val="26"/>
          <w:szCs w:val="26"/>
        </w:rPr>
        <w:t xml:space="preserve"> анализ выполнения инвестиционных проектов инвестиционной программы АО «Тываэнерго» за 2017 год подтвердил фактическое освоение капитальных вложений, финансируемых за счет собственных средств (амортизации) на сумму 68 136 тыс. руб. Полученный результат соответствует данным отчетности по исполнению ИПР, представленный АО «Тываэнерго» по данным отчета по формам, утвержденным приказом ФСТ России от 20.02.2014</w:t>
      </w:r>
      <w:r w:rsidR="00370BF5">
        <w:rPr>
          <w:rFonts w:eastAsia="Calibri"/>
          <w:sz w:val="26"/>
          <w:szCs w:val="26"/>
        </w:rPr>
        <w:t xml:space="preserve"> </w:t>
      </w:r>
      <w:r w:rsidRPr="00F94FED">
        <w:rPr>
          <w:rFonts w:eastAsia="Calibri"/>
          <w:sz w:val="26"/>
          <w:szCs w:val="26"/>
        </w:rPr>
        <w:t>№</w:t>
      </w:r>
      <w:r w:rsidR="00370BF5">
        <w:rPr>
          <w:rFonts w:eastAsia="Calibri"/>
          <w:sz w:val="26"/>
          <w:szCs w:val="26"/>
        </w:rPr>
        <w:t> </w:t>
      </w:r>
      <w:r w:rsidRPr="00F94FED">
        <w:rPr>
          <w:rFonts w:eastAsia="Calibri"/>
          <w:sz w:val="26"/>
          <w:szCs w:val="26"/>
        </w:rPr>
        <w:t>202-э и по формам, утвержденным приказом Минэнерго России от 25.04.2018 №320 (форма 11).</w:t>
      </w:r>
    </w:p>
    <w:p w14:paraId="61949EBB" w14:textId="77777777" w:rsidR="009A4C46" w:rsidRPr="00F94FED" w:rsidRDefault="009A4C46" w:rsidP="00F94FED">
      <w:pPr>
        <w:numPr>
          <w:ilvl w:val="0"/>
          <w:numId w:val="11"/>
        </w:numPr>
        <w:spacing w:after="0" w:line="360" w:lineRule="auto"/>
        <w:ind w:left="1134" w:hanging="567"/>
        <w:contextualSpacing/>
        <w:jc w:val="both"/>
        <w:rPr>
          <w:rFonts w:eastAsia="Calibri"/>
          <w:sz w:val="26"/>
          <w:szCs w:val="26"/>
        </w:rPr>
      </w:pPr>
      <w:r w:rsidRPr="00F94FED">
        <w:rPr>
          <w:rFonts w:eastAsia="Calibri"/>
          <w:sz w:val="26"/>
          <w:szCs w:val="26"/>
        </w:rPr>
        <w:t xml:space="preserve">Объем освоения капитальных вложений за 2017 год не выполнен на сумму 5,824 млн. руб., в связи с корректировкой по </w:t>
      </w:r>
      <w:proofErr w:type="spellStart"/>
      <w:r w:rsidRPr="00F94FED">
        <w:rPr>
          <w:rFonts w:eastAsia="Calibri"/>
          <w:sz w:val="26"/>
          <w:szCs w:val="26"/>
        </w:rPr>
        <w:t>допсоглашению</w:t>
      </w:r>
      <w:proofErr w:type="spellEnd"/>
      <w:r w:rsidRPr="00F94FED">
        <w:rPr>
          <w:rFonts w:eastAsia="Calibri"/>
          <w:sz w:val="26"/>
          <w:szCs w:val="26"/>
        </w:rPr>
        <w:t xml:space="preserve"> объемов капвложений (работ), в том числе, запланированных об прибыли, формируемой от инвестпроектов, финансируемых за счет платы за технологическое присоединение потребителей.</w:t>
      </w:r>
    </w:p>
    <w:p w14:paraId="1D9A61A6" w14:textId="77777777" w:rsidR="009A4C46" w:rsidRPr="00F94FED" w:rsidRDefault="009A4C46" w:rsidP="00F94FED">
      <w:pPr>
        <w:numPr>
          <w:ilvl w:val="0"/>
          <w:numId w:val="11"/>
        </w:numPr>
        <w:spacing w:after="0" w:line="360" w:lineRule="auto"/>
        <w:ind w:left="1134" w:hanging="567"/>
        <w:contextualSpacing/>
        <w:jc w:val="both"/>
        <w:rPr>
          <w:rFonts w:eastAsia="Calibri"/>
          <w:color w:val="000000"/>
          <w:sz w:val="26"/>
          <w:szCs w:val="26"/>
        </w:rPr>
      </w:pPr>
      <w:r w:rsidRPr="00F94FED">
        <w:rPr>
          <w:rFonts w:eastAsia="Calibri"/>
          <w:color w:val="000000"/>
          <w:sz w:val="26"/>
          <w:szCs w:val="26"/>
        </w:rPr>
        <w:t>Объёмы финансирования инвестиционной программы 2017 года, законтрактованный по состоянию на начало и конец года не обеспечивают устойчивое финансирование инвестиционных проектов.</w:t>
      </w:r>
    </w:p>
    <w:p w14:paraId="46A0DE7E" w14:textId="77777777" w:rsidR="009A4C46" w:rsidRPr="00F94FED" w:rsidRDefault="009A4C46" w:rsidP="00F94FED">
      <w:pPr>
        <w:numPr>
          <w:ilvl w:val="0"/>
          <w:numId w:val="11"/>
        </w:numPr>
        <w:spacing w:after="0" w:line="360" w:lineRule="auto"/>
        <w:ind w:left="1134" w:hanging="567"/>
        <w:contextualSpacing/>
        <w:jc w:val="both"/>
        <w:rPr>
          <w:rFonts w:eastAsia="Calibri"/>
          <w:color w:val="000000"/>
          <w:sz w:val="26"/>
          <w:szCs w:val="26"/>
        </w:rPr>
      </w:pPr>
      <w:r w:rsidRPr="00F94FED">
        <w:rPr>
          <w:rFonts w:eastAsia="Calibri"/>
          <w:color w:val="000000"/>
          <w:sz w:val="26"/>
          <w:szCs w:val="26"/>
        </w:rPr>
        <w:t>Формы отчетности КС-2, КС-3, КС-11, КС-14, ОС-1, ОС-3, НМА-1, акты о выводе из эксплуатации, об осуществлении технологического присоединения, и др. являются не обязательными и в Службу по тарифам Республики Тыва не представлялись и Службой не запрашивались.</w:t>
      </w:r>
    </w:p>
    <w:p w14:paraId="248462AA" w14:textId="35862B33" w:rsidR="009A4C46" w:rsidRDefault="009A4C46" w:rsidP="00370BF5">
      <w:pPr>
        <w:numPr>
          <w:ilvl w:val="0"/>
          <w:numId w:val="11"/>
        </w:numPr>
        <w:spacing w:after="0" w:line="360" w:lineRule="auto"/>
        <w:ind w:left="1134" w:hanging="567"/>
        <w:contextualSpacing/>
        <w:jc w:val="both"/>
        <w:rPr>
          <w:rFonts w:eastAsia="Calibri"/>
          <w:color w:val="000000"/>
          <w:sz w:val="26"/>
          <w:szCs w:val="26"/>
        </w:rPr>
      </w:pPr>
      <w:r w:rsidRPr="00F94FED">
        <w:rPr>
          <w:rFonts w:eastAsia="Calibri"/>
          <w:color w:val="000000"/>
          <w:sz w:val="26"/>
          <w:szCs w:val="26"/>
        </w:rPr>
        <w:t>Выпадающие доходы, связанные с разницей фактически начисленной амортизации и учтенной в тарифе, не обеспеченные выручкой Общества, должны компенсироваться регул</w:t>
      </w:r>
      <w:r w:rsidR="008B0B3C">
        <w:rPr>
          <w:rFonts w:eastAsia="Calibri"/>
          <w:color w:val="000000"/>
          <w:sz w:val="26"/>
          <w:szCs w:val="26"/>
        </w:rPr>
        <w:t>ирующим органом</w:t>
      </w:r>
      <w:r w:rsidRPr="00F94FED">
        <w:rPr>
          <w:rFonts w:eastAsia="Calibri"/>
          <w:color w:val="000000"/>
          <w:sz w:val="26"/>
          <w:szCs w:val="26"/>
        </w:rPr>
        <w:t xml:space="preserve"> в установленном Основами ценообразования порядке.</w:t>
      </w:r>
    </w:p>
    <w:p w14:paraId="66F08418" w14:textId="77777777" w:rsidR="00370BF5" w:rsidRPr="00F94FED" w:rsidRDefault="00370BF5" w:rsidP="00F94FED">
      <w:pPr>
        <w:spacing w:after="0" w:line="360" w:lineRule="auto"/>
        <w:ind w:left="1134"/>
        <w:contextualSpacing/>
        <w:jc w:val="both"/>
        <w:rPr>
          <w:rFonts w:eastAsia="Calibri"/>
          <w:color w:val="000000"/>
          <w:sz w:val="26"/>
          <w:szCs w:val="26"/>
        </w:rPr>
      </w:pPr>
    </w:p>
    <w:p w14:paraId="05C9D3E6" w14:textId="68F31D11" w:rsidR="009A4C46" w:rsidRPr="00F94FED" w:rsidRDefault="009A4C46" w:rsidP="00F94FED">
      <w:pPr>
        <w:spacing w:after="0" w:line="360" w:lineRule="auto"/>
        <w:ind w:firstLine="567"/>
        <w:contextualSpacing/>
        <w:jc w:val="both"/>
        <w:rPr>
          <w:rFonts w:eastAsia="Calibri"/>
          <w:b/>
          <w:bCs/>
          <w:iCs/>
          <w:color w:val="000000"/>
          <w:sz w:val="26"/>
          <w:szCs w:val="26"/>
        </w:rPr>
      </w:pPr>
      <w:r w:rsidRPr="00F94FED">
        <w:rPr>
          <w:rFonts w:eastAsia="Calibri"/>
          <w:b/>
          <w:bCs/>
          <w:iCs/>
          <w:color w:val="000000"/>
          <w:sz w:val="26"/>
          <w:szCs w:val="26"/>
        </w:rPr>
        <w:t xml:space="preserve">Рекомендации и предложения по формированию АО «Тываэнерго» документального подтверждения фактических расходов. </w:t>
      </w:r>
    </w:p>
    <w:p w14:paraId="2AD2E49D" w14:textId="4E900F1F" w:rsidR="009A4C46" w:rsidRPr="00F94FED" w:rsidRDefault="009A4C46" w:rsidP="00F94FED">
      <w:pPr>
        <w:spacing w:after="0" w:line="360" w:lineRule="auto"/>
        <w:ind w:firstLine="567"/>
        <w:contextualSpacing/>
        <w:jc w:val="both"/>
        <w:rPr>
          <w:rFonts w:eastAsia="Calibri"/>
          <w:color w:val="000000"/>
          <w:sz w:val="26"/>
          <w:szCs w:val="26"/>
        </w:rPr>
      </w:pPr>
      <w:r w:rsidRPr="00F94FED">
        <w:rPr>
          <w:rFonts w:eastAsia="Calibri"/>
          <w:color w:val="000000"/>
          <w:sz w:val="26"/>
          <w:szCs w:val="26"/>
        </w:rPr>
        <w:t xml:space="preserve">При расчете корректировки НВВ по исполнению инвестиционной программы представлять </w:t>
      </w:r>
      <w:r w:rsidR="008B0B3C">
        <w:rPr>
          <w:rFonts w:eastAsia="Calibri"/>
          <w:color w:val="000000"/>
          <w:sz w:val="26"/>
          <w:szCs w:val="26"/>
        </w:rPr>
        <w:t>регулирующему органу</w:t>
      </w:r>
      <w:r w:rsidRPr="00F94FED">
        <w:rPr>
          <w:rFonts w:eastAsia="Calibri"/>
          <w:color w:val="000000"/>
          <w:sz w:val="26"/>
          <w:szCs w:val="26"/>
        </w:rPr>
        <w:t xml:space="preserve"> в составе обосновывающих материалов, документы, подтверждающие ввод в эксплуатацию основных средств и акты </w:t>
      </w:r>
      <w:r w:rsidRPr="00F94FED">
        <w:rPr>
          <w:rFonts w:eastAsia="Calibri"/>
          <w:color w:val="000000"/>
          <w:sz w:val="26"/>
          <w:szCs w:val="26"/>
        </w:rPr>
        <w:lastRenderedPageBreak/>
        <w:t>выполненных работ, в том числе в части начисленной амортизации (формы КС-2, КС-3, КС-11, КС-14, ОС-1, ОС-3, НМА-1, акты о выводе из эксплуатации, об осуществлении технологического присоединения, и др.).</w:t>
      </w:r>
    </w:p>
    <w:p w14:paraId="77992E81" w14:textId="77777777" w:rsidR="009A4C46" w:rsidRPr="00F94FED" w:rsidRDefault="009A4C46" w:rsidP="00F94FED">
      <w:pPr>
        <w:autoSpaceDE w:val="0"/>
        <w:autoSpaceDN w:val="0"/>
        <w:adjustRightInd w:val="0"/>
        <w:spacing w:after="0" w:line="360" w:lineRule="auto"/>
        <w:ind w:firstLine="567"/>
        <w:jc w:val="both"/>
        <w:rPr>
          <w:rFonts w:eastAsia="Times New Roman"/>
          <w:b/>
          <w:bCs/>
          <w:iCs/>
          <w:color w:val="000000"/>
          <w:sz w:val="26"/>
          <w:szCs w:val="26"/>
          <w:shd w:val="clear" w:color="auto" w:fill="FFFFFF"/>
          <w:lang w:eastAsia="ru-RU"/>
        </w:rPr>
      </w:pPr>
      <w:r w:rsidRPr="00F94FED">
        <w:rPr>
          <w:rFonts w:eastAsia="Times New Roman"/>
          <w:b/>
          <w:bCs/>
          <w:iCs/>
          <w:color w:val="000000"/>
          <w:sz w:val="26"/>
          <w:szCs w:val="26"/>
          <w:shd w:val="clear" w:color="auto" w:fill="FFFFFF"/>
          <w:lang w:eastAsia="ru-RU"/>
        </w:rPr>
        <w:t>Корректировка необходимой валовой выручки на год п долгосрочного периода регулирования, осуществляемая в связи с изменением (неисполнением) инвестиционной программы за 2017 год</w:t>
      </w:r>
    </w:p>
    <w:p w14:paraId="4A99F20A" w14:textId="77777777" w:rsidR="009A4C46" w:rsidRPr="00F94FED" w:rsidRDefault="009A4C46" w:rsidP="00F94FED">
      <w:pPr>
        <w:spacing w:after="0" w:line="360" w:lineRule="auto"/>
        <w:ind w:firstLine="567"/>
        <w:jc w:val="both"/>
        <w:rPr>
          <w:rFonts w:eastAsia="Times New Roman"/>
          <w:sz w:val="26"/>
          <w:szCs w:val="26"/>
          <w:lang w:eastAsia="ru-RU"/>
        </w:rPr>
      </w:pPr>
      <w:r w:rsidRPr="00F94FED">
        <w:rPr>
          <w:rFonts w:eastAsia="Times New Roman"/>
          <w:sz w:val="26"/>
          <w:szCs w:val="26"/>
          <w:lang w:eastAsia="ru-RU"/>
        </w:rPr>
        <w:t>По результатам проведенного пообъектного анализа исполнения инвестиционной программы АО «Тываэнерго», анализа материалов, предоставленных филиалом АО «Тываэнерго» в Службу по тарифам по корректировке НВВ на 2019 год долгосрочного периода регулирования, осуществляемой в связи с изменением (неисполнением) инвестиционной программы за 2017 год, и расчета корректировки, утвержденной Службой по тарифам Республики Тыва, Исполнитель отмечает следующее.</w:t>
      </w:r>
    </w:p>
    <w:p w14:paraId="0EE7481F" w14:textId="77777777" w:rsidR="009A4C46" w:rsidRPr="00F94FED" w:rsidRDefault="009A4C46" w:rsidP="00F94FED">
      <w:pPr>
        <w:spacing w:after="0" w:line="360" w:lineRule="auto"/>
        <w:ind w:firstLine="567"/>
        <w:jc w:val="both"/>
        <w:rPr>
          <w:rFonts w:eastAsia="Times New Roman"/>
          <w:sz w:val="26"/>
          <w:szCs w:val="26"/>
          <w:lang w:eastAsia="ru-RU"/>
        </w:rPr>
      </w:pPr>
      <w:r w:rsidRPr="00F94FED">
        <w:rPr>
          <w:rFonts w:eastAsia="Times New Roman"/>
          <w:sz w:val="26"/>
          <w:szCs w:val="26"/>
          <w:lang w:eastAsia="ru-RU"/>
        </w:rPr>
        <w:t>Корректировка НВВ АО «Тываэнерго» на 2019 год долгосрочного периода регулирования, осуществляемая в связи с изменением (неисполнением) инвестиционной программы АО «Тываэнерго» за 2017 год, осуществляется в соответствии с требованиями Методических указаний № 98-э.</w:t>
      </w:r>
    </w:p>
    <w:p w14:paraId="59C6829C" w14:textId="3A5923F2" w:rsidR="009A4C46" w:rsidRDefault="009A4C46" w:rsidP="00370BF5">
      <w:pPr>
        <w:spacing w:after="0" w:line="360" w:lineRule="auto"/>
        <w:ind w:firstLine="567"/>
        <w:jc w:val="both"/>
        <w:rPr>
          <w:rFonts w:eastAsia="Times New Roman"/>
          <w:sz w:val="26"/>
          <w:szCs w:val="26"/>
          <w:lang w:eastAsia="ru-RU"/>
        </w:rPr>
      </w:pPr>
      <w:r w:rsidRPr="00F94FED">
        <w:rPr>
          <w:rFonts w:eastAsia="Times New Roman"/>
          <w:sz w:val="26"/>
          <w:szCs w:val="26"/>
          <w:lang w:eastAsia="ru-RU"/>
        </w:rPr>
        <w:t>Расчет отклонения НВВ по неисполнению ИПР производится по формуле (9) Методических указаний,</w:t>
      </w:r>
    </w:p>
    <w:p w14:paraId="08C4DFB2" w14:textId="77777777" w:rsidR="00F94313" w:rsidRDefault="00F94313" w:rsidP="00370BF5">
      <w:pPr>
        <w:spacing w:after="0" w:line="360" w:lineRule="auto"/>
        <w:ind w:firstLine="567"/>
        <w:jc w:val="both"/>
        <w:rPr>
          <w:rFonts w:eastAsia="Times New Roman"/>
          <w:sz w:val="26"/>
          <w:szCs w:val="26"/>
          <w:lang w:eastAsia="ru-RU"/>
        </w:rPr>
      </w:pPr>
    </w:p>
    <w:p w14:paraId="6E997971" w14:textId="77777777" w:rsidR="00F94313" w:rsidRDefault="00AE6118" w:rsidP="00F94FED">
      <w:pPr>
        <w:spacing w:after="0" w:line="360" w:lineRule="auto"/>
        <w:ind w:firstLine="567"/>
        <w:jc w:val="center"/>
        <w:rPr>
          <w:rFonts w:eastAsia="Times New Roman"/>
          <w:sz w:val="26"/>
          <w:szCs w:val="26"/>
          <w:lang w:eastAsia="ru-RU"/>
        </w:rPr>
      </w:pPr>
      <w:r w:rsidRPr="00AE6118">
        <w:rPr>
          <w:rFonts w:eastAsia="Calibri"/>
          <w:noProof/>
          <w:color w:val="000000"/>
          <w:position w:val="-33"/>
          <w:lang w:eastAsia="ru-RU"/>
        </w:rPr>
        <w:drawing>
          <wp:inline distT="0" distB="0" distL="0" distR="0" wp14:anchorId="713DA481" wp14:editId="64DCE026">
            <wp:extent cx="3175000" cy="57785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3175000" cy="577850"/>
                    </a:xfrm>
                    <a:prstGeom prst="rect">
                      <a:avLst/>
                    </a:prstGeom>
                    <a:noFill/>
                    <a:ln>
                      <a:noFill/>
                    </a:ln>
                  </pic:spPr>
                </pic:pic>
              </a:graphicData>
            </a:graphic>
          </wp:inline>
        </w:drawing>
      </w:r>
    </w:p>
    <w:p w14:paraId="2F8D811A" w14:textId="03C66EE8" w:rsidR="009A4C46" w:rsidRPr="00F94FED" w:rsidRDefault="00AE6118" w:rsidP="00F94313">
      <w:pPr>
        <w:spacing w:after="0" w:line="360" w:lineRule="auto"/>
        <w:ind w:firstLine="567"/>
        <w:rPr>
          <w:rFonts w:eastAsia="Times New Roman"/>
          <w:sz w:val="26"/>
          <w:szCs w:val="26"/>
          <w:lang w:eastAsia="ru-RU"/>
        </w:rPr>
      </w:pPr>
      <w:r>
        <w:rPr>
          <w:rFonts w:eastAsia="Times New Roman"/>
          <w:sz w:val="26"/>
          <w:szCs w:val="26"/>
          <w:lang w:eastAsia="ru-RU"/>
        </w:rPr>
        <w:t>,</w:t>
      </w:r>
      <w:r w:rsidR="009A4C46" w:rsidRPr="00F94FED">
        <w:rPr>
          <w:rFonts w:eastAsia="Times New Roman"/>
          <w:sz w:val="26"/>
          <w:szCs w:val="26"/>
          <w:lang w:eastAsia="ru-RU"/>
        </w:rPr>
        <w:t>где</w:t>
      </w:r>
    </w:p>
    <w:p w14:paraId="629E8188" w14:textId="144B00F6" w:rsidR="009A4C46" w:rsidRPr="00F94FED" w:rsidRDefault="009A4C46" w:rsidP="00F94FED">
      <w:pPr>
        <w:spacing w:after="0" w:line="360" w:lineRule="auto"/>
        <w:ind w:firstLine="567"/>
        <w:jc w:val="both"/>
        <w:rPr>
          <w:rFonts w:eastAsia="Times New Roman"/>
          <w:sz w:val="26"/>
          <w:szCs w:val="26"/>
          <w:lang w:eastAsia="ru-RU"/>
        </w:rPr>
      </w:pPr>
      <w:r w:rsidRPr="00F94FED">
        <w:rPr>
          <w:rFonts w:eastAsia="Times New Roman"/>
          <w:noProof/>
          <w:position w:val="-8"/>
          <w:sz w:val="26"/>
          <w:szCs w:val="26"/>
          <w:lang w:eastAsia="ru-RU"/>
        </w:rPr>
        <w:drawing>
          <wp:inline distT="0" distB="0" distL="0" distR="0" wp14:anchorId="637E9938" wp14:editId="0AC8D536">
            <wp:extent cx="409575" cy="238125"/>
            <wp:effectExtent l="0" t="0" r="9525" b="9525"/>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409575" cy="238125"/>
                    </a:xfrm>
                    <a:prstGeom prst="rect">
                      <a:avLst/>
                    </a:prstGeom>
                    <a:noFill/>
                    <a:ln>
                      <a:noFill/>
                    </a:ln>
                  </pic:spPr>
                </pic:pic>
              </a:graphicData>
            </a:graphic>
          </wp:inline>
        </w:drawing>
      </w:r>
      <w:r w:rsidRPr="00F94FED">
        <w:rPr>
          <w:rFonts w:eastAsia="Times New Roman"/>
          <w:sz w:val="26"/>
          <w:szCs w:val="26"/>
          <w:lang w:eastAsia="ru-RU"/>
        </w:rPr>
        <w:t xml:space="preserve"> </w:t>
      </w:r>
      <w:r w:rsidR="00370BF5">
        <w:rPr>
          <w:rFonts w:eastAsia="Times New Roman"/>
          <w:sz w:val="26"/>
          <w:szCs w:val="26"/>
          <w:lang w:eastAsia="ru-RU"/>
        </w:rPr>
        <w:t>–</w:t>
      </w:r>
      <w:r w:rsidRPr="00F94FED">
        <w:rPr>
          <w:rFonts w:eastAsia="Times New Roman"/>
          <w:sz w:val="26"/>
          <w:szCs w:val="26"/>
          <w:lang w:eastAsia="ru-RU"/>
        </w:rPr>
        <w:t xml:space="preserve"> плановые расходы на реализацию инвестиционной программы 2017 года (расчетная величина собственных средств регулируемой организации (амортизация в нашем случае) для финансирования инвестиционной программы, учтенная при установлении тарифов).</w:t>
      </w:r>
    </w:p>
    <w:p w14:paraId="75DC3C5C" w14:textId="77777777" w:rsidR="009A4C46" w:rsidRPr="00F94FED" w:rsidRDefault="009A4C46" w:rsidP="00F94FED">
      <w:pPr>
        <w:spacing w:after="0" w:line="360" w:lineRule="auto"/>
        <w:ind w:firstLine="567"/>
        <w:jc w:val="both"/>
        <w:rPr>
          <w:rFonts w:eastAsia="Times New Roman"/>
          <w:sz w:val="26"/>
          <w:szCs w:val="26"/>
          <w:lang w:eastAsia="ru-RU"/>
        </w:rPr>
      </w:pPr>
      <w:r w:rsidRPr="00F94FED">
        <w:rPr>
          <w:rFonts w:eastAsia="Times New Roman"/>
          <w:sz w:val="26"/>
          <w:szCs w:val="26"/>
          <w:lang w:eastAsia="ru-RU"/>
        </w:rPr>
        <w:t xml:space="preserve">Величина </w:t>
      </w:r>
      <w:r w:rsidRPr="00F94FED">
        <w:rPr>
          <w:rFonts w:eastAsia="Times New Roman"/>
          <w:noProof/>
          <w:position w:val="-8"/>
          <w:sz w:val="26"/>
          <w:szCs w:val="26"/>
          <w:lang w:eastAsia="ru-RU"/>
        </w:rPr>
        <w:drawing>
          <wp:inline distT="0" distB="0" distL="0" distR="0" wp14:anchorId="55A82041" wp14:editId="2DEA3AD3">
            <wp:extent cx="409575" cy="238125"/>
            <wp:effectExtent l="0" t="0" r="9525" b="9525"/>
            <wp:docPr id="57"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409575" cy="238125"/>
                    </a:xfrm>
                    <a:prstGeom prst="rect">
                      <a:avLst/>
                    </a:prstGeom>
                    <a:noFill/>
                    <a:ln>
                      <a:noFill/>
                    </a:ln>
                  </pic:spPr>
                </pic:pic>
              </a:graphicData>
            </a:graphic>
          </wp:inline>
        </w:drawing>
      </w:r>
      <w:r w:rsidRPr="00F94FED">
        <w:rPr>
          <w:rFonts w:eastAsia="Times New Roman"/>
          <w:sz w:val="26"/>
          <w:szCs w:val="26"/>
          <w:lang w:eastAsia="ru-RU"/>
        </w:rPr>
        <w:t xml:space="preserve">на 2017 год, учтенная в ТБР на 2017 год, составила 78 756 тыс. руб., что подтверждается данными, приведенными в Экспертном заключении Службы по тарифам Республики Тыва от 30.11.2018 г. по предложениям об </w:t>
      </w:r>
      <w:r w:rsidRPr="00F94FED">
        <w:rPr>
          <w:rFonts w:eastAsia="Times New Roman"/>
          <w:sz w:val="26"/>
          <w:szCs w:val="26"/>
          <w:lang w:eastAsia="ru-RU"/>
        </w:rPr>
        <w:lastRenderedPageBreak/>
        <w:t>установлении тарифов на услуги по передаче электрической энергии по электрическим сетям АО «Тываэнерго» на 2017 год.</w:t>
      </w:r>
    </w:p>
    <w:p w14:paraId="1D047C3A" w14:textId="1C70A7B3" w:rsidR="009A4C46" w:rsidRPr="00F94FED" w:rsidRDefault="009A4C46" w:rsidP="00F94FED">
      <w:pPr>
        <w:spacing w:after="0" w:line="360" w:lineRule="auto"/>
        <w:ind w:firstLine="567"/>
        <w:jc w:val="both"/>
        <w:rPr>
          <w:rFonts w:eastAsia="Times New Roman"/>
          <w:sz w:val="26"/>
          <w:szCs w:val="26"/>
          <w:lang w:eastAsia="ru-RU"/>
        </w:rPr>
      </w:pPr>
      <w:r w:rsidRPr="00F94FED">
        <w:rPr>
          <w:rFonts w:eastAsia="Times New Roman"/>
          <w:noProof/>
          <w:position w:val="-8"/>
          <w:sz w:val="26"/>
          <w:szCs w:val="26"/>
          <w:lang w:eastAsia="ru-RU"/>
        </w:rPr>
        <w:drawing>
          <wp:inline distT="0" distB="0" distL="0" distR="0" wp14:anchorId="0DDF88FF" wp14:editId="53975808">
            <wp:extent cx="514350" cy="238125"/>
            <wp:effectExtent l="0" t="0" r="0" b="9525"/>
            <wp:docPr id="58"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514350" cy="238125"/>
                    </a:xfrm>
                    <a:prstGeom prst="rect">
                      <a:avLst/>
                    </a:prstGeom>
                    <a:noFill/>
                    <a:ln>
                      <a:noFill/>
                    </a:ln>
                  </pic:spPr>
                </pic:pic>
              </a:graphicData>
            </a:graphic>
          </wp:inline>
        </w:drawing>
      </w:r>
      <w:r w:rsidRPr="00F94FED">
        <w:rPr>
          <w:rFonts w:eastAsia="Times New Roman"/>
          <w:sz w:val="26"/>
          <w:szCs w:val="26"/>
          <w:lang w:eastAsia="ru-RU"/>
        </w:rPr>
        <w:t xml:space="preserve"> </w:t>
      </w:r>
      <w:r w:rsidR="00370BF5">
        <w:rPr>
          <w:rFonts w:eastAsia="Times New Roman"/>
          <w:sz w:val="26"/>
          <w:szCs w:val="26"/>
          <w:lang w:eastAsia="ru-RU"/>
        </w:rPr>
        <w:t>–</w:t>
      </w:r>
      <w:r w:rsidRPr="00F94FED">
        <w:rPr>
          <w:rFonts w:eastAsia="Times New Roman"/>
          <w:sz w:val="26"/>
          <w:szCs w:val="26"/>
          <w:lang w:eastAsia="ru-RU"/>
        </w:rPr>
        <w:t xml:space="preserve"> объем фактического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год (i-2) до его начала, за счет собственных средств (выручки от реализации товаров (услуг) по регулируемым ценам (тарифам)) без НДС.</w:t>
      </w:r>
    </w:p>
    <w:p w14:paraId="501E78A3" w14:textId="77777777" w:rsidR="009A4C46" w:rsidRPr="00F94FED" w:rsidRDefault="009A4C46" w:rsidP="00F94FED">
      <w:pPr>
        <w:spacing w:after="0" w:line="360" w:lineRule="auto"/>
        <w:ind w:firstLine="567"/>
        <w:jc w:val="both"/>
        <w:rPr>
          <w:rFonts w:eastAsia="Times New Roman"/>
          <w:sz w:val="26"/>
          <w:szCs w:val="26"/>
          <w:lang w:eastAsia="ru-RU"/>
        </w:rPr>
      </w:pPr>
      <w:r w:rsidRPr="00F94FED">
        <w:rPr>
          <w:rFonts w:eastAsia="Times New Roman"/>
          <w:sz w:val="26"/>
          <w:szCs w:val="26"/>
          <w:lang w:eastAsia="ru-RU"/>
        </w:rPr>
        <w:t xml:space="preserve">Величина </w:t>
      </w:r>
      <w:r w:rsidRPr="00F94FED">
        <w:rPr>
          <w:rFonts w:eastAsia="Times New Roman"/>
          <w:noProof/>
          <w:position w:val="-8"/>
          <w:sz w:val="26"/>
          <w:szCs w:val="26"/>
          <w:lang w:eastAsia="ru-RU"/>
        </w:rPr>
        <w:drawing>
          <wp:inline distT="0" distB="0" distL="0" distR="0" wp14:anchorId="701909FD" wp14:editId="0BA11C02">
            <wp:extent cx="514350" cy="238125"/>
            <wp:effectExtent l="0" t="0" r="0" b="9525"/>
            <wp:docPr id="59" name="Рисунок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514350" cy="238125"/>
                    </a:xfrm>
                    <a:prstGeom prst="rect">
                      <a:avLst/>
                    </a:prstGeom>
                    <a:noFill/>
                    <a:ln>
                      <a:noFill/>
                    </a:ln>
                  </pic:spPr>
                </pic:pic>
              </a:graphicData>
            </a:graphic>
          </wp:inline>
        </w:drawing>
      </w:r>
      <w:r w:rsidRPr="00F94FED">
        <w:rPr>
          <w:rFonts w:eastAsia="Times New Roman"/>
          <w:sz w:val="26"/>
          <w:szCs w:val="26"/>
          <w:lang w:eastAsia="ru-RU"/>
        </w:rPr>
        <w:t xml:space="preserve"> за 2017 год, использованная при расчете корректировки НВВ, составила 68 136 тыс. руб., что подтверждается данными проведенного пообъектного анализа и отчетными данными.</w:t>
      </w:r>
    </w:p>
    <w:p w14:paraId="3C06EE91" w14:textId="77777777" w:rsidR="009A4C46" w:rsidRPr="00F94FED" w:rsidRDefault="009A4C46" w:rsidP="00F94FED">
      <w:pPr>
        <w:spacing w:after="0" w:line="360" w:lineRule="auto"/>
        <w:ind w:firstLine="567"/>
        <w:jc w:val="both"/>
        <w:rPr>
          <w:rFonts w:eastAsia="Times New Roman"/>
          <w:sz w:val="26"/>
          <w:szCs w:val="26"/>
          <w:lang w:eastAsia="ru-RU"/>
        </w:rPr>
      </w:pPr>
      <w:r w:rsidRPr="00F94FED">
        <w:rPr>
          <w:rFonts w:eastAsia="Times New Roman"/>
          <w:sz w:val="26"/>
          <w:szCs w:val="26"/>
          <w:lang w:eastAsia="ru-RU"/>
        </w:rPr>
        <w:t>Факт исполнения финансирования ИПР по финансированию инвестиционных проектов за счет собственных средств (в нашем случае амортизации) подтверждается данными отчетности, опубликованными в открытой печати, статистической и бухгалтерской отчетностью.</w:t>
      </w:r>
    </w:p>
    <w:p w14:paraId="70FAF2FC" w14:textId="28DE38B3" w:rsidR="009A4C46" w:rsidRPr="00F94FED" w:rsidRDefault="009A4C46" w:rsidP="00F94FED">
      <w:pPr>
        <w:spacing w:after="0" w:line="360" w:lineRule="auto"/>
        <w:ind w:firstLine="567"/>
        <w:jc w:val="both"/>
        <w:rPr>
          <w:rFonts w:eastAsia="Times New Roman"/>
          <w:sz w:val="26"/>
          <w:szCs w:val="26"/>
          <w:lang w:eastAsia="ru-RU"/>
        </w:rPr>
      </w:pPr>
      <w:r w:rsidRPr="00F94FED">
        <w:rPr>
          <w:rFonts w:eastAsia="Times New Roman"/>
          <w:noProof/>
          <w:sz w:val="26"/>
          <w:szCs w:val="26"/>
          <w:lang w:eastAsia="ru-RU"/>
        </w:rPr>
        <w:drawing>
          <wp:inline distT="0" distB="0" distL="0" distR="0" wp14:anchorId="3EBC3E2F" wp14:editId="56AA7986">
            <wp:extent cx="453390" cy="241300"/>
            <wp:effectExtent l="0" t="0" r="3810" b="6350"/>
            <wp:docPr id="61" name="Рисунок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2"/>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453390" cy="241300"/>
                    </a:xfrm>
                    <a:prstGeom prst="rect">
                      <a:avLst/>
                    </a:prstGeom>
                    <a:noFill/>
                    <a:ln>
                      <a:noFill/>
                    </a:ln>
                  </pic:spPr>
                </pic:pic>
              </a:graphicData>
            </a:graphic>
          </wp:inline>
        </w:drawing>
      </w:r>
      <w:r w:rsidRPr="00F94FED">
        <w:rPr>
          <w:rFonts w:eastAsia="Times New Roman"/>
          <w:sz w:val="26"/>
          <w:szCs w:val="26"/>
          <w:lang w:eastAsia="ru-RU"/>
        </w:rPr>
        <w:t xml:space="preserve"> </w:t>
      </w:r>
      <w:r w:rsidR="00370BF5">
        <w:rPr>
          <w:rFonts w:eastAsia="Times New Roman"/>
          <w:sz w:val="26"/>
          <w:szCs w:val="26"/>
          <w:lang w:eastAsia="ru-RU"/>
        </w:rPr>
        <w:t>–</w:t>
      </w:r>
      <w:r w:rsidRPr="00F94FED">
        <w:rPr>
          <w:rFonts w:eastAsia="Times New Roman"/>
          <w:sz w:val="26"/>
          <w:szCs w:val="26"/>
          <w:lang w:eastAsia="ru-RU"/>
        </w:rPr>
        <w:t xml:space="preserve"> плановый размер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год (i-2) до его начала, за счет собственных средств (выручки от реализации товаров (услуг) по регулируемым ценам (тарифам)) без НДС.</w:t>
      </w:r>
    </w:p>
    <w:p w14:paraId="6648A43B" w14:textId="77777777" w:rsidR="009A4C46" w:rsidRPr="00F94FED" w:rsidRDefault="009A4C46" w:rsidP="00F94FED">
      <w:pPr>
        <w:spacing w:after="0" w:line="360" w:lineRule="auto"/>
        <w:ind w:firstLine="567"/>
        <w:jc w:val="both"/>
        <w:rPr>
          <w:rFonts w:eastAsia="Times New Roman"/>
          <w:sz w:val="26"/>
          <w:szCs w:val="26"/>
          <w:lang w:eastAsia="ru-RU"/>
        </w:rPr>
      </w:pPr>
      <w:bookmarkStart w:id="45" w:name="_Hlk41405220"/>
      <w:r w:rsidRPr="00F94FED">
        <w:rPr>
          <w:rFonts w:eastAsia="Times New Roman"/>
          <w:sz w:val="26"/>
          <w:szCs w:val="26"/>
          <w:lang w:eastAsia="ru-RU"/>
        </w:rPr>
        <w:t xml:space="preserve">Величина </w:t>
      </w:r>
      <w:r w:rsidRPr="00F94FED">
        <w:rPr>
          <w:rFonts w:eastAsia="Times New Roman"/>
          <w:noProof/>
          <w:position w:val="-8"/>
          <w:sz w:val="26"/>
          <w:szCs w:val="26"/>
          <w:lang w:eastAsia="ru-RU"/>
        </w:rPr>
        <w:drawing>
          <wp:inline distT="0" distB="0" distL="0" distR="0" wp14:anchorId="6504EB76" wp14:editId="08C9E949">
            <wp:extent cx="457200" cy="238125"/>
            <wp:effectExtent l="0" t="0" r="0" b="9525"/>
            <wp:docPr id="60" name="Рисунок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457200" cy="238125"/>
                    </a:xfrm>
                    <a:prstGeom prst="rect">
                      <a:avLst/>
                    </a:prstGeom>
                    <a:noFill/>
                    <a:ln>
                      <a:noFill/>
                    </a:ln>
                  </pic:spPr>
                </pic:pic>
              </a:graphicData>
            </a:graphic>
          </wp:inline>
        </w:drawing>
      </w:r>
      <w:r w:rsidRPr="00F94FED">
        <w:rPr>
          <w:rFonts w:eastAsia="Times New Roman"/>
          <w:sz w:val="26"/>
          <w:szCs w:val="26"/>
          <w:lang w:eastAsia="ru-RU"/>
        </w:rPr>
        <w:t xml:space="preserve"> на 2017 год, использованная при расчете корректировки НВВ, составляет 70 888 тыс. руб. </w:t>
      </w:r>
    </w:p>
    <w:p w14:paraId="0BD160DA" w14:textId="7031E71E" w:rsidR="009A4C46" w:rsidRPr="00F94FED" w:rsidRDefault="009A4C46" w:rsidP="00F94FED">
      <w:pPr>
        <w:spacing w:after="0" w:line="360" w:lineRule="auto"/>
        <w:ind w:firstLine="567"/>
        <w:jc w:val="both"/>
        <w:rPr>
          <w:rFonts w:eastAsia="Times New Roman"/>
          <w:sz w:val="26"/>
          <w:szCs w:val="26"/>
          <w:lang w:eastAsia="ru-RU"/>
        </w:rPr>
      </w:pPr>
      <w:r w:rsidRPr="00F94FED">
        <w:rPr>
          <w:rFonts w:eastAsia="Times New Roman"/>
          <w:sz w:val="26"/>
          <w:szCs w:val="26"/>
          <w:lang w:eastAsia="ru-RU"/>
        </w:rPr>
        <w:t>Данное значение соответствует размеру амортизации, учтенному в составе показателей финансирования ИПР АО «Тываэнерго» на 2017 год, утвержденной приказом Минэнерго России от 27.10.2017 № 6@.</w:t>
      </w:r>
    </w:p>
    <w:p w14:paraId="7A7D3082" w14:textId="77777777" w:rsidR="009A4C46" w:rsidRPr="00F94FED" w:rsidRDefault="009A4C46" w:rsidP="00F94FED">
      <w:pPr>
        <w:spacing w:after="0" w:line="360" w:lineRule="auto"/>
        <w:ind w:firstLine="567"/>
        <w:jc w:val="both"/>
        <w:rPr>
          <w:rFonts w:eastAsia="Times New Roman"/>
          <w:sz w:val="26"/>
          <w:szCs w:val="26"/>
          <w:lang w:eastAsia="ru-RU"/>
        </w:rPr>
      </w:pPr>
      <w:r w:rsidRPr="00F94FED">
        <w:rPr>
          <w:rFonts w:eastAsia="Times New Roman"/>
          <w:sz w:val="26"/>
          <w:szCs w:val="26"/>
          <w:lang w:eastAsia="ru-RU"/>
        </w:rPr>
        <w:t xml:space="preserve">Величина суммы корректировки НВВ АО «Тываэнерго» на 2019 год по факту неисполнения ИПР за 2017 год по расчету Исполнителя составила </w:t>
      </w:r>
      <w:r w:rsidRPr="00F94FED">
        <w:rPr>
          <w:rFonts w:eastAsia="Times New Roman"/>
          <w:sz w:val="26"/>
          <w:szCs w:val="26"/>
          <w:lang w:eastAsia="ru-RU"/>
        </w:rPr>
        <w:br/>
        <w:t xml:space="preserve">(-3 058 тыс. </w:t>
      </w:r>
      <w:proofErr w:type="spellStart"/>
      <w:r w:rsidRPr="00F94FED">
        <w:rPr>
          <w:rFonts w:eastAsia="Times New Roman"/>
          <w:sz w:val="26"/>
          <w:szCs w:val="26"/>
          <w:lang w:eastAsia="ru-RU"/>
        </w:rPr>
        <w:t>руб</w:t>
      </w:r>
      <w:proofErr w:type="spellEnd"/>
      <w:r w:rsidRPr="00F94FED">
        <w:rPr>
          <w:rFonts w:eastAsia="Times New Roman"/>
          <w:sz w:val="26"/>
          <w:szCs w:val="26"/>
          <w:lang w:eastAsia="ru-RU"/>
        </w:rPr>
        <w:t>).</w:t>
      </w:r>
    </w:p>
    <w:p w14:paraId="2FBAD69A" w14:textId="51AEF216" w:rsidR="009A4C46" w:rsidRPr="00F94FED" w:rsidRDefault="009A4C46" w:rsidP="00F94FED">
      <w:pPr>
        <w:spacing w:after="0" w:line="360" w:lineRule="auto"/>
        <w:ind w:firstLine="567"/>
        <w:jc w:val="both"/>
        <w:rPr>
          <w:rFonts w:eastAsia="Times New Roman"/>
          <w:sz w:val="26"/>
          <w:szCs w:val="26"/>
          <w:lang w:eastAsia="ru-RU"/>
        </w:rPr>
      </w:pPr>
      <w:r w:rsidRPr="00F94FED">
        <w:rPr>
          <w:rFonts w:eastAsia="Times New Roman"/>
          <w:sz w:val="26"/>
          <w:szCs w:val="26"/>
          <w:lang w:eastAsia="ru-RU"/>
        </w:rPr>
        <w:t xml:space="preserve">Отклонений по расчету суммы корректировки НВВ на 2019 год долгосрочного периода регулирования, осуществляемой в связи с изменением (неисполнением) инвестиционной программы за 2017 год, между расчетами, проведенными </w:t>
      </w:r>
      <w:r w:rsidR="0065708A">
        <w:rPr>
          <w:rFonts w:eastAsia="Times New Roman"/>
          <w:sz w:val="26"/>
          <w:szCs w:val="26"/>
          <w:lang w:eastAsia="ru-RU"/>
        </w:rPr>
        <w:br/>
      </w:r>
      <w:r w:rsidRPr="00F94FED">
        <w:rPr>
          <w:rFonts w:eastAsia="Times New Roman"/>
          <w:sz w:val="26"/>
          <w:szCs w:val="26"/>
          <w:lang w:eastAsia="ru-RU"/>
        </w:rPr>
        <w:lastRenderedPageBreak/>
        <w:t>АО «Тываэнерго», Службой по тарифам Республики Тыва и Исполнителем не выявлено.</w:t>
      </w:r>
    </w:p>
    <w:p w14:paraId="2DC790A9" w14:textId="77777777" w:rsidR="009A4C46" w:rsidRPr="00F94FED" w:rsidRDefault="009A4C46" w:rsidP="00F94FED">
      <w:pPr>
        <w:spacing w:after="0" w:line="360" w:lineRule="auto"/>
        <w:ind w:firstLine="567"/>
        <w:jc w:val="both"/>
        <w:rPr>
          <w:rFonts w:eastAsia="Times New Roman"/>
          <w:sz w:val="26"/>
          <w:szCs w:val="26"/>
          <w:lang w:eastAsia="ru-RU"/>
        </w:rPr>
      </w:pPr>
      <w:r w:rsidRPr="00F94FED">
        <w:rPr>
          <w:rFonts w:eastAsia="Times New Roman"/>
          <w:sz w:val="26"/>
          <w:szCs w:val="26"/>
          <w:lang w:eastAsia="ru-RU"/>
        </w:rPr>
        <w:t>Таким образом, сумма корректировки (снижения) НВВ по данному параметру является обоснованной в размере (-3 058) тыс. руб.</w:t>
      </w:r>
    </w:p>
    <w:bookmarkEnd w:id="45"/>
    <w:p w14:paraId="5C057E82" w14:textId="77777777" w:rsidR="009A4C46" w:rsidRPr="00F94FED" w:rsidRDefault="009A4C46" w:rsidP="00F94FED">
      <w:pPr>
        <w:spacing w:after="0" w:line="360" w:lineRule="auto"/>
        <w:ind w:firstLine="567"/>
        <w:jc w:val="both"/>
        <w:rPr>
          <w:rFonts w:eastAsia="Times New Roman"/>
          <w:sz w:val="26"/>
          <w:szCs w:val="26"/>
          <w:lang w:eastAsia="ru-RU"/>
        </w:rPr>
      </w:pPr>
      <w:r w:rsidRPr="00F94FED">
        <w:rPr>
          <w:rFonts w:eastAsia="Times New Roman"/>
          <w:sz w:val="26"/>
          <w:szCs w:val="26"/>
          <w:lang w:eastAsia="ru-RU"/>
        </w:rPr>
        <w:br w:type="page"/>
      </w:r>
    </w:p>
    <w:p w14:paraId="59D31645" w14:textId="77777777" w:rsidR="009A4C46" w:rsidRPr="00F94FED" w:rsidRDefault="009A4C46" w:rsidP="00CB5AA8">
      <w:pPr>
        <w:pStyle w:val="3"/>
        <w:numPr>
          <w:ilvl w:val="1"/>
          <w:numId w:val="1"/>
        </w:numPr>
        <w:spacing w:line="360" w:lineRule="auto"/>
        <w:ind w:left="567" w:hanging="567"/>
        <w:jc w:val="both"/>
        <w:rPr>
          <w:b/>
          <w:color w:val="4F6228" w:themeColor="accent3" w:themeShade="80"/>
          <w:sz w:val="28"/>
          <w:szCs w:val="28"/>
        </w:rPr>
      </w:pPr>
      <w:bookmarkStart w:id="46" w:name="_Toc40554854"/>
      <w:bookmarkStart w:id="47" w:name="_Toc40733189"/>
      <w:r w:rsidRPr="00F94FED">
        <w:rPr>
          <w:rFonts w:ascii="Myriad Pro" w:hAnsi="Myriad Pro"/>
          <w:b/>
          <w:color w:val="4F6228" w:themeColor="accent3" w:themeShade="80"/>
          <w:sz w:val="28"/>
          <w:szCs w:val="28"/>
        </w:rPr>
        <w:lastRenderedPageBreak/>
        <w:t xml:space="preserve">Экспертиза обоснованности </w:t>
      </w:r>
      <w:bookmarkStart w:id="48" w:name="_Hlk41405239"/>
      <w:r w:rsidRPr="00F94FED">
        <w:rPr>
          <w:rFonts w:ascii="Myriad Pro" w:hAnsi="Myriad Pro"/>
          <w:b/>
          <w:color w:val="4F6228" w:themeColor="accent3" w:themeShade="80"/>
          <w:sz w:val="28"/>
          <w:szCs w:val="28"/>
        </w:rPr>
        <w:t>корректировки необходимой валовой выручки с учетом надежности и качества оказываемых услуг</w:t>
      </w:r>
      <w:bookmarkEnd w:id="46"/>
      <w:bookmarkEnd w:id="47"/>
      <w:bookmarkEnd w:id="48"/>
    </w:p>
    <w:p w14:paraId="2CA4E138" w14:textId="77777777" w:rsidR="009A4C46" w:rsidRPr="00F94FED" w:rsidRDefault="009A4C46" w:rsidP="00F94FED">
      <w:pPr>
        <w:widowControl w:val="0"/>
        <w:tabs>
          <w:tab w:val="left" w:pos="0"/>
        </w:tabs>
        <w:autoSpaceDE w:val="0"/>
        <w:autoSpaceDN w:val="0"/>
        <w:adjustRightInd w:val="0"/>
        <w:spacing w:after="0" w:line="360" w:lineRule="auto"/>
        <w:ind w:firstLine="567"/>
        <w:jc w:val="both"/>
        <w:rPr>
          <w:rFonts w:eastAsia="Times New Roman"/>
          <w:sz w:val="26"/>
          <w:szCs w:val="26"/>
          <w:lang w:eastAsia="ru-RU"/>
        </w:rPr>
      </w:pPr>
      <w:r w:rsidRPr="00F94FED">
        <w:rPr>
          <w:rFonts w:eastAsia="Times New Roman"/>
          <w:sz w:val="26"/>
          <w:szCs w:val="26"/>
          <w:lang w:eastAsia="ru-RU"/>
        </w:rPr>
        <w:t>Размер корректировки определяется по формуле:</w:t>
      </w:r>
    </w:p>
    <w:p w14:paraId="3FFB66F6" w14:textId="457C5DAA" w:rsidR="009A4C46" w:rsidRPr="00F94FED" w:rsidRDefault="009A4C46" w:rsidP="00F94FED">
      <w:pPr>
        <w:widowControl w:val="0"/>
        <w:tabs>
          <w:tab w:val="left" w:pos="0"/>
        </w:tabs>
        <w:autoSpaceDE w:val="0"/>
        <w:autoSpaceDN w:val="0"/>
        <w:adjustRightInd w:val="0"/>
        <w:spacing w:after="0" w:line="360" w:lineRule="auto"/>
        <w:ind w:firstLine="567"/>
        <w:jc w:val="center"/>
        <w:rPr>
          <w:rFonts w:eastAsia="Times New Roman"/>
          <w:sz w:val="26"/>
          <w:szCs w:val="26"/>
          <w:lang w:eastAsia="ru-RU"/>
        </w:rPr>
      </w:pPr>
      <w:r w:rsidRPr="00F94FED">
        <w:rPr>
          <w:rFonts w:eastAsia="Times New Roman"/>
          <w:sz w:val="26"/>
          <w:szCs w:val="26"/>
          <w:lang w:eastAsia="ru-RU"/>
        </w:rPr>
        <w:object w:dxaOrig="2360" w:dyaOrig="340" w14:anchorId="7C72E9B3">
          <v:shape id="_x0000_i1027" type="#_x0000_t75" style="width:229.5pt;height:28.5pt" o:ole="">
            <v:imagedata r:id="rId46" o:title=""/>
          </v:shape>
          <o:OLEObject Type="Embed" ProgID="Equation.3" ShapeID="_x0000_i1027" DrawAspect="Content" ObjectID="_1660036322" r:id="rId47"/>
        </w:object>
      </w:r>
      <w:r w:rsidR="00767AB3">
        <w:rPr>
          <w:rFonts w:eastAsia="Times New Roman"/>
          <w:sz w:val="26"/>
          <w:szCs w:val="26"/>
          <w:lang w:eastAsia="ru-RU"/>
        </w:rPr>
        <w:t xml:space="preserve">, </w:t>
      </w:r>
      <w:r w:rsidRPr="00F94FED">
        <w:rPr>
          <w:rFonts w:eastAsia="Times New Roman"/>
          <w:sz w:val="26"/>
          <w:szCs w:val="26"/>
          <w:lang w:eastAsia="ru-RU"/>
        </w:rPr>
        <w:t>где:</w:t>
      </w:r>
    </w:p>
    <w:p w14:paraId="2AA9C5BB" w14:textId="77777777" w:rsidR="009A4C46" w:rsidRPr="00F94FED" w:rsidRDefault="009A4C46" w:rsidP="00F94FED">
      <w:pPr>
        <w:widowControl w:val="0"/>
        <w:tabs>
          <w:tab w:val="left" w:pos="0"/>
        </w:tabs>
        <w:autoSpaceDE w:val="0"/>
        <w:autoSpaceDN w:val="0"/>
        <w:adjustRightInd w:val="0"/>
        <w:spacing w:after="0" w:line="360" w:lineRule="auto"/>
        <w:ind w:firstLine="567"/>
        <w:jc w:val="both"/>
        <w:rPr>
          <w:rFonts w:eastAsia="Times New Roman"/>
          <w:sz w:val="26"/>
          <w:szCs w:val="26"/>
          <w:lang w:eastAsia="ru-RU"/>
        </w:rPr>
      </w:pPr>
      <w:r w:rsidRPr="00F94FED">
        <w:rPr>
          <w:rFonts w:eastAsia="Times New Roman"/>
          <w:noProof/>
          <w:sz w:val="26"/>
          <w:szCs w:val="26"/>
          <w:lang w:eastAsia="ru-RU"/>
        </w:rPr>
        <w:drawing>
          <wp:inline distT="0" distB="0" distL="0" distR="0" wp14:anchorId="450739B6" wp14:editId="413DCAB1">
            <wp:extent cx="405517" cy="230364"/>
            <wp:effectExtent l="0" t="0" r="0" b="0"/>
            <wp:docPr id="50"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405765" cy="230505"/>
                    </a:xfrm>
                    <a:prstGeom prst="rect">
                      <a:avLst/>
                    </a:prstGeom>
                    <a:noFill/>
                    <a:ln w="9525">
                      <a:noFill/>
                      <a:miter lim="800000"/>
                      <a:headEnd/>
                      <a:tailEnd/>
                    </a:ln>
                  </pic:spPr>
                </pic:pic>
              </a:graphicData>
            </a:graphic>
          </wp:inline>
        </w:drawing>
      </w:r>
      <w:r w:rsidRPr="00F94FED">
        <w:rPr>
          <w:rFonts w:eastAsia="Times New Roman"/>
          <w:sz w:val="26"/>
          <w:szCs w:val="26"/>
          <w:lang w:eastAsia="ru-RU"/>
        </w:rPr>
        <w:t xml:space="preserve"> - понижающий (повышающий) коэффициент, корректирующий необходимую валовую выручку сетевой организации с учетом надежности и качества производимых (реализуемых) товаров (услуг) в году i.</w:t>
      </w:r>
    </w:p>
    <w:p w14:paraId="4E137305" w14:textId="4F220EA9" w:rsidR="009A4C46" w:rsidRPr="00F94FED" w:rsidRDefault="009A4C46" w:rsidP="00F94FED">
      <w:pPr>
        <w:widowControl w:val="0"/>
        <w:tabs>
          <w:tab w:val="left" w:pos="0"/>
        </w:tabs>
        <w:autoSpaceDE w:val="0"/>
        <w:autoSpaceDN w:val="0"/>
        <w:adjustRightInd w:val="0"/>
        <w:spacing w:after="0" w:line="360" w:lineRule="auto"/>
        <w:ind w:firstLine="567"/>
        <w:jc w:val="both"/>
        <w:rPr>
          <w:rFonts w:eastAsia="Times New Roman"/>
          <w:sz w:val="26"/>
          <w:szCs w:val="26"/>
          <w:lang w:eastAsia="ru-RU"/>
        </w:rPr>
      </w:pPr>
      <w:r w:rsidRPr="00F94FED">
        <w:rPr>
          <w:rFonts w:eastAsia="Times New Roman"/>
          <w:sz w:val="26"/>
          <w:szCs w:val="26"/>
          <w:lang w:eastAsia="ru-RU"/>
        </w:rPr>
        <w:t xml:space="preserve">В соответствии с Приказом ФСТ России от </w:t>
      </w:r>
      <w:r w:rsidR="00767AB3">
        <w:rPr>
          <w:rFonts w:eastAsia="Times New Roman"/>
          <w:sz w:val="26"/>
          <w:szCs w:val="26"/>
          <w:lang w:eastAsia="ru-RU"/>
        </w:rPr>
        <w:t>16.10.2010</w:t>
      </w:r>
      <w:r w:rsidRPr="00F94FED">
        <w:rPr>
          <w:rFonts w:eastAsia="Times New Roman"/>
          <w:sz w:val="26"/>
          <w:szCs w:val="26"/>
          <w:lang w:eastAsia="ru-RU"/>
        </w:rPr>
        <w:t xml:space="preserve"> №254-э/1 «Об утверждении методических указаний по расчету и применению понижающих (повышающих) коэффициентов, позволяющих обеспечить соответствие уровня тарифов, установленных для организаций, осуществляющих регулируемую деятельность, уровню надежности и качества поставляемых товаров и оказываемых услуг» расчет понижающих (повышающих) коэффициентов производится по следующей формуле:</w:t>
      </w:r>
    </w:p>
    <w:p w14:paraId="6B54AF0D" w14:textId="6899434E" w:rsidR="009A4C46" w:rsidRPr="00F94FED" w:rsidRDefault="009A4C46" w:rsidP="00F94FED">
      <w:pPr>
        <w:widowControl w:val="0"/>
        <w:tabs>
          <w:tab w:val="left" w:pos="0"/>
        </w:tabs>
        <w:autoSpaceDE w:val="0"/>
        <w:autoSpaceDN w:val="0"/>
        <w:adjustRightInd w:val="0"/>
        <w:spacing w:after="0" w:line="360" w:lineRule="auto"/>
        <w:ind w:firstLine="567"/>
        <w:jc w:val="center"/>
        <w:rPr>
          <w:rFonts w:eastAsia="Times New Roman"/>
          <w:sz w:val="26"/>
          <w:szCs w:val="26"/>
          <w:lang w:eastAsia="ru-RU"/>
        </w:rPr>
      </w:pPr>
      <w:r w:rsidRPr="00F94FED">
        <w:rPr>
          <w:rFonts w:eastAsia="Times New Roman"/>
          <w:noProof/>
          <w:sz w:val="26"/>
          <w:szCs w:val="26"/>
          <w:lang w:eastAsia="ru-RU"/>
        </w:rPr>
        <w:drawing>
          <wp:inline distT="0" distB="0" distL="0" distR="0" wp14:anchorId="7A95BE64" wp14:editId="5DB5F737">
            <wp:extent cx="1169035" cy="238760"/>
            <wp:effectExtent l="0" t="0" r="0" b="0"/>
            <wp:docPr id="51"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1169035" cy="238760"/>
                    </a:xfrm>
                    <a:prstGeom prst="rect">
                      <a:avLst/>
                    </a:prstGeom>
                    <a:noFill/>
                    <a:ln>
                      <a:noFill/>
                    </a:ln>
                  </pic:spPr>
                </pic:pic>
              </a:graphicData>
            </a:graphic>
          </wp:inline>
        </w:drawing>
      </w:r>
      <w:r w:rsidR="00767AB3">
        <w:rPr>
          <w:rFonts w:eastAsia="Times New Roman"/>
          <w:sz w:val="26"/>
          <w:szCs w:val="26"/>
          <w:lang w:eastAsia="ru-RU"/>
        </w:rPr>
        <w:t xml:space="preserve">, </w:t>
      </w:r>
      <w:r w:rsidRPr="00F94FED">
        <w:rPr>
          <w:rFonts w:eastAsia="Times New Roman"/>
          <w:sz w:val="26"/>
          <w:szCs w:val="26"/>
          <w:lang w:eastAsia="ru-RU"/>
        </w:rPr>
        <w:t>где:</w:t>
      </w:r>
    </w:p>
    <w:p w14:paraId="2ACC858D" w14:textId="77777777" w:rsidR="009A4C46" w:rsidRPr="00F94FED" w:rsidRDefault="009A4C46" w:rsidP="00F94FED">
      <w:pPr>
        <w:widowControl w:val="0"/>
        <w:tabs>
          <w:tab w:val="left" w:pos="0"/>
        </w:tabs>
        <w:autoSpaceDE w:val="0"/>
        <w:autoSpaceDN w:val="0"/>
        <w:adjustRightInd w:val="0"/>
        <w:spacing w:after="0" w:line="360" w:lineRule="auto"/>
        <w:ind w:firstLine="567"/>
        <w:jc w:val="both"/>
        <w:rPr>
          <w:rFonts w:eastAsia="Times New Roman"/>
          <w:sz w:val="26"/>
          <w:szCs w:val="26"/>
          <w:lang w:eastAsia="ru-RU"/>
        </w:rPr>
      </w:pPr>
      <w:r w:rsidRPr="00F94FED">
        <w:rPr>
          <w:rFonts w:eastAsia="Times New Roman"/>
          <w:noProof/>
          <w:sz w:val="26"/>
          <w:szCs w:val="26"/>
          <w:lang w:eastAsia="ru-RU"/>
        </w:rPr>
        <w:drawing>
          <wp:inline distT="0" distB="0" distL="0" distR="0" wp14:anchorId="28D9E09C" wp14:editId="498A7C2A">
            <wp:extent cx="270510" cy="238760"/>
            <wp:effectExtent l="0" t="0" r="0" b="0"/>
            <wp:docPr id="52"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270510" cy="238760"/>
                    </a:xfrm>
                    <a:prstGeom prst="rect">
                      <a:avLst/>
                    </a:prstGeom>
                    <a:noFill/>
                    <a:ln>
                      <a:noFill/>
                    </a:ln>
                  </pic:spPr>
                </pic:pic>
              </a:graphicData>
            </a:graphic>
          </wp:inline>
        </w:drawing>
      </w:r>
      <w:r w:rsidRPr="00F94FED">
        <w:rPr>
          <w:rFonts w:eastAsia="Times New Roman"/>
          <w:sz w:val="26"/>
          <w:szCs w:val="26"/>
          <w:lang w:eastAsia="ru-RU"/>
        </w:rPr>
        <w:t>- обобщенный показатель надежности и качества оказываемых услуг в году i, используемый при осуществлении корректировки цен (тарифов), установленных на долгосрочный период регулирования, связанной с отклонением фактических значений показателей надежности и качества оказываемых услуг от плановых, который определяется в соответствии с Методическими указаниями по расчету уровня надежности и качества поставляемых товаров и оказываемых услуг для организации по управлению единой национальной (общероссийской) электрической сетью и территориальных сетевых организаций, утвержденными Приказом Министерства энергетики Российской Федерации от 29.11.2016 №1256;</w:t>
      </w:r>
    </w:p>
    <w:p w14:paraId="032C4792" w14:textId="337C965B" w:rsidR="009A4C46" w:rsidRDefault="009A4C46" w:rsidP="00767AB3">
      <w:pPr>
        <w:widowControl w:val="0"/>
        <w:tabs>
          <w:tab w:val="left" w:pos="0"/>
        </w:tabs>
        <w:autoSpaceDE w:val="0"/>
        <w:autoSpaceDN w:val="0"/>
        <w:adjustRightInd w:val="0"/>
        <w:spacing w:after="0" w:line="360" w:lineRule="auto"/>
        <w:ind w:firstLine="567"/>
        <w:jc w:val="both"/>
        <w:rPr>
          <w:rFonts w:eastAsia="Times New Roman"/>
          <w:sz w:val="26"/>
          <w:szCs w:val="26"/>
          <w:lang w:eastAsia="ru-RU"/>
        </w:rPr>
      </w:pPr>
      <w:r w:rsidRPr="00F94FED">
        <w:rPr>
          <w:rFonts w:eastAsia="Times New Roman"/>
          <w:noProof/>
          <w:sz w:val="26"/>
          <w:szCs w:val="26"/>
          <w:lang w:eastAsia="ru-RU"/>
        </w:rPr>
        <w:drawing>
          <wp:inline distT="0" distB="0" distL="0" distR="0" wp14:anchorId="60CA39A3" wp14:editId="49120F03">
            <wp:extent cx="365760" cy="278130"/>
            <wp:effectExtent l="0" t="0" r="0" b="0"/>
            <wp:docPr id="10"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pic:cNvPicPr>
                      <a:picLocks noChangeAspect="1" noChangeArrowheads="1"/>
                    </pic:cNvPicPr>
                  </pic:nvPicPr>
                  <pic:blipFill>
                    <a:blip r:embed="rId49" cstate="print">
                      <a:extLst>
                        <a:ext uri="{28A0092B-C50C-407E-A947-70E740481C1C}">
                          <a14:useLocalDpi xmlns:a14="http://schemas.microsoft.com/office/drawing/2010/main" val="0"/>
                        </a:ext>
                      </a:extLst>
                    </a:blip>
                    <a:srcRect l="72163"/>
                    <a:stretch>
                      <a:fillRect/>
                    </a:stretch>
                  </pic:blipFill>
                  <pic:spPr bwMode="auto">
                    <a:xfrm>
                      <a:off x="0" y="0"/>
                      <a:ext cx="365760" cy="278130"/>
                    </a:xfrm>
                    <a:prstGeom prst="rect">
                      <a:avLst/>
                    </a:prstGeom>
                    <a:noFill/>
                    <a:ln>
                      <a:noFill/>
                    </a:ln>
                  </pic:spPr>
                </pic:pic>
              </a:graphicData>
            </a:graphic>
          </wp:inline>
        </w:drawing>
      </w:r>
      <w:r w:rsidRPr="00F94FED">
        <w:rPr>
          <w:rFonts w:eastAsia="Times New Roman"/>
          <w:sz w:val="26"/>
          <w:szCs w:val="26"/>
          <w:lang w:eastAsia="ru-RU"/>
        </w:rPr>
        <w:t>- максимальная возможная корректировка необходимой валовой выручки, осуществляемая с учетом достижения установленного уровня надежности и качества услуг.</w:t>
      </w:r>
    </w:p>
    <w:p w14:paraId="4DA0F26E" w14:textId="77777777" w:rsidR="00767AB3" w:rsidRPr="00F94FED" w:rsidRDefault="00767AB3" w:rsidP="00F94FED">
      <w:pPr>
        <w:widowControl w:val="0"/>
        <w:tabs>
          <w:tab w:val="left" w:pos="0"/>
        </w:tabs>
        <w:autoSpaceDE w:val="0"/>
        <w:autoSpaceDN w:val="0"/>
        <w:adjustRightInd w:val="0"/>
        <w:spacing w:after="0" w:line="360" w:lineRule="auto"/>
        <w:ind w:firstLine="567"/>
        <w:jc w:val="both"/>
        <w:rPr>
          <w:rFonts w:eastAsia="Times New Roman"/>
          <w:sz w:val="26"/>
          <w:szCs w:val="26"/>
          <w:lang w:eastAsia="ru-RU"/>
        </w:rPr>
      </w:pPr>
    </w:p>
    <w:p w14:paraId="54C25B3E" w14:textId="5AB80657" w:rsidR="009A4C46" w:rsidRPr="00F94FED" w:rsidRDefault="00195CA9" w:rsidP="00CB5AA8">
      <w:pPr>
        <w:widowControl w:val="0"/>
        <w:tabs>
          <w:tab w:val="left" w:pos="0"/>
        </w:tabs>
        <w:autoSpaceDE w:val="0"/>
        <w:autoSpaceDN w:val="0"/>
        <w:adjustRightInd w:val="0"/>
        <w:spacing w:after="0" w:line="360" w:lineRule="auto"/>
        <w:jc w:val="both"/>
        <w:rPr>
          <w:rFonts w:eastAsia="Times New Roman"/>
          <w:b/>
          <w:bCs/>
          <w:sz w:val="26"/>
          <w:szCs w:val="26"/>
          <w:lang w:eastAsia="ru-RU"/>
        </w:rPr>
      </w:pPr>
      <w:r w:rsidRPr="00F94FED">
        <w:rPr>
          <w:rFonts w:eastAsia="Times New Roman"/>
          <w:b/>
          <w:bCs/>
          <w:sz w:val="26"/>
          <w:szCs w:val="26"/>
          <w:lang w:eastAsia="ru-RU"/>
        </w:rPr>
        <w:t>ПОЗИЦИЯ ТЕРРИТОРИАЛЬНОЙ СЕТЕВОЙ ОРГАНИЗАЦИИ</w:t>
      </w:r>
    </w:p>
    <w:p w14:paraId="3F334400" w14:textId="77777777" w:rsidR="009A4C46" w:rsidRPr="00F94FED" w:rsidRDefault="009A4C46" w:rsidP="00F94FED">
      <w:pPr>
        <w:widowControl w:val="0"/>
        <w:tabs>
          <w:tab w:val="left" w:pos="0"/>
        </w:tabs>
        <w:autoSpaceDE w:val="0"/>
        <w:autoSpaceDN w:val="0"/>
        <w:adjustRightInd w:val="0"/>
        <w:spacing w:after="0" w:line="360" w:lineRule="auto"/>
        <w:ind w:firstLine="567"/>
        <w:jc w:val="both"/>
        <w:rPr>
          <w:rFonts w:eastAsia="Times New Roman"/>
          <w:sz w:val="26"/>
          <w:szCs w:val="26"/>
          <w:lang w:eastAsia="ru-RU"/>
        </w:rPr>
      </w:pPr>
      <w:r w:rsidRPr="00F94FED">
        <w:rPr>
          <w:rFonts w:eastAsia="Times New Roman"/>
          <w:sz w:val="26"/>
          <w:szCs w:val="26"/>
          <w:lang w:eastAsia="ru-RU"/>
        </w:rPr>
        <w:t>АО «Тываэнерго» представило расчет корректировки необходимой валовой выручки, осуществляемой с учетом достижения установленного уровня надежности и качества услуг.</w:t>
      </w:r>
    </w:p>
    <w:p w14:paraId="2CC482C0" w14:textId="77777777" w:rsidR="009A4C46" w:rsidRPr="00F94FED" w:rsidRDefault="009A4C46" w:rsidP="00F94FED">
      <w:pPr>
        <w:widowControl w:val="0"/>
        <w:tabs>
          <w:tab w:val="left" w:pos="0"/>
        </w:tabs>
        <w:autoSpaceDE w:val="0"/>
        <w:autoSpaceDN w:val="0"/>
        <w:adjustRightInd w:val="0"/>
        <w:spacing w:after="0" w:line="360" w:lineRule="auto"/>
        <w:ind w:firstLine="567"/>
        <w:jc w:val="both"/>
        <w:rPr>
          <w:rFonts w:eastAsia="Times New Roman"/>
          <w:sz w:val="26"/>
          <w:szCs w:val="26"/>
          <w:lang w:eastAsia="ru-RU"/>
        </w:rPr>
      </w:pPr>
      <w:r w:rsidRPr="00F94FED">
        <w:rPr>
          <w:rFonts w:eastAsia="Times New Roman"/>
          <w:sz w:val="26"/>
          <w:szCs w:val="26"/>
          <w:lang w:eastAsia="ru-RU"/>
        </w:rPr>
        <w:t xml:space="preserve">Расчет по показателям надежности и качества был направлен в Службу по тарифам Республики Тыва письмом от 29.03.2018 №1.9/1.9/1286-исх </w:t>
      </w:r>
      <w:r w:rsidRPr="00F94FED">
        <w:rPr>
          <w:rFonts w:eastAsia="Times New Roman"/>
          <w:sz w:val="26"/>
          <w:szCs w:val="26"/>
          <w:lang w:eastAsia="ru-RU"/>
        </w:rPr>
        <w:br/>
        <w:t>«О предоставлении показателей надежности и качества».</w:t>
      </w:r>
    </w:p>
    <w:p w14:paraId="09D8D5EC" w14:textId="77777777" w:rsidR="009A4C46" w:rsidRPr="00F94FED" w:rsidRDefault="009A4C46" w:rsidP="00F94FED">
      <w:pPr>
        <w:widowControl w:val="0"/>
        <w:tabs>
          <w:tab w:val="left" w:pos="0"/>
        </w:tabs>
        <w:autoSpaceDE w:val="0"/>
        <w:autoSpaceDN w:val="0"/>
        <w:adjustRightInd w:val="0"/>
        <w:spacing w:after="0" w:line="360" w:lineRule="auto"/>
        <w:ind w:firstLine="567"/>
        <w:jc w:val="both"/>
        <w:rPr>
          <w:rFonts w:eastAsia="Times New Roman"/>
          <w:sz w:val="26"/>
          <w:szCs w:val="26"/>
          <w:lang w:eastAsia="ru-RU"/>
        </w:rPr>
      </w:pPr>
      <w:r w:rsidRPr="00F94FED">
        <w:rPr>
          <w:rFonts w:eastAsia="Times New Roman"/>
          <w:sz w:val="26"/>
          <w:szCs w:val="26"/>
          <w:lang w:eastAsia="ru-RU"/>
        </w:rPr>
        <w:t>В отчете были представлены:</w:t>
      </w:r>
    </w:p>
    <w:p w14:paraId="5E936DDD" w14:textId="77777777" w:rsidR="009A4C46" w:rsidRPr="00F94FED" w:rsidRDefault="009A4C46" w:rsidP="00F94FED">
      <w:pPr>
        <w:widowControl w:val="0"/>
        <w:numPr>
          <w:ilvl w:val="0"/>
          <w:numId w:val="12"/>
        </w:numPr>
        <w:tabs>
          <w:tab w:val="left" w:pos="0"/>
        </w:tabs>
        <w:autoSpaceDE w:val="0"/>
        <w:autoSpaceDN w:val="0"/>
        <w:adjustRightInd w:val="0"/>
        <w:spacing w:after="0" w:line="360" w:lineRule="auto"/>
        <w:ind w:left="1134" w:hanging="567"/>
        <w:contextualSpacing/>
        <w:jc w:val="both"/>
        <w:rPr>
          <w:rFonts w:eastAsia="Times New Roman"/>
          <w:sz w:val="26"/>
          <w:szCs w:val="26"/>
          <w:lang w:eastAsia="ru-RU"/>
        </w:rPr>
      </w:pPr>
      <w:r w:rsidRPr="00F94FED">
        <w:rPr>
          <w:rFonts w:eastAsia="Times New Roman"/>
          <w:sz w:val="26"/>
          <w:szCs w:val="26"/>
          <w:lang w:eastAsia="ru-RU"/>
        </w:rPr>
        <w:t>Пояснительная записка</w:t>
      </w:r>
    </w:p>
    <w:p w14:paraId="58EA9ACA" w14:textId="77777777" w:rsidR="009A4C46" w:rsidRPr="00F94FED" w:rsidRDefault="009A4C46" w:rsidP="00F94FED">
      <w:pPr>
        <w:widowControl w:val="0"/>
        <w:numPr>
          <w:ilvl w:val="0"/>
          <w:numId w:val="12"/>
        </w:numPr>
        <w:tabs>
          <w:tab w:val="left" w:pos="0"/>
        </w:tabs>
        <w:autoSpaceDE w:val="0"/>
        <w:autoSpaceDN w:val="0"/>
        <w:adjustRightInd w:val="0"/>
        <w:spacing w:after="0" w:line="360" w:lineRule="auto"/>
        <w:ind w:left="1134" w:hanging="567"/>
        <w:contextualSpacing/>
        <w:jc w:val="both"/>
        <w:rPr>
          <w:rFonts w:eastAsia="Times New Roman"/>
          <w:sz w:val="26"/>
          <w:szCs w:val="26"/>
          <w:lang w:eastAsia="ru-RU"/>
        </w:rPr>
      </w:pPr>
      <w:r w:rsidRPr="00F94FED">
        <w:rPr>
          <w:rFonts w:eastAsia="Times New Roman"/>
          <w:sz w:val="26"/>
          <w:szCs w:val="26"/>
          <w:lang w:eastAsia="ru-RU"/>
        </w:rPr>
        <w:t xml:space="preserve">Копия утвержденной Службой по тарифам Республики Тыва сметы расходов на передачу электрической энергии на 2017 год </w:t>
      </w:r>
      <w:r w:rsidRPr="00F94FED">
        <w:rPr>
          <w:rFonts w:eastAsia="Times New Roman"/>
          <w:sz w:val="26"/>
          <w:szCs w:val="26"/>
          <w:lang w:eastAsia="ru-RU"/>
        </w:rPr>
        <w:br/>
        <w:t>АО «Тываэнерго».</w:t>
      </w:r>
    </w:p>
    <w:p w14:paraId="3B41199D" w14:textId="60D80CDF" w:rsidR="009A4C46" w:rsidRPr="00F94FED" w:rsidRDefault="009A4C46" w:rsidP="00F94FED">
      <w:pPr>
        <w:widowControl w:val="0"/>
        <w:numPr>
          <w:ilvl w:val="0"/>
          <w:numId w:val="12"/>
        </w:numPr>
        <w:tabs>
          <w:tab w:val="left" w:pos="0"/>
        </w:tabs>
        <w:autoSpaceDE w:val="0"/>
        <w:autoSpaceDN w:val="0"/>
        <w:adjustRightInd w:val="0"/>
        <w:spacing w:after="0" w:line="360" w:lineRule="auto"/>
        <w:ind w:left="1134" w:hanging="567"/>
        <w:contextualSpacing/>
        <w:jc w:val="both"/>
        <w:rPr>
          <w:rFonts w:eastAsia="Times New Roman"/>
          <w:sz w:val="26"/>
          <w:szCs w:val="26"/>
          <w:lang w:eastAsia="ru-RU"/>
        </w:rPr>
      </w:pPr>
      <w:r w:rsidRPr="00F94FED">
        <w:rPr>
          <w:rFonts w:eastAsia="Times New Roman"/>
          <w:sz w:val="26"/>
          <w:szCs w:val="26"/>
          <w:lang w:eastAsia="ru-RU"/>
        </w:rPr>
        <w:t>Копия Приложения к распоряжению от 29.01.2018 №1.9/40-р Постановление от 30.03.2012 №14 (в ред. от 29.12.2017 №67 «О долгосрочных параметрах регулирования для АО «Тываэнерго», в отношении которого тарифы на услуги по передаче электрической энергии устанавливаются на основе метода долгосрочной индексации необходимой валовой выручки».</w:t>
      </w:r>
    </w:p>
    <w:p w14:paraId="4B807AE5" w14:textId="77777777" w:rsidR="009A4C46" w:rsidRPr="00F94FED" w:rsidRDefault="009A4C46" w:rsidP="00F94FED">
      <w:pPr>
        <w:widowControl w:val="0"/>
        <w:numPr>
          <w:ilvl w:val="0"/>
          <w:numId w:val="12"/>
        </w:numPr>
        <w:tabs>
          <w:tab w:val="left" w:pos="0"/>
        </w:tabs>
        <w:autoSpaceDE w:val="0"/>
        <w:autoSpaceDN w:val="0"/>
        <w:adjustRightInd w:val="0"/>
        <w:spacing w:after="0" w:line="360" w:lineRule="auto"/>
        <w:ind w:left="1134" w:hanging="567"/>
        <w:contextualSpacing/>
        <w:jc w:val="both"/>
        <w:rPr>
          <w:rFonts w:eastAsia="Times New Roman"/>
          <w:sz w:val="26"/>
          <w:szCs w:val="26"/>
          <w:lang w:eastAsia="ru-RU"/>
        </w:rPr>
      </w:pPr>
      <w:r w:rsidRPr="00F94FED">
        <w:rPr>
          <w:rFonts w:eastAsia="Times New Roman"/>
          <w:sz w:val="26"/>
          <w:szCs w:val="26"/>
          <w:lang w:eastAsia="ru-RU"/>
        </w:rPr>
        <w:t>Сведения о прекращении передачи электрической энергии для потребителей услуг АО «Тываэнерго» за 2017 год (форма 1.1 Журнала учета текущей информации о прекращении передачи электрической энергии для потребителей услуг электросетевой организации Методических указаний, утвержденная приказом Минэнерго России от 29 ноября 2016 г. N 1256).</w:t>
      </w:r>
    </w:p>
    <w:p w14:paraId="1AF77B62" w14:textId="77777777" w:rsidR="009A4C46" w:rsidRPr="00F94FED" w:rsidRDefault="009A4C46" w:rsidP="00F94FED">
      <w:pPr>
        <w:widowControl w:val="0"/>
        <w:numPr>
          <w:ilvl w:val="0"/>
          <w:numId w:val="12"/>
        </w:numPr>
        <w:tabs>
          <w:tab w:val="left" w:pos="0"/>
        </w:tabs>
        <w:autoSpaceDE w:val="0"/>
        <w:autoSpaceDN w:val="0"/>
        <w:adjustRightInd w:val="0"/>
        <w:spacing w:after="0" w:line="360" w:lineRule="auto"/>
        <w:ind w:left="1134" w:hanging="567"/>
        <w:contextualSpacing/>
        <w:jc w:val="both"/>
        <w:rPr>
          <w:rFonts w:eastAsia="Times New Roman"/>
          <w:sz w:val="26"/>
          <w:szCs w:val="26"/>
          <w:lang w:eastAsia="ru-RU"/>
        </w:rPr>
      </w:pPr>
      <w:r w:rsidRPr="00F94FED">
        <w:rPr>
          <w:rFonts w:eastAsia="Times New Roman"/>
          <w:sz w:val="26"/>
          <w:szCs w:val="26"/>
          <w:lang w:eastAsia="ru-RU"/>
        </w:rPr>
        <w:t>Расчет показателя средней продолжительности прекращений передачи электрической энергии АО «Тываэнерго» за 2017 год (форма 1.2 Методических указаний №1256).</w:t>
      </w:r>
    </w:p>
    <w:p w14:paraId="2345306D" w14:textId="77777777" w:rsidR="009A4C46" w:rsidRPr="00F94FED" w:rsidRDefault="009A4C46" w:rsidP="00F94FED">
      <w:pPr>
        <w:widowControl w:val="0"/>
        <w:numPr>
          <w:ilvl w:val="0"/>
          <w:numId w:val="12"/>
        </w:numPr>
        <w:tabs>
          <w:tab w:val="left" w:pos="0"/>
        </w:tabs>
        <w:autoSpaceDE w:val="0"/>
        <w:autoSpaceDN w:val="0"/>
        <w:adjustRightInd w:val="0"/>
        <w:spacing w:after="0" w:line="360" w:lineRule="auto"/>
        <w:ind w:left="1134" w:hanging="567"/>
        <w:contextualSpacing/>
        <w:jc w:val="both"/>
        <w:rPr>
          <w:rFonts w:eastAsia="Times New Roman"/>
          <w:sz w:val="26"/>
          <w:szCs w:val="26"/>
          <w:lang w:eastAsia="ru-RU"/>
        </w:rPr>
      </w:pPr>
      <w:r w:rsidRPr="00F94FED">
        <w:rPr>
          <w:rFonts w:eastAsia="Times New Roman"/>
          <w:sz w:val="26"/>
          <w:szCs w:val="26"/>
          <w:lang w:eastAsia="ru-RU"/>
        </w:rPr>
        <w:t>Данные об экономических и технических характеристиках и (или) условиях деятельности АО «Тываэнерго» за 2017 год (форма 1.9 Методических указаний №1256).</w:t>
      </w:r>
    </w:p>
    <w:p w14:paraId="305F8690" w14:textId="77777777" w:rsidR="009A4C46" w:rsidRPr="00F94FED" w:rsidRDefault="009A4C46" w:rsidP="00F94FED">
      <w:pPr>
        <w:widowControl w:val="0"/>
        <w:numPr>
          <w:ilvl w:val="0"/>
          <w:numId w:val="12"/>
        </w:numPr>
        <w:tabs>
          <w:tab w:val="left" w:pos="0"/>
        </w:tabs>
        <w:autoSpaceDE w:val="0"/>
        <w:autoSpaceDN w:val="0"/>
        <w:adjustRightInd w:val="0"/>
        <w:spacing w:after="0" w:line="360" w:lineRule="auto"/>
        <w:ind w:left="1134" w:hanging="567"/>
        <w:contextualSpacing/>
        <w:jc w:val="both"/>
        <w:rPr>
          <w:rFonts w:eastAsia="Times New Roman"/>
          <w:bCs/>
          <w:sz w:val="26"/>
          <w:szCs w:val="26"/>
          <w:lang w:eastAsia="ru-RU"/>
        </w:rPr>
      </w:pPr>
      <w:r w:rsidRPr="00F94FED">
        <w:rPr>
          <w:rFonts w:eastAsia="Times New Roman"/>
          <w:bCs/>
          <w:sz w:val="26"/>
          <w:szCs w:val="26"/>
          <w:lang w:eastAsia="ru-RU"/>
        </w:rPr>
        <w:lastRenderedPageBreak/>
        <w:t xml:space="preserve">Расчет значения индикатора информативности АО «Тываэнерго» (форма 6.1 </w:t>
      </w:r>
      <w:r w:rsidRPr="00F94FED">
        <w:rPr>
          <w:rFonts w:eastAsia="Times New Roman"/>
          <w:sz w:val="26"/>
          <w:szCs w:val="26"/>
          <w:lang w:eastAsia="ru-RU"/>
        </w:rPr>
        <w:t>Методических указаний №1256).</w:t>
      </w:r>
    </w:p>
    <w:p w14:paraId="5BBA084B" w14:textId="77777777" w:rsidR="009A4C46" w:rsidRPr="00F94FED" w:rsidRDefault="009A4C46" w:rsidP="00F94FED">
      <w:pPr>
        <w:widowControl w:val="0"/>
        <w:numPr>
          <w:ilvl w:val="0"/>
          <w:numId w:val="12"/>
        </w:numPr>
        <w:tabs>
          <w:tab w:val="left" w:pos="0"/>
        </w:tabs>
        <w:autoSpaceDE w:val="0"/>
        <w:autoSpaceDN w:val="0"/>
        <w:adjustRightInd w:val="0"/>
        <w:spacing w:after="0" w:line="360" w:lineRule="auto"/>
        <w:ind w:left="1134" w:hanging="567"/>
        <w:contextualSpacing/>
        <w:jc w:val="both"/>
        <w:rPr>
          <w:rFonts w:eastAsia="Times New Roman"/>
          <w:sz w:val="26"/>
          <w:szCs w:val="26"/>
          <w:lang w:eastAsia="ru-RU"/>
        </w:rPr>
      </w:pPr>
      <w:r w:rsidRPr="00F94FED">
        <w:rPr>
          <w:rFonts w:eastAsia="Times New Roman"/>
          <w:sz w:val="26"/>
          <w:szCs w:val="26"/>
          <w:lang w:eastAsia="ru-RU"/>
        </w:rPr>
        <w:t>Расчет значения индикатора исполнительности АО «Тываэнерго» (форма 6.2 Методических указаний №1256).</w:t>
      </w:r>
    </w:p>
    <w:p w14:paraId="0ADD181D" w14:textId="5B72BBF9" w:rsidR="009A4C46" w:rsidRPr="00F94FED" w:rsidRDefault="009A4C46" w:rsidP="00F94FED">
      <w:pPr>
        <w:widowControl w:val="0"/>
        <w:numPr>
          <w:ilvl w:val="0"/>
          <w:numId w:val="12"/>
        </w:numPr>
        <w:tabs>
          <w:tab w:val="left" w:pos="0"/>
        </w:tabs>
        <w:autoSpaceDE w:val="0"/>
        <w:autoSpaceDN w:val="0"/>
        <w:adjustRightInd w:val="0"/>
        <w:spacing w:after="0" w:line="360" w:lineRule="auto"/>
        <w:ind w:left="1134" w:hanging="567"/>
        <w:contextualSpacing/>
        <w:jc w:val="both"/>
        <w:rPr>
          <w:rFonts w:eastAsia="Times New Roman"/>
          <w:sz w:val="26"/>
          <w:szCs w:val="26"/>
          <w:lang w:eastAsia="ru-RU"/>
        </w:rPr>
      </w:pPr>
      <w:r w:rsidRPr="00F94FED">
        <w:rPr>
          <w:rFonts w:eastAsia="Times New Roman"/>
          <w:sz w:val="26"/>
          <w:szCs w:val="26"/>
          <w:lang w:eastAsia="ru-RU"/>
        </w:rPr>
        <w:t>Расчет значения индикатора результативности обратной связи</w:t>
      </w:r>
      <w:r w:rsidR="00767AB3">
        <w:rPr>
          <w:rFonts w:eastAsia="Times New Roman"/>
          <w:sz w:val="26"/>
          <w:szCs w:val="26"/>
          <w:lang w:eastAsia="ru-RU"/>
        </w:rPr>
        <w:t xml:space="preserve"> </w:t>
      </w:r>
      <w:r w:rsidR="00767AB3">
        <w:rPr>
          <w:rFonts w:eastAsia="Times New Roman"/>
          <w:sz w:val="26"/>
          <w:szCs w:val="26"/>
          <w:lang w:eastAsia="ru-RU"/>
        </w:rPr>
        <w:br/>
      </w:r>
      <w:r w:rsidRPr="00F94FED">
        <w:rPr>
          <w:rFonts w:eastAsia="Times New Roman"/>
          <w:sz w:val="26"/>
          <w:szCs w:val="26"/>
          <w:lang w:eastAsia="ru-RU"/>
        </w:rPr>
        <w:t>АО «Тываэнерго» (форма 6.3 Методических указаний №1256).</w:t>
      </w:r>
    </w:p>
    <w:p w14:paraId="5EF2D578" w14:textId="71932780" w:rsidR="009A4C46" w:rsidRPr="00F94FED" w:rsidRDefault="009A4C46" w:rsidP="00F94FED">
      <w:pPr>
        <w:widowControl w:val="0"/>
        <w:numPr>
          <w:ilvl w:val="0"/>
          <w:numId w:val="12"/>
        </w:numPr>
        <w:tabs>
          <w:tab w:val="left" w:pos="0"/>
        </w:tabs>
        <w:autoSpaceDE w:val="0"/>
        <w:autoSpaceDN w:val="0"/>
        <w:adjustRightInd w:val="0"/>
        <w:spacing w:after="0" w:line="360" w:lineRule="auto"/>
        <w:ind w:left="1134" w:hanging="567"/>
        <w:contextualSpacing/>
        <w:jc w:val="both"/>
        <w:rPr>
          <w:rFonts w:eastAsia="Times New Roman"/>
          <w:sz w:val="26"/>
          <w:szCs w:val="26"/>
          <w:lang w:eastAsia="ru-RU"/>
        </w:rPr>
      </w:pPr>
      <w:r w:rsidRPr="00F94FED">
        <w:rPr>
          <w:rFonts w:eastAsia="Times New Roman"/>
          <w:sz w:val="26"/>
          <w:szCs w:val="26"/>
          <w:lang w:eastAsia="ru-RU"/>
        </w:rPr>
        <w:t xml:space="preserve">Показатели уровня надежности и уровня качества оказываемых услуг </w:t>
      </w:r>
      <w:r w:rsidR="00767AB3">
        <w:rPr>
          <w:rFonts w:eastAsia="Times New Roman"/>
          <w:sz w:val="26"/>
          <w:szCs w:val="26"/>
          <w:lang w:eastAsia="ru-RU"/>
        </w:rPr>
        <w:br/>
      </w:r>
      <w:r w:rsidRPr="00F94FED">
        <w:rPr>
          <w:rFonts w:eastAsia="Times New Roman"/>
          <w:sz w:val="26"/>
          <w:szCs w:val="26"/>
          <w:lang w:eastAsia="ru-RU"/>
        </w:rPr>
        <w:t>АО «Тываэнерго» (форма 7.1 Методических указаний №1256).</w:t>
      </w:r>
    </w:p>
    <w:p w14:paraId="24F43AA1" w14:textId="77777777" w:rsidR="009A4C46" w:rsidRPr="00F94FED" w:rsidRDefault="009A4C46" w:rsidP="00F94FED">
      <w:pPr>
        <w:widowControl w:val="0"/>
        <w:numPr>
          <w:ilvl w:val="0"/>
          <w:numId w:val="12"/>
        </w:numPr>
        <w:tabs>
          <w:tab w:val="left" w:pos="0"/>
        </w:tabs>
        <w:autoSpaceDE w:val="0"/>
        <w:autoSpaceDN w:val="0"/>
        <w:adjustRightInd w:val="0"/>
        <w:spacing w:after="0" w:line="360" w:lineRule="auto"/>
        <w:ind w:left="1134" w:hanging="567"/>
        <w:contextualSpacing/>
        <w:jc w:val="both"/>
        <w:rPr>
          <w:rFonts w:eastAsia="Times New Roman"/>
          <w:sz w:val="26"/>
          <w:szCs w:val="26"/>
          <w:lang w:eastAsia="ru-RU"/>
        </w:rPr>
      </w:pPr>
      <w:r w:rsidRPr="00F94FED">
        <w:rPr>
          <w:rFonts w:eastAsia="Times New Roman"/>
          <w:sz w:val="26"/>
          <w:szCs w:val="26"/>
          <w:lang w:eastAsia="ru-RU"/>
        </w:rPr>
        <w:t>Расчет обобщенного показателя уровня надежности и качества оказываемых услуг «АО Тываэнерго» (форма 7.2 Методических указаний №1256).</w:t>
      </w:r>
    </w:p>
    <w:p w14:paraId="487A0AC1" w14:textId="5BA22E0D" w:rsidR="009A4C46" w:rsidRPr="00F94FED" w:rsidRDefault="009A4C46" w:rsidP="00F94FED">
      <w:pPr>
        <w:widowControl w:val="0"/>
        <w:numPr>
          <w:ilvl w:val="0"/>
          <w:numId w:val="12"/>
        </w:numPr>
        <w:tabs>
          <w:tab w:val="left" w:pos="0"/>
        </w:tabs>
        <w:autoSpaceDE w:val="0"/>
        <w:autoSpaceDN w:val="0"/>
        <w:adjustRightInd w:val="0"/>
        <w:spacing w:after="0" w:line="360" w:lineRule="auto"/>
        <w:ind w:left="1134" w:hanging="567"/>
        <w:contextualSpacing/>
        <w:jc w:val="both"/>
        <w:rPr>
          <w:rFonts w:eastAsia="Times New Roman"/>
          <w:sz w:val="26"/>
          <w:szCs w:val="26"/>
          <w:lang w:eastAsia="ru-RU"/>
        </w:rPr>
      </w:pPr>
      <w:r w:rsidRPr="00F94FED">
        <w:rPr>
          <w:rFonts w:eastAsia="Times New Roman"/>
          <w:sz w:val="26"/>
          <w:szCs w:val="26"/>
          <w:lang w:eastAsia="ru-RU"/>
        </w:rPr>
        <w:t xml:space="preserve">Данные о факте прекращения передачи электрической энергии </w:t>
      </w:r>
      <w:r w:rsidRPr="00F94FED">
        <w:rPr>
          <w:rFonts w:eastAsia="Times New Roman"/>
          <w:sz w:val="26"/>
          <w:szCs w:val="26"/>
          <w:lang w:eastAsia="ru-RU"/>
        </w:rPr>
        <w:br/>
        <w:t>АО «Тываэнерго» за 2017 год (форма 8.1 Журнала учёта данных первичной информации по всем прекращениям передачи электрической энергии, произошедших на объектах сетевой организации за прошлый год (местное время)</w:t>
      </w:r>
      <w:r w:rsidR="00767AB3">
        <w:rPr>
          <w:rFonts w:eastAsia="Times New Roman"/>
          <w:sz w:val="26"/>
          <w:szCs w:val="26"/>
          <w:lang w:eastAsia="ru-RU"/>
        </w:rPr>
        <w:t>).</w:t>
      </w:r>
    </w:p>
    <w:p w14:paraId="0CFB66E8" w14:textId="77777777" w:rsidR="009A4C46" w:rsidRPr="00F94FED" w:rsidRDefault="009A4C46" w:rsidP="00F94FED">
      <w:pPr>
        <w:widowControl w:val="0"/>
        <w:numPr>
          <w:ilvl w:val="0"/>
          <w:numId w:val="12"/>
        </w:numPr>
        <w:tabs>
          <w:tab w:val="left" w:pos="0"/>
        </w:tabs>
        <w:autoSpaceDE w:val="0"/>
        <w:autoSpaceDN w:val="0"/>
        <w:adjustRightInd w:val="0"/>
        <w:spacing w:after="0" w:line="360" w:lineRule="auto"/>
        <w:ind w:left="1134" w:hanging="567"/>
        <w:contextualSpacing/>
        <w:jc w:val="both"/>
        <w:rPr>
          <w:rFonts w:eastAsia="Times New Roman"/>
          <w:sz w:val="26"/>
          <w:szCs w:val="26"/>
          <w:lang w:eastAsia="ru-RU"/>
        </w:rPr>
      </w:pPr>
      <w:r w:rsidRPr="00F94FED">
        <w:rPr>
          <w:rFonts w:eastAsia="Times New Roman"/>
          <w:sz w:val="26"/>
          <w:szCs w:val="26"/>
          <w:lang w:eastAsia="ru-RU"/>
        </w:rPr>
        <w:t>Расчет корректировки НВВ 2019 года по факту за 2017 год в составе обосновывающих материалов.</w:t>
      </w:r>
    </w:p>
    <w:p w14:paraId="23A78F20" w14:textId="7CC99CE6" w:rsidR="009A4C46" w:rsidRDefault="009A4C46" w:rsidP="00767AB3">
      <w:pPr>
        <w:widowControl w:val="0"/>
        <w:tabs>
          <w:tab w:val="left" w:pos="0"/>
        </w:tabs>
        <w:autoSpaceDE w:val="0"/>
        <w:autoSpaceDN w:val="0"/>
        <w:adjustRightInd w:val="0"/>
        <w:spacing w:after="0" w:line="360" w:lineRule="auto"/>
        <w:ind w:firstLine="567"/>
        <w:jc w:val="both"/>
        <w:rPr>
          <w:rFonts w:eastAsia="Times New Roman"/>
          <w:sz w:val="26"/>
          <w:szCs w:val="26"/>
          <w:lang w:eastAsia="ru-RU"/>
        </w:rPr>
      </w:pPr>
      <w:r w:rsidRPr="00F94FED">
        <w:rPr>
          <w:rFonts w:eastAsia="Times New Roman"/>
          <w:sz w:val="26"/>
          <w:szCs w:val="26"/>
          <w:lang w:eastAsia="ru-RU"/>
        </w:rPr>
        <w:t>Сумма корректировки по расчету АО «Тываэнерго» составила 15 174 тыс. руб.</w:t>
      </w:r>
    </w:p>
    <w:p w14:paraId="5D95166B" w14:textId="77777777" w:rsidR="00767AB3" w:rsidRPr="00F94FED" w:rsidRDefault="00767AB3" w:rsidP="00F94FED">
      <w:pPr>
        <w:widowControl w:val="0"/>
        <w:tabs>
          <w:tab w:val="left" w:pos="0"/>
        </w:tabs>
        <w:autoSpaceDE w:val="0"/>
        <w:autoSpaceDN w:val="0"/>
        <w:adjustRightInd w:val="0"/>
        <w:spacing w:after="0" w:line="360" w:lineRule="auto"/>
        <w:ind w:firstLine="567"/>
        <w:jc w:val="both"/>
        <w:rPr>
          <w:rFonts w:eastAsia="Times New Roman"/>
          <w:sz w:val="26"/>
          <w:szCs w:val="26"/>
          <w:lang w:eastAsia="ru-RU"/>
        </w:rPr>
      </w:pPr>
    </w:p>
    <w:p w14:paraId="6E2A84FB" w14:textId="361F1987" w:rsidR="009A4C46" w:rsidRPr="00F94FED" w:rsidRDefault="00767AB3" w:rsidP="001D2691">
      <w:pPr>
        <w:widowControl w:val="0"/>
        <w:tabs>
          <w:tab w:val="left" w:pos="0"/>
        </w:tabs>
        <w:autoSpaceDE w:val="0"/>
        <w:autoSpaceDN w:val="0"/>
        <w:adjustRightInd w:val="0"/>
        <w:spacing w:after="0" w:line="360" w:lineRule="auto"/>
        <w:jc w:val="both"/>
        <w:rPr>
          <w:rFonts w:eastAsia="Times New Roman"/>
          <w:b/>
          <w:bCs/>
          <w:sz w:val="26"/>
          <w:szCs w:val="26"/>
          <w:lang w:eastAsia="ru-RU"/>
        </w:rPr>
      </w:pPr>
      <w:r w:rsidRPr="00F94FED">
        <w:rPr>
          <w:rFonts w:eastAsia="Times New Roman"/>
          <w:b/>
          <w:bCs/>
          <w:sz w:val="26"/>
          <w:szCs w:val="26"/>
          <w:lang w:eastAsia="ru-RU"/>
        </w:rPr>
        <w:t>ПОЗИЦИЯ ОРГАНА РЕГУЛИРОВАНИЯ</w:t>
      </w:r>
    </w:p>
    <w:p w14:paraId="703C8086" w14:textId="77777777" w:rsidR="009A4C46" w:rsidRPr="00F94FED" w:rsidRDefault="009A4C46" w:rsidP="00F94FED">
      <w:pPr>
        <w:widowControl w:val="0"/>
        <w:tabs>
          <w:tab w:val="left" w:pos="0"/>
        </w:tabs>
        <w:autoSpaceDE w:val="0"/>
        <w:autoSpaceDN w:val="0"/>
        <w:adjustRightInd w:val="0"/>
        <w:spacing w:after="0" w:line="360" w:lineRule="auto"/>
        <w:ind w:firstLine="567"/>
        <w:jc w:val="both"/>
        <w:rPr>
          <w:rFonts w:eastAsia="Times New Roman"/>
          <w:sz w:val="26"/>
          <w:szCs w:val="26"/>
          <w:lang w:eastAsia="ru-RU"/>
        </w:rPr>
      </w:pPr>
      <w:r w:rsidRPr="00F94FED">
        <w:rPr>
          <w:rFonts w:eastAsia="Times New Roman"/>
          <w:sz w:val="26"/>
          <w:szCs w:val="26"/>
          <w:lang w:eastAsia="ru-RU"/>
        </w:rPr>
        <w:t>Расчет корректировки НВВ, осуществляемой по показателям уровня надежности и качества оказываемых услуг, выполнен Службой по тарифам Республики Тыва в составе экспертного заключения на 2019 год.</w:t>
      </w:r>
    </w:p>
    <w:p w14:paraId="001EB772" w14:textId="77777777" w:rsidR="00B44325" w:rsidRDefault="00B44325" w:rsidP="00F94FED">
      <w:pPr>
        <w:widowControl w:val="0"/>
        <w:tabs>
          <w:tab w:val="left" w:pos="0"/>
        </w:tabs>
        <w:autoSpaceDE w:val="0"/>
        <w:autoSpaceDN w:val="0"/>
        <w:adjustRightInd w:val="0"/>
        <w:spacing w:after="0" w:line="360" w:lineRule="auto"/>
        <w:ind w:firstLine="567"/>
        <w:jc w:val="center"/>
        <w:rPr>
          <w:rFonts w:eastAsia="Times New Roman"/>
          <w:b/>
          <w:iCs/>
          <w:sz w:val="26"/>
          <w:szCs w:val="26"/>
          <w:lang w:eastAsia="ru-RU"/>
        </w:rPr>
      </w:pPr>
      <w:r>
        <w:rPr>
          <w:rFonts w:eastAsia="Times New Roman"/>
          <w:b/>
          <w:iCs/>
          <w:sz w:val="26"/>
          <w:szCs w:val="26"/>
          <w:lang w:eastAsia="ru-RU"/>
        </w:rPr>
        <w:br w:type="page"/>
      </w:r>
    </w:p>
    <w:p w14:paraId="67A795CB" w14:textId="23549D2E" w:rsidR="009A4C46" w:rsidRPr="00F94FED" w:rsidRDefault="009A4C46" w:rsidP="00F94FED">
      <w:pPr>
        <w:widowControl w:val="0"/>
        <w:tabs>
          <w:tab w:val="left" w:pos="0"/>
        </w:tabs>
        <w:autoSpaceDE w:val="0"/>
        <w:autoSpaceDN w:val="0"/>
        <w:adjustRightInd w:val="0"/>
        <w:spacing w:after="0" w:line="360" w:lineRule="auto"/>
        <w:ind w:firstLine="567"/>
        <w:jc w:val="center"/>
        <w:rPr>
          <w:rFonts w:eastAsia="Times New Roman"/>
          <w:b/>
          <w:iCs/>
          <w:sz w:val="26"/>
          <w:szCs w:val="26"/>
          <w:lang w:eastAsia="ru-RU"/>
        </w:rPr>
      </w:pPr>
      <w:r w:rsidRPr="00F94FED">
        <w:rPr>
          <w:rFonts w:eastAsia="Times New Roman"/>
          <w:b/>
          <w:iCs/>
          <w:sz w:val="26"/>
          <w:szCs w:val="26"/>
          <w:lang w:eastAsia="ru-RU"/>
        </w:rPr>
        <w:lastRenderedPageBreak/>
        <w:t>Расчет корректировки НВВ, осуществляемой по показателям уровня надёжности и качества оказываемых услуг, выполненный Службой по тарифам Республики Тыва</w:t>
      </w:r>
    </w:p>
    <w:tbl>
      <w:tblPr>
        <w:tblOverlap w:val="never"/>
        <w:tblW w:w="5030" w:type="pct"/>
        <w:tblCellMar>
          <w:left w:w="10" w:type="dxa"/>
          <w:right w:w="10" w:type="dxa"/>
        </w:tblCellMar>
        <w:tblLook w:val="04A0" w:firstRow="1" w:lastRow="0" w:firstColumn="1" w:lastColumn="0" w:noHBand="0" w:noVBand="1"/>
      </w:tblPr>
      <w:tblGrid>
        <w:gridCol w:w="480"/>
        <w:gridCol w:w="3343"/>
        <w:gridCol w:w="1068"/>
        <w:gridCol w:w="748"/>
        <w:gridCol w:w="592"/>
        <w:gridCol w:w="748"/>
        <w:gridCol w:w="1051"/>
        <w:gridCol w:w="1371"/>
      </w:tblGrid>
      <w:tr w:rsidR="009A4C46" w:rsidRPr="00767AB3" w14:paraId="52E91475" w14:textId="77777777" w:rsidTr="00CB5AA8">
        <w:trPr>
          <w:trHeight w:val="2030"/>
          <w:tblHeader/>
        </w:trPr>
        <w:tc>
          <w:tcPr>
            <w:tcW w:w="25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32A72A7" w14:textId="77777777" w:rsidR="009A4C46" w:rsidRPr="00F94FED" w:rsidRDefault="009A4C46" w:rsidP="00F94FED">
            <w:pPr>
              <w:widowControl w:val="0"/>
              <w:spacing w:after="0" w:line="240" w:lineRule="auto"/>
              <w:jc w:val="center"/>
              <w:rPr>
                <w:rFonts w:eastAsia="Times New Roman"/>
                <w:b/>
                <w:bCs/>
                <w:color w:val="FFFFFF" w:themeColor="background1"/>
                <w:sz w:val="18"/>
                <w:szCs w:val="18"/>
                <w:lang w:eastAsia="ru-RU" w:bidi="ru-RU"/>
              </w:rPr>
            </w:pPr>
            <w:r w:rsidRPr="00F94FED">
              <w:rPr>
                <w:rFonts w:eastAsia="Times New Roman"/>
                <w:b/>
                <w:bCs/>
                <w:color w:val="FFFFFF" w:themeColor="background1"/>
                <w:sz w:val="18"/>
                <w:szCs w:val="18"/>
                <w:lang w:eastAsia="ru-RU" w:bidi="ru-RU"/>
              </w:rPr>
              <w:t>№ п/п</w:t>
            </w:r>
          </w:p>
        </w:tc>
        <w:tc>
          <w:tcPr>
            <w:tcW w:w="177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E7D2558" w14:textId="77777777" w:rsidR="009A4C46" w:rsidRPr="00F94FED" w:rsidRDefault="009A4C46" w:rsidP="00F94FED">
            <w:pPr>
              <w:widowControl w:val="0"/>
              <w:spacing w:after="0" w:line="240" w:lineRule="auto"/>
              <w:jc w:val="center"/>
              <w:rPr>
                <w:rFonts w:eastAsia="Times New Roman"/>
                <w:b/>
                <w:bCs/>
                <w:color w:val="FFFFFF" w:themeColor="background1"/>
                <w:sz w:val="18"/>
                <w:szCs w:val="18"/>
                <w:lang w:eastAsia="ru-RU" w:bidi="ru-RU"/>
              </w:rPr>
            </w:pPr>
            <w:r w:rsidRPr="00F94FED">
              <w:rPr>
                <w:rFonts w:eastAsia="Times New Roman"/>
                <w:b/>
                <w:bCs/>
                <w:color w:val="FFFFFF" w:themeColor="background1"/>
                <w:sz w:val="18"/>
                <w:szCs w:val="18"/>
                <w:lang w:eastAsia="ru-RU" w:bidi="ru-RU"/>
              </w:rPr>
              <w:t>Показатель</w:t>
            </w:r>
          </w:p>
        </w:tc>
        <w:tc>
          <w:tcPr>
            <w:tcW w:w="56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vAlign w:val="center"/>
          </w:tcPr>
          <w:p w14:paraId="120E6F0C" w14:textId="77777777" w:rsidR="009A4C46" w:rsidRPr="00F94FED" w:rsidRDefault="009A4C46" w:rsidP="00F94FED">
            <w:pPr>
              <w:widowControl w:val="0"/>
              <w:spacing w:after="0" w:line="240" w:lineRule="auto"/>
              <w:jc w:val="center"/>
              <w:rPr>
                <w:rFonts w:eastAsia="Times New Roman"/>
                <w:b/>
                <w:bCs/>
                <w:color w:val="FFFFFF" w:themeColor="background1"/>
                <w:sz w:val="18"/>
                <w:szCs w:val="18"/>
                <w:lang w:eastAsia="ru-RU" w:bidi="ru-RU"/>
              </w:rPr>
            </w:pPr>
            <w:r w:rsidRPr="00F94FED">
              <w:rPr>
                <w:rFonts w:eastAsia="Times New Roman"/>
                <w:b/>
                <w:bCs/>
                <w:color w:val="FFFFFF" w:themeColor="background1"/>
                <w:sz w:val="18"/>
                <w:szCs w:val="18"/>
                <w:lang w:eastAsia="ru-RU" w:bidi="ru-RU"/>
              </w:rPr>
              <w:t>Опубликованные регулирующим органом фактические значения за 2017 год</w:t>
            </w:r>
          </w:p>
        </w:tc>
        <w:tc>
          <w:tcPr>
            <w:tcW w:w="39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vAlign w:val="center"/>
          </w:tcPr>
          <w:p w14:paraId="4EC6DD2D" w14:textId="77777777" w:rsidR="009A4C46" w:rsidRPr="00F94FED" w:rsidRDefault="009A4C46" w:rsidP="00F94FED">
            <w:pPr>
              <w:widowControl w:val="0"/>
              <w:spacing w:after="0" w:line="240" w:lineRule="auto"/>
              <w:jc w:val="center"/>
              <w:rPr>
                <w:rFonts w:eastAsia="Times New Roman"/>
                <w:b/>
                <w:bCs/>
                <w:color w:val="FFFFFF" w:themeColor="background1"/>
                <w:sz w:val="18"/>
                <w:szCs w:val="18"/>
                <w:lang w:eastAsia="ru-RU" w:bidi="ru-RU"/>
              </w:rPr>
            </w:pPr>
            <w:r w:rsidRPr="00F94FED">
              <w:rPr>
                <w:rFonts w:eastAsia="Times New Roman"/>
                <w:b/>
                <w:bCs/>
                <w:color w:val="FFFFFF" w:themeColor="background1"/>
                <w:sz w:val="18"/>
                <w:szCs w:val="18"/>
                <w:lang w:eastAsia="ru-RU" w:bidi="ru-RU"/>
              </w:rPr>
              <w:t xml:space="preserve">Установленные плановые значения </w:t>
            </w:r>
            <w:proofErr w:type="spellStart"/>
            <w:r w:rsidRPr="00F94FED">
              <w:rPr>
                <w:rFonts w:eastAsia="Times New Roman"/>
                <w:b/>
                <w:bCs/>
                <w:color w:val="FFFFFF" w:themeColor="background1"/>
                <w:sz w:val="18"/>
                <w:szCs w:val="18"/>
                <w:lang w:eastAsia="ru-RU" w:bidi="ru-RU"/>
              </w:rPr>
              <w:t>ПНиК</w:t>
            </w:r>
            <w:proofErr w:type="spellEnd"/>
            <w:r w:rsidRPr="00F94FED">
              <w:rPr>
                <w:rFonts w:eastAsia="Times New Roman"/>
                <w:b/>
                <w:bCs/>
                <w:color w:val="FFFFFF" w:themeColor="background1"/>
                <w:sz w:val="18"/>
                <w:szCs w:val="18"/>
                <w:lang w:eastAsia="ru-RU" w:bidi="ru-RU"/>
              </w:rPr>
              <w:t xml:space="preserve"> на год</w:t>
            </w:r>
          </w:p>
        </w:tc>
        <w:tc>
          <w:tcPr>
            <w:tcW w:w="31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vAlign w:val="center"/>
          </w:tcPr>
          <w:p w14:paraId="3E1FDB91" w14:textId="77777777" w:rsidR="009A4C46" w:rsidRPr="00F94FED" w:rsidRDefault="009A4C46" w:rsidP="00F94FED">
            <w:pPr>
              <w:widowControl w:val="0"/>
              <w:spacing w:after="0" w:line="240" w:lineRule="auto"/>
              <w:jc w:val="center"/>
              <w:rPr>
                <w:rFonts w:eastAsia="Times New Roman"/>
                <w:b/>
                <w:bCs/>
                <w:color w:val="FFFFFF" w:themeColor="background1"/>
                <w:sz w:val="18"/>
                <w:szCs w:val="18"/>
                <w:lang w:eastAsia="ru-RU" w:bidi="ru-RU"/>
              </w:rPr>
            </w:pPr>
            <w:r w:rsidRPr="00F94FED">
              <w:rPr>
                <w:rFonts w:eastAsia="Times New Roman"/>
                <w:b/>
                <w:bCs/>
                <w:color w:val="FFFFFF" w:themeColor="background1"/>
                <w:sz w:val="18"/>
                <w:szCs w:val="18"/>
                <w:lang w:eastAsia="ru-RU" w:bidi="ru-RU"/>
              </w:rPr>
              <w:t xml:space="preserve">Коэффициент допустимого отклонения, </w:t>
            </w:r>
            <w:r w:rsidRPr="00F94FED">
              <w:rPr>
                <w:rFonts w:eastAsia="Times New Roman"/>
                <w:b/>
                <w:bCs/>
                <w:i/>
                <w:iCs/>
                <w:color w:val="FFFFFF" w:themeColor="background1"/>
                <w:sz w:val="18"/>
                <w:szCs w:val="18"/>
                <w:lang w:eastAsia="ru-RU" w:bidi="ru-RU"/>
              </w:rPr>
              <w:t>%</w:t>
            </w:r>
          </w:p>
        </w:tc>
        <w:tc>
          <w:tcPr>
            <w:tcW w:w="39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vAlign w:val="center"/>
          </w:tcPr>
          <w:p w14:paraId="673729CF" w14:textId="77777777" w:rsidR="009A4C46" w:rsidRPr="00F94FED" w:rsidRDefault="009A4C46" w:rsidP="00F94FED">
            <w:pPr>
              <w:widowControl w:val="0"/>
              <w:spacing w:after="0" w:line="240" w:lineRule="auto"/>
              <w:jc w:val="center"/>
              <w:rPr>
                <w:rFonts w:eastAsia="Times New Roman"/>
                <w:b/>
                <w:bCs/>
                <w:color w:val="FFFFFF" w:themeColor="background1"/>
                <w:sz w:val="18"/>
                <w:szCs w:val="18"/>
                <w:lang w:eastAsia="ru-RU" w:bidi="ru-RU"/>
              </w:rPr>
            </w:pPr>
            <w:r w:rsidRPr="00F94FED">
              <w:rPr>
                <w:rFonts w:eastAsia="Times New Roman"/>
                <w:b/>
                <w:bCs/>
                <w:color w:val="FFFFFF" w:themeColor="background1"/>
                <w:sz w:val="18"/>
                <w:szCs w:val="18"/>
                <w:lang w:eastAsia="ru-RU" w:bidi="ru-RU"/>
              </w:rPr>
              <w:t>Оценка достижения показателя за отчетный 2017 год</w:t>
            </w:r>
          </w:p>
        </w:tc>
        <w:tc>
          <w:tcPr>
            <w:tcW w:w="55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vAlign w:val="center"/>
          </w:tcPr>
          <w:p w14:paraId="4A4BC5C3" w14:textId="77777777" w:rsidR="009A4C46" w:rsidRPr="00F94FED" w:rsidRDefault="009A4C46" w:rsidP="00F94FED">
            <w:pPr>
              <w:widowControl w:val="0"/>
              <w:spacing w:after="0" w:line="240" w:lineRule="auto"/>
              <w:jc w:val="center"/>
              <w:rPr>
                <w:rFonts w:eastAsia="Times New Roman"/>
                <w:b/>
                <w:bCs/>
                <w:color w:val="FFFFFF" w:themeColor="background1"/>
                <w:sz w:val="18"/>
                <w:szCs w:val="18"/>
                <w:lang w:eastAsia="ru-RU" w:bidi="ru-RU"/>
              </w:rPr>
            </w:pPr>
            <w:r w:rsidRPr="00F94FED">
              <w:rPr>
                <w:rFonts w:eastAsia="Times New Roman"/>
                <w:b/>
                <w:bCs/>
                <w:color w:val="FFFFFF" w:themeColor="background1"/>
                <w:sz w:val="18"/>
                <w:szCs w:val="18"/>
                <w:lang w:eastAsia="ru-RU" w:bidi="ru-RU"/>
              </w:rPr>
              <w:t>Обобщенный показатель уровня надёжности и качества оказываемых услуг за 2017 год</w:t>
            </w:r>
          </w:p>
        </w:tc>
        <w:tc>
          <w:tcPr>
            <w:tcW w:w="72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vAlign w:val="center"/>
          </w:tcPr>
          <w:p w14:paraId="57EEA254" w14:textId="77777777" w:rsidR="009A4C46" w:rsidRPr="00F94FED" w:rsidRDefault="009A4C46" w:rsidP="00F94FED">
            <w:pPr>
              <w:widowControl w:val="0"/>
              <w:spacing w:after="0" w:line="240" w:lineRule="auto"/>
              <w:jc w:val="center"/>
              <w:rPr>
                <w:rFonts w:eastAsia="Times New Roman"/>
                <w:b/>
                <w:bCs/>
                <w:color w:val="FFFFFF" w:themeColor="background1"/>
                <w:sz w:val="18"/>
                <w:szCs w:val="18"/>
                <w:lang w:eastAsia="ru-RU" w:bidi="ru-RU"/>
              </w:rPr>
            </w:pPr>
            <w:r w:rsidRPr="00F94FED">
              <w:rPr>
                <w:rFonts w:eastAsia="Times New Roman"/>
                <w:b/>
                <w:bCs/>
                <w:color w:val="FFFFFF" w:themeColor="background1"/>
                <w:sz w:val="18"/>
                <w:szCs w:val="18"/>
                <w:lang w:eastAsia="ru-RU" w:bidi="ru-RU"/>
              </w:rPr>
              <w:t>Объем корректировки НВВ на содержание на</w:t>
            </w:r>
          </w:p>
          <w:p w14:paraId="78D65E35" w14:textId="77777777" w:rsidR="009A4C46" w:rsidRPr="00F94FED" w:rsidRDefault="009A4C46" w:rsidP="00F94FED">
            <w:pPr>
              <w:widowControl w:val="0"/>
              <w:spacing w:after="0" w:line="240" w:lineRule="auto"/>
              <w:jc w:val="center"/>
              <w:rPr>
                <w:rFonts w:eastAsia="Times New Roman"/>
                <w:b/>
                <w:bCs/>
                <w:color w:val="FFFFFF" w:themeColor="background1"/>
                <w:sz w:val="18"/>
                <w:szCs w:val="18"/>
                <w:lang w:eastAsia="ru-RU" w:bidi="ru-RU"/>
              </w:rPr>
            </w:pPr>
            <w:r w:rsidRPr="00F94FED">
              <w:rPr>
                <w:rFonts w:eastAsia="Times New Roman"/>
                <w:b/>
                <w:bCs/>
                <w:color w:val="FFFFFF" w:themeColor="background1"/>
                <w:sz w:val="18"/>
                <w:szCs w:val="18"/>
                <w:lang w:eastAsia="ru-RU" w:bidi="ru-RU"/>
              </w:rPr>
              <w:t xml:space="preserve">период 2019 с учетом достижения </w:t>
            </w:r>
            <w:proofErr w:type="spellStart"/>
            <w:r w:rsidRPr="00F94FED">
              <w:rPr>
                <w:rFonts w:eastAsia="Times New Roman"/>
                <w:b/>
                <w:bCs/>
                <w:color w:val="FFFFFF" w:themeColor="background1"/>
                <w:sz w:val="18"/>
                <w:szCs w:val="18"/>
                <w:lang w:eastAsia="ru-RU" w:bidi="ru-RU"/>
              </w:rPr>
              <w:t>ПНиК</w:t>
            </w:r>
            <w:proofErr w:type="spellEnd"/>
            <w:r w:rsidRPr="00F94FED">
              <w:rPr>
                <w:rFonts w:eastAsia="Times New Roman"/>
                <w:b/>
                <w:bCs/>
                <w:color w:val="FFFFFF" w:themeColor="background1"/>
                <w:sz w:val="18"/>
                <w:szCs w:val="18"/>
                <w:lang w:eastAsia="ru-RU" w:bidi="ru-RU"/>
              </w:rPr>
              <w:t xml:space="preserve"> в году</w:t>
            </w:r>
          </w:p>
        </w:tc>
      </w:tr>
      <w:tr w:rsidR="009A4C46" w:rsidRPr="00767AB3" w14:paraId="34A83396" w14:textId="77777777" w:rsidTr="00CB5AA8">
        <w:trPr>
          <w:trHeight w:val="446"/>
          <w:tblHeader/>
        </w:trPr>
        <w:tc>
          <w:tcPr>
            <w:tcW w:w="25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2C2BA6C" w14:textId="77777777" w:rsidR="009A4C46" w:rsidRPr="00F94FED" w:rsidRDefault="009A4C46">
            <w:pPr>
              <w:widowControl w:val="0"/>
              <w:spacing w:after="0" w:line="240" w:lineRule="auto"/>
              <w:jc w:val="center"/>
              <w:rPr>
                <w:rFonts w:eastAsia="Microsoft Sans Serif"/>
                <w:b/>
                <w:bCs/>
                <w:color w:val="FFFFFF" w:themeColor="background1"/>
                <w:sz w:val="18"/>
                <w:szCs w:val="18"/>
                <w:lang w:eastAsia="ru-RU" w:bidi="ru-RU"/>
              </w:rPr>
            </w:pPr>
          </w:p>
        </w:tc>
        <w:tc>
          <w:tcPr>
            <w:tcW w:w="177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376ACFC" w14:textId="77777777" w:rsidR="009A4C46" w:rsidRPr="00F94FED" w:rsidRDefault="009A4C46">
            <w:pPr>
              <w:widowControl w:val="0"/>
              <w:spacing w:after="0" w:line="240" w:lineRule="auto"/>
              <w:jc w:val="center"/>
              <w:rPr>
                <w:rFonts w:eastAsia="Microsoft Sans Serif"/>
                <w:b/>
                <w:bCs/>
                <w:color w:val="FFFFFF" w:themeColor="background1"/>
                <w:sz w:val="18"/>
                <w:szCs w:val="18"/>
                <w:lang w:eastAsia="ru-RU" w:bidi="ru-RU"/>
              </w:rPr>
            </w:pPr>
          </w:p>
        </w:tc>
        <w:tc>
          <w:tcPr>
            <w:tcW w:w="56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vAlign w:val="center"/>
          </w:tcPr>
          <w:p w14:paraId="4AD6FAAA" w14:textId="77777777" w:rsidR="009A4C46" w:rsidRPr="00F94FED" w:rsidRDefault="009A4C46">
            <w:pPr>
              <w:widowControl w:val="0"/>
              <w:spacing w:after="0" w:line="240" w:lineRule="auto"/>
              <w:jc w:val="center"/>
              <w:rPr>
                <w:rFonts w:eastAsia="Microsoft Sans Serif"/>
                <w:b/>
                <w:bCs/>
                <w:color w:val="FFFFFF" w:themeColor="background1"/>
                <w:sz w:val="18"/>
                <w:szCs w:val="18"/>
                <w:lang w:eastAsia="ru-RU" w:bidi="ru-RU"/>
              </w:rPr>
            </w:pPr>
          </w:p>
        </w:tc>
        <w:tc>
          <w:tcPr>
            <w:tcW w:w="39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45B31A9" w14:textId="77777777" w:rsidR="009A4C46" w:rsidRPr="00F94FED" w:rsidRDefault="009A4C46" w:rsidP="00F94FED">
            <w:pPr>
              <w:widowControl w:val="0"/>
              <w:spacing w:after="0" w:line="240" w:lineRule="auto"/>
              <w:jc w:val="center"/>
              <w:rPr>
                <w:rFonts w:eastAsia="Times New Roman"/>
                <w:b/>
                <w:bCs/>
                <w:color w:val="FFFFFF" w:themeColor="background1"/>
                <w:sz w:val="18"/>
                <w:szCs w:val="18"/>
                <w:lang w:eastAsia="ru-RU" w:bidi="ru-RU"/>
              </w:rPr>
            </w:pPr>
            <w:r w:rsidRPr="00F94FED">
              <w:rPr>
                <w:rFonts w:eastAsia="Times New Roman"/>
                <w:b/>
                <w:bCs/>
                <w:color w:val="FFFFFF" w:themeColor="background1"/>
                <w:sz w:val="18"/>
                <w:szCs w:val="18"/>
                <w:lang w:eastAsia="ru-RU" w:bidi="ru-RU"/>
              </w:rPr>
              <w:t>2017</w:t>
            </w:r>
          </w:p>
        </w:tc>
        <w:tc>
          <w:tcPr>
            <w:tcW w:w="31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vAlign w:val="center"/>
          </w:tcPr>
          <w:p w14:paraId="298CFB6F" w14:textId="77777777" w:rsidR="009A4C46" w:rsidRPr="00F94FED" w:rsidRDefault="009A4C46">
            <w:pPr>
              <w:widowControl w:val="0"/>
              <w:spacing w:after="0" w:line="240" w:lineRule="auto"/>
              <w:jc w:val="center"/>
              <w:rPr>
                <w:rFonts w:eastAsia="Microsoft Sans Serif"/>
                <w:b/>
                <w:bCs/>
                <w:color w:val="FFFFFF" w:themeColor="background1"/>
                <w:sz w:val="18"/>
                <w:szCs w:val="18"/>
                <w:lang w:eastAsia="ru-RU" w:bidi="ru-RU"/>
              </w:rPr>
            </w:pPr>
          </w:p>
        </w:tc>
        <w:tc>
          <w:tcPr>
            <w:tcW w:w="39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vAlign w:val="center"/>
          </w:tcPr>
          <w:p w14:paraId="20969F67" w14:textId="77777777" w:rsidR="009A4C46" w:rsidRPr="00F94FED" w:rsidRDefault="009A4C46">
            <w:pPr>
              <w:widowControl w:val="0"/>
              <w:spacing w:after="0" w:line="240" w:lineRule="auto"/>
              <w:jc w:val="center"/>
              <w:rPr>
                <w:rFonts w:eastAsia="Microsoft Sans Serif"/>
                <w:b/>
                <w:bCs/>
                <w:color w:val="FFFFFF" w:themeColor="background1"/>
                <w:sz w:val="18"/>
                <w:szCs w:val="18"/>
                <w:lang w:eastAsia="ru-RU" w:bidi="ru-RU"/>
              </w:rPr>
            </w:pPr>
          </w:p>
        </w:tc>
        <w:tc>
          <w:tcPr>
            <w:tcW w:w="55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vAlign w:val="center"/>
          </w:tcPr>
          <w:p w14:paraId="4D6DF03C" w14:textId="77777777" w:rsidR="009A4C46" w:rsidRPr="00F94FED" w:rsidRDefault="009A4C46">
            <w:pPr>
              <w:widowControl w:val="0"/>
              <w:spacing w:after="0" w:line="240" w:lineRule="auto"/>
              <w:jc w:val="center"/>
              <w:rPr>
                <w:rFonts w:eastAsia="Microsoft Sans Serif"/>
                <w:b/>
                <w:bCs/>
                <w:color w:val="FFFFFF" w:themeColor="background1"/>
                <w:sz w:val="18"/>
                <w:szCs w:val="18"/>
                <w:lang w:eastAsia="ru-RU" w:bidi="ru-RU"/>
              </w:rPr>
            </w:pPr>
          </w:p>
        </w:tc>
        <w:tc>
          <w:tcPr>
            <w:tcW w:w="72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8FA113A" w14:textId="77777777" w:rsidR="00767AB3" w:rsidRDefault="009A4C46" w:rsidP="00767AB3">
            <w:pPr>
              <w:widowControl w:val="0"/>
              <w:spacing w:after="0" w:line="240" w:lineRule="auto"/>
              <w:jc w:val="center"/>
              <w:rPr>
                <w:rFonts w:eastAsia="Times New Roman"/>
                <w:b/>
                <w:bCs/>
                <w:color w:val="FFFFFF" w:themeColor="background1"/>
                <w:sz w:val="18"/>
                <w:szCs w:val="18"/>
                <w:lang w:eastAsia="ru-RU" w:bidi="ru-RU"/>
              </w:rPr>
            </w:pPr>
            <w:r w:rsidRPr="00F94FED">
              <w:rPr>
                <w:rFonts w:eastAsia="Times New Roman"/>
                <w:b/>
                <w:bCs/>
                <w:color w:val="FFFFFF" w:themeColor="background1"/>
                <w:sz w:val="18"/>
                <w:szCs w:val="18"/>
                <w:lang w:eastAsia="ru-RU" w:bidi="ru-RU"/>
              </w:rPr>
              <w:t>2017</w:t>
            </w:r>
            <w:r w:rsidR="00767AB3">
              <w:rPr>
                <w:rFonts w:eastAsia="Times New Roman"/>
                <w:b/>
                <w:bCs/>
                <w:color w:val="FFFFFF" w:themeColor="background1"/>
                <w:sz w:val="18"/>
                <w:szCs w:val="18"/>
                <w:lang w:eastAsia="ru-RU" w:bidi="ru-RU"/>
              </w:rPr>
              <w:t xml:space="preserve"> год, </w:t>
            </w:r>
          </w:p>
          <w:p w14:paraId="0DA60205" w14:textId="22AC1943" w:rsidR="009A4C46" w:rsidRPr="00F94FED" w:rsidRDefault="009A4C46" w:rsidP="00F94FED">
            <w:pPr>
              <w:widowControl w:val="0"/>
              <w:spacing w:after="0" w:line="240" w:lineRule="auto"/>
              <w:jc w:val="center"/>
              <w:rPr>
                <w:rFonts w:eastAsia="Times New Roman"/>
                <w:b/>
                <w:bCs/>
                <w:color w:val="FFFFFF" w:themeColor="background1"/>
                <w:sz w:val="18"/>
                <w:szCs w:val="18"/>
                <w:lang w:eastAsia="ru-RU" w:bidi="ru-RU"/>
              </w:rPr>
            </w:pPr>
            <w:proofErr w:type="spellStart"/>
            <w:r w:rsidRPr="00F94FED">
              <w:rPr>
                <w:rFonts w:eastAsia="Times New Roman"/>
                <w:b/>
                <w:bCs/>
                <w:color w:val="FFFFFF" w:themeColor="background1"/>
                <w:sz w:val="18"/>
                <w:szCs w:val="18"/>
                <w:lang w:eastAsia="ru-RU" w:bidi="ru-RU"/>
              </w:rPr>
              <w:t>тыс.руб</w:t>
            </w:r>
            <w:proofErr w:type="spellEnd"/>
            <w:r w:rsidRPr="00F94FED">
              <w:rPr>
                <w:rFonts w:eastAsia="Times New Roman"/>
                <w:b/>
                <w:bCs/>
                <w:color w:val="FFFFFF" w:themeColor="background1"/>
                <w:sz w:val="18"/>
                <w:szCs w:val="18"/>
                <w:lang w:eastAsia="ru-RU" w:bidi="ru-RU"/>
              </w:rPr>
              <w:t>.</w:t>
            </w:r>
          </w:p>
        </w:tc>
      </w:tr>
      <w:tr w:rsidR="009A4C46" w:rsidRPr="00767AB3" w14:paraId="20B9123C" w14:textId="77777777" w:rsidTr="00CB5AA8">
        <w:trPr>
          <w:trHeight w:val="264"/>
          <w:tblHeader/>
        </w:trPr>
        <w:tc>
          <w:tcPr>
            <w:tcW w:w="25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3CFDD0E" w14:textId="77777777" w:rsidR="009A4C46" w:rsidRPr="00F94FED" w:rsidRDefault="009A4C46" w:rsidP="00F94FED">
            <w:pPr>
              <w:widowControl w:val="0"/>
              <w:spacing w:after="0" w:line="240" w:lineRule="auto"/>
              <w:jc w:val="center"/>
              <w:rPr>
                <w:rFonts w:eastAsia="Times New Roman"/>
                <w:b/>
                <w:bCs/>
                <w:color w:val="FFFFFF" w:themeColor="background1"/>
                <w:sz w:val="18"/>
                <w:szCs w:val="18"/>
                <w:lang w:eastAsia="ru-RU" w:bidi="ru-RU"/>
              </w:rPr>
            </w:pPr>
            <w:r w:rsidRPr="00F94FED">
              <w:rPr>
                <w:rFonts w:eastAsia="Times New Roman"/>
                <w:b/>
                <w:bCs/>
                <w:color w:val="FFFFFF" w:themeColor="background1"/>
                <w:sz w:val="18"/>
                <w:szCs w:val="18"/>
                <w:lang w:eastAsia="ru-RU" w:bidi="ru-RU"/>
              </w:rPr>
              <w:t>1</w:t>
            </w:r>
          </w:p>
        </w:tc>
        <w:tc>
          <w:tcPr>
            <w:tcW w:w="177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8603A93" w14:textId="77777777" w:rsidR="009A4C46" w:rsidRPr="00F94FED" w:rsidRDefault="009A4C46" w:rsidP="00F94FED">
            <w:pPr>
              <w:widowControl w:val="0"/>
              <w:spacing w:after="0" w:line="240" w:lineRule="auto"/>
              <w:jc w:val="center"/>
              <w:rPr>
                <w:rFonts w:eastAsia="Times New Roman"/>
                <w:b/>
                <w:bCs/>
                <w:color w:val="FFFFFF" w:themeColor="background1"/>
                <w:sz w:val="18"/>
                <w:szCs w:val="18"/>
                <w:lang w:eastAsia="ru-RU" w:bidi="ru-RU"/>
              </w:rPr>
            </w:pPr>
            <w:r w:rsidRPr="00F94FED">
              <w:rPr>
                <w:rFonts w:eastAsia="Times New Roman"/>
                <w:b/>
                <w:bCs/>
                <w:color w:val="FFFFFF" w:themeColor="background1"/>
                <w:sz w:val="18"/>
                <w:szCs w:val="18"/>
                <w:lang w:eastAsia="ru-RU" w:bidi="ru-RU"/>
              </w:rPr>
              <w:t>2</w:t>
            </w:r>
          </w:p>
        </w:tc>
        <w:tc>
          <w:tcPr>
            <w:tcW w:w="56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EB40719" w14:textId="77777777" w:rsidR="009A4C46" w:rsidRPr="00F94FED" w:rsidRDefault="009A4C46" w:rsidP="00F94FED">
            <w:pPr>
              <w:widowControl w:val="0"/>
              <w:spacing w:after="0" w:line="240" w:lineRule="auto"/>
              <w:jc w:val="center"/>
              <w:rPr>
                <w:rFonts w:eastAsia="Times New Roman"/>
                <w:b/>
                <w:bCs/>
                <w:color w:val="FFFFFF" w:themeColor="background1"/>
                <w:sz w:val="18"/>
                <w:szCs w:val="18"/>
                <w:lang w:eastAsia="ru-RU" w:bidi="ru-RU"/>
              </w:rPr>
            </w:pPr>
            <w:r w:rsidRPr="00F94FED">
              <w:rPr>
                <w:rFonts w:eastAsia="Times New Roman"/>
                <w:b/>
                <w:bCs/>
                <w:color w:val="FFFFFF" w:themeColor="background1"/>
                <w:sz w:val="18"/>
                <w:szCs w:val="18"/>
                <w:lang w:eastAsia="ru-RU" w:bidi="ru-RU"/>
              </w:rPr>
              <w:t>3</w:t>
            </w:r>
          </w:p>
        </w:tc>
        <w:tc>
          <w:tcPr>
            <w:tcW w:w="39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B8120EC" w14:textId="77777777" w:rsidR="009A4C46" w:rsidRPr="00F94FED" w:rsidRDefault="009A4C46" w:rsidP="00F94FED">
            <w:pPr>
              <w:widowControl w:val="0"/>
              <w:spacing w:after="0" w:line="240" w:lineRule="auto"/>
              <w:jc w:val="center"/>
              <w:rPr>
                <w:rFonts w:eastAsia="Times New Roman"/>
                <w:b/>
                <w:bCs/>
                <w:color w:val="FFFFFF" w:themeColor="background1"/>
                <w:sz w:val="18"/>
                <w:szCs w:val="18"/>
                <w:lang w:eastAsia="ru-RU" w:bidi="ru-RU"/>
              </w:rPr>
            </w:pPr>
            <w:r w:rsidRPr="00F94FED">
              <w:rPr>
                <w:rFonts w:eastAsia="Times New Roman"/>
                <w:b/>
                <w:bCs/>
                <w:color w:val="FFFFFF" w:themeColor="background1"/>
                <w:sz w:val="18"/>
                <w:szCs w:val="18"/>
                <w:lang w:eastAsia="ru-RU" w:bidi="ru-RU"/>
              </w:rPr>
              <w:t>4</w:t>
            </w:r>
          </w:p>
        </w:tc>
        <w:tc>
          <w:tcPr>
            <w:tcW w:w="31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3D8EB95" w14:textId="77777777" w:rsidR="009A4C46" w:rsidRPr="00F94FED" w:rsidRDefault="009A4C46" w:rsidP="00F94FED">
            <w:pPr>
              <w:widowControl w:val="0"/>
              <w:spacing w:after="0" w:line="240" w:lineRule="auto"/>
              <w:jc w:val="center"/>
              <w:rPr>
                <w:rFonts w:eastAsia="Times New Roman"/>
                <w:b/>
                <w:bCs/>
                <w:color w:val="FFFFFF" w:themeColor="background1"/>
                <w:sz w:val="18"/>
                <w:szCs w:val="18"/>
                <w:lang w:eastAsia="ru-RU" w:bidi="ru-RU"/>
              </w:rPr>
            </w:pPr>
            <w:r w:rsidRPr="00F94FED">
              <w:rPr>
                <w:rFonts w:eastAsia="Times New Roman"/>
                <w:b/>
                <w:bCs/>
                <w:color w:val="FFFFFF" w:themeColor="background1"/>
                <w:sz w:val="18"/>
                <w:szCs w:val="18"/>
                <w:lang w:eastAsia="ru-RU" w:bidi="ru-RU"/>
              </w:rPr>
              <w:t>5</w:t>
            </w:r>
          </w:p>
        </w:tc>
        <w:tc>
          <w:tcPr>
            <w:tcW w:w="39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3D2718C" w14:textId="77777777" w:rsidR="009A4C46" w:rsidRPr="00F94FED" w:rsidRDefault="009A4C46" w:rsidP="00F94FED">
            <w:pPr>
              <w:widowControl w:val="0"/>
              <w:spacing w:after="0" w:line="240" w:lineRule="auto"/>
              <w:jc w:val="center"/>
              <w:rPr>
                <w:rFonts w:eastAsia="Times New Roman"/>
                <w:b/>
                <w:bCs/>
                <w:color w:val="FFFFFF" w:themeColor="background1"/>
                <w:sz w:val="18"/>
                <w:szCs w:val="18"/>
                <w:lang w:eastAsia="ru-RU" w:bidi="ru-RU"/>
              </w:rPr>
            </w:pPr>
            <w:r w:rsidRPr="00F94FED">
              <w:rPr>
                <w:rFonts w:eastAsia="Times New Roman"/>
                <w:b/>
                <w:bCs/>
                <w:color w:val="FFFFFF" w:themeColor="background1"/>
                <w:sz w:val="18"/>
                <w:szCs w:val="18"/>
                <w:lang w:eastAsia="ru-RU" w:bidi="ru-RU"/>
              </w:rPr>
              <w:t>6</w:t>
            </w:r>
          </w:p>
        </w:tc>
        <w:tc>
          <w:tcPr>
            <w:tcW w:w="5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B5AC719" w14:textId="77777777" w:rsidR="009A4C46" w:rsidRPr="00F94FED" w:rsidRDefault="009A4C46" w:rsidP="00F94FED">
            <w:pPr>
              <w:widowControl w:val="0"/>
              <w:spacing w:after="0" w:line="240" w:lineRule="auto"/>
              <w:jc w:val="center"/>
              <w:rPr>
                <w:rFonts w:eastAsia="Times New Roman"/>
                <w:b/>
                <w:bCs/>
                <w:color w:val="FFFFFF" w:themeColor="background1"/>
                <w:sz w:val="18"/>
                <w:szCs w:val="18"/>
                <w:lang w:eastAsia="ru-RU" w:bidi="ru-RU"/>
              </w:rPr>
            </w:pPr>
            <w:r w:rsidRPr="00F94FED">
              <w:rPr>
                <w:rFonts w:eastAsia="Times New Roman"/>
                <w:b/>
                <w:bCs/>
                <w:color w:val="FFFFFF" w:themeColor="background1"/>
                <w:sz w:val="18"/>
                <w:szCs w:val="18"/>
                <w:lang w:eastAsia="ru-RU" w:bidi="ru-RU"/>
              </w:rPr>
              <w:t>7</w:t>
            </w:r>
          </w:p>
        </w:tc>
        <w:tc>
          <w:tcPr>
            <w:tcW w:w="72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494EF9C" w14:textId="77777777" w:rsidR="009A4C46" w:rsidRPr="00F94FED" w:rsidRDefault="009A4C46" w:rsidP="00F94FED">
            <w:pPr>
              <w:widowControl w:val="0"/>
              <w:spacing w:after="0" w:line="240" w:lineRule="auto"/>
              <w:jc w:val="center"/>
              <w:rPr>
                <w:rFonts w:eastAsia="Times New Roman"/>
                <w:b/>
                <w:bCs/>
                <w:color w:val="FFFFFF" w:themeColor="background1"/>
                <w:sz w:val="18"/>
                <w:szCs w:val="18"/>
                <w:lang w:eastAsia="ru-RU" w:bidi="ru-RU"/>
              </w:rPr>
            </w:pPr>
            <w:r w:rsidRPr="00F94FED">
              <w:rPr>
                <w:rFonts w:eastAsia="Times New Roman"/>
                <w:b/>
                <w:bCs/>
                <w:color w:val="FFFFFF" w:themeColor="background1"/>
                <w:sz w:val="18"/>
                <w:szCs w:val="18"/>
                <w:lang w:eastAsia="ru-RU" w:bidi="ru-RU"/>
              </w:rPr>
              <w:t>8</w:t>
            </w:r>
          </w:p>
        </w:tc>
      </w:tr>
      <w:tr w:rsidR="009A4C46" w:rsidRPr="00767AB3" w14:paraId="05DE4A80" w14:textId="77777777" w:rsidTr="00CB5AA8">
        <w:trPr>
          <w:trHeight w:val="528"/>
        </w:trPr>
        <w:tc>
          <w:tcPr>
            <w:tcW w:w="255" w:type="pct"/>
            <w:tcBorders>
              <w:top w:val="single" w:sz="4" w:space="0" w:color="FFFFFF" w:themeColor="background1"/>
              <w:left w:val="single" w:sz="4" w:space="0" w:color="auto"/>
            </w:tcBorders>
            <w:shd w:val="clear" w:color="auto" w:fill="FFFFFF"/>
            <w:vAlign w:val="center"/>
          </w:tcPr>
          <w:p w14:paraId="76FD441C" w14:textId="77777777" w:rsidR="009A4C46" w:rsidRPr="00F94FED" w:rsidRDefault="009A4C46" w:rsidP="00F94FED">
            <w:pPr>
              <w:widowControl w:val="0"/>
              <w:spacing w:after="0" w:line="240" w:lineRule="auto"/>
              <w:jc w:val="center"/>
              <w:rPr>
                <w:rFonts w:eastAsia="Times New Roman"/>
                <w:color w:val="000000"/>
                <w:sz w:val="18"/>
                <w:szCs w:val="18"/>
                <w:lang w:eastAsia="ru-RU" w:bidi="ru-RU"/>
              </w:rPr>
            </w:pPr>
            <w:r w:rsidRPr="00F94FED">
              <w:rPr>
                <w:rFonts w:eastAsia="Times New Roman"/>
                <w:bCs/>
                <w:color w:val="000000"/>
                <w:sz w:val="18"/>
                <w:szCs w:val="18"/>
                <w:lang w:eastAsia="ru-RU" w:bidi="ru-RU"/>
              </w:rPr>
              <w:t>1</w:t>
            </w:r>
          </w:p>
        </w:tc>
        <w:tc>
          <w:tcPr>
            <w:tcW w:w="1778" w:type="pct"/>
            <w:tcBorders>
              <w:top w:val="single" w:sz="4" w:space="0" w:color="FFFFFF" w:themeColor="background1"/>
              <w:left w:val="single" w:sz="4" w:space="0" w:color="auto"/>
            </w:tcBorders>
            <w:shd w:val="clear" w:color="auto" w:fill="FFFFFF"/>
            <w:vAlign w:val="bottom"/>
          </w:tcPr>
          <w:p w14:paraId="6D2AEED7" w14:textId="77777777" w:rsidR="009A4C46" w:rsidRPr="00F94FED" w:rsidRDefault="009A4C46" w:rsidP="00F94FED">
            <w:pPr>
              <w:widowControl w:val="0"/>
              <w:spacing w:after="0" w:line="240" w:lineRule="auto"/>
              <w:rPr>
                <w:rFonts w:eastAsia="Times New Roman"/>
                <w:color w:val="000000"/>
                <w:sz w:val="18"/>
                <w:szCs w:val="18"/>
                <w:lang w:eastAsia="ru-RU" w:bidi="ru-RU"/>
              </w:rPr>
            </w:pPr>
            <w:r w:rsidRPr="00F94FED">
              <w:rPr>
                <w:rFonts w:eastAsia="Times New Roman"/>
                <w:bCs/>
                <w:color w:val="000000"/>
                <w:sz w:val="18"/>
                <w:szCs w:val="18"/>
                <w:lang w:eastAsia="ru-RU" w:bidi="ru-RU"/>
              </w:rPr>
              <w:t>Показатель средней продолжительности прекращений передачи электрической энергии (</w:t>
            </w:r>
            <w:proofErr w:type="spellStart"/>
            <w:r w:rsidRPr="00F94FED">
              <w:rPr>
                <w:rFonts w:eastAsia="Times New Roman"/>
                <w:bCs/>
                <w:color w:val="000000"/>
                <w:sz w:val="18"/>
                <w:szCs w:val="18"/>
                <w:lang w:eastAsia="ru-RU" w:bidi="ru-RU"/>
              </w:rPr>
              <w:t>Пп</w:t>
            </w:r>
            <w:proofErr w:type="spellEnd"/>
            <w:r w:rsidRPr="00F94FED">
              <w:rPr>
                <w:rFonts w:eastAsia="Times New Roman"/>
                <w:bCs/>
                <w:color w:val="000000"/>
                <w:sz w:val="18"/>
                <w:szCs w:val="18"/>
                <w:lang w:eastAsia="ru-RU" w:bidi="ru-RU"/>
              </w:rPr>
              <w:t>)</w:t>
            </w:r>
          </w:p>
        </w:tc>
        <w:tc>
          <w:tcPr>
            <w:tcW w:w="568" w:type="pct"/>
            <w:tcBorders>
              <w:top w:val="single" w:sz="4" w:space="0" w:color="FFFFFF" w:themeColor="background1"/>
              <w:left w:val="single" w:sz="4" w:space="0" w:color="auto"/>
            </w:tcBorders>
            <w:shd w:val="clear" w:color="auto" w:fill="FFFFFF"/>
            <w:vAlign w:val="center"/>
          </w:tcPr>
          <w:p w14:paraId="231993EF" w14:textId="77777777" w:rsidR="009A4C46" w:rsidRPr="00F94FED" w:rsidRDefault="009A4C46" w:rsidP="00F94FED">
            <w:pPr>
              <w:widowControl w:val="0"/>
              <w:spacing w:after="0" w:line="240" w:lineRule="auto"/>
              <w:jc w:val="center"/>
              <w:rPr>
                <w:rFonts w:eastAsia="Times New Roman"/>
                <w:color w:val="000000"/>
                <w:sz w:val="18"/>
                <w:szCs w:val="18"/>
                <w:lang w:eastAsia="ru-RU" w:bidi="ru-RU"/>
              </w:rPr>
            </w:pPr>
            <w:r w:rsidRPr="00F94FED">
              <w:rPr>
                <w:rFonts w:eastAsia="Times New Roman"/>
                <w:bCs/>
                <w:color w:val="000000"/>
                <w:sz w:val="18"/>
                <w:szCs w:val="18"/>
                <w:lang w:eastAsia="ru-RU" w:bidi="ru-RU"/>
              </w:rPr>
              <w:t>0,0253</w:t>
            </w:r>
          </w:p>
        </w:tc>
        <w:tc>
          <w:tcPr>
            <w:tcW w:w="398" w:type="pct"/>
            <w:tcBorders>
              <w:top w:val="single" w:sz="4" w:space="0" w:color="FFFFFF" w:themeColor="background1"/>
              <w:left w:val="single" w:sz="4" w:space="0" w:color="auto"/>
            </w:tcBorders>
            <w:shd w:val="clear" w:color="auto" w:fill="FFFFFF"/>
            <w:vAlign w:val="center"/>
          </w:tcPr>
          <w:p w14:paraId="274D0BF8" w14:textId="77777777" w:rsidR="009A4C46" w:rsidRPr="00F94FED" w:rsidRDefault="009A4C46" w:rsidP="00F94FED">
            <w:pPr>
              <w:widowControl w:val="0"/>
              <w:spacing w:after="0" w:line="240" w:lineRule="auto"/>
              <w:jc w:val="center"/>
              <w:rPr>
                <w:rFonts w:eastAsia="Times New Roman"/>
                <w:color w:val="000000"/>
                <w:sz w:val="18"/>
                <w:szCs w:val="18"/>
                <w:lang w:eastAsia="ru-RU" w:bidi="ru-RU"/>
              </w:rPr>
            </w:pPr>
            <w:r w:rsidRPr="00F94FED">
              <w:rPr>
                <w:rFonts w:eastAsia="Times New Roman"/>
                <w:bCs/>
                <w:color w:val="000000"/>
                <w:sz w:val="18"/>
                <w:szCs w:val="18"/>
                <w:lang w:eastAsia="ru-RU" w:bidi="ru-RU"/>
              </w:rPr>
              <w:t>0,1076</w:t>
            </w:r>
          </w:p>
        </w:tc>
        <w:tc>
          <w:tcPr>
            <w:tcW w:w="315" w:type="pct"/>
            <w:vMerge w:val="restart"/>
            <w:tcBorders>
              <w:top w:val="single" w:sz="4" w:space="0" w:color="FFFFFF" w:themeColor="background1"/>
              <w:left w:val="single" w:sz="4" w:space="0" w:color="auto"/>
            </w:tcBorders>
            <w:shd w:val="clear" w:color="auto" w:fill="FFFFFF"/>
            <w:vAlign w:val="center"/>
          </w:tcPr>
          <w:p w14:paraId="51D10242" w14:textId="77777777" w:rsidR="009A4C46" w:rsidRPr="00F94FED" w:rsidRDefault="009A4C46" w:rsidP="00F94FED">
            <w:pPr>
              <w:widowControl w:val="0"/>
              <w:spacing w:after="0" w:line="240" w:lineRule="auto"/>
              <w:jc w:val="center"/>
              <w:rPr>
                <w:rFonts w:eastAsia="Times New Roman"/>
                <w:color w:val="000000"/>
                <w:sz w:val="18"/>
                <w:szCs w:val="18"/>
                <w:lang w:eastAsia="ru-RU" w:bidi="ru-RU"/>
              </w:rPr>
            </w:pPr>
            <w:r w:rsidRPr="00F94FED">
              <w:rPr>
                <w:rFonts w:eastAsia="Times New Roman"/>
                <w:bCs/>
                <w:color w:val="000000"/>
                <w:sz w:val="18"/>
                <w:szCs w:val="18"/>
                <w:lang w:eastAsia="ru-RU" w:bidi="ru-RU"/>
              </w:rPr>
              <w:t>30%</w:t>
            </w:r>
          </w:p>
        </w:tc>
        <w:tc>
          <w:tcPr>
            <w:tcW w:w="398" w:type="pct"/>
            <w:tcBorders>
              <w:top w:val="single" w:sz="4" w:space="0" w:color="FFFFFF" w:themeColor="background1"/>
              <w:left w:val="single" w:sz="4" w:space="0" w:color="auto"/>
            </w:tcBorders>
            <w:shd w:val="clear" w:color="auto" w:fill="FFFFFF"/>
            <w:vAlign w:val="center"/>
          </w:tcPr>
          <w:p w14:paraId="5A507DA9" w14:textId="77777777" w:rsidR="009A4C46" w:rsidRPr="00F94FED" w:rsidRDefault="009A4C46" w:rsidP="00F94FED">
            <w:pPr>
              <w:widowControl w:val="0"/>
              <w:spacing w:after="0" w:line="240" w:lineRule="auto"/>
              <w:jc w:val="center"/>
              <w:rPr>
                <w:rFonts w:eastAsia="Times New Roman"/>
                <w:color w:val="000000"/>
                <w:sz w:val="18"/>
                <w:szCs w:val="18"/>
                <w:lang w:eastAsia="ru-RU" w:bidi="ru-RU"/>
              </w:rPr>
            </w:pPr>
            <w:r w:rsidRPr="00F94FED">
              <w:rPr>
                <w:rFonts w:eastAsia="Times New Roman"/>
                <w:bCs/>
                <w:color w:val="000000"/>
                <w:sz w:val="18"/>
                <w:szCs w:val="18"/>
                <w:lang w:eastAsia="ru-RU" w:bidi="ru-RU"/>
              </w:rPr>
              <w:t>1</w:t>
            </w:r>
          </w:p>
        </w:tc>
        <w:tc>
          <w:tcPr>
            <w:tcW w:w="559" w:type="pct"/>
            <w:vMerge w:val="restart"/>
            <w:tcBorders>
              <w:top w:val="single" w:sz="4" w:space="0" w:color="FFFFFF" w:themeColor="background1"/>
              <w:left w:val="single" w:sz="4" w:space="0" w:color="auto"/>
            </w:tcBorders>
            <w:shd w:val="clear" w:color="auto" w:fill="FFFFFF"/>
            <w:vAlign w:val="center"/>
          </w:tcPr>
          <w:p w14:paraId="5CF19482" w14:textId="77777777" w:rsidR="009A4C46" w:rsidRPr="00F94FED" w:rsidRDefault="009A4C46" w:rsidP="00F94FED">
            <w:pPr>
              <w:widowControl w:val="0"/>
              <w:spacing w:after="0" w:line="240" w:lineRule="auto"/>
              <w:jc w:val="center"/>
              <w:rPr>
                <w:rFonts w:eastAsia="Times New Roman"/>
                <w:color w:val="000000"/>
                <w:sz w:val="18"/>
                <w:szCs w:val="18"/>
                <w:lang w:eastAsia="ru-RU" w:bidi="ru-RU"/>
              </w:rPr>
            </w:pPr>
            <w:r w:rsidRPr="00F94FED">
              <w:rPr>
                <w:rFonts w:eastAsia="Times New Roman"/>
                <w:bCs/>
                <w:color w:val="000000"/>
                <w:sz w:val="18"/>
                <w:szCs w:val="18"/>
                <w:lang w:eastAsia="ru-RU" w:bidi="ru-RU"/>
              </w:rPr>
              <w:t>0,65</w:t>
            </w:r>
          </w:p>
        </w:tc>
        <w:tc>
          <w:tcPr>
            <w:tcW w:w="729" w:type="pct"/>
            <w:vMerge w:val="restart"/>
            <w:tcBorders>
              <w:top w:val="single" w:sz="4" w:space="0" w:color="FFFFFF" w:themeColor="background1"/>
              <w:left w:val="single" w:sz="4" w:space="0" w:color="auto"/>
              <w:right w:val="single" w:sz="4" w:space="0" w:color="auto"/>
            </w:tcBorders>
            <w:shd w:val="clear" w:color="auto" w:fill="FFFFFF"/>
            <w:vAlign w:val="center"/>
          </w:tcPr>
          <w:p w14:paraId="3ADB3072" w14:textId="77777777" w:rsidR="009A4C46" w:rsidRPr="00F94FED" w:rsidRDefault="009A4C46" w:rsidP="00F94FED">
            <w:pPr>
              <w:widowControl w:val="0"/>
              <w:spacing w:after="0" w:line="240" w:lineRule="auto"/>
              <w:jc w:val="center"/>
              <w:rPr>
                <w:rFonts w:eastAsia="Times New Roman"/>
                <w:color w:val="000000"/>
                <w:sz w:val="18"/>
                <w:szCs w:val="18"/>
                <w:lang w:eastAsia="ru-RU" w:bidi="ru-RU"/>
              </w:rPr>
            </w:pPr>
            <w:r w:rsidRPr="00F94FED">
              <w:rPr>
                <w:rFonts w:eastAsia="Times New Roman"/>
                <w:bCs/>
                <w:color w:val="000000"/>
                <w:sz w:val="18"/>
                <w:szCs w:val="18"/>
                <w:lang w:eastAsia="ru-RU" w:bidi="ru-RU"/>
              </w:rPr>
              <w:t>15 174</w:t>
            </w:r>
          </w:p>
        </w:tc>
      </w:tr>
      <w:tr w:rsidR="009A4C46" w:rsidRPr="00767AB3" w14:paraId="4C6A4C03" w14:textId="77777777" w:rsidTr="00CB5AA8">
        <w:trPr>
          <w:trHeight w:val="693"/>
        </w:trPr>
        <w:tc>
          <w:tcPr>
            <w:tcW w:w="255" w:type="pct"/>
            <w:tcBorders>
              <w:top w:val="single" w:sz="4" w:space="0" w:color="auto"/>
              <w:left w:val="single" w:sz="4" w:space="0" w:color="auto"/>
            </w:tcBorders>
            <w:shd w:val="clear" w:color="auto" w:fill="FFFFFF"/>
            <w:vAlign w:val="center"/>
          </w:tcPr>
          <w:p w14:paraId="3BDCD61C" w14:textId="77777777" w:rsidR="009A4C46" w:rsidRPr="00F94FED" w:rsidRDefault="009A4C46" w:rsidP="00F94FED">
            <w:pPr>
              <w:widowControl w:val="0"/>
              <w:spacing w:after="0" w:line="240" w:lineRule="auto"/>
              <w:jc w:val="center"/>
              <w:rPr>
                <w:rFonts w:eastAsia="Times New Roman"/>
                <w:color w:val="000000"/>
                <w:sz w:val="18"/>
                <w:szCs w:val="18"/>
                <w:lang w:eastAsia="ru-RU" w:bidi="ru-RU"/>
              </w:rPr>
            </w:pPr>
            <w:r w:rsidRPr="00F94FED">
              <w:rPr>
                <w:rFonts w:eastAsia="Times New Roman"/>
                <w:bCs/>
                <w:color w:val="000000"/>
                <w:sz w:val="18"/>
                <w:szCs w:val="18"/>
                <w:lang w:eastAsia="ru-RU" w:bidi="ru-RU"/>
              </w:rPr>
              <w:t>2</w:t>
            </w:r>
          </w:p>
        </w:tc>
        <w:tc>
          <w:tcPr>
            <w:tcW w:w="1778" w:type="pct"/>
            <w:tcBorders>
              <w:top w:val="single" w:sz="4" w:space="0" w:color="auto"/>
              <w:left w:val="single" w:sz="4" w:space="0" w:color="auto"/>
            </w:tcBorders>
            <w:shd w:val="clear" w:color="auto" w:fill="FFFFFF"/>
            <w:vAlign w:val="bottom"/>
          </w:tcPr>
          <w:p w14:paraId="220EC033" w14:textId="77777777" w:rsidR="009A4C46" w:rsidRPr="00F94FED" w:rsidRDefault="009A4C46" w:rsidP="00F94FED">
            <w:pPr>
              <w:widowControl w:val="0"/>
              <w:spacing w:after="0" w:line="240" w:lineRule="auto"/>
              <w:rPr>
                <w:rFonts w:eastAsia="Times New Roman"/>
                <w:color w:val="000000"/>
                <w:sz w:val="18"/>
                <w:szCs w:val="18"/>
                <w:lang w:eastAsia="ru-RU" w:bidi="ru-RU"/>
              </w:rPr>
            </w:pPr>
            <w:r w:rsidRPr="00F94FED">
              <w:rPr>
                <w:rFonts w:eastAsia="Times New Roman"/>
                <w:bCs/>
                <w:color w:val="000000"/>
                <w:sz w:val="18"/>
                <w:szCs w:val="18"/>
                <w:lang w:eastAsia="ru-RU" w:bidi="ru-RU"/>
              </w:rPr>
              <w:t>Показатель качества предоставления возможности технологического присоединения (</w:t>
            </w:r>
            <w:proofErr w:type="spellStart"/>
            <w:r w:rsidRPr="00F94FED">
              <w:rPr>
                <w:rFonts w:eastAsia="Times New Roman"/>
                <w:bCs/>
                <w:color w:val="000000"/>
                <w:sz w:val="18"/>
                <w:szCs w:val="18"/>
                <w:lang w:eastAsia="ru-RU" w:bidi="ru-RU"/>
              </w:rPr>
              <w:t>Птпр</w:t>
            </w:r>
            <w:proofErr w:type="spellEnd"/>
            <w:r w:rsidRPr="00F94FED">
              <w:rPr>
                <w:rFonts w:eastAsia="Times New Roman"/>
                <w:bCs/>
                <w:color w:val="000000"/>
                <w:sz w:val="18"/>
                <w:szCs w:val="18"/>
                <w:lang w:eastAsia="ru-RU" w:bidi="ru-RU"/>
              </w:rPr>
              <w:t>)</w:t>
            </w:r>
          </w:p>
        </w:tc>
        <w:tc>
          <w:tcPr>
            <w:tcW w:w="568" w:type="pct"/>
            <w:tcBorders>
              <w:top w:val="single" w:sz="4" w:space="0" w:color="auto"/>
              <w:left w:val="single" w:sz="4" w:space="0" w:color="auto"/>
            </w:tcBorders>
            <w:shd w:val="clear" w:color="auto" w:fill="FFFFFF"/>
            <w:vAlign w:val="center"/>
          </w:tcPr>
          <w:p w14:paraId="2AF017B4" w14:textId="77777777" w:rsidR="009A4C46" w:rsidRPr="00F94FED" w:rsidRDefault="009A4C46" w:rsidP="003E2802">
            <w:pPr>
              <w:widowControl w:val="0"/>
              <w:spacing w:after="0" w:line="240" w:lineRule="auto"/>
              <w:jc w:val="center"/>
              <w:rPr>
                <w:rFonts w:eastAsia="Microsoft Sans Serif"/>
                <w:color w:val="000000"/>
                <w:sz w:val="18"/>
                <w:szCs w:val="18"/>
                <w:lang w:eastAsia="ru-RU" w:bidi="ru-RU"/>
              </w:rPr>
            </w:pPr>
          </w:p>
        </w:tc>
        <w:tc>
          <w:tcPr>
            <w:tcW w:w="398" w:type="pct"/>
            <w:tcBorders>
              <w:top w:val="single" w:sz="4" w:space="0" w:color="auto"/>
              <w:left w:val="single" w:sz="4" w:space="0" w:color="auto"/>
            </w:tcBorders>
            <w:shd w:val="clear" w:color="auto" w:fill="FFFFFF"/>
            <w:vAlign w:val="center"/>
          </w:tcPr>
          <w:p w14:paraId="57CA308D" w14:textId="77777777" w:rsidR="009A4C46" w:rsidRPr="00F94FED" w:rsidRDefault="009A4C46">
            <w:pPr>
              <w:widowControl w:val="0"/>
              <w:spacing w:after="0" w:line="240" w:lineRule="auto"/>
              <w:jc w:val="center"/>
              <w:rPr>
                <w:rFonts w:eastAsia="Microsoft Sans Serif"/>
                <w:color w:val="000000"/>
                <w:sz w:val="18"/>
                <w:szCs w:val="18"/>
                <w:lang w:eastAsia="ru-RU" w:bidi="ru-RU"/>
              </w:rPr>
            </w:pPr>
          </w:p>
        </w:tc>
        <w:tc>
          <w:tcPr>
            <w:tcW w:w="315" w:type="pct"/>
            <w:vMerge/>
            <w:tcBorders>
              <w:left w:val="single" w:sz="4" w:space="0" w:color="auto"/>
            </w:tcBorders>
            <w:shd w:val="clear" w:color="auto" w:fill="FFFFFF"/>
            <w:vAlign w:val="center"/>
          </w:tcPr>
          <w:p w14:paraId="02B57B1A" w14:textId="77777777" w:rsidR="009A4C46" w:rsidRPr="00F94FED" w:rsidRDefault="009A4C46">
            <w:pPr>
              <w:widowControl w:val="0"/>
              <w:spacing w:after="0" w:line="240" w:lineRule="auto"/>
              <w:rPr>
                <w:rFonts w:eastAsia="Microsoft Sans Serif"/>
                <w:color w:val="000000"/>
                <w:sz w:val="18"/>
                <w:szCs w:val="18"/>
                <w:lang w:eastAsia="ru-RU" w:bidi="ru-RU"/>
              </w:rPr>
            </w:pPr>
          </w:p>
        </w:tc>
        <w:tc>
          <w:tcPr>
            <w:tcW w:w="398" w:type="pct"/>
            <w:tcBorders>
              <w:top w:val="single" w:sz="4" w:space="0" w:color="auto"/>
              <w:left w:val="single" w:sz="4" w:space="0" w:color="auto"/>
            </w:tcBorders>
            <w:shd w:val="clear" w:color="auto" w:fill="FFFFFF"/>
            <w:vAlign w:val="center"/>
          </w:tcPr>
          <w:p w14:paraId="07403AD0" w14:textId="77777777" w:rsidR="009A4C46" w:rsidRPr="00F94FED" w:rsidRDefault="009A4C46">
            <w:pPr>
              <w:widowControl w:val="0"/>
              <w:spacing w:after="0" w:line="240" w:lineRule="auto"/>
              <w:jc w:val="center"/>
              <w:rPr>
                <w:rFonts w:eastAsia="Microsoft Sans Serif"/>
                <w:color w:val="000000"/>
                <w:sz w:val="18"/>
                <w:szCs w:val="18"/>
                <w:lang w:eastAsia="ru-RU" w:bidi="ru-RU"/>
              </w:rPr>
            </w:pPr>
          </w:p>
        </w:tc>
        <w:tc>
          <w:tcPr>
            <w:tcW w:w="559" w:type="pct"/>
            <w:vMerge/>
            <w:tcBorders>
              <w:left w:val="single" w:sz="4" w:space="0" w:color="auto"/>
            </w:tcBorders>
            <w:shd w:val="clear" w:color="auto" w:fill="FFFFFF"/>
            <w:vAlign w:val="center"/>
          </w:tcPr>
          <w:p w14:paraId="461CF10A" w14:textId="77777777" w:rsidR="009A4C46" w:rsidRPr="00F94FED" w:rsidRDefault="009A4C46">
            <w:pPr>
              <w:widowControl w:val="0"/>
              <w:spacing w:after="0" w:line="240" w:lineRule="auto"/>
              <w:rPr>
                <w:rFonts w:eastAsia="Microsoft Sans Serif"/>
                <w:color w:val="000000"/>
                <w:sz w:val="18"/>
                <w:szCs w:val="18"/>
                <w:lang w:eastAsia="ru-RU" w:bidi="ru-RU"/>
              </w:rPr>
            </w:pPr>
          </w:p>
        </w:tc>
        <w:tc>
          <w:tcPr>
            <w:tcW w:w="729" w:type="pct"/>
            <w:vMerge/>
            <w:tcBorders>
              <w:left w:val="single" w:sz="4" w:space="0" w:color="auto"/>
              <w:right w:val="single" w:sz="4" w:space="0" w:color="auto"/>
            </w:tcBorders>
            <w:shd w:val="clear" w:color="auto" w:fill="FFFFFF"/>
            <w:vAlign w:val="center"/>
          </w:tcPr>
          <w:p w14:paraId="5F57F54C" w14:textId="77777777" w:rsidR="009A4C46" w:rsidRPr="00F94FED" w:rsidRDefault="009A4C46">
            <w:pPr>
              <w:widowControl w:val="0"/>
              <w:spacing w:after="0" w:line="240" w:lineRule="auto"/>
              <w:rPr>
                <w:rFonts w:eastAsia="Microsoft Sans Serif"/>
                <w:color w:val="000000"/>
                <w:sz w:val="18"/>
                <w:szCs w:val="18"/>
                <w:lang w:eastAsia="ru-RU" w:bidi="ru-RU"/>
              </w:rPr>
            </w:pPr>
          </w:p>
        </w:tc>
      </w:tr>
      <w:tr w:rsidR="00F94FED" w:rsidRPr="00767AB3" w14:paraId="6A3880A8" w14:textId="77777777" w:rsidTr="00CB5AA8">
        <w:trPr>
          <w:trHeight w:val="561"/>
        </w:trPr>
        <w:tc>
          <w:tcPr>
            <w:tcW w:w="255" w:type="pct"/>
            <w:tcBorders>
              <w:top w:val="single" w:sz="4" w:space="0" w:color="auto"/>
              <w:left w:val="single" w:sz="4" w:space="0" w:color="auto"/>
              <w:bottom w:val="single" w:sz="4" w:space="0" w:color="auto"/>
            </w:tcBorders>
            <w:shd w:val="clear" w:color="auto" w:fill="FFFFFF"/>
            <w:vAlign w:val="center"/>
          </w:tcPr>
          <w:p w14:paraId="24F2DC0B" w14:textId="77777777" w:rsidR="009A4C46" w:rsidRPr="00F94FED" w:rsidRDefault="009A4C46" w:rsidP="00F94FED">
            <w:pPr>
              <w:widowControl w:val="0"/>
              <w:spacing w:after="0" w:line="240" w:lineRule="auto"/>
              <w:jc w:val="center"/>
              <w:rPr>
                <w:rFonts w:eastAsia="Times New Roman"/>
                <w:color w:val="000000"/>
                <w:sz w:val="18"/>
                <w:szCs w:val="18"/>
                <w:lang w:eastAsia="ru-RU" w:bidi="ru-RU"/>
              </w:rPr>
            </w:pPr>
            <w:r w:rsidRPr="00F94FED">
              <w:rPr>
                <w:rFonts w:eastAsia="Times New Roman"/>
                <w:bCs/>
                <w:color w:val="000000"/>
                <w:sz w:val="18"/>
                <w:szCs w:val="18"/>
                <w:lang w:eastAsia="ru-RU" w:bidi="ru-RU"/>
              </w:rPr>
              <w:t>3</w:t>
            </w:r>
          </w:p>
        </w:tc>
        <w:tc>
          <w:tcPr>
            <w:tcW w:w="1778" w:type="pct"/>
            <w:tcBorders>
              <w:top w:val="single" w:sz="4" w:space="0" w:color="auto"/>
              <w:left w:val="single" w:sz="4" w:space="0" w:color="auto"/>
              <w:bottom w:val="single" w:sz="4" w:space="0" w:color="auto"/>
            </w:tcBorders>
            <w:shd w:val="clear" w:color="auto" w:fill="FFFFFF"/>
            <w:vAlign w:val="bottom"/>
          </w:tcPr>
          <w:p w14:paraId="13F05A61" w14:textId="77777777" w:rsidR="009A4C46" w:rsidRPr="00F94FED" w:rsidRDefault="009A4C46" w:rsidP="00F94FED">
            <w:pPr>
              <w:widowControl w:val="0"/>
              <w:spacing w:after="0" w:line="240" w:lineRule="auto"/>
              <w:rPr>
                <w:rFonts w:eastAsia="Times New Roman"/>
                <w:color w:val="000000"/>
                <w:sz w:val="18"/>
                <w:szCs w:val="18"/>
                <w:lang w:eastAsia="ru-RU" w:bidi="ru-RU"/>
              </w:rPr>
            </w:pPr>
            <w:r w:rsidRPr="00F94FED">
              <w:rPr>
                <w:rFonts w:eastAsia="Times New Roman"/>
                <w:bCs/>
                <w:color w:val="000000"/>
                <w:sz w:val="18"/>
                <w:szCs w:val="18"/>
                <w:lang w:eastAsia="ru-RU" w:bidi="ru-RU"/>
              </w:rPr>
              <w:t>Показатель уровня качества оказываемых услуг территориальных сетевыми организациями (</w:t>
            </w:r>
            <w:proofErr w:type="spellStart"/>
            <w:r w:rsidRPr="00F94FED">
              <w:rPr>
                <w:rFonts w:eastAsia="Times New Roman"/>
                <w:bCs/>
                <w:color w:val="000000"/>
                <w:sz w:val="18"/>
                <w:szCs w:val="18"/>
                <w:lang w:eastAsia="ru-RU" w:bidi="ru-RU"/>
              </w:rPr>
              <w:t>Птсо</w:t>
            </w:r>
            <w:proofErr w:type="spellEnd"/>
            <w:r w:rsidRPr="00F94FED">
              <w:rPr>
                <w:rFonts w:eastAsia="Times New Roman"/>
                <w:bCs/>
                <w:color w:val="000000"/>
                <w:sz w:val="18"/>
                <w:szCs w:val="18"/>
                <w:lang w:eastAsia="ru-RU" w:bidi="ru-RU"/>
              </w:rPr>
              <w:t>)</w:t>
            </w:r>
          </w:p>
        </w:tc>
        <w:tc>
          <w:tcPr>
            <w:tcW w:w="568" w:type="pct"/>
            <w:tcBorders>
              <w:top w:val="single" w:sz="4" w:space="0" w:color="auto"/>
              <w:left w:val="single" w:sz="4" w:space="0" w:color="auto"/>
              <w:bottom w:val="single" w:sz="4" w:space="0" w:color="auto"/>
            </w:tcBorders>
            <w:shd w:val="clear" w:color="auto" w:fill="FFFFFF"/>
            <w:vAlign w:val="center"/>
          </w:tcPr>
          <w:p w14:paraId="06C8008D" w14:textId="77777777" w:rsidR="009A4C46" w:rsidRPr="00F94FED" w:rsidRDefault="009A4C46" w:rsidP="00F94FED">
            <w:pPr>
              <w:widowControl w:val="0"/>
              <w:spacing w:after="0" w:line="240" w:lineRule="auto"/>
              <w:jc w:val="center"/>
              <w:rPr>
                <w:rFonts w:eastAsia="Times New Roman"/>
                <w:color w:val="000000"/>
                <w:sz w:val="18"/>
                <w:szCs w:val="18"/>
                <w:lang w:eastAsia="ru-RU" w:bidi="ru-RU"/>
              </w:rPr>
            </w:pPr>
            <w:r w:rsidRPr="00F94FED">
              <w:rPr>
                <w:rFonts w:eastAsia="Times New Roman"/>
                <w:bCs/>
                <w:color w:val="000000"/>
                <w:sz w:val="18"/>
                <w:szCs w:val="18"/>
                <w:lang w:eastAsia="ru-RU" w:bidi="ru-RU"/>
              </w:rPr>
              <w:t>0,9862</w:t>
            </w:r>
          </w:p>
        </w:tc>
        <w:tc>
          <w:tcPr>
            <w:tcW w:w="398" w:type="pct"/>
            <w:tcBorders>
              <w:top w:val="single" w:sz="4" w:space="0" w:color="auto"/>
              <w:left w:val="single" w:sz="4" w:space="0" w:color="auto"/>
              <w:bottom w:val="single" w:sz="4" w:space="0" w:color="auto"/>
            </w:tcBorders>
            <w:shd w:val="clear" w:color="auto" w:fill="FFFFFF"/>
            <w:vAlign w:val="center"/>
          </w:tcPr>
          <w:p w14:paraId="41C9D55F" w14:textId="77777777" w:rsidR="009A4C46" w:rsidRPr="00F94FED" w:rsidRDefault="009A4C46" w:rsidP="00F94FED">
            <w:pPr>
              <w:widowControl w:val="0"/>
              <w:spacing w:after="0" w:line="240" w:lineRule="auto"/>
              <w:jc w:val="center"/>
              <w:rPr>
                <w:rFonts w:eastAsia="Times New Roman"/>
                <w:color w:val="000000"/>
                <w:sz w:val="18"/>
                <w:szCs w:val="18"/>
                <w:lang w:eastAsia="ru-RU" w:bidi="ru-RU"/>
              </w:rPr>
            </w:pPr>
            <w:r w:rsidRPr="00F94FED">
              <w:rPr>
                <w:rFonts w:eastAsia="Times New Roman"/>
                <w:bCs/>
                <w:color w:val="000000"/>
                <w:sz w:val="18"/>
                <w:szCs w:val="18"/>
                <w:lang w:eastAsia="ru-RU" w:bidi="ru-RU"/>
              </w:rPr>
              <w:t>1,0102</w:t>
            </w:r>
          </w:p>
        </w:tc>
        <w:tc>
          <w:tcPr>
            <w:tcW w:w="315" w:type="pct"/>
            <w:vMerge/>
            <w:tcBorders>
              <w:left w:val="single" w:sz="4" w:space="0" w:color="auto"/>
              <w:bottom w:val="single" w:sz="4" w:space="0" w:color="auto"/>
            </w:tcBorders>
            <w:shd w:val="clear" w:color="auto" w:fill="FFFFFF"/>
            <w:vAlign w:val="center"/>
          </w:tcPr>
          <w:p w14:paraId="770B8788" w14:textId="77777777" w:rsidR="009A4C46" w:rsidRPr="00F94FED" w:rsidRDefault="009A4C46">
            <w:pPr>
              <w:widowControl w:val="0"/>
              <w:spacing w:after="0" w:line="240" w:lineRule="auto"/>
              <w:rPr>
                <w:rFonts w:eastAsia="Microsoft Sans Serif"/>
                <w:color w:val="000000"/>
                <w:sz w:val="18"/>
                <w:szCs w:val="18"/>
                <w:lang w:eastAsia="ru-RU" w:bidi="ru-RU"/>
              </w:rPr>
            </w:pPr>
          </w:p>
        </w:tc>
        <w:tc>
          <w:tcPr>
            <w:tcW w:w="398" w:type="pct"/>
            <w:tcBorders>
              <w:top w:val="single" w:sz="4" w:space="0" w:color="auto"/>
              <w:left w:val="single" w:sz="4" w:space="0" w:color="auto"/>
              <w:bottom w:val="single" w:sz="4" w:space="0" w:color="auto"/>
            </w:tcBorders>
            <w:shd w:val="clear" w:color="auto" w:fill="FFFFFF"/>
            <w:vAlign w:val="center"/>
          </w:tcPr>
          <w:p w14:paraId="105B6D70" w14:textId="77777777" w:rsidR="009A4C46" w:rsidRPr="00F94FED" w:rsidRDefault="009A4C46" w:rsidP="00F94FED">
            <w:pPr>
              <w:widowControl w:val="0"/>
              <w:spacing w:after="0" w:line="240" w:lineRule="auto"/>
              <w:jc w:val="center"/>
              <w:rPr>
                <w:rFonts w:eastAsia="Times New Roman"/>
                <w:color w:val="000000"/>
                <w:sz w:val="18"/>
                <w:szCs w:val="18"/>
                <w:lang w:eastAsia="ru-RU" w:bidi="ru-RU"/>
              </w:rPr>
            </w:pPr>
            <w:r w:rsidRPr="00F94FED">
              <w:rPr>
                <w:rFonts w:eastAsia="Times New Roman"/>
                <w:bCs/>
                <w:color w:val="000000"/>
                <w:sz w:val="18"/>
                <w:szCs w:val="18"/>
                <w:lang w:eastAsia="ru-RU" w:bidi="ru-RU"/>
              </w:rPr>
              <w:t>0</w:t>
            </w:r>
          </w:p>
        </w:tc>
        <w:tc>
          <w:tcPr>
            <w:tcW w:w="559" w:type="pct"/>
            <w:vMerge/>
            <w:tcBorders>
              <w:left w:val="single" w:sz="4" w:space="0" w:color="auto"/>
              <w:bottom w:val="single" w:sz="4" w:space="0" w:color="auto"/>
            </w:tcBorders>
            <w:shd w:val="clear" w:color="auto" w:fill="FFFFFF"/>
            <w:vAlign w:val="center"/>
          </w:tcPr>
          <w:p w14:paraId="1E820D13" w14:textId="77777777" w:rsidR="009A4C46" w:rsidRPr="00F94FED" w:rsidRDefault="009A4C46">
            <w:pPr>
              <w:widowControl w:val="0"/>
              <w:spacing w:after="0" w:line="240" w:lineRule="auto"/>
              <w:rPr>
                <w:rFonts w:eastAsia="Microsoft Sans Serif"/>
                <w:color w:val="000000"/>
                <w:sz w:val="18"/>
                <w:szCs w:val="18"/>
                <w:lang w:eastAsia="ru-RU" w:bidi="ru-RU"/>
              </w:rPr>
            </w:pPr>
          </w:p>
        </w:tc>
        <w:tc>
          <w:tcPr>
            <w:tcW w:w="729" w:type="pct"/>
            <w:vMerge/>
            <w:tcBorders>
              <w:left w:val="single" w:sz="4" w:space="0" w:color="auto"/>
              <w:bottom w:val="single" w:sz="4" w:space="0" w:color="auto"/>
              <w:right w:val="single" w:sz="4" w:space="0" w:color="auto"/>
            </w:tcBorders>
            <w:shd w:val="clear" w:color="auto" w:fill="FFFFFF"/>
            <w:vAlign w:val="center"/>
          </w:tcPr>
          <w:p w14:paraId="7E3C4BE5" w14:textId="77777777" w:rsidR="009A4C46" w:rsidRPr="00F94FED" w:rsidRDefault="009A4C46">
            <w:pPr>
              <w:widowControl w:val="0"/>
              <w:spacing w:after="0" w:line="240" w:lineRule="auto"/>
              <w:rPr>
                <w:rFonts w:eastAsia="Microsoft Sans Serif"/>
                <w:color w:val="000000"/>
                <w:sz w:val="18"/>
                <w:szCs w:val="18"/>
                <w:lang w:eastAsia="ru-RU" w:bidi="ru-RU"/>
              </w:rPr>
            </w:pPr>
          </w:p>
        </w:tc>
      </w:tr>
    </w:tbl>
    <w:p w14:paraId="3D738002" w14:textId="6DDC693A" w:rsidR="009A4C46" w:rsidRDefault="009A4C46" w:rsidP="00767AB3">
      <w:pPr>
        <w:widowControl w:val="0"/>
        <w:autoSpaceDE w:val="0"/>
        <w:autoSpaceDN w:val="0"/>
        <w:adjustRightInd w:val="0"/>
        <w:spacing w:after="0" w:line="360" w:lineRule="auto"/>
        <w:ind w:firstLine="567"/>
        <w:jc w:val="both"/>
        <w:rPr>
          <w:rFonts w:eastAsia="Times New Roman"/>
          <w:sz w:val="26"/>
          <w:szCs w:val="26"/>
          <w:lang w:eastAsia="ru-RU"/>
        </w:rPr>
      </w:pPr>
      <w:r w:rsidRPr="00F94FED">
        <w:rPr>
          <w:rFonts w:eastAsia="Times New Roman"/>
          <w:sz w:val="26"/>
          <w:szCs w:val="26"/>
          <w:lang w:eastAsia="ru-RU"/>
        </w:rPr>
        <w:t>В соответствии с Методическими указаниями №254 регулирующим органом произведена корректировка НВВ на 2019 год с учетом достижения уровня надежности и качества производимых (реализуемых) товаров (услуг) в 2017 году. Повышающий коэффициент, корректирующий НВВ территориальной сетевой организации, определен в размере 2%. Таким образом, исходя из НВВ в размере 1</w:t>
      </w:r>
      <w:r w:rsidR="003E2802">
        <w:rPr>
          <w:rFonts w:eastAsia="Times New Roman"/>
          <w:sz w:val="26"/>
          <w:szCs w:val="26"/>
          <w:lang w:eastAsia="ru-RU"/>
        </w:rPr>
        <w:t> </w:t>
      </w:r>
      <w:r w:rsidRPr="00F94FED">
        <w:rPr>
          <w:rFonts w:eastAsia="Times New Roman"/>
          <w:sz w:val="26"/>
          <w:szCs w:val="26"/>
          <w:lang w:eastAsia="ru-RU"/>
        </w:rPr>
        <w:t>167</w:t>
      </w:r>
      <w:r w:rsidR="003E2802">
        <w:rPr>
          <w:rFonts w:eastAsia="Times New Roman"/>
          <w:sz w:val="26"/>
          <w:szCs w:val="26"/>
          <w:lang w:eastAsia="ru-RU"/>
        </w:rPr>
        <w:t> </w:t>
      </w:r>
      <w:r w:rsidRPr="00F94FED">
        <w:rPr>
          <w:rFonts w:eastAsia="Times New Roman"/>
          <w:sz w:val="26"/>
          <w:szCs w:val="26"/>
          <w:lang w:eastAsia="ru-RU"/>
        </w:rPr>
        <w:t>221 тыс. руб., величина корректировки АО «Тываэнерго» составила 15</w:t>
      </w:r>
      <w:r w:rsidR="003E2802">
        <w:rPr>
          <w:rFonts w:eastAsia="Times New Roman"/>
          <w:sz w:val="26"/>
          <w:szCs w:val="26"/>
          <w:lang w:eastAsia="ru-RU"/>
        </w:rPr>
        <w:t> </w:t>
      </w:r>
      <w:r w:rsidRPr="00F94FED">
        <w:rPr>
          <w:rFonts w:eastAsia="Times New Roman"/>
          <w:sz w:val="26"/>
          <w:szCs w:val="26"/>
          <w:lang w:eastAsia="ru-RU"/>
        </w:rPr>
        <w:t>174 тыс. руб.</w:t>
      </w:r>
    </w:p>
    <w:p w14:paraId="33819281" w14:textId="77777777" w:rsidR="00767AB3" w:rsidRPr="00F94FED" w:rsidRDefault="00767AB3" w:rsidP="00F94FED">
      <w:pPr>
        <w:widowControl w:val="0"/>
        <w:autoSpaceDE w:val="0"/>
        <w:autoSpaceDN w:val="0"/>
        <w:adjustRightInd w:val="0"/>
        <w:spacing w:after="0" w:line="360" w:lineRule="auto"/>
        <w:ind w:firstLine="567"/>
        <w:jc w:val="both"/>
        <w:rPr>
          <w:rFonts w:eastAsia="Times New Roman"/>
          <w:sz w:val="26"/>
          <w:szCs w:val="26"/>
          <w:lang w:eastAsia="ru-RU"/>
        </w:rPr>
      </w:pPr>
    </w:p>
    <w:p w14:paraId="130294E3" w14:textId="3885C43F" w:rsidR="009A4C46" w:rsidRPr="00F94FED" w:rsidRDefault="003E2802" w:rsidP="001D2691">
      <w:pPr>
        <w:widowControl w:val="0"/>
        <w:autoSpaceDE w:val="0"/>
        <w:autoSpaceDN w:val="0"/>
        <w:adjustRightInd w:val="0"/>
        <w:spacing w:after="0" w:line="360" w:lineRule="auto"/>
        <w:jc w:val="both"/>
        <w:rPr>
          <w:rFonts w:eastAsia="Times New Roman"/>
          <w:b/>
          <w:sz w:val="26"/>
          <w:szCs w:val="26"/>
          <w:lang w:eastAsia="ru-RU"/>
        </w:rPr>
      </w:pPr>
      <w:r w:rsidRPr="00F94FED">
        <w:rPr>
          <w:rFonts w:eastAsia="Times New Roman"/>
          <w:b/>
          <w:sz w:val="26"/>
          <w:szCs w:val="26"/>
          <w:lang w:eastAsia="ru-RU"/>
        </w:rPr>
        <w:t>ПОЗИЦИЯ ИСПОЛНИТЕЛЯ</w:t>
      </w:r>
    </w:p>
    <w:p w14:paraId="651678DE" w14:textId="77777777" w:rsidR="009A4C46" w:rsidRPr="00F94FED" w:rsidRDefault="009A4C46" w:rsidP="00F94FED">
      <w:pPr>
        <w:widowControl w:val="0"/>
        <w:autoSpaceDE w:val="0"/>
        <w:autoSpaceDN w:val="0"/>
        <w:adjustRightInd w:val="0"/>
        <w:spacing w:after="0" w:line="360" w:lineRule="auto"/>
        <w:ind w:firstLine="567"/>
        <w:jc w:val="both"/>
        <w:rPr>
          <w:rFonts w:eastAsia="Times New Roman"/>
          <w:sz w:val="26"/>
          <w:szCs w:val="26"/>
          <w:lang w:eastAsia="ru-RU"/>
        </w:rPr>
      </w:pPr>
      <w:r w:rsidRPr="00F94FED">
        <w:rPr>
          <w:rFonts w:eastAsia="Times New Roman"/>
          <w:sz w:val="26"/>
          <w:szCs w:val="26"/>
          <w:lang w:eastAsia="ru-RU"/>
        </w:rPr>
        <w:t>Исполнителем выполнен расчет корректировки НВВ на 2019 год с учетом достижения требуемого уровня надежности и качества услуг.</w:t>
      </w:r>
    </w:p>
    <w:p w14:paraId="2A27C387" w14:textId="5CE73210" w:rsidR="009A4C46" w:rsidRPr="00F94FED" w:rsidRDefault="009A4C46" w:rsidP="00F94FED">
      <w:pPr>
        <w:spacing w:after="0" w:line="360" w:lineRule="auto"/>
        <w:ind w:firstLine="567"/>
        <w:jc w:val="both"/>
        <w:rPr>
          <w:rFonts w:eastAsia="Times New Roman"/>
          <w:sz w:val="26"/>
          <w:szCs w:val="26"/>
          <w:lang w:eastAsia="ru-RU"/>
        </w:rPr>
      </w:pPr>
      <w:r w:rsidRPr="00F94FED">
        <w:rPr>
          <w:rFonts w:eastAsia="Times New Roman"/>
          <w:sz w:val="26"/>
          <w:szCs w:val="26"/>
          <w:lang w:eastAsia="ru-RU"/>
        </w:rPr>
        <w:t>На долгосрочный период 2012-2017</w:t>
      </w:r>
      <w:r w:rsidR="003E2802">
        <w:rPr>
          <w:rFonts w:eastAsia="Times New Roman"/>
          <w:sz w:val="26"/>
          <w:szCs w:val="26"/>
          <w:lang w:eastAsia="ru-RU"/>
        </w:rPr>
        <w:t xml:space="preserve"> гг.</w:t>
      </w:r>
      <w:r w:rsidRPr="00F94FED">
        <w:rPr>
          <w:rFonts w:eastAsia="Times New Roman"/>
          <w:sz w:val="26"/>
          <w:szCs w:val="26"/>
          <w:lang w:eastAsia="ru-RU"/>
        </w:rPr>
        <w:t xml:space="preserve"> АО «Тываэнерго» первоначально были предложены следующие показатели надежности и качества услуг:</w:t>
      </w:r>
    </w:p>
    <w:tbl>
      <w:tblP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3397"/>
        <w:gridCol w:w="984"/>
        <w:gridCol w:w="995"/>
        <w:gridCol w:w="1133"/>
        <w:gridCol w:w="995"/>
        <w:gridCol w:w="853"/>
        <w:gridCol w:w="985"/>
        <w:gridCol w:w="7"/>
      </w:tblGrid>
      <w:tr w:rsidR="009A4C46" w:rsidRPr="009A4C46" w14:paraId="326AF753" w14:textId="77777777" w:rsidTr="00CB5AA8">
        <w:trPr>
          <w:trHeight w:val="20"/>
          <w:tblHeader/>
        </w:trPr>
        <w:tc>
          <w:tcPr>
            <w:tcW w:w="181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284D494" w14:textId="77777777" w:rsidR="009A4C46" w:rsidRPr="00F94FED" w:rsidRDefault="009A4C46" w:rsidP="009A4C46">
            <w:pPr>
              <w:spacing w:after="0" w:line="276" w:lineRule="auto"/>
              <w:ind w:hanging="15"/>
              <w:jc w:val="center"/>
              <w:rPr>
                <w:rFonts w:eastAsia="Times New Roman"/>
                <w:b/>
                <w:bCs/>
                <w:color w:val="FFFFFF" w:themeColor="background1"/>
                <w:lang w:eastAsia="ru-RU"/>
              </w:rPr>
            </w:pPr>
            <w:r w:rsidRPr="00F94FED">
              <w:rPr>
                <w:rFonts w:eastAsia="Times New Roman"/>
                <w:b/>
                <w:bCs/>
                <w:color w:val="FFFFFF" w:themeColor="background1"/>
                <w:lang w:eastAsia="ru-RU"/>
              </w:rPr>
              <w:t>Показатель</w:t>
            </w:r>
          </w:p>
        </w:tc>
        <w:tc>
          <w:tcPr>
            <w:tcW w:w="3183" w:type="pct"/>
            <w:gridSpan w:val="7"/>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CDC16FE" w14:textId="77777777" w:rsidR="009A4C46" w:rsidRPr="00F94FED" w:rsidRDefault="009A4C46" w:rsidP="009A4C46">
            <w:pPr>
              <w:spacing w:after="0" w:line="276" w:lineRule="auto"/>
              <w:ind w:firstLine="567"/>
              <w:jc w:val="center"/>
              <w:rPr>
                <w:rFonts w:eastAsia="Times New Roman"/>
                <w:b/>
                <w:bCs/>
                <w:color w:val="FFFFFF" w:themeColor="background1"/>
                <w:lang w:eastAsia="ru-RU"/>
              </w:rPr>
            </w:pPr>
            <w:r w:rsidRPr="00F94FED">
              <w:rPr>
                <w:rFonts w:eastAsia="Times New Roman"/>
                <w:b/>
                <w:bCs/>
                <w:color w:val="FFFFFF" w:themeColor="background1"/>
                <w:lang w:eastAsia="ru-RU"/>
              </w:rPr>
              <w:t>Значение показателя</w:t>
            </w:r>
          </w:p>
        </w:tc>
      </w:tr>
      <w:tr w:rsidR="009A4C46" w:rsidRPr="009A4C46" w14:paraId="5DDE6F9F" w14:textId="77777777" w:rsidTr="00CB5AA8">
        <w:trPr>
          <w:gridAfter w:val="1"/>
          <w:wAfter w:w="6" w:type="pct"/>
          <w:trHeight w:val="20"/>
          <w:tblHeader/>
        </w:trPr>
        <w:tc>
          <w:tcPr>
            <w:tcW w:w="181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C9EF7F4" w14:textId="77777777" w:rsidR="009A4C46" w:rsidRPr="00F94FED" w:rsidRDefault="009A4C46" w:rsidP="009A4C46">
            <w:pPr>
              <w:spacing w:after="0" w:line="276" w:lineRule="auto"/>
              <w:ind w:hanging="15"/>
              <w:jc w:val="center"/>
              <w:rPr>
                <w:rFonts w:eastAsia="Times New Roman"/>
                <w:b/>
                <w:bCs/>
                <w:color w:val="FFFFFF" w:themeColor="background1"/>
                <w:lang w:eastAsia="ru-RU"/>
              </w:rPr>
            </w:pPr>
          </w:p>
        </w:tc>
        <w:tc>
          <w:tcPr>
            <w:tcW w:w="52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99B2C74" w14:textId="77777777" w:rsidR="009A4C46" w:rsidRPr="00F94FED" w:rsidRDefault="009A4C46" w:rsidP="009A4C46">
            <w:pPr>
              <w:spacing w:after="0" w:line="276" w:lineRule="auto"/>
              <w:ind w:hanging="15"/>
              <w:jc w:val="center"/>
              <w:rPr>
                <w:rFonts w:eastAsia="Times New Roman"/>
                <w:b/>
                <w:bCs/>
                <w:color w:val="FFFFFF" w:themeColor="background1"/>
                <w:lang w:eastAsia="ru-RU"/>
              </w:rPr>
            </w:pPr>
            <w:r w:rsidRPr="00F94FED">
              <w:rPr>
                <w:rFonts w:eastAsia="Times New Roman"/>
                <w:b/>
                <w:bCs/>
                <w:color w:val="FFFFFF" w:themeColor="background1"/>
                <w:lang w:eastAsia="ru-RU"/>
              </w:rPr>
              <w:t>2012</w:t>
            </w:r>
          </w:p>
        </w:tc>
        <w:tc>
          <w:tcPr>
            <w:tcW w:w="53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1050555" w14:textId="77777777" w:rsidR="009A4C46" w:rsidRPr="00F94FED" w:rsidRDefault="009A4C46" w:rsidP="009A4C46">
            <w:pPr>
              <w:spacing w:after="0" w:line="276" w:lineRule="auto"/>
              <w:ind w:hanging="15"/>
              <w:jc w:val="center"/>
              <w:rPr>
                <w:rFonts w:eastAsia="Times New Roman"/>
                <w:b/>
                <w:bCs/>
                <w:color w:val="FFFFFF" w:themeColor="background1"/>
                <w:lang w:eastAsia="ru-RU"/>
              </w:rPr>
            </w:pPr>
            <w:r w:rsidRPr="00F94FED">
              <w:rPr>
                <w:rFonts w:eastAsia="Times New Roman"/>
                <w:b/>
                <w:bCs/>
                <w:color w:val="FFFFFF" w:themeColor="background1"/>
                <w:lang w:eastAsia="ru-RU"/>
              </w:rPr>
              <w:t>2013</w:t>
            </w:r>
          </w:p>
        </w:tc>
        <w:tc>
          <w:tcPr>
            <w:tcW w:w="60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8AA4147" w14:textId="77777777" w:rsidR="009A4C46" w:rsidRPr="00F94FED" w:rsidRDefault="009A4C46" w:rsidP="009A4C46">
            <w:pPr>
              <w:spacing w:after="0" w:line="276" w:lineRule="auto"/>
              <w:ind w:hanging="15"/>
              <w:jc w:val="center"/>
              <w:rPr>
                <w:rFonts w:eastAsia="Times New Roman"/>
                <w:b/>
                <w:bCs/>
                <w:color w:val="FFFFFF" w:themeColor="background1"/>
                <w:lang w:eastAsia="ru-RU"/>
              </w:rPr>
            </w:pPr>
            <w:r w:rsidRPr="00F94FED">
              <w:rPr>
                <w:rFonts w:eastAsia="Times New Roman"/>
                <w:b/>
                <w:bCs/>
                <w:color w:val="FFFFFF" w:themeColor="background1"/>
                <w:lang w:eastAsia="ru-RU"/>
              </w:rPr>
              <w:t>2014</w:t>
            </w:r>
          </w:p>
        </w:tc>
        <w:tc>
          <w:tcPr>
            <w:tcW w:w="53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69731DD" w14:textId="77777777" w:rsidR="009A4C46" w:rsidRPr="00F94FED" w:rsidRDefault="009A4C46" w:rsidP="009A4C46">
            <w:pPr>
              <w:spacing w:after="0" w:line="276" w:lineRule="auto"/>
              <w:ind w:hanging="15"/>
              <w:jc w:val="center"/>
              <w:rPr>
                <w:rFonts w:eastAsia="Times New Roman"/>
                <w:b/>
                <w:bCs/>
                <w:color w:val="FFFFFF" w:themeColor="background1"/>
                <w:lang w:eastAsia="ru-RU"/>
              </w:rPr>
            </w:pPr>
            <w:r w:rsidRPr="00F94FED">
              <w:rPr>
                <w:rFonts w:eastAsia="Times New Roman"/>
                <w:b/>
                <w:bCs/>
                <w:color w:val="FFFFFF" w:themeColor="background1"/>
                <w:lang w:eastAsia="ru-RU"/>
              </w:rPr>
              <w:t>2015</w:t>
            </w:r>
          </w:p>
        </w:tc>
        <w:tc>
          <w:tcPr>
            <w:tcW w:w="4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160A26F" w14:textId="77777777" w:rsidR="009A4C46" w:rsidRPr="00F94FED" w:rsidRDefault="009A4C46" w:rsidP="009A4C46">
            <w:pPr>
              <w:spacing w:after="0" w:line="276" w:lineRule="auto"/>
              <w:ind w:hanging="15"/>
              <w:jc w:val="center"/>
              <w:rPr>
                <w:rFonts w:eastAsia="Times New Roman"/>
                <w:b/>
                <w:bCs/>
                <w:color w:val="FFFFFF" w:themeColor="background1"/>
                <w:lang w:eastAsia="ru-RU"/>
              </w:rPr>
            </w:pPr>
            <w:r w:rsidRPr="00F94FED">
              <w:rPr>
                <w:rFonts w:eastAsia="Times New Roman"/>
                <w:b/>
                <w:bCs/>
                <w:color w:val="FFFFFF" w:themeColor="background1"/>
                <w:lang w:eastAsia="ru-RU"/>
              </w:rPr>
              <w:t>2016</w:t>
            </w:r>
          </w:p>
        </w:tc>
        <w:tc>
          <w:tcPr>
            <w:tcW w:w="5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33444A2D" w14:textId="77777777" w:rsidR="009A4C46" w:rsidRPr="00F94FED" w:rsidRDefault="009A4C46" w:rsidP="009A4C46">
            <w:pPr>
              <w:spacing w:after="0" w:line="276" w:lineRule="auto"/>
              <w:ind w:hanging="15"/>
              <w:jc w:val="center"/>
              <w:rPr>
                <w:rFonts w:eastAsia="Times New Roman"/>
                <w:b/>
                <w:bCs/>
                <w:color w:val="FFFFFF" w:themeColor="background1"/>
                <w:lang w:eastAsia="ru-RU"/>
              </w:rPr>
            </w:pPr>
            <w:r w:rsidRPr="00F94FED">
              <w:rPr>
                <w:rFonts w:eastAsia="Times New Roman"/>
                <w:b/>
                <w:bCs/>
                <w:color w:val="FFFFFF" w:themeColor="background1"/>
                <w:lang w:eastAsia="ru-RU"/>
              </w:rPr>
              <w:t>2017</w:t>
            </w:r>
          </w:p>
        </w:tc>
      </w:tr>
      <w:tr w:rsidR="009A4C46" w:rsidRPr="009A4C46" w14:paraId="7BDA0C00" w14:textId="77777777" w:rsidTr="00CB5AA8">
        <w:trPr>
          <w:gridAfter w:val="1"/>
          <w:wAfter w:w="6" w:type="pct"/>
          <w:trHeight w:val="20"/>
          <w:tblHeader/>
        </w:trPr>
        <w:tc>
          <w:tcPr>
            <w:tcW w:w="181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96D0758" w14:textId="77777777" w:rsidR="009A4C46" w:rsidRPr="00F94FED" w:rsidRDefault="009A4C46" w:rsidP="009A4C46">
            <w:pPr>
              <w:spacing w:after="0" w:line="276" w:lineRule="auto"/>
              <w:ind w:hanging="15"/>
              <w:jc w:val="center"/>
              <w:rPr>
                <w:rFonts w:eastAsia="Times New Roman"/>
                <w:b/>
                <w:bCs/>
                <w:color w:val="FFFFFF" w:themeColor="background1"/>
                <w:lang w:eastAsia="ru-RU"/>
              </w:rPr>
            </w:pPr>
            <w:r w:rsidRPr="00F94FED">
              <w:rPr>
                <w:rFonts w:eastAsia="Times New Roman"/>
                <w:b/>
                <w:bCs/>
                <w:color w:val="FFFFFF" w:themeColor="background1"/>
                <w:lang w:eastAsia="ru-RU"/>
              </w:rPr>
              <w:t>1</w:t>
            </w:r>
          </w:p>
        </w:tc>
        <w:tc>
          <w:tcPr>
            <w:tcW w:w="52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6BF99FB" w14:textId="77777777" w:rsidR="009A4C46" w:rsidRPr="00F94FED" w:rsidRDefault="009A4C46" w:rsidP="009A4C46">
            <w:pPr>
              <w:spacing w:after="0" w:line="276" w:lineRule="auto"/>
              <w:ind w:hanging="15"/>
              <w:jc w:val="center"/>
              <w:rPr>
                <w:rFonts w:eastAsia="Times New Roman"/>
                <w:b/>
                <w:bCs/>
                <w:color w:val="FFFFFF" w:themeColor="background1"/>
                <w:lang w:eastAsia="ru-RU"/>
              </w:rPr>
            </w:pPr>
            <w:r w:rsidRPr="00F94FED">
              <w:rPr>
                <w:rFonts w:eastAsia="Times New Roman"/>
                <w:b/>
                <w:bCs/>
                <w:color w:val="FFFFFF" w:themeColor="background1"/>
                <w:lang w:eastAsia="ru-RU"/>
              </w:rPr>
              <w:t>2</w:t>
            </w:r>
          </w:p>
        </w:tc>
        <w:tc>
          <w:tcPr>
            <w:tcW w:w="53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F82F1F3" w14:textId="77777777" w:rsidR="009A4C46" w:rsidRPr="00F94FED" w:rsidRDefault="009A4C46" w:rsidP="009A4C46">
            <w:pPr>
              <w:spacing w:after="0" w:line="276" w:lineRule="auto"/>
              <w:ind w:hanging="15"/>
              <w:jc w:val="center"/>
              <w:rPr>
                <w:rFonts w:eastAsia="Times New Roman"/>
                <w:b/>
                <w:bCs/>
                <w:color w:val="FFFFFF" w:themeColor="background1"/>
                <w:lang w:eastAsia="ru-RU"/>
              </w:rPr>
            </w:pPr>
            <w:r w:rsidRPr="00F94FED">
              <w:rPr>
                <w:rFonts w:eastAsia="Times New Roman"/>
                <w:b/>
                <w:bCs/>
                <w:color w:val="FFFFFF" w:themeColor="background1"/>
                <w:lang w:eastAsia="ru-RU"/>
              </w:rPr>
              <w:t>3</w:t>
            </w:r>
          </w:p>
        </w:tc>
        <w:tc>
          <w:tcPr>
            <w:tcW w:w="60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D88C0DA" w14:textId="77777777" w:rsidR="009A4C46" w:rsidRPr="00F94FED" w:rsidRDefault="009A4C46" w:rsidP="009A4C46">
            <w:pPr>
              <w:spacing w:after="0" w:line="276" w:lineRule="auto"/>
              <w:ind w:hanging="15"/>
              <w:jc w:val="center"/>
              <w:rPr>
                <w:rFonts w:eastAsia="Times New Roman"/>
                <w:b/>
                <w:bCs/>
                <w:color w:val="FFFFFF" w:themeColor="background1"/>
                <w:lang w:eastAsia="ru-RU"/>
              </w:rPr>
            </w:pPr>
            <w:r w:rsidRPr="00F94FED">
              <w:rPr>
                <w:rFonts w:eastAsia="Times New Roman"/>
                <w:b/>
                <w:bCs/>
                <w:color w:val="FFFFFF" w:themeColor="background1"/>
                <w:lang w:eastAsia="ru-RU"/>
              </w:rPr>
              <w:t>4</w:t>
            </w:r>
          </w:p>
        </w:tc>
        <w:tc>
          <w:tcPr>
            <w:tcW w:w="53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25B79A3" w14:textId="77777777" w:rsidR="009A4C46" w:rsidRPr="00F94FED" w:rsidRDefault="009A4C46" w:rsidP="009A4C46">
            <w:pPr>
              <w:spacing w:after="0" w:line="276" w:lineRule="auto"/>
              <w:ind w:hanging="15"/>
              <w:jc w:val="center"/>
              <w:rPr>
                <w:rFonts w:eastAsia="Times New Roman"/>
                <w:b/>
                <w:bCs/>
                <w:color w:val="FFFFFF" w:themeColor="background1"/>
                <w:lang w:eastAsia="ru-RU"/>
              </w:rPr>
            </w:pPr>
            <w:r w:rsidRPr="00F94FED">
              <w:rPr>
                <w:rFonts w:eastAsia="Times New Roman"/>
                <w:b/>
                <w:bCs/>
                <w:color w:val="FFFFFF" w:themeColor="background1"/>
                <w:lang w:eastAsia="ru-RU"/>
              </w:rPr>
              <w:t>5</w:t>
            </w:r>
          </w:p>
        </w:tc>
        <w:tc>
          <w:tcPr>
            <w:tcW w:w="4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A56213C" w14:textId="77777777" w:rsidR="009A4C46" w:rsidRPr="00F94FED" w:rsidRDefault="009A4C46" w:rsidP="009A4C46">
            <w:pPr>
              <w:spacing w:after="0" w:line="276" w:lineRule="auto"/>
              <w:ind w:hanging="15"/>
              <w:jc w:val="center"/>
              <w:rPr>
                <w:rFonts w:eastAsia="Times New Roman"/>
                <w:b/>
                <w:bCs/>
                <w:color w:val="FFFFFF" w:themeColor="background1"/>
                <w:lang w:eastAsia="ru-RU"/>
              </w:rPr>
            </w:pPr>
            <w:r w:rsidRPr="00F94FED">
              <w:rPr>
                <w:rFonts w:eastAsia="Times New Roman"/>
                <w:b/>
                <w:bCs/>
                <w:color w:val="FFFFFF" w:themeColor="background1"/>
                <w:lang w:eastAsia="ru-RU"/>
              </w:rPr>
              <w:t>6</w:t>
            </w:r>
          </w:p>
        </w:tc>
        <w:tc>
          <w:tcPr>
            <w:tcW w:w="5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545A510" w14:textId="77777777" w:rsidR="009A4C46" w:rsidRPr="00F94FED" w:rsidRDefault="009A4C46" w:rsidP="009A4C46">
            <w:pPr>
              <w:spacing w:after="0" w:line="276" w:lineRule="auto"/>
              <w:ind w:hanging="15"/>
              <w:jc w:val="center"/>
              <w:rPr>
                <w:rFonts w:eastAsia="Times New Roman"/>
                <w:b/>
                <w:bCs/>
                <w:color w:val="FFFFFF" w:themeColor="background1"/>
                <w:lang w:eastAsia="ru-RU"/>
              </w:rPr>
            </w:pPr>
            <w:r w:rsidRPr="00F94FED">
              <w:rPr>
                <w:rFonts w:eastAsia="Times New Roman"/>
                <w:b/>
                <w:bCs/>
                <w:color w:val="FFFFFF" w:themeColor="background1"/>
                <w:lang w:eastAsia="ru-RU"/>
              </w:rPr>
              <w:t>7</w:t>
            </w:r>
          </w:p>
        </w:tc>
      </w:tr>
      <w:tr w:rsidR="009A4C46" w:rsidRPr="009A4C46" w14:paraId="61334E30" w14:textId="77777777" w:rsidTr="00CB5AA8">
        <w:trPr>
          <w:gridAfter w:val="1"/>
          <w:wAfter w:w="6" w:type="pct"/>
          <w:trHeight w:val="20"/>
        </w:trPr>
        <w:tc>
          <w:tcPr>
            <w:tcW w:w="1817" w:type="pct"/>
            <w:tcBorders>
              <w:top w:val="single" w:sz="4" w:space="0" w:color="FFFFFF" w:themeColor="background1"/>
            </w:tcBorders>
            <w:shd w:val="clear" w:color="auto" w:fill="auto"/>
            <w:vAlign w:val="center"/>
          </w:tcPr>
          <w:p w14:paraId="770B4B9A" w14:textId="77777777" w:rsidR="009A4C46" w:rsidRPr="009A4C46" w:rsidRDefault="009A4C46" w:rsidP="009A4C46">
            <w:pPr>
              <w:spacing w:after="0" w:line="276" w:lineRule="auto"/>
              <w:ind w:hanging="15"/>
              <w:rPr>
                <w:rFonts w:eastAsia="Times New Roman"/>
                <w:lang w:eastAsia="ru-RU"/>
              </w:rPr>
            </w:pPr>
            <w:r w:rsidRPr="009A4C46">
              <w:rPr>
                <w:rFonts w:eastAsia="Times New Roman"/>
                <w:lang w:eastAsia="ru-RU" w:bidi="ru-RU"/>
              </w:rPr>
              <w:t>Показатель уровня надежности оказываемых услуг</w:t>
            </w:r>
          </w:p>
        </w:tc>
        <w:tc>
          <w:tcPr>
            <w:tcW w:w="526" w:type="pct"/>
            <w:tcBorders>
              <w:top w:val="single" w:sz="4" w:space="0" w:color="FFFFFF" w:themeColor="background1"/>
            </w:tcBorders>
            <w:shd w:val="clear" w:color="auto" w:fill="auto"/>
            <w:vAlign w:val="center"/>
          </w:tcPr>
          <w:p w14:paraId="07605540" w14:textId="77777777" w:rsidR="009A4C46" w:rsidRPr="009A4C46" w:rsidRDefault="009A4C46" w:rsidP="009A4C46">
            <w:pPr>
              <w:spacing w:after="0" w:line="276" w:lineRule="auto"/>
              <w:ind w:hanging="15"/>
              <w:jc w:val="center"/>
              <w:rPr>
                <w:rFonts w:eastAsia="Times New Roman"/>
                <w:lang w:eastAsia="ru-RU"/>
              </w:rPr>
            </w:pPr>
            <w:r w:rsidRPr="009A4C46">
              <w:rPr>
                <w:rFonts w:eastAsia="Times New Roman"/>
                <w:lang w:eastAsia="ru-RU"/>
              </w:rPr>
              <w:t>0,1119</w:t>
            </w:r>
          </w:p>
        </w:tc>
        <w:tc>
          <w:tcPr>
            <w:tcW w:w="532" w:type="pct"/>
            <w:tcBorders>
              <w:top w:val="single" w:sz="4" w:space="0" w:color="FFFFFF" w:themeColor="background1"/>
            </w:tcBorders>
            <w:shd w:val="clear" w:color="auto" w:fill="auto"/>
            <w:vAlign w:val="center"/>
          </w:tcPr>
          <w:p w14:paraId="15B326EF" w14:textId="77777777" w:rsidR="009A4C46" w:rsidRPr="009A4C46" w:rsidRDefault="009A4C46" w:rsidP="009A4C46">
            <w:pPr>
              <w:spacing w:after="0" w:line="276" w:lineRule="auto"/>
              <w:ind w:hanging="15"/>
              <w:jc w:val="center"/>
              <w:rPr>
                <w:rFonts w:eastAsia="Times New Roman"/>
                <w:lang w:eastAsia="ru-RU"/>
              </w:rPr>
            </w:pPr>
            <w:r w:rsidRPr="009A4C46">
              <w:rPr>
                <w:rFonts w:eastAsia="Times New Roman"/>
                <w:lang w:eastAsia="ru-RU"/>
              </w:rPr>
              <w:t>0,1110</w:t>
            </w:r>
          </w:p>
        </w:tc>
        <w:tc>
          <w:tcPr>
            <w:tcW w:w="606" w:type="pct"/>
            <w:tcBorders>
              <w:top w:val="single" w:sz="4" w:space="0" w:color="FFFFFF" w:themeColor="background1"/>
            </w:tcBorders>
            <w:shd w:val="clear" w:color="auto" w:fill="auto"/>
            <w:vAlign w:val="center"/>
          </w:tcPr>
          <w:p w14:paraId="14E95886" w14:textId="77777777" w:rsidR="009A4C46" w:rsidRPr="009A4C46" w:rsidRDefault="009A4C46" w:rsidP="009A4C46">
            <w:pPr>
              <w:spacing w:after="0" w:line="276" w:lineRule="auto"/>
              <w:ind w:hanging="15"/>
              <w:jc w:val="center"/>
              <w:rPr>
                <w:rFonts w:eastAsia="Times New Roman"/>
                <w:lang w:eastAsia="ru-RU"/>
              </w:rPr>
            </w:pPr>
            <w:r w:rsidRPr="009A4C46">
              <w:rPr>
                <w:rFonts w:eastAsia="Times New Roman"/>
                <w:lang w:eastAsia="ru-RU"/>
              </w:rPr>
              <w:t>0,1102</w:t>
            </w:r>
          </w:p>
        </w:tc>
        <w:tc>
          <w:tcPr>
            <w:tcW w:w="532" w:type="pct"/>
            <w:tcBorders>
              <w:top w:val="single" w:sz="4" w:space="0" w:color="FFFFFF" w:themeColor="background1"/>
            </w:tcBorders>
            <w:shd w:val="clear" w:color="auto" w:fill="auto"/>
            <w:vAlign w:val="center"/>
          </w:tcPr>
          <w:p w14:paraId="56F5BAE9" w14:textId="77777777" w:rsidR="009A4C46" w:rsidRPr="009A4C46" w:rsidRDefault="009A4C46" w:rsidP="009A4C46">
            <w:pPr>
              <w:spacing w:after="0" w:line="276" w:lineRule="auto"/>
              <w:ind w:hanging="15"/>
              <w:jc w:val="center"/>
              <w:rPr>
                <w:rFonts w:eastAsia="Times New Roman"/>
                <w:lang w:eastAsia="ru-RU"/>
              </w:rPr>
            </w:pPr>
            <w:r w:rsidRPr="009A4C46">
              <w:rPr>
                <w:rFonts w:eastAsia="Times New Roman"/>
                <w:lang w:eastAsia="ru-RU"/>
              </w:rPr>
              <w:t>0,1092</w:t>
            </w:r>
          </w:p>
        </w:tc>
        <w:tc>
          <w:tcPr>
            <w:tcW w:w="456" w:type="pct"/>
            <w:tcBorders>
              <w:top w:val="single" w:sz="4" w:space="0" w:color="FFFFFF" w:themeColor="background1"/>
            </w:tcBorders>
            <w:shd w:val="clear" w:color="auto" w:fill="auto"/>
            <w:vAlign w:val="center"/>
          </w:tcPr>
          <w:p w14:paraId="2C105942" w14:textId="77777777" w:rsidR="009A4C46" w:rsidRPr="009A4C46" w:rsidRDefault="009A4C46" w:rsidP="009A4C46">
            <w:pPr>
              <w:spacing w:after="0" w:line="276" w:lineRule="auto"/>
              <w:ind w:hanging="15"/>
              <w:jc w:val="center"/>
              <w:rPr>
                <w:rFonts w:eastAsia="Times New Roman"/>
                <w:lang w:eastAsia="ru-RU"/>
              </w:rPr>
            </w:pPr>
            <w:r w:rsidRPr="009A4C46">
              <w:rPr>
                <w:rFonts w:eastAsia="Times New Roman"/>
                <w:lang w:eastAsia="ru-RU"/>
              </w:rPr>
              <w:t>0,1084</w:t>
            </w:r>
          </w:p>
        </w:tc>
        <w:tc>
          <w:tcPr>
            <w:tcW w:w="527" w:type="pct"/>
            <w:tcBorders>
              <w:top w:val="single" w:sz="4" w:space="0" w:color="FFFFFF" w:themeColor="background1"/>
            </w:tcBorders>
            <w:vAlign w:val="center"/>
          </w:tcPr>
          <w:p w14:paraId="0A3CFFF0" w14:textId="77777777" w:rsidR="009A4C46" w:rsidRPr="009A4C46" w:rsidRDefault="009A4C46" w:rsidP="009A4C46">
            <w:pPr>
              <w:spacing w:after="0" w:line="276" w:lineRule="auto"/>
              <w:ind w:hanging="15"/>
              <w:jc w:val="center"/>
              <w:rPr>
                <w:rFonts w:eastAsia="Times New Roman"/>
                <w:lang w:eastAsia="ru-RU"/>
              </w:rPr>
            </w:pPr>
            <w:r w:rsidRPr="009A4C46">
              <w:rPr>
                <w:rFonts w:eastAsia="Times New Roman"/>
                <w:lang w:eastAsia="ru-RU"/>
              </w:rPr>
              <w:t>0,1076</w:t>
            </w:r>
          </w:p>
        </w:tc>
      </w:tr>
      <w:tr w:rsidR="009A4C46" w:rsidRPr="009A4C46" w14:paraId="197A54ED" w14:textId="77777777" w:rsidTr="00CB5AA8">
        <w:trPr>
          <w:gridAfter w:val="1"/>
          <w:wAfter w:w="6" w:type="pct"/>
          <w:trHeight w:val="20"/>
        </w:trPr>
        <w:tc>
          <w:tcPr>
            <w:tcW w:w="1817" w:type="pct"/>
            <w:shd w:val="clear" w:color="auto" w:fill="auto"/>
            <w:vAlign w:val="center"/>
          </w:tcPr>
          <w:p w14:paraId="084B6387" w14:textId="77777777" w:rsidR="009A4C46" w:rsidRPr="009A4C46" w:rsidRDefault="009A4C46" w:rsidP="009A4C46">
            <w:pPr>
              <w:spacing w:after="0" w:line="276" w:lineRule="auto"/>
              <w:ind w:hanging="15"/>
              <w:rPr>
                <w:rFonts w:eastAsia="Times New Roman"/>
                <w:lang w:eastAsia="ru-RU"/>
              </w:rPr>
            </w:pPr>
            <w:r w:rsidRPr="009A4C46">
              <w:rPr>
                <w:rFonts w:eastAsia="Times New Roman"/>
                <w:lang w:eastAsia="ru-RU" w:bidi="ru-RU"/>
              </w:rPr>
              <w:t>Показатель уровня качества оказываемых услуг</w:t>
            </w:r>
          </w:p>
        </w:tc>
        <w:tc>
          <w:tcPr>
            <w:tcW w:w="526" w:type="pct"/>
            <w:shd w:val="clear" w:color="auto" w:fill="auto"/>
            <w:vAlign w:val="center"/>
          </w:tcPr>
          <w:p w14:paraId="4F35EE96" w14:textId="77777777" w:rsidR="009A4C46" w:rsidRPr="009A4C46" w:rsidRDefault="009A4C46" w:rsidP="009A4C46">
            <w:pPr>
              <w:spacing w:after="0" w:line="276" w:lineRule="auto"/>
              <w:ind w:hanging="15"/>
              <w:jc w:val="center"/>
              <w:rPr>
                <w:rFonts w:eastAsia="Times New Roman"/>
                <w:lang w:eastAsia="ru-RU"/>
              </w:rPr>
            </w:pPr>
            <w:r w:rsidRPr="009A4C46">
              <w:rPr>
                <w:rFonts w:eastAsia="Times New Roman"/>
                <w:lang w:eastAsia="ru-RU"/>
              </w:rPr>
              <w:t>1,0102</w:t>
            </w:r>
          </w:p>
        </w:tc>
        <w:tc>
          <w:tcPr>
            <w:tcW w:w="532" w:type="pct"/>
            <w:shd w:val="clear" w:color="auto" w:fill="auto"/>
            <w:vAlign w:val="center"/>
          </w:tcPr>
          <w:p w14:paraId="630EC157" w14:textId="77777777" w:rsidR="009A4C46" w:rsidRPr="009A4C46" w:rsidRDefault="009A4C46" w:rsidP="009A4C46">
            <w:pPr>
              <w:spacing w:after="0" w:line="276" w:lineRule="auto"/>
              <w:ind w:hanging="15"/>
              <w:jc w:val="center"/>
              <w:rPr>
                <w:rFonts w:eastAsia="Times New Roman"/>
                <w:lang w:eastAsia="ru-RU"/>
              </w:rPr>
            </w:pPr>
            <w:r w:rsidRPr="009A4C46">
              <w:rPr>
                <w:rFonts w:eastAsia="Times New Roman"/>
                <w:lang w:eastAsia="ru-RU"/>
              </w:rPr>
              <w:t>1,0102</w:t>
            </w:r>
          </w:p>
        </w:tc>
        <w:tc>
          <w:tcPr>
            <w:tcW w:w="606" w:type="pct"/>
            <w:shd w:val="clear" w:color="auto" w:fill="auto"/>
            <w:vAlign w:val="center"/>
          </w:tcPr>
          <w:p w14:paraId="481C0012" w14:textId="77777777" w:rsidR="009A4C46" w:rsidRPr="009A4C46" w:rsidRDefault="009A4C46" w:rsidP="009A4C46">
            <w:pPr>
              <w:spacing w:after="0" w:line="276" w:lineRule="auto"/>
              <w:ind w:hanging="15"/>
              <w:jc w:val="center"/>
              <w:rPr>
                <w:rFonts w:eastAsia="Times New Roman"/>
                <w:lang w:eastAsia="ru-RU"/>
              </w:rPr>
            </w:pPr>
            <w:r w:rsidRPr="009A4C46">
              <w:rPr>
                <w:rFonts w:eastAsia="Times New Roman"/>
                <w:lang w:eastAsia="ru-RU"/>
              </w:rPr>
              <w:t>1,0102</w:t>
            </w:r>
          </w:p>
        </w:tc>
        <w:tc>
          <w:tcPr>
            <w:tcW w:w="532" w:type="pct"/>
            <w:shd w:val="clear" w:color="auto" w:fill="auto"/>
            <w:vAlign w:val="center"/>
          </w:tcPr>
          <w:p w14:paraId="753B87BB" w14:textId="77777777" w:rsidR="009A4C46" w:rsidRPr="009A4C46" w:rsidRDefault="009A4C46" w:rsidP="009A4C46">
            <w:pPr>
              <w:spacing w:after="0" w:line="276" w:lineRule="auto"/>
              <w:ind w:hanging="15"/>
              <w:jc w:val="center"/>
              <w:rPr>
                <w:rFonts w:eastAsia="Times New Roman"/>
                <w:lang w:eastAsia="ru-RU"/>
              </w:rPr>
            </w:pPr>
            <w:r w:rsidRPr="009A4C46">
              <w:rPr>
                <w:rFonts w:eastAsia="Times New Roman"/>
                <w:lang w:eastAsia="ru-RU"/>
              </w:rPr>
              <w:t>1,0102</w:t>
            </w:r>
          </w:p>
        </w:tc>
        <w:tc>
          <w:tcPr>
            <w:tcW w:w="456" w:type="pct"/>
            <w:shd w:val="clear" w:color="auto" w:fill="auto"/>
            <w:vAlign w:val="center"/>
          </w:tcPr>
          <w:p w14:paraId="07D2FEEF" w14:textId="77777777" w:rsidR="009A4C46" w:rsidRPr="009A4C46" w:rsidRDefault="009A4C46" w:rsidP="009A4C46">
            <w:pPr>
              <w:spacing w:after="0" w:line="276" w:lineRule="auto"/>
              <w:ind w:hanging="15"/>
              <w:jc w:val="center"/>
              <w:rPr>
                <w:rFonts w:eastAsia="Times New Roman"/>
                <w:lang w:eastAsia="ru-RU"/>
              </w:rPr>
            </w:pPr>
            <w:r w:rsidRPr="009A4C46">
              <w:rPr>
                <w:rFonts w:eastAsia="Times New Roman"/>
                <w:lang w:eastAsia="ru-RU"/>
              </w:rPr>
              <w:t>1,0102</w:t>
            </w:r>
          </w:p>
        </w:tc>
        <w:tc>
          <w:tcPr>
            <w:tcW w:w="527" w:type="pct"/>
            <w:vAlign w:val="center"/>
          </w:tcPr>
          <w:p w14:paraId="448ABCD0" w14:textId="77777777" w:rsidR="009A4C46" w:rsidRPr="009A4C46" w:rsidRDefault="009A4C46" w:rsidP="009A4C46">
            <w:pPr>
              <w:spacing w:after="0" w:line="276" w:lineRule="auto"/>
              <w:ind w:hanging="15"/>
              <w:jc w:val="center"/>
              <w:rPr>
                <w:rFonts w:eastAsia="Times New Roman"/>
                <w:lang w:eastAsia="ru-RU"/>
              </w:rPr>
            </w:pPr>
            <w:r w:rsidRPr="009A4C46">
              <w:rPr>
                <w:rFonts w:eastAsia="Times New Roman"/>
                <w:lang w:eastAsia="ru-RU"/>
              </w:rPr>
              <w:t>1,0102</w:t>
            </w:r>
          </w:p>
        </w:tc>
      </w:tr>
    </w:tbl>
    <w:p w14:paraId="0518C804" w14:textId="5E4BE29B" w:rsidR="009A4C46" w:rsidRPr="00F94FED" w:rsidRDefault="009A4C46" w:rsidP="00F94FED">
      <w:pPr>
        <w:spacing w:after="0" w:line="360" w:lineRule="auto"/>
        <w:ind w:firstLine="567"/>
        <w:jc w:val="both"/>
        <w:rPr>
          <w:rFonts w:eastAsia="Times New Roman"/>
          <w:sz w:val="26"/>
          <w:szCs w:val="26"/>
          <w:lang w:eastAsia="ru-RU"/>
        </w:rPr>
      </w:pPr>
      <w:r w:rsidRPr="00F94FED">
        <w:rPr>
          <w:rFonts w:eastAsia="Times New Roman"/>
          <w:sz w:val="26"/>
          <w:szCs w:val="26"/>
          <w:lang w:eastAsia="ru-RU"/>
        </w:rPr>
        <w:lastRenderedPageBreak/>
        <w:t>В составе документов, предоставленных в Службу по тарифам Республики Тыва в рамках предложения по продления срока действия долгосрочного периода регулирования тарифов на услуги по передаче электрической энергии с применением метода долгосрочной индексации необходимой валовой выручки до 2022 г</w:t>
      </w:r>
      <w:r w:rsidR="003E2802">
        <w:rPr>
          <w:rFonts w:eastAsia="Times New Roman"/>
          <w:sz w:val="26"/>
          <w:szCs w:val="26"/>
          <w:lang w:eastAsia="ru-RU"/>
        </w:rPr>
        <w:t>ода</w:t>
      </w:r>
      <w:r w:rsidRPr="00F94FED">
        <w:rPr>
          <w:rFonts w:eastAsia="Times New Roman"/>
          <w:sz w:val="26"/>
          <w:szCs w:val="26"/>
          <w:lang w:eastAsia="ru-RU"/>
        </w:rPr>
        <w:t xml:space="preserve"> АО «Тываэнерго» были предложены следующие показатели надежности и качества услуг:</w:t>
      </w:r>
    </w:p>
    <w:tbl>
      <w:tblPr>
        <w:tblW w:w="5000" w:type="pct"/>
        <w:tblCellMar>
          <w:left w:w="10" w:type="dxa"/>
          <w:right w:w="10" w:type="dxa"/>
        </w:tblCellMar>
        <w:tblLook w:val="04A0" w:firstRow="1" w:lastRow="0" w:firstColumn="1" w:lastColumn="0" w:noHBand="0" w:noVBand="1"/>
      </w:tblPr>
      <w:tblGrid>
        <w:gridCol w:w="1823"/>
        <w:gridCol w:w="682"/>
        <w:gridCol w:w="684"/>
        <w:gridCol w:w="684"/>
        <w:gridCol w:w="684"/>
        <w:gridCol w:w="684"/>
        <w:gridCol w:w="682"/>
        <w:gridCol w:w="684"/>
        <w:gridCol w:w="684"/>
        <w:gridCol w:w="684"/>
        <w:gridCol w:w="684"/>
        <w:gridCol w:w="686"/>
      </w:tblGrid>
      <w:tr w:rsidR="003E2802" w:rsidRPr="003E2802" w14:paraId="63D8BF21" w14:textId="77777777" w:rsidTr="003E2802">
        <w:trPr>
          <w:trHeight w:val="20"/>
          <w:tblHeader/>
        </w:trPr>
        <w:tc>
          <w:tcPr>
            <w:tcW w:w="97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2BDF29C" w14:textId="77777777" w:rsidR="009A4C46" w:rsidRPr="00F94FED" w:rsidRDefault="009A4C46" w:rsidP="009A4C46">
            <w:pPr>
              <w:spacing w:after="0" w:line="276" w:lineRule="auto"/>
              <w:ind w:hanging="15"/>
              <w:jc w:val="center"/>
              <w:rPr>
                <w:rFonts w:eastAsia="Times New Roman"/>
                <w:b/>
                <w:bCs/>
                <w:color w:val="FFFFFF" w:themeColor="background1"/>
                <w:lang w:eastAsia="ru-RU"/>
              </w:rPr>
            </w:pPr>
            <w:r w:rsidRPr="00F94FED">
              <w:rPr>
                <w:rFonts w:eastAsia="Times New Roman"/>
                <w:b/>
                <w:bCs/>
                <w:color w:val="FFFFFF" w:themeColor="background1"/>
                <w:lang w:eastAsia="ru-RU"/>
              </w:rPr>
              <w:t>Показатель</w:t>
            </w:r>
          </w:p>
        </w:tc>
        <w:tc>
          <w:tcPr>
            <w:tcW w:w="4025" w:type="pct"/>
            <w:gridSpan w:val="11"/>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6C110424" w14:textId="77777777" w:rsidR="009A4C46" w:rsidRPr="00F94FED" w:rsidRDefault="009A4C46" w:rsidP="009A4C46">
            <w:pPr>
              <w:spacing w:after="0" w:line="276" w:lineRule="auto"/>
              <w:ind w:firstLine="567"/>
              <w:jc w:val="center"/>
              <w:rPr>
                <w:rFonts w:eastAsia="Times New Roman"/>
                <w:b/>
                <w:bCs/>
                <w:color w:val="FFFFFF" w:themeColor="background1"/>
                <w:lang w:eastAsia="ru-RU"/>
              </w:rPr>
            </w:pPr>
            <w:r w:rsidRPr="00F94FED">
              <w:rPr>
                <w:rFonts w:eastAsia="Times New Roman"/>
                <w:b/>
                <w:bCs/>
                <w:color w:val="FFFFFF" w:themeColor="background1"/>
                <w:lang w:eastAsia="ru-RU"/>
              </w:rPr>
              <w:t>Значение показателя</w:t>
            </w:r>
          </w:p>
        </w:tc>
      </w:tr>
      <w:tr w:rsidR="003E2802" w:rsidRPr="003E2802" w14:paraId="6A99E61A" w14:textId="77777777" w:rsidTr="003E2802">
        <w:trPr>
          <w:trHeight w:val="20"/>
          <w:tblHeader/>
        </w:trPr>
        <w:tc>
          <w:tcPr>
            <w:tcW w:w="97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D293E1E" w14:textId="77777777" w:rsidR="009A4C46" w:rsidRPr="00F94FED" w:rsidRDefault="009A4C46" w:rsidP="009A4C46">
            <w:pPr>
              <w:spacing w:after="0" w:line="276" w:lineRule="auto"/>
              <w:ind w:hanging="15"/>
              <w:jc w:val="center"/>
              <w:rPr>
                <w:rFonts w:eastAsia="Times New Roman"/>
                <w:b/>
                <w:bCs/>
                <w:color w:val="FFFFFF" w:themeColor="background1"/>
                <w:lang w:eastAsia="ru-RU"/>
              </w:rPr>
            </w:pPr>
          </w:p>
        </w:tc>
        <w:tc>
          <w:tcPr>
            <w:tcW w:w="36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240B24F" w14:textId="77777777" w:rsidR="009A4C46" w:rsidRPr="00F94FED" w:rsidRDefault="009A4C46" w:rsidP="009A4C46">
            <w:pPr>
              <w:spacing w:after="0" w:line="276" w:lineRule="auto"/>
              <w:ind w:hanging="15"/>
              <w:jc w:val="center"/>
              <w:rPr>
                <w:rFonts w:eastAsia="Times New Roman"/>
                <w:b/>
                <w:bCs/>
                <w:color w:val="FFFFFF" w:themeColor="background1"/>
                <w:lang w:eastAsia="ru-RU"/>
              </w:rPr>
            </w:pPr>
            <w:r w:rsidRPr="00F94FED">
              <w:rPr>
                <w:rFonts w:eastAsia="Times New Roman"/>
                <w:b/>
                <w:bCs/>
                <w:color w:val="FFFFFF" w:themeColor="background1"/>
                <w:lang w:eastAsia="ru-RU"/>
              </w:rPr>
              <w:t>2012</w:t>
            </w:r>
          </w:p>
        </w:tc>
        <w:tc>
          <w:tcPr>
            <w:tcW w:w="36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7053707" w14:textId="77777777" w:rsidR="009A4C46" w:rsidRPr="00F94FED" w:rsidRDefault="009A4C46" w:rsidP="009A4C46">
            <w:pPr>
              <w:spacing w:after="0" w:line="276" w:lineRule="auto"/>
              <w:ind w:hanging="15"/>
              <w:jc w:val="center"/>
              <w:rPr>
                <w:rFonts w:eastAsia="Times New Roman"/>
                <w:b/>
                <w:bCs/>
                <w:color w:val="FFFFFF" w:themeColor="background1"/>
                <w:lang w:eastAsia="ru-RU"/>
              </w:rPr>
            </w:pPr>
            <w:r w:rsidRPr="00F94FED">
              <w:rPr>
                <w:rFonts w:eastAsia="Times New Roman"/>
                <w:b/>
                <w:bCs/>
                <w:color w:val="FFFFFF" w:themeColor="background1"/>
                <w:lang w:eastAsia="ru-RU"/>
              </w:rPr>
              <w:t>2013</w:t>
            </w:r>
          </w:p>
        </w:tc>
        <w:tc>
          <w:tcPr>
            <w:tcW w:w="36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E1CAF1B" w14:textId="77777777" w:rsidR="009A4C46" w:rsidRPr="00F94FED" w:rsidRDefault="009A4C46" w:rsidP="009A4C46">
            <w:pPr>
              <w:spacing w:after="0" w:line="276" w:lineRule="auto"/>
              <w:ind w:hanging="15"/>
              <w:jc w:val="center"/>
              <w:rPr>
                <w:rFonts w:eastAsia="Times New Roman"/>
                <w:b/>
                <w:bCs/>
                <w:color w:val="FFFFFF" w:themeColor="background1"/>
                <w:lang w:eastAsia="ru-RU"/>
              </w:rPr>
            </w:pPr>
            <w:r w:rsidRPr="00F94FED">
              <w:rPr>
                <w:rFonts w:eastAsia="Times New Roman"/>
                <w:b/>
                <w:bCs/>
                <w:color w:val="FFFFFF" w:themeColor="background1"/>
                <w:lang w:eastAsia="ru-RU"/>
              </w:rPr>
              <w:t>2014</w:t>
            </w:r>
          </w:p>
        </w:tc>
        <w:tc>
          <w:tcPr>
            <w:tcW w:w="36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D768C0B" w14:textId="77777777" w:rsidR="009A4C46" w:rsidRPr="00F94FED" w:rsidRDefault="009A4C46" w:rsidP="009A4C46">
            <w:pPr>
              <w:spacing w:after="0" w:line="276" w:lineRule="auto"/>
              <w:ind w:hanging="15"/>
              <w:jc w:val="center"/>
              <w:rPr>
                <w:rFonts w:eastAsia="Times New Roman"/>
                <w:b/>
                <w:bCs/>
                <w:color w:val="FFFFFF" w:themeColor="background1"/>
                <w:lang w:eastAsia="ru-RU"/>
              </w:rPr>
            </w:pPr>
            <w:r w:rsidRPr="00F94FED">
              <w:rPr>
                <w:rFonts w:eastAsia="Times New Roman"/>
                <w:b/>
                <w:bCs/>
                <w:color w:val="FFFFFF" w:themeColor="background1"/>
                <w:lang w:eastAsia="ru-RU"/>
              </w:rPr>
              <w:t>2015</w:t>
            </w:r>
          </w:p>
        </w:tc>
        <w:tc>
          <w:tcPr>
            <w:tcW w:w="36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7E76C9F" w14:textId="77777777" w:rsidR="009A4C46" w:rsidRPr="00F94FED" w:rsidRDefault="009A4C46" w:rsidP="009A4C46">
            <w:pPr>
              <w:spacing w:after="0" w:line="276" w:lineRule="auto"/>
              <w:ind w:hanging="15"/>
              <w:jc w:val="center"/>
              <w:rPr>
                <w:rFonts w:eastAsia="Times New Roman"/>
                <w:b/>
                <w:bCs/>
                <w:color w:val="FFFFFF" w:themeColor="background1"/>
                <w:lang w:eastAsia="ru-RU"/>
              </w:rPr>
            </w:pPr>
            <w:r w:rsidRPr="00F94FED">
              <w:rPr>
                <w:rFonts w:eastAsia="Times New Roman"/>
                <w:b/>
                <w:bCs/>
                <w:color w:val="FFFFFF" w:themeColor="background1"/>
                <w:lang w:eastAsia="ru-RU"/>
              </w:rPr>
              <w:t>2016</w:t>
            </w:r>
          </w:p>
        </w:tc>
        <w:tc>
          <w:tcPr>
            <w:tcW w:w="36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743ED571" w14:textId="77777777" w:rsidR="009A4C46" w:rsidRPr="00F94FED" w:rsidRDefault="009A4C46" w:rsidP="009A4C46">
            <w:pPr>
              <w:spacing w:after="0" w:line="276" w:lineRule="auto"/>
              <w:ind w:hanging="15"/>
              <w:jc w:val="center"/>
              <w:rPr>
                <w:rFonts w:eastAsia="Times New Roman"/>
                <w:b/>
                <w:bCs/>
                <w:color w:val="FFFFFF" w:themeColor="background1"/>
                <w:lang w:eastAsia="ru-RU"/>
              </w:rPr>
            </w:pPr>
            <w:r w:rsidRPr="00F94FED">
              <w:rPr>
                <w:rFonts w:eastAsia="Times New Roman"/>
                <w:b/>
                <w:bCs/>
                <w:color w:val="FFFFFF" w:themeColor="background1"/>
                <w:lang w:eastAsia="ru-RU"/>
              </w:rPr>
              <w:t>2017</w:t>
            </w:r>
          </w:p>
        </w:tc>
        <w:tc>
          <w:tcPr>
            <w:tcW w:w="36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298F4D68" w14:textId="77777777" w:rsidR="009A4C46" w:rsidRPr="00F94FED" w:rsidRDefault="009A4C46" w:rsidP="009A4C46">
            <w:pPr>
              <w:spacing w:after="0" w:line="276" w:lineRule="auto"/>
              <w:ind w:hanging="15"/>
              <w:jc w:val="center"/>
              <w:rPr>
                <w:rFonts w:eastAsia="Times New Roman"/>
                <w:b/>
                <w:bCs/>
                <w:color w:val="FFFFFF" w:themeColor="background1"/>
                <w:lang w:eastAsia="ru-RU"/>
              </w:rPr>
            </w:pPr>
            <w:r w:rsidRPr="00F94FED">
              <w:rPr>
                <w:rFonts w:eastAsia="Times New Roman"/>
                <w:b/>
                <w:bCs/>
                <w:color w:val="FFFFFF" w:themeColor="background1"/>
                <w:lang w:eastAsia="ru-RU"/>
              </w:rPr>
              <w:t>2018</w:t>
            </w:r>
          </w:p>
        </w:tc>
        <w:tc>
          <w:tcPr>
            <w:tcW w:w="36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79996445" w14:textId="77777777" w:rsidR="009A4C46" w:rsidRPr="00F94FED" w:rsidRDefault="009A4C46" w:rsidP="009A4C46">
            <w:pPr>
              <w:spacing w:after="0" w:line="276" w:lineRule="auto"/>
              <w:ind w:hanging="15"/>
              <w:jc w:val="center"/>
              <w:rPr>
                <w:rFonts w:eastAsia="Times New Roman"/>
                <w:b/>
                <w:bCs/>
                <w:color w:val="FFFFFF" w:themeColor="background1"/>
                <w:lang w:eastAsia="ru-RU"/>
              </w:rPr>
            </w:pPr>
            <w:r w:rsidRPr="00F94FED">
              <w:rPr>
                <w:rFonts w:eastAsia="Times New Roman"/>
                <w:b/>
                <w:bCs/>
                <w:color w:val="FFFFFF" w:themeColor="background1"/>
                <w:lang w:eastAsia="ru-RU"/>
              </w:rPr>
              <w:t>2019</w:t>
            </w:r>
          </w:p>
        </w:tc>
        <w:tc>
          <w:tcPr>
            <w:tcW w:w="36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0CA8B4F0" w14:textId="77777777" w:rsidR="009A4C46" w:rsidRPr="00F94FED" w:rsidRDefault="009A4C46" w:rsidP="009A4C46">
            <w:pPr>
              <w:spacing w:after="0" w:line="276" w:lineRule="auto"/>
              <w:ind w:hanging="15"/>
              <w:jc w:val="center"/>
              <w:rPr>
                <w:rFonts w:eastAsia="Times New Roman"/>
                <w:b/>
                <w:bCs/>
                <w:color w:val="FFFFFF" w:themeColor="background1"/>
                <w:lang w:eastAsia="ru-RU"/>
              </w:rPr>
            </w:pPr>
            <w:r w:rsidRPr="00F94FED">
              <w:rPr>
                <w:rFonts w:eastAsia="Times New Roman"/>
                <w:b/>
                <w:bCs/>
                <w:color w:val="FFFFFF" w:themeColor="background1"/>
                <w:lang w:eastAsia="ru-RU"/>
              </w:rPr>
              <w:t>2020</w:t>
            </w:r>
          </w:p>
        </w:tc>
        <w:tc>
          <w:tcPr>
            <w:tcW w:w="36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3F32170E" w14:textId="77777777" w:rsidR="009A4C46" w:rsidRPr="00F94FED" w:rsidRDefault="009A4C46" w:rsidP="009A4C46">
            <w:pPr>
              <w:spacing w:after="0" w:line="276" w:lineRule="auto"/>
              <w:ind w:hanging="15"/>
              <w:jc w:val="center"/>
              <w:rPr>
                <w:rFonts w:eastAsia="Times New Roman"/>
                <w:b/>
                <w:bCs/>
                <w:color w:val="FFFFFF" w:themeColor="background1"/>
                <w:lang w:eastAsia="ru-RU"/>
              </w:rPr>
            </w:pPr>
            <w:r w:rsidRPr="00F94FED">
              <w:rPr>
                <w:rFonts w:eastAsia="Times New Roman"/>
                <w:b/>
                <w:bCs/>
                <w:color w:val="FFFFFF" w:themeColor="background1"/>
                <w:lang w:eastAsia="ru-RU"/>
              </w:rPr>
              <w:t>2021</w:t>
            </w:r>
          </w:p>
        </w:tc>
        <w:tc>
          <w:tcPr>
            <w:tcW w:w="36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7FAB52F1" w14:textId="77777777" w:rsidR="009A4C46" w:rsidRPr="00F94FED" w:rsidRDefault="009A4C46" w:rsidP="009A4C46">
            <w:pPr>
              <w:spacing w:after="0" w:line="276" w:lineRule="auto"/>
              <w:ind w:hanging="15"/>
              <w:jc w:val="center"/>
              <w:rPr>
                <w:rFonts w:eastAsia="Times New Roman"/>
                <w:b/>
                <w:bCs/>
                <w:color w:val="FFFFFF" w:themeColor="background1"/>
                <w:lang w:eastAsia="ru-RU"/>
              </w:rPr>
            </w:pPr>
            <w:r w:rsidRPr="00F94FED">
              <w:rPr>
                <w:rFonts w:eastAsia="Times New Roman"/>
                <w:b/>
                <w:bCs/>
                <w:color w:val="FFFFFF" w:themeColor="background1"/>
                <w:lang w:eastAsia="ru-RU"/>
              </w:rPr>
              <w:t>2022</w:t>
            </w:r>
          </w:p>
        </w:tc>
      </w:tr>
      <w:tr w:rsidR="003E2802" w:rsidRPr="003E2802" w14:paraId="55C5EB6A" w14:textId="77777777" w:rsidTr="003E2802">
        <w:trPr>
          <w:trHeight w:val="20"/>
          <w:tblHeader/>
        </w:trPr>
        <w:tc>
          <w:tcPr>
            <w:tcW w:w="97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D1D6BB5" w14:textId="77777777" w:rsidR="009A4C46" w:rsidRPr="00F94FED" w:rsidRDefault="009A4C46" w:rsidP="009A4C46">
            <w:pPr>
              <w:spacing w:after="0" w:line="276" w:lineRule="auto"/>
              <w:ind w:hanging="15"/>
              <w:jc w:val="center"/>
              <w:rPr>
                <w:rFonts w:eastAsia="Times New Roman"/>
                <w:b/>
                <w:bCs/>
                <w:color w:val="FFFFFF" w:themeColor="background1"/>
                <w:lang w:eastAsia="ru-RU"/>
              </w:rPr>
            </w:pPr>
            <w:r w:rsidRPr="00F94FED">
              <w:rPr>
                <w:rFonts w:eastAsia="Times New Roman"/>
                <w:b/>
                <w:bCs/>
                <w:color w:val="FFFFFF" w:themeColor="background1"/>
                <w:lang w:eastAsia="ru-RU"/>
              </w:rPr>
              <w:t>1</w:t>
            </w:r>
          </w:p>
        </w:tc>
        <w:tc>
          <w:tcPr>
            <w:tcW w:w="36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CB9C6AF" w14:textId="77777777" w:rsidR="009A4C46" w:rsidRPr="00F94FED" w:rsidRDefault="009A4C46" w:rsidP="009A4C46">
            <w:pPr>
              <w:spacing w:after="0" w:line="276" w:lineRule="auto"/>
              <w:ind w:hanging="15"/>
              <w:jc w:val="center"/>
              <w:rPr>
                <w:rFonts w:eastAsia="Times New Roman"/>
                <w:b/>
                <w:bCs/>
                <w:color w:val="FFFFFF" w:themeColor="background1"/>
                <w:lang w:eastAsia="ru-RU"/>
              </w:rPr>
            </w:pPr>
            <w:r w:rsidRPr="00F94FED">
              <w:rPr>
                <w:rFonts w:eastAsia="Times New Roman"/>
                <w:b/>
                <w:bCs/>
                <w:color w:val="FFFFFF" w:themeColor="background1"/>
                <w:lang w:eastAsia="ru-RU"/>
              </w:rPr>
              <w:t>2</w:t>
            </w:r>
          </w:p>
        </w:tc>
        <w:tc>
          <w:tcPr>
            <w:tcW w:w="36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E080FCC" w14:textId="77777777" w:rsidR="009A4C46" w:rsidRPr="00F94FED" w:rsidRDefault="009A4C46" w:rsidP="009A4C46">
            <w:pPr>
              <w:spacing w:after="0" w:line="276" w:lineRule="auto"/>
              <w:ind w:hanging="15"/>
              <w:jc w:val="center"/>
              <w:rPr>
                <w:rFonts w:eastAsia="Times New Roman"/>
                <w:b/>
                <w:bCs/>
                <w:color w:val="FFFFFF" w:themeColor="background1"/>
                <w:lang w:eastAsia="ru-RU"/>
              </w:rPr>
            </w:pPr>
            <w:r w:rsidRPr="00F94FED">
              <w:rPr>
                <w:rFonts w:eastAsia="Times New Roman"/>
                <w:b/>
                <w:bCs/>
                <w:color w:val="FFFFFF" w:themeColor="background1"/>
                <w:lang w:eastAsia="ru-RU"/>
              </w:rPr>
              <w:t>3</w:t>
            </w:r>
          </w:p>
        </w:tc>
        <w:tc>
          <w:tcPr>
            <w:tcW w:w="36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652F859" w14:textId="77777777" w:rsidR="009A4C46" w:rsidRPr="00F94FED" w:rsidRDefault="009A4C46" w:rsidP="009A4C46">
            <w:pPr>
              <w:spacing w:after="0" w:line="276" w:lineRule="auto"/>
              <w:ind w:hanging="15"/>
              <w:jc w:val="center"/>
              <w:rPr>
                <w:rFonts w:eastAsia="Times New Roman"/>
                <w:b/>
                <w:bCs/>
                <w:color w:val="FFFFFF" w:themeColor="background1"/>
                <w:lang w:eastAsia="ru-RU"/>
              </w:rPr>
            </w:pPr>
            <w:r w:rsidRPr="00F94FED">
              <w:rPr>
                <w:rFonts w:eastAsia="Times New Roman"/>
                <w:b/>
                <w:bCs/>
                <w:color w:val="FFFFFF" w:themeColor="background1"/>
                <w:lang w:eastAsia="ru-RU"/>
              </w:rPr>
              <w:t>4</w:t>
            </w:r>
          </w:p>
        </w:tc>
        <w:tc>
          <w:tcPr>
            <w:tcW w:w="36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80E561B" w14:textId="77777777" w:rsidR="009A4C46" w:rsidRPr="00F94FED" w:rsidRDefault="009A4C46" w:rsidP="009A4C46">
            <w:pPr>
              <w:spacing w:after="0" w:line="276" w:lineRule="auto"/>
              <w:ind w:hanging="15"/>
              <w:jc w:val="center"/>
              <w:rPr>
                <w:rFonts w:eastAsia="Times New Roman"/>
                <w:b/>
                <w:bCs/>
                <w:color w:val="FFFFFF" w:themeColor="background1"/>
                <w:lang w:eastAsia="ru-RU"/>
              </w:rPr>
            </w:pPr>
            <w:r w:rsidRPr="00F94FED">
              <w:rPr>
                <w:rFonts w:eastAsia="Times New Roman"/>
                <w:b/>
                <w:bCs/>
                <w:color w:val="FFFFFF" w:themeColor="background1"/>
                <w:lang w:eastAsia="ru-RU"/>
              </w:rPr>
              <w:t>5</w:t>
            </w:r>
          </w:p>
        </w:tc>
        <w:tc>
          <w:tcPr>
            <w:tcW w:w="36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90A39AE" w14:textId="77777777" w:rsidR="009A4C46" w:rsidRPr="00F94FED" w:rsidRDefault="009A4C46" w:rsidP="009A4C46">
            <w:pPr>
              <w:spacing w:after="0" w:line="276" w:lineRule="auto"/>
              <w:ind w:hanging="15"/>
              <w:jc w:val="center"/>
              <w:rPr>
                <w:rFonts w:eastAsia="Times New Roman"/>
                <w:b/>
                <w:bCs/>
                <w:color w:val="FFFFFF" w:themeColor="background1"/>
                <w:lang w:eastAsia="ru-RU"/>
              </w:rPr>
            </w:pPr>
            <w:r w:rsidRPr="00F94FED">
              <w:rPr>
                <w:rFonts w:eastAsia="Times New Roman"/>
                <w:b/>
                <w:bCs/>
                <w:color w:val="FFFFFF" w:themeColor="background1"/>
                <w:lang w:eastAsia="ru-RU"/>
              </w:rPr>
              <w:t>6</w:t>
            </w:r>
          </w:p>
        </w:tc>
        <w:tc>
          <w:tcPr>
            <w:tcW w:w="36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85382F4" w14:textId="77777777" w:rsidR="009A4C46" w:rsidRPr="00F94FED" w:rsidRDefault="009A4C46" w:rsidP="009A4C46">
            <w:pPr>
              <w:spacing w:after="0" w:line="276" w:lineRule="auto"/>
              <w:ind w:hanging="15"/>
              <w:jc w:val="center"/>
              <w:rPr>
                <w:rFonts w:eastAsia="Times New Roman"/>
                <w:b/>
                <w:bCs/>
                <w:color w:val="FFFFFF" w:themeColor="background1"/>
                <w:lang w:eastAsia="ru-RU"/>
              </w:rPr>
            </w:pPr>
            <w:r w:rsidRPr="00F94FED">
              <w:rPr>
                <w:rFonts w:eastAsia="Times New Roman"/>
                <w:b/>
                <w:bCs/>
                <w:color w:val="FFFFFF" w:themeColor="background1"/>
                <w:lang w:eastAsia="ru-RU"/>
              </w:rPr>
              <w:t>7</w:t>
            </w:r>
          </w:p>
        </w:tc>
        <w:tc>
          <w:tcPr>
            <w:tcW w:w="36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66D3B410" w14:textId="77777777" w:rsidR="009A4C46" w:rsidRPr="00F94FED" w:rsidRDefault="009A4C46" w:rsidP="009A4C46">
            <w:pPr>
              <w:spacing w:after="0" w:line="276" w:lineRule="auto"/>
              <w:ind w:hanging="15"/>
              <w:jc w:val="center"/>
              <w:rPr>
                <w:rFonts w:eastAsia="Times New Roman"/>
                <w:b/>
                <w:bCs/>
                <w:color w:val="FFFFFF" w:themeColor="background1"/>
                <w:lang w:eastAsia="ru-RU"/>
              </w:rPr>
            </w:pPr>
            <w:r w:rsidRPr="00F94FED">
              <w:rPr>
                <w:rFonts w:eastAsia="Times New Roman"/>
                <w:b/>
                <w:bCs/>
                <w:color w:val="FFFFFF" w:themeColor="background1"/>
                <w:lang w:eastAsia="ru-RU"/>
              </w:rPr>
              <w:t>8</w:t>
            </w:r>
          </w:p>
        </w:tc>
        <w:tc>
          <w:tcPr>
            <w:tcW w:w="36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62AFB974" w14:textId="77777777" w:rsidR="009A4C46" w:rsidRPr="00F94FED" w:rsidRDefault="009A4C46" w:rsidP="009A4C46">
            <w:pPr>
              <w:spacing w:after="0" w:line="276" w:lineRule="auto"/>
              <w:ind w:hanging="15"/>
              <w:jc w:val="center"/>
              <w:rPr>
                <w:rFonts w:eastAsia="Times New Roman"/>
                <w:b/>
                <w:bCs/>
                <w:color w:val="FFFFFF" w:themeColor="background1"/>
                <w:lang w:eastAsia="ru-RU"/>
              </w:rPr>
            </w:pPr>
            <w:r w:rsidRPr="00F94FED">
              <w:rPr>
                <w:rFonts w:eastAsia="Times New Roman"/>
                <w:b/>
                <w:bCs/>
                <w:color w:val="FFFFFF" w:themeColor="background1"/>
                <w:lang w:eastAsia="ru-RU"/>
              </w:rPr>
              <w:t>9</w:t>
            </w:r>
          </w:p>
        </w:tc>
        <w:tc>
          <w:tcPr>
            <w:tcW w:w="36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0A6A89B6" w14:textId="77777777" w:rsidR="009A4C46" w:rsidRPr="00F94FED" w:rsidRDefault="009A4C46" w:rsidP="009A4C46">
            <w:pPr>
              <w:spacing w:after="0" w:line="276" w:lineRule="auto"/>
              <w:ind w:hanging="15"/>
              <w:jc w:val="center"/>
              <w:rPr>
                <w:rFonts w:eastAsia="Times New Roman"/>
                <w:b/>
                <w:bCs/>
                <w:color w:val="FFFFFF" w:themeColor="background1"/>
                <w:lang w:eastAsia="ru-RU"/>
              </w:rPr>
            </w:pPr>
            <w:r w:rsidRPr="00F94FED">
              <w:rPr>
                <w:rFonts w:eastAsia="Times New Roman"/>
                <w:b/>
                <w:bCs/>
                <w:color w:val="FFFFFF" w:themeColor="background1"/>
                <w:lang w:eastAsia="ru-RU"/>
              </w:rPr>
              <w:t>10</w:t>
            </w:r>
          </w:p>
        </w:tc>
        <w:tc>
          <w:tcPr>
            <w:tcW w:w="36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3431B42E" w14:textId="77777777" w:rsidR="009A4C46" w:rsidRPr="00F94FED" w:rsidRDefault="009A4C46" w:rsidP="009A4C46">
            <w:pPr>
              <w:spacing w:after="0" w:line="276" w:lineRule="auto"/>
              <w:ind w:hanging="15"/>
              <w:jc w:val="center"/>
              <w:rPr>
                <w:rFonts w:eastAsia="Times New Roman"/>
                <w:b/>
                <w:bCs/>
                <w:color w:val="FFFFFF" w:themeColor="background1"/>
                <w:lang w:eastAsia="ru-RU"/>
              </w:rPr>
            </w:pPr>
            <w:r w:rsidRPr="00F94FED">
              <w:rPr>
                <w:rFonts w:eastAsia="Times New Roman"/>
                <w:b/>
                <w:bCs/>
                <w:color w:val="FFFFFF" w:themeColor="background1"/>
                <w:lang w:eastAsia="ru-RU"/>
              </w:rPr>
              <w:t>11</w:t>
            </w:r>
          </w:p>
        </w:tc>
        <w:tc>
          <w:tcPr>
            <w:tcW w:w="36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71DA10DD" w14:textId="77777777" w:rsidR="009A4C46" w:rsidRPr="00F94FED" w:rsidRDefault="009A4C46" w:rsidP="009A4C46">
            <w:pPr>
              <w:spacing w:after="0" w:line="276" w:lineRule="auto"/>
              <w:ind w:hanging="15"/>
              <w:jc w:val="center"/>
              <w:rPr>
                <w:rFonts w:eastAsia="Times New Roman"/>
                <w:b/>
                <w:bCs/>
                <w:color w:val="FFFFFF" w:themeColor="background1"/>
                <w:lang w:eastAsia="ru-RU"/>
              </w:rPr>
            </w:pPr>
            <w:r w:rsidRPr="00F94FED">
              <w:rPr>
                <w:rFonts w:eastAsia="Times New Roman"/>
                <w:b/>
                <w:bCs/>
                <w:color w:val="FFFFFF" w:themeColor="background1"/>
                <w:lang w:eastAsia="ru-RU"/>
              </w:rPr>
              <w:t>12</w:t>
            </w:r>
          </w:p>
        </w:tc>
      </w:tr>
      <w:tr w:rsidR="009A4C46" w:rsidRPr="009A4C46" w14:paraId="105AF68D" w14:textId="77777777" w:rsidTr="00F94FED">
        <w:trPr>
          <w:trHeight w:val="20"/>
        </w:trPr>
        <w:tc>
          <w:tcPr>
            <w:tcW w:w="975" w:type="pct"/>
            <w:tcBorders>
              <w:top w:val="single" w:sz="4" w:space="0" w:color="FFFFFF" w:themeColor="background1"/>
              <w:left w:val="single" w:sz="4" w:space="0" w:color="auto"/>
            </w:tcBorders>
            <w:shd w:val="clear" w:color="auto" w:fill="auto"/>
            <w:vAlign w:val="center"/>
          </w:tcPr>
          <w:p w14:paraId="24E52889" w14:textId="77777777" w:rsidR="009A4C46" w:rsidRPr="009A4C46" w:rsidRDefault="009A4C46" w:rsidP="009A4C46">
            <w:pPr>
              <w:spacing w:after="0" w:line="276" w:lineRule="auto"/>
              <w:ind w:hanging="15"/>
              <w:rPr>
                <w:rFonts w:eastAsia="Times New Roman"/>
                <w:lang w:eastAsia="ru-RU"/>
              </w:rPr>
            </w:pPr>
            <w:r w:rsidRPr="009A4C46">
              <w:rPr>
                <w:rFonts w:eastAsia="Times New Roman"/>
                <w:lang w:eastAsia="ru-RU" w:bidi="ru-RU"/>
              </w:rPr>
              <w:t>Показатель уровня надежности оказываемых услуг</w:t>
            </w:r>
          </w:p>
        </w:tc>
        <w:tc>
          <w:tcPr>
            <w:tcW w:w="365" w:type="pct"/>
            <w:tcBorders>
              <w:top w:val="single" w:sz="4" w:space="0" w:color="FFFFFF" w:themeColor="background1"/>
              <w:left w:val="single" w:sz="4" w:space="0" w:color="auto"/>
            </w:tcBorders>
            <w:shd w:val="clear" w:color="auto" w:fill="auto"/>
            <w:vAlign w:val="center"/>
          </w:tcPr>
          <w:p w14:paraId="0650E03F" w14:textId="77777777" w:rsidR="009A4C46" w:rsidRPr="009A4C46" w:rsidRDefault="009A4C46" w:rsidP="009A4C46">
            <w:pPr>
              <w:spacing w:after="0" w:line="276" w:lineRule="auto"/>
              <w:ind w:hanging="15"/>
              <w:jc w:val="center"/>
              <w:rPr>
                <w:rFonts w:eastAsia="Times New Roman"/>
                <w:lang w:eastAsia="ru-RU"/>
              </w:rPr>
            </w:pPr>
            <w:r w:rsidRPr="009A4C46">
              <w:rPr>
                <w:rFonts w:eastAsia="Times New Roman"/>
                <w:lang w:eastAsia="ru-RU"/>
              </w:rPr>
              <w:t>0,1119</w:t>
            </w:r>
          </w:p>
        </w:tc>
        <w:tc>
          <w:tcPr>
            <w:tcW w:w="366" w:type="pct"/>
            <w:tcBorders>
              <w:top w:val="single" w:sz="4" w:space="0" w:color="FFFFFF" w:themeColor="background1"/>
              <w:left w:val="single" w:sz="4" w:space="0" w:color="auto"/>
            </w:tcBorders>
            <w:shd w:val="clear" w:color="auto" w:fill="auto"/>
            <w:vAlign w:val="center"/>
          </w:tcPr>
          <w:p w14:paraId="67B78782" w14:textId="77777777" w:rsidR="009A4C46" w:rsidRPr="009A4C46" w:rsidRDefault="009A4C46" w:rsidP="009A4C46">
            <w:pPr>
              <w:spacing w:after="0" w:line="276" w:lineRule="auto"/>
              <w:ind w:hanging="15"/>
              <w:jc w:val="center"/>
              <w:rPr>
                <w:rFonts w:eastAsia="Times New Roman"/>
                <w:lang w:eastAsia="ru-RU"/>
              </w:rPr>
            </w:pPr>
            <w:r w:rsidRPr="009A4C46">
              <w:rPr>
                <w:rFonts w:eastAsia="Times New Roman"/>
                <w:lang w:eastAsia="ru-RU"/>
              </w:rPr>
              <w:t>0,1110</w:t>
            </w:r>
          </w:p>
        </w:tc>
        <w:tc>
          <w:tcPr>
            <w:tcW w:w="366" w:type="pct"/>
            <w:tcBorders>
              <w:top w:val="single" w:sz="4" w:space="0" w:color="FFFFFF" w:themeColor="background1"/>
              <w:left w:val="single" w:sz="4" w:space="0" w:color="auto"/>
            </w:tcBorders>
            <w:shd w:val="clear" w:color="auto" w:fill="auto"/>
            <w:vAlign w:val="center"/>
          </w:tcPr>
          <w:p w14:paraId="06D67007" w14:textId="77777777" w:rsidR="009A4C46" w:rsidRPr="009A4C46" w:rsidRDefault="009A4C46" w:rsidP="009A4C46">
            <w:pPr>
              <w:spacing w:after="0" w:line="276" w:lineRule="auto"/>
              <w:ind w:hanging="15"/>
              <w:jc w:val="center"/>
              <w:rPr>
                <w:rFonts w:eastAsia="Times New Roman"/>
                <w:lang w:eastAsia="ru-RU"/>
              </w:rPr>
            </w:pPr>
            <w:r w:rsidRPr="009A4C46">
              <w:rPr>
                <w:rFonts w:eastAsia="Times New Roman"/>
                <w:lang w:eastAsia="ru-RU"/>
              </w:rPr>
              <w:t>0,1102</w:t>
            </w:r>
          </w:p>
        </w:tc>
        <w:tc>
          <w:tcPr>
            <w:tcW w:w="366" w:type="pct"/>
            <w:tcBorders>
              <w:top w:val="single" w:sz="4" w:space="0" w:color="FFFFFF" w:themeColor="background1"/>
              <w:left w:val="single" w:sz="4" w:space="0" w:color="auto"/>
            </w:tcBorders>
            <w:shd w:val="clear" w:color="auto" w:fill="auto"/>
            <w:vAlign w:val="center"/>
          </w:tcPr>
          <w:p w14:paraId="6B94824D" w14:textId="77777777" w:rsidR="009A4C46" w:rsidRPr="009A4C46" w:rsidRDefault="009A4C46" w:rsidP="009A4C46">
            <w:pPr>
              <w:spacing w:after="0" w:line="276" w:lineRule="auto"/>
              <w:ind w:hanging="15"/>
              <w:jc w:val="center"/>
              <w:rPr>
                <w:rFonts w:eastAsia="Times New Roman"/>
                <w:lang w:eastAsia="ru-RU"/>
              </w:rPr>
            </w:pPr>
            <w:r w:rsidRPr="009A4C46">
              <w:rPr>
                <w:rFonts w:eastAsia="Times New Roman"/>
                <w:lang w:eastAsia="ru-RU"/>
              </w:rPr>
              <w:t>0,1092</w:t>
            </w:r>
          </w:p>
        </w:tc>
        <w:tc>
          <w:tcPr>
            <w:tcW w:w="366" w:type="pct"/>
            <w:tcBorders>
              <w:top w:val="single" w:sz="4" w:space="0" w:color="FFFFFF" w:themeColor="background1"/>
              <w:left w:val="single" w:sz="4" w:space="0" w:color="auto"/>
              <w:right w:val="single" w:sz="4" w:space="0" w:color="auto"/>
            </w:tcBorders>
            <w:shd w:val="clear" w:color="auto" w:fill="auto"/>
            <w:vAlign w:val="center"/>
          </w:tcPr>
          <w:p w14:paraId="3B57A1EF" w14:textId="77777777" w:rsidR="009A4C46" w:rsidRPr="009A4C46" w:rsidRDefault="009A4C46" w:rsidP="009A4C46">
            <w:pPr>
              <w:spacing w:after="0" w:line="276" w:lineRule="auto"/>
              <w:ind w:hanging="15"/>
              <w:jc w:val="center"/>
              <w:rPr>
                <w:rFonts w:eastAsia="Times New Roman"/>
                <w:lang w:eastAsia="ru-RU"/>
              </w:rPr>
            </w:pPr>
            <w:r w:rsidRPr="009A4C46">
              <w:rPr>
                <w:rFonts w:eastAsia="Times New Roman"/>
                <w:lang w:eastAsia="ru-RU"/>
              </w:rPr>
              <w:t>0,1084</w:t>
            </w:r>
          </w:p>
        </w:tc>
        <w:tc>
          <w:tcPr>
            <w:tcW w:w="365" w:type="pct"/>
            <w:tcBorders>
              <w:top w:val="single" w:sz="4" w:space="0" w:color="FFFFFF" w:themeColor="background1"/>
              <w:left w:val="single" w:sz="4" w:space="0" w:color="auto"/>
              <w:right w:val="single" w:sz="4" w:space="0" w:color="auto"/>
            </w:tcBorders>
            <w:vAlign w:val="center"/>
          </w:tcPr>
          <w:p w14:paraId="2BEC1F46" w14:textId="77777777" w:rsidR="009A4C46" w:rsidRPr="009A4C46" w:rsidRDefault="009A4C46" w:rsidP="009A4C46">
            <w:pPr>
              <w:spacing w:after="0" w:line="276" w:lineRule="auto"/>
              <w:ind w:hanging="15"/>
              <w:jc w:val="center"/>
              <w:rPr>
                <w:rFonts w:eastAsia="Times New Roman"/>
                <w:lang w:eastAsia="ru-RU"/>
              </w:rPr>
            </w:pPr>
            <w:r w:rsidRPr="009A4C46">
              <w:rPr>
                <w:rFonts w:eastAsia="Times New Roman"/>
                <w:lang w:eastAsia="ru-RU"/>
              </w:rPr>
              <w:t>0,1076</w:t>
            </w:r>
          </w:p>
        </w:tc>
        <w:tc>
          <w:tcPr>
            <w:tcW w:w="366" w:type="pct"/>
            <w:tcBorders>
              <w:top w:val="single" w:sz="4" w:space="0" w:color="FFFFFF" w:themeColor="background1"/>
              <w:left w:val="single" w:sz="4" w:space="0" w:color="auto"/>
              <w:right w:val="single" w:sz="4" w:space="0" w:color="auto"/>
            </w:tcBorders>
            <w:vAlign w:val="center"/>
          </w:tcPr>
          <w:p w14:paraId="1C7884EB" w14:textId="77777777" w:rsidR="009A4C46" w:rsidRPr="009A4C46" w:rsidRDefault="009A4C46" w:rsidP="009A4C46">
            <w:pPr>
              <w:spacing w:after="0" w:line="276" w:lineRule="auto"/>
              <w:ind w:hanging="15"/>
              <w:jc w:val="center"/>
              <w:rPr>
                <w:rFonts w:eastAsia="Times New Roman"/>
                <w:lang w:eastAsia="ru-RU"/>
              </w:rPr>
            </w:pPr>
            <w:r w:rsidRPr="009A4C46">
              <w:rPr>
                <w:rFonts w:eastAsia="Times New Roman"/>
                <w:lang w:eastAsia="ru-RU"/>
              </w:rPr>
              <w:t>0,1068</w:t>
            </w:r>
          </w:p>
        </w:tc>
        <w:tc>
          <w:tcPr>
            <w:tcW w:w="366" w:type="pct"/>
            <w:tcBorders>
              <w:top w:val="single" w:sz="4" w:space="0" w:color="FFFFFF" w:themeColor="background1"/>
              <w:left w:val="single" w:sz="4" w:space="0" w:color="auto"/>
              <w:right w:val="single" w:sz="4" w:space="0" w:color="auto"/>
            </w:tcBorders>
            <w:vAlign w:val="center"/>
          </w:tcPr>
          <w:p w14:paraId="568FDF98" w14:textId="77777777" w:rsidR="009A4C46" w:rsidRPr="009A4C46" w:rsidRDefault="009A4C46" w:rsidP="009A4C46">
            <w:pPr>
              <w:spacing w:after="0" w:line="276" w:lineRule="auto"/>
              <w:ind w:hanging="15"/>
              <w:jc w:val="center"/>
              <w:rPr>
                <w:rFonts w:eastAsia="Times New Roman"/>
                <w:lang w:eastAsia="ru-RU"/>
              </w:rPr>
            </w:pPr>
            <w:r w:rsidRPr="009A4C46">
              <w:rPr>
                <w:rFonts w:eastAsia="Times New Roman"/>
                <w:lang w:eastAsia="ru-RU"/>
              </w:rPr>
              <w:t>0,1060</w:t>
            </w:r>
          </w:p>
        </w:tc>
        <w:tc>
          <w:tcPr>
            <w:tcW w:w="366" w:type="pct"/>
            <w:tcBorders>
              <w:top w:val="single" w:sz="4" w:space="0" w:color="FFFFFF" w:themeColor="background1"/>
              <w:left w:val="single" w:sz="4" w:space="0" w:color="auto"/>
              <w:right w:val="single" w:sz="4" w:space="0" w:color="auto"/>
            </w:tcBorders>
            <w:vAlign w:val="center"/>
          </w:tcPr>
          <w:p w14:paraId="6881BB35" w14:textId="77777777" w:rsidR="009A4C46" w:rsidRPr="009A4C46" w:rsidRDefault="009A4C46" w:rsidP="009A4C46">
            <w:pPr>
              <w:spacing w:after="0" w:line="276" w:lineRule="auto"/>
              <w:ind w:hanging="15"/>
              <w:jc w:val="center"/>
              <w:rPr>
                <w:rFonts w:eastAsia="Times New Roman"/>
                <w:lang w:eastAsia="ru-RU"/>
              </w:rPr>
            </w:pPr>
            <w:r w:rsidRPr="009A4C46">
              <w:rPr>
                <w:rFonts w:eastAsia="Times New Roman"/>
                <w:lang w:eastAsia="ru-RU"/>
              </w:rPr>
              <w:t>0,1052</w:t>
            </w:r>
          </w:p>
        </w:tc>
        <w:tc>
          <w:tcPr>
            <w:tcW w:w="366" w:type="pct"/>
            <w:tcBorders>
              <w:top w:val="single" w:sz="4" w:space="0" w:color="FFFFFF" w:themeColor="background1"/>
              <w:left w:val="single" w:sz="4" w:space="0" w:color="auto"/>
              <w:right w:val="single" w:sz="4" w:space="0" w:color="auto"/>
            </w:tcBorders>
            <w:vAlign w:val="center"/>
          </w:tcPr>
          <w:p w14:paraId="53F7DD29" w14:textId="77777777" w:rsidR="009A4C46" w:rsidRPr="009A4C46" w:rsidRDefault="009A4C46" w:rsidP="009A4C46">
            <w:pPr>
              <w:spacing w:after="0" w:line="276" w:lineRule="auto"/>
              <w:ind w:hanging="15"/>
              <w:jc w:val="center"/>
              <w:rPr>
                <w:rFonts w:eastAsia="Times New Roman"/>
                <w:lang w:eastAsia="ru-RU"/>
              </w:rPr>
            </w:pPr>
            <w:r w:rsidRPr="009A4C46">
              <w:rPr>
                <w:rFonts w:eastAsia="Times New Roman"/>
                <w:lang w:eastAsia="ru-RU"/>
              </w:rPr>
              <w:t>0,1044</w:t>
            </w:r>
          </w:p>
        </w:tc>
        <w:tc>
          <w:tcPr>
            <w:tcW w:w="366" w:type="pct"/>
            <w:tcBorders>
              <w:top w:val="single" w:sz="4" w:space="0" w:color="FFFFFF" w:themeColor="background1"/>
              <w:left w:val="single" w:sz="4" w:space="0" w:color="auto"/>
              <w:right w:val="single" w:sz="4" w:space="0" w:color="auto"/>
            </w:tcBorders>
            <w:vAlign w:val="center"/>
          </w:tcPr>
          <w:p w14:paraId="66EC3FDD" w14:textId="77777777" w:rsidR="009A4C46" w:rsidRPr="009A4C46" w:rsidRDefault="009A4C46" w:rsidP="009A4C46">
            <w:pPr>
              <w:spacing w:after="0" w:line="276" w:lineRule="auto"/>
              <w:ind w:hanging="15"/>
              <w:jc w:val="center"/>
              <w:rPr>
                <w:rFonts w:eastAsia="Times New Roman"/>
                <w:lang w:eastAsia="ru-RU"/>
              </w:rPr>
            </w:pPr>
            <w:r w:rsidRPr="009A4C46">
              <w:rPr>
                <w:rFonts w:eastAsia="Times New Roman"/>
                <w:lang w:eastAsia="ru-RU"/>
              </w:rPr>
              <w:t>0,1036</w:t>
            </w:r>
          </w:p>
        </w:tc>
      </w:tr>
      <w:tr w:rsidR="009A4C46" w:rsidRPr="009A4C46" w14:paraId="6B0540DF" w14:textId="77777777" w:rsidTr="00F94FED">
        <w:trPr>
          <w:trHeight w:val="20"/>
        </w:trPr>
        <w:tc>
          <w:tcPr>
            <w:tcW w:w="975" w:type="pct"/>
            <w:tcBorders>
              <w:top w:val="single" w:sz="4" w:space="0" w:color="auto"/>
              <w:left w:val="single" w:sz="4" w:space="0" w:color="auto"/>
              <w:bottom w:val="single" w:sz="4" w:space="0" w:color="auto"/>
            </w:tcBorders>
            <w:shd w:val="clear" w:color="auto" w:fill="auto"/>
            <w:vAlign w:val="center"/>
          </w:tcPr>
          <w:p w14:paraId="0CB13CF8" w14:textId="77777777" w:rsidR="009A4C46" w:rsidRPr="009A4C46" w:rsidRDefault="009A4C46" w:rsidP="009A4C46">
            <w:pPr>
              <w:spacing w:after="0" w:line="276" w:lineRule="auto"/>
              <w:ind w:hanging="15"/>
              <w:rPr>
                <w:rFonts w:eastAsia="Times New Roman"/>
                <w:lang w:eastAsia="ru-RU"/>
              </w:rPr>
            </w:pPr>
            <w:r w:rsidRPr="009A4C46">
              <w:rPr>
                <w:rFonts w:eastAsia="Times New Roman"/>
                <w:lang w:eastAsia="ru-RU" w:bidi="ru-RU"/>
              </w:rPr>
              <w:t>Показатель уровня качества оказываемых услуг</w:t>
            </w:r>
          </w:p>
        </w:tc>
        <w:tc>
          <w:tcPr>
            <w:tcW w:w="365" w:type="pct"/>
            <w:tcBorders>
              <w:top w:val="single" w:sz="4" w:space="0" w:color="auto"/>
              <w:left w:val="single" w:sz="4" w:space="0" w:color="auto"/>
              <w:bottom w:val="single" w:sz="4" w:space="0" w:color="auto"/>
            </w:tcBorders>
            <w:shd w:val="clear" w:color="auto" w:fill="auto"/>
            <w:vAlign w:val="center"/>
          </w:tcPr>
          <w:p w14:paraId="067C9CFC" w14:textId="77777777" w:rsidR="009A4C46" w:rsidRPr="009A4C46" w:rsidRDefault="009A4C46" w:rsidP="009A4C46">
            <w:pPr>
              <w:spacing w:after="0" w:line="276" w:lineRule="auto"/>
              <w:ind w:hanging="15"/>
              <w:jc w:val="center"/>
              <w:rPr>
                <w:rFonts w:eastAsia="Times New Roman"/>
                <w:lang w:eastAsia="ru-RU"/>
              </w:rPr>
            </w:pPr>
            <w:r w:rsidRPr="009A4C46">
              <w:rPr>
                <w:rFonts w:eastAsia="Times New Roman"/>
                <w:lang w:eastAsia="ru-RU"/>
              </w:rPr>
              <w:t>1,0102</w:t>
            </w:r>
          </w:p>
        </w:tc>
        <w:tc>
          <w:tcPr>
            <w:tcW w:w="366" w:type="pct"/>
            <w:tcBorders>
              <w:top w:val="single" w:sz="4" w:space="0" w:color="auto"/>
              <w:left w:val="single" w:sz="4" w:space="0" w:color="auto"/>
              <w:bottom w:val="single" w:sz="4" w:space="0" w:color="auto"/>
            </w:tcBorders>
            <w:shd w:val="clear" w:color="auto" w:fill="auto"/>
            <w:vAlign w:val="center"/>
          </w:tcPr>
          <w:p w14:paraId="759F2D6F" w14:textId="77777777" w:rsidR="009A4C46" w:rsidRPr="009A4C46" w:rsidRDefault="009A4C46" w:rsidP="009A4C46">
            <w:pPr>
              <w:spacing w:after="0" w:line="276" w:lineRule="auto"/>
              <w:ind w:hanging="15"/>
              <w:jc w:val="center"/>
              <w:rPr>
                <w:rFonts w:eastAsia="Times New Roman"/>
                <w:lang w:eastAsia="ru-RU"/>
              </w:rPr>
            </w:pPr>
            <w:r w:rsidRPr="009A4C46">
              <w:rPr>
                <w:rFonts w:eastAsia="Times New Roman"/>
                <w:lang w:eastAsia="ru-RU"/>
              </w:rPr>
              <w:t>1,0102</w:t>
            </w:r>
          </w:p>
        </w:tc>
        <w:tc>
          <w:tcPr>
            <w:tcW w:w="366" w:type="pct"/>
            <w:tcBorders>
              <w:top w:val="single" w:sz="4" w:space="0" w:color="auto"/>
              <w:left w:val="single" w:sz="4" w:space="0" w:color="auto"/>
              <w:bottom w:val="single" w:sz="4" w:space="0" w:color="auto"/>
            </w:tcBorders>
            <w:shd w:val="clear" w:color="auto" w:fill="auto"/>
            <w:vAlign w:val="center"/>
          </w:tcPr>
          <w:p w14:paraId="769EFCDF" w14:textId="77777777" w:rsidR="009A4C46" w:rsidRPr="009A4C46" w:rsidRDefault="009A4C46" w:rsidP="009A4C46">
            <w:pPr>
              <w:spacing w:after="0" w:line="276" w:lineRule="auto"/>
              <w:ind w:hanging="15"/>
              <w:jc w:val="center"/>
              <w:rPr>
                <w:rFonts w:eastAsia="Times New Roman"/>
                <w:lang w:eastAsia="ru-RU"/>
              </w:rPr>
            </w:pPr>
            <w:r w:rsidRPr="009A4C46">
              <w:rPr>
                <w:rFonts w:eastAsia="Times New Roman"/>
                <w:lang w:eastAsia="ru-RU"/>
              </w:rPr>
              <w:t>1,0102</w:t>
            </w:r>
          </w:p>
        </w:tc>
        <w:tc>
          <w:tcPr>
            <w:tcW w:w="366" w:type="pct"/>
            <w:tcBorders>
              <w:top w:val="single" w:sz="4" w:space="0" w:color="auto"/>
              <w:left w:val="single" w:sz="4" w:space="0" w:color="auto"/>
              <w:bottom w:val="single" w:sz="4" w:space="0" w:color="auto"/>
            </w:tcBorders>
            <w:shd w:val="clear" w:color="auto" w:fill="auto"/>
            <w:vAlign w:val="center"/>
          </w:tcPr>
          <w:p w14:paraId="4C57F976" w14:textId="77777777" w:rsidR="009A4C46" w:rsidRPr="009A4C46" w:rsidRDefault="009A4C46" w:rsidP="009A4C46">
            <w:pPr>
              <w:spacing w:after="0" w:line="276" w:lineRule="auto"/>
              <w:ind w:hanging="15"/>
              <w:jc w:val="center"/>
              <w:rPr>
                <w:rFonts w:eastAsia="Times New Roman"/>
                <w:lang w:eastAsia="ru-RU"/>
              </w:rPr>
            </w:pPr>
            <w:r w:rsidRPr="009A4C46">
              <w:rPr>
                <w:rFonts w:eastAsia="Times New Roman"/>
                <w:lang w:eastAsia="ru-RU"/>
              </w:rPr>
              <w:t>1,0102</w:t>
            </w:r>
          </w:p>
        </w:tc>
        <w:tc>
          <w:tcPr>
            <w:tcW w:w="366" w:type="pct"/>
            <w:tcBorders>
              <w:top w:val="single" w:sz="4" w:space="0" w:color="auto"/>
              <w:left w:val="single" w:sz="4" w:space="0" w:color="auto"/>
              <w:bottom w:val="single" w:sz="4" w:space="0" w:color="auto"/>
              <w:right w:val="single" w:sz="4" w:space="0" w:color="auto"/>
            </w:tcBorders>
            <w:shd w:val="clear" w:color="auto" w:fill="auto"/>
            <w:vAlign w:val="center"/>
          </w:tcPr>
          <w:p w14:paraId="660A06D8" w14:textId="77777777" w:rsidR="009A4C46" w:rsidRPr="009A4C46" w:rsidRDefault="009A4C46" w:rsidP="009A4C46">
            <w:pPr>
              <w:spacing w:after="0" w:line="276" w:lineRule="auto"/>
              <w:ind w:hanging="15"/>
              <w:jc w:val="center"/>
              <w:rPr>
                <w:rFonts w:eastAsia="Times New Roman"/>
                <w:lang w:eastAsia="ru-RU"/>
              </w:rPr>
            </w:pPr>
            <w:r w:rsidRPr="009A4C46">
              <w:rPr>
                <w:rFonts w:eastAsia="Times New Roman"/>
                <w:lang w:eastAsia="ru-RU"/>
              </w:rPr>
              <w:t>1,0102</w:t>
            </w:r>
          </w:p>
        </w:tc>
        <w:tc>
          <w:tcPr>
            <w:tcW w:w="365" w:type="pct"/>
            <w:tcBorders>
              <w:top w:val="single" w:sz="4" w:space="0" w:color="auto"/>
              <w:left w:val="single" w:sz="4" w:space="0" w:color="auto"/>
              <w:bottom w:val="single" w:sz="4" w:space="0" w:color="auto"/>
              <w:right w:val="single" w:sz="4" w:space="0" w:color="auto"/>
            </w:tcBorders>
            <w:vAlign w:val="center"/>
          </w:tcPr>
          <w:p w14:paraId="29B58AA6" w14:textId="77777777" w:rsidR="009A4C46" w:rsidRPr="009A4C46" w:rsidRDefault="009A4C46" w:rsidP="009A4C46">
            <w:pPr>
              <w:spacing w:after="0" w:line="276" w:lineRule="auto"/>
              <w:ind w:hanging="15"/>
              <w:jc w:val="center"/>
              <w:rPr>
                <w:rFonts w:eastAsia="Times New Roman"/>
                <w:lang w:eastAsia="ru-RU"/>
              </w:rPr>
            </w:pPr>
            <w:r w:rsidRPr="009A4C46">
              <w:rPr>
                <w:rFonts w:eastAsia="Times New Roman"/>
                <w:lang w:eastAsia="ru-RU"/>
              </w:rPr>
              <w:t>1,0102</w:t>
            </w:r>
          </w:p>
        </w:tc>
        <w:tc>
          <w:tcPr>
            <w:tcW w:w="366" w:type="pct"/>
            <w:tcBorders>
              <w:top w:val="single" w:sz="4" w:space="0" w:color="auto"/>
              <w:left w:val="single" w:sz="4" w:space="0" w:color="auto"/>
              <w:bottom w:val="single" w:sz="4" w:space="0" w:color="auto"/>
              <w:right w:val="single" w:sz="4" w:space="0" w:color="auto"/>
            </w:tcBorders>
            <w:vAlign w:val="center"/>
          </w:tcPr>
          <w:p w14:paraId="3494D7A6" w14:textId="77777777" w:rsidR="009A4C46" w:rsidRPr="009A4C46" w:rsidRDefault="009A4C46" w:rsidP="009A4C46">
            <w:pPr>
              <w:spacing w:after="0" w:line="276" w:lineRule="auto"/>
              <w:ind w:hanging="15"/>
              <w:jc w:val="center"/>
              <w:rPr>
                <w:rFonts w:eastAsia="Times New Roman"/>
                <w:lang w:eastAsia="ru-RU"/>
              </w:rPr>
            </w:pPr>
            <w:r w:rsidRPr="009A4C46">
              <w:rPr>
                <w:rFonts w:eastAsia="Times New Roman"/>
                <w:lang w:eastAsia="ru-RU"/>
              </w:rPr>
              <w:t>1,0102</w:t>
            </w:r>
          </w:p>
        </w:tc>
        <w:tc>
          <w:tcPr>
            <w:tcW w:w="366" w:type="pct"/>
            <w:tcBorders>
              <w:top w:val="single" w:sz="4" w:space="0" w:color="auto"/>
              <w:left w:val="single" w:sz="4" w:space="0" w:color="auto"/>
              <w:bottom w:val="single" w:sz="4" w:space="0" w:color="auto"/>
              <w:right w:val="single" w:sz="4" w:space="0" w:color="auto"/>
            </w:tcBorders>
            <w:vAlign w:val="center"/>
          </w:tcPr>
          <w:p w14:paraId="4D21D0DF" w14:textId="77777777" w:rsidR="009A4C46" w:rsidRPr="009A4C46" w:rsidRDefault="009A4C46" w:rsidP="009A4C46">
            <w:pPr>
              <w:spacing w:after="0" w:line="276" w:lineRule="auto"/>
              <w:ind w:hanging="15"/>
              <w:jc w:val="center"/>
              <w:rPr>
                <w:rFonts w:eastAsia="Times New Roman"/>
                <w:lang w:eastAsia="ru-RU"/>
              </w:rPr>
            </w:pPr>
            <w:r w:rsidRPr="009A4C46">
              <w:rPr>
                <w:rFonts w:eastAsia="Times New Roman"/>
                <w:lang w:eastAsia="ru-RU"/>
              </w:rPr>
              <w:t>1,0102</w:t>
            </w:r>
          </w:p>
        </w:tc>
        <w:tc>
          <w:tcPr>
            <w:tcW w:w="366" w:type="pct"/>
            <w:tcBorders>
              <w:top w:val="single" w:sz="4" w:space="0" w:color="auto"/>
              <w:left w:val="single" w:sz="4" w:space="0" w:color="auto"/>
              <w:bottom w:val="single" w:sz="4" w:space="0" w:color="auto"/>
              <w:right w:val="single" w:sz="4" w:space="0" w:color="auto"/>
            </w:tcBorders>
            <w:vAlign w:val="center"/>
          </w:tcPr>
          <w:p w14:paraId="2556E57D" w14:textId="77777777" w:rsidR="009A4C46" w:rsidRPr="009A4C46" w:rsidRDefault="009A4C46" w:rsidP="009A4C46">
            <w:pPr>
              <w:spacing w:after="0" w:line="276" w:lineRule="auto"/>
              <w:ind w:hanging="15"/>
              <w:jc w:val="center"/>
              <w:rPr>
                <w:rFonts w:eastAsia="Times New Roman"/>
                <w:lang w:eastAsia="ru-RU"/>
              </w:rPr>
            </w:pPr>
            <w:r w:rsidRPr="009A4C46">
              <w:rPr>
                <w:rFonts w:eastAsia="Times New Roman"/>
                <w:lang w:eastAsia="ru-RU"/>
              </w:rPr>
              <w:t>1,0102</w:t>
            </w:r>
          </w:p>
        </w:tc>
        <w:tc>
          <w:tcPr>
            <w:tcW w:w="366" w:type="pct"/>
            <w:tcBorders>
              <w:top w:val="single" w:sz="4" w:space="0" w:color="auto"/>
              <w:left w:val="single" w:sz="4" w:space="0" w:color="auto"/>
              <w:bottom w:val="single" w:sz="4" w:space="0" w:color="auto"/>
              <w:right w:val="single" w:sz="4" w:space="0" w:color="auto"/>
            </w:tcBorders>
            <w:vAlign w:val="center"/>
          </w:tcPr>
          <w:p w14:paraId="11AEA429" w14:textId="77777777" w:rsidR="009A4C46" w:rsidRPr="009A4C46" w:rsidRDefault="009A4C46" w:rsidP="009A4C46">
            <w:pPr>
              <w:spacing w:after="0" w:line="276" w:lineRule="auto"/>
              <w:ind w:hanging="15"/>
              <w:jc w:val="center"/>
              <w:rPr>
                <w:rFonts w:eastAsia="Times New Roman"/>
                <w:lang w:eastAsia="ru-RU"/>
              </w:rPr>
            </w:pPr>
            <w:r w:rsidRPr="009A4C46">
              <w:rPr>
                <w:rFonts w:eastAsia="Times New Roman"/>
                <w:lang w:eastAsia="ru-RU"/>
              </w:rPr>
              <w:t>1,0102</w:t>
            </w:r>
          </w:p>
        </w:tc>
        <w:tc>
          <w:tcPr>
            <w:tcW w:w="366" w:type="pct"/>
            <w:tcBorders>
              <w:top w:val="single" w:sz="4" w:space="0" w:color="auto"/>
              <w:left w:val="single" w:sz="4" w:space="0" w:color="auto"/>
              <w:bottom w:val="single" w:sz="4" w:space="0" w:color="auto"/>
              <w:right w:val="single" w:sz="4" w:space="0" w:color="auto"/>
            </w:tcBorders>
            <w:vAlign w:val="center"/>
          </w:tcPr>
          <w:p w14:paraId="73DC71C3" w14:textId="77777777" w:rsidR="009A4C46" w:rsidRPr="009A4C46" w:rsidRDefault="009A4C46" w:rsidP="009A4C46">
            <w:pPr>
              <w:spacing w:after="0" w:line="276" w:lineRule="auto"/>
              <w:ind w:hanging="15"/>
              <w:jc w:val="center"/>
              <w:rPr>
                <w:rFonts w:eastAsia="Times New Roman"/>
                <w:lang w:eastAsia="ru-RU"/>
              </w:rPr>
            </w:pPr>
            <w:r w:rsidRPr="009A4C46">
              <w:rPr>
                <w:rFonts w:eastAsia="Times New Roman"/>
                <w:lang w:eastAsia="ru-RU"/>
              </w:rPr>
              <w:t>1,0102</w:t>
            </w:r>
          </w:p>
        </w:tc>
      </w:tr>
    </w:tbl>
    <w:p w14:paraId="3B15F4EF" w14:textId="77777777" w:rsidR="00B44325" w:rsidRDefault="00B44325" w:rsidP="00F94FED">
      <w:pPr>
        <w:spacing w:after="0" w:line="360" w:lineRule="auto"/>
        <w:ind w:firstLine="567"/>
        <w:jc w:val="both"/>
        <w:rPr>
          <w:rFonts w:eastAsia="Times New Roman"/>
          <w:sz w:val="26"/>
          <w:szCs w:val="26"/>
          <w:lang w:eastAsia="ru-RU"/>
        </w:rPr>
      </w:pPr>
    </w:p>
    <w:p w14:paraId="43968EBE" w14:textId="689E16CD" w:rsidR="009A4C46" w:rsidRPr="00F94FED" w:rsidRDefault="009A4C46" w:rsidP="00F94FED">
      <w:pPr>
        <w:spacing w:after="0" w:line="360" w:lineRule="auto"/>
        <w:ind w:firstLine="567"/>
        <w:jc w:val="both"/>
        <w:rPr>
          <w:rFonts w:eastAsia="Times New Roman"/>
          <w:sz w:val="26"/>
          <w:szCs w:val="26"/>
          <w:lang w:eastAsia="ru-RU"/>
        </w:rPr>
      </w:pPr>
      <w:r w:rsidRPr="00F94FED">
        <w:rPr>
          <w:rFonts w:eastAsia="Times New Roman"/>
          <w:sz w:val="26"/>
          <w:szCs w:val="26"/>
          <w:lang w:eastAsia="ru-RU"/>
        </w:rPr>
        <w:t xml:space="preserve">Приказом Службы по тарифам Республики Тыва от 30.03.2012 № 14 </w:t>
      </w:r>
      <w:r w:rsidR="00B44325">
        <w:rPr>
          <w:rFonts w:eastAsia="Times New Roman"/>
          <w:sz w:val="26"/>
          <w:szCs w:val="26"/>
          <w:lang w:eastAsia="ru-RU"/>
        </w:rPr>
        <w:br/>
      </w:r>
      <w:r w:rsidRPr="00F94FED">
        <w:rPr>
          <w:rFonts w:eastAsia="Times New Roman"/>
          <w:sz w:val="26"/>
          <w:szCs w:val="26"/>
          <w:lang w:eastAsia="ru-RU"/>
        </w:rPr>
        <w:t>(в редакции постановлений Службы по тарифам Республики Тыва от 15.10.2012 №44, от 01.12.2014 №91</w:t>
      </w:r>
      <w:r w:rsidR="00865C47" w:rsidRPr="00E93DFF">
        <w:rPr>
          <w:rFonts w:eastAsia="Times New Roman"/>
          <w:sz w:val="26"/>
          <w:szCs w:val="26"/>
          <w:lang w:eastAsia="ru-RU"/>
        </w:rPr>
        <w:t>, от 29.12.2017 №67</w:t>
      </w:r>
      <w:r w:rsidRPr="00E93DFF">
        <w:rPr>
          <w:rFonts w:eastAsia="Times New Roman"/>
          <w:sz w:val="26"/>
          <w:szCs w:val="26"/>
          <w:lang w:eastAsia="ru-RU"/>
        </w:rPr>
        <w:t xml:space="preserve"> </w:t>
      </w:r>
      <w:r w:rsidRPr="00F94FED">
        <w:rPr>
          <w:rFonts w:eastAsia="Times New Roman"/>
          <w:sz w:val="26"/>
          <w:szCs w:val="26"/>
          <w:lang w:eastAsia="ru-RU"/>
        </w:rPr>
        <w:t>«О долгосрочных параметр</w:t>
      </w:r>
      <w:r w:rsidR="00E93DFF" w:rsidRPr="00E93DFF">
        <w:rPr>
          <w:rFonts w:eastAsia="Times New Roman"/>
          <w:sz w:val="26"/>
          <w:szCs w:val="26"/>
          <w:lang w:eastAsia="ru-RU"/>
        </w:rPr>
        <w:t>а</w:t>
      </w:r>
      <w:r w:rsidR="00865C47" w:rsidRPr="00E93DFF">
        <w:rPr>
          <w:rFonts w:eastAsia="Times New Roman"/>
          <w:sz w:val="26"/>
          <w:szCs w:val="26"/>
          <w:lang w:eastAsia="ru-RU"/>
        </w:rPr>
        <w:t>х</w:t>
      </w:r>
      <w:r w:rsidRPr="00F94FED">
        <w:rPr>
          <w:rFonts w:eastAsia="Times New Roman"/>
          <w:sz w:val="26"/>
          <w:szCs w:val="26"/>
          <w:lang w:eastAsia="ru-RU"/>
        </w:rPr>
        <w:t xml:space="preserve"> регулирования для АО «Тываэнерго», в отношении которого тарифы на услуги по передаче электрической энергии устанавливаются на основе метода долгосрочной индексации необходимой валовой выручки» (согласованные приказом </w:t>
      </w:r>
      <w:r w:rsidRPr="00F94FED">
        <w:rPr>
          <w:rFonts w:eastAsia="Times New Roman"/>
          <w:sz w:val="26"/>
          <w:szCs w:val="26"/>
          <w:lang w:eastAsia="ru-RU"/>
        </w:rPr>
        <w:br/>
        <w:t>ФСТ России от 12.10.2012 №669-э и приказом ФАС России от 17.01.2018 №49/18) утверждены показатели уровня надежности и качества оказываемых услуг:</w:t>
      </w:r>
    </w:p>
    <w:tbl>
      <w:tblPr>
        <w:tblW w:w="5000" w:type="pct"/>
        <w:tblCellMar>
          <w:left w:w="10" w:type="dxa"/>
          <w:right w:w="10" w:type="dxa"/>
        </w:tblCellMar>
        <w:tblLook w:val="04A0" w:firstRow="1" w:lastRow="0" w:firstColumn="1" w:lastColumn="0" w:noHBand="0" w:noVBand="1"/>
      </w:tblPr>
      <w:tblGrid>
        <w:gridCol w:w="1821"/>
        <w:gridCol w:w="684"/>
        <w:gridCol w:w="684"/>
        <w:gridCol w:w="684"/>
        <w:gridCol w:w="684"/>
        <w:gridCol w:w="684"/>
        <w:gridCol w:w="684"/>
        <w:gridCol w:w="684"/>
        <w:gridCol w:w="684"/>
        <w:gridCol w:w="684"/>
        <w:gridCol w:w="684"/>
        <w:gridCol w:w="677"/>
        <w:gridCol w:w="7"/>
      </w:tblGrid>
      <w:tr w:rsidR="003E2802" w:rsidRPr="003E2802" w14:paraId="1935E885" w14:textId="77777777" w:rsidTr="003E2802">
        <w:trPr>
          <w:gridAfter w:val="1"/>
          <w:wAfter w:w="4" w:type="pct"/>
          <w:trHeight w:val="20"/>
          <w:tblHeader/>
        </w:trPr>
        <w:tc>
          <w:tcPr>
            <w:tcW w:w="97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1EEDFE0" w14:textId="77777777" w:rsidR="009A4C46" w:rsidRPr="00F94FED" w:rsidRDefault="009A4C46" w:rsidP="009A4C46">
            <w:pPr>
              <w:spacing w:after="0" w:line="276" w:lineRule="auto"/>
              <w:ind w:hanging="15"/>
              <w:jc w:val="center"/>
              <w:rPr>
                <w:rFonts w:eastAsia="Times New Roman"/>
                <w:b/>
                <w:bCs/>
                <w:color w:val="FFFFFF" w:themeColor="background1"/>
                <w:lang w:eastAsia="ru-RU"/>
              </w:rPr>
            </w:pPr>
            <w:r w:rsidRPr="00F94FED">
              <w:rPr>
                <w:rFonts w:eastAsia="Times New Roman"/>
                <w:b/>
                <w:bCs/>
                <w:color w:val="FFFFFF" w:themeColor="background1"/>
                <w:lang w:eastAsia="ru-RU"/>
              </w:rPr>
              <w:t>Показатель</w:t>
            </w:r>
          </w:p>
        </w:tc>
        <w:tc>
          <w:tcPr>
            <w:tcW w:w="4022" w:type="pct"/>
            <w:gridSpan w:val="11"/>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440F477A" w14:textId="77777777" w:rsidR="009A4C46" w:rsidRPr="00F94FED" w:rsidRDefault="009A4C46" w:rsidP="009A4C46">
            <w:pPr>
              <w:spacing w:after="0" w:line="276" w:lineRule="auto"/>
              <w:ind w:firstLine="567"/>
              <w:jc w:val="center"/>
              <w:rPr>
                <w:rFonts w:eastAsia="Times New Roman"/>
                <w:b/>
                <w:bCs/>
                <w:color w:val="FFFFFF" w:themeColor="background1"/>
                <w:lang w:eastAsia="ru-RU"/>
              </w:rPr>
            </w:pPr>
            <w:r w:rsidRPr="00F94FED">
              <w:rPr>
                <w:rFonts w:eastAsia="Times New Roman"/>
                <w:b/>
                <w:bCs/>
                <w:color w:val="FFFFFF" w:themeColor="background1"/>
                <w:lang w:eastAsia="ru-RU"/>
              </w:rPr>
              <w:t>Значение показателя</w:t>
            </w:r>
          </w:p>
        </w:tc>
      </w:tr>
      <w:tr w:rsidR="003E2802" w:rsidRPr="003E2802" w14:paraId="3681AE85" w14:textId="77777777" w:rsidTr="003E2802">
        <w:trPr>
          <w:trHeight w:val="20"/>
          <w:tblHeader/>
        </w:trPr>
        <w:tc>
          <w:tcPr>
            <w:tcW w:w="97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425EE96" w14:textId="77777777" w:rsidR="009A4C46" w:rsidRPr="00F94FED" w:rsidRDefault="009A4C46" w:rsidP="009A4C46">
            <w:pPr>
              <w:spacing w:after="0" w:line="276" w:lineRule="auto"/>
              <w:ind w:hanging="15"/>
              <w:jc w:val="center"/>
              <w:rPr>
                <w:rFonts w:eastAsia="Times New Roman"/>
                <w:b/>
                <w:bCs/>
                <w:color w:val="FFFFFF" w:themeColor="background1"/>
                <w:lang w:eastAsia="ru-RU"/>
              </w:rPr>
            </w:pPr>
          </w:p>
        </w:tc>
        <w:tc>
          <w:tcPr>
            <w:tcW w:w="36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E3EDA23" w14:textId="77777777" w:rsidR="009A4C46" w:rsidRPr="00F94FED" w:rsidRDefault="009A4C46" w:rsidP="009A4C46">
            <w:pPr>
              <w:spacing w:after="0" w:line="276" w:lineRule="auto"/>
              <w:ind w:hanging="15"/>
              <w:jc w:val="center"/>
              <w:rPr>
                <w:rFonts w:eastAsia="Times New Roman"/>
                <w:b/>
                <w:bCs/>
                <w:color w:val="FFFFFF" w:themeColor="background1"/>
                <w:lang w:eastAsia="ru-RU"/>
              </w:rPr>
            </w:pPr>
            <w:r w:rsidRPr="00F94FED">
              <w:rPr>
                <w:rFonts w:eastAsia="Times New Roman"/>
                <w:b/>
                <w:bCs/>
                <w:color w:val="FFFFFF" w:themeColor="background1"/>
                <w:lang w:eastAsia="ru-RU"/>
              </w:rPr>
              <w:t>2012</w:t>
            </w:r>
          </w:p>
        </w:tc>
        <w:tc>
          <w:tcPr>
            <w:tcW w:w="36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C437543" w14:textId="77777777" w:rsidR="009A4C46" w:rsidRPr="00F94FED" w:rsidRDefault="009A4C46" w:rsidP="009A4C46">
            <w:pPr>
              <w:spacing w:after="0" w:line="276" w:lineRule="auto"/>
              <w:ind w:hanging="15"/>
              <w:jc w:val="center"/>
              <w:rPr>
                <w:rFonts w:eastAsia="Times New Roman"/>
                <w:b/>
                <w:bCs/>
                <w:color w:val="FFFFFF" w:themeColor="background1"/>
                <w:lang w:eastAsia="ru-RU"/>
              </w:rPr>
            </w:pPr>
            <w:r w:rsidRPr="00F94FED">
              <w:rPr>
                <w:rFonts w:eastAsia="Times New Roman"/>
                <w:b/>
                <w:bCs/>
                <w:color w:val="FFFFFF" w:themeColor="background1"/>
                <w:lang w:eastAsia="ru-RU"/>
              </w:rPr>
              <w:t>2013</w:t>
            </w:r>
          </w:p>
        </w:tc>
        <w:tc>
          <w:tcPr>
            <w:tcW w:w="36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2F6719E" w14:textId="77777777" w:rsidR="009A4C46" w:rsidRPr="00F94FED" w:rsidRDefault="009A4C46" w:rsidP="009A4C46">
            <w:pPr>
              <w:spacing w:after="0" w:line="276" w:lineRule="auto"/>
              <w:ind w:hanging="15"/>
              <w:jc w:val="center"/>
              <w:rPr>
                <w:rFonts w:eastAsia="Times New Roman"/>
                <w:b/>
                <w:bCs/>
                <w:color w:val="FFFFFF" w:themeColor="background1"/>
                <w:lang w:eastAsia="ru-RU"/>
              </w:rPr>
            </w:pPr>
            <w:r w:rsidRPr="00F94FED">
              <w:rPr>
                <w:rFonts w:eastAsia="Times New Roman"/>
                <w:b/>
                <w:bCs/>
                <w:color w:val="FFFFFF" w:themeColor="background1"/>
                <w:lang w:eastAsia="ru-RU"/>
              </w:rPr>
              <w:t>2014</w:t>
            </w:r>
          </w:p>
        </w:tc>
        <w:tc>
          <w:tcPr>
            <w:tcW w:w="36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37191EA" w14:textId="77777777" w:rsidR="009A4C46" w:rsidRPr="00F94FED" w:rsidRDefault="009A4C46" w:rsidP="009A4C46">
            <w:pPr>
              <w:spacing w:after="0" w:line="276" w:lineRule="auto"/>
              <w:ind w:hanging="15"/>
              <w:jc w:val="center"/>
              <w:rPr>
                <w:rFonts w:eastAsia="Times New Roman"/>
                <w:b/>
                <w:bCs/>
                <w:color w:val="FFFFFF" w:themeColor="background1"/>
                <w:lang w:eastAsia="ru-RU"/>
              </w:rPr>
            </w:pPr>
            <w:r w:rsidRPr="00F94FED">
              <w:rPr>
                <w:rFonts w:eastAsia="Times New Roman"/>
                <w:b/>
                <w:bCs/>
                <w:color w:val="FFFFFF" w:themeColor="background1"/>
                <w:lang w:eastAsia="ru-RU"/>
              </w:rPr>
              <w:t>2015</w:t>
            </w:r>
          </w:p>
        </w:tc>
        <w:tc>
          <w:tcPr>
            <w:tcW w:w="36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6F79DD7" w14:textId="77777777" w:rsidR="009A4C46" w:rsidRPr="00F94FED" w:rsidRDefault="009A4C46" w:rsidP="009A4C46">
            <w:pPr>
              <w:spacing w:after="0" w:line="276" w:lineRule="auto"/>
              <w:ind w:hanging="15"/>
              <w:jc w:val="center"/>
              <w:rPr>
                <w:rFonts w:eastAsia="Times New Roman"/>
                <w:b/>
                <w:bCs/>
                <w:color w:val="FFFFFF" w:themeColor="background1"/>
                <w:lang w:eastAsia="ru-RU"/>
              </w:rPr>
            </w:pPr>
            <w:r w:rsidRPr="00F94FED">
              <w:rPr>
                <w:rFonts w:eastAsia="Times New Roman"/>
                <w:b/>
                <w:bCs/>
                <w:color w:val="FFFFFF" w:themeColor="background1"/>
                <w:lang w:eastAsia="ru-RU"/>
              </w:rPr>
              <w:t>2016</w:t>
            </w:r>
          </w:p>
        </w:tc>
        <w:tc>
          <w:tcPr>
            <w:tcW w:w="36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246F2729" w14:textId="77777777" w:rsidR="009A4C46" w:rsidRPr="00F94FED" w:rsidRDefault="009A4C46" w:rsidP="009A4C46">
            <w:pPr>
              <w:spacing w:after="0" w:line="276" w:lineRule="auto"/>
              <w:ind w:hanging="15"/>
              <w:jc w:val="center"/>
              <w:rPr>
                <w:rFonts w:eastAsia="Times New Roman"/>
                <w:b/>
                <w:bCs/>
                <w:color w:val="FFFFFF" w:themeColor="background1"/>
                <w:lang w:eastAsia="ru-RU"/>
              </w:rPr>
            </w:pPr>
            <w:r w:rsidRPr="00F94FED">
              <w:rPr>
                <w:rFonts w:eastAsia="Times New Roman"/>
                <w:b/>
                <w:bCs/>
                <w:color w:val="FFFFFF" w:themeColor="background1"/>
                <w:lang w:eastAsia="ru-RU"/>
              </w:rPr>
              <w:t>2017</w:t>
            </w:r>
          </w:p>
        </w:tc>
        <w:tc>
          <w:tcPr>
            <w:tcW w:w="36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573E1281" w14:textId="77777777" w:rsidR="009A4C46" w:rsidRPr="00F94FED" w:rsidRDefault="009A4C46" w:rsidP="009A4C46">
            <w:pPr>
              <w:spacing w:after="0" w:line="276" w:lineRule="auto"/>
              <w:ind w:hanging="15"/>
              <w:jc w:val="center"/>
              <w:rPr>
                <w:rFonts w:eastAsia="Times New Roman"/>
                <w:b/>
                <w:bCs/>
                <w:color w:val="FFFFFF" w:themeColor="background1"/>
                <w:lang w:eastAsia="ru-RU"/>
              </w:rPr>
            </w:pPr>
            <w:r w:rsidRPr="00F94FED">
              <w:rPr>
                <w:rFonts w:eastAsia="Times New Roman"/>
                <w:b/>
                <w:bCs/>
                <w:color w:val="FFFFFF" w:themeColor="background1"/>
                <w:lang w:eastAsia="ru-RU"/>
              </w:rPr>
              <w:t>2018</w:t>
            </w:r>
          </w:p>
        </w:tc>
        <w:tc>
          <w:tcPr>
            <w:tcW w:w="36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0358CB10" w14:textId="77777777" w:rsidR="009A4C46" w:rsidRPr="00F94FED" w:rsidRDefault="009A4C46" w:rsidP="009A4C46">
            <w:pPr>
              <w:spacing w:after="0" w:line="276" w:lineRule="auto"/>
              <w:ind w:hanging="15"/>
              <w:jc w:val="center"/>
              <w:rPr>
                <w:rFonts w:eastAsia="Times New Roman"/>
                <w:b/>
                <w:bCs/>
                <w:color w:val="FFFFFF" w:themeColor="background1"/>
                <w:lang w:eastAsia="ru-RU"/>
              </w:rPr>
            </w:pPr>
            <w:r w:rsidRPr="00F94FED">
              <w:rPr>
                <w:rFonts w:eastAsia="Times New Roman"/>
                <w:b/>
                <w:bCs/>
                <w:color w:val="FFFFFF" w:themeColor="background1"/>
                <w:lang w:eastAsia="ru-RU"/>
              </w:rPr>
              <w:t>2019</w:t>
            </w:r>
          </w:p>
        </w:tc>
        <w:tc>
          <w:tcPr>
            <w:tcW w:w="36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0072E362" w14:textId="77777777" w:rsidR="009A4C46" w:rsidRPr="00F94FED" w:rsidRDefault="009A4C46" w:rsidP="009A4C46">
            <w:pPr>
              <w:spacing w:after="0" w:line="276" w:lineRule="auto"/>
              <w:ind w:hanging="15"/>
              <w:jc w:val="center"/>
              <w:rPr>
                <w:rFonts w:eastAsia="Times New Roman"/>
                <w:b/>
                <w:bCs/>
                <w:color w:val="FFFFFF" w:themeColor="background1"/>
                <w:lang w:eastAsia="ru-RU"/>
              </w:rPr>
            </w:pPr>
            <w:r w:rsidRPr="00F94FED">
              <w:rPr>
                <w:rFonts w:eastAsia="Times New Roman"/>
                <w:b/>
                <w:bCs/>
                <w:color w:val="FFFFFF" w:themeColor="background1"/>
                <w:lang w:eastAsia="ru-RU"/>
              </w:rPr>
              <w:t>2020</w:t>
            </w:r>
          </w:p>
        </w:tc>
        <w:tc>
          <w:tcPr>
            <w:tcW w:w="36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5289CD6A" w14:textId="77777777" w:rsidR="009A4C46" w:rsidRPr="00F94FED" w:rsidRDefault="009A4C46" w:rsidP="009A4C46">
            <w:pPr>
              <w:spacing w:after="0" w:line="276" w:lineRule="auto"/>
              <w:ind w:hanging="15"/>
              <w:jc w:val="center"/>
              <w:rPr>
                <w:rFonts w:eastAsia="Times New Roman"/>
                <w:b/>
                <w:bCs/>
                <w:color w:val="FFFFFF" w:themeColor="background1"/>
                <w:lang w:eastAsia="ru-RU"/>
              </w:rPr>
            </w:pPr>
            <w:r w:rsidRPr="00F94FED">
              <w:rPr>
                <w:rFonts w:eastAsia="Times New Roman"/>
                <w:b/>
                <w:bCs/>
                <w:color w:val="FFFFFF" w:themeColor="background1"/>
                <w:lang w:eastAsia="ru-RU"/>
              </w:rPr>
              <w:t>2021</w:t>
            </w:r>
          </w:p>
        </w:tc>
        <w:tc>
          <w:tcPr>
            <w:tcW w:w="366"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0B9A38CC" w14:textId="77777777" w:rsidR="009A4C46" w:rsidRPr="00F94FED" w:rsidRDefault="009A4C46" w:rsidP="009A4C46">
            <w:pPr>
              <w:spacing w:after="0" w:line="276" w:lineRule="auto"/>
              <w:ind w:hanging="15"/>
              <w:jc w:val="center"/>
              <w:rPr>
                <w:rFonts w:eastAsia="Times New Roman"/>
                <w:b/>
                <w:bCs/>
                <w:color w:val="FFFFFF" w:themeColor="background1"/>
                <w:lang w:eastAsia="ru-RU"/>
              </w:rPr>
            </w:pPr>
            <w:r w:rsidRPr="00F94FED">
              <w:rPr>
                <w:rFonts w:eastAsia="Times New Roman"/>
                <w:b/>
                <w:bCs/>
                <w:color w:val="FFFFFF" w:themeColor="background1"/>
                <w:lang w:eastAsia="ru-RU"/>
              </w:rPr>
              <w:t>2022</w:t>
            </w:r>
          </w:p>
        </w:tc>
      </w:tr>
      <w:tr w:rsidR="003E2802" w:rsidRPr="003E2802" w14:paraId="42ECE813" w14:textId="77777777" w:rsidTr="003E2802">
        <w:trPr>
          <w:trHeight w:val="20"/>
          <w:tblHeader/>
        </w:trPr>
        <w:tc>
          <w:tcPr>
            <w:tcW w:w="97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810F7F0" w14:textId="77777777" w:rsidR="009A4C46" w:rsidRPr="00F94FED" w:rsidRDefault="009A4C46" w:rsidP="009A4C46">
            <w:pPr>
              <w:spacing w:after="0" w:line="276" w:lineRule="auto"/>
              <w:ind w:hanging="15"/>
              <w:jc w:val="center"/>
              <w:rPr>
                <w:rFonts w:eastAsia="Times New Roman"/>
                <w:b/>
                <w:bCs/>
                <w:color w:val="FFFFFF" w:themeColor="background1"/>
                <w:lang w:eastAsia="ru-RU"/>
              </w:rPr>
            </w:pPr>
            <w:r w:rsidRPr="00F94FED">
              <w:rPr>
                <w:rFonts w:eastAsia="Times New Roman"/>
                <w:b/>
                <w:bCs/>
                <w:color w:val="FFFFFF" w:themeColor="background1"/>
                <w:lang w:eastAsia="ru-RU"/>
              </w:rPr>
              <w:t>1</w:t>
            </w:r>
          </w:p>
        </w:tc>
        <w:tc>
          <w:tcPr>
            <w:tcW w:w="36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E0480F0" w14:textId="77777777" w:rsidR="009A4C46" w:rsidRPr="00F94FED" w:rsidRDefault="009A4C46" w:rsidP="009A4C46">
            <w:pPr>
              <w:spacing w:after="0" w:line="276" w:lineRule="auto"/>
              <w:ind w:hanging="15"/>
              <w:jc w:val="center"/>
              <w:rPr>
                <w:rFonts w:eastAsia="Times New Roman"/>
                <w:b/>
                <w:bCs/>
                <w:color w:val="FFFFFF" w:themeColor="background1"/>
                <w:lang w:eastAsia="ru-RU"/>
              </w:rPr>
            </w:pPr>
            <w:r w:rsidRPr="00F94FED">
              <w:rPr>
                <w:rFonts w:eastAsia="Times New Roman"/>
                <w:b/>
                <w:bCs/>
                <w:color w:val="FFFFFF" w:themeColor="background1"/>
                <w:lang w:eastAsia="ru-RU"/>
              </w:rPr>
              <w:t>2</w:t>
            </w:r>
          </w:p>
        </w:tc>
        <w:tc>
          <w:tcPr>
            <w:tcW w:w="36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DD34D5A" w14:textId="77777777" w:rsidR="009A4C46" w:rsidRPr="00F94FED" w:rsidRDefault="009A4C46" w:rsidP="009A4C46">
            <w:pPr>
              <w:spacing w:after="0" w:line="276" w:lineRule="auto"/>
              <w:ind w:hanging="15"/>
              <w:jc w:val="center"/>
              <w:rPr>
                <w:rFonts w:eastAsia="Times New Roman"/>
                <w:b/>
                <w:bCs/>
                <w:color w:val="FFFFFF" w:themeColor="background1"/>
                <w:lang w:eastAsia="ru-RU"/>
              </w:rPr>
            </w:pPr>
            <w:r w:rsidRPr="00F94FED">
              <w:rPr>
                <w:rFonts w:eastAsia="Times New Roman"/>
                <w:b/>
                <w:bCs/>
                <w:color w:val="FFFFFF" w:themeColor="background1"/>
                <w:lang w:eastAsia="ru-RU"/>
              </w:rPr>
              <w:t>3</w:t>
            </w:r>
          </w:p>
        </w:tc>
        <w:tc>
          <w:tcPr>
            <w:tcW w:w="36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E4B718E" w14:textId="77777777" w:rsidR="009A4C46" w:rsidRPr="00F94FED" w:rsidRDefault="009A4C46" w:rsidP="009A4C46">
            <w:pPr>
              <w:spacing w:after="0" w:line="276" w:lineRule="auto"/>
              <w:ind w:hanging="15"/>
              <w:jc w:val="center"/>
              <w:rPr>
                <w:rFonts w:eastAsia="Times New Roman"/>
                <w:b/>
                <w:bCs/>
                <w:color w:val="FFFFFF" w:themeColor="background1"/>
                <w:lang w:eastAsia="ru-RU"/>
              </w:rPr>
            </w:pPr>
            <w:r w:rsidRPr="00F94FED">
              <w:rPr>
                <w:rFonts w:eastAsia="Times New Roman"/>
                <w:b/>
                <w:bCs/>
                <w:color w:val="FFFFFF" w:themeColor="background1"/>
                <w:lang w:eastAsia="ru-RU"/>
              </w:rPr>
              <w:t>4</w:t>
            </w:r>
          </w:p>
        </w:tc>
        <w:tc>
          <w:tcPr>
            <w:tcW w:w="36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F5011CE" w14:textId="77777777" w:rsidR="009A4C46" w:rsidRPr="00F94FED" w:rsidRDefault="009A4C46" w:rsidP="009A4C46">
            <w:pPr>
              <w:spacing w:after="0" w:line="276" w:lineRule="auto"/>
              <w:ind w:hanging="15"/>
              <w:jc w:val="center"/>
              <w:rPr>
                <w:rFonts w:eastAsia="Times New Roman"/>
                <w:b/>
                <w:bCs/>
                <w:color w:val="FFFFFF" w:themeColor="background1"/>
                <w:lang w:eastAsia="ru-RU"/>
              </w:rPr>
            </w:pPr>
            <w:r w:rsidRPr="00F94FED">
              <w:rPr>
                <w:rFonts w:eastAsia="Times New Roman"/>
                <w:b/>
                <w:bCs/>
                <w:color w:val="FFFFFF" w:themeColor="background1"/>
                <w:lang w:eastAsia="ru-RU"/>
              </w:rPr>
              <w:t>5</w:t>
            </w:r>
          </w:p>
        </w:tc>
        <w:tc>
          <w:tcPr>
            <w:tcW w:w="36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DC7CEAC" w14:textId="77777777" w:rsidR="009A4C46" w:rsidRPr="00F94FED" w:rsidRDefault="009A4C46" w:rsidP="009A4C46">
            <w:pPr>
              <w:spacing w:after="0" w:line="276" w:lineRule="auto"/>
              <w:ind w:hanging="15"/>
              <w:jc w:val="center"/>
              <w:rPr>
                <w:rFonts w:eastAsia="Times New Roman"/>
                <w:b/>
                <w:bCs/>
                <w:color w:val="FFFFFF" w:themeColor="background1"/>
                <w:lang w:eastAsia="ru-RU"/>
              </w:rPr>
            </w:pPr>
            <w:r w:rsidRPr="00F94FED">
              <w:rPr>
                <w:rFonts w:eastAsia="Times New Roman"/>
                <w:b/>
                <w:bCs/>
                <w:color w:val="FFFFFF" w:themeColor="background1"/>
                <w:lang w:eastAsia="ru-RU"/>
              </w:rPr>
              <w:t>6</w:t>
            </w:r>
          </w:p>
        </w:tc>
        <w:tc>
          <w:tcPr>
            <w:tcW w:w="36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5507739" w14:textId="77777777" w:rsidR="009A4C46" w:rsidRPr="00F94FED" w:rsidRDefault="009A4C46" w:rsidP="009A4C46">
            <w:pPr>
              <w:spacing w:after="0" w:line="276" w:lineRule="auto"/>
              <w:ind w:hanging="15"/>
              <w:jc w:val="center"/>
              <w:rPr>
                <w:rFonts w:eastAsia="Times New Roman"/>
                <w:b/>
                <w:bCs/>
                <w:color w:val="FFFFFF" w:themeColor="background1"/>
                <w:lang w:eastAsia="ru-RU"/>
              </w:rPr>
            </w:pPr>
            <w:r w:rsidRPr="00F94FED">
              <w:rPr>
                <w:rFonts w:eastAsia="Times New Roman"/>
                <w:b/>
                <w:bCs/>
                <w:color w:val="FFFFFF" w:themeColor="background1"/>
                <w:lang w:eastAsia="ru-RU"/>
              </w:rPr>
              <w:t>7</w:t>
            </w:r>
          </w:p>
        </w:tc>
        <w:tc>
          <w:tcPr>
            <w:tcW w:w="36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0AFA9E47" w14:textId="77777777" w:rsidR="009A4C46" w:rsidRPr="00F94FED" w:rsidRDefault="009A4C46" w:rsidP="009A4C46">
            <w:pPr>
              <w:spacing w:after="0" w:line="276" w:lineRule="auto"/>
              <w:ind w:hanging="15"/>
              <w:jc w:val="center"/>
              <w:rPr>
                <w:rFonts w:eastAsia="Times New Roman"/>
                <w:b/>
                <w:bCs/>
                <w:color w:val="FFFFFF" w:themeColor="background1"/>
                <w:lang w:eastAsia="ru-RU"/>
              </w:rPr>
            </w:pPr>
            <w:r w:rsidRPr="00F94FED">
              <w:rPr>
                <w:rFonts w:eastAsia="Times New Roman"/>
                <w:b/>
                <w:bCs/>
                <w:color w:val="FFFFFF" w:themeColor="background1"/>
                <w:lang w:eastAsia="ru-RU"/>
              </w:rPr>
              <w:t>8</w:t>
            </w:r>
          </w:p>
        </w:tc>
        <w:tc>
          <w:tcPr>
            <w:tcW w:w="36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4B96B1BB" w14:textId="77777777" w:rsidR="009A4C46" w:rsidRPr="00F94FED" w:rsidRDefault="009A4C46" w:rsidP="009A4C46">
            <w:pPr>
              <w:spacing w:after="0" w:line="276" w:lineRule="auto"/>
              <w:ind w:hanging="15"/>
              <w:jc w:val="center"/>
              <w:rPr>
                <w:rFonts w:eastAsia="Times New Roman"/>
                <w:b/>
                <w:bCs/>
                <w:color w:val="FFFFFF" w:themeColor="background1"/>
                <w:lang w:eastAsia="ru-RU"/>
              </w:rPr>
            </w:pPr>
            <w:r w:rsidRPr="00F94FED">
              <w:rPr>
                <w:rFonts w:eastAsia="Times New Roman"/>
                <w:b/>
                <w:bCs/>
                <w:color w:val="FFFFFF" w:themeColor="background1"/>
                <w:lang w:eastAsia="ru-RU"/>
              </w:rPr>
              <w:t>9</w:t>
            </w:r>
          </w:p>
        </w:tc>
        <w:tc>
          <w:tcPr>
            <w:tcW w:w="36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6F2D25A7" w14:textId="77777777" w:rsidR="009A4C46" w:rsidRPr="00F94FED" w:rsidRDefault="009A4C46" w:rsidP="009A4C46">
            <w:pPr>
              <w:spacing w:after="0" w:line="276" w:lineRule="auto"/>
              <w:ind w:hanging="15"/>
              <w:jc w:val="center"/>
              <w:rPr>
                <w:rFonts w:eastAsia="Times New Roman"/>
                <w:b/>
                <w:bCs/>
                <w:color w:val="FFFFFF" w:themeColor="background1"/>
                <w:lang w:eastAsia="ru-RU"/>
              </w:rPr>
            </w:pPr>
            <w:r w:rsidRPr="00F94FED">
              <w:rPr>
                <w:rFonts w:eastAsia="Times New Roman"/>
                <w:b/>
                <w:bCs/>
                <w:color w:val="FFFFFF" w:themeColor="background1"/>
                <w:lang w:eastAsia="ru-RU"/>
              </w:rPr>
              <w:t>10</w:t>
            </w:r>
          </w:p>
        </w:tc>
        <w:tc>
          <w:tcPr>
            <w:tcW w:w="36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320A65E3" w14:textId="77777777" w:rsidR="009A4C46" w:rsidRPr="00F94FED" w:rsidRDefault="009A4C46" w:rsidP="009A4C46">
            <w:pPr>
              <w:spacing w:after="0" w:line="276" w:lineRule="auto"/>
              <w:ind w:hanging="15"/>
              <w:jc w:val="center"/>
              <w:rPr>
                <w:rFonts w:eastAsia="Times New Roman"/>
                <w:b/>
                <w:bCs/>
                <w:color w:val="FFFFFF" w:themeColor="background1"/>
                <w:lang w:eastAsia="ru-RU"/>
              </w:rPr>
            </w:pPr>
            <w:r w:rsidRPr="00F94FED">
              <w:rPr>
                <w:rFonts w:eastAsia="Times New Roman"/>
                <w:b/>
                <w:bCs/>
                <w:color w:val="FFFFFF" w:themeColor="background1"/>
                <w:lang w:eastAsia="ru-RU"/>
              </w:rPr>
              <w:t>11</w:t>
            </w:r>
          </w:p>
        </w:tc>
        <w:tc>
          <w:tcPr>
            <w:tcW w:w="366"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53F396CC" w14:textId="77777777" w:rsidR="009A4C46" w:rsidRPr="00F94FED" w:rsidRDefault="009A4C46" w:rsidP="009A4C46">
            <w:pPr>
              <w:spacing w:after="0" w:line="276" w:lineRule="auto"/>
              <w:ind w:hanging="15"/>
              <w:jc w:val="center"/>
              <w:rPr>
                <w:rFonts w:eastAsia="Times New Roman"/>
                <w:b/>
                <w:bCs/>
                <w:color w:val="FFFFFF" w:themeColor="background1"/>
                <w:lang w:eastAsia="ru-RU"/>
              </w:rPr>
            </w:pPr>
            <w:r w:rsidRPr="00F94FED">
              <w:rPr>
                <w:rFonts w:eastAsia="Times New Roman"/>
                <w:b/>
                <w:bCs/>
                <w:color w:val="FFFFFF" w:themeColor="background1"/>
                <w:lang w:eastAsia="ru-RU"/>
              </w:rPr>
              <w:t>12</w:t>
            </w:r>
          </w:p>
        </w:tc>
      </w:tr>
      <w:tr w:rsidR="009A4C46" w:rsidRPr="009A4C46" w14:paraId="6C720C43" w14:textId="77777777" w:rsidTr="00F94FED">
        <w:trPr>
          <w:trHeight w:val="20"/>
        </w:trPr>
        <w:tc>
          <w:tcPr>
            <w:tcW w:w="974" w:type="pct"/>
            <w:tcBorders>
              <w:top w:val="single" w:sz="4" w:space="0" w:color="FFFFFF" w:themeColor="background1"/>
              <w:left w:val="single" w:sz="4" w:space="0" w:color="auto"/>
            </w:tcBorders>
            <w:shd w:val="clear" w:color="auto" w:fill="auto"/>
            <w:vAlign w:val="center"/>
          </w:tcPr>
          <w:p w14:paraId="1590042F" w14:textId="77777777" w:rsidR="009A4C46" w:rsidRPr="009A4C46" w:rsidRDefault="009A4C46" w:rsidP="009A4C46">
            <w:pPr>
              <w:spacing w:after="0" w:line="276" w:lineRule="auto"/>
              <w:ind w:hanging="15"/>
              <w:rPr>
                <w:rFonts w:eastAsia="Times New Roman"/>
                <w:lang w:eastAsia="ru-RU"/>
              </w:rPr>
            </w:pPr>
            <w:r w:rsidRPr="009A4C46">
              <w:rPr>
                <w:rFonts w:eastAsia="Times New Roman"/>
                <w:lang w:eastAsia="ru-RU" w:bidi="ru-RU"/>
              </w:rPr>
              <w:t>Показатель уровня надежности оказываемых услуг</w:t>
            </w:r>
          </w:p>
        </w:tc>
        <w:tc>
          <w:tcPr>
            <w:tcW w:w="366" w:type="pct"/>
            <w:tcBorders>
              <w:top w:val="single" w:sz="4" w:space="0" w:color="FFFFFF" w:themeColor="background1"/>
              <w:left w:val="single" w:sz="4" w:space="0" w:color="auto"/>
            </w:tcBorders>
            <w:shd w:val="clear" w:color="auto" w:fill="auto"/>
            <w:vAlign w:val="center"/>
          </w:tcPr>
          <w:p w14:paraId="50FD4C66" w14:textId="77777777" w:rsidR="009A4C46" w:rsidRPr="009A4C46" w:rsidRDefault="009A4C46" w:rsidP="009A4C46">
            <w:pPr>
              <w:spacing w:after="0" w:line="276" w:lineRule="auto"/>
              <w:ind w:hanging="15"/>
              <w:jc w:val="center"/>
              <w:rPr>
                <w:rFonts w:eastAsia="Times New Roman"/>
                <w:lang w:eastAsia="ru-RU"/>
              </w:rPr>
            </w:pPr>
            <w:r w:rsidRPr="009A4C46">
              <w:rPr>
                <w:rFonts w:eastAsia="Times New Roman"/>
                <w:lang w:eastAsia="ru-RU"/>
              </w:rPr>
              <w:t>0,1119</w:t>
            </w:r>
          </w:p>
        </w:tc>
        <w:tc>
          <w:tcPr>
            <w:tcW w:w="366" w:type="pct"/>
            <w:tcBorders>
              <w:top w:val="single" w:sz="4" w:space="0" w:color="FFFFFF" w:themeColor="background1"/>
              <w:left w:val="single" w:sz="4" w:space="0" w:color="auto"/>
            </w:tcBorders>
            <w:shd w:val="clear" w:color="auto" w:fill="auto"/>
            <w:vAlign w:val="center"/>
          </w:tcPr>
          <w:p w14:paraId="2068D048" w14:textId="77777777" w:rsidR="009A4C46" w:rsidRPr="009A4C46" w:rsidRDefault="009A4C46" w:rsidP="009A4C46">
            <w:pPr>
              <w:spacing w:after="0" w:line="276" w:lineRule="auto"/>
              <w:ind w:hanging="15"/>
              <w:jc w:val="center"/>
              <w:rPr>
                <w:rFonts w:eastAsia="Times New Roman"/>
                <w:lang w:eastAsia="ru-RU"/>
              </w:rPr>
            </w:pPr>
            <w:r w:rsidRPr="009A4C46">
              <w:rPr>
                <w:rFonts w:eastAsia="Times New Roman"/>
                <w:lang w:eastAsia="ru-RU"/>
              </w:rPr>
              <w:t>0,1110</w:t>
            </w:r>
          </w:p>
        </w:tc>
        <w:tc>
          <w:tcPr>
            <w:tcW w:w="366" w:type="pct"/>
            <w:tcBorders>
              <w:top w:val="single" w:sz="4" w:space="0" w:color="FFFFFF" w:themeColor="background1"/>
              <w:left w:val="single" w:sz="4" w:space="0" w:color="auto"/>
            </w:tcBorders>
            <w:shd w:val="clear" w:color="auto" w:fill="auto"/>
            <w:vAlign w:val="center"/>
          </w:tcPr>
          <w:p w14:paraId="700B0ADB" w14:textId="77777777" w:rsidR="009A4C46" w:rsidRPr="009A4C46" w:rsidRDefault="009A4C46" w:rsidP="009A4C46">
            <w:pPr>
              <w:spacing w:after="0" w:line="276" w:lineRule="auto"/>
              <w:ind w:hanging="15"/>
              <w:jc w:val="center"/>
              <w:rPr>
                <w:rFonts w:eastAsia="Times New Roman"/>
                <w:lang w:eastAsia="ru-RU"/>
              </w:rPr>
            </w:pPr>
            <w:r w:rsidRPr="009A4C46">
              <w:rPr>
                <w:rFonts w:eastAsia="Times New Roman"/>
                <w:lang w:eastAsia="ru-RU"/>
              </w:rPr>
              <w:t>0,1102</w:t>
            </w:r>
          </w:p>
        </w:tc>
        <w:tc>
          <w:tcPr>
            <w:tcW w:w="366" w:type="pct"/>
            <w:tcBorders>
              <w:top w:val="single" w:sz="4" w:space="0" w:color="FFFFFF" w:themeColor="background1"/>
              <w:left w:val="single" w:sz="4" w:space="0" w:color="auto"/>
            </w:tcBorders>
            <w:shd w:val="clear" w:color="auto" w:fill="auto"/>
            <w:vAlign w:val="center"/>
          </w:tcPr>
          <w:p w14:paraId="72AC764E" w14:textId="77777777" w:rsidR="009A4C46" w:rsidRPr="009A4C46" w:rsidRDefault="009A4C46" w:rsidP="009A4C46">
            <w:pPr>
              <w:spacing w:after="0" w:line="276" w:lineRule="auto"/>
              <w:ind w:hanging="15"/>
              <w:jc w:val="center"/>
              <w:rPr>
                <w:rFonts w:eastAsia="Times New Roman"/>
                <w:lang w:eastAsia="ru-RU"/>
              </w:rPr>
            </w:pPr>
            <w:r w:rsidRPr="009A4C46">
              <w:rPr>
                <w:rFonts w:eastAsia="Times New Roman"/>
                <w:lang w:eastAsia="ru-RU"/>
              </w:rPr>
              <w:t>0,1092</w:t>
            </w:r>
          </w:p>
        </w:tc>
        <w:tc>
          <w:tcPr>
            <w:tcW w:w="366" w:type="pct"/>
            <w:tcBorders>
              <w:top w:val="single" w:sz="4" w:space="0" w:color="FFFFFF" w:themeColor="background1"/>
              <w:left w:val="single" w:sz="4" w:space="0" w:color="auto"/>
              <w:right w:val="single" w:sz="4" w:space="0" w:color="auto"/>
            </w:tcBorders>
            <w:shd w:val="clear" w:color="auto" w:fill="auto"/>
            <w:vAlign w:val="center"/>
          </w:tcPr>
          <w:p w14:paraId="5D438D30" w14:textId="77777777" w:rsidR="009A4C46" w:rsidRPr="009A4C46" w:rsidRDefault="009A4C46" w:rsidP="009A4C46">
            <w:pPr>
              <w:spacing w:after="0" w:line="276" w:lineRule="auto"/>
              <w:ind w:hanging="15"/>
              <w:jc w:val="center"/>
              <w:rPr>
                <w:rFonts w:eastAsia="Times New Roman"/>
                <w:lang w:eastAsia="ru-RU"/>
              </w:rPr>
            </w:pPr>
            <w:r w:rsidRPr="009A4C46">
              <w:rPr>
                <w:rFonts w:eastAsia="Times New Roman"/>
                <w:lang w:eastAsia="ru-RU"/>
              </w:rPr>
              <w:t>0,1084</w:t>
            </w:r>
          </w:p>
        </w:tc>
        <w:tc>
          <w:tcPr>
            <w:tcW w:w="366" w:type="pct"/>
            <w:tcBorders>
              <w:top w:val="single" w:sz="4" w:space="0" w:color="FFFFFF" w:themeColor="background1"/>
              <w:left w:val="single" w:sz="4" w:space="0" w:color="auto"/>
              <w:right w:val="single" w:sz="4" w:space="0" w:color="auto"/>
            </w:tcBorders>
            <w:vAlign w:val="center"/>
          </w:tcPr>
          <w:p w14:paraId="038C5836" w14:textId="77777777" w:rsidR="009A4C46" w:rsidRPr="009A4C46" w:rsidRDefault="009A4C46" w:rsidP="009A4C46">
            <w:pPr>
              <w:spacing w:after="0" w:line="276" w:lineRule="auto"/>
              <w:ind w:hanging="15"/>
              <w:jc w:val="center"/>
              <w:rPr>
                <w:rFonts w:eastAsia="Times New Roman"/>
                <w:lang w:eastAsia="ru-RU"/>
              </w:rPr>
            </w:pPr>
            <w:r w:rsidRPr="009A4C46">
              <w:rPr>
                <w:rFonts w:eastAsia="Times New Roman"/>
                <w:lang w:eastAsia="ru-RU"/>
              </w:rPr>
              <w:t>0,1076</w:t>
            </w:r>
          </w:p>
        </w:tc>
        <w:tc>
          <w:tcPr>
            <w:tcW w:w="366" w:type="pct"/>
            <w:tcBorders>
              <w:top w:val="single" w:sz="4" w:space="0" w:color="FFFFFF" w:themeColor="background1"/>
              <w:left w:val="single" w:sz="4" w:space="0" w:color="auto"/>
              <w:right w:val="single" w:sz="4" w:space="0" w:color="auto"/>
            </w:tcBorders>
            <w:vAlign w:val="center"/>
          </w:tcPr>
          <w:p w14:paraId="3A20C711" w14:textId="77777777" w:rsidR="009A4C46" w:rsidRPr="009A4C46" w:rsidRDefault="009A4C46" w:rsidP="009A4C46">
            <w:pPr>
              <w:spacing w:after="0" w:line="276" w:lineRule="auto"/>
              <w:ind w:hanging="15"/>
              <w:jc w:val="center"/>
              <w:rPr>
                <w:rFonts w:eastAsia="Times New Roman"/>
                <w:lang w:eastAsia="ru-RU"/>
              </w:rPr>
            </w:pPr>
            <w:r w:rsidRPr="009A4C46">
              <w:rPr>
                <w:rFonts w:eastAsia="Times New Roman"/>
                <w:lang w:eastAsia="ru-RU"/>
              </w:rPr>
              <w:t>0,1068</w:t>
            </w:r>
          </w:p>
        </w:tc>
        <w:tc>
          <w:tcPr>
            <w:tcW w:w="366" w:type="pct"/>
            <w:tcBorders>
              <w:top w:val="single" w:sz="4" w:space="0" w:color="FFFFFF" w:themeColor="background1"/>
              <w:left w:val="single" w:sz="4" w:space="0" w:color="auto"/>
              <w:right w:val="single" w:sz="4" w:space="0" w:color="auto"/>
            </w:tcBorders>
            <w:vAlign w:val="center"/>
          </w:tcPr>
          <w:p w14:paraId="16819A8A" w14:textId="77777777" w:rsidR="009A4C46" w:rsidRPr="009A4C46" w:rsidRDefault="009A4C46" w:rsidP="009A4C46">
            <w:pPr>
              <w:spacing w:after="0" w:line="276" w:lineRule="auto"/>
              <w:ind w:hanging="15"/>
              <w:jc w:val="center"/>
              <w:rPr>
                <w:rFonts w:eastAsia="Times New Roman"/>
                <w:lang w:eastAsia="ru-RU"/>
              </w:rPr>
            </w:pPr>
            <w:r w:rsidRPr="009A4C46">
              <w:rPr>
                <w:rFonts w:eastAsia="Times New Roman"/>
                <w:lang w:eastAsia="ru-RU"/>
              </w:rPr>
              <w:t>0,1060</w:t>
            </w:r>
          </w:p>
        </w:tc>
        <w:tc>
          <w:tcPr>
            <w:tcW w:w="366" w:type="pct"/>
            <w:tcBorders>
              <w:top w:val="single" w:sz="4" w:space="0" w:color="FFFFFF" w:themeColor="background1"/>
              <w:left w:val="single" w:sz="4" w:space="0" w:color="auto"/>
              <w:right w:val="single" w:sz="4" w:space="0" w:color="auto"/>
            </w:tcBorders>
            <w:vAlign w:val="center"/>
          </w:tcPr>
          <w:p w14:paraId="05125EED" w14:textId="77777777" w:rsidR="009A4C46" w:rsidRPr="009A4C46" w:rsidRDefault="009A4C46" w:rsidP="009A4C46">
            <w:pPr>
              <w:spacing w:after="0" w:line="276" w:lineRule="auto"/>
              <w:ind w:hanging="15"/>
              <w:jc w:val="center"/>
              <w:rPr>
                <w:rFonts w:eastAsia="Times New Roman"/>
                <w:lang w:eastAsia="ru-RU"/>
              </w:rPr>
            </w:pPr>
            <w:r w:rsidRPr="009A4C46">
              <w:rPr>
                <w:rFonts w:eastAsia="Times New Roman"/>
                <w:lang w:eastAsia="ru-RU"/>
              </w:rPr>
              <w:t>0,1052</w:t>
            </w:r>
          </w:p>
        </w:tc>
        <w:tc>
          <w:tcPr>
            <w:tcW w:w="366" w:type="pct"/>
            <w:tcBorders>
              <w:top w:val="single" w:sz="4" w:space="0" w:color="FFFFFF" w:themeColor="background1"/>
              <w:left w:val="single" w:sz="4" w:space="0" w:color="auto"/>
              <w:right w:val="single" w:sz="4" w:space="0" w:color="auto"/>
            </w:tcBorders>
            <w:vAlign w:val="center"/>
          </w:tcPr>
          <w:p w14:paraId="2CD065D1" w14:textId="77777777" w:rsidR="009A4C46" w:rsidRPr="009A4C46" w:rsidRDefault="009A4C46" w:rsidP="009A4C46">
            <w:pPr>
              <w:spacing w:after="0" w:line="276" w:lineRule="auto"/>
              <w:ind w:hanging="15"/>
              <w:jc w:val="center"/>
              <w:rPr>
                <w:rFonts w:eastAsia="Times New Roman"/>
                <w:lang w:eastAsia="ru-RU"/>
              </w:rPr>
            </w:pPr>
            <w:r w:rsidRPr="009A4C46">
              <w:rPr>
                <w:rFonts w:eastAsia="Times New Roman"/>
                <w:lang w:eastAsia="ru-RU"/>
              </w:rPr>
              <w:t>0,1044</w:t>
            </w:r>
          </w:p>
        </w:tc>
        <w:tc>
          <w:tcPr>
            <w:tcW w:w="366" w:type="pct"/>
            <w:gridSpan w:val="2"/>
            <w:tcBorders>
              <w:top w:val="single" w:sz="4" w:space="0" w:color="FFFFFF" w:themeColor="background1"/>
              <w:left w:val="single" w:sz="4" w:space="0" w:color="auto"/>
              <w:right w:val="single" w:sz="4" w:space="0" w:color="auto"/>
            </w:tcBorders>
            <w:vAlign w:val="center"/>
          </w:tcPr>
          <w:p w14:paraId="51DED3D9" w14:textId="77777777" w:rsidR="009A4C46" w:rsidRPr="009A4C46" w:rsidRDefault="009A4C46" w:rsidP="009A4C46">
            <w:pPr>
              <w:spacing w:after="0" w:line="276" w:lineRule="auto"/>
              <w:ind w:hanging="15"/>
              <w:jc w:val="center"/>
              <w:rPr>
                <w:rFonts w:eastAsia="Times New Roman"/>
                <w:lang w:eastAsia="ru-RU"/>
              </w:rPr>
            </w:pPr>
            <w:r w:rsidRPr="009A4C46">
              <w:rPr>
                <w:rFonts w:eastAsia="Times New Roman"/>
                <w:lang w:eastAsia="ru-RU"/>
              </w:rPr>
              <w:t>0,1036</w:t>
            </w:r>
          </w:p>
        </w:tc>
      </w:tr>
      <w:tr w:rsidR="009A4C46" w:rsidRPr="009A4C46" w14:paraId="323F8966" w14:textId="77777777" w:rsidTr="00F94FED">
        <w:trPr>
          <w:trHeight w:val="20"/>
        </w:trPr>
        <w:tc>
          <w:tcPr>
            <w:tcW w:w="974" w:type="pct"/>
            <w:tcBorders>
              <w:top w:val="single" w:sz="4" w:space="0" w:color="auto"/>
              <w:left w:val="single" w:sz="4" w:space="0" w:color="auto"/>
              <w:bottom w:val="single" w:sz="4" w:space="0" w:color="auto"/>
            </w:tcBorders>
            <w:shd w:val="clear" w:color="auto" w:fill="auto"/>
            <w:vAlign w:val="center"/>
          </w:tcPr>
          <w:p w14:paraId="6E4D5DC6" w14:textId="77777777" w:rsidR="009A4C46" w:rsidRPr="009A4C46" w:rsidRDefault="009A4C46" w:rsidP="009A4C46">
            <w:pPr>
              <w:spacing w:after="0" w:line="276" w:lineRule="auto"/>
              <w:ind w:hanging="15"/>
              <w:rPr>
                <w:rFonts w:eastAsia="Times New Roman"/>
                <w:lang w:eastAsia="ru-RU"/>
              </w:rPr>
            </w:pPr>
            <w:r w:rsidRPr="009A4C46">
              <w:rPr>
                <w:rFonts w:eastAsia="Times New Roman"/>
                <w:lang w:eastAsia="ru-RU" w:bidi="ru-RU"/>
              </w:rPr>
              <w:t>Показатель уровня качества оказываемых услуг</w:t>
            </w:r>
          </w:p>
        </w:tc>
        <w:tc>
          <w:tcPr>
            <w:tcW w:w="366" w:type="pct"/>
            <w:tcBorders>
              <w:top w:val="single" w:sz="4" w:space="0" w:color="auto"/>
              <w:left w:val="single" w:sz="4" w:space="0" w:color="auto"/>
              <w:bottom w:val="single" w:sz="4" w:space="0" w:color="auto"/>
            </w:tcBorders>
            <w:shd w:val="clear" w:color="auto" w:fill="auto"/>
            <w:vAlign w:val="center"/>
          </w:tcPr>
          <w:p w14:paraId="29136373" w14:textId="77777777" w:rsidR="009A4C46" w:rsidRPr="009A4C46" w:rsidRDefault="009A4C46" w:rsidP="009A4C46">
            <w:pPr>
              <w:spacing w:after="0" w:line="276" w:lineRule="auto"/>
              <w:ind w:hanging="15"/>
              <w:jc w:val="center"/>
              <w:rPr>
                <w:rFonts w:eastAsia="Times New Roman"/>
                <w:lang w:eastAsia="ru-RU"/>
              </w:rPr>
            </w:pPr>
            <w:r w:rsidRPr="009A4C46">
              <w:rPr>
                <w:rFonts w:eastAsia="Times New Roman"/>
                <w:lang w:eastAsia="ru-RU"/>
              </w:rPr>
              <w:t>1,0102</w:t>
            </w:r>
          </w:p>
        </w:tc>
        <w:tc>
          <w:tcPr>
            <w:tcW w:w="366" w:type="pct"/>
            <w:tcBorders>
              <w:top w:val="single" w:sz="4" w:space="0" w:color="auto"/>
              <w:left w:val="single" w:sz="4" w:space="0" w:color="auto"/>
              <w:bottom w:val="single" w:sz="4" w:space="0" w:color="auto"/>
            </w:tcBorders>
            <w:shd w:val="clear" w:color="auto" w:fill="auto"/>
            <w:vAlign w:val="center"/>
          </w:tcPr>
          <w:p w14:paraId="67DB099E" w14:textId="77777777" w:rsidR="009A4C46" w:rsidRPr="009A4C46" w:rsidRDefault="009A4C46" w:rsidP="009A4C46">
            <w:pPr>
              <w:spacing w:after="0" w:line="276" w:lineRule="auto"/>
              <w:ind w:hanging="15"/>
              <w:jc w:val="center"/>
              <w:rPr>
                <w:rFonts w:eastAsia="Times New Roman"/>
                <w:lang w:eastAsia="ru-RU"/>
              </w:rPr>
            </w:pPr>
            <w:r w:rsidRPr="009A4C46">
              <w:rPr>
                <w:rFonts w:eastAsia="Times New Roman"/>
                <w:lang w:eastAsia="ru-RU"/>
              </w:rPr>
              <w:t>1,0102</w:t>
            </w:r>
          </w:p>
        </w:tc>
        <w:tc>
          <w:tcPr>
            <w:tcW w:w="366" w:type="pct"/>
            <w:tcBorders>
              <w:top w:val="single" w:sz="4" w:space="0" w:color="auto"/>
              <w:left w:val="single" w:sz="4" w:space="0" w:color="auto"/>
              <w:bottom w:val="single" w:sz="4" w:space="0" w:color="auto"/>
            </w:tcBorders>
            <w:shd w:val="clear" w:color="auto" w:fill="auto"/>
            <w:vAlign w:val="center"/>
          </w:tcPr>
          <w:p w14:paraId="590CE03E" w14:textId="77777777" w:rsidR="009A4C46" w:rsidRPr="009A4C46" w:rsidRDefault="009A4C46" w:rsidP="009A4C46">
            <w:pPr>
              <w:spacing w:after="0" w:line="276" w:lineRule="auto"/>
              <w:ind w:hanging="15"/>
              <w:jc w:val="center"/>
              <w:rPr>
                <w:rFonts w:eastAsia="Times New Roman"/>
                <w:lang w:eastAsia="ru-RU"/>
              </w:rPr>
            </w:pPr>
            <w:r w:rsidRPr="009A4C46">
              <w:rPr>
                <w:rFonts w:eastAsia="Times New Roman"/>
                <w:lang w:eastAsia="ru-RU"/>
              </w:rPr>
              <w:t>1,0102</w:t>
            </w:r>
          </w:p>
        </w:tc>
        <w:tc>
          <w:tcPr>
            <w:tcW w:w="366" w:type="pct"/>
            <w:tcBorders>
              <w:top w:val="single" w:sz="4" w:space="0" w:color="auto"/>
              <w:left w:val="single" w:sz="4" w:space="0" w:color="auto"/>
              <w:bottom w:val="single" w:sz="4" w:space="0" w:color="auto"/>
            </w:tcBorders>
            <w:shd w:val="clear" w:color="auto" w:fill="auto"/>
            <w:vAlign w:val="center"/>
          </w:tcPr>
          <w:p w14:paraId="5E038F4D" w14:textId="77777777" w:rsidR="009A4C46" w:rsidRPr="009A4C46" w:rsidRDefault="009A4C46" w:rsidP="009A4C46">
            <w:pPr>
              <w:spacing w:after="0" w:line="276" w:lineRule="auto"/>
              <w:ind w:hanging="15"/>
              <w:jc w:val="center"/>
              <w:rPr>
                <w:rFonts w:eastAsia="Times New Roman"/>
                <w:lang w:eastAsia="ru-RU"/>
              </w:rPr>
            </w:pPr>
            <w:r w:rsidRPr="009A4C46">
              <w:rPr>
                <w:rFonts w:eastAsia="Times New Roman"/>
                <w:lang w:eastAsia="ru-RU"/>
              </w:rPr>
              <w:t>1,0102</w:t>
            </w:r>
          </w:p>
        </w:tc>
        <w:tc>
          <w:tcPr>
            <w:tcW w:w="366" w:type="pct"/>
            <w:tcBorders>
              <w:top w:val="single" w:sz="4" w:space="0" w:color="auto"/>
              <w:left w:val="single" w:sz="4" w:space="0" w:color="auto"/>
              <w:bottom w:val="single" w:sz="4" w:space="0" w:color="auto"/>
              <w:right w:val="single" w:sz="4" w:space="0" w:color="auto"/>
            </w:tcBorders>
            <w:shd w:val="clear" w:color="auto" w:fill="auto"/>
            <w:vAlign w:val="center"/>
          </w:tcPr>
          <w:p w14:paraId="499D6293" w14:textId="77777777" w:rsidR="009A4C46" w:rsidRPr="009A4C46" w:rsidRDefault="009A4C46" w:rsidP="009A4C46">
            <w:pPr>
              <w:spacing w:after="0" w:line="276" w:lineRule="auto"/>
              <w:ind w:hanging="15"/>
              <w:jc w:val="center"/>
              <w:rPr>
                <w:rFonts w:eastAsia="Times New Roman"/>
                <w:lang w:eastAsia="ru-RU"/>
              </w:rPr>
            </w:pPr>
            <w:r w:rsidRPr="009A4C46">
              <w:rPr>
                <w:rFonts w:eastAsia="Times New Roman"/>
                <w:lang w:eastAsia="ru-RU"/>
              </w:rPr>
              <w:t>1,0102</w:t>
            </w:r>
          </w:p>
        </w:tc>
        <w:tc>
          <w:tcPr>
            <w:tcW w:w="366" w:type="pct"/>
            <w:tcBorders>
              <w:top w:val="single" w:sz="4" w:space="0" w:color="auto"/>
              <w:left w:val="single" w:sz="4" w:space="0" w:color="auto"/>
              <w:bottom w:val="single" w:sz="4" w:space="0" w:color="auto"/>
              <w:right w:val="single" w:sz="4" w:space="0" w:color="auto"/>
            </w:tcBorders>
            <w:vAlign w:val="center"/>
          </w:tcPr>
          <w:p w14:paraId="35DB86EE" w14:textId="77777777" w:rsidR="009A4C46" w:rsidRPr="009A4C46" w:rsidRDefault="009A4C46" w:rsidP="009A4C46">
            <w:pPr>
              <w:spacing w:after="0" w:line="276" w:lineRule="auto"/>
              <w:ind w:hanging="15"/>
              <w:jc w:val="center"/>
              <w:rPr>
                <w:rFonts w:eastAsia="Times New Roman"/>
                <w:lang w:eastAsia="ru-RU"/>
              </w:rPr>
            </w:pPr>
            <w:r w:rsidRPr="009A4C46">
              <w:rPr>
                <w:rFonts w:eastAsia="Times New Roman"/>
                <w:lang w:eastAsia="ru-RU"/>
              </w:rPr>
              <w:t>1,0102</w:t>
            </w:r>
          </w:p>
        </w:tc>
        <w:tc>
          <w:tcPr>
            <w:tcW w:w="366" w:type="pct"/>
            <w:tcBorders>
              <w:top w:val="single" w:sz="4" w:space="0" w:color="auto"/>
              <w:left w:val="single" w:sz="4" w:space="0" w:color="auto"/>
              <w:bottom w:val="single" w:sz="4" w:space="0" w:color="auto"/>
              <w:right w:val="single" w:sz="4" w:space="0" w:color="auto"/>
            </w:tcBorders>
            <w:vAlign w:val="center"/>
          </w:tcPr>
          <w:p w14:paraId="41D43705" w14:textId="77777777" w:rsidR="009A4C46" w:rsidRPr="009A4C46" w:rsidRDefault="009A4C46" w:rsidP="009A4C46">
            <w:pPr>
              <w:spacing w:after="0" w:line="276" w:lineRule="auto"/>
              <w:ind w:hanging="15"/>
              <w:jc w:val="center"/>
              <w:rPr>
                <w:rFonts w:eastAsia="Times New Roman"/>
                <w:lang w:eastAsia="ru-RU"/>
              </w:rPr>
            </w:pPr>
            <w:r w:rsidRPr="009A4C46">
              <w:rPr>
                <w:rFonts w:eastAsia="Times New Roman"/>
                <w:lang w:eastAsia="ru-RU"/>
              </w:rPr>
              <w:t>1,0102</w:t>
            </w:r>
          </w:p>
        </w:tc>
        <w:tc>
          <w:tcPr>
            <w:tcW w:w="366" w:type="pct"/>
            <w:tcBorders>
              <w:top w:val="single" w:sz="4" w:space="0" w:color="auto"/>
              <w:left w:val="single" w:sz="4" w:space="0" w:color="auto"/>
              <w:bottom w:val="single" w:sz="4" w:space="0" w:color="auto"/>
              <w:right w:val="single" w:sz="4" w:space="0" w:color="auto"/>
            </w:tcBorders>
            <w:vAlign w:val="center"/>
          </w:tcPr>
          <w:p w14:paraId="054F9D80" w14:textId="77777777" w:rsidR="009A4C46" w:rsidRPr="009A4C46" w:rsidRDefault="009A4C46" w:rsidP="009A4C46">
            <w:pPr>
              <w:spacing w:after="0" w:line="276" w:lineRule="auto"/>
              <w:ind w:hanging="15"/>
              <w:jc w:val="center"/>
              <w:rPr>
                <w:rFonts w:eastAsia="Times New Roman"/>
                <w:lang w:eastAsia="ru-RU"/>
              </w:rPr>
            </w:pPr>
            <w:r w:rsidRPr="009A4C46">
              <w:rPr>
                <w:rFonts w:eastAsia="Times New Roman"/>
                <w:lang w:eastAsia="ru-RU"/>
              </w:rPr>
              <w:t>1,0102</w:t>
            </w:r>
          </w:p>
        </w:tc>
        <w:tc>
          <w:tcPr>
            <w:tcW w:w="366" w:type="pct"/>
            <w:tcBorders>
              <w:top w:val="single" w:sz="4" w:space="0" w:color="auto"/>
              <w:left w:val="single" w:sz="4" w:space="0" w:color="auto"/>
              <w:bottom w:val="single" w:sz="4" w:space="0" w:color="auto"/>
              <w:right w:val="single" w:sz="4" w:space="0" w:color="auto"/>
            </w:tcBorders>
            <w:vAlign w:val="center"/>
          </w:tcPr>
          <w:p w14:paraId="5A59F371" w14:textId="77777777" w:rsidR="009A4C46" w:rsidRPr="009A4C46" w:rsidRDefault="009A4C46" w:rsidP="009A4C46">
            <w:pPr>
              <w:spacing w:after="0" w:line="276" w:lineRule="auto"/>
              <w:ind w:hanging="15"/>
              <w:jc w:val="center"/>
              <w:rPr>
                <w:rFonts w:eastAsia="Times New Roman"/>
                <w:lang w:eastAsia="ru-RU"/>
              </w:rPr>
            </w:pPr>
            <w:r w:rsidRPr="009A4C46">
              <w:rPr>
                <w:rFonts w:eastAsia="Times New Roman"/>
                <w:lang w:eastAsia="ru-RU"/>
              </w:rPr>
              <w:t>1,0102</w:t>
            </w:r>
          </w:p>
        </w:tc>
        <w:tc>
          <w:tcPr>
            <w:tcW w:w="366" w:type="pct"/>
            <w:tcBorders>
              <w:top w:val="single" w:sz="4" w:space="0" w:color="auto"/>
              <w:left w:val="single" w:sz="4" w:space="0" w:color="auto"/>
              <w:bottom w:val="single" w:sz="4" w:space="0" w:color="auto"/>
              <w:right w:val="single" w:sz="4" w:space="0" w:color="auto"/>
            </w:tcBorders>
            <w:vAlign w:val="center"/>
          </w:tcPr>
          <w:p w14:paraId="47DD1BE1" w14:textId="77777777" w:rsidR="009A4C46" w:rsidRPr="009A4C46" w:rsidRDefault="009A4C46" w:rsidP="009A4C46">
            <w:pPr>
              <w:spacing w:after="0" w:line="276" w:lineRule="auto"/>
              <w:ind w:hanging="15"/>
              <w:jc w:val="center"/>
              <w:rPr>
                <w:rFonts w:eastAsia="Times New Roman"/>
                <w:lang w:eastAsia="ru-RU"/>
              </w:rPr>
            </w:pPr>
            <w:r w:rsidRPr="009A4C46">
              <w:rPr>
                <w:rFonts w:eastAsia="Times New Roman"/>
                <w:lang w:eastAsia="ru-RU"/>
              </w:rPr>
              <w:t>1,0102</w:t>
            </w:r>
          </w:p>
        </w:tc>
        <w:tc>
          <w:tcPr>
            <w:tcW w:w="366" w:type="pct"/>
            <w:gridSpan w:val="2"/>
            <w:tcBorders>
              <w:top w:val="single" w:sz="4" w:space="0" w:color="auto"/>
              <w:left w:val="single" w:sz="4" w:space="0" w:color="auto"/>
              <w:bottom w:val="single" w:sz="4" w:space="0" w:color="auto"/>
              <w:right w:val="single" w:sz="4" w:space="0" w:color="auto"/>
            </w:tcBorders>
            <w:vAlign w:val="center"/>
          </w:tcPr>
          <w:p w14:paraId="08835AD0" w14:textId="77777777" w:rsidR="009A4C46" w:rsidRPr="009A4C46" w:rsidRDefault="009A4C46" w:rsidP="009A4C46">
            <w:pPr>
              <w:spacing w:after="0" w:line="276" w:lineRule="auto"/>
              <w:ind w:hanging="15"/>
              <w:jc w:val="center"/>
              <w:rPr>
                <w:rFonts w:eastAsia="Times New Roman"/>
                <w:lang w:eastAsia="ru-RU"/>
              </w:rPr>
            </w:pPr>
            <w:r w:rsidRPr="009A4C46">
              <w:rPr>
                <w:rFonts w:eastAsia="Times New Roman"/>
                <w:lang w:eastAsia="ru-RU"/>
              </w:rPr>
              <w:t>1,0102</w:t>
            </w:r>
          </w:p>
        </w:tc>
      </w:tr>
    </w:tbl>
    <w:p w14:paraId="4A86CB7F" w14:textId="77777777" w:rsidR="009A4C46" w:rsidRPr="00F94FED" w:rsidRDefault="009A4C46" w:rsidP="00F94FED">
      <w:pPr>
        <w:spacing w:after="0" w:line="360" w:lineRule="auto"/>
        <w:ind w:firstLine="567"/>
        <w:jc w:val="both"/>
        <w:rPr>
          <w:rFonts w:eastAsia="Times New Roman"/>
          <w:sz w:val="26"/>
          <w:szCs w:val="26"/>
          <w:lang w:eastAsia="ru-RU"/>
        </w:rPr>
      </w:pPr>
      <w:r w:rsidRPr="00F94FED">
        <w:rPr>
          <w:rFonts w:eastAsia="Times New Roman"/>
          <w:sz w:val="26"/>
          <w:szCs w:val="26"/>
          <w:lang w:eastAsia="ru-RU"/>
        </w:rPr>
        <w:t xml:space="preserve">В экспертном заключении на 2018 год отсутствует анализ заявленных АО «Тываэнерго» показателей уровня надежности и качества оказываемых услуг, не указаны документы, предоставленные АО «Тываэнерго» для обоснования плановых показателей на 2018-2022 годы. </w:t>
      </w:r>
    </w:p>
    <w:p w14:paraId="30399EE1" w14:textId="7B427F13" w:rsidR="009A4C46" w:rsidRPr="00F94FED" w:rsidRDefault="009A4C46" w:rsidP="00F94FED">
      <w:pPr>
        <w:spacing w:after="0" w:line="360" w:lineRule="auto"/>
        <w:ind w:firstLine="567"/>
        <w:jc w:val="both"/>
        <w:rPr>
          <w:rFonts w:eastAsia="Times New Roman"/>
          <w:sz w:val="26"/>
          <w:szCs w:val="26"/>
          <w:lang w:eastAsia="ru-RU"/>
        </w:rPr>
      </w:pPr>
      <w:r w:rsidRPr="00F94FED">
        <w:rPr>
          <w:rFonts w:eastAsia="Times New Roman"/>
          <w:sz w:val="26"/>
          <w:szCs w:val="26"/>
          <w:lang w:eastAsia="ru-RU"/>
        </w:rPr>
        <w:lastRenderedPageBreak/>
        <w:t>По результатам анализа документов, предоставленных АО «Тываэнерго» в Службу по тарифам Республики Тыва, Исполнитель отмечает, что документы соответствуют нормам законодательства, действующим на момент утверждения долгосрочных параметров регулирования на 2012-2022 г</w:t>
      </w:r>
      <w:r w:rsidR="003E2802" w:rsidRPr="00F94FED">
        <w:rPr>
          <w:rFonts w:eastAsia="Times New Roman"/>
          <w:sz w:val="26"/>
          <w:szCs w:val="26"/>
          <w:lang w:eastAsia="ru-RU"/>
        </w:rPr>
        <w:t>оды.</w:t>
      </w:r>
    </w:p>
    <w:p w14:paraId="2D90EC1D" w14:textId="77777777" w:rsidR="009A4C46" w:rsidRPr="00F94FED" w:rsidRDefault="009A4C46" w:rsidP="00F94FED">
      <w:pPr>
        <w:widowControl w:val="0"/>
        <w:autoSpaceDE w:val="0"/>
        <w:autoSpaceDN w:val="0"/>
        <w:adjustRightInd w:val="0"/>
        <w:spacing w:after="0" w:line="360" w:lineRule="auto"/>
        <w:ind w:firstLine="567"/>
        <w:jc w:val="both"/>
        <w:rPr>
          <w:rFonts w:eastAsia="Times New Roman"/>
          <w:sz w:val="26"/>
          <w:szCs w:val="26"/>
          <w:lang w:eastAsia="ru-RU"/>
        </w:rPr>
      </w:pPr>
      <w:r w:rsidRPr="00F94FED">
        <w:rPr>
          <w:rFonts w:eastAsia="Times New Roman"/>
          <w:sz w:val="26"/>
          <w:szCs w:val="26"/>
          <w:lang w:eastAsia="ru-RU"/>
        </w:rPr>
        <w:t>Исполнитель отмечает, что Службой по тарифам Республики Тыва при определении показателей уровня надежности и качества оказываемых услуг не проведен анализ заявленных АО «Тываэнерго» показателей, экспертные заключения по утверждению долгосрочных параметров регулирования деятельности АО «Тываэнерго» на 2012-2017 гг. представлены не были.</w:t>
      </w:r>
    </w:p>
    <w:p w14:paraId="2BBEEE3A" w14:textId="77777777" w:rsidR="009A4C46" w:rsidRPr="00F94FED" w:rsidRDefault="009A4C46" w:rsidP="00F94FED">
      <w:pPr>
        <w:widowControl w:val="0"/>
        <w:autoSpaceDE w:val="0"/>
        <w:autoSpaceDN w:val="0"/>
        <w:adjustRightInd w:val="0"/>
        <w:spacing w:after="0" w:line="360" w:lineRule="auto"/>
        <w:ind w:firstLine="567"/>
        <w:jc w:val="both"/>
        <w:rPr>
          <w:rFonts w:eastAsia="Times New Roman"/>
          <w:sz w:val="26"/>
          <w:szCs w:val="26"/>
          <w:lang w:eastAsia="ru-RU"/>
        </w:rPr>
      </w:pPr>
      <w:r w:rsidRPr="00F94FED">
        <w:rPr>
          <w:rFonts w:eastAsia="Times New Roman"/>
          <w:sz w:val="26"/>
          <w:szCs w:val="26"/>
          <w:lang w:eastAsia="ru-RU"/>
        </w:rPr>
        <w:t>Для оценки правильности проведенных расчетов по надежности и качеству оказываемых АО «Тываэнерго» услуг по передаче электрической энергии и определения параметров, используемых в расчетах, Исполнителем проанализированы данные, представленные АО «Тываэнерго».</w:t>
      </w:r>
    </w:p>
    <w:p w14:paraId="6BBDBB00" w14:textId="698B8EEE" w:rsidR="003E2802" w:rsidRPr="00B44325" w:rsidRDefault="009A4C46" w:rsidP="00F94FED">
      <w:pPr>
        <w:pStyle w:val="a3"/>
        <w:widowControl w:val="0"/>
        <w:numPr>
          <w:ilvl w:val="0"/>
          <w:numId w:val="42"/>
        </w:numPr>
        <w:autoSpaceDE w:val="0"/>
        <w:autoSpaceDN w:val="0"/>
        <w:adjustRightInd w:val="0"/>
        <w:spacing w:after="0" w:line="360" w:lineRule="auto"/>
        <w:ind w:left="1134" w:hanging="567"/>
        <w:jc w:val="both"/>
        <w:rPr>
          <w:rFonts w:ascii="Myriad Pro" w:eastAsia="Times New Roman" w:hAnsi="Myriad Pro"/>
          <w:sz w:val="26"/>
          <w:szCs w:val="26"/>
          <w:lang w:eastAsia="ru-RU"/>
        </w:rPr>
      </w:pPr>
      <w:r w:rsidRPr="00B44325">
        <w:rPr>
          <w:rFonts w:ascii="Myriad Pro" w:eastAsia="Times New Roman" w:hAnsi="Myriad Pro"/>
          <w:sz w:val="26"/>
          <w:szCs w:val="26"/>
          <w:lang w:eastAsia="ru-RU"/>
        </w:rPr>
        <w:t>Сведения о прекращении передачи электрической энергии для потребителей услуг АО «Тываэнерго» за 2017 год (форма 1.1 Журнала учета текущей информации о прекращении передачи электрической энергии для потребителей услуг АО «Тываэнерго»);</w:t>
      </w:r>
    </w:p>
    <w:p w14:paraId="759BC771" w14:textId="0C113B99" w:rsidR="003E2802" w:rsidRPr="00B44325" w:rsidRDefault="003E2802" w:rsidP="00F94FED">
      <w:pPr>
        <w:pStyle w:val="a3"/>
        <w:widowControl w:val="0"/>
        <w:numPr>
          <w:ilvl w:val="0"/>
          <w:numId w:val="42"/>
        </w:numPr>
        <w:autoSpaceDE w:val="0"/>
        <w:autoSpaceDN w:val="0"/>
        <w:adjustRightInd w:val="0"/>
        <w:spacing w:after="0" w:line="360" w:lineRule="auto"/>
        <w:ind w:left="1134" w:hanging="567"/>
        <w:jc w:val="both"/>
        <w:rPr>
          <w:rFonts w:ascii="Myriad Pro" w:eastAsia="Times New Roman" w:hAnsi="Myriad Pro"/>
          <w:sz w:val="26"/>
          <w:szCs w:val="26"/>
          <w:lang w:eastAsia="ru-RU"/>
        </w:rPr>
      </w:pPr>
      <w:r w:rsidRPr="00B44325">
        <w:rPr>
          <w:rFonts w:ascii="Myriad Pro" w:eastAsia="Times New Roman" w:hAnsi="Myriad Pro"/>
          <w:sz w:val="26"/>
          <w:szCs w:val="26"/>
          <w:lang w:eastAsia="ru-RU"/>
        </w:rPr>
        <w:t>Р</w:t>
      </w:r>
      <w:r w:rsidR="009A4C46" w:rsidRPr="00B44325">
        <w:rPr>
          <w:rFonts w:ascii="Myriad Pro" w:eastAsia="Times New Roman" w:hAnsi="Myriad Pro"/>
          <w:sz w:val="26"/>
          <w:szCs w:val="26"/>
          <w:lang w:eastAsia="ru-RU"/>
        </w:rPr>
        <w:t>асчет показателя средней продолжительности прекращений передачи электрической энергии АО «Тываэнерго» за 2017 год (форма 1.2 Методических указаний №1256);</w:t>
      </w:r>
    </w:p>
    <w:p w14:paraId="58AA9EF0" w14:textId="7BEB565C" w:rsidR="003E2802" w:rsidRPr="00B44325" w:rsidRDefault="009A4C46" w:rsidP="00F94FED">
      <w:pPr>
        <w:pStyle w:val="a3"/>
        <w:widowControl w:val="0"/>
        <w:numPr>
          <w:ilvl w:val="0"/>
          <w:numId w:val="42"/>
        </w:numPr>
        <w:autoSpaceDE w:val="0"/>
        <w:autoSpaceDN w:val="0"/>
        <w:adjustRightInd w:val="0"/>
        <w:spacing w:after="0" w:line="360" w:lineRule="auto"/>
        <w:ind w:left="1134" w:hanging="567"/>
        <w:jc w:val="both"/>
        <w:rPr>
          <w:rFonts w:ascii="Myriad Pro" w:eastAsia="Times New Roman" w:hAnsi="Myriad Pro"/>
          <w:sz w:val="26"/>
          <w:szCs w:val="26"/>
          <w:lang w:eastAsia="ru-RU"/>
        </w:rPr>
      </w:pPr>
      <w:r w:rsidRPr="00B44325">
        <w:rPr>
          <w:rFonts w:ascii="Myriad Pro" w:eastAsia="Times New Roman" w:hAnsi="Myriad Pro"/>
          <w:sz w:val="26"/>
          <w:szCs w:val="26"/>
          <w:lang w:eastAsia="ru-RU"/>
        </w:rPr>
        <w:t>Данные об экономических и технических характеристиках и (или) условиях деятельности АО «Тываэнерго» за 2017 год (форма 1.9 Методических указаний №1256);</w:t>
      </w:r>
    </w:p>
    <w:p w14:paraId="0D519C01" w14:textId="20B8655C" w:rsidR="003E2802" w:rsidRPr="00B44325" w:rsidRDefault="009A4C46" w:rsidP="00F94FED">
      <w:pPr>
        <w:pStyle w:val="a3"/>
        <w:widowControl w:val="0"/>
        <w:numPr>
          <w:ilvl w:val="0"/>
          <w:numId w:val="42"/>
        </w:numPr>
        <w:autoSpaceDE w:val="0"/>
        <w:autoSpaceDN w:val="0"/>
        <w:adjustRightInd w:val="0"/>
        <w:spacing w:after="0" w:line="360" w:lineRule="auto"/>
        <w:ind w:left="1134" w:hanging="567"/>
        <w:jc w:val="both"/>
        <w:rPr>
          <w:rFonts w:ascii="Myriad Pro" w:eastAsia="Times New Roman" w:hAnsi="Myriad Pro"/>
          <w:sz w:val="26"/>
          <w:szCs w:val="26"/>
          <w:lang w:eastAsia="ru-RU"/>
        </w:rPr>
      </w:pPr>
      <w:r w:rsidRPr="00B44325">
        <w:rPr>
          <w:rFonts w:ascii="Myriad Pro" w:eastAsia="Times New Roman" w:hAnsi="Myriad Pro"/>
          <w:sz w:val="26"/>
          <w:szCs w:val="26"/>
          <w:lang w:eastAsia="ru-RU"/>
        </w:rPr>
        <w:t>Расчет значения индикатора информативности АО «Тываэнерго» (форма 6.1 Методических указаний №1256);</w:t>
      </w:r>
    </w:p>
    <w:p w14:paraId="323965F3" w14:textId="2946FF33" w:rsidR="003E2802" w:rsidRPr="00B44325" w:rsidRDefault="009A4C46" w:rsidP="00F94FED">
      <w:pPr>
        <w:pStyle w:val="a3"/>
        <w:widowControl w:val="0"/>
        <w:numPr>
          <w:ilvl w:val="0"/>
          <w:numId w:val="42"/>
        </w:numPr>
        <w:autoSpaceDE w:val="0"/>
        <w:autoSpaceDN w:val="0"/>
        <w:adjustRightInd w:val="0"/>
        <w:spacing w:after="0" w:line="360" w:lineRule="auto"/>
        <w:ind w:left="1134" w:hanging="567"/>
        <w:jc w:val="both"/>
        <w:rPr>
          <w:rFonts w:ascii="Myriad Pro" w:eastAsia="Times New Roman" w:hAnsi="Myriad Pro"/>
          <w:sz w:val="26"/>
          <w:szCs w:val="26"/>
          <w:lang w:eastAsia="ru-RU"/>
        </w:rPr>
      </w:pPr>
      <w:r w:rsidRPr="00B44325">
        <w:rPr>
          <w:rFonts w:ascii="Myriad Pro" w:eastAsia="Times New Roman" w:hAnsi="Myriad Pro"/>
          <w:sz w:val="26"/>
          <w:szCs w:val="26"/>
          <w:lang w:eastAsia="ru-RU"/>
        </w:rPr>
        <w:t xml:space="preserve">Расчет значения индикатора </w:t>
      </w:r>
      <w:r w:rsidR="003E2802" w:rsidRPr="00B44325">
        <w:rPr>
          <w:rFonts w:ascii="Myriad Pro" w:eastAsia="Times New Roman" w:hAnsi="Myriad Pro"/>
          <w:sz w:val="26"/>
          <w:szCs w:val="26"/>
          <w:lang w:eastAsia="ru-RU"/>
        </w:rPr>
        <w:t>исполнительности</w:t>
      </w:r>
      <w:r w:rsidRPr="00B44325">
        <w:rPr>
          <w:rFonts w:ascii="Myriad Pro" w:eastAsia="Times New Roman" w:hAnsi="Myriad Pro"/>
          <w:sz w:val="26"/>
          <w:szCs w:val="26"/>
          <w:lang w:eastAsia="ru-RU"/>
        </w:rPr>
        <w:t xml:space="preserve"> АО «Тываэнерго» (форма 6.2 Методических указаний №1256);</w:t>
      </w:r>
    </w:p>
    <w:p w14:paraId="0AE62E94" w14:textId="5125464C" w:rsidR="003E2802" w:rsidRPr="00B44325" w:rsidRDefault="009A4C46" w:rsidP="00F94FED">
      <w:pPr>
        <w:pStyle w:val="a3"/>
        <w:widowControl w:val="0"/>
        <w:numPr>
          <w:ilvl w:val="0"/>
          <w:numId w:val="42"/>
        </w:numPr>
        <w:autoSpaceDE w:val="0"/>
        <w:autoSpaceDN w:val="0"/>
        <w:adjustRightInd w:val="0"/>
        <w:spacing w:after="0" w:line="360" w:lineRule="auto"/>
        <w:ind w:left="1134" w:hanging="567"/>
        <w:jc w:val="both"/>
        <w:rPr>
          <w:rFonts w:ascii="Myriad Pro" w:eastAsia="Times New Roman" w:hAnsi="Myriad Pro"/>
          <w:sz w:val="26"/>
          <w:szCs w:val="26"/>
          <w:lang w:eastAsia="ru-RU"/>
        </w:rPr>
      </w:pPr>
      <w:r w:rsidRPr="00B44325">
        <w:rPr>
          <w:rFonts w:ascii="Myriad Pro" w:eastAsia="Times New Roman" w:hAnsi="Myriad Pro"/>
          <w:sz w:val="26"/>
          <w:szCs w:val="26"/>
          <w:lang w:eastAsia="ru-RU"/>
        </w:rPr>
        <w:t xml:space="preserve">Расчет значения индикатора результативности обратной связи </w:t>
      </w:r>
      <w:r w:rsidRPr="00B44325">
        <w:rPr>
          <w:rFonts w:ascii="Myriad Pro" w:eastAsia="Times New Roman" w:hAnsi="Myriad Pro"/>
          <w:sz w:val="26"/>
          <w:szCs w:val="26"/>
          <w:lang w:eastAsia="ru-RU"/>
        </w:rPr>
        <w:br/>
        <w:t>АО «Тываэнерго» (форма 6.3 Методических указаний №1256);</w:t>
      </w:r>
    </w:p>
    <w:p w14:paraId="5484F421" w14:textId="1AC70DD2" w:rsidR="003E2802" w:rsidRPr="00B44325" w:rsidRDefault="009A4C46" w:rsidP="00F94FED">
      <w:pPr>
        <w:pStyle w:val="a3"/>
        <w:widowControl w:val="0"/>
        <w:numPr>
          <w:ilvl w:val="0"/>
          <w:numId w:val="42"/>
        </w:numPr>
        <w:autoSpaceDE w:val="0"/>
        <w:autoSpaceDN w:val="0"/>
        <w:adjustRightInd w:val="0"/>
        <w:spacing w:after="0" w:line="360" w:lineRule="auto"/>
        <w:ind w:left="1134" w:hanging="567"/>
        <w:jc w:val="both"/>
        <w:rPr>
          <w:rFonts w:ascii="Myriad Pro" w:eastAsia="Times New Roman" w:hAnsi="Myriad Pro"/>
          <w:sz w:val="26"/>
          <w:szCs w:val="26"/>
          <w:lang w:eastAsia="ru-RU"/>
        </w:rPr>
      </w:pPr>
      <w:r w:rsidRPr="00B44325">
        <w:rPr>
          <w:rFonts w:ascii="Myriad Pro" w:eastAsia="Times New Roman" w:hAnsi="Myriad Pro"/>
          <w:sz w:val="26"/>
          <w:szCs w:val="26"/>
          <w:lang w:eastAsia="ru-RU"/>
        </w:rPr>
        <w:t xml:space="preserve">Показатели уровня надежности и уровня качества оказываемых услуг </w:t>
      </w:r>
      <w:r w:rsidR="00B44325">
        <w:rPr>
          <w:rFonts w:ascii="Myriad Pro" w:eastAsia="Times New Roman" w:hAnsi="Myriad Pro"/>
          <w:sz w:val="26"/>
          <w:szCs w:val="26"/>
          <w:lang w:eastAsia="ru-RU"/>
        </w:rPr>
        <w:br/>
      </w:r>
      <w:r w:rsidRPr="00B44325">
        <w:rPr>
          <w:rFonts w:ascii="Myriad Pro" w:eastAsia="Times New Roman" w:hAnsi="Myriad Pro"/>
          <w:sz w:val="26"/>
          <w:szCs w:val="26"/>
          <w:lang w:eastAsia="ru-RU"/>
        </w:rPr>
        <w:t>АО «Тываэнерго» (форма 7.1 Методических указаний №1256);</w:t>
      </w:r>
    </w:p>
    <w:p w14:paraId="25BE900D" w14:textId="3D8792F3" w:rsidR="003E2802" w:rsidRPr="00B44325" w:rsidRDefault="009A4C46" w:rsidP="00F94FED">
      <w:pPr>
        <w:pStyle w:val="a3"/>
        <w:widowControl w:val="0"/>
        <w:numPr>
          <w:ilvl w:val="0"/>
          <w:numId w:val="42"/>
        </w:numPr>
        <w:autoSpaceDE w:val="0"/>
        <w:autoSpaceDN w:val="0"/>
        <w:adjustRightInd w:val="0"/>
        <w:spacing w:after="0" w:line="360" w:lineRule="auto"/>
        <w:ind w:left="1134" w:hanging="567"/>
        <w:jc w:val="both"/>
        <w:rPr>
          <w:rFonts w:ascii="Myriad Pro" w:eastAsia="Times New Roman" w:hAnsi="Myriad Pro"/>
          <w:sz w:val="26"/>
          <w:szCs w:val="26"/>
          <w:lang w:eastAsia="ru-RU"/>
        </w:rPr>
      </w:pPr>
      <w:r w:rsidRPr="00B44325">
        <w:rPr>
          <w:rFonts w:ascii="Myriad Pro" w:eastAsia="Times New Roman" w:hAnsi="Myriad Pro"/>
          <w:sz w:val="26"/>
          <w:szCs w:val="26"/>
          <w:lang w:eastAsia="ru-RU"/>
        </w:rPr>
        <w:lastRenderedPageBreak/>
        <w:t>Расчет обобщенного показателя уровня надежности и качества оказываемых услуг «АО Тываэнерго» (форма 7.2 Методических указаний №1256).</w:t>
      </w:r>
    </w:p>
    <w:p w14:paraId="792F46C0" w14:textId="6FBC4C0D" w:rsidR="009A4C46" w:rsidRPr="00B44325" w:rsidRDefault="009A4C46" w:rsidP="00F94FED">
      <w:pPr>
        <w:pStyle w:val="a3"/>
        <w:widowControl w:val="0"/>
        <w:numPr>
          <w:ilvl w:val="0"/>
          <w:numId w:val="42"/>
        </w:numPr>
        <w:autoSpaceDE w:val="0"/>
        <w:autoSpaceDN w:val="0"/>
        <w:adjustRightInd w:val="0"/>
        <w:spacing w:after="0" w:line="360" w:lineRule="auto"/>
        <w:ind w:left="1134" w:hanging="567"/>
        <w:jc w:val="both"/>
        <w:rPr>
          <w:rFonts w:ascii="Myriad Pro" w:eastAsia="Times New Roman" w:hAnsi="Myriad Pro"/>
          <w:sz w:val="26"/>
          <w:szCs w:val="26"/>
          <w:lang w:eastAsia="ru-RU"/>
        </w:rPr>
      </w:pPr>
      <w:r w:rsidRPr="00B44325">
        <w:rPr>
          <w:rFonts w:ascii="Myriad Pro" w:eastAsia="Times New Roman" w:hAnsi="Myriad Pro"/>
          <w:sz w:val="26"/>
          <w:szCs w:val="26"/>
          <w:lang w:eastAsia="ru-RU"/>
        </w:rPr>
        <w:t xml:space="preserve">Данные о факте прекращения передачи электрической энергии </w:t>
      </w:r>
      <w:r w:rsidRPr="00B44325">
        <w:rPr>
          <w:rFonts w:ascii="Myriad Pro" w:eastAsia="Times New Roman" w:hAnsi="Myriad Pro"/>
          <w:sz w:val="26"/>
          <w:szCs w:val="26"/>
          <w:lang w:eastAsia="ru-RU"/>
        </w:rPr>
        <w:br/>
        <w:t>АО «Тываэнерго» за 2017 год (форма 8.1 Журнала учёта данных первичной информации по всем прекращениям передачи электрической энергии, произошедших на объектах сетевой организации за прошлый год (местное время).</w:t>
      </w:r>
    </w:p>
    <w:p w14:paraId="25BA245F" w14:textId="77777777" w:rsidR="009A4C46" w:rsidRPr="00B44325" w:rsidRDefault="009A4C46" w:rsidP="00F94FED">
      <w:pPr>
        <w:widowControl w:val="0"/>
        <w:autoSpaceDE w:val="0"/>
        <w:autoSpaceDN w:val="0"/>
        <w:adjustRightInd w:val="0"/>
        <w:spacing w:after="0" w:line="360" w:lineRule="auto"/>
        <w:ind w:firstLine="567"/>
        <w:jc w:val="both"/>
        <w:rPr>
          <w:rFonts w:eastAsia="Times New Roman"/>
          <w:sz w:val="26"/>
          <w:szCs w:val="26"/>
          <w:lang w:eastAsia="ru-RU"/>
        </w:rPr>
      </w:pPr>
      <w:r w:rsidRPr="00B44325">
        <w:rPr>
          <w:rFonts w:eastAsia="Times New Roman"/>
          <w:sz w:val="26"/>
          <w:szCs w:val="26"/>
          <w:lang w:eastAsia="ru-RU"/>
        </w:rPr>
        <w:t>Приведенная информация подтверждается данными, приведенными на сайте АО «Тываэнерго» в рамках раскрываемой информации по Обществу.</w:t>
      </w:r>
    </w:p>
    <w:p w14:paraId="71120449" w14:textId="77777777" w:rsidR="009A4C46" w:rsidRPr="00F94FED" w:rsidRDefault="009A4C46" w:rsidP="00F94FED">
      <w:pPr>
        <w:widowControl w:val="0"/>
        <w:autoSpaceDE w:val="0"/>
        <w:autoSpaceDN w:val="0"/>
        <w:adjustRightInd w:val="0"/>
        <w:spacing w:after="0" w:line="360" w:lineRule="auto"/>
        <w:ind w:firstLine="567"/>
        <w:jc w:val="both"/>
        <w:rPr>
          <w:rFonts w:eastAsia="Times New Roman"/>
          <w:sz w:val="26"/>
          <w:szCs w:val="26"/>
          <w:lang w:eastAsia="ru-RU"/>
        </w:rPr>
      </w:pPr>
      <w:r w:rsidRPr="00B44325">
        <w:rPr>
          <w:rFonts w:eastAsia="Times New Roman"/>
          <w:sz w:val="26"/>
          <w:szCs w:val="26"/>
          <w:lang w:eastAsia="ru-RU"/>
        </w:rPr>
        <w:t>Уровни надежности и качества оказываемых услуг соответствуют</w:t>
      </w:r>
      <w:r w:rsidRPr="00F94FED">
        <w:rPr>
          <w:rFonts w:eastAsia="Times New Roman"/>
          <w:sz w:val="26"/>
          <w:szCs w:val="26"/>
          <w:lang w:eastAsia="ru-RU"/>
        </w:rPr>
        <w:t xml:space="preserve"> параметрам, утвержденными Службой по тарифам Республики Тыва.</w:t>
      </w:r>
    </w:p>
    <w:p w14:paraId="5B3B5210" w14:textId="6169F0D4" w:rsidR="009A4C46" w:rsidRPr="00F94FED" w:rsidRDefault="009A4C46" w:rsidP="00F94FED">
      <w:pPr>
        <w:widowControl w:val="0"/>
        <w:autoSpaceDE w:val="0"/>
        <w:autoSpaceDN w:val="0"/>
        <w:adjustRightInd w:val="0"/>
        <w:spacing w:after="0" w:line="360" w:lineRule="auto"/>
        <w:ind w:firstLine="567"/>
        <w:jc w:val="both"/>
        <w:rPr>
          <w:rFonts w:eastAsia="Times New Roman"/>
          <w:sz w:val="26"/>
          <w:szCs w:val="26"/>
          <w:lang w:eastAsia="ru-RU"/>
        </w:rPr>
      </w:pPr>
      <w:r w:rsidRPr="00F94FED">
        <w:rPr>
          <w:rFonts w:eastAsia="Times New Roman"/>
          <w:sz w:val="26"/>
          <w:szCs w:val="26"/>
          <w:lang w:eastAsia="ru-RU"/>
        </w:rPr>
        <w:t>Значение необходимой валовой выручки на содержание соответствует значению, утвержденному Службой по тарифам Республики Тыва в рамках сметы расходов на передачу электрической энергии на 2017 год АО «Тываэнерго».</w:t>
      </w:r>
    </w:p>
    <w:p w14:paraId="0DC81F3C" w14:textId="77777777" w:rsidR="009A4C46" w:rsidRPr="00F94FED" w:rsidRDefault="009A4C46" w:rsidP="00F94FED">
      <w:pPr>
        <w:widowControl w:val="0"/>
        <w:autoSpaceDE w:val="0"/>
        <w:autoSpaceDN w:val="0"/>
        <w:adjustRightInd w:val="0"/>
        <w:spacing w:after="0" w:line="360" w:lineRule="auto"/>
        <w:ind w:firstLine="567"/>
        <w:contextualSpacing/>
        <w:jc w:val="center"/>
        <w:rPr>
          <w:rFonts w:eastAsia="Times New Roman"/>
          <w:b/>
          <w:bCs/>
          <w:sz w:val="26"/>
          <w:szCs w:val="26"/>
          <w:lang w:eastAsia="ru-RU"/>
        </w:rPr>
      </w:pPr>
      <w:r w:rsidRPr="00F94FED">
        <w:rPr>
          <w:rFonts w:eastAsia="Times New Roman"/>
          <w:b/>
          <w:bCs/>
          <w:sz w:val="26"/>
          <w:szCs w:val="26"/>
          <w:lang w:eastAsia="ru-RU"/>
        </w:rPr>
        <w:t>Расчет корректировки НВВ 2019 года по факту за 2017 год</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43"/>
        <w:gridCol w:w="1429"/>
        <w:gridCol w:w="1041"/>
        <w:gridCol w:w="1232"/>
      </w:tblGrid>
      <w:tr w:rsidR="003E2802" w:rsidRPr="003E2802" w14:paraId="1B4ED60B" w14:textId="77777777" w:rsidTr="00F94FED">
        <w:trPr>
          <w:trHeight w:val="600"/>
          <w:tblHeader/>
        </w:trPr>
        <w:tc>
          <w:tcPr>
            <w:tcW w:w="304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CD48C81" w14:textId="77777777" w:rsidR="009A4C46" w:rsidRPr="00F94FED" w:rsidRDefault="009A4C46" w:rsidP="009A4C46">
            <w:pPr>
              <w:spacing w:after="0" w:line="240" w:lineRule="auto"/>
              <w:jc w:val="center"/>
              <w:rPr>
                <w:rFonts w:eastAsia="Times New Roman"/>
                <w:b/>
                <w:color w:val="FFFFFF" w:themeColor="background1"/>
                <w:lang w:eastAsia="ru-RU"/>
              </w:rPr>
            </w:pPr>
            <w:r w:rsidRPr="00F94FED">
              <w:rPr>
                <w:rFonts w:eastAsia="Times New Roman"/>
                <w:b/>
                <w:color w:val="FFFFFF" w:themeColor="background1"/>
                <w:lang w:eastAsia="ru-RU"/>
              </w:rPr>
              <w:t>Наименование показателя</w:t>
            </w:r>
          </w:p>
        </w:tc>
        <w:tc>
          <w:tcPr>
            <w:tcW w:w="74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11F1E42" w14:textId="77777777" w:rsidR="009A4C46" w:rsidRPr="00F94FED" w:rsidRDefault="009A4C46" w:rsidP="009A4C46">
            <w:pPr>
              <w:spacing w:after="0" w:line="240" w:lineRule="auto"/>
              <w:jc w:val="center"/>
              <w:rPr>
                <w:rFonts w:eastAsia="Times New Roman"/>
                <w:b/>
                <w:color w:val="FFFFFF" w:themeColor="background1"/>
                <w:lang w:eastAsia="ru-RU"/>
              </w:rPr>
            </w:pPr>
            <w:r w:rsidRPr="00F94FED">
              <w:rPr>
                <w:rFonts w:eastAsia="Times New Roman"/>
                <w:b/>
                <w:color w:val="FFFFFF" w:themeColor="background1"/>
                <w:lang w:eastAsia="ru-RU"/>
              </w:rPr>
              <w:t>Обозначение показателя</w:t>
            </w:r>
          </w:p>
        </w:tc>
        <w:tc>
          <w:tcPr>
            <w:tcW w:w="57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1D8AB50" w14:textId="77777777" w:rsidR="009A4C46" w:rsidRPr="00F94FED" w:rsidRDefault="009A4C46" w:rsidP="009A4C46">
            <w:pPr>
              <w:spacing w:after="0" w:line="240" w:lineRule="auto"/>
              <w:jc w:val="center"/>
              <w:rPr>
                <w:rFonts w:eastAsia="Times New Roman"/>
                <w:b/>
                <w:color w:val="FFFFFF" w:themeColor="background1"/>
                <w:lang w:eastAsia="ru-RU"/>
              </w:rPr>
            </w:pPr>
            <w:r w:rsidRPr="00F94FED">
              <w:rPr>
                <w:rFonts w:eastAsia="Times New Roman"/>
                <w:b/>
                <w:color w:val="FFFFFF" w:themeColor="background1"/>
                <w:lang w:eastAsia="ru-RU"/>
              </w:rPr>
              <w:t>Ед. изм.</w:t>
            </w:r>
          </w:p>
        </w:tc>
        <w:tc>
          <w:tcPr>
            <w:tcW w:w="63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030CDAA" w14:textId="77777777" w:rsidR="009A4C46" w:rsidRPr="00F94FED" w:rsidRDefault="009A4C46" w:rsidP="009A4C46">
            <w:pPr>
              <w:spacing w:after="0" w:line="240" w:lineRule="auto"/>
              <w:jc w:val="center"/>
              <w:rPr>
                <w:rFonts w:eastAsia="Times New Roman"/>
                <w:b/>
                <w:color w:val="FFFFFF" w:themeColor="background1"/>
                <w:lang w:eastAsia="ru-RU"/>
              </w:rPr>
            </w:pPr>
            <w:r w:rsidRPr="00F94FED">
              <w:rPr>
                <w:rFonts w:eastAsia="Times New Roman"/>
                <w:b/>
                <w:color w:val="FFFFFF" w:themeColor="background1"/>
                <w:lang w:eastAsia="ru-RU"/>
              </w:rPr>
              <w:t>Значение показателя</w:t>
            </w:r>
          </w:p>
        </w:tc>
      </w:tr>
      <w:tr w:rsidR="009A4C46" w:rsidRPr="003E2802" w14:paraId="01C4EF26" w14:textId="77777777" w:rsidTr="00F94FED">
        <w:trPr>
          <w:trHeight w:val="600"/>
        </w:trPr>
        <w:tc>
          <w:tcPr>
            <w:tcW w:w="3041" w:type="pct"/>
            <w:tcBorders>
              <w:top w:val="single" w:sz="4" w:space="0" w:color="FFFFFF" w:themeColor="background1"/>
            </w:tcBorders>
            <w:shd w:val="clear" w:color="auto" w:fill="auto"/>
            <w:hideMark/>
          </w:tcPr>
          <w:p w14:paraId="3A7621F6" w14:textId="77777777" w:rsidR="009A4C46" w:rsidRPr="003E2802" w:rsidRDefault="009A4C46" w:rsidP="009A4C46">
            <w:pPr>
              <w:spacing w:after="0" w:line="240" w:lineRule="auto"/>
              <w:rPr>
                <w:rFonts w:eastAsia="Times New Roman"/>
                <w:lang w:eastAsia="ru-RU"/>
              </w:rPr>
            </w:pPr>
            <w:r w:rsidRPr="003E2802">
              <w:rPr>
                <w:rFonts w:eastAsia="Times New Roman"/>
                <w:lang w:eastAsia="ru-RU"/>
              </w:rPr>
              <w:t>Год долгосрочного периода регулирования, в котором необходимо учесть корректировку</w:t>
            </w:r>
          </w:p>
        </w:tc>
        <w:tc>
          <w:tcPr>
            <w:tcW w:w="744" w:type="pct"/>
            <w:tcBorders>
              <w:top w:val="single" w:sz="4" w:space="0" w:color="FFFFFF" w:themeColor="background1"/>
            </w:tcBorders>
            <w:shd w:val="clear" w:color="auto" w:fill="auto"/>
            <w:vAlign w:val="center"/>
            <w:hideMark/>
          </w:tcPr>
          <w:p w14:paraId="6101BC86" w14:textId="77777777" w:rsidR="009A4C46" w:rsidRPr="003E2802" w:rsidRDefault="009A4C46" w:rsidP="009A4C46">
            <w:pPr>
              <w:spacing w:after="0" w:line="240" w:lineRule="auto"/>
              <w:jc w:val="center"/>
              <w:rPr>
                <w:rFonts w:eastAsia="Times New Roman"/>
                <w:lang w:eastAsia="ru-RU"/>
              </w:rPr>
            </w:pPr>
            <w:r w:rsidRPr="003E2802">
              <w:rPr>
                <w:rFonts w:eastAsia="Times New Roman"/>
                <w:lang w:eastAsia="ru-RU"/>
              </w:rPr>
              <w:t>i</w:t>
            </w:r>
          </w:p>
        </w:tc>
        <w:tc>
          <w:tcPr>
            <w:tcW w:w="579" w:type="pct"/>
            <w:tcBorders>
              <w:top w:val="single" w:sz="4" w:space="0" w:color="FFFFFF" w:themeColor="background1"/>
            </w:tcBorders>
            <w:shd w:val="clear" w:color="auto" w:fill="auto"/>
            <w:noWrap/>
            <w:vAlign w:val="center"/>
            <w:hideMark/>
          </w:tcPr>
          <w:p w14:paraId="1AAA3893" w14:textId="77777777" w:rsidR="009A4C46" w:rsidRPr="003E2802" w:rsidRDefault="009A4C46" w:rsidP="009A4C46">
            <w:pPr>
              <w:spacing w:after="0" w:line="240" w:lineRule="auto"/>
              <w:jc w:val="center"/>
              <w:rPr>
                <w:rFonts w:eastAsia="Times New Roman"/>
                <w:lang w:eastAsia="ru-RU"/>
              </w:rPr>
            </w:pPr>
            <w:r w:rsidRPr="003E2802">
              <w:rPr>
                <w:rFonts w:eastAsia="Times New Roman"/>
                <w:lang w:eastAsia="ru-RU"/>
              </w:rPr>
              <w:t> </w:t>
            </w:r>
          </w:p>
        </w:tc>
        <w:tc>
          <w:tcPr>
            <w:tcW w:w="636" w:type="pct"/>
            <w:tcBorders>
              <w:top w:val="single" w:sz="4" w:space="0" w:color="FFFFFF" w:themeColor="background1"/>
            </w:tcBorders>
            <w:shd w:val="clear" w:color="auto" w:fill="auto"/>
            <w:noWrap/>
            <w:vAlign w:val="center"/>
            <w:hideMark/>
          </w:tcPr>
          <w:p w14:paraId="0F49155B" w14:textId="77777777" w:rsidR="009A4C46" w:rsidRPr="003E2802" w:rsidRDefault="009A4C46" w:rsidP="009A4C46">
            <w:pPr>
              <w:spacing w:after="0" w:line="240" w:lineRule="auto"/>
              <w:jc w:val="center"/>
              <w:rPr>
                <w:rFonts w:eastAsia="Times New Roman"/>
                <w:lang w:eastAsia="ru-RU"/>
              </w:rPr>
            </w:pPr>
            <w:r w:rsidRPr="003E2802">
              <w:rPr>
                <w:rFonts w:eastAsia="Times New Roman"/>
                <w:lang w:eastAsia="ru-RU"/>
              </w:rPr>
              <w:t>2019</w:t>
            </w:r>
          </w:p>
        </w:tc>
      </w:tr>
      <w:tr w:rsidR="009A4C46" w:rsidRPr="003E2802" w14:paraId="404F71C0" w14:textId="77777777" w:rsidTr="00F94FED">
        <w:trPr>
          <w:trHeight w:val="1278"/>
        </w:trPr>
        <w:tc>
          <w:tcPr>
            <w:tcW w:w="3041" w:type="pct"/>
            <w:shd w:val="clear" w:color="auto" w:fill="auto"/>
            <w:hideMark/>
          </w:tcPr>
          <w:p w14:paraId="7B1722EC" w14:textId="77777777" w:rsidR="009A4C46" w:rsidRPr="003E2802" w:rsidRDefault="009A4C46" w:rsidP="009A4C46">
            <w:pPr>
              <w:spacing w:after="0" w:line="240" w:lineRule="auto"/>
              <w:rPr>
                <w:rFonts w:eastAsia="Times New Roman"/>
                <w:bCs/>
                <w:lang w:eastAsia="ru-RU"/>
              </w:rPr>
            </w:pPr>
            <w:r w:rsidRPr="003E2802">
              <w:rPr>
                <w:rFonts w:eastAsia="Times New Roman"/>
                <w:bCs/>
                <w:lang w:eastAsia="ru-RU"/>
              </w:rPr>
              <w:t>Корректировка необходимой валовой выручки на i-</w:t>
            </w:r>
            <w:proofErr w:type="spellStart"/>
            <w:r w:rsidRPr="003E2802">
              <w:rPr>
                <w:rFonts w:eastAsia="Times New Roman"/>
                <w:bCs/>
                <w:lang w:eastAsia="ru-RU"/>
              </w:rPr>
              <w:t>тый</w:t>
            </w:r>
            <w:proofErr w:type="spellEnd"/>
            <w:r w:rsidRPr="003E2802">
              <w:rPr>
                <w:rFonts w:eastAsia="Times New Roman"/>
                <w:bCs/>
                <w:lang w:eastAsia="ru-RU"/>
              </w:rPr>
              <w:t xml:space="preserve"> год долгосрочного периода регулирования, осуществляемая с учетом показателей </w:t>
            </w:r>
            <w:proofErr w:type="spellStart"/>
            <w:r w:rsidRPr="003E2802">
              <w:rPr>
                <w:rFonts w:eastAsia="Times New Roman"/>
                <w:bCs/>
                <w:lang w:eastAsia="ru-RU"/>
              </w:rPr>
              <w:t>недежности</w:t>
            </w:r>
            <w:proofErr w:type="spellEnd"/>
            <w:r w:rsidRPr="003E2802">
              <w:rPr>
                <w:rFonts w:eastAsia="Times New Roman"/>
                <w:bCs/>
                <w:lang w:eastAsia="ru-RU"/>
              </w:rPr>
              <w:t xml:space="preserve"> и качества услуг</w:t>
            </w:r>
            <w:r w:rsidRPr="003E2802">
              <w:rPr>
                <w:rFonts w:eastAsia="Times New Roman"/>
                <w:lang w:eastAsia="ru-RU"/>
              </w:rPr>
              <w:t xml:space="preserve"> (предусмотрена для ежегодного применения по итогам последнего истекшего года долгосрочного периода регулирования)</w:t>
            </w:r>
          </w:p>
        </w:tc>
        <w:tc>
          <w:tcPr>
            <w:tcW w:w="744" w:type="pct"/>
            <w:shd w:val="clear" w:color="auto" w:fill="auto"/>
            <w:noWrap/>
            <w:vAlign w:val="center"/>
            <w:hideMark/>
          </w:tcPr>
          <w:p w14:paraId="41A3B8B0" w14:textId="151D56D0" w:rsidR="009A4C46" w:rsidRPr="003E2802" w:rsidRDefault="009A4C46" w:rsidP="009A4C46">
            <w:pPr>
              <w:spacing w:after="0" w:line="240" w:lineRule="auto"/>
              <w:jc w:val="center"/>
              <w:rPr>
                <w:rFonts w:eastAsia="Times New Roman"/>
                <w:lang w:eastAsia="ru-RU"/>
              </w:rPr>
            </w:pPr>
            <w:r w:rsidRPr="00F94FED">
              <w:rPr>
                <w:rFonts w:eastAsia="Times New Roman"/>
                <w:lang w:eastAsia="ru-RU"/>
              </w:rPr>
              <w:t>НВВ</w:t>
            </w:r>
            <w:r w:rsidRPr="00F94FED">
              <w:rPr>
                <w:rFonts w:eastAsia="Times New Roman"/>
                <w:vertAlign w:val="superscript"/>
                <w:lang w:eastAsia="ru-RU"/>
              </w:rPr>
              <w:t>КНК</w:t>
            </w:r>
          </w:p>
        </w:tc>
        <w:tc>
          <w:tcPr>
            <w:tcW w:w="579" w:type="pct"/>
            <w:shd w:val="clear" w:color="auto" w:fill="auto"/>
            <w:noWrap/>
            <w:vAlign w:val="center"/>
            <w:hideMark/>
          </w:tcPr>
          <w:p w14:paraId="40F11992" w14:textId="77777777" w:rsidR="009A4C46" w:rsidRPr="003E2802" w:rsidRDefault="009A4C46" w:rsidP="009A4C46">
            <w:pPr>
              <w:spacing w:after="0" w:line="240" w:lineRule="auto"/>
              <w:jc w:val="center"/>
              <w:rPr>
                <w:rFonts w:eastAsia="Times New Roman"/>
                <w:lang w:eastAsia="ru-RU"/>
              </w:rPr>
            </w:pPr>
            <w:r w:rsidRPr="003E2802">
              <w:rPr>
                <w:rFonts w:eastAsia="Times New Roman"/>
                <w:lang w:eastAsia="ru-RU"/>
              </w:rPr>
              <w:t>тыс. руб.</w:t>
            </w:r>
          </w:p>
        </w:tc>
        <w:tc>
          <w:tcPr>
            <w:tcW w:w="636" w:type="pct"/>
            <w:shd w:val="clear" w:color="auto" w:fill="auto"/>
            <w:noWrap/>
            <w:vAlign w:val="center"/>
            <w:hideMark/>
          </w:tcPr>
          <w:p w14:paraId="7C6EC383" w14:textId="77777777" w:rsidR="009A4C46" w:rsidRPr="003E2802" w:rsidRDefault="009A4C46" w:rsidP="009A4C46">
            <w:pPr>
              <w:spacing w:after="0" w:line="240" w:lineRule="auto"/>
              <w:jc w:val="center"/>
              <w:rPr>
                <w:rFonts w:eastAsia="Times New Roman"/>
                <w:bCs/>
                <w:lang w:eastAsia="ru-RU"/>
              </w:rPr>
            </w:pPr>
            <w:r w:rsidRPr="003E2802">
              <w:rPr>
                <w:rFonts w:eastAsia="Times New Roman"/>
                <w:bCs/>
                <w:lang w:eastAsia="ru-RU"/>
              </w:rPr>
              <w:t>15 174</w:t>
            </w:r>
          </w:p>
        </w:tc>
      </w:tr>
      <w:tr w:rsidR="009A4C46" w:rsidRPr="003E2802" w14:paraId="59B22340" w14:textId="77777777" w:rsidTr="00F94FED">
        <w:trPr>
          <w:trHeight w:val="570"/>
        </w:trPr>
        <w:tc>
          <w:tcPr>
            <w:tcW w:w="3041" w:type="pct"/>
            <w:shd w:val="clear" w:color="auto" w:fill="auto"/>
            <w:hideMark/>
          </w:tcPr>
          <w:p w14:paraId="42CBA1A6" w14:textId="77777777" w:rsidR="009A4C46" w:rsidRPr="003E2802" w:rsidRDefault="009A4C46" w:rsidP="009A4C46">
            <w:pPr>
              <w:spacing w:after="0" w:line="240" w:lineRule="auto"/>
              <w:rPr>
                <w:rFonts w:eastAsia="Times New Roman"/>
                <w:lang w:eastAsia="ru-RU"/>
              </w:rPr>
            </w:pPr>
            <w:r w:rsidRPr="003E2802">
              <w:rPr>
                <w:rFonts w:eastAsia="Times New Roman"/>
                <w:lang w:eastAsia="ru-RU"/>
              </w:rPr>
              <w:t>Необходимая валовая выручка в части содержания электрических сетей на i-2 год долгосрочного периода регулирования</w:t>
            </w:r>
          </w:p>
        </w:tc>
        <w:tc>
          <w:tcPr>
            <w:tcW w:w="744" w:type="pct"/>
            <w:shd w:val="clear" w:color="auto" w:fill="auto"/>
            <w:noWrap/>
            <w:vAlign w:val="center"/>
            <w:hideMark/>
          </w:tcPr>
          <w:p w14:paraId="19054169" w14:textId="77777777" w:rsidR="009A4C46" w:rsidRPr="003E2802" w:rsidRDefault="009A4C46" w:rsidP="009A4C46">
            <w:pPr>
              <w:spacing w:after="0" w:line="240" w:lineRule="auto"/>
              <w:jc w:val="center"/>
              <w:rPr>
                <w:rFonts w:eastAsia="Times New Roman"/>
                <w:lang w:eastAsia="ru-RU"/>
              </w:rPr>
            </w:pPr>
            <w:r w:rsidRPr="003E2802">
              <w:rPr>
                <w:rFonts w:eastAsia="Times New Roman"/>
                <w:lang w:eastAsia="ru-RU"/>
              </w:rPr>
              <w:t>НВВ</w:t>
            </w:r>
            <w:r w:rsidRPr="003E2802">
              <w:rPr>
                <w:rFonts w:eastAsia="Times New Roman"/>
                <w:vertAlign w:val="superscript"/>
                <w:lang w:eastAsia="ru-RU"/>
              </w:rPr>
              <w:t>сод</w:t>
            </w:r>
            <w:r w:rsidRPr="003E2802">
              <w:rPr>
                <w:rFonts w:eastAsia="Times New Roman"/>
                <w:vertAlign w:val="subscript"/>
                <w:lang w:eastAsia="ru-RU"/>
              </w:rPr>
              <w:t>i-2</w:t>
            </w:r>
          </w:p>
        </w:tc>
        <w:tc>
          <w:tcPr>
            <w:tcW w:w="579" w:type="pct"/>
            <w:shd w:val="clear" w:color="auto" w:fill="auto"/>
            <w:noWrap/>
            <w:vAlign w:val="center"/>
            <w:hideMark/>
          </w:tcPr>
          <w:p w14:paraId="79AB2664" w14:textId="77777777" w:rsidR="009A4C46" w:rsidRPr="003E2802" w:rsidRDefault="009A4C46" w:rsidP="009A4C46">
            <w:pPr>
              <w:spacing w:after="0" w:line="240" w:lineRule="auto"/>
              <w:jc w:val="center"/>
              <w:rPr>
                <w:rFonts w:eastAsia="Times New Roman"/>
                <w:lang w:eastAsia="ru-RU"/>
              </w:rPr>
            </w:pPr>
            <w:r w:rsidRPr="003E2802">
              <w:rPr>
                <w:rFonts w:eastAsia="Times New Roman"/>
                <w:lang w:eastAsia="ru-RU"/>
              </w:rPr>
              <w:t>тыс. руб.</w:t>
            </w:r>
          </w:p>
        </w:tc>
        <w:tc>
          <w:tcPr>
            <w:tcW w:w="636" w:type="pct"/>
            <w:shd w:val="clear" w:color="auto" w:fill="auto"/>
            <w:noWrap/>
            <w:vAlign w:val="center"/>
            <w:hideMark/>
          </w:tcPr>
          <w:p w14:paraId="35ECD4F2" w14:textId="77777777" w:rsidR="009A4C46" w:rsidRPr="003E2802" w:rsidRDefault="009A4C46" w:rsidP="009A4C46">
            <w:pPr>
              <w:spacing w:after="0" w:line="240" w:lineRule="auto"/>
              <w:jc w:val="center"/>
              <w:rPr>
                <w:rFonts w:eastAsia="Times New Roman"/>
                <w:lang w:eastAsia="ru-RU"/>
              </w:rPr>
            </w:pPr>
            <w:r w:rsidRPr="003E2802">
              <w:rPr>
                <w:rFonts w:eastAsia="Times New Roman"/>
                <w:lang w:eastAsia="ru-RU"/>
              </w:rPr>
              <w:t>1 167 221</w:t>
            </w:r>
          </w:p>
        </w:tc>
      </w:tr>
      <w:tr w:rsidR="009A4C46" w:rsidRPr="003E2802" w14:paraId="523A2ACF" w14:textId="77777777" w:rsidTr="00F94FED">
        <w:trPr>
          <w:trHeight w:val="1915"/>
        </w:trPr>
        <w:tc>
          <w:tcPr>
            <w:tcW w:w="3041" w:type="pct"/>
            <w:shd w:val="clear" w:color="auto" w:fill="auto"/>
            <w:hideMark/>
          </w:tcPr>
          <w:p w14:paraId="21FF3833" w14:textId="77777777" w:rsidR="009A4C46" w:rsidRPr="003E2802" w:rsidRDefault="009A4C46" w:rsidP="009A4C46">
            <w:pPr>
              <w:spacing w:after="0" w:line="240" w:lineRule="auto"/>
              <w:rPr>
                <w:rFonts w:eastAsia="Times New Roman"/>
                <w:lang w:eastAsia="ru-RU"/>
              </w:rPr>
            </w:pPr>
            <w:r w:rsidRPr="003E2802">
              <w:rPr>
                <w:rFonts w:eastAsia="Times New Roman"/>
                <w:lang w:eastAsia="ru-RU"/>
              </w:rPr>
              <w:t>Обобщенный коэффициент надежности и качества, определяемый в соответствии с Методическими указаниями по расчету и применению понижающих (повышающих) коэффициентов, позволяющих обеспечить соответствие уровня тарифов, установленных для организаций, осуществляющих регулируемую деятельность, уровню надежности и качества поставляемых товаров и оказываемых услуг, утвержденными приказом ФСТ России от 26 декабря 2010 г. № 254-э/1</w:t>
            </w:r>
          </w:p>
        </w:tc>
        <w:tc>
          <w:tcPr>
            <w:tcW w:w="744" w:type="pct"/>
            <w:shd w:val="clear" w:color="auto" w:fill="auto"/>
            <w:vAlign w:val="center"/>
            <w:hideMark/>
          </w:tcPr>
          <w:p w14:paraId="571BD039" w14:textId="77777777" w:rsidR="009A4C46" w:rsidRPr="003E2802" w:rsidRDefault="009A4C46" w:rsidP="009A4C46">
            <w:pPr>
              <w:spacing w:after="0" w:line="240" w:lineRule="auto"/>
              <w:jc w:val="center"/>
              <w:rPr>
                <w:rFonts w:eastAsia="Times New Roman"/>
                <w:lang w:eastAsia="ru-RU"/>
              </w:rPr>
            </w:pPr>
            <w:r w:rsidRPr="003E2802">
              <w:rPr>
                <w:rFonts w:eastAsia="Times New Roman"/>
                <w:lang w:eastAsia="ru-RU"/>
              </w:rPr>
              <w:t xml:space="preserve">КНК = </w:t>
            </w:r>
            <w:proofErr w:type="spellStart"/>
            <w:r w:rsidRPr="003E2802">
              <w:rPr>
                <w:rFonts w:eastAsia="Times New Roman"/>
                <w:lang w:eastAsia="ru-RU"/>
              </w:rPr>
              <w:t>К</w:t>
            </w:r>
            <w:r w:rsidRPr="003E2802">
              <w:rPr>
                <w:rFonts w:eastAsia="Times New Roman"/>
                <w:vertAlign w:val="subscript"/>
                <w:lang w:eastAsia="ru-RU"/>
              </w:rPr>
              <w:t>над</w:t>
            </w:r>
            <w:proofErr w:type="spellEnd"/>
            <w:r w:rsidRPr="003E2802">
              <w:rPr>
                <w:rFonts w:eastAsia="Times New Roman"/>
                <w:vertAlign w:val="subscript"/>
                <w:lang w:eastAsia="ru-RU"/>
              </w:rPr>
              <w:t>.</w:t>
            </w:r>
            <w:r w:rsidRPr="003E2802">
              <w:rPr>
                <w:rFonts w:eastAsia="Times New Roman"/>
                <w:lang w:eastAsia="ru-RU"/>
              </w:rPr>
              <w:t xml:space="preserve"> х </w:t>
            </w:r>
            <w:proofErr w:type="spellStart"/>
            <w:r w:rsidRPr="003E2802">
              <w:rPr>
                <w:rFonts w:eastAsia="Times New Roman"/>
                <w:lang w:eastAsia="ru-RU"/>
              </w:rPr>
              <w:t>Коб</w:t>
            </w:r>
            <w:r w:rsidRPr="003E2802">
              <w:rPr>
                <w:rFonts w:eastAsia="Times New Roman"/>
                <w:vertAlign w:val="subscript"/>
                <w:lang w:eastAsia="ru-RU"/>
              </w:rPr>
              <w:t>i</w:t>
            </w:r>
            <w:proofErr w:type="spellEnd"/>
          </w:p>
        </w:tc>
        <w:tc>
          <w:tcPr>
            <w:tcW w:w="579" w:type="pct"/>
            <w:shd w:val="clear" w:color="auto" w:fill="auto"/>
            <w:noWrap/>
            <w:vAlign w:val="center"/>
            <w:hideMark/>
          </w:tcPr>
          <w:p w14:paraId="610FF06C" w14:textId="77777777" w:rsidR="009A4C46" w:rsidRPr="003E2802" w:rsidRDefault="009A4C46" w:rsidP="009A4C46">
            <w:pPr>
              <w:spacing w:after="0" w:line="240" w:lineRule="auto"/>
              <w:jc w:val="center"/>
              <w:rPr>
                <w:rFonts w:eastAsia="Times New Roman"/>
                <w:lang w:eastAsia="ru-RU"/>
              </w:rPr>
            </w:pPr>
            <w:r w:rsidRPr="003E2802">
              <w:rPr>
                <w:rFonts w:eastAsia="Times New Roman"/>
                <w:lang w:eastAsia="ru-RU"/>
              </w:rPr>
              <w:t>%</w:t>
            </w:r>
          </w:p>
        </w:tc>
        <w:tc>
          <w:tcPr>
            <w:tcW w:w="636" w:type="pct"/>
            <w:shd w:val="clear" w:color="auto" w:fill="auto"/>
            <w:noWrap/>
            <w:vAlign w:val="center"/>
            <w:hideMark/>
          </w:tcPr>
          <w:p w14:paraId="3B8757A5" w14:textId="77777777" w:rsidR="009A4C46" w:rsidRPr="003E2802" w:rsidRDefault="009A4C46" w:rsidP="009A4C46">
            <w:pPr>
              <w:spacing w:after="0" w:line="240" w:lineRule="auto"/>
              <w:jc w:val="center"/>
              <w:rPr>
                <w:rFonts w:eastAsia="Times New Roman"/>
                <w:lang w:eastAsia="ru-RU"/>
              </w:rPr>
            </w:pPr>
            <w:r w:rsidRPr="003E2802">
              <w:rPr>
                <w:rFonts w:eastAsia="Times New Roman"/>
                <w:lang w:eastAsia="ru-RU"/>
              </w:rPr>
              <w:t>1,3%</w:t>
            </w:r>
          </w:p>
        </w:tc>
      </w:tr>
      <w:tr w:rsidR="009A4C46" w:rsidRPr="003E2802" w14:paraId="4E584A1E" w14:textId="77777777" w:rsidTr="00F94FED">
        <w:trPr>
          <w:trHeight w:val="708"/>
        </w:trPr>
        <w:tc>
          <w:tcPr>
            <w:tcW w:w="3041" w:type="pct"/>
            <w:shd w:val="clear" w:color="auto" w:fill="auto"/>
            <w:hideMark/>
          </w:tcPr>
          <w:p w14:paraId="1C89272F" w14:textId="77777777" w:rsidR="009A4C46" w:rsidRPr="003E2802" w:rsidRDefault="009A4C46" w:rsidP="009A4C46">
            <w:pPr>
              <w:spacing w:after="0" w:line="240" w:lineRule="auto"/>
              <w:rPr>
                <w:rFonts w:eastAsia="Times New Roman"/>
                <w:lang w:eastAsia="ru-RU"/>
              </w:rPr>
            </w:pPr>
            <w:r w:rsidRPr="003E2802">
              <w:rPr>
                <w:rFonts w:eastAsia="Times New Roman"/>
                <w:lang w:eastAsia="ru-RU"/>
              </w:rPr>
              <w:t>Коэффициент корректировки необходимой валовой выручки с учетом надежности и качества оказываемых услуг в году i, осуществляемой в соответствии с Основами ценообразования</w:t>
            </w:r>
          </w:p>
        </w:tc>
        <w:tc>
          <w:tcPr>
            <w:tcW w:w="744" w:type="pct"/>
            <w:shd w:val="clear" w:color="auto" w:fill="auto"/>
            <w:vAlign w:val="center"/>
            <w:hideMark/>
          </w:tcPr>
          <w:p w14:paraId="54B103B3" w14:textId="77777777" w:rsidR="009A4C46" w:rsidRPr="003E2802" w:rsidRDefault="009A4C46" w:rsidP="009A4C46">
            <w:pPr>
              <w:spacing w:after="0" w:line="240" w:lineRule="auto"/>
              <w:jc w:val="center"/>
              <w:rPr>
                <w:rFonts w:eastAsia="Times New Roman"/>
                <w:lang w:eastAsia="ru-RU"/>
              </w:rPr>
            </w:pPr>
            <w:proofErr w:type="spellStart"/>
            <w:r w:rsidRPr="003E2802">
              <w:rPr>
                <w:rFonts w:eastAsia="Times New Roman"/>
                <w:lang w:eastAsia="ru-RU"/>
              </w:rPr>
              <w:t>К</w:t>
            </w:r>
            <w:r w:rsidRPr="003E2802">
              <w:rPr>
                <w:rFonts w:eastAsia="Times New Roman"/>
                <w:vertAlign w:val="subscript"/>
                <w:lang w:eastAsia="ru-RU"/>
              </w:rPr>
              <w:t>над</w:t>
            </w:r>
            <w:proofErr w:type="spellEnd"/>
            <w:r w:rsidRPr="003E2802">
              <w:rPr>
                <w:rFonts w:eastAsia="Times New Roman"/>
                <w:vertAlign w:val="subscript"/>
                <w:lang w:eastAsia="ru-RU"/>
              </w:rPr>
              <w:t>.</w:t>
            </w:r>
          </w:p>
        </w:tc>
        <w:tc>
          <w:tcPr>
            <w:tcW w:w="579" w:type="pct"/>
            <w:shd w:val="clear" w:color="auto" w:fill="auto"/>
            <w:noWrap/>
            <w:vAlign w:val="center"/>
            <w:hideMark/>
          </w:tcPr>
          <w:p w14:paraId="25E7CAC3" w14:textId="77777777" w:rsidR="009A4C46" w:rsidRPr="003E2802" w:rsidRDefault="009A4C46" w:rsidP="009A4C46">
            <w:pPr>
              <w:spacing w:after="0" w:line="240" w:lineRule="auto"/>
              <w:jc w:val="center"/>
              <w:rPr>
                <w:rFonts w:eastAsia="Times New Roman"/>
                <w:lang w:eastAsia="ru-RU"/>
              </w:rPr>
            </w:pPr>
            <w:r w:rsidRPr="003E2802">
              <w:rPr>
                <w:rFonts w:eastAsia="Times New Roman"/>
                <w:lang w:eastAsia="ru-RU"/>
              </w:rPr>
              <w:t>%</w:t>
            </w:r>
          </w:p>
        </w:tc>
        <w:tc>
          <w:tcPr>
            <w:tcW w:w="636" w:type="pct"/>
            <w:shd w:val="clear" w:color="auto" w:fill="auto"/>
            <w:noWrap/>
            <w:vAlign w:val="center"/>
            <w:hideMark/>
          </w:tcPr>
          <w:p w14:paraId="485A616C" w14:textId="77777777" w:rsidR="009A4C46" w:rsidRPr="003E2802" w:rsidRDefault="009A4C46" w:rsidP="009A4C46">
            <w:pPr>
              <w:spacing w:after="0" w:line="240" w:lineRule="auto"/>
              <w:jc w:val="center"/>
              <w:rPr>
                <w:rFonts w:eastAsia="Times New Roman"/>
                <w:lang w:eastAsia="ru-RU"/>
              </w:rPr>
            </w:pPr>
            <w:r w:rsidRPr="003E2802">
              <w:rPr>
                <w:rFonts w:eastAsia="Times New Roman"/>
                <w:lang w:eastAsia="ru-RU"/>
              </w:rPr>
              <w:t>2,0%</w:t>
            </w:r>
          </w:p>
        </w:tc>
      </w:tr>
      <w:tr w:rsidR="009A4C46" w:rsidRPr="003E2802" w14:paraId="720CA548" w14:textId="77777777" w:rsidTr="00F94FED">
        <w:trPr>
          <w:trHeight w:val="2801"/>
        </w:trPr>
        <w:tc>
          <w:tcPr>
            <w:tcW w:w="3041" w:type="pct"/>
            <w:shd w:val="clear" w:color="auto" w:fill="auto"/>
            <w:hideMark/>
          </w:tcPr>
          <w:p w14:paraId="2C205198" w14:textId="77777777" w:rsidR="009A4C46" w:rsidRPr="003E2802" w:rsidRDefault="009A4C46" w:rsidP="009A4C46">
            <w:pPr>
              <w:spacing w:after="0" w:line="240" w:lineRule="auto"/>
              <w:rPr>
                <w:rFonts w:eastAsia="Times New Roman"/>
                <w:lang w:eastAsia="ru-RU"/>
              </w:rPr>
            </w:pPr>
            <w:r w:rsidRPr="003E2802">
              <w:rPr>
                <w:rFonts w:eastAsia="Times New Roman"/>
                <w:lang w:eastAsia="ru-RU"/>
              </w:rPr>
              <w:lastRenderedPageBreak/>
              <w:t>Обобщенный показатель надежности и качества оказываемых услуг в году i, используемый при осуществлении корректировки цен (тарифов), установленных на долгосрочный период регулирования, связанной с отклонением фактических значений показателей надежности и качества оказываемых услуг от плановых, который определяется в соответствии с Методическими указаниями по расчету уровня надежности и качества поставляемых товаров и оказываемых услуг для организации по управлению единой национальной (общероссийской) электрической сетью и территориальных сетевых организаций, утвержденными Приказом Министерства энергетики Российской Федерации от 29.06.2010 г. № 296</w:t>
            </w:r>
          </w:p>
        </w:tc>
        <w:tc>
          <w:tcPr>
            <w:tcW w:w="744" w:type="pct"/>
            <w:shd w:val="clear" w:color="auto" w:fill="auto"/>
            <w:vAlign w:val="center"/>
            <w:hideMark/>
          </w:tcPr>
          <w:p w14:paraId="6EE6EEE3" w14:textId="77777777" w:rsidR="009A4C46" w:rsidRPr="003E2802" w:rsidRDefault="009A4C46" w:rsidP="009A4C46">
            <w:pPr>
              <w:spacing w:after="0" w:line="240" w:lineRule="auto"/>
              <w:jc w:val="center"/>
              <w:rPr>
                <w:rFonts w:eastAsia="Times New Roman"/>
                <w:lang w:eastAsia="ru-RU"/>
              </w:rPr>
            </w:pPr>
            <w:proofErr w:type="spellStart"/>
            <w:r w:rsidRPr="003E2802">
              <w:rPr>
                <w:rFonts w:eastAsia="Times New Roman"/>
                <w:lang w:eastAsia="ru-RU"/>
              </w:rPr>
              <w:t>Коб</w:t>
            </w:r>
            <w:r w:rsidRPr="003E2802">
              <w:rPr>
                <w:rFonts w:eastAsia="Times New Roman"/>
                <w:vertAlign w:val="subscript"/>
                <w:lang w:eastAsia="ru-RU"/>
              </w:rPr>
              <w:t>i</w:t>
            </w:r>
            <w:proofErr w:type="spellEnd"/>
          </w:p>
        </w:tc>
        <w:tc>
          <w:tcPr>
            <w:tcW w:w="579" w:type="pct"/>
            <w:shd w:val="clear" w:color="auto" w:fill="auto"/>
            <w:noWrap/>
            <w:vAlign w:val="center"/>
            <w:hideMark/>
          </w:tcPr>
          <w:p w14:paraId="2C675CEC" w14:textId="77777777" w:rsidR="009A4C46" w:rsidRPr="003E2802" w:rsidRDefault="009A4C46" w:rsidP="009A4C46">
            <w:pPr>
              <w:spacing w:after="0" w:line="240" w:lineRule="auto"/>
              <w:jc w:val="center"/>
              <w:rPr>
                <w:rFonts w:eastAsia="Times New Roman"/>
                <w:lang w:eastAsia="ru-RU"/>
              </w:rPr>
            </w:pPr>
            <w:r w:rsidRPr="003E2802">
              <w:rPr>
                <w:rFonts w:eastAsia="Times New Roman"/>
                <w:lang w:eastAsia="ru-RU"/>
              </w:rPr>
              <w:t> </w:t>
            </w:r>
          </w:p>
        </w:tc>
        <w:tc>
          <w:tcPr>
            <w:tcW w:w="636" w:type="pct"/>
            <w:shd w:val="clear" w:color="auto" w:fill="auto"/>
            <w:noWrap/>
            <w:vAlign w:val="center"/>
            <w:hideMark/>
          </w:tcPr>
          <w:p w14:paraId="1464974A" w14:textId="77777777" w:rsidR="009A4C46" w:rsidRPr="003E2802" w:rsidRDefault="009A4C46" w:rsidP="009A4C46">
            <w:pPr>
              <w:spacing w:after="0" w:line="240" w:lineRule="auto"/>
              <w:jc w:val="center"/>
              <w:rPr>
                <w:rFonts w:eastAsia="Times New Roman"/>
                <w:lang w:eastAsia="ru-RU"/>
              </w:rPr>
            </w:pPr>
            <w:r w:rsidRPr="003E2802">
              <w:rPr>
                <w:rFonts w:eastAsia="Times New Roman"/>
                <w:lang w:eastAsia="ru-RU"/>
              </w:rPr>
              <w:t>0,65</w:t>
            </w:r>
          </w:p>
        </w:tc>
      </w:tr>
    </w:tbl>
    <w:p w14:paraId="6A2DAC39" w14:textId="77777777" w:rsidR="009A4C46" w:rsidRPr="00F94FED" w:rsidRDefault="009A4C46" w:rsidP="00F94FED">
      <w:pPr>
        <w:widowControl w:val="0"/>
        <w:autoSpaceDE w:val="0"/>
        <w:autoSpaceDN w:val="0"/>
        <w:adjustRightInd w:val="0"/>
        <w:spacing w:after="0" w:line="360" w:lineRule="auto"/>
        <w:ind w:firstLine="567"/>
        <w:jc w:val="both"/>
        <w:rPr>
          <w:rFonts w:eastAsia="Times New Roman"/>
          <w:sz w:val="26"/>
          <w:szCs w:val="26"/>
          <w:lang w:eastAsia="ru-RU"/>
        </w:rPr>
      </w:pPr>
    </w:p>
    <w:p w14:paraId="7534E44A" w14:textId="77777777" w:rsidR="009A4C46" w:rsidRPr="00F94FED" w:rsidRDefault="009A4C46" w:rsidP="00F94FED">
      <w:pPr>
        <w:widowControl w:val="0"/>
        <w:autoSpaceDE w:val="0"/>
        <w:autoSpaceDN w:val="0"/>
        <w:adjustRightInd w:val="0"/>
        <w:spacing w:after="0" w:line="360" w:lineRule="auto"/>
        <w:ind w:firstLine="567"/>
        <w:jc w:val="both"/>
        <w:rPr>
          <w:rFonts w:eastAsia="Times New Roman"/>
          <w:sz w:val="26"/>
          <w:szCs w:val="26"/>
          <w:lang w:eastAsia="ru-RU"/>
        </w:rPr>
      </w:pPr>
      <w:r w:rsidRPr="00F94FED">
        <w:rPr>
          <w:rFonts w:eastAsia="Times New Roman"/>
          <w:sz w:val="26"/>
          <w:szCs w:val="26"/>
          <w:lang w:eastAsia="ru-RU"/>
        </w:rPr>
        <w:t xml:space="preserve">Таким образом, полученная </w:t>
      </w:r>
      <w:bookmarkStart w:id="49" w:name="_Hlk41405425"/>
      <w:r w:rsidRPr="00F94FED">
        <w:rPr>
          <w:rFonts w:eastAsia="Times New Roman"/>
          <w:sz w:val="26"/>
          <w:szCs w:val="26"/>
          <w:lang w:eastAsia="ru-RU"/>
        </w:rPr>
        <w:t>сумма корректировки по данному параметру составила 15 174 тыс. руб. и соответствует расчетам АО «Тываэнерго» и Службы по тарифам Республики Тыва.</w:t>
      </w:r>
    </w:p>
    <w:bookmarkEnd w:id="49"/>
    <w:p w14:paraId="0926E612" w14:textId="77777777" w:rsidR="009A4C46" w:rsidRPr="009A4C46" w:rsidRDefault="009A4C46" w:rsidP="009A4C46">
      <w:pPr>
        <w:widowControl w:val="0"/>
        <w:autoSpaceDE w:val="0"/>
        <w:autoSpaceDN w:val="0"/>
        <w:adjustRightInd w:val="0"/>
        <w:spacing w:after="32" w:line="360" w:lineRule="auto"/>
        <w:ind w:firstLine="567"/>
        <w:jc w:val="both"/>
        <w:rPr>
          <w:rFonts w:eastAsia="Calibri"/>
          <w:sz w:val="28"/>
          <w:szCs w:val="28"/>
        </w:rPr>
      </w:pPr>
      <w:r w:rsidRPr="009A4C46">
        <w:rPr>
          <w:rFonts w:eastAsia="Calibri"/>
          <w:sz w:val="28"/>
          <w:szCs w:val="28"/>
          <w:lang w:eastAsia="ru-RU"/>
        </w:rPr>
        <w:br w:type="page"/>
      </w:r>
    </w:p>
    <w:p w14:paraId="3454E554" w14:textId="77777777" w:rsidR="009A4C46" w:rsidRPr="00F94FED" w:rsidRDefault="009A4C46" w:rsidP="00F94FED">
      <w:pPr>
        <w:pStyle w:val="3"/>
        <w:numPr>
          <w:ilvl w:val="1"/>
          <w:numId w:val="1"/>
        </w:numPr>
        <w:spacing w:line="360" w:lineRule="auto"/>
        <w:ind w:left="567" w:hanging="567"/>
        <w:jc w:val="both"/>
        <w:rPr>
          <w:b/>
          <w:color w:val="4F6228" w:themeColor="accent3" w:themeShade="80"/>
          <w:sz w:val="28"/>
          <w:szCs w:val="28"/>
        </w:rPr>
      </w:pPr>
      <w:bookmarkStart w:id="50" w:name="_Toc40554855"/>
      <w:bookmarkStart w:id="51" w:name="_Toc40733190"/>
      <w:r w:rsidRPr="00F94FED">
        <w:rPr>
          <w:rFonts w:ascii="Myriad Pro" w:hAnsi="Myriad Pro"/>
          <w:b/>
          <w:color w:val="4F6228" w:themeColor="accent3" w:themeShade="80"/>
          <w:sz w:val="28"/>
          <w:szCs w:val="28"/>
        </w:rPr>
        <w:lastRenderedPageBreak/>
        <w:t xml:space="preserve">Экспертиза обоснованности </w:t>
      </w:r>
      <w:bookmarkStart w:id="52" w:name="_Hlk41405480"/>
      <w:r w:rsidRPr="00F94FED">
        <w:rPr>
          <w:rFonts w:ascii="Myriad Pro" w:hAnsi="Myriad Pro"/>
          <w:b/>
          <w:color w:val="4F6228" w:themeColor="accent3" w:themeShade="80"/>
          <w:sz w:val="28"/>
          <w:szCs w:val="28"/>
        </w:rPr>
        <w:t>корректировки необходимой валовой выручки по доходам от осуществления регулируемой деятельности</w:t>
      </w:r>
      <w:bookmarkEnd w:id="50"/>
      <w:bookmarkEnd w:id="51"/>
    </w:p>
    <w:bookmarkEnd w:id="52"/>
    <w:p w14:paraId="5C627729" w14:textId="77777777" w:rsidR="00B44325" w:rsidRDefault="00B44325" w:rsidP="00F94FED">
      <w:pPr>
        <w:spacing w:after="0" w:line="360" w:lineRule="auto"/>
        <w:ind w:firstLine="567"/>
        <w:jc w:val="both"/>
        <w:rPr>
          <w:rFonts w:eastAsia="Times New Roman"/>
          <w:sz w:val="26"/>
          <w:szCs w:val="26"/>
          <w:lang w:eastAsia="ru-RU"/>
        </w:rPr>
      </w:pPr>
    </w:p>
    <w:p w14:paraId="37EEA879" w14:textId="3848D00E" w:rsidR="009A4C46" w:rsidRPr="00F94FED" w:rsidRDefault="009A4C46" w:rsidP="00F94FED">
      <w:pPr>
        <w:spacing w:after="0" w:line="360" w:lineRule="auto"/>
        <w:ind w:firstLine="567"/>
        <w:jc w:val="both"/>
        <w:rPr>
          <w:rFonts w:eastAsia="Times New Roman"/>
          <w:sz w:val="26"/>
          <w:szCs w:val="26"/>
          <w:lang w:eastAsia="ru-RU"/>
        </w:rPr>
      </w:pPr>
      <w:r w:rsidRPr="00F94FED">
        <w:rPr>
          <w:rFonts w:eastAsia="Times New Roman"/>
          <w:sz w:val="26"/>
          <w:szCs w:val="26"/>
          <w:lang w:eastAsia="ru-RU"/>
        </w:rPr>
        <w:t>Расчет корректировки необходимой валовой выручки по доходам от осуществления регулируемой деятельности в соответствии с формулой 7.1 Методических указаний № 98-э по расчету тарифов на услуги по передаче электрической энергии</w:t>
      </w:r>
    </w:p>
    <w:p w14:paraId="0357B7F1" w14:textId="21981792" w:rsidR="009A4C46" w:rsidRPr="00F94FED" w:rsidRDefault="009A4C46" w:rsidP="00F94FED">
      <w:pPr>
        <w:widowControl w:val="0"/>
        <w:autoSpaceDE w:val="0"/>
        <w:autoSpaceDN w:val="0"/>
        <w:adjustRightInd w:val="0"/>
        <w:spacing w:after="0" w:line="360" w:lineRule="auto"/>
        <w:ind w:firstLine="567"/>
        <w:jc w:val="center"/>
        <w:rPr>
          <w:rFonts w:eastAsia="Times New Roman"/>
          <w:sz w:val="26"/>
          <w:szCs w:val="26"/>
          <w:lang w:eastAsia="ru-RU"/>
        </w:rPr>
      </w:pPr>
      <w:r w:rsidRPr="00F94FED">
        <w:rPr>
          <w:rFonts w:eastAsia="Times New Roman"/>
          <w:noProof/>
          <w:position w:val="-10"/>
          <w:sz w:val="26"/>
          <w:szCs w:val="26"/>
          <w:lang w:eastAsia="ru-RU"/>
        </w:rPr>
        <w:drawing>
          <wp:inline distT="0" distB="0" distL="0" distR="0" wp14:anchorId="54D6B60A" wp14:editId="4C127034">
            <wp:extent cx="2296795" cy="285115"/>
            <wp:effectExtent l="0" t="0" r="8255" b="63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2296795" cy="285115"/>
                    </a:xfrm>
                    <a:prstGeom prst="rect">
                      <a:avLst/>
                    </a:prstGeom>
                    <a:noFill/>
                    <a:ln>
                      <a:noFill/>
                    </a:ln>
                  </pic:spPr>
                </pic:pic>
              </a:graphicData>
            </a:graphic>
          </wp:inline>
        </w:drawing>
      </w:r>
      <w:r w:rsidRPr="00F94FED">
        <w:rPr>
          <w:rFonts w:eastAsia="Times New Roman"/>
          <w:sz w:val="26"/>
          <w:szCs w:val="26"/>
          <w:lang w:eastAsia="ru-RU"/>
        </w:rPr>
        <w:t>,</w:t>
      </w:r>
      <w:r w:rsidR="00CC0E12" w:rsidRPr="00F94FED">
        <w:rPr>
          <w:rFonts w:eastAsia="Times New Roman"/>
          <w:sz w:val="26"/>
          <w:szCs w:val="26"/>
          <w:lang w:eastAsia="ru-RU"/>
        </w:rPr>
        <w:t xml:space="preserve"> </w:t>
      </w:r>
      <w:r w:rsidRPr="00F94FED">
        <w:rPr>
          <w:rFonts w:eastAsia="Times New Roman"/>
          <w:sz w:val="26"/>
          <w:szCs w:val="26"/>
          <w:lang w:eastAsia="ru-RU"/>
        </w:rPr>
        <w:t>где:</w:t>
      </w:r>
    </w:p>
    <w:p w14:paraId="57383DA4" w14:textId="77777777" w:rsidR="009A4C46" w:rsidRPr="00F94FED" w:rsidRDefault="009A4C46" w:rsidP="00F94FED">
      <w:pPr>
        <w:widowControl w:val="0"/>
        <w:autoSpaceDE w:val="0"/>
        <w:autoSpaceDN w:val="0"/>
        <w:adjustRightInd w:val="0"/>
        <w:spacing w:after="0" w:line="360" w:lineRule="auto"/>
        <w:ind w:firstLine="567"/>
        <w:jc w:val="both"/>
        <w:rPr>
          <w:rFonts w:eastAsia="Times New Roman"/>
          <w:sz w:val="26"/>
          <w:szCs w:val="26"/>
          <w:lang w:eastAsia="ru-RU"/>
        </w:rPr>
      </w:pPr>
      <w:r w:rsidRPr="00F94FED">
        <w:rPr>
          <w:rFonts w:eastAsia="Times New Roman"/>
          <w:noProof/>
          <w:position w:val="-10"/>
          <w:sz w:val="26"/>
          <w:szCs w:val="26"/>
          <w:lang w:eastAsia="ru-RU"/>
        </w:rPr>
        <w:drawing>
          <wp:inline distT="0" distB="0" distL="0" distR="0" wp14:anchorId="7A675B2C" wp14:editId="6A21907B">
            <wp:extent cx="592455" cy="285115"/>
            <wp:effectExtent l="0" t="0" r="0" b="63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592455" cy="285115"/>
                    </a:xfrm>
                    <a:prstGeom prst="rect">
                      <a:avLst/>
                    </a:prstGeom>
                    <a:noFill/>
                    <a:ln>
                      <a:noFill/>
                    </a:ln>
                  </pic:spPr>
                </pic:pic>
              </a:graphicData>
            </a:graphic>
          </wp:inline>
        </w:drawing>
      </w:r>
      <w:r w:rsidRPr="00F94FED">
        <w:rPr>
          <w:rFonts w:eastAsia="Times New Roman"/>
          <w:sz w:val="26"/>
          <w:szCs w:val="26"/>
          <w:lang w:eastAsia="ru-RU"/>
        </w:rPr>
        <w:t>- необходимая валовая выручка в части содержания электрических сетей, установленная на год i-2;</w:t>
      </w:r>
    </w:p>
    <w:p w14:paraId="23A1930C" w14:textId="77777777" w:rsidR="009A4C46" w:rsidRPr="00F94FED" w:rsidRDefault="009A4C46" w:rsidP="00F94FED">
      <w:pPr>
        <w:widowControl w:val="0"/>
        <w:autoSpaceDE w:val="0"/>
        <w:autoSpaceDN w:val="0"/>
        <w:adjustRightInd w:val="0"/>
        <w:spacing w:after="0" w:line="360" w:lineRule="auto"/>
        <w:ind w:firstLine="567"/>
        <w:jc w:val="both"/>
        <w:rPr>
          <w:rFonts w:eastAsia="Times New Roman"/>
          <w:sz w:val="26"/>
          <w:szCs w:val="26"/>
          <w:lang w:eastAsia="ru-RU"/>
        </w:rPr>
      </w:pPr>
      <w:r w:rsidRPr="00F94FED">
        <w:rPr>
          <w:rFonts w:eastAsia="Times New Roman"/>
          <w:noProof/>
          <w:position w:val="-10"/>
          <w:sz w:val="26"/>
          <w:szCs w:val="26"/>
          <w:lang w:eastAsia="ru-RU"/>
        </w:rPr>
        <w:drawing>
          <wp:inline distT="0" distB="0" distL="0" distR="0" wp14:anchorId="24B0B54C" wp14:editId="2A27ECB1">
            <wp:extent cx="585470" cy="285115"/>
            <wp:effectExtent l="0" t="0" r="5080"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585470" cy="285115"/>
                    </a:xfrm>
                    <a:prstGeom prst="rect">
                      <a:avLst/>
                    </a:prstGeom>
                    <a:noFill/>
                    <a:ln>
                      <a:noFill/>
                    </a:ln>
                  </pic:spPr>
                </pic:pic>
              </a:graphicData>
            </a:graphic>
          </wp:inline>
        </w:drawing>
      </w:r>
      <w:r w:rsidRPr="00F94FED">
        <w:rPr>
          <w:rFonts w:eastAsia="Times New Roman"/>
          <w:sz w:val="26"/>
          <w:szCs w:val="26"/>
          <w:lang w:eastAsia="ru-RU"/>
        </w:rPr>
        <w:t>- фактический объем выручки за услуги по передаче электрической энергии за год i-2 в части содержания электрических сетей (с учетом фактически недополученной выручки по зависящим от сетевой организации причинам), определяемый исходя из установленных на год i-2 тарифов на услуги по передаче электрической энергии без учета ставки, используемой для целей определения расходов на оплату нормативных потерь электрической энергии при ее передаче по электрическим сетям, и фактических объемов оказанных услуг.</w:t>
      </w:r>
    </w:p>
    <w:p w14:paraId="2AEA7841" w14:textId="77777777" w:rsidR="00B44325" w:rsidRDefault="00B44325" w:rsidP="00F94FED">
      <w:pPr>
        <w:spacing w:after="0" w:line="360" w:lineRule="auto"/>
        <w:ind w:firstLine="567"/>
        <w:jc w:val="both"/>
        <w:rPr>
          <w:rFonts w:eastAsia="Times New Roman"/>
          <w:sz w:val="26"/>
          <w:szCs w:val="26"/>
          <w:u w:val="single"/>
          <w:lang w:eastAsia="ru-RU"/>
        </w:rPr>
      </w:pPr>
    </w:p>
    <w:p w14:paraId="0A3508CF" w14:textId="19ECC266" w:rsidR="009A4C46" w:rsidRPr="00F94FED" w:rsidRDefault="00195CA9" w:rsidP="00B44325">
      <w:pPr>
        <w:spacing w:after="0" w:line="360" w:lineRule="auto"/>
        <w:jc w:val="both"/>
        <w:rPr>
          <w:rFonts w:eastAsia="Times New Roman"/>
          <w:b/>
          <w:bCs/>
          <w:sz w:val="26"/>
          <w:szCs w:val="26"/>
          <w:lang w:eastAsia="ru-RU"/>
        </w:rPr>
      </w:pPr>
      <w:r w:rsidRPr="00F94FED">
        <w:rPr>
          <w:rFonts w:eastAsia="Times New Roman"/>
          <w:b/>
          <w:bCs/>
          <w:sz w:val="26"/>
          <w:szCs w:val="26"/>
          <w:lang w:eastAsia="ru-RU"/>
        </w:rPr>
        <w:t>ПОЗИЦИЯ ТЕРРИТОРИАЛЬНОЙ СЕТЕВОЙ ОРГАНИЗАЦИИ</w:t>
      </w:r>
    </w:p>
    <w:p w14:paraId="2F9FAA91" w14:textId="77777777" w:rsidR="009A4C46" w:rsidRPr="00F94FED" w:rsidRDefault="009A4C46" w:rsidP="00F94FED">
      <w:pPr>
        <w:spacing w:after="0" w:line="360" w:lineRule="auto"/>
        <w:ind w:firstLine="567"/>
        <w:jc w:val="both"/>
        <w:rPr>
          <w:rFonts w:eastAsia="Times New Roman"/>
          <w:sz w:val="26"/>
          <w:szCs w:val="26"/>
          <w:lang w:eastAsia="ru-RU"/>
        </w:rPr>
      </w:pPr>
      <w:r w:rsidRPr="00F94FED">
        <w:rPr>
          <w:rFonts w:eastAsia="Times New Roman"/>
          <w:sz w:val="26"/>
          <w:szCs w:val="26"/>
          <w:lang w:eastAsia="ru-RU"/>
        </w:rPr>
        <w:t>Расчетное значение корректировки НВВ по доходам от осуществления регулируемой деятельности за 2017 год заявлено АО «Тываэнерго» в размере 75 644 тыс. руб.</w:t>
      </w:r>
    </w:p>
    <w:p w14:paraId="1B5F4D73" w14:textId="48FEC707" w:rsidR="009A4C46" w:rsidRDefault="009A4C46" w:rsidP="00CC0E12">
      <w:pPr>
        <w:spacing w:after="0" w:line="360" w:lineRule="auto"/>
        <w:ind w:firstLine="567"/>
        <w:jc w:val="both"/>
        <w:rPr>
          <w:rFonts w:eastAsia="Times New Roman"/>
          <w:bCs/>
          <w:sz w:val="26"/>
          <w:szCs w:val="26"/>
          <w:lang w:eastAsia="ru-RU"/>
        </w:rPr>
      </w:pPr>
      <w:r w:rsidRPr="00F94FED">
        <w:rPr>
          <w:rFonts w:eastAsia="Times New Roman"/>
          <w:bCs/>
          <w:sz w:val="26"/>
          <w:szCs w:val="26"/>
          <w:lang w:eastAsia="ru-RU"/>
        </w:rPr>
        <w:t>АО «Тываэнерго» в составе обосновывающих материалов представило расчет корректировки необходимой валовой выручки по доходам от осуществления регулируемой деятельности в 2017 году</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6"/>
        <w:gridCol w:w="3565"/>
        <w:gridCol w:w="1429"/>
        <w:gridCol w:w="1177"/>
        <w:gridCol w:w="1134"/>
        <w:gridCol w:w="1134"/>
      </w:tblGrid>
      <w:tr w:rsidR="009A4C46" w:rsidRPr="009A4C46" w14:paraId="700C4689" w14:textId="77777777" w:rsidTr="00F94FED">
        <w:trPr>
          <w:trHeight w:val="900"/>
          <w:tblHeader/>
        </w:trPr>
        <w:tc>
          <w:tcPr>
            <w:tcW w:w="38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7C2E1BF" w14:textId="77777777" w:rsidR="009A4C46" w:rsidRPr="00F94FED" w:rsidRDefault="009A4C46" w:rsidP="00CB5AA8">
            <w:pPr>
              <w:spacing w:after="0" w:line="283" w:lineRule="auto"/>
              <w:jc w:val="center"/>
              <w:rPr>
                <w:rFonts w:eastAsia="Times New Roman"/>
                <w:b/>
                <w:bCs/>
                <w:color w:val="FFFFFF" w:themeColor="background1"/>
                <w:lang w:eastAsia="ru-RU"/>
              </w:rPr>
            </w:pPr>
            <w:r w:rsidRPr="00F94FED">
              <w:rPr>
                <w:rFonts w:eastAsia="Times New Roman"/>
                <w:b/>
                <w:bCs/>
                <w:color w:val="FFFFFF" w:themeColor="background1"/>
                <w:lang w:eastAsia="ru-RU"/>
              </w:rPr>
              <w:t>№ п/п</w:t>
            </w:r>
          </w:p>
        </w:tc>
        <w:tc>
          <w:tcPr>
            <w:tcW w:w="251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A5B23A5" w14:textId="77777777" w:rsidR="009A4C46" w:rsidRPr="00F94FED" w:rsidRDefault="009A4C46" w:rsidP="00CB5AA8">
            <w:pPr>
              <w:spacing w:after="0" w:line="283" w:lineRule="auto"/>
              <w:jc w:val="center"/>
              <w:rPr>
                <w:rFonts w:eastAsia="Times New Roman"/>
                <w:b/>
                <w:bCs/>
                <w:color w:val="FFFFFF" w:themeColor="background1"/>
                <w:lang w:eastAsia="ru-RU"/>
              </w:rPr>
            </w:pPr>
            <w:r w:rsidRPr="00F94FED">
              <w:rPr>
                <w:rFonts w:eastAsia="Times New Roman"/>
                <w:b/>
                <w:bCs/>
                <w:color w:val="FFFFFF" w:themeColor="background1"/>
                <w:lang w:eastAsia="ru-RU"/>
              </w:rPr>
              <w:t>Наименование показателя</w:t>
            </w:r>
          </w:p>
        </w:tc>
        <w:tc>
          <w:tcPr>
            <w:tcW w:w="5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57340D1" w14:textId="77777777" w:rsidR="009A4C46" w:rsidRPr="00F94FED" w:rsidRDefault="009A4C46" w:rsidP="00CB5AA8">
            <w:pPr>
              <w:spacing w:after="0" w:line="283" w:lineRule="auto"/>
              <w:jc w:val="center"/>
              <w:rPr>
                <w:rFonts w:eastAsia="Times New Roman"/>
                <w:b/>
                <w:bCs/>
                <w:color w:val="FFFFFF" w:themeColor="background1"/>
                <w:lang w:eastAsia="ru-RU"/>
              </w:rPr>
            </w:pPr>
            <w:r w:rsidRPr="00F94FED">
              <w:rPr>
                <w:rFonts w:eastAsia="Times New Roman"/>
                <w:b/>
                <w:bCs/>
                <w:color w:val="FFFFFF" w:themeColor="background1"/>
                <w:lang w:eastAsia="ru-RU"/>
              </w:rPr>
              <w:t>Обозначение показателя</w:t>
            </w:r>
          </w:p>
        </w:tc>
        <w:tc>
          <w:tcPr>
            <w:tcW w:w="45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18A5D87" w14:textId="77777777" w:rsidR="009A4C46" w:rsidRPr="00F94FED" w:rsidRDefault="009A4C46" w:rsidP="00CB5AA8">
            <w:pPr>
              <w:spacing w:after="0" w:line="283" w:lineRule="auto"/>
              <w:jc w:val="center"/>
              <w:rPr>
                <w:rFonts w:eastAsia="Times New Roman"/>
                <w:b/>
                <w:bCs/>
                <w:color w:val="FFFFFF" w:themeColor="background1"/>
                <w:lang w:eastAsia="ru-RU"/>
              </w:rPr>
            </w:pPr>
            <w:r w:rsidRPr="00F94FED">
              <w:rPr>
                <w:rFonts w:eastAsia="Times New Roman"/>
                <w:b/>
                <w:bCs/>
                <w:color w:val="FFFFFF" w:themeColor="background1"/>
                <w:lang w:eastAsia="ru-RU"/>
              </w:rPr>
              <w:t>Ед. изм.</w:t>
            </w:r>
          </w:p>
        </w:tc>
        <w:tc>
          <w:tcPr>
            <w:tcW w:w="1124"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432E872" w14:textId="77777777" w:rsidR="009A4C46" w:rsidRPr="00F94FED" w:rsidRDefault="009A4C46" w:rsidP="00CB5AA8">
            <w:pPr>
              <w:spacing w:after="0" w:line="283" w:lineRule="auto"/>
              <w:jc w:val="center"/>
              <w:rPr>
                <w:rFonts w:eastAsia="Times New Roman"/>
                <w:b/>
                <w:bCs/>
                <w:color w:val="FFFFFF" w:themeColor="background1"/>
                <w:lang w:eastAsia="ru-RU"/>
              </w:rPr>
            </w:pPr>
            <w:r w:rsidRPr="00F94FED">
              <w:rPr>
                <w:rFonts w:eastAsia="Times New Roman"/>
                <w:b/>
                <w:bCs/>
                <w:color w:val="FFFFFF" w:themeColor="background1"/>
                <w:lang w:eastAsia="ru-RU"/>
              </w:rPr>
              <w:t>Значение показателя</w:t>
            </w:r>
          </w:p>
        </w:tc>
      </w:tr>
      <w:tr w:rsidR="00CC0E12" w:rsidRPr="009A4C46" w14:paraId="45505955" w14:textId="77777777" w:rsidTr="00F94FED">
        <w:trPr>
          <w:trHeight w:val="240"/>
          <w:tblHeader/>
        </w:trPr>
        <w:tc>
          <w:tcPr>
            <w:tcW w:w="38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D625167" w14:textId="16943473" w:rsidR="00CC0E12" w:rsidRPr="00CC0E12" w:rsidRDefault="00CC0E12" w:rsidP="00CB5AA8">
            <w:pPr>
              <w:spacing w:after="0" w:line="283" w:lineRule="auto"/>
              <w:jc w:val="center"/>
              <w:rPr>
                <w:rFonts w:eastAsia="Times New Roman"/>
                <w:b/>
                <w:bCs/>
                <w:color w:val="FFFFFF" w:themeColor="background1"/>
                <w:lang w:eastAsia="ru-RU"/>
              </w:rPr>
            </w:pPr>
            <w:r>
              <w:rPr>
                <w:rFonts w:eastAsia="Times New Roman"/>
                <w:b/>
                <w:bCs/>
                <w:color w:val="FFFFFF" w:themeColor="background1"/>
                <w:lang w:eastAsia="ru-RU"/>
              </w:rPr>
              <w:t>1</w:t>
            </w:r>
          </w:p>
        </w:tc>
        <w:tc>
          <w:tcPr>
            <w:tcW w:w="251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FD98F39" w14:textId="4EACE709" w:rsidR="00CC0E12" w:rsidRPr="00CC0E12" w:rsidRDefault="00CC0E12" w:rsidP="00CB5AA8">
            <w:pPr>
              <w:spacing w:after="0" w:line="283" w:lineRule="auto"/>
              <w:jc w:val="center"/>
              <w:rPr>
                <w:rFonts w:eastAsia="Times New Roman"/>
                <w:b/>
                <w:bCs/>
                <w:color w:val="FFFFFF" w:themeColor="background1"/>
                <w:lang w:eastAsia="ru-RU"/>
              </w:rPr>
            </w:pPr>
            <w:r>
              <w:rPr>
                <w:rFonts w:eastAsia="Times New Roman"/>
                <w:b/>
                <w:bCs/>
                <w:color w:val="FFFFFF" w:themeColor="background1"/>
                <w:lang w:eastAsia="ru-RU"/>
              </w:rPr>
              <w:t>2</w:t>
            </w:r>
          </w:p>
        </w:tc>
        <w:tc>
          <w:tcPr>
            <w:tcW w:w="5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8583707" w14:textId="4086823E" w:rsidR="00CC0E12" w:rsidRPr="00CC0E12" w:rsidRDefault="00CC0E12" w:rsidP="00CB5AA8">
            <w:pPr>
              <w:spacing w:after="0" w:line="283" w:lineRule="auto"/>
              <w:jc w:val="center"/>
              <w:rPr>
                <w:rFonts w:eastAsia="Times New Roman"/>
                <w:b/>
                <w:bCs/>
                <w:color w:val="FFFFFF" w:themeColor="background1"/>
                <w:lang w:eastAsia="ru-RU"/>
              </w:rPr>
            </w:pPr>
            <w:r>
              <w:rPr>
                <w:rFonts w:eastAsia="Times New Roman"/>
                <w:b/>
                <w:bCs/>
                <w:color w:val="FFFFFF" w:themeColor="background1"/>
                <w:lang w:eastAsia="ru-RU"/>
              </w:rPr>
              <w:t>3</w:t>
            </w:r>
          </w:p>
        </w:tc>
        <w:tc>
          <w:tcPr>
            <w:tcW w:w="45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B43DFA8" w14:textId="2EACC322" w:rsidR="00CC0E12" w:rsidRPr="00CC0E12" w:rsidRDefault="00CC0E12" w:rsidP="00CB5AA8">
            <w:pPr>
              <w:spacing w:after="0" w:line="283" w:lineRule="auto"/>
              <w:jc w:val="center"/>
              <w:rPr>
                <w:rFonts w:eastAsia="Times New Roman"/>
                <w:b/>
                <w:bCs/>
                <w:color w:val="FFFFFF" w:themeColor="background1"/>
                <w:lang w:eastAsia="ru-RU"/>
              </w:rPr>
            </w:pPr>
            <w:r>
              <w:rPr>
                <w:rFonts w:eastAsia="Times New Roman"/>
                <w:b/>
                <w:bCs/>
                <w:color w:val="FFFFFF" w:themeColor="background1"/>
                <w:lang w:eastAsia="ru-RU"/>
              </w:rPr>
              <w:t>4</w:t>
            </w:r>
          </w:p>
        </w:tc>
        <w:tc>
          <w:tcPr>
            <w:tcW w:w="1124"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5E8213F" w14:textId="34C6C84B" w:rsidR="00CC0E12" w:rsidRPr="00CC0E12" w:rsidRDefault="00CC0E12" w:rsidP="00CB5AA8">
            <w:pPr>
              <w:spacing w:after="0" w:line="283" w:lineRule="auto"/>
              <w:jc w:val="center"/>
              <w:rPr>
                <w:rFonts w:eastAsia="Times New Roman"/>
                <w:b/>
                <w:bCs/>
                <w:color w:val="FFFFFF" w:themeColor="background1"/>
                <w:lang w:eastAsia="ru-RU"/>
              </w:rPr>
            </w:pPr>
            <w:r>
              <w:rPr>
                <w:rFonts w:eastAsia="Times New Roman"/>
                <w:b/>
                <w:bCs/>
                <w:color w:val="FFFFFF" w:themeColor="background1"/>
                <w:lang w:eastAsia="ru-RU"/>
              </w:rPr>
              <w:t>5</w:t>
            </w:r>
          </w:p>
        </w:tc>
      </w:tr>
      <w:tr w:rsidR="009A4C46" w:rsidRPr="009A4C46" w14:paraId="2C790BD8" w14:textId="77777777" w:rsidTr="00F94FED">
        <w:trPr>
          <w:trHeight w:val="600"/>
        </w:trPr>
        <w:tc>
          <w:tcPr>
            <w:tcW w:w="380" w:type="pct"/>
            <w:tcBorders>
              <w:top w:val="single" w:sz="4" w:space="0" w:color="FFFFFF" w:themeColor="background1"/>
            </w:tcBorders>
            <w:shd w:val="clear" w:color="auto" w:fill="auto"/>
            <w:noWrap/>
            <w:vAlign w:val="center"/>
            <w:hideMark/>
          </w:tcPr>
          <w:p w14:paraId="21FAEFE8" w14:textId="77777777" w:rsidR="009A4C46" w:rsidRPr="009A4C46" w:rsidRDefault="009A4C46" w:rsidP="00CB5AA8">
            <w:pPr>
              <w:spacing w:after="0" w:line="283" w:lineRule="auto"/>
              <w:rPr>
                <w:rFonts w:eastAsia="Times New Roman"/>
                <w:lang w:eastAsia="ru-RU"/>
              </w:rPr>
            </w:pPr>
            <w:r w:rsidRPr="009A4C46">
              <w:rPr>
                <w:rFonts w:eastAsia="Times New Roman"/>
                <w:lang w:eastAsia="ru-RU"/>
              </w:rPr>
              <w:t>1</w:t>
            </w:r>
          </w:p>
        </w:tc>
        <w:tc>
          <w:tcPr>
            <w:tcW w:w="2518" w:type="pct"/>
            <w:tcBorders>
              <w:top w:val="single" w:sz="4" w:space="0" w:color="FFFFFF" w:themeColor="background1"/>
            </w:tcBorders>
            <w:shd w:val="clear" w:color="auto" w:fill="auto"/>
            <w:vAlign w:val="center"/>
            <w:hideMark/>
          </w:tcPr>
          <w:p w14:paraId="32D24DC1" w14:textId="77777777" w:rsidR="009A4C46" w:rsidRPr="009A4C46" w:rsidRDefault="009A4C46" w:rsidP="00CB5AA8">
            <w:pPr>
              <w:spacing w:after="0" w:line="283" w:lineRule="auto"/>
              <w:rPr>
                <w:rFonts w:eastAsia="Times New Roman"/>
                <w:lang w:eastAsia="ru-RU"/>
              </w:rPr>
            </w:pPr>
            <w:r w:rsidRPr="009A4C46">
              <w:rPr>
                <w:rFonts w:eastAsia="Times New Roman"/>
                <w:lang w:eastAsia="ru-RU"/>
              </w:rPr>
              <w:t>Год долгосрочного периода регулирования, в котором необходимо учесть корректировку</w:t>
            </w:r>
          </w:p>
        </w:tc>
        <w:tc>
          <w:tcPr>
            <w:tcW w:w="527" w:type="pct"/>
            <w:tcBorders>
              <w:top w:val="single" w:sz="4" w:space="0" w:color="FFFFFF" w:themeColor="background1"/>
            </w:tcBorders>
            <w:shd w:val="clear" w:color="auto" w:fill="auto"/>
            <w:vAlign w:val="center"/>
            <w:hideMark/>
          </w:tcPr>
          <w:p w14:paraId="48FDC0FA" w14:textId="77777777" w:rsidR="009A4C46" w:rsidRPr="009A4C46" w:rsidRDefault="009A4C46" w:rsidP="00CB5AA8">
            <w:pPr>
              <w:spacing w:after="0" w:line="283" w:lineRule="auto"/>
              <w:jc w:val="center"/>
              <w:rPr>
                <w:rFonts w:eastAsia="Times New Roman"/>
                <w:lang w:eastAsia="ru-RU"/>
              </w:rPr>
            </w:pPr>
            <w:r w:rsidRPr="009A4C46">
              <w:rPr>
                <w:rFonts w:eastAsia="Times New Roman"/>
                <w:lang w:eastAsia="ru-RU"/>
              </w:rPr>
              <w:t>i</w:t>
            </w:r>
          </w:p>
        </w:tc>
        <w:tc>
          <w:tcPr>
            <w:tcW w:w="451" w:type="pct"/>
            <w:tcBorders>
              <w:top w:val="single" w:sz="4" w:space="0" w:color="FFFFFF" w:themeColor="background1"/>
            </w:tcBorders>
            <w:shd w:val="clear" w:color="auto" w:fill="auto"/>
            <w:noWrap/>
            <w:vAlign w:val="center"/>
            <w:hideMark/>
          </w:tcPr>
          <w:p w14:paraId="49E104D2" w14:textId="77777777" w:rsidR="009A4C46" w:rsidRPr="009A4C46" w:rsidRDefault="009A4C46" w:rsidP="00CB5AA8">
            <w:pPr>
              <w:spacing w:after="0" w:line="283" w:lineRule="auto"/>
              <w:jc w:val="center"/>
              <w:rPr>
                <w:rFonts w:eastAsia="Times New Roman"/>
                <w:lang w:eastAsia="ru-RU"/>
              </w:rPr>
            </w:pPr>
          </w:p>
        </w:tc>
        <w:tc>
          <w:tcPr>
            <w:tcW w:w="1124" w:type="pct"/>
            <w:gridSpan w:val="2"/>
            <w:tcBorders>
              <w:top w:val="single" w:sz="4" w:space="0" w:color="FFFFFF" w:themeColor="background1"/>
            </w:tcBorders>
            <w:shd w:val="clear" w:color="auto" w:fill="auto"/>
            <w:noWrap/>
            <w:vAlign w:val="center"/>
            <w:hideMark/>
          </w:tcPr>
          <w:p w14:paraId="5882C980" w14:textId="77777777" w:rsidR="009A4C46" w:rsidRPr="009A4C46" w:rsidRDefault="009A4C46" w:rsidP="00CB5AA8">
            <w:pPr>
              <w:spacing w:after="0" w:line="283" w:lineRule="auto"/>
              <w:jc w:val="center"/>
              <w:rPr>
                <w:rFonts w:eastAsia="Times New Roman"/>
                <w:lang w:eastAsia="ru-RU"/>
              </w:rPr>
            </w:pPr>
            <w:r w:rsidRPr="009A4C46">
              <w:rPr>
                <w:rFonts w:eastAsia="Times New Roman"/>
                <w:lang w:eastAsia="ru-RU"/>
              </w:rPr>
              <w:t>2019</w:t>
            </w:r>
          </w:p>
        </w:tc>
      </w:tr>
      <w:tr w:rsidR="009A4C46" w:rsidRPr="009A4C46" w14:paraId="031002A8" w14:textId="77777777" w:rsidTr="0063188C">
        <w:trPr>
          <w:trHeight w:val="1485"/>
        </w:trPr>
        <w:tc>
          <w:tcPr>
            <w:tcW w:w="380" w:type="pct"/>
            <w:shd w:val="clear" w:color="auto" w:fill="auto"/>
            <w:noWrap/>
            <w:vAlign w:val="center"/>
            <w:hideMark/>
          </w:tcPr>
          <w:p w14:paraId="3AC816DD" w14:textId="77777777" w:rsidR="009A4C46" w:rsidRPr="009A4C46" w:rsidRDefault="009A4C46" w:rsidP="00CB5AA8">
            <w:pPr>
              <w:spacing w:after="0" w:line="283" w:lineRule="auto"/>
              <w:rPr>
                <w:rFonts w:eastAsia="Times New Roman"/>
                <w:lang w:eastAsia="ru-RU"/>
              </w:rPr>
            </w:pPr>
            <w:r w:rsidRPr="009A4C46">
              <w:rPr>
                <w:rFonts w:eastAsia="Times New Roman"/>
                <w:lang w:eastAsia="ru-RU"/>
              </w:rPr>
              <w:lastRenderedPageBreak/>
              <w:t>2</w:t>
            </w:r>
          </w:p>
        </w:tc>
        <w:tc>
          <w:tcPr>
            <w:tcW w:w="2518" w:type="pct"/>
            <w:shd w:val="clear" w:color="auto" w:fill="auto"/>
            <w:vAlign w:val="center"/>
            <w:hideMark/>
          </w:tcPr>
          <w:p w14:paraId="2921FB5F" w14:textId="77777777" w:rsidR="009A4C46" w:rsidRPr="009A4C46" w:rsidRDefault="009A4C46" w:rsidP="00CB5AA8">
            <w:pPr>
              <w:spacing w:after="0" w:line="283" w:lineRule="auto"/>
              <w:rPr>
                <w:rFonts w:eastAsia="Times New Roman"/>
                <w:b/>
                <w:bCs/>
                <w:lang w:eastAsia="ru-RU"/>
              </w:rPr>
            </w:pPr>
            <w:r w:rsidRPr="009A4C46">
              <w:rPr>
                <w:rFonts w:eastAsia="Times New Roman"/>
                <w:b/>
                <w:bCs/>
                <w:lang w:eastAsia="ru-RU"/>
              </w:rPr>
              <w:t>Корректировка необходимой валовой выручки по доходам от осуществления регулируемой деятельности</w:t>
            </w:r>
            <w:r w:rsidRPr="009A4C46">
              <w:rPr>
                <w:rFonts w:eastAsia="Times New Roman"/>
                <w:lang w:eastAsia="ru-RU"/>
              </w:rPr>
              <w:t xml:space="preserve"> (предусмотрена для ежегодного применения по итогам последнего истекшего года долгосрочного периода регулирования)</w:t>
            </w:r>
          </w:p>
        </w:tc>
        <w:tc>
          <w:tcPr>
            <w:tcW w:w="527" w:type="pct"/>
            <w:shd w:val="clear" w:color="auto" w:fill="auto"/>
            <w:vAlign w:val="center"/>
            <w:hideMark/>
          </w:tcPr>
          <w:p w14:paraId="17B5323F" w14:textId="77777777" w:rsidR="009A4C46" w:rsidRPr="009A4C46" w:rsidRDefault="009A4C46" w:rsidP="00CB5AA8">
            <w:pPr>
              <w:spacing w:after="0" w:line="283" w:lineRule="auto"/>
              <w:jc w:val="center"/>
              <w:rPr>
                <w:rFonts w:eastAsia="Times New Roman"/>
                <w:b/>
                <w:bCs/>
                <w:lang w:eastAsia="ru-RU"/>
              </w:rPr>
            </w:pPr>
            <m:oMathPara>
              <m:oMath>
                <m:r>
                  <w:rPr>
                    <w:rFonts w:ascii="Cambria Math" w:eastAsia="Times New Roman" w:hAnsi="Cambria Math"/>
                    <w:lang w:eastAsia="ru-RU"/>
                  </w:rPr>
                  <m:t>∆</m:t>
                </m:r>
                <m:sSubSup>
                  <m:sSubSupPr>
                    <m:ctrlPr>
                      <w:rPr>
                        <w:rFonts w:ascii="Cambria Math" w:eastAsia="Times New Roman" w:hAnsi="Cambria Math"/>
                        <w:i/>
                        <w:lang w:eastAsia="ru-RU"/>
                      </w:rPr>
                    </m:ctrlPr>
                  </m:sSubSupPr>
                  <m:e>
                    <m:r>
                      <w:rPr>
                        <w:rFonts w:ascii="Cambria Math" w:eastAsia="Times New Roman" w:hAnsi="Cambria Math"/>
                        <w:lang w:eastAsia="ru-RU"/>
                      </w:rPr>
                      <m:t>НВВ</m:t>
                    </m:r>
                  </m:e>
                  <m:sub>
                    <m:r>
                      <w:rPr>
                        <w:rFonts w:ascii="Cambria Math" w:eastAsia="Times New Roman" w:hAnsi="Cambria Math"/>
                        <w:lang w:val="en-US" w:eastAsia="ru-RU"/>
                      </w:rPr>
                      <m:t>i</m:t>
                    </m:r>
                  </m:sub>
                  <m:sup>
                    <m:r>
                      <w:rPr>
                        <w:rFonts w:ascii="Cambria Math" w:eastAsia="Times New Roman" w:hAnsi="Cambria Math"/>
                        <w:lang w:eastAsia="ru-RU"/>
                      </w:rPr>
                      <m:t>сод</m:t>
                    </m:r>
                  </m:sup>
                </m:sSubSup>
              </m:oMath>
            </m:oMathPara>
          </w:p>
        </w:tc>
        <w:tc>
          <w:tcPr>
            <w:tcW w:w="451" w:type="pct"/>
            <w:shd w:val="clear" w:color="auto" w:fill="auto"/>
            <w:noWrap/>
            <w:vAlign w:val="center"/>
            <w:hideMark/>
          </w:tcPr>
          <w:p w14:paraId="1D556059" w14:textId="77777777" w:rsidR="009A4C46" w:rsidRPr="009A4C46" w:rsidRDefault="009A4C46" w:rsidP="00CB5AA8">
            <w:pPr>
              <w:spacing w:after="0" w:line="283" w:lineRule="auto"/>
              <w:jc w:val="center"/>
              <w:rPr>
                <w:rFonts w:eastAsia="Times New Roman"/>
                <w:lang w:eastAsia="ru-RU"/>
              </w:rPr>
            </w:pPr>
            <w:r w:rsidRPr="009A4C46">
              <w:rPr>
                <w:rFonts w:eastAsia="Times New Roman"/>
                <w:lang w:eastAsia="ru-RU"/>
              </w:rPr>
              <w:t>тыс. руб.</w:t>
            </w:r>
          </w:p>
        </w:tc>
        <w:tc>
          <w:tcPr>
            <w:tcW w:w="1124" w:type="pct"/>
            <w:gridSpan w:val="2"/>
            <w:shd w:val="clear" w:color="auto" w:fill="auto"/>
            <w:noWrap/>
            <w:vAlign w:val="center"/>
            <w:hideMark/>
          </w:tcPr>
          <w:p w14:paraId="6F5DF86B" w14:textId="77777777" w:rsidR="009A4C46" w:rsidRPr="009A4C46" w:rsidRDefault="009A4C46" w:rsidP="00CB5AA8">
            <w:pPr>
              <w:spacing w:after="0" w:line="283" w:lineRule="auto"/>
              <w:jc w:val="center"/>
              <w:rPr>
                <w:rFonts w:eastAsia="Times New Roman"/>
                <w:b/>
                <w:bCs/>
                <w:lang w:eastAsia="ru-RU"/>
              </w:rPr>
            </w:pPr>
            <w:r w:rsidRPr="009A4C46">
              <w:rPr>
                <w:rFonts w:eastAsia="Times New Roman"/>
                <w:b/>
                <w:bCs/>
                <w:lang w:eastAsia="ru-RU"/>
              </w:rPr>
              <w:t>75 644</w:t>
            </w:r>
          </w:p>
        </w:tc>
      </w:tr>
      <w:tr w:rsidR="009A4C46" w:rsidRPr="009A4C46" w14:paraId="7026658B" w14:textId="77777777" w:rsidTr="0063188C">
        <w:trPr>
          <w:trHeight w:val="600"/>
        </w:trPr>
        <w:tc>
          <w:tcPr>
            <w:tcW w:w="380" w:type="pct"/>
            <w:shd w:val="clear" w:color="auto" w:fill="auto"/>
            <w:noWrap/>
            <w:vAlign w:val="center"/>
            <w:hideMark/>
          </w:tcPr>
          <w:p w14:paraId="18429C28" w14:textId="77777777" w:rsidR="009A4C46" w:rsidRPr="009A4C46" w:rsidRDefault="009A4C46" w:rsidP="00CB5AA8">
            <w:pPr>
              <w:spacing w:after="0" w:line="283" w:lineRule="auto"/>
              <w:rPr>
                <w:rFonts w:eastAsia="Times New Roman"/>
                <w:lang w:eastAsia="ru-RU"/>
              </w:rPr>
            </w:pPr>
            <w:r w:rsidRPr="009A4C46">
              <w:rPr>
                <w:rFonts w:eastAsia="Times New Roman"/>
                <w:lang w:eastAsia="ru-RU"/>
              </w:rPr>
              <w:t>3</w:t>
            </w:r>
          </w:p>
        </w:tc>
        <w:tc>
          <w:tcPr>
            <w:tcW w:w="2518" w:type="pct"/>
            <w:shd w:val="clear" w:color="auto" w:fill="auto"/>
            <w:vAlign w:val="center"/>
            <w:hideMark/>
          </w:tcPr>
          <w:p w14:paraId="4E6D7C0E" w14:textId="77777777" w:rsidR="009A4C46" w:rsidRPr="009A4C46" w:rsidRDefault="009A4C46" w:rsidP="00CB5AA8">
            <w:pPr>
              <w:spacing w:after="0" w:line="283" w:lineRule="auto"/>
              <w:rPr>
                <w:rFonts w:eastAsia="Times New Roman"/>
                <w:lang w:eastAsia="ru-RU"/>
              </w:rPr>
            </w:pPr>
            <w:r w:rsidRPr="009A4C46">
              <w:rPr>
                <w:rFonts w:eastAsia="Times New Roman"/>
                <w:lang w:eastAsia="ru-RU"/>
              </w:rPr>
              <w:t>Необходимая валовая выручка в части содержания электрических сетей, установленная на год i-2</w:t>
            </w:r>
          </w:p>
        </w:tc>
        <w:tc>
          <w:tcPr>
            <w:tcW w:w="527" w:type="pct"/>
            <w:shd w:val="clear" w:color="auto" w:fill="auto"/>
            <w:vAlign w:val="center"/>
            <w:hideMark/>
          </w:tcPr>
          <w:p w14:paraId="593D078A" w14:textId="77777777" w:rsidR="009A4C46" w:rsidRPr="009A4C46" w:rsidRDefault="009A4C46" w:rsidP="00CB5AA8">
            <w:pPr>
              <w:spacing w:after="0" w:line="283" w:lineRule="auto"/>
              <w:jc w:val="center"/>
              <w:rPr>
                <w:rFonts w:eastAsia="Times New Roman"/>
                <w:lang w:eastAsia="ru-RU"/>
              </w:rPr>
            </w:pPr>
            <w:r w:rsidRPr="009A4C46">
              <w:rPr>
                <w:rFonts w:eastAsia="Times New Roman"/>
                <w:lang w:eastAsia="ru-RU"/>
              </w:rPr>
              <w:t>НВВ</w:t>
            </w:r>
            <w:r w:rsidRPr="009A4C46">
              <w:rPr>
                <w:rFonts w:eastAsia="Times New Roman"/>
                <w:vertAlign w:val="subscript"/>
                <w:lang w:eastAsia="ru-RU"/>
              </w:rPr>
              <w:t>i-2</w:t>
            </w:r>
            <w:r w:rsidRPr="009A4C46">
              <w:rPr>
                <w:rFonts w:eastAsia="Times New Roman"/>
                <w:vertAlign w:val="superscript"/>
                <w:lang w:eastAsia="ru-RU"/>
              </w:rPr>
              <w:t>сод</w:t>
            </w:r>
          </w:p>
        </w:tc>
        <w:tc>
          <w:tcPr>
            <w:tcW w:w="451" w:type="pct"/>
            <w:shd w:val="clear" w:color="auto" w:fill="auto"/>
            <w:noWrap/>
            <w:vAlign w:val="center"/>
            <w:hideMark/>
          </w:tcPr>
          <w:p w14:paraId="15572CE6" w14:textId="77777777" w:rsidR="009A4C46" w:rsidRPr="009A4C46" w:rsidRDefault="009A4C46" w:rsidP="00CB5AA8">
            <w:pPr>
              <w:spacing w:after="0" w:line="283" w:lineRule="auto"/>
              <w:jc w:val="center"/>
              <w:rPr>
                <w:rFonts w:eastAsia="Times New Roman"/>
                <w:lang w:eastAsia="ru-RU"/>
              </w:rPr>
            </w:pPr>
            <w:r w:rsidRPr="009A4C46">
              <w:rPr>
                <w:rFonts w:eastAsia="Times New Roman"/>
                <w:lang w:eastAsia="ru-RU"/>
              </w:rPr>
              <w:t>тыс. руб.</w:t>
            </w:r>
          </w:p>
        </w:tc>
        <w:tc>
          <w:tcPr>
            <w:tcW w:w="1124" w:type="pct"/>
            <w:gridSpan w:val="2"/>
            <w:shd w:val="clear" w:color="auto" w:fill="auto"/>
            <w:noWrap/>
            <w:vAlign w:val="center"/>
            <w:hideMark/>
          </w:tcPr>
          <w:p w14:paraId="4C623F62" w14:textId="77777777" w:rsidR="009A4C46" w:rsidRPr="009A4C46" w:rsidRDefault="009A4C46" w:rsidP="00CB5AA8">
            <w:pPr>
              <w:spacing w:after="0" w:line="283" w:lineRule="auto"/>
              <w:jc w:val="center"/>
              <w:rPr>
                <w:rFonts w:eastAsia="Times New Roman"/>
                <w:lang w:eastAsia="ru-RU"/>
              </w:rPr>
            </w:pPr>
            <w:r w:rsidRPr="009A4C46">
              <w:rPr>
                <w:rFonts w:eastAsia="Times New Roman"/>
                <w:lang w:eastAsia="ru-RU"/>
              </w:rPr>
              <w:t>1 167 221,05</w:t>
            </w:r>
          </w:p>
        </w:tc>
      </w:tr>
      <w:tr w:rsidR="009A4C46" w:rsidRPr="009A4C46" w14:paraId="0C310FD0" w14:textId="77777777" w:rsidTr="0063188C">
        <w:trPr>
          <w:trHeight w:val="2700"/>
        </w:trPr>
        <w:tc>
          <w:tcPr>
            <w:tcW w:w="380" w:type="pct"/>
            <w:shd w:val="clear" w:color="auto" w:fill="auto"/>
            <w:noWrap/>
            <w:vAlign w:val="center"/>
            <w:hideMark/>
          </w:tcPr>
          <w:p w14:paraId="0C1288A0" w14:textId="77777777" w:rsidR="009A4C46" w:rsidRPr="009A4C46" w:rsidRDefault="009A4C46" w:rsidP="00CB5AA8">
            <w:pPr>
              <w:spacing w:after="0" w:line="283" w:lineRule="auto"/>
              <w:rPr>
                <w:rFonts w:eastAsia="Times New Roman"/>
                <w:lang w:eastAsia="ru-RU"/>
              </w:rPr>
            </w:pPr>
            <w:r w:rsidRPr="009A4C46">
              <w:rPr>
                <w:rFonts w:eastAsia="Times New Roman"/>
                <w:lang w:eastAsia="ru-RU"/>
              </w:rPr>
              <w:t>4 = 7 х 8</w:t>
            </w:r>
          </w:p>
        </w:tc>
        <w:tc>
          <w:tcPr>
            <w:tcW w:w="2518" w:type="pct"/>
            <w:shd w:val="clear" w:color="auto" w:fill="auto"/>
            <w:vAlign w:val="center"/>
            <w:hideMark/>
          </w:tcPr>
          <w:p w14:paraId="3E1010CE" w14:textId="77777777" w:rsidR="009A4C46" w:rsidRPr="009A4C46" w:rsidRDefault="009A4C46" w:rsidP="00CB5AA8">
            <w:pPr>
              <w:spacing w:after="0" w:line="283" w:lineRule="auto"/>
              <w:rPr>
                <w:rFonts w:eastAsia="Times New Roman"/>
                <w:lang w:eastAsia="ru-RU"/>
              </w:rPr>
            </w:pPr>
            <w:r w:rsidRPr="009A4C46">
              <w:rPr>
                <w:rFonts w:eastAsia="Times New Roman"/>
                <w:lang w:eastAsia="ru-RU"/>
              </w:rPr>
              <w:t>Фактический объем выручки за услуги по передаче электрической энергии за год i-2 в части содержания электрических сетей (с учетом фактически недополученной выручки по зависящим от сетевой организации причинам), определяемый исходя из установленных на год i-2 тарифов на услуги по передаче электрической энергии без учета ставки, используемой для целей определения расходов на оплату нормативных потерь электрической энергии при ее передаче по электрическим сетям, и фактических объемов оказанных услуг</w:t>
            </w:r>
          </w:p>
        </w:tc>
        <w:tc>
          <w:tcPr>
            <w:tcW w:w="527" w:type="pct"/>
            <w:shd w:val="clear" w:color="auto" w:fill="auto"/>
            <w:vAlign w:val="center"/>
            <w:hideMark/>
          </w:tcPr>
          <w:p w14:paraId="09618EE6" w14:textId="77777777" w:rsidR="009A4C46" w:rsidRPr="009A4C46" w:rsidRDefault="009A4C46" w:rsidP="00CB5AA8">
            <w:pPr>
              <w:spacing w:after="0" w:line="283" w:lineRule="auto"/>
              <w:jc w:val="center"/>
              <w:rPr>
                <w:rFonts w:eastAsia="Times New Roman"/>
                <w:lang w:eastAsia="ru-RU"/>
              </w:rPr>
            </w:pPr>
            <w:r w:rsidRPr="009A4C46">
              <w:rPr>
                <w:rFonts w:eastAsia="Times New Roman"/>
                <w:lang w:eastAsia="ru-RU"/>
              </w:rPr>
              <w:t>НВВ</w:t>
            </w:r>
            <w:r w:rsidRPr="009A4C46">
              <w:rPr>
                <w:rFonts w:eastAsia="Times New Roman"/>
                <w:vertAlign w:val="subscript"/>
                <w:lang w:eastAsia="ru-RU"/>
              </w:rPr>
              <w:t>i-2</w:t>
            </w:r>
            <w:r w:rsidRPr="009A4C46">
              <w:rPr>
                <w:rFonts w:eastAsia="Times New Roman"/>
                <w:vertAlign w:val="superscript"/>
                <w:lang w:eastAsia="ru-RU"/>
              </w:rPr>
              <w:t>ф</w:t>
            </w:r>
          </w:p>
        </w:tc>
        <w:tc>
          <w:tcPr>
            <w:tcW w:w="451" w:type="pct"/>
            <w:shd w:val="clear" w:color="auto" w:fill="auto"/>
            <w:noWrap/>
            <w:vAlign w:val="center"/>
            <w:hideMark/>
          </w:tcPr>
          <w:p w14:paraId="7EB3BBC8" w14:textId="77777777" w:rsidR="009A4C46" w:rsidRPr="009A4C46" w:rsidRDefault="009A4C46" w:rsidP="00CB5AA8">
            <w:pPr>
              <w:spacing w:after="0" w:line="283" w:lineRule="auto"/>
              <w:jc w:val="center"/>
              <w:rPr>
                <w:rFonts w:eastAsia="Times New Roman"/>
                <w:lang w:eastAsia="ru-RU"/>
              </w:rPr>
            </w:pPr>
            <w:r w:rsidRPr="009A4C46">
              <w:rPr>
                <w:rFonts w:eastAsia="Times New Roman"/>
                <w:lang w:eastAsia="ru-RU"/>
              </w:rPr>
              <w:t>тыс. руб.</w:t>
            </w:r>
          </w:p>
        </w:tc>
        <w:tc>
          <w:tcPr>
            <w:tcW w:w="1124" w:type="pct"/>
            <w:gridSpan w:val="2"/>
            <w:shd w:val="clear" w:color="auto" w:fill="auto"/>
            <w:noWrap/>
            <w:vAlign w:val="center"/>
            <w:hideMark/>
          </w:tcPr>
          <w:p w14:paraId="5037EAA1" w14:textId="77777777" w:rsidR="009A4C46" w:rsidRPr="009A4C46" w:rsidRDefault="009A4C46" w:rsidP="00CB5AA8">
            <w:pPr>
              <w:spacing w:after="0" w:line="283" w:lineRule="auto"/>
              <w:jc w:val="center"/>
              <w:rPr>
                <w:rFonts w:eastAsia="Times New Roman"/>
                <w:lang w:eastAsia="ru-RU"/>
              </w:rPr>
            </w:pPr>
            <w:r w:rsidRPr="009A4C46">
              <w:rPr>
                <w:rFonts w:eastAsia="Times New Roman"/>
                <w:lang w:eastAsia="ru-RU"/>
              </w:rPr>
              <w:t>1 091 576,79</w:t>
            </w:r>
          </w:p>
        </w:tc>
      </w:tr>
      <w:tr w:rsidR="009A4C46" w:rsidRPr="009A4C46" w14:paraId="51BE6C61" w14:textId="77777777" w:rsidTr="0063188C">
        <w:trPr>
          <w:trHeight w:val="600"/>
        </w:trPr>
        <w:tc>
          <w:tcPr>
            <w:tcW w:w="380" w:type="pct"/>
            <w:shd w:val="clear" w:color="auto" w:fill="auto"/>
            <w:noWrap/>
            <w:vAlign w:val="center"/>
            <w:hideMark/>
          </w:tcPr>
          <w:p w14:paraId="51385290" w14:textId="77777777" w:rsidR="009A4C46" w:rsidRPr="009A4C46" w:rsidRDefault="009A4C46" w:rsidP="00CB5AA8">
            <w:pPr>
              <w:spacing w:after="0" w:line="283" w:lineRule="auto"/>
              <w:rPr>
                <w:rFonts w:eastAsia="Times New Roman"/>
                <w:lang w:eastAsia="ru-RU"/>
              </w:rPr>
            </w:pPr>
            <w:r w:rsidRPr="009A4C46">
              <w:rPr>
                <w:rFonts w:eastAsia="Times New Roman"/>
                <w:lang w:eastAsia="ru-RU"/>
              </w:rPr>
              <w:t>5</w:t>
            </w:r>
          </w:p>
        </w:tc>
        <w:tc>
          <w:tcPr>
            <w:tcW w:w="2518" w:type="pct"/>
            <w:shd w:val="clear" w:color="auto" w:fill="auto"/>
            <w:vAlign w:val="center"/>
            <w:hideMark/>
          </w:tcPr>
          <w:p w14:paraId="78C43A65" w14:textId="77777777" w:rsidR="009A4C46" w:rsidRPr="009A4C46" w:rsidRDefault="009A4C46" w:rsidP="00CB5AA8">
            <w:pPr>
              <w:spacing w:after="0" w:line="283" w:lineRule="auto"/>
              <w:rPr>
                <w:rFonts w:eastAsia="Times New Roman"/>
                <w:lang w:eastAsia="ru-RU"/>
              </w:rPr>
            </w:pPr>
            <w:r w:rsidRPr="009A4C46">
              <w:rPr>
                <w:rFonts w:eastAsia="Times New Roman"/>
                <w:lang w:eastAsia="ru-RU"/>
              </w:rPr>
              <w:t>Единые (котловые) тарифы на услуги по передаче электроэнергии, установленные на год i-2</w:t>
            </w:r>
          </w:p>
        </w:tc>
        <w:tc>
          <w:tcPr>
            <w:tcW w:w="527" w:type="pct"/>
            <w:shd w:val="clear" w:color="auto" w:fill="auto"/>
            <w:noWrap/>
            <w:vAlign w:val="center"/>
            <w:hideMark/>
          </w:tcPr>
          <w:p w14:paraId="1B013DF6" w14:textId="77777777" w:rsidR="009A4C46" w:rsidRPr="009A4C46" w:rsidRDefault="009A4C46" w:rsidP="00CB5AA8">
            <w:pPr>
              <w:spacing w:after="0" w:line="283" w:lineRule="auto"/>
              <w:jc w:val="center"/>
              <w:rPr>
                <w:rFonts w:eastAsia="Times New Roman"/>
                <w:lang w:eastAsia="ru-RU"/>
              </w:rPr>
            </w:pPr>
          </w:p>
        </w:tc>
        <w:tc>
          <w:tcPr>
            <w:tcW w:w="451" w:type="pct"/>
            <w:shd w:val="clear" w:color="auto" w:fill="auto"/>
            <w:noWrap/>
            <w:vAlign w:val="center"/>
            <w:hideMark/>
          </w:tcPr>
          <w:p w14:paraId="19B2D738" w14:textId="77777777" w:rsidR="009A4C46" w:rsidRPr="009A4C46" w:rsidRDefault="009A4C46" w:rsidP="00CB5AA8">
            <w:pPr>
              <w:spacing w:after="0" w:line="283" w:lineRule="auto"/>
              <w:jc w:val="center"/>
              <w:rPr>
                <w:rFonts w:eastAsia="Times New Roman"/>
                <w:lang w:eastAsia="ru-RU"/>
              </w:rPr>
            </w:pPr>
          </w:p>
        </w:tc>
        <w:tc>
          <w:tcPr>
            <w:tcW w:w="562" w:type="pct"/>
            <w:shd w:val="clear" w:color="auto" w:fill="auto"/>
            <w:vAlign w:val="center"/>
            <w:hideMark/>
          </w:tcPr>
          <w:p w14:paraId="7CF73271" w14:textId="77777777" w:rsidR="009A4C46" w:rsidRPr="009A4C46" w:rsidRDefault="009A4C46" w:rsidP="00CB5AA8">
            <w:pPr>
              <w:spacing w:after="0" w:line="283" w:lineRule="auto"/>
              <w:jc w:val="center"/>
              <w:rPr>
                <w:rFonts w:eastAsia="Times New Roman"/>
                <w:lang w:eastAsia="ru-RU"/>
              </w:rPr>
            </w:pPr>
            <w:r w:rsidRPr="009A4C46">
              <w:rPr>
                <w:rFonts w:eastAsia="Times New Roman"/>
                <w:lang w:eastAsia="ru-RU"/>
              </w:rPr>
              <w:t>1 полугодие</w:t>
            </w:r>
          </w:p>
        </w:tc>
        <w:tc>
          <w:tcPr>
            <w:tcW w:w="562" w:type="pct"/>
            <w:shd w:val="clear" w:color="auto" w:fill="auto"/>
            <w:vAlign w:val="center"/>
            <w:hideMark/>
          </w:tcPr>
          <w:p w14:paraId="3257149C" w14:textId="77777777" w:rsidR="009A4C46" w:rsidRPr="009A4C46" w:rsidRDefault="009A4C46" w:rsidP="00CB5AA8">
            <w:pPr>
              <w:spacing w:after="0" w:line="283" w:lineRule="auto"/>
              <w:jc w:val="center"/>
              <w:rPr>
                <w:rFonts w:eastAsia="Times New Roman"/>
                <w:lang w:eastAsia="ru-RU"/>
              </w:rPr>
            </w:pPr>
            <w:r w:rsidRPr="009A4C46">
              <w:rPr>
                <w:rFonts w:eastAsia="Times New Roman"/>
                <w:lang w:eastAsia="ru-RU"/>
              </w:rPr>
              <w:t>2 полугодие</w:t>
            </w:r>
          </w:p>
        </w:tc>
      </w:tr>
      <w:tr w:rsidR="009A4C46" w:rsidRPr="009A4C46" w14:paraId="1F4983C3" w14:textId="77777777" w:rsidTr="0063188C">
        <w:trPr>
          <w:trHeight w:val="300"/>
        </w:trPr>
        <w:tc>
          <w:tcPr>
            <w:tcW w:w="380" w:type="pct"/>
            <w:shd w:val="clear" w:color="auto" w:fill="auto"/>
            <w:noWrap/>
            <w:vAlign w:val="center"/>
            <w:hideMark/>
          </w:tcPr>
          <w:p w14:paraId="11509890" w14:textId="77777777" w:rsidR="009A4C46" w:rsidRPr="009A4C46" w:rsidRDefault="009A4C46" w:rsidP="00CB5AA8">
            <w:pPr>
              <w:spacing w:after="0" w:line="283" w:lineRule="auto"/>
              <w:rPr>
                <w:rFonts w:eastAsia="Times New Roman"/>
                <w:lang w:eastAsia="ru-RU"/>
              </w:rPr>
            </w:pPr>
            <w:r w:rsidRPr="009A4C46">
              <w:rPr>
                <w:rFonts w:eastAsia="Times New Roman"/>
                <w:lang w:eastAsia="ru-RU"/>
              </w:rPr>
              <w:t> </w:t>
            </w:r>
          </w:p>
        </w:tc>
        <w:tc>
          <w:tcPr>
            <w:tcW w:w="2518" w:type="pct"/>
            <w:shd w:val="clear" w:color="auto" w:fill="auto"/>
            <w:vAlign w:val="center"/>
            <w:hideMark/>
          </w:tcPr>
          <w:p w14:paraId="5BF97F30" w14:textId="77777777" w:rsidR="009A4C46" w:rsidRPr="009A4C46" w:rsidRDefault="009A4C46" w:rsidP="00CB5AA8">
            <w:pPr>
              <w:spacing w:after="0" w:line="283" w:lineRule="auto"/>
              <w:ind w:firstLineChars="200" w:firstLine="400"/>
              <w:rPr>
                <w:rFonts w:eastAsia="Times New Roman"/>
                <w:lang w:eastAsia="ru-RU"/>
              </w:rPr>
            </w:pPr>
            <w:r w:rsidRPr="009A4C46">
              <w:rPr>
                <w:rFonts w:eastAsia="Times New Roman"/>
                <w:lang w:eastAsia="ru-RU"/>
              </w:rPr>
              <w:t>Одноставочные</w:t>
            </w:r>
          </w:p>
        </w:tc>
        <w:tc>
          <w:tcPr>
            <w:tcW w:w="527" w:type="pct"/>
            <w:shd w:val="clear" w:color="auto" w:fill="auto"/>
            <w:noWrap/>
            <w:vAlign w:val="center"/>
            <w:hideMark/>
          </w:tcPr>
          <w:p w14:paraId="0D913B18" w14:textId="77777777" w:rsidR="009A4C46" w:rsidRPr="009A4C46" w:rsidRDefault="009A4C46" w:rsidP="00CB5AA8">
            <w:pPr>
              <w:spacing w:after="0" w:line="283" w:lineRule="auto"/>
              <w:jc w:val="center"/>
              <w:rPr>
                <w:rFonts w:eastAsia="Times New Roman"/>
                <w:lang w:eastAsia="ru-RU"/>
              </w:rPr>
            </w:pPr>
          </w:p>
        </w:tc>
        <w:tc>
          <w:tcPr>
            <w:tcW w:w="451" w:type="pct"/>
            <w:shd w:val="clear" w:color="auto" w:fill="auto"/>
            <w:noWrap/>
            <w:vAlign w:val="center"/>
            <w:hideMark/>
          </w:tcPr>
          <w:p w14:paraId="1794B55A" w14:textId="77777777" w:rsidR="009A4C46" w:rsidRPr="009A4C46" w:rsidRDefault="009A4C46" w:rsidP="00CB5AA8">
            <w:pPr>
              <w:spacing w:after="0" w:line="283" w:lineRule="auto"/>
              <w:jc w:val="center"/>
              <w:rPr>
                <w:rFonts w:eastAsia="Times New Roman"/>
                <w:lang w:eastAsia="ru-RU"/>
              </w:rPr>
            </w:pPr>
          </w:p>
        </w:tc>
        <w:tc>
          <w:tcPr>
            <w:tcW w:w="562" w:type="pct"/>
            <w:shd w:val="clear" w:color="auto" w:fill="auto"/>
            <w:noWrap/>
            <w:vAlign w:val="center"/>
            <w:hideMark/>
          </w:tcPr>
          <w:p w14:paraId="3EFE08EC" w14:textId="77777777" w:rsidR="009A4C46" w:rsidRPr="009A4C46" w:rsidRDefault="009A4C46" w:rsidP="00CB5AA8">
            <w:pPr>
              <w:spacing w:after="0" w:line="283" w:lineRule="auto"/>
              <w:jc w:val="center"/>
              <w:rPr>
                <w:rFonts w:eastAsia="Times New Roman"/>
                <w:lang w:eastAsia="ru-RU"/>
              </w:rPr>
            </w:pPr>
          </w:p>
        </w:tc>
        <w:tc>
          <w:tcPr>
            <w:tcW w:w="562" w:type="pct"/>
            <w:shd w:val="clear" w:color="auto" w:fill="auto"/>
            <w:noWrap/>
            <w:vAlign w:val="center"/>
            <w:hideMark/>
          </w:tcPr>
          <w:p w14:paraId="32A92DA9" w14:textId="77777777" w:rsidR="009A4C46" w:rsidRPr="009A4C46" w:rsidRDefault="009A4C46" w:rsidP="00CB5AA8">
            <w:pPr>
              <w:spacing w:after="0" w:line="283" w:lineRule="auto"/>
              <w:jc w:val="center"/>
              <w:rPr>
                <w:rFonts w:eastAsia="Times New Roman"/>
                <w:lang w:eastAsia="ru-RU"/>
              </w:rPr>
            </w:pPr>
          </w:p>
        </w:tc>
      </w:tr>
      <w:tr w:rsidR="009A4C46" w:rsidRPr="009A4C46" w14:paraId="286249D0" w14:textId="77777777" w:rsidTr="0063188C">
        <w:trPr>
          <w:trHeight w:val="300"/>
        </w:trPr>
        <w:tc>
          <w:tcPr>
            <w:tcW w:w="380" w:type="pct"/>
            <w:shd w:val="clear" w:color="auto" w:fill="auto"/>
            <w:noWrap/>
            <w:vAlign w:val="center"/>
            <w:hideMark/>
          </w:tcPr>
          <w:p w14:paraId="6250A1BC" w14:textId="77777777" w:rsidR="009A4C46" w:rsidRPr="009A4C46" w:rsidRDefault="009A4C46" w:rsidP="00CB5AA8">
            <w:pPr>
              <w:spacing w:after="0" w:line="283" w:lineRule="auto"/>
              <w:rPr>
                <w:rFonts w:eastAsia="Times New Roman"/>
                <w:lang w:eastAsia="ru-RU"/>
              </w:rPr>
            </w:pPr>
            <w:r w:rsidRPr="009A4C46">
              <w:rPr>
                <w:rFonts w:eastAsia="Times New Roman"/>
                <w:lang w:eastAsia="ru-RU"/>
              </w:rPr>
              <w:t> </w:t>
            </w:r>
          </w:p>
        </w:tc>
        <w:tc>
          <w:tcPr>
            <w:tcW w:w="2518" w:type="pct"/>
            <w:shd w:val="clear" w:color="auto" w:fill="auto"/>
            <w:vAlign w:val="center"/>
            <w:hideMark/>
          </w:tcPr>
          <w:p w14:paraId="4A599797" w14:textId="77777777" w:rsidR="009A4C46" w:rsidRPr="009A4C46" w:rsidRDefault="009A4C46" w:rsidP="00CB5AA8">
            <w:pPr>
              <w:spacing w:after="0" w:line="283" w:lineRule="auto"/>
              <w:rPr>
                <w:rFonts w:eastAsia="Times New Roman"/>
                <w:lang w:eastAsia="ru-RU"/>
              </w:rPr>
            </w:pPr>
            <w:r w:rsidRPr="009A4C46">
              <w:rPr>
                <w:rFonts w:eastAsia="Times New Roman"/>
                <w:lang w:eastAsia="ru-RU"/>
              </w:rPr>
              <w:t>Прочие потребители</w:t>
            </w:r>
          </w:p>
        </w:tc>
        <w:tc>
          <w:tcPr>
            <w:tcW w:w="527" w:type="pct"/>
            <w:shd w:val="clear" w:color="auto" w:fill="auto"/>
            <w:noWrap/>
            <w:vAlign w:val="center"/>
            <w:hideMark/>
          </w:tcPr>
          <w:p w14:paraId="6A196414" w14:textId="77777777" w:rsidR="009A4C46" w:rsidRPr="009A4C46" w:rsidRDefault="009A4C46" w:rsidP="00CB5AA8">
            <w:pPr>
              <w:spacing w:after="0" w:line="283" w:lineRule="auto"/>
              <w:jc w:val="center"/>
              <w:rPr>
                <w:rFonts w:eastAsia="Times New Roman"/>
                <w:lang w:eastAsia="ru-RU"/>
              </w:rPr>
            </w:pPr>
          </w:p>
        </w:tc>
        <w:tc>
          <w:tcPr>
            <w:tcW w:w="451" w:type="pct"/>
            <w:shd w:val="clear" w:color="auto" w:fill="auto"/>
            <w:noWrap/>
            <w:vAlign w:val="center"/>
            <w:hideMark/>
          </w:tcPr>
          <w:p w14:paraId="6B214681" w14:textId="77777777" w:rsidR="009A4C46" w:rsidRPr="009A4C46" w:rsidRDefault="009A4C46" w:rsidP="00CB5AA8">
            <w:pPr>
              <w:spacing w:after="0" w:line="283" w:lineRule="auto"/>
              <w:jc w:val="center"/>
              <w:rPr>
                <w:rFonts w:eastAsia="Times New Roman"/>
                <w:lang w:eastAsia="ru-RU"/>
              </w:rPr>
            </w:pPr>
          </w:p>
        </w:tc>
        <w:tc>
          <w:tcPr>
            <w:tcW w:w="562" w:type="pct"/>
            <w:shd w:val="clear" w:color="auto" w:fill="auto"/>
            <w:noWrap/>
            <w:vAlign w:val="center"/>
            <w:hideMark/>
          </w:tcPr>
          <w:p w14:paraId="769AAAA3" w14:textId="77777777" w:rsidR="009A4C46" w:rsidRPr="009A4C46" w:rsidRDefault="009A4C46" w:rsidP="00CB5AA8">
            <w:pPr>
              <w:spacing w:after="0" w:line="283" w:lineRule="auto"/>
              <w:jc w:val="center"/>
              <w:rPr>
                <w:rFonts w:eastAsia="Times New Roman"/>
                <w:lang w:eastAsia="ru-RU"/>
              </w:rPr>
            </w:pPr>
          </w:p>
        </w:tc>
        <w:tc>
          <w:tcPr>
            <w:tcW w:w="562" w:type="pct"/>
            <w:shd w:val="clear" w:color="auto" w:fill="auto"/>
            <w:noWrap/>
            <w:vAlign w:val="center"/>
            <w:hideMark/>
          </w:tcPr>
          <w:p w14:paraId="26911F16" w14:textId="77777777" w:rsidR="009A4C46" w:rsidRPr="009A4C46" w:rsidRDefault="009A4C46" w:rsidP="00CB5AA8">
            <w:pPr>
              <w:spacing w:after="0" w:line="283" w:lineRule="auto"/>
              <w:jc w:val="center"/>
              <w:rPr>
                <w:rFonts w:eastAsia="Times New Roman"/>
                <w:lang w:eastAsia="ru-RU"/>
              </w:rPr>
            </w:pPr>
          </w:p>
        </w:tc>
      </w:tr>
      <w:tr w:rsidR="009A4C46" w:rsidRPr="009A4C46" w14:paraId="2C82DBB7" w14:textId="77777777" w:rsidTr="0063188C">
        <w:trPr>
          <w:trHeight w:val="300"/>
        </w:trPr>
        <w:tc>
          <w:tcPr>
            <w:tcW w:w="380" w:type="pct"/>
            <w:shd w:val="clear" w:color="auto" w:fill="auto"/>
            <w:noWrap/>
            <w:vAlign w:val="center"/>
            <w:hideMark/>
          </w:tcPr>
          <w:p w14:paraId="5DB67A97" w14:textId="77777777" w:rsidR="009A4C46" w:rsidRPr="009A4C46" w:rsidRDefault="009A4C46" w:rsidP="00CB5AA8">
            <w:pPr>
              <w:spacing w:after="0" w:line="283" w:lineRule="auto"/>
              <w:rPr>
                <w:rFonts w:eastAsia="Times New Roman"/>
                <w:lang w:eastAsia="ru-RU"/>
              </w:rPr>
            </w:pPr>
            <w:r w:rsidRPr="009A4C46">
              <w:rPr>
                <w:rFonts w:eastAsia="Times New Roman"/>
                <w:lang w:eastAsia="ru-RU"/>
              </w:rPr>
              <w:t> </w:t>
            </w:r>
          </w:p>
        </w:tc>
        <w:tc>
          <w:tcPr>
            <w:tcW w:w="2518" w:type="pct"/>
            <w:shd w:val="clear" w:color="auto" w:fill="auto"/>
            <w:vAlign w:val="center"/>
            <w:hideMark/>
          </w:tcPr>
          <w:p w14:paraId="3C89DE61" w14:textId="77777777" w:rsidR="009A4C46" w:rsidRPr="009A4C46" w:rsidRDefault="009A4C46" w:rsidP="00CB5AA8">
            <w:pPr>
              <w:spacing w:after="0" w:line="283" w:lineRule="auto"/>
              <w:rPr>
                <w:rFonts w:eastAsia="Times New Roman"/>
                <w:lang w:eastAsia="ru-RU"/>
              </w:rPr>
            </w:pPr>
            <w:r w:rsidRPr="009A4C46">
              <w:rPr>
                <w:rFonts w:eastAsia="Times New Roman"/>
                <w:lang w:eastAsia="ru-RU"/>
              </w:rPr>
              <w:t>ВН</w:t>
            </w:r>
          </w:p>
        </w:tc>
        <w:tc>
          <w:tcPr>
            <w:tcW w:w="527" w:type="pct"/>
            <w:shd w:val="clear" w:color="auto" w:fill="auto"/>
            <w:noWrap/>
            <w:vAlign w:val="center"/>
            <w:hideMark/>
          </w:tcPr>
          <w:p w14:paraId="1024FBD1" w14:textId="77777777" w:rsidR="009A4C46" w:rsidRPr="009A4C46" w:rsidRDefault="009A4C46" w:rsidP="00CB5AA8">
            <w:pPr>
              <w:spacing w:after="0" w:line="283" w:lineRule="auto"/>
              <w:jc w:val="center"/>
              <w:rPr>
                <w:rFonts w:eastAsia="Times New Roman"/>
                <w:lang w:eastAsia="ru-RU"/>
              </w:rPr>
            </w:pPr>
          </w:p>
        </w:tc>
        <w:tc>
          <w:tcPr>
            <w:tcW w:w="451" w:type="pct"/>
            <w:shd w:val="clear" w:color="auto" w:fill="auto"/>
            <w:noWrap/>
            <w:vAlign w:val="center"/>
            <w:hideMark/>
          </w:tcPr>
          <w:p w14:paraId="75DD4CD3" w14:textId="037BCE51" w:rsidR="009A4C46" w:rsidRPr="009A4C46" w:rsidRDefault="009A4C46" w:rsidP="00CB5AA8">
            <w:pPr>
              <w:spacing w:after="0" w:line="283" w:lineRule="auto"/>
              <w:jc w:val="center"/>
              <w:rPr>
                <w:rFonts w:eastAsia="Times New Roman"/>
                <w:lang w:eastAsia="ru-RU"/>
              </w:rPr>
            </w:pPr>
            <w:r w:rsidRPr="009A4C46">
              <w:rPr>
                <w:rFonts w:eastAsia="Times New Roman"/>
                <w:lang w:eastAsia="ru-RU"/>
              </w:rPr>
              <w:t>руб./МВт</w:t>
            </w:r>
            <w:r w:rsidR="00CC0E12">
              <w:rPr>
                <w:rFonts w:eastAsia="Times New Roman"/>
                <w:lang w:eastAsia="ru-RU"/>
              </w:rPr>
              <w:t>*</w:t>
            </w:r>
            <w:r w:rsidRPr="009A4C46">
              <w:rPr>
                <w:rFonts w:eastAsia="Times New Roman"/>
                <w:lang w:eastAsia="ru-RU"/>
              </w:rPr>
              <w:t>ч</w:t>
            </w:r>
          </w:p>
        </w:tc>
        <w:tc>
          <w:tcPr>
            <w:tcW w:w="562" w:type="pct"/>
            <w:shd w:val="clear" w:color="auto" w:fill="auto"/>
            <w:noWrap/>
            <w:vAlign w:val="center"/>
            <w:hideMark/>
          </w:tcPr>
          <w:p w14:paraId="45D93AEE" w14:textId="77777777" w:rsidR="009A4C46" w:rsidRPr="009A4C46" w:rsidRDefault="009A4C46" w:rsidP="00CB5AA8">
            <w:pPr>
              <w:spacing w:after="0" w:line="283" w:lineRule="auto"/>
              <w:jc w:val="center"/>
              <w:rPr>
                <w:rFonts w:eastAsia="Times New Roman"/>
                <w:lang w:eastAsia="ru-RU"/>
              </w:rPr>
            </w:pPr>
            <w:r w:rsidRPr="009A4C46">
              <w:rPr>
                <w:rFonts w:eastAsia="Times New Roman"/>
                <w:lang w:eastAsia="ru-RU"/>
              </w:rPr>
              <w:t>2 819,27</w:t>
            </w:r>
          </w:p>
        </w:tc>
        <w:tc>
          <w:tcPr>
            <w:tcW w:w="562" w:type="pct"/>
            <w:shd w:val="clear" w:color="auto" w:fill="auto"/>
            <w:noWrap/>
            <w:vAlign w:val="center"/>
            <w:hideMark/>
          </w:tcPr>
          <w:p w14:paraId="39B6951A" w14:textId="77777777" w:rsidR="009A4C46" w:rsidRPr="009A4C46" w:rsidRDefault="009A4C46" w:rsidP="00CB5AA8">
            <w:pPr>
              <w:spacing w:after="0" w:line="283" w:lineRule="auto"/>
              <w:jc w:val="center"/>
              <w:rPr>
                <w:rFonts w:eastAsia="Times New Roman"/>
                <w:lang w:eastAsia="ru-RU"/>
              </w:rPr>
            </w:pPr>
            <w:r w:rsidRPr="009A4C46">
              <w:rPr>
                <w:rFonts w:eastAsia="Times New Roman"/>
                <w:lang w:eastAsia="ru-RU"/>
              </w:rPr>
              <w:t>2 960,23</w:t>
            </w:r>
          </w:p>
        </w:tc>
      </w:tr>
      <w:tr w:rsidR="009A4C46" w:rsidRPr="009A4C46" w14:paraId="3333B9DE" w14:textId="77777777" w:rsidTr="0063188C">
        <w:trPr>
          <w:trHeight w:val="300"/>
        </w:trPr>
        <w:tc>
          <w:tcPr>
            <w:tcW w:w="380" w:type="pct"/>
            <w:shd w:val="clear" w:color="auto" w:fill="auto"/>
            <w:noWrap/>
            <w:vAlign w:val="center"/>
            <w:hideMark/>
          </w:tcPr>
          <w:p w14:paraId="3333CA15" w14:textId="77777777" w:rsidR="009A4C46" w:rsidRPr="009A4C46" w:rsidRDefault="009A4C46" w:rsidP="00CB5AA8">
            <w:pPr>
              <w:spacing w:after="0" w:line="283" w:lineRule="auto"/>
              <w:rPr>
                <w:rFonts w:eastAsia="Times New Roman"/>
                <w:lang w:eastAsia="ru-RU"/>
              </w:rPr>
            </w:pPr>
            <w:r w:rsidRPr="009A4C46">
              <w:rPr>
                <w:rFonts w:eastAsia="Times New Roman"/>
                <w:lang w:eastAsia="ru-RU"/>
              </w:rPr>
              <w:t> </w:t>
            </w:r>
          </w:p>
        </w:tc>
        <w:tc>
          <w:tcPr>
            <w:tcW w:w="2518" w:type="pct"/>
            <w:shd w:val="clear" w:color="auto" w:fill="auto"/>
            <w:vAlign w:val="center"/>
            <w:hideMark/>
          </w:tcPr>
          <w:p w14:paraId="64DC4FDC" w14:textId="77777777" w:rsidR="009A4C46" w:rsidRPr="009A4C46" w:rsidRDefault="009A4C46" w:rsidP="00CB5AA8">
            <w:pPr>
              <w:spacing w:after="0" w:line="283" w:lineRule="auto"/>
              <w:rPr>
                <w:rFonts w:eastAsia="Times New Roman"/>
                <w:lang w:eastAsia="ru-RU"/>
              </w:rPr>
            </w:pPr>
            <w:r w:rsidRPr="009A4C46">
              <w:rPr>
                <w:rFonts w:eastAsia="Times New Roman"/>
                <w:lang w:eastAsia="ru-RU"/>
              </w:rPr>
              <w:t>СН1</w:t>
            </w:r>
          </w:p>
        </w:tc>
        <w:tc>
          <w:tcPr>
            <w:tcW w:w="527" w:type="pct"/>
            <w:shd w:val="clear" w:color="auto" w:fill="auto"/>
            <w:noWrap/>
            <w:vAlign w:val="center"/>
            <w:hideMark/>
          </w:tcPr>
          <w:p w14:paraId="72F088A8" w14:textId="77777777" w:rsidR="009A4C46" w:rsidRPr="009A4C46" w:rsidRDefault="009A4C46" w:rsidP="00CB5AA8">
            <w:pPr>
              <w:spacing w:after="0" w:line="283" w:lineRule="auto"/>
              <w:jc w:val="center"/>
              <w:rPr>
                <w:rFonts w:eastAsia="Times New Roman"/>
                <w:lang w:eastAsia="ru-RU"/>
              </w:rPr>
            </w:pPr>
          </w:p>
        </w:tc>
        <w:tc>
          <w:tcPr>
            <w:tcW w:w="451" w:type="pct"/>
            <w:shd w:val="clear" w:color="auto" w:fill="auto"/>
            <w:noWrap/>
            <w:vAlign w:val="center"/>
            <w:hideMark/>
          </w:tcPr>
          <w:p w14:paraId="10B777CA" w14:textId="3FA699DF" w:rsidR="009A4C46" w:rsidRPr="009A4C46" w:rsidRDefault="009A4C46" w:rsidP="00CB5AA8">
            <w:pPr>
              <w:spacing w:after="0" w:line="283" w:lineRule="auto"/>
              <w:jc w:val="center"/>
              <w:rPr>
                <w:rFonts w:eastAsia="Times New Roman"/>
                <w:lang w:eastAsia="ru-RU"/>
              </w:rPr>
            </w:pPr>
            <w:r w:rsidRPr="009A4C46">
              <w:rPr>
                <w:rFonts w:eastAsia="Times New Roman"/>
                <w:lang w:eastAsia="ru-RU"/>
              </w:rPr>
              <w:t>руб./МВт</w:t>
            </w:r>
            <w:r w:rsidR="00CC0E12">
              <w:rPr>
                <w:rFonts w:eastAsia="Times New Roman"/>
                <w:lang w:eastAsia="ru-RU"/>
              </w:rPr>
              <w:t>*</w:t>
            </w:r>
            <w:r w:rsidRPr="009A4C46">
              <w:rPr>
                <w:rFonts w:eastAsia="Times New Roman"/>
                <w:lang w:eastAsia="ru-RU"/>
              </w:rPr>
              <w:t>ч</w:t>
            </w:r>
          </w:p>
        </w:tc>
        <w:tc>
          <w:tcPr>
            <w:tcW w:w="562" w:type="pct"/>
            <w:shd w:val="clear" w:color="auto" w:fill="auto"/>
            <w:noWrap/>
            <w:vAlign w:val="center"/>
            <w:hideMark/>
          </w:tcPr>
          <w:p w14:paraId="697B4371" w14:textId="77777777" w:rsidR="009A4C46" w:rsidRPr="009A4C46" w:rsidRDefault="009A4C46" w:rsidP="00CB5AA8">
            <w:pPr>
              <w:spacing w:after="0" w:line="283" w:lineRule="auto"/>
              <w:jc w:val="center"/>
              <w:rPr>
                <w:rFonts w:eastAsia="Times New Roman"/>
                <w:lang w:eastAsia="ru-RU"/>
              </w:rPr>
            </w:pPr>
            <w:r w:rsidRPr="009A4C46">
              <w:rPr>
                <w:rFonts w:eastAsia="Times New Roman"/>
                <w:lang w:eastAsia="ru-RU"/>
              </w:rPr>
              <w:t>3 414,78</w:t>
            </w:r>
          </w:p>
        </w:tc>
        <w:tc>
          <w:tcPr>
            <w:tcW w:w="562" w:type="pct"/>
            <w:shd w:val="clear" w:color="auto" w:fill="auto"/>
            <w:noWrap/>
            <w:vAlign w:val="center"/>
            <w:hideMark/>
          </w:tcPr>
          <w:p w14:paraId="38D735B2" w14:textId="77777777" w:rsidR="009A4C46" w:rsidRPr="009A4C46" w:rsidRDefault="009A4C46" w:rsidP="00CB5AA8">
            <w:pPr>
              <w:spacing w:after="0" w:line="283" w:lineRule="auto"/>
              <w:jc w:val="center"/>
              <w:rPr>
                <w:rFonts w:eastAsia="Times New Roman"/>
                <w:lang w:eastAsia="ru-RU"/>
              </w:rPr>
            </w:pPr>
            <w:r w:rsidRPr="009A4C46">
              <w:rPr>
                <w:rFonts w:eastAsia="Times New Roman"/>
                <w:lang w:eastAsia="ru-RU"/>
              </w:rPr>
              <w:t>3 585,52</w:t>
            </w:r>
          </w:p>
        </w:tc>
      </w:tr>
      <w:tr w:rsidR="009A4C46" w:rsidRPr="009A4C46" w14:paraId="0261D3E1" w14:textId="77777777" w:rsidTr="0063188C">
        <w:trPr>
          <w:trHeight w:val="300"/>
        </w:trPr>
        <w:tc>
          <w:tcPr>
            <w:tcW w:w="380" w:type="pct"/>
            <w:shd w:val="clear" w:color="auto" w:fill="auto"/>
            <w:noWrap/>
            <w:vAlign w:val="center"/>
            <w:hideMark/>
          </w:tcPr>
          <w:p w14:paraId="626E4912" w14:textId="77777777" w:rsidR="009A4C46" w:rsidRPr="009A4C46" w:rsidRDefault="009A4C46" w:rsidP="00CB5AA8">
            <w:pPr>
              <w:spacing w:after="0" w:line="283" w:lineRule="auto"/>
              <w:rPr>
                <w:rFonts w:eastAsia="Times New Roman"/>
                <w:lang w:eastAsia="ru-RU"/>
              </w:rPr>
            </w:pPr>
            <w:r w:rsidRPr="009A4C46">
              <w:rPr>
                <w:rFonts w:eastAsia="Times New Roman"/>
                <w:lang w:eastAsia="ru-RU"/>
              </w:rPr>
              <w:t> </w:t>
            </w:r>
          </w:p>
        </w:tc>
        <w:tc>
          <w:tcPr>
            <w:tcW w:w="2518" w:type="pct"/>
            <w:shd w:val="clear" w:color="auto" w:fill="auto"/>
            <w:vAlign w:val="center"/>
            <w:hideMark/>
          </w:tcPr>
          <w:p w14:paraId="3BF6260F" w14:textId="77777777" w:rsidR="009A4C46" w:rsidRPr="009A4C46" w:rsidRDefault="009A4C46" w:rsidP="00CB5AA8">
            <w:pPr>
              <w:spacing w:after="0" w:line="283" w:lineRule="auto"/>
              <w:rPr>
                <w:rFonts w:eastAsia="Times New Roman"/>
                <w:lang w:eastAsia="ru-RU"/>
              </w:rPr>
            </w:pPr>
            <w:r w:rsidRPr="009A4C46">
              <w:rPr>
                <w:rFonts w:eastAsia="Times New Roman"/>
                <w:lang w:eastAsia="ru-RU"/>
              </w:rPr>
              <w:t>СН2</w:t>
            </w:r>
          </w:p>
        </w:tc>
        <w:tc>
          <w:tcPr>
            <w:tcW w:w="527" w:type="pct"/>
            <w:shd w:val="clear" w:color="auto" w:fill="auto"/>
            <w:noWrap/>
            <w:vAlign w:val="center"/>
            <w:hideMark/>
          </w:tcPr>
          <w:p w14:paraId="6D1EE437" w14:textId="77777777" w:rsidR="009A4C46" w:rsidRPr="009A4C46" w:rsidRDefault="009A4C46" w:rsidP="00CB5AA8">
            <w:pPr>
              <w:spacing w:after="0" w:line="283" w:lineRule="auto"/>
              <w:jc w:val="center"/>
              <w:rPr>
                <w:rFonts w:eastAsia="Times New Roman"/>
                <w:lang w:eastAsia="ru-RU"/>
              </w:rPr>
            </w:pPr>
          </w:p>
        </w:tc>
        <w:tc>
          <w:tcPr>
            <w:tcW w:w="451" w:type="pct"/>
            <w:shd w:val="clear" w:color="auto" w:fill="auto"/>
            <w:noWrap/>
            <w:vAlign w:val="center"/>
            <w:hideMark/>
          </w:tcPr>
          <w:p w14:paraId="5525F8DB" w14:textId="7569CC70" w:rsidR="009A4C46" w:rsidRPr="009A4C46" w:rsidRDefault="009A4C46" w:rsidP="00CB5AA8">
            <w:pPr>
              <w:spacing w:after="0" w:line="283" w:lineRule="auto"/>
              <w:jc w:val="center"/>
              <w:rPr>
                <w:rFonts w:eastAsia="Times New Roman"/>
                <w:lang w:eastAsia="ru-RU"/>
              </w:rPr>
            </w:pPr>
            <w:r w:rsidRPr="009A4C46">
              <w:rPr>
                <w:rFonts w:eastAsia="Times New Roman"/>
                <w:lang w:eastAsia="ru-RU"/>
              </w:rPr>
              <w:t>руб./МВт</w:t>
            </w:r>
            <w:r w:rsidR="00CC0E12">
              <w:rPr>
                <w:rFonts w:eastAsia="Times New Roman"/>
                <w:lang w:eastAsia="ru-RU"/>
              </w:rPr>
              <w:t>*</w:t>
            </w:r>
            <w:r w:rsidRPr="009A4C46">
              <w:rPr>
                <w:rFonts w:eastAsia="Times New Roman"/>
                <w:lang w:eastAsia="ru-RU"/>
              </w:rPr>
              <w:t>ч</w:t>
            </w:r>
          </w:p>
        </w:tc>
        <w:tc>
          <w:tcPr>
            <w:tcW w:w="562" w:type="pct"/>
            <w:shd w:val="clear" w:color="auto" w:fill="auto"/>
            <w:noWrap/>
            <w:vAlign w:val="center"/>
            <w:hideMark/>
          </w:tcPr>
          <w:p w14:paraId="2CC8D289" w14:textId="77777777" w:rsidR="009A4C46" w:rsidRPr="009A4C46" w:rsidRDefault="009A4C46" w:rsidP="00CB5AA8">
            <w:pPr>
              <w:spacing w:after="0" w:line="283" w:lineRule="auto"/>
              <w:jc w:val="center"/>
              <w:rPr>
                <w:rFonts w:eastAsia="Times New Roman"/>
                <w:lang w:eastAsia="ru-RU"/>
              </w:rPr>
            </w:pPr>
            <w:r w:rsidRPr="009A4C46">
              <w:rPr>
                <w:rFonts w:eastAsia="Times New Roman"/>
                <w:lang w:eastAsia="ru-RU"/>
              </w:rPr>
              <w:t>3 617,45</w:t>
            </w:r>
          </w:p>
        </w:tc>
        <w:tc>
          <w:tcPr>
            <w:tcW w:w="562" w:type="pct"/>
            <w:shd w:val="clear" w:color="auto" w:fill="auto"/>
            <w:noWrap/>
            <w:vAlign w:val="center"/>
            <w:hideMark/>
          </w:tcPr>
          <w:p w14:paraId="2F41979B" w14:textId="77777777" w:rsidR="009A4C46" w:rsidRPr="009A4C46" w:rsidRDefault="009A4C46" w:rsidP="00CB5AA8">
            <w:pPr>
              <w:spacing w:after="0" w:line="283" w:lineRule="auto"/>
              <w:jc w:val="center"/>
              <w:rPr>
                <w:rFonts w:eastAsia="Times New Roman"/>
                <w:lang w:eastAsia="ru-RU"/>
              </w:rPr>
            </w:pPr>
            <w:r w:rsidRPr="009A4C46">
              <w:rPr>
                <w:rFonts w:eastAsia="Times New Roman"/>
                <w:lang w:eastAsia="ru-RU"/>
              </w:rPr>
              <w:t>3 798,32</w:t>
            </w:r>
          </w:p>
        </w:tc>
      </w:tr>
      <w:tr w:rsidR="009A4C46" w:rsidRPr="009A4C46" w14:paraId="265DEBCC" w14:textId="77777777" w:rsidTr="0063188C">
        <w:trPr>
          <w:trHeight w:val="300"/>
        </w:trPr>
        <w:tc>
          <w:tcPr>
            <w:tcW w:w="380" w:type="pct"/>
            <w:shd w:val="clear" w:color="auto" w:fill="auto"/>
            <w:noWrap/>
            <w:vAlign w:val="center"/>
            <w:hideMark/>
          </w:tcPr>
          <w:p w14:paraId="7E0A058C" w14:textId="77777777" w:rsidR="009A4C46" w:rsidRPr="009A4C46" w:rsidRDefault="009A4C46" w:rsidP="00CB5AA8">
            <w:pPr>
              <w:spacing w:after="0" w:line="283" w:lineRule="auto"/>
              <w:rPr>
                <w:rFonts w:eastAsia="Times New Roman"/>
                <w:lang w:eastAsia="ru-RU"/>
              </w:rPr>
            </w:pPr>
            <w:r w:rsidRPr="009A4C46">
              <w:rPr>
                <w:rFonts w:eastAsia="Times New Roman"/>
                <w:lang w:eastAsia="ru-RU"/>
              </w:rPr>
              <w:t> </w:t>
            </w:r>
          </w:p>
        </w:tc>
        <w:tc>
          <w:tcPr>
            <w:tcW w:w="2518" w:type="pct"/>
            <w:shd w:val="clear" w:color="auto" w:fill="auto"/>
            <w:vAlign w:val="center"/>
            <w:hideMark/>
          </w:tcPr>
          <w:p w14:paraId="6183CF82" w14:textId="77777777" w:rsidR="009A4C46" w:rsidRPr="009A4C46" w:rsidRDefault="009A4C46" w:rsidP="00CB5AA8">
            <w:pPr>
              <w:spacing w:after="0" w:line="283" w:lineRule="auto"/>
              <w:rPr>
                <w:rFonts w:eastAsia="Times New Roman"/>
                <w:lang w:eastAsia="ru-RU"/>
              </w:rPr>
            </w:pPr>
            <w:r w:rsidRPr="009A4C46">
              <w:rPr>
                <w:rFonts w:eastAsia="Times New Roman"/>
                <w:lang w:eastAsia="ru-RU"/>
              </w:rPr>
              <w:t>НН</w:t>
            </w:r>
          </w:p>
        </w:tc>
        <w:tc>
          <w:tcPr>
            <w:tcW w:w="527" w:type="pct"/>
            <w:shd w:val="clear" w:color="auto" w:fill="auto"/>
            <w:noWrap/>
            <w:vAlign w:val="center"/>
            <w:hideMark/>
          </w:tcPr>
          <w:p w14:paraId="18BCA48B" w14:textId="77777777" w:rsidR="009A4C46" w:rsidRPr="009A4C46" w:rsidRDefault="009A4C46" w:rsidP="00CB5AA8">
            <w:pPr>
              <w:spacing w:after="0" w:line="283" w:lineRule="auto"/>
              <w:jc w:val="center"/>
              <w:rPr>
                <w:rFonts w:eastAsia="Times New Roman"/>
                <w:lang w:eastAsia="ru-RU"/>
              </w:rPr>
            </w:pPr>
          </w:p>
        </w:tc>
        <w:tc>
          <w:tcPr>
            <w:tcW w:w="451" w:type="pct"/>
            <w:shd w:val="clear" w:color="auto" w:fill="auto"/>
            <w:noWrap/>
            <w:vAlign w:val="center"/>
            <w:hideMark/>
          </w:tcPr>
          <w:p w14:paraId="180114B5" w14:textId="76D4C903" w:rsidR="009A4C46" w:rsidRPr="009A4C46" w:rsidRDefault="009A4C46" w:rsidP="00CB5AA8">
            <w:pPr>
              <w:spacing w:after="0" w:line="283" w:lineRule="auto"/>
              <w:jc w:val="center"/>
              <w:rPr>
                <w:rFonts w:eastAsia="Times New Roman"/>
                <w:lang w:eastAsia="ru-RU"/>
              </w:rPr>
            </w:pPr>
            <w:r w:rsidRPr="009A4C46">
              <w:rPr>
                <w:rFonts w:eastAsia="Times New Roman"/>
                <w:lang w:eastAsia="ru-RU"/>
              </w:rPr>
              <w:t>руб./МВт</w:t>
            </w:r>
            <w:r w:rsidR="00CC0E12">
              <w:rPr>
                <w:rFonts w:eastAsia="Times New Roman"/>
                <w:lang w:eastAsia="ru-RU"/>
              </w:rPr>
              <w:t>*</w:t>
            </w:r>
            <w:r w:rsidRPr="009A4C46">
              <w:rPr>
                <w:rFonts w:eastAsia="Times New Roman"/>
                <w:lang w:eastAsia="ru-RU"/>
              </w:rPr>
              <w:t>ч</w:t>
            </w:r>
          </w:p>
        </w:tc>
        <w:tc>
          <w:tcPr>
            <w:tcW w:w="562" w:type="pct"/>
            <w:shd w:val="clear" w:color="auto" w:fill="auto"/>
            <w:noWrap/>
            <w:vAlign w:val="center"/>
            <w:hideMark/>
          </w:tcPr>
          <w:p w14:paraId="7C841DAC" w14:textId="77777777" w:rsidR="009A4C46" w:rsidRPr="009A4C46" w:rsidRDefault="009A4C46" w:rsidP="00CB5AA8">
            <w:pPr>
              <w:spacing w:after="0" w:line="283" w:lineRule="auto"/>
              <w:jc w:val="center"/>
              <w:rPr>
                <w:rFonts w:eastAsia="Times New Roman"/>
                <w:lang w:eastAsia="ru-RU"/>
              </w:rPr>
            </w:pPr>
            <w:r w:rsidRPr="009A4C46">
              <w:rPr>
                <w:rFonts w:eastAsia="Times New Roman"/>
                <w:lang w:eastAsia="ru-RU"/>
              </w:rPr>
              <w:t>3 629,83</w:t>
            </w:r>
          </w:p>
        </w:tc>
        <w:tc>
          <w:tcPr>
            <w:tcW w:w="562" w:type="pct"/>
            <w:shd w:val="clear" w:color="auto" w:fill="auto"/>
            <w:noWrap/>
            <w:vAlign w:val="center"/>
            <w:hideMark/>
          </w:tcPr>
          <w:p w14:paraId="737338FB" w14:textId="77777777" w:rsidR="009A4C46" w:rsidRPr="009A4C46" w:rsidRDefault="009A4C46" w:rsidP="00CB5AA8">
            <w:pPr>
              <w:spacing w:after="0" w:line="283" w:lineRule="auto"/>
              <w:jc w:val="center"/>
              <w:rPr>
                <w:rFonts w:eastAsia="Times New Roman"/>
                <w:lang w:eastAsia="ru-RU"/>
              </w:rPr>
            </w:pPr>
            <w:r w:rsidRPr="009A4C46">
              <w:rPr>
                <w:rFonts w:eastAsia="Times New Roman"/>
                <w:lang w:eastAsia="ru-RU"/>
              </w:rPr>
              <w:t>3 811,32</w:t>
            </w:r>
          </w:p>
        </w:tc>
      </w:tr>
      <w:tr w:rsidR="009A4C46" w:rsidRPr="009A4C46" w14:paraId="0B5ED444" w14:textId="77777777" w:rsidTr="0063188C">
        <w:trPr>
          <w:trHeight w:val="300"/>
        </w:trPr>
        <w:tc>
          <w:tcPr>
            <w:tcW w:w="380" w:type="pct"/>
            <w:shd w:val="clear" w:color="auto" w:fill="auto"/>
            <w:noWrap/>
            <w:vAlign w:val="center"/>
            <w:hideMark/>
          </w:tcPr>
          <w:p w14:paraId="7C2BB943" w14:textId="77777777" w:rsidR="009A4C46" w:rsidRPr="009A4C46" w:rsidRDefault="009A4C46" w:rsidP="00CB5AA8">
            <w:pPr>
              <w:spacing w:after="0" w:line="283" w:lineRule="auto"/>
              <w:rPr>
                <w:rFonts w:eastAsia="Times New Roman"/>
                <w:lang w:eastAsia="ru-RU"/>
              </w:rPr>
            </w:pPr>
            <w:r w:rsidRPr="009A4C46">
              <w:rPr>
                <w:rFonts w:eastAsia="Times New Roman"/>
                <w:lang w:eastAsia="ru-RU"/>
              </w:rPr>
              <w:t> </w:t>
            </w:r>
          </w:p>
        </w:tc>
        <w:tc>
          <w:tcPr>
            <w:tcW w:w="2518" w:type="pct"/>
            <w:shd w:val="clear" w:color="auto" w:fill="auto"/>
            <w:vAlign w:val="center"/>
            <w:hideMark/>
          </w:tcPr>
          <w:p w14:paraId="346F3C79" w14:textId="77777777" w:rsidR="009A4C46" w:rsidRPr="009A4C46" w:rsidRDefault="009A4C46" w:rsidP="00CB5AA8">
            <w:pPr>
              <w:spacing w:after="0" w:line="283" w:lineRule="auto"/>
              <w:rPr>
                <w:rFonts w:eastAsia="Times New Roman"/>
                <w:lang w:eastAsia="ru-RU"/>
              </w:rPr>
            </w:pPr>
            <w:r w:rsidRPr="009A4C46">
              <w:rPr>
                <w:rFonts w:eastAsia="Times New Roman"/>
                <w:lang w:eastAsia="ru-RU"/>
              </w:rPr>
              <w:t>Население</w:t>
            </w:r>
          </w:p>
        </w:tc>
        <w:tc>
          <w:tcPr>
            <w:tcW w:w="527" w:type="pct"/>
            <w:shd w:val="clear" w:color="auto" w:fill="auto"/>
            <w:noWrap/>
            <w:vAlign w:val="center"/>
            <w:hideMark/>
          </w:tcPr>
          <w:p w14:paraId="2A6FAE9F" w14:textId="77777777" w:rsidR="009A4C46" w:rsidRPr="009A4C46" w:rsidRDefault="009A4C46" w:rsidP="00CB5AA8">
            <w:pPr>
              <w:spacing w:after="0" w:line="283" w:lineRule="auto"/>
              <w:jc w:val="center"/>
              <w:rPr>
                <w:rFonts w:eastAsia="Times New Roman"/>
                <w:lang w:eastAsia="ru-RU"/>
              </w:rPr>
            </w:pPr>
          </w:p>
        </w:tc>
        <w:tc>
          <w:tcPr>
            <w:tcW w:w="451" w:type="pct"/>
            <w:shd w:val="clear" w:color="auto" w:fill="auto"/>
            <w:noWrap/>
            <w:vAlign w:val="center"/>
            <w:hideMark/>
          </w:tcPr>
          <w:p w14:paraId="198ADA3D" w14:textId="77777777" w:rsidR="009A4C46" w:rsidRPr="009A4C46" w:rsidRDefault="009A4C46" w:rsidP="00CB5AA8">
            <w:pPr>
              <w:spacing w:after="0" w:line="283" w:lineRule="auto"/>
              <w:jc w:val="center"/>
              <w:rPr>
                <w:rFonts w:eastAsia="Times New Roman"/>
                <w:lang w:eastAsia="ru-RU"/>
              </w:rPr>
            </w:pPr>
          </w:p>
        </w:tc>
        <w:tc>
          <w:tcPr>
            <w:tcW w:w="562" w:type="pct"/>
            <w:shd w:val="clear" w:color="auto" w:fill="auto"/>
            <w:noWrap/>
            <w:vAlign w:val="center"/>
            <w:hideMark/>
          </w:tcPr>
          <w:p w14:paraId="7EE30CC8" w14:textId="77777777" w:rsidR="009A4C46" w:rsidRPr="009A4C46" w:rsidRDefault="009A4C46" w:rsidP="00CB5AA8">
            <w:pPr>
              <w:spacing w:after="0" w:line="283" w:lineRule="auto"/>
              <w:jc w:val="center"/>
              <w:rPr>
                <w:rFonts w:eastAsia="Times New Roman"/>
                <w:lang w:eastAsia="ru-RU"/>
              </w:rPr>
            </w:pPr>
          </w:p>
        </w:tc>
        <w:tc>
          <w:tcPr>
            <w:tcW w:w="562" w:type="pct"/>
            <w:shd w:val="clear" w:color="auto" w:fill="auto"/>
            <w:noWrap/>
            <w:vAlign w:val="center"/>
            <w:hideMark/>
          </w:tcPr>
          <w:p w14:paraId="676E3E74" w14:textId="77777777" w:rsidR="009A4C46" w:rsidRPr="009A4C46" w:rsidRDefault="009A4C46" w:rsidP="00CB5AA8">
            <w:pPr>
              <w:spacing w:after="0" w:line="283" w:lineRule="auto"/>
              <w:jc w:val="center"/>
              <w:rPr>
                <w:rFonts w:eastAsia="Times New Roman"/>
                <w:lang w:eastAsia="ru-RU"/>
              </w:rPr>
            </w:pPr>
          </w:p>
        </w:tc>
      </w:tr>
      <w:tr w:rsidR="009A4C46" w:rsidRPr="009A4C46" w14:paraId="42035D3C" w14:textId="77777777" w:rsidTr="0063188C">
        <w:trPr>
          <w:trHeight w:val="300"/>
        </w:trPr>
        <w:tc>
          <w:tcPr>
            <w:tcW w:w="380" w:type="pct"/>
            <w:shd w:val="clear" w:color="auto" w:fill="auto"/>
            <w:noWrap/>
            <w:vAlign w:val="center"/>
            <w:hideMark/>
          </w:tcPr>
          <w:p w14:paraId="5001EC4D" w14:textId="77777777" w:rsidR="009A4C46" w:rsidRPr="009A4C46" w:rsidRDefault="009A4C46" w:rsidP="00CB5AA8">
            <w:pPr>
              <w:spacing w:after="0" w:line="283" w:lineRule="auto"/>
              <w:rPr>
                <w:rFonts w:eastAsia="Times New Roman"/>
                <w:lang w:eastAsia="ru-RU"/>
              </w:rPr>
            </w:pPr>
            <w:r w:rsidRPr="009A4C46">
              <w:rPr>
                <w:rFonts w:eastAsia="Times New Roman"/>
                <w:lang w:eastAsia="ru-RU"/>
              </w:rPr>
              <w:t> </w:t>
            </w:r>
          </w:p>
        </w:tc>
        <w:tc>
          <w:tcPr>
            <w:tcW w:w="2518" w:type="pct"/>
            <w:shd w:val="clear" w:color="auto" w:fill="auto"/>
            <w:vAlign w:val="center"/>
            <w:hideMark/>
          </w:tcPr>
          <w:p w14:paraId="74D31744" w14:textId="77777777" w:rsidR="009A4C46" w:rsidRPr="009A4C46" w:rsidRDefault="009A4C46" w:rsidP="00CB5AA8">
            <w:pPr>
              <w:spacing w:after="0" w:line="283" w:lineRule="auto"/>
              <w:rPr>
                <w:rFonts w:eastAsia="Times New Roman"/>
                <w:lang w:eastAsia="ru-RU"/>
              </w:rPr>
            </w:pPr>
            <w:r w:rsidRPr="009A4C46">
              <w:rPr>
                <w:rFonts w:eastAsia="Times New Roman"/>
                <w:lang w:eastAsia="ru-RU"/>
              </w:rPr>
              <w:t>городское</w:t>
            </w:r>
          </w:p>
        </w:tc>
        <w:tc>
          <w:tcPr>
            <w:tcW w:w="527" w:type="pct"/>
            <w:shd w:val="clear" w:color="auto" w:fill="auto"/>
            <w:noWrap/>
            <w:vAlign w:val="center"/>
            <w:hideMark/>
          </w:tcPr>
          <w:p w14:paraId="61308EFA" w14:textId="77777777" w:rsidR="009A4C46" w:rsidRPr="009A4C46" w:rsidRDefault="009A4C46" w:rsidP="00CB5AA8">
            <w:pPr>
              <w:spacing w:after="0" w:line="283" w:lineRule="auto"/>
              <w:jc w:val="center"/>
              <w:rPr>
                <w:rFonts w:eastAsia="Times New Roman"/>
                <w:lang w:eastAsia="ru-RU"/>
              </w:rPr>
            </w:pPr>
          </w:p>
        </w:tc>
        <w:tc>
          <w:tcPr>
            <w:tcW w:w="451" w:type="pct"/>
            <w:shd w:val="clear" w:color="auto" w:fill="auto"/>
            <w:noWrap/>
            <w:vAlign w:val="center"/>
            <w:hideMark/>
          </w:tcPr>
          <w:p w14:paraId="1EE9EFA7" w14:textId="5C3080AF" w:rsidR="009A4C46" w:rsidRPr="009A4C46" w:rsidRDefault="009A4C46" w:rsidP="00CB5AA8">
            <w:pPr>
              <w:spacing w:after="0" w:line="283" w:lineRule="auto"/>
              <w:jc w:val="center"/>
              <w:rPr>
                <w:rFonts w:eastAsia="Times New Roman"/>
                <w:lang w:eastAsia="ru-RU"/>
              </w:rPr>
            </w:pPr>
            <w:r w:rsidRPr="009A4C46">
              <w:rPr>
                <w:rFonts w:eastAsia="Times New Roman"/>
                <w:lang w:eastAsia="ru-RU"/>
              </w:rPr>
              <w:t>руб./МВт</w:t>
            </w:r>
            <w:r w:rsidR="00CC0E12">
              <w:rPr>
                <w:rFonts w:eastAsia="Times New Roman"/>
                <w:lang w:eastAsia="ru-RU"/>
              </w:rPr>
              <w:t>*</w:t>
            </w:r>
            <w:r w:rsidRPr="009A4C46">
              <w:rPr>
                <w:rFonts w:eastAsia="Times New Roman"/>
                <w:lang w:eastAsia="ru-RU"/>
              </w:rPr>
              <w:t>ч</w:t>
            </w:r>
          </w:p>
        </w:tc>
        <w:tc>
          <w:tcPr>
            <w:tcW w:w="562" w:type="pct"/>
            <w:shd w:val="clear" w:color="auto" w:fill="auto"/>
            <w:noWrap/>
            <w:vAlign w:val="center"/>
            <w:hideMark/>
          </w:tcPr>
          <w:p w14:paraId="0F9BA38D" w14:textId="77777777" w:rsidR="009A4C46" w:rsidRPr="009A4C46" w:rsidRDefault="009A4C46" w:rsidP="00CB5AA8">
            <w:pPr>
              <w:spacing w:after="0" w:line="283" w:lineRule="auto"/>
              <w:jc w:val="center"/>
              <w:rPr>
                <w:rFonts w:eastAsia="Times New Roman"/>
                <w:lang w:eastAsia="ru-RU"/>
              </w:rPr>
            </w:pPr>
            <w:r w:rsidRPr="009A4C46">
              <w:rPr>
                <w:rFonts w:eastAsia="Times New Roman"/>
                <w:lang w:eastAsia="ru-RU"/>
              </w:rPr>
              <w:t>2 221,13</w:t>
            </w:r>
          </w:p>
        </w:tc>
        <w:tc>
          <w:tcPr>
            <w:tcW w:w="562" w:type="pct"/>
            <w:shd w:val="clear" w:color="auto" w:fill="auto"/>
            <w:noWrap/>
            <w:vAlign w:val="center"/>
            <w:hideMark/>
          </w:tcPr>
          <w:p w14:paraId="60DE0F71" w14:textId="77777777" w:rsidR="009A4C46" w:rsidRPr="009A4C46" w:rsidRDefault="009A4C46" w:rsidP="00CB5AA8">
            <w:pPr>
              <w:spacing w:after="0" w:line="283" w:lineRule="auto"/>
              <w:jc w:val="center"/>
              <w:rPr>
                <w:rFonts w:eastAsia="Times New Roman"/>
                <w:lang w:eastAsia="ru-RU"/>
              </w:rPr>
            </w:pPr>
            <w:r w:rsidRPr="009A4C46">
              <w:rPr>
                <w:rFonts w:eastAsia="Times New Roman"/>
                <w:lang w:eastAsia="ru-RU"/>
              </w:rPr>
              <w:t>2 327,45</w:t>
            </w:r>
          </w:p>
        </w:tc>
      </w:tr>
      <w:tr w:rsidR="009A4C46" w:rsidRPr="009A4C46" w14:paraId="33EF09E4" w14:textId="77777777" w:rsidTr="0063188C">
        <w:trPr>
          <w:trHeight w:val="300"/>
        </w:trPr>
        <w:tc>
          <w:tcPr>
            <w:tcW w:w="380" w:type="pct"/>
            <w:shd w:val="clear" w:color="auto" w:fill="auto"/>
            <w:noWrap/>
            <w:vAlign w:val="center"/>
            <w:hideMark/>
          </w:tcPr>
          <w:p w14:paraId="161C91F4" w14:textId="77777777" w:rsidR="009A4C46" w:rsidRPr="009A4C46" w:rsidRDefault="009A4C46" w:rsidP="00CB5AA8">
            <w:pPr>
              <w:spacing w:after="0" w:line="283" w:lineRule="auto"/>
              <w:rPr>
                <w:rFonts w:eastAsia="Times New Roman"/>
                <w:lang w:eastAsia="ru-RU"/>
              </w:rPr>
            </w:pPr>
            <w:r w:rsidRPr="009A4C46">
              <w:rPr>
                <w:rFonts w:eastAsia="Times New Roman"/>
                <w:lang w:eastAsia="ru-RU"/>
              </w:rPr>
              <w:t> </w:t>
            </w:r>
          </w:p>
        </w:tc>
        <w:tc>
          <w:tcPr>
            <w:tcW w:w="2518" w:type="pct"/>
            <w:shd w:val="clear" w:color="auto" w:fill="auto"/>
            <w:vAlign w:val="center"/>
            <w:hideMark/>
          </w:tcPr>
          <w:p w14:paraId="6117F83C" w14:textId="77777777" w:rsidR="009A4C46" w:rsidRPr="009A4C46" w:rsidRDefault="009A4C46" w:rsidP="00CB5AA8">
            <w:pPr>
              <w:spacing w:after="0" w:line="283" w:lineRule="auto"/>
              <w:rPr>
                <w:rFonts w:eastAsia="Times New Roman"/>
                <w:lang w:eastAsia="ru-RU"/>
              </w:rPr>
            </w:pPr>
            <w:r w:rsidRPr="009A4C46">
              <w:rPr>
                <w:rFonts w:eastAsia="Times New Roman"/>
                <w:lang w:eastAsia="ru-RU"/>
              </w:rPr>
              <w:t>сельское</w:t>
            </w:r>
          </w:p>
        </w:tc>
        <w:tc>
          <w:tcPr>
            <w:tcW w:w="527" w:type="pct"/>
            <w:shd w:val="clear" w:color="auto" w:fill="auto"/>
            <w:noWrap/>
            <w:vAlign w:val="center"/>
            <w:hideMark/>
          </w:tcPr>
          <w:p w14:paraId="6F9AF148" w14:textId="77777777" w:rsidR="009A4C46" w:rsidRPr="009A4C46" w:rsidRDefault="009A4C46" w:rsidP="00CB5AA8">
            <w:pPr>
              <w:spacing w:after="0" w:line="283" w:lineRule="auto"/>
              <w:jc w:val="center"/>
              <w:rPr>
                <w:rFonts w:eastAsia="Times New Roman"/>
                <w:lang w:eastAsia="ru-RU"/>
              </w:rPr>
            </w:pPr>
          </w:p>
        </w:tc>
        <w:tc>
          <w:tcPr>
            <w:tcW w:w="451" w:type="pct"/>
            <w:shd w:val="clear" w:color="auto" w:fill="auto"/>
            <w:noWrap/>
            <w:vAlign w:val="center"/>
            <w:hideMark/>
          </w:tcPr>
          <w:p w14:paraId="26274F0B" w14:textId="4BC59882" w:rsidR="009A4C46" w:rsidRPr="009A4C46" w:rsidRDefault="009A4C46" w:rsidP="00CB5AA8">
            <w:pPr>
              <w:spacing w:after="0" w:line="283" w:lineRule="auto"/>
              <w:jc w:val="center"/>
              <w:rPr>
                <w:rFonts w:eastAsia="Times New Roman"/>
                <w:lang w:eastAsia="ru-RU"/>
              </w:rPr>
            </w:pPr>
            <w:r w:rsidRPr="009A4C46">
              <w:rPr>
                <w:rFonts w:eastAsia="Times New Roman"/>
                <w:lang w:eastAsia="ru-RU"/>
              </w:rPr>
              <w:t>руб./МВт</w:t>
            </w:r>
            <w:r w:rsidR="00CC0E12">
              <w:rPr>
                <w:rFonts w:eastAsia="Times New Roman"/>
                <w:lang w:eastAsia="ru-RU"/>
              </w:rPr>
              <w:t>*</w:t>
            </w:r>
            <w:r w:rsidRPr="009A4C46">
              <w:rPr>
                <w:rFonts w:eastAsia="Times New Roman"/>
                <w:lang w:eastAsia="ru-RU"/>
              </w:rPr>
              <w:t>ч</w:t>
            </w:r>
          </w:p>
        </w:tc>
        <w:tc>
          <w:tcPr>
            <w:tcW w:w="562" w:type="pct"/>
            <w:shd w:val="clear" w:color="auto" w:fill="auto"/>
            <w:noWrap/>
            <w:vAlign w:val="center"/>
            <w:hideMark/>
          </w:tcPr>
          <w:p w14:paraId="4D102473" w14:textId="77777777" w:rsidR="009A4C46" w:rsidRPr="009A4C46" w:rsidRDefault="009A4C46" w:rsidP="00CB5AA8">
            <w:pPr>
              <w:spacing w:after="0" w:line="283" w:lineRule="auto"/>
              <w:jc w:val="center"/>
              <w:rPr>
                <w:rFonts w:eastAsia="Times New Roman"/>
                <w:lang w:eastAsia="ru-RU"/>
              </w:rPr>
            </w:pPr>
            <w:r w:rsidRPr="009A4C46">
              <w:rPr>
                <w:rFonts w:eastAsia="Times New Roman"/>
                <w:lang w:eastAsia="ru-RU"/>
              </w:rPr>
              <w:t>1 416,04</w:t>
            </w:r>
          </w:p>
        </w:tc>
        <w:tc>
          <w:tcPr>
            <w:tcW w:w="562" w:type="pct"/>
            <w:shd w:val="clear" w:color="auto" w:fill="auto"/>
            <w:noWrap/>
            <w:vAlign w:val="center"/>
            <w:hideMark/>
          </w:tcPr>
          <w:p w14:paraId="7F53263E" w14:textId="77777777" w:rsidR="009A4C46" w:rsidRPr="009A4C46" w:rsidRDefault="009A4C46" w:rsidP="00CB5AA8">
            <w:pPr>
              <w:spacing w:after="0" w:line="283" w:lineRule="auto"/>
              <w:jc w:val="center"/>
              <w:rPr>
                <w:rFonts w:eastAsia="Times New Roman"/>
                <w:lang w:eastAsia="ru-RU"/>
              </w:rPr>
            </w:pPr>
            <w:r w:rsidRPr="009A4C46">
              <w:rPr>
                <w:rFonts w:eastAsia="Times New Roman"/>
                <w:lang w:eastAsia="ru-RU"/>
              </w:rPr>
              <w:t>1 488,47</w:t>
            </w:r>
          </w:p>
        </w:tc>
      </w:tr>
      <w:tr w:rsidR="009A4C46" w:rsidRPr="009A4C46" w14:paraId="7C6FF7BF" w14:textId="77777777" w:rsidTr="0063188C">
        <w:trPr>
          <w:trHeight w:val="600"/>
        </w:trPr>
        <w:tc>
          <w:tcPr>
            <w:tcW w:w="380" w:type="pct"/>
            <w:shd w:val="clear" w:color="auto" w:fill="auto"/>
            <w:noWrap/>
            <w:vAlign w:val="center"/>
            <w:hideMark/>
          </w:tcPr>
          <w:p w14:paraId="745B42EC" w14:textId="77777777" w:rsidR="009A4C46" w:rsidRPr="009A4C46" w:rsidRDefault="009A4C46" w:rsidP="00CB5AA8">
            <w:pPr>
              <w:spacing w:after="0" w:line="283" w:lineRule="auto"/>
              <w:rPr>
                <w:rFonts w:eastAsia="Times New Roman"/>
                <w:lang w:eastAsia="ru-RU"/>
              </w:rPr>
            </w:pPr>
            <w:r w:rsidRPr="009A4C46">
              <w:rPr>
                <w:rFonts w:eastAsia="Times New Roman"/>
                <w:lang w:eastAsia="ru-RU"/>
              </w:rPr>
              <w:t>6</w:t>
            </w:r>
          </w:p>
        </w:tc>
        <w:tc>
          <w:tcPr>
            <w:tcW w:w="2518" w:type="pct"/>
            <w:shd w:val="clear" w:color="auto" w:fill="auto"/>
            <w:vAlign w:val="center"/>
            <w:hideMark/>
          </w:tcPr>
          <w:p w14:paraId="6C23426E" w14:textId="77777777" w:rsidR="009A4C46" w:rsidRPr="009A4C46" w:rsidRDefault="009A4C46" w:rsidP="00CB5AA8">
            <w:pPr>
              <w:spacing w:after="0" w:line="283" w:lineRule="auto"/>
              <w:ind w:firstLineChars="200" w:firstLine="400"/>
              <w:rPr>
                <w:rFonts w:eastAsia="Times New Roman"/>
                <w:lang w:eastAsia="ru-RU"/>
              </w:rPr>
            </w:pPr>
            <w:r w:rsidRPr="009A4C46">
              <w:rPr>
                <w:rFonts w:eastAsia="Times New Roman"/>
                <w:lang w:eastAsia="ru-RU"/>
              </w:rPr>
              <w:t>Ставка на оплату технологического расхода (потерь) в электрических сетях</w:t>
            </w:r>
          </w:p>
        </w:tc>
        <w:tc>
          <w:tcPr>
            <w:tcW w:w="527" w:type="pct"/>
            <w:shd w:val="clear" w:color="auto" w:fill="auto"/>
            <w:noWrap/>
            <w:vAlign w:val="center"/>
            <w:hideMark/>
          </w:tcPr>
          <w:p w14:paraId="1FB868FA" w14:textId="77777777" w:rsidR="009A4C46" w:rsidRPr="009A4C46" w:rsidRDefault="009A4C46" w:rsidP="00CB5AA8">
            <w:pPr>
              <w:spacing w:after="0" w:line="283" w:lineRule="auto"/>
              <w:jc w:val="center"/>
              <w:rPr>
                <w:rFonts w:eastAsia="Times New Roman"/>
                <w:lang w:eastAsia="ru-RU"/>
              </w:rPr>
            </w:pPr>
          </w:p>
        </w:tc>
        <w:tc>
          <w:tcPr>
            <w:tcW w:w="451" w:type="pct"/>
            <w:shd w:val="clear" w:color="auto" w:fill="auto"/>
            <w:noWrap/>
            <w:vAlign w:val="center"/>
            <w:hideMark/>
          </w:tcPr>
          <w:p w14:paraId="00A011C5" w14:textId="77777777" w:rsidR="009A4C46" w:rsidRPr="009A4C46" w:rsidRDefault="009A4C46" w:rsidP="00CB5AA8">
            <w:pPr>
              <w:spacing w:after="0" w:line="283" w:lineRule="auto"/>
              <w:jc w:val="center"/>
              <w:rPr>
                <w:rFonts w:eastAsia="Times New Roman"/>
                <w:lang w:eastAsia="ru-RU"/>
              </w:rPr>
            </w:pPr>
          </w:p>
        </w:tc>
        <w:tc>
          <w:tcPr>
            <w:tcW w:w="562" w:type="pct"/>
            <w:shd w:val="clear" w:color="auto" w:fill="auto"/>
            <w:noWrap/>
            <w:vAlign w:val="center"/>
            <w:hideMark/>
          </w:tcPr>
          <w:p w14:paraId="17D668F8" w14:textId="77777777" w:rsidR="009A4C46" w:rsidRPr="009A4C46" w:rsidRDefault="009A4C46" w:rsidP="00CB5AA8">
            <w:pPr>
              <w:spacing w:after="0" w:line="283" w:lineRule="auto"/>
              <w:jc w:val="center"/>
              <w:rPr>
                <w:rFonts w:eastAsia="Times New Roman"/>
                <w:lang w:eastAsia="ru-RU"/>
              </w:rPr>
            </w:pPr>
          </w:p>
        </w:tc>
        <w:tc>
          <w:tcPr>
            <w:tcW w:w="562" w:type="pct"/>
            <w:shd w:val="clear" w:color="auto" w:fill="auto"/>
            <w:noWrap/>
            <w:vAlign w:val="center"/>
            <w:hideMark/>
          </w:tcPr>
          <w:p w14:paraId="1785A0A1" w14:textId="77777777" w:rsidR="009A4C46" w:rsidRPr="009A4C46" w:rsidRDefault="009A4C46" w:rsidP="00CB5AA8">
            <w:pPr>
              <w:spacing w:after="0" w:line="283" w:lineRule="auto"/>
              <w:jc w:val="center"/>
              <w:rPr>
                <w:rFonts w:eastAsia="Times New Roman"/>
                <w:lang w:eastAsia="ru-RU"/>
              </w:rPr>
            </w:pPr>
          </w:p>
        </w:tc>
      </w:tr>
      <w:tr w:rsidR="009A4C46" w:rsidRPr="009A4C46" w14:paraId="27BA4204" w14:textId="77777777" w:rsidTr="0063188C">
        <w:trPr>
          <w:trHeight w:val="300"/>
        </w:trPr>
        <w:tc>
          <w:tcPr>
            <w:tcW w:w="380" w:type="pct"/>
            <w:shd w:val="clear" w:color="auto" w:fill="auto"/>
            <w:noWrap/>
            <w:vAlign w:val="center"/>
            <w:hideMark/>
          </w:tcPr>
          <w:p w14:paraId="6E8045DE" w14:textId="77777777" w:rsidR="009A4C46" w:rsidRPr="009A4C46" w:rsidRDefault="009A4C46" w:rsidP="00CB5AA8">
            <w:pPr>
              <w:spacing w:after="0" w:line="283" w:lineRule="auto"/>
              <w:rPr>
                <w:rFonts w:eastAsia="Times New Roman"/>
                <w:lang w:eastAsia="ru-RU"/>
              </w:rPr>
            </w:pPr>
            <w:r w:rsidRPr="009A4C46">
              <w:rPr>
                <w:rFonts w:eastAsia="Times New Roman"/>
                <w:lang w:eastAsia="ru-RU"/>
              </w:rPr>
              <w:t> </w:t>
            </w:r>
          </w:p>
        </w:tc>
        <w:tc>
          <w:tcPr>
            <w:tcW w:w="2518" w:type="pct"/>
            <w:shd w:val="clear" w:color="auto" w:fill="auto"/>
            <w:vAlign w:val="center"/>
            <w:hideMark/>
          </w:tcPr>
          <w:p w14:paraId="4A055866" w14:textId="77777777" w:rsidR="009A4C46" w:rsidRPr="009A4C46" w:rsidRDefault="009A4C46" w:rsidP="00CB5AA8">
            <w:pPr>
              <w:spacing w:after="0" w:line="283" w:lineRule="auto"/>
              <w:rPr>
                <w:rFonts w:eastAsia="Times New Roman"/>
                <w:lang w:eastAsia="ru-RU"/>
              </w:rPr>
            </w:pPr>
            <w:r w:rsidRPr="009A4C46">
              <w:rPr>
                <w:rFonts w:eastAsia="Times New Roman"/>
                <w:lang w:eastAsia="ru-RU"/>
              </w:rPr>
              <w:t>Прочие потребители</w:t>
            </w:r>
          </w:p>
        </w:tc>
        <w:tc>
          <w:tcPr>
            <w:tcW w:w="527" w:type="pct"/>
            <w:shd w:val="clear" w:color="auto" w:fill="auto"/>
            <w:noWrap/>
            <w:vAlign w:val="center"/>
            <w:hideMark/>
          </w:tcPr>
          <w:p w14:paraId="4A1D198B" w14:textId="77777777" w:rsidR="009A4C46" w:rsidRPr="009A4C46" w:rsidRDefault="009A4C46" w:rsidP="00CB5AA8">
            <w:pPr>
              <w:spacing w:after="0" w:line="283" w:lineRule="auto"/>
              <w:jc w:val="center"/>
              <w:rPr>
                <w:rFonts w:eastAsia="Times New Roman"/>
                <w:lang w:eastAsia="ru-RU"/>
              </w:rPr>
            </w:pPr>
          </w:p>
        </w:tc>
        <w:tc>
          <w:tcPr>
            <w:tcW w:w="451" w:type="pct"/>
            <w:shd w:val="clear" w:color="auto" w:fill="auto"/>
            <w:noWrap/>
            <w:vAlign w:val="center"/>
            <w:hideMark/>
          </w:tcPr>
          <w:p w14:paraId="5969D731" w14:textId="77777777" w:rsidR="009A4C46" w:rsidRPr="009A4C46" w:rsidRDefault="009A4C46" w:rsidP="00CB5AA8">
            <w:pPr>
              <w:spacing w:after="0" w:line="283" w:lineRule="auto"/>
              <w:jc w:val="center"/>
              <w:rPr>
                <w:rFonts w:eastAsia="Times New Roman"/>
                <w:lang w:eastAsia="ru-RU"/>
              </w:rPr>
            </w:pPr>
          </w:p>
        </w:tc>
        <w:tc>
          <w:tcPr>
            <w:tcW w:w="562" w:type="pct"/>
            <w:shd w:val="clear" w:color="auto" w:fill="auto"/>
            <w:noWrap/>
            <w:vAlign w:val="center"/>
            <w:hideMark/>
          </w:tcPr>
          <w:p w14:paraId="4C7149A4" w14:textId="77777777" w:rsidR="009A4C46" w:rsidRPr="009A4C46" w:rsidRDefault="009A4C46" w:rsidP="00CB5AA8">
            <w:pPr>
              <w:spacing w:after="0" w:line="283" w:lineRule="auto"/>
              <w:jc w:val="center"/>
              <w:rPr>
                <w:rFonts w:eastAsia="Times New Roman"/>
                <w:lang w:eastAsia="ru-RU"/>
              </w:rPr>
            </w:pPr>
          </w:p>
        </w:tc>
        <w:tc>
          <w:tcPr>
            <w:tcW w:w="562" w:type="pct"/>
            <w:shd w:val="clear" w:color="auto" w:fill="auto"/>
            <w:noWrap/>
            <w:vAlign w:val="center"/>
            <w:hideMark/>
          </w:tcPr>
          <w:p w14:paraId="3123066D" w14:textId="77777777" w:rsidR="009A4C46" w:rsidRPr="009A4C46" w:rsidRDefault="009A4C46" w:rsidP="00CB5AA8">
            <w:pPr>
              <w:spacing w:after="0" w:line="283" w:lineRule="auto"/>
              <w:jc w:val="center"/>
              <w:rPr>
                <w:rFonts w:eastAsia="Times New Roman"/>
                <w:lang w:eastAsia="ru-RU"/>
              </w:rPr>
            </w:pPr>
          </w:p>
        </w:tc>
      </w:tr>
      <w:tr w:rsidR="009A4C46" w:rsidRPr="009A4C46" w14:paraId="76A62DCF" w14:textId="77777777" w:rsidTr="0063188C">
        <w:trPr>
          <w:trHeight w:val="300"/>
        </w:trPr>
        <w:tc>
          <w:tcPr>
            <w:tcW w:w="380" w:type="pct"/>
            <w:shd w:val="clear" w:color="auto" w:fill="auto"/>
            <w:noWrap/>
            <w:vAlign w:val="center"/>
            <w:hideMark/>
          </w:tcPr>
          <w:p w14:paraId="2F8352B2" w14:textId="77777777" w:rsidR="009A4C46" w:rsidRPr="009A4C46" w:rsidRDefault="009A4C46" w:rsidP="00CB5AA8">
            <w:pPr>
              <w:spacing w:after="0" w:line="283" w:lineRule="auto"/>
              <w:rPr>
                <w:rFonts w:eastAsia="Times New Roman"/>
                <w:lang w:eastAsia="ru-RU"/>
              </w:rPr>
            </w:pPr>
            <w:r w:rsidRPr="009A4C46">
              <w:rPr>
                <w:rFonts w:eastAsia="Times New Roman"/>
                <w:lang w:eastAsia="ru-RU"/>
              </w:rPr>
              <w:t> </w:t>
            </w:r>
          </w:p>
        </w:tc>
        <w:tc>
          <w:tcPr>
            <w:tcW w:w="2518" w:type="pct"/>
            <w:shd w:val="clear" w:color="auto" w:fill="auto"/>
            <w:vAlign w:val="center"/>
            <w:hideMark/>
          </w:tcPr>
          <w:p w14:paraId="5C0835D4" w14:textId="77777777" w:rsidR="009A4C46" w:rsidRPr="009A4C46" w:rsidRDefault="009A4C46" w:rsidP="00CB5AA8">
            <w:pPr>
              <w:spacing w:after="0" w:line="283" w:lineRule="auto"/>
              <w:rPr>
                <w:rFonts w:eastAsia="Times New Roman"/>
                <w:lang w:eastAsia="ru-RU"/>
              </w:rPr>
            </w:pPr>
            <w:r w:rsidRPr="009A4C46">
              <w:rPr>
                <w:rFonts w:eastAsia="Times New Roman"/>
                <w:lang w:eastAsia="ru-RU"/>
              </w:rPr>
              <w:t>ВН</w:t>
            </w:r>
          </w:p>
        </w:tc>
        <w:tc>
          <w:tcPr>
            <w:tcW w:w="527" w:type="pct"/>
            <w:shd w:val="clear" w:color="auto" w:fill="auto"/>
            <w:noWrap/>
            <w:vAlign w:val="center"/>
            <w:hideMark/>
          </w:tcPr>
          <w:p w14:paraId="4205E493" w14:textId="77777777" w:rsidR="009A4C46" w:rsidRPr="009A4C46" w:rsidRDefault="009A4C46" w:rsidP="00CB5AA8">
            <w:pPr>
              <w:spacing w:after="0" w:line="283" w:lineRule="auto"/>
              <w:jc w:val="center"/>
              <w:rPr>
                <w:rFonts w:eastAsia="Times New Roman"/>
                <w:lang w:eastAsia="ru-RU"/>
              </w:rPr>
            </w:pPr>
          </w:p>
        </w:tc>
        <w:tc>
          <w:tcPr>
            <w:tcW w:w="451" w:type="pct"/>
            <w:shd w:val="clear" w:color="auto" w:fill="auto"/>
            <w:noWrap/>
            <w:vAlign w:val="center"/>
            <w:hideMark/>
          </w:tcPr>
          <w:p w14:paraId="771EBE14" w14:textId="76789262" w:rsidR="009A4C46" w:rsidRPr="009A4C46" w:rsidRDefault="009A4C46" w:rsidP="00CB5AA8">
            <w:pPr>
              <w:spacing w:after="0" w:line="283" w:lineRule="auto"/>
              <w:jc w:val="center"/>
              <w:rPr>
                <w:rFonts w:eastAsia="Times New Roman"/>
                <w:lang w:eastAsia="ru-RU"/>
              </w:rPr>
            </w:pPr>
            <w:r w:rsidRPr="009A4C46">
              <w:rPr>
                <w:rFonts w:eastAsia="Times New Roman"/>
                <w:lang w:eastAsia="ru-RU"/>
              </w:rPr>
              <w:t>руб./МВт</w:t>
            </w:r>
            <w:r w:rsidR="00CC0E12">
              <w:rPr>
                <w:rFonts w:eastAsia="Times New Roman"/>
                <w:lang w:eastAsia="ru-RU"/>
              </w:rPr>
              <w:t>*</w:t>
            </w:r>
            <w:r w:rsidRPr="009A4C46">
              <w:rPr>
                <w:rFonts w:eastAsia="Times New Roman"/>
                <w:lang w:eastAsia="ru-RU"/>
              </w:rPr>
              <w:t>ч</w:t>
            </w:r>
          </w:p>
        </w:tc>
        <w:tc>
          <w:tcPr>
            <w:tcW w:w="562" w:type="pct"/>
            <w:shd w:val="clear" w:color="auto" w:fill="auto"/>
            <w:noWrap/>
            <w:vAlign w:val="center"/>
            <w:hideMark/>
          </w:tcPr>
          <w:p w14:paraId="716F0DEF" w14:textId="77777777" w:rsidR="009A4C46" w:rsidRPr="009A4C46" w:rsidRDefault="009A4C46" w:rsidP="00CB5AA8">
            <w:pPr>
              <w:spacing w:after="0" w:line="283" w:lineRule="auto"/>
              <w:jc w:val="center"/>
              <w:rPr>
                <w:rFonts w:eastAsia="Times New Roman"/>
                <w:lang w:eastAsia="ru-RU"/>
              </w:rPr>
            </w:pPr>
            <w:r w:rsidRPr="009A4C46">
              <w:rPr>
                <w:rFonts w:eastAsia="Times New Roman"/>
                <w:lang w:eastAsia="ru-RU"/>
              </w:rPr>
              <w:t>24,39</w:t>
            </w:r>
          </w:p>
        </w:tc>
        <w:tc>
          <w:tcPr>
            <w:tcW w:w="562" w:type="pct"/>
            <w:shd w:val="clear" w:color="auto" w:fill="auto"/>
            <w:noWrap/>
            <w:vAlign w:val="center"/>
            <w:hideMark/>
          </w:tcPr>
          <w:p w14:paraId="4C766FA7" w14:textId="77777777" w:rsidR="009A4C46" w:rsidRPr="009A4C46" w:rsidRDefault="009A4C46" w:rsidP="00CB5AA8">
            <w:pPr>
              <w:spacing w:after="0" w:line="283" w:lineRule="auto"/>
              <w:jc w:val="center"/>
              <w:rPr>
                <w:rFonts w:eastAsia="Times New Roman"/>
                <w:lang w:eastAsia="ru-RU"/>
              </w:rPr>
            </w:pPr>
            <w:r w:rsidRPr="009A4C46">
              <w:rPr>
                <w:rFonts w:eastAsia="Times New Roman"/>
                <w:lang w:eastAsia="ru-RU"/>
              </w:rPr>
              <w:t>24,63</w:t>
            </w:r>
          </w:p>
        </w:tc>
      </w:tr>
      <w:tr w:rsidR="009A4C46" w:rsidRPr="009A4C46" w14:paraId="41355522" w14:textId="77777777" w:rsidTr="0063188C">
        <w:trPr>
          <w:trHeight w:val="300"/>
        </w:trPr>
        <w:tc>
          <w:tcPr>
            <w:tcW w:w="380" w:type="pct"/>
            <w:shd w:val="clear" w:color="auto" w:fill="auto"/>
            <w:noWrap/>
            <w:vAlign w:val="center"/>
            <w:hideMark/>
          </w:tcPr>
          <w:p w14:paraId="60385DBA" w14:textId="77777777" w:rsidR="009A4C46" w:rsidRPr="009A4C46" w:rsidRDefault="009A4C46" w:rsidP="00CB5AA8">
            <w:pPr>
              <w:spacing w:after="0" w:line="283" w:lineRule="auto"/>
              <w:rPr>
                <w:rFonts w:eastAsia="Times New Roman"/>
                <w:lang w:eastAsia="ru-RU"/>
              </w:rPr>
            </w:pPr>
            <w:r w:rsidRPr="009A4C46">
              <w:rPr>
                <w:rFonts w:eastAsia="Times New Roman"/>
                <w:lang w:eastAsia="ru-RU"/>
              </w:rPr>
              <w:lastRenderedPageBreak/>
              <w:t> </w:t>
            </w:r>
          </w:p>
        </w:tc>
        <w:tc>
          <w:tcPr>
            <w:tcW w:w="2518" w:type="pct"/>
            <w:shd w:val="clear" w:color="auto" w:fill="auto"/>
            <w:vAlign w:val="center"/>
            <w:hideMark/>
          </w:tcPr>
          <w:p w14:paraId="6D708867" w14:textId="77777777" w:rsidR="009A4C46" w:rsidRPr="009A4C46" w:rsidRDefault="009A4C46" w:rsidP="00CB5AA8">
            <w:pPr>
              <w:spacing w:after="0" w:line="283" w:lineRule="auto"/>
              <w:rPr>
                <w:rFonts w:eastAsia="Times New Roman"/>
                <w:lang w:eastAsia="ru-RU"/>
              </w:rPr>
            </w:pPr>
            <w:r w:rsidRPr="009A4C46">
              <w:rPr>
                <w:rFonts w:eastAsia="Times New Roman"/>
                <w:lang w:eastAsia="ru-RU"/>
              </w:rPr>
              <w:t>СН1</w:t>
            </w:r>
          </w:p>
        </w:tc>
        <w:tc>
          <w:tcPr>
            <w:tcW w:w="527" w:type="pct"/>
            <w:shd w:val="clear" w:color="auto" w:fill="auto"/>
            <w:noWrap/>
            <w:vAlign w:val="center"/>
            <w:hideMark/>
          </w:tcPr>
          <w:p w14:paraId="112DBD79" w14:textId="77777777" w:rsidR="009A4C46" w:rsidRPr="009A4C46" w:rsidRDefault="009A4C46" w:rsidP="00CB5AA8">
            <w:pPr>
              <w:spacing w:after="0" w:line="283" w:lineRule="auto"/>
              <w:jc w:val="center"/>
              <w:rPr>
                <w:rFonts w:eastAsia="Times New Roman"/>
                <w:lang w:eastAsia="ru-RU"/>
              </w:rPr>
            </w:pPr>
          </w:p>
        </w:tc>
        <w:tc>
          <w:tcPr>
            <w:tcW w:w="451" w:type="pct"/>
            <w:shd w:val="clear" w:color="auto" w:fill="auto"/>
            <w:noWrap/>
            <w:vAlign w:val="center"/>
            <w:hideMark/>
          </w:tcPr>
          <w:p w14:paraId="22CA8DB8" w14:textId="0A94ADAB" w:rsidR="009A4C46" w:rsidRPr="009A4C46" w:rsidRDefault="009A4C46" w:rsidP="00CB5AA8">
            <w:pPr>
              <w:spacing w:after="0" w:line="283" w:lineRule="auto"/>
              <w:jc w:val="center"/>
              <w:rPr>
                <w:rFonts w:eastAsia="Times New Roman"/>
                <w:lang w:eastAsia="ru-RU"/>
              </w:rPr>
            </w:pPr>
            <w:r w:rsidRPr="009A4C46">
              <w:rPr>
                <w:rFonts w:eastAsia="Times New Roman"/>
                <w:lang w:eastAsia="ru-RU"/>
              </w:rPr>
              <w:t>руб./МВт</w:t>
            </w:r>
            <w:r w:rsidR="00CC0E12">
              <w:rPr>
                <w:rFonts w:eastAsia="Times New Roman"/>
                <w:lang w:eastAsia="ru-RU"/>
              </w:rPr>
              <w:t>*</w:t>
            </w:r>
            <w:r w:rsidRPr="009A4C46">
              <w:rPr>
                <w:rFonts w:eastAsia="Times New Roman"/>
                <w:lang w:eastAsia="ru-RU"/>
              </w:rPr>
              <w:t>ч</w:t>
            </w:r>
          </w:p>
        </w:tc>
        <w:tc>
          <w:tcPr>
            <w:tcW w:w="562" w:type="pct"/>
            <w:shd w:val="clear" w:color="auto" w:fill="auto"/>
            <w:noWrap/>
            <w:vAlign w:val="center"/>
            <w:hideMark/>
          </w:tcPr>
          <w:p w14:paraId="4FAB9F9D" w14:textId="77777777" w:rsidR="009A4C46" w:rsidRPr="009A4C46" w:rsidRDefault="009A4C46" w:rsidP="00CB5AA8">
            <w:pPr>
              <w:spacing w:after="0" w:line="283" w:lineRule="auto"/>
              <w:jc w:val="center"/>
              <w:rPr>
                <w:rFonts w:eastAsia="Times New Roman"/>
                <w:lang w:eastAsia="ru-RU"/>
              </w:rPr>
            </w:pPr>
            <w:r w:rsidRPr="009A4C46">
              <w:rPr>
                <w:rFonts w:eastAsia="Times New Roman"/>
                <w:lang w:eastAsia="ru-RU"/>
              </w:rPr>
              <w:t>78,78</w:t>
            </w:r>
          </w:p>
        </w:tc>
        <w:tc>
          <w:tcPr>
            <w:tcW w:w="562" w:type="pct"/>
            <w:shd w:val="clear" w:color="auto" w:fill="auto"/>
            <w:noWrap/>
            <w:vAlign w:val="center"/>
            <w:hideMark/>
          </w:tcPr>
          <w:p w14:paraId="061726BA" w14:textId="77777777" w:rsidR="009A4C46" w:rsidRPr="009A4C46" w:rsidRDefault="009A4C46" w:rsidP="00CB5AA8">
            <w:pPr>
              <w:spacing w:after="0" w:line="283" w:lineRule="auto"/>
              <w:jc w:val="center"/>
              <w:rPr>
                <w:rFonts w:eastAsia="Times New Roman"/>
                <w:lang w:eastAsia="ru-RU"/>
              </w:rPr>
            </w:pPr>
            <w:r w:rsidRPr="009A4C46">
              <w:rPr>
                <w:rFonts w:eastAsia="Times New Roman"/>
                <w:lang w:eastAsia="ru-RU"/>
              </w:rPr>
              <w:t>79,57</w:t>
            </w:r>
          </w:p>
        </w:tc>
      </w:tr>
      <w:tr w:rsidR="009A4C46" w:rsidRPr="009A4C46" w14:paraId="7F877C27" w14:textId="77777777" w:rsidTr="0063188C">
        <w:trPr>
          <w:trHeight w:val="300"/>
        </w:trPr>
        <w:tc>
          <w:tcPr>
            <w:tcW w:w="380" w:type="pct"/>
            <w:shd w:val="clear" w:color="auto" w:fill="auto"/>
            <w:noWrap/>
            <w:vAlign w:val="center"/>
            <w:hideMark/>
          </w:tcPr>
          <w:p w14:paraId="360FCF98" w14:textId="77777777" w:rsidR="009A4C46" w:rsidRPr="009A4C46" w:rsidRDefault="009A4C46" w:rsidP="00CB5AA8">
            <w:pPr>
              <w:spacing w:after="0" w:line="283" w:lineRule="auto"/>
              <w:rPr>
                <w:rFonts w:eastAsia="Times New Roman"/>
                <w:lang w:eastAsia="ru-RU"/>
              </w:rPr>
            </w:pPr>
            <w:r w:rsidRPr="009A4C46">
              <w:rPr>
                <w:rFonts w:eastAsia="Times New Roman"/>
                <w:lang w:eastAsia="ru-RU"/>
              </w:rPr>
              <w:t> </w:t>
            </w:r>
          </w:p>
        </w:tc>
        <w:tc>
          <w:tcPr>
            <w:tcW w:w="2518" w:type="pct"/>
            <w:shd w:val="clear" w:color="auto" w:fill="auto"/>
            <w:vAlign w:val="center"/>
            <w:hideMark/>
          </w:tcPr>
          <w:p w14:paraId="179BD6AF" w14:textId="77777777" w:rsidR="009A4C46" w:rsidRPr="009A4C46" w:rsidRDefault="009A4C46" w:rsidP="00CB5AA8">
            <w:pPr>
              <w:spacing w:after="0" w:line="283" w:lineRule="auto"/>
              <w:rPr>
                <w:rFonts w:eastAsia="Times New Roman"/>
                <w:lang w:eastAsia="ru-RU"/>
              </w:rPr>
            </w:pPr>
            <w:r w:rsidRPr="009A4C46">
              <w:rPr>
                <w:rFonts w:eastAsia="Times New Roman"/>
                <w:lang w:eastAsia="ru-RU"/>
              </w:rPr>
              <w:t>СН2</w:t>
            </w:r>
          </w:p>
        </w:tc>
        <w:tc>
          <w:tcPr>
            <w:tcW w:w="527" w:type="pct"/>
            <w:shd w:val="clear" w:color="auto" w:fill="auto"/>
            <w:noWrap/>
            <w:vAlign w:val="center"/>
            <w:hideMark/>
          </w:tcPr>
          <w:p w14:paraId="5087B098" w14:textId="77777777" w:rsidR="009A4C46" w:rsidRPr="009A4C46" w:rsidRDefault="009A4C46" w:rsidP="00CB5AA8">
            <w:pPr>
              <w:spacing w:after="0" w:line="283" w:lineRule="auto"/>
              <w:jc w:val="center"/>
              <w:rPr>
                <w:rFonts w:eastAsia="Times New Roman"/>
                <w:lang w:eastAsia="ru-RU"/>
              </w:rPr>
            </w:pPr>
          </w:p>
        </w:tc>
        <w:tc>
          <w:tcPr>
            <w:tcW w:w="451" w:type="pct"/>
            <w:shd w:val="clear" w:color="auto" w:fill="auto"/>
            <w:noWrap/>
            <w:vAlign w:val="center"/>
            <w:hideMark/>
          </w:tcPr>
          <w:p w14:paraId="008E99D4" w14:textId="04D73A8A" w:rsidR="009A4C46" w:rsidRPr="009A4C46" w:rsidRDefault="009A4C46" w:rsidP="00CB5AA8">
            <w:pPr>
              <w:spacing w:after="0" w:line="283" w:lineRule="auto"/>
              <w:jc w:val="center"/>
              <w:rPr>
                <w:rFonts w:eastAsia="Times New Roman"/>
                <w:lang w:eastAsia="ru-RU"/>
              </w:rPr>
            </w:pPr>
            <w:r w:rsidRPr="009A4C46">
              <w:rPr>
                <w:rFonts w:eastAsia="Times New Roman"/>
                <w:lang w:eastAsia="ru-RU"/>
              </w:rPr>
              <w:t>руб./МВт</w:t>
            </w:r>
            <w:r w:rsidR="00CC0E12">
              <w:rPr>
                <w:rFonts w:eastAsia="Times New Roman"/>
                <w:lang w:eastAsia="ru-RU"/>
              </w:rPr>
              <w:t>*</w:t>
            </w:r>
            <w:r w:rsidRPr="009A4C46">
              <w:rPr>
                <w:rFonts w:eastAsia="Times New Roman"/>
                <w:lang w:eastAsia="ru-RU"/>
              </w:rPr>
              <w:t>ч</w:t>
            </w:r>
          </w:p>
        </w:tc>
        <w:tc>
          <w:tcPr>
            <w:tcW w:w="562" w:type="pct"/>
            <w:shd w:val="clear" w:color="auto" w:fill="auto"/>
            <w:noWrap/>
            <w:vAlign w:val="center"/>
            <w:hideMark/>
          </w:tcPr>
          <w:p w14:paraId="79B00EFD" w14:textId="77777777" w:rsidR="009A4C46" w:rsidRPr="009A4C46" w:rsidRDefault="009A4C46" w:rsidP="00CB5AA8">
            <w:pPr>
              <w:spacing w:after="0" w:line="283" w:lineRule="auto"/>
              <w:jc w:val="center"/>
              <w:rPr>
                <w:rFonts w:eastAsia="Times New Roman"/>
                <w:lang w:eastAsia="ru-RU"/>
              </w:rPr>
            </w:pPr>
            <w:r w:rsidRPr="009A4C46">
              <w:rPr>
                <w:rFonts w:eastAsia="Times New Roman"/>
                <w:lang w:eastAsia="ru-RU"/>
              </w:rPr>
              <w:t>93,60</w:t>
            </w:r>
          </w:p>
        </w:tc>
        <w:tc>
          <w:tcPr>
            <w:tcW w:w="562" w:type="pct"/>
            <w:shd w:val="clear" w:color="auto" w:fill="auto"/>
            <w:noWrap/>
            <w:vAlign w:val="center"/>
            <w:hideMark/>
          </w:tcPr>
          <w:p w14:paraId="723BE9DB" w14:textId="77777777" w:rsidR="009A4C46" w:rsidRPr="009A4C46" w:rsidRDefault="009A4C46" w:rsidP="00CB5AA8">
            <w:pPr>
              <w:spacing w:after="0" w:line="283" w:lineRule="auto"/>
              <w:jc w:val="center"/>
              <w:rPr>
                <w:rFonts w:eastAsia="Times New Roman"/>
                <w:lang w:eastAsia="ru-RU"/>
              </w:rPr>
            </w:pPr>
            <w:r w:rsidRPr="009A4C46">
              <w:rPr>
                <w:rFonts w:eastAsia="Times New Roman"/>
                <w:lang w:eastAsia="ru-RU"/>
              </w:rPr>
              <w:t>94,54</w:t>
            </w:r>
          </w:p>
        </w:tc>
      </w:tr>
      <w:tr w:rsidR="009A4C46" w:rsidRPr="009A4C46" w14:paraId="1A16BDEE" w14:textId="77777777" w:rsidTr="0063188C">
        <w:trPr>
          <w:trHeight w:val="300"/>
        </w:trPr>
        <w:tc>
          <w:tcPr>
            <w:tcW w:w="380" w:type="pct"/>
            <w:shd w:val="clear" w:color="auto" w:fill="auto"/>
            <w:noWrap/>
            <w:vAlign w:val="center"/>
            <w:hideMark/>
          </w:tcPr>
          <w:p w14:paraId="0BB2DF47" w14:textId="77777777" w:rsidR="009A4C46" w:rsidRPr="009A4C46" w:rsidRDefault="009A4C46" w:rsidP="00CB5AA8">
            <w:pPr>
              <w:spacing w:after="0" w:line="283" w:lineRule="auto"/>
              <w:rPr>
                <w:rFonts w:eastAsia="Times New Roman"/>
                <w:lang w:eastAsia="ru-RU"/>
              </w:rPr>
            </w:pPr>
            <w:r w:rsidRPr="009A4C46">
              <w:rPr>
                <w:rFonts w:eastAsia="Times New Roman"/>
                <w:lang w:eastAsia="ru-RU"/>
              </w:rPr>
              <w:t> </w:t>
            </w:r>
          </w:p>
        </w:tc>
        <w:tc>
          <w:tcPr>
            <w:tcW w:w="2518" w:type="pct"/>
            <w:shd w:val="clear" w:color="auto" w:fill="auto"/>
            <w:vAlign w:val="center"/>
            <w:hideMark/>
          </w:tcPr>
          <w:p w14:paraId="682C6B0D" w14:textId="77777777" w:rsidR="009A4C46" w:rsidRPr="009A4C46" w:rsidRDefault="009A4C46" w:rsidP="00CB5AA8">
            <w:pPr>
              <w:spacing w:after="0" w:line="283" w:lineRule="auto"/>
              <w:rPr>
                <w:rFonts w:eastAsia="Times New Roman"/>
                <w:lang w:eastAsia="ru-RU"/>
              </w:rPr>
            </w:pPr>
            <w:r w:rsidRPr="009A4C46">
              <w:rPr>
                <w:rFonts w:eastAsia="Times New Roman"/>
                <w:lang w:eastAsia="ru-RU"/>
              </w:rPr>
              <w:t>НН</w:t>
            </w:r>
          </w:p>
        </w:tc>
        <w:tc>
          <w:tcPr>
            <w:tcW w:w="527" w:type="pct"/>
            <w:shd w:val="clear" w:color="auto" w:fill="auto"/>
            <w:noWrap/>
            <w:vAlign w:val="center"/>
            <w:hideMark/>
          </w:tcPr>
          <w:p w14:paraId="0B13BDC6" w14:textId="77777777" w:rsidR="009A4C46" w:rsidRPr="009A4C46" w:rsidRDefault="009A4C46" w:rsidP="00CB5AA8">
            <w:pPr>
              <w:spacing w:after="0" w:line="283" w:lineRule="auto"/>
              <w:jc w:val="center"/>
              <w:rPr>
                <w:rFonts w:eastAsia="Times New Roman"/>
                <w:lang w:eastAsia="ru-RU"/>
              </w:rPr>
            </w:pPr>
          </w:p>
        </w:tc>
        <w:tc>
          <w:tcPr>
            <w:tcW w:w="451" w:type="pct"/>
            <w:shd w:val="clear" w:color="auto" w:fill="auto"/>
            <w:noWrap/>
            <w:vAlign w:val="center"/>
            <w:hideMark/>
          </w:tcPr>
          <w:p w14:paraId="0F640590" w14:textId="4FED6333" w:rsidR="009A4C46" w:rsidRPr="009A4C46" w:rsidRDefault="009A4C46" w:rsidP="00CB5AA8">
            <w:pPr>
              <w:spacing w:after="0" w:line="283" w:lineRule="auto"/>
              <w:jc w:val="center"/>
              <w:rPr>
                <w:rFonts w:eastAsia="Times New Roman"/>
                <w:lang w:eastAsia="ru-RU"/>
              </w:rPr>
            </w:pPr>
            <w:r w:rsidRPr="009A4C46">
              <w:rPr>
                <w:rFonts w:eastAsia="Times New Roman"/>
                <w:lang w:eastAsia="ru-RU"/>
              </w:rPr>
              <w:t>руб./МВт</w:t>
            </w:r>
            <w:r w:rsidR="00CC0E12">
              <w:rPr>
                <w:rFonts w:eastAsia="Times New Roman"/>
                <w:lang w:eastAsia="ru-RU"/>
              </w:rPr>
              <w:t>*</w:t>
            </w:r>
            <w:r w:rsidRPr="009A4C46">
              <w:rPr>
                <w:rFonts w:eastAsia="Times New Roman"/>
                <w:lang w:eastAsia="ru-RU"/>
              </w:rPr>
              <w:t>ч</w:t>
            </w:r>
          </w:p>
        </w:tc>
        <w:tc>
          <w:tcPr>
            <w:tcW w:w="562" w:type="pct"/>
            <w:shd w:val="clear" w:color="auto" w:fill="auto"/>
            <w:noWrap/>
            <w:vAlign w:val="center"/>
            <w:hideMark/>
          </w:tcPr>
          <w:p w14:paraId="0B36145F" w14:textId="77777777" w:rsidR="009A4C46" w:rsidRPr="009A4C46" w:rsidRDefault="009A4C46" w:rsidP="00CB5AA8">
            <w:pPr>
              <w:spacing w:after="0" w:line="283" w:lineRule="auto"/>
              <w:jc w:val="center"/>
              <w:rPr>
                <w:rFonts w:eastAsia="Times New Roman"/>
                <w:lang w:eastAsia="ru-RU"/>
              </w:rPr>
            </w:pPr>
            <w:r w:rsidRPr="009A4C46">
              <w:rPr>
                <w:rFonts w:eastAsia="Times New Roman"/>
                <w:lang w:eastAsia="ru-RU"/>
              </w:rPr>
              <w:t>292,90</w:t>
            </w:r>
          </w:p>
        </w:tc>
        <w:tc>
          <w:tcPr>
            <w:tcW w:w="562" w:type="pct"/>
            <w:shd w:val="clear" w:color="auto" w:fill="auto"/>
            <w:noWrap/>
            <w:vAlign w:val="center"/>
            <w:hideMark/>
          </w:tcPr>
          <w:p w14:paraId="34B836B0" w14:textId="77777777" w:rsidR="009A4C46" w:rsidRPr="009A4C46" w:rsidRDefault="009A4C46" w:rsidP="00CB5AA8">
            <w:pPr>
              <w:spacing w:after="0" w:line="283" w:lineRule="auto"/>
              <w:jc w:val="center"/>
              <w:rPr>
                <w:rFonts w:eastAsia="Times New Roman"/>
                <w:lang w:eastAsia="ru-RU"/>
              </w:rPr>
            </w:pPr>
            <w:r w:rsidRPr="009A4C46">
              <w:rPr>
                <w:rFonts w:eastAsia="Times New Roman"/>
                <w:lang w:eastAsia="ru-RU"/>
              </w:rPr>
              <w:t>295,83</w:t>
            </w:r>
          </w:p>
        </w:tc>
      </w:tr>
      <w:tr w:rsidR="009A4C46" w:rsidRPr="009A4C46" w14:paraId="1658F95B" w14:textId="77777777" w:rsidTr="0063188C">
        <w:trPr>
          <w:trHeight w:val="300"/>
        </w:trPr>
        <w:tc>
          <w:tcPr>
            <w:tcW w:w="380" w:type="pct"/>
            <w:shd w:val="clear" w:color="auto" w:fill="auto"/>
            <w:noWrap/>
            <w:vAlign w:val="center"/>
            <w:hideMark/>
          </w:tcPr>
          <w:p w14:paraId="75810B94" w14:textId="77777777" w:rsidR="009A4C46" w:rsidRPr="009A4C46" w:rsidRDefault="009A4C46" w:rsidP="00CB5AA8">
            <w:pPr>
              <w:spacing w:after="0" w:line="283" w:lineRule="auto"/>
              <w:rPr>
                <w:rFonts w:eastAsia="Times New Roman"/>
                <w:lang w:eastAsia="ru-RU"/>
              </w:rPr>
            </w:pPr>
            <w:r w:rsidRPr="009A4C46">
              <w:rPr>
                <w:rFonts w:eastAsia="Times New Roman"/>
                <w:lang w:eastAsia="ru-RU"/>
              </w:rPr>
              <w:t> </w:t>
            </w:r>
          </w:p>
        </w:tc>
        <w:tc>
          <w:tcPr>
            <w:tcW w:w="2518" w:type="pct"/>
            <w:shd w:val="clear" w:color="auto" w:fill="auto"/>
            <w:vAlign w:val="center"/>
            <w:hideMark/>
          </w:tcPr>
          <w:p w14:paraId="72A62ED7" w14:textId="77777777" w:rsidR="009A4C46" w:rsidRPr="009A4C46" w:rsidRDefault="009A4C46" w:rsidP="00CB5AA8">
            <w:pPr>
              <w:spacing w:after="0" w:line="283" w:lineRule="auto"/>
              <w:rPr>
                <w:rFonts w:eastAsia="Times New Roman"/>
                <w:lang w:eastAsia="ru-RU"/>
              </w:rPr>
            </w:pPr>
            <w:r w:rsidRPr="009A4C46">
              <w:rPr>
                <w:rFonts w:eastAsia="Times New Roman"/>
                <w:lang w:eastAsia="ru-RU"/>
              </w:rPr>
              <w:t>Население</w:t>
            </w:r>
          </w:p>
        </w:tc>
        <w:tc>
          <w:tcPr>
            <w:tcW w:w="527" w:type="pct"/>
            <w:shd w:val="clear" w:color="auto" w:fill="auto"/>
            <w:noWrap/>
            <w:vAlign w:val="center"/>
            <w:hideMark/>
          </w:tcPr>
          <w:p w14:paraId="6C5FD488" w14:textId="77777777" w:rsidR="009A4C46" w:rsidRPr="009A4C46" w:rsidRDefault="009A4C46" w:rsidP="00CB5AA8">
            <w:pPr>
              <w:spacing w:after="0" w:line="283" w:lineRule="auto"/>
              <w:jc w:val="center"/>
              <w:rPr>
                <w:rFonts w:eastAsia="Times New Roman"/>
                <w:lang w:eastAsia="ru-RU"/>
              </w:rPr>
            </w:pPr>
          </w:p>
        </w:tc>
        <w:tc>
          <w:tcPr>
            <w:tcW w:w="451" w:type="pct"/>
            <w:shd w:val="clear" w:color="auto" w:fill="auto"/>
            <w:noWrap/>
            <w:vAlign w:val="center"/>
            <w:hideMark/>
          </w:tcPr>
          <w:p w14:paraId="33694AEF" w14:textId="77777777" w:rsidR="009A4C46" w:rsidRPr="009A4C46" w:rsidRDefault="009A4C46" w:rsidP="00CB5AA8">
            <w:pPr>
              <w:spacing w:after="0" w:line="283" w:lineRule="auto"/>
              <w:jc w:val="center"/>
              <w:rPr>
                <w:rFonts w:eastAsia="Times New Roman"/>
                <w:lang w:eastAsia="ru-RU"/>
              </w:rPr>
            </w:pPr>
          </w:p>
        </w:tc>
        <w:tc>
          <w:tcPr>
            <w:tcW w:w="562" w:type="pct"/>
            <w:shd w:val="clear" w:color="auto" w:fill="auto"/>
            <w:noWrap/>
            <w:vAlign w:val="center"/>
            <w:hideMark/>
          </w:tcPr>
          <w:p w14:paraId="696C9175" w14:textId="77777777" w:rsidR="009A4C46" w:rsidRPr="009A4C46" w:rsidRDefault="009A4C46" w:rsidP="00CB5AA8">
            <w:pPr>
              <w:spacing w:after="0" w:line="283" w:lineRule="auto"/>
              <w:jc w:val="center"/>
              <w:rPr>
                <w:rFonts w:eastAsia="Times New Roman"/>
                <w:lang w:eastAsia="ru-RU"/>
              </w:rPr>
            </w:pPr>
          </w:p>
        </w:tc>
        <w:tc>
          <w:tcPr>
            <w:tcW w:w="562" w:type="pct"/>
            <w:shd w:val="clear" w:color="auto" w:fill="auto"/>
            <w:noWrap/>
            <w:vAlign w:val="center"/>
            <w:hideMark/>
          </w:tcPr>
          <w:p w14:paraId="05151F28" w14:textId="77777777" w:rsidR="009A4C46" w:rsidRPr="009A4C46" w:rsidRDefault="009A4C46" w:rsidP="00CB5AA8">
            <w:pPr>
              <w:spacing w:after="0" w:line="283" w:lineRule="auto"/>
              <w:jc w:val="center"/>
              <w:rPr>
                <w:rFonts w:eastAsia="Times New Roman"/>
                <w:lang w:eastAsia="ru-RU"/>
              </w:rPr>
            </w:pPr>
          </w:p>
        </w:tc>
      </w:tr>
      <w:tr w:rsidR="009A4C46" w:rsidRPr="009A4C46" w14:paraId="7E08C959" w14:textId="77777777" w:rsidTr="0063188C">
        <w:trPr>
          <w:trHeight w:val="300"/>
        </w:trPr>
        <w:tc>
          <w:tcPr>
            <w:tcW w:w="380" w:type="pct"/>
            <w:shd w:val="clear" w:color="auto" w:fill="auto"/>
            <w:noWrap/>
            <w:vAlign w:val="center"/>
            <w:hideMark/>
          </w:tcPr>
          <w:p w14:paraId="6E62D7E5" w14:textId="77777777" w:rsidR="009A4C46" w:rsidRPr="009A4C46" w:rsidRDefault="009A4C46" w:rsidP="00CB5AA8">
            <w:pPr>
              <w:spacing w:after="0" w:line="283" w:lineRule="auto"/>
              <w:rPr>
                <w:rFonts w:eastAsia="Times New Roman"/>
                <w:lang w:eastAsia="ru-RU"/>
              </w:rPr>
            </w:pPr>
            <w:r w:rsidRPr="009A4C46">
              <w:rPr>
                <w:rFonts w:eastAsia="Times New Roman"/>
                <w:lang w:eastAsia="ru-RU"/>
              </w:rPr>
              <w:t> </w:t>
            </w:r>
          </w:p>
        </w:tc>
        <w:tc>
          <w:tcPr>
            <w:tcW w:w="2518" w:type="pct"/>
            <w:shd w:val="clear" w:color="auto" w:fill="auto"/>
            <w:vAlign w:val="center"/>
            <w:hideMark/>
          </w:tcPr>
          <w:p w14:paraId="6101631A" w14:textId="77777777" w:rsidR="009A4C46" w:rsidRPr="009A4C46" w:rsidRDefault="009A4C46" w:rsidP="00CB5AA8">
            <w:pPr>
              <w:spacing w:after="0" w:line="283" w:lineRule="auto"/>
              <w:rPr>
                <w:rFonts w:eastAsia="Times New Roman"/>
                <w:lang w:eastAsia="ru-RU"/>
              </w:rPr>
            </w:pPr>
            <w:r w:rsidRPr="009A4C46">
              <w:rPr>
                <w:rFonts w:eastAsia="Times New Roman"/>
                <w:lang w:eastAsia="ru-RU"/>
              </w:rPr>
              <w:t>городское</w:t>
            </w:r>
          </w:p>
        </w:tc>
        <w:tc>
          <w:tcPr>
            <w:tcW w:w="527" w:type="pct"/>
            <w:shd w:val="clear" w:color="auto" w:fill="auto"/>
            <w:noWrap/>
            <w:vAlign w:val="center"/>
            <w:hideMark/>
          </w:tcPr>
          <w:p w14:paraId="0D43C07A" w14:textId="77777777" w:rsidR="009A4C46" w:rsidRPr="009A4C46" w:rsidRDefault="009A4C46" w:rsidP="00CB5AA8">
            <w:pPr>
              <w:spacing w:after="0" w:line="283" w:lineRule="auto"/>
              <w:jc w:val="center"/>
              <w:rPr>
                <w:rFonts w:eastAsia="Times New Roman"/>
                <w:lang w:eastAsia="ru-RU"/>
              </w:rPr>
            </w:pPr>
          </w:p>
        </w:tc>
        <w:tc>
          <w:tcPr>
            <w:tcW w:w="451" w:type="pct"/>
            <w:shd w:val="clear" w:color="auto" w:fill="auto"/>
            <w:noWrap/>
            <w:vAlign w:val="center"/>
            <w:hideMark/>
          </w:tcPr>
          <w:p w14:paraId="7B3BCE9A" w14:textId="610375AA" w:rsidR="009A4C46" w:rsidRPr="009A4C46" w:rsidRDefault="009A4C46" w:rsidP="00CB5AA8">
            <w:pPr>
              <w:spacing w:after="0" w:line="283" w:lineRule="auto"/>
              <w:jc w:val="center"/>
              <w:rPr>
                <w:rFonts w:eastAsia="Times New Roman"/>
                <w:lang w:eastAsia="ru-RU"/>
              </w:rPr>
            </w:pPr>
            <w:r w:rsidRPr="009A4C46">
              <w:rPr>
                <w:rFonts w:eastAsia="Times New Roman"/>
                <w:lang w:eastAsia="ru-RU"/>
              </w:rPr>
              <w:t>руб./МВт</w:t>
            </w:r>
            <w:r w:rsidR="00CC0E12">
              <w:rPr>
                <w:rFonts w:eastAsia="Times New Roman"/>
                <w:lang w:eastAsia="ru-RU"/>
              </w:rPr>
              <w:t>*</w:t>
            </w:r>
            <w:r w:rsidRPr="009A4C46">
              <w:rPr>
                <w:rFonts w:eastAsia="Times New Roman"/>
                <w:lang w:eastAsia="ru-RU"/>
              </w:rPr>
              <w:t>ч</w:t>
            </w:r>
          </w:p>
        </w:tc>
        <w:tc>
          <w:tcPr>
            <w:tcW w:w="562" w:type="pct"/>
            <w:shd w:val="clear" w:color="auto" w:fill="auto"/>
            <w:noWrap/>
            <w:vAlign w:val="center"/>
            <w:hideMark/>
          </w:tcPr>
          <w:p w14:paraId="4071D252" w14:textId="77777777" w:rsidR="009A4C46" w:rsidRPr="009A4C46" w:rsidRDefault="009A4C46" w:rsidP="00CB5AA8">
            <w:pPr>
              <w:spacing w:after="0" w:line="283" w:lineRule="auto"/>
              <w:jc w:val="center"/>
              <w:rPr>
                <w:rFonts w:eastAsia="Times New Roman"/>
                <w:lang w:eastAsia="ru-RU"/>
              </w:rPr>
            </w:pPr>
            <w:r w:rsidRPr="009A4C46">
              <w:rPr>
                <w:rFonts w:eastAsia="Times New Roman"/>
                <w:lang w:eastAsia="ru-RU"/>
              </w:rPr>
              <w:t>292,90</w:t>
            </w:r>
          </w:p>
        </w:tc>
        <w:tc>
          <w:tcPr>
            <w:tcW w:w="562" w:type="pct"/>
            <w:shd w:val="clear" w:color="auto" w:fill="auto"/>
            <w:noWrap/>
            <w:vAlign w:val="center"/>
            <w:hideMark/>
          </w:tcPr>
          <w:p w14:paraId="699E6EAD" w14:textId="77777777" w:rsidR="009A4C46" w:rsidRPr="009A4C46" w:rsidRDefault="009A4C46" w:rsidP="00CB5AA8">
            <w:pPr>
              <w:spacing w:after="0" w:line="283" w:lineRule="auto"/>
              <w:jc w:val="center"/>
              <w:rPr>
                <w:rFonts w:eastAsia="Times New Roman"/>
                <w:lang w:eastAsia="ru-RU"/>
              </w:rPr>
            </w:pPr>
            <w:r w:rsidRPr="009A4C46">
              <w:rPr>
                <w:rFonts w:eastAsia="Times New Roman"/>
                <w:lang w:eastAsia="ru-RU"/>
              </w:rPr>
              <w:t>295,83</w:t>
            </w:r>
          </w:p>
        </w:tc>
      </w:tr>
      <w:tr w:rsidR="009A4C46" w:rsidRPr="009A4C46" w14:paraId="40A162C1" w14:textId="77777777" w:rsidTr="0063188C">
        <w:trPr>
          <w:trHeight w:val="300"/>
        </w:trPr>
        <w:tc>
          <w:tcPr>
            <w:tcW w:w="380" w:type="pct"/>
            <w:shd w:val="clear" w:color="auto" w:fill="auto"/>
            <w:noWrap/>
            <w:vAlign w:val="center"/>
            <w:hideMark/>
          </w:tcPr>
          <w:p w14:paraId="322147C1" w14:textId="77777777" w:rsidR="009A4C46" w:rsidRPr="009A4C46" w:rsidRDefault="009A4C46" w:rsidP="00CB5AA8">
            <w:pPr>
              <w:spacing w:after="0" w:line="283" w:lineRule="auto"/>
              <w:rPr>
                <w:rFonts w:eastAsia="Times New Roman"/>
                <w:lang w:eastAsia="ru-RU"/>
              </w:rPr>
            </w:pPr>
            <w:r w:rsidRPr="009A4C46">
              <w:rPr>
                <w:rFonts w:eastAsia="Times New Roman"/>
                <w:lang w:eastAsia="ru-RU"/>
              </w:rPr>
              <w:t> </w:t>
            </w:r>
          </w:p>
        </w:tc>
        <w:tc>
          <w:tcPr>
            <w:tcW w:w="2518" w:type="pct"/>
            <w:shd w:val="clear" w:color="auto" w:fill="auto"/>
            <w:vAlign w:val="center"/>
            <w:hideMark/>
          </w:tcPr>
          <w:p w14:paraId="41CA8AA9" w14:textId="77777777" w:rsidR="009A4C46" w:rsidRPr="009A4C46" w:rsidRDefault="009A4C46" w:rsidP="00CB5AA8">
            <w:pPr>
              <w:spacing w:after="0" w:line="283" w:lineRule="auto"/>
              <w:jc w:val="right"/>
              <w:rPr>
                <w:rFonts w:eastAsia="Times New Roman"/>
                <w:lang w:eastAsia="ru-RU"/>
              </w:rPr>
            </w:pPr>
            <w:r w:rsidRPr="009A4C46">
              <w:rPr>
                <w:rFonts w:eastAsia="Times New Roman"/>
                <w:lang w:eastAsia="ru-RU"/>
              </w:rPr>
              <w:t>сельское</w:t>
            </w:r>
          </w:p>
        </w:tc>
        <w:tc>
          <w:tcPr>
            <w:tcW w:w="527" w:type="pct"/>
            <w:shd w:val="clear" w:color="auto" w:fill="auto"/>
            <w:noWrap/>
            <w:vAlign w:val="center"/>
            <w:hideMark/>
          </w:tcPr>
          <w:p w14:paraId="12363D2E" w14:textId="77777777" w:rsidR="009A4C46" w:rsidRPr="009A4C46" w:rsidRDefault="009A4C46" w:rsidP="00CB5AA8">
            <w:pPr>
              <w:spacing w:after="0" w:line="283" w:lineRule="auto"/>
              <w:jc w:val="center"/>
              <w:rPr>
                <w:rFonts w:eastAsia="Times New Roman"/>
                <w:lang w:eastAsia="ru-RU"/>
              </w:rPr>
            </w:pPr>
          </w:p>
        </w:tc>
        <w:tc>
          <w:tcPr>
            <w:tcW w:w="451" w:type="pct"/>
            <w:shd w:val="clear" w:color="auto" w:fill="auto"/>
            <w:noWrap/>
            <w:vAlign w:val="center"/>
            <w:hideMark/>
          </w:tcPr>
          <w:p w14:paraId="45D5C1A3" w14:textId="5CC5E84D" w:rsidR="009A4C46" w:rsidRPr="009A4C46" w:rsidRDefault="009A4C46" w:rsidP="00CB5AA8">
            <w:pPr>
              <w:spacing w:after="0" w:line="283" w:lineRule="auto"/>
              <w:jc w:val="center"/>
              <w:rPr>
                <w:rFonts w:eastAsia="Times New Roman"/>
                <w:lang w:eastAsia="ru-RU"/>
              </w:rPr>
            </w:pPr>
            <w:r w:rsidRPr="009A4C46">
              <w:rPr>
                <w:rFonts w:eastAsia="Times New Roman"/>
                <w:lang w:eastAsia="ru-RU"/>
              </w:rPr>
              <w:t>руб./МВт</w:t>
            </w:r>
            <w:r w:rsidR="00CC0E12">
              <w:rPr>
                <w:rFonts w:eastAsia="Times New Roman"/>
                <w:lang w:eastAsia="ru-RU"/>
              </w:rPr>
              <w:t>*</w:t>
            </w:r>
            <w:r w:rsidRPr="009A4C46">
              <w:rPr>
                <w:rFonts w:eastAsia="Times New Roman"/>
                <w:lang w:eastAsia="ru-RU"/>
              </w:rPr>
              <w:t>ч</w:t>
            </w:r>
          </w:p>
        </w:tc>
        <w:tc>
          <w:tcPr>
            <w:tcW w:w="562" w:type="pct"/>
            <w:shd w:val="clear" w:color="auto" w:fill="auto"/>
            <w:noWrap/>
            <w:vAlign w:val="center"/>
            <w:hideMark/>
          </w:tcPr>
          <w:p w14:paraId="34725F56" w14:textId="77777777" w:rsidR="009A4C46" w:rsidRPr="009A4C46" w:rsidRDefault="009A4C46" w:rsidP="00CB5AA8">
            <w:pPr>
              <w:spacing w:after="0" w:line="283" w:lineRule="auto"/>
              <w:jc w:val="center"/>
              <w:rPr>
                <w:rFonts w:eastAsia="Times New Roman"/>
                <w:lang w:eastAsia="ru-RU"/>
              </w:rPr>
            </w:pPr>
            <w:r w:rsidRPr="009A4C46">
              <w:rPr>
                <w:rFonts w:eastAsia="Times New Roman"/>
                <w:lang w:eastAsia="ru-RU"/>
              </w:rPr>
              <w:t>292,90</w:t>
            </w:r>
          </w:p>
        </w:tc>
        <w:tc>
          <w:tcPr>
            <w:tcW w:w="562" w:type="pct"/>
            <w:shd w:val="clear" w:color="auto" w:fill="auto"/>
            <w:noWrap/>
            <w:vAlign w:val="center"/>
            <w:hideMark/>
          </w:tcPr>
          <w:p w14:paraId="22C026E8" w14:textId="77777777" w:rsidR="009A4C46" w:rsidRPr="009A4C46" w:rsidRDefault="009A4C46" w:rsidP="00CB5AA8">
            <w:pPr>
              <w:spacing w:after="0" w:line="283" w:lineRule="auto"/>
              <w:jc w:val="center"/>
              <w:rPr>
                <w:rFonts w:eastAsia="Times New Roman"/>
                <w:lang w:eastAsia="ru-RU"/>
              </w:rPr>
            </w:pPr>
            <w:r w:rsidRPr="009A4C46">
              <w:rPr>
                <w:rFonts w:eastAsia="Times New Roman"/>
                <w:lang w:eastAsia="ru-RU"/>
              </w:rPr>
              <w:t>295,83</w:t>
            </w:r>
          </w:p>
        </w:tc>
      </w:tr>
      <w:tr w:rsidR="009A4C46" w:rsidRPr="009A4C46" w14:paraId="57642D8F" w14:textId="77777777" w:rsidTr="0063188C">
        <w:trPr>
          <w:trHeight w:val="945"/>
        </w:trPr>
        <w:tc>
          <w:tcPr>
            <w:tcW w:w="380" w:type="pct"/>
            <w:shd w:val="clear" w:color="auto" w:fill="auto"/>
            <w:noWrap/>
            <w:vAlign w:val="center"/>
            <w:hideMark/>
          </w:tcPr>
          <w:p w14:paraId="0A56631A" w14:textId="77777777" w:rsidR="009A4C46" w:rsidRPr="009A4C46" w:rsidRDefault="009A4C46" w:rsidP="00CB5AA8">
            <w:pPr>
              <w:spacing w:after="0" w:line="283" w:lineRule="auto"/>
              <w:rPr>
                <w:rFonts w:eastAsia="Times New Roman"/>
                <w:lang w:eastAsia="ru-RU"/>
              </w:rPr>
            </w:pPr>
            <w:r w:rsidRPr="009A4C46">
              <w:rPr>
                <w:rFonts w:eastAsia="Times New Roman"/>
                <w:lang w:eastAsia="ru-RU"/>
              </w:rPr>
              <w:t>7 = 5 -6</w:t>
            </w:r>
          </w:p>
        </w:tc>
        <w:tc>
          <w:tcPr>
            <w:tcW w:w="2518" w:type="pct"/>
            <w:shd w:val="clear" w:color="auto" w:fill="auto"/>
            <w:vAlign w:val="center"/>
            <w:hideMark/>
          </w:tcPr>
          <w:p w14:paraId="2F249FE2" w14:textId="77777777" w:rsidR="009A4C46" w:rsidRPr="009A4C46" w:rsidRDefault="009A4C46" w:rsidP="00CB5AA8">
            <w:pPr>
              <w:spacing w:after="0" w:line="283" w:lineRule="auto"/>
              <w:rPr>
                <w:rFonts w:eastAsia="Times New Roman"/>
                <w:lang w:eastAsia="ru-RU"/>
              </w:rPr>
            </w:pPr>
            <w:r w:rsidRPr="009A4C46">
              <w:rPr>
                <w:rFonts w:eastAsia="Times New Roman"/>
                <w:lang w:eastAsia="ru-RU"/>
              </w:rPr>
              <w:t>Единые (котловые) тарифы на услуги по передаче электроэнергии без учета ставки, используемой для целей определения расходов на оплату нормативных потерь электрической энергии</w:t>
            </w:r>
          </w:p>
        </w:tc>
        <w:tc>
          <w:tcPr>
            <w:tcW w:w="527" w:type="pct"/>
            <w:shd w:val="clear" w:color="auto" w:fill="auto"/>
            <w:noWrap/>
            <w:vAlign w:val="center"/>
            <w:hideMark/>
          </w:tcPr>
          <w:p w14:paraId="2B1666DD" w14:textId="77777777" w:rsidR="009A4C46" w:rsidRPr="009A4C46" w:rsidRDefault="009A4C46" w:rsidP="00CB5AA8">
            <w:pPr>
              <w:spacing w:after="0" w:line="283" w:lineRule="auto"/>
              <w:jc w:val="center"/>
              <w:rPr>
                <w:rFonts w:eastAsia="Times New Roman"/>
                <w:lang w:eastAsia="ru-RU"/>
              </w:rPr>
            </w:pPr>
          </w:p>
        </w:tc>
        <w:tc>
          <w:tcPr>
            <w:tcW w:w="451" w:type="pct"/>
            <w:shd w:val="clear" w:color="auto" w:fill="auto"/>
            <w:noWrap/>
            <w:vAlign w:val="center"/>
            <w:hideMark/>
          </w:tcPr>
          <w:p w14:paraId="1574E3E3" w14:textId="77777777" w:rsidR="009A4C46" w:rsidRPr="009A4C46" w:rsidRDefault="009A4C46" w:rsidP="00CB5AA8">
            <w:pPr>
              <w:spacing w:after="0" w:line="283" w:lineRule="auto"/>
              <w:jc w:val="center"/>
              <w:rPr>
                <w:rFonts w:eastAsia="Times New Roman"/>
                <w:lang w:eastAsia="ru-RU"/>
              </w:rPr>
            </w:pPr>
          </w:p>
        </w:tc>
        <w:tc>
          <w:tcPr>
            <w:tcW w:w="562" w:type="pct"/>
            <w:shd w:val="clear" w:color="auto" w:fill="auto"/>
            <w:noWrap/>
            <w:vAlign w:val="center"/>
            <w:hideMark/>
          </w:tcPr>
          <w:p w14:paraId="40572666" w14:textId="77777777" w:rsidR="009A4C46" w:rsidRPr="009A4C46" w:rsidRDefault="009A4C46" w:rsidP="00CB5AA8">
            <w:pPr>
              <w:spacing w:after="0" w:line="283" w:lineRule="auto"/>
              <w:jc w:val="center"/>
              <w:rPr>
                <w:rFonts w:eastAsia="Times New Roman"/>
                <w:lang w:eastAsia="ru-RU"/>
              </w:rPr>
            </w:pPr>
          </w:p>
        </w:tc>
        <w:tc>
          <w:tcPr>
            <w:tcW w:w="562" w:type="pct"/>
            <w:shd w:val="clear" w:color="auto" w:fill="auto"/>
            <w:noWrap/>
            <w:vAlign w:val="center"/>
            <w:hideMark/>
          </w:tcPr>
          <w:p w14:paraId="6A68F3F7" w14:textId="77777777" w:rsidR="009A4C46" w:rsidRPr="009A4C46" w:rsidRDefault="009A4C46" w:rsidP="00CB5AA8">
            <w:pPr>
              <w:spacing w:after="0" w:line="283" w:lineRule="auto"/>
              <w:jc w:val="center"/>
              <w:rPr>
                <w:rFonts w:eastAsia="Times New Roman"/>
                <w:lang w:eastAsia="ru-RU"/>
              </w:rPr>
            </w:pPr>
          </w:p>
        </w:tc>
      </w:tr>
      <w:tr w:rsidR="009A4C46" w:rsidRPr="009A4C46" w14:paraId="46C94A28" w14:textId="77777777" w:rsidTr="0063188C">
        <w:trPr>
          <w:trHeight w:val="300"/>
        </w:trPr>
        <w:tc>
          <w:tcPr>
            <w:tcW w:w="380" w:type="pct"/>
            <w:shd w:val="clear" w:color="auto" w:fill="auto"/>
            <w:noWrap/>
            <w:vAlign w:val="bottom"/>
            <w:hideMark/>
          </w:tcPr>
          <w:p w14:paraId="3934B731" w14:textId="77777777" w:rsidR="009A4C46" w:rsidRPr="009A4C46" w:rsidRDefault="009A4C46" w:rsidP="00CB5AA8">
            <w:pPr>
              <w:spacing w:after="0" w:line="283" w:lineRule="auto"/>
              <w:rPr>
                <w:rFonts w:eastAsia="Times New Roman"/>
                <w:lang w:eastAsia="ru-RU"/>
              </w:rPr>
            </w:pPr>
            <w:r w:rsidRPr="009A4C46">
              <w:rPr>
                <w:rFonts w:eastAsia="Times New Roman"/>
                <w:lang w:eastAsia="ru-RU"/>
              </w:rPr>
              <w:t> </w:t>
            </w:r>
          </w:p>
        </w:tc>
        <w:tc>
          <w:tcPr>
            <w:tcW w:w="2518" w:type="pct"/>
            <w:shd w:val="clear" w:color="auto" w:fill="auto"/>
            <w:vAlign w:val="center"/>
            <w:hideMark/>
          </w:tcPr>
          <w:p w14:paraId="3664B063" w14:textId="77777777" w:rsidR="009A4C46" w:rsidRPr="009A4C46" w:rsidRDefault="009A4C46" w:rsidP="00CB5AA8">
            <w:pPr>
              <w:spacing w:after="0" w:line="283" w:lineRule="auto"/>
              <w:rPr>
                <w:rFonts w:eastAsia="Times New Roman"/>
                <w:lang w:eastAsia="ru-RU"/>
              </w:rPr>
            </w:pPr>
            <w:r w:rsidRPr="009A4C46">
              <w:rPr>
                <w:rFonts w:eastAsia="Times New Roman"/>
                <w:lang w:eastAsia="ru-RU"/>
              </w:rPr>
              <w:t>Прочие потребители</w:t>
            </w:r>
          </w:p>
        </w:tc>
        <w:tc>
          <w:tcPr>
            <w:tcW w:w="527" w:type="pct"/>
            <w:shd w:val="clear" w:color="auto" w:fill="auto"/>
            <w:noWrap/>
            <w:vAlign w:val="center"/>
            <w:hideMark/>
          </w:tcPr>
          <w:p w14:paraId="4FCF9AC8" w14:textId="77777777" w:rsidR="009A4C46" w:rsidRPr="009A4C46" w:rsidRDefault="009A4C46" w:rsidP="00CB5AA8">
            <w:pPr>
              <w:spacing w:after="0" w:line="283" w:lineRule="auto"/>
              <w:jc w:val="center"/>
              <w:rPr>
                <w:rFonts w:eastAsia="Times New Roman"/>
                <w:lang w:eastAsia="ru-RU"/>
              </w:rPr>
            </w:pPr>
          </w:p>
        </w:tc>
        <w:tc>
          <w:tcPr>
            <w:tcW w:w="451" w:type="pct"/>
            <w:shd w:val="clear" w:color="auto" w:fill="auto"/>
            <w:noWrap/>
            <w:vAlign w:val="center"/>
            <w:hideMark/>
          </w:tcPr>
          <w:p w14:paraId="6A71DC2C" w14:textId="77777777" w:rsidR="009A4C46" w:rsidRPr="009A4C46" w:rsidRDefault="009A4C46" w:rsidP="00CB5AA8">
            <w:pPr>
              <w:spacing w:after="0" w:line="283" w:lineRule="auto"/>
              <w:jc w:val="center"/>
              <w:rPr>
                <w:rFonts w:eastAsia="Times New Roman"/>
                <w:lang w:eastAsia="ru-RU"/>
              </w:rPr>
            </w:pPr>
          </w:p>
        </w:tc>
        <w:tc>
          <w:tcPr>
            <w:tcW w:w="562" w:type="pct"/>
            <w:shd w:val="clear" w:color="auto" w:fill="auto"/>
            <w:noWrap/>
            <w:vAlign w:val="center"/>
            <w:hideMark/>
          </w:tcPr>
          <w:p w14:paraId="2D1864F1" w14:textId="77777777" w:rsidR="009A4C46" w:rsidRPr="009A4C46" w:rsidRDefault="009A4C46" w:rsidP="00CB5AA8">
            <w:pPr>
              <w:spacing w:after="0" w:line="283" w:lineRule="auto"/>
              <w:jc w:val="center"/>
              <w:rPr>
                <w:rFonts w:eastAsia="Times New Roman"/>
                <w:lang w:eastAsia="ru-RU"/>
              </w:rPr>
            </w:pPr>
          </w:p>
        </w:tc>
        <w:tc>
          <w:tcPr>
            <w:tcW w:w="562" w:type="pct"/>
            <w:shd w:val="clear" w:color="auto" w:fill="auto"/>
            <w:noWrap/>
            <w:vAlign w:val="center"/>
            <w:hideMark/>
          </w:tcPr>
          <w:p w14:paraId="1BE54D0A" w14:textId="77777777" w:rsidR="009A4C46" w:rsidRPr="009A4C46" w:rsidRDefault="009A4C46" w:rsidP="00CB5AA8">
            <w:pPr>
              <w:spacing w:after="0" w:line="283" w:lineRule="auto"/>
              <w:jc w:val="center"/>
              <w:rPr>
                <w:rFonts w:eastAsia="Times New Roman"/>
                <w:lang w:eastAsia="ru-RU"/>
              </w:rPr>
            </w:pPr>
          </w:p>
        </w:tc>
      </w:tr>
      <w:tr w:rsidR="009A4C46" w:rsidRPr="009A4C46" w14:paraId="5A9E2DBD" w14:textId="77777777" w:rsidTr="0063188C">
        <w:trPr>
          <w:trHeight w:val="300"/>
        </w:trPr>
        <w:tc>
          <w:tcPr>
            <w:tcW w:w="380" w:type="pct"/>
            <w:shd w:val="clear" w:color="auto" w:fill="auto"/>
            <w:noWrap/>
            <w:vAlign w:val="bottom"/>
            <w:hideMark/>
          </w:tcPr>
          <w:p w14:paraId="332EABFC" w14:textId="77777777" w:rsidR="009A4C46" w:rsidRPr="009A4C46" w:rsidRDefault="009A4C46" w:rsidP="00CB5AA8">
            <w:pPr>
              <w:spacing w:after="0" w:line="283" w:lineRule="auto"/>
              <w:rPr>
                <w:rFonts w:eastAsia="Times New Roman"/>
                <w:lang w:eastAsia="ru-RU"/>
              </w:rPr>
            </w:pPr>
            <w:r w:rsidRPr="009A4C46">
              <w:rPr>
                <w:rFonts w:eastAsia="Times New Roman"/>
                <w:lang w:eastAsia="ru-RU"/>
              </w:rPr>
              <w:t> </w:t>
            </w:r>
          </w:p>
        </w:tc>
        <w:tc>
          <w:tcPr>
            <w:tcW w:w="2518" w:type="pct"/>
            <w:shd w:val="clear" w:color="auto" w:fill="auto"/>
            <w:vAlign w:val="center"/>
            <w:hideMark/>
          </w:tcPr>
          <w:p w14:paraId="2088B904" w14:textId="77777777" w:rsidR="009A4C46" w:rsidRPr="009A4C46" w:rsidRDefault="009A4C46" w:rsidP="00CB5AA8">
            <w:pPr>
              <w:spacing w:after="0" w:line="283" w:lineRule="auto"/>
              <w:rPr>
                <w:rFonts w:eastAsia="Times New Roman"/>
                <w:lang w:eastAsia="ru-RU"/>
              </w:rPr>
            </w:pPr>
            <w:r w:rsidRPr="009A4C46">
              <w:rPr>
                <w:rFonts w:eastAsia="Times New Roman"/>
                <w:lang w:eastAsia="ru-RU"/>
              </w:rPr>
              <w:t>ВН</w:t>
            </w:r>
          </w:p>
        </w:tc>
        <w:tc>
          <w:tcPr>
            <w:tcW w:w="527" w:type="pct"/>
            <w:shd w:val="clear" w:color="auto" w:fill="auto"/>
            <w:noWrap/>
            <w:vAlign w:val="center"/>
            <w:hideMark/>
          </w:tcPr>
          <w:p w14:paraId="382E9975" w14:textId="77777777" w:rsidR="009A4C46" w:rsidRPr="009A4C46" w:rsidRDefault="009A4C46" w:rsidP="00CB5AA8">
            <w:pPr>
              <w:spacing w:after="0" w:line="283" w:lineRule="auto"/>
              <w:jc w:val="center"/>
              <w:rPr>
                <w:rFonts w:eastAsia="Times New Roman"/>
                <w:lang w:eastAsia="ru-RU"/>
              </w:rPr>
            </w:pPr>
          </w:p>
        </w:tc>
        <w:tc>
          <w:tcPr>
            <w:tcW w:w="451" w:type="pct"/>
            <w:shd w:val="clear" w:color="auto" w:fill="auto"/>
            <w:noWrap/>
            <w:vAlign w:val="center"/>
            <w:hideMark/>
          </w:tcPr>
          <w:p w14:paraId="6EC1F086" w14:textId="7D3DB0A7" w:rsidR="009A4C46" w:rsidRPr="009A4C46" w:rsidRDefault="009A4C46" w:rsidP="00CB5AA8">
            <w:pPr>
              <w:spacing w:after="0" w:line="283" w:lineRule="auto"/>
              <w:jc w:val="center"/>
              <w:rPr>
                <w:rFonts w:eastAsia="Times New Roman"/>
                <w:lang w:eastAsia="ru-RU"/>
              </w:rPr>
            </w:pPr>
            <w:r w:rsidRPr="009A4C46">
              <w:rPr>
                <w:rFonts w:eastAsia="Times New Roman"/>
                <w:lang w:eastAsia="ru-RU"/>
              </w:rPr>
              <w:t>руб./МВт</w:t>
            </w:r>
            <w:r w:rsidR="00CC0E12">
              <w:rPr>
                <w:rFonts w:eastAsia="Times New Roman"/>
                <w:lang w:eastAsia="ru-RU"/>
              </w:rPr>
              <w:t>*</w:t>
            </w:r>
            <w:r w:rsidRPr="009A4C46">
              <w:rPr>
                <w:rFonts w:eastAsia="Times New Roman"/>
                <w:lang w:eastAsia="ru-RU"/>
              </w:rPr>
              <w:t>ч</w:t>
            </w:r>
          </w:p>
        </w:tc>
        <w:tc>
          <w:tcPr>
            <w:tcW w:w="562" w:type="pct"/>
            <w:shd w:val="clear" w:color="auto" w:fill="auto"/>
            <w:noWrap/>
            <w:vAlign w:val="center"/>
            <w:hideMark/>
          </w:tcPr>
          <w:p w14:paraId="21352869" w14:textId="77777777" w:rsidR="009A4C46" w:rsidRPr="009A4C46" w:rsidRDefault="009A4C46" w:rsidP="00CB5AA8">
            <w:pPr>
              <w:spacing w:after="0" w:line="283" w:lineRule="auto"/>
              <w:jc w:val="center"/>
              <w:rPr>
                <w:rFonts w:eastAsia="Times New Roman"/>
                <w:lang w:eastAsia="ru-RU"/>
              </w:rPr>
            </w:pPr>
            <w:r w:rsidRPr="009A4C46">
              <w:rPr>
                <w:rFonts w:eastAsia="Times New Roman"/>
                <w:lang w:eastAsia="ru-RU"/>
              </w:rPr>
              <w:t>2 794,88</w:t>
            </w:r>
          </w:p>
        </w:tc>
        <w:tc>
          <w:tcPr>
            <w:tcW w:w="562" w:type="pct"/>
            <w:shd w:val="clear" w:color="auto" w:fill="auto"/>
            <w:noWrap/>
            <w:vAlign w:val="center"/>
            <w:hideMark/>
          </w:tcPr>
          <w:p w14:paraId="0F5C14FF" w14:textId="77777777" w:rsidR="009A4C46" w:rsidRPr="009A4C46" w:rsidRDefault="009A4C46" w:rsidP="00CB5AA8">
            <w:pPr>
              <w:spacing w:after="0" w:line="283" w:lineRule="auto"/>
              <w:jc w:val="center"/>
              <w:rPr>
                <w:rFonts w:eastAsia="Times New Roman"/>
                <w:lang w:eastAsia="ru-RU"/>
              </w:rPr>
            </w:pPr>
            <w:r w:rsidRPr="009A4C46">
              <w:rPr>
                <w:rFonts w:eastAsia="Times New Roman"/>
                <w:lang w:eastAsia="ru-RU"/>
              </w:rPr>
              <w:t>2 935,60</w:t>
            </w:r>
          </w:p>
        </w:tc>
      </w:tr>
      <w:tr w:rsidR="009A4C46" w:rsidRPr="009A4C46" w14:paraId="46BBD43D" w14:textId="77777777" w:rsidTr="0063188C">
        <w:trPr>
          <w:trHeight w:val="300"/>
        </w:trPr>
        <w:tc>
          <w:tcPr>
            <w:tcW w:w="380" w:type="pct"/>
            <w:shd w:val="clear" w:color="auto" w:fill="auto"/>
            <w:noWrap/>
            <w:vAlign w:val="bottom"/>
            <w:hideMark/>
          </w:tcPr>
          <w:p w14:paraId="014D80DC" w14:textId="77777777" w:rsidR="009A4C46" w:rsidRPr="009A4C46" w:rsidRDefault="009A4C46" w:rsidP="00CB5AA8">
            <w:pPr>
              <w:spacing w:after="0" w:line="283" w:lineRule="auto"/>
              <w:rPr>
                <w:rFonts w:eastAsia="Times New Roman"/>
                <w:lang w:eastAsia="ru-RU"/>
              </w:rPr>
            </w:pPr>
            <w:r w:rsidRPr="009A4C46">
              <w:rPr>
                <w:rFonts w:eastAsia="Times New Roman"/>
                <w:lang w:eastAsia="ru-RU"/>
              </w:rPr>
              <w:t> </w:t>
            </w:r>
          </w:p>
        </w:tc>
        <w:tc>
          <w:tcPr>
            <w:tcW w:w="2518" w:type="pct"/>
            <w:shd w:val="clear" w:color="auto" w:fill="auto"/>
            <w:vAlign w:val="center"/>
            <w:hideMark/>
          </w:tcPr>
          <w:p w14:paraId="15551931" w14:textId="77777777" w:rsidR="009A4C46" w:rsidRPr="009A4C46" w:rsidRDefault="009A4C46" w:rsidP="00CB5AA8">
            <w:pPr>
              <w:spacing w:after="0" w:line="283" w:lineRule="auto"/>
              <w:rPr>
                <w:rFonts w:eastAsia="Times New Roman"/>
                <w:lang w:eastAsia="ru-RU"/>
              </w:rPr>
            </w:pPr>
            <w:r w:rsidRPr="009A4C46">
              <w:rPr>
                <w:rFonts w:eastAsia="Times New Roman"/>
                <w:lang w:eastAsia="ru-RU"/>
              </w:rPr>
              <w:t>СН1</w:t>
            </w:r>
          </w:p>
        </w:tc>
        <w:tc>
          <w:tcPr>
            <w:tcW w:w="527" w:type="pct"/>
            <w:shd w:val="clear" w:color="auto" w:fill="auto"/>
            <w:noWrap/>
            <w:vAlign w:val="center"/>
            <w:hideMark/>
          </w:tcPr>
          <w:p w14:paraId="7CB43927" w14:textId="77777777" w:rsidR="009A4C46" w:rsidRPr="009A4C46" w:rsidRDefault="009A4C46" w:rsidP="00CB5AA8">
            <w:pPr>
              <w:spacing w:after="0" w:line="283" w:lineRule="auto"/>
              <w:jc w:val="center"/>
              <w:rPr>
                <w:rFonts w:eastAsia="Times New Roman"/>
                <w:lang w:eastAsia="ru-RU"/>
              </w:rPr>
            </w:pPr>
          </w:p>
        </w:tc>
        <w:tc>
          <w:tcPr>
            <w:tcW w:w="451" w:type="pct"/>
            <w:shd w:val="clear" w:color="auto" w:fill="auto"/>
            <w:noWrap/>
            <w:vAlign w:val="center"/>
            <w:hideMark/>
          </w:tcPr>
          <w:p w14:paraId="29017608" w14:textId="209B3740" w:rsidR="009A4C46" w:rsidRPr="009A4C46" w:rsidRDefault="009A4C46" w:rsidP="00CB5AA8">
            <w:pPr>
              <w:spacing w:after="0" w:line="283" w:lineRule="auto"/>
              <w:jc w:val="center"/>
              <w:rPr>
                <w:rFonts w:eastAsia="Times New Roman"/>
                <w:lang w:eastAsia="ru-RU"/>
              </w:rPr>
            </w:pPr>
            <w:r w:rsidRPr="009A4C46">
              <w:rPr>
                <w:rFonts w:eastAsia="Times New Roman"/>
                <w:lang w:eastAsia="ru-RU"/>
              </w:rPr>
              <w:t>руб./МВт</w:t>
            </w:r>
            <w:r w:rsidR="00CC0E12">
              <w:rPr>
                <w:rFonts w:eastAsia="Times New Roman"/>
                <w:lang w:eastAsia="ru-RU"/>
              </w:rPr>
              <w:t>*</w:t>
            </w:r>
            <w:r w:rsidRPr="009A4C46">
              <w:rPr>
                <w:rFonts w:eastAsia="Times New Roman"/>
                <w:lang w:eastAsia="ru-RU"/>
              </w:rPr>
              <w:t>ч</w:t>
            </w:r>
          </w:p>
        </w:tc>
        <w:tc>
          <w:tcPr>
            <w:tcW w:w="562" w:type="pct"/>
            <w:shd w:val="clear" w:color="auto" w:fill="auto"/>
            <w:noWrap/>
            <w:vAlign w:val="center"/>
            <w:hideMark/>
          </w:tcPr>
          <w:p w14:paraId="3819DF82" w14:textId="77777777" w:rsidR="009A4C46" w:rsidRPr="009A4C46" w:rsidRDefault="009A4C46" w:rsidP="00CB5AA8">
            <w:pPr>
              <w:spacing w:after="0" w:line="283" w:lineRule="auto"/>
              <w:jc w:val="center"/>
              <w:rPr>
                <w:rFonts w:eastAsia="Times New Roman"/>
                <w:lang w:eastAsia="ru-RU"/>
              </w:rPr>
            </w:pPr>
            <w:r w:rsidRPr="009A4C46">
              <w:rPr>
                <w:rFonts w:eastAsia="Times New Roman"/>
                <w:lang w:eastAsia="ru-RU"/>
              </w:rPr>
              <w:t>3 336,00</w:t>
            </w:r>
          </w:p>
        </w:tc>
        <w:tc>
          <w:tcPr>
            <w:tcW w:w="562" w:type="pct"/>
            <w:shd w:val="clear" w:color="auto" w:fill="auto"/>
            <w:noWrap/>
            <w:vAlign w:val="center"/>
            <w:hideMark/>
          </w:tcPr>
          <w:p w14:paraId="53A04675" w14:textId="77777777" w:rsidR="009A4C46" w:rsidRPr="009A4C46" w:rsidRDefault="009A4C46" w:rsidP="00CB5AA8">
            <w:pPr>
              <w:spacing w:after="0" w:line="283" w:lineRule="auto"/>
              <w:jc w:val="center"/>
              <w:rPr>
                <w:rFonts w:eastAsia="Times New Roman"/>
                <w:lang w:eastAsia="ru-RU"/>
              </w:rPr>
            </w:pPr>
            <w:r w:rsidRPr="009A4C46">
              <w:rPr>
                <w:rFonts w:eastAsia="Times New Roman"/>
                <w:lang w:eastAsia="ru-RU"/>
              </w:rPr>
              <w:t>3 505,95</w:t>
            </w:r>
          </w:p>
        </w:tc>
      </w:tr>
      <w:tr w:rsidR="009A4C46" w:rsidRPr="009A4C46" w14:paraId="0E18F6AB" w14:textId="77777777" w:rsidTr="0063188C">
        <w:trPr>
          <w:trHeight w:val="300"/>
        </w:trPr>
        <w:tc>
          <w:tcPr>
            <w:tcW w:w="380" w:type="pct"/>
            <w:shd w:val="clear" w:color="auto" w:fill="auto"/>
            <w:noWrap/>
            <w:vAlign w:val="bottom"/>
            <w:hideMark/>
          </w:tcPr>
          <w:p w14:paraId="2ECA0AEB" w14:textId="77777777" w:rsidR="009A4C46" w:rsidRPr="009A4C46" w:rsidRDefault="009A4C46" w:rsidP="00CB5AA8">
            <w:pPr>
              <w:spacing w:after="0" w:line="283" w:lineRule="auto"/>
              <w:rPr>
                <w:rFonts w:eastAsia="Times New Roman"/>
                <w:lang w:eastAsia="ru-RU"/>
              </w:rPr>
            </w:pPr>
            <w:r w:rsidRPr="009A4C46">
              <w:rPr>
                <w:rFonts w:eastAsia="Times New Roman"/>
                <w:lang w:eastAsia="ru-RU"/>
              </w:rPr>
              <w:t> </w:t>
            </w:r>
          </w:p>
        </w:tc>
        <w:tc>
          <w:tcPr>
            <w:tcW w:w="2518" w:type="pct"/>
            <w:shd w:val="clear" w:color="auto" w:fill="auto"/>
            <w:vAlign w:val="center"/>
            <w:hideMark/>
          </w:tcPr>
          <w:p w14:paraId="18119C49" w14:textId="77777777" w:rsidR="009A4C46" w:rsidRPr="009A4C46" w:rsidRDefault="009A4C46" w:rsidP="00CB5AA8">
            <w:pPr>
              <w:spacing w:after="0" w:line="283" w:lineRule="auto"/>
              <w:rPr>
                <w:rFonts w:eastAsia="Times New Roman"/>
                <w:lang w:eastAsia="ru-RU"/>
              </w:rPr>
            </w:pPr>
            <w:r w:rsidRPr="009A4C46">
              <w:rPr>
                <w:rFonts w:eastAsia="Times New Roman"/>
                <w:lang w:eastAsia="ru-RU"/>
              </w:rPr>
              <w:t>СН2</w:t>
            </w:r>
          </w:p>
        </w:tc>
        <w:tc>
          <w:tcPr>
            <w:tcW w:w="527" w:type="pct"/>
            <w:shd w:val="clear" w:color="auto" w:fill="auto"/>
            <w:noWrap/>
            <w:vAlign w:val="center"/>
            <w:hideMark/>
          </w:tcPr>
          <w:p w14:paraId="76A557DC" w14:textId="77777777" w:rsidR="009A4C46" w:rsidRPr="009A4C46" w:rsidRDefault="009A4C46" w:rsidP="00CB5AA8">
            <w:pPr>
              <w:spacing w:after="0" w:line="283" w:lineRule="auto"/>
              <w:jc w:val="center"/>
              <w:rPr>
                <w:rFonts w:eastAsia="Times New Roman"/>
                <w:lang w:eastAsia="ru-RU"/>
              </w:rPr>
            </w:pPr>
          </w:p>
        </w:tc>
        <w:tc>
          <w:tcPr>
            <w:tcW w:w="451" w:type="pct"/>
            <w:shd w:val="clear" w:color="auto" w:fill="auto"/>
            <w:noWrap/>
            <w:vAlign w:val="center"/>
            <w:hideMark/>
          </w:tcPr>
          <w:p w14:paraId="40288DBB" w14:textId="42AEDF31" w:rsidR="009A4C46" w:rsidRPr="009A4C46" w:rsidRDefault="009A4C46" w:rsidP="00CB5AA8">
            <w:pPr>
              <w:spacing w:after="0" w:line="283" w:lineRule="auto"/>
              <w:jc w:val="center"/>
              <w:rPr>
                <w:rFonts w:eastAsia="Times New Roman"/>
                <w:lang w:eastAsia="ru-RU"/>
              </w:rPr>
            </w:pPr>
            <w:r w:rsidRPr="009A4C46">
              <w:rPr>
                <w:rFonts w:eastAsia="Times New Roman"/>
                <w:lang w:eastAsia="ru-RU"/>
              </w:rPr>
              <w:t>руб./МВт</w:t>
            </w:r>
            <w:r w:rsidR="00CC0E12">
              <w:rPr>
                <w:rFonts w:eastAsia="Times New Roman"/>
                <w:lang w:eastAsia="ru-RU"/>
              </w:rPr>
              <w:t>*</w:t>
            </w:r>
            <w:r w:rsidRPr="009A4C46">
              <w:rPr>
                <w:rFonts w:eastAsia="Times New Roman"/>
                <w:lang w:eastAsia="ru-RU"/>
              </w:rPr>
              <w:t>ч</w:t>
            </w:r>
          </w:p>
        </w:tc>
        <w:tc>
          <w:tcPr>
            <w:tcW w:w="562" w:type="pct"/>
            <w:shd w:val="clear" w:color="auto" w:fill="auto"/>
            <w:noWrap/>
            <w:vAlign w:val="center"/>
            <w:hideMark/>
          </w:tcPr>
          <w:p w14:paraId="6ED20DAE" w14:textId="77777777" w:rsidR="009A4C46" w:rsidRPr="009A4C46" w:rsidRDefault="009A4C46" w:rsidP="00CB5AA8">
            <w:pPr>
              <w:spacing w:after="0" w:line="283" w:lineRule="auto"/>
              <w:jc w:val="center"/>
              <w:rPr>
                <w:rFonts w:eastAsia="Times New Roman"/>
                <w:lang w:eastAsia="ru-RU"/>
              </w:rPr>
            </w:pPr>
            <w:r w:rsidRPr="009A4C46">
              <w:rPr>
                <w:rFonts w:eastAsia="Times New Roman"/>
                <w:lang w:eastAsia="ru-RU"/>
              </w:rPr>
              <w:t>3 523,85</w:t>
            </w:r>
          </w:p>
        </w:tc>
        <w:tc>
          <w:tcPr>
            <w:tcW w:w="562" w:type="pct"/>
            <w:shd w:val="clear" w:color="auto" w:fill="auto"/>
            <w:noWrap/>
            <w:vAlign w:val="center"/>
            <w:hideMark/>
          </w:tcPr>
          <w:p w14:paraId="0B63C8BF" w14:textId="77777777" w:rsidR="009A4C46" w:rsidRPr="009A4C46" w:rsidRDefault="009A4C46" w:rsidP="00CB5AA8">
            <w:pPr>
              <w:spacing w:after="0" w:line="283" w:lineRule="auto"/>
              <w:jc w:val="center"/>
              <w:rPr>
                <w:rFonts w:eastAsia="Times New Roman"/>
                <w:lang w:eastAsia="ru-RU"/>
              </w:rPr>
            </w:pPr>
            <w:r w:rsidRPr="009A4C46">
              <w:rPr>
                <w:rFonts w:eastAsia="Times New Roman"/>
                <w:lang w:eastAsia="ru-RU"/>
              </w:rPr>
              <w:t>3 703,78</w:t>
            </w:r>
          </w:p>
        </w:tc>
      </w:tr>
      <w:tr w:rsidR="009A4C46" w:rsidRPr="009A4C46" w14:paraId="2619F85D" w14:textId="77777777" w:rsidTr="0063188C">
        <w:trPr>
          <w:trHeight w:val="300"/>
        </w:trPr>
        <w:tc>
          <w:tcPr>
            <w:tcW w:w="380" w:type="pct"/>
            <w:shd w:val="clear" w:color="auto" w:fill="auto"/>
            <w:noWrap/>
            <w:vAlign w:val="bottom"/>
            <w:hideMark/>
          </w:tcPr>
          <w:p w14:paraId="6EBBC932" w14:textId="77777777" w:rsidR="009A4C46" w:rsidRPr="009A4C46" w:rsidRDefault="009A4C46" w:rsidP="00CB5AA8">
            <w:pPr>
              <w:spacing w:after="0" w:line="283" w:lineRule="auto"/>
              <w:rPr>
                <w:rFonts w:eastAsia="Times New Roman"/>
                <w:lang w:eastAsia="ru-RU"/>
              </w:rPr>
            </w:pPr>
            <w:r w:rsidRPr="009A4C46">
              <w:rPr>
                <w:rFonts w:eastAsia="Times New Roman"/>
                <w:lang w:eastAsia="ru-RU"/>
              </w:rPr>
              <w:t> </w:t>
            </w:r>
          </w:p>
        </w:tc>
        <w:tc>
          <w:tcPr>
            <w:tcW w:w="2518" w:type="pct"/>
            <w:shd w:val="clear" w:color="auto" w:fill="auto"/>
            <w:vAlign w:val="center"/>
            <w:hideMark/>
          </w:tcPr>
          <w:p w14:paraId="35228384" w14:textId="77777777" w:rsidR="009A4C46" w:rsidRPr="009A4C46" w:rsidRDefault="009A4C46" w:rsidP="00CB5AA8">
            <w:pPr>
              <w:spacing w:after="0" w:line="283" w:lineRule="auto"/>
              <w:rPr>
                <w:rFonts w:eastAsia="Times New Roman"/>
                <w:lang w:eastAsia="ru-RU"/>
              </w:rPr>
            </w:pPr>
            <w:r w:rsidRPr="009A4C46">
              <w:rPr>
                <w:rFonts w:eastAsia="Times New Roman"/>
                <w:lang w:eastAsia="ru-RU"/>
              </w:rPr>
              <w:t>НН</w:t>
            </w:r>
          </w:p>
        </w:tc>
        <w:tc>
          <w:tcPr>
            <w:tcW w:w="527" w:type="pct"/>
            <w:shd w:val="clear" w:color="auto" w:fill="auto"/>
            <w:noWrap/>
            <w:vAlign w:val="center"/>
            <w:hideMark/>
          </w:tcPr>
          <w:p w14:paraId="081C3EA4" w14:textId="77777777" w:rsidR="009A4C46" w:rsidRPr="009A4C46" w:rsidRDefault="009A4C46" w:rsidP="00CB5AA8">
            <w:pPr>
              <w:spacing w:after="0" w:line="283" w:lineRule="auto"/>
              <w:jc w:val="center"/>
              <w:rPr>
                <w:rFonts w:eastAsia="Times New Roman"/>
                <w:lang w:eastAsia="ru-RU"/>
              </w:rPr>
            </w:pPr>
          </w:p>
        </w:tc>
        <w:tc>
          <w:tcPr>
            <w:tcW w:w="451" w:type="pct"/>
            <w:shd w:val="clear" w:color="auto" w:fill="auto"/>
            <w:noWrap/>
            <w:vAlign w:val="center"/>
            <w:hideMark/>
          </w:tcPr>
          <w:p w14:paraId="3E9BCB55" w14:textId="49B543A0" w:rsidR="009A4C46" w:rsidRPr="009A4C46" w:rsidRDefault="009A4C46" w:rsidP="00CB5AA8">
            <w:pPr>
              <w:spacing w:after="0" w:line="283" w:lineRule="auto"/>
              <w:jc w:val="center"/>
              <w:rPr>
                <w:rFonts w:eastAsia="Times New Roman"/>
                <w:lang w:eastAsia="ru-RU"/>
              </w:rPr>
            </w:pPr>
            <w:r w:rsidRPr="009A4C46">
              <w:rPr>
                <w:rFonts w:eastAsia="Times New Roman"/>
                <w:lang w:eastAsia="ru-RU"/>
              </w:rPr>
              <w:t>руб./МВт</w:t>
            </w:r>
            <w:r w:rsidR="00CC0E12">
              <w:rPr>
                <w:rFonts w:eastAsia="Times New Roman"/>
                <w:lang w:eastAsia="ru-RU"/>
              </w:rPr>
              <w:t>*</w:t>
            </w:r>
            <w:r w:rsidRPr="009A4C46">
              <w:rPr>
                <w:rFonts w:eastAsia="Times New Roman"/>
                <w:lang w:eastAsia="ru-RU"/>
              </w:rPr>
              <w:t>ч</w:t>
            </w:r>
          </w:p>
        </w:tc>
        <w:tc>
          <w:tcPr>
            <w:tcW w:w="562" w:type="pct"/>
            <w:shd w:val="clear" w:color="auto" w:fill="auto"/>
            <w:noWrap/>
            <w:vAlign w:val="center"/>
            <w:hideMark/>
          </w:tcPr>
          <w:p w14:paraId="79D446BB" w14:textId="77777777" w:rsidR="009A4C46" w:rsidRPr="009A4C46" w:rsidRDefault="009A4C46" w:rsidP="00CB5AA8">
            <w:pPr>
              <w:spacing w:after="0" w:line="283" w:lineRule="auto"/>
              <w:jc w:val="center"/>
              <w:rPr>
                <w:rFonts w:eastAsia="Times New Roman"/>
                <w:lang w:eastAsia="ru-RU"/>
              </w:rPr>
            </w:pPr>
            <w:r w:rsidRPr="009A4C46">
              <w:rPr>
                <w:rFonts w:eastAsia="Times New Roman"/>
                <w:lang w:eastAsia="ru-RU"/>
              </w:rPr>
              <w:t>3 336,93</w:t>
            </w:r>
          </w:p>
        </w:tc>
        <w:tc>
          <w:tcPr>
            <w:tcW w:w="562" w:type="pct"/>
            <w:shd w:val="clear" w:color="auto" w:fill="auto"/>
            <w:noWrap/>
            <w:vAlign w:val="center"/>
            <w:hideMark/>
          </w:tcPr>
          <w:p w14:paraId="5FAA5F61" w14:textId="77777777" w:rsidR="009A4C46" w:rsidRPr="009A4C46" w:rsidRDefault="009A4C46" w:rsidP="00CB5AA8">
            <w:pPr>
              <w:spacing w:after="0" w:line="283" w:lineRule="auto"/>
              <w:jc w:val="center"/>
              <w:rPr>
                <w:rFonts w:eastAsia="Times New Roman"/>
                <w:lang w:eastAsia="ru-RU"/>
              </w:rPr>
            </w:pPr>
            <w:r w:rsidRPr="009A4C46">
              <w:rPr>
                <w:rFonts w:eastAsia="Times New Roman"/>
                <w:lang w:eastAsia="ru-RU"/>
              </w:rPr>
              <w:t>3 515,49</w:t>
            </w:r>
          </w:p>
        </w:tc>
      </w:tr>
      <w:tr w:rsidR="009A4C46" w:rsidRPr="009A4C46" w14:paraId="41010A49" w14:textId="77777777" w:rsidTr="0063188C">
        <w:trPr>
          <w:trHeight w:val="300"/>
        </w:trPr>
        <w:tc>
          <w:tcPr>
            <w:tcW w:w="380" w:type="pct"/>
            <w:shd w:val="clear" w:color="auto" w:fill="auto"/>
            <w:noWrap/>
            <w:vAlign w:val="bottom"/>
            <w:hideMark/>
          </w:tcPr>
          <w:p w14:paraId="4D59BF62" w14:textId="77777777" w:rsidR="009A4C46" w:rsidRPr="009A4C46" w:rsidRDefault="009A4C46" w:rsidP="00CB5AA8">
            <w:pPr>
              <w:spacing w:after="0" w:line="283" w:lineRule="auto"/>
              <w:rPr>
                <w:rFonts w:eastAsia="Times New Roman"/>
                <w:lang w:eastAsia="ru-RU"/>
              </w:rPr>
            </w:pPr>
            <w:r w:rsidRPr="009A4C46">
              <w:rPr>
                <w:rFonts w:eastAsia="Times New Roman"/>
                <w:lang w:eastAsia="ru-RU"/>
              </w:rPr>
              <w:t> </w:t>
            </w:r>
          </w:p>
        </w:tc>
        <w:tc>
          <w:tcPr>
            <w:tcW w:w="2518" w:type="pct"/>
            <w:shd w:val="clear" w:color="auto" w:fill="auto"/>
            <w:vAlign w:val="center"/>
            <w:hideMark/>
          </w:tcPr>
          <w:p w14:paraId="070FE3E7" w14:textId="77777777" w:rsidR="009A4C46" w:rsidRPr="009A4C46" w:rsidRDefault="009A4C46" w:rsidP="00CB5AA8">
            <w:pPr>
              <w:spacing w:after="0" w:line="283" w:lineRule="auto"/>
              <w:rPr>
                <w:rFonts w:eastAsia="Times New Roman"/>
                <w:lang w:eastAsia="ru-RU"/>
              </w:rPr>
            </w:pPr>
            <w:r w:rsidRPr="009A4C46">
              <w:rPr>
                <w:rFonts w:eastAsia="Times New Roman"/>
                <w:lang w:eastAsia="ru-RU"/>
              </w:rPr>
              <w:t>Население</w:t>
            </w:r>
          </w:p>
        </w:tc>
        <w:tc>
          <w:tcPr>
            <w:tcW w:w="527" w:type="pct"/>
            <w:shd w:val="clear" w:color="auto" w:fill="auto"/>
            <w:noWrap/>
            <w:vAlign w:val="center"/>
            <w:hideMark/>
          </w:tcPr>
          <w:p w14:paraId="07A6CB78" w14:textId="77777777" w:rsidR="009A4C46" w:rsidRPr="009A4C46" w:rsidRDefault="009A4C46" w:rsidP="00CB5AA8">
            <w:pPr>
              <w:spacing w:after="0" w:line="283" w:lineRule="auto"/>
              <w:jc w:val="center"/>
              <w:rPr>
                <w:rFonts w:eastAsia="Times New Roman"/>
                <w:lang w:eastAsia="ru-RU"/>
              </w:rPr>
            </w:pPr>
          </w:p>
        </w:tc>
        <w:tc>
          <w:tcPr>
            <w:tcW w:w="451" w:type="pct"/>
            <w:shd w:val="clear" w:color="auto" w:fill="auto"/>
            <w:noWrap/>
            <w:vAlign w:val="center"/>
            <w:hideMark/>
          </w:tcPr>
          <w:p w14:paraId="24D87710" w14:textId="77777777" w:rsidR="009A4C46" w:rsidRPr="009A4C46" w:rsidRDefault="009A4C46" w:rsidP="00CB5AA8">
            <w:pPr>
              <w:spacing w:after="0" w:line="283" w:lineRule="auto"/>
              <w:jc w:val="center"/>
              <w:rPr>
                <w:rFonts w:eastAsia="Times New Roman"/>
                <w:lang w:eastAsia="ru-RU"/>
              </w:rPr>
            </w:pPr>
          </w:p>
        </w:tc>
        <w:tc>
          <w:tcPr>
            <w:tcW w:w="562" w:type="pct"/>
            <w:shd w:val="clear" w:color="auto" w:fill="auto"/>
            <w:noWrap/>
            <w:vAlign w:val="center"/>
            <w:hideMark/>
          </w:tcPr>
          <w:p w14:paraId="1F5C6AB2" w14:textId="77777777" w:rsidR="009A4C46" w:rsidRPr="009A4C46" w:rsidRDefault="009A4C46" w:rsidP="00CB5AA8">
            <w:pPr>
              <w:spacing w:after="0" w:line="283" w:lineRule="auto"/>
              <w:jc w:val="center"/>
              <w:rPr>
                <w:rFonts w:eastAsia="Times New Roman"/>
                <w:lang w:eastAsia="ru-RU"/>
              </w:rPr>
            </w:pPr>
          </w:p>
        </w:tc>
        <w:tc>
          <w:tcPr>
            <w:tcW w:w="562" w:type="pct"/>
            <w:shd w:val="clear" w:color="auto" w:fill="auto"/>
            <w:noWrap/>
            <w:vAlign w:val="center"/>
            <w:hideMark/>
          </w:tcPr>
          <w:p w14:paraId="3775E5E3" w14:textId="77777777" w:rsidR="009A4C46" w:rsidRPr="009A4C46" w:rsidRDefault="009A4C46" w:rsidP="00CB5AA8">
            <w:pPr>
              <w:spacing w:after="0" w:line="283" w:lineRule="auto"/>
              <w:jc w:val="center"/>
              <w:rPr>
                <w:rFonts w:eastAsia="Times New Roman"/>
                <w:lang w:eastAsia="ru-RU"/>
              </w:rPr>
            </w:pPr>
          </w:p>
        </w:tc>
      </w:tr>
      <w:tr w:rsidR="009A4C46" w:rsidRPr="009A4C46" w14:paraId="02A53EF6" w14:textId="77777777" w:rsidTr="0063188C">
        <w:trPr>
          <w:trHeight w:val="300"/>
        </w:trPr>
        <w:tc>
          <w:tcPr>
            <w:tcW w:w="380" w:type="pct"/>
            <w:shd w:val="clear" w:color="auto" w:fill="auto"/>
            <w:noWrap/>
            <w:vAlign w:val="bottom"/>
            <w:hideMark/>
          </w:tcPr>
          <w:p w14:paraId="5FF45DAC" w14:textId="77777777" w:rsidR="009A4C46" w:rsidRPr="009A4C46" w:rsidRDefault="009A4C46" w:rsidP="00CB5AA8">
            <w:pPr>
              <w:spacing w:after="0" w:line="283" w:lineRule="auto"/>
              <w:rPr>
                <w:rFonts w:eastAsia="Times New Roman"/>
                <w:lang w:eastAsia="ru-RU"/>
              </w:rPr>
            </w:pPr>
            <w:r w:rsidRPr="009A4C46">
              <w:rPr>
                <w:rFonts w:eastAsia="Times New Roman"/>
                <w:lang w:eastAsia="ru-RU"/>
              </w:rPr>
              <w:t> </w:t>
            </w:r>
          </w:p>
        </w:tc>
        <w:tc>
          <w:tcPr>
            <w:tcW w:w="2518" w:type="pct"/>
            <w:shd w:val="clear" w:color="auto" w:fill="auto"/>
            <w:vAlign w:val="center"/>
            <w:hideMark/>
          </w:tcPr>
          <w:p w14:paraId="3CBA7071" w14:textId="77777777" w:rsidR="009A4C46" w:rsidRPr="009A4C46" w:rsidRDefault="009A4C46" w:rsidP="00CB5AA8">
            <w:pPr>
              <w:spacing w:after="0" w:line="283" w:lineRule="auto"/>
              <w:rPr>
                <w:rFonts w:eastAsia="Times New Roman"/>
                <w:lang w:eastAsia="ru-RU"/>
              </w:rPr>
            </w:pPr>
            <w:r w:rsidRPr="009A4C46">
              <w:rPr>
                <w:rFonts w:eastAsia="Times New Roman"/>
                <w:lang w:eastAsia="ru-RU"/>
              </w:rPr>
              <w:t>городское</w:t>
            </w:r>
          </w:p>
        </w:tc>
        <w:tc>
          <w:tcPr>
            <w:tcW w:w="527" w:type="pct"/>
            <w:shd w:val="clear" w:color="auto" w:fill="auto"/>
            <w:noWrap/>
            <w:vAlign w:val="center"/>
            <w:hideMark/>
          </w:tcPr>
          <w:p w14:paraId="57787A8A" w14:textId="77777777" w:rsidR="009A4C46" w:rsidRPr="009A4C46" w:rsidRDefault="009A4C46" w:rsidP="00CB5AA8">
            <w:pPr>
              <w:spacing w:after="0" w:line="283" w:lineRule="auto"/>
              <w:jc w:val="center"/>
              <w:rPr>
                <w:rFonts w:eastAsia="Times New Roman"/>
                <w:lang w:eastAsia="ru-RU"/>
              </w:rPr>
            </w:pPr>
          </w:p>
        </w:tc>
        <w:tc>
          <w:tcPr>
            <w:tcW w:w="451" w:type="pct"/>
            <w:shd w:val="clear" w:color="auto" w:fill="auto"/>
            <w:noWrap/>
            <w:vAlign w:val="center"/>
            <w:hideMark/>
          </w:tcPr>
          <w:p w14:paraId="4401D1A8" w14:textId="49F02F62" w:rsidR="009A4C46" w:rsidRPr="009A4C46" w:rsidRDefault="009A4C46" w:rsidP="00CB5AA8">
            <w:pPr>
              <w:spacing w:after="0" w:line="283" w:lineRule="auto"/>
              <w:jc w:val="center"/>
              <w:rPr>
                <w:rFonts w:eastAsia="Times New Roman"/>
                <w:lang w:eastAsia="ru-RU"/>
              </w:rPr>
            </w:pPr>
            <w:r w:rsidRPr="009A4C46">
              <w:rPr>
                <w:rFonts w:eastAsia="Times New Roman"/>
                <w:lang w:eastAsia="ru-RU"/>
              </w:rPr>
              <w:t>руб./МВт</w:t>
            </w:r>
            <w:r w:rsidR="00CC0E12">
              <w:rPr>
                <w:rFonts w:eastAsia="Times New Roman"/>
                <w:lang w:eastAsia="ru-RU"/>
              </w:rPr>
              <w:t>*</w:t>
            </w:r>
            <w:r w:rsidRPr="009A4C46">
              <w:rPr>
                <w:rFonts w:eastAsia="Times New Roman"/>
                <w:lang w:eastAsia="ru-RU"/>
              </w:rPr>
              <w:t>ч</w:t>
            </w:r>
          </w:p>
        </w:tc>
        <w:tc>
          <w:tcPr>
            <w:tcW w:w="562" w:type="pct"/>
            <w:shd w:val="clear" w:color="auto" w:fill="auto"/>
            <w:noWrap/>
            <w:vAlign w:val="center"/>
            <w:hideMark/>
          </w:tcPr>
          <w:p w14:paraId="14D4E57D" w14:textId="77777777" w:rsidR="009A4C46" w:rsidRPr="009A4C46" w:rsidRDefault="009A4C46" w:rsidP="00CB5AA8">
            <w:pPr>
              <w:spacing w:after="0" w:line="283" w:lineRule="auto"/>
              <w:jc w:val="center"/>
              <w:rPr>
                <w:rFonts w:eastAsia="Times New Roman"/>
                <w:lang w:eastAsia="ru-RU"/>
              </w:rPr>
            </w:pPr>
            <w:r w:rsidRPr="009A4C46">
              <w:rPr>
                <w:rFonts w:eastAsia="Times New Roman"/>
                <w:lang w:eastAsia="ru-RU"/>
              </w:rPr>
              <w:t>1 928,23</w:t>
            </w:r>
          </w:p>
        </w:tc>
        <w:tc>
          <w:tcPr>
            <w:tcW w:w="562" w:type="pct"/>
            <w:shd w:val="clear" w:color="auto" w:fill="auto"/>
            <w:noWrap/>
            <w:vAlign w:val="center"/>
            <w:hideMark/>
          </w:tcPr>
          <w:p w14:paraId="46749C84" w14:textId="77777777" w:rsidR="009A4C46" w:rsidRPr="009A4C46" w:rsidRDefault="009A4C46" w:rsidP="00CB5AA8">
            <w:pPr>
              <w:spacing w:after="0" w:line="283" w:lineRule="auto"/>
              <w:jc w:val="center"/>
              <w:rPr>
                <w:rFonts w:eastAsia="Times New Roman"/>
                <w:lang w:eastAsia="ru-RU"/>
              </w:rPr>
            </w:pPr>
            <w:r w:rsidRPr="009A4C46">
              <w:rPr>
                <w:rFonts w:eastAsia="Times New Roman"/>
                <w:lang w:eastAsia="ru-RU"/>
              </w:rPr>
              <w:t>2 031,62</w:t>
            </w:r>
          </w:p>
        </w:tc>
      </w:tr>
      <w:tr w:rsidR="009A4C46" w:rsidRPr="009A4C46" w14:paraId="61C3BB90" w14:textId="77777777" w:rsidTr="0063188C">
        <w:trPr>
          <w:trHeight w:val="300"/>
        </w:trPr>
        <w:tc>
          <w:tcPr>
            <w:tcW w:w="380" w:type="pct"/>
            <w:shd w:val="clear" w:color="auto" w:fill="auto"/>
            <w:noWrap/>
            <w:vAlign w:val="bottom"/>
            <w:hideMark/>
          </w:tcPr>
          <w:p w14:paraId="186D1007" w14:textId="77777777" w:rsidR="009A4C46" w:rsidRPr="009A4C46" w:rsidRDefault="009A4C46" w:rsidP="00CB5AA8">
            <w:pPr>
              <w:spacing w:after="0" w:line="283" w:lineRule="auto"/>
              <w:rPr>
                <w:rFonts w:eastAsia="Times New Roman"/>
                <w:lang w:eastAsia="ru-RU"/>
              </w:rPr>
            </w:pPr>
            <w:r w:rsidRPr="009A4C46">
              <w:rPr>
                <w:rFonts w:eastAsia="Times New Roman"/>
                <w:lang w:eastAsia="ru-RU"/>
              </w:rPr>
              <w:t> </w:t>
            </w:r>
          </w:p>
        </w:tc>
        <w:tc>
          <w:tcPr>
            <w:tcW w:w="2518" w:type="pct"/>
            <w:shd w:val="clear" w:color="auto" w:fill="auto"/>
            <w:vAlign w:val="center"/>
            <w:hideMark/>
          </w:tcPr>
          <w:p w14:paraId="2B0C99EA" w14:textId="77777777" w:rsidR="009A4C46" w:rsidRPr="009A4C46" w:rsidRDefault="009A4C46" w:rsidP="00CB5AA8">
            <w:pPr>
              <w:spacing w:after="0" w:line="283" w:lineRule="auto"/>
              <w:rPr>
                <w:rFonts w:eastAsia="Times New Roman"/>
                <w:lang w:eastAsia="ru-RU"/>
              </w:rPr>
            </w:pPr>
            <w:r w:rsidRPr="009A4C46">
              <w:rPr>
                <w:rFonts w:eastAsia="Times New Roman"/>
                <w:lang w:eastAsia="ru-RU"/>
              </w:rPr>
              <w:t>сельское</w:t>
            </w:r>
          </w:p>
        </w:tc>
        <w:tc>
          <w:tcPr>
            <w:tcW w:w="527" w:type="pct"/>
            <w:shd w:val="clear" w:color="auto" w:fill="auto"/>
            <w:noWrap/>
            <w:vAlign w:val="center"/>
            <w:hideMark/>
          </w:tcPr>
          <w:p w14:paraId="1D79676C" w14:textId="77777777" w:rsidR="009A4C46" w:rsidRPr="009A4C46" w:rsidRDefault="009A4C46" w:rsidP="00CB5AA8">
            <w:pPr>
              <w:spacing w:after="0" w:line="283" w:lineRule="auto"/>
              <w:jc w:val="center"/>
              <w:rPr>
                <w:rFonts w:eastAsia="Times New Roman"/>
                <w:lang w:eastAsia="ru-RU"/>
              </w:rPr>
            </w:pPr>
          </w:p>
        </w:tc>
        <w:tc>
          <w:tcPr>
            <w:tcW w:w="451" w:type="pct"/>
            <w:shd w:val="clear" w:color="auto" w:fill="auto"/>
            <w:noWrap/>
            <w:vAlign w:val="center"/>
            <w:hideMark/>
          </w:tcPr>
          <w:p w14:paraId="558163AA" w14:textId="1E56AFC6" w:rsidR="009A4C46" w:rsidRPr="009A4C46" w:rsidRDefault="009A4C46" w:rsidP="00CB5AA8">
            <w:pPr>
              <w:spacing w:after="0" w:line="283" w:lineRule="auto"/>
              <w:jc w:val="center"/>
              <w:rPr>
                <w:rFonts w:eastAsia="Times New Roman"/>
                <w:lang w:eastAsia="ru-RU"/>
              </w:rPr>
            </w:pPr>
            <w:r w:rsidRPr="009A4C46">
              <w:rPr>
                <w:rFonts w:eastAsia="Times New Roman"/>
                <w:lang w:eastAsia="ru-RU"/>
              </w:rPr>
              <w:t>руб./МВт</w:t>
            </w:r>
            <w:r w:rsidR="00CC0E12">
              <w:rPr>
                <w:rFonts w:eastAsia="Times New Roman"/>
                <w:lang w:eastAsia="ru-RU"/>
              </w:rPr>
              <w:t>*</w:t>
            </w:r>
            <w:r w:rsidRPr="009A4C46">
              <w:rPr>
                <w:rFonts w:eastAsia="Times New Roman"/>
                <w:lang w:eastAsia="ru-RU"/>
              </w:rPr>
              <w:t>ч</w:t>
            </w:r>
          </w:p>
        </w:tc>
        <w:tc>
          <w:tcPr>
            <w:tcW w:w="562" w:type="pct"/>
            <w:shd w:val="clear" w:color="auto" w:fill="auto"/>
            <w:noWrap/>
            <w:vAlign w:val="center"/>
            <w:hideMark/>
          </w:tcPr>
          <w:p w14:paraId="5FD94AE5" w14:textId="77777777" w:rsidR="009A4C46" w:rsidRPr="009A4C46" w:rsidRDefault="009A4C46" w:rsidP="00CB5AA8">
            <w:pPr>
              <w:spacing w:after="0" w:line="283" w:lineRule="auto"/>
              <w:jc w:val="center"/>
              <w:rPr>
                <w:rFonts w:eastAsia="Times New Roman"/>
                <w:lang w:eastAsia="ru-RU"/>
              </w:rPr>
            </w:pPr>
            <w:r w:rsidRPr="009A4C46">
              <w:rPr>
                <w:rFonts w:eastAsia="Times New Roman"/>
                <w:lang w:eastAsia="ru-RU"/>
              </w:rPr>
              <w:t>1 123,14</w:t>
            </w:r>
          </w:p>
        </w:tc>
        <w:tc>
          <w:tcPr>
            <w:tcW w:w="562" w:type="pct"/>
            <w:shd w:val="clear" w:color="auto" w:fill="auto"/>
            <w:noWrap/>
            <w:vAlign w:val="center"/>
            <w:hideMark/>
          </w:tcPr>
          <w:p w14:paraId="2E1B20BD" w14:textId="77777777" w:rsidR="009A4C46" w:rsidRPr="009A4C46" w:rsidRDefault="009A4C46" w:rsidP="00CB5AA8">
            <w:pPr>
              <w:spacing w:after="0" w:line="283" w:lineRule="auto"/>
              <w:jc w:val="center"/>
              <w:rPr>
                <w:rFonts w:eastAsia="Times New Roman"/>
                <w:lang w:eastAsia="ru-RU"/>
              </w:rPr>
            </w:pPr>
            <w:r w:rsidRPr="009A4C46">
              <w:rPr>
                <w:rFonts w:eastAsia="Times New Roman"/>
                <w:lang w:eastAsia="ru-RU"/>
              </w:rPr>
              <w:t>1 192,64</w:t>
            </w:r>
          </w:p>
        </w:tc>
      </w:tr>
      <w:tr w:rsidR="009A4C46" w:rsidRPr="009A4C46" w14:paraId="4744CB49" w14:textId="77777777" w:rsidTr="0063188C">
        <w:trPr>
          <w:trHeight w:val="300"/>
        </w:trPr>
        <w:tc>
          <w:tcPr>
            <w:tcW w:w="380" w:type="pct"/>
            <w:shd w:val="clear" w:color="auto" w:fill="auto"/>
            <w:noWrap/>
            <w:vAlign w:val="center"/>
            <w:hideMark/>
          </w:tcPr>
          <w:p w14:paraId="2CFF7967" w14:textId="77777777" w:rsidR="009A4C46" w:rsidRPr="009A4C46" w:rsidRDefault="009A4C46" w:rsidP="00CB5AA8">
            <w:pPr>
              <w:spacing w:after="0" w:line="283" w:lineRule="auto"/>
              <w:rPr>
                <w:rFonts w:eastAsia="Times New Roman"/>
                <w:lang w:eastAsia="ru-RU"/>
              </w:rPr>
            </w:pPr>
            <w:r w:rsidRPr="009A4C46">
              <w:rPr>
                <w:rFonts w:eastAsia="Times New Roman"/>
                <w:lang w:eastAsia="ru-RU"/>
              </w:rPr>
              <w:t>8</w:t>
            </w:r>
          </w:p>
        </w:tc>
        <w:tc>
          <w:tcPr>
            <w:tcW w:w="2518" w:type="pct"/>
            <w:shd w:val="clear" w:color="auto" w:fill="auto"/>
            <w:noWrap/>
            <w:vAlign w:val="bottom"/>
            <w:hideMark/>
          </w:tcPr>
          <w:p w14:paraId="5FE12215" w14:textId="77777777" w:rsidR="009A4C46" w:rsidRPr="009A4C46" w:rsidRDefault="009A4C46" w:rsidP="00CB5AA8">
            <w:pPr>
              <w:spacing w:after="0" w:line="283" w:lineRule="auto"/>
              <w:rPr>
                <w:rFonts w:eastAsia="Times New Roman"/>
                <w:lang w:eastAsia="ru-RU"/>
              </w:rPr>
            </w:pPr>
            <w:r w:rsidRPr="009A4C46">
              <w:rPr>
                <w:rFonts w:eastAsia="Times New Roman"/>
                <w:lang w:eastAsia="ru-RU"/>
              </w:rPr>
              <w:t>Фактические объемы оказанных услуг</w:t>
            </w:r>
          </w:p>
        </w:tc>
        <w:tc>
          <w:tcPr>
            <w:tcW w:w="527" w:type="pct"/>
            <w:shd w:val="clear" w:color="auto" w:fill="auto"/>
            <w:noWrap/>
            <w:vAlign w:val="center"/>
            <w:hideMark/>
          </w:tcPr>
          <w:p w14:paraId="5AE56C46" w14:textId="77777777" w:rsidR="009A4C46" w:rsidRPr="009A4C46" w:rsidRDefault="009A4C46" w:rsidP="00CB5AA8">
            <w:pPr>
              <w:spacing w:after="0" w:line="283" w:lineRule="auto"/>
              <w:jc w:val="center"/>
              <w:rPr>
                <w:rFonts w:eastAsia="Times New Roman"/>
                <w:lang w:eastAsia="ru-RU"/>
              </w:rPr>
            </w:pPr>
          </w:p>
        </w:tc>
        <w:tc>
          <w:tcPr>
            <w:tcW w:w="451" w:type="pct"/>
            <w:shd w:val="clear" w:color="auto" w:fill="auto"/>
            <w:noWrap/>
            <w:vAlign w:val="center"/>
            <w:hideMark/>
          </w:tcPr>
          <w:p w14:paraId="2E77A1CE" w14:textId="77777777" w:rsidR="009A4C46" w:rsidRPr="009A4C46" w:rsidRDefault="009A4C46" w:rsidP="00CB5AA8">
            <w:pPr>
              <w:spacing w:after="0" w:line="283" w:lineRule="auto"/>
              <w:jc w:val="center"/>
              <w:rPr>
                <w:rFonts w:eastAsia="Times New Roman"/>
                <w:lang w:eastAsia="ru-RU"/>
              </w:rPr>
            </w:pPr>
          </w:p>
        </w:tc>
        <w:tc>
          <w:tcPr>
            <w:tcW w:w="562" w:type="pct"/>
            <w:shd w:val="clear" w:color="auto" w:fill="auto"/>
            <w:noWrap/>
            <w:vAlign w:val="center"/>
            <w:hideMark/>
          </w:tcPr>
          <w:p w14:paraId="3E8736A6" w14:textId="77777777" w:rsidR="009A4C46" w:rsidRPr="009A4C46" w:rsidRDefault="009A4C46" w:rsidP="00CB5AA8">
            <w:pPr>
              <w:spacing w:after="0" w:line="283" w:lineRule="auto"/>
              <w:jc w:val="center"/>
              <w:rPr>
                <w:rFonts w:eastAsia="Times New Roman"/>
                <w:lang w:eastAsia="ru-RU"/>
              </w:rPr>
            </w:pPr>
          </w:p>
        </w:tc>
        <w:tc>
          <w:tcPr>
            <w:tcW w:w="562" w:type="pct"/>
            <w:shd w:val="clear" w:color="auto" w:fill="auto"/>
            <w:noWrap/>
            <w:vAlign w:val="center"/>
            <w:hideMark/>
          </w:tcPr>
          <w:p w14:paraId="64485DD6" w14:textId="77777777" w:rsidR="009A4C46" w:rsidRPr="009A4C46" w:rsidRDefault="009A4C46" w:rsidP="00CB5AA8">
            <w:pPr>
              <w:spacing w:after="0" w:line="283" w:lineRule="auto"/>
              <w:jc w:val="center"/>
              <w:rPr>
                <w:rFonts w:eastAsia="Times New Roman"/>
                <w:lang w:eastAsia="ru-RU"/>
              </w:rPr>
            </w:pPr>
          </w:p>
        </w:tc>
      </w:tr>
      <w:tr w:rsidR="009A4C46" w:rsidRPr="009A4C46" w14:paraId="655AA454" w14:textId="77777777" w:rsidTr="0063188C">
        <w:trPr>
          <w:trHeight w:val="300"/>
        </w:trPr>
        <w:tc>
          <w:tcPr>
            <w:tcW w:w="380" w:type="pct"/>
            <w:shd w:val="clear" w:color="auto" w:fill="auto"/>
            <w:noWrap/>
            <w:vAlign w:val="bottom"/>
            <w:hideMark/>
          </w:tcPr>
          <w:p w14:paraId="3537829E" w14:textId="77777777" w:rsidR="009A4C46" w:rsidRPr="009A4C46" w:rsidRDefault="009A4C46" w:rsidP="00CB5AA8">
            <w:pPr>
              <w:spacing w:after="0" w:line="283" w:lineRule="auto"/>
              <w:rPr>
                <w:rFonts w:eastAsia="Times New Roman"/>
                <w:lang w:eastAsia="ru-RU"/>
              </w:rPr>
            </w:pPr>
            <w:r w:rsidRPr="009A4C46">
              <w:rPr>
                <w:rFonts w:eastAsia="Times New Roman"/>
                <w:lang w:eastAsia="ru-RU"/>
              </w:rPr>
              <w:t> </w:t>
            </w:r>
          </w:p>
        </w:tc>
        <w:tc>
          <w:tcPr>
            <w:tcW w:w="2518" w:type="pct"/>
            <w:shd w:val="clear" w:color="auto" w:fill="auto"/>
            <w:vAlign w:val="center"/>
            <w:hideMark/>
          </w:tcPr>
          <w:p w14:paraId="2D9AABBC" w14:textId="77777777" w:rsidR="009A4C46" w:rsidRPr="009A4C46" w:rsidRDefault="009A4C46" w:rsidP="00CB5AA8">
            <w:pPr>
              <w:spacing w:after="0" w:line="283" w:lineRule="auto"/>
              <w:rPr>
                <w:rFonts w:eastAsia="Times New Roman"/>
                <w:lang w:eastAsia="ru-RU"/>
              </w:rPr>
            </w:pPr>
            <w:r w:rsidRPr="009A4C46">
              <w:rPr>
                <w:rFonts w:eastAsia="Times New Roman"/>
                <w:lang w:eastAsia="ru-RU"/>
              </w:rPr>
              <w:t>Прочие потребители</w:t>
            </w:r>
          </w:p>
        </w:tc>
        <w:tc>
          <w:tcPr>
            <w:tcW w:w="527" w:type="pct"/>
            <w:shd w:val="clear" w:color="auto" w:fill="auto"/>
            <w:noWrap/>
            <w:vAlign w:val="bottom"/>
            <w:hideMark/>
          </w:tcPr>
          <w:p w14:paraId="21BB17F3" w14:textId="77777777" w:rsidR="009A4C46" w:rsidRPr="009A4C46" w:rsidRDefault="009A4C46" w:rsidP="00CB5AA8">
            <w:pPr>
              <w:spacing w:after="0" w:line="283" w:lineRule="auto"/>
              <w:jc w:val="center"/>
              <w:rPr>
                <w:rFonts w:eastAsia="Times New Roman"/>
                <w:lang w:eastAsia="ru-RU"/>
              </w:rPr>
            </w:pPr>
          </w:p>
        </w:tc>
        <w:tc>
          <w:tcPr>
            <w:tcW w:w="451" w:type="pct"/>
            <w:shd w:val="clear" w:color="auto" w:fill="auto"/>
            <w:noWrap/>
            <w:vAlign w:val="center"/>
            <w:hideMark/>
          </w:tcPr>
          <w:p w14:paraId="21929826" w14:textId="77777777" w:rsidR="009A4C46" w:rsidRPr="009A4C46" w:rsidRDefault="009A4C46" w:rsidP="00CB5AA8">
            <w:pPr>
              <w:spacing w:after="0" w:line="283" w:lineRule="auto"/>
              <w:jc w:val="center"/>
              <w:rPr>
                <w:rFonts w:eastAsia="Times New Roman"/>
                <w:lang w:eastAsia="ru-RU"/>
              </w:rPr>
            </w:pPr>
          </w:p>
        </w:tc>
        <w:tc>
          <w:tcPr>
            <w:tcW w:w="562" w:type="pct"/>
            <w:shd w:val="clear" w:color="auto" w:fill="auto"/>
            <w:noWrap/>
            <w:vAlign w:val="center"/>
            <w:hideMark/>
          </w:tcPr>
          <w:p w14:paraId="0FE3BF9A" w14:textId="77777777" w:rsidR="009A4C46" w:rsidRPr="009A4C46" w:rsidRDefault="009A4C46" w:rsidP="00CB5AA8">
            <w:pPr>
              <w:spacing w:after="0" w:line="283" w:lineRule="auto"/>
              <w:jc w:val="center"/>
              <w:rPr>
                <w:rFonts w:eastAsia="Times New Roman"/>
                <w:lang w:eastAsia="ru-RU"/>
              </w:rPr>
            </w:pPr>
          </w:p>
        </w:tc>
        <w:tc>
          <w:tcPr>
            <w:tcW w:w="562" w:type="pct"/>
            <w:shd w:val="clear" w:color="auto" w:fill="auto"/>
            <w:noWrap/>
            <w:vAlign w:val="center"/>
            <w:hideMark/>
          </w:tcPr>
          <w:p w14:paraId="2F3A2999" w14:textId="77777777" w:rsidR="009A4C46" w:rsidRPr="009A4C46" w:rsidRDefault="009A4C46" w:rsidP="00CB5AA8">
            <w:pPr>
              <w:spacing w:after="0" w:line="283" w:lineRule="auto"/>
              <w:jc w:val="center"/>
              <w:rPr>
                <w:rFonts w:eastAsia="Times New Roman"/>
                <w:lang w:eastAsia="ru-RU"/>
              </w:rPr>
            </w:pPr>
          </w:p>
        </w:tc>
      </w:tr>
      <w:tr w:rsidR="009A4C46" w:rsidRPr="009A4C46" w14:paraId="6B41FC54" w14:textId="77777777" w:rsidTr="0063188C">
        <w:trPr>
          <w:trHeight w:val="300"/>
        </w:trPr>
        <w:tc>
          <w:tcPr>
            <w:tcW w:w="380" w:type="pct"/>
            <w:shd w:val="clear" w:color="auto" w:fill="auto"/>
            <w:noWrap/>
            <w:vAlign w:val="bottom"/>
            <w:hideMark/>
          </w:tcPr>
          <w:p w14:paraId="615F0ADF" w14:textId="77777777" w:rsidR="009A4C46" w:rsidRPr="009A4C46" w:rsidRDefault="009A4C46" w:rsidP="00CB5AA8">
            <w:pPr>
              <w:spacing w:after="0" w:line="283" w:lineRule="auto"/>
              <w:rPr>
                <w:rFonts w:eastAsia="Times New Roman"/>
                <w:lang w:eastAsia="ru-RU"/>
              </w:rPr>
            </w:pPr>
            <w:r w:rsidRPr="009A4C46">
              <w:rPr>
                <w:rFonts w:eastAsia="Times New Roman"/>
                <w:lang w:eastAsia="ru-RU"/>
              </w:rPr>
              <w:t> </w:t>
            </w:r>
          </w:p>
        </w:tc>
        <w:tc>
          <w:tcPr>
            <w:tcW w:w="2518" w:type="pct"/>
            <w:shd w:val="clear" w:color="auto" w:fill="auto"/>
            <w:vAlign w:val="center"/>
            <w:hideMark/>
          </w:tcPr>
          <w:p w14:paraId="1630FD7B" w14:textId="77777777" w:rsidR="009A4C46" w:rsidRPr="009A4C46" w:rsidRDefault="009A4C46" w:rsidP="00CB5AA8">
            <w:pPr>
              <w:spacing w:after="0" w:line="283" w:lineRule="auto"/>
              <w:rPr>
                <w:rFonts w:eastAsia="Times New Roman"/>
                <w:lang w:eastAsia="ru-RU"/>
              </w:rPr>
            </w:pPr>
            <w:r w:rsidRPr="009A4C46">
              <w:rPr>
                <w:rFonts w:eastAsia="Times New Roman"/>
                <w:lang w:eastAsia="ru-RU"/>
              </w:rPr>
              <w:t>ВН</w:t>
            </w:r>
          </w:p>
        </w:tc>
        <w:tc>
          <w:tcPr>
            <w:tcW w:w="527" w:type="pct"/>
            <w:shd w:val="clear" w:color="auto" w:fill="auto"/>
            <w:noWrap/>
            <w:vAlign w:val="bottom"/>
            <w:hideMark/>
          </w:tcPr>
          <w:p w14:paraId="707923CF" w14:textId="77777777" w:rsidR="009A4C46" w:rsidRPr="009A4C46" w:rsidRDefault="009A4C46" w:rsidP="00CB5AA8">
            <w:pPr>
              <w:spacing w:after="0" w:line="283" w:lineRule="auto"/>
              <w:jc w:val="center"/>
              <w:rPr>
                <w:rFonts w:eastAsia="Times New Roman"/>
                <w:lang w:eastAsia="ru-RU"/>
              </w:rPr>
            </w:pPr>
          </w:p>
        </w:tc>
        <w:tc>
          <w:tcPr>
            <w:tcW w:w="451" w:type="pct"/>
            <w:shd w:val="clear" w:color="auto" w:fill="auto"/>
            <w:noWrap/>
            <w:vAlign w:val="center"/>
            <w:hideMark/>
          </w:tcPr>
          <w:p w14:paraId="725FAB04" w14:textId="7EA20B5A" w:rsidR="009A4C46" w:rsidRPr="009A4C46" w:rsidRDefault="009A4C46" w:rsidP="00CB5AA8">
            <w:pPr>
              <w:spacing w:after="0" w:line="283" w:lineRule="auto"/>
              <w:jc w:val="center"/>
              <w:rPr>
                <w:rFonts w:eastAsia="Times New Roman"/>
                <w:lang w:eastAsia="ru-RU"/>
              </w:rPr>
            </w:pPr>
            <w:r w:rsidRPr="009A4C46">
              <w:rPr>
                <w:rFonts w:eastAsia="Times New Roman"/>
                <w:lang w:eastAsia="ru-RU"/>
              </w:rPr>
              <w:t>млн. кВт</w:t>
            </w:r>
            <w:r w:rsidR="00CC0E12">
              <w:rPr>
                <w:rFonts w:eastAsia="Times New Roman"/>
                <w:lang w:eastAsia="ru-RU"/>
              </w:rPr>
              <w:t>*</w:t>
            </w:r>
            <w:r w:rsidRPr="009A4C46">
              <w:rPr>
                <w:rFonts w:eastAsia="Times New Roman"/>
                <w:lang w:eastAsia="ru-RU"/>
              </w:rPr>
              <w:t>ч</w:t>
            </w:r>
          </w:p>
        </w:tc>
        <w:tc>
          <w:tcPr>
            <w:tcW w:w="562" w:type="pct"/>
            <w:shd w:val="clear" w:color="auto" w:fill="auto"/>
            <w:noWrap/>
            <w:vAlign w:val="bottom"/>
            <w:hideMark/>
          </w:tcPr>
          <w:p w14:paraId="5B30AB2B" w14:textId="77777777" w:rsidR="009A4C46" w:rsidRPr="009A4C46" w:rsidRDefault="009A4C46" w:rsidP="00CB5AA8">
            <w:pPr>
              <w:spacing w:after="0" w:line="283" w:lineRule="auto"/>
              <w:jc w:val="right"/>
              <w:rPr>
                <w:rFonts w:eastAsia="Times New Roman"/>
                <w:lang w:eastAsia="ru-RU"/>
              </w:rPr>
            </w:pPr>
            <w:r w:rsidRPr="009A4C46">
              <w:rPr>
                <w:rFonts w:eastAsia="Times New Roman"/>
                <w:lang w:eastAsia="ru-RU"/>
              </w:rPr>
              <w:t>14,529689</w:t>
            </w:r>
          </w:p>
        </w:tc>
        <w:tc>
          <w:tcPr>
            <w:tcW w:w="562" w:type="pct"/>
            <w:shd w:val="clear" w:color="auto" w:fill="auto"/>
            <w:noWrap/>
            <w:vAlign w:val="bottom"/>
            <w:hideMark/>
          </w:tcPr>
          <w:p w14:paraId="75236E0E" w14:textId="77777777" w:rsidR="009A4C46" w:rsidRPr="009A4C46" w:rsidRDefault="009A4C46" w:rsidP="00CB5AA8">
            <w:pPr>
              <w:spacing w:after="0" w:line="283" w:lineRule="auto"/>
              <w:jc w:val="right"/>
              <w:rPr>
                <w:rFonts w:eastAsia="Times New Roman"/>
                <w:lang w:eastAsia="ru-RU"/>
              </w:rPr>
            </w:pPr>
            <w:r w:rsidRPr="009A4C46">
              <w:rPr>
                <w:rFonts w:eastAsia="Times New Roman"/>
                <w:lang w:eastAsia="ru-RU"/>
              </w:rPr>
              <w:t>15,953406</w:t>
            </w:r>
          </w:p>
        </w:tc>
      </w:tr>
      <w:tr w:rsidR="009A4C46" w:rsidRPr="009A4C46" w14:paraId="18252226" w14:textId="77777777" w:rsidTr="0063188C">
        <w:trPr>
          <w:trHeight w:val="300"/>
        </w:trPr>
        <w:tc>
          <w:tcPr>
            <w:tcW w:w="380" w:type="pct"/>
            <w:shd w:val="clear" w:color="auto" w:fill="auto"/>
            <w:noWrap/>
            <w:vAlign w:val="bottom"/>
            <w:hideMark/>
          </w:tcPr>
          <w:p w14:paraId="5D7A1C6C" w14:textId="77777777" w:rsidR="009A4C46" w:rsidRPr="009A4C46" w:rsidRDefault="009A4C46" w:rsidP="00CB5AA8">
            <w:pPr>
              <w:spacing w:after="0" w:line="283" w:lineRule="auto"/>
              <w:rPr>
                <w:rFonts w:eastAsia="Times New Roman"/>
                <w:lang w:eastAsia="ru-RU"/>
              </w:rPr>
            </w:pPr>
            <w:r w:rsidRPr="009A4C46">
              <w:rPr>
                <w:rFonts w:eastAsia="Times New Roman"/>
                <w:lang w:eastAsia="ru-RU"/>
              </w:rPr>
              <w:t> </w:t>
            </w:r>
          </w:p>
        </w:tc>
        <w:tc>
          <w:tcPr>
            <w:tcW w:w="2518" w:type="pct"/>
            <w:shd w:val="clear" w:color="auto" w:fill="auto"/>
            <w:vAlign w:val="center"/>
            <w:hideMark/>
          </w:tcPr>
          <w:p w14:paraId="30A14975" w14:textId="77777777" w:rsidR="009A4C46" w:rsidRPr="009A4C46" w:rsidRDefault="009A4C46" w:rsidP="00CB5AA8">
            <w:pPr>
              <w:spacing w:after="0" w:line="283" w:lineRule="auto"/>
              <w:rPr>
                <w:rFonts w:eastAsia="Times New Roman"/>
                <w:lang w:eastAsia="ru-RU"/>
              </w:rPr>
            </w:pPr>
            <w:r w:rsidRPr="009A4C46">
              <w:rPr>
                <w:rFonts w:eastAsia="Times New Roman"/>
                <w:lang w:eastAsia="ru-RU"/>
              </w:rPr>
              <w:t>СН1</w:t>
            </w:r>
          </w:p>
        </w:tc>
        <w:tc>
          <w:tcPr>
            <w:tcW w:w="527" w:type="pct"/>
            <w:shd w:val="clear" w:color="auto" w:fill="auto"/>
            <w:noWrap/>
            <w:vAlign w:val="bottom"/>
            <w:hideMark/>
          </w:tcPr>
          <w:p w14:paraId="368BC866" w14:textId="77777777" w:rsidR="009A4C46" w:rsidRPr="009A4C46" w:rsidRDefault="009A4C46" w:rsidP="00CB5AA8">
            <w:pPr>
              <w:spacing w:after="0" w:line="283" w:lineRule="auto"/>
              <w:jc w:val="center"/>
              <w:rPr>
                <w:rFonts w:eastAsia="Times New Roman"/>
                <w:lang w:eastAsia="ru-RU"/>
              </w:rPr>
            </w:pPr>
          </w:p>
        </w:tc>
        <w:tc>
          <w:tcPr>
            <w:tcW w:w="451" w:type="pct"/>
            <w:shd w:val="clear" w:color="auto" w:fill="auto"/>
            <w:noWrap/>
            <w:vAlign w:val="center"/>
            <w:hideMark/>
          </w:tcPr>
          <w:p w14:paraId="2B93C20E" w14:textId="299A8664" w:rsidR="009A4C46" w:rsidRPr="009A4C46" w:rsidRDefault="009A4C46" w:rsidP="00CB5AA8">
            <w:pPr>
              <w:spacing w:after="0" w:line="283" w:lineRule="auto"/>
              <w:jc w:val="center"/>
              <w:rPr>
                <w:rFonts w:eastAsia="Times New Roman"/>
                <w:lang w:eastAsia="ru-RU"/>
              </w:rPr>
            </w:pPr>
            <w:r w:rsidRPr="009A4C46">
              <w:rPr>
                <w:rFonts w:eastAsia="Times New Roman"/>
                <w:lang w:eastAsia="ru-RU"/>
              </w:rPr>
              <w:t>млн. кВт</w:t>
            </w:r>
            <w:r w:rsidR="00CC0E12">
              <w:rPr>
                <w:rFonts w:eastAsia="Times New Roman"/>
                <w:lang w:eastAsia="ru-RU"/>
              </w:rPr>
              <w:t>*</w:t>
            </w:r>
            <w:r w:rsidRPr="009A4C46">
              <w:rPr>
                <w:rFonts w:eastAsia="Times New Roman"/>
                <w:lang w:eastAsia="ru-RU"/>
              </w:rPr>
              <w:t>ч</w:t>
            </w:r>
          </w:p>
        </w:tc>
        <w:tc>
          <w:tcPr>
            <w:tcW w:w="562" w:type="pct"/>
            <w:shd w:val="clear" w:color="auto" w:fill="auto"/>
            <w:noWrap/>
            <w:vAlign w:val="bottom"/>
            <w:hideMark/>
          </w:tcPr>
          <w:p w14:paraId="5E88541F" w14:textId="77777777" w:rsidR="009A4C46" w:rsidRPr="009A4C46" w:rsidRDefault="009A4C46" w:rsidP="00CB5AA8">
            <w:pPr>
              <w:spacing w:after="0" w:line="283" w:lineRule="auto"/>
              <w:jc w:val="right"/>
              <w:rPr>
                <w:rFonts w:eastAsia="Times New Roman"/>
                <w:lang w:eastAsia="ru-RU"/>
              </w:rPr>
            </w:pPr>
            <w:r w:rsidRPr="009A4C46">
              <w:rPr>
                <w:rFonts w:eastAsia="Times New Roman"/>
                <w:lang w:eastAsia="ru-RU"/>
              </w:rPr>
              <w:t>8,296588</w:t>
            </w:r>
          </w:p>
        </w:tc>
        <w:tc>
          <w:tcPr>
            <w:tcW w:w="562" w:type="pct"/>
            <w:shd w:val="clear" w:color="auto" w:fill="auto"/>
            <w:noWrap/>
            <w:vAlign w:val="bottom"/>
            <w:hideMark/>
          </w:tcPr>
          <w:p w14:paraId="2F101C94" w14:textId="77777777" w:rsidR="009A4C46" w:rsidRPr="009A4C46" w:rsidRDefault="009A4C46" w:rsidP="00CB5AA8">
            <w:pPr>
              <w:spacing w:after="0" w:line="283" w:lineRule="auto"/>
              <w:jc w:val="right"/>
              <w:rPr>
                <w:rFonts w:eastAsia="Times New Roman"/>
                <w:lang w:eastAsia="ru-RU"/>
              </w:rPr>
            </w:pPr>
            <w:r w:rsidRPr="009A4C46">
              <w:rPr>
                <w:rFonts w:eastAsia="Times New Roman"/>
                <w:lang w:eastAsia="ru-RU"/>
              </w:rPr>
              <w:t>7,024422</w:t>
            </w:r>
          </w:p>
        </w:tc>
      </w:tr>
      <w:tr w:rsidR="009A4C46" w:rsidRPr="009A4C46" w14:paraId="22722B3E" w14:textId="77777777" w:rsidTr="0063188C">
        <w:trPr>
          <w:trHeight w:val="300"/>
        </w:trPr>
        <w:tc>
          <w:tcPr>
            <w:tcW w:w="380" w:type="pct"/>
            <w:shd w:val="clear" w:color="auto" w:fill="auto"/>
            <w:noWrap/>
            <w:vAlign w:val="bottom"/>
            <w:hideMark/>
          </w:tcPr>
          <w:p w14:paraId="639BD11D" w14:textId="77777777" w:rsidR="009A4C46" w:rsidRPr="009A4C46" w:rsidRDefault="009A4C46" w:rsidP="00CB5AA8">
            <w:pPr>
              <w:spacing w:after="0" w:line="283" w:lineRule="auto"/>
              <w:rPr>
                <w:rFonts w:eastAsia="Times New Roman"/>
                <w:lang w:eastAsia="ru-RU"/>
              </w:rPr>
            </w:pPr>
            <w:r w:rsidRPr="009A4C46">
              <w:rPr>
                <w:rFonts w:eastAsia="Times New Roman"/>
                <w:lang w:eastAsia="ru-RU"/>
              </w:rPr>
              <w:t> </w:t>
            </w:r>
          </w:p>
        </w:tc>
        <w:tc>
          <w:tcPr>
            <w:tcW w:w="2518" w:type="pct"/>
            <w:shd w:val="clear" w:color="auto" w:fill="auto"/>
            <w:vAlign w:val="center"/>
            <w:hideMark/>
          </w:tcPr>
          <w:p w14:paraId="6BB2200C" w14:textId="77777777" w:rsidR="009A4C46" w:rsidRPr="009A4C46" w:rsidRDefault="009A4C46" w:rsidP="00CB5AA8">
            <w:pPr>
              <w:spacing w:after="0" w:line="283" w:lineRule="auto"/>
              <w:rPr>
                <w:rFonts w:eastAsia="Times New Roman"/>
                <w:lang w:eastAsia="ru-RU"/>
              </w:rPr>
            </w:pPr>
            <w:r w:rsidRPr="009A4C46">
              <w:rPr>
                <w:rFonts w:eastAsia="Times New Roman"/>
                <w:lang w:eastAsia="ru-RU"/>
              </w:rPr>
              <w:t>СН2</w:t>
            </w:r>
          </w:p>
        </w:tc>
        <w:tc>
          <w:tcPr>
            <w:tcW w:w="527" w:type="pct"/>
            <w:shd w:val="clear" w:color="auto" w:fill="auto"/>
            <w:noWrap/>
            <w:vAlign w:val="bottom"/>
            <w:hideMark/>
          </w:tcPr>
          <w:p w14:paraId="2B845662" w14:textId="77777777" w:rsidR="009A4C46" w:rsidRPr="009A4C46" w:rsidRDefault="009A4C46" w:rsidP="00CB5AA8">
            <w:pPr>
              <w:spacing w:after="0" w:line="283" w:lineRule="auto"/>
              <w:jc w:val="center"/>
              <w:rPr>
                <w:rFonts w:eastAsia="Times New Roman"/>
                <w:lang w:eastAsia="ru-RU"/>
              </w:rPr>
            </w:pPr>
          </w:p>
        </w:tc>
        <w:tc>
          <w:tcPr>
            <w:tcW w:w="451" w:type="pct"/>
            <w:shd w:val="clear" w:color="auto" w:fill="auto"/>
            <w:noWrap/>
            <w:vAlign w:val="center"/>
            <w:hideMark/>
          </w:tcPr>
          <w:p w14:paraId="0EF2C858" w14:textId="28226633" w:rsidR="009A4C46" w:rsidRPr="009A4C46" w:rsidRDefault="009A4C46" w:rsidP="00CB5AA8">
            <w:pPr>
              <w:spacing w:after="0" w:line="283" w:lineRule="auto"/>
              <w:jc w:val="center"/>
              <w:rPr>
                <w:rFonts w:eastAsia="Times New Roman"/>
                <w:lang w:eastAsia="ru-RU"/>
              </w:rPr>
            </w:pPr>
            <w:r w:rsidRPr="009A4C46">
              <w:rPr>
                <w:rFonts w:eastAsia="Times New Roman"/>
                <w:lang w:eastAsia="ru-RU"/>
              </w:rPr>
              <w:t>млн. кВт</w:t>
            </w:r>
            <w:r w:rsidR="00CC0E12">
              <w:rPr>
                <w:rFonts w:eastAsia="Times New Roman"/>
                <w:lang w:eastAsia="ru-RU"/>
              </w:rPr>
              <w:t>*</w:t>
            </w:r>
            <w:r w:rsidRPr="009A4C46">
              <w:rPr>
                <w:rFonts w:eastAsia="Times New Roman"/>
                <w:lang w:eastAsia="ru-RU"/>
              </w:rPr>
              <w:t>ч</w:t>
            </w:r>
          </w:p>
        </w:tc>
        <w:tc>
          <w:tcPr>
            <w:tcW w:w="562" w:type="pct"/>
            <w:shd w:val="clear" w:color="auto" w:fill="auto"/>
            <w:noWrap/>
            <w:vAlign w:val="bottom"/>
            <w:hideMark/>
          </w:tcPr>
          <w:p w14:paraId="12FC8A2C" w14:textId="77777777" w:rsidR="009A4C46" w:rsidRPr="009A4C46" w:rsidRDefault="009A4C46" w:rsidP="00CB5AA8">
            <w:pPr>
              <w:spacing w:after="0" w:line="283" w:lineRule="auto"/>
              <w:jc w:val="right"/>
              <w:rPr>
                <w:rFonts w:eastAsia="Times New Roman"/>
                <w:lang w:eastAsia="ru-RU"/>
              </w:rPr>
            </w:pPr>
            <w:r w:rsidRPr="009A4C46">
              <w:rPr>
                <w:rFonts w:eastAsia="Times New Roman"/>
                <w:lang w:eastAsia="ru-RU"/>
              </w:rPr>
              <w:t>44,442133</w:t>
            </w:r>
          </w:p>
        </w:tc>
        <w:tc>
          <w:tcPr>
            <w:tcW w:w="562" w:type="pct"/>
            <w:shd w:val="clear" w:color="auto" w:fill="auto"/>
            <w:noWrap/>
            <w:vAlign w:val="bottom"/>
            <w:hideMark/>
          </w:tcPr>
          <w:p w14:paraId="7D4D8848" w14:textId="77777777" w:rsidR="009A4C46" w:rsidRPr="009A4C46" w:rsidRDefault="009A4C46" w:rsidP="00CB5AA8">
            <w:pPr>
              <w:spacing w:after="0" w:line="283" w:lineRule="auto"/>
              <w:jc w:val="right"/>
              <w:rPr>
                <w:rFonts w:eastAsia="Times New Roman"/>
                <w:lang w:eastAsia="ru-RU"/>
              </w:rPr>
            </w:pPr>
            <w:r w:rsidRPr="009A4C46">
              <w:rPr>
                <w:rFonts w:eastAsia="Times New Roman"/>
                <w:lang w:eastAsia="ru-RU"/>
              </w:rPr>
              <w:t>39,447956</w:t>
            </w:r>
          </w:p>
        </w:tc>
      </w:tr>
      <w:tr w:rsidR="009A4C46" w:rsidRPr="009A4C46" w14:paraId="7A078741" w14:textId="77777777" w:rsidTr="0063188C">
        <w:trPr>
          <w:trHeight w:val="300"/>
        </w:trPr>
        <w:tc>
          <w:tcPr>
            <w:tcW w:w="380" w:type="pct"/>
            <w:shd w:val="clear" w:color="auto" w:fill="auto"/>
            <w:noWrap/>
            <w:vAlign w:val="bottom"/>
            <w:hideMark/>
          </w:tcPr>
          <w:p w14:paraId="10F1B162" w14:textId="77777777" w:rsidR="009A4C46" w:rsidRPr="009A4C46" w:rsidRDefault="009A4C46" w:rsidP="00CB5AA8">
            <w:pPr>
              <w:spacing w:after="0" w:line="283" w:lineRule="auto"/>
              <w:rPr>
                <w:rFonts w:eastAsia="Times New Roman"/>
                <w:lang w:eastAsia="ru-RU"/>
              </w:rPr>
            </w:pPr>
            <w:r w:rsidRPr="009A4C46">
              <w:rPr>
                <w:rFonts w:eastAsia="Times New Roman"/>
                <w:lang w:eastAsia="ru-RU"/>
              </w:rPr>
              <w:t> </w:t>
            </w:r>
          </w:p>
        </w:tc>
        <w:tc>
          <w:tcPr>
            <w:tcW w:w="2518" w:type="pct"/>
            <w:shd w:val="clear" w:color="auto" w:fill="auto"/>
            <w:vAlign w:val="center"/>
            <w:hideMark/>
          </w:tcPr>
          <w:p w14:paraId="232EB77F" w14:textId="77777777" w:rsidR="009A4C46" w:rsidRPr="009A4C46" w:rsidRDefault="009A4C46" w:rsidP="00CB5AA8">
            <w:pPr>
              <w:spacing w:after="0" w:line="283" w:lineRule="auto"/>
              <w:rPr>
                <w:rFonts w:eastAsia="Times New Roman"/>
                <w:lang w:eastAsia="ru-RU"/>
              </w:rPr>
            </w:pPr>
            <w:r w:rsidRPr="009A4C46">
              <w:rPr>
                <w:rFonts w:eastAsia="Times New Roman"/>
                <w:lang w:eastAsia="ru-RU"/>
              </w:rPr>
              <w:t>НН</w:t>
            </w:r>
          </w:p>
        </w:tc>
        <w:tc>
          <w:tcPr>
            <w:tcW w:w="527" w:type="pct"/>
            <w:shd w:val="clear" w:color="auto" w:fill="auto"/>
            <w:noWrap/>
            <w:vAlign w:val="bottom"/>
            <w:hideMark/>
          </w:tcPr>
          <w:p w14:paraId="52425422" w14:textId="77777777" w:rsidR="009A4C46" w:rsidRPr="009A4C46" w:rsidRDefault="009A4C46" w:rsidP="00CB5AA8">
            <w:pPr>
              <w:spacing w:after="0" w:line="283" w:lineRule="auto"/>
              <w:jc w:val="center"/>
              <w:rPr>
                <w:rFonts w:eastAsia="Times New Roman"/>
                <w:lang w:eastAsia="ru-RU"/>
              </w:rPr>
            </w:pPr>
          </w:p>
        </w:tc>
        <w:tc>
          <w:tcPr>
            <w:tcW w:w="451" w:type="pct"/>
            <w:shd w:val="clear" w:color="auto" w:fill="auto"/>
            <w:noWrap/>
            <w:vAlign w:val="center"/>
            <w:hideMark/>
          </w:tcPr>
          <w:p w14:paraId="55A283C0" w14:textId="4AB76B06" w:rsidR="009A4C46" w:rsidRPr="009A4C46" w:rsidRDefault="009A4C46" w:rsidP="00CB5AA8">
            <w:pPr>
              <w:spacing w:after="0" w:line="283" w:lineRule="auto"/>
              <w:jc w:val="center"/>
              <w:rPr>
                <w:rFonts w:eastAsia="Times New Roman"/>
                <w:lang w:eastAsia="ru-RU"/>
              </w:rPr>
            </w:pPr>
            <w:r w:rsidRPr="009A4C46">
              <w:rPr>
                <w:rFonts w:eastAsia="Times New Roman"/>
                <w:lang w:eastAsia="ru-RU"/>
              </w:rPr>
              <w:t>млн. кВт</w:t>
            </w:r>
            <w:r w:rsidR="00CC0E12">
              <w:rPr>
                <w:rFonts w:eastAsia="Times New Roman"/>
                <w:lang w:eastAsia="ru-RU"/>
              </w:rPr>
              <w:t>*</w:t>
            </w:r>
            <w:r w:rsidRPr="009A4C46">
              <w:rPr>
                <w:rFonts w:eastAsia="Times New Roman"/>
                <w:lang w:eastAsia="ru-RU"/>
              </w:rPr>
              <w:t>ч</w:t>
            </w:r>
          </w:p>
        </w:tc>
        <w:tc>
          <w:tcPr>
            <w:tcW w:w="562" w:type="pct"/>
            <w:shd w:val="clear" w:color="auto" w:fill="auto"/>
            <w:noWrap/>
            <w:vAlign w:val="bottom"/>
            <w:hideMark/>
          </w:tcPr>
          <w:p w14:paraId="56A55010" w14:textId="77777777" w:rsidR="009A4C46" w:rsidRPr="009A4C46" w:rsidRDefault="009A4C46" w:rsidP="00CB5AA8">
            <w:pPr>
              <w:spacing w:after="0" w:line="283" w:lineRule="auto"/>
              <w:jc w:val="right"/>
              <w:rPr>
                <w:rFonts w:eastAsia="Times New Roman"/>
                <w:lang w:eastAsia="ru-RU"/>
              </w:rPr>
            </w:pPr>
            <w:r w:rsidRPr="009A4C46">
              <w:rPr>
                <w:rFonts w:eastAsia="Times New Roman"/>
                <w:lang w:eastAsia="ru-RU"/>
              </w:rPr>
              <w:t>44,307794</w:t>
            </w:r>
          </w:p>
        </w:tc>
        <w:tc>
          <w:tcPr>
            <w:tcW w:w="562" w:type="pct"/>
            <w:shd w:val="clear" w:color="auto" w:fill="auto"/>
            <w:noWrap/>
            <w:vAlign w:val="bottom"/>
            <w:hideMark/>
          </w:tcPr>
          <w:p w14:paraId="1EFD648F" w14:textId="77777777" w:rsidR="009A4C46" w:rsidRPr="009A4C46" w:rsidRDefault="009A4C46" w:rsidP="00CB5AA8">
            <w:pPr>
              <w:spacing w:after="0" w:line="283" w:lineRule="auto"/>
              <w:jc w:val="right"/>
              <w:rPr>
                <w:rFonts w:eastAsia="Times New Roman"/>
                <w:lang w:eastAsia="ru-RU"/>
              </w:rPr>
            </w:pPr>
            <w:r w:rsidRPr="009A4C46">
              <w:rPr>
                <w:rFonts w:eastAsia="Times New Roman"/>
                <w:lang w:eastAsia="ru-RU"/>
              </w:rPr>
              <w:t>41,477367</w:t>
            </w:r>
          </w:p>
        </w:tc>
      </w:tr>
      <w:tr w:rsidR="009A4C46" w:rsidRPr="009A4C46" w14:paraId="214E525F" w14:textId="77777777" w:rsidTr="0063188C">
        <w:trPr>
          <w:trHeight w:val="300"/>
        </w:trPr>
        <w:tc>
          <w:tcPr>
            <w:tcW w:w="380" w:type="pct"/>
            <w:shd w:val="clear" w:color="auto" w:fill="auto"/>
            <w:noWrap/>
            <w:vAlign w:val="bottom"/>
            <w:hideMark/>
          </w:tcPr>
          <w:p w14:paraId="0DDCC97E" w14:textId="77777777" w:rsidR="009A4C46" w:rsidRPr="009A4C46" w:rsidRDefault="009A4C46" w:rsidP="00CB5AA8">
            <w:pPr>
              <w:spacing w:after="0" w:line="283" w:lineRule="auto"/>
              <w:rPr>
                <w:rFonts w:eastAsia="Times New Roman"/>
                <w:lang w:eastAsia="ru-RU"/>
              </w:rPr>
            </w:pPr>
            <w:r w:rsidRPr="009A4C46">
              <w:rPr>
                <w:rFonts w:eastAsia="Times New Roman"/>
                <w:lang w:eastAsia="ru-RU"/>
              </w:rPr>
              <w:t> </w:t>
            </w:r>
          </w:p>
        </w:tc>
        <w:tc>
          <w:tcPr>
            <w:tcW w:w="2518" w:type="pct"/>
            <w:shd w:val="clear" w:color="auto" w:fill="auto"/>
            <w:vAlign w:val="center"/>
            <w:hideMark/>
          </w:tcPr>
          <w:p w14:paraId="6A2AAA6E" w14:textId="77777777" w:rsidR="009A4C46" w:rsidRPr="009A4C46" w:rsidRDefault="009A4C46" w:rsidP="00CB5AA8">
            <w:pPr>
              <w:spacing w:after="0" w:line="283" w:lineRule="auto"/>
              <w:rPr>
                <w:rFonts w:eastAsia="Times New Roman"/>
                <w:lang w:eastAsia="ru-RU"/>
              </w:rPr>
            </w:pPr>
            <w:r w:rsidRPr="009A4C46">
              <w:rPr>
                <w:rFonts w:eastAsia="Times New Roman"/>
                <w:lang w:eastAsia="ru-RU"/>
              </w:rPr>
              <w:t>Население</w:t>
            </w:r>
          </w:p>
        </w:tc>
        <w:tc>
          <w:tcPr>
            <w:tcW w:w="527" w:type="pct"/>
            <w:shd w:val="clear" w:color="auto" w:fill="auto"/>
            <w:noWrap/>
            <w:vAlign w:val="bottom"/>
            <w:hideMark/>
          </w:tcPr>
          <w:p w14:paraId="01D93EFE" w14:textId="77777777" w:rsidR="009A4C46" w:rsidRPr="009A4C46" w:rsidRDefault="009A4C46" w:rsidP="00CB5AA8">
            <w:pPr>
              <w:spacing w:after="0" w:line="283" w:lineRule="auto"/>
              <w:jc w:val="center"/>
              <w:rPr>
                <w:rFonts w:eastAsia="Times New Roman"/>
                <w:lang w:eastAsia="ru-RU"/>
              </w:rPr>
            </w:pPr>
          </w:p>
        </w:tc>
        <w:tc>
          <w:tcPr>
            <w:tcW w:w="451" w:type="pct"/>
            <w:shd w:val="clear" w:color="auto" w:fill="auto"/>
            <w:noWrap/>
            <w:vAlign w:val="center"/>
            <w:hideMark/>
          </w:tcPr>
          <w:p w14:paraId="06524183" w14:textId="77777777" w:rsidR="009A4C46" w:rsidRPr="009A4C46" w:rsidRDefault="009A4C46" w:rsidP="00CB5AA8">
            <w:pPr>
              <w:spacing w:after="0" w:line="283" w:lineRule="auto"/>
              <w:jc w:val="center"/>
              <w:rPr>
                <w:rFonts w:eastAsia="Times New Roman"/>
                <w:lang w:eastAsia="ru-RU"/>
              </w:rPr>
            </w:pPr>
            <w:r w:rsidRPr="009A4C46">
              <w:rPr>
                <w:rFonts w:eastAsia="Times New Roman"/>
                <w:lang w:eastAsia="ru-RU"/>
              </w:rPr>
              <w:t> </w:t>
            </w:r>
          </w:p>
        </w:tc>
        <w:tc>
          <w:tcPr>
            <w:tcW w:w="562" w:type="pct"/>
            <w:shd w:val="clear" w:color="auto" w:fill="auto"/>
            <w:noWrap/>
            <w:vAlign w:val="bottom"/>
            <w:hideMark/>
          </w:tcPr>
          <w:p w14:paraId="1CA7EAA7" w14:textId="77777777" w:rsidR="009A4C46" w:rsidRPr="009A4C46" w:rsidRDefault="009A4C46" w:rsidP="00CB5AA8">
            <w:pPr>
              <w:spacing w:after="0" w:line="283" w:lineRule="auto"/>
              <w:rPr>
                <w:rFonts w:eastAsia="Times New Roman"/>
                <w:lang w:eastAsia="ru-RU"/>
              </w:rPr>
            </w:pPr>
            <w:r w:rsidRPr="009A4C46">
              <w:rPr>
                <w:rFonts w:eastAsia="Times New Roman"/>
                <w:lang w:eastAsia="ru-RU"/>
              </w:rPr>
              <w:t> </w:t>
            </w:r>
          </w:p>
        </w:tc>
        <w:tc>
          <w:tcPr>
            <w:tcW w:w="562" w:type="pct"/>
            <w:shd w:val="clear" w:color="auto" w:fill="auto"/>
            <w:noWrap/>
            <w:vAlign w:val="bottom"/>
            <w:hideMark/>
          </w:tcPr>
          <w:p w14:paraId="70E1CBA4" w14:textId="77777777" w:rsidR="009A4C46" w:rsidRPr="009A4C46" w:rsidRDefault="009A4C46" w:rsidP="00CB5AA8">
            <w:pPr>
              <w:spacing w:after="0" w:line="283" w:lineRule="auto"/>
              <w:rPr>
                <w:rFonts w:eastAsia="Times New Roman"/>
                <w:lang w:eastAsia="ru-RU"/>
              </w:rPr>
            </w:pPr>
            <w:r w:rsidRPr="009A4C46">
              <w:rPr>
                <w:rFonts w:eastAsia="Times New Roman"/>
                <w:lang w:eastAsia="ru-RU"/>
              </w:rPr>
              <w:t> </w:t>
            </w:r>
          </w:p>
        </w:tc>
      </w:tr>
      <w:tr w:rsidR="009A4C46" w:rsidRPr="009A4C46" w14:paraId="0D9FB8B0" w14:textId="77777777" w:rsidTr="0063188C">
        <w:trPr>
          <w:trHeight w:val="300"/>
        </w:trPr>
        <w:tc>
          <w:tcPr>
            <w:tcW w:w="380" w:type="pct"/>
            <w:shd w:val="clear" w:color="auto" w:fill="auto"/>
            <w:noWrap/>
            <w:vAlign w:val="bottom"/>
            <w:hideMark/>
          </w:tcPr>
          <w:p w14:paraId="54BAC513" w14:textId="77777777" w:rsidR="009A4C46" w:rsidRPr="009A4C46" w:rsidRDefault="009A4C46" w:rsidP="00CB5AA8">
            <w:pPr>
              <w:spacing w:after="0" w:line="283" w:lineRule="auto"/>
              <w:rPr>
                <w:rFonts w:eastAsia="Times New Roman"/>
                <w:lang w:eastAsia="ru-RU"/>
              </w:rPr>
            </w:pPr>
            <w:r w:rsidRPr="009A4C46">
              <w:rPr>
                <w:rFonts w:eastAsia="Times New Roman"/>
                <w:lang w:eastAsia="ru-RU"/>
              </w:rPr>
              <w:t> </w:t>
            </w:r>
          </w:p>
        </w:tc>
        <w:tc>
          <w:tcPr>
            <w:tcW w:w="2518" w:type="pct"/>
            <w:shd w:val="clear" w:color="auto" w:fill="auto"/>
            <w:vAlign w:val="center"/>
            <w:hideMark/>
          </w:tcPr>
          <w:p w14:paraId="1C275D72" w14:textId="77777777" w:rsidR="009A4C46" w:rsidRPr="009A4C46" w:rsidRDefault="009A4C46" w:rsidP="00CB5AA8">
            <w:pPr>
              <w:spacing w:after="0" w:line="283" w:lineRule="auto"/>
              <w:rPr>
                <w:rFonts w:eastAsia="Times New Roman"/>
                <w:lang w:eastAsia="ru-RU"/>
              </w:rPr>
            </w:pPr>
            <w:r w:rsidRPr="009A4C46">
              <w:rPr>
                <w:rFonts w:eastAsia="Times New Roman"/>
                <w:lang w:eastAsia="ru-RU"/>
              </w:rPr>
              <w:t>городское</w:t>
            </w:r>
          </w:p>
        </w:tc>
        <w:tc>
          <w:tcPr>
            <w:tcW w:w="527" w:type="pct"/>
            <w:shd w:val="clear" w:color="auto" w:fill="auto"/>
            <w:noWrap/>
            <w:vAlign w:val="bottom"/>
            <w:hideMark/>
          </w:tcPr>
          <w:p w14:paraId="2D389557" w14:textId="77777777" w:rsidR="009A4C46" w:rsidRPr="009A4C46" w:rsidRDefault="009A4C46" w:rsidP="00CB5AA8">
            <w:pPr>
              <w:spacing w:after="0" w:line="283" w:lineRule="auto"/>
              <w:jc w:val="center"/>
              <w:rPr>
                <w:rFonts w:eastAsia="Times New Roman"/>
                <w:lang w:eastAsia="ru-RU"/>
              </w:rPr>
            </w:pPr>
          </w:p>
        </w:tc>
        <w:tc>
          <w:tcPr>
            <w:tcW w:w="451" w:type="pct"/>
            <w:shd w:val="clear" w:color="auto" w:fill="auto"/>
            <w:noWrap/>
            <w:vAlign w:val="center"/>
            <w:hideMark/>
          </w:tcPr>
          <w:p w14:paraId="6EC5E38C" w14:textId="79919D5E" w:rsidR="009A4C46" w:rsidRPr="009A4C46" w:rsidRDefault="009A4C46" w:rsidP="00CB5AA8">
            <w:pPr>
              <w:spacing w:after="0" w:line="283" w:lineRule="auto"/>
              <w:jc w:val="center"/>
              <w:rPr>
                <w:rFonts w:eastAsia="Times New Roman"/>
                <w:lang w:eastAsia="ru-RU"/>
              </w:rPr>
            </w:pPr>
            <w:r w:rsidRPr="009A4C46">
              <w:rPr>
                <w:rFonts w:eastAsia="Times New Roman"/>
                <w:lang w:eastAsia="ru-RU"/>
              </w:rPr>
              <w:t>млн. кВт</w:t>
            </w:r>
            <w:r w:rsidR="00CC0E12">
              <w:rPr>
                <w:rFonts w:eastAsia="Times New Roman"/>
                <w:lang w:eastAsia="ru-RU"/>
              </w:rPr>
              <w:t>*</w:t>
            </w:r>
            <w:r w:rsidRPr="009A4C46">
              <w:rPr>
                <w:rFonts w:eastAsia="Times New Roman"/>
                <w:lang w:eastAsia="ru-RU"/>
              </w:rPr>
              <w:t>ч</w:t>
            </w:r>
          </w:p>
        </w:tc>
        <w:tc>
          <w:tcPr>
            <w:tcW w:w="562" w:type="pct"/>
            <w:shd w:val="clear" w:color="auto" w:fill="auto"/>
            <w:noWrap/>
            <w:vAlign w:val="bottom"/>
            <w:hideMark/>
          </w:tcPr>
          <w:p w14:paraId="38B773DC" w14:textId="77777777" w:rsidR="009A4C46" w:rsidRPr="009A4C46" w:rsidRDefault="009A4C46" w:rsidP="00CB5AA8">
            <w:pPr>
              <w:spacing w:after="0" w:line="283" w:lineRule="auto"/>
              <w:jc w:val="right"/>
              <w:rPr>
                <w:rFonts w:eastAsia="Times New Roman"/>
                <w:lang w:eastAsia="ru-RU"/>
              </w:rPr>
            </w:pPr>
            <w:r w:rsidRPr="009A4C46">
              <w:rPr>
                <w:rFonts w:eastAsia="Times New Roman"/>
                <w:lang w:eastAsia="ru-RU"/>
              </w:rPr>
              <w:t>41,947648</w:t>
            </w:r>
          </w:p>
        </w:tc>
        <w:tc>
          <w:tcPr>
            <w:tcW w:w="562" w:type="pct"/>
            <w:shd w:val="clear" w:color="auto" w:fill="auto"/>
            <w:noWrap/>
            <w:vAlign w:val="bottom"/>
            <w:hideMark/>
          </w:tcPr>
          <w:p w14:paraId="70E49E74" w14:textId="77777777" w:rsidR="009A4C46" w:rsidRPr="009A4C46" w:rsidRDefault="009A4C46" w:rsidP="00CB5AA8">
            <w:pPr>
              <w:spacing w:after="0" w:line="283" w:lineRule="auto"/>
              <w:jc w:val="right"/>
              <w:rPr>
                <w:rFonts w:eastAsia="Times New Roman"/>
                <w:lang w:eastAsia="ru-RU"/>
              </w:rPr>
            </w:pPr>
            <w:r w:rsidRPr="009A4C46">
              <w:rPr>
                <w:rFonts w:eastAsia="Times New Roman"/>
                <w:lang w:eastAsia="ru-RU"/>
              </w:rPr>
              <w:t>53,710282</w:t>
            </w:r>
          </w:p>
        </w:tc>
      </w:tr>
      <w:tr w:rsidR="009A4C46" w:rsidRPr="009A4C46" w14:paraId="393C1801" w14:textId="77777777" w:rsidTr="0063188C">
        <w:trPr>
          <w:trHeight w:val="300"/>
        </w:trPr>
        <w:tc>
          <w:tcPr>
            <w:tcW w:w="380" w:type="pct"/>
            <w:shd w:val="clear" w:color="auto" w:fill="auto"/>
            <w:noWrap/>
            <w:vAlign w:val="bottom"/>
            <w:hideMark/>
          </w:tcPr>
          <w:p w14:paraId="437CE4D2" w14:textId="77777777" w:rsidR="009A4C46" w:rsidRPr="009A4C46" w:rsidRDefault="009A4C46" w:rsidP="00CB5AA8">
            <w:pPr>
              <w:spacing w:after="0" w:line="283" w:lineRule="auto"/>
              <w:rPr>
                <w:rFonts w:eastAsia="Times New Roman"/>
                <w:lang w:eastAsia="ru-RU"/>
              </w:rPr>
            </w:pPr>
            <w:r w:rsidRPr="009A4C46">
              <w:rPr>
                <w:rFonts w:eastAsia="Times New Roman"/>
                <w:lang w:eastAsia="ru-RU"/>
              </w:rPr>
              <w:t> </w:t>
            </w:r>
          </w:p>
        </w:tc>
        <w:tc>
          <w:tcPr>
            <w:tcW w:w="2518" w:type="pct"/>
            <w:shd w:val="clear" w:color="auto" w:fill="auto"/>
            <w:vAlign w:val="center"/>
            <w:hideMark/>
          </w:tcPr>
          <w:p w14:paraId="29631E90" w14:textId="77777777" w:rsidR="009A4C46" w:rsidRPr="009A4C46" w:rsidRDefault="009A4C46" w:rsidP="00CB5AA8">
            <w:pPr>
              <w:spacing w:after="0" w:line="283" w:lineRule="auto"/>
              <w:rPr>
                <w:rFonts w:eastAsia="Times New Roman"/>
                <w:lang w:eastAsia="ru-RU"/>
              </w:rPr>
            </w:pPr>
            <w:r w:rsidRPr="009A4C46">
              <w:rPr>
                <w:rFonts w:eastAsia="Times New Roman"/>
                <w:lang w:eastAsia="ru-RU"/>
              </w:rPr>
              <w:t>сельское</w:t>
            </w:r>
          </w:p>
        </w:tc>
        <w:tc>
          <w:tcPr>
            <w:tcW w:w="527" w:type="pct"/>
            <w:shd w:val="clear" w:color="auto" w:fill="auto"/>
            <w:noWrap/>
            <w:vAlign w:val="bottom"/>
            <w:hideMark/>
          </w:tcPr>
          <w:p w14:paraId="5A983EB9" w14:textId="77777777" w:rsidR="009A4C46" w:rsidRPr="009A4C46" w:rsidRDefault="009A4C46" w:rsidP="00CB5AA8">
            <w:pPr>
              <w:spacing w:after="0" w:line="283" w:lineRule="auto"/>
              <w:jc w:val="center"/>
              <w:rPr>
                <w:rFonts w:eastAsia="Times New Roman"/>
                <w:lang w:eastAsia="ru-RU"/>
              </w:rPr>
            </w:pPr>
          </w:p>
        </w:tc>
        <w:tc>
          <w:tcPr>
            <w:tcW w:w="451" w:type="pct"/>
            <w:shd w:val="clear" w:color="auto" w:fill="auto"/>
            <w:noWrap/>
            <w:vAlign w:val="center"/>
            <w:hideMark/>
          </w:tcPr>
          <w:p w14:paraId="1DAB12D4" w14:textId="624F1755" w:rsidR="009A4C46" w:rsidRPr="009A4C46" w:rsidRDefault="009A4C46" w:rsidP="00CB5AA8">
            <w:pPr>
              <w:spacing w:after="0" w:line="283" w:lineRule="auto"/>
              <w:jc w:val="center"/>
              <w:rPr>
                <w:rFonts w:eastAsia="Times New Roman"/>
                <w:lang w:eastAsia="ru-RU"/>
              </w:rPr>
            </w:pPr>
            <w:r w:rsidRPr="009A4C46">
              <w:rPr>
                <w:rFonts w:eastAsia="Times New Roman"/>
                <w:lang w:eastAsia="ru-RU"/>
              </w:rPr>
              <w:t>млн. кВт</w:t>
            </w:r>
            <w:r w:rsidR="00CC0E12">
              <w:rPr>
                <w:rFonts w:eastAsia="Times New Roman"/>
                <w:lang w:eastAsia="ru-RU"/>
              </w:rPr>
              <w:t>*</w:t>
            </w:r>
            <w:r w:rsidRPr="009A4C46">
              <w:rPr>
                <w:rFonts w:eastAsia="Times New Roman"/>
                <w:lang w:eastAsia="ru-RU"/>
              </w:rPr>
              <w:t>ч</w:t>
            </w:r>
          </w:p>
        </w:tc>
        <w:tc>
          <w:tcPr>
            <w:tcW w:w="562" w:type="pct"/>
            <w:shd w:val="clear" w:color="auto" w:fill="auto"/>
            <w:noWrap/>
            <w:vAlign w:val="bottom"/>
            <w:hideMark/>
          </w:tcPr>
          <w:p w14:paraId="46FE1DC4" w14:textId="77777777" w:rsidR="009A4C46" w:rsidRPr="009A4C46" w:rsidRDefault="009A4C46" w:rsidP="00CB5AA8">
            <w:pPr>
              <w:spacing w:after="0" w:line="283" w:lineRule="auto"/>
              <w:jc w:val="right"/>
              <w:rPr>
                <w:rFonts w:eastAsia="Times New Roman"/>
                <w:lang w:eastAsia="ru-RU"/>
              </w:rPr>
            </w:pPr>
            <w:r w:rsidRPr="009A4C46">
              <w:rPr>
                <w:rFonts w:eastAsia="Times New Roman"/>
                <w:lang w:eastAsia="ru-RU"/>
              </w:rPr>
              <w:t>71,933862</w:t>
            </w:r>
          </w:p>
        </w:tc>
        <w:tc>
          <w:tcPr>
            <w:tcW w:w="562" w:type="pct"/>
            <w:shd w:val="clear" w:color="auto" w:fill="auto"/>
            <w:noWrap/>
            <w:vAlign w:val="bottom"/>
            <w:hideMark/>
          </w:tcPr>
          <w:p w14:paraId="1DC8BE60" w14:textId="77777777" w:rsidR="009A4C46" w:rsidRPr="009A4C46" w:rsidRDefault="009A4C46" w:rsidP="00CB5AA8">
            <w:pPr>
              <w:spacing w:after="0" w:line="283" w:lineRule="auto"/>
              <w:jc w:val="right"/>
              <w:rPr>
                <w:rFonts w:eastAsia="Times New Roman"/>
                <w:lang w:eastAsia="ru-RU"/>
              </w:rPr>
            </w:pPr>
            <w:r w:rsidRPr="009A4C46">
              <w:rPr>
                <w:rFonts w:eastAsia="Times New Roman"/>
                <w:lang w:eastAsia="ru-RU"/>
              </w:rPr>
              <w:t>70,981952</w:t>
            </w:r>
          </w:p>
        </w:tc>
      </w:tr>
    </w:tbl>
    <w:p w14:paraId="5171C1DE" w14:textId="77777777" w:rsidR="009A4C46" w:rsidRPr="00F94FED" w:rsidRDefault="009A4C46" w:rsidP="00F94FED">
      <w:pPr>
        <w:spacing w:after="0" w:line="360" w:lineRule="auto"/>
        <w:ind w:firstLine="709"/>
        <w:jc w:val="both"/>
        <w:rPr>
          <w:rFonts w:eastAsia="Times New Roman"/>
          <w:sz w:val="26"/>
          <w:szCs w:val="26"/>
          <w:lang w:eastAsia="ru-RU"/>
        </w:rPr>
      </w:pPr>
    </w:p>
    <w:p w14:paraId="142743E2" w14:textId="5884EBCD" w:rsidR="009A4C46" w:rsidRPr="00F94FED" w:rsidRDefault="00CC0E12" w:rsidP="00B44325">
      <w:pPr>
        <w:spacing w:after="0" w:line="360" w:lineRule="auto"/>
        <w:jc w:val="both"/>
        <w:rPr>
          <w:rFonts w:eastAsia="Times New Roman"/>
          <w:b/>
          <w:bCs/>
          <w:sz w:val="26"/>
          <w:szCs w:val="26"/>
          <w:lang w:eastAsia="ru-RU"/>
        </w:rPr>
      </w:pPr>
      <w:r w:rsidRPr="00F94FED">
        <w:rPr>
          <w:rFonts w:eastAsia="Times New Roman"/>
          <w:b/>
          <w:bCs/>
          <w:sz w:val="26"/>
          <w:szCs w:val="26"/>
          <w:lang w:eastAsia="ru-RU"/>
        </w:rPr>
        <w:t>ПОЗИЦИЯ ОРГАНА РЕГУЛИРОВАНИЯ</w:t>
      </w:r>
    </w:p>
    <w:p w14:paraId="4163ED99" w14:textId="77777777" w:rsidR="009A4C46" w:rsidRPr="00F94FED" w:rsidRDefault="009A4C46" w:rsidP="00F94313">
      <w:pPr>
        <w:spacing w:after="0" w:line="360" w:lineRule="auto"/>
        <w:ind w:firstLine="567"/>
        <w:jc w:val="both"/>
        <w:rPr>
          <w:rFonts w:eastAsia="Times New Roman"/>
          <w:sz w:val="26"/>
          <w:szCs w:val="26"/>
          <w:lang w:eastAsia="ru-RU"/>
        </w:rPr>
      </w:pPr>
      <w:r w:rsidRPr="00F94FED">
        <w:rPr>
          <w:rFonts w:eastAsia="Times New Roman"/>
          <w:sz w:val="26"/>
          <w:szCs w:val="26"/>
          <w:lang w:eastAsia="ru-RU"/>
        </w:rPr>
        <w:t>Согласно экспертному заключению Службой по тарифам Республики Тыва представленные АО «Тываэнерго» расчеты корректировки необходимой валовой выручки по доходам от осуществления регулируемой деятельности приняты в полном объеме. Сумма корректировки составила 75 644 тыс. руб.</w:t>
      </w:r>
    </w:p>
    <w:tbl>
      <w:tblPr>
        <w:tblOverlap w:val="never"/>
        <w:tblW w:w="5000" w:type="pct"/>
        <w:tblCellMar>
          <w:left w:w="10" w:type="dxa"/>
          <w:right w:w="10" w:type="dxa"/>
        </w:tblCellMar>
        <w:tblLook w:val="04A0" w:firstRow="1" w:lastRow="0" w:firstColumn="1" w:lastColumn="0" w:noHBand="0" w:noVBand="1"/>
      </w:tblPr>
      <w:tblGrid>
        <w:gridCol w:w="493"/>
        <w:gridCol w:w="1326"/>
        <w:gridCol w:w="3713"/>
        <w:gridCol w:w="1453"/>
        <w:gridCol w:w="1198"/>
        <w:gridCol w:w="1162"/>
      </w:tblGrid>
      <w:tr w:rsidR="009A4C46" w:rsidRPr="00CC0E12" w14:paraId="610278C0" w14:textId="77777777" w:rsidTr="00F94FED">
        <w:trPr>
          <w:trHeight w:val="269"/>
          <w:tblHeader/>
        </w:trPr>
        <w:tc>
          <w:tcPr>
            <w:tcW w:w="26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19EDEC6" w14:textId="77777777" w:rsidR="009A4C46" w:rsidRPr="00F94FED" w:rsidRDefault="009A4C46" w:rsidP="009A4C46">
            <w:pPr>
              <w:widowControl w:val="0"/>
              <w:spacing w:after="0" w:line="190" w:lineRule="exact"/>
              <w:jc w:val="center"/>
              <w:rPr>
                <w:rFonts w:eastAsia="Times New Roman"/>
                <w:b/>
                <w:color w:val="FFFFFF" w:themeColor="background1"/>
                <w:lang w:eastAsia="ru-RU" w:bidi="ru-RU"/>
              </w:rPr>
            </w:pPr>
            <w:r w:rsidRPr="00F94FED">
              <w:rPr>
                <w:rFonts w:eastAsia="Times New Roman"/>
                <w:b/>
                <w:color w:val="FFFFFF" w:themeColor="background1"/>
                <w:lang w:eastAsia="ru-RU" w:bidi="ru-RU"/>
              </w:rPr>
              <w:lastRenderedPageBreak/>
              <w:t>№ п/п</w:t>
            </w:r>
          </w:p>
        </w:tc>
        <w:tc>
          <w:tcPr>
            <w:tcW w:w="71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6D523C1" w14:textId="77777777" w:rsidR="009A4C46" w:rsidRPr="00F94FED" w:rsidRDefault="009A4C46" w:rsidP="009A4C46">
            <w:pPr>
              <w:widowControl w:val="0"/>
              <w:spacing w:after="0" w:line="190" w:lineRule="exact"/>
              <w:jc w:val="center"/>
              <w:rPr>
                <w:rFonts w:eastAsia="Times New Roman"/>
                <w:b/>
                <w:color w:val="FFFFFF" w:themeColor="background1"/>
                <w:lang w:eastAsia="ru-RU" w:bidi="ru-RU"/>
              </w:rPr>
            </w:pPr>
            <w:r w:rsidRPr="00F94FED">
              <w:rPr>
                <w:rFonts w:eastAsia="Times New Roman"/>
                <w:b/>
                <w:color w:val="FFFFFF" w:themeColor="background1"/>
                <w:lang w:eastAsia="ru-RU" w:bidi="ru-RU"/>
              </w:rPr>
              <w:t>Обозначение</w:t>
            </w:r>
          </w:p>
        </w:tc>
        <w:tc>
          <w:tcPr>
            <w:tcW w:w="199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9C96414" w14:textId="6E1589B4" w:rsidR="009A4C46" w:rsidRPr="00F94FED" w:rsidRDefault="009A4C46" w:rsidP="009A4C46">
            <w:pPr>
              <w:widowControl w:val="0"/>
              <w:spacing w:after="0" w:line="190" w:lineRule="exact"/>
              <w:jc w:val="center"/>
              <w:rPr>
                <w:rFonts w:eastAsia="Times New Roman"/>
                <w:b/>
                <w:color w:val="FFFFFF" w:themeColor="background1"/>
                <w:lang w:eastAsia="ru-RU" w:bidi="ru-RU"/>
              </w:rPr>
            </w:pPr>
            <w:r w:rsidRPr="00F94FED">
              <w:rPr>
                <w:rFonts w:eastAsia="Times New Roman"/>
                <w:b/>
                <w:color w:val="FFFFFF" w:themeColor="background1"/>
                <w:lang w:eastAsia="ru-RU" w:bidi="ru-RU"/>
              </w:rPr>
              <w:t>Показатель</w:t>
            </w:r>
          </w:p>
        </w:tc>
        <w:tc>
          <w:tcPr>
            <w:tcW w:w="2024"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E111940" w14:textId="77777777" w:rsidR="009A4C46" w:rsidRPr="00F94FED" w:rsidRDefault="009A4C46" w:rsidP="009A4C46">
            <w:pPr>
              <w:widowControl w:val="0"/>
              <w:spacing w:after="0" w:line="190" w:lineRule="exact"/>
              <w:jc w:val="center"/>
              <w:rPr>
                <w:rFonts w:eastAsia="Times New Roman"/>
                <w:b/>
                <w:color w:val="FFFFFF" w:themeColor="background1"/>
                <w:lang w:eastAsia="ru-RU" w:bidi="ru-RU"/>
              </w:rPr>
            </w:pPr>
            <w:r w:rsidRPr="00F94FED">
              <w:rPr>
                <w:rFonts w:eastAsia="Times New Roman"/>
                <w:b/>
                <w:color w:val="FFFFFF" w:themeColor="background1"/>
                <w:lang w:eastAsia="ru-RU" w:bidi="ru-RU"/>
              </w:rPr>
              <w:t>2019 год</w:t>
            </w:r>
          </w:p>
        </w:tc>
      </w:tr>
      <w:tr w:rsidR="009A4C46" w:rsidRPr="00CC0E12" w14:paraId="04E47789" w14:textId="77777777" w:rsidTr="00F94FED">
        <w:trPr>
          <w:trHeight w:val="677"/>
          <w:tblHeader/>
        </w:trPr>
        <w:tc>
          <w:tcPr>
            <w:tcW w:w="26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6DF490C" w14:textId="77777777" w:rsidR="009A4C46" w:rsidRPr="00F94FED" w:rsidRDefault="009A4C46" w:rsidP="009A4C46">
            <w:pPr>
              <w:widowControl w:val="0"/>
              <w:spacing w:after="0" w:line="240" w:lineRule="auto"/>
              <w:jc w:val="center"/>
              <w:rPr>
                <w:rFonts w:eastAsia="Microsoft Sans Serif" w:cs="Microsoft Sans Serif"/>
                <w:b/>
                <w:color w:val="FFFFFF" w:themeColor="background1"/>
                <w:lang w:eastAsia="ru-RU" w:bidi="ru-RU"/>
              </w:rPr>
            </w:pPr>
          </w:p>
        </w:tc>
        <w:tc>
          <w:tcPr>
            <w:tcW w:w="71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F022F65" w14:textId="77777777" w:rsidR="009A4C46" w:rsidRPr="00F94FED" w:rsidRDefault="009A4C46" w:rsidP="009A4C46">
            <w:pPr>
              <w:widowControl w:val="0"/>
              <w:spacing w:after="0" w:line="240" w:lineRule="auto"/>
              <w:jc w:val="center"/>
              <w:rPr>
                <w:rFonts w:eastAsia="Microsoft Sans Serif" w:cs="Microsoft Sans Serif"/>
                <w:b/>
                <w:color w:val="FFFFFF" w:themeColor="background1"/>
                <w:lang w:eastAsia="ru-RU" w:bidi="ru-RU"/>
              </w:rPr>
            </w:pPr>
          </w:p>
        </w:tc>
        <w:tc>
          <w:tcPr>
            <w:tcW w:w="199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1E10DF6" w14:textId="77777777" w:rsidR="009A4C46" w:rsidRPr="00F94FED" w:rsidRDefault="009A4C46" w:rsidP="009A4C46">
            <w:pPr>
              <w:widowControl w:val="0"/>
              <w:spacing w:after="0" w:line="240" w:lineRule="auto"/>
              <w:jc w:val="center"/>
              <w:rPr>
                <w:rFonts w:eastAsia="Microsoft Sans Serif" w:cs="Microsoft Sans Serif"/>
                <w:b/>
                <w:color w:val="FFFFFF" w:themeColor="background1"/>
                <w:lang w:eastAsia="ru-RU" w:bidi="ru-RU"/>
              </w:rPr>
            </w:pPr>
          </w:p>
        </w:tc>
        <w:tc>
          <w:tcPr>
            <w:tcW w:w="78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1E148CC" w14:textId="77777777" w:rsidR="009A4C46" w:rsidRPr="00F94FED" w:rsidRDefault="009A4C46" w:rsidP="009A4C46">
            <w:pPr>
              <w:widowControl w:val="0"/>
              <w:spacing w:after="0" w:line="216" w:lineRule="exact"/>
              <w:jc w:val="center"/>
              <w:rPr>
                <w:rFonts w:eastAsia="Times New Roman"/>
                <w:b/>
                <w:color w:val="FFFFFF" w:themeColor="background1"/>
                <w:lang w:eastAsia="ru-RU" w:bidi="ru-RU"/>
              </w:rPr>
            </w:pPr>
            <w:r w:rsidRPr="00F94FED">
              <w:rPr>
                <w:rFonts w:eastAsia="Times New Roman"/>
                <w:b/>
                <w:color w:val="FFFFFF" w:themeColor="background1"/>
                <w:lang w:eastAsia="ru-RU" w:bidi="ru-RU"/>
              </w:rPr>
              <w:t>Предложение</w:t>
            </w:r>
          </w:p>
          <w:p w14:paraId="01CE2922" w14:textId="77777777" w:rsidR="009A4C46" w:rsidRPr="00F94FED" w:rsidRDefault="009A4C46" w:rsidP="009A4C46">
            <w:pPr>
              <w:widowControl w:val="0"/>
              <w:spacing w:after="0" w:line="216" w:lineRule="exact"/>
              <w:jc w:val="center"/>
              <w:rPr>
                <w:rFonts w:eastAsia="Times New Roman"/>
                <w:b/>
                <w:color w:val="FFFFFF" w:themeColor="background1"/>
                <w:lang w:eastAsia="ru-RU" w:bidi="ru-RU"/>
              </w:rPr>
            </w:pPr>
            <w:r w:rsidRPr="00F94FED">
              <w:rPr>
                <w:rFonts w:eastAsia="Times New Roman"/>
                <w:b/>
                <w:color w:val="FFFFFF" w:themeColor="background1"/>
                <w:lang w:eastAsia="ru-RU" w:bidi="ru-RU"/>
              </w:rPr>
              <w:t xml:space="preserve"> АО «Тываэнерго»</w:t>
            </w:r>
          </w:p>
          <w:p w14:paraId="2AB276F5" w14:textId="3E05CA2D" w:rsidR="00CC0E12" w:rsidRPr="00F94FED" w:rsidRDefault="00CC0E12" w:rsidP="009A4C46">
            <w:pPr>
              <w:widowControl w:val="0"/>
              <w:spacing w:after="0" w:line="216" w:lineRule="exact"/>
              <w:jc w:val="center"/>
              <w:rPr>
                <w:rFonts w:eastAsia="Times New Roman"/>
                <w:b/>
                <w:color w:val="FFFFFF" w:themeColor="background1"/>
                <w:lang w:eastAsia="ru-RU" w:bidi="ru-RU"/>
              </w:rPr>
            </w:pPr>
            <w:r w:rsidRPr="00F94FED">
              <w:rPr>
                <w:rFonts w:eastAsia="Times New Roman"/>
                <w:b/>
                <w:color w:val="FFFFFF" w:themeColor="background1"/>
                <w:lang w:eastAsia="ru-RU" w:bidi="ru-RU"/>
              </w:rPr>
              <w:t>тыс. руб.</w:t>
            </w:r>
          </w:p>
        </w:tc>
        <w:tc>
          <w:tcPr>
            <w:tcW w:w="64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B8A4C01" w14:textId="77777777" w:rsidR="009A4C46" w:rsidRPr="00F94FED" w:rsidRDefault="009A4C46" w:rsidP="009A4C46">
            <w:pPr>
              <w:widowControl w:val="0"/>
              <w:spacing w:after="0" w:line="190" w:lineRule="exact"/>
              <w:jc w:val="center"/>
              <w:rPr>
                <w:rFonts w:eastAsia="Times New Roman"/>
                <w:b/>
                <w:color w:val="FFFFFF" w:themeColor="background1"/>
                <w:lang w:eastAsia="ru-RU" w:bidi="ru-RU"/>
              </w:rPr>
            </w:pPr>
            <w:r w:rsidRPr="00F94FED">
              <w:rPr>
                <w:rFonts w:eastAsia="Times New Roman"/>
                <w:b/>
                <w:color w:val="FFFFFF" w:themeColor="background1"/>
                <w:lang w:eastAsia="ru-RU" w:bidi="ru-RU"/>
              </w:rPr>
              <w:t>Согласовано</w:t>
            </w:r>
          </w:p>
          <w:p w14:paraId="23928247" w14:textId="27FC9DFE" w:rsidR="009A4C46" w:rsidRPr="00F94FED" w:rsidRDefault="008B0B3C" w:rsidP="009A4C46">
            <w:pPr>
              <w:widowControl w:val="0"/>
              <w:spacing w:after="0" w:line="190" w:lineRule="exact"/>
              <w:jc w:val="center"/>
              <w:rPr>
                <w:rFonts w:eastAsia="Times New Roman"/>
                <w:b/>
                <w:color w:val="FFFFFF" w:themeColor="background1"/>
                <w:lang w:eastAsia="ru-RU" w:bidi="ru-RU"/>
              </w:rPr>
            </w:pPr>
            <w:r>
              <w:rPr>
                <w:rFonts w:eastAsia="Times New Roman"/>
                <w:b/>
                <w:color w:val="FFFFFF" w:themeColor="background1"/>
                <w:lang w:eastAsia="ru-RU" w:bidi="ru-RU"/>
              </w:rPr>
              <w:t>Службой</w:t>
            </w:r>
            <w:r w:rsidR="00CC0E12" w:rsidRPr="00F94FED">
              <w:rPr>
                <w:rFonts w:eastAsia="Times New Roman"/>
                <w:b/>
                <w:color w:val="FFFFFF" w:themeColor="background1"/>
                <w:lang w:eastAsia="ru-RU" w:bidi="ru-RU"/>
              </w:rPr>
              <w:t>, тыс. руб.</w:t>
            </w:r>
          </w:p>
        </w:tc>
        <w:tc>
          <w:tcPr>
            <w:tcW w:w="59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69CB54F" w14:textId="14603D9F" w:rsidR="009A4C46" w:rsidRPr="00F94FED" w:rsidRDefault="009A4C46" w:rsidP="009A4C46">
            <w:pPr>
              <w:widowControl w:val="0"/>
              <w:spacing w:after="0" w:line="180" w:lineRule="exact"/>
              <w:jc w:val="center"/>
              <w:rPr>
                <w:rFonts w:eastAsia="Times New Roman"/>
                <w:b/>
                <w:color w:val="FFFFFF" w:themeColor="background1"/>
                <w:lang w:eastAsia="ru-RU" w:bidi="ru-RU"/>
              </w:rPr>
            </w:pPr>
            <w:r w:rsidRPr="00F94FED">
              <w:rPr>
                <w:rFonts w:eastAsia="Times New Roman"/>
                <w:b/>
                <w:i/>
                <w:iCs/>
                <w:color w:val="FFFFFF" w:themeColor="background1"/>
                <w:lang w:eastAsia="ru-RU" w:bidi="ru-RU"/>
              </w:rPr>
              <w:t>Отклонение</w:t>
            </w:r>
            <w:r w:rsidR="00CC0E12" w:rsidRPr="00F94FED">
              <w:rPr>
                <w:rFonts w:eastAsia="Times New Roman"/>
                <w:b/>
                <w:i/>
                <w:iCs/>
                <w:color w:val="FFFFFF" w:themeColor="background1"/>
                <w:lang w:eastAsia="ru-RU" w:bidi="ru-RU"/>
              </w:rPr>
              <w:t>, тыс. руб.</w:t>
            </w:r>
          </w:p>
        </w:tc>
      </w:tr>
      <w:tr w:rsidR="009A4C46" w:rsidRPr="00CC0E12" w14:paraId="01E39302" w14:textId="77777777" w:rsidTr="00F94FED">
        <w:trPr>
          <w:trHeight w:val="250"/>
          <w:tblHeader/>
        </w:trPr>
        <w:tc>
          <w:tcPr>
            <w:tcW w:w="26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BCA8275" w14:textId="77777777" w:rsidR="009A4C46" w:rsidRPr="00F94FED" w:rsidRDefault="009A4C46" w:rsidP="009A4C46">
            <w:pPr>
              <w:widowControl w:val="0"/>
              <w:spacing w:after="0" w:line="180" w:lineRule="exact"/>
              <w:jc w:val="center"/>
              <w:rPr>
                <w:rFonts w:eastAsia="Times New Roman"/>
                <w:b/>
                <w:color w:val="FFFFFF" w:themeColor="background1"/>
                <w:lang w:eastAsia="ru-RU" w:bidi="ru-RU"/>
              </w:rPr>
            </w:pPr>
            <w:r w:rsidRPr="00F94FED">
              <w:rPr>
                <w:rFonts w:eastAsia="Times New Roman"/>
                <w:b/>
                <w:i/>
                <w:iCs/>
                <w:color w:val="FFFFFF" w:themeColor="background1"/>
                <w:lang w:eastAsia="ru-RU" w:bidi="ru-RU"/>
              </w:rPr>
              <w:t>1</w:t>
            </w:r>
          </w:p>
        </w:tc>
        <w:tc>
          <w:tcPr>
            <w:tcW w:w="71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2FBAB7B" w14:textId="77777777" w:rsidR="009A4C46" w:rsidRPr="00F94FED" w:rsidRDefault="009A4C46" w:rsidP="009A4C46">
            <w:pPr>
              <w:widowControl w:val="0"/>
              <w:spacing w:after="0" w:line="180" w:lineRule="exact"/>
              <w:jc w:val="center"/>
              <w:rPr>
                <w:rFonts w:eastAsia="Times New Roman"/>
                <w:b/>
                <w:color w:val="FFFFFF" w:themeColor="background1"/>
                <w:lang w:eastAsia="ru-RU" w:bidi="ru-RU"/>
              </w:rPr>
            </w:pPr>
            <w:r w:rsidRPr="00F94FED">
              <w:rPr>
                <w:rFonts w:eastAsia="Times New Roman"/>
                <w:b/>
                <w:i/>
                <w:iCs/>
                <w:color w:val="FFFFFF" w:themeColor="background1"/>
                <w:lang w:eastAsia="ru-RU" w:bidi="ru-RU"/>
              </w:rPr>
              <w:t>2</w:t>
            </w:r>
          </w:p>
        </w:tc>
        <w:tc>
          <w:tcPr>
            <w:tcW w:w="199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BEE5383" w14:textId="77777777" w:rsidR="009A4C46" w:rsidRPr="00F94FED" w:rsidRDefault="009A4C46" w:rsidP="009A4C46">
            <w:pPr>
              <w:widowControl w:val="0"/>
              <w:spacing w:after="0" w:line="180" w:lineRule="exact"/>
              <w:jc w:val="center"/>
              <w:rPr>
                <w:rFonts w:eastAsia="Times New Roman"/>
                <w:b/>
                <w:color w:val="FFFFFF" w:themeColor="background1"/>
                <w:lang w:eastAsia="ru-RU" w:bidi="ru-RU"/>
              </w:rPr>
            </w:pPr>
            <w:r w:rsidRPr="00F94FED">
              <w:rPr>
                <w:rFonts w:eastAsia="Times New Roman"/>
                <w:b/>
                <w:i/>
                <w:iCs/>
                <w:color w:val="FFFFFF" w:themeColor="background1"/>
                <w:lang w:eastAsia="ru-RU" w:bidi="ru-RU"/>
              </w:rPr>
              <w:t>3</w:t>
            </w:r>
          </w:p>
        </w:tc>
        <w:tc>
          <w:tcPr>
            <w:tcW w:w="78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106D3E3" w14:textId="77777777" w:rsidR="009A4C46" w:rsidRPr="00F94FED" w:rsidRDefault="009A4C46" w:rsidP="009A4C46">
            <w:pPr>
              <w:widowControl w:val="0"/>
              <w:spacing w:after="0" w:line="180" w:lineRule="exact"/>
              <w:jc w:val="center"/>
              <w:rPr>
                <w:rFonts w:eastAsia="Times New Roman"/>
                <w:b/>
                <w:color w:val="FFFFFF" w:themeColor="background1"/>
                <w:lang w:eastAsia="ru-RU" w:bidi="ru-RU"/>
              </w:rPr>
            </w:pPr>
            <w:r w:rsidRPr="00F94FED">
              <w:rPr>
                <w:rFonts w:eastAsia="Times New Roman"/>
                <w:b/>
                <w:i/>
                <w:iCs/>
                <w:color w:val="FFFFFF" w:themeColor="background1"/>
                <w:lang w:eastAsia="ru-RU" w:bidi="ru-RU"/>
              </w:rPr>
              <w:t>4</w:t>
            </w:r>
          </w:p>
        </w:tc>
        <w:tc>
          <w:tcPr>
            <w:tcW w:w="64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DFB5259" w14:textId="77777777" w:rsidR="009A4C46" w:rsidRPr="00F94FED" w:rsidRDefault="009A4C46" w:rsidP="009A4C46">
            <w:pPr>
              <w:widowControl w:val="0"/>
              <w:spacing w:after="0" w:line="190" w:lineRule="exact"/>
              <w:jc w:val="center"/>
              <w:rPr>
                <w:rFonts w:eastAsia="Times New Roman"/>
                <w:b/>
                <w:color w:val="FFFFFF" w:themeColor="background1"/>
                <w:lang w:eastAsia="ru-RU" w:bidi="ru-RU"/>
              </w:rPr>
            </w:pPr>
            <w:r w:rsidRPr="00F94FED">
              <w:rPr>
                <w:rFonts w:eastAsia="Times New Roman"/>
                <w:b/>
                <w:color w:val="FFFFFF" w:themeColor="background1"/>
                <w:lang w:eastAsia="ru-RU" w:bidi="ru-RU"/>
              </w:rPr>
              <w:t>5</w:t>
            </w:r>
          </w:p>
        </w:tc>
        <w:tc>
          <w:tcPr>
            <w:tcW w:w="59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D932AF4" w14:textId="77777777" w:rsidR="009A4C46" w:rsidRPr="00F94FED" w:rsidRDefault="009A4C46" w:rsidP="009A4C46">
            <w:pPr>
              <w:widowControl w:val="0"/>
              <w:spacing w:after="0" w:line="180" w:lineRule="exact"/>
              <w:jc w:val="center"/>
              <w:rPr>
                <w:rFonts w:eastAsia="Times New Roman"/>
                <w:b/>
                <w:color w:val="FFFFFF" w:themeColor="background1"/>
                <w:lang w:eastAsia="ru-RU" w:bidi="ru-RU"/>
              </w:rPr>
            </w:pPr>
            <w:r w:rsidRPr="00F94FED">
              <w:rPr>
                <w:rFonts w:eastAsia="Times New Roman"/>
                <w:b/>
                <w:i/>
                <w:iCs/>
                <w:color w:val="FFFFFF" w:themeColor="background1"/>
                <w:lang w:eastAsia="ru-RU" w:bidi="ru-RU"/>
              </w:rPr>
              <w:t>6=5-4</w:t>
            </w:r>
          </w:p>
        </w:tc>
      </w:tr>
      <w:tr w:rsidR="009A4C46" w:rsidRPr="00CC0E12" w14:paraId="7667E4EB" w14:textId="77777777" w:rsidTr="00F94FED">
        <w:trPr>
          <w:trHeight w:val="691"/>
        </w:trPr>
        <w:tc>
          <w:tcPr>
            <w:tcW w:w="269" w:type="pct"/>
            <w:tcBorders>
              <w:top w:val="single" w:sz="4" w:space="0" w:color="FFFFFF" w:themeColor="background1"/>
              <w:left w:val="single" w:sz="4" w:space="0" w:color="auto"/>
            </w:tcBorders>
            <w:shd w:val="clear" w:color="auto" w:fill="FFFFFF"/>
            <w:vAlign w:val="center"/>
          </w:tcPr>
          <w:p w14:paraId="128B6854" w14:textId="77777777" w:rsidR="009A4C46" w:rsidRPr="00F94FED" w:rsidRDefault="009A4C46" w:rsidP="009A4C46">
            <w:pPr>
              <w:widowControl w:val="0"/>
              <w:spacing w:after="0" w:line="190" w:lineRule="exact"/>
              <w:jc w:val="center"/>
              <w:rPr>
                <w:rFonts w:eastAsia="Times New Roman"/>
                <w:color w:val="000000"/>
                <w:lang w:eastAsia="ru-RU" w:bidi="ru-RU"/>
              </w:rPr>
            </w:pPr>
            <w:r w:rsidRPr="00F94FED">
              <w:rPr>
                <w:rFonts w:eastAsia="Times New Roman"/>
                <w:bCs/>
                <w:color w:val="000000"/>
                <w:lang w:eastAsia="ru-RU" w:bidi="ru-RU"/>
              </w:rPr>
              <w:t>1</w:t>
            </w:r>
          </w:p>
        </w:tc>
        <w:tc>
          <w:tcPr>
            <w:tcW w:w="715" w:type="pct"/>
            <w:tcBorders>
              <w:top w:val="single" w:sz="4" w:space="0" w:color="FFFFFF" w:themeColor="background1"/>
              <w:left w:val="single" w:sz="4" w:space="0" w:color="auto"/>
            </w:tcBorders>
            <w:shd w:val="clear" w:color="auto" w:fill="FFFFFF"/>
            <w:vAlign w:val="center"/>
          </w:tcPr>
          <w:p w14:paraId="092E25A1" w14:textId="77777777" w:rsidR="009A4C46" w:rsidRPr="00F94FED" w:rsidRDefault="009A4C46" w:rsidP="009A4C46">
            <w:pPr>
              <w:widowControl w:val="0"/>
              <w:spacing w:after="0" w:line="190" w:lineRule="exact"/>
              <w:jc w:val="center"/>
              <w:rPr>
                <w:rFonts w:eastAsia="Times New Roman"/>
                <w:color w:val="000000"/>
                <w:lang w:eastAsia="ru-RU" w:bidi="ru-RU"/>
              </w:rPr>
            </w:pPr>
            <m:oMathPara>
              <m:oMath>
                <m:r>
                  <w:rPr>
                    <w:rFonts w:ascii="Cambria Math" w:eastAsia="Times New Roman" w:hAnsi="Cambria Math"/>
                    <w:lang w:eastAsia="ru-RU"/>
                  </w:rPr>
                  <m:t>∆</m:t>
                </m:r>
                <m:sSubSup>
                  <m:sSubSupPr>
                    <m:ctrlPr>
                      <w:rPr>
                        <w:rFonts w:ascii="Cambria Math" w:eastAsia="Times New Roman" w:hAnsi="Cambria Math"/>
                        <w:i/>
                        <w:lang w:eastAsia="ru-RU"/>
                      </w:rPr>
                    </m:ctrlPr>
                  </m:sSubSupPr>
                  <m:e>
                    <m:r>
                      <w:rPr>
                        <w:rFonts w:ascii="Cambria Math" w:eastAsia="Times New Roman" w:hAnsi="Cambria Math"/>
                        <w:lang w:eastAsia="ru-RU"/>
                      </w:rPr>
                      <m:t>НВВ</m:t>
                    </m:r>
                  </m:e>
                  <m:sub>
                    <m:r>
                      <w:rPr>
                        <w:rFonts w:ascii="Cambria Math" w:eastAsia="Times New Roman" w:hAnsi="Cambria Math"/>
                        <w:lang w:val="en-US" w:eastAsia="ru-RU"/>
                      </w:rPr>
                      <m:t>i</m:t>
                    </m:r>
                  </m:sub>
                  <m:sup>
                    <m:r>
                      <w:rPr>
                        <w:rFonts w:ascii="Cambria Math" w:eastAsia="Times New Roman" w:hAnsi="Cambria Math"/>
                        <w:lang w:eastAsia="ru-RU"/>
                      </w:rPr>
                      <m:t>сод</m:t>
                    </m:r>
                  </m:sup>
                </m:sSubSup>
              </m:oMath>
            </m:oMathPara>
          </w:p>
        </w:tc>
        <w:tc>
          <w:tcPr>
            <w:tcW w:w="1992" w:type="pct"/>
            <w:tcBorders>
              <w:top w:val="single" w:sz="4" w:space="0" w:color="FFFFFF" w:themeColor="background1"/>
              <w:left w:val="single" w:sz="4" w:space="0" w:color="auto"/>
            </w:tcBorders>
            <w:shd w:val="clear" w:color="auto" w:fill="FFFFFF"/>
            <w:vAlign w:val="center"/>
          </w:tcPr>
          <w:p w14:paraId="4A664411" w14:textId="77777777" w:rsidR="009A4C46" w:rsidRPr="00F94FED" w:rsidRDefault="009A4C46" w:rsidP="00B44325">
            <w:pPr>
              <w:widowControl w:val="0"/>
              <w:spacing w:after="0" w:line="226" w:lineRule="exact"/>
              <w:rPr>
                <w:rFonts w:eastAsia="Times New Roman"/>
                <w:color w:val="000000"/>
                <w:lang w:eastAsia="ru-RU" w:bidi="ru-RU"/>
              </w:rPr>
            </w:pPr>
            <w:r w:rsidRPr="00F94FED">
              <w:rPr>
                <w:rFonts w:eastAsia="Times New Roman"/>
                <w:bCs/>
                <w:color w:val="000000"/>
                <w:lang w:eastAsia="ru-RU" w:bidi="ru-RU"/>
              </w:rPr>
              <w:t xml:space="preserve">Компенсация выпадающих/излишне полученных доходов за год </w:t>
            </w:r>
            <w:r w:rsidRPr="00F94FED">
              <w:rPr>
                <w:rFonts w:eastAsia="Times New Roman"/>
                <w:bCs/>
                <w:color w:val="000000"/>
                <w:lang w:val="en-US" w:eastAsia="ru-RU" w:bidi="ru-RU"/>
              </w:rPr>
              <w:t>n</w:t>
            </w:r>
            <w:r w:rsidRPr="00F94FED">
              <w:rPr>
                <w:rFonts w:eastAsia="Times New Roman"/>
                <w:bCs/>
                <w:color w:val="000000"/>
                <w:lang w:eastAsia="ru-RU" w:bidi="ru-RU"/>
              </w:rPr>
              <w:t xml:space="preserve">-2 </w:t>
            </w:r>
          </w:p>
        </w:tc>
        <w:tc>
          <w:tcPr>
            <w:tcW w:w="782" w:type="pct"/>
            <w:tcBorders>
              <w:top w:val="single" w:sz="4" w:space="0" w:color="FFFFFF" w:themeColor="background1"/>
              <w:left w:val="single" w:sz="4" w:space="0" w:color="auto"/>
            </w:tcBorders>
            <w:shd w:val="clear" w:color="auto" w:fill="FFFFFF"/>
            <w:vAlign w:val="center"/>
          </w:tcPr>
          <w:p w14:paraId="504E0AF4" w14:textId="77777777" w:rsidR="009A4C46" w:rsidRPr="00F94FED" w:rsidRDefault="009A4C46" w:rsidP="009A4C46">
            <w:pPr>
              <w:widowControl w:val="0"/>
              <w:spacing w:after="0" w:line="190" w:lineRule="exact"/>
              <w:jc w:val="center"/>
              <w:rPr>
                <w:rFonts w:eastAsia="Times New Roman"/>
                <w:color w:val="000000"/>
                <w:lang w:eastAsia="ru-RU" w:bidi="ru-RU"/>
              </w:rPr>
            </w:pPr>
            <w:r w:rsidRPr="00F94FED">
              <w:rPr>
                <w:rFonts w:eastAsia="Times New Roman"/>
                <w:bCs/>
                <w:color w:val="000000"/>
                <w:lang w:eastAsia="ru-RU" w:bidi="ru-RU"/>
              </w:rPr>
              <w:t>75 644</w:t>
            </w:r>
          </w:p>
        </w:tc>
        <w:tc>
          <w:tcPr>
            <w:tcW w:w="646" w:type="pct"/>
            <w:tcBorders>
              <w:top w:val="single" w:sz="4" w:space="0" w:color="FFFFFF" w:themeColor="background1"/>
              <w:left w:val="single" w:sz="4" w:space="0" w:color="auto"/>
            </w:tcBorders>
            <w:shd w:val="clear" w:color="auto" w:fill="FFFFFF"/>
            <w:vAlign w:val="center"/>
          </w:tcPr>
          <w:p w14:paraId="5D07171E" w14:textId="77777777" w:rsidR="009A4C46" w:rsidRPr="00F94FED" w:rsidRDefault="009A4C46" w:rsidP="009A4C46">
            <w:pPr>
              <w:widowControl w:val="0"/>
              <w:spacing w:after="0" w:line="190" w:lineRule="exact"/>
              <w:jc w:val="center"/>
              <w:rPr>
                <w:rFonts w:eastAsia="Times New Roman"/>
                <w:color w:val="000000"/>
                <w:lang w:eastAsia="ru-RU" w:bidi="ru-RU"/>
              </w:rPr>
            </w:pPr>
            <w:r w:rsidRPr="00F94FED">
              <w:rPr>
                <w:rFonts w:eastAsia="Times New Roman"/>
                <w:bCs/>
                <w:color w:val="000000"/>
                <w:lang w:eastAsia="ru-RU" w:bidi="ru-RU"/>
              </w:rPr>
              <w:t>75 644</w:t>
            </w:r>
          </w:p>
        </w:tc>
        <w:tc>
          <w:tcPr>
            <w:tcW w:w="596" w:type="pct"/>
            <w:tcBorders>
              <w:top w:val="single" w:sz="4" w:space="0" w:color="FFFFFF" w:themeColor="background1"/>
              <w:left w:val="single" w:sz="4" w:space="0" w:color="auto"/>
              <w:right w:val="single" w:sz="4" w:space="0" w:color="auto"/>
            </w:tcBorders>
            <w:shd w:val="clear" w:color="auto" w:fill="FFFFFF"/>
            <w:vAlign w:val="center"/>
          </w:tcPr>
          <w:p w14:paraId="740EC9FD" w14:textId="77777777" w:rsidR="009A4C46" w:rsidRPr="00F94FED" w:rsidRDefault="009A4C46" w:rsidP="009A4C46">
            <w:pPr>
              <w:widowControl w:val="0"/>
              <w:spacing w:after="0" w:line="190" w:lineRule="exact"/>
              <w:jc w:val="center"/>
              <w:rPr>
                <w:rFonts w:eastAsia="Times New Roman"/>
                <w:color w:val="000000"/>
                <w:lang w:eastAsia="ru-RU" w:bidi="ru-RU"/>
              </w:rPr>
            </w:pPr>
            <w:r w:rsidRPr="00F94FED">
              <w:rPr>
                <w:rFonts w:eastAsia="Times New Roman"/>
                <w:bCs/>
                <w:color w:val="000000"/>
                <w:lang w:eastAsia="ru-RU" w:bidi="ru-RU"/>
              </w:rPr>
              <w:t>0</w:t>
            </w:r>
          </w:p>
        </w:tc>
      </w:tr>
      <w:tr w:rsidR="009A4C46" w:rsidRPr="00CC0E12" w14:paraId="2EC6ED9A" w14:textId="77777777" w:rsidTr="00F94FED">
        <w:trPr>
          <w:trHeight w:val="902"/>
        </w:trPr>
        <w:tc>
          <w:tcPr>
            <w:tcW w:w="269" w:type="pct"/>
            <w:tcBorders>
              <w:top w:val="single" w:sz="4" w:space="0" w:color="auto"/>
              <w:left w:val="single" w:sz="4" w:space="0" w:color="auto"/>
              <w:bottom w:val="single" w:sz="4" w:space="0" w:color="auto"/>
            </w:tcBorders>
            <w:shd w:val="clear" w:color="auto" w:fill="FFFFFF"/>
            <w:vAlign w:val="center"/>
          </w:tcPr>
          <w:p w14:paraId="0AC60EE0" w14:textId="77777777" w:rsidR="009A4C46" w:rsidRPr="00F94FED" w:rsidRDefault="009A4C46" w:rsidP="009A4C46">
            <w:pPr>
              <w:widowControl w:val="0"/>
              <w:spacing w:after="0" w:line="190" w:lineRule="exact"/>
              <w:jc w:val="center"/>
              <w:rPr>
                <w:rFonts w:eastAsia="Times New Roman"/>
                <w:color w:val="000000"/>
                <w:lang w:eastAsia="ru-RU" w:bidi="ru-RU"/>
              </w:rPr>
            </w:pPr>
            <w:r w:rsidRPr="00F94FED">
              <w:rPr>
                <w:rFonts w:eastAsia="Times New Roman"/>
                <w:bCs/>
                <w:color w:val="000000"/>
                <w:lang w:eastAsia="ru-RU" w:bidi="ru-RU"/>
              </w:rPr>
              <w:t>2</w:t>
            </w:r>
          </w:p>
        </w:tc>
        <w:tc>
          <w:tcPr>
            <w:tcW w:w="715" w:type="pct"/>
            <w:tcBorders>
              <w:top w:val="single" w:sz="4" w:space="0" w:color="auto"/>
              <w:left w:val="single" w:sz="4" w:space="0" w:color="auto"/>
              <w:bottom w:val="single" w:sz="4" w:space="0" w:color="auto"/>
            </w:tcBorders>
            <w:shd w:val="clear" w:color="auto" w:fill="FFFFFF"/>
            <w:vAlign w:val="center"/>
          </w:tcPr>
          <w:p w14:paraId="6B355275" w14:textId="77777777" w:rsidR="009A4C46" w:rsidRPr="00F94FED" w:rsidRDefault="009A4C46" w:rsidP="009A4C46">
            <w:pPr>
              <w:widowControl w:val="0"/>
              <w:spacing w:after="0" w:line="190" w:lineRule="exact"/>
              <w:jc w:val="center"/>
              <w:rPr>
                <w:rFonts w:eastAsia="Times New Roman"/>
                <w:color w:val="000000"/>
                <w:lang w:eastAsia="ru-RU" w:bidi="ru-RU"/>
              </w:rPr>
            </w:pPr>
            <w:r w:rsidRPr="00F94FED">
              <w:rPr>
                <w:rFonts w:eastAsia="Times New Roman"/>
                <w:bCs/>
                <w:color w:val="000000"/>
                <w:lang w:eastAsia="ru-RU" w:bidi="ru-RU"/>
              </w:rPr>
              <w:t xml:space="preserve">НВВ сод </w:t>
            </w:r>
            <w:proofErr w:type="spellStart"/>
            <w:r w:rsidRPr="00F94FED">
              <w:rPr>
                <w:rFonts w:eastAsia="Times New Roman"/>
                <w:bCs/>
                <w:color w:val="000000"/>
                <w:lang w:val="en-US" w:eastAsia="ru-RU" w:bidi="ru-RU"/>
              </w:rPr>
              <w:t>i</w:t>
            </w:r>
            <w:proofErr w:type="spellEnd"/>
            <w:r w:rsidRPr="00F94FED">
              <w:rPr>
                <w:rFonts w:eastAsia="Times New Roman"/>
                <w:bCs/>
                <w:color w:val="000000"/>
                <w:lang w:eastAsia="ru-RU" w:bidi="ru-RU"/>
              </w:rPr>
              <w:t>-2</w:t>
            </w:r>
          </w:p>
        </w:tc>
        <w:tc>
          <w:tcPr>
            <w:tcW w:w="1992" w:type="pct"/>
            <w:tcBorders>
              <w:top w:val="single" w:sz="4" w:space="0" w:color="auto"/>
              <w:left w:val="single" w:sz="4" w:space="0" w:color="auto"/>
              <w:bottom w:val="single" w:sz="4" w:space="0" w:color="auto"/>
            </w:tcBorders>
            <w:shd w:val="clear" w:color="auto" w:fill="FFFFFF"/>
            <w:vAlign w:val="center"/>
          </w:tcPr>
          <w:p w14:paraId="77A93D59" w14:textId="77777777" w:rsidR="009A4C46" w:rsidRPr="00F94FED" w:rsidRDefault="009A4C46" w:rsidP="00B44325">
            <w:pPr>
              <w:widowControl w:val="0"/>
              <w:spacing w:after="0" w:line="216" w:lineRule="exact"/>
              <w:rPr>
                <w:rFonts w:eastAsia="Times New Roman"/>
                <w:color w:val="000000"/>
                <w:lang w:eastAsia="ru-RU" w:bidi="ru-RU"/>
              </w:rPr>
            </w:pPr>
            <w:r w:rsidRPr="00F94FED">
              <w:rPr>
                <w:rFonts w:eastAsia="Times New Roman"/>
                <w:bCs/>
                <w:color w:val="000000"/>
                <w:lang w:eastAsia="ru-RU" w:bidi="ru-RU"/>
              </w:rPr>
              <w:t>Скорректированная необходимая валовая выручка, определяемая при установлении тарифов на 2017 год долгосрочного периода регулирования</w:t>
            </w:r>
          </w:p>
        </w:tc>
        <w:tc>
          <w:tcPr>
            <w:tcW w:w="782" w:type="pct"/>
            <w:tcBorders>
              <w:top w:val="single" w:sz="4" w:space="0" w:color="auto"/>
              <w:left w:val="single" w:sz="4" w:space="0" w:color="auto"/>
              <w:bottom w:val="single" w:sz="4" w:space="0" w:color="auto"/>
            </w:tcBorders>
            <w:shd w:val="clear" w:color="auto" w:fill="FFFFFF"/>
            <w:vAlign w:val="center"/>
          </w:tcPr>
          <w:p w14:paraId="32A3806F" w14:textId="77777777" w:rsidR="009A4C46" w:rsidRPr="00F94FED" w:rsidRDefault="009A4C46" w:rsidP="009A4C46">
            <w:pPr>
              <w:widowControl w:val="0"/>
              <w:spacing w:after="0" w:line="190" w:lineRule="exact"/>
              <w:jc w:val="center"/>
              <w:rPr>
                <w:rFonts w:eastAsia="Times New Roman"/>
                <w:color w:val="000000"/>
                <w:lang w:eastAsia="ru-RU" w:bidi="ru-RU"/>
              </w:rPr>
            </w:pPr>
            <w:r w:rsidRPr="00F94FED">
              <w:rPr>
                <w:rFonts w:eastAsia="Times New Roman"/>
                <w:bCs/>
                <w:color w:val="000000"/>
                <w:lang w:eastAsia="ru-RU" w:bidi="ru-RU"/>
              </w:rPr>
              <w:t>1 167 221</w:t>
            </w:r>
          </w:p>
        </w:tc>
        <w:tc>
          <w:tcPr>
            <w:tcW w:w="646" w:type="pct"/>
            <w:tcBorders>
              <w:top w:val="single" w:sz="4" w:space="0" w:color="auto"/>
              <w:left w:val="single" w:sz="4" w:space="0" w:color="auto"/>
              <w:bottom w:val="single" w:sz="4" w:space="0" w:color="auto"/>
            </w:tcBorders>
            <w:shd w:val="clear" w:color="auto" w:fill="FFFFFF"/>
            <w:vAlign w:val="center"/>
          </w:tcPr>
          <w:p w14:paraId="4582FAF7" w14:textId="77777777" w:rsidR="009A4C46" w:rsidRPr="00F94FED" w:rsidRDefault="009A4C46" w:rsidP="009A4C46">
            <w:pPr>
              <w:widowControl w:val="0"/>
              <w:spacing w:after="0" w:line="190" w:lineRule="exact"/>
              <w:jc w:val="center"/>
              <w:rPr>
                <w:rFonts w:eastAsia="Times New Roman"/>
                <w:color w:val="000000"/>
                <w:lang w:eastAsia="ru-RU" w:bidi="ru-RU"/>
              </w:rPr>
            </w:pPr>
            <w:r w:rsidRPr="00F94FED">
              <w:rPr>
                <w:rFonts w:eastAsia="Times New Roman"/>
                <w:bCs/>
                <w:color w:val="000000"/>
                <w:lang w:eastAsia="ru-RU" w:bidi="ru-RU"/>
              </w:rPr>
              <w:t>1 167 221</w:t>
            </w:r>
          </w:p>
        </w:tc>
        <w:tc>
          <w:tcPr>
            <w:tcW w:w="596" w:type="pct"/>
            <w:tcBorders>
              <w:top w:val="single" w:sz="4" w:space="0" w:color="auto"/>
              <w:left w:val="single" w:sz="4" w:space="0" w:color="auto"/>
              <w:bottom w:val="single" w:sz="4" w:space="0" w:color="auto"/>
              <w:right w:val="single" w:sz="4" w:space="0" w:color="auto"/>
            </w:tcBorders>
            <w:shd w:val="clear" w:color="auto" w:fill="FFFFFF"/>
            <w:vAlign w:val="center"/>
          </w:tcPr>
          <w:p w14:paraId="4CE2AB00" w14:textId="77777777" w:rsidR="009A4C46" w:rsidRPr="00F94FED" w:rsidRDefault="009A4C46" w:rsidP="009A4C46">
            <w:pPr>
              <w:widowControl w:val="0"/>
              <w:spacing w:after="0" w:line="190" w:lineRule="exact"/>
              <w:jc w:val="center"/>
              <w:rPr>
                <w:rFonts w:eastAsia="Times New Roman"/>
                <w:color w:val="000000"/>
                <w:lang w:eastAsia="ru-RU" w:bidi="ru-RU"/>
              </w:rPr>
            </w:pPr>
            <w:r w:rsidRPr="00F94FED">
              <w:rPr>
                <w:rFonts w:eastAsia="Times New Roman"/>
                <w:bCs/>
                <w:color w:val="000000"/>
                <w:lang w:eastAsia="ru-RU" w:bidi="ru-RU"/>
              </w:rPr>
              <w:t>0</w:t>
            </w:r>
          </w:p>
        </w:tc>
      </w:tr>
      <w:tr w:rsidR="009A4C46" w:rsidRPr="00CC0E12" w14:paraId="64A40777" w14:textId="77777777" w:rsidTr="00F94FED">
        <w:trPr>
          <w:trHeight w:val="902"/>
        </w:trPr>
        <w:tc>
          <w:tcPr>
            <w:tcW w:w="269" w:type="pct"/>
            <w:tcBorders>
              <w:top w:val="single" w:sz="4" w:space="0" w:color="auto"/>
              <w:left w:val="single" w:sz="4" w:space="0" w:color="auto"/>
              <w:bottom w:val="single" w:sz="4" w:space="0" w:color="auto"/>
            </w:tcBorders>
            <w:shd w:val="clear" w:color="auto" w:fill="FFFFFF"/>
            <w:vAlign w:val="center"/>
          </w:tcPr>
          <w:p w14:paraId="2095F52E" w14:textId="77777777" w:rsidR="009A4C46" w:rsidRPr="00F94FED" w:rsidRDefault="009A4C46" w:rsidP="009A4C46">
            <w:pPr>
              <w:widowControl w:val="0"/>
              <w:spacing w:after="0" w:line="190" w:lineRule="exact"/>
              <w:jc w:val="center"/>
              <w:rPr>
                <w:rFonts w:eastAsia="Times New Roman"/>
                <w:bCs/>
                <w:color w:val="000000"/>
                <w:lang w:eastAsia="ru-RU" w:bidi="ru-RU"/>
              </w:rPr>
            </w:pPr>
            <w:r w:rsidRPr="00F94FED">
              <w:rPr>
                <w:rFonts w:eastAsia="Times New Roman"/>
                <w:bCs/>
                <w:color w:val="000000"/>
                <w:lang w:eastAsia="ru-RU" w:bidi="ru-RU"/>
              </w:rPr>
              <w:t>3</w:t>
            </w:r>
          </w:p>
        </w:tc>
        <w:tc>
          <w:tcPr>
            <w:tcW w:w="715" w:type="pct"/>
            <w:tcBorders>
              <w:top w:val="single" w:sz="4" w:space="0" w:color="auto"/>
              <w:left w:val="single" w:sz="4" w:space="0" w:color="auto"/>
              <w:bottom w:val="single" w:sz="4" w:space="0" w:color="auto"/>
            </w:tcBorders>
            <w:shd w:val="clear" w:color="auto" w:fill="FFFFFF"/>
            <w:vAlign w:val="center"/>
          </w:tcPr>
          <w:p w14:paraId="33EB9D16" w14:textId="77777777" w:rsidR="009A4C46" w:rsidRPr="00F94FED" w:rsidRDefault="009A4C46" w:rsidP="009A4C46">
            <w:pPr>
              <w:widowControl w:val="0"/>
              <w:spacing w:after="0" w:line="190" w:lineRule="exact"/>
              <w:jc w:val="center"/>
              <w:rPr>
                <w:rFonts w:eastAsia="Times New Roman"/>
                <w:bCs/>
                <w:color w:val="000000"/>
                <w:lang w:eastAsia="ru-RU" w:bidi="ru-RU"/>
              </w:rPr>
            </w:pPr>
            <w:r w:rsidRPr="00F94FED">
              <w:rPr>
                <w:rFonts w:eastAsia="Times New Roman"/>
                <w:bCs/>
                <w:color w:val="000000"/>
                <w:lang w:val="en-US" w:eastAsia="ru-RU" w:bidi="en-US"/>
              </w:rPr>
              <w:t xml:space="preserve">HBB </w:t>
            </w:r>
            <w:r w:rsidRPr="00F94FED">
              <w:rPr>
                <w:rFonts w:eastAsia="Times New Roman"/>
                <w:bCs/>
                <w:color w:val="000000"/>
                <w:lang w:eastAsia="ru-RU" w:bidi="ru-RU"/>
              </w:rPr>
              <w:t xml:space="preserve">ф </w:t>
            </w:r>
            <w:proofErr w:type="spellStart"/>
            <w:r w:rsidRPr="00F94FED">
              <w:rPr>
                <w:rFonts w:eastAsia="Times New Roman"/>
                <w:bCs/>
                <w:color w:val="000000"/>
                <w:lang w:val="en-US" w:eastAsia="ru-RU" w:bidi="ru-RU"/>
              </w:rPr>
              <w:t>i</w:t>
            </w:r>
            <w:proofErr w:type="spellEnd"/>
            <w:r w:rsidRPr="00F94FED">
              <w:rPr>
                <w:rFonts w:eastAsia="Times New Roman"/>
                <w:bCs/>
                <w:color w:val="000000"/>
                <w:lang w:eastAsia="ru-RU" w:bidi="ru-RU"/>
              </w:rPr>
              <w:t>-2</w:t>
            </w:r>
          </w:p>
        </w:tc>
        <w:tc>
          <w:tcPr>
            <w:tcW w:w="1992" w:type="pct"/>
            <w:tcBorders>
              <w:top w:val="single" w:sz="4" w:space="0" w:color="auto"/>
              <w:left w:val="single" w:sz="4" w:space="0" w:color="auto"/>
              <w:bottom w:val="single" w:sz="4" w:space="0" w:color="auto"/>
            </w:tcBorders>
            <w:shd w:val="clear" w:color="auto" w:fill="FFFFFF"/>
            <w:vAlign w:val="center"/>
          </w:tcPr>
          <w:p w14:paraId="70F61162" w14:textId="77777777" w:rsidR="009A4C46" w:rsidRPr="00F94FED" w:rsidRDefault="009A4C46" w:rsidP="00B44325">
            <w:pPr>
              <w:widowControl w:val="0"/>
              <w:spacing w:after="0" w:line="216" w:lineRule="exact"/>
              <w:rPr>
                <w:rFonts w:eastAsia="Times New Roman"/>
                <w:bCs/>
                <w:color w:val="000000"/>
                <w:lang w:eastAsia="ru-RU" w:bidi="ru-RU"/>
              </w:rPr>
            </w:pPr>
            <w:r w:rsidRPr="00F94FED">
              <w:rPr>
                <w:rFonts w:eastAsia="Times New Roman"/>
                <w:bCs/>
                <w:color w:val="000000"/>
                <w:lang w:eastAsia="ru-RU" w:bidi="ru-RU"/>
              </w:rPr>
              <w:t>Фактический объем выручки от реализации</w:t>
            </w:r>
            <w:r w:rsidRPr="00F94FED">
              <w:rPr>
                <w:rFonts w:eastAsia="Times New Roman"/>
                <w:lang w:eastAsia="ru-RU"/>
              </w:rPr>
              <w:t xml:space="preserve"> </w:t>
            </w:r>
            <w:r w:rsidRPr="00F94FED">
              <w:rPr>
                <w:rFonts w:eastAsia="Times New Roman"/>
                <w:bCs/>
                <w:color w:val="000000"/>
                <w:lang w:eastAsia="ru-RU" w:bidi="ru-RU"/>
              </w:rPr>
              <w:t>продукции, по регулируемому виду деятельности за 2017 год</w:t>
            </w:r>
          </w:p>
        </w:tc>
        <w:tc>
          <w:tcPr>
            <w:tcW w:w="782" w:type="pct"/>
            <w:tcBorders>
              <w:top w:val="single" w:sz="4" w:space="0" w:color="auto"/>
              <w:left w:val="single" w:sz="4" w:space="0" w:color="auto"/>
              <w:bottom w:val="single" w:sz="4" w:space="0" w:color="auto"/>
            </w:tcBorders>
            <w:shd w:val="clear" w:color="auto" w:fill="FFFFFF"/>
            <w:vAlign w:val="center"/>
          </w:tcPr>
          <w:p w14:paraId="2B05C5E1" w14:textId="77777777" w:rsidR="009A4C46" w:rsidRPr="00F94FED" w:rsidRDefault="009A4C46" w:rsidP="009A4C46">
            <w:pPr>
              <w:widowControl w:val="0"/>
              <w:spacing w:after="0" w:line="190" w:lineRule="exact"/>
              <w:jc w:val="center"/>
              <w:rPr>
                <w:rFonts w:eastAsia="Times New Roman"/>
                <w:bCs/>
                <w:color w:val="000000"/>
                <w:lang w:eastAsia="ru-RU" w:bidi="ru-RU"/>
              </w:rPr>
            </w:pPr>
            <w:r w:rsidRPr="00F94FED">
              <w:rPr>
                <w:rFonts w:eastAsia="Times New Roman"/>
                <w:bCs/>
                <w:color w:val="000000"/>
                <w:lang w:eastAsia="ru-RU" w:bidi="ru-RU"/>
              </w:rPr>
              <w:t>1 091 577</w:t>
            </w:r>
          </w:p>
        </w:tc>
        <w:tc>
          <w:tcPr>
            <w:tcW w:w="646" w:type="pct"/>
            <w:tcBorders>
              <w:top w:val="single" w:sz="4" w:space="0" w:color="auto"/>
              <w:left w:val="single" w:sz="4" w:space="0" w:color="auto"/>
              <w:bottom w:val="single" w:sz="4" w:space="0" w:color="auto"/>
            </w:tcBorders>
            <w:shd w:val="clear" w:color="auto" w:fill="FFFFFF"/>
            <w:vAlign w:val="center"/>
          </w:tcPr>
          <w:p w14:paraId="17850429" w14:textId="77777777" w:rsidR="009A4C46" w:rsidRPr="00F94FED" w:rsidRDefault="009A4C46" w:rsidP="009A4C46">
            <w:pPr>
              <w:widowControl w:val="0"/>
              <w:spacing w:after="0" w:line="190" w:lineRule="exact"/>
              <w:jc w:val="center"/>
              <w:rPr>
                <w:rFonts w:eastAsia="Times New Roman"/>
                <w:bCs/>
                <w:color w:val="000000"/>
                <w:lang w:eastAsia="ru-RU" w:bidi="ru-RU"/>
              </w:rPr>
            </w:pPr>
            <w:r w:rsidRPr="00F94FED">
              <w:rPr>
                <w:rFonts w:eastAsia="Times New Roman"/>
                <w:bCs/>
                <w:color w:val="000000"/>
                <w:lang w:eastAsia="ru-RU" w:bidi="ru-RU"/>
              </w:rPr>
              <w:t>1 091 577</w:t>
            </w:r>
          </w:p>
        </w:tc>
        <w:tc>
          <w:tcPr>
            <w:tcW w:w="596" w:type="pct"/>
            <w:tcBorders>
              <w:top w:val="single" w:sz="4" w:space="0" w:color="auto"/>
              <w:left w:val="single" w:sz="4" w:space="0" w:color="auto"/>
              <w:bottom w:val="single" w:sz="4" w:space="0" w:color="auto"/>
              <w:right w:val="single" w:sz="4" w:space="0" w:color="auto"/>
            </w:tcBorders>
            <w:shd w:val="clear" w:color="auto" w:fill="FFFFFF"/>
            <w:vAlign w:val="center"/>
          </w:tcPr>
          <w:p w14:paraId="64FD4DF1" w14:textId="77777777" w:rsidR="009A4C46" w:rsidRPr="00F94FED" w:rsidRDefault="009A4C46" w:rsidP="009A4C46">
            <w:pPr>
              <w:widowControl w:val="0"/>
              <w:spacing w:after="0" w:line="190" w:lineRule="exact"/>
              <w:jc w:val="center"/>
              <w:rPr>
                <w:rFonts w:eastAsia="Times New Roman"/>
                <w:bCs/>
                <w:color w:val="000000"/>
                <w:lang w:eastAsia="ru-RU" w:bidi="ru-RU"/>
              </w:rPr>
            </w:pPr>
            <w:r w:rsidRPr="00F94FED">
              <w:rPr>
                <w:rFonts w:eastAsia="Times New Roman"/>
                <w:bCs/>
                <w:color w:val="000000"/>
                <w:lang w:eastAsia="ru-RU" w:bidi="ru-RU"/>
              </w:rPr>
              <w:t>0</w:t>
            </w:r>
          </w:p>
        </w:tc>
      </w:tr>
    </w:tbl>
    <w:p w14:paraId="7179D74A" w14:textId="77777777" w:rsidR="00CC0E12" w:rsidRPr="00F94FED" w:rsidRDefault="00CC0E12" w:rsidP="009A4C46">
      <w:pPr>
        <w:spacing w:after="32" w:line="360" w:lineRule="auto"/>
        <w:ind w:firstLine="709"/>
        <w:jc w:val="both"/>
        <w:rPr>
          <w:rFonts w:eastAsia="Times New Roman"/>
          <w:bCs/>
          <w:sz w:val="26"/>
          <w:szCs w:val="26"/>
          <w:u w:val="single"/>
          <w:lang w:eastAsia="ru-RU"/>
        </w:rPr>
      </w:pPr>
    </w:p>
    <w:p w14:paraId="03BF562C" w14:textId="4889750A" w:rsidR="009A4C46" w:rsidRPr="00F94FED" w:rsidRDefault="00CC0E12" w:rsidP="00CB5AA8">
      <w:pPr>
        <w:spacing w:after="32" w:line="360" w:lineRule="auto"/>
        <w:jc w:val="both"/>
        <w:rPr>
          <w:rFonts w:eastAsia="Times New Roman"/>
          <w:b/>
          <w:sz w:val="26"/>
          <w:szCs w:val="26"/>
          <w:lang w:eastAsia="ru-RU"/>
        </w:rPr>
      </w:pPr>
      <w:r w:rsidRPr="00F94FED">
        <w:rPr>
          <w:rFonts w:eastAsia="Times New Roman"/>
          <w:b/>
          <w:sz w:val="26"/>
          <w:szCs w:val="26"/>
          <w:lang w:eastAsia="ru-RU"/>
        </w:rPr>
        <w:t>ПОЗИЦИЯ ИСПОЛНИТЕЛЯ</w:t>
      </w:r>
    </w:p>
    <w:p w14:paraId="236FFFD8" w14:textId="77777777" w:rsidR="00B44325" w:rsidRPr="00F94FED" w:rsidRDefault="00B44325" w:rsidP="00F94313">
      <w:pPr>
        <w:spacing w:after="0" w:line="360" w:lineRule="auto"/>
        <w:ind w:firstLine="567"/>
        <w:jc w:val="both"/>
        <w:rPr>
          <w:rFonts w:eastAsia="Times New Roman"/>
          <w:sz w:val="26"/>
          <w:szCs w:val="26"/>
          <w:lang w:eastAsia="ru-RU"/>
        </w:rPr>
      </w:pPr>
      <w:r w:rsidRPr="00F94FED">
        <w:rPr>
          <w:rFonts w:eastAsia="Times New Roman"/>
          <w:sz w:val="26"/>
          <w:szCs w:val="26"/>
          <w:lang w:eastAsia="ru-RU"/>
        </w:rPr>
        <w:t xml:space="preserve">Исполнитель отмечает, что Службой по тарифам Республики Тыва в экспертном заключении на 2019 год не представлен поверочный расчет фактического </w:t>
      </w:r>
      <w:r w:rsidRPr="00F94FED">
        <w:rPr>
          <w:rFonts w:eastAsia="Times New Roman"/>
          <w:bCs/>
          <w:sz w:val="26"/>
          <w:szCs w:val="26"/>
          <w:lang w:eastAsia="ru-RU" w:bidi="ru-RU"/>
        </w:rPr>
        <w:t>объем выручки от реализации</w:t>
      </w:r>
      <w:r w:rsidRPr="00F94FED">
        <w:rPr>
          <w:rFonts w:eastAsia="Times New Roman"/>
          <w:sz w:val="26"/>
          <w:szCs w:val="26"/>
          <w:lang w:eastAsia="ru-RU"/>
        </w:rPr>
        <w:t xml:space="preserve"> </w:t>
      </w:r>
      <w:r w:rsidRPr="00F94FED">
        <w:rPr>
          <w:rFonts w:eastAsia="Times New Roman"/>
          <w:bCs/>
          <w:sz w:val="26"/>
          <w:szCs w:val="26"/>
          <w:lang w:eastAsia="ru-RU" w:bidi="ru-RU"/>
        </w:rPr>
        <w:t>продукции, по регулируемому виду деятельности за 2017 год.</w:t>
      </w:r>
      <w:r w:rsidRPr="00F94FED">
        <w:rPr>
          <w:rFonts w:eastAsia="Times New Roman"/>
          <w:sz w:val="26"/>
          <w:szCs w:val="26"/>
          <w:lang w:eastAsia="ru-RU"/>
        </w:rPr>
        <w:t xml:space="preserve"> Размер корректировки необходимой валовой выручки по доходам от осуществления регулируемой деятельности за 2017 год, принят на уровне заявленном АО «Тываэнерго». </w:t>
      </w:r>
    </w:p>
    <w:p w14:paraId="5E5985B6" w14:textId="77777777" w:rsidR="009A4C46" w:rsidRPr="00F94FED" w:rsidRDefault="009A4C46" w:rsidP="00F94313">
      <w:pPr>
        <w:spacing w:after="32" w:line="360" w:lineRule="auto"/>
        <w:ind w:firstLine="567"/>
        <w:jc w:val="both"/>
        <w:rPr>
          <w:rFonts w:eastAsia="Times New Roman"/>
          <w:sz w:val="26"/>
          <w:szCs w:val="26"/>
          <w:lang w:eastAsia="ru-RU"/>
        </w:rPr>
      </w:pPr>
      <w:r w:rsidRPr="00F94FED">
        <w:rPr>
          <w:rFonts w:eastAsia="Times New Roman"/>
          <w:sz w:val="26"/>
          <w:szCs w:val="26"/>
          <w:lang w:eastAsia="ru-RU"/>
        </w:rPr>
        <w:t>Исполнителем проведен анализ выполненных АО «Тываэнерго» и Службой по тарифам Республики Тыва расчетов корректировки необходимой валовой выручки по доходам от осуществления регулируемой деятельности в 2017 году и параметров, используемых при расчетах.</w:t>
      </w:r>
    </w:p>
    <w:p w14:paraId="2B6B8C02" w14:textId="5C5BD97F" w:rsidR="009A4C46" w:rsidRPr="00F94FED" w:rsidRDefault="009A4C46" w:rsidP="00F94313">
      <w:pPr>
        <w:spacing w:after="32" w:line="360" w:lineRule="auto"/>
        <w:ind w:firstLine="567"/>
        <w:jc w:val="both"/>
        <w:rPr>
          <w:rFonts w:eastAsia="Times New Roman"/>
          <w:sz w:val="26"/>
          <w:szCs w:val="26"/>
          <w:lang w:eastAsia="ru-RU"/>
        </w:rPr>
      </w:pPr>
      <w:r w:rsidRPr="00F94FED">
        <w:rPr>
          <w:rFonts w:eastAsia="Times New Roman"/>
          <w:sz w:val="26"/>
          <w:szCs w:val="26"/>
          <w:lang w:eastAsia="ru-RU"/>
        </w:rPr>
        <w:t>В соответствии с Та</w:t>
      </w:r>
      <w:r w:rsidR="00CC0E12" w:rsidRPr="00F94FED">
        <w:rPr>
          <w:rFonts w:eastAsia="Times New Roman"/>
          <w:sz w:val="26"/>
          <w:szCs w:val="26"/>
          <w:lang w:eastAsia="ru-RU"/>
        </w:rPr>
        <w:t>б</w:t>
      </w:r>
      <w:r w:rsidRPr="00F94FED">
        <w:rPr>
          <w:rFonts w:eastAsia="Times New Roman"/>
          <w:sz w:val="26"/>
          <w:szCs w:val="26"/>
          <w:lang w:eastAsia="ru-RU"/>
        </w:rPr>
        <w:t>лицей 1 Приложения к Постановлению Службы по тарифам Республики Тыва от 30.12.2016 № 89 «Об установлении единых «котловых» тарифов на услуги по передаче электрической энергии по сетям Республики Тыва на 2017 год» необходимая валовая выручка на содержание утверждена в сумме 1 167 221 тыс. руб.</w:t>
      </w:r>
    </w:p>
    <w:p w14:paraId="57E6E9FD" w14:textId="532FD784" w:rsidR="009A4C46" w:rsidRPr="00F94FED" w:rsidRDefault="009A4C46" w:rsidP="00F94313">
      <w:pPr>
        <w:spacing w:after="32" w:line="360" w:lineRule="auto"/>
        <w:ind w:firstLine="567"/>
        <w:jc w:val="both"/>
        <w:rPr>
          <w:rFonts w:eastAsia="Times New Roman"/>
          <w:sz w:val="26"/>
          <w:szCs w:val="26"/>
          <w:lang w:eastAsia="ru-RU"/>
        </w:rPr>
      </w:pPr>
      <w:r w:rsidRPr="00F14371">
        <w:rPr>
          <w:rFonts w:eastAsia="Times New Roman"/>
          <w:sz w:val="26"/>
          <w:szCs w:val="26"/>
          <w:lang w:eastAsia="ru-RU"/>
        </w:rPr>
        <w:t xml:space="preserve">Фактический объем выручки </w:t>
      </w:r>
      <w:r w:rsidR="00F14371" w:rsidRPr="00F14371">
        <w:rPr>
          <w:rFonts w:eastAsia="Times New Roman"/>
          <w:sz w:val="26"/>
          <w:szCs w:val="26"/>
          <w:lang w:eastAsia="ru-RU"/>
        </w:rPr>
        <w:t xml:space="preserve">на содержание электрических сетей </w:t>
      </w:r>
      <w:r w:rsidRPr="00F14371">
        <w:rPr>
          <w:rFonts w:eastAsia="Times New Roman"/>
          <w:sz w:val="26"/>
          <w:szCs w:val="26"/>
          <w:lang w:eastAsia="ru-RU"/>
        </w:rPr>
        <w:t>от реализации продукции, по регулируемому виду деятельности за 2017 год, по расчетам АО «Тываэнерго» составил 1</w:t>
      </w:r>
      <w:r w:rsidR="00CC0E12" w:rsidRPr="00F14371">
        <w:rPr>
          <w:rFonts w:eastAsia="Times New Roman"/>
          <w:sz w:val="26"/>
          <w:szCs w:val="26"/>
          <w:lang w:eastAsia="ru-RU"/>
        </w:rPr>
        <w:t> </w:t>
      </w:r>
      <w:r w:rsidRPr="00F14371">
        <w:rPr>
          <w:rFonts w:eastAsia="Times New Roman"/>
          <w:sz w:val="26"/>
          <w:szCs w:val="26"/>
          <w:lang w:eastAsia="ru-RU"/>
        </w:rPr>
        <w:t>091 577 тыс. руб.</w:t>
      </w:r>
      <w:r w:rsidR="00F14371">
        <w:rPr>
          <w:rFonts w:eastAsia="Times New Roman"/>
          <w:sz w:val="26"/>
          <w:szCs w:val="26"/>
          <w:lang w:eastAsia="ru-RU"/>
        </w:rPr>
        <w:t xml:space="preserve"> </w:t>
      </w:r>
    </w:p>
    <w:p w14:paraId="50AB70C4" w14:textId="77777777" w:rsidR="009A4C46" w:rsidRPr="00E93DFF" w:rsidRDefault="009A4C46" w:rsidP="00F94313">
      <w:pPr>
        <w:spacing w:after="32" w:line="360" w:lineRule="auto"/>
        <w:ind w:firstLine="567"/>
        <w:jc w:val="both"/>
        <w:rPr>
          <w:rFonts w:eastAsia="Times New Roman"/>
          <w:color w:val="auto"/>
          <w:sz w:val="26"/>
          <w:szCs w:val="26"/>
          <w:lang w:eastAsia="ru-RU"/>
        </w:rPr>
      </w:pPr>
      <w:r w:rsidRPr="00F94FED">
        <w:rPr>
          <w:rFonts w:eastAsia="Times New Roman"/>
          <w:sz w:val="26"/>
          <w:szCs w:val="26"/>
          <w:lang w:eastAsia="ru-RU"/>
        </w:rPr>
        <w:lastRenderedPageBreak/>
        <w:t>Учтенная сумма корректировка НВВ по доходам от осуществления регулируемой деятельности за 2017 год</w:t>
      </w:r>
      <w:r w:rsidRPr="00F94FED" w:rsidDel="00BE7892">
        <w:rPr>
          <w:rFonts w:eastAsia="Times New Roman"/>
          <w:sz w:val="26"/>
          <w:szCs w:val="26"/>
          <w:lang w:eastAsia="ru-RU"/>
        </w:rPr>
        <w:t xml:space="preserve"> </w:t>
      </w:r>
      <w:r w:rsidRPr="00F94FED">
        <w:rPr>
          <w:rFonts w:eastAsia="Times New Roman"/>
          <w:sz w:val="26"/>
          <w:szCs w:val="26"/>
          <w:lang w:eastAsia="ru-RU"/>
        </w:rPr>
        <w:t xml:space="preserve">по расчетам АО «Тываэнерго» и </w:t>
      </w:r>
      <w:r w:rsidRPr="00E93DFF">
        <w:rPr>
          <w:rFonts w:eastAsia="Times New Roman"/>
          <w:color w:val="auto"/>
          <w:sz w:val="26"/>
          <w:szCs w:val="26"/>
          <w:lang w:eastAsia="ru-RU"/>
        </w:rPr>
        <w:t>принятая Службой по тарифам Республики Тыва составила 75 644 тыс. руб.</w:t>
      </w:r>
    </w:p>
    <w:p w14:paraId="376DCDED" w14:textId="1AB6B9F8" w:rsidR="009A4C46" w:rsidRPr="00E93DFF" w:rsidRDefault="009A4C46" w:rsidP="00F94313">
      <w:pPr>
        <w:spacing w:after="32" w:line="360" w:lineRule="auto"/>
        <w:ind w:firstLine="567"/>
        <w:jc w:val="both"/>
        <w:rPr>
          <w:rFonts w:eastAsia="Times New Roman"/>
          <w:color w:val="auto"/>
          <w:sz w:val="28"/>
          <w:szCs w:val="28"/>
          <w:lang w:eastAsia="ru-RU"/>
        </w:rPr>
      </w:pPr>
      <w:r w:rsidRPr="00E93DFF">
        <w:rPr>
          <w:rFonts w:eastAsia="Times New Roman"/>
          <w:color w:val="auto"/>
          <w:sz w:val="26"/>
          <w:szCs w:val="26"/>
          <w:lang w:eastAsia="ru-RU"/>
        </w:rPr>
        <w:t>Исполнителем проведена проверка фактического объема выручки от реализации продукции АО «Тываэнерго» за 2017 год.</w:t>
      </w:r>
      <w:r w:rsidRPr="00E93DFF">
        <w:rPr>
          <w:rFonts w:eastAsia="Times New Roman"/>
          <w:color w:val="auto"/>
          <w:sz w:val="28"/>
          <w:szCs w:val="28"/>
          <w:lang w:eastAsia="ru-RU"/>
        </w:rPr>
        <w:br w:type="page"/>
      </w:r>
    </w:p>
    <w:p w14:paraId="0A81CD0D" w14:textId="77777777" w:rsidR="009A4C46" w:rsidRPr="00A31C7C" w:rsidRDefault="009A4C46" w:rsidP="009A4C46">
      <w:pPr>
        <w:spacing w:after="32" w:line="360" w:lineRule="auto"/>
        <w:ind w:firstLine="709"/>
        <w:jc w:val="both"/>
        <w:rPr>
          <w:rFonts w:eastAsia="Times New Roman"/>
          <w:color w:val="FF0000"/>
          <w:sz w:val="28"/>
          <w:szCs w:val="28"/>
          <w:lang w:eastAsia="ru-RU"/>
        </w:rPr>
        <w:sectPr w:rsidR="009A4C46" w:rsidRPr="00A31C7C" w:rsidSect="0063188C">
          <w:pgSz w:w="11906" w:h="16838"/>
          <w:pgMar w:top="1134" w:right="850" w:bottom="1134" w:left="1701" w:header="708" w:footer="708" w:gutter="0"/>
          <w:cols w:space="708"/>
          <w:docGrid w:linePitch="360"/>
        </w:sectPr>
      </w:pPr>
    </w:p>
    <w:p w14:paraId="30A417EE" w14:textId="77777777" w:rsidR="009A4C46" w:rsidRPr="00BD7E1C" w:rsidRDefault="009A4C46" w:rsidP="009A4C46">
      <w:pPr>
        <w:spacing w:after="32" w:line="360" w:lineRule="auto"/>
        <w:ind w:firstLine="709"/>
        <w:jc w:val="center"/>
        <w:rPr>
          <w:rFonts w:eastAsia="Times New Roman"/>
          <w:b/>
          <w:bCs/>
          <w:color w:val="auto"/>
          <w:sz w:val="26"/>
          <w:szCs w:val="26"/>
          <w:lang w:eastAsia="ru-RU"/>
        </w:rPr>
      </w:pPr>
      <w:r w:rsidRPr="00BD7E1C">
        <w:rPr>
          <w:rFonts w:eastAsia="Times New Roman"/>
          <w:b/>
          <w:bCs/>
          <w:color w:val="auto"/>
          <w:sz w:val="26"/>
          <w:szCs w:val="26"/>
          <w:lang w:eastAsia="ru-RU"/>
        </w:rPr>
        <w:lastRenderedPageBreak/>
        <w:t>Расчет фактического объема выручки от реализации продукции за 2017 год</w:t>
      </w:r>
    </w:p>
    <w:tbl>
      <w:tblPr>
        <w:tblW w:w="5051" w:type="pct"/>
        <w:tblLook w:val="04A0" w:firstRow="1" w:lastRow="0" w:firstColumn="1" w:lastColumn="0" w:noHBand="0" w:noVBand="1"/>
      </w:tblPr>
      <w:tblGrid>
        <w:gridCol w:w="1559"/>
        <w:gridCol w:w="1224"/>
        <w:gridCol w:w="1144"/>
        <w:gridCol w:w="1144"/>
        <w:gridCol w:w="1144"/>
        <w:gridCol w:w="1159"/>
        <w:gridCol w:w="1124"/>
        <w:gridCol w:w="1136"/>
        <w:gridCol w:w="1133"/>
        <w:gridCol w:w="1200"/>
        <w:gridCol w:w="1359"/>
        <w:gridCol w:w="18"/>
        <w:gridCol w:w="1356"/>
        <w:gridCol w:w="9"/>
      </w:tblGrid>
      <w:tr w:rsidR="00BD7E1C" w:rsidRPr="00BD7E1C" w14:paraId="5096F40C" w14:textId="77777777" w:rsidTr="00E3296D">
        <w:trPr>
          <w:trHeight w:val="405"/>
          <w:tblHeader/>
        </w:trPr>
        <w:tc>
          <w:tcPr>
            <w:tcW w:w="53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236E5BF" w14:textId="77777777" w:rsidR="009A4C46" w:rsidRPr="00BD7E1C" w:rsidRDefault="009A4C46" w:rsidP="009A4C46">
            <w:pPr>
              <w:spacing w:after="0" w:line="240" w:lineRule="auto"/>
              <w:jc w:val="center"/>
              <w:rPr>
                <w:rFonts w:eastAsia="Times New Roman"/>
                <w:b/>
                <w:bCs/>
                <w:color w:val="FFFFFF" w:themeColor="background1"/>
                <w:sz w:val="18"/>
                <w:szCs w:val="18"/>
                <w:lang w:eastAsia="ru-RU"/>
              </w:rPr>
            </w:pPr>
            <w:r w:rsidRPr="00BD7E1C">
              <w:rPr>
                <w:rFonts w:eastAsia="Times New Roman"/>
                <w:b/>
                <w:bCs/>
                <w:color w:val="FFFFFF" w:themeColor="background1"/>
                <w:sz w:val="18"/>
                <w:szCs w:val="18"/>
                <w:lang w:eastAsia="ru-RU"/>
              </w:rPr>
              <w:t>Наименование</w:t>
            </w:r>
          </w:p>
        </w:tc>
        <w:tc>
          <w:tcPr>
            <w:tcW w:w="41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F189386" w14:textId="77777777" w:rsidR="009A4C46" w:rsidRPr="00BD7E1C" w:rsidRDefault="009A4C46" w:rsidP="009A4C46">
            <w:pPr>
              <w:spacing w:after="0" w:line="240" w:lineRule="auto"/>
              <w:jc w:val="center"/>
              <w:rPr>
                <w:rFonts w:eastAsia="Times New Roman"/>
                <w:b/>
                <w:bCs/>
                <w:color w:val="FFFFFF" w:themeColor="background1"/>
                <w:sz w:val="18"/>
                <w:szCs w:val="18"/>
                <w:lang w:eastAsia="ru-RU"/>
              </w:rPr>
            </w:pPr>
            <w:r w:rsidRPr="00BD7E1C">
              <w:rPr>
                <w:rFonts w:eastAsia="Times New Roman"/>
                <w:b/>
                <w:bCs/>
                <w:color w:val="FFFFFF" w:themeColor="background1"/>
                <w:sz w:val="18"/>
                <w:szCs w:val="18"/>
                <w:lang w:eastAsia="ru-RU"/>
              </w:rPr>
              <w:t>Уровень напряжения</w:t>
            </w:r>
          </w:p>
        </w:tc>
        <w:tc>
          <w:tcPr>
            <w:tcW w:w="1167"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CE04BED" w14:textId="77777777" w:rsidR="009A4C46" w:rsidRPr="00BD7E1C" w:rsidRDefault="009A4C46" w:rsidP="009A4C46">
            <w:pPr>
              <w:spacing w:after="0" w:line="240" w:lineRule="auto"/>
              <w:jc w:val="center"/>
              <w:rPr>
                <w:rFonts w:eastAsia="Times New Roman"/>
                <w:b/>
                <w:bCs/>
                <w:color w:val="FFFFFF" w:themeColor="background1"/>
                <w:sz w:val="18"/>
                <w:szCs w:val="18"/>
                <w:lang w:eastAsia="ru-RU"/>
              </w:rPr>
            </w:pPr>
            <w:r w:rsidRPr="00BD7E1C">
              <w:rPr>
                <w:rFonts w:eastAsia="Times New Roman"/>
                <w:b/>
                <w:bCs/>
                <w:color w:val="FFFFFF" w:themeColor="background1"/>
                <w:sz w:val="18"/>
                <w:szCs w:val="18"/>
                <w:lang w:eastAsia="ru-RU"/>
              </w:rPr>
              <w:t>Двухставочные</w:t>
            </w:r>
          </w:p>
        </w:tc>
        <w:tc>
          <w:tcPr>
            <w:tcW w:w="1162"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3CDB18B" w14:textId="77777777" w:rsidR="009A4C46" w:rsidRPr="00BD7E1C" w:rsidRDefault="009A4C46" w:rsidP="009A4C46">
            <w:pPr>
              <w:spacing w:after="0" w:line="240" w:lineRule="auto"/>
              <w:jc w:val="center"/>
              <w:rPr>
                <w:rFonts w:eastAsia="Times New Roman"/>
                <w:b/>
                <w:bCs/>
                <w:color w:val="FFFFFF" w:themeColor="background1"/>
                <w:sz w:val="18"/>
                <w:szCs w:val="18"/>
                <w:lang w:eastAsia="ru-RU"/>
              </w:rPr>
            </w:pPr>
            <w:r w:rsidRPr="00BD7E1C">
              <w:rPr>
                <w:rFonts w:eastAsia="Times New Roman"/>
                <w:b/>
                <w:bCs/>
                <w:color w:val="FFFFFF" w:themeColor="background1"/>
                <w:sz w:val="18"/>
                <w:szCs w:val="18"/>
                <w:lang w:eastAsia="ru-RU"/>
              </w:rPr>
              <w:t>Одноставочные</w:t>
            </w:r>
          </w:p>
        </w:tc>
        <w:tc>
          <w:tcPr>
            <w:tcW w:w="1261" w:type="pct"/>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520F14C" w14:textId="77777777" w:rsidR="009A4C46" w:rsidRPr="00BD7E1C" w:rsidRDefault="009A4C46" w:rsidP="009A4C46">
            <w:pPr>
              <w:spacing w:after="0" w:line="240" w:lineRule="auto"/>
              <w:jc w:val="center"/>
              <w:rPr>
                <w:rFonts w:eastAsia="Times New Roman"/>
                <w:b/>
                <w:bCs/>
                <w:color w:val="FFFFFF" w:themeColor="background1"/>
                <w:sz w:val="18"/>
                <w:szCs w:val="18"/>
                <w:lang w:eastAsia="ru-RU"/>
              </w:rPr>
            </w:pPr>
            <w:r w:rsidRPr="00BD7E1C">
              <w:rPr>
                <w:rFonts w:eastAsia="Times New Roman"/>
                <w:b/>
                <w:bCs/>
                <w:color w:val="FFFFFF" w:themeColor="background1"/>
                <w:sz w:val="18"/>
                <w:szCs w:val="18"/>
                <w:lang w:eastAsia="ru-RU"/>
              </w:rPr>
              <w:t>Население</w:t>
            </w:r>
          </w:p>
        </w:tc>
        <w:tc>
          <w:tcPr>
            <w:tcW w:w="464"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BD5B53E" w14:textId="77777777" w:rsidR="009A4C46" w:rsidRPr="00BD7E1C" w:rsidRDefault="009A4C46" w:rsidP="009A4C46">
            <w:pPr>
              <w:spacing w:after="0" w:line="240" w:lineRule="auto"/>
              <w:jc w:val="center"/>
              <w:rPr>
                <w:rFonts w:eastAsia="Times New Roman"/>
                <w:b/>
                <w:bCs/>
                <w:color w:val="FFFFFF" w:themeColor="background1"/>
                <w:sz w:val="18"/>
                <w:szCs w:val="18"/>
                <w:lang w:eastAsia="ru-RU"/>
              </w:rPr>
            </w:pPr>
            <w:r w:rsidRPr="00BD7E1C">
              <w:rPr>
                <w:rFonts w:eastAsia="Times New Roman"/>
                <w:b/>
                <w:bCs/>
                <w:color w:val="FFFFFF" w:themeColor="background1"/>
                <w:sz w:val="18"/>
                <w:szCs w:val="18"/>
                <w:lang w:eastAsia="ru-RU"/>
              </w:rPr>
              <w:t>Итого за 2017 год</w:t>
            </w:r>
          </w:p>
        </w:tc>
      </w:tr>
      <w:tr w:rsidR="00BD7E1C" w:rsidRPr="00BD7E1C" w14:paraId="567AB0CC" w14:textId="77777777" w:rsidTr="00E3296D">
        <w:trPr>
          <w:gridAfter w:val="1"/>
          <w:wAfter w:w="3" w:type="pct"/>
          <w:trHeight w:val="315"/>
          <w:tblHeader/>
        </w:trPr>
        <w:tc>
          <w:tcPr>
            <w:tcW w:w="53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A1D592F" w14:textId="77777777" w:rsidR="009A4C46" w:rsidRPr="00BD7E1C" w:rsidRDefault="009A4C46" w:rsidP="009A4C46">
            <w:pPr>
              <w:spacing w:after="0" w:line="240" w:lineRule="auto"/>
              <w:rPr>
                <w:rFonts w:eastAsia="Times New Roman"/>
                <w:b/>
                <w:bCs/>
                <w:color w:val="FFFFFF" w:themeColor="background1"/>
                <w:sz w:val="18"/>
                <w:szCs w:val="18"/>
                <w:lang w:eastAsia="ru-RU"/>
              </w:rPr>
            </w:pPr>
          </w:p>
        </w:tc>
        <w:tc>
          <w:tcPr>
            <w:tcW w:w="41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2F33E55" w14:textId="77777777" w:rsidR="009A4C46" w:rsidRPr="00BD7E1C" w:rsidRDefault="009A4C46" w:rsidP="009A4C46">
            <w:pPr>
              <w:spacing w:after="0" w:line="240" w:lineRule="auto"/>
              <w:rPr>
                <w:rFonts w:eastAsia="Times New Roman"/>
                <w:b/>
                <w:bCs/>
                <w:color w:val="FFFFFF" w:themeColor="background1"/>
                <w:sz w:val="18"/>
                <w:szCs w:val="18"/>
                <w:lang w:eastAsia="ru-RU"/>
              </w:rPr>
            </w:pPr>
          </w:p>
        </w:tc>
        <w:tc>
          <w:tcPr>
            <w:tcW w:w="38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8AB300D" w14:textId="77777777" w:rsidR="009A4C46" w:rsidRPr="00BD7E1C" w:rsidRDefault="009A4C46" w:rsidP="009A4C46">
            <w:pPr>
              <w:spacing w:after="0" w:line="240" w:lineRule="auto"/>
              <w:jc w:val="center"/>
              <w:rPr>
                <w:rFonts w:eastAsia="Times New Roman"/>
                <w:b/>
                <w:bCs/>
                <w:color w:val="FFFFFF" w:themeColor="background1"/>
                <w:sz w:val="18"/>
                <w:szCs w:val="18"/>
                <w:lang w:eastAsia="ru-RU"/>
              </w:rPr>
            </w:pPr>
            <w:r w:rsidRPr="00BD7E1C">
              <w:rPr>
                <w:rFonts w:eastAsia="Times New Roman"/>
                <w:b/>
                <w:bCs/>
                <w:color w:val="FFFFFF" w:themeColor="background1"/>
                <w:sz w:val="18"/>
                <w:szCs w:val="18"/>
                <w:lang w:eastAsia="ru-RU"/>
              </w:rPr>
              <w:t>1 пол</w:t>
            </w:r>
          </w:p>
        </w:tc>
        <w:tc>
          <w:tcPr>
            <w:tcW w:w="38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A5F2F26" w14:textId="77777777" w:rsidR="009A4C46" w:rsidRPr="00BD7E1C" w:rsidRDefault="009A4C46" w:rsidP="009A4C46">
            <w:pPr>
              <w:spacing w:after="0" w:line="240" w:lineRule="auto"/>
              <w:jc w:val="center"/>
              <w:rPr>
                <w:rFonts w:eastAsia="Times New Roman"/>
                <w:b/>
                <w:bCs/>
                <w:color w:val="FFFFFF" w:themeColor="background1"/>
                <w:sz w:val="18"/>
                <w:szCs w:val="18"/>
                <w:lang w:eastAsia="ru-RU"/>
              </w:rPr>
            </w:pPr>
            <w:r w:rsidRPr="00BD7E1C">
              <w:rPr>
                <w:rFonts w:eastAsia="Times New Roman"/>
                <w:b/>
                <w:bCs/>
                <w:color w:val="FFFFFF" w:themeColor="background1"/>
                <w:sz w:val="18"/>
                <w:szCs w:val="18"/>
                <w:lang w:eastAsia="ru-RU"/>
              </w:rPr>
              <w:t>2 пол.</w:t>
            </w:r>
          </w:p>
        </w:tc>
        <w:tc>
          <w:tcPr>
            <w:tcW w:w="38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0A0A922" w14:textId="77777777" w:rsidR="009A4C46" w:rsidRPr="00BD7E1C" w:rsidRDefault="009A4C46" w:rsidP="009A4C46">
            <w:pPr>
              <w:spacing w:after="0" w:line="240" w:lineRule="auto"/>
              <w:jc w:val="center"/>
              <w:rPr>
                <w:rFonts w:eastAsia="Times New Roman"/>
                <w:b/>
                <w:bCs/>
                <w:color w:val="FFFFFF" w:themeColor="background1"/>
                <w:sz w:val="18"/>
                <w:szCs w:val="18"/>
                <w:lang w:eastAsia="ru-RU"/>
              </w:rPr>
            </w:pPr>
            <w:r w:rsidRPr="00BD7E1C">
              <w:rPr>
                <w:rFonts w:eastAsia="Times New Roman"/>
                <w:b/>
                <w:bCs/>
                <w:color w:val="FFFFFF" w:themeColor="background1"/>
                <w:sz w:val="18"/>
                <w:szCs w:val="18"/>
                <w:lang w:eastAsia="ru-RU"/>
              </w:rPr>
              <w:t>год</w:t>
            </w:r>
          </w:p>
        </w:tc>
        <w:tc>
          <w:tcPr>
            <w:tcW w:w="39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E855F81" w14:textId="77777777" w:rsidR="009A4C46" w:rsidRPr="00BD7E1C" w:rsidRDefault="009A4C46" w:rsidP="009A4C46">
            <w:pPr>
              <w:spacing w:after="0" w:line="240" w:lineRule="auto"/>
              <w:jc w:val="center"/>
              <w:rPr>
                <w:rFonts w:eastAsia="Times New Roman"/>
                <w:b/>
                <w:bCs/>
                <w:color w:val="FFFFFF" w:themeColor="background1"/>
                <w:sz w:val="18"/>
                <w:szCs w:val="18"/>
                <w:lang w:eastAsia="ru-RU"/>
              </w:rPr>
            </w:pPr>
            <w:r w:rsidRPr="00BD7E1C">
              <w:rPr>
                <w:rFonts w:eastAsia="Times New Roman"/>
                <w:b/>
                <w:bCs/>
                <w:color w:val="FFFFFF" w:themeColor="background1"/>
                <w:sz w:val="18"/>
                <w:szCs w:val="18"/>
                <w:lang w:eastAsia="ru-RU"/>
              </w:rPr>
              <w:t>1 пол</w:t>
            </w:r>
          </w:p>
        </w:tc>
        <w:tc>
          <w:tcPr>
            <w:tcW w:w="38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DADD61F" w14:textId="77777777" w:rsidR="009A4C46" w:rsidRPr="00BD7E1C" w:rsidRDefault="009A4C46" w:rsidP="009A4C46">
            <w:pPr>
              <w:spacing w:after="0" w:line="240" w:lineRule="auto"/>
              <w:jc w:val="center"/>
              <w:rPr>
                <w:rFonts w:eastAsia="Times New Roman"/>
                <w:b/>
                <w:bCs/>
                <w:color w:val="FFFFFF" w:themeColor="background1"/>
                <w:sz w:val="18"/>
                <w:szCs w:val="18"/>
                <w:lang w:eastAsia="ru-RU"/>
              </w:rPr>
            </w:pPr>
            <w:r w:rsidRPr="00BD7E1C">
              <w:rPr>
                <w:rFonts w:eastAsia="Times New Roman"/>
                <w:b/>
                <w:bCs/>
                <w:color w:val="FFFFFF" w:themeColor="background1"/>
                <w:sz w:val="18"/>
                <w:szCs w:val="18"/>
                <w:lang w:eastAsia="ru-RU"/>
              </w:rPr>
              <w:t>2 пол.</w:t>
            </w:r>
          </w:p>
        </w:tc>
        <w:tc>
          <w:tcPr>
            <w:tcW w:w="38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0FC1949" w14:textId="77777777" w:rsidR="009A4C46" w:rsidRPr="00BD7E1C" w:rsidRDefault="009A4C46" w:rsidP="009A4C46">
            <w:pPr>
              <w:spacing w:after="0" w:line="240" w:lineRule="auto"/>
              <w:jc w:val="center"/>
              <w:rPr>
                <w:rFonts w:eastAsia="Times New Roman"/>
                <w:b/>
                <w:bCs/>
                <w:color w:val="FFFFFF" w:themeColor="background1"/>
                <w:sz w:val="18"/>
                <w:szCs w:val="18"/>
                <w:lang w:eastAsia="ru-RU"/>
              </w:rPr>
            </w:pPr>
            <w:r w:rsidRPr="00BD7E1C">
              <w:rPr>
                <w:rFonts w:eastAsia="Times New Roman"/>
                <w:b/>
                <w:bCs/>
                <w:color w:val="FFFFFF" w:themeColor="background1"/>
                <w:sz w:val="18"/>
                <w:szCs w:val="18"/>
                <w:lang w:eastAsia="ru-RU"/>
              </w:rPr>
              <w:t>год</w:t>
            </w:r>
          </w:p>
        </w:tc>
        <w:tc>
          <w:tcPr>
            <w:tcW w:w="38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262DDEF" w14:textId="77777777" w:rsidR="009A4C46" w:rsidRPr="00BD7E1C" w:rsidRDefault="009A4C46" w:rsidP="009A4C46">
            <w:pPr>
              <w:spacing w:after="0" w:line="240" w:lineRule="auto"/>
              <w:jc w:val="center"/>
              <w:rPr>
                <w:rFonts w:eastAsia="Times New Roman"/>
                <w:b/>
                <w:bCs/>
                <w:color w:val="FFFFFF" w:themeColor="background1"/>
                <w:sz w:val="18"/>
                <w:szCs w:val="18"/>
                <w:lang w:eastAsia="ru-RU"/>
              </w:rPr>
            </w:pPr>
            <w:r w:rsidRPr="00BD7E1C">
              <w:rPr>
                <w:rFonts w:eastAsia="Times New Roman"/>
                <w:b/>
                <w:bCs/>
                <w:color w:val="FFFFFF" w:themeColor="background1"/>
                <w:sz w:val="18"/>
                <w:szCs w:val="18"/>
                <w:lang w:eastAsia="ru-RU"/>
              </w:rPr>
              <w:t>1 пол</w:t>
            </w:r>
          </w:p>
        </w:tc>
        <w:tc>
          <w:tcPr>
            <w:tcW w:w="40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5E9008D" w14:textId="77777777" w:rsidR="009A4C46" w:rsidRPr="00BD7E1C" w:rsidRDefault="009A4C46" w:rsidP="009A4C46">
            <w:pPr>
              <w:spacing w:after="0" w:line="240" w:lineRule="auto"/>
              <w:jc w:val="center"/>
              <w:rPr>
                <w:rFonts w:eastAsia="Times New Roman"/>
                <w:b/>
                <w:bCs/>
                <w:color w:val="FFFFFF" w:themeColor="background1"/>
                <w:sz w:val="18"/>
                <w:szCs w:val="18"/>
                <w:lang w:eastAsia="ru-RU"/>
              </w:rPr>
            </w:pPr>
            <w:r w:rsidRPr="00BD7E1C">
              <w:rPr>
                <w:rFonts w:eastAsia="Times New Roman"/>
                <w:b/>
                <w:bCs/>
                <w:color w:val="FFFFFF" w:themeColor="background1"/>
                <w:sz w:val="18"/>
                <w:szCs w:val="18"/>
                <w:lang w:eastAsia="ru-RU"/>
              </w:rPr>
              <w:t>2 пол.</w:t>
            </w:r>
          </w:p>
        </w:tc>
        <w:tc>
          <w:tcPr>
            <w:tcW w:w="46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6C6FC30" w14:textId="77777777" w:rsidR="009A4C46" w:rsidRPr="00BD7E1C" w:rsidRDefault="009A4C46" w:rsidP="009A4C46">
            <w:pPr>
              <w:spacing w:after="0" w:line="240" w:lineRule="auto"/>
              <w:jc w:val="center"/>
              <w:rPr>
                <w:rFonts w:eastAsia="Times New Roman"/>
                <w:b/>
                <w:bCs/>
                <w:color w:val="FFFFFF" w:themeColor="background1"/>
                <w:sz w:val="18"/>
                <w:szCs w:val="18"/>
                <w:lang w:eastAsia="ru-RU"/>
              </w:rPr>
            </w:pPr>
            <w:r w:rsidRPr="00BD7E1C">
              <w:rPr>
                <w:rFonts w:eastAsia="Times New Roman"/>
                <w:b/>
                <w:bCs/>
                <w:color w:val="FFFFFF" w:themeColor="background1"/>
                <w:sz w:val="18"/>
                <w:szCs w:val="18"/>
                <w:lang w:eastAsia="ru-RU"/>
              </w:rPr>
              <w:t>год</w:t>
            </w:r>
          </w:p>
        </w:tc>
        <w:tc>
          <w:tcPr>
            <w:tcW w:w="467"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0AC5848C" w14:textId="77777777" w:rsidR="009A4C46" w:rsidRPr="00BD7E1C" w:rsidRDefault="009A4C46" w:rsidP="009A4C46">
            <w:pPr>
              <w:spacing w:after="0" w:line="240" w:lineRule="auto"/>
              <w:jc w:val="center"/>
              <w:rPr>
                <w:rFonts w:eastAsia="Times New Roman"/>
                <w:b/>
                <w:bCs/>
                <w:color w:val="FFFFFF" w:themeColor="background1"/>
                <w:sz w:val="18"/>
                <w:szCs w:val="18"/>
                <w:lang w:eastAsia="ru-RU"/>
              </w:rPr>
            </w:pPr>
          </w:p>
        </w:tc>
      </w:tr>
      <w:tr w:rsidR="00BD7E1C" w:rsidRPr="00BD7E1C" w14:paraId="6019C907" w14:textId="77777777" w:rsidTr="00E3296D">
        <w:trPr>
          <w:gridAfter w:val="1"/>
          <w:wAfter w:w="3" w:type="pct"/>
          <w:trHeight w:val="315"/>
        </w:trPr>
        <w:tc>
          <w:tcPr>
            <w:tcW w:w="530" w:type="pct"/>
            <w:vMerge w:val="restart"/>
            <w:tcBorders>
              <w:top w:val="single" w:sz="4" w:space="0" w:color="FFFFFF" w:themeColor="background1"/>
              <w:left w:val="single" w:sz="8" w:space="0" w:color="auto"/>
              <w:bottom w:val="single" w:sz="8" w:space="0" w:color="000000"/>
              <w:right w:val="single" w:sz="8" w:space="0" w:color="auto"/>
            </w:tcBorders>
            <w:shd w:val="clear" w:color="auto" w:fill="auto"/>
            <w:vAlign w:val="center"/>
            <w:hideMark/>
          </w:tcPr>
          <w:p w14:paraId="3BDD55F4" w14:textId="77777777" w:rsidR="00613867" w:rsidRPr="00BD7E1C" w:rsidRDefault="00613867" w:rsidP="00613867">
            <w:pPr>
              <w:spacing w:after="0" w:line="240" w:lineRule="auto"/>
              <w:jc w:val="center"/>
              <w:rPr>
                <w:rFonts w:eastAsia="Times New Roman"/>
                <w:b/>
                <w:bCs/>
                <w:color w:val="auto"/>
                <w:sz w:val="18"/>
                <w:szCs w:val="18"/>
                <w:lang w:eastAsia="ru-RU"/>
              </w:rPr>
            </w:pPr>
            <w:r w:rsidRPr="00BD7E1C">
              <w:rPr>
                <w:rFonts w:eastAsia="Times New Roman"/>
                <w:b/>
                <w:bCs/>
                <w:color w:val="auto"/>
                <w:sz w:val="18"/>
                <w:szCs w:val="18"/>
                <w:lang w:eastAsia="ru-RU"/>
              </w:rPr>
              <w:t>Полезный отпуск</w:t>
            </w:r>
          </w:p>
        </w:tc>
        <w:tc>
          <w:tcPr>
            <w:tcW w:w="416" w:type="pct"/>
            <w:tcBorders>
              <w:top w:val="single" w:sz="4" w:space="0" w:color="FFFFFF" w:themeColor="background1"/>
              <w:left w:val="nil"/>
              <w:bottom w:val="single" w:sz="8" w:space="0" w:color="auto"/>
              <w:right w:val="single" w:sz="8" w:space="0" w:color="auto"/>
            </w:tcBorders>
            <w:shd w:val="clear" w:color="auto" w:fill="auto"/>
            <w:vAlign w:val="center"/>
            <w:hideMark/>
          </w:tcPr>
          <w:p w14:paraId="3537554C" w14:textId="77777777" w:rsidR="00613867" w:rsidRPr="00BD7E1C" w:rsidRDefault="00613867" w:rsidP="00613867">
            <w:pPr>
              <w:spacing w:after="0" w:line="240" w:lineRule="auto"/>
              <w:jc w:val="center"/>
              <w:rPr>
                <w:rFonts w:eastAsia="Times New Roman"/>
                <w:color w:val="auto"/>
                <w:sz w:val="18"/>
                <w:szCs w:val="18"/>
                <w:lang w:eastAsia="ru-RU"/>
              </w:rPr>
            </w:pPr>
            <w:r w:rsidRPr="00BD7E1C">
              <w:rPr>
                <w:rFonts w:eastAsia="Times New Roman"/>
                <w:color w:val="auto"/>
                <w:sz w:val="18"/>
                <w:szCs w:val="18"/>
                <w:lang w:eastAsia="ru-RU"/>
              </w:rPr>
              <w:t>ВН</w:t>
            </w:r>
          </w:p>
        </w:tc>
        <w:tc>
          <w:tcPr>
            <w:tcW w:w="389" w:type="pct"/>
            <w:tcBorders>
              <w:top w:val="nil"/>
              <w:left w:val="nil"/>
              <w:bottom w:val="single" w:sz="8" w:space="0" w:color="auto"/>
              <w:right w:val="single" w:sz="8" w:space="0" w:color="auto"/>
            </w:tcBorders>
            <w:shd w:val="clear" w:color="auto" w:fill="auto"/>
            <w:vAlign w:val="center"/>
          </w:tcPr>
          <w:p w14:paraId="26D00E6A" w14:textId="5766B9C1" w:rsidR="00613867" w:rsidRPr="00BD7E1C" w:rsidRDefault="00613867" w:rsidP="00613867">
            <w:pPr>
              <w:spacing w:after="0" w:line="240" w:lineRule="auto"/>
              <w:jc w:val="center"/>
              <w:rPr>
                <w:rFonts w:eastAsia="Times New Roman"/>
                <w:color w:val="auto"/>
                <w:sz w:val="16"/>
                <w:szCs w:val="16"/>
                <w:lang w:eastAsia="ru-RU"/>
              </w:rPr>
            </w:pPr>
            <w:r w:rsidRPr="00BD7E1C">
              <w:rPr>
                <w:color w:val="auto"/>
                <w:sz w:val="18"/>
                <w:szCs w:val="18"/>
              </w:rPr>
              <w:t> </w:t>
            </w:r>
          </w:p>
        </w:tc>
        <w:tc>
          <w:tcPr>
            <w:tcW w:w="389" w:type="pct"/>
            <w:tcBorders>
              <w:top w:val="nil"/>
              <w:left w:val="nil"/>
              <w:bottom w:val="single" w:sz="8" w:space="0" w:color="auto"/>
              <w:right w:val="single" w:sz="8" w:space="0" w:color="auto"/>
            </w:tcBorders>
            <w:shd w:val="clear" w:color="auto" w:fill="auto"/>
            <w:vAlign w:val="center"/>
          </w:tcPr>
          <w:p w14:paraId="16C5CF21" w14:textId="2B92E066" w:rsidR="00613867" w:rsidRPr="00BD7E1C" w:rsidRDefault="00613867" w:rsidP="00613867">
            <w:pPr>
              <w:spacing w:after="0" w:line="240" w:lineRule="auto"/>
              <w:jc w:val="center"/>
              <w:rPr>
                <w:rFonts w:eastAsia="Times New Roman"/>
                <w:color w:val="auto"/>
                <w:sz w:val="16"/>
                <w:szCs w:val="16"/>
                <w:lang w:eastAsia="ru-RU"/>
              </w:rPr>
            </w:pPr>
            <w:r w:rsidRPr="00BD7E1C">
              <w:rPr>
                <w:color w:val="auto"/>
                <w:sz w:val="18"/>
                <w:szCs w:val="18"/>
              </w:rPr>
              <w:t> </w:t>
            </w:r>
          </w:p>
        </w:tc>
        <w:tc>
          <w:tcPr>
            <w:tcW w:w="389" w:type="pct"/>
            <w:tcBorders>
              <w:top w:val="nil"/>
              <w:left w:val="nil"/>
              <w:bottom w:val="single" w:sz="8" w:space="0" w:color="auto"/>
              <w:right w:val="single" w:sz="8" w:space="0" w:color="auto"/>
            </w:tcBorders>
            <w:shd w:val="clear" w:color="auto" w:fill="auto"/>
            <w:vAlign w:val="center"/>
          </w:tcPr>
          <w:p w14:paraId="3DA7D791" w14:textId="63F50197" w:rsidR="00613867" w:rsidRPr="00BD7E1C" w:rsidRDefault="00613867" w:rsidP="00613867">
            <w:pPr>
              <w:spacing w:after="0" w:line="240" w:lineRule="auto"/>
              <w:jc w:val="center"/>
              <w:rPr>
                <w:rFonts w:eastAsia="Times New Roman"/>
                <w:color w:val="auto"/>
                <w:sz w:val="16"/>
                <w:szCs w:val="16"/>
                <w:lang w:eastAsia="ru-RU"/>
              </w:rPr>
            </w:pPr>
            <w:r w:rsidRPr="00BD7E1C">
              <w:rPr>
                <w:color w:val="auto"/>
                <w:sz w:val="18"/>
                <w:szCs w:val="18"/>
              </w:rPr>
              <w:t>0,00</w:t>
            </w:r>
          </w:p>
        </w:tc>
        <w:tc>
          <w:tcPr>
            <w:tcW w:w="394" w:type="pct"/>
            <w:tcBorders>
              <w:top w:val="nil"/>
              <w:left w:val="nil"/>
              <w:bottom w:val="single" w:sz="8" w:space="0" w:color="auto"/>
              <w:right w:val="single" w:sz="8" w:space="0" w:color="auto"/>
            </w:tcBorders>
            <w:shd w:val="clear" w:color="auto" w:fill="auto"/>
            <w:vAlign w:val="center"/>
          </w:tcPr>
          <w:p w14:paraId="6B05A074" w14:textId="5A1BB87C" w:rsidR="00613867" w:rsidRPr="00BD7E1C" w:rsidRDefault="00613867" w:rsidP="00613867">
            <w:pPr>
              <w:spacing w:after="0" w:line="240" w:lineRule="auto"/>
              <w:jc w:val="center"/>
              <w:rPr>
                <w:rFonts w:eastAsia="Times New Roman"/>
                <w:color w:val="auto"/>
                <w:sz w:val="16"/>
                <w:szCs w:val="16"/>
                <w:lang w:eastAsia="ru-RU"/>
              </w:rPr>
            </w:pPr>
            <w:r w:rsidRPr="00BD7E1C">
              <w:rPr>
                <w:color w:val="auto"/>
                <w:sz w:val="18"/>
                <w:szCs w:val="18"/>
              </w:rPr>
              <w:t>14 529,69</w:t>
            </w:r>
          </w:p>
        </w:tc>
        <w:tc>
          <w:tcPr>
            <w:tcW w:w="382" w:type="pct"/>
            <w:tcBorders>
              <w:top w:val="nil"/>
              <w:left w:val="nil"/>
              <w:bottom w:val="single" w:sz="8" w:space="0" w:color="auto"/>
              <w:right w:val="single" w:sz="8" w:space="0" w:color="auto"/>
            </w:tcBorders>
            <w:shd w:val="clear" w:color="auto" w:fill="auto"/>
            <w:vAlign w:val="center"/>
          </w:tcPr>
          <w:p w14:paraId="51E9669E" w14:textId="22941595" w:rsidR="00613867" w:rsidRPr="00BD7E1C" w:rsidRDefault="00613867" w:rsidP="00613867">
            <w:pPr>
              <w:spacing w:after="0" w:line="240" w:lineRule="auto"/>
              <w:jc w:val="center"/>
              <w:rPr>
                <w:rFonts w:eastAsia="Times New Roman"/>
                <w:color w:val="auto"/>
                <w:sz w:val="16"/>
                <w:szCs w:val="16"/>
                <w:lang w:eastAsia="ru-RU"/>
              </w:rPr>
            </w:pPr>
            <w:r w:rsidRPr="00BD7E1C">
              <w:rPr>
                <w:color w:val="auto"/>
                <w:sz w:val="18"/>
                <w:szCs w:val="18"/>
              </w:rPr>
              <w:t>15 953,41</w:t>
            </w:r>
          </w:p>
        </w:tc>
        <w:tc>
          <w:tcPr>
            <w:tcW w:w="386" w:type="pct"/>
            <w:tcBorders>
              <w:top w:val="nil"/>
              <w:left w:val="nil"/>
              <w:bottom w:val="single" w:sz="8" w:space="0" w:color="auto"/>
              <w:right w:val="single" w:sz="8" w:space="0" w:color="auto"/>
            </w:tcBorders>
            <w:shd w:val="clear" w:color="auto" w:fill="auto"/>
            <w:vAlign w:val="center"/>
          </w:tcPr>
          <w:p w14:paraId="0212AB92" w14:textId="50847EC5" w:rsidR="00613867" w:rsidRPr="00BD7E1C" w:rsidRDefault="00613867" w:rsidP="00613867">
            <w:pPr>
              <w:spacing w:after="0" w:line="240" w:lineRule="auto"/>
              <w:jc w:val="center"/>
              <w:rPr>
                <w:rFonts w:eastAsia="Times New Roman"/>
                <w:color w:val="auto"/>
                <w:sz w:val="16"/>
                <w:szCs w:val="16"/>
                <w:lang w:eastAsia="ru-RU"/>
              </w:rPr>
            </w:pPr>
            <w:r w:rsidRPr="00BD7E1C">
              <w:rPr>
                <w:color w:val="auto"/>
                <w:sz w:val="18"/>
                <w:szCs w:val="18"/>
              </w:rPr>
              <w:t>30 483,10</w:t>
            </w:r>
          </w:p>
        </w:tc>
        <w:tc>
          <w:tcPr>
            <w:tcW w:w="385" w:type="pct"/>
            <w:tcBorders>
              <w:top w:val="nil"/>
              <w:left w:val="nil"/>
              <w:bottom w:val="single" w:sz="8" w:space="0" w:color="auto"/>
              <w:right w:val="single" w:sz="8" w:space="0" w:color="auto"/>
            </w:tcBorders>
            <w:shd w:val="clear" w:color="auto" w:fill="auto"/>
            <w:vAlign w:val="center"/>
          </w:tcPr>
          <w:p w14:paraId="214CB04C" w14:textId="18E655C8" w:rsidR="00613867" w:rsidRPr="00BD7E1C" w:rsidRDefault="00613867" w:rsidP="00613867">
            <w:pPr>
              <w:spacing w:after="0" w:line="240" w:lineRule="auto"/>
              <w:jc w:val="center"/>
              <w:rPr>
                <w:rFonts w:eastAsia="Times New Roman"/>
                <w:color w:val="auto"/>
                <w:sz w:val="16"/>
                <w:szCs w:val="16"/>
                <w:lang w:eastAsia="ru-RU"/>
              </w:rPr>
            </w:pPr>
          </w:p>
        </w:tc>
        <w:tc>
          <w:tcPr>
            <w:tcW w:w="408" w:type="pct"/>
            <w:tcBorders>
              <w:top w:val="nil"/>
              <w:left w:val="nil"/>
              <w:bottom w:val="single" w:sz="8" w:space="0" w:color="auto"/>
              <w:right w:val="single" w:sz="8" w:space="0" w:color="auto"/>
            </w:tcBorders>
            <w:shd w:val="clear" w:color="auto" w:fill="auto"/>
            <w:vAlign w:val="center"/>
          </w:tcPr>
          <w:p w14:paraId="16140631" w14:textId="0C2C41D6" w:rsidR="00613867" w:rsidRPr="00BD7E1C" w:rsidRDefault="00613867" w:rsidP="00613867">
            <w:pPr>
              <w:spacing w:after="0" w:line="240" w:lineRule="auto"/>
              <w:jc w:val="center"/>
              <w:rPr>
                <w:rFonts w:eastAsia="Times New Roman"/>
                <w:color w:val="auto"/>
                <w:sz w:val="16"/>
                <w:szCs w:val="16"/>
                <w:lang w:eastAsia="ru-RU"/>
              </w:rPr>
            </w:pPr>
          </w:p>
        </w:tc>
        <w:tc>
          <w:tcPr>
            <w:tcW w:w="462" w:type="pct"/>
            <w:tcBorders>
              <w:top w:val="nil"/>
              <w:left w:val="nil"/>
              <w:bottom w:val="single" w:sz="8" w:space="0" w:color="auto"/>
              <w:right w:val="single" w:sz="8" w:space="0" w:color="auto"/>
            </w:tcBorders>
            <w:shd w:val="clear" w:color="auto" w:fill="auto"/>
            <w:vAlign w:val="center"/>
          </w:tcPr>
          <w:p w14:paraId="193E4139" w14:textId="17925E41" w:rsidR="00613867" w:rsidRPr="00BD7E1C" w:rsidRDefault="00613867" w:rsidP="00613867">
            <w:pPr>
              <w:spacing w:after="0" w:line="240" w:lineRule="auto"/>
              <w:jc w:val="center"/>
              <w:rPr>
                <w:rFonts w:eastAsia="Times New Roman"/>
                <w:color w:val="auto"/>
                <w:sz w:val="16"/>
                <w:szCs w:val="16"/>
                <w:lang w:eastAsia="ru-RU"/>
              </w:rPr>
            </w:pPr>
            <w:r w:rsidRPr="00BD7E1C">
              <w:rPr>
                <w:color w:val="auto"/>
                <w:sz w:val="18"/>
                <w:szCs w:val="18"/>
              </w:rPr>
              <w:t>0,00</w:t>
            </w:r>
          </w:p>
        </w:tc>
        <w:tc>
          <w:tcPr>
            <w:tcW w:w="467" w:type="pct"/>
            <w:gridSpan w:val="2"/>
            <w:tcBorders>
              <w:top w:val="nil"/>
              <w:left w:val="nil"/>
              <w:bottom w:val="single" w:sz="8" w:space="0" w:color="auto"/>
              <w:right w:val="single" w:sz="8" w:space="0" w:color="auto"/>
            </w:tcBorders>
            <w:shd w:val="clear" w:color="auto" w:fill="auto"/>
            <w:vAlign w:val="center"/>
          </w:tcPr>
          <w:p w14:paraId="0458DCC3" w14:textId="7BB94EBB" w:rsidR="00613867" w:rsidRPr="00BD7E1C" w:rsidRDefault="00613867" w:rsidP="00613867">
            <w:pPr>
              <w:spacing w:after="0" w:line="240" w:lineRule="auto"/>
              <w:jc w:val="center"/>
              <w:rPr>
                <w:rFonts w:eastAsia="Times New Roman"/>
                <w:color w:val="auto"/>
                <w:sz w:val="16"/>
                <w:szCs w:val="16"/>
                <w:lang w:eastAsia="ru-RU"/>
              </w:rPr>
            </w:pPr>
            <w:r w:rsidRPr="00BD7E1C">
              <w:rPr>
                <w:color w:val="auto"/>
                <w:sz w:val="18"/>
                <w:szCs w:val="18"/>
              </w:rPr>
              <w:t>30 483,10</w:t>
            </w:r>
          </w:p>
        </w:tc>
      </w:tr>
      <w:tr w:rsidR="00BD7E1C" w:rsidRPr="00BD7E1C" w14:paraId="26BB398A" w14:textId="77777777" w:rsidTr="00E3296D">
        <w:trPr>
          <w:gridAfter w:val="1"/>
          <w:wAfter w:w="3" w:type="pct"/>
          <w:trHeight w:val="315"/>
        </w:trPr>
        <w:tc>
          <w:tcPr>
            <w:tcW w:w="530" w:type="pct"/>
            <w:vMerge/>
            <w:tcBorders>
              <w:top w:val="nil"/>
              <w:left w:val="single" w:sz="8" w:space="0" w:color="auto"/>
              <w:bottom w:val="single" w:sz="8" w:space="0" w:color="000000"/>
              <w:right w:val="single" w:sz="8" w:space="0" w:color="auto"/>
            </w:tcBorders>
            <w:vAlign w:val="center"/>
            <w:hideMark/>
          </w:tcPr>
          <w:p w14:paraId="5842077B" w14:textId="77777777" w:rsidR="00613867" w:rsidRPr="00BD7E1C" w:rsidRDefault="00613867" w:rsidP="00613867">
            <w:pPr>
              <w:spacing w:after="0" w:line="240" w:lineRule="auto"/>
              <w:jc w:val="center"/>
              <w:rPr>
                <w:rFonts w:eastAsia="Times New Roman"/>
                <w:b/>
                <w:bCs/>
                <w:color w:val="auto"/>
                <w:sz w:val="18"/>
                <w:szCs w:val="18"/>
                <w:lang w:eastAsia="ru-RU"/>
              </w:rPr>
            </w:pPr>
          </w:p>
        </w:tc>
        <w:tc>
          <w:tcPr>
            <w:tcW w:w="416" w:type="pct"/>
            <w:tcBorders>
              <w:top w:val="nil"/>
              <w:left w:val="nil"/>
              <w:bottom w:val="single" w:sz="8" w:space="0" w:color="auto"/>
              <w:right w:val="single" w:sz="8" w:space="0" w:color="auto"/>
            </w:tcBorders>
            <w:shd w:val="clear" w:color="auto" w:fill="auto"/>
            <w:vAlign w:val="center"/>
            <w:hideMark/>
          </w:tcPr>
          <w:p w14:paraId="7825CFC6" w14:textId="77777777" w:rsidR="00613867" w:rsidRPr="00BD7E1C" w:rsidRDefault="00613867" w:rsidP="00613867">
            <w:pPr>
              <w:spacing w:after="0" w:line="240" w:lineRule="auto"/>
              <w:jc w:val="center"/>
              <w:rPr>
                <w:rFonts w:eastAsia="Times New Roman"/>
                <w:color w:val="auto"/>
                <w:sz w:val="18"/>
                <w:szCs w:val="18"/>
                <w:lang w:eastAsia="ru-RU"/>
              </w:rPr>
            </w:pPr>
            <w:r w:rsidRPr="00BD7E1C">
              <w:rPr>
                <w:rFonts w:eastAsia="Times New Roman"/>
                <w:color w:val="auto"/>
                <w:sz w:val="18"/>
                <w:szCs w:val="18"/>
                <w:lang w:eastAsia="ru-RU"/>
              </w:rPr>
              <w:t>СН1</w:t>
            </w:r>
          </w:p>
        </w:tc>
        <w:tc>
          <w:tcPr>
            <w:tcW w:w="389" w:type="pct"/>
            <w:tcBorders>
              <w:top w:val="nil"/>
              <w:left w:val="nil"/>
              <w:bottom w:val="single" w:sz="8" w:space="0" w:color="auto"/>
              <w:right w:val="single" w:sz="8" w:space="0" w:color="auto"/>
            </w:tcBorders>
            <w:shd w:val="clear" w:color="auto" w:fill="auto"/>
            <w:vAlign w:val="center"/>
          </w:tcPr>
          <w:p w14:paraId="5DA0D3D1" w14:textId="31CCA0AD" w:rsidR="00613867" w:rsidRPr="00BD7E1C" w:rsidRDefault="00613867" w:rsidP="00613867">
            <w:pPr>
              <w:spacing w:after="0" w:line="240" w:lineRule="auto"/>
              <w:jc w:val="center"/>
              <w:rPr>
                <w:rFonts w:eastAsia="Times New Roman"/>
                <w:color w:val="auto"/>
                <w:sz w:val="16"/>
                <w:szCs w:val="16"/>
                <w:lang w:eastAsia="ru-RU"/>
              </w:rPr>
            </w:pPr>
            <w:r w:rsidRPr="00BD7E1C">
              <w:rPr>
                <w:color w:val="auto"/>
                <w:sz w:val="18"/>
                <w:szCs w:val="18"/>
              </w:rPr>
              <w:t> </w:t>
            </w:r>
          </w:p>
        </w:tc>
        <w:tc>
          <w:tcPr>
            <w:tcW w:w="389" w:type="pct"/>
            <w:tcBorders>
              <w:top w:val="nil"/>
              <w:left w:val="nil"/>
              <w:bottom w:val="single" w:sz="8" w:space="0" w:color="auto"/>
              <w:right w:val="single" w:sz="8" w:space="0" w:color="auto"/>
            </w:tcBorders>
            <w:shd w:val="clear" w:color="auto" w:fill="auto"/>
            <w:vAlign w:val="center"/>
          </w:tcPr>
          <w:p w14:paraId="7DEAE08C" w14:textId="41181166" w:rsidR="00613867" w:rsidRPr="00BD7E1C" w:rsidRDefault="00613867" w:rsidP="00613867">
            <w:pPr>
              <w:spacing w:after="0" w:line="240" w:lineRule="auto"/>
              <w:jc w:val="center"/>
              <w:rPr>
                <w:rFonts w:eastAsia="Times New Roman"/>
                <w:color w:val="auto"/>
                <w:sz w:val="16"/>
                <w:szCs w:val="16"/>
                <w:lang w:eastAsia="ru-RU"/>
              </w:rPr>
            </w:pPr>
            <w:r w:rsidRPr="00BD7E1C">
              <w:rPr>
                <w:color w:val="auto"/>
                <w:sz w:val="18"/>
                <w:szCs w:val="18"/>
              </w:rPr>
              <w:t> </w:t>
            </w:r>
          </w:p>
        </w:tc>
        <w:tc>
          <w:tcPr>
            <w:tcW w:w="389" w:type="pct"/>
            <w:tcBorders>
              <w:top w:val="nil"/>
              <w:left w:val="nil"/>
              <w:bottom w:val="single" w:sz="8" w:space="0" w:color="auto"/>
              <w:right w:val="single" w:sz="8" w:space="0" w:color="auto"/>
            </w:tcBorders>
            <w:shd w:val="clear" w:color="auto" w:fill="auto"/>
            <w:vAlign w:val="center"/>
          </w:tcPr>
          <w:p w14:paraId="36B56314" w14:textId="32E29EF9" w:rsidR="00613867" w:rsidRPr="00BD7E1C" w:rsidRDefault="00613867" w:rsidP="00613867">
            <w:pPr>
              <w:spacing w:after="0" w:line="240" w:lineRule="auto"/>
              <w:jc w:val="center"/>
              <w:rPr>
                <w:rFonts w:eastAsia="Times New Roman"/>
                <w:color w:val="auto"/>
                <w:sz w:val="16"/>
                <w:szCs w:val="16"/>
                <w:lang w:eastAsia="ru-RU"/>
              </w:rPr>
            </w:pPr>
            <w:r w:rsidRPr="00BD7E1C">
              <w:rPr>
                <w:color w:val="auto"/>
                <w:sz w:val="18"/>
                <w:szCs w:val="18"/>
              </w:rPr>
              <w:t>0,00</w:t>
            </w:r>
          </w:p>
        </w:tc>
        <w:tc>
          <w:tcPr>
            <w:tcW w:w="394" w:type="pct"/>
            <w:tcBorders>
              <w:top w:val="nil"/>
              <w:left w:val="nil"/>
              <w:bottom w:val="single" w:sz="8" w:space="0" w:color="auto"/>
              <w:right w:val="single" w:sz="8" w:space="0" w:color="auto"/>
            </w:tcBorders>
            <w:shd w:val="clear" w:color="auto" w:fill="auto"/>
            <w:vAlign w:val="center"/>
          </w:tcPr>
          <w:p w14:paraId="67A6D8CB" w14:textId="12FC26F7" w:rsidR="00613867" w:rsidRPr="00BD7E1C" w:rsidRDefault="00613867" w:rsidP="00613867">
            <w:pPr>
              <w:spacing w:after="0" w:line="240" w:lineRule="auto"/>
              <w:jc w:val="center"/>
              <w:rPr>
                <w:rFonts w:eastAsia="Times New Roman"/>
                <w:color w:val="auto"/>
                <w:sz w:val="16"/>
                <w:szCs w:val="16"/>
                <w:lang w:eastAsia="ru-RU"/>
              </w:rPr>
            </w:pPr>
            <w:r w:rsidRPr="00BD7E1C">
              <w:rPr>
                <w:color w:val="auto"/>
                <w:sz w:val="18"/>
                <w:szCs w:val="18"/>
              </w:rPr>
              <w:t>8 296,59</w:t>
            </w:r>
          </w:p>
        </w:tc>
        <w:tc>
          <w:tcPr>
            <w:tcW w:w="382" w:type="pct"/>
            <w:tcBorders>
              <w:top w:val="nil"/>
              <w:left w:val="nil"/>
              <w:bottom w:val="single" w:sz="8" w:space="0" w:color="auto"/>
              <w:right w:val="single" w:sz="8" w:space="0" w:color="auto"/>
            </w:tcBorders>
            <w:shd w:val="clear" w:color="auto" w:fill="auto"/>
            <w:vAlign w:val="center"/>
          </w:tcPr>
          <w:p w14:paraId="06D7DE7C" w14:textId="498C5A73" w:rsidR="00613867" w:rsidRPr="00BD7E1C" w:rsidRDefault="00613867" w:rsidP="00613867">
            <w:pPr>
              <w:spacing w:after="0" w:line="240" w:lineRule="auto"/>
              <w:jc w:val="center"/>
              <w:rPr>
                <w:rFonts w:eastAsia="Times New Roman"/>
                <w:color w:val="auto"/>
                <w:sz w:val="16"/>
                <w:szCs w:val="16"/>
                <w:lang w:eastAsia="ru-RU"/>
              </w:rPr>
            </w:pPr>
            <w:r w:rsidRPr="00BD7E1C">
              <w:rPr>
                <w:color w:val="auto"/>
                <w:sz w:val="18"/>
                <w:szCs w:val="18"/>
              </w:rPr>
              <w:t>7 024,42</w:t>
            </w:r>
          </w:p>
        </w:tc>
        <w:tc>
          <w:tcPr>
            <w:tcW w:w="386" w:type="pct"/>
            <w:tcBorders>
              <w:top w:val="nil"/>
              <w:left w:val="nil"/>
              <w:bottom w:val="single" w:sz="8" w:space="0" w:color="auto"/>
              <w:right w:val="single" w:sz="8" w:space="0" w:color="auto"/>
            </w:tcBorders>
            <w:shd w:val="clear" w:color="auto" w:fill="auto"/>
            <w:vAlign w:val="center"/>
          </w:tcPr>
          <w:p w14:paraId="227EDC64" w14:textId="6ED7D573" w:rsidR="00613867" w:rsidRPr="00BD7E1C" w:rsidRDefault="00613867" w:rsidP="00613867">
            <w:pPr>
              <w:spacing w:after="0" w:line="240" w:lineRule="auto"/>
              <w:jc w:val="center"/>
              <w:rPr>
                <w:rFonts w:eastAsia="Times New Roman"/>
                <w:color w:val="auto"/>
                <w:sz w:val="16"/>
                <w:szCs w:val="16"/>
                <w:lang w:eastAsia="ru-RU"/>
              </w:rPr>
            </w:pPr>
            <w:r w:rsidRPr="00BD7E1C">
              <w:rPr>
                <w:color w:val="auto"/>
                <w:sz w:val="18"/>
                <w:szCs w:val="18"/>
              </w:rPr>
              <w:t>15 321,01</w:t>
            </w:r>
          </w:p>
        </w:tc>
        <w:tc>
          <w:tcPr>
            <w:tcW w:w="385" w:type="pct"/>
            <w:tcBorders>
              <w:top w:val="nil"/>
              <w:left w:val="nil"/>
              <w:bottom w:val="single" w:sz="8" w:space="0" w:color="auto"/>
              <w:right w:val="single" w:sz="8" w:space="0" w:color="auto"/>
            </w:tcBorders>
            <w:shd w:val="clear" w:color="auto" w:fill="auto"/>
            <w:vAlign w:val="center"/>
          </w:tcPr>
          <w:p w14:paraId="77D9BBA5" w14:textId="575A58FE" w:rsidR="00613867" w:rsidRPr="00BD7E1C" w:rsidRDefault="00613867" w:rsidP="00613867">
            <w:pPr>
              <w:spacing w:after="0" w:line="240" w:lineRule="auto"/>
              <w:jc w:val="center"/>
              <w:rPr>
                <w:rFonts w:eastAsia="Times New Roman"/>
                <w:color w:val="auto"/>
                <w:sz w:val="16"/>
                <w:szCs w:val="16"/>
                <w:lang w:eastAsia="ru-RU"/>
              </w:rPr>
            </w:pPr>
          </w:p>
        </w:tc>
        <w:tc>
          <w:tcPr>
            <w:tcW w:w="408" w:type="pct"/>
            <w:tcBorders>
              <w:top w:val="nil"/>
              <w:left w:val="nil"/>
              <w:bottom w:val="single" w:sz="8" w:space="0" w:color="auto"/>
              <w:right w:val="single" w:sz="8" w:space="0" w:color="auto"/>
            </w:tcBorders>
            <w:shd w:val="clear" w:color="auto" w:fill="auto"/>
            <w:vAlign w:val="center"/>
          </w:tcPr>
          <w:p w14:paraId="7700A88B" w14:textId="5775A57C" w:rsidR="00613867" w:rsidRPr="00BD7E1C" w:rsidRDefault="00613867" w:rsidP="00613867">
            <w:pPr>
              <w:spacing w:after="0" w:line="240" w:lineRule="auto"/>
              <w:jc w:val="center"/>
              <w:rPr>
                <w:rFonts w:eastAsia="Times New Roman"/>
                <w:color w:val="auto"/>
                <w:sz w:val="16"/>
                <w:szCs w:val="16"/>
                <w:lang w:eastAsia="ru-RU"/>
              </w:rPr>
            </w:pPr>
          </w:p>
        </w:tc>
        <w:tc>
          <w:tcPr>
            <w:tcW w:w="462" w:type="pct"/>
            <w:tcBorders>
              <w:top w:val="nil"/>
              <w:left w:val="nil"/>
              <w:bottom w:val="single" w:sz="8" w:space="0" w:color="auto"/>
              <w:right w:val="single" w:sz="8" w:space="0" w:color="auto"/>
            </w:tcBorders>
            <w:shd w:val="clear" w:color="auto" w:fill="auto"/>
            <w:vAlign w:val="center"/>
          </w:tcPr>
          <w:p w14:paraId="6F4EC338" w14:textId="2985B581" w:rsidR="00613867" w:rsidRPr="00BD7E1C" w:rsidRDefault="00613867" w:rsidP="00613867">
            <w:pPr>
              <w:spacing w:after="0" w:line="240" w:lineRule="auto"/>
              <w:jc w:val="center"/>
              <w:rPr>
                <w:rFonts w:eastAsia="Times New Roman"/>
                <w:color w:val="auto"/>
                <w:sz w:val="16"/>
                <w:szCs w:val="16"/>
                <w:lang w:eastAsia="ru-RU"/>
              </w:rPr>
            </w:pPr>
            <w:r w:rsidRPr="00BD7E1C">
              <w:rPr>
                <w:color w:val="auto"/>
                <w:sz w:val="18"/>
                <w:szCs w:val="18"/>
              </w:rPr>
              <w:t>0,00</w:t>
            </w:r>
          </w:p>
        </w:tc>
        <w:tc>
          <w:tcPr>
            <w:tcW w:w="467" w:type="pct"/>
            <w:gridSpan w:val="2"/>
            <w:tcBorders>
              <w:top w:val="nil"/>
              <w:left w:val="nil"/>
              <w:bottom w:val="single" w:sz="8" w:space="0" w:color="auto"/>
              <w:right w:val="single" w:sz="8" w:space="0" w:color="auto"/>
            </w:tcBorders>
            <w:shd w:val="clear" w:color="auto" w:fill="auto"/>
            <w:vAlign w:val="center"/>
          </w:tcPr>
          <w:p w14:paraId="3BA43CBF" w14:textId="1676F304" w:rsidR="00613867" w:rsidRPr="00BD7E1C" w:rsidRDefault="00613867" w:rsidP="00613867">
            <w:pPr>
              <w:spacing w:after="0" w:line="240" w:lineRule="auto"/>
              <w:jc w:val="center"/>
              <w:rPr>
                <w:rFonts w:eastAsia="Times New Roman"/>
                <w:color w:val="auto"/>
                <w:sz w:val="16"/>
                <w:szCs w:val="16"/>
                <w:lang w:eastAsia="ru-RU"/>
              </w:rPr>
            </w:pPr>
            <w:r w:rsidRPr="00BD7E1C">
              <w:rPr>
                <w:color w:val="auto"/>
                <w:sz w:val="18"/>
                <w:szCs w:val="18"/>
              </w:rPr>
              <w:t>15 321,01</w:t>
            </w:r>
          </w:p>
        </w:tc>
      </w:tr>
      <w:tr w:rsidR="00BD7E1C" w:rsidRPr="00BD7E1C" w14:paraId="148AE52B" w14:textId="77777777" w:rsidTr="00E3296D">
        <w:trPr>
          <w:gridAfter w:val="1"/>
          <w:wAfter w:w="3" w:type="pct"/>
          <w:trHeight w:val="315"/>
        </w:trPr>
        <w:tc>
          <w:tcPr>
            <w:tcW w:w="530" w:type="pct"/>
            <w:vMerge/>
            <w:tcBorders>
              <w:top w:val="nil"/>
              <w:left w:val="single" w:sz="8" w:space="0" w:color="auto"/>
              <w:bottom w:val="single" w:sz="8" w:space="0" w:color="000000"/>
              <w:right w:val="single" w:sz="8" w:space="0" w:color="auto"/>
            </w:tcBorders>
            <w:vAlign w:val="center"/>
            <w:hideMark/>
          </w:tcPr>
          <w:p w14:paraId="779B27EA" w14:textId="77777777" w:rsidR="00E3296D" w:rsidRPr="00BD7E1C" w:rsidRDefault="00E3296D" w:rsidP="00E3296D">
            <w:pPr>
              <w:spacing w:after="0" w:line="240" w:lineRule="auto"/>
              <w:jc w:val="center"/>
              <w:rPr>
                <w:rFonts w:eastAsia="Times New Roman"/>
                <w:b/>
                <w:bCs/>
                <w:color w:val="auto"/>
                <w:sz w:val="18"/>
                <w:szCs w:val="18"/>
                <w:lang w:eastAsia="ru-RU"/>
              </w:rPr>
            </w:pPr>
          </w:p>
        </w:tc>
        <w:tc>
          <w:tcPr>
            <w:tcW w:w="416" w:type="pct"/>
            <w:tcBorders>
              <w:top w:val="nil"/>
              <w:left w:val="nil"/>
              <w:bottom w:val="single" w:sz="8" w:space="0" w:color="auto"/>
              <w:right w:val="single" w:sz="8" w:space="0" w:color="auto"/>
            </w:tcBorders>
            <w:shd w:val="clear" w:color="auto" w:fill="auto"/>
            <w:vAlign w:val="center"/>
            <w:hideMark/>
          </w:tcPr>
          <w:p w14:paraId="16573279" w14:textId="77777777" w:rsidR="00E3296D" w:rsidRPr="00BD7E1C" w:rsidRDefault="00E3296D" w:rsidP="00E3296D">
            <w:pPr>
              <w:spacing w:after="0" w:line="240" w:lineRule="auto"/>
              <w:jc w:val="center"/>
              <w:rPr>
                <w:rFonts w:eastAsia="Times New Roman"/>
                <w:color w:val="auto"/>
                <w:sz w:val="18"/>
                <w:szCs w:val="18"/>
                <w:lang w:eastAsia="ru-RU"/>
              </w:rPr>
            </w:pPr>
            <w:r w:rsidRPr="00BD7E1C">
              <w:rPr>
                <w:rFonts w:eastAsia="Times New Roman"/>
                <w:color w:val="auto"/>
                <w:sz w:val="18"/>
                <w:szCs w:val="18"/>
                <w:lang w:eastAsia="ru-RU"/>
              </w:rPr>
              <w:t>СН2</w:t>
            </w:r>
          </w:p>
        </w:tc>
        <w:tc>
          <w:tcPr>
            <w:tcW w:w="389" w:type="pct"/>
            <w:tcBorders>
              <w:top w:val="nil"/>
              <w:left w:val="nil"/>
              <w:bottom w:val="single" w:sz="8" w:space="0" w:color="auto"/>
              <w:right w:val="single" w:sz="8" w:space="0" w:color="auto"/>
            </w:tcBorders>
            <w:shd w:val="clear" w:color="auto" w:fill="auto"/>
            <w:vAlign w:val="center"/>
          </w:tcPr>
          <w:p w14:paraId="2A38062E" w14:textId="2C57C945" w:rsidR="00E3296D" w:rsidRPr="00BD7E1C" w:rsidRDefault="00E3296D" w:rsidP="00E3296D">
            <w:pPr>
              <w:spacing w:after="0" w:line="240" w:lineRule="auto"/>
              <w:jc w:val="center"/>
              <w:rPr>
                <w:rFonts w:eastAsia="Times New Roman"/>
                <w:color w:val="auto"/>
                <w:sz w:val="16"/>
                <w:szCs w:val="16"/>
                <w:lang w:eastAsia="ru-RU"/>
              </w:rPr>
            </w:pPr>
            <w:r w:rsidRPr="00BD7E1C">
              <w:rPr>
                <w:color w:val="auto"/>
                <w:sz w:val="18"/>
                <w:szCs w:val="18"/>
              </w:rPr>
              <w:t>158,19</w:t>
            </w:r>
          </w:p>
        </w:tc>
        <w:tc>
          <w:tcPr>
            <w:tcW w:w="389" w:type="pct"/>
            <w:tcBorders>
              <w:top w:val="nil"/>
              <w:left w:val="nil"/>
              <w:bottom w:val="single" w:sz="8" w:space="0" w:color="auto"/>
              <w:right w:val="single" w:sz="8" w:space="0" w:color="auto"/>
            </w:tcBorders>
            <w:shd w:val="clear" w:color="auto" w:fill="auto"/>
            <w:vAlign w:val="center"/>
          </w:tcPr>
          <w:p w14:paraId="4251CB5B" w14:textId="7839778A" w:rsidR="00E3296D" w:rsidRPr="00BD7E1C" w:rsidRDefault="00E3296D" w:rsidP="00E3296D">
            <w:pPr>
              <w:spacing w:after="0" w:line="240" w:lineRule="auto"/>
              <w:jc w:val="center"/>
              <w:rPr>
                <w:rFonts w:eastAsia="Times New Roman"/>
                <w:color w:val="auto"/>
                <w:sz w:val="16"/>
                <w:szCs w:val="16"/>
                <w:lang w:eastAsia="ru-RU"/>
              </w:rPr>
            </w:pPr>
            <w:r w:rsidRPr="00BD7E1C">
              <w:rPr>
                <w:color w:val="auto"/>
                <w:sz w:val="18"/>
                <w:szCs w:val="18"/>
              </w:rPr>
              <w:t>149,58</w:t>
            </w:r>
          </w:p>
        </w:tc>
        <w:tc>
          <w:tcPr>
            <w:tcW w:w="389" w:type="pct"/>
            <w:tcBorders>
              <w:top w:val="nil"/>
              <w:left w:val="nil"/>
              <w:bottom w:val="single" w:sz="8" w:space="0" w:color="auto"/>
              <w:right w:val="single" w:sz="8" w:space="0" w:color="auto"/>
            </w:tcBorders>
            <w:shd w:val="clear" w:color="auto" w:fill="auto"/>
            <w:vAlign w:val="center"/>
          </w:tcPr>
          <w:p w14:paraId="56F3482F" w14:textId="1179961D" w:rsidR="00E3296D" w:rsidRPr="00BD7E1C" w:rsidRDefault="00E3296D" w:rsidP="00E3296D">
            <w:pPr>
              <w:spacing w:after="0" w:line="240" w:lineRule="auto"/>
              <w:jc w:val="center"/>
              <w:rPr>
                <w:rFonts w:eastAsia="Times New Roman"/>
                <w:color w:val="auto"/>
                <w:sz w:val="16"/>
                <w:szCs w:val="16"/>
                <w:lang w:eastAsia="ru-RU"/>
              </w:rPr>
            </w:pPr>
            <w:r w:rsidRPr="00BD7E1C">
              <w:rPr>
                <w:color w:val="auto"/>
                <w:sz w:val="18"/>
                <w:szCs w:val="18"/>
              </w:rPr>
              <w:t>307,76</w:t>
            </w:r>
          </w:p>
        </w:tc>
        <w:tc>
          <w:tcPr>
            <w:tcW w:w="394" w:type="pct"/>
            <w:tcBorders>
              <w:top w:val="nil"/>
              <w:left w:val="nil"/>
              <w:bottom w:val="single" w:sz="8" w:space="0" w:color="auto"/>
              <w:right w:val="single" w:sz="8" w:space="0" w:color="auto"/>
            </w:tcBorders>
            <w:shd w:val="clear" w:color="auto" w:fill="auto"/>
            <w:vAlign w:val="center"/>
          </w:tcPr>
          <w:p w14:paraId="4E252304" w14:textId="5DEDCA41" w:rsidR="00E3296D" w:rsidRPr="00BD7E1C" w:rsidRDefault="00E3296D" w:rsidP="00E3296D">
            <w:pPr>
              <w:spacing w:after="0" w:line="240" w:lineRule="auto"/>
              <w:jc w:val="center"/>
              <w:rPr>
                <w:rFonts w:eastAsia="Times New Roman"/>
                <w:color w:val="auto"/>
                <w:sz w:val="16"/>
                <w:szCs w:val="16"/>
                <w:lang w:eastAsia="ru-RU"/>
              </w:rPr>
            </w:pPr>
            <w:r w:rsidRPr="00BD7E1C">
              <w:rPr>
                <w:color w:val="auto"/>
                <w:sz w:val="18"/>
                <w:szCs w:val="18"/>
              </w:rPr>
              <w:t>44 283,95</w:t>
            </w:r>
          </w:p>
        </w:tc>
        <w:tc>
          <w:tcPr>
            <w:tcW w:w="382" w:type="pct"/>
            <w:tcBorders>
              <w:top w:val="nil"/>
              <w:left w:val="nil"/>
              <w:bottom w:val="single" w:sz="8" w:space="0" w:color="auto"/>
              <w:right w:val="single" w:sz="8" w:space="0" w:color="auto"/>
            </w:tcBorders>
            <w:shd w:val="clear" w:color="auto" w:fill="auto"/>
            <w:vAlign w:val="center"/>
          </w:tcPr>
          <w:p w14:paraId="01BD3888" w14:textId="4FEEDBA6" w:rsidR="00E3296D" w:rsidRPr="00BD7E1C" w:rsidRDefault="00E3296D" w:rsidP="00E3296D">
            <w:pPr>
              <w:spacing w:after="0" w:line="240" w:lineRule="auto"/>
              <w:jc w:val="center"/>
              <w:rPr>
                <w:rFonts w:eastAsia="Times New Roman"/>
                <w:color w:val="auto"/>
                <w:sz w:val="16"/>
                <w:szCs w:val="16"/>
                <w:lang w:eastAsia="ru-RU"/>
              </w:rPr>
            </w:pPr>
            <w:r w:rsidRPr="00BD7E1C">
              <w:rPr>
                <w:color w:val="auto"/>
                <w:sz w:val="18"/>
                <w:szCs w:val="18"/>
              </w:rPr>
              <w:t>39 298,38</w:t>
            </w:r>
          </w:p>
        </w:tc>
        <w:tc>
          <w:tcPr>
            <w:tcW w:w="386" w:type="pct"/>
            <w:tcBorders>
              <w:top w:val="nil"/>
              <w:left w:val="nil"/>
              <w:bottom w:val="single" w:sz="8" w:space="0" w:color="auto"/>
              <w:right w:val="single" w:sz="8" w:space="0" w:color="auto"/>
            </w:tcBorders>
            <w:shd w:val="clear" w:color="auto" w:fill="auto"/>
            <w:vAlign w:val="center"/>
          </w:tcPr>
          <w:p w14:paraId="532E7858" w14:textId="100C2895" w:rsidR="00E3296D" w:rsidRPr="00BD7E1C" w:rsidRDefault="00E3296D" w:rsidP="00E3296D">
            <w:pPr>
              <w:spacing w:after="0" w:line="240" w:lineRule="auto"/>
              <w:jc w:val="center"/>
              <w:rPr>
                <w:rFonts w:eastAsia="Times New Roman"/>
                <w:color w:val="auto"/>
                <w:sz w:val="16"/>
                <w:szCs w:val="16"/>
                <w:lang w:eastAsia="ru-RU"/>
              </w:rPr>
            </w:pPr>
            <w:r w:rsidRPr="00BD7E1C">
              <w:rPr>
                <w:color w:val="auto"/>
                <w:sz w:val="18"/>
                <w:szCs w:val="18"/>
              </w:rPr>
              <w:t>83 582,33</w:t>
            </w:r>
          </w:p>
        </w:tc>
        <w:tc>
          <w:tcPr>
            <w:tcW w:w="385" w:type="pct"/>
            <w:tcBorders>
              <w:top w:val="nil"/>
              <w:left w:val="nil"/>
              <w:bottom w:val="single" w:sz="8" w:space="0" w:color="auto"/>
              <w:right w:val="single" w:sz="8" w:space="0" w:color="auto"/>
            </w:tcBorders>
            <w:shd w:val="clear" w:color="auto" w:fill="auto"/>
            <w:vAlign w:val="center"/>
          </w:tcPr>
          <w:p w14:paraId="38CBB7FD" w14:textId="6E695525" w:rsidR="00E3296D" w:rsidRPr="00BD7E1C" w:rsidRDefault="00E3296D" w:rsidP="00E3296D">
            <w:pPr>
              <w:spacing w:after="0" w:line="240" w:lineRule="auto"/>
              <w:jc w:val="center"/>
              <w:rPr>
                <w:rFonts w:eastAsia="Times New Roman"/>
                <w:color w:val="auto"/>
                <w:sz w:val="16"/>
                <w:szCs w:val="16"/>
                <w:lang w:eastAsia="ru-RU"/>
              </w:rPr>
            </w:pPr>
            <w:r w:rsidRPr="00BD7E1C">
              <w:rPr>
                <w:rFonts w:cs="Arial"/>
                <w:color w:val="auto"/>
                <w:sz w:val="16"/>
                <w:szCs w:val="16"/>
              </w:rPr>
              <w:t>41 947,65*</w:t>
            </w:r>
          </w:p>
        </w:tc>
        <w:tc>
          <w:tcPr>
            <w:tcW w:w="408" w:type="pct"/>
            <w:tcBorders>
              <w:top w:val="nil"/>
              <w:left w:val="nil"/>
              <w:bottom w:val="single" w:sz="8" w:space="0" w:color="auto"/>
              <w:right w:val="single" w:sz="8" w:space="0" w:color="auto"/>
            </w:tcBorders>
            <w:shd w:val="clear" w:color="auto" w:fill="auto"/>
            <w:vAlign w:val="center"/>
          </w:tcPr>
          <w:p w14:paraId="7A5E4497" w14:textId="59F454E4" w:rsidR="00E3296D" w:rsidRPr="00BD7E1C" w:rsidRDefault="00E3296D" w:rsidP="00E3296D">
            <w:pPr>
              <w:spacing w:after="0" w:line="240" w:lineRule="auto"/>
              <w:jc w:val="center"/>
              <w:rPr>
                <w:rFonts w:eastAsia="Times New Roman"/>
                <w:color w:val="auto"/>
                <w:sz w:val="16"/>
                <w:szCs w:val="16"/>
                <w:lang w:eastAsia="ru-RU"/>
              </w:rPr>
            </w:pPr>
            <w:r w:rsidRPr="00BD7E1C">
              <w:rPr>
                <w:rFonts w:cs="Arial"/>
                <w:color w:val="auto"/>
                <w:sz w:val="16"/>
                <w:szCs w:val="16"/>
              </w:rPr>
              <w:t>53 710,28*</w:t>
            </w:r>
          </w:p>
        </w:tc>
        <w:tc>
          <w:tcPr>
            <w:tcW w:w="462" w:type="pct"/>
            <w:tcBorders>
              <w:top w:val="nil"/>
              <w:left w:val="nil"/>
              <w:bottom w:val="single" w:sz="8" w:space="0" w:color="auto"/>
              <w:right w:val="single" w:sz="8" w:space="0" w:color="auto"/>
            </w:tcBorders>
            <w:shd w:val="clear" w:color="auto" w:fill="auto"/>
            <w:vAlign w:val="center"/>
          </w:tcPr>
          <w:p w14:paraId="0D7A5356" w14:textId="7FE9D248" w:rsidR="00E3296D" w:rsidRPr="00BD7E1C" w:rsidRDefault="00E3296D" w:rsidP="00E3296D">
            <w:pPr>
              <w:spacing w:after="0" w:line="240" w:lineRule="auto"/>
              <w:jc w:val="center"/>
              <w:rPr>
                <w:rFonts w:eastAsia="Times New Roman"/>
                <w:color w:val="auto"/>
                <w:sz w:val="16"/>
                <w:szCs w:val="16"/>
                <w:lang w:eastAsia="ru-RU"/>
              </w:rPr>
            </w:pPr>
            <w:r w:rsidRPr="00BD7E1C">
              <w:rPr>
                <w:color w:val="auto"/>
                <w:sz w:val="18"/>
                <w:szCs w:val="18"/>
              </w:rPr>
              <w:t>285,56</w:t>
            </w:r>
          </w:p>
        </w:tc>
        <w:tc>
          <w:tcPr>
            <w:tcW w:w="467" w:type="pct"/>
            <w:gridSpan w:val="2"/>
            <w:tcBorders>
              <w:top w:val="nil"/>
              <w:left w:val="nil"/>
              <w:bottom w:val="single" w:sz="8" w:space="0" w:color="auto"/>
              <w:right w:val="single" w:sz="8" w:space="0" w:color="auto"/>
            </w:tcBorders>
            <w:shd w:val="clear" w:color="auto" w:fill="auto"/>
            <w:vAlign w:val="center"/>
          </w:tcPr>
          <w:p w14:paraId="28DBD519" w14:textId="3852140C" w:rsidR="00E3296D" w:rsidRPr="00BD7E1C" w:rsidRDefault="00E3296D" w:rsidP="00E3296D">
            <w:pPr>
              <w:spacing w:after="0" w:line="240" w:lineRule="auto"/>
              <w:jc w:val="center"/>
              <w:rPr>
                <w:rFonts w:eastAsia="Times New Roman"/>
                <w:color w:val="auto"/>
                <w:sz w:val="16"/>
                <w:szCs w:val="16"/>
                <w:lang w:eastAsia="ru-RU"/>
              </w:rPr>
            </w:pPr>
            <w:r w:rsidRPr="00BD7E1C">
              <w:rPr>
                <w:color w:val="auto"/>
                <w:sz w:val="18"/>
                <w:szCs w:val="18"/>
              </w:rPr>
              <w:t>84 175,65</w:t>
            </w:r>
          </w:p>
        </w:tc>
      </w:tr>
      <w:tr w:rsidR="00BD7E1C" w:rsidRPr="00BD7E1C" w14:paraId="75D05432" w14:textId="77777777" w:rsidTr="00E3296D">
        <w:trPr>
          <w:gridAfter w:val="1"/>
          <w:wAfter w:w="3" w:type="pct"/>
          <w:trHeight w:val="315"/>
        </w:trPr>
        <w:tc>
          <w:tcPr>
            <w:tcW w:w="530" w:type="pct"/>
            <w:vMerge/>
            <w:tcBorders>
              <w:top w:val="nil"/>
              <w:left w:val="single" w:sz="8" w:space="0" w:color="auto"/>
              <w:bottom w:val="single" w:sz="8" w:space="0" w:color="000000"/>
              <w:right w:val="single" w:sz="8" w:space="0" w:color="auto"/>
            </w:tcBorders>
            <w:vAlign w:val="center"/>
            <w:hideMark/>
          </w:tcPr>
          <w:p w14:paraId="2F86683B" w14:textId="77777777" w:rsidR="00E3296D" w:rsidRPr="00BD7E1C" w:rsidRDefault="00E3296D" w:rsidP="00E3296D">
            <w:pPr>
              <w:spacing w:after="0" w:line="240" w:lineRule="auto"/>
              <w:jc w:val="center"/>
              <w:rPr>
                <w:rFonts w:eastAsia="Times New Roman"/>
                <w:b/>
                <w:bCs/>
                <w:color w:val="auto"/>
                <w:sz w:val="18"/>
                <w:szCs w:val="18"/>
                <w:lang w:eastAsia="ru-RU"/>
              </w:rPr>
            </w:pPr>
          </w:p>
        </w:tc>
        <w:tc>
          <w:tcPr>
            <w:tcW w:w="416" w:type="pct"/>
            <w:tcBorders>
              <w:top w:val="nil"/>
              <w:left w:val="nil"/>
              <w:bottom w:val="single" w:sz="8" w:space="0" w:color="auto"/>
              <w:right w:val="single" w:sz="8" w:space="0" w:color="auto"/>
            </w:tcBorders>
            <w:shd w:val="clear" w:color="auto" w:fill="auto"/>
            <w:vAlign w:val="center"/>
            <w:hideMark/>
          </w:tcPr>
          <w:p w14:paraId="52596F75" w14:textId="77777777" w:rsidR="00E3296D" w:rsidRPr="00BD7E1C" w:rsidRDefault="00E3296D" w:rsidP="00E3296D">
            <w:pPr>
              <w:spacing w:after="0" w:line="240" w:lineRule="auto"/>
              <w:jc w:val="center"/>
              <w:rPr>
                <w:rFonts w:eastAsia="Times New Roman"/>
                <w:color w:val="auto"/>
                <w:sz w:val="18"/>
                <w:szCs w:val="18"/>
                <w:lang w:eastAsia="ru-RU"/>
              </w:rPr>
            </w:pPr>
            <w:r w:rsidRPr="00BD7E1C">
              <w:rPr>
                <w:rFonts w:eastAsia="Times New Roman"/>
                <w:color w:val="auto"/>
                <w:sz w:val="18"/>
                <w:szCs w:val="18"/>
                <w:lang w:eastAsia="ru-RU"/>
              </w:rPr>
              <w:t>НН</w:t>
            </w:r>
          </w:p>
        </w:tc>
        <w:tc>
          <w:tcPr>
            <w:tcW w:w="389" w:type="pct"/>
            <w:tcBorders>
              <w:top w:val="nil"/>
              <w:left w:val="nil"/>
              <w:bottom w:val="single" w:sz="8" w:space="0" w:color="auto"/>
              <w:right w:val="single" w:sz="8" w:space="0" w:color="auto"/>
            </w:tcBorders>
            <w:shd w:val="clear" w:color="auto" w:fill="auto"/>
            <w:vAlign w:val="center"/>
          </w:tcPr>
          <w:p w14:paraId="4C15B50B" w14:textId="58DBDCB9" w:rsidR="00E3296D" w:rsidRPr="00BD7E1C" w:rsidRDefault="00E3296D" w:rsidP="00E3296D">
            <w:pPr>
              <w:spacing w:after="0" w:line="240" w:lineRule="auto"/>
              <w:jc w:val="center"/>
              <w:rPr>
                <w:rFonts w:eastAsia="Times New Roman"/>
                <w:color w:val="auto"/>
                <w:sz w:val="16"/>
                <w:szCs w:val="16"/>
                <w:lang w:eastAsia="ru-RU"/>
              </w:rPr>
            </w:pPr>
            <w:r w:rsidRPr="00BD7E1C">
              <w:rPr>
                <w:color w:val="auto"/>
                <w:sz w:val="18"/>
                <w:szCs w:val="18"/>
              </w:rPr>
              <w:t>1 140,15</w:t>
            </w:r>
          </w:p>
        </w:tc>
        <w:tc>
          <w:tcPr>
            <w:tcW w:w="389" w:type="pct"/>
            <w:tcBorders>
              <w:top w:val="nil"/>
              <w:left w:val="nil"/>
              <w:bottom w:val="single" w:sz="8" w:space="0" w:color="auto"/>
              <w:right w:val="single" w:sz="8" w:space="0" w:color="auto"/>
            </w:tcBorders>
            <w:shd w:val="clear" w:color="auto" w:fill="auto"/>
            <w:vAlign w:val="center"/>
          </w:tcPr>
          <w:p w14:paraId="77CF4328" w14:textId="3CF6AF80" w:rsidR="00E3296D" w:rsidRPr="00BD7E1C" w:rsidRDefault="00E3296D" w:rsidP="00E3296D">
            <w:pPr>
              <w:spacing w:after="0" w:line="240" w:lineRule="auto"/>
              <w:jc w:val="center"/>
              <w:rPr>
                <w:rFonts w:eastAsia="Times New Roman"/>
                <w:color w:val="auto"/>
                <w:sz w:val="16"/>
                <w:szCs w:val="16"/>
                <w:lang w:eastAsia="ru-RU"/>
              </w:rPr>
            </w:pPr>
            <w:r w:rsidRPr="00BD7E1C">
              <w:rPr>
                <w:color w:val="auto"/>
                <w:sz w:val="18"/>
                <w:szCs w:val="18"/>
              </w:rPr>
              <w:t>1 103,79</w:t>
            </w:r>
          </w:p>
        </w:tc>
        <w:tc>
          <w:tcPr>
            <w:tcW w:w="389" w:type="pct"/>
            <w:tcBorders>
              <w:top w:val="nil"/>
              <w:left w:val="nil"/>
              <w:bottom w:val="single" w:sz="8" w:space="0" w:color="auto"/>
              <w:right w:val="single" w:sz="8" w:space="0" w:color="auto"/>
            </w:tcBorders>
            <w:shd w:val="clear" w:color="auto" w:fill="auto"/>
            <w:vAlign w:val="center"/>
          </w:tcPr>
          <w:p w14:paraId="65503F67" w14:textId="43EC147E" w:rsidR="00E3296D" w:rsidRPr="00BD7E1C" w:rsidRDefault="00E3296D" w:rsidP="00E3296D">
            <w:pPr>
              <w:spacing w:after="0" w:line="240" w:lineRule="auto"/>
              <w:jc w:val="center"/>
              <w:rPr>
                <w:rFonts w:eastAsia="Times New Roman"/>
                <w:color w:val="auto"/>
                <w:sz w:val="16"/>
                <w:szCs w:val="16"/>
                <w:lang w:eastAsia="ru-RU"/>
              </w:rPr>
            </w:pPr>
            <w:r w:rsidRPr="00BD7E1C">
              <w:rPr>
                <w:color w:val="auto"/>
                <w:sz w:val="18"/>
                <w:szCs w:val="18"/>
              </w:rPr>
              <w:t>2 243,95</w:t>
            </w:r>
          </w:p>
        </w:tc>
        <w:tc>
          <w:tcPr>
            <w:tcW w:w="394" w:type="pct"/>
            <w:tcBorders>
              <w:top w:val="nil"/>
              <w:left w:val="nil"/>
              <w:bottom w:val="single" w:sz="8" w:space="0" w:color="auto"/>
              <w:right w:val="single" w:sz="8" w:space="0" w:color="auto"/>
            </w:tcBorders>
            <w:shd w:val="clear" w:color="auto" w:fill="auto"/>
            <w:vAlign w:val="center"/>
          </w:tcPr>
          <w:p w14:paraId="529D4595" w14:textId="39477C48" w:rsidR="00E3296D" w:rsidRPr="00BD7E1C" w:rsidRDefault="00E3296D" w:rsidP="00E3296D">
            <w:pPr>
              <w:spacing w:after="0" w:line="240" w:lineRule="auto"/>
              <w:jc w:val="center"/>
              <w:rPr>
                <w:rFonts w:eastAsia="Times New Roman"/>
                <w:color w:val="auto"/>
                <w:sz w:val="16"/>
                <w:szCs w:val="16"/>
                <w:lang w:eastAsia="ru-RU"/>
              </w:rPr>
            </w:pPr>
            <w:r w:rsidRPr="00BD7E1C">
              <w:rPr>
                <w:color w:val="auto"/>
                <w:sz w:val="18"/>
                <w:szCs w:val="18"/>
              </w:rPr>
              <w:t>43 167,64</w:t>
            </w:r>
          </w:p>
        </w:tc>
        <w:tc>
          <w:tcPr>
            <w:tcW w:w="382" w:type="pct"/>
            <w:tcBorders>
              <w:top w:val="nil"/>
              <w:left w:val="nil"/>
              <w:bottom w:val="single" w:sz="8" w:space="0" w:color="auto"/>
              <w:right w:val="single" w:sz="8" w:space="0" w:color="auto"/>
            </w:tcBorders>
            <w:shd w:val="clear" w:color="auto" w:fill="auto"/>
            <w:vAlign w:val="center"/>
          </w:tcPr>
          <w:p w14:paraId="768345EF" w14:textId="37FE02F1" w:rsidR="00E3296D" w:rsidRPr="00BD7E1C" w:rsidRDefault="00E3296D" w:rsidP="00E3296D">
            <w:pPr>
              <w:spacing w:after="0" w:line="240" w:lineRule="auto"/>
              <w:jc w:val="center"/>
              <w:rPr>
                <w:rFonts w:eastAsia="Times New Roman"/>
                <w:color w:val="auto"/>
                <w:sz w:val="16"/>
                <w:szCs w:val="16"/>
                <w:lang w:eastAsia="ru-RU"/>
              </w:rPr>
            </w:pPr>
            <w:r w:rsidRPr="00BD7E1C">
              <w:rPr>
                <w:color w:val="auto"/>
                <w:sz w:val="18"/>
                <w:szCs w:val="18"/>
              </w:rPr>
              <w:t>40 373,57</w:t>
            </w:r>
          </w:p>
        </w:tc>
        <w:tc>
          <w:tcPr>
            <w:tcW w:w="386" w:type="pct"/>
            <w:tcBorders>
              <w:top w:val="nil"/>
              <w:left w:val="nil"/>
              <w:bottom w:val="single" w:sz="8" w:space="0" w:color="auto"/>
              <w:right w:val="single" w:sz="8" w:space="0" w:color="auto"/>
            </w:tcBorders>
            <w:shd w:val="clear" w:color="auto" w:fill="auto"/>
            <w:vAlign w:val="center"/>
          </w:tcPr>
          <w:p w14:paraId="251ED5BE" w14:textId="3899679E" w:rsidR="00E3296D" w:rsidRPr="00BD7E1C" w:rsidRDefault="00E3296D" w:rsidP="00E3296D">
            <w:pPr>
              <w:spacing w:after="0" w:line="240" w:lineRule="auto"/>
              <w:jc w:val="center"/>
              <w:rPr>
                <w:rFonts w:eastAsia="Times New Roman"/>
                <w:color w:val="auto"/>
                <w:sz w:val="16"/>
                <w:szCs w:val="16"/>
                <w:lang w:eastAsia="ru-RU"/>
              </w:rPr>
            </w:pPr>
            <w:r w:rsidRPr="00BD7E1C">
              <w:rPr>
                <w:color w:val="auto"/>
                <w:sz w:val="18"/>
                <w:szCs w:val="18"/>
              </w:rPr>
              <w:t>83 541,22</w:t>
            </w:r>
          </w:p>
        </w:tc>
        <w:tc>
          <w:tcPr>
            <w:tcW w:w="385" w:type="pct"/>
            <w:tcBorders>
              <w:top w:val="nil"/>
              <w:left w:val="nil"/>
              <w:bottom w:val="single" w:sz="8" w:space="0" w:color="auto"/>
              <w:right w:val="single" w:sz="8" w:space="0" w:color="auto"/>
            </w:tcBorders>
            <w:shd w:val="clear" w:color="auto" w:fill="auto"/>
            <w:vAlign w:val="center"/>
          </w:tcPr>
          <w:p w14:paraId="2AFA8D80" w14:textId="25E34BD4" w:rsidR="00E3296D" w:rsidRPr="00BD7E1C" w:rsidRDefault="00E3296D" w:rsidP="00E3296D">
            <w:pPr>
              <w:spacing w:after="0" w:line="240" w:lineRule="auto"/>
              <w:jc w:val="center"/>
              <w:rPr>
                <w:rFonts w:eastAsia="Times New Roman"/>
                <w:color w:val="auto"/>
                <w:sz w:val="16"/>
                <w:szCs w:val="16"/>
                <w:lang w:eastAsia="ru-RU"/>
              </w:rPr>
            </w:pPr>
            <w:r w:rsidRPr="00BD7E1C">
              <w:rPr>
                <w:rFonts w:cs="Arial"/>
                <w:color w:val="auto"/>
                <w:sz w:val="16"/>
                <w:szCs w:val="16"/>
              </w:rPr>
              <w:t>71 933,86**</w:t>
            </w:r>
          </w:p>
        </w:tc>
        <w:tc>
          <w:tcPr>
            <w:tcW w:w="408" w:type="pct"/>
            <w:tcBorders>
              <w:top w:val="nil"/>
              <w:left w:val="nil"/>
              <w:bottom w:val="single" w:sz="8" w:space="0" w:color="auto"/>
              <w:right w:val="single" w:sz="8" w:space="0" w:color="auto"/>
            </w:tcBorders>
            <w:shd w:val="clear" w:color="auto" w:fill="auto"/>
            <w:vAlign w:val="center"/>
          </w:tcPr>
          <w:p w14:paraId="6913392B" w14:textId="192554D7" w:rsidR="00E3296D" w:rsidRPr="00BD7E1C" w:rsidRDefault="00E3296D" w:rsidP="00E3296D">
            <w:pPr>
              <w:spacing w:after="0" w:line="240" w:lineRule="auto"/>
              <w:jc w:val="center"/>
              <w:rPr>
                <w:rFonts w:eastAsia="Times New Roman"/>
                <w:color w:val="auto"/>
                <w:sz w:val="16"/>
                <w:szCs w:val="16"/>
                <w:lang w:eastAsia="ru-RU"/>
              </w:rPr>
            </w:pPr>
            <w:r w:rsidRPr="00BD7E1C">
              <w:rPr>
                <w:rFonts w:cs="Arial"/>
                <w:color w:val="auto"/>
                <w:sz w:val="16"/>
                <w:szCs w:val="16"/>
              </w:rPr>
              <w:t>70 981,95**</w:t>
            </w:r>
          </w:p>
        </w:tc>
        <w:tc>
          <w:tcPr>
            <w:tcW w:w="462" w:type="pct"/>
            <w:tcBorders>
              <w:top w:val="nil"/>
              <w:left w:val="nil"/>
              <w:bottom w:val="single" w:sz="8" w:space="0" w:color="auto"/>
              <w:right w:val="single" w:sz="8" w:space="0" w:color="auto"/>
            </w:tcBorders>
            <w:shd w:val="clear" w:color="auto" w:fill="auto"/>
            <w:vAlign w:val="center"/>
          </w:tcPr>
          <w:p w14:paraId="21852660" w14:textId="6B2E463B" w:rsidR="00E3296D" w:rsidRPr="00BD7E1C" w:rsidRDefault="00E3296D" w:rsidP="00E3296D">
            <w:pPr>
              <w:spacing w:after="0" w:line="240" w:lineRule="auto"/>
              <w:jc w:val="center"/>
              <w:rPr>
                <w:rFonts w:eastAsia="Times New Roman"/>
                <w:color w:val="auto"/>
                <w:sz w:val="16"/>
                <w:szCs w:val="16"/>
                <w:lang w:eastAsia="ru-RU"/>
              </w:rPr>
            </w:pPr>
            <w:r w:rsidRPr="00BD7E1C">
              <w:rPr>
                <w:color w:val="auto"/>
                <w:sz w:val="18"/>
                <w:szCs w:val="18"/>
              </w:rPr>
              <w:t>238 288,19</w:t>
            </w:r>
          </w:p>
        </w:tc>
        <w:tc>
          <w:tcPr>
            <w:tcW w:w="467" w:type="pct"/>
            <w:gridSpan w:val="2"/>
            <w:tcBorders>
              <w:top w:val="nil"/>
              <w:left w:val="nil"/>
              <w:bottom w:val="single" w:sz="8" w:space="0" w:color="auto"/>
              <w:right w:val="single" w:sz="8" w:space="0" w:color="auto"/>
            </w:tcBorders>
            <w:shd w:val="clear" w:color="auto" w:fill="auto"/>
            <w:vAlign w:val="center"/>
          </w:tcPr>
          <w:p w14:paraId="0C1DFF1B" w14:textId="371BDCC3" w:rsidR="00E3296D" w:rsidRPr="00BD7E1C" w:rsidRDefault="00E3296D" w:rsidP="00E3296D">
            <w:pPr>
              <w:spacing w:after="0" w:line="240" w:lineRule="auto"/>
              <w:jc w:val="center"/>
              <w:rPr>
                <w:rFonts w:eastAsia="Times New Roman"/>
                <w:color w:val="auto"/>
                <w:sz w:val="16"/>
                <w:szCs w:val="16"/>
                <w:lang w:eastAsia="ru-RU"/>
              </w:rPr>
            </w:pPr>
            <w:r w:rsidRPr="00BD7E1C">
              <w:rPr>
                <w:color w:val="auto"/>
                <w:sz w:val="18"/>
                <w:szCs w:val="18"/>
              </w:rPr>
              <w:t>324 073,35</w:t>
            </w:r>
          </w:p>
        </w:tc>
      </w:tr>
      <w:tr w:rsidR="00BD7E1C" w:rsidRPr="00BD7E1C" w14:paraId="4DC47763" w14:textId="77777777" w:rsidTr="00E3296D">
        <w:trPr>
          <w:gridAfter w:val="1"/>
          <w:wAfter w:w="3" w:type="pct"/>
          <w:trHeight w:val="315"/>
        </w:trPr>
        <w:tc>
          <w:tcPr>
            <w:tcW w:w="530" w:type="pct"/>
            <w:vMerge/>
            <w:tcBorders>
              <w:top w:val="nil"/>
              <w:left w:val="single" w:sz="8" w:space="0" w:color="auto"/>
              <w:bottom w:val="single" w:sz="8" w:space="0" w:color="000000"/>
              <w:right w:val="single" w:sz="8" w:space="0" w:color="auto"/>
            </w:tcBorders>
            <w:vAlign w:val="center"/>
            <w:hideMark/>
          </w:tcPr>
          <w:p w14:paraId="543AF481" w14:textId="77777777" w:rsidR="00613867" w:rsidRPr="00BD7E1C" w:rsidRDefault="00613867" w:rsidP="00613867">
            <w:pPr>
              <w:spacing w:after="0" w:line="240" w:lineRule="auto"/>
              <w:jc w:val="center"/>
              <w:rPr>
                <w:rFonts w:eastAsia="Times New Roman"/>
                <w:b/>
                <w:bCs/>
                <w:color w:val="auto"/>
                <w:sz w:val="18"/>
                <w:szCs w:val="18"/>
                <w:lang w:eastAsia="ru-RU"/>
              </w:rPr>
            </w:pPr>
          </w:p>
        </w:tc>
        <w:tc>
          <w:tcPr>
            <w:tcW w:w="416" w:type="pct"/>
            <w:tcBorders>
              <w:top w:val="nil"/>
              <w:left w:val="nil"/>
              <w:bottom w:val="single" w:sz="8" w:space="0" w:color="auto"/>
              <w:right w:val="single" w:sz="8" w:space="0" w:color="auto"/>
            </w:tcBorders>
            <w:shd w:val="clear" w:color="auto" w:fill="auto"/>
            <w:vAlign w:val="center"/>
            <w:hideMark/>
          </w:tcPr>
          <w:p w14:paraId="74C2D9E4" w14:textId="77777777" w:rsidR="00613867" w:rsidRPr="00BD7E1C" w:rsidRDefault="00613867" w:rsidP="00613867">
            <w:pPr>
              <w:spacing w:after="0" w:line="240" w:lineRule="auto"/>
              <w:jc w:val="center"/>
              <w:rPr>
                <w:rFonts w:eastAsia="Times New Roman"/>
                <w:color w:val="auto"/>
                <w:sz w:val="18"/>
                <w:szCs w:val="18"/>
                <w:lang w:eastAsia="ru-RU"/>
              </w:rPr>
            </w:pPr>
            <w:r w:rsidRPr="00BD7E1C">
              <w:rPr>
                <w:rFonts w:eastAsia="Times New Roman"/>
                <w:color w:val="auto"/>
                <w:sz w:val="18"/>
                <w:szCs w:val="18"/>
                <w:lang w:eastAsia="ru-RU"/>
              </w:rPr>
              <w:t>ИТОГО</w:t>
            </w:r>
          </w:p>
        </w:tc>
        <w:tc>
          <w:tcPr>
            <w:tcW w:w="389" w:type="pct"/>
            <w:tcBorders>
              <w:top w:val="nil"/>
              <w:left w:val="nil"/>
              <w:bottom w:val="single" w:sz="8" w:space="0" w:color="auto"/>
              <w:right w:val="single" w:sz="8" w:space="0" w:color="auto"/>
            </w:tcBorders>
            <w:shd w:val="clear" w:color="auto" w:fill="auto"/>
            <w:vAlign w:val="center"/>
          </w:tcPr>
          <w:p w14:paraId="722E08A5" w14:textId="33EB396D" w:rsidR="00613867" w:rsidRPr="00BD7E1C" w:rsidRDefault="00613867" w:rsidP="00613867">
            <w:pPr>
              <w:spacing w:after="0" w:line="240" w:lineRule="auto"/>
              <w:jc w:val="center"/>
              <w:rPr>
                <w:rFonts w:eastAsia="Times New Roman"/>
                <w:color w:val="auto"/>
                <w:sz w:val="16"/>
                <w:szCs w:val="16"/>
                <w:lang w:eastAsia="ru-RU"/>
              </w:rPr>
            </w:pPr>
            <w:r w:rsidRPr="00BD7E1C">
              <w:rPr>
                <w:color w:val="auto"/>
                <w:sz w:val="18"/>
                <w:szCs w:val="18"/>
              </w:rPr>
              <w:t>1 298,34</w:t>
            </w:r>
          </w:p>
        </w:tc>
        <w:tc>
          <w:tcPr>
            <w:tcW w:w="389" w:type="pct"/>
            <w:tcBorders>
              <w:top w:val="nil"/>
              <w:left w:val="nil"/>
              <w:bottom w:val="single" w:sz="8" w:space="0" w:color="auto"/>
              <w:right w:val="single" w:sz="8" w:space="0" w:color="auto"/>
            </w:tcBorders>
            <w:shd w:val="clear" w:color="auto" w:fill="auto"/>
            <w:vAlign w:val="center"/>
          </w:tcPr>
          <w:p w14:paraId="6B0E95DA" w14:textId="3A82705F" w:rsidR="00613867" w:rsidRPr="00BD7E1C" w:rsidRDefault="00613867" w:rsidP="00613867">
            <w:pPr>
              <w:spacing w:after="0" w:line="240" w:lineRule="auto"/>
              <w:jc w:val="center"/>
              <w:rPr>
                <w:rFonts w:eastAsia="Times New Roman"/>
                <w:color w:val="auto"/>
                <w:sz w:val="16"/>
                <w:szCs w:val="16"/>
                <w:lang w:eastAsia="ru-RU"/>
              </w:rPr>
            </w:pPr>
            <w:r w:rsidRPr="00BD7E1C">
              <w:rPr>
                <w:color w:val="auto"/>
                <w:sz w:val="18"/>
                <w:szCs w:val="18"/>
              </w:rPr>
              <w:t>1 253,37</w:t>
            </w:r>
          </w:p>
        </w:tc>
        <w:tc>
          <w:tcPr>
            <w:tcW w:w="389" w:type="pct"/>
            <w:tcBorders>
              <w:top w:val="nil"/>
              <w:left w:val="nil"/>
              <w:bottom w:val="single" w:sz="8" w:space="0" w:color="auto"/>
              <w:right w:val="single" w:sz="8" w:space="0" w:color="auto"/>
            </w:tcBorders>
            <w:shd w:val="clear" w:color="auto" w:fill="auto"/>
            <w:vAlign w:val="center"/>
          </w:tcPr>
          <w:p w14:paraId="2997CC66" w14:textId="47B0CC76" w:rsidR="00613867" w:rsidRPr="00BD7E1C" w:rsidRDefault="00613867" w:rsidP="00613867">
            <w:pPr>
              <w:spacing w:after="0" w:line="240" w:lineRule="auto"/>
              <w:jc w:val="center"/>
              <w:rPr>
                <w:rFonts w:eastAsia="Times New Roman"/>
                <w:color w:val="auto"/>
                <w:sz w:val="16"/>
                <w:szCs w:val="16"/>
                <w:lang w:eastAsia="ru-RU"/>
              </w:rPr>
            </w:pPr>
            <w:r w:rsidRPr="00BD7E1C">
              <w:rPr>
                <w:color w:val="auto"/>
                <w:sz w:val="18"/>
                <w:szCs w:val="18"/>
              </w:rPr>
              <w:t>2 551,71</w:t>
            </w:r>
          </w:p>
        </w:tc>
        <w:tc>
          <w:tcPr>
            <w:tcW w:w="394" w:type="pct"/>
            <w:tcBorders>
              <w:top w:val="nil"/>
              <w:left w:val="nil"/>
              <w:bottom w:val="single" w:sz="8" w:space="0" w:color="auto"/>
              <w:right w:val="single" w:sz="8" w:space="0" w:color="auto"/>
            </w:tcBorders>
            <w:shd w:val="clear" w:color="auto" w:fill="auto"/>
            <w:vAlign w:val="center"/>
          </w:tcPr>
          <w:p w14:paraId="3F8936CD" w14:textId="0090F44D" w:rsidR="00613867" w:rsidRPr="00BD7E1C" w:rsidRDefault="00613867" w:rsidP="00613867">
            <w:pPr>
              <w:spacing w:after="0" w:line="240" w:lineRule="auto"/>
              <w:jc w:val="center"/>
              <w:rPr>
                <w:rFonts w:eastAsia="Times New Roman"/>
                <w:color w:val="auto"/>
                <w:sz w:val="16"/>
                <w:szCs w:val="16"/>
                <w:lang w:eastAsia="ru-RU"/>
              </w:rPr>
            </w:pPr>
            <w:r w:rsidRPr="00BD7E1C">
              <w:rPr>
                <w:color w:val="auto"/>
                <w:sz w:val="18"/>
                <w:szCs w:val="18"/>
              </w:rPr>
              <w:t>110 277,87</w:t>
            </w:r>
          </w:p>
        </w:tc>
        <w:tc>
          <w:tcPr>
            <w:tcW w:w="382" w:type="pct"/>
            <w:tcBorders>
              <w:top w:val="nil"/>
              <w:left w:val="nil"/>
              <w:bottom w:val="single" w:sz="8" w:space="0" w:color="auto"/>
              <w:right w:val="single" w:sz="8" w:space="0" w:color="auto"/>
            </w:tcBorders>
            <w:shd w:val="clear" w:color="auto" w:fill="auto"/>
            <w:vAlign w:val="center"/>
          </w:tcPr>
          <w:p w14:paraId="0E0836D5" w14:textId="0FE4D3D2" w:rsidR="00613867" w:rsidRPr="00BD7E1C" w:rsidRDefault="00613867" w:rsidP="00613867">
            <w:pPr>
              <w:spacing w:after="0" w:line="240" w:lineRule="auto"/>
              <w:jc w:val="center"/>
              <w:rPr>
                <w:rFonts w:eastAsia="Times New Roman"/>
                <w:color w:val="auto"/>
                <w:sz w:val="16"/>
                <w:szCs w:val="16"/>
                <w:lang w:eastAsia="ru-RU"/>
              </w:rPr>
            </w:pPr>
            <w:r w:rsidRPr="00BD7E1C">
              <w:rPr>
                <w:color w:val="auto"/>
                <w:sz w:val="18"/>
                <w:szCs w:val="18"/>
              </w:rPr>
              <w:t>102 649,78</w:t>
            </w:r>
          </w:p>
        </w:tc>
        <w:tc>
          <w:tcPr>
            <w:tcW w:w="386" w:type="pct"/>
            <w:tcBorders>
              <w:top w:val="nil"/>
              <w:left w:val="nil"/>
              <w:bottom w:val="single" w:sz="8" w:space="0" w:color="auto"/>
              <w:right w:val="single" w:sz="8" w:space="0" w:color="auto"/>
            </w:tcBorders>
            <w:shd w:val="clear" w:color="auto" w:fill="auto"/>
            <w:vAlign w:val="center"/>
          </w:tcPr>
          <w:p w14:paraId="6C2C537B" w14:textId="62D71A8B" w:rsidR="00613867" w:rsidRPr="00BD7E1C" w:rsidRDefault="00613867" w:rsidP="00613867">
            <w:pPr>
              <w:spacing w:after="0" w:line="240" w:lineRule="auto"/>
              <w:jc w:val="center"/>
              <w:rPr>
                <w:rFonts w:eastAsia="Times New Roman"/>
                <w:color w:val="auto"/>
                <w:sz w:val="16"/>
                <w:szCs w:val="16"/>
                <w:lang w:eastAsia="ru-RU"/>
              </w:rPr>
            </w:pPr>
            <w:r w:rsidRPr="00BD7E1C">
              <w:rPr>
                <w:color w:val="auto"/>
                <w:sz w:val="18"/>
                <w:szCs w:val="18"/>
              </w:rPr>
              <w:t>212 927,65</w:t>
            </w:r>
          </w:p>
        </w:tc>
        <w:tc>
          <w:tcPr>
            <w:tcW w:w="385" w:type="pct"/>
            <w:tcBorders>
              <w:top w:val="nil"/>
              <w:left w:val="nil"/>
              <w:bottom w:val="single" w:sz="8" w:space="0" w:color="auto"/>
              <w:right w:val="single" w:sz="8" w:space="0" w:color="auto"/>
            </w:tcBorders>
            <w:shd w:val="clear" w:color="auto" w:fill="auto"/>
            <w:vAlign w:val="center"/>
          </w:tcPr>
          <w:p w14:paraId="7B8B882C" w14:textId="4602CC1F" w:rsidR="00613867" w:rsidRPr="00BD7E1C" w:rsidRDefault="00613867" w:rsidP="00613867">
            <w:pPr>
              <w:spacing w:after="0" w:line="240" w:lineRule="auto"/>
              <w:jc w:val="center"/>
              <w:rPr>
                <w:rFonts w:eastAsia="Times New Roman"/>
                <w:color w:val="auto"/>
                <w:sz w:val="16"/>
                <w:szCs w:val="16"/>
                <w:lang w:eastAsia="ru-RU"/>
              </w:rPr>
            </w:pPr>
            <w:r w:rsidRPr="00BD7E1C">
              <w:rPr>
                <w:color w:val="auto"/>
                <w:sz w:val="18"/>
                <w:szCs w:val="18"/>
              </w:rPr>
              <w:t>113 881,51</w:t>
            </w:r>
          </w:p>
        </w:tc>
        <w:tc>
          <w:tcPr>
            <w:tcW w:w="408" w:type="pct"/>
            <w:tcBorders>
              <w:top w:val="nil"/>
              <w:left w:val="nil"/>
              <w:bottom w:val="single" w:sz="8" w:space="0" w:color="auto"/>
              <w:right w:val="single" w:sz="8" w:space="0" w:color="auto"/>
            </w:tcBorders>
            <w:shd w:val="clear" w:color="auto" w:fill="auto"/>
            <w:vAlign w:val="center"/>
          </w:tcPr>
          <w:p w14:paraId="32F3EECE" w14:textId="44481ACF" w:rsidR="00613867" w:rsidRPr="00BD7E1C" w:rsidRDefault="00613867" w:rsidP="00613867">
            <w:pPr>
              <w:spacing w:after="0" w:line="240" w:lineRule="auto"/>
              <w:jc w:val="center"/>
              <w:rPr>
                <w:rFonts w:eastAsia="Times New Roman"/>
                <w:color w:val="auto"/>
                <w:sz w:val="16"/>
                <w:szCs w:val="16"/>
                <w:lang w:eastAsia="ru-RU"/>
              </w:rPr>
            </w:pPr>
            <w:r w:rsidRPr="00BD7E1C">
              <w:rPr>
                <w:color w:val="auto"/>
                <w:sz w:val="18"/>
                <w:szCs w:val="18"/>
              </w:rPr>
              <w:t>124 692,23</w:t>
            </w:r>
          </w:p>
        </w:tc>
        <w:tc>
          <w:tcPr>
            <w:tcW w:w="462" w:type="pct"/>
            <w:tcBorders>
              <w:top w:val="nil"/>
              <w:left w:val="nil"/>
              <w:bottom w:val="single" w:sz="8" w:space="0" w:color="auto"/>
              <w:right w:val="single" w:sz="8" w:space="0" w:color="auto"/>
            </w:tcBorders>
            <w:shd w:val="clear" w:color="auto" w:fill="auto"/>
            <w:vAlign w:val="center"/>
          </w:tcPr>
          <w:p w14:paraId="531D2130" w14:textId="3BEF3268" w:rsidR="00613867" w:rsidRPr="00BD7E1C" w:rsidRDefault="00613867" w:rsidP="00613867">
            <w:pPr>
              <w:spacing w:after="0" w:line="240" w:lineRule="auto"/>
              <w:jc w:val="center"/>
              <w:rPr>
                <w:rFonts w:eastAsia="Times New Roman"/>
                <w:color w:val="auto"/>
                <w:sz w:val="16"/>
                <w:szCs w:val="16"/>
                <w:lang w:eastAsia="ru-RU"/>
              </w:rPr>
            </w:pPr>
            <w:r w:rsidRPr="00BD7E1C">
              <w:rPr>
                <w:color w:val="auto"/>
                <w:sz w:val="18"/>
                <w:szCs w:val="18"/>
              </w:rPr>
              <w:t>238 573,74</w:t>
            </w:r>
          </w:p>
        </w:tc>
        <w:tc>
          <w:tcPr>
            <w:tcW w:w="467" w:type="pct"/>
            <w:gridSpan w:val="2"/>
            <w:tcBorders>
              <w:top w:val="nil"/>
              <w:left w:val="nil"/>
              <w:bottom w:val="single" w:sz="8" w:space="0" w:color="auto"/>
              <w:right w:val="single" w:sz="8" w:space="0" w:color="auto"/>
            </w:tcBorders>
            <w:shd w:val="clear" w:color="auto" w:fill="auto"/>
            <w:vAlign w:val="center"/>
          </w:tcPr>
          <w:p w14:paraId="1F8F0BCD" w14:textId="22467374" w:rsidR="00613867" w:rsidRPr="00BD7E1C" w:rsidRDefault="00613867" w:rsidP="00613867">
            <w:pPr>
              <w:spacing w:after="0" w:line="240" w:lineRule="auto"/>
              <w:jc w:val="center"/>
              <w:rPr>
                <w:rFonts w:eastAsia="Times New Roman"/>
                <w:color w:val="auto"/>
                <w:sz w:val="16"/>
                <w:szCs w:val="16"/>
                <w:lang w:eastAsia="ru-RU"/>
              </w:rPr>
            </w:pPr>
            <w:r w:rsidRPr="00BD7E1C">
              <w:rPr>
                <w:color w:val="auto"/>
                <w:sz w:val="18"/>
                <w:szCs w:val="18"/>
              </w:rPr>
              <w:t>454 053,10</w:t>
            </w:r>
          </w:p>
        </w:tc>
      </w:tr>
      <w:tr w:rsidR="00BD7E1C" w:rsidRPr="00BD7E1C" w14:paraId="659BB128" w14:textId="77777777" w:rsidTr="00E3296D">
        <w:trPr>
          <w:gridAfter w:val="1"/>
          <w:wAfter w:w="3" w:type="pct"/>
          <w:trHeight w:val="315"/>
        </w:trPr>
        <w:tc>
          <w:tcPr>
            <w:tcW w:w="530" w:type="pct"/>
            <w:vMerge w:val="restart"/>
            <w:tcBorders>
              <w:top w:val="nil"/>
              <w:left w:val="single" w:sz="8" w:space="0" w:color="auto"/>
              <w:bottom w:val="single" w:sz="8" w:space="0" w:color="000000"/>
              <w:right w:val="single" w:sz="8" w:space="0" w:color="auto"/>
            </w:tcBorders>
            <w:shd w:val="clear" w:color="auto" w:fill="auto"/>
            <w:vAlign w:val="center"/>
            <w:hideMark/>
          </w:tcPr>
          <w:p w14:paraId="0524E87C" w14:textId="77777777" w:rsidR="00613867" w:rsidRPr="00BD7E1C" w:rsidRDefault="00613867" w:rsidP="00613867">
            <w:pPr>
              <w:spacing w:after="0" w:line="240" w:lineRule="auto"/>
              <w:jc w:val="center"/>
              <w:rPr>
                <w:rFonts w:eastAsia="Times New Roman"/>
                <w:b/>
                <w:bCs/>
                <w:color w:val="auto"/>
                <w:sz w:val="18"/>
                <w:szCs w:val="18"/>
                <w:lang w:eastAsia="ru-RU"/>
              </w:rPr>
            </w:pPr>
            <w:r w:rsidRPr="00BD7E1C">
              <w:rPr>
                <w:rFonts w:eastAsia="Times New Roman"/>
                <w:b/>
                <w:bCs/>
                <w:color w:val="auto"/>
                <w:sz w:val="18"/>
                <w:szCs w:val="18"/>
                <w:lang w:eastAsia="ru-RU"/>
              </w:rPr>
              <w:t>Мощность</w:t>
            </w:r>
          </w:p>
        </w:tc>
        <w:tc>
          <w:tcPr>
            <w:tcW w:w="416" w:type="pct"/>
            <w:tcBorders>
              <w:top w:val="nil"/>
              <w:left w:val="nil"/>
              <w:bottom w:val="single" w:sz="8" w:space="0" w:color="auto"/>
              <w:right w:val="single" w:sz="8" w:space="0" w:color="auto"/>
            </w:tcBorders>
            <w:shd w:val="clear" w:color="auto" w:fill="auto"/>
            <w:vAlign w:val="center"/>
            <w:hideMark/>
          </w:tcPr>
          <w:p w14:paraId="73F79684" w14:textId="77777777" w:rsidR="00613867" w:rsidRPr="00BD7E1C" w:rsidRDefault="00613867" w:rsidP="00613867">
            <w:pPr>
              <w:spacing w:after="0" w:line="240" w:lineRule="auto"/>
              <w:jc w:val="center"/>
              <w:rPr>
                <w:rFonts w:eastAsia="Times New Roman"/>
                <w:color w:val="auto"/>
                <w:sz w:val="18"/>
                <w:szCs w:val="18"/>
                <w:lang w:eastAsia="ru-RU"/>
              </w:rPr>
            </w:pPr>
            <w:r w:rsidRPr="00BD7E1C">
              <w:rPr>
                <w:rFonts w:eastAsia="Times New Roman"/>
                <w:color w:val="auto"/>
                <w:sz w:val="18"/>
                <w:szCs w:val="18"/>
                <w:lang w:eastAsia="ru-RU"/>
              </w:rPr>
              <w:t>ВН</w:t>
            </w:r>
          </w:p>
        </w:tc>
        <w:tc>
          <w:tcPr>
            <w:tcW w:w="389" w:type="pct"/>
            <w:tcBorders>
              <w:top w:val="nil"/>
              <w:left w:val="nil"/>
              <w:bottom w:val="single" w:sz="8" w:space="0" w:color="auto"/>
              <w:right w:val="single" w:sz="8" w:space="0" w:color="auto"/>
            </w:tcBorders>
            <w:shd w:val="clear" w:color="auto" w:fill="auto"/>
            <w:vAlign w:val="center"/>
          </w:tcPr>
          <w:p w14:paraId="7C562C01" w14:textId="267B5EA8" w:rsidR="00613867" w:rsidRPr="00BD7E1C" w:rsidRDefault="00613867" w:rsidP="00613867">
            <w:pPr>
              <w:spacing w:after="0" w:line="240" w:lineRule="auto"/>
              <w:jc w:val="center"/>
              <w:rPr>
                <w:rFonts w:eastAsia="Times New Roman"/>
                <w:color w:val="auto"/>
                <w:sz w:val="16"/>
                <w:szCs w:val="16"/>
                <w:lang w:eastAsia="ru-RU"/>
              </w:rPr>
            </w:pPr>
            <w:r w:rsidRPr="00BD7E1C">
              <w:rPr>
                <w:color w:val="auto"/>
                <w:sz w:val="18"/>
                <w:szCs w:val="18"/>
              </w:rPr>
              <w:t> </w:t>
            </w:r>
          </w:p>
        </w:tc>
        <w:tc>
          <w:tcPr>
            <w:tcW w:w="389" w:type="pct"/>
            <w:tcBorders>
              <w:top w:val="nil"/>
              <w:left w:val="nil"/>
              <w:bottom w:val="single" w:sz="8" w:space="0" w:color="auto"/>
              <w:right w:val="single" w:sz="8" w:space="0" w:color="auto"/>
            </w:tcBorders>
            <w:shd w:val="clear" w:color="auto" w:fill="auto"/>
            <w:vAlign w:val="center"/>
          </w:tcPr>
          <w:p w14:paraId="10E30B7E" w14:textId="08480E28" w:rsidR="00613867" w:rsidRPr="00BD7E1C" w:rsidRDefault="00613867" w:rsidP="00613867">
            <w:pPr>
              <w:spacing w:after="0" w:line="240" w:lineRule="auto"/>
              <w:jc w:val="center"/>
              <w:rPr>
                <w:rFonts w:eastAsia="Times New Roman"/>
                <w:color w:val="auto"/>
                <w:sz w:val="16"/>
                <w:szCs w:val="16"/>
                <w:lang w:eastAsia="ru-RU"/>
              </w:rPr>
            </w:pPr>
            <w:r w:rsidRPr="00BD7E1C">
              <w:rPr>
                <w:color w:val="auto"/>
                <w:sz w:val="18"/>
                <w:szCs w:val="18"/>
              </w:rPr>
              <w:t> </w:t>
            </w:r>
          </w:p>
        </w:tc>
        <w:tc>
          <w:tcPr>
            <w:tcW w:w="389" w:type="pct"/>
            <w:tcBorders>
              <w:top w:val="nil"/>
              <w:left w:val="nil"/>
              <w:bottom w:val="single" w:sz="8" w:space="0" w:color="auto"/>
              <w:right w:val="single" w:sz="8" w:space="0" w:color="auto"/>
            </w:tcBorders>
            <w:shd w:val="clear" w:color="auto" w:fill="auto"/>
            <w:vAlign w:val="center"/>
          </w:tcPr>
          <w:p w14:paraId="713C8E41" w14:textId="5B24524C" w:rsidR="00613867" w:rsidRPr="00BD7E1C" w:rsidRDefault="00613867" w:rsidP="00613867">
            <w:pPr>
              <w:spacing w:after="0" w:line="240" w:lineRule="auto"/>
              <w:jc w:val="center"/>
              <w:rPr>
                <w:rFonts w:eastAsia="Times New Roman"/>
                <w:color w:val="auto"/>
                <w:sz w:val="16"/>
                <w:szCs w:val="16"/>
                <w:lang w:eastAsia="ru-RU"/>
              </w:rPr>
            </w:pPr>
            <w:r w:rsidRPr="00BD7E1C">
              <w:rPr>
                <w:color w:val="auto"/>
                <w:sz w:val="18"/>
                <w:szCs w:val="18"/>
              </w:rPr>
              <w:t>0,00</w:t>
            </w:r>
          </w:p>
        </w:tc>
        <w:tc>
          <w:tcPr>
            <w:tcW w:w="394" w:type="pct"/>
            <w:tcBorders>
              <w:top w:val="nil"/>
              <w:left w:val="nil"/>
              <w:bottom w:val="single" w:sz="8" w:space="0" w:color="auto"/>
              <w:right w:val="single" w:sz="8" w:space="0" w:color="auto"/>
            </w:tcBorders>
            <w:shd w:val="clear" w:color="auto" w:fill="auto"/>
            <w:vAlign w:val="center"/>
          </w:tcPr>
          <w:p w14:paraId="3B2A3745" w14:textId="194AE0FD" w:rsidR="00613867" w:rsidRPr="00BD7E1C" w:rsidRDefault="00613867" w:rsidP="00613867">
            <w:pPr>
              <w:spacing w:after="0" w:line="240" w:lineRule="auto"/>
              <w:jc w:val="center"/>
              <w:rPr>
                <w:rFonts w:eastAsia="Times New Roman"/>
                <w:color w:val="auto"/>
                <w:sz w:val="16"/>
                <w:szCs w:val="16"/>
                <w:lang w:eastAsia="ru-RU"/>
              </w:rPr>
            </w:pPr>
            <w:r w:rsidRPr="00BD7E1C">
              <w:rPr>
                <w:color w:val="auto"/>
                <w:sz w:val="18"/>
                <w:szCs w:val="18"/>
              </w:rPr>
              <w:t> </w:t>
            </w:r>
          </w:p>
        </w:tc>
        <w:tc>
          <w:tcPr>
            <w:tcW w:w="382" w:type="pct"/>
            <w:tcBorders>
              <w:top w:val="nil"/>
              <w:left w:val="nil"/>
              <w:bottom w:val="single" w:sz="8" w:space="0" w:color="auto"/>
              <w:right w:val="single" w:sz="8" w:space="0" w:color="auto"/>
            </w:tcBorders>
            <w:shd w:val="clear" w:color="auto" w:fill="auto"/>
            <w:vAlign w:val="center"/>
          </w:tcPr>
          <w:p w14:paraId="5D971C05" w14:textId="43698B77" w:rsidR="00613867" w:rsidRPr="00BD7E1C" w:rsidRDefault="00613867" w:rsidP="00613867">
            <w:pPr>
              <w:spacing w:after="0" w:line="240" w:lineRule="auto"/>
              <w:jc w:val="center"/>
              <w:rPr>
                <w:rFonts w:eastAsia="Times New Roman"/>
                <w:color w:val="auto"/>
                <w:sz w:val="16"/>
                <w:szCs w:val="16"/>
                <w:lang w:eastAsia="ru-RU"/>
              </w:rPr>
            </w:pPr>
            <w:r w:rsidRPr="00BD7E1C">
              <w:rPr>
                <w:color w:val="auto"/>
                <w:sz w:val="18"/>
                <w:szCs w:val="18"/>
              </w:rPr>
              <w:t> </w:t>
            </w:r>
          </w:p>
        </w:tc>
        <w:tc>
          <w:tcPr>
            <w:tcW w:w="386" w:type="pct"/>
            <w:tcBorders>
              <w:top w:val="nil"/>
              <w:left w:val="nil"/>
              <w:bottom w:val="single" w:sz="8" w:space="0" w:color="auto"/>
              <w:right w:val="single" w:sz="8" w:space="0" w:color="auto"/>
            </w:tcBorders>
            <w:shd w:val="clear" w:color="auto" w:fill="auto"/>
            <w:vAlign w:val="center"/>
          </w:tcPr>
          <w:p w14:paraId="091AD060" w14:textId="0FE60EA6" w:rsidR="00613867" w:rsidRPr="00BD7E1C" w:rsidRDefault="00613867" w:rsidP="00613867">
            <w:pPr>
              <w:spacing w:after="0" w:line="240" w:lineRule="auto"/>
              <w:jc w:val="center"/>
              <w:rPr>
                <w:rFonts w:eastAsia="Times New Roman"/>
                <w:color w:val="auto"/>
                <w:sz w:val="16"/>
                <w:szCs w:val="16"/>
                <w:lang w:eastAsia="ru-RU"/>
              </w:rPr>
            </w:pPr>
            <w:r w:rsidRPr="00BD7E1C">
              <w:rPr>
                <w:color w:val="auto"/>
                <w:sz w:val="18"/>
                <w:szCs w:val="18"/>
              </w:rPr>
              <w:t>0,00</w:t>
            </w:r>
          </w:p>
        </w:tc>
        <w:tc>
          <w:tcPr>
            <w:tcW w:w="385" w:type="pct"/>
            <w:tcBorders>
              <w:top w:val="nil"/>
              <w:left w:val="nil"/>
              <w:bottom w:val="single" w:sz="8" w:space="0" w:color="auto"/>
              <w:right w:val="single" w:sz="8" w:space="0" w:color="auto"/>
            </w:tcBorders>
            <w:shd w:val="clear" w:color="auto" w:fill="auto"/>
            <w:vAlign w:val="center"/>
          </w:tcPr>
          <w:p w14:paraId="64B89D35" w14:textId="5160B1EA" w:rsidR="00613867" w:rsidRPr="00BD7E1C" w:rsidRDefault="00613867" w:rsidP="00613867">
            <w:pPr>
              <w:spacing w:after="0" w:line="240" w:lineRule="auto"/>
              <w:jc w:val="center"/>
              <w:rPr>
                <w:rFonts w:eastAsia="Times New Roman"/>
                <w:color w:val="auto"/>
                <w:sz w:val="16"/>
                <w:szCs w:val="16"/>
                <w:lang w:eastAsia="ru-RU"/>
              </w:rPr>
            </w:pPr>
            <w:r w:rsidRPr="00BD7E1C">
              <w:rPr>
                <w:color w:val="auto"/>
                <w:sz w:val="18"/>
                <w:szCs w:val="18"/>
              </w:rPr>
              <w:t> </w:t>
            </w:r>
          </w:p>
        </w:tc>
        <w:tc>
          <w:tcPr>
            <w:tcW w:w="408" w:type="pct"/>
            <w:tcBorders>
              <w:top w:val="nil"/>
              <w:left w:val="nil"/>
              <w:bottom w:val="single" w:sz="8" w:space="0" w:color="auto"/>
              <w:right w:val="single" w:sz="8" w:space="0" w:color="auto"/>
            </w:tcBorders>
            <w:shd w:val="clear" w:color="auto" w:fill="auto"/>
            <w:vAlign w:val="center"/>
          </w:tcPr>
          <w:p w14:paraId="1973EC26" w14:textId="6FB28873" w:rsidR="00613867" w:rsidRPr="00BD7E1C" w:rsidRDefault="00613867" w:rsidP="00613867">
            <w:pPr>
              <w:spacing w:after="0" w:line="240" w:lineRule="auto"/>
              <w:jc w:val="center"/>
              <w:rPr>
                <w:rFonts w:eastAsia="Times New Roman"/>
                <w:color w:val="auto"/>
                <w:sz w:val="16"/>
                <w:szCs w:val="16"/>
                <w:lang w:eastAsia="ru-RU"/>
              </w:rPr>
            </w:pPr>
            <w:r w:rsidRPr="00BD7E1C">
              <w:rPr>
                <w:color w:val="auto"/>
                <w:sz w:val="18"/>
                <w:szCs w:val="18"/>
              </w:rPr>
              <w:t> </w:t>
            </w:r>
          </w:p>
        </w:tc>
        <w:tc>
          <w:tcPr>
            <w:tcW w:w="462" w:type="pct"/>
            <w:tcBorders>
              <w:top w:val="nil"/>
              <w:left w:val="nil"/>
              <w:bottom w:val="single" w:sz="8" w:space="0" w:color="auto"/>
              <w:right w:val="single" w:sz="8" w:space="0" w:color="auto"/>
            </w:tcBorders>
            <w:shd w:val="clear" w:color="auto" w:fill="auto"/>
            <w:vAlign w:val="center"/>
          </w:tcPr>
          <w:p w14:paraId="0F3724E1" w14:textId="6876C91B" w:rsidR="00613867" w:rsidRPr="00BD7E1C" w:rsidRDefault="00613867" w:rsidP="00613867">
            <w:pPr>
              <w:spacing w:after="0" w:line="240" w:lineRule="auto"/>
              <w:jc w:val="center"/>
              <w:rPr>
                <w:rFonts w:eastAsia="Times New Roman"/>
                <w:color w:val="auto"/>
                <w:sz w:val="16"/>
                <w:szCs w:val="16"/>
                <w:lang w:eastAsia="ru-RU"/>
              </w:rPr>
            </w:pPr>
            <w:r w:rsidRPr="00BD7E1C">
              <w:rPr>
                <w:color w:val="auto"/>
                <w:sz w:val="18"/>
                <w:szCs w:val="18"/>
              </w:rPr>
              <w:t>0,00</w:t>
            </w:r>
          </w:p>
        </w:tc>
        <w:tc>
          <w:tcPr>
            <w:tcW w:w="467" w:type="pct"/>
            <w:gridSpan w:val="2"/>
            <w:tcBorders>
              <w:top w:val="nil"/>
              <w:left w:val="nil"/>
              <w:bottom w:val="single" w:sz="8" w:space="0" w:color="auto"/>
              <w:right w:val="single" w:sz="8" w:space="0" w:color="auto"/>
            </w:tcBorders>
            <w:shd w:val="clear" w:color="auto" w:fill="auto"/>
            <w:vAlign w:val="center"/>
          </w:tcPr>
          <w:p w14:paraId="518E929F" w14:textId="232BBA3E" w:rsidR="00613867" w:rsidRPr="00BD7E1C" w:rsidRDefault="00613867" w:rsidP="00613867">
            <w:pPr>
              <w:spacing w:after="0" w:line="240" w:lineRule="auto"/>
              <w:jc w:val="center"/>
              <w:rPr>
                <w:rFonts w:eastAsia="Times New Roman"/>
                <w:color w:val="auto"/>
                <w:sz w:val="16"/>
                <w:szCs w:val="16"/>
                <w:lang w:eastAsia="ru-RU"/>
              </w:rPr>
            </w:pPr>
            <w:r w:rsidRPr="00BD7E1C">
              <w:rPr>
                <w:color w:val="auto"/>
                <w:sz w:val="18"/>
                <w:szCs w:val="18"/>
              </w:rPr>
              <w:t>0,00</w:t>
            </w:r>
          </w:p>
        </w:tc>
      </w:tr>
      <w:tr w:rsidR="00BD7E1C" w:rsidRPr="00BD7E1C" w14:paraId="5A1C6975" w14:textId="77777777" w:rsidTr="00E3296D">
        <w:trPr>
          <w:gridAfter w:val="1"/>
          <w:wAfter w:w="3" w:type="pct"/>
          <w:trHeight w:val="315"/>
        </w:trPr>
        <w:tc>
          <w:tcPr>
            <w:tcW w:w="530" w:type="pct"/>
            <w:vMerge/>
            <w:tcBorders>
              <w:top w:val="nil"/>
              <w:left w:val="single" w:sz="8" w:space="0" w:color="auto"/>
              <w:bottom w:val="single" w:sz="8" w:space="0" w:color="000000"/>
              <w:right w:val="single" w:sz="8" w:space="0" w:color="auto"/>
            </w:tcBorders>
            <w:vAlign w:val="center"/>
            <w:hideMark/>
          </w:tcPr>
          <w:p w14:paraId="20E82BBE" w14:textId="77777777" w:rsidR="00613867" w:rsidRPr="00BD7E1C" w:rsidRDefault="00613867" w:rsidP="00613867">
            <w:pPr>
              <w:spacing w:after="0" w:line="240" w:lineRule="auto"/>
              <w:jc w:val="center"/>
              <w:rPr>
                <w:rFonts w:eastAsia="Times New Roman"/>
                <w:b/>
                <w:bCs/>
                <w:color w:val="auto"/>
                <w:sz w:val="18"/>
                <w:szCs w:val="18"/>
                <w:lang w:eastAsia="ru-RU"/>
              </w:rPr>
            </w:pPr>
          </w:p>
        </w:tc>
        <w:tc>
          <w:tcPr>
            <w:tcW w:w="416" w:type="pct"/>
            <w:tcBorders>
              <w:top w:val="nil"/>
              <w:left w:val="nil"/>
              <w:bottom w:val="single" w:sz="8" w:space="0" w:color="auto"/>
              <w:right w:val="single" w:sz="8" w:space="0" w:color="auto"/>
            </w:tcBorders>
            <w:shd w:val="clear" w:color="auto" w:fill="auto"/>
            <w:vAlign w:val="center"/>
            <w:hideMark/>
          </w:tcPr>
          <w:p w14:paraId="05E2D432" w14:textId="77777777" w:rsidR="00613867" w:rsidRPr="00BD7E1C" w:rsidRDefault="00613867" w:rsidP="00613867">
            <w:pPr>
              <w:spacing w:after="0" w:line="240" w:lineRule="auto"/>
              <w:jc w:val="center"/>
              <w:rPr>
                <w:rFonts w:eastAsia="Times New Roman"/>
                <w:color w:val="auto"/>
                <w:sz w:val="18"/>
                <w:szCs w:val="18"/>
                <w:lang w:eastAsia="ru-RU"/>
              </w:rPr>
            </w:pPr>
            <w:r w:rsidRPr="00BD7E1C">
              <w:rPr>
                <w:rFonts w:eastAsia="Times New Roman"/>
                <w:color w:val="auto"/>
                <w:sz w:val="18"/>
                <w:szCs w:val="18"/>
                <w:lang w:eastAsia="ru-RU"/>
              </w:rPr>
              <w:t>СН1</w:t>
            </w:r>
          </w:p>
        </w:tc>
        <w:tc>
          <w:tcPr>
            <w:tcW w:w="389" w:type="pct"/>
            <w:tcBorders>
              <w:top w:val="nil"/>
              <w:left w:val="nil"/>
              <w:bottom w:val="single" w:sz="8" w:space="0" w:color="auto"/>
              <w:right w:val="single" w:sz="8" w:space="0" w:color="auto"/>
            </w:tcBorders>
            <w:shd w:val="clear" w:color="auto" w:fill="auto"/>
            <w:vAlign w:val="center"/>
          </w:tcPr>
          <w:p w14:paraId="69F3302B" w14:textId="64E8D931" w:rsidR="00613867" w:rsidRPr="00BD7E1C" w:rsidRDefault="00613867" w:rsidP="00613867">
            <w:pPr>
              <w:spacing w:after="0" w:line="240" w:lineRule="auto"/>
              <w:jc w:val="center"/>
              <w:rPr>
                <w:rFonts w:eastAsia="Times New Roman"/>
                <w:color w:val="auto"/>
                <w:sz w:val="16"/>
                <w:szCs w:val="16"/>
                <w:lang w:eastAsia="ru-RU"/>
              </w:rPr>
            </w:pPr>
            <w:r w:rsidRPr="00BD7E1C">
              <w:rPr>
                <w:color w:val="auto"/>
                <w:sz w:val="18"/>
                <w:szCs w:val="18"/>
              </w:rPr>
              <w:t> </w:t>
            </w:r>
          </w:p>
        </w:tc>
        <w:tc>
          <w:tcPr>
            <w:tcW w:w="389" w:type="pct"/>
            <w:tcBorders>
              <w:top w:val="nil"/>
              <w:left w:val="nil"/>
              <w:bottom w:val="single" w:sz="8" w:space="0" w:color="auto"/>
              <w:right w:val="single" w:sz="8" w:space="0" w:color="auto"/>
            </w:tcBorders>
            <w:shd w:val="clear" w:color="auto" w:fill="auto"/>
            <w:vAlign w:val="center"/>
          </w:tcPr>
          <w:p w14:paraId="318BCFB1" w14:textId="7CE21B10" w:rsidR="00613867" w:rsidRPr="00BD7E1C" w:rsidRDefault="00613867" w:rsidP="00613867">
            <w:pPr>
              <w:spacing w:after="0" w:line="240" w:lineRule="auto"/>
              <w:jc w:val="center"/>
              <w:rPr>
                <w:rFonts w:eastAsia="Times New Roman"/>
                <w:color w:val="auto"/>
                <w:sz w:val="16"/>
                <w:szCs w:val="16"/>
                <w:lang w:eastAsia="ru-RU"/>
              </w:rPr>
            </w:pPr>
            <w:r w:rsidRPr="00BD7E1C">
              <w:rPr>
                <w:color w:val="auto"/>
                <w:sz w:val="18"/>
                <w:szCs w:val="18"/>
              </w:rPr>
              <w:t> </w:t>
            </w:r>
          </w:p>
        </w:tc>
        <w:tc>
          <w:tcPr>
            <w:tcW w:w="389" w:type="pct"/>
            <w:tcBorders>
              <w:top w:val="nil"/>
              <w:left w:val="nil"/>
              <w:bottom w:val="single" w:sz="8" w:space="0" w:color="auto"/>
              <w:right w:val="single" w:sz="8" w:space="0" w:color="auto"/>
            </w:tcBorders>
            <w:shd w:val="clear" w:color="auto" w:fill="auto"/>
            <w:vAlign w:val="center"/>
          </w:tcPr>
          <w:p w14:paraId="5BAB8C9F" w14:textId="58AD12B8" w:rsidR="00613867" w:rsidRPr="00BD7E1C" w:rsidRDefault="00613867" w:rsidP="00613867">
            <w:pPr>
              <w:spacing w:after="0" w:line="240" w:lineRule="auto"/>
              <w:jc w:val="center"/>
              <w:rPr>
                <w:rFonts w:eastAsia="Times New Roman"/>
                <w:color w:val="auto"/>
                <w:sz w:val="16"/>
                <w:szCs w:val="16"/>
                <w:lang w:eastAsia="ru-RU"/>
              </w:rPr>
            </w:pPr>
            <w:r w:rsidRPr="00BD7E1C">
              <w:rPr>
                <w:color w:val="auto"/>
                <w:sz w:val="18"/>
                <w:szCs w:val="18"/>
              </w:rPr>
              <w:t>0,00</w:t>
            </w:r>
          </w:p>
        </w:tc>
        <w:tc>
          <w:tcPr>
            <w:tcW w:w="394" w:type="pct"/>
            <w:tcBorders>
              <w:top w:val="nil"/>
              <w:left w:val="nil"/>
              <w:bottom w:val="single" w:sz="8" w:space="0" w:color="auto"/>
              <w:right w:val="single" w:sz="8" w:space="0" w:color="auto"/>
            </w:tcBorders>
            <w:shd w:val="clear" w:color="auto" w:fill="auto"/>
            <w:vAlign w:val="center"/>
          </w:tcPr>
          <w:p w14:paraId="5F3E8900" w14:textId="4FBA6A56" w:rsidR="00613867" w:rsidRPr="00BD7E1C" w:rsidRDefault="00613867" w:rsidP="00613867">
            <w:pPr>
              <w:spacing w:after="0" w:line="240" w:lineRule="auto"/>
              <w:jc w:val="center"/>
              <w:rPr>
                <w:rFonts w:eastAsia="Times New Roman"/>
                <w:color w:val="auto"/>
                <w:sz w:val="16"/>
                <w:szCs w:val="16"/>
                <w:lang w:eastAsia="ru-RU"/>
              </w:rPr>
            </w:pPr>
            <w:r w:rsidRPr="00BD7E1C">
              <w:rPr>
                <w:color w:val="auto"/>
                <w:sz w:val="18"/>
                <w:szCs w:val="18"/>
              </w:rPr>
              <w:t> </w:t>
            </w:r>
          </w:p>
        </w:tc>
        <w:tc>
          <w:tcPr>
            <w:tcW w:w="382" w:type="pct"/>
            <w:tcBorders>
              <w:top w:val="nil"/>
              <w:left w:val="nil"/>
              <w:bottom w:val="single" w:sz="8" w:space="0" w:color="auto"/>
              <w:right w:val="single" w:sz="8" w:space="0" w:color="auto"/>
            </w:tcBorders>
            <w:shd w:val="clear" w:color="auto" w:fill="auto"/>
            <w:vAlign w:val="center"/>
          </w:tcPr>
          <w:p w14:paraId="7D1AABA6" w14:textId="16E5BC7C" w:rsidR="00613867" w:rsidRPr="00BD7E1C" w:rsidRDefault="00613867" w:rsidP="00613867">
            <w:pPr>
              <w:spacing w:after="0" w:line="240" w:lineRule="auto"/>
              <w:jc w:val="center"/>
              <w:rPr>
                <w:rFonts w:eastAsia="Times New Roman"/>
                <w:color w:val="auto"/>
                <w:sz w:val="16"/>
                <w:szCs w:val="16"/>
                <w:lang w:eastAsia="ru-RU"/>
              </w:rPr>
            </w:pPr>
            <w:r w:rsidRPr="00BD7E1C">
              <w:rPr>
                <w:color w:val="auto"/>
                <w:sz w:val="18"/>
                <w:szCs w:val="18"/>
              </w:rPr>
              <w:t> </w:t>
            </w:r>
          </w:p>
        </w:tc>
        <w:tc>
          <w:tcPr>
            <w:tcW w:w="386" w:type="pct"/>
            <w:tcBorders>
              <w:top w:val="nil"/>
              <w:left w:val="nil"/>
              <w:bottom w:val="single" w:sz="8" w:space="0" w:color="auto"/>
              <w:right w:val="single" w:sz="8" w:space="0" w:color="auto"/>
            </w:tcBorders>
            <w:shd w:val="clear" w:color="auto" w:fill="auto"/>
            <w:vAlign w:val="center"/>
          </w:tcPr>
          <w:p w14:paraId="0337F9AB" w14:textId="76FB4C16" w:rsidR="00613867" w:rsidRPr="00BD7E1C" w:rsidRDefault="00613867" w:rsidP="00613867">
            <w:pPr>
              <w:spacing w:after="0" w:line="240" w:lineRule="auto"/>
              <w:jc w:val="center"/>
              <w:rPr>
                <w:rFonts w:eastAsia="Times New Roman"/>
                <w:color w:val="auto"/>
                <w:sz w:val="16"/>
                <w:szCs w:val="16"/>
                <w:lang w:eastAsia="ru-RU"/>
              </w:rPr>
            </w:pPr>
            <w:r w:rsidRPr="00BD7E1C">
              <w:rPr>
                <w:color w:val="auto"/>
                <w:sz w:val="18"/>
                <w:szCs w:val="18"/>
              </w:rPr>
              <w:t>0,00</w:t>
            </w:r>
          </w:p>
        </w:tc>
        <w:tc>
          <w:tcPr>
            <w:tcW w:w="385" w:type="pct"/>
            <w:tcBorders>
              <w:top w:val="nil"/>
              <w:left w:val="nil"/>
              <w:bottom w:val="single" w:sz="8" w:space="0" w:color="auto"/>
              <w:right w:val="single" w:sz="8" w:space="0" w:color="auto"/>
            </w:tcBorders>
            <w:shd w:val="clear" w:color="auto" w:fill="auto"/>
            <w:vAlign w:val="center"/>
          </w:tcPr>
          <w:p w14:paraId="1571BA10" w14:textId="00D821BE" w:rsidR="00613867" w:rsidRPr="00BD7E1C" w:rsidRDefault="00613867" w:rsidP="00613867">
            <w:pPr>
              <w:spacing w:after="0" w:line="240" w:lineRule="auto"/>
              <w:jc w:val="center"/>
              <w:rPr>
                <w:rFonts w:eastAsia="Times New Roman"/>
                <w:color w:val="auto"/>
                <w:sz w:val="16"/>
                <w:szCs w:val="16"/>
                <w:lang w:eastAsia="ru-RU"/>
              </w:rPr>
            </w:pPr>
            <w:r w:rsidRPr="00BD7E1C">
              <w:rPr>
                <w:color w:val="auto"/>
                <w:sz w:val="18"/>
                <w:szCs w:val="18"/>
              </w:rPr>
              <w:t> </w:t>
            </w:r>
          </w:p>
        </w:tc>
        <w:tc>
          <w:tcPr>
            <w:tcW w:w="408" w:type="pct"/>
            <w:tcBorders>
              <w:top w:val="nil"/>
              <w:left w:val="nil"/>
              <w:bottom w:val="single" w:sz="8" w:space="0" w:color="auto"/>
              <w:right w:val="single" w:sz="8" w:space="0" w:color="auto"/>
            </w:tcBorders>
            <w:shd w:val="clear" w:color="auto" w:fill="auto"/>
            <w:vAlign w:val="center"/>
          </w:tcPr>
          <w:p w14:paraId="46FBC058" w14:textId="70976F0E" w:rsidR="00613867" w:rsidRPr="00BD7E1C" w:rsidRDefault="00613867" w:rsidP="00613867">
            <w:pPr>
              <w:spacing w:after="0" w:line="240" w:lineRule="auto"/>
              <w:jc w:val="center"/>
              <w:rPr>
                <w:rFonts w:eastAsia="Times New Roman"/>
                <w:color w:val="auto"/>
                <w:sz w:val="16"/>
                <w:szCs w:val="16"/>
                <w:lang w:eastAsia="ru-RU"/>
              </w:rPr>
            </w:pPr>
            <w:r w:rsidRPr="00BD7E1C">
              <w:rPr>
                <w:color w:val="auto"/>
                <w:sz w:val="18"/>
                <w:szCs w:val="18"/>
              </w:rPr>
              <w:t> </w:t>
            </w:r>
          </w:p>
        </w:tc>
        <w:tc>
          <w:tcPr>
            <w:tcW w:w="462" w:type="pct"/>
            <w:tcBorders>
              <w:top w:val="nil"/>
              <w:left w:val="nil"/>
              <w:bottom w:val="single" w:sz="8" w:space="0" w:color="auto"/>
              <w:right w:val="single" w:sz="8" w:space="0" w:color="auto"/>
            </w:tcBorders>
            <w:shd w:val="clear" w:color="auto" w:fill="auto"/>
            <w:vAlign w:val="center"/>
          </w:tcPr>
          <w:p w14:paraId="430EDA38" w14:textId="31B029CE" w:rsidR="00613867" w:rsidRPr="00BD7E1C" w:rsidRDefault="00613867" w:rsidP="00613867">
            <w:pPr>
              <w:spacing w:after="0" w:line="240" w:lineRule="auto"/>
              <w:jc w:val="center"/>
              <w:rPr>
                <w:rFonts w:eastAsia="Times New Roman"/>
                <w:color w:val="auto"/>
                <w:sz w:val="16"/>
                <w:szCs w:val="16"/>
                <w:lang w:eastAsia="ru-RU"/>
              </w:rPr>
            </w:pPr>
            <w:r w:rsidRPr="00BD7E1C">
              <w:rPr>
                <w:color w:val="auto"/>
                <w:sz w:val="18"/>
                <w:szCs w:val="18"/>
              </w:rPr>
              <w:t>0,00</w:t>
            </w:r>
          </w:p>
        </w:tc>
        <w:tc>
          <w:tcPr>
            <w:tcW w:w="467" w:type="pct"/>
            <w:gridSpan w:val="2"/>
            <w:tcBorders>
              <w:top w:val="nil"/>
              <w:left w:val="nil"/>
              <w:bottom w:val="single" w:sz="8" w:space="0" w:color="auto"/>
              <w:right w:val="single" w:sz="8" w:space="0" w:color="auto"/>
            </w:tcBorders>
            <w:shd w:val="clear" w:color="auto" w:fill="auto"/>
            <w:vAlign w:val="center"/>
          </w:tcPr>
          <w:p w14:paraId="2BD65F8D" w14:textId="1CDFEAB3" w:rsidR="00613867" w:rsidRPr="00BD7E1C" w:rsidRDefault="00613867" w:rsidP="00613867">
            <w:pPr>
              <w:spacing w:after="0" w:line="240" w:lineRule="auto"/>
              <w:jc w:val="center"/>
              <w:rPr>
                <w:rFonts w:eastAsia="Times New Roman"/>
                <w:color w:val="auto"/>
                <w:sz w:val="16"/>
                <w:szCs w:val="16"/>
                <w:lang w:eastAsia="ru-RU"/>
              </w:rPr>
            </w:pPr>
            <w:r w:rsidRPr="00BD7E1C">
              <w:rPr>
                <w:color w:val="auto"/>
                <w:sz w:val="18"/>
                <w:szCs w:val="18"/>
              </w:rPr>
              <w:t>0,00</w:t>
            </w:r>
          </w:p>
        </w:tc>
      </w:tr>
      <w:tr w:rsidR="00BD7E1C" w:rsidRPr="00BD7E1C" w14:paraId="260F37B4" w14:textId="77777777" w:rsidTr="00E3296D">
        <w:trPr>
          <w:gridAfter w:val="1"/>
          <w:wAfter w:w="3" w:type="pct"/>
          <w:trHeight w:val="315"/>
        </w:trPr>
        <w:tc>
          <w:tcPr>
            <w:tcW w:w="530" w:type="pct"/>
            <w:vMerge/>
            <w:tcBorders>
              <w:top w:val="nil"/>
              <w:left w:val="single" w:sz="8" w:space="0" w:color="auto"/>
              <w:bottom w:val="single" w:sz="8" w:space="0" w:color="000000"/>
              <w:right w:val="single" w:sz="8" w:space="0" w:color="auto"/>
            </w:tcBorders>
            <w:vAlign w:val="center"/>
            <w:hideMark/>
          </w:tcPr>
          <w:p w14:paraId="0F06810D" w14:textId="77777777" w:rsidR="00613867" w:rsidRPr="00BD7E1C" w:rsidRDefault="00613867" w:rsidP="00613867">
            <w:pPr>
              <w:spacing w:after="0" w:line="240" w:lineRule="auto"/>
              <w:jc w:val="center"/>
              <w:rPr>
                <w:rFonts w:eastAsia="Times New Roman"/>
                <w:b/>
                <w:bCs/>
                <w:color w:val="auto"/>
                <w:sz w:val="18"/>
                <w:szCs w:val="18"/>
                <w:lang w:eastAsia="ru-RU"/>
              </w:rPr>
            </w:pPr>
          </w:p>
        </w:tc>
        <w:tc>
          <w:tcPr>
            <w:tcW w:w="416" w:type="pct"/>
            <w:tcBorders>
              <w:top w:val="nil"/>
              <w:left w:val="nil"/>
              <w:bottom w:val="single" w:sz="8" w:space="0" w:color="auto"/>
              <w:right w:val="single" w:sz="8" w:space="0" w:color="auto"/>
            </w:tcBorders>
            <w:shd w:val="clear" w:color="auto" w:fill="auto"/>
            <w:vAlign w:val="center"/>
            <w:hideMark/>
          </w:tcPr>
          <w:p w14:paraId="07919782" w14:textId="77777777" w:rsidR="00613867" w:rsidRPr="00BD7E1C" w:rsidRDefault="00613867" w:rsidP="00613867">
            <w:pPr>
              <w:spacing w:after="0" w:line="240" w:lineRule="auto"/>
              <w:jc w:val="center"/>
              <w:rPr>
                <w:rFonts w:eastAsia="Times New Roman"/>
                <w:color w:val="auto"/>
                <w:sz w:val="18"/>
                <w:szCs w:val="18"/>
                <w:lang w:eastAsia="ru-RU"/>
              </w:rPr>
            </w:pPr>
            <w:r w:rsidRPr="00BD7E1C">
              <w:rPr>
                <w:rFonts w:eastAsia="Times New Roman"/>
                <w:color w:val="auto"/>
                <w:sz w:val="18"/>
                <w:szCs w:val="18"/>
                <w:lang w:eastAsia="ru-RU"/>
              </w:rPr>
              <w:t>СН2</w:t>
            </w:r>
          </w:p>
        </w:tc>
        <w:tc>
          <w:tcPr>
            <w:tcW w:w="389" w:type="pct"/>
            <w:tcBorders>
              <w:top w:val="nil"/>
              <w:left w:val="nil"/>
              <w:bottom w:val="single" w:sz="8" w:space="0" w:color="auto"/>
              <w:right w:val="single" w:sz="8" w:space="0" w:color="auto"/>
            </w:tcBorders>
            <w:shd w:val="clear" w:color="auto" w:fill="auto"/>
            <w:vAlign w:val="center"/>
          </w:tcPr>
          <w:p w14:paraId="776E0A26" w14:textId="692140D3" w:rsidR="00613867" w:rsidRPr="00BD7E1C" w:rsidRDefault="00613867" w:rsidP="00613867">
            <w:pPr>
              <w:spacing w:after="0" w:line="240" w:lineRule="auto"/>
              <w:jc w:val="center"/>
              <w:rPr>
                <w:rFonts w:eastAsia="Times New Roman"/>
                <w:color w:val="auto"/>
                <w:sz w:val="16"/>
                <w:szCs w:val="16"/>
                <w:lang w:eastAsia="ru-RU"/>
              </w:rPr>
            </w:pPr>
            <w:r w:rsidRPr="00BD7E1C">
              <w:rPr>
                <w:color w:val="auto"/>
                <w:sz w:val="18"/>
                <w:szCs w:val="18"/>
              </w:rPr>
              <w:t>0,04</w:t>
            </w:r>
          </w:p>
        </w:tc>
        <w:tc>
          <w:tcPr>
            <w:tcW w:w="389" w:type="pct"/>
            <w:tcBorders>
              <w:top w:val="nil"/>
              <w:left w:val="nil"/>
              <w:bottom w:val="single" w:sz="8" w:space="0" w:color="auto"/>
              <w:right w:val="single" w:sz="8" w:space="0" w:color="auto"/>
            </w:tcBorders>
            <w:shd w:val="clear" w:color="auto" w:fill="auto"/>
            <w:vAlign w:val="center"/>
          </w:tcPr>
          <w:p w14:paraId="53884F49" w14:textId="6EE7E39C" w:rsidR="00613867" w:rsidRPr="00BD7E1C" w:rsidRDefault="00613867" w:rsidP="00613867">
            <w:pPr>
              <w:spacing w:after="0" w:line="240" w:lineRule="auto"/>
              <w:jc w:val="center"/>
              <w:rPr>
                <w:rFonts w:eastAsia="Times New Roman"/>
                <w:color w:val="auto"/>
                <w:sz w:val="16"/>
                <w:szCs w:val="16"/>
                <w:lang w:eastAsia="ru-RU"/>
              </w:rPr>
            </w:pPr>
            <w:r w:rsidRPr="00BD7E1C">
              <w:rPr>
                <w:color w:val="auto"/>
                <w:sz w:val="18"/>
                <w:szCs w:val="18"/>
              </w:rPr>
              <w:t>0,04</w:t>
            </w:r>
          </w:p>
        </w:tc>
        <w:tc>
          <w:tcPr>
            <w:tcW w:w="389" w:type="pct"/>
            <w:tcBorders>
              <w:top w:val="nil"/>
              <w:left w:val="nil"/>
              <w:bottom w:val="single" w:sz="8" w:space="0" w:color="auto"/>
              <w:right w:val="single" w:sz="8" w:space="0" w:color="auto"/>
            </w:tcBorders>
            <w:shd w:val="clear" w:color="auto" w:fill="auto"/>
            <w:vAlign w:val="center"/>
          </w:tcPr>
          <w:p w14:paraId="2F568A8C" w14:textId="00BDC498" w:rsidR="00613867" w:rsidRPr="00BD7E1C" w:rsidRDefault="00613867" w:rsidP="00613867">
            <w:pPr>
              <w:spacing w:after="0" w:line="240" w:lineRule="auto"/>
              <w:jc w:val="center"/>
              <w:rPr>
                <w:rFonts w:eastAsia="Times New Roman"/>
                <w:color w:val="auto"/>
                <w:sz w:val="16"/>
                <w:szCs w:val="16"/>
                <w:lang w:eastAsia="ru-RU"/>
              </w:rPr>
            </w:pPr>
            <w:r w:rsidRPr="00BD7E1C">
              <w:rPr>
                <w:color w:val="auto"/>
                <w:sz w:val="18"/>
                <w:szCs w:val="18"/>
              </w:rPr>
              <w:t>0,04</w:t>
            </w:r>
          </w:p>
        </w:tc>
        <w:tc>
          <w:tcPr>
            <w:tcW w:w="394" w:type="pct"/>
            <w:tcBorders>
              <w:top w:val="nil"/>
              <w:left w:val="nil"/>
              <w:bottom w:val="single" w:sz="8" w:space="0" w:color="auto"/>
              <w:right w:val="single" w:sz="8" w:space="0" w:color="auto"/>
            </w:tcBorders>
            <w:shd w:val="clear" w:color="auto" w:fill="auto"/>
            <w:vAlign w:val="center"/>
          </w:tcPr>
          <w:p w14:paraId="260DED56" w14:textId="233632BB" w:rsidR="00613867" w:rsidRPr="00BD7E1C" w:rsidRDefault="00613867" w:rsidP="00613867">
            <w:pPr>
              <w:spacing w:after="0" w:line="240" w:lineRule="auto"/>
              <w:jc w:val="center"/>
              <w:rPr>
                <w:rFonts w:eastAsia="Times New Roman"/>
                <w:color w:val="auto"/>
                <w:sz w:val="16"/>
                <w:szCs w:val="16"/>
                <w:lang w:eastAsia="ru-RU"/>
              </w:rPr>
            </w:pPr>
            <w:r w:rsidRPr="00BD7E1C">
              <w:rPr>
                <w:color w:val="auto"/>
                <w:sz w:val="18"/>
                <w:szCs w:val="18"/>
              </w:rPr>
              <w:t> </w:t>
            </w:r>
          </w:p>
        </w:tc>
        <w:tc>
          <w:tcPr>
            <w:tcW w:w="382" w:type="pct"/>
            <w:tcBorders>
              <w:top w:val="nil"/>
              <w:left w:val="nil"/>
              <w:bottom w:val="single" w:sz="8" w:space="0" w:color="auto"/>
              <w:right w:val="single" w:sz="8" w:space="0" w:color="auto"/>
            </w:tcBorders>
            <w:shd w:val="clear" w:color="auto" w:fill="auto"/>
            <w:vAlign w:val="center"/>
          </w:tcPr>
          <w:p w14:paraId="7F56B2DD" w14:textId="7DE45192" w:rsidR="00613867" w:rsidRPr="00BD7E1C" w:rsidRDefault="00613867" w:rsidP="00613867">
            <w:pPr>
              <w:spacing w:after="0" w:line="240" w:lineRule="auto"/>
              <w:jc w:val="center"/>
              <w:rPr>
                <w:rFonts w:eastAsia="Times New Roman"/>
                <w:color w:val="auto"/>
                <w:sz w:val="16"/>
                <w:szCs w:val="16"/>
                <w:lang w:eastAsia="ru-RU"/>
              </w:rPr>
            </w:pPr>
            <w:r w:rsidRPr="00BD7E1C">
              <w:rPr>
                <w:color w:val="auto"/>
                <w:sz w:val="18"/>
                <w:szCs w:val="18"/>
              </w:rPr>
              <w:t> </w:t>
            </w:r>
          </w:p>
        </w:tc>
        <w:tc>
          <w:tcPr>
            <w:tcW w:w="386" w:type="pct"/>
            <w:tcBorders>
              <w:top w:val="nil"/>
              <w:left w:val="nil"/>
              <w:bottom w:val="single" w:sz="8" w:space="0" w:color="auto"/>
              <w:right w:val="single" w:sz="8" w:space="0" w:color="auto"/>
            </w:tcBorders>
            <w:shd w:val="clear" w:color="auto" w:fill="auto"/>
            <w:vAlign w:val="center"/>
          </w:tcPr>
          <w:p w14:paraId="3C18B216" w14:textId="7C7A63C8" w:rsidR="00613867" w:rsidRPr="00BD7E1C" w:rsidRDefault="00613867" w:rsidP="00613867">
            <w:pPr>
              <w:spacing w:after="0" w:line="240" w:lineRule="auto"/>
              <w:jc w:val="center"/>
              <w:rPr>
                <w:rFonts w:eastAsia="Times New Roman"/>
                <w:color w:val="auto"/>
                <w:sz w:val="16"/>
                <w:szCs w:val="16"/>
                <w:lang w:eastAsia="ru-RU"/>
              </w:rPr>
            </w:pPr>
            <w:r w:rsidRPr="00BD7E1C">
              <w:rPr>
                <w:color w:val="auto"/>
                <w:sz w:val="18"/>
                <w:szCs w:val="18"/>
              </w:rPr>
              <w:t>0,00</w:t>
            </w:r>
          </w:p>
        </w:tc>
        <w:tc>
          <w:tcPr>
            <w:tcW w:w="385" w:type="pct"/>
            <w:tcBorders>
              <w:top w:val="nil"/>
              <w:left w:val="nil"/>
              <w:bottom w:val="single" w:sz="8" w:space="0" w:color="auto"/>
              <w:right w:val="single" w:sz="8" w:space="0" w:color="auto"/>
            </w:tcBorders>
            <w:shd w:val="clear" w:color="auto" w:fill="auto"/>
            <w:vAlign w:val="center"/>
          </w:tcPr>
          <w:p w14:paraId="1A74BBC1" w14:textId="4F94B390" w:rsidR="00613867" w:rsidRPr="00BD7E1C" w:rsidRDefault="00613867" w:rsidP="00613867">
            <w:pPr>
              <w:spacing w:after="0" w:line="240" w:lineRule="auto"/>
              <w:jc w:val="center"/>
              <w:rPr>
                <w:rFonts w:eastAsia="Times New Roman"/>
                <w:color w:val="auto"/>
                <w:sz w:val="16"/>
                <w:szCs w:val="16"/>
                <w:lang w:eastAsia="ru-RU"/>
              </w:rPr>
            </w:pPr>
            <w:r w:rsidRPr="00BD7E1C">
              <w:rPr>
                <w:color w:val="auto"/>
                <w:sz w:val="18"/>
                <w:szCs w:val="18"/>
              </w:rPr>
              <w:t> </w:t>
            </w:r>
          </w:p>
        </w:tc>
        <w:tc>
          <w:tcPr>
            <w:tcW w:w="408" w:type="pct"/>
            <w:tcBorders>
              <w:top w:val="nil"/>
              <w:left w:val="nil"/>
              <w:bottom w:val="single" w:sz="8" w:space="0" w:color="auto"/>
              <w:right w:val="single" w:sz="8" w:space="0" w:color="auto"/>
            </w:tcBorders>
            <w:shd w:val="clear" w:color="auto" w:fill="auto"/>
            <w:vAlign w:val="center"/>
          </w:tcPr>
          <w:p w14:paraId="0B5392B7" w14:textId="623DBCF2" w:rsidR="00613867" w:rsidRPr="00BD7E1C" w:rsidRDefault="00613867" w:rsidP="00613867">
            <w:pPr>
              <w:spacing w:after="0" w:line="240" w:lineRule="auto"/>
              <w:jc w:val="center"/>
              <w:rPr>
                <w:rFonts w:eastAsia="Times New Roman"/>
                <w:color w:val="auto"/>
                <w:sz w:val="16"/>
                <w:szCs w:val="16"/>
                <w:lang w:eastAsia="ru-RU"/>
              </w:rPr>
            </w:pPr>
            <w:r w:rsidRPr="00BD7E1C">
              <w:rPr>
                <w:color w:val="auto"/>
                <w:sz w:val="18"/>
                <w:szCs w:val="18"/>
              </w:rPr>
              <w:t> </w:t>
            </w:r>
          </w:p>
        </w:tc>
        <w:tc>
          <w:tcPr>
            <w:tcW w:w="462" w:type="pct"/>
            <w:tcBorders>
              <w:top w:val="nil"/>
              <w:left w:val="nil"/>
              <w:bottom w:val="single" w:sz="8" w:space="0" w:color="auto"/>
              <w:right w:val="single" w:sz="8" w:space="0" w:color="auto"/>
            </w:tcBorders>
            <w:shd w:val="clear" w:color="auto" w:fill="auto"/>
            <w:vAlign w:val="center"/>
          </w:tcPr>
          <w:p w14:paraId="2030216B" w14:textId="40BC20FA" w:rsidR="00613867" w:rsidRPr="00BD7E1C" w:rsidRDefault="00613867" w:rsidP="00613867">
            <w:pPr>
              <w:spacing w:after="0" w:line="240" w:lineRule="auto"/>
              <w:jc w:val="center"/>
              <w:rPr>
                <w:rFonts w:eastAsia="Times New Roman"/>
                <w:color w:val="auto"/>
                <w:sz w:val="16"/>
                <w:szCs w:val="16"/>
                <w:lang w:eastAsia="ru-RU"/>
              </w:rPr>
            </w:pPr>
            <w:r w:rsidRPr="00BD7E1C">
              <w:rPr>
                <w:color w:val="auto"/>
                <w:sz w:val="18"/>
                <w:szCs w:val="18"/>
              </w:rPr>
              <w:t>0,00</w:t>
            </w:r>
          </w:p>
        </w:tc>
        <w:tc>
          <w:tcPr>
            <w:tcW w:w="467" w:type="pct"/>
            <w:gridSpan w:val="2"/>
            <w:tcBorders>
              <w:top w:val="nil"/>
              <w:left w:val="nil"/>
              <w:bottom w:val="single" w:sz="8" w:space="0" w:color="auto"/>
              <w:right w:val="single" w:sz="8" w:space="0" w:color="auto"/>
            </w:tcBorders>
            <w:shd w:val="clear" w:color="auto" w:fill="auto"/>
            <w:vAlign w:val="center"/>
          </w:tcPr>
          <w:p w14:paraId="717EBC6B" w14:textId="08AB7736" w:rsidR="00613867" w:rsidRPr="00BD7E1C" w:rsidRDefault="00613867" w:rsidP="00613867">
            <w:pPr>
              <w:spacing w:after="0" w:line="240" w:lineRule="auto"/>
              <w:jc w:val="center"/>
              <w:rPr>
                <w:rFonts w:eastAsia="Times New Roman"/>
                <w:color w:val="auto"/>
                <w:sz w:val="16"/>
                <w:szCs w:val="16"/>
                <w:lang w:eastAsia="ru-RU"/>
              </w:rPr>
            </w:pPr>
            <w:r w:rsidRPr="00BD7E1C">
              <w:rPr>
                <w:color w:val="auto"/>
                <w:sz w:val="18"/>
                <w:szCs w:val="18"/>
              </w:rPr>
              <w:t>0,04</w:t>
            </w:r>
          </w:p>
        </w:tc>
      </w:tr>
      <w:tr w:rsidR="00BD7E1C" w:rsidRPr="00BD7E1C" w14:paraId="205BF88C" w14:textId="77777777" w:rsidTr="00E3296D">
        <w:trPr>
          <w:gridAfter w:val="1"/>
          <w:wAfter w:w="3" w:type="pct"/>
          <w:trHeight w:val="315"/>
        </w:trPr>
        <w:tc>
          <w:tcPr>
            <w:tcW w:w="530" w:type="pct"/>
            <w:vMerge/>
            <w:tcBorders>
              <w:top w:val="nil"/>
              <w:left w:val="single" w:sz="8" w:space="0" w:color="auto"/>
              <w:bottom w:val="single" w:sz="8" w:space="0" w:color="000000"/>
              <w:right w:val="single" w:sz="8" w:space="0" w:color="auto"/>
            </w:tcBorders>
            <w:vAlign w:val="center"/>
            <w:hideMark/>
          </w:tcPr>
          <w:p w14:paraId="30D8BE59" w14:textId="77777777" w:rsidR="00613867" w:rsidRPr="00BD7E1C" w:rsidRDefault="00613867" w:rsidP="00613867">
            <w:pPr>
              <w:spacing w:after="0" w:line="240" w:lineRule="auto"/>
              <w:jc w:val="center"/>
              <w:rPr>
                <w:rFonts w:eastAsia="Times New Roman"/>
                <w:b/>
                <w:bCs/>
                <w:color w:val="auto"/>
                <w:sz w:val="18"/>
                <w:szCs w:val="18"/>
                <w:lang w:eastAsia="ru-RU"/>
              </w:rPr>
            </w:pPr>
          </w:p>
        </w:tc>
        <w:tc>
          <w:tcPr>
            <w:tcW w:w="416" w:type="pct"/>
            <w:tcBorders>
              <w:top w:val="nil"/>
              <w:left w:val="nil"/>
              <w:bottom w:val="single" w:sz="8" w:space="0" w:color="auto"/>
              <w:right w:val="single" w:sz="8" w:space="0" w:color="auto"/>
            </w:tcBorders>
            <w:shd w:val="clear" w:color="auto" w:fill="auto"/>
            <w:vAlign w:val="center"/>
            <w:hideMark/>
          </w:tcPr>
          <w:p w14:paraId="060B1A87" w14:textId="77777777" w:rsidR="00613867" w:rsidRPr="00BD7E1C" w:rsidRDefault="00613867" w:rsidP="00613867">
            <w:pPr>
              <w:spacing w:after="0" w:line="240" w:lineRule="auto"/>
              <w:jc w:val="center"/>
              <w:rPr>
                <w:rFonts w:eastAsia="Times New Roman"/>
                <w:color w:val="auto"/>
                <w:sz w:val="18"/>
                <w:szCs w:val="18"/>
                <w:lang w:eastAsia="ru-RU"/>
              </w:rPr>
            </w:pPr>
            <w:r w:rsidRPr="00BD7E1C">
              <w:rPr>
                <w:rFonts w:eastAsia="Times New Roman"/>
                <w:color w:val="auto"/>
                <w:sz w:val="18"/>
                <w:szCs w:val="18"/>
                <w:lang w:eastAsia="ru-RU"/>
              </w:rPr>
              <w:t>НН</w:t>
            </w:r>
          </w:p>
        </w:tc>
        <w:tc>
          <w:tcPr>
            <w:tcW w:w="389" w:type="pct"/>
            <w:tcBorders>
              <w:top w:val="nil"/>
              <w:left w:val="nil"/>
              <w:bottom w:val="single" w:sz="8" w:space="0" w:color="auto"/>
              <w:right w:val="single" w:sz="8" w:space="0" w:color="auto"/>
            </w:tcBorders>
            <w:shd w:val="clear" w:color="auto" w:fill="auto"/>
            <w:vAlign w:val="center"/>
          </w:tcPr>
          <w:p w14:paraId="73055760" w14:textId="383B415F" w:rsidR="00613867" w:rsidRPr="00BD7E1C" w:rsidRDefault="00613867" w:rsidP="00613867">
            <w:pPr>
              <w:spacing w:after="0" w:line="240" w:lineRule="auto"/>
              <w:jc w:val="center"/>
              <w:rPr>
                <w:rFonts w:eastAsia="Times New Roman"/>
                <w:color w:val="auto"/>
                <w:sz w:val="16"/>
                <w:szCs w:val="16"/>
                <w:lang w:eastAsia="ru-RU"/>
              </w:rPr>
            </w:pPr>
            <w:r w:rsidRPr="00BD7E1C">
              <w:rPr>
                <w:color w:val="auto"/>
                <w:sz w:val="18"/>
                <w:szCs w:val="18"/>
              </w:rPr>
              <w:t>0,30</w:t>
            </w:r>
          </w:p>
        </w:tc>
        <w:tc>
          <w:tcPr>
            <w:tcW w:w="389" w:type="pct"/>
            <w:tcBorders>
              <w:top w:val="nil"/>
              <w:left w:val="nil"/>
              <w:bottom w:val="single" w:sz="8" w:space="0" w:color="auto"/>
              <w:right w:val="single" w:sz="8" w:space="0" w:color="auto"/>
            </w:tcBorders>
            <w:shd w:val="clear" w:color="auto" w:fill="auto"/>
            <w:vAlign w:val="center"/>
          </w:tcPr>
          <w:p w14:paraId="2EF5EFC4" w14:textId="5CF4DE29" w:rsidR="00613867" w:rsidRPr="00BD7E1C" w:rsidRDefault="00613867" w:rsidP="00613867">
            <w:pPr>
              <w:spacing w:after="0" w:line="240" w:lineRule="auto"/>
              <w:jc w:val="center"/>
              <w:rPr>
                <w:rFonts w:eastAsia="Times New Roman"/>
                <w:color w:val="auto"/>
                <w:sz w:val="16"/>
                <w:szCs w:val="16"/>
                <w:lang w:eastAsia="ru-RU"/>
              </w:rPr>
            </w:pPr>
            <w:r w:rsidRPr="00BD7E1C">
              <w:rPr>
                <w:color w:val="auto"/>
                <w:sz w:val="18"/>
                <w:szCs w:val="18"/>
              </w:rPr>
              <w:t>0,29</w:t>
            </w:r>
          </w:p>
        </w:tc>
        <w:tc>
          <w:tcPr>
            <w:tcW w:w="389" w:type="pct"/>
            <w:tcBorders>
              <w:top w:val="nil"/>
              <w:left w:val="nil"/>
              <w:bottom w:val="single" w:sz="8" w:space="0" w:color="auto"/>
              <w:right w:val="single" w:sz="8" w:space="0" w:color="auto"/>
            </w:tcBorders>
            <w:shd w:val="clear" w:color="auto" w:fill="auto"/>
            <w:vAlign w:val="center"/>
          </w:tcPr>
          <w:p w14:paraId="2BFC0FA4" w14:textId="2A9ABE92" w:rsidR="00613867" w:rsidRPr="00BD7E1C" w:rsidRDefault="00613867" w:rsidP="00613867">
            <w:pPr>
              <w:spacing w:after="0" w:line="240" w:lineRule="auto"/>
              <w:jc w:val="center"/>
              <w:rPr>
                <w:rFonts w:eastAsia="Times New Roman"/>
                <w:color w:val="auto"/>
                <w:sz w:val="16"/>
                <w:szCs w:val="16"/>
                <w:lang w:eastAsia="ru-RU"/>
              </w:rPr>
            </w:pPr>
            <w:r w:rsidRPr="00BD7E1C">
              <w:rPr>
                <w:color w:val="auto"/>
                <w:sz w:val="18"/>
                <w:szCs w:val="18"/>
              </w:rPr>
              <w:t>0,29</w:t>
            </w:r>
          </w:p>
        </w:tc>
        <w:tc>
          <w:tcPr>
            <w:tcW w:w="394" w:type="pct"/>
            <w:tcBorders>
              <w:top w:val="nil"/>
              <w:left w:val="nil"/>
              <w:bottom w:val="single" w:sz="8" w:space="0" w:color="auto"/>
              <w:right w:val="single" w:sz="8" w:space="0" w:color="auto"/>
            </w:tcBorders>
            <w:shd w:val="clear" w:color="auto" w:fill="auto"/>
            <w:vAlign w:val="center"/>
          </w:tcPr>
          <w:p w14:paraId="7FF0CD75" w14:textId="117551B1" w:rsidR="00613867" w:rsidRPr="00BD7E1C" w:rsidRDefault="00613867" w:rsidP="00613867">
            <w:pPr>
              <w:spacing w:after="0" w:line="240" w:lineRule="auto"/>
              <w:jc w:val="center"/>
              <w:rPr>
                <w:rFonts w:eastAsia="Times New Roman"/>
                <w:color w:val="auto"/>
                <w:sz w:val="16"/>
                <w:szCs w:val="16"/>
                <w:lang w:eastAsia="ru-RU"/>
              </w:rPr>
            </w:pPr>
            <w:r w:rsidRPr="00BD7E1C">
              <w:rPr>
                <w:color w:val="auto"/>
                <w:sz w:val="18"/>
                <w:szCs w:val="18"/>
              </w:rPr>
              <w:t> </w:t>
            </w:r>
          </w:p>
        </w:tc>
        <w:tc>
          <w:tcPr>
            <w:tcW w:w="382" w:type="pct"/>
            <w:tcBorders>
              <w:top w:val="nil"/>
              <w:left w:val="nil"/>
              <w:bottom w:val="single" w:sz="8" w:space="0" w:color="auto"/>
              <w:right w:val="single" w:sz="8" w:space="0" w:color="auto"/>
            </w:tcBorders>
            <w:shd w:val="clear" w:color="auto" w:fill="auto"/>
            <w:vAlign w:val="center"/>
          </w:tcPr>
          <w:p w14:paraId="5406FB43" w14:textId="0B00BB05" w:rsidR="00613867" w:rsidRPr="00BD7E1C" w:rsidRDefault="00613867" w:rsidP="00613867">
            <w:pPr>
              <w:spacing w:after="0" w:line="240" w:lineRule="auto"/>
              <w:jc w:val="center"/>
              <w:rPr>
                <w:rFonts w:eastAsia="Times New Roman"/>
                <w:color w:val="auto"/>
                <w:sz w:val="16"/>
                <w:szCs w:val="16"/>
                <w:lang w:eastAsia="ru-RU"/>
              </w:rPr>
            </w:pPr>
            <w:r w:rsidRPr="00BD7E1C">
              <w:rPr>
                <w:color w:val="auto"/>
                <w:sz w:val="18"/>
                <w:szCs w:val="18"/>
              </w:rPr>
              <w:t> </w:t>
            </w:r>
          </w:p>
        </w:tc>
        <w:tc>
          <w:tcPr>
            <w:tcW w:w="386" w:type="pct"/>
            <w:tcBorders>
              <w:top w:val="nil"/>
              <w:left w:val="nil"/>
              <w:bottom w:val="single" w:sz="8" w:space="0" w:color="auto"/>
              <w:right w:val="single" w:sz="8" w:space="0" w:color="auto"/>
            </w:tcBorders>
            <w:shd w:val="clear" w:color="auto" w:fill="auto"/>
            <w:vAlign w:val="center"/>
          </w:tcPr>
          <w:p w14:paraId="2AE219A0" w14:textId="239A074C" w:rsidR="00613867" w:rsidRPr="00BD7E1C" w:rsidRDefault="00613867" w:rsidP="00613867">
            <w:pPr>
              <w:spacing w:after="0" w:line="240" w:lineRule="auto"/>
              <w:jc w:val="center"/>
              <w:rPr>
                <w:rFonts w:eastAsia="Times New Roman"/>
                <w:color w:val="auto"/>
                <w:sz w:val="16"/>
                <w:szCs w:val="16"/>
                <w:lang w:eastAsia="ru-RU"/>
              </w:rPr>
            </w:pPr>
            <w:r w:rsidRPr="00BD7E1C">
              <w:rPr>
                <w:color w:val="auto"/>
                <w:sz w:val="18"/>
                <w:szCs w:val="18"/>
              </w:rPr>
              <w:t>0,00</w:t>
            </w:r>
          </w:p>
        </w:tc>
        <w:tc>
          <w:tcPr>
            <w:tcW w:w="385" w:type="pct"/>
            <w:tcBorders>
              <w:top w:val="nil"/>
              <w:left w:val="nil"/>
              <w:bottom w:val="single" w:sz="8" w:space="0" w:color="auto"/>
              <w:right w:val="single" w:sz="8" w:space="0" w:color="auto"/>
            </w:tcBorders>
            <w:shd w:val="clear" w:color="auto" w:fill="auto"/>
            <w:vAlign w:val="center"/>
          </w:tcPr>
          <w:p w14:paraId="3EFDD243" w14:textId="6AAB33C8" w:rsidR="00613867" w:rsidRPr="00BD7E1C" w:rsidRDefault="00613867" w:rsidP="00613867">
            <w:pPr>
              <w:spacing w:after="0" w:line="240" w:lineRule="auto"/>
              <w:jc w:val="center"/>
              <w:rPr>
                <w:rFonts w:eastAsia="Times New Roman"/>
                <w:color w:val="auto"/>
                <w:sz w:val="16"/>
                <w:szCs w:val="16"/>
                <w:lang w:eastAsia="ru-RU"/>
              </w:rPr>
            </w:pPr>
            <w:r w:rsidRPr="00BD7E1C">
              <w:rPr>
                <w:color w:val="auto"/>
                <w:sz w:val="18"/>
                <w:szCs w:val="18"/>
              </w:rPr>
              <w:t> </w:t>
            </w:r>
          </w:p>
        </w:tc>
        <w:tc>
          <w:tcPr>
            <w:tcW w:w="408" w:type="pct"/>
            <w:tcBorders>
              <w:top w:val="nil"/>
              <w:left w:val="nil"/>
              <w:bottom w:val="single" w:sz="8" w:space="0" w:color="auto"/>
              <w:right w:val="single" w:sz="8" w:space="0" w:color="auto"/>
            </w:tcBorders>
            <w:shd w:val="clear" w:color="auto" w:fill="auto"/>
            <w:vAlign w:val="center"/>
          </w:tcPr>
          <w:p w14:paraId="2A782497" w14:textId="0B52FC1E" w:rsidR="00613867" w:rsidRPr="00BD7E1C" w:rsidRDefault="00613867" w:rsidP="00613867">
            <w:pPr>
              <w:spacing w:after="0" w:line="240" w:lineRule="auto"/>
              <w:jc w:val="center"/>
              <w:rPr>
                <w:rFonts w:eastAsia="Times New Roman"/>
                <w:color w:val="auto"/>
                <w:sz w:val="16"/>
                <w:szCs w:val="16"/>
                <w:lang w:eastAsia="ru-RU"/>
              </w:rPr>
            </w:pPr>
            <w:r w:rsidRPr="00BD7E1C">
              <w:rPr>
                <w:color w:val="auto"/>
                <w:sz w:val="18"/>
                <w:szCs w:val="18"/>
              </w:rPr>
              <w:t> </w:t>
            </w:r>
          </w:p>
        </w:tc>
        <w:tc>
          <w:tcPr>
            <w:tcW w:w="462" w:type="pct"/>
            <w:tcBorders>
              <w:top w:val="nil"/>
              <w:left w:val="nil"/>
              <w:bottom w:val="single" w:sz="8" w:space="0" w:color="auto"/>
              <w:right w:val="single" w:sz="8" w:space="0" w:color="auto"/>
            </w:tcBorders>
            <w:shd w:val="clear" w:color="auto" w:fill="auto"/>
            <w:vAlign w:val="center"/>
          </w:tcPr>
          <w:p w14:paraId="5E207CEF" w14:textId="29480291" w:rsidR="00613867" w:rsidRPr="00BD7E1C" w:rsidRDefault="00613867" w:rsidP="00613867">
            <w:pPr>
              <w:spacing w:after="0" w:line="240" w:lineRule="auto"/>
              <w:jc w:val="center"/>
              <w:rPr>
                <w:rFonts w:eastAsia="Times New Roman"/>
                <w:color w:val="auto"/>
                <w:sz w:val="16"/>
                <w:szCs w:val="16"/>
                <w:lang w:eastAsia="ru-RU"/>
              </w:rPr>
            </w:pPr>
            <w:r w:rsidRPr="00BD7E1C">
              <w:rPr>
                <w:color w:val="auto"/>
                <w:sz w:val="18"/>
                <w:szCs w:val="18"/>
              </w:rPr>
              <w:t>0,00</w:t>
            </w:r>
          </w:p>
        </w:tc>
        <w:tc>
          <w:tcPr>
            <w:tcW w:w="467" w:type="pct"/>
            <w:gridSpan w:val="2"/>
            <w:tcBorders>
              <w:top w:val="nil"/>
              <w:left w:val="nil"/>
              <w:bottom w:val="single" w:sz="8" w:space="0" w:color="auto"/>
              <w:right w:val="single" w:sz="8" w:space="0" w:color="auto"/>
            </w:tcBorders>
            <w:shd w:val="clear" w:color="auto" w:fill="auto"/>
            <w:vAlign w:val="center"/>
          </w:tcPr>
          <w:p w14:paraId="1F65D2FD" w14:textId="27A686E8" w:rsidR="00613867" w:rsidRPr="00BD7E1C" w:rsidRDefault="00613867" w:rsidP="00613867">
            <w:pPr>
              <w:spacing w:after="0" w:line="240" w:lineRule="auto"/>
              <w:jc w:val="center"/>
              <w:rPr>
                <w:rFonts w:eastAsia="Times New Roman"/>
                <w:color w:val="auto"/>
                <w:sz w:val="16"/>
                <w:szCs w:val="16"/>
                <w:lang w:eastAsia="ru-RU"/>
              </w:rPr>
            </w:pPr>
            <w:r w:rsidRPr="00BD7E1C">
              <w:rPr>
                <w:color w:val="auto"/>
                <w:sz w:val="18"/>
                <w:szCs w:val="18"/>
              </w:rPr>
              <w:t>0,29</w:t>
            </w:r>
          </w:p>
        </w:tc>
      </w:tr>
      <w:tr w:rsidR="00BD7E1C" w:rsidRPr="00BD7E1C" w14:paraId="41C8F460" w14:textId="77777777" w:rsidTr="00E3296D">
        <w:trPr>
          <w:gridAfter w:val="1"/>
          <w:wAfter w:w="3" w:type="pct"/>
          <w:trHeight w:val="315"/>
        </w:trPr>
        <w:tc>
          <w:tcPr>
            <w:tcW w:w="530" w:type="pct"/>
            <w:vMerge/>
            <w:tcBorders>
              <w:top w:val="nil"/>
              <w:left w:val="single" w:sz="8" w:space="0" w:color="auto"/>
              <w:bottom w:val="single" w:sz="8" w:space="0" w:color="000000"/>
              <w:right w:val="single" w:sz="8" w:space="0" w:color="auto"/>
            </w:tcBorders>
            <w:vAlign w:val="center"/>
            <w:hideMark/>
          </w:tcPr>
          <w:p w14:paraId="035AD506" w14:textId="77777777" w:rsidR="00613867" w:rsidRPr="00BD7E1C" w:rsidRDefault="00613867" w:rsidP="00613867">
            <w:pPr>
              <w:spacing w:after="0" w:line="240" w:lineRule="auto"/>
              <w:jc w:val="center"/>
              <w:rPr>
                <w:rFonts w:eastAsia="Times New Roman"/>
                <w:b/>
                <w:bCs/>
                <w:color w:val="auto"/>
                <w:sz w:val="18"/>
                <w:szCs w:val="18"/>
                <w:lang w:eastAsia="ru-RU"/>
              </w:rPr>
            </w:pPr>
          </w:p>
        </w:tc>
        <w:tc>
          <w:tcPr>
            <w:tcW w:w="416" w:type="pct"/>
            <w:tcBorders>
              <w:top w:val="nil"/>
              <w:left w:val="nil"/>
              <w:bottom w:val="single" w:sz="8" w:space="0" w:color="auto"/>
              <w:right w:val="single" w:sz="8" w:space="0" w:color="auto"/>
            </w:tcBorders>
            <w:shd w:val="clear" w:color="auto" w:fill="auto"/>
            <w:vAlign w:val="center"/>
            <w:hideMark/>
          </w:tcPr>
          <w:p w14:paraId="4EAB0991" w14:textId="77777777" w:rsidR="00613867" w:rsidRPr="00BD7E1C" w:rsidRDefault="00613867" w:rsidP="00613867">
            <w:pPr>
              <w:spacing w:after="0" w:line="240" w:lineRule="auto"/>
              <w:jc w:val="center"/>
              <w:rPr>
                <w:rFonts w:eastAsia="Times New Roman"/>
                <w:color w:val="auto"/>
                <w:sz w:val="18"/>
                <w:szCs w:val="18"/>
                <w:lang w:eastAsia="ru-RU"/>
              </w:rPr>
            </w:pPr>
            <w:r w:rsidRPr="00BD7E1C">
              <w:rPr>
                <w:rFonts w:eastAsia="Times New Roman"/>
                <w:color w:val="auto"/>
                <w:sz w:val="18"/>
                <w:szCs w:val="18"/>
                <w:lang w:eastAsia="ru-RU"/>
              </w:rPr>
              <w:t>ИТОГО</w:t>
            </w:r>
          </w:p>
        </w:tc>
        <w:tc>
          <w:tcPr>
            <w:tcW w:w="389" w:type="pct"/>
            <w:tcBorders>
              <w:top w:val="nil"/>
              <w:left w:val="nil"/>
              <w:bottom w:val="single" w:sz="8" w:space="0" w:color="auto"/>
              <w:right w:val="single" w:sz="8" w:space="0" w:color="auto"/>
            </w:tcBorders>
            <w:shd w:val="clear" w:color="auto" w:fill="auto"/>
            <w:vAlign w:val="center"/>
          </w:tcPr>
          <w:p w14:paraId="129AD6F8" w14:textId="159C7FAF" w:rsidR="00613867" w:rsidRPr="00BD7E1C" w:rsidRDefault="00613867" w:rsidP="00613867">
            <w:pPr>
              <w:spacing w:after="0" w:line="240" w:lineRule="auto"/>
              <w:jc w:val="center"/>
              <w:rPr>
                <w:rFonts w:eastAsia="Times New Roman"/>
                <w:color w:val="auto"/>
                <w:sz w:val="16"/>
                <w:szCs w:val="16"/>
                <w:lang w:eastAsia="ru-RU"/>
              </w:rPr>
            </w:pPr>
            <w:r w:rsidRPr="00BD7E1C">
              <w:rPr>
                <w:color w:val="auto"/>
                <w:sz w:val="18"/>
                <w:szCs w:val="18"/>
              </w:rPr>
              <w:t>0,34</w:t>
            </w:r>
          </w:p>
        </w:tc>
        <w:tc>
          <w:tcPr>
            <w:tcW w:w="389" w:type="pct"/>
            <w:tcBorders>
              <w:top w:val="nil"/>
              <w:left w:val="nil"/>
              <w:bottom w:val="single" w:sz="8" w:space="0" w:color="auto"/>
              <w:right w:val="single" w:sz="8" w:space="0" w:color="auto"/>
            </w:tcBorders>
            <w:shd w:val="clear" w:color="auto" w:fill="auto"/>
            <w:vAlign w:val="center"/>
          </w:tcPr>
          <w:p w14:paraId="5935B305" w14:textId="02E98A0D" w:rsidR="00613867" w:rsidRPr="00BD7E1C" w:rsidRDefault="00613867" w:rsidP="00613867">
            <w:pPr>
              <w:spacing w:after="0" w:line="240" w:lineRule="auto"/>
              <w:jc w:val="center"/>
              <w:rPr>
                <w:rFonts w:eastAsia="Times New Roman"/>
                <w:color w:val="auto"/>
                <w:sz w:val="16"/>
                <w:szCs w:val="16"/>
                <w:lang w:eastAsia="ru-RU"/>
              </w:rPr>
            </w:pPr>
            <w:r w:rsidRPr="00BD7E1C">
              <w:rPr>
                <w:color w:val="auto"/>
                <w:sz w:val="18"/>
                <w:szCs w:val="18"/>
              </w:rPr>
              <w:t>0,32</w:t>
            </w:r>
          </w:p>
        </w:tc>
        <w:tc>
          <w:tcPr>
            <w:tcW w:w="389" w:type="pct"/>
            <w:tcBorders>
              <w:top w:val="nil"/>
              <w:left w:val="nil"/>
              <w:bottom w:val="single" w:sz="8" w:space="0" w:color="auto"/>
              <w:right w:val="single" w:sz="8" w:space="0" w:color="auto"/>
            </w:tcBorders>
            <w:shd w:val="clear" w:color="auto" w:fill="auto"/>
            <w:vAlign w:val="center"/>
          </w:tcPr>
          <w:p w14:paraId="7C21B93B" w14:textId="488EC414" w:rsidR="00613867" w:rsidRPr="00BD7E1C" w:rsidRDefault="00613867" w:rsidP="00613867">
            <w:pPr>
              <w:spacing w:after="0" w:line="240" w:lineRule="auto"/>
              <w:jc w:val="center"/>
              <w:rPr>
                <w:rFonts w:eastAsia="Times New Roman"/>
                <w:color w:val="auto"/>
                <w:sz w:val="16"/>
                <w:szCs w:val="16"/>
                <w:lang w:eastAsia="ru-RU"/>
              </w:rPr>
            </w:pPr>
            <w:r w:rsidRPr="00BD7E1C">
              <w:rPr>
                <w:color w:val="auto"/>
                <w:sz w:val="18"/>
                <w:szCs w:val="18"/>
              </w:rPr>
              <w:t>0,33</w:t>
            </w:r>
          </w:p>
        </w:tc>
        <w:tc>
          <w:tcPr>
            <w:tcW w:w="394" w:type="pct"/>
            <w:tcBorders>
              <w:top w:val="nil"/>
              <w:left w:val="nil"/>
              <w:bottom w:val="single" w:sz="8" w:space="0" w:color="auto"/>
              <w:right w:val="single" w:sz="8" w:space="0" w:color="auto"/>
            </w:tcBorders>
            <w:shd w:val="clear" w:color="auto" w:fill="auto"/>
            <w:vAlign w:val="center"/>
          </w:tcPr>
          <w:p w14:paraId="34CBF449" w14:textId="6430BDDA" w:rsidR="00613867" w:rsidRPr="00BD7E1C" w:rsidRDefault="00613867" w:rsidP="00613867">
            <w:pPr>
              <w:spacing w:after="0" w:line="240" w:lineRule="auto"/>
              <w:jc w:val="center"/>
              <w:rPr>
                <w:rFonts w:eastAsia="Times New Roman"/>
                <w:color w:val="auto"/>
                <w:sz w:val="16"/>
                <w:szCs w:val="16"/>
                <w:lang w:eastAsia="ru-RU"/>
              </w:rPr>
            </w:pPr>
            <w:r w:rsidRPr="00BD7E1C">
              <w:rPr>
                <w:color w:val="auto"/>
                <w:sz w:val="18"/>
                <w:szCs w:val="18"/>
              </w:rPr>
              <w:t>0,00</w:t>
            </w:r>
          </w:p>
        </w:tc>
        <w:tc>
          <w:tcPr>
            <w:tcW w:w="382" w:type="pct"/>
            <w:tcBorders>
              <w:top w:val="nil"/>
              <w:left w:val="nil"/>
              <w:bottom w:val="single" w:sz="8" w:space="0" w:color="auto"/>
              <w:right w:val="single" w:sz="8" w:space="0" w:color="auto"/>
            </w:tcBorders>
            <w:shd w:val="clear" w:color="auto" w:fill="auto"/>
            <w:vAlign w:val="center"/>
          </w:tcPr>
          <w:p w14:paraId="0F676512" w14:textId="65C6B991" w:rsidR="00613867" w:rsidRPr="00BD7E1C" w:rsidRDefault="00613867" w:rsidP="00613867">
            <w:pPr>
              <w:spacing w:after="0" w:line="240" w:lineRule="auto"/>
              <w:jc w:val="center"/>
              <w:rPr>
                <w:rFonts w:eastAsia="Times New Roman"/>
                <w:color w:val="auto"/>
                <w:sz w:val="16"/>
                <w:szCs w:val="16"/>
                <w:lang w:eastAsia="ru-RU"/>
              </w:rPr>
            </w:pPr>
            <w:r w:rsidRPr="00BD7E1C">
              <w:rPr>
                <w:color w:val="auto"/>
                <w:sz w:val="18"/>
                <w:szCs w:val="18"/>
              </w:rPr>
              <w:t>0,00</w:t>
            </w:r>
          </w:p>
        </w:tc>
        <w:tc>
          <w:tcPr>
            <w:tcW w:w="386" w:type="pct"/>
            <w:tcBorders>
              <w:top w:val="nil"/>
              <w:left w:val="nil"/>
              <w:bottom w:val="single" w:sz="8" w:space="0" w:color="auto"/>
              <w:right w:val="single" w:sz="8" w:space="0" w:color="auto"/>
            </w:tcBorders>
            <w:shd w:val="clear" w:color="auto" w:fill="auto"/>
            <w:vAlign w:val="center"/>
          </w:tcPr>
          <w:p w14:paraId="0C9D2122" w14:textId="443E0555" w:rsidR="00613867" w:rsidRPr="00BD7E1C" w:rsidRDefault="00613867" w:rsidP="00613867">
            <w:pPr>
              <w:spacing w:after="0" w:line="240" w:lineRule="auto"/>
              <w:jc w:val="center"/>
              <w:rPr>
                <w:rFonts w:eastAsia="Times New Roman"/>
                <w:color w:val="auto"/>
                <w:sz w:val="16"/>
                <w:szCs w:val="16"/>
                <w:lang w:eastAsia="ru-RU"/>
              </w:rPr>
            </w:pPr>
            <w:r w:rsidRPr="00BD7E1C">
              <w:rPr>
                <w:color w:val="auto"/>
                <w:sz w:val="18"/>
                <w:szCs w:val="18"/>
              </w:rPr>
              <w:t>0,00</w:t>
            </w:r>
          </w:p>
        </w:tc>
        <w:tc>
          <w:tcPr>
            <w:tcW w:w="385" w:type="pct"/>
            <w:tcBorders>
              <w:top w:val="nil"/>
              <w:left w:val="nil"/>
              <w:bottom w:val="single" w:sz="8" w:space="0" w:color="auto"/>
              <w:right w:val="single" w:sz="8" w:space="0" w:color="auto"/>
            </w:tcBorders>
            <w:shd w:val="clear" w:color="auto" w:fill="auto"/>
            <w:vAlign w:val="center"/>
          </w:tcPr>
          <w:p w14:paraId="030CD4AC" w14:textId="5B681501" w:rsidR="00613867" w:rsidRPr="00BD7E1C" w:rsidRDefault="00613867" w:rsidP="00613867">
            <w:pPr>
              <w:spacing w:after="0" w:line="240" w:lineRule="auto"/>
              <w:jc w:val="center"/>
              <w:rPr>
                <w:rFonts w:eastAsia="Times New Roman"/>
                <w:color w:val="auto"/>
                <w:sz w:val="16"/>
                <w:szCs w:val="16"/>
                <w:lang w:eastAsia="ru-RU"/>
              </w:rPr>
            </w:pPr>
            <w:r w:rsidRPr="00BD7E1C">
              <w:rPr>
                <w:color w:val="auto"/>
                <w:sz w:val="18"/>
                <w:szCs w:val="18"/>
              </w:rPr>
              <w:t>0,00</w:t>
            </w:r>
          </w:p>
        </w:tc>
        <w:tc>
          <w:tcPr>
            <w:tcW w:w="408" w:type="pct"/>
            <w:tcBorders>
              <w:top w:val="nil"/>
              <w:left w:val="nil"/>
              <w:bottom w:val="single" w:sz="8" w:space="0" w:color="auto"/>
              <w:right w:val="single" w:sz="8" w:space="0" w:color="auto"/>
            </w:tcBorders>
            <w:shd w:val="clear" w:color="auto" w:fill="auto"/>
            <w:vAlign w:val="center"/>
          </w:tcPr>
          <w:p w14:paraId="1E476A42" w14:textId="23D63BC3" w:rsidR="00613867" w:rsidRPr="00BD7E1C" w:rsidRDefault="00613867" w:rsidP="00613867">
            <w:pPr>
              <w:spacing w:after="0" w:line="240" w:lineRule="auto"/>
              <w:jc w:val="center"/>
              <w:rPr>
                <w:rFonts w:eastAsia="Times New Roman"/>
                <w:color w:val="auto"/>
                <w:sz w:val="16"/>
                <w:szCs w:val="16"/>
                <w:lang w:eastAsia="ru-RU"/>
              </w:rPr>
            </w:pPr>
            <w:r w:rsidRPr="00BD7E1C">
              <w:rPr>
                <w:color w:val="auto"/>
                <w:sz w:val="18"/>
                <w:szCs w:val="18"/>
              </w:rPr>
              <w:t>0,00</w:t>
            </w:r>
          </w:p>
        </w:tc>
        <w:tc>
          <w:tcPr>
            <w:tcW w:w="462" w:type="pct"/>
            <w:tcBorders>
              <w:top w:val="nil"/>
              <w:left w:val="nil"/>
              <w:bottom w:val="single" w:sz="8" w:space="0" w:color="auto"/>
              <w:right w:val="single" w:sz="8" w:space="0" w:color="auto"/>
            </w:tcBorders>
            <w:shd w:val="clear" w:color="auto" w:fill="auto"/>
            <w:vAlign w:val="center"/>
          </w:tcPr>
          <w:p w14:paraId="34C41A0E" w14:textId="08CDAE2C" w:rsidR="00613867" w:rsidRPr="00BD7E1C" w:rsidRDefault="00613867" w:rsidP="00613867">
            <w:pPr>
              <w:spacing w:after="0" w:line="240" w:lineRule="auto"/>
              <w:jc w:val="center"/>
              <w:rPr>
                <w:rFonts w:eastAsia="Times New Roman"/>
                <w:color w:val="auto"/>
                <w:sz w:val="16"/>
                <w:szCs w:val="16"/>
                <w:lang w:eastAsia="ru-RU"/>
              </w:rPr>
            </w:pPr>
            <w:r w:rsidRPr="00BD7E1C">
              <w:rPr>
                <w:color w:val="auto"/>
                <w:sz w:val="18"/>
                <w:szCs w:val="18"/>
              </w:rPr>
              <w:t>0,00</w:t>
            </w:r>
          </w:p>
        </w:tc>
        <w:tc>
          <w:tcPr>
            <w:tcW w:w="467" w:type="pct"/>
            <w:gridSpan w:val="2"/>
            <w:tcBorders>
              <w:top w:val="nil"/>
              <w:left w:val="nil"/>
              <w:bottom w:val="single" w:sz="8" w:space="0" w:color="auto"/>
              <w:right w:val="single" w:sz="8" w:space="0" w:color="auto"/>
            </w:tcBorders>
            <w:shd w:val="clear" w:color="auto" w:fill="auto"/>
            <w:vAlign w:val="center"/>
          </w:tcPr>
          <w:p w14:paraId="62285EC7" w14:textId="6455D09B" w:rsidR="00613867" w:rsidRPr="00BD7E1C" w:rsidRDefault="00613867" w:rsidP="00613867">
            <w:pPr>
              <w:spacing w:after="0" w:line="240" w:lineRule="auto"/>
              <w:jc w:val="center"/>
              <w:rPr>
                <w:rFonts w:eastAsia="Times New Roman"/>
                <w:color w:val="auto"/>
                <w:sz w:val="16"/>
                <w:szCs w:val="16"/>
                <w:lang w:eastAsia="ru-RU"/>
              </w:rPr>
            </w:pPr>
            <w:r w:rsidRPr="00BD7E1C">
              <w:rPr>
                <w:color w:val="auto"/>
                <w:sz w:val="18"/>
                <w:szCs w:val="18"/>
              </w:rPr>
              <w:t>0,33</w:t>
            </w:r>
          </w:p>
        </w:tc>
      </w:tr>
      <w:tr w:rsidR="00BD7E1C" w:rsidRPr="00BD7E1C" w14:paraId="294743DC" w14:textId="77777777" w:rsidTr="00E3296D">
        <w:trPr>
          <w:gridAfter w:val="1"/>
          <w:wAfter w:w="3" w:type="pct"/>
          <w:trHeight w:val="315"/>
        </w:trPr>
        <w:tc>
          <w:tcPr>
            <w:tcW w:w="530" w:type="pct"/>
            <w:vMerge w:val="restart"/>
            <w:tcBorders>
              <w:top w:val="nil"/>
              <w:left w:val="single" w:sz="8" w:space="0" w:color="auto"/>
              <w:bottom w:val="single" w:sz="8" w:space="0" w:color="000000"/>
              <w:right w:val="single" w:sz="8" w:space="0" w:color="auto"/>
            </w:tcBorders>
            <w:shd w:val="clear" w:color="auto" w:fill="auto"/>
            <w:vAlign w:val="center"/>
            <w:hideMark/>
          </w:tcPr>
          <w:p w14:paraId="5553D8EC" w14:textId="77777777" w:rsidR="00613867" w:rsidRPr="00BD7E1C" w:rsidRDefault="00613867" w:rsidP="00613867">
            <w:pPr>
              <w:spacing w:after="0" w:line="240" w:lineRule="auto"/>
              <w:jc w:val="center"/>
              <w:rPr>
                <w:rFonts w:eastAsia="Times New Roman"/>
                <w:b/>
                <w:bCs/>
                <w:color w:val="auto"/>
                <w:sz w:val="18"/>
                <w:szCs w:val="18"/>
                <w:lang w:eastAsia="ru-RU"/>
              </w:rPr>
            </w:pPr>
            <w:r w:rsidRPr="00BD7E1C">
              <w:rPr>
                <w:rFonts w:eastAsia="Times New Roman"/>
                <w:b/>
                <w:bCs/>
                <w:color w:val="auto"/>
                <w:sz w:val="18"/>
                <w:szCs w:val="18"/>
                <w:lang w:eastAsia="ru-RU"/>
              </w:rPr>
              <w:t>Тариф на покупку потерь</w:t>
            </w:r>
          </w:p>
        </w:tc>
        <w:tc>
          <w:tcPr>
            <w:tcW w:w="416" w:type="pct"/>
            <w:tcBorders>
              <w:top w:val="nil"/>
              <w:left w:val="nil"/>
              <w:bottom w:val="single" w:sz="8" w:space="0" w:color="auto"/>
              <w:right w:val="single" w:sz="8" w:space="0" w:color="auto"/>
            </w:tcBorders>
            <w:shd w:val="clear" w:color="auto" w:fill="auto"/>
            <w:vAlign w:val="center"/>
            <w:hideMark/>
          </w:tcPr>
          <w:p w14:paraId="0CB5AB9B" w14:textId="77777777" w:rsidR="00613867" w:rsidRPr="00BD7E1C" w:rsidRDefault="00613867" w:rsidP="00613867">
            <w:pPr>
              <w:spacing w:after="0" w:line="240" w:lineRule="auto"/>
              <w:jc w:val="center"/>
              <w:rPr>
                <w:rFonts w:eastAsia="Times New Roman"/>
                <w:color w:val="auto"/>
                <w:sz w:val="18"/>
                <w:szCs w:val="18"/>
                <w:lang w:eastAsia="ru-RU"/>
              </w:rPr>
            </w:pPr>
            <w:r w:rsidRPr="00BD7E1C">
              <w:rPr>
                <w:rFonts w:eastAsia="Times New Roman"/>
                <w:color w:val="auto"/>
                <w:sz w:val="18"/>
                <w:szCs w:val="18"/>
                <w:lang w:eastAsia="ru-RU"/>
              </w:rPr>
              <w:t>ВН</w:t>
            </w:r>
          </w:p>
        </w:tc>
        <w:tc>
          <w:tcPr>
            <w:tcW w:w="389" w:type="pct"/>
            <w:tcBorders>
              <w:top w:val="nil"/>
              <w:left w:val="nil"/>
              <w:bottom w:val="single" w:sz="8" w:space="0" w:color="auto"/>
              <w:right w:val="single" w:sz="8" w:space="0" w:color="auto"/>
            </w:tcBorders>
            <w:shd w:val="clear" w:color="auto" w:fill="auto"/>
            <w:vAlign w:val="center"/>
          </w:tcPr>
          <w:p w14:paraId="308512EE" w14:textId="2580472F" w:rsidR="00613867" w:rsidRPr="00BD7E1C" w:rsidRDefault="00613867" w:rsidP="00613867">
            <w:pPr>
              <w:spacing w:after="0" w:line="240" w:lineRule="auto"/>
              <w:jc w:val="center"/>
              <w:rPr>
                <w:rFonts w:eastAsia="Times New Roman"/>
                <w:color w:val="auto"/>
                <w:sz w:val="16"/>
                <w:szCs w:val="16"/>
                <w:lang w:eastAsia="ru-RU"/>
              </w:rPr>
            </w:pPr>
            <w:r w:rsidRPr="00BD7E1C">
              <w:rPr>
                <w:color w:val="auto"/>
                <w:sz w:val="18"/>
                <w:szCs w:val="18"/>
              </w:rPr>
              <w:t>24,39</w:t>
            </w:r>
          </w:p>
        </w:tc>
        <w:tc>
          <w:tcPr>
            <w:tcW w:w="389" w:type="pct"/>
            <w:tcBorders>
              <w:top w:val="nil"/>
              <w:left w:val="nil"/>
              <w:bottom w:val="single" w:sz="8" w:space="0" w:color="auto"/>
              <w:right w:val="single" w:sz="8" w:space="0" w:color="auto"/>
            </w:tcBorders>
            <w:shd w:val="clear" w:color="auto" w:fill="auto"/>
            <w:vAlign w:val="center"/>
          </w:tcPr>
          <w:p w14:paraId="7C340215" w14:textId="013F99E5" w:rsidR="00613867" w:rsidRPr="00BD7E1C" w:rsidRDefault="00613867" w:rsidP="00613867">
            <w:pPr>
              <w:spacing w:after="0" w:line="240" w:lineRule="auto"/>
              <w:jc w:val="center"/>
              <w:rPr>
                <w:rFonts w:eastAsia="Times New Roman"/>
                <w:color w:val="auto"/>
                <w:sz w:val="16"/>
                <w:szCs w:val="16"/>
                <w:lang w:eastAsia="ru-RU"/>
              </w:rPr>
            </w:pPr>
            <w:r w:rsidRPr="00BD7E1C">
              <w:rPr>
                <w:color w:val="auto"/>
                <w:sz w:val="18"/>
                <w:szCs w:val="18"/>
              </w:rPr>
              <w:t>24,63</w:t>
            </w:r>
          </w:p>
        </w:tc>
        <w:tc>
          <w:tcPr>
            <w:tcW w:w="389" w:type="pct"/>
            <w:tcBorders>
              <w:top w:val="nil"/>
              <w:left w:val="nil"/>
              <w:bottom w:val="single" w:sz="8" w:space="0" w:color="auto"/>
              <w:right w:val="single" w:sz="8" w:space="0" w:color="auto"/>
            </w:tcBorders>
            <w:shd w:val="clear" w:color="auto" w:fill="auto"/>
            <w:vAlign w:val="center"/>
          </w:tcPr>
          <w:p w14:paraId="7240E6B9" w14:textId="0C18C267" w:rsidR="00613867" w:rsidRPr="00BD7E1C" w:rsidRDefault="00613867" w:rsidP="00613867">
            <w:pPr>
              <w:spacing w:after="0" w:line="240" w:lineRule="auto"/>
              <w:jc w:val="center"/>
              <w:rPr>
                <w:rFonts w:eastAsia="Times New Roman"/>
                <w:color w:val="auto"/>
                <w:sz w:val="16"/>
                <w:szCs w:val="16"/>
                <w:lang w:eastAsia="ru-RU"/>
              </w:rPr>
            </w:pPr>
            <w:r w:rsidRPr="00BD7E1C">
              <w:rPr>
                <w:color w:val="auto"/>
                <w:sz w:val="18"/>
                <w:szCs w:val="18"/>
              </w:rPr>
              <w:t> </w:t>
            </w:r>
          </w:p>
        </w:tc>
        <w:tc>
          <w:tcPr>
            <w:tcW w:w="394" w:type="pct"/>
            <w:tcBorders>
              <w:top w:val="nil"/>
              <w:left w:val="nil"/>
              <w:bottom w:val="single" w:sz="8" w:space="0" w:color="auto"/>
              <w:right w:val="single" w:sz="8" w:space="0" w:color="auto"/>
            </w:tcBorders>
            <w:shd w:val="clear" w:color="auto" w:fill="auto"/>
            <w:vAlign w:val="center"/>
          </w:tcPr>
          <w:p w14:paraId="3EE0343A" w14:textId="240726EB" w:rsidR="00613867" w:rsidRPr="00BD7E1C" w:rsidRDefault="00613867" w:rsidP="00613867">
            <w:pPr>
              <w:spacing w:after="0" w:line="240" w:lineRule="auto"/>
              <w:jc w:val="center"/>
              <w:rPr>
                <w:rFonts w:eastAsia="Times New Roman"/>
                <w:color w:val="auto"/>
                <w:sz w:val="16"/>
                <w:szCs w:val="16"/>
                <w:lang w:eastAsia="ru-RU"/>
              </w:rPr>
            </w:pPr>
            <w:r w:rsidRPr="00BD7E1C">
              <w:rPr>
                <w:color w:val="auto"/>
                <w:sz w:val="18"/>
                <w:szCs w:val="18"/>
              </w:rPr>
              <w:t>24,39</w:t>
            </w:r>
          </w:p>
        </w:tc>
        <w:tc>
          <w:tcPr>
            <w:tcW w:w="382" w:type="pct"/>
            <w:tcBorders>
              <w:top w:val="nil"/>
              <w:left w:val="nil"/>
              <w:bottom w:val="single" w:sz="8" w:space="0" w:color="auto"/>
              <w:right w:val="single" w:sz="8" w:space="0" w:color="auto"/>
            </w:tcBorders>
            <w:shd w:val="clear" w:color="auto" w:fill="auto"/>
            <w:vAlign w:val="center"/>
          </w:tcPr>
          <w:p w14:paraId="3A407A00" w14:textId="088DEE5D" w:rsidR="00613867" w:rsidRPr="00BD7E1C" w:rsidRDefault="00613867" w:rsidP="00613867">
            <w:pPr>
              <w:spacing w:after="0" w:line="240" w:lineRule="auto"/>
              <w:jc w:val="center"/>
              <w:rPr>
                <w:rFonts w:eastAsia="Times New Roman"/>
                <w:color w:val="auto"/>
                <w:sz w:val="16"/>
                <w:szCs w:val="16"/>
                <w:lang w:eastAsia="ru-RU"/>
              </w:rPr>
            </w:pPr>
            <w:r w:rsidRPr="00BD7E1C">
              <w:rPr>
                <w:color w:val="auto"/>
                <w:sz w:val="18"/>
                <w:szCs w:val="18"/>
              </w:rPr>
              <w:t>24,63</w:t>
            </w:r>
          </w:p>
        </w:tc>
        <w:tc>
          <w:tcPr>
            <w:tcW w:w="386" w:type="pct"/>
            <w:tcBorders>
              <w:top w:val="nil"/>
              <w:left w:val="nil"/>
              <w:bottom w:val="single" w:sz="8" w:space="0" w:color="auto"/>
              <w:right w:val="single" w:sz="8" w:space="0" w:color="auto"/>
            </w:tcBorders>
            <w:shd w:val="clear" w:color="auto" w:fill="auto"/>
            <w:vAlign w:val="center"/>
          </w:tcPr>
          <w:p w14:paraId="56951F2D" w14:textId="786CC468" w:rsidR="00613867" w:rsidRPr="00BD7E1C" w:rsidRDefault="00613867" w:rsidP="00613867">
            <w:pPr>
              <w:spacing w:after="0" w:line="240" w:lineRule="auto"/>
              <w:jc w:val="center"/>
              <w:rPr>
                <w:rFonts w:eastAsia="Times New Roman"/>
                <w:color w:val="auto"/>
                <w:sz w:val="16"/>
                <w:szCs w:val="16"/>
                <w:lang w:eastAsia="ru-RU"/>
              </w:rPr>
            </w:pPr>
            <w:r w:rsidRPr="00BD7E1C">
              <w:rPr>
                <w:color w:val="auto"/>
                <w:sz w:val="18"/>
                <w:szCs w:val="18"/>
              </w:rPr>
              <w:t> </w:t>
            </w:r>
          </w:p>
        </w:tc>
        <w:tc>
          <w:tcPr>
            <w:tcW w:w="385" w:type="pct"/>
            <w:tcBorders>
              <w:top w:val="nil"/>
              <w:left w:val="nil"/>
              <w:bottom w:val="single" w:sz="8" w:space="0" w:color="auto"/>
              <w:right w:val="single" w:sz="8" w:space="0" w:color="auto"/>
            </w:tcBorders>
            <w:shd w:val="clear" w:color="auto" w:fill="auto"/>
            <w:vAlign w:val="center"/>
          </w:tcPr>
          <w:p w14:paraId="31D9DEA2" w14:textId="49621392" w:rsidR="00613867" w:rsidRPr="00BD7E1C" w:rsidRDefault="00613867" w:rsidP="00613867">
            <w:pPr>
              <w:spacing w:after="0" w:line="240" w:lineRule="auto"/>
              <w:jc w:val="center"/>
              <w:rPr>
                <w:rFonts w:eastAsia="Times New Roman"/>
                <w:color w:val="auto"/>
                <w:sz w:val="16"/>
                <w:szCs w:val="16"/>
                <w:lang w:eastAsia="ru-RU"/>
              </w:rPr>
            </w:pPr>
            <w:r w:rsidRPr="00BD7E1C">
              <w:rPr>
                <w:color w:val="auto"/>
                <w:sz w:val="18"/>
                <w:szCs w:val="18"/>
              </w:rPr>
              <w:t>24,39</w:t>
            </w:r>
          </w:p>
        </w:tc>
        <w:tc>
          <w:tcPr>
            <w:tcW w:w="408" w:type="pct"/>
            <w:tcBorders>
              <w:top w:val="nil"/>
              <w:left w:val="nil"/>
              <w:bottom w:val="single" w:sz="8" w:space="0" w:color="auto"/>
              <w:right w:val="single" w:sz="8" w:space="0" w:color="auto"/>
            </w:tcBorders>
            <w:shd w:val="clear" w:color="auto" w:fill="auto"/>
            <w:vAlign w:val="center"/>
          </w:tcPr>
          <w:p w14:paraId="0E3ECC2A" w14:textId="4F0EA1D4" w:rsidR="00613867" w:rsidRPr="00BD7E1C" w:rsidRDefault="00613867" w:rsidP="00613867">
            <w:pPr>
              <w:spacing w:after="0" w:line="240" w:lineRule="auto"/>
              <w:jc w:val="center"/>
              <w:rPr>
                <w:rFonts w:eastAsia="Times New Roman"/>
                <w:color w:val="auto"/>
                <w:sz w:val="16"/>
                <w:szCs w:val="16"/>
                <w:lang w:eastAsia="ru-RU"/>
              </w:rPr>
            </w:pPr>
            <w:r w:rsidRPr="00BD7E1C">
              <w:rPr>
                <w:color w:val="auto"/>
                <w:sz w:val="18"/>
                <w:szCs w:val="18"/>
              </w:rPr>
              <w:t>24,63</w:t>
            </w:r>
          </w:p>
        </w:tc>
        <w:tc>
          <w:tcPr>
            <w:tcW w:w="462" w:type="pct"/>
            <w:tcBorders>
              <w:top w:val="nil"/>
              <w:left w:val="nil"/>
              <w:bottom w:val="single" w:sz="8" w:space="0" w:color="auto"/>
              <w:right w:val="single" w:sz="8" w:space="0" w:color="auto"/>
            </w:tcBorders>
            <w:shd w:val="clear" w:color="auto" w:fill="auto"/>
            <w:vAlign w:val="center"/>
          </w:tcPr>
          <w:p w14:paraId="1A2B1C89" w14:textId="16D1C203" w:rsidR="00613867" w:rsidRPr="00BD7E1C" w:rsidRDefault="00613867" w:rsidP="00613867">
            <w:pPr>
              <w:spacing w:after="0" w:line="240" w:lineRule="auto"/>
              <w:jc w:val="center"/>
              <w:rPr>
                <w:rFonts w:eastAsia="Times New Roman"/>
                <w:color w:val="auto"/>
                <w:sz w:val="16"/>
                <w:szCs w:val="16"/>
                <w:lang w:eastAsia="ru-RU"/>
              </w:rPr>
            </w:pPr>
            <w:r w:rsidRPr="00BD7E1C">
              <w:rPr>
                <w:color w:val="auto"/>
                <w:sz w:val="18"/>
                <w:szCs w:val="18"/>
              </w:rPr>
              <w:t> </w:t>
            </w:r>
          </w:p>
        </w:tc>
        <w:tc>
          <w:tcPr>
            <w:tcW w:w="467" w:type="pct"/>
            <w:gridSpan w:val="2"/>
            <w:tcBorders>
              <w:top w:val="nil"/>
              <w:left w:val="nil"/>
              <w:bottom w:val="single" w:sz="8" w:space="0" w:color="auto"/>
              <w:right w:val="single" w:sz="8" w:space="0" w:color="auto"/>
            </w:tcBorders>
            <w:shd w:val="clear" w:color="auto" w:fill="auto"/>
            <w:vAlign w:val="center"/>
          </w:tcPr>
          <w:p w14:paraId="02F26CDE" w14:textId="6802A623" w:rsidR="00613867" w:rsidRPr="00BD7E1C" w:rsidRDefault="00613867" w:rsidP="00613867">
            <w:pPr>
              <w:spacing w:after="0" w:line="240" w:lineRule="auto"/>
              <w:jc w:val="center"/>
              <w:rPr>
                <w:rFonts w:eastAsia="Times New Roman"/>
                <w:color w:val="auto"/>
                <w:sz w:val="16"/>
                <w:szCs w:val="16"/>
                <w:lang w:eastAsia="ru-RU"/>
              </w:rPr>
            </w:pPr>
            <w:r w:rsidRPr="00BD7E1C">
              <w:rPr>
                <w:color w:val="auto"/>
                <w:sz w:val="18"/>
                <w:szCs w:val="18"/>
              </w:rPr>
              <w:t> </w:t>
            </w:r>
          </w:p>
        </w:tc>
      </w:tr>
      <w:tr w:rsidR="00BD7E1C" w:rsidRPr="00BD7E1C" w14:paraId="4DD3255F" w14:textId="77777777" w:rsidTr="00E3296D">
        <w:trPr>
          <w:gridAfter w:val="1"/>
          <w:wAfter w:w="3" w:type="pct"/>
          <w:trHeight w:val="315"/>
        </w:trPr>
        <w:tc>
          <w:tcPr>
            <w:tcW w:w="530" w:type="pct"/>
            <w:vMerge/>
            <w:tcBorders>
              <w:top w:val="nil"/>
              <w:left w:val="single" w:sz="8" w:space="0" w:color="auto"/>
              <w:bottom w:val="single" w:sz="8" w:space="0" w:color="000000"/>
              <w:right w:val="single" w:sz="8" w:space="0" w:color="auto"/>
            </w:tcBorders>
            <w:vAlign w:val="center"/>
            <w:hideMark/>
          </w:tcPr>
          <w:p w14:paraId="2E032624" w14:textId="77777777" w:rsidR="00613867" w:rsidRPr="00BD7E1C" w:rsidRDefault="00613867" w:rsidP="00613867">
            <w:pPr>
              <w:spacing w:after="0" w:line="240" w:lineRule="auto"/>
              <w:jc w:val="center"/>
              <w:rPr>
                <w:rFonts w:eastAsia="Times New Roman"/>
                <w:b/>
                <w:bCs/>
                <w:color w:val="auto"/>
                <w:sz w:val="18"/>
                <w:szCs w:val="18"/>
                <w:lang w:eastAsia="ru-RU"/>
              </w:rPr>
            </w:pPr>
          </w:p>
        </w:tc>
        <w:tc>
          <w:tcPr>
            <w:tcW w:w="416" w:type="pct"/>
            <w:tcBorders>
              <w:top w:val="nil"/>
              <w:left w:val="nil"/>
              <w:bottom w:val="single" w:sz="8" w:space="0" w:color="auto"/>
              <w:right w:val="single" w:sz="8" w:space="0" w:color="auto"/>
            </w:tcBorders>
            <w:shd w:val="clear" w:color="auto" w:fill="auto"/>
            <w:vAlign w:val="center"/>
            <w:hideMark/>
          </w:tcPr>
          <w:p w14:paraId="49DB0E0A" w14:textId="77777777" w:rsidR="00613867" w:rsidRPr="00BD7E1C" w:rsidRDefault="00613867" w:rsidP="00613867">
            <w:pPr>
              <w:spacing w:after="0" w:line="240" w:lineRule="auto"/>
              <w:jc w:val="center"/>
              <w:rPr>
                <w:rFonts w:eastAsia="Times New Roman"/>
                <w:color w:val="auto"/>
                <w:sz w:val="18"/>
                <w:szCs w:val="18"/>
                <w:lang w:eastAsia="ru-RU"/>
              </w:rPr>
            </w:pPr>
            <w:r w:rsidRPr="00BD7E1C">
              <w:rPr>
                <w:rFonts w:eastAsia="Times New Roman"/>
                <w:color w:val="auto"/>
                <w:sz w:val="18"/>
                <w:szCs w:val="18"/>
                <w:lang w:eastAsia="ru-RU"/>
              </w:rPr>
              <w:t>СН1</w:t>
            </w:r>
          </w:p>
        </w:tc>
        <w:tc>
          <w:tcPr>
            <w:tcW w:w="389" w:type="pct"/>
            <w:tcBorders>
              <w:top w:val="nil"/>
              <w:left w:val="nil"/>
              <w:bottom w:val="single" w:sz="8" w:space="0" w:color="auto"/>
              <w:right w:val="single" w:sz="8" w:space="0" w:color="auto"/>
            </w:tcBorders>
            <w:shd w:val="clear" w:color="auto" w:fill="auto"/>
            <w:vAlign w:val="center"/>
          </w:tcPr>
          <w:p w14:paraId="73B6831A" w14:textId="1DAFB02B" w:rsidR="00613867" w:rsidRPr="00BD7E1C" w:rsidRDefault="00613867" w:rsidP="00613867">
            <w:pPr>
              <w:spacing w:after="0" w:line="240" w:lineRule="auto"/>
              <w:jc w:val="center"/>
              <w:rPr>
                <w:rFonts w:eastAsia="Times New Roman"/>
                <w:color w:val="auto"/>
                <w:sz w:val="16"/>
                <w:szCs w:val="16"/>
                <w:lang w:eastAsia="ru-RU"/>
              </w:rPr>
            </w:pPr>
            <w:r w:rsidRPr="00BD7E1C">
              <w:rPr>
                <w:color w:val="auto"/>
                <w:sz w:val="18"/>
                <w:szCs w:val="18"/>
              </w:rPr>
              <w:t>78,78</w:t>
            </w:r>
          </w:p>
        </w:tc>
        <w:tc>
          <w:tcPr>
            <w:tcW w:w="389" w:type="pct"/>
            <w:tcBorders>
              <w:top w:val="nil"/>
              <w:left w:val="nil"/>
              <w:bottom w:val="single" w:sz="8" w:space="0" w:color="auto"/>
              <w:right w:val="single" w:sz="8" w:space="0" w:color="auto"/>
            </w:tcBorders>
            <w:shd w:val="clear" w:color="auto" w:fill="auto"/>
            <w:vAlign w:val="center"/>
          </w:tcPr>
          <w:p w14:paraId="3BD064BF" w14:textId="1DB1A2C1" w:rsidR="00613867" w:rsidRPr="00BD7E1C" w:rsidRDefault="00613867" w:rsidP="00613867">
            <w:pPr>
              <w:spacing w:after="0" w:line="240" w:lineRule="auto"/>
              <w:jc w:val="center"/>
              <w:rPr>
                <w:rFonts w:eastAsia="Times New Roman"/>
                <w:color w:val="auto"/>
                <w:sz w:val="16"/>
                <w:szCs w:val="16"/>
                <w:lang w:eastAsia="ru-RU"/>
              </w:rPr>
            </w:pPr>
            <w:r w:rsidRPr="00BD7E1C">
              <w:rPr>
                <w:color w:val="auto"/>
                <w:sz w:val="18"/>
                <w:szCs w:val="18"/>
              </w:rPr>
              <w:t>79,57</w:t>
            </w:r>
          </w:p>
        </w:tc>
        <w:tc>
          <w:tcPr>
            <w:tcW w:w="389" w:type="pct"/>
            <w:tcBorders>
              <w:top w:val="nil"/>
              <w:left w:val="nil"/>
              <w:bottom w:val="single" w:sz="8" w:space="0" w:color="auto"/>
              <w:right w:val="single" w:sz="8" w:space="0" w:color="auto"/>
            </w:tcBorders>
            <w:shd w:val="clear" w:color="auto" w:fill="auto"/>
            <w:vAlign w:val="center"/>
          </w:tcPr>
          <w:p w14:paraId="44B5C73B" w14:textId="7CFC4459" w:rsidR="00613867" w:rsidRPr="00BD7E1C" w:rsidRDefault="00613867" w:rsidP="00613867">
            <w:pPr>
              <w:spacing w:after="0" w:line="240" w:lineRule="auto"/>
              <w:jc w:val="center"/>
              <w:rPr>
                <w:rFonts w:eastAsia="Times New Roman"/>
                <w:color w:val="auto"/>
                <w:sz w:val="16"/>
                <w:szCs w:val="16"/>
                <w:lang w:eastAsia="ru-RU"/>
              </w:rPr>
            </w:pPr>
            <w:r w:rsidRPr="00BD7E1C">
              <w:rPr>
                <w:color w:val="auto"/>
                <w:sz w:val="18"/>
                <w:szCs w:val="18"/>
              </w:rPr>
              <w:t> </w:t>
            </w:r>
          </w:p>
        </w:tc>
        <w:tc>
          <w:tcPr>
            <w:tcW w:w="394" w:type="pct"/>
            <w:tcBorders>
              <w:top w:val="nil"/>
              <w:left w:val="nil"/>
              <w:bottom w:val="single" w:sz="8" w:space="0" w:color="auto"/>
              <w:right w:val="single" w:sz="8" w:space="0" w:color="auto"/>
            </w:tcBorders>
            <w:shd w:val="clear" w:color="auto" w:fill="auto"/>
            <w:vAlign w:val="center"/>
          </w:tcPr>
          <w:p w14:paraId="0CA90617" w14:textId="7768CAC6" w:rsidR="00613867" w:rsidRPr="00BD7E1C" w:rsidRDefault="00613867" w:rsidP="00613867">
            <w:pPr>
              <w:spacing w:after="0" w:line="240" w:lineRule="auto"/>
              <w:jc w:val="center"/>
              <w:rPr>
                <w:rFonts w:eastAsia="Times New Roman"/>
                <w:color w:val="auto"/>
                <w:sz w:val="16"/>
                <w:szCs w:val="16"/>
                <w:lang w:eastAsia="ru-RU"/>
              </w:rPr>
            </w:pPr>
            <w:r w:rsidRPr="00BD7E1C">
              <w:rPr>
                <w:color w:val="auto"/>
                <w:sz w:val="18"/>
                <w:szCs w:val="18"/>
              </w:rPr>
              <w:t>78,78</w:t>
            </w:r>
          </w:p>
        </w:tc>
        <w:tc>
          <w:tcPr>
            <w:tcW w:w="382" w:type="pct"/>
            <w:tcBorders>
              <w:top w:val="nil"/>
              <w:left w:val="nil"/>
              <w:bottom w:val="single" w:sz="8" w:space="0" w:color="auto"/>
              <w:right w:val="single" w:sz="8" w:space="0" w:color="auto"/>
            </w:tcBorders>
            <w:shd w:val="clear" w:color="auto" w:fill="auto"/>
            <w:vAlign w:val="center"/>
          </w:tcPr>
          <w:p w14:paraId="4B5B6A29" w14:textId="22A2CA30" w:rsidR="00613867" w:rsidRPr="00BD7E1C" w:rsidRDefault="00613867" w:rsidP="00613867">
            <w:pPr>
              <w:spacing w:after="0" w:line="240" w:lineRule="auto"/>
              <w:jc w:val="center"/>
              <w:rPr>
                <w:rFonts w:eastAsia="Times New Roman"/>
                <w:color w:val="auto"/>
                <w:sz w:val="16"/>
                <w:szCs w:val="16"/>
                <w:lang w:eastAsia="ru-RU"/>
              </w:rPr>
            </w:pPr>
            <w:r w:rsidRPr="00BD7E1C">
              <w:rPr>
                <w:color w:val="auto"/>
                <w:sz w:val="18"/>
                <w:szCs w:val="18"/>
              </w:rPr>
              <w:t>79,57</w:t>
            </w:r>
          </w:p>
        </w:tc>
        <w:tc>
          <w:tcPr>
            <w:tcW w:w="386" w:type="pct"/>
            <w:tcBorders>
              <w:top w:val="nil"/>
              <w:left w:val="nil"/>
              <w:bottom w:val="single" w:sz="8" w:space="0" w:color="auto"/>
              <w:right w:val="single" w:sz="8" w:space="0" w:color="auto"/>
            </w:tcBorders>
            <w:shd w:val="clear" w:color="auto" w:fill="auto"/>
            <w:vAlign w:val="center"/>
          </w:tcPr>
          <w:p w14:paraId="0D047D84" w14:textId="7F5C0C56" w:rsidR="00613867" w:rsidRPr="00BD7E1C" w:rsidRDefault="00613867" w:rsidP="00613867">
            <w:pPr>
              <w:spacing w:after="0" w:line="240" w:lineRule="auto"/>
              <w:jc w:val="center"/>
              <w:rPr>
                <w:rFonts w:eastAsia="Times New Roman"/>
                <w:color w:val="auto"/>
                <w:sz w:val="16"/>
                <w:szCs w:val="16"/>
                <w:lang w:eastAsia="ru-RU"/>
              </w:rPr>
            </w:pPr>
            <w:r w:rsidRPr="00BD7E1C">
              <w:rPr>
                <w:color w:val="auto"/>
                <w:sz w:val="18"/>
                <w:szCs w:val="18"/>
              </w:rPr>
              <w:t> </w:t>
            </w:r>
          </w:p>
        </w:tc>
        <w:tc>
          <w:tcPr>
            <w:tcW w:w="385" w:type="pct"/>
            <w:tcBorders>
              <w:top w:val="nil"/>
              <w:left w:val="nil"/>
              <w:bottom w:val="single" w:sz="8" w:space="0" w:color="auto"/>
              <w:right w:val="single" w:sz="8" w:space="0" w:color="auto"/>
            </w:tcBorders>
            <w:shd w:val="clear" w:color="auto" w:fill="auto"/>
            <w:vAlign w:val="center"/>
          </w:tcPr>
          <w:p w14:paraId="004FE389" w14:textId="3236774D" w:rsidR="00613867" w:rsidRPr="00BD7E1C" w:rsidRDefault="00613867" w:rsidP="00613867">
            <w:pPr>
              <w:spacing w:after="0" w:line="240" w:lineRule="auto"/>
              <w:jc w:val="center"/>
              <w:rPr>
                <w:rFonts w:eastAsia="Times New Roman"/>
                <w:color w:val="auto"/>
                <w:sz w:val="16"/>
                <w:szCs w:val="16"/>
                <w:lang w:eastAsia="ru-RU"/>
              </w:rPr>
            </w:pPr>
            <w:r w:rsidRPr="00BD7E1C">
              <w:rPr>
                <w:color w:val="auto"/>
                <w:sz w:val="18"/>
                <w:szCs w:val="18"/>
              </w:rPr>
              <w:t>78,78</w:t>
            </w:r>
          </w:p>
        </w:tc>
        <w:tc>
          <w:tcPr>
            <w:tcW w:w="408" w:type="pct"/>
            <w:tcBorders>
              <w:top w:val="nil"/>
              <w:left w:val="nil"/>
              <w:bottom w:val="single" w:sz="8" w:space="0" w:color="auto"/>
              <w:right w:val="single" w:sz="8" w:space="0" w:color="auto"/>
            </w:tcBorders>
            <w:shd w:val="clear" w:color="auto" w:fill="auto"/>
            <w:vAlign w:val="center"/>
          </w:tcPr>
          <w:p w14:paraId="13D8A330" w14:textId="78C0B820" w:rsidR="00613867" w:rsidRPr="00BD7E1C" w:rsidRDefault="00613867" w:rsidP="00613867">
            <w:pPr>
              <w:spacing w:after="0" w:line="240" w:lineRule="auto"/>
              <w:jc w:val="center"/>
              <w:rPr>
                <w:rFonts w:eastAsia="Times New Roman"/>
                <w:color w:val="auto"/>
                <w:sz w:val="16"/>
                <w:szCs w:val="16"/>
                <w:lang w:eastAsia="ru-RU"/>
              </w:rPr>
            </w:pPr>
            <w:r w:rsidRPr="00BD7E1C">
              <w:rPr>
                <w:color w:val="auto"/>
                <w:sz w:val="18"/>
                <w:szCs w:val="18"/>
              </w:rPr>
              <w:t>79,57</w:t>
            </w:r>
          </w:p>
        </w:tc>
        <w:tc>
          <w:tcPr>
            <w:tcW w:w="462" w:type="pct"/>
            <w:tcBorders>
              <w:top w:val="nil"/>
              <w:left w:val="nil"/>
              <w:bottom w:val="single" w:sz="8" w:space="0" w:color="auto"/>
              <w:right w:val="single" w:sz="8" w:space="0" w:color="auto"/>
            </w:tcBorders>
            <w:shd w:val="clear" w:color="auto" w:fill="auto"/>
            <w:vAlign w:val="center"/>
          </w:tcPr>
          <w:p w14:paraId="78F9268D" w14:textId="738092AD" w:rsidR="00613867" w:rsidRPr="00BD7E1C" w:rsidRDefault="00613867" w:rsidP="00613867">
            <w:pPr>
              <w:spacing w:after="0" w:line="240" w:lineRule="auto"/>
              <w:jc w:val="center"/>
              <w:rPr>
                <w:rFonts w:eastAsia="Times New Roman"/>
                <w:color w:val="auto"/>
                <w:sz w:val="16"/>
                <w:szCs w:val="16"/>
                <w:lang w:eastAsia="ru-RU"/>
              </w:rPr>
            </w:pPr>
            <w:r w:rsidRPr="00BD7E1C">
              <w:rPr>
                <w:color w:val="auto"/>
                <w:sz w:val="18"/>
                <w:szCs w:val="18"/>
              </w:rPr>
              <w:t> </w:t>
            </w:r>
          </w:p>
        </w:tc>
        <w:tc>
          <w:tcPr>
            <w:tcW w:w="467" w:type="pct"/>
            <w:gridSpan w:val="2"/>
            <w:tcBorders>
              <w:top w:val="nil"/>
              <w:left w:val="nil"/>
              <w:bottom w:val="single" w:sz="8" w:space="0" w:color="auto"/>
              <w:right w:val="single" w:sz="8" w:space="0" w:color="auto"/>
            </w:tcBorders>
            <w:shd w:val="clear" w:color="auto" w:fill="auto"/>
            <w:vAlign w:val="center"/>
          </w:tcPr>
          <w:p w14:paraId="0948EDB0" w14:textId="44D090ED" w:rsidR="00613867" w:rsidRPr="00BD7E1C" w:rsidRDefault="00613867" w:rsidP="00613867">
            <w:pPr>
              <w:spacing w:after="0" w:line="240" w:lineRule="auto"/>
              <w:jc w:val="center"/>
              <w:rPr>
                <w:rFonts w:eastAsia="Times New Roman"/>
                <w:color w:val="auto"/>
                <w:sz w:val="16"/>
                <w:szCs w:val="16"/>
                <w:lang w:eastAsia="ru-RU"/>
              </w:rPr>
            </w:pPr>
            <w:r w:rsidRPr="00BD7E1C">
              <w:rPr>
                <w:color w:val="auto"/>
                <w:sz w:val="18"/>
                <w:szCs w:val="18"/>
              </w:rPr>
              <w:t> </w:t>
            </w:r>
          </w:p>
        </w:tc>
      </w:tr>
      <w:tr w:rsidR="00BD7E1C" w:rsidRPr="00BD7E1C" w14:paraId="316758A0" w14:textId="77777777" w:rsidTr="00E3296D">
        <w:trPr>
          <w:gridAfter w:val="1"/>
          <w:wAfter w:w="3" w:type="pct"/>
          <w:trHeight w:val="315"/>
        </w:trPr>
        <w:tc>
          <w:tcPr>
            <w:tcW w:w="530" w:type="pct"/>
            <w:vMerge/>
            <w:tcBorders>
              <w:top w:val="nil"/>
              <w:left w:val="single" w:sz="8" w:space="0" w:color="auto"/>
              <w:bottom w:val="single" w:sz="8" w:space="0" w:color="000000"/>
              <w:right w:val="single" w:sz="8" w:space="0" w:color="auto"/>
            </w:tcBorders>
            <w:vAlign w:val="center"/>
            <w:hideMark/>
          </w:tcPr>
          <w:p w14:paraId="384D7C56" w14:textId="77777777" w:rsidR="00613867" w:rsidRPr="00BD7E1C" w:rsidRDefault="00613867" w:rsidP="00613867">
            <w:pPr>
              <w:spacing w:after="0" w:line="240" w:lineRule="auto"/>
              <w:jc w:val="center"/>
              <w:rPr>
                <w:rFonts w:eastAsia="Times New Roman"/>
                <w:b/>
                <w:bCs/>
                <w:color w:val="auto"/>
                <w:sz w:val="18"/>
                <w:szCs w:val="18"/>
                <w:lang w:eastAsia="ru-RU"/>
              </w:rPr>
            </w:pPr>
          </w:p>
        </w:tc>
        <w:tc>
          <w:tcPr>
            <w:tcW w:w="416" w:type="pct"/>
            <w:tcBorders>
              <w:top w:val="nil"/>
              <w:left w:val="nil"/>
              <w:bottom w:val="single" w:sz="8" w:space="0" w:color="auto"/>
              <w:right w:val="single" w:sz="8" w:space="0" w:color="auto"/>
            </w:tcBorders>
            <w:shd w:val="clear" w:color="auto" w:fill="auto"/>
            <w:vAlign w:val="center"/>
            <w:hideMark/>
          </w:tcPr>
          <w:p w14:paraId="0FA7CC62" w14:textId="77777777" w:rsidR="00613867" w:rsidRPr="00BD7E1C" w:rsidRDefault="00613867" w:rsidP="00613867">
            <w:pPr>
              <w:spacing w:after="0" w:line="240" w:lineRule="auto"/>
              <w:jc w:val="center"/>
              <w:rPr>
                <w:rFonts w:eastAsia="Times New Roman"/>
                <w:color w:val="auto"/>
                <w:sz w:val="18"/>
                <w:szCs w:val="18"/>
                <w:lang w:eastAsia="ru-RU"/>
              </w:rPr>
            </w:pPr>
            <w:r w:rsidRPr="00BD7E1C">
              <w:rPr>
                <w:rFonts w:eastAsia="Times New Roman"/>
                <w:color w:val="auto"/>
                <w:sz w:val="18"/>
                <w:szCs w:val="18"/>
                <w:lang w:eastAsia="ru-RU"/>
              </w:rPr>
              <w:t>СН2</w:t>
            </w:r>
          </w:p>
        </w:tc>
        <w:tc>
          <w:tcPr>
            <w:tcW w:w="389" w:type="pct"/>
            <w:tcBorders>
              <w:top w:val="nil"/>
              <w:left w:val="nil"/>
              <w:bottom w:val="single" w:sz="8" w:space="0" w:color="auto"/>
              <w:right w:val="single" w:sz="8" w:space="0" w:color="auto"/>
            </w:tcBorders>
            <w:shd w:val="clear" w:color="auto" w:fill="auto"/>
            <w:vAlign w:val="center"/>
          </w:tcPr>
          <w:p w14:paraId="3358769D" w14:textId="1C623932" w:rsidR="00613867" w:rsidRPr="00BD7E1C" w:rsidRDefault="00613867" w:rsidP="00613867">
            <w:pPr>
              <w:spacing w:after="0" w:line="240" w:lineRule="auto"/>
              <w:jc w:val="center"/>
              <w:rPr>
                <w:rFonts w:eastAsia="Times New Roman"/>
                <w:color w:val="auto"/>
                <w:sz w:val="16"/>
                <w:szCs w:val="16"/>
                <w:lang w:eastAsia="ru-RU"/>
              </w:rPr>
            </w:pPr>
            <w:r w:rsidRPr="00BD7E1C">
              <w:rPr>
                <w:color w:val="auto"/>
                <w:sz w:val="18"/>
                <w:szCs w:val="18"/>
              </w:rPr>
              <w:t>93,60</w:t>
            </w:r>
          </w:p>
        </w:tc>
        <w:tc>
          <w:tcPr>
            <w:tcW w:w="389" w:type="pct"/>
            <w:tcBorders>
              <w:top w:val="nil"/>
              <w:left w:val="nil"/>
              <w:bottom w:val="single" w:sz="8" w:space="0" w:color="auto"/>
              <w:right w:val="single" w:sz="8" w:space="0" w:color="auto"/>
            </w:tcBorders>
            <w:shd w:val="clear" w:color="auto" w:fill="auto"/>
            <w:vAlign w:val="center"/>
          </w:tcPr>
          <w:p w14:paraId="63CB228D" w14:textId="49811EDF" w:rsidR="00613867" w:rsidRPr="00BD7E1C" w:rsidRDefault="00613867" w:rsidP="00613867">
            <w:pPr>
              <w:spacing w:after="0" w:line="240" w:lineRule="auto"/>
              <w:jc w:val="center"/>
              <w:rPr>
                <w:rFonts w:eastAsia="Times New Roman"/>
                <w:color w:val="auto"/>
                <w:sz w:val="16"/>
                <w:szCs w:val="16"/>
                <w:lang w:eastAsia="ru-RU"/>
              </w:rPr>
            </w:pPr>
            <w:r w:rsidRPr="00BD7E1C">
              <w:rPr>
                <w:color w:val="auto"/>
                <w:sz w:val="18"/>
                <w:szCs w:val="18"/>
              </w:rPr>
              <w:t>94,54</w:t>
            </w:r>
          </w:p>
        </w:tc>
        <w:tc>
          <w:tcPr>
            <w:tcW w:w="389" w:type="pct"/>
            <w:tcBorders>
              <w:top w:val="nil"/>
              <w:left w:val="nil"/>
              <w:bottom w:val="single" w:sz="8" w:space="0" w:color="auto"/>
              <w:right w:val="single" w:sz="8" w:space="0" w:color="auto"/>
            </w:tcBorders>
            <w:shd w:val="clear" w:color="auto" w:fill="auto"/>
            <w:vAlign w:val="center"/>
          </w:tcPr>
          <w:p w14:paraId="02F959F0" w14:textId="47639ECB" w:rsidR="00613867" w:rsidRPr="00BD7E1C" w:rsidRDefault="00613867" w:rsidP="00613867">
            <w:pPr>
              <w:spacing w:after="0" w:line="240" w:lineRule="auto"/>
              <w:jc w:val="center"/>
              <w:rPr>
                <w:rFonts w:eastAsia="Times New Roman"/>
                <w:color w:val="auto"/>
                <w:sz w:val="16"/>
                <w:szCs w:val="16"/>
                <w:lang w:eastAsia="ru-RU"/>
              </w:rPr>
            </w:pPr>
            <w:r w:rsidRPr="00BD7E1C">
              <w:rPr>
                <w:color w:val="auto"/>
                <w:sz w:val="18"/>
                <w:szCs w:val="18"/>
              </w:rPr>
              <w:t> </w:t>
            </w:r>
          </w:p>
        </w:tc>
        <w:tc>
          <w:tcPr>
            <w:tcW w:w="394" w:type="pct"/>
            <w:tcBorders>
              <w:top w:val="nil"/>
              <w:left w:val="nil"/>
              <w:bottom w:val="single" w:sz="8" w:space="0" w:color="auto"/>
              <w:right w:val="single" w:sz="8" w:space="0" w:color="auto"/>
            </w:tcBorders>
            <w:shd w:val="clear" w:color="auto" w:fill="auto"/>
            <w:vAlign w:val="center"/>
          </w:tcPr>
          <w:p w14:paraId="32FBF014" w14:textId="62FBD3E2" w:rsidR="00613867" w:rsidRPr="00BD7E1C" w:rsidRDefault="00613867" w:rsidP="00613867">
            <w:pPr>
              <w:spacing w:after="0" w:line="240" w:lineRule="auto"/>
              <w:jc w:val="center"/>
              <w:rPr>
                <w:rFonts w:eastAsia="Times New Roman"/>
                <w:color w:val="auto"/>
                <w:sz w:val="16"/>
                <w:szCs w:val="16"/>
                <w:lang w:eastAsia="ru-RU"/>
              </w:rPr>
            </w:pPr>
            <w:r w:rsidRPr="00BD7E1C">
              <w:rPr>
                <w:color w:val="auto"/>
                <w:sz w:val="18"/>
                <w:szCs w:val="18"/>
              </w:rPr>
              <w:t>93,60</w:t>
            </w:r>
          </w:p>
        </w:tc>
        <w:tc>
          <w:tcPr>
            <w:tcW w:w="382" w:type="pct"/>
            <w:tcBorders>
              <w:top w:val="nil"/>
              <w:left w:val="nil"/>
              <w:bottom w:val="single" w:sz="8" w:space="0" w:color="auto"/>
              <w:right w:val="single" w:sz="8" w:space="0" w:color="auto"/>
            </w:tcBorders>
            <w:shd w:val="clear" w:color="auto" w:fill="auto"/>
            <w:vAlign w:val="center"/>
          </w:tcPr>
          <w:p w14:paraId="06360956" w14:textId="7D932A06" w:rsidR="00613867" w:rsidRPr="00BD7E1C" w:rsidRDefault="00613867" w:rsidP="00613867">
            <w:pPr>
              <w:spacing w:after="0" w:line="240" w:lineRule="auto"/>
              <w:jc w:val="center"/>
              <w:rPr>
                <w:rFonts w:eastAsia="Times New Roman"/>
                <w:color w:val="auto"/>
                <w:sz w:val="16"/>
                <w:szCs w:val="16"/>
                <w:lang w:eastAsia="ru-RU"/>
              </w:rPr>
            </w:pPr>
            <w:r w:rsidRPr="00BD7E1C">
              <w:rPr>
                <w:color w:val="auto"/>
                <w:sz w:val="18"/>
                <w:szCs w:val="18"/>
              </w:rPr>
              <w:t>94,54</w:t>
            </w:r>
          </w:p>
        </w:tc>
        <w:tc>
          <w:tcPr>
            <w:tcW w:w="386" w:type="pct"/>
            <w:tcBorders>
              <w:top w:val="nil"/>
              <w:left w:val="nil"/>
              <w:bottom w:val="single" w:sz="8" w:space="0" w:color="auto"/>
              <w:right w:val="single" w:sz="8" w:space="0" w:color="auto"/>
            </w:tcBorders>
            <w:shd w:val="clear" w:color="auto" w:fill="auto"/>
            <w:vAlign w:val="center"/>
          </w:tcPr>
          <w:p w14:paraId="6210D918" w14:textId="147B021C" w:rsidR="00613867" w:rsidRPr="00BD7E1C" w:rsidRDefault="00613867" w:rsidP="00613867">
            <w:pPr>
              <w:spacing w:after="0" w:line="240" w:lineRule="auto"/>
              <w:jc w:val="center"/>
              <w:rPr>
                <w:rFonts w:eastAsia="Times New Roman"/>
                <w:color w:val="auto"/>
                <w:sz w:val="16"/>
                <w:szCs w:val="16"/>
                <w:lang w:eastAsia="ru-RU"/>
              </w:rPr>
            </w:pPr>
            <w:r w:rsidRPr="00BD7E1C">
              <w:rPr>
                <w:color w:val="auto"/>
                <w:sz w:val="18"/>
                <w:szCs w:val="18"/>
              </w:rPr>
              <w:t> </w:t>
            </w:r>
          </w:p>
        </w:tc>
        <w:tc>
          <w:tcPr>
            <w:tcW w:w="385" w:type="pct"/>
            <w:tcBorders>
              <w:top w:val="nil"/>
              <w:left w:val="nil"/>
              <w:bottom w:val="single" w:sz="8" w:space="0" w:color="auto"/>
              <w:right w:val="single" w:sz="8" w:space="0" w:color="auto"/>
            </w:tcBorders>
            <w:shd w:val="clear" w:color="auto" w:fill="auto"/>
            <w:vAlign w:val="center"/>
          </w:tcPr>
          <w:p w14:paraId="3B65580B" w14:textId="56388AC2" w:rsidR="00613867" w:rsidRPr="00BD7E1C" w:rsidRDefault="00613867" w:rsidP="00613867">
            <w:pPr>
              <w:spacing w:after="0" w:line="240" w:lineRule="auto"/>
              <w:jc w:val="center"/>
              <w:rPr>
                <w:rFonts w:eastAsia="Times New Roman"/>
                <w:color w:val="auto"/>
                <w:sz w:val="16"/>
                <w:szCs w:val="16"/>
                <w:lang w:eastAsia="ru-RU"/>
              </w:rPr>
            </w:pPr>
            <w:r w:rsidRPr="00BD7E1C">
              <w:rPr>
                <w:color w:val="auto"/>
                <w:sz w:val="18"/>
                <w:szCs w:val="18"/>
              </w:rPr>
              <w:t>93,60</w:t>
            </w:r>
          </w:p>
        </w:tc>
        <w:tc>
          <w:tcPr>
            <w:tcW w:w="408" w:type="pct"/>
            <w:tcBorders>
              <w:top w:val="nil"/>
              <w:left w:val="nil"/>
              <w:bottom w:val="single" w:sz="8" w:space="0" w:color="auto"/>
              <w:right w:val="single" w:sz="8" w:space="0" w:color="auto"/>
            </w:tcBorders>
            <w:shd w:val="clear" w:color="auto" w:fill="auto"/>
            <w:vAlign w:val="center"/>
          </w:tcPr>
          <w:p w14:paraId="39EF6E2C" w14:textId="1B84C9DD" w:rsidR="00613867" w:rsidRPr="00BD7E1C" w:rsidRDefault="00613867" w:rsidP="00613867">
            <w:pPr>
              <w:spacing w:after="0" w:line="240" w:lineRule="auto"/>
              <w:jc w:val="center"/>
              <w:rPr>
                <w:rFonts w:eastAsia="Times New Roman"/>
                <w:color w:val="auto"/>
                <w:sz w:val="16"/>
                <w:szCs w:val="16"/>
                <w:lang w:eastAsia="ru-RU"/>
              </w:rPr>
            </w:pPr>
            <w:r w:rsidRPr="00BD7E1C">
              <w:rPr>
                <w:color w:val="auto"/>
                <w:sz w:val="18"/>
                <w:szCs w:val="18"/>
              </w:rPr>
              <w:t>94,54</w:t>
            </w:r>
          </w:p>
        </w:tc>
        <w:tc>
          <w:tcPr>
            <w:tcW w:w="462" w:type="pct"/>
            <w:tcBorders>
              <w:top w:val="nil"/>
              <w:left w:val="nil"/>
              <w:bottom w:val="single" w:sz="8" w:space="0" w:color="auto"/>
              <w:right w:val="single" w:sz="8" w:space="0" w:color="auto"/>
            </w:tcBorders>
            <w:shd w:val="clear" w:color="auto" w:fill="auto"/>
            <w:vAlign w:val="center"/>
          </w:tcPr>
          <w:p w14:paraId="31624F19" w14:textId="64AC4F4B" w:rsidR="00613867" w:rsidRPr="00BD7E1C" w:rsidRDefault="00613867" w:rsidP="00613867">
            <w:pPr>
              <w:spacing w:after="0" w:line="240" w:lineRule="auto"/>
              <w:jc w:val="center"/>
              <w:rPr>
                <w:rFonts w:eastAsia="Times New Roman"/>
                <w:color w:val="auto"/>
                <w:sz w:val="16"/>
                <w:szCs w:val="16"/>
                <w:lang w:eastAsia="ru-RU"/>
              </w:rPr>
            </w:pPr>
            <w:r w:rsidRPr="00BD7E1C">
              <w:rPr>
                <w:color w:val="auto"/>
                <w:sz w:val="18"/>
                <w:szCs w:val="18"/>
              </w:rPr>
              <w:t> </w:t>
            </w:r>
          </w:p>
        </w:tc>
        <w:tc>
          <w:tcPr>
            <w:tcW w:w="467" w:type="pct"/>
            <w:gridSpan w:val="2"/>
            <w:tcBorders>
              <w:top w:val="nil"/>
              <w:left w:val="nil"/>
              <w:bottom w:val="single" w:sz="8" w:space="0" w:color="auto"/>
              <w:right w:val="single" w:sz="8" w:space="0" w:color="auto"/>
            </w:tcBorders>
            <w:shd w:val="clear" w:color="auto" w:fill="auto"/>
            <w:vAlign w:val="center"/>
          </w:tcPr>
          <w:p w14:paraId="23814601" w14:textId="3913DCF3" w:rsidR="00613867" w:rsidRPr="00BD7E1C" w:rsidRDefault="00613867" w:rsidP="00613867">
            <w:pPr>
              <w:spacing w:after="0" w:line="240" w:lineRule="auto"/>
              <w:jc w:val="center"/>
              <w:rPr>
                <w:rFonts w:eastAsia="Times New Roman"/>
                <w:color w:val="auto"/>
                <w:sz w:val="16"/>
                <w:szCs w:val="16"/>
                <w:lang w:eastAsia="ru-RU"/>
              </w:rPr>
            </w:pPr>
            <w:r w:rsidRPr="00BD7E1C">
              <w:rPr>
                <w:color w:val="auto"/>
                <w:sz w:val="18"/>
                <w:szCs w:val="18"/>
              </w:rPr>
              <w:t> </w:t>
            </w:r>
          </w:p>
        </w:tc>
      </w:tr>
      <w:tr w:rsidR="00BD7E1C" w:rsidRPr="00BD7E1C" w14:paraId="57860325" w14:textId="77777777" w:rsidTr="00E3296D">
        <w:trPr>
          <w:gridAfter w:val="1"/>
          <w:wAfter w:w="3" w:type="pct"/>
          <w:trHeight w:val="315"/>
        </w:trPr>
        <w:tc>
          <w:tcPr>
            <w:tcW w:w="530" w:type="pct"/>
            <w:vMerge/>
            <w:tcBorders>
              <w:top w:val="nil"/>
              <w:left w:val="single" w:sz="8" w:space="0" w:color="auto"/>
              <w:bottom w:val="single" w:sz="8" w:space="0" w:color="000000"/>
              <w:right w:val="single" w:sz="8" w:space="0" w:color="auto"/>
            </w:tcBorders>
            <w:vAlign w:val="center"/>
            <w:hideMark/>
          </w:tcPr>
          <w:p w14:paraId="64BFB7CE" w14:textId="77777777" w:rsidR="00613867" w:rsidRPr="00BD7E1C" w:rsidRDefault="00613867" w:rsidP="00613867">
            <w:pPr>
              <w:spacing w:after="0" w:line="240" w:lineRule="auto"/>
              <w:jc w:val="center"/>
              <w:rPr>
                <w:rFonts w:eastAsia="Times New Roman"/>
                <w:b/>
                <w:bCs/>
                <w:color w:val="auto"/>
                <w:sz w:val="18"/>
                <w:szCs w:val="18"/>
                <w:lang w:eastAsia="ru-RU"/>
              </w:rPr>
            </w:pPr>
          </w:p>
        </w:tc>
        <w:tc>
          <w:tcPr>
            <w:tcW w:w="416" w:type="pct"/>
            <w:tcBorders>
              <w:top w:val="nil"/>
              <w:left w:val="nil"/>
              <w:bottom w:val="single" w:sz="8" w:space="0" w:color="auto"/>
              <w:right w:val="single" w:sz="8" w:space="0" w:color="auto"/>
            </w:tcBorders>
            <w:shd w:val="clear" w:color="auto" w:fill="auto"/>
            <w:vAlign w:val="center"/>
            <w:hideMark/>
          </w:tcPr>
          <w:p w14:paraId="29FB5731" w14:textId="77777777" w:rsidR="00613867" w:rsidRPr="00BD7E1C" w:rsidRDefault="00613867" w:rsidP="00613867">
            <w:pPr>
              <w:spacing w:after="0" w:line="240" w:lineRule="auto"/>
              <w:jc w:val="center"/>
              <w:rPr>
                <w:rFonts w:eastAsia="Times New Roman"/>
                <w:color w:val="auto"/>
                <w:sz w:val="18"/>
                <w:szCs w:val="18"/>
                <w:lang w:eastAsia="ru-RU"/>
              </w:rPr>
            </w:pPr>
            <w:r w:rsidRPr="00BD7E1C">
              <w:rPr>
                <w:rFonts w:eastAsia="Times New Roman"/>
                <w:color w:val="auto"/>
                <w:sz w:val="18"/>
                <w:szCs w:val="18"/>
                <w:lang w:eastAsia="ru-RU"/>
              </w:rPr>
              <w:t>НН</w:t>
            </w:r>
          </w:p>
        </w:tc>
        <w:tc>
          <w:tcPr>
            <w:tcW w:w="389" w:type="pct"/>
            <w:tcBorders>
              <w:top w:val="nil"/>
              <w:left w:val="nil"/>
              <w:bottom w:val="single" w:sz="8" w:space="0" w:color="auto"/>
              <w:right w:val="single" w:sz="8" w:space="0" w:color="auto"/>
            </w:tcBorders>
            <w:shd w:val="clear" w:color="auto" w:fill="auto"/>
            <w:vAlign w:val="center"/>
          </w:tcPr>
          <w:p w14:paraId="2A4CC838" w14:textId="6888F249" w:rsidR="00613867" w:rsidRPr="00BD7E1C" w:rsidRDefault="00613867" w:rsidP="00613867">
            <w:pPr>
              <w:spacing w:after="0" w:line="240" w:lineRule="auto"/>
              <w:jc w:val="center"/>
              <w:rPr>
                <w:rFonts w:eastAsia="Times New Roman"/>
                <w:color w:val="auto"/>
                <w:sz w:val="16"/>
                <w:szCs w:val="16"/>
                <w:lang w:eastAsia="ru-RU"/>
              </w:rPr>
            </w:pPr>
            <w:r w:rsidRPr="00BD7E1C">
              <w:rPr>
                <w:color w:val="auto"/>
                <w:sz w:val="18"/>
                <w:szCs w:val="18"/>
              </w:rPr>
              <w:t>292,90</w:t>
            </w:r>
          </w:p>
        </w:tc>
        <w:tc>
          <w:tcPr>
            <w:tcW w:w="389" w:type="pct"/>
            <w:tcBorders>
              <w:top w:val="nil"/>
              <w:left w:val="nil"/>
              <w:bottom w:val="single" w:sz="8" w:space="0" w:color="auto"/>
              <w:right w:val="single" w:sz="8" w:space="0" w:color="auto"/>
            </w:tcBorders>
            <w:shd w:val="clear" w:color="auto" w:fill="auto"/>
            <w:vAlign w:val="center"/>
          </w:tcPr>
          <w:p w14:paraId="5EA9E8E1" w14:textId="3AF8B068" w:rsidR="00613867" w:rsidRPr="00BD7E1C" w:rsidRDefault="00613867" w:rsidP="00613867">
            <w:pPr>
              <w:spacing w:after="0" w:line="240" w:lineRule="auto"/>
              <w:jc w:val="center"/>
              <w:rPr>
                <w:rFonts w:eastAsia="Times New Roman"/>
                <w:color w:val="auto"/>
                <w:sz w:val="16"/>
                <w:szCs w:val="16"/>
                <w:lang w:eastAsia="ru-RU"/>
              </w:rPr>
            </w:pPr>
            <w:r w:rsidRPr="00BD7E1C">
              <w:rPr>
                <w:color w:val="auto"/>
                <w:sz w:val="18"/>
                <w:szCs w:val="18"/>
              </w:rPr>
              <w:t>295,83</w:t>
            </w:r>
          </w:p>
        </w:tc>
        <w:tc>
          <w:tcPr>
            <w:tcW w:w="389" w:type="pct"/>
            <w:tcBorders>
              <w:top w:val="nil"/>
              <w:left w:val="nil"/>
              <w:bottom w:val="single" w:sz="8" w:space="0" w:color="auto"/>
              <w:right w:val="single" w:sz="8" w:space="0" w:color="auto"/>
            </w:tcBorders>
            <w:shd w:val="clear" w:color="auto" w:fill="auto"/>
            <w:vAlign w:val="center"/>
          </w:tcPr>
          <w:p w14:paraId="3757E617" w14:textId="6558BA98" w:rsidR="00613867" w:rsidRPr="00BD7E1C" w:rsidRDefault="00613867" w:rsidP="00613867">
            <w:pPr>
              <w:spacing w:after="0" w:line="240" w:lineRule="auto"/>
              <w:jc w:val="center"/>
              <w:rPr>
                <w:rFonts w:eastAsia="Times New Roman"/>
                <w:color w:val="auto"/>
                <w:sz w:val="16"/>
                <w:szCs w:val="16"/>
                <w:lang w:eastAsia="ru-RU"/>
              </w:rPr>
            </w:pPr>
            <w:r w:rsidRPr="00BD7E1C">
              <w:rPr>
                <w:color w:val="auto"/>
                <w:sz w:val="18"/>
                <w:szCs w:val="18"/>
              </w:rPr>
              <w:t> </w:t>
            </w:r>
          </w:p>
        </w:tc>
        <w:tc>
          <w:tcPr>
            <w:tcW w:w="394" w:type="pct"/>
            <w:tcBorders>
              <w:top w:val="nil"/>
              <w:left w:val="nil"/>
              <w:bottom w:val="single" w:sz="8" w:space="0" w:color="auto"/>
              <w:right w:val="single" w:sz="8" w:space="0" w:color="auto"/>
            </w:tcBorders>
            <w:shd w:val="clear" w:color="auto" w:fill="auto"/>
            <w:vAlign w:val="center"/>
          </w:tcPr>
          <w:p w14:paraId="4222DED7" w14:textId="1DBCB746" w:rsidR="00613867" w:rsidRPr="00BD7E1C" w:rsidRDefault="00613867" w:rsidP="00613867">
            <w:pPr>
              <w:spacing w:after="0" w:line="240" w:lineRule="auto"/>
              <w:jc w:val="center"/>
              <w:rPr>
                <w:rFonts w:eastAsia="Times New Roman"/>
                <w:color w:val="auto"/>
                <w:sz w:val="16"/>
                <w:szCs w:val="16"/>
                <w:lang w:eastAsia="ru-RU"/>
              </w:rPr>
            </w:pPr>
            <w:r w:rsidRPr="00BD7E1C">
              <w:rPr>
                <w:color w:val="auto"/>
                <w:sz w:val="18"/>
                <w:szCs w:val="18"/>
              </w:rPr>
              <w:t>292,90</w:t>
            </w:r>
          </w:p>
        </w:tc>
        <w:tc>
          <w:tcPr>
            <w:tcW w:w="382" w:type="pct"/>
            <w:tcBorders>
              <w:top w:val="nil"/>
              <w:left w:val="nil"/>
              <w:bottom w:val="single" w:sz="8" w:space="0" w:color="auto"/>
              <w:right w:val="single" w:sz="8" w:space="0" w:color="auto"/>
            </w:tcBorders>
            <w:shd w:val="clear" w:color="auto" w:fill="auto"/>
            <w:vAlign w:val="center"/>
          </w:tcPr>
          <w:p w14:paraId="4ECBB9D1" w14:textId="1D0D8666" w:rsidR="00613867" w:rsidRPr="00BD7E1C" w:rsidRDefault="00613867" w:rsidP="00613867">
            <w:pPr>
              <w:spacing w:after="0" w:line="240" w:lineRule="auto"/>
              <w:jc w:val="center"/>
              <w:rPr>
                <w:rFonts w:eastAsia="Times New Roman"/>
                <w:color w:val="auto"/>
                <w:sz w:val="16"/>
                <w:szCs w:val="16"/>
                <w:lang w:eastAsia="ru-RU"/>
              </w:rPr>
            </w:pPr>
            <w:r w:rsidRPr="00BD7E1C">
              <w:rPr>
                <w:color w:val="auto"/>
                <w:sz w:val="18"/>
                <w:szCs w:val="18"/>
              </w:rPr>
              <w:t>295,83</w:t>
            </w:r>
          </w:p>
        </w:tc>
        <w:tc>
          <w:tcPr>
            <w:tcW w:w="386" w:type="pct"/>
            <w:tcBorders>
              <w:top w:val="nil"/>
              <w:left w:val="nil"/>
              <w:bottom w:val="single" w:sz="8" w:space="0" w:color="auto"/>
              <w:right w:val="single" w:sz="8" w:space="0" w:color="auto"/>
            </w:tcBorders>
            <w:shd w:val="clear" w:color="auto" w:fill="auto"/>
            <w:vAlign w:val="center"/>
          </w:tcPr>
          <w:p w14:paraId="78A46D5A" w14:textId="63175FDE" w:rsidR="00613867" w:rsidRPr="00BD7E1C" w:rsidRDefault="00613867" w:rsidP="00613867">
            <w:pPr>
              <w:spacing w:after="0" w:line="240" w:lineRule="auto"/>
              <w:jc w:val="center"/>
              <w:rPr>
                <w:rFonts w:eastAsia="Times New Roman"/>
                <w:color w:val="auto"/>
                <w:sz w:val="16"/>
                <w:szCs w:val="16"/>
                <w:lang w:eastAsia="ru-RU"/>
              </w:rPr>
            </w:pPr>
            <w:r w:rsidRPr="00BD7E1C">
              <w:rPr>
                <w:color w:val="auto"/>
                <w:sz w:val="18"/>
                <w:szCs w:val="18"/>
              </w:rPr>
              <w:t> </w:t>
            </w:r>
          </w:p>
        </w:tc>
        <w:tc>
          <w:tcPr>
            <w:tcW w:w="385" w:type="pct"/>
            <w:tcBorders>
              <w:top w:val="nil"/>
              <w:left w:val="nil"/>
              <w:bottom w:val="single" w:sz="8" w:space="0" w:color="auto"/>
              <w:right w:val="single" w:sz="8" w:space="0" w:color="auto"/>
            </w:tcBorders>
            <w:shd w:val="clear" w:color="auto" w:fill="auto"/>
            <w:vAlign w:val="center"/>
          </w:tcPr>
          <w:p w14:paraId="5703FB26" w14:textId="44F33183" w:rsidR="00613867" w:rsidRPr="00BD7E1C" w:rsidRDefault="00613867" w:rsidP="00613867">
            <w:pPr>
              <w:spacing w:after="0" w:line="240" w:lineRule="auto"/>
              <w:jc w:val="center"/>
              <w:rPr>
                <w:rFonts w:eastAsia="Times New Roman"/>
                <w:color w:val="auto"/>
                <w:sz w:val="16"/>
                <w:szCs w:val="16"/>
                <w:lang w:eastAsia="ru-RU"/>
              </w:rPr>
            </w:pPr>
            <w:r w:rsidRPr="00BD7E1C">
              <w:rPr>
                <w:color w:val="auto"/>
                <w:sz w:val="18"/>
                <w:szCs w:val="18"/>
              </w:rPr>
              <w:t>292,90</w:t>
            </w:r>
          </w:p>
        </w:tc>
        <w:tc>
          <w:tcPr>
            <w:tcW w:w="408" w:type="pct"/>
            <w:tcBorders>
              <w:top w:val="nil"/>
              <w:left w:val="nil"/>
              <w:bottom w:val="single" w:sz="8" w:space="0" w:color="auto"/>
              <w:right w:val="single" w:sz="8" w:space="0" w:color="auto"/>
            </w:tcBorders>
            <w:shd w:val="clear" w:color="auto" w:fill="auto"/>
            <w:vAlign w:val="center"/>
          </w:tcPr>
          <w:p w14:paraId="4EC6B88C" w14:textId="02DD9192" w:rsidR="00613867" w:rsidRPr="00BD7E1C" w:rsidRDefault="00613867" w:rsidP="00613867">
            <w:pPr>
              <w:spacing w:after="0" w:line="240" w:lineRule="auto"/>
              <w:jc w:val="center"/>
              <w:rPr>
                <w:rFonts w:eastAsia="Times New Roman"/>
                <w:color w:val="auto"/>
                <w:sz w:val="16"/>
                <w:szCs w:val="16"/>
                <w:lang w:eastAsia="ru-RU"/>
              </w:rPr>
            </w:pPr>
            <w:r w:rsidRPr="00BD7E1C">
              <w:rPr>
                <w:color w:val="auto"/>
                <w:sz w:val="18"/>
                <w:szCs w:val="18"/>
              </w:rPr>
              <w:t>295,83</w:t>
            </w:r>
          </w:p>
        </w:tc>
        <w:tc>
          <w:tcPr>
            <w:tcW w:w="462" w:type="pct"/>
            <w:tcBorders>
              <w:top w:val="nil"/>
              <w:left w:val="nil"/>
              <w:bottom w:val="single" w:sz="8" w:space="0" w:color="auto"/>
              <w:right w:val="single" w:sz="8" w:space="0" w:color="auto"/>
            </w:tcBorders>
            <w:shd w:val="clear" w:color="auto" w:fill="auto"/>
            <w:vAlign w:val="center"/>
          </w:tcPr>
          <w:p w14:paraId="38A2A13C" w14:textId="1CC5E9F5" w:rsidR="00613867" w:rsidRPr="00BD7E1C" w:rsidRDefault="00613867" w:rsidP="00613867">
            <w:pPr>
              <w:spacing w:after="0" w:line="240" w:lineRule="auto"/>
              <w:jc w:val="center"/>
              <w:rPr>
                <w:rFonts w:eastAsia="Times New Roman"/>
                <w:color w:val="auto"/>
                <w:sz w:val="16"/>
                <w:szCs w:val="16"/>
                <w:lang w:eastAsia="ru-RU"/>
              </w:rPr>
            </w:pPr>
            <w:r w:rsidRPr="00BD7E1C">
              <w:rPr>
                <w:color w:val="auto"/>
                <w:sz w:val="18"/>
                <w:szCs w:val="18"/>
              </w:rPr>
              <w:t> </w:t>
            </w:r>
          </w:p>
        </w:tc>
        <w:tc>
          <w:tcPr>
            <w:tcW w:w="467" w:type="pct"/>
            <w:gridSpan w:val="2"/>
            <w:tcBorders>
              <w:top w:val="nil"/>
              <w:left w:val="nil"/>
              <w:bottom w:val="single" w:sz="8" w:space="0" w:color="auto"/>
              <w:right w:val="single" w:sz="8" w:space="0" w:color="auto"/>
            </w:tcBorders>
            <w:shd w:val="clear" w:color="auto" w:fill="auto"/>
            <w:vAlign w:val="center"/>
          </w:tcPr>
          <w:p w14:paraId="5210547C" w14:textId="5D90735F" w:rsidR="00613867" w:rsidRPr="00BD7E1C" w:rsidRDefault="00613867" w:rsidP="00613867">
            <w:pPr>
              <w:spacing w:after="0" w:line="240" w:lineRule="auto"/>
              <w:jc w:val="center"/>
              <w:rPr>
                <w:rFonts w:eastAsia="Times New Roman"/>
                <w:color w:val="auto"/>
                <w:sz w:val="16"/>
                <w:szCs w:val="16"/>
                <w:lang w:eastAsia="ru-RU"/>
              </w:rPr>
            </w:pPr>
            <w:r w:rsidRPr="00BD7E1C">
              <w:rPr>
                <w:color w:val="auto"/>
                <w:sz w:val="18"/>
                <w:szCs w:val="18"/>
              </w:rPr>
              <w:t> </w:t>
            </w:r>
          </w:p>
        </w:tc>
      </w:tr>
      <w:tr w:rsidR="00BD7E1C" w:rsidRPr="00BD7E1C" w14:paraId="43172A42" w14:textId="77777777" w:rsidTr="00E3296D">
        <w:trPr>
          <w:gridAfter w:val="1"/>
          <w:wAfter w:w="3" w:type="pct"/>
          <w:trHeight w:val="315"/>
        </w:trPr>
        <w:tc>
          <w:tcPr>
            <w:tcW w:w="530" w:type="pct"/>
            <w:vMerge w:val="restart"/>
            <w:tcBorders>
              <w:top w:val="nil"/>
              <w:left w:val="single" w:sz="8" w:space="0" w:color="auto"/>
              <w:bottom w:val="single" w:sz="8" w:space="0" w:color="000000"/>
              <w:right w:val="single" w:sz="8" w:space="0" w:color="auto"/>
            </w:tcBorders>
            <w:shd w:val="clear" w:color="auto" w:fill="auto"/>
            <w:vAlign w:val="center"/>
            <w:hideMark/>
          </w:tcPr>
          <w:p w14:paraId="4B338413" w14:textId="77777777" w:rsidR="00613867" w:rsidRPr="00BD7E1C" w:rsidRDefault="00613867" w:rsidP="00613867">
            <w:pPr>
              <w:spacing w:after="0" w:line="240" w:lineRule="auto"/>
              <w:jc w:val="center"/>
              <w:rPr>
                <w:rFonts w:eastAsia="Times New Roman"/>
                <w:b/>
                <w:bCs/>
                <w:color w:val="auto"/>
                <w:sz w:val="18"/>
                <w:szCs w:val="18"/>
                <w:lang w:eastAsia="ru-RU"/>
              </w:rPr>
            </w:pPr>
            <w:r w:rsidRPr="00BD7E1C">
              <w:rPr>
                <w:rFonts w:eastAsia="Times New Roman"/>
                <w:b/>
                <w:bCs/>
                <w:color w:val="auto"/>
                <w:sz w:val="18"/>
                <w:szCs w:val="18"/>
                <w:lang w:eastAsia="ru-RU"/>
              </w:rPr>
              <w:t>Ставка на содержание</w:t>
            </w:r>
          </w:p>
        </w:tc>
        <w:tc>
          <w:tcPr>
            <w:tcW w:w="416" w:type="pct"/>
            <w:tcBorders>
              <w:top w:val="nil"/>
              <w:left w:val="nil"/>
              <w:bottom w:val="single" w:sz="8" w:space="0" w:color="auto"/>
              <w:right w:val="single" w:sz="8" w:space="0" w:color="auto"/>
            </w:tcBorders>
            <w:shd w:val="clear" w:color="auto" w:fill="auto"/>
            <w:vAlign w:val="center"/>
            <w:hideMark/>
          </w:tcPr>
          <w:p w14:paraId="125E9A62" w14:textId="77777777" w:rsidR="00613867" w:rsidRPr="00BD7E1C" w:rsidRDefault="00613867" w:rsidP="00613867">
            <w:pPr>
              <w:spacing w:after="0" w:line="240" w:lineRule="auto"/>
              <w:jc w:val="center"/>
              <w:rPr>
                <w:rFonts w:eastAsia="Times New Roman"/>
                <w:color w:val="auto"/>
                <w:sz w:val="18"/>
                <w:szCs w:val="18"/>
                <w:lang w:eastAsia="ru-RU"/>
              </w:rPr>
            </w:pPr>
            <w:r w:rsidRPr="00BD7E1C">
              <w:rPr>
                <w:rFonts w:eastAsia="Times New Roman"/>
                <w:color w:val="auto"/>
                <w:sz w:val="18"/>
                <w:szCs w:val="18"/>
                <w:lang w:eastAsia="ru-RU"/>
              </w:rPr>
              <w:t>ВН</w:t>
            </w:r>
          </w:p>
        </w:tc>
        <w:tc>
          <w:tcPr>
            <w:tcW w:w="389" w:type="pct"/>
            <w:tcBorders>
              <w:top w:val="nil"/>
              <w:left w:val="nil"/>
              <w:bottom w:val="single" w:sz="8" w:space="0" w:color="auto"/>
              <w:right w:val="single" w:sz="8" w:space="0" w:color="auto"/>
            </w:tcBorders>
            <w:shd w:val="clear" w:color="auto" w:fill="auto"/>
            <w:vAlign w:val="center"/>
          </w:tcPr>
          <w:p w14:paraId="52554E09" w14:textId="62A60A6F" w:rsidR="00613867" w:rsidRPr="00BD7E1C" w:rsidRDefault="00613867" w:rsidP="00613867">
            <w:pPr>
              <w:spacing w:after="0" w:line="240" w:lineRule="auto"/>
              <w:jc w:val="center"/>
              <w:rPr>
                <w:rFonts w:eastAsia="Times New Roman"/>
                <w:color w:val="auto"/>
                <w:sz w:val="16"/>
                <w:szCs w:val="16"/>
                <w:lang w:eastAsia="ru-RU"/>
              </w:rPr>
            </w:pPr>
            <w:r w:rsidRPr="00BD7E1C">
              <w:rPr>
                <w:color w:val="auto"/>
                <w:sz w:val="18"/>
                <w:szCs w:val="18"/>
              </w:rPr>
              <w:t> </w:t>
            </w:r>
          </w:p>
        </w:tc>
        <w:tc>
          <w:tcPr>
            <w:tcW w:w="389" w:type="pct"/>
            <w:tcBorders>
              <w:top w:val="nil"/>
              <w:left w:val="nil"/>
              <w:bottom w:val="single" w:sz="8" w:space="0" w:color="auto"/>
              <w:right w:val="single" w:sz="8" w:space="0" w:color="auto"/>
            </w:tcBorders>
            <w:shd w:val="clear" w:color="auto" w:fill="auto"/>
            <w:vAlign w:val="center"/>
          </w:tcPr>
          <w:p w14:paraId="2D9F7E18" w14:textId="565B32A2" w:rsidR="00613867" w:rsidRPr="00BD7E1C" w:rsidRDefault="00613867" w:rsidP="00613867">
            <w:pPr>
              <w:spacing w:after="0" w:line="240" w:lineRule="auto"/>
              <w:jc w:val="center"/>
              <w:rPr>
                <w:rFonts w:eastAsia="Times New Roman"/>
                <w:color w:val="auto"/>
                <w:sz w:val="16"/>
                <w:szCs w:val="16"/>
                <w:lang w:eastAsia="ru-RU"/>
              </w:rPr>
            </w:pPr>
            <w:r w:rsidRPr="00BD7E1C">
              <w:rPr>
                <w:color w:val="auto"/>
                <w:sz w:val="18"/>
                <w:szCs w:val="18"/>
              </w:rPr>
              <w:t> </w:t>
            </w:r>
          </w:p>
        </w:tc>
        <w:tc>
          <w:tcPr>
            <w:tcW w:w="389" w:type="pct"/>
            <w:tcBorders>
              <w:top w:val="nil"/>
              <w:left w:val="nil"/>
              <w:bottom w:val="single" w:sz="8" w:space="0" w:color="auto"/>
              <w:right w:val="single" w:sz="8" w:space="0" w:color="auto"/>
            </w:tcBorders>
            <w:shd w:val="clear" w:color="auto" w:fill="auto"/>
            <w:vAlign w:val="center"/>
          </w:tcPr>
          <w:p w14:paraId="5AB53BDA" w14:textId="6C831BF7" w:rsidR="00613867" w:rsidRPr="00BD7E1C" w:rsidRDefault="00613867" w:rsidP="00613867">
            <w:pPr>
              <w:spacing w:after="0" w:line="240" w:lineRule="auto"/>
              <w:jc w:val="center"/>
              <w:rPr>
                <w:rFonts w:eastAsia="Times New Roman"/>
                <w:color w:val="auto"/>
                <w:sz w:val="16"/>
                <w:szCs w:val="16"/>
                <w:lang w:eastAsia="ru-RU"/>
              </w:rPr>
            </w:pPr>
            <w:r w:rsidRPr="00BD7E1C">
              <w:rPr>
                <w:color w:val="auto"/>
                <w:sz w:val="18"/>
                <w:szCs w:val="18"/>
              </w:rPr>
              <w:t> </w:t>
            </w:r>
          </w:p>
        </w:tc>
        <w:tc>
          <w:tcPr>
            <w:tcW w:w="394" w:type="pct"/>
            <w:tcBorders>
              <w:top w:val="nil"/>
              <w:left w:val="nil"/>
              <w:bottom w:val="single" w:sz="8" w:space="0" w:color="auto"/>
              <w:right w:val="single" w:sz="8" w:space="0" w:color="auto"/>
            </w:tcBorders>
            <w:shd w:val="clear" w:color="auto" w:fill="auto"/>
            <w:vAlign w:val="center"/>
          </w:tcPr>
          <w:p w14:paraId="75C611EE" w14:textId="0C0EA82D" w:rsidR="00613867" w:rsidRPr="00BD7E1C" w:rsidRDefault="00613867" w:rsidP="00613867">
            <w:pPr>
              <w:spacing w:after="0" w:line="240" w:lineRule="auto"/>
              <w:jc w:val="center"/>
              <w:rPr>
                <w:rFonts w:eastAsia="Times New Roman"/>
                <w:color w:val="auto"/>
                <w:sz w:val="16"/>
                <w:szCs w:val="16"/>
                <w:lang w:eastAsia="ru-RU"/>
              </w:rPr>
            </w:pPr>
            <w:r w:rsidRPr="00BD7E1C">
              <w:rPr>
                <w:color w:val="auto"/>
                <w:sz w:val="18"/>
                <w:szCs w:val="18"/>
              </w:rPr>
              <w:t> </w:t>
            </w:r>
          </w:p>
        </w:tc>
        <w:tc>
          <w:tcPr>
            <w:tcW w:w="382" w:type="pct"/>
            <w:tcBorders>
              <w:top w:val="nil"/>
              <w:left w:val="nil"/>
              <w:bottom w:val="single" w:sz="8" w:space="0" w:color="auto"/>
              <w:right w:val="single" w:sz="8" w:space="0" w:color="auto"/>
            </w:tcBorders>
            <w:shd w:val="clear" w:color="auto" w:fill="auto"/>
            <w:vAlign w:val="center"/>
          </w:tcPr>
          <w:p w14:paraId="4AAABB57" w14:textId="788902EC" w:rsidR="00613867" w:rsidRPr="00BD7E1C" w:rsidRDefault="00613867" w:rsidP="00613867">
            <w:pPr>
              <w:spacing w:after="0" w:line="240" w:lineRule="auto"/>
              <w:jc w:val="center"/>
              <w:rPr>
                <w:rFonts w:eastAsia="Times New Roman"/>
                <w:color w:val="auto"/>
                <w:sz w:val="16"/>
                <w:szCs w:val="16"/>
                <w:lang w:eastAsia="ru-RU"/>
              </w:rPr>
            </w:pPr>
            <w:r w:rsidRPr="00BD7E1C">
              <w:rPr>
                <w:color w:val="auto"/>
                <w:sz w:val="18"/>
                <w:szCs w:val="18"/>
              </w:rPr>
              <w:t> </w:t>
            </w:r>
          </w:p>
        </w:tc>
        <w:tc>
          <w:tcPr>
            <w:tcW w:w="386" w:type="pct"/>
            <w:tcBorders>
              <w:top w:val="nil"/>
              <w:left w:val="nil"/>
              <w:bottom w:val="single" w:sz="8" w:space="0" w:color="auto"/>
              <w:right w:val="single" w:sz="8" w:space="0" w:color="auto"/>
            </w:tcBorders>
            <w:shd w:val="clear" w:color="auto" w:fill="auto"/>
            <w:vAlign w:val="center"/>
          </w:tcPr>
          <w:p w14:paraId="12E1D765" w14:textId="6E3ECABB" w:rsidR="00613867" w:rsidRPr="00BD7E1C" w:rsidRDefault="00613867" w:rsidP="00613867">
            <w:pPr>
              <w:spacing w:after="0" w:line="240" w:lineRule="auto"/>
              <w:jc w:val="center"/>
              <w:rPr>
                <w:rFonts w:eastAsia="Times New Roman"/>
                <w:color w:val="auto"/>
                <w:sz w:val="16"/>
                <w:szCs w:val="16"/>
                <w:lang w:eastAsia="ru-RU"/>
              </w:rPr>
            </w:pPr>
            <w:r w:rsidRPr="00BD7E1C">
              <w:rPr>
                <w:color w:val="auto"/>
                <w:sz w:val="18"/>
                <w:szCs w:val="18"/>
              </w:rPr>
              <w:t> </w:t>
            </w:r>
          </w:p>
        </w:tc>
        <w:tc>
          <w:tcPr>
            <w:tcW w:w="385" w:type="pct"/>
            <w:tcBorders>
              <w:top w:val="nil"/>
              <w:left w:val="nil"/>
              <w:bottom w:val="single" w:sz="8" w:space="0" w:color="auto"/>
              <w:right w:val="single" w:sz="8" w:space="0" w:color="auto"/>
            </w:tcBorders>
            <w:shd w:val="clear" w:color="auto" w:fill="auto"/>
            <w:vAlign w:val="center"/>
          </w:tcPr>
          <w:p w14:paraId="7D10E88C" w14:textId="2CD3A080" w:rsidR="00613867" w:rsidRPr="00BD7E1C" w:rsidRDefault="00613867" w:rsidP="00613867">
            <w:pPr>
              <w:spacing w:after="0" w:line="240" w:lineRule="auto"/>
              <w:jc w:val="center"/>
              <w:rPr>
                <w:rFonts w:eastAsia="Times New Roman"/>
                <w:color w:val="auto"/>
                <w:sz w:val="16"/>
                <w:szCs w:val="16"/>
                <w:lang w:eastAsia="ru-RU"/>
              </w:rPr>
            </w:pPr>
            <w:r w:rsidRPr="00BD7E1C">
              <w:rPr>
                <w:color w:val="auto"/>
                <w:sz w:val="18"/>
                <w:szCs w:val="18"/>
              </w:rPr>
              <w:t> </w:t>
            </w:r>
          </w:p>
        </w:tc>
        <w:tc>
          <w:tcPr>
            <w:tcW w:w="408" w:type="pct"/>
            <w:tcBorders>
              <w:top w:val="nil"/>
              <w:left w:val="nil"/>
              <w:bottom w:val="single" w:sz="8" w:space="0" w:color="auto"/>
              <w:right w:val="single" w:sz="8" w:space="0" w:color="auto"/>
            </w:tcBorders>
            <w:shd w:val="clear" w:color="auto" w:fill="auto"/>
            <w:vAlign w:val="center"/>
          </w:tcPr>
          <w:p w14:paraId="0CB63F2B" w14:textId="039A8149" w:rsidR="00613867" w:rsidRPr="00BD7E1C" w:rsidRDefault="00613867" w:rsidP="00613867">
            <w:pPr>
              <w:spacing w:after="0" w:line="240" w:lineRule="auto"/>
              <w:jc w:val="center"/>
              <w:rPr>
                <w:rFonts w:eastAsia="Times New Roman"/>
                <w:color w:val="auto"/>
                <w:sz w:val="16"/>
                <w:szCs w:val="16"/>
                <w:lang w:eastAsia="ru-RU"/>
              </w:rPr>
            </w:pPr>
            <w:r w:rsidRPr="00BD7E1C">
              <w:rPr>
                <w:color w:val="auto"/>
                <w:sz w:val="18"/>
                <w:szCs w:val="18"/>
              </w:rPr>
              <w:t> </w:t>
            </w:r>
          </w:p>
        </w:tc>
        <w:tc>
          <w:tcPr>
            <w:tcW w:w="462" w:type="pct"/>
            <w:tcBorders>
              <w:top w:val="nil"/>
              <w:left w:val="nil"/>
              <w:bottom w:val="single" w:sz="8" w:space="0" w:color="auto"/>
              <w:right w:val="single" w:sz="8" w:space="0" w:color="auto"/>
            </w:tcBorders>
            <w:shd w:val="clear" w:color="auto" w:fill="auto"/>
            <w:vAlign w:val="center"/>
          </w:tcPr>
          <w:p w14:paraId="46A21549" w14:textId="19034E43" w:rsidR="00613867" w:rsidRPr="00BD7E1C" w:rsidRDefault="00613867" w:rsidP="00613867">
            <w:pPr>
              <w:spacing w:after="0" w:line="240" w:lineRule="auto"/>
              <w:jc w:val="center"/>
              <w:rPr>
                <w:rFonts w:eastAsia="Times New Roman"/>
                <w:color w:val="auto"/>
                <w:sz w:val="16"/>
                <w:szCs w:val="16"/>
                <w:lang w:eastAsia="ru-RU"/>
              </w:rPr>
            </w:pPr>
            <w:r w:rsidRPr="00BD7E1C">
              <w:rPr>
                <w:color w:val="auto"/>
                <w:sz w:val="18"/>
                <w:szCs w:val="18"/>
              </w:rPr>
              <w:t> </w:t>
            </w:r>
          </w:p>
        </w:tc>
        <w:tc>
          <w:tcPr>
            <w:tcW w:w="467" w:type="pct"/>
            <w:gridSpan w:val="2"/>
            <w:tcBorders>
              <w:top w:val="nil"/>
              <w:left w:val="nil"/>
              <w:bottom w:val="single" w:sz="8" w:space="0" w:color="auto"/>
              <w:right w:val="single" w:sz="8" w:space="0" w:color="auto"/>
            </w:tcBorders>
            <w:shd w:val="clear" w:color="auto" w:fill="auto"/>
            <w:vAlign w:val="center"/>
          </w:tcPr>
          <w:p w14:paraId="531761FE" w14:textId="18438F42" w:rsidR="00613867" w:rsidRPr="00BD7E1C" w:rsidRDefault="00613867" w:rsidP="00613867">
            <w:pPr>
              <w:spacing w:after="0" w:line="240" w:lineRule="auto"/>
              <w:jc w:val="center"/>
              <w:rPr>
                <w:rFonts w:eastAsia="Times New Roman"/>
                <w:color w:val="auto"/>
                <w:sz w:val="16"/>
                <w:szCs w:val="16"/>
                <w:lang w:eastAsia="ru-RU"/>
              </w:rPr>
            </w:pPr>
            <w:r w:rsidRPr="00BD7E1C">
              <w:rPr>
                <w:color w:val="auto"/>
                <w:sz w:val="18"/>
                <w:szCs w:val="18"/>
              </w:rPr>
              <w:t> </w:t>
            </w:r>
          </w:p>
        </w:tc>
      </w:tr>
      <w:tr w:rsidR="00BD7E1C" w:rsidRPr="00BD7E1C" w14:paraId="0D228B0A" w14:textId="77777777" w:rsidTr="00E3296D">
        <w:trPr>
          <w:gridAfter w:val="1"/>
          <w:wAfter w:w="3" w:type="pct"/>
          <w:trHeight w:val="315"/>
        </w:trPr>
        <w:tc>
          <w:tcPr>
            <w:tcW w:w="530" w:type="pct"/>
            <w:vMerge/>
            <w:tcBorders>
              <w:top w:val="nil"/>
              <w:left w:val="single" w:sz="8" w:space="0" w:color="auto"/>
              <w:bottom w:val="single" w:sz="8" w:space="0" w:color="000000"/>
              <w:right w:val="single" w:sz="8" w:space="0" w:color="auto"/>
            </w:tcBorders>
            <w:vAlign w:val="center"/>
            <w:hideMark/>
          </w:tcPr>
          <w:p w14:paraId="6ABD0FC6" w14:textId="77777777" w:rsidR="00613867" w:rsidRPr="00BD7E1C" w:rsidRDefault="00613867" w:rsidP="00613867">
            <w:pPr>
              <w:spacing w:after="0" w:line="240" w:lineRule="auto"/>
              <w:jc w:val="center"/>
              <w:rPr>
                <w:rFonts w:eastAsia="Times New Roman"/>
                <w:b/>
                <w:bCs/>
                <w:color w:val="auto"/>
                <w:sz w:val="18"/>
                <w:szCs w:val="18"/>
                <w:lang w:eastAsia="ru-RU"/>
              </w:rPr>
            </w:pPr>
          </w:p>
        </w:tc>
        <w:tc>
          <w:tcPr>
            <w:tcW w:w="416" w:type="pct"/>
            <w:tcBorders>
              <w:top w:val="nil"/>
              <w:left w:val="nil"/>
              <w:bottom w:val="single" w:sz="8" w:space="0" w:color="auto"/>
              <w:right w:val="single" w:sz="8" w:space="0" w:color="auto"/>
            </w:tcBorders>
            <w:shd w:val="clear" w:color="auto" w:fill="auto"/>
            <w:vAlign w:val="center"/>
            <w:hideMark/>
          </w:tcPr>
          <w:p w14:paraId="72130B0C" w14:textId="77777777" w:rsidR="00613867" w:rsidRPr="00BD7E1C" w:rsidRDefault="00613867" w:rsidP="00613867">
            <w:pPr>
              <w:spacing w:after="0" w:line="240" w:lineRule="auto"/>
              <w:jc w:val="center"/>
              <w:rPr>
                <w:rFonts w:eastAsia="Times New Roman"/>
                <w:color w:val="auto"/>
                <w:sz w:val="18"/>
                <w:szCs w:val="18"/>
                <w:lang w:eastAsia="ru-RU"/>
              </w:rPr>
            </w:pPr>
            <w:r w:rsidRPr="00BD7E1C">
              <w:rPr>
                <w:rFonts w:eastAsia="Times New Roman"/>
                <w:color w:val="auto"/>
                <w:sz w:val="18"/>
                <w:szCs w:val="18"/>
                <w:lang w:eastAsia="ru-RU"/>
              </w:rPr>
              <w:t>СН1</w:t>
            </w:r>
          </w:p>
        </w:tc>
        <w:tc>
          <w:tcPr>
            <w:tcW w:w="389" w:type="pct"/>
            <w:tcBorders>
              <w:top w:val="nil"/>
              <w:left w:val="nil"/>
              <w:bottom w:val="single" w:sz="8" w:space="0" w:color="auto"/>
              <w:right w:val="single" w:sz="8" w:space="0" w:color="auto"/>
            </w:tcBorders>
            <w:shd w:val="clear" w:color="auto" w:fill="auto"/>
            <w:vAlign w:val="center"/>
          </w:tcPr>
          <w:p w14:paraId="5F9BCFAE" w14:textId="6A869F61" w:rsidR="00613867" w:rsidRPr="00BD7E1C" w:rsidRDefault="00613867" w:rsidP="00613867">
            <w:pPr>
              <w:spacing w:after="0" w:line="240" w:lineRule="auto"/>
              <w:jc w:val="center"/>
              <w:rPr>
                <w:rFonts w:eastAsia="Times New Roman"/>
                <w:color w:val="auto"/>
                <w:sz w:val="16"/>
                <w:szCs w:val="16"/>
                <w:lang w:eastAsia="ru-RU"/>
              </w:rPr>
            </w:pPr>
            <w:r w:rsidRPr="00BD7E1C">
              <w:rPr>
                <w:color w:val="auto"/>
                <w:sz w:val="18"/>
                <w:szCs w:val="18"/>
              </w:rPr>
              <w:t> </w:t>
            </w:r>
          </w:p>
        </w:tc>
        <w:tc>
          <w:tcPr>
            <w:tcW w:w="389" w:type="pct"/>
            <w:tcBorders>
              <w:top w:val="nil"/>
              <w:left w:val="nil"/>
              <w:bottom w:val="single" w:sz="8" w:space="0" w:color="auto"/>
              <w:right w:val="single" w:sz="8" w:space="0" w:color="auto"/>
            </w:tcBorders>
            <w:shd w:val="clear" w:color="auto" w:fill="auto"/>
            <w:vAlign w:val="center"/>
          </w:tcPr>
          <w:p w14:paraId="777B3E05" w14:textId="322E60DD" w:rsidR="00613867" w:rsidRPr="00BD7E1C" w:rsidRDefault="00613867" w:rsidP="00613867">
            <w:pPr>
              <w:spacing w:after="0" w:line="240" w:lineRule="auto"/>
              <w:jc w:val="center"/>
              <w:rPr>
                <w:rFonts w:eastAsia="Times New Roman"/>
                <w:color w:val="auto"/>
                <w:sz w:val="16"/>
                <w:szCs w:val="16"/>
                <w:lang w:eastAsia="ru-RU"/>
              </w:rPr>
            </w:pPr>
            <w:r w:rsidRPr="00BD7E1C">
              <w:rPr>
                <w:color w:val="auto"/>
                <w:sz w:val="18"/>
                <w:szCs w:val="18"/>
              </w:rPr>
              <w:t> </w:t>
            </w:r>
          </w:p>
        </w:tc>
        <w:tc>
          <w:tcPr>
            <w:tcW w:w="389" w:type="pct"/>
            <w:tcBorders>
              <w:top w:val="nil"/>
              <w:left w:val="nil"/>
              <w:bottom w:val="single" w:sz="8" w:space="0" w:color="auto"/>
              <w:right w:val="single" w:sz="8" w:space="0" w:color="auto"/>
            </w:tcBorders>
            <w:shd w:val="clear" w:color="auto" w:fill="auto"/>
            <w:vAlign w:val="center"/>
          </w:tcPr>
          <w:p w14:paraId="4E0730AA" w14:textId="0D90FB52" w:rsidR="00613867" w:rsidRPr="00BD7E1C" w:rsidRDefault="00613867" w:rsidP="00613867">
            <w:pPr>
              <w:spacing w:after="0" w:line="240" w:lineRule="auto"/>
              <w:jc w:val="center"/>
              <w:rPr>
                <w:rFonts w:eastAsia="Times New Roman"/>
                <w:color w:val="auto"/>
                <w:sz w:val="16"/>
                <w:szCs w:val="16"/>
                <w:lang w:eastAsia="ru-RU"/>
              </w:rPr>
            </w:pPr>
            <w:r w:rsidRPr="00BD7E1C">
              <w:rPr>
                <w:color w:val="auto"/>
                <w:sz w:val="18"/>
                <w:szCs w:val="18"/>
              </w:rPr>
              <w:t> </w:t>
            </w:r>
          </w:p>
        </w:tc>
        <w:tc>
          <w:tcPr>
            <w:tcW w:w="394" w:type="pct"/>
            <w:tcBorders>
              <w:top w:val="nil"/>
              <w:left w:val="nil"/>
              <w:bottom w:val="single" w:sz="8" w:space="0" w:color="auto"/>
              <w:right w:val="single" w:sz="8" w:space="0" w:color="auto"/>
            </w:tcBorders>
            <w:shd w:val="clear" w:color="auto" w:fill="auto"/>
            <w:vAlign w:val="center"/>
          </w:tcPr>
          <w:p w14:paraId="04E2C480" w14:textId="2124589D" w:rsidR="00613867" w:rsidRPr="00BD7E1C" w:rsidRDefault="00613867" w:rsidP="00613867">
            <w:pPr>
              <w:spacing w:after="0" w:line="240" w:lineRule="auto"/>
              <w:jc w:val="center"/>
              <w:rPr>
                <w:rFonts w:eastAsia="Times New Roman"/>
                <w:color w:val="auto"/>
                <w:sz w:val="16"/>
                <w:szCs w:val="16"/>
                <w:lang w:eastAsia="ru-RU"/>
              </w:rPr>
            </w:pPr>
            <w:r w:rsidRPr="00BD7E1C">
              <w:rPr>
                <w:color w:val="auto"/>
                <w:sz w:val="18"/>
                <w:szCs w:val="18"/>
              </w:rPr>
              <w:t> </w:t>
            </w:r>
          </w:p>
        </w:tc>
        <w:tc>
          <w:tcPr>
            <w:tcW w:w="382" w:type="pct"/>
            <w:tcBorders>
              <w:top w:val="nil"/>
              <w:left w:val="nil"/>
              <w:bottom w:val="single" w:sz="8" w:space="0" w:color="auto"/>
              <w:right w:val="single" w:sz="8" w:space="0" w:color="auto"/>
            </w:tcBorders>
            <w:shd w:val="clear" w:color="auto" w:fill="auto"/>
            <w:vAlign w:val="center"/>
          </w:tcPr>
          <w:p w14:paraId="0A9914B5" w14:textId="5DF8B422" w:rsidR="00613867" w:rsidRPr="00BD7E1C" w:rsidRDefault="00613867" w:rsidP="00613867">
            <w:pPr>
              <w:spacing w:after="0" w:line="240" w:lineRule="auto"/>
              <w:jc w:val="center"/>
              <w:rPr>
                <w:rFonts w:eastAsia="Times New Roman"/>
                <w:color w:val="auto"/>
                <w:sz w:val="16"/>
                <w:szCs w:val="16"/>
                <w:lang w:eastAsia="ru-RU"/>
              </w:rPr>
            </w:pPr>
            <w:r w:rsidRPr="00BD7E1C">
              <w:rPr>
                <w:color w:val="auto"/>
                <w:sz w:val="18"/>
                <w:szCs w:val="18"/>
              </w:rPr>
              <w:t> </w:t>
            </w:r>
          </w:p>
        </w:tc>
        <w:tc>
          <w:tcPr>
            <w:tcW w:w="386" w:type="pct"/>
            <w:tcBorders>
              <w:top w:val="nil"/>
              <w:left w:val="nil"/>
              <w:bottom w:val="single" w:sz="8" w:space="0" w:color="auto"/>
              <w:right w:val="single" w:sz="8" w:space="0" w:color="auto"/>
            </w:tcBorders>
            <w:shd w:val="clear" w:color="auto" w:fill="auto"/>
            <w:vAlign w:val="center"/>
          </w:tcPr>
          <w:p w14:paraId="2DBC0BB1" w14:textId="507130A3" w:rsidR="00613867" w:rsidRPr="00BD7E1C" w:rsidRDefault="00613867" w:rsidP="00613867">
            <w:pPr>
              <w:spacing w:after="0" w:line="240" w:lineRule="auto"/>
              <w:jc w:val="center"/>
              <w:rPr>
                <w:rFonts w:eastAsia="Times New Roman"/>
                <w:color w:val="auto"/>
                <w:sz w:val="16"/>
                <w:szCs w:val="16"/>
                <w:lang w:eastAsia="ru-RU"/>
              </w:rPr>
            </w:pPr>
            <w:r w:rsidRPr="00BD7E1C">
              <w:rPr>
                <w:color w:val="auto"/>
                <w:sz w:val="18"/>
                <w:szCs w:val="18"/>
              </w:rPr>
              <w:t> </w:t>
            </w:r>
          </w:p>
        </w:tc>
        <w:tc>
          <w:tcPr>
            <w:tcW w:w="385" w:type="pct"/>
            <w:tcBorders>
              <w:top w:val="nil"/>
              <w:left w:val="nil"/>
              <w:bottom w:val="single" w:sz="8" w:space="0" w:color="auto"/>
              <w:right w:val="single" w:sz="8" w:space="0" w:color="auto"/>
            </w:tcBorders>
            <w:shd w:val="clear" w:color="auto" w:fill="auto"/>
            <w:vAlign w:val="center"/>
          </w:tcPr>
          <w:p w14:paraId="22195806" w14:textId="0BFC0889" w:rsidR="00613867" w:rsidRPr="00BD7E1C" w:rsidRDefault="00613867" w:rsidP="00613867">
            <w:pPr>
              <w:spacing w:after="0" w:line="240" w:lineRule="auto"/>
              <w:jc w:val="center"/>
              <w:rPr>
                <w:rFonts w:eastAsia="Times New Roman"/>
                <w:color w:val="auto"/>
                <w:sz w:val="16"/>
                <w:szCs w:val="16"/>
                <w:lang w:eastAsia="ru-RU"/>
              </w:rPr>
            </w:pPr>
            <w:r w:rsidRPr="00BD7E1C">
              <w:rPr>
                <w:color w:val="auto"/>
                <w:sz w:val="18"/>
                <w:szCs w:val="18"/>
              </w:rPr>
              <w:t> </w:t>
            </w:r>
          </w:p>
        </w:tc>
        <w:tc>
          <w:tcPr>
            <w:tcW w:w="408" w:type="pct"/>
            <w:tcBorders>
              <w:top w:val="nil"/>
              <w:left w:val="nil"/>
              <w:bottom w:val="single" w:sz="8" w:space="0" w:color="auto"/>
              <w:right w:val="single" w:sz="8" w:space="0" w:color="auto"/>
            </w:tcBorders>
            <w:shd w:val="clear" w:color="auto" w:fill="auto"/>
            <w:vAlign w:val="center"/>
          </w:tcPr>
          <w:p w14:paraId="4152A609" w14:textId="560B8CB3" w:rsidR="00613867" w:rsidRPr="00BD7E1C" w:rsidRDefault="00613867" w:rsidP="00613867">
            <w:pPr>
              <w:spacing w:after="0" w:line="240" w:lineRule="auto"/>
              <w:jc w:val="center"/>
              <w:rPr>
                <w:rFonts w:eastAsia="Times New Roman"/>
                <w:color w:val="auto"/>
                <w:sz w:val="16"/>
                <w:szCs w:val="16"/>
                <w:lang w:eastAsia="ru-RU"/>
              </w:rPr>
            </w:pPr>
            <w:r w:rsidRPr="00BD7E1C">
              <w:rPr>
                <w:color w:val="auto"/>
                <w:sz w:val="18"/>
                <w:szCs w:val="18"/>
              </w:rPr>
              <w:t> </w:t>
            </w:r>
          </w:p>
        </w:tc>
        <w:tc>
          <w:tcPr>
            <w:tcW w:w="462" w:type="pct"/>
            <w:tcBorders>
              <w:top w:val="nil"/>
              <w:left w:val="nil"/>
              <w:bottom w:val="single" w:sz="8" w:space="0" w:color="auto"/>
              <w:right w:val="single" w:sz="8" w:space="0" w:color="auto"/>
            </w:tcBorders>
            <w:shd w:val="clear" w:color="auto" w:fill="auto"/>
            <w:vAlign w:val="center"/>
          </w:tcPr>
          <w:p w14:paraId="1AB88887" w14:textId="64E5C5D2" w:rsidR="00613867" w:rsidRPr="00BD7E1C" w:rsidRDefault="00613867" w:rsidP="00613867">
            <w:pPr>
              <w:spacing w:after="0" w:line="240" w:lineRule="auto"/>
              <w:jc w:val="center"/>
              <w:rPr>
                <w:rFonts w:eastAsia="Times New Roman"/>
                <w:color w:val="auto"/>
                <w:sz w:val="16"/>
                <w:szCs w:val="16"/>
                <w:lang w:eastAsia="ru-RU"/>
              </w:rPr>
            </w:pPr>
            <w:r w:rsidRPr="00BD7E1C">
              <w:rPr>
                <w:color w:val="auto"/>
                <w:sz w:val="18"/>
                <w:szCs w:val="18"/>
              </w:rPr>
              <w:t> </w:t>
            </w:r>
          </w:p>
        </w:tc>
        <w:tc>
          <w:tcPr>
            <w:tcW w:w="467" w:type="pct"/>
            <w:gridSpan w:val="2"/>
            <w:tcBorders>
              <w:top w:val="nil"/>
              <w:left w:val="nil"/>
              <w:bottom w:val="single" w:sz="8" w:space="0" w:color="auto"/>
              <w:right w:val="single" w:sz="8" w:space="0" w:color="auto"/>
            </w:tcBorders>
            <w:shd w:val="clear" w:color="auto" w:fill="auto"/>
            <w:vAlign w:val="center"/>
          </w:tcPr>
          <w:p w14:paraId="345A740B" w14:textId="65722C2C" w:rsidR="00613867" w:rsidRPr="00BD7E1C" w:rsidRDefault="00613867" w:rsidP="00613867">
            <w:pPr>
              <w:spacing w:after="0" w:line="240" w:lineRule="auto"/>
              <w:jc w:val="center"/>
              <w:rPr>
                <w:rFonts w:eastAsia="Times New Roman"/>
                <w:color w:val="auto"/>
                <w:sz w:val="16"/>
                <w:szCs w:val="16"/>
                <w:lang w:eastAsia="ru-RU"/>
              </w:rPr>
            </w:pPr>
            <w:r w:rsidRPr="00BD7E1C">
              <w:rPr>
                <w:color w:val="auto"/>
                <w:sz w:val="18"/>
                <w:szCs w:val="18"/>
              </w:rPr>
              <w:t> </w:t>
            </w:r>
          </w:p>
        </w:tc>
      </w:tr>
      <w:tr w:rsidR="00BD7E1C" w:rsidRPr="00BD7E1C" w14:paraId="78171F88" w14:textId="77777777" w:rsidTr="00E3296D">
        <w:trPr>
          <w:gridAfter w:val="1"/>
          <w:wAfter w:w="3" w:type="pct"/>
          <w:trHeight w:val="315"/>
        </w:trPr>
        <w:tc>
          <w:tcPr>
            <w:tcW w:w="530" w:type="pct"/>
            <w:vMerge/>
            <w:tcBorders>
              <w:top w:val="nil"/>
              <w:left w:val="single" w:sz="8" w:space="0" w:color="auto"/>
              <w:bottom w:val="single" w:sz="8" w:space="0" w:color="000000"/>
              <w:right w:val="single" w:sz="8" w:space="0" w:color="auto"/>
            </w:tcBorders>
            <w:vAlign w:val="center"/>
            <w:hideMark/>
          </w:tcPr>
          <w:p w14:paraId="013CA53A" w14:textId="77777777" w:rsidR="00613867" w:rsidRPr="00BD7E1C" w:rsidRDefault="00613867" w:rsidP="00613867">
            <w:pPr>
              <w:spacing w:after="0" w:line="240" w:lineRule="auto"/>
              <w:jc w:val="center"/>
              <w:rPr>
                <w:rFonts w:eastAsia="Times New Roman"/>
                <w:b/>
                <w:bCs/>
                <w:color w:val="auto"/>
                <w:sz w:val="18"/>
                <w:szCs w:val="18"/>
                <w:lang w:eastAsia="ru-RU"/>
              </w:rPr>
            </w:pPr>
          </w:p>
        </w:tc>
        <w:tc>
          <w:tcPr>
            <w:tcW w:w="416" w:type="pct"/>
            <w:tcBorders>
              <w:top w:val="nil"/>
              <w:left w:val="nil"/>
              <w:bottom w:val="single" w:sz="8" w:space="0" w:color="auto"/>
              <w:right w:val="single" w:sz="8" w:space="0" w:color="auto"/>
            </w:tcBorders>
            <w:shd w:val="clear" w:color="auto" w:fill="auto"/>
            <w:vAlign w:val="center"/>
            <w:hideMark/>
          </w:tcPr>
          <w:p w14:paraId="0E9B4417" w14:textId="77777777" w:rsidR="00613867" w:rsidRPr="00BD7E1C" w:rsidRDefault="00613867" w:rsidP="00613867">
            <w:pPr>
              <w:spacing w:after="0" w:line="240" w:lineRule="auto"/>
              <w:jc w:val="center"/>
              <w:rPr>
                <w:rFonts w:eastAsia="Times New Roman"/>
                <w:color w:val="auto"/>
                <w:sz w:val="18"/>
                <w:szCs w:val="18"/>
                <w:lang w:eastAsia="ru-RU"/>
              </w:rPr>
            </w:pPr>
            <w:r w:rsidRPr="00BD7E1C">
              <w:rPr>
                <w:rFonts w:eastAsia="Times New Roman"/>
                <w:color w:val="auto"/>
                <w:sz w:val="18"/>
                <w:szCs w:val="18"/>
                <w:lang w:eastAsia="ru-RU"/>
              </w:rPr>
              <w:t>СН2</w:t>
            </w:r>
          </w:p>
        </w:tc>
        <w:tc>
          <w:tcPr>
            <w:tcW w:w="389" w:type="pct"/>
            <w:tcBorders>
              <w:top w:val="nil"/>
              <w:left w:val="nil"/>
              <w:bottom w:val="single" w:sz="8" w:space="0" w:color="auto"/>
              <w:right w:val="single" w:sz="8" w:space="0" w:color="auto"/>
            </w:tcBorders>
            <w:shd w:val="clear" w:color="auto" w:fill="auto"/>
            <w:vAlign w:val="center"/>
          </w:tcPr>
          <w:p w14:paraId="758FEBAA" w14:textId="1EA389F5" w:rsidR="00613867" w:rsidRPr="00BD7E1C" w:rsidRDefault="00613867" w:rsidP="00613867">
            <w:pPr>
              <w:spacing w:after="0" w:line="240" w:lineRule="auto"/>
              <w:jc w:val="center"/>
              <w:rPr>
                <w:rFonts w:eastAsia="Times New Roman"/>
                <w:color w:val="auto"/>
                <w:sz w:val="16"/>
                <w:szCs w:val="16"/>
                <w:lang w:eastAsia="ru-RU"/>
              </w:rPr>
            </w:pPr>
            <w:r w:rsidRPr="00BD7E1C">
              <w:rPr>
                <w:color w:val="auto"/>
                <w:sz w:val="18"/>
                <w:szCs w:val="18"/>
              </w:rPr>
              <w:t>1 225 774,99</w:t>
            </w:r>
          </w:p>
        </w:tc>
        <w:tc>
          <w:tcPr>
            <w:tcW w:w="389" w:type="pct"/>
            <w:tcBorders>
              <w:top w:val="nil"/>
              <w:left w:val="nil"/>
              <w:bottom w:val="single" w:sz="8" w:space="0" w:color="auto"/>
              <w:right w:val="single" w:sz="8" w:space="0" w:color="auto"/>
            </w:tcBorders>
            <w:shd w:val="clear" w:color="auto" w:fill="auto"/>
            <w:vAlign w:val="center"/>
          </w:tcPr>
          <w:p w14:paraId="2D50BEC6" w14:textId="555FBC13" w:rsidR="00613867" w:rsidRPr="00BD7E1C" w:rsidRDefault="00613867" w:rsidP="00613867">
            <w:pPr>
              <w:spacing w:after="0" w:line="240" w:lineRule="auto"/>
              <w:jc w:val="center"/>
              <w:rPr>
                <w:rFonts w:eastAsia="Times New Roman"/>
                <w:color w:val="auto"/>
                <w:sz w:val="16"/>
                <w:szCs w:val="16"/>
                <w:lang w:eastAsia="ru-RU"/>
              </w:rPr>
            </w:pPr>
            <w:r w:rsidRPr="00BD7E1C">
              <w:rPr>
                <w:color w:val="auto"/>
                <w:sz w:val="18"/>
                <w:szCs w:val="18"/>
              </w:rPr>
              <w:t>1 287 063,74</w:t>
            </w:r>
          </w:p>
        </w:tc>
        <w:tc>
          <w:tcPr>
            <w:tcW w:w="389" w:type="pct"/>
            <w:tcBorders>
              <w:top w:val="nil"/>
              <w:left w:val="nil"/>
              <w:bottom w:val="single" w:sz="8" w:space="0" w:color="auto"/>
              <w:right w:val="single" w:sz="8" w:space="0" w:color="auto"/>
            </w:tcBorders>
            <w:shd w:val="clear" w:color="auto" w:fill="auto"/>
            <w:vAlign w:val="center"/>
          </w:tcPr>
          <w:p w14:paraId="0DB38447" w14:textId="41FFBC81" w:rsidR="00613867" w:rsidRPr="00BD7E1C" w:rsidRDefault="00613867" w:rsidP="00613867">
            <w:pPr>
              <w:spacing w:after="0" w:line="240" w:lineRule="auto"/>
              <w:jc w:val="center"/>
              <w:rPr>
                <w:rFonts w:eastAsia="Times New Roman"/>
                <w:color w:val="auto"/>
                <w:sz w:val="16"/>
                <w:szCs w:val="16"/>
                <w:lang w:eastAsia="ru-RU"/>
              </w:rPr>
            </w:pPr>
            <w:r w:rsidRPr="00BD7E1C">
              <w:rPr>
                <w:color w:val="auto"/>
                <w:sz w:val="18"/>
                <w:szCs w:val="18"/>
              </w:rPr>
              <w:t> </w:t>
            </w:r>
          </w:p>
        </w:tc>
        <w:tc>
          <w:tcPr>
            <w:tcW w:w="394" w:type="pct"/>
            <w:tcBorders>
              <w:top w:val="nil"/>
              <w:left w:val="nil"/>
              <w:bottom w:val="single" w:sz="8" w:space="0" w:color="auto"/>
              <w:right w:val="single" w:sz="8" w:space="0" w:color="auto"/>
            </w:tcBorders>
            <w:shd w:val="clear" w:color="auto" w:fill="auto"/>
            <w:vAlign w:val="center"/>
          </w:tcPr>
          <w:p w14:paraId="3AE6632C" w14:textId="1F884579" w:rsidR="00613867" w:rsidRPr="00BD7E1C" w:rsidRDefault="00613867" w:rsidP="00613867">
            <w:pPr>
              <w:spacing w:after="0" w:line="240" w:lineRule="auto"/>
              <w:jc w:val="center"/>
              <w:rPr>
                <w:rFonts w:eastAsia="Times New Roman"/>
                <w:color w:val="auto"/>
                <w:sz w:val="16"/>
                <w:szCs w:val="16"/>
                <w:lang w:eastAsia="ru-RU"/>
              </w:rPr>
            </w:pPr>
            <w:r w:rsidRPr="00BD7E1C">
              <w:rPr>
                <w:color w:val="auto"/>
                <w:sz w:val="18"/>
                <w:szCs w:val="18"/>
              </w:rPr>
              <w:t> </w:t>
            </w:r>
          </w:p>
        </w:tc>
        <w:tc>
          <w:tcPr>
            <w:tcW w:w="382" w:type="pct"/>
            <w:tcBorders>
              <w:top w:val="nil"/>
              <w:left w:val="nil"/>
              <w:bottom w:val="single" w:sz="8" w:space="0" w:color="auto"/>
              <w:right w:val="single" w:sz="8" w:space="0" w:color="auto"/>
            </w:tcBorders>
            <w:shd w:val="clear" w:color="auto" w:fill="auto"/>
            <w:vAlign w:val="center"/>
          </w:tcPr>
          <w:p w14:paraId="33775E7C" w14:textId="60B2E3EF" w:rsidR="00613867" w:rsidRPr="00BD7E1C" w:rsidRDefault="00613867" w:rsidP="00613867">
            <w:pPr>
              <w:spacing w:after="0" w:line="240" w:lineRule="auto"/>
              <w:jc w:val="center"/>
              <w:rPr>
                <w:rFonts w:eastAsia="Times New Roman"/>
                <w:color w:val="auto"/>
                <w:sz w:val="16"/>
                <w:szCs w:val="16"/>
                <w:lang w:eastAsia="ru-RU"/>
              </w:rPr>
            </w:pPr>
            <w:r w:rsidRPr="00BD7E1C">
              <w:rPr>
                <w:color w:val="auto"/>
                <w:sz w:val="18"/>
                <w:szCs w:val="18"/>
              </w:rPr>
              <w:t> </w:t>
            </w:r>
          </w:p>
        </w:tc>
        <w:tc>
          <w:tcPr>
            <w:tcW w:w="386" w:type="pct"/>
            <w:tcBorders>
              <w:top w:val="nil"/>
              <w:left w:val="nil"/>
              <w:bottom w:val="single" w:sz="8" w:space="0" w:color="auto"/>
              <w:right w:val="single" w:sz="8" w:space="0" w:color="auto"/>
            </w:tcBorders>
            <w:shd w:val="clear" w:color="auto" w:fill="auto"/>
            <w:vAlign w:val="center"/>
          </w:tcPr>
          <w:p w14:paraId="05708A2D" w14:textId="138DC0BB" w:rsidR="00613867" w:rsidRPr="00BD7E1C" w:rsidRDefault="00613867" w:rsidP="00613867">
            <w:pPr>
              <w:spacing w:after="0" w:line="240" w:lineRule="auto"/>
              <w:jc w:val="center"/>
              <w:rPr>
                <w:rFonts w:eastAsia="Times New Roman"/>
                <w:color w:val="auto"/>
                <w:sz w:val="16"/>
                <w:szCs w:val="16"/>
                <w:lang w:eastAsia="ru-RU"/>
              </w:rPr>
            </w:pPr>
            <w:r w:rsidRPr="00BD7E1C">
              <w:rPr>
                <w:color w:val="auto"/>
                <w:sz w:val="18"/>
                <w:szCs w:val="18"/>
              </w:rPr>
              <w:t> </w:t>
            </w:r>
          </w:p>
        </w:tc>
        <w:tc>
          <w:tcPr>
            <w:tcW w:w="385" w:type="pct"/>
            <w:tcBorders>
              <w:top w:val="nil"/>
              <w:left w:val="nil"/>
              <w:bottom w:val="single" w:sz="8" w:space="0" w:color="auto"/>
              <w:right w:val="single" w:sz="8" w:space="0" w:color="auto"/>
            </w:tcBorders>
            <w:shd w:val="clear" w:color="auto" w:fill="auto"/>
            <w:vAlign w:val="center"/>
          </w:tcPr>
          <w:p w14:paraId="49718CA1" w14:textId="4577E22B" w:rsidR="00613867" w:rsidRPr="00BD7E1C" w:rsidRDefault="00613867" w:rsidP="00613867">
            <w:pPr>
              <w:spacing w:after="0" w:line="240" w:lineRule="auto"/>
              <w:jc w:val="center"/>
              <w:rPr>
                <w:rFonts w:eastAsia="Times New Roman"/>
                <w:color w:val="auto"/>
                <w:sz w:val="16"/>
                <w:szCs w:val="16"/>
                <w:lang w:eastAsia="ru-RU"/>
              </w:rPr>
            </w:pPr>
            <w:r w:rsidRPr="00BD7E1C">
              <w:rPr>
                <w:color w:val="auto"/>
                <w:sz w:val="18"/>
                <w:szCs w:val="18"/>
              </w:rPr>
              <w:t> </w:t>
            </w:r>
          </w:p>
        </w:tc>
        <w:tc>
          <w:tcPr>
            <w:tcW w:w="408" w:type="pct"/>
            <w:tcBorders>
              <w:top w:val="nil"/>
              <w:left w:val="nil"/>
              <w:bottom w:val="single" w:sz="8" w:space="0" w:color="auto"/>
              <w:right w:val="single" w:sz="8" w:space="0" w:color="auto"/>
            </w:tcBorders>
            <w:shd w:val="clear" w:color="auto" w:fill="auto"/>
            <w:vAlign w:val="center"/>
          </w:tcPr>
          <w:p w14:paraId="242CE3BE" w14:textId="7BD533A9" w:rsidR="00613867" w:rsidRPr="00BD7E1C" w:rsidRDefault="00613867" w:rsidP="00613867">
            <w:pPr>
              <w:spacing w:after="0" w:line="240" w:lineRule="auto"/>
              <w:jc w:val="center"/>
              <w:rPr>
                <w:rFonts w:eastAsia="Times New Roman"/>
                <w:color w:val="auto"/>
                <w:sz w:val="16"/>
                <w:szCs w:val="16"/>
                <w:lang w:eastAsia="ru-RU"/>
              </w:rPr>
            </w:pPr>
            <w:r w:rsidRPr="00BD7E1C">
              <w:rPr>
                <w:color w:val="auto"/>
                <w:sz w:val="18"/>
                <w:szCs w:val="18"/>
              </w:rPr>
              <w:t> </w:t>
            </w:r>
          </w:p>
        </w:tc>
        <w:tc>
          <w:tcPr>
            <w:tcW w:w="462" w:type="pct"/>
            <w:tcBorders>
              <w:top w:val="nil"/>
              <w:left w:val="nil"/>
              <w:bottom w:val="single" w:sz="8" w:space="0" w:color="auto"/>
              <w:right w:val="single" w:sz="8" w:space="0" w:color="auto"/>
            </w:tcBorders>
            <w:shd w:val="clear" w:color="auto" w:fill="auto"/>
            <w:vAlign w:val="center"/>
          </w:tcPr>
          <w:p w14:paraId="6929AF09" w14:textId="576DC5BE" w:rsidR="00613867" w:rsidRPr="00BD7E1C" w:rsidRDefault="00613867" w:rsidP="00613867">
            <w:pPr>
              <w:spacing w:after="0" w:line="240" w:lineRule="auto"/>
              <w:jc w:val="center"/>
              <w:rPr>
                <w:rFonts w:eastAsia="Times New Roman"/>
                <w:color w:val="auto"/>
                <w:sz w:val="16"/>
                <w:szCs w:val="16"/>
                <w:lang w:eastAsia="ru-RU"/>
              </w:rPr>
            </w:pPr>
            <w:r w:rsidRPr="00BD7E1C">
              <w:rPr>
                <w:color w:val="auto"/>
                <w:sz w:val="18"/>
                <w:szCs w:val="18"/>
              </w:rPr>
              <w:t> </w:t>
            </w:r>
          </w:p>
        </w:tc>
        <w:tc>
          <w:tcPr>
            <w:tcW w:w="467" w:type="pct"/>
            <w:gridSpan w:val="2"/>
            <w:tcBorders>
              <w:top w:val="nil"/>
              <w:left w:val="nil"/>
              <w:bottom w:val="single" w:sz="8" w:space="0" w:color="auto"/>
              <w:right w:val="single" w:sz="8" w:space="0" w:color="auto"/>
            </w:tcBorders>
            <w:shd w:val="clear" w:color="auto" w:fill="auto"/>
            <w:vAlign w:val="center"/>
          </w:tcPr>
          <w:p w14:paraId="7F2CE341" w14:textId="4872EAA2" w:rsidR="00613867" w:rsidRPr="00BD7E1C" w:rsidRDefault="00613867" w:rsidP="00613867">
            <w:pPr>
              <w:spacing w:after="0" w:line="240" w:lineRule="auto"/>
              <w:jc w:val="center"/>
              <w:rPr>
                <w:rFonts w:eastAsia="Times New Roman"/>
                <w:color w:val="auto"/>
                <w:sz w:val="16"/>
                <w:szCs w:val="16"/>
                <w:lang w:eastAsia="ru-RU"/>
              </w:rPr>
            </w:pPr>
            <w:r w:rsidRPr="00BD7E1C">
              <w:rPr>
                <w:color w:val="auto"/>
                <w:sz w:val="18"/>
                <w:szCs w:val="18"/>
              </w:rPr>
              <w:t> </w:t>
            </w:r>
          </w:p>
        </w:tc>
      </w:tr>
      <w:tr w:rsidR="00BD7E1C" w:rsidRPr="00BD7E1C" w14:paraId="36820B85" w14:textId="77777777" w:rsidTr="00E3296D">
        <w:trPr>
          <w:gridAfter w:val="1"/>
          <w:wAfter w:w="3" w:type="pct"/>
          <w:trHeight w:val="315"/>
        </w:trPr>
        <w:tc>
          <w:tcPr>
            <w:tcW w:w="530" w:type="pct"/>
            <w:vMerge/>
            <w:tcBorders>
              <w:top w:val="nil"/>
              <w:left w:val="single" w:sz="8" w:space="0" w:color="auto"/>
              <w:bottom w:val="single" w:sz="8" w:space="0" w:color="000000"/>
              <w:right w:val="single" w:sz="8" w:space="0" w:color="auto"/>
            </w:tcBorders>
            <w:vAlign w:val="center"/>
            <w:hideMark/>
          </w:tcPr>
          <w:p w14:paraId="2A21AC67" w14:textId="77777777" w:rsidR="00613867" w:rsidRPr="00BD7E1C" w:rsidRDefault="00613867" w:rsidP="00613867">
            <w:pPr>
              <w:spacing w:after="0" w:line="240" w:lineRule="auto"/>
              <w:jc w:val="center"/>
              <w:rPr>
                <w:rFonts w:eastAsia="Times New Roman"/>
                <w:b/>
                <w:bCs/>
                <w:color w:val="auto"/>
                <w:sz w:val="18"/>
                <w:szCs w:val="18"/>
                <w:lang w:eastAsia="ru-RU"/>
              </w:rPr>
            </w:pPr>
          </w:p>
        </w:tc>
        <w:tc>
          <w:tcPr>
            <w:tcW w:w="416" w:type="pct"/>
            <w:tcBorders>
              <w:top w:val="nil"/>
              <w:left w:val="nil"/>
              <w:bottom w:val="single" w:sz="8" w:space="0" w:color="auto"/>
              <w:right w:val="single" w:sz="8" w:space="0" w:color="auto"/>
            </w:tcBorders>
            <w:shd w:val="clear" w:color="auto" w:fill="auto"/>
            <w:vAlign w:val="center"/>
            <w:hideMark/>
          </w:tcPr>
          <w:p w14:paraId="68DFB8F7" w14:textId="77777777" w:rsidR="00613867" w:rsidRPr="00BD7E1C" w:rsidRDefault="00613867" w:rsidP="00613867">
            <w:pPr>
              <w:spacing w:after="0" w:line="240" w:lineRule="auto"/>
              <w:jc w:val="center"/>
              <w:rPr>
                <w:rFonts w:eastAsia="Times New Roman"/>
                <w:color w:val="auto"/>
                <w:sz w:val="18"/>
                <w:szCs w:val="18"/>
                <w:lang w:eastAsia="ru-RU"/>
              </w:rPr>
            </w:pPr>
            <w:r w:rsidRPr="00BD7E1C">
              <w:rPr>
                <w:rFonts w:eastAsia="Times New Roman"/>
                <w:color w:val="auto"/>
                <w:sz w:val="18"/>
                <w:szCs w:val="18"/>
                <w:lang w:eastAsia="ru-RU"/>
              </w:rPr>
              <w:t>НН</w:t>
            </w:r>
          </w:p>
        </w:tc>
        <w:tc>
          <w:tcPr>
            <w:tcW w:w="389" w:type="pct"/>
            <w:tcBorders>
              <w:top w:val="nil"/>
              <w:left w:val="nil"/>
              <w:bottom w:val="single" w:sz="8" w:space="0" w:color="auto"/>
              <w:right w:val="single" w:sz="8" w:space="0" w:color="auto"/>
            </w:tcBorders>
            <w:shd w:val="clear" w:color="auto" w:fill="auto"/>
            <w:vAlign w:val="center"/>
          </w:tcPr>
          <w:p w14:paraId="69C7DBDB" w14:textId="4C08F352" w:rsidR="00613867" w:rsidRPr="00BD7E1C" w:rsidRDefault="00613867" w:rsidP="00613867">
            <w:pPr>
              <w:spacing w:after="0" w:line="240" w:lineRule="auto"/>
              <w:jc w:val="center"/>
              <w:rPr>
                <w:rFonts w:eastAsia="Times New Roman"/>
                <w:color w:val="auto"/>
                <w:sz w:val="16"/>
                <w:szCs w:val="16"/>
                <w:lang w:eastAsia="ru-RU"/>
              </w:rPr>
            </w:pPr>
            <w:r w:rsidRPr="00BD7E1C">
              <w:rPr>
                <w:color w:val="auto"/>
                <w:sz w:val="18"/>
                <w:szCs w:val="18"/>
              </w:rPr>
              <w:t>1 488 129,01</w:t>
            </w:r>
          </w:p>
        </w:tc>
        <w:tc>
          <w:tcPr>
            <w:tcW w:w="389" w:type="pct"/>
            <w:tcBorders>
              <w:top w:val="nil"/>
              <w:left w:val="nil"/>
              <w:bottom w:val="single" w:sz="8" w:space="0" w:color="auto"/>
              <w:right w:val="single" w:sz="8" w:space="0" w:color="auto"/>
            </w:tcBorders>
            <w:shd w:val="clear" w:color="auto" w:fill="auto"/>
            <w:vAlign w:val="center"/>
          </w:tcPr>
          <w:p w14:paraId="334A51A0" w14:textId="4CF450FC" w:rsidR="00613867" w:rsidRPr="00BD7E1C" w:rsidRDefault="00613867" w:rsidP="00613867">
            <w:pPr>
              <w:spacing w:after="0" w:line="240" w:lineRule="auto"/>
              <w:jc w:val="center"/>
              <w:rPr>
                <w:rFonts w:eastAsia="Times New Roman"/>
                <w:color w:val="auto"/>
                <w:sz w:val="16"/>
                <w:szCs w:val="16"/>
                <w:lang w:eastAsia="ru-RU"/>
              </w:rPr>
            </w:pPr>
            <w:r w:rsidRPr="00BD7E1C">
              <w:rPr>
                <w:color w:val="auto"/>
                <w:sz w:val="18"/>
                <w:szCs w:val="18"/>
              </w:rPr>
              <w:t>1 562 535,46</w:t>
            </w:r>
          </w:p>
        </w:tc>
        <w:tc>
          <w:tcPr>
            <w:tcW w:w="389" w:type="pct"/>
            <w:tcBorders>
              <w:top w:val="nil"/>
              <w:left w:val="nil"/>
              <w:bottom w:val="single" w:sz="8" w:space="0" w:color="auto"/>
              <w:right w:val="single" w:sz="8" w:space="0" w:color="auto"/>
            </w:tcBorders>
            <w:shd w:val="clear" w:color="auto" w:fill="auto"/>
            <w:vAlign w:val="center"/>
          </w:tcPr>
          <w:p w14:paraId="452A44A3" w14:textId="795C4FE5" w:rsidR="00613867" w:rsidRPr="00BD7E1C" w:rsidRDefault="00613867" w:rsidP="00613867">
            <w:pPr>
              <w:spacing w:after="0" w:line="240" w:lineRule="auto"/>
              <w:jc w:val="center"/>
              <w:rPr>
                <w:rFonts w:eastAsia="Times New Roman"/>
                <w:color w:val="auto"/>
                <w:sz w:val="16"/>
                <w:szCs w:val="16"/>
                <w:lang w:eastAsia="ru-RU"/>
              </w:rPr>
            </w:pPr>
            <w:r w:rsidRPr="00BD7E1C">
              <w:rPr>
                <w:color w:val="auto"/>
                <w:sz w:val="18"/>
                <w:szCs w:val="18"/>
              </w:rPr>
              <w:t> </w:t>
            </w:r>
          </w:p>
        </w:tc>
        <w:tc>
          <w:tcPr>
            <w:tcW w:w="394" w:type="pct"/>
            <w:tcBorders>
              <w:top w:val="nil"/>
              <w:left w:val="nil"/>
              <w:bottom w:val="single" w:sz="8" w:space="0" w:color="auto"/>
              <w:right w:val="single" w:sz="8" w:space="0" w:color="auto"/>
            </w:tcBorders>
            <w:shd w:val="clear" w:color="auto" w:fill="auto"/>
            <w:vAlign w:val="center"/>
          </w:tcPr>
          <w:p w14:paraId="0197EF12" w14:textId="6030FEAE" w:rsidR="00613867" w:rsidRPr="00BD7E1C" w:rsidRDefault="00613867" w:rsidP="00613867">
            <w:pPr>
              <w:spacing w:after="0" w:line="240" w:lineRule="auto"/>
              <w:jc w:val="center"/>
              <w:rPr>
                <w:rFonts w:eastAsia="Times New Roman"/>
                <w:color w:val="auto"/>
                <w:sz w:val="16"/>
                <w:szCs w:val="16"/>
                <w:lang w:eastAsia="ru-RU"/>
              </w:rPr>
            </w:pPr>
            <w:r w:rsidRPr="00BD7E1C">
              <w:rPr>
                <w:color w:val="auto"/>
                <w:sz w:val="18"/>
                <w:szCs w:val="18"/>
              </w:rPr>
              <w:t> </w:t>
            </w:r>
          </w:p>
        </w:tc>
        <w:tc>
          <w:tcPr>
            <w:tcW w:w="382" w:type="pct"/>
            <w:tcBorders>
              <w:top w:val="nil"/>
              <w:left w:val="nil"/>
              <w:bottom w:val="single" w:sz="8" w:space="0" w:color="auto"/>
              <w:right w:val="single" w:sz="8" w:space="0" w:color="auto"/>
            </w:tcBorders>
            <w:shd w:val="clear" w:color="auto" w:fill="auto"/>
            <w:vAlign w:val="center"/>
          </w:tcPr>
          <w:p w14:paraId="3CBB2E73" w14:textId="7715C096" w:rsidR="00613867" w:rsidRPr="00BD7E1C" w:rsidRDefault="00613867" w:rsidP="00613867">
            <w:pPr>
              <w:spacing w:after="0" w:line="240" w:lineRule="auto"/>
              <w:jc w:val="center"/>
              <w:rPr>
                <w:rFonts w:eastAsia="Times New Roman"/>
                <w:color w:val="auto"/>
                <w:sz w:val="16"/>
                <w:szCs w:val="16"/>
                <w:lang w:eastAsia="ru-RU"/>
              </w:rPr>
            </w:pPr>
            <w:r w:rsidRPr="00BD7E1C">
              <w:rPr>
                <w:color w:val="auto"/>
                <w:sz w:val="18"/>
                <w:szCs w:val="18"/>
              </w:rPr>
              <w:t> </w:t>
            </w:r>
          </w:p>
        </w:tc>
        <w:tc>
          <w:tcPr>
            <w:tcW w:w="386" w:type="pct"/>
            <w:tcBorders>
              <w:top w:val="nil"/>
              <w:left w:val="nil"/>
              <w:bottom w:val="single" w:sz="8" w:space="0" w:color="auto"/>
              <w:right w:val="single" w:sz="8" w:space="0" w:color="auto"/>
            </w:tcBorders>
            <w:shd w:val="clear" w:color="auto" w:fill="auto"/>
            <w:vAlign w:val="center"/>
          </w:tcPr>
          <w:p w14:paraId="73F1D25C" w14:textId="06B615F9" w:rsidR="00613867" w:rsidRPr="00BD7E1C" w:rsidRDefault="00613867" w:rsidP="00613867">
            <w:pPr>
              <w:spacing w:after="0" w:line="240" w:lineRule="auto"/>
              <w:jc w:val="center"/>
              <w:rPr>
                <w:rFonts w:eastAsia="Times New Roman"/>
                <w:color w:val="auto"/>
                <w:sz w:val="16"/>
                <w:szCs w:val="16"/>
                <w:lang w:eastAsia="ru-RU"/>
              </w:rPr>
            </w:pPr>
            <w:r w:rsidRPr="00BD7E1C">
              <w:rPr>
                <w:color w:val="auto"/>
                <w:sz w:val="18"/>
                <w:szCs w:val="18"/>
              </w:rPr>
              <w:t> </w:t>
            </w:r>
          </w:p>
        </w:tc>
        <w:tc>
          <w:tcPr>
            <w:tcW w:w="385" w:type="pct"/>
            <w:tcBorders>
              <w:top w:val="nil"/>
              <w:left w:val="nil"/>
              <w:bottom w:val="single" w:sz="8" w:space="0" w:color="auto"/>
              <w:right w:val="single" w:sz="8" w:space="0" w:color="auto"/>
            </w:tcBorders>
            <w:shd w:val="clear" w:color="auto" w:fill="auto"/>
            <w:vAlign w:val="center"/>
          </w:tcPr>
          <w:p w14:paraId="1F1FFDE6" w14:textId="47B24612" w:rsidR="00613867" w:rsidRPr="00BD7E1C" w:rsidRDefault="00613867" w:rsidP="00613867">
            <w:pPr>
              <w:spacing w:after="0" w:line="240" w:lineRule="auto"/>
              <w:jc w:val="center"/>
              <w:rPr>
                <w:rFonts w:eastAsia="Times New Roman"/>
                <w:color w:val="auto"/>
                <w:sz w:val="16"/>
                <w:szCs w:val="16"/>
                <w:lang w:eastAsia="ru-RU"/>
              </w:rPr>
            </w:pPr>
            <w:r w:rsidRPr="00BD7E1C">
              <w:rPr>
                <w:color w:val="auto"/>
                <w:sz w:val="18"/>
                <w:szCs w:val="18"/>
              </w:rPr>
              <w:t> </w:t>
            </w:r>
          </w:p>
        </w:tc>
        <w:tc>
          <w:tcPr>
            <w:tcW w:w="408" w:type="pct"/>
            <w:tcBorders>
              <w:top w:val="nil"/>
              <w:left w:val="nil"/>
              <w:bottom w:val="single" w:sz="8" w:space="0" w:color="auto"/>
              <w:right w:val="single" w:sz="8" w:space="0" w:color="auto"/>
            </w:tcBorders>
            <w:shd w:val="clear" w:color="auto" w:fill="auto"/>
            <w:vAlign w:val="center"/>
          </w:tcPr>
          <w:p w14:paraId="295C1861" w14:textId="632CF605" w:rsidR="00613867" w:rsidRPr="00BD7E1C" w:rsidRDefault="00613867" w:rsidP="00613867">
            <w:pPr>
              <w:spacing w:after="0" w:line="240" w:lineRule="auto"/>
              <w:jc w:val="center"/>
              <w:rPr>
                <w:rFonts w:eastAsia="Times New Roman"/>
                <w:color w:val="auto"/>
                <w:sz w:val="16"/>
                <w:szCs w:val="16"/>
                <w:lang w:eastAsia="ru-RU"/>
              </w:rPr>
            </w:pPr>
            <w:r w:rsidRPr="00BD7E1C">
              <w:rPr>
                <w:color w:val="auto"/>
                <w:sz w:val="18"/>
                <w:szCs w:val="18"/>
              </w:rPr>
              <w:t> </w:t>
            </w:r>
          </w:p>
        </w:tc>
        <w:tc>
          <w:tcPr>
            <w:tcW w:w="462" w:type="pct"/>
            <w:tcBorders>
              <w:top w:val="nil"/>
              <w:left w:val="nil"/>
              <w:bottom w:val="single" w:sz="8" w:space="0" w:color="auto"/>
              <w:right w:val="single" w:sz="8" w:space="0" w:color="auto"/>
            </w:tcBorders>
            <w:shd w:val="clear" w:color="auto" w:fill="auto"/>
            <w:vAlign w:val="center"/>
          </w:tcPr>
          <w:p w14:paraId="4D200114" w14:textId="0D925B63" w:rsidR="00613867" w:rsidRPr="00BD7E1C" w:rsidRDefault="00613867" w:rsidP="00613867">
            <w:pPr>
              <w:spacing w:after="0" w:line="240" w:lineRule="auto"/>
              <w:jc w:val="center"/>
              <w:rPr>
                <w:rFonts w:eastAsia="Times New Roman"/>
                <w:color w:val="auto"/>
                <w:sz w:val="16"/>
                <w:szCs w:val="16"/>
                <w:lang w:eastAsia="ru-RU"/>
              </w:rPr>
            </w:pPr>
            <w:r w:rsidRPr="00BD7E1C">
              <w:rPr>
                <w:color w:val="auto"/>
                <w:sz w:val="18"/>
                <w:szCs w:val="18"/>
              </w:rPr>
              <w:t> </w:t>
            </w:r>
          </w:p>
        </w:tc>
        <w:tc>
          <w:tcPr>
            <w:tcW w:w="467" w:type="pct"/>
            <w:gridSpan w:val="2"/>
            <w:tcBorders>
              <w:top w:val="nil"/>
              <w:left w:val="nil"/>
              <w:bottom w:val="single" w:sz="8" w:space="0" w:color="auto"/>
              <w:right w:val="single" w:sz="8" w:space="0" w:color="auto"/>
            </w:tcBorders>
            <w:shd w:val="clear" w:color="auto" w:fill="auto"/>
            <w:vAlign w:val="center"/>
          </w:tcPr>
          <w:p w14:paraId="5FD62CD0" w14:textId="26C33F3F" w:rsidR="00613867" w:rsidRPr="00BD7E1C" w:rsidRDefault="00613867" w:rsidP="00613867">
            <w:pPr>
              <w:spacing w:after="0" w:line="240" w:lineRule="auto"/>
              <w:jc w:val="center"/>
              <w:rPr>
                <w:rFonts w:eastAsia="Times New Roman"/>
                <w:color w:val="auto"/>
                <w:sz w:val="16"/>
                <w:szCs w:val="16"/>
                <w:lang w:eastAsia="ru-RU"/>
              </w:rPr>
            </w:pPr>
            <w:r w:rsidRPr="00BD7E1C">
              <w:rPr>
                <w:color w:val="auto"/>
                <w:sz w:val="18"/>
                <w:szCs w:val="18"/>
              </w:rPr>
              <w:t> </w:t>
            </w:r>
          </w:p>
        </w:tc>
      </w:tr>
      <w:tr w:rsidR="00BD7E1C" w:rsidRPr="00BD7E1C" w14:paraId="0926584F" w14:textId="77777777" w:rsidTr="00E3296D">
        <w:trPr>
          <w:gridAfter w:val="1"/>
          <w:wAfter w:w="3" w:type="pct"/>
          <w:trHeight w:val="315"/>
        </w:trPr>
        <w:tc>
          <w:tcPr>
            <w:tcW w:w="530" w:type="pct"/>
            <w:vMerge w:val="restart"/>
            <w:tcBorders>
              <w:top w:val="nil"/>
              <w:left w:val="single" w:sz="8" w:space="0" w:color="auto"/>
              <w:bottom w:val="single" w:sz="8" w:space="0" w:color="000000"/>
              <w:right w:val="single" w:sz="8" w:space="0" w:color="auto"/>
            </w:tcBorders>
            <w:shd w:val="clear" w:color="auto" w:fill="auto"/>
            <w:vAlign w:val="center"/>
            <w:hideMark/>
          </w:tcPr>
          <w:p w14:paraId="3600ACA2" w14:textId="77777777" w:rsidR="00613867" w:rsidRPr="00BD7E1C" w:rsidRDefault="00613867" w:rsidP="00613867">
            <w:pPr>
              <w:spacing w:after="0" w:line="240" w:lineRule="auto"/>
              <w:jc w:val="center"/>
              <w:rPr>
                <w:rFonts w:eastAsia="Times New Roman"/>
                <w:b/>
                <w:bCs/>
                <w:color w:val="auto"/>
                <w:sz w:val="18"/>
                <w:szCs w:val="18"/>
                <w:lang w:eastAsia="ru-RU"/>
              </w:rPr>
            </w:pPr>
            <w:r w:rsidRPr="00BD7E1C">
              <w:rPr>
                <w:rFonts w:eastAsia="Times New Roman"/>
                <w:b/>
                <w:bCs/>
                <w:color w:val="auto"/>
                <w:sz w:val="18"/>
                <w:szCs w:val="18"/>
                <w:lang w:eastAsia="ru-RU"/>
              </w:rPr>
              <w:t>Одноставочный тариф</w:t>
            </w:r>
          </w:p>
        </w:tc>
        <w:tc>
          <w:tcPr>
            <w:tcW w:w="416" w:type="pct"/>
            <w:tcBorders>
              <w:top w:val="nil"/>
              <w:left w:val="nil"/>
              <w:bottom w:val="single" w:sz="8" w:space="0" w:color="auto"/>
              <w:right w:val="single" w:sz="8" w:space="0" w:color="auto"/>
            </w:tcBorders>
            <w:shd w:val="clear" w:color="auto" w:fill="auto"/>
            <w:vAlign w:val="center"/>
            <w:hideMark/>
          </w:tcPr>
          <w:p w14:paraId="52EB88FC" w14:textId="77777777" w:rsidR="00613867" w:rsidRPr="00BD7E1C" w:rsidRDefault="00613867" w:rsidP="00613867">
            <w:pPr>
              <w:spacing w:after="0" w:line="240" w:lineRule="auto"/>
              <w:jc w:val="center"/>
              <w:rPr>
                <w:rFonts w:eastAsia="Times New Roman"/>
                <w:color w:val="auto"/>
                <w:sz w:val="18"/>
                <w:szCs w:val="18"/>
                <w:lang w:eastAsia="ru-RU"/>
              </w:rPr>
            </w:pPr>
            <w:r w:rsidRPr="00BD7E1C">
              <w:rPr>
                <w:rFonts w:eastAsia="Times New Roman"/>
                <w:color w:val="auto"/>
                <w:sz w:val="18"/>
                <w:szCs w:val="18"/>
                <w:lang w:eastAsia="ru-RU"/>
              </w:rPr>
              <w:t>ВН</w:t>
            </w:r>
          </w:p>
        </w:tc>
        <w:tc>
          <w:tcPr>
            <w:tcW w:w="389" w:type="pct"/>
            <w:tcBorders>
              <w:top w:val="nil"/>
              <w:left w:val="nil"/>
              <w:bottom w:val="single" w:sz="8" w:space="0" w:color="auto"/>
              <w:right w:val="single" w:sz="8" w:space="0" w:color="auto"/>
            </w:tcBorders>
            <w:shd w:val="clear" w:color="auto" w:fill="auto"/>
            <w:vAlign w:val="center"/>
          </w:tcPr>
          <w:p w14:paraId="30F305FD" w14:textId="560D35C0" w:rsidR="00613867" w:rsidRPr="00BD7E1C" w:rsidRDefault="00613867" w:rsidP="00613867">
            <w:pPr>
              <w:spacing w:after="0" w:line="240" w:lineRule="auto"/>
              <w:jc w:val="center"/>
              <w:rPr>
                <w:rFonts w:eastAsia="Times New Roman"/>
                <w:color w:val="auto"/>
                <w:sz w:val="16"/>
                <w:szCs w:val="16"/>
                <w:lang w:eastAsia="ru-RU"/>
              </w:rPr>
            </w:pPr>
            <w:r w:rsidRPr="00BD7E1C">
              <w:rPr>
                <w:color w:val="auto"/>
                <w:sz w:val="18"/>
                <w:szCs w:val="18"/>
              </w:rPr>
              <w:t> </w:t>
            </w:r>
          </w:p>
        </w:tc>
        <w:tc>
          <w:tcPr>
            <w:tcW w:w="389" w:type="pct"/>
            <w:tcBorders>
              <w:top w:val="nil"/>
              <w:left w:val="nil"/>
              <w:bottom w:val="single" w:sz="8" w:space="0" w:color="auto"/>
              <w:right w:val="single" w:sz="8" w:space="0" w:color="auto"/>
            </w:tcBorders>
            <w:shd w:val="clear" w:color="auto" w:fill="auto"/>
            <w:vAlign w:val="center"/>
          </w:tcPr>
          <w:p w14:paraId="76397799" w14:textId="05838E31" w:rsidR="00613867" w:rsidRPr="00BD7E1C" w:rsidRDefault="00613867" w:rsidP="00613867">
            <w:pPr>
              <w:spacing w:after="0" w:line="240" w:lineRule="auto"/>
              <w:jc w:val="center"/>
              <w:rPr>
                <w:rFonts w:eastAsia="Times New Roman"/>
                <w:color w:val="auto"/>
                <w:sz w:val="16"/>
                <w:szCs w:val="16"/>
                <w:lang w:eastAsia="ru-RU"/>
              </w:rPr>
            </w:pPr>
            <w:r w:rsidRPr="00BD7E1C">
              <w:rPr>
                <w:color w:val="auto"/>
                <w:sz w:val="18"/>
                <w:szCs w:val="18"/>
              </w:rPr>
              <w:t> </w:t>
            </w:r>
          </w:p>
        </w:tc>
        <w:tc>
          <w:tcPr>
            <w:tcW w:w="389" w:type="pct"/>
            <w:tcBorders>
              <w:top w:val="nil"/>
              <w:left w:val="nil"/>
              <w:bottom w:val="single" w:sz="8" w:space="0" w:color="auto"/>
              <w:right w:val="single" w:sz="8" w:space="0" w:color="auto"/>
            </w:tcBorders>
            <w:shd w:val="clear" w:color="auto" w:fill="auto"/>
            <w:vAlign w:val="center"/>
          </w:tcPr>
          <w:p w14:paraId="15AE2DBC" w14:textId="4FFF9F87" w:rsidR="00613867" w:rsidRPr="00BD7E1C" w:rsidRDefault="00613867" w:rsidP="00613867">
            <w:pPr>
              <w:spacing w:after="0" w:line="240" w:lineRule="auto"/>
              <w:jc w:val="center"/>
              <w:rPr>
                <w:rFonts w:eastAsia="Times New Roman"/>
                <w:color w:val="auto"/>
                <w:sz w:val="16"/>
                <w:szCs w:val="16"/>
                <w:lang w:eastAsia="ru-RU"/>
              </w:rPr>
            </w:pPr>
            <w:r w:rsidRPr="00BD7E1C">
              <w:rPr>
                <w:color w:val="auto"/>
                <w:sz w:val="18"/>
                <w:szCs w:val="18"/>
              </w:rPr>
              <w:t> </w:t>
            </w:r>
          </w:p>
        </w:tc>
        <w:tc>
          <w:tcPr>
            <w:tcW w:w="394" w:type="pct"/>
            <w:tcBorders>
              <w:top w:val="nil"/>
              <w:left w:val="nil"/>
              <w:bottom w:val="single" w:sz="8" w:space="0" w:color="auto"/>
              <w:right w:val="single" w:sz="8" w:space="0" w:color="auto"/>
            </w:tcBorders>
            <w:shd w:val="clear" w:color="auto" w:fill="auto"/>
            <w:vAlign w:val="center"/>
          </w:tcPr>
          <w:p w14:paraId="561D303B" w14:textId="07533583" w:rsidR="00613867" w:rsidRPr="00BD7E1C" w:rsidRDefault="00613867" w:rsidP="00613867">
            <w:pPr>
              <w:spacing w:after="0" w:line="240" w:lineRule="auto"/>
              <w:jc w:val="center"/>
              <w:rPr>
                <w:rFonts w:eastAsia="Times New Roman"/>
                <w:color w:val="auto"/>
                <w:sz w:val="16"/>
                <w:szCs w:val="16"/>
                <w:lang w:eastAsia="ru-RU"/>
              </w:rPr>
            </w:pPr>
            <w:r w:rsidRPr="00BD7E1C">
              <w:rPr>
                <w:color w:val="auto"/>
                <w:sz w:val="18"/>
                <w:szCs w:val="18"/>
              </w:rPr>
              <w:t>2 819,27</w:t>
            </w:r>
          </w:p>
        </w:tc>
        <w:tc>
          <w:tcPr>
            <w:tcW w:w="382" w:type="pct"/>
            <w:tcBorders>
              <w:top w:val="nil"/>
              <w:left w:val="nil"/>
              <w:bottom w:val="single" w:sz="8" w:space="0" w:color="auto"/>
              <w:right w:val="single" w:sz="8" w:space="0" w:color="auto"/>
            </w:tcBorders>
            <w:shd w:val="clear" w:color="auto" w:fill="auto"/>
            <w:vAlign w:val="center"/>
          </w:tcPr>
          <w:p w14:paraId="38D02458" w14:textId="7B55022E" w:rsidR="00613867" w:rsidRPr="00BD7E1C" w:rsidRDefault="00613867" w:rsidP="00613867">
            <w:pPr>
              <w:spacing w:after="0" w:line="240" w:lineRule="auto"/>
              <w:jc w:val="center"/>
              <w:rPr>
                <w:rFonts w:eastAsia="Times New Roman"/>
                <w:color w:val="auto"/>
                <w:sz w:val="16"/>
                <w:szCs w:val="16"/>
                <w:lang w:eastAsia="ru-RU"/>
              </w:rPr>
            </w:pPr>
            <w:r w:rsidRPr="00BD7E1C">
              <w:rPr>
                <w:color w:val="auto"/>
                <w:sz w:val="18"/>
                <w:szCs w:val="18"/>
              </w:rPr>
              <w:t>2 960,23</w:t>
            </w:r>
          </w:p>
        </w:tc>
        <w:tc>
          <w:tcPr>
            <w:tcW w:w="386" w:type="pct"/>
            <w:tcBorders>
              <w:top w:val="nil"/>
              <w:left w:val="nil"/>
              <w:bottom w:val="single" w:sz="8" w:space="0" w:color="auto"/>
              <w:right w:val="single" w:sz="8" w:space="0" w:color="auto"/>
            </w:tcBorders>
            <w:shd w:val="clear" w:color="auto" w:fill="auto"/>
            <w:vAlign w:val="center"/>
          </w:tcPr>
          <w:p w14:paraId="240F26CD" w14:textId="7CED17FE" w:rsidR="00613867" w:rsidRPr="00BD7E1C" w:rsidRDefault="00613867" w:rsidP="00613867">
            <w:pPr>
              <w:spacing w:after="0" w:line="240" w:lineRule="auto"/>
              <w:jc w:val="center"/>
              <w:rPr>
                <w:rFonts w:eastAsia="Times New Roman"/>
                <w:color w:val="auto"/>
                <w:sz w:val="16"/>
                <w:szCs w:val="16"/>
                <w:lang w:eastAsia="ru-RU"/>
              </w:rPr>
            </w:pPr>
            <w:r w:rsidRPr="00BD7E1C">
              <w:rPr>
                <w:color w:val="auto"/>
                <w:sz w:val="18"/>
                <w:szCs w:val="18"/>
              </w:rPr>
              <w:t> </w:t>
            </w:r>
          </w:p>
        </w:tc>
        <w:tc>
          <w:tcPr>
            <w:tcW w:w="385" w:type="pct"/>
            <w:tcBorders>
              <w:top w:val="nil"/>
              <w:left w:val="nil"/>
              <w:bottom w:val="single" w:sz="8" w:space="0" w:color="auto"/>
              <w:right w:val="single" w:sz="8" w:space="0" w:color="auto"/>
            </w:tcBorders>
            <w:shd w:val="clear" w:color="auto" w:fill="auto"/>
            <w:vAlign w:val="center"/>
          </w:tcPr>
          <w:p w14:paraId="74505059" w14:textId="5AEE907A" w:rsidR="00613867" w:rsidRPr="00BD7E1C" w:rsidRDefault="00613867" w:rsidP="00613867">
            <w:pPr>
              <w:spacing w:after="0" w:line="240" w:lineRule="auto"/>
              <w:jc w:val="center"/>
              <w:rPr>
                <w:rFonts w:eastAsia="Times New Roman"/>
                <w:color w:val="auto"/>
                <w:sz w:val="16"/>
                <w:szCs w:val="16"/>
                <w:lang w:eastAsia="ru-RU"/>
              </w:rPr>
            </w:pPr>
            <w:r w:rsidRPr="00BD7E1C">
              <w:rPr>
                <w:color w:val="auto"/>
                <w:sz w:val="18"/>
                <w:szCs w:val="18"/>
              </w:rPr>
              <w:t> </w:t>
            </w:r>
          </w:p>
        </w:tc>
        <w:tc>
          <w:tcPr>
            <w:tcW w:w="408" w:type="pct"/>
            <w:tcBorders>
              <w:top w:val="nil"/>
              <w:left w:val="nil"/>
              <w:bottom w:val="single" w:sz="8" w:space="0" w:color="auto"/>
              <w:right w:val="single" w:sz="8" w:space="0" w:color="auto"/>
            </w:tcBorders>
            <w:shd w:val="clear" w:color="auto" w:fill="auto"/>
            <w:vAlign w:val="center"/>
          </w:tcPr>
          <w:p w14:paraId="48276A48" w14:textId="0AF0765A" w:rsidR="00613867" w:rsidRPr="00BD7E1C" w:rsidRDefault="00613867" w:rsidP="00613867">
            <w:pPr>
              <w:spacing w:after="0" w:line="240" w:lineRule="auto"/>
              <w:jc w:val="center"/>
              <w:rPr>
                <w:rFonts w:eastAsia="Times New Roman"/>
                <w:color w:val="auto"/>
                <w:sz w:val="16"/>
                <w:szCs w:val="16"/>
                <w:lang w:eastAsia="ru-RU"/>
              </w:rPr>
            </w:pPr>
            <w:r w:rsidRPr="00BD7E1C">
              <w:rPr>
                <w:color w:val="auto"/>
                <w:sz w:val="18"/>
                <w:szCs w:val="18"/>
              </w:rPr>
              <w:t> </w:t>
            </w:r>
          </w:p>
        </w:tc>
        <w:tc>
          <w:tcPr>
            <w:tcW w:w="462" w:type="pct"/>
            <w:tcBorders>
              <w:top w:val="nil"/>
              <w:left w:val="nil"/>
              <w:bottom w:val="single" w:sz="8" w:space="0" w:color="auto"/>
              <w:right w:val="single" w:sz="8" w:space="0" w:color="auto"/>
            </w:tcBorders>
            <w:shd w:val="clear" w:color="auto" w:fill="auto"/>
            <w:vAlign w:val="center"/>
          </w:tcPr>
          <w:p w14:paraId="2B25210D" w14:textId="01843E6C" w:rsidR="00613867" w:rsidRPr="00BD7E1C" w:rsidRDefault="00613867" w:rsidP="00613867">
            <w:pPr>
              <w:spacing w:after="0" w:line="240" w:lineRule="auto"/>
              <w:jc w:val="center"/>
              <w:rPr>
                <w:rFonts w:eastAsia="Times New Roman"/>
                <w:color w:val="auto"/>
                <w:sz w:val="16"/>
                <w:szCs w:val="16"/>
                <w:lang w:eastAsia="ru-RU"/>
              </w:rPr>
            </w:pPr>
            <w:r w:rsidRPr="00BD7E1C">
              <w:rPr>
                <w:color w:val="auto"/>
                <w:sz w:val="18"/>
                <w:szCs w:val="18"/>
              </w:rPr>
              <w:t> </w:t>
            </w:r>
          </w:p>
        </w:tc>
        <w:tc>
          <w:tcPr>
            <w:tcW w:w="467" w:type="pct"/>
            <w:gridSpan w:val="2"/>
            <w:tcBorders>
              <w:top w:val="nil"/>
              <w:left w:val="nil"/>
              <w:bottom w:val="single" w:sz="8" w:space="0" w:color="auto"/>
              <w:right w:val="single" w:sz="8" w:space="0" w:color="auto"/>
            </w:tcBorders>
            <w:shd w:val="clear" w:color="auto" w:fill="auto"/>
            <w:vAlign w:val="center"/>
          </w:tcPr>
          <w:p w14:paraId="4A71C1D8" w14:textId="54FD6692" w:rsidR="00613867" w:rsidRPr="00BD7E1C" w:rsidRDefault="00613867" w:rsidP="00613867">
            <w:pPr>
              <w:spacing w:after="0" w:line="240" w:lineRule="auto"/>
              <w:jc w:val="center"/>
              <w:rPr>
                <w:rFonts w:eastAsia="Times New Roman"/>
                <w:color w:val="auto"/>
                <w:sz w:val="16"/>
                <w:szCs w:val="16"/>
                <w:lang w:eastAsia="ru-RU"/>
              </w:rPr>
            </w:pPr>
            <w:r w:rsidRPr="00BD7E1C">
              <w:rPr>
                <w:color w:val="auto"/>
                <w:sz w:val="18"/>
                <w:szCs w:val="18"/>
              </w:rPr>
              <w:t> </w:t>
            </w:r>
          </w:p>
        </w:tc>
      </w:tr>
      <w:tr w:rsidR="00BD7E1C" w:rsidRPr="00BD7E1C" w14:paraId="405DAA9B" w14:textId="77777777" w:rsidTr="00E3296D">
        <w:trPr>
          <w:gridAfter w:val="1"/>
          <w:wAfter w:w="3" w:type="pct"/>
          <w:trHeight w:val="315"/>
        </w:trPr>
        <w:tc>
          <w:tcPr>
            <w:tcW w:w="530" w:type="pct"/>
            <w:vMerge/>
            <w:tcBorders>
              <w:top w:val="nil"/>
              <w:left w:val="single" w:sz="8" w:space="0" w:color="auto"/>
              <w:bottom w:val="single" w:sz="8" w:space="0" w:color="000000"/>
              <w:right w:val="single" w:sz="8" w:space="0" w:color="auto"/>
            </w:tcBorders>
            <w:vAlign w:val="center"/>
            <w:hideMark/>
          </w:tcPr>
          <w:p w14:paraId="1F168433" w14:textId="77777777" w:rsidR="00613867" w:rsidRPr="00BD7E1C" w:rsidRDefault="00613867" w:rsidP="00613867">
            <w:pPr>
              <w:spacing w:after="0" w:line="240" w:lineRule="auto"/>
              <w:jc w:val="center"/>
              <w:rPr>
                <w:rFonts w:eastAsia="Times New Roman"/>
                <w:b/>
                <w:bCs/>
                <w:color w:val="auto"/>
                <w:sz w:val="18"/>
                <w:szCs w:val="18"/>
                <w:lang w:eastAsia="ru-RU"/>
              </w:rPr>
            </w:pPr>
          </w:p>
        </w:tc>
        <w:tc>
          <w:tcPr>
            <w:tcW w:w="416" w:type="pct"/>
            <w:tcBorders>
              <w:top w:val="nil"/>
              <w:left w:val="nil"/>
              <w:bottom w:val="single" w:sz="8" w:space="0" w:color="auto"/>
              <w:right w:val="single" w:sz="8" w:space="0" w:color="auto"/>
            </w:tcBorders>
            <w:shd w:val="clear" w:color="auto" w:fill="auto"/>
            <w:vAlign w:val="center"/>
            <w:hideMark/>
          </w:tcPr>
          <w:p w14:paraId="3DDA6687" w14:textId="77777777" w:rsidR="00613867" w:rsidRPr="00BD7E1C" w:rsidRDefault="00613867" w:rsidP="00613867">
            <w:pPr>
              <w:spacing w:after="0" w:line="240" w:lineRule="auto"/>
              <w:jc w:val="center"/>
              <w:rPr>
                <w:rFonts w:eastAsia="Times New Roman"/>
                <w:color w:val="auto"/>
                <w:sz w:val="18"/>
                <w:szCs w:val="18"/>
                <w:lang w:eastAsia="ru-RU"/>
              </w:rPr>
            </w:pPr>
            <w:r w:rsidRPr="00BD7E1C">
              <w:rPr>
                <w:rFonts w:eastAsia="Times New Roman"/>
                <w:color w:val="auto"/>
                <w:sz w:val="18"/>
                <w:szCs w:val="18"/>
                <w:lang w:eastAsia="ru-RU"/>
              </w:rPr>
              <w:t>СН1</w:t>
            </w:r>
          </w:p>
        </w:tc>
        <w:tc>
          <w:tcPr>
            <w:tcW w:w="389" w:type="pct"/>
            <w:tcBorders>
              <w:top w:val="nil"/>
              <w:left w:val="nil"/>
              <w:bottom w:val="single" w:sz="8" w:space="0" w:color="auto"/>
              <w:right w:val="single" w:sz="8" w:space="0" w:color="auto"/>
            </w:tcBorders>
            <w:shd w:val="clear" w:color="auto" w:fill="auto"/>
            <w:vAlign w:val="center"/>
          </w:tcPr>
          <w:p w14:paraId="7E9C2640" w14:textId="099F5AE9" w:rsidR="00613867" w:rsidRPr="00BD7E1C" w:rsidRDefault="00613867" w:rsidP="00613867">
            <w:pPr>
              <w:spacing w:after="0" w:line="240" w:lineRule="auto"/>
              <w:jc w:val="center"/>
              <w:rPr>
                <w:rFonts w:eastAsia="Times New Roman"/>
                <w:color w:val="auto"/>
                <w:sz w:val="16"/>
                <w:szCs w:val="16"/>
                <w:lang w:eastAsia="ru-RU"/>
              </w:rPr>
            </w:pPr>
            <w:r w:rsidRPr="00BD7E1C">
              <w:rPr>
                <w:color w:val="auto"/>
                <w:sz w:val="18"/>
                <w:szCs w:val="18"/>
              </w:rPr>
              <w:t> </w:t>
            </w:r>
          </w:p>
        </w:tc>
        <w:tc>
          <w:tcPr>
            <w:tcW w:w="389" w:type="pct"/>
            <w:tcBorders>
              <w:top w:val="nil"/>
              <w:left w:val="nil"/>
              <w:bottom w:val="single" w:sz="8" w:space="0" w:color="auto"/>
              <w:right w:val="single" w:sz="8" w:space="0" w:color="auto"/>
            </w:tcBorders>
            <w:shd w:val="clear" w:color="auto" w:fill="auto"/>
            <w:vAlign w:val="center"/>
          </w:tcPr>
          <w:p w14:paraId="477463F4" w14:textId="68167346" w:rsidR="00613867" w:rsidRPr="00BD7E1C" w:rsidRDefault="00613867" w:rsidP="00613867">
            <w:pPr>
              <w:spacing w:after="0" w:line="240" w:lineRule="auto"/>
              <w:jc w:val="center"/>
              <w:rPr>
                <w:rFonts w:eastAsia="Times New Roman"/>
                <w:color w:val="auto"/>
                <w:sz w:val="16"/>
                <w:szCs w:val="16"/>
                <w:lang w:eastAsia="ru-RU"/>
              </w:rPr>
            </w:pPr>
            <w:r w:rsidRPr="00BD7E1C">
              <w:rPr>
                <w:color w:val="auto"/>
                <w:sz w:val="18"/>
                <w:szCs w:val="18"/>
              </w:rPr>
              <w:t> </w:t>
            </w:r>
          </w:p>
        </w:tc>
        <w:tc>
          <w:tcPr>
            <w:tcW w:w="389" w:type="pct"/>
            <w:tcBorders>
              <w:top w:val="nil"/>
              <w:left w:val="nil"/>
              <w:bottom w:val="single" w:sz="8" w:space="0" w:color="auto"/>
              <w:right w:val="single" w:sz="8" w:space="0" w:color="auto"/>
            </w:tcBorders>
            <w:shd w:val="clear" w:color="auto" w:fill="auto"/>
            <w:vAlign w:val="center"/>
          </w:tcPr>
          <w:p w14:paraId="572B6779" w14:textId="06CEA308" w:rsidR="00613867" w:rsidRPr="00BD7E1C" w:rsidRDefault="00613867" w:rsidP="00613867">
            <w:pPr>
              <w:spacing w:after="0" w:line="240" w:lineRule="auto"/>
              <w:jc w:val="center"/>
              <w:rPr>
                <w:rFonts w:eastAsia="Times New Roman"/>
                <w:color w:val="auto"/>
                <w:sz w:val="16"/>
                <w:szCs w:val="16"/>
                <w:lang w:eastAsia="ru-RU"/>
              </w:rPr>
            </w:pPr>
            <w:r w:rsidRPr="00BD7E1C">
              <w:rPr>
                <w:color w:val="auto"/>
                <w:sz w:val="18"/>
                <w:szCs w:val="18"/>
              </w:rPr>
              <w:t> </w:t>
            </w:r>
          </w:p>
        </w:tc>
        <w:tc>
          <w:tcPr>
            <w:tcW w:w="394" w:type="pct"/>
            <w:tcBorders>
              <w:top w:val="nil"/>
              <w:left w:val="nil"/>
              <w:bottom w:val="single" w:sz="8" w:space="0" w:color="auto"/>
              <w:right w:val="single" w:sz="8" w:space="0" w:color="auto"/>
            </w:tcBorders>
            <w:shd w:val="clear" w:color="auto" w:fill="auto"/>
            <w:vAlign w:val="center"/>
          </w:tcPr>
          <w:p w14:paraId="372D7303" w14:textId="01099F7D" w:rsidR="00613867" w:rsidRPr="00BD7E1C" w:rsidRDefault="00613867" w:rsidP="00613867">
            <w:pPr>
              <w:spacing w:after="0" w:line="240" w:lineRule="auto"/>
              <w:jc w:val="center"/>
              <w:rPr>
                <w:rFonts w:eastAsia="Times New Roman"/>
                <w:color w:val="auto"/>
                <w:sz w:val="16"/>
                <w:szCs w:val="16"/>
                <w:lang w:eastAsia="ru-RU"/>
              </w:rPr>
            </w:pPr>
            <w:r w:rsidRPr="00BD7E1C">
              <w:rPr>
                <w:color w:val="auto"/>
                <w:sz w:val="18"/>
                <w:szCs w:val="18"/>
              </w:rPr>
              <w:t>3 414,78</w:t>
            </w:r>
          </w:p>
        </w:tc>
        <w:tc>
          <w:tcPr>
            <w:tcW w:w="382" w:type="pct"/>
            <w:tcBorders>
              <w:top w:val="nil"/>
              <w:left w:val="nil"/>
              <w:bottom w:val="single" w:sz="8" w:space="0" w:color="auto"/>
              <w:right w:val="single" w:sz="8" w:space="0" w:color="auto"/>
            </w:tcBorders>
            <w:shd w:val="clear" w:color="auto" w:fill="auto"/>
            <w:vAlign w:val="center"/>
          </w:tcPr>
          <w:p w14:paraId="65A1FCB3" w14:textId="2999FD43" w:rsidR="00613867" w:rsidRPr="00BD7E1C" w:rsidRDefault="00613867" w:rsidP="00613867">
            <w:pPr>
              <w:spacing w:after="0" w:line="240" w:lineRule="auto"/>
              <w:jc w:val="center"/>
              <w:rPr>
                <w:rFonts w:eastAsia="Times New Roman"/>
                <w:color w:val="auto"/>
                <w:sz w:val="16"/>
                <w:szCs w:val="16"/>
                <w:lang w:eastAsia="ru-RU"/>
              </w:rPr>
            </w:pPr>
            <w:r w:rsidRPr="00BD7E1C">
              <w:rPr>
                <w:color w:val="auto"/>
                <w:sz w:val="18"/>
                <w:szCs w:val="18"/>
              </w:rPr>
              <w:t>3 585,52</w:t>
            </w:r>
          </w:p>
        </w:tc>
        <w:tc>
          <w:tcPr>
            <w:tcW w:w="386" w:type="pct"/>
            <w:tcBorders>
              <w:top w:val="nil"/>
              <w:left w:val="nil"/>
              <w:bottom w:val="single" w:sz="8" w:space="0" w:color="auto"/>
              <w:right w:val="single" w:sz="8" w:space="0" w:color="auto"/>
            </w:tcBorders>
            <w:shd w:val="clear" w:color="auto" w:fill="auto"/>
            <w:vAlign w:val="center"/>
          </w:tcPr>
          <w:p w14:paraId="12684B3A" w14:textId="74D91049" w:rsidR="00613867" w:rsidRPr="00BD7E1C" w:rsidRDefault="00613867" w:rsidP="00613867">
            <w:pPr>
              <w:spacing w:after="0" w:line="240" w:lineRule="auto"/>
              <w:jc w:val="center"/>
              <w:rPr>
                <w:rFonts w:eastAsia="Times New Roman"/>
                <w:color w:val="auto"/>
                <w:sz w:val="16"/>
                <w:szCs w:val="16"/>
                <w:lang w:eastAsia="ru-RU"/>
              </w:rPr>
            </w:pPr>
            <w:r w:rsidRPr="00BD7E1C">
              <w:rPr>
                <w:color w:val="auto"/>
                <w:sz w:val="18"/>
                <w:szCs w:val="18"/>
              </w:rPr>
              <w:t> </w:t>
            </w:r>
          </w:p>
        </w:tc>
        <w:tc>
          <w:tcPr>
            <w:tcW w:w="385" w:type="pct"/>
            <w:tcBorders>
              <w:top w:val="nil"/>
              <w:left w:val="nil"/>
              <w:bottom w:val="single" w:sz="8" w:space="0" w:color="auto"/>
              <w:right w:val="single" w:sz="8" w:space="0" w:color="auto"/>
            </w:tcBorders>
            <w:shd w:val="clear" w:color="auto" w:fill="auto"/>
            <w:vAlign w:val="center"/>
          </w:tcPr>
          <w:p w14:paraId="461AAEA3" w14:textId="6E39FC3A" w:rsidR="00613867" w:rsidRPr="00BD7E1C" w:rsidRDefault="00613867" w:rsidP="00613867">
            <w:pPr>
              <w:spacing w:after="0" w:line="240" w:lineRule="auto"/>
              <w:jc w:val="center"/>
              <w:rPr>
                <w:rFonts w:eastAsia="Times New Roman"/>
                <w:color w:val="auto"/>
                <w:sz w:val="16"/>
                <w:szCs w:val="16"/>
                <w:lang w:eastAsia="ru-RU"/>
              </w:rPr>
            </w:pPr>
            <w:r w:rsidRPr="00BD7E1C">
              <w:rPr>
                <w:color w:val="auto"/>
                <w:sz w:val="18"/>
                <w:szCs w:val="18"/>
              </w:rPr>
              <w:t> </w:t>
            </w:r>
          </w:p>
        </w:tc>
        <w:tc>
          <w:tcPr>
            <w:tcW w:w="408" w:type="pct"/>
            <w:tcBorders>
              <w:top w:val="nil"/>
              <w:left w:val="nil"/>
              <w:bottom w:val="single" w:sz="8" w:space="0" w:color="auto"/>
              <w:right w:val="single" w:sz="8" w:space="0" w:color="auto"/>
            </w:tcBorders>
            <w:shd w:val="clear" w:color="auto" w:fill="auto"/>
            <w:vAlign w:val="center"/>
          </w:tcPr>
          <w:p w14:paraId="08AA7065" w14:textId="06BDB02E" w:rsidR="00613867" w:rsidRPr="00BD7E1C" w:rsidRDefault="00613867" w:rsidP="00613867">
            <w:pPr>
              <w:spacing w:after="0" w:line="240" w:lineRule="auto"/>
              <w:jc w:val="center"/>
              <w:rPr>
                <w:rFonts w:eastAsia="Times New Roman"/>
                <w:color w:val="auto"/>
                <w:sz w:val="16"/>
                <w:szCs w:val="16"/>
                <w:lang w:eastAsia="ru-RU"/>
              </w:rPr>
            </w:pPr>
            <w:r w:rsidRPr="00BD7E1C">
              <w:rPr>
                <w:color w:val="auto"/>
                <w:sz w:val="18"/>
                <w:szCs w:val="18"/>
              </w:rPr>
              <w:t> </w:t>
            </w:r>
          </w:p>
        </w:tc>
        <w:tc>
          <w:tcPr>
            <w:tcW w:w="462" w:type="pct"/>
            <w:tcBorders>
              <w:top w:val="nil"/>
              <w:left w:val="nil"/>
              <w:bottom w:val="single" w:sz="8" w:space="0" w:color="auto"/>
              <w:right w:val="single" w:sz="8" w:space="0" w:color="auto"/>
            </w:tcBorders>
            <w:shd w:val="clear" w:color="auto" w:fill="auto"/>
            <w:vAlign w:val="center"/>
          </w:tcPr>
          <w:p w14:paraId="0DA6899E" w14:textId="00EBFC3E" w:rsidR="00613867" w:rsidRPr="00BD7E1C" w:rsidRDefault="00613867" w:rsidP="00613867">
            <w:pPr>
              <w:spacing w:after="0" w:line="240" w:lineRule="auto"/>
              <w:jc w:val="center"/>
              <w:rPr>
                <w:rFonts w:eastAsia="Times New Roman"/>
                <w:color w:val="auto"/>
                <w:sz w:val="16"/>
                <w:szCs w:val="16"/>
                <w:lang w:eastAsia="ru-RU"/>
              </w:rPr>
            </w:pPr>
            <w:r w:rsidRPr="00BD7E1C">
              <w:rPr>
                <w:color w:val="auto"/>
                <w:sz w:val="18"/>
                <w:szCs w:val="18"/>
              </w:rPr>
              <w:t> </w:t>
            </w:r>
          </w:p>
        </w:tc>
        <w:tc>
          <w:tcPr>
            <w:tcW w:w="467" w:type="pct"/>
            <w:gridSpan w:val="2"/>
            <w:tcBorders>
              <w:top w:val="nil"/>
              <w:left w:val="nil"/>
              <w:bottom w:val="single" w:sz="8" w:space="0" w:color="auto"/>
              <w:right w:val="single" w:sz="8" w:space="0" w:color="auto"/>
            </w:tcBorders>
            <w:shd w:val="clear" w:color="auto" w:fill="auto"/>
            <w:vAlign w:val="center"/>
          </w:tcPr>
          <w:p w14:paraId="48FA2B58" w14:textId="29F96BDC" w:rsidR="00613867" w:rsidRPr="00BD7E1C" w:rsidRDefault="00613867" w:rsidP="00613867">
            <w:pPr>
              <w:spacing w:after="0" w:line="240" w:lineRule="auto"/>
              <w:jc w:val="center"/>
              <w:rPr>
                <w:rFonts w:eastAsia="Times New Roman"/>
                <w:color w:val="auto"/>
                <w:sz w:val="16"/>
                <w:szCs w:val="16"/>
                <w:lang w:eastAsia="ru-RU"/>
              </w:rPr>
            </w:pPr>
            <w:r w:rsidRPr="00BD7E1C">
              <w:rPr>
                <w:color w:val="auto"/>
                <w:sz w:val="18"/>
                <w:szCs w:val="18"/>
              </w:rPr>
              <w:t> </w:t>
            </w:r>
          </w:p>
        </w:tc>
      </w:tr>
      <w:tr w:rsidR="00BD7E1C" w:rsidRPr="00BD7E1C" w14:paraId="293CB30D" w14:textId="77777777" w:rsidTr="00E3296D">
        <w:trPr>
          <w:gridAfter w:val="1"/>
          <w:wAfter w:w="3" w:type="pct"/>
          <w:trHeight w:val="315"/>
        </w:trPr>
        <w:tc>
          <w:tcPr>
            <w:tcW w:w="530" w:type="pct"/>
            <w:vMerge/>
            <w:tcBorders>
              <w:top w:val="nil"/>
              <w:left w:val="single" w:sz="8" w:space="0" w:color="auto"/>
              <w:bottom w:val="single" w:sz="8" w:space="0" w:color="000000"/>
              <w:right w:val="single" w:sz="8" w:space="0" w:color="auto"/>
            </w:tcBorders>
            <w:vAlign w:val="center"/>
            <w:hideMark/>
          </w:tcPr>
          <w:p w14:paraId="6466DBC4" w14:textId="77777777" w:rsidR="00E3296D" w:rsidRPr="00BD7E1C" w:rsidRDefault="00E3296D" w:rsidP="00E3296D">
            <w:pPr>
              <w:spacing w:after="0" w:line="240" w:lineRule="auto"/>
              <w:jc w:val="center"/>
              <w:rPr>
                <w:rFonts w:eastAsia="Times New Roman"/>
                <w:b/>
                <w:bCs/>
                <w:color w:val="auto"/>
                <w:sz w:val="18"/>
                <w:szCs w:val="18"/>
                <w:lang w:eastAsia="ru-RU"/>
              </w:rPr>
            </w:pPr>
          </w:p>
        </w:tc>
        <w:tc>
          <w:tcPr>
            <w:tcW w:w="416" w:type="pct"/>
            <w:tcBorders>
              <w:top w:val="nil"/>
              <w:left w:val="nil"/>
              <w:bottom w:val="single" w:sz="8" w:space="0" w:color="auto"/>
              <w:right w:val="single" w:sz="8" w:space="0" w:color="auto"/>
            </w:tcBorders>
            <w:shd w:val="clear" w:color="auto" w:fill="auto"/>
            <w:vAlign w:val="center"/>
            <w:hideMark/>
          </w:tcPr>
          <w:p w14:paraId="5909D7C7" w14:textId="77777777" w:rsidR="00E3296D" w:rsidRPr="00BD7E1C" w:rsidRDefault="00E3296D" w:rsidP="00E3296D">
            <w:pPr>
              <w:spacing w:after="0" w:line="240" w:lineRule="auto"/>
              <w:jc w:val="center"/>
              <w:rPr>
                <w:rFonts w:eastAsia="Times New Roman"/>
                <w:color w:val="auto"/>
                <w:sz w:val="18"/>
                <w:szCs w:val="18"/>
                <w:lang w:eastAsia="ru-RU"/>
              </w:rPr>
            </w:pPr>
            <w:r w:rsidRPr="00BD7E1C">
              <w:rPr>
                <w:rFonts w:eastAsia="Times New Roman"/>
                <w:color w:val="auto"/>
                <w:sz w:val="18"/>
                <w:szCs w:val="18"/>
                <w:lang w:eastAsia="ru-RU"/>
              </w:rPr>
              <w:t>СН2</w:t>
            </w:r>
          </w:p>
        </w:tc>
        <w:tc>
          <w:tcPr>
            <w:tcW w:w="389" w:type="pct"/>
            <w:tcBorders>
              <w:top w:val="nil"/>
              <w:left w:val="nil"/>
              <w:bottom w:val="single" w:sz="8" w:space="0" w:color="auto"/>
              <w:right w:val="single" w:sz="8" w:space="0" w:color="auto"/>
            </w:tcBorders>
            <w:shd w:val="clear" w:color="auto" w:fill="auto"/>
            <w:vAlign w:val="center"/>
          </w:tcPr>
          <w:p w14:paraId="69A7C482" w14:textId="3216E3A3" w:rsidR="00E3296D" w:rsidRPr="00BD7E1C" w:rsidRDefault="00E3296D" w:rsidP="00E3296D">
            <w:pPr>
              <w:spacing w:after="0" w:line="240" w:lineRule="auto"/>
              <w:jc w:val="center"/>
              <w:rPr>
                <w:rFonts w:eastAsia="Times New Roman"/>
                <w:color w:val="auto"/>
                <w:sz w:val="16"/>
                <w:szCs w:val="16"/>
                <w:lang w:eastAsia="ru-RU"/>
              </w:rPr>
            </w:pPr>
            <w:r w:rsidRPr="00BD7E1C">
              <w:rPr>
                <w:color w:val="auto"/>
                <w:sz w:val="18"/>
                <w:szCs w:val="18"/>
              </w:rPr>
              <w:t> </w:t>
            </w:r>
          </w:p>
        </w:tc>
        <w:tc>
          <w:tcPr>
            <w:tcW w:w="389" w:type="pct"/>
            <w:tcBorders>
              <w:top w:val="nil"/>
              <w:left w:val="nil"/>
              <w:bottom w:val="single" w:sz="8" w:space="0" w:color="auto"/>
              <w:right w:val="single" w:sz="8" w:space="0" w:color="auto"/>
            </w:tcBorders>
            <w:shd w:val="clear" w:color="auto" w:fill="auto"/>
            <w:vAlign w:val="center"/>
          </w:tcPr>
          <w:p w14:paraId="642A998C" w14:textId="178D66EF" w:rsidR="00E3296D" w:rsidRPr="00BD7E1C" w:rsidRDefault="00E3296D" w:rsidP="00E3296D">
            <w:pPr>
              <w:spacing w:after="0" w:line="240" w:lineRule="auto"/>
              <w:jc w:val="center"/>
              <w:rPr>
                <w:rFonts w:eastAsia="Times New Roman"/>
                <w:color w:val="auto"/>
                <w:sz w:val="16"/>
                <w:szCs w:val="16"/>
                <w:lang w:eastAsia="ru-RU"/>
              </w:rPr>
            </w:pPr>
            <w:r w:rsidRPr="00BD7E1C">
              <w:rPr>
                <w:color w:val="auto"/>
                <w:sz w:val="18"/>
                <w:szCs w:val="18"/>
              </w:rPr>
              <w:t> </w:t>
            </w:r>
          </w:p>
        </w:tc>
        <w:tc>
          <w:tcPr>
            <w:tcW w:w="389" w:type="pct"/>
            <w:tcBorders>
              <w:top w:val="nil"/>
              <w:left w:val="nil"/>
              <w:bottom w:val="single" w:sz="8" w:space="0" w:color="auto"/>
              <w:right w:val="single" w:sz="8" w:space="0" w:color="auto"/>
            </w:tcBorders>
            <w:shd w:val="clear" w:color="auto" w:fill="auto"/>
            <w:vAlign w:val="center"/>
          </w:tcPr>
          <w:p w14:paraId="51518665" w14:textId="2AA0B149" w:rsidR="00E3296D" w:rsidRPr="00BD7E1C" w:rsidRDefault="00E3296D" w:rsidP="00E3296D">
            <w:pPr>
              <w:spacing w:after="0" w:line="240" w:lineRule="auto"/>
              <w:jc w:val="center"/>
              <w:rPr>
                <w:rFonts w:eastAsia="Times New Roman"/>
                <w:color w:val="auto"/>
                <w:sz w:val="16"/>
                <w:szCs w:val="16"/>
                <w:lang w:eastAsia="ru-RU"/>
              </w:rPr>
            </w:pPr>
            <w:r w:rsidRPr="00BD7E1C">
              <w:rPr>
                <w:color w:val="auto"/>
                <w:sz w:val="18"/>
                <w:szCs w:val="18"/>
              </w:rPr>
              <w:t> </w:t>
            </w:r>
          </w:p>
        </w:tc>
        <w:tc>
          <w:tcPr>
            <w:tcW w:w="394" w:type="pct"/>
            <w:tcBorders>
              <w:top w:val="nil"/>
              <w:left w:val="nil"/>
              <w:bottom w:val="single" w:sz="8" w:space="0" w:color="auto"/>
              <w:right w:val="single" w:sz="8" w:space="0" w:color="auto"/>
            </w:tcBorders>
            <w:shd w:val="clear" w:color="auto" w:fill="auto"/>
            <w:vAlign w:val="center"/>
          </w:tcPr>
          <w:p w14:paraId="3F9DB82B" w14:textId="22990CDB" w:rsidR="00E3296D" w:rsidRPr="00BD7E1C" w:rsidRDefault="00E3296D" w:rsidP="00E3296D">
            <w:pPr>
              <w:spacing w:after="0" w:line="240" w:lineRule="auto"/>
              <w:jc w:val="center"/>
              <w:rPr>
                <w:rFonts w:eastAsia="Times New Roman"/>
                <w:color w:val="auto"/>
                <w:sz w:val="16"/>
                <w:szCs w:val="16"/>
                <w:lang w:eastAsia="ru-RU"/>
              </w:rPr>
            </w:pPr>
            <w:r w:rsidRPr="00BD7E1C">
              <w:rPr>
                <w:color w:val="auto"/>
                <w:sz w:val="18"/>
                <w:szCs w:val="18"/>
              </w:rPr>
              <w:t>3 617,45</w:t>
            </w:r>
          </w:p>
        </w:tc>
        <w:tc>
          <w:tcPr>
            <w:tcW w:w="382" w:type="pct"/>
            <w:tcBorders>
              <w:top w:val="nil"/>
              <w:left w:val="nil"/>
              <w:bottom w:val="single" w:sz="8" w:space="0" w:color="auto"/>
              <w:right w:val="single" w:sz="8" w:space="0" w:color="auto"/>
            </w:tcBorders>
            <w:shd w:val="clear" w:color="auto" w:fill="auto"/>
            <w:vAlign w:val="center"/>
          </w:tcPr>
          <w:p w14:paraId="20AF1D8B" w14:textId="5D862C73" w:rsidR="00E3296D" w:rsidRPr="00BD7E1C" w:rsidRDefault="00E3296D" w:rsidP="00E3296D">
            <w:pPr>
              <w:spacing w:after="0" w:line="240" w:lineRule="auto"/>
              <w:jc w:val="center"/>
              <w:rPr>
                <w:rFonts w:eastAsia="Times New Roman"/>
                <w:color w:val="auto"/>
                <w:sz w:val="16"/>
                <w:szCs w:val="16"/>
                <w:lang w:eastAsia="ru-RU"/>
              </w:rPr>
            </w:pPr>
            <w:r w:rsidRPr="00BD7E1C">
              <w:rPr>
                <w:color w:val="auto"/>
                <w:sz w:val="18"/>
                <w:szCs w:val="18"/>
              </w:rPr>
              <w:t>3 798,32</w:t>
            </w:r>
          </w:p>
        </w:tc>
        <w:tc>
          <w:tcPr>
            <w:tcW w:w="386" w:type="pct"/>
            <w:tcBorders>
              <w:top w:val="nil"/>
              <w:left w:val="nil"/>
              <w:bottom w:val="single" w:sz="8" w:space="0" w:color="auto"/>
              <w:right w:val="single" w:sz="8" w:space="0" w:color="auto"/>
            </w:tcBorders>
            <w:shd w:val="clear" w:color="auto" w:fill="auto"/>
            <w:vAlign w:val="center"/>
          </w:tcPr>
          <w:p w14:paraId="790D21C1" w14:textId="4051C60C" w:rsidR="00E3296D" w:rsidRPr="00BD7E1C" w:rsidRDefault="00E3296D" w:rsidP="00E3296D">
            <w:pPr>
              <w:spacing w:after="0" w:line="240" w:lineRule="auto"/>
              <w:jc w:val="center"/>
              <w:rPr>
                <w:rFonts w:eastAsia="Times New Roman"/>
                <w:color w:val="auto"/>
                <w:sz w:val="16"/>
                <w:szCs w:val="16"/>
                <w:lang w:eastAsia="ru-RU"/>
              </w:rPr>
            </w:pPr>
            <w:r w:rsidRPr="00BD7E1C">
              <w:rPr>
                <w:color w:val="auto"/>
                <w:sz w:val="18"/>
                <w:szCs w:val="18"/>
              </w:rPr>
              <w:t> </w:t>
            </w:r>
          </w:p>
        </w:tc>
        <w:tc>
          <w:tcPr>
            <w:tcW w:w="385" w:type="pct"/>
            <w:tcBorders>
              <w:top w:val="nil"/>
              <w:left w:val="nil"/>
              <w:bottom w:val="single" w:sz="8" w:space="0" w:color="auto"/>
              <w:right w:val="single" w:sz="8" w:space="0" w:color="auto"/>
            </w:tcBorders>
            <w:shd w:val="clear" w:color="auto" w:fill="auto"/>
            <w:vAlign w:val="center"/>
          </w:tcPr>
          <w:p w14:paraId="07D4D52A" w14:textId="1E359BEA" w:rsidR="00E3296D" w:rsidRPr="00BD7E1C" w:rsidRDefault="00E3296D" w:rsidP="00E3296D">
            <w:pPr>
              <w:spacing w:after="0" w:line="240" w:lineRule="auto"/>
              <w:jc w:val="center"/>
              <w:rPr>
                <w:rFonts w:eastAsia="Times New Roman"/>
                <w:color w:val="auto"/>
                <w:sz w:val="16"/>
                <w:szCs w:val="16"/>
                <w:lang w:eastAsia="ru-RU"/>
              </w:rPr>
            </w:pPr>
            <w:r w:rsidRPr="00BD7E1C">
              <w:rPr>
                <w:rFonts w:cs="Arial"/>
                <w:color w:val="auto"/>
                <w:sz w:val="16"/>
                <w:szCs w:val="16"/>
              </w:rPr>
              <w:t>2 221,13*</w:t>
            </w:r>
          </w:p>
        </w:tc>
        <w:tc>
          <w:tcPr>
            <w:tcW w:w="408" w:type="pct"/>
            <w:tcBorders>
              <w:top w:val="nil"/>
              <w:left w:val="nil"/>
              <w:bottom w:val="single" w:sz="8" w:space="0" w:color="auto"/>
              <w:right w:val="single" w:sz="8" w:space="0" w:color="auto"/>
            </w:tcBorders>
            <w:shd w:val="clear" w:color="auto" w:fill="auto"/>
            <w:vAlign w:val="center"/>
          </w:tcPr>
          <w:p w14:paraId="0B025D0A" w14:textId="09AB234C" w:rsidR="00E3296D" w:rsidRPr="00BD7E1C" w:rsidRDefault="00E3296D" w:rsidP="00E3296D">
            <w:pPr>
              <w:spacing w:after="0" w:line="240" w:lineRule="auto"/>
              <w:jc w:val="center"/>
              <w:rPr>
                <w:rFonts w:eastAsia="Times New Roman"/>
                <w:color w:val="auto"/>
                <w:sz w:val="16"/>
                <w:szCs w:val="16"/>
                <w:lang w:eastAsia="ru-RU"/>
              </w:rPr>
            </w:pPr>
            <w:r w:rsidRPr="00BD7E1C">
              <w:rPr>
                <w:rFonts w:cs="Arial"/>
                <w:color w:val="auto"/>
                <w:sz w:val="16"/>
                <w:szCs w:val="16"/>
              </w:rPr>
              <w:t>2 327,45*</w:t>
            </w:r>
          </w:p>
        </w:tc>
        <w:tc>
          <w:tcPr>
            <w:tcW w:w="462" w:type="pct"/>
            <w:tcBorders>
              <w:top w:val="nil"/>
              <w:left w:val="nil"/>
              <w:bottom w:val="single" w:sz="8" w:space="0" w:color="auto"/>
              <w:right w:val="single" w:sz="8" w:space="0" w:color="auto"/>
            </w:tcBorders>
            <w:shd w:val="clear" w:color="auto" w:fill="auto"/>
            <w:vAlign w:val="center"/>
          </w:tcPr>
          <w:p w14:paraId="74B8059F" w14:textId="7F95F8C1" w:rsidR="00E3296D" w:rsidRPr="00BD7E1C" w:rsidRDefault="00E3296D" w:rsidP="00E3296D">
            <w:pPr>
              <w:spacing w:after="0" w:line="240" w:lineRule="auto"/>
              <w:jc w:val="center"/>
              <w:rPr>
                <w:rFonts w:eastAsia="Times New Roman"/>
                <w:color w:val="auto"/>
                <w:sz w:val="16"/>
                <w:szCs w:val="16"/>
                <w:lang w:eastAsia="ru-RU"/>
              </w:rPr>
            </w:pPr>
            <w:r w:rsidRPr="00BD7E1C">
              <w:rPr>
                <w:color w:val="auto"/>
                <w:sz w:val="18"/>
                <w:szCs w:val="18"/>
              </w:rPr>
              <w:t> </w:t>
            </w:r>
          </w:p>
        </w:tc>
        <w:tc>
          <w:tcPr>
            <w:tcW w:w="467" w:type="pct"/>
            <w:gridSpan w:val="2"/>
            <w:tcBorders>
              <w:top w:val="nil"/>
              <w:left w:val="nil"/>
              <w:bottom w:val="single" w:sz="8" w:space="0" w:color="auto"/>
              <w:right w:val="single" w:sz="8" w:space="0" w:color="auto"/>
            </w:tcBorders>
            <w:shd w:val="clear" w:color="auto" w:fill="auto"/>
            <w:vAlign w:val="center"/>
          </w:tcPr>
          <w:p w14:paraId="52BC9F6B" w14:textId="212792AC" w:rsidR="00E3296D" w:rsidRPr="00BD7E1C" w:rsidRDefault="00E3296D" w:rsidP="00E3296D">
            <w:pPr>
              <w:spacing w:after="0" w:line="240" w:lineRule="auto"/>
              <w:jc w:val="center"/>
              <w:rPr>
                <w:rFonts w:eastAsia="Times New Roman"/>
                <w:color w:val="auto"/>
                <w:sz w:val="16"/>
                <w:szCs w:val="16"/>
                <w:lang w:eastAsia="ru-RU"/>
              </w:rPr>
            </w:pPr>
            <w:r w:rsidRPr="00BD7E1C">
              <w:rPr>
                <w:color w:val="auto"/>
                <w:sz w:val="18"/>
                <w:szCs w:val="18"/>
              </w:rPr>
              <w:t> </w:t>
            </w:r>
          </w:p>
        </w:tc>
      </w:tr>
      <w:tr w:rsidR="00BD7E1C" w:rsidRPr="00BD7E1C" w14:paraId="3B47EF87" w14:textId="77777777" w:rsidTr="00E3296D">
        <w:trPr>
          <w:gridAfter w:val="1"/>
          <w:wAfter w:w="3" w:type="pct"/>
          <w:trHeight w:val="315"/>
        </w:trPr>
        <w:tc>
          <w:tcPr>
            <w:tcW w:w="530" w:type="pct"/>
            <w:vMerge/>
            <w:tcBorders>
              <w:top w:val="nil"/>
              <w:left w:val="single" w:sz="8" w:space="0" w:color="auto"/>
              <w:bottom w:val="single" w:sz="8" w:space="0" w:color="000000"/>
              <w:right w:val="single" w:sz="8" w:space="0" w:color="auto"/>
            </w:tcBorders>
            <w:vAlign w:val="center"/>
            <w:hideMark/>
          </w:tcPr>
          <w:p w14:paraId="18ADB1C6" w14:textId="77777777" w:rsidR="00E3296D" w:rsidRPr="00BD7E1C" w:rsidRDefault="00E3296D" w:rsidP="00E3296D">
            <w:pPr>
              <w:spacing w:after="0" w:line="240" w:lineRule="auto"/>
              <w:jc w:val="center"/>
              <w:rPr>
                <w:rFonts w:eastAsia="Times New Roman"/>
                <w:b/>
                <w:bCs/>
                <w:color w:val="auto"/>
                <w:sz w:val="18"/>
                <w:szCs w:val="18"/>
                <w:lang w:eastAsia="ru-RU"/>
              </w:rPr>
            </w:pPr>
          </w:p>
        </w:tc>
        <w:tc>
          <w:tcPr>
            <w:tcW w:w="416" w:type="pct"/>
            <w:tcBorders>
              <w:top w:val="nil"/>
              <w:left w:val="nil"/>
              <w:bottom w:val="single" w:sz="8" w:space="0" w:color="auto"/>
              <w:right w:val="single" w:sz="8" w:space="0" w:color="auto"/>
            </w:tcBorders>
            <w:shd w:val="clear" w:color="auto" w:fill="auto"/>
            <w:vAlign w:val="center"/>
            <w:hideMark/>
          </w:tcPr>
          <w:p w14:paraId="5A89A74F" w14:textId="77777777" w:rsidR="00E3296D" w:rsidRPr="00BD7E1C" w:rsidRDefault="00E3296D" w:rsidP="00E3296D">
            <w:pPr>
              <w:spacing w:after="0" w:line="240" w:lineRule="auto"/>
              <w:jc w:val="center"/>
              <w:rPr>
                <w:rFonts w:eastAsia="Times New Roman"/>
                <w:color w:val="auto"/>
                <w:sz w:val="18"/>
                <w:szCs w:val="18"/>
                <w:lang w:eastAsia="ru-RU"/>
              </w:rPr>
            </w:pPr>
            <w:r w:rsidRPr="00BD7E1C">
              <w:rPr>
                <w:rFonts w:eastAsia="Times New Roman"/>
                <w:color w:val="auto"/>
                <w:sz w:val="18"/>
                <w:szCs w:val="18"/>
                <w:lang w:eastAsia="ru-RU"/>
              </w:rPr>
              <w:t>НН</w:t>
            </w:r>
          </w:p>
        </w:tc>
        <w:tc>
          <w:tcPr>
            <w:tcW w:w="389" w:type="pct"/>
            <w:tcBorders>
              <w:top w:val="nil"/>
              <w:left w:val="nil"/>
              <w:bottom w:val="single" w:sz="8" w:space="0" w:color="auto"/>
              <w:right w:val="single" w:sz="8" w:space="0" w:color="auto"/>
            </w:tcBorders>
            <w:shd w:val="clear" w:color="auto" w:fill="auto"/>
            <w:vAlign w:val="center"/>
          </w:tcPr>
          <w:p w14:paraId="6DE46C3F" w14:textId="5DBD865A" w:rsidR="00E3296D" w:rsidRPr="00BD7E1C" w:rsidRDefault="00E3296D" w:rsidP="00E3296D">
            <w:pPr>
              <w:spacing w:after="0" w:line="240" w:lineRule="auto"/>
              <w:jc w:val="center"/>
              <w:rPr>
                <w:rFonts w:eastAsia="Times New Roman"/>
                <w:color w:val="auto"/>
                <w:sz w:val="16"/>
                <w:szCs w:val="16"/>
                <w:lang w:eastAsia="ru-RU"/>
              </w:rPr>
            </w:pPr>
            <w:r w:rsidRPr="00BD7E1C">
              <w:rPr>
                <w:color w:val="auto"/>
                <w:sz w:val="18"/>
                <w:szCs w:val="18"/>
              </w:rPr>
              <w:t> </w:t>
            </w:r>
          </w:p>
        </w:tc>
        <w:tc>
          <w:tcPr>
            <w:tcW w:w="389" w:type="pct"/>
            <w:tcBorders>
              <w:top w:val="nil"/>
              <w:left w:val="nil"/>
              <w:bottom w:val="single" w:sz="8" w:space="0" w:color="auto"/>
              <w:right w:val="single" w:sz="8" w:space="0" w:color="auto"/>
            </w:tcBorders>
            <w:shd w:val="clear" w:color="auto" w:fill="auto"/>
            <w:vAlign w:val="center"/>
          </w:tcPr>
          <w:p w14:paraId="6F1991F6" w14:textId="600CC115" w:rsidR="00E3296D" w:rsidRPr="00BD7E1C" w:rsidRDefault="00E3296D" w:rsidP="00E3296D">
            <w:pPr>
              <w:spacing w:after="0" w:line="240" w:lineRule="auto"/>
              <w:jc w:val="center"/>
              <w:rPr>
                <w:rFonts w:eastAsia="Times New Roman"/>
                <w:color w:val="auto"/>
                <w:sz w:val="16"/>
                <w:szCs w:val="16"/>
                <w:lang w:eastAsia="ru-RU"/>
              </w:rPr>
            </w:pPr>
            <w:r w:rsidRPr="00BD7E1C">
              <w:rPr>
                <w:color w:val="auto"/>
                <w:sz w:val="18"/>
                <w:szCs w:val="18"/>
              </w:rPr>
              <w:t> </w:t>
            </w:r>
          </w:p>
        </w:tc>
        <w:tc>
          <w:tcPr>
            <w:tcW w:w="389" w:type="pct"/>
            <w:tcBorders>
              <w:top w:val="nil"/>
              <w:left w:val="nil"/>
              <w:bottom w:val="single" w:sz="8" w:space="0" w:color="auto"/>
              <w:right w:val="single" w:sz="8" w:space="0" w:color="auto"/>
            </w:tcBorders>
            <w:shd w:val="clear" w:color="auto" w:fill="auto"/>
            <w:vAlign w:val="center"/>
          </w:tcPr>
          <w:p w14:paraId="43018BEB" w14:textId="241ACFD4" w:rsidR="00E3296D" w:rsidRPr="00BD7E1C" w:rsidRDefault="00E3296D" w:rsidP="00E3296D">
            <w:pPr>
              <w:spacing w:after="0" w:line="240" w:lineRule="auto"/>
              <w:jc w:val="center"/>
              <w:rPr>
                <w:rFonts w:eastAsia="Times New Roman"/>
                <w:color w:val="auto"/>
                <w:sz w:val="16"/>
                <w:szCs w:val="16"/>
                <w:lang w:eastAsia="ru-RU"/>
              </w:rPr>
            </w:pPr>
            <w:r w:rsidRPr="00BD7E1C">
              <w:rPr>
                <w:color w:val="auto"/>
                <w:sz w:val="18"/>
                <w:szCs w:val="18"/>
              </w:rPr>
              <w:t> </w:t>
            </w:r>
          </w:p>
        </w:tc>
        <w:tc>
          <w:tcPr>
            <w:tcW w:w="394" w:type="pct"/>
            <w:tcBorders>
              <w:top w:val="nil"/>
              <w:left w:val="nil"/>
              <w:bottom w:val="single" w:sz="8" w:space="0" w:color="auto"/>
              <w:right w:val="single" w:sz="8" w:space="0" w:color="auto"/>
            </w:tcBorders>
            <w:shd w:val="clear" w:color="auto" w:fill="auto"/>
            <w:vAlign w:val="center"/>
          </w:tcPr>
          <w:p w14:paraId="2D619276" w14:textId="29CE68BF" w:rsidR="00E3296D" w:rsidRPr="00BD7E1C" w:rsidRDefault="00E3296D" w:rsidP="00E3296D">
            <w:pPr>
              <w:spacing w:after="0" w:line="240" w:lineRule="auto"/>
              <w:jc w:val="center"/>
              <w:rPr>
                <w:rFonts w:eastAsia="Times New Roman"/>
                <w:color w:val="auto"/>
                <w:sz w:val="16"/>
                <w:szCs w:val="16"/>
                <w:lang w:eastAsia="ru-RU"/>
              </w:rPr>
            </w:pPr>
            <w:r w:rsidRPr="00BD7E1C">
              <w:rPr>
                <w:color w:val="auto"/>
                <w:sz w:val="18"/>
                <w:szCs w:val="18"/>
              </w:rPr>
              <w:t>3 629,83</w:t>
            </w:r>
          </w:p>
        </w:tc>
        <w:tc>
          <w:tcPr>
            <w:tcW w:w="382" w:type="pct"/>
            <w:tcBorders>
              <w:top w:val="nil"/>
              <w:left w:val="nil"/>
              <w:bottom w:val="single" w:sz="8" w:space="0" w:color="auto"/>
              <w:right w:val="single" w:sz="8" w:space="0" w:color="auto"/>
            </w:tcBorders>
            <w:shd w:val="clear" w:color="auto" w:fill="auto"/>
            <w:vAlign w:val="center"/>
          </w:tcPr>
          <w:p w14:paraId="133C756A" w14:textId="6E8F8444" w:rsidR="00E3296D" w:rsidRPr="00BD7E1C" w:rsidRDefault="00E3296D" w:rsidP="00E3296D">
            <w:pPr>
              <w:spacing w:after="0" w:line="240" w:lineRule="auto"/>
              <w:jc w:val="center"/>
              <w:rPr>
                <w:rFonts w:eastAsia="Times New Roman"/>
                <w:color w:val="auto"/>
                <w:sz w:val="16"/>
                <w:szCs w:val="16"/>
                <w:lang w:eastAsia="ru-RU"/>
              </w:rPr>
            </w:pPr>
            <w:r w:rsidRPr="00BD7E1C">
              <w:rPr>
                <w:color w:val="auto"/>
                <w:sz w:val="18"/>
                <w:szCs w:val="18"/>
              </w:rPr>
              <w:t>3 811,32</w:t>
            </w:r>
          </w:p>
        </w:tc>
        <w:tc>
          <w:tcPr>
            <w:tcW w:w="386" w:type="pct"/>
            <w:tcBorders>
              <w:top w:val="nil"/>
              <w:left w:val="nil"/>
              <w:bottom w:val="single" w:sz="8" w:space="0" w:color="auto"/>
              <w:right w:val="single" w:sz="8" w:space="0" w:color="auto"/>
            </w:tcBorders>
            <w:shd w:val="clear" w:color="auto" w:fill="auto"/>
            <w:vAlign w:val="center"/>
          </w:tcPr>
          <w:p w14:paraId="11710DFF" w14:textId="216EBA95" w:rsidR="00E3296D" w:rsidRPr="00BD7E1C" w:rsidRDefault="00E3296D" w:rsidP="00E3296D">
            <w:pPr>
              <w:spacing w:after="0" w:line="240" w:lineRule="auto"/>
              <w:jc w:val="center"/>
              <w:rPr>
                <w:rFonts w:eastAsia="Times New Roman"/>
                <w:color w:val="auto"/>
                <w:sz w:val="16"/>
                <w:szCs w:val="16"/>
                <w:lang w:eastAsia="ru-RU"/>
              </w:rPr>
            </w:pPr>
            <w:r w:rsidRPr="00BD7E1C">
              <w:rPr>
                <w:color w:val="auto"/>
                <w:sz w:val="18"/>
                <w:szCs w:val="18"/>
              </w:rPr>
              <w:t> </w:t>
            </w:r>
          </w:p>
        </w:tc>
        <w:tc>
          <w:tcPr>
            <w:tcW w:w="385" w:type="pct"/>
            <w:tcBorders>
              <w:top w:val="nil"/>
              <w:left w:val="nil"/>
              <w:bottom w:val="single" w:sz="8" w:space="0" w:color="auto"/>
              <w:right w:val="single" w:sz="8" w:space="0" w:color="auto"/>
            </w:tcBorders>
            <w:shd w:val="clear" w:color="auto" w:fill="auto"/>
            <w:vAlign w:val="center"/>
          </w:tcPr>
          <w:p w14:paraId="3932A2BD" w14:textId="1416AC2B" w:rsidR="00E3296D" w:rsidRPr="00BD7E1C" w:rsidRDefault="00E3296D" w:rsidP="00E3296D">
            <w:pPr>
              <w:spacing w:after="0" w:line="240" w:lineRule="auto"/>
              <w:jc w:val="center"/>
              <w:rPr>
                <w:rFonts w:eastAsia="Times New Roman"/>
                <w:color w:val="auto"/>
                <w:sz w:val="16"/>
                <w:szCs w:val="16"/>
                <w:lang w:eastAsia="ru-RU"/>
              </w:rPr>
            </w:pPr>
            <w:r w:rsidRPr="00BD7E1C">
              <w:rPr>
                <w:rFonts w:cs="Arial"/>
                <w:color w:val="auto"/>
                <w:sz w:val="16"/>
                <w:szCs w:val="16"/>
              </w:rPr>
              <w:t>1 416,04**</w:t>
            </w:r>
          </w:p>
        </w:tc>
        <w:tc>
          <w:tcPr>
            <w:tcW w:w="408" w:type="pct"/>
            <w:tcBorders>
              <w:top w:val="nil"/>
              <w:left w:val="nil"/>
              <w:bottom w:val="single" w:sz="8" w:space="0" w:color="auto"/>
              <w:right w:val="single" w:sz="8" w:space="0" w:color="auto"/>
            </w:tcBorders>
            <w:shd w:val="clear" w:color="auto" w:fill="auto"/>
            <w:vAlign w:val="center"/>
          </w:tcPr>
          <w:p w14:paraId="669A01DA" w14:textId="1DE79DCB" w:rsidR="00E3296D" w:rsidRPr="00BD7E1C" w:rsidRDefault="00E3296D" w:rsidP="00E3296D">
            <w:pPr>
              <w:spacing w:after="0" w:line="240" w:lineRule="auto"/>
              <w:jc w:val="center"/>
              <w:rPr>
                <w:rFonts w:eastAsia="Times New Roman"/>
                <w:color w:val="auto"/>
                <w:sz w:val="16"/>
                <w:szCs w:val="16"/>
                <w:lang w:eastAsia="ru-RU"/>
              </w:rPr>
            </w:pPr>
            <w:r w:rsidRPr="00BD7E1C">
              <w:rPr>
                <w:rFonts w:cs="Arial"/>
                <w:color w:val="auto"/>
                <w:sz w:val="16"/>
                <w:szCs w:val="16"/>
              </w:rPr>
              <w:t>1 488,47**</w:t>
            </w:r>
          </w:p>
        </w:tc>
        <w:tc>
          <w:tcPr>
            <w:tcW w:w="462" w:type="pct"/>
            <w:tcBorders>
              <w:top w:val="nil"/>
              <w:left w:val="nil"/>
              <w:bottom w:val="single" w:sz="8" w:space="0" w:color="auto"/>
              <w:right w:val="single" w:sz="8" w:space="0" w:color="auto"/>
            </w:tcBorders>
            <w:shd w:val="clear" w:color="auto" w:fill="auto"/>
            <w:vAlign w:val="center"/>
          </w:tcPr>
          <w:p w14:paraId="3D45F631" w14:textId="4DCF1695" w:rsidR="00E3296D" w:rsidRPr="00BD7E1C" w:rsidRDefault="00E3296D" w:rsidP="00E3296D">
            <w:pPr>
              <w:spacing w:after="0" w:line="240" w:lineRule="auto"/>
              <w:jc w:val="center"/>
              <w:rPr>
                <w:rFonts w:eastAsia="Times New Roman"/>
                <w:color w:val="auto"/>
                <w:sz w:val="16"/>
                <w:szCs w:val="16"/>
                <w:lang w:eastAsia="ru-RU"/>
              </w:rPr>
            </w:pPr>
            <w:r w:rsidRPr="00BD7E1C">
              <w:rPr>
                <w:color w:val="auto"/>
                <w:sz w:val="18"/>
                <w:szCs w:val="18"/>
              </w:rPr>
              <w:t> </w:t>
            </w:r>
          </w:p>
        </w:tc>
        <w:tc>
          <w:tcPr>
            <w:tcW w:w="467" w:type="pct"/>
            <w:gridSpan w:val="2"/>
            <w:tcBorders>
              <w:top w:val="nil"/>
              <w:left w:val="nil"/>
              <w:bottom w:val="single" w:sz="8" w:space="0" w:color="auto"/>
              <w:right w:val="single" w:sz="8" w:space="0" w:color="auto"/>
            </w:tcBorders>
            <w:shd w:val="clear" w:color="auto" w:fill="auto"/>
            <w:vAlign w:val="center"/>
          </w:tcPr>
          <w:p w14:paraId="40028227" w14:textId="179F96B0" w:rsidR="00E3296D" w:rsidRPr="00BD7E1C" w:rsidRDefault="00E3296D" w:rsidP="00E3296D">
            <w:pPr>
              <w:spacing w:after="0" w:line="240" w:lineRule="auto"/>
              <w:jc w:val="center"/>
              <w:rPr>
                <w:rFonts w:eastAsia="Times New Roman"/>
                <w:color w:val="auto"/>
                <w:sz w:val="16"/>
                <w:szCs w:val="16"/>
                <w:lang w:eastAsia="ru-RU"/>
              </w:rPr>
            </w:pPr>
            <w:r w:rsidRPr="00BD7E1C">
              <w:rPr>
                <w:color w:val="auto"/>
                <w:sz w:val="18"/>
                <w:szCs w:val="18"/>
              </w:rPr>
              <w:t> </w:t>
            </w:r>
          </w:p>
        </w:tc>
      </w:tr>
      <w:tr w:rsidR="00BD7E1C" w:rsidRPr="00BD7E1C" w14:paraId="732E33E5" w14:textId="77777777" w:rsidTr="00E3296D">
        <w:trPr>
          <w:gridAfter w:val="1"/>
          <w:wAfter w:w="3" w:type="pct"/>
          <w:trHeight w:val="315"/>
        </w:trPr>
        <w:tc>
          <w:tcPr>
            <w:tcW w:w="530" w:type="pct"/>
            <w:vMerge w:val="restart"/>
            <w:tcBorders>
              <w:top w:val="nil"/>
              <w:left w:val="single" w:sz="8" w:space="0" w:color="auto"/>
              <w:bottom w:val="single" w:sz="8" w:space="0" w:color="000000"/>
              <w:right w:val="single" w:sz="8" w:space="0" w:color="auto"/>
            </w:tcBorders>
            <w:shd w:val="clear" w:color="auto" w:fill="auto"/>
            <w:vAlign w:val="center"/>
            <w:hideMark/>
          </w:tcPr>
          <w:p w14:paraId="51BCF452" w14:textId="24CBE10D" w:rsidR="00E3296D" w:rsidRPr="00BD7E1C" w:rsidRDefault="00E3296D" w:rsidP="00E3296D">
            <w:pPr>
              <w:spacing w:after="0" w:line="240" w:lineRule="auto"/>
              <w:jc w:val="center"/>
              <w:rPr>
                <w:rFonts w:eastAsia="Times New Roman"/>
                <w:b/>
                <w:bCs/>
                <w:color w:val="auto"/>
                <w:sz w:val="18"/>
                <w:szCs w:val="18"/>
                <w:lang w:eastAsia="ru-RU"/>
              </w:rPr>
            </w:pPr>
            <w:r w:rsidRPr="00BD7E1C">
              <w:rPr>
                <w:rFonts w:eastAsia="Times New Roman"/>
                <w:b/>
                <w:bCs/>
                <w:color w:val="auto"/>
                <w:sz w:val="18"/>
                <w:szCs w:val="18"/>
                <w:lang w:eastAsia="ru-RU"/>
              </w:rPr>
              <w:lastRenderedPageBreak/>
              <w:t>Товарная выручка, всего</w:t>
            </w:r>
          </w:p>
        </w:tc>
        <w:tc>
          <w:tcPr>
            <w:tcW w:w="416" w:type="pct"/>
            <w:tcBorders>
              <w:top w:val="nil"/>
              <w:left w:val="nil"/>
              <w:bottom w:val="single" w:sz="8" w:space="0" w:color="auto"/>
              <w:right w:val="single" w:sz="8" w:space="0" w:color="auto"/>
            </w:tcBorders>
            <w:shd w:val="clear" w:color="auto" w:fill="auto"/>
            <w:vAlign w:val="center"/>
            <w:hideMark/>
          </w:tcPr>
          <w:p w14:paraId="58F5C54E" w14:textId="77777777" w:rsidR="00E3296D" w:rsidRPr="00BD7E1C" w:rsidRDefault="00E3296D" w:rsidP="00E3296D">
            <w:pPr>
              <w:spacing w:after="0" w:line="240" w:lineRule="auto"/>
              <w:jc w:val="center"/>
              <w:rPr>
                <w:rFonts w:eastAsia="Times New Roman"/>
                <w:color w:val="auto"/>
                <w:sz w:val="18"/>
                <w:szCs w:val="18"/>
                <w:lang w:eastAsia="ru-RU"/>
              </w:rPr>
            </w:pPr>
            <w:r w:rsidRPr="00BD7E1C">
              <w:rPr>
                <w:rFonts w:eastAsia="Times New Roman"/>
                <w:color w:val="auto"/>
                <w:sz w:val="18"/>
                <w:szCs w:val="18"/>
                <w:lang w:eastAsia="ru-RU"/>
              </w:rPr>
              <w:t>ВН</w:t>
            </w:r>
          </w:p>
        </w:tc>
        <w:tc>
          <w:tcPr>
            <w:tcW w:w="389" w:type="pct"/>
            <w:tcBorders>
              <w:top w:val="nil"/>
              <w:left w:val="nil"/>
              <w:bottom w:val="single" w:sz="8" w:space="0" w:color="auto"/>
              <w:right w:val="single" w:sz="8" w:space="0" w:color="auto"/>
            </w:tcBorders>
            <w:shd w:val="clear" w:color="auto" w:fill="auto"/>
            <w:vAlign w:val="center"/>
          </w:tcPr>
          <w:p w14:paraId="679F212B" w14:textId="1FA90EE8" w:rsidR="00E3296D" w:rsidRPr="00BD7E1C" w:rsidRDefault="00E3296D" w:rsidP="00E3296D">
            <w:pPr>
              <w:spacing w:after="0" w:line="240" w:lineRule="auto"/>
              <w:jc w:val="center"/>
              <w:rPr>
                <w:rFonts w:eastAsia="Times New Roman"/>
                <w:color w:val="auto"/>
                <w:sz w:val="16"/>
                <w:szCs w:val="16"/>
                <w:lang w:eastAsia="ru-RU"/>
              </w:rPr>
            </w:pPr>
            <w:r w:rsidRPr="00BD7E1C">
              <w:rPr>
                <w:rFonts w:cs="Arial"/>
                <w:color w:val="auto"/>
                <w:sz w:val="16"/>
                <w:szCs w:val="16"/>
              </w:rPr>
              <w:t>0</w:t>
            </w:r>
          </w:p>
        </w:tc>
        <w:tc>
          <w:tcPr>
            <w:tcW w:w="389" w:type="pct"/>
            <w:tcBorders>
              <w:top w:val="nil"/>
              <w:left w:val="nil"/>
              <w:bottom w:val="single" w:sz="8" w:space="0" w:color="auto"/>
              <w:right w:val="single" w:sz="8" w:space="0" w:color="auto"/>
            </w:tcBorders>
            <w:shd w:val="clear" w:color="auto" w:fill="auto"/>
            <w:vAlign w:val="center"/>
          </w:tcPr>
          <w:p w14:paraId="5EC854AC" w14:textId="248E785E" w:rsidR="00E3296D" w:rsidRPr="00BD7E1C" w:rsidRDefault="00E3296D" w:rsidP="00E3296D">
            <w:pPr>
              <w:spacing w:after="0" w:line="240" w:lineRule="auto"/>
              <w:jc w:val="center"/>
              <w:rPr>
                <w:rFonts w:eastAsia="Times New Roman"/>
                <w:color w:val="auto"/>
                <w:sz w:val="16"/>
                <w:szCs w:val="16"/>
                <w:lang w:eastAsia="ru-RU"/>
              </w:rPr>
            </w:pPr>
            <w:r w:rsidRPr="00BD7E1C">
              <w:rPr>
                <w:rFonts w:cs="Arial"/>
                <w:color w:val="auto"/>
                <w:sz w:val="16"/>
                <w:szCs w:val="16"/>
              </w:rPr>
              <w:t>0</w:t>
            </w:r>
          </w:p>
        </w:tc>
        <w:tc>
          <w:tcPr>
            <w:tcW w:w="389" w:type="pct"/>
            <w:tcBorders>
              <w:top w:val="nil"/>
              <w:left w:val="nil"/>
              <w:bottom w:val="single" w:sz="8" w:space="0" w:color="auto"/>
              <w:right w:val="single" w:sz="8" w:space="0" w:color="auto"/>
            </w:tcBorders>
            <w:shd w:val="clear" w:color="auto" w:fill="auto"/>
            <w:vAlign w:val="center"/>
          </w:tcPr>
          <w:p w14:paraId="46653375" w14:textId="583E27E4" w:rsidR="00E3296D" w:rsidRPr="00BD7E1C" w:rsidRDefault="00E3296D" w:rsidP="00E3296D">
            <w:pPr>
              <w:spacing w:after="0" w:line="240" w:lineRule="auto"/>
              <w:jc w:val="center"/>
              <w:rPr>
                <w:rFonts w:eastAsia="Times New Roman"/>
                <w:color w:val="auto"/>
                <w:sz w:val="16"/>
                <w:szCs w:val="16"/>
                <w:lang w:eastAsia="ru-RU"/>
              </w:rPr>
            </w:pPr>
            <w:r w:rsidRPr="00BD7E1C">
              <w:rPr>
                <w:rFonts w:cs="Arial"/>
                <w:color w:val="auto"/>
                <w:sz w:val="16"/>
                <w:szCs w:val="16"/>
              </w:rPr>
              <w:t>0</w:t>
            </w:r>
          </w:p>
        </w:tc>
        <w:tc>
          <w:tcPr>
            <w:tcW w:w="394" w:type="pct"/>
            <w:tcBorders>
              <w:top w:val="nil"/>
              <w:left w:val="nil"/>
              <w:bottom w:val="single" w:sz="8" w:space="0" w:color="auto"/>
              <w:right w:val="single" w:sz="8" w:space="0" w:color="auto"/>
            </w:tcBorders>
            <w:shd w:val="clear" w:color="auto" w:fill="auto"/>
            <w:vAlign w:val="center"/>
          </w:tcPr>
          <w:p w14:paraId="3373FBB4" w14:textId="3BC65525" w:rsidR="00E3296D" w:rsidRPr="00BD7E1C" w:rsidRDefault="00E3296D" w:rsidP="00E3296D">
            <w:pPr>
              <w:spacing w:after="0" w:line="240" w:lineRule="auto"/>
              <w:jc w:val="center"/>
              <w:rPr>
                <w:rFonts w:eastAsia="Times New Roman"/>
                <w:color w:val="auto"/>
                <w:sz w:val="16"/>
                <w:szCs w:val="16"/>
                <w:lang w:eastAsia="ru-RU"/>
              </w:rPr>
            </w:pPr>
            <w:r w:rsidRPr="00BD7E1C">
              <w:rPr>
                <w:rFonts w:cs="Arial"/>
                <w:color w:val="auto"/>
                <w:sz w:val="16"/>
                <w:szCs w:val="16"/>
              </w:rPr>
              <w:t>40 963,12</w:t>
            </w:r>
          </w:p>
        </w:tc>
        <w:tc>
          <w:tcPr>
            <w:tcW w:w="382" w:type="pct"/>
            <w:tcBorders>
              <w:top w:val="nil"/>
              <w:left w:val="nil"/>
              <w:bottom w:val="single" w:sz="8" w:space="0" w:color="auto"/>
              <w:right w:val="single" w:sz="8" w:space="0" w:color="auto"/>
            </w:tcBorders>
            <w:shd w:val="clear" w:color="auto" w:fill="auto"/>
            <w:vAlign w:val="center"/>
          </w:tcPr>
          <w:p w14:paraId="038BE6F6" w14:textId="722FAA79" w:rsidR="00E3296D" w:rsidRPr="00BD7E1C" w:rsidRDefault="00E3296D" w:rsidP="00E3296D">
            <w:pPr>
              <w:spacing w:after="0" w:line="240" w:lineRule="auto"/>
              <w:jc w:val="center"/>
              <w:rPr>
                <w:rFonts w:eastAsia="Times New Roman"/>
                <w:color w:val="auto"/>
                <w:sz w:val="16"/>
                <w:szCs w:val="16"/>
                <w:lang w:eastAsia="ru-RU"/>
              </w:rPr>
            </w:pPr>
            <w:r w:rsidRPr="00BD7E1C">
              <w:rPr>
                <w:rFonts w:cs="Arial"/>
                <w:color w:val="auto"/>
                <w:sz w:val="16"/>
                <w:szCs w:val="16"/>
              </w:rPr>
              <w:t>47 225,75</w:t>
            </w:r>
          </w:p>
        </w:tc>
        <w:tc>
          <w:tcPr>
            <w:tcW w:w="386" w:type="pct"/>
            <w:tcBorders>
              <w:top w:val="nil"/>
              <w:left w:val="nil"/>
              <w:bottom w:val="single" w:sz="8" w:space="0" w:color="auto"/>
              <w:right w:val="single" w:sz="8" w:space="0" w:color="auto"/>
            </w:tcBorders>
            <w:shd w:val="clear" w:color="auto" w:fill="auto"/>
            <w:vAlign w:val="center"/>
          </w:tcPr>
          <w:p w14:paraId="2928122F" w14:textId="3FA249FE" w:rsidR="00E3296D" w:rsidRPr="00BD7E1C" w:rsidRDefault="00E3296D" w:rsidP="00E3296D">
            <w:pPr>
              <w:spacing w:after="0" w:line="240" w:lineRule="auto"/>
              <w:jc w:val="center"/>
              <w:rPr>
                <w:rFonts w:eastAsia="Times New Roman"/>
                <w:color w:val="auto"/>
                <w:sz w:val="16"/>
                <w:szCs w:val="16"/>
                <w:lang w:eastAsia="ru-RU"/>
              </w:rPr>
            </w:pPr>
            <w:r w:rsidRPr="00BD7E1C">
              <w:rPr>
                <w:rFonts w:cs="Arial"/>
                <w:color w:val="auto"/>
                <w:sz w:val="16"/>
                <w:szCs w:val="16"/>
              </w:rPr>
              <w:t>88 188,87</w:t>
            </w:r>
          </w:p>
        </w:tc>
        <w:tc>
          <w:tcPr>
            <w:tcW w:w="385" w:type="pct"/>
            <w:tcBorders>
              <w:top w:val="nil"/>
              <w:left w:val="nil"/>
              <w:bottom w:val="single" w:sz="8" w:space="0" w:color="auto"/>
              <w:right w:val="single" w:sz="8" w:space="0" w:color="auto"/>
            </w:tcBorders>
            <w:shd w:val="clear" w:color="auto" w:fill="auto"/>
            <w:vAlign w:val="center"/>
          </w:tcPr>
          <w:p w14:paraId="014E4C00" w14:textId="49239721" w:rsidR="00E3296D" w:rsidRPr="00BD7E1C" w:rsidRDefault="00E3296D" w:rsidP="00E3296D">
            <w:pPr>
              <w:spacing w:after="0" w:line="240" w:lineRule="auto"/>
              <w:jc w:val="center"/>
              <w:rPr>
                <w:rFonts w:eastAsia="Times New Roman"/>
                <w:color w:val="auto"/>
                <w:sz w:val="16"/>
                <w:szCs w:val="16"/>
                <w:lang w:eastAsia="ru-RU"/>
              </w:rPr>
            </w:pPr>
            <w:r w:rsidRPr="00BD7E1C">
              <w:rPr>
                <w:rFonts w:cs="Arial"/>
                <w:color w:val="auto"/>
                <w:sz w:val="16"/>
                <w:szCs w:val="16"/>
              </w:rPr>
              <w:t> </w:t>
            </w:r>
          </w:p>
        </w:tc>
        <w:tc>
          <w:tcPr>
            <w:tcW w:w="408" w:type="pct"/>
            <w:tcBorders>
              <w:top w:val="nil"/>
              <w:left w:val="nil"/>
              <w:bottom w:val="single" w:sz="8" w:space="0" w:color="auto"/>
              <w:right w:val="single" w:sz="8" w:space="0" w:color="auto"/>
            </w:tcBorders>
            <w:shd w:val="clear" w:color="auto" w:fill="auto"/>
            <w:vAlign w:val="center"/>
          </w:tcPr>
          <w:p w14:paraId="33C654F2" w14:textId="70D8C8B2" w:rsidR="00E3296D" w:rsidRPr="00BD7E1C" w:rsidRDefault="00E3296D" w:rsidP="00E3296D">
            <w:pPr>
              <w:spacing w:after="0" w:line="240" w:lineRule="auto"/>
              <w:jc w:val="center"/>
              <w:rPr>
                <w:rFonts w:eastAsia="Times New Roman"/>
                <w:color w:val="auto"/>
                <w:sz w:val="16"/>
                <w:szCs w:val="16"/>
                <w:lang w:eastAsia="ru-RU"/>
              </w:rPr>
            </w:pPr>
            <w:r w:rsidRPr="00BD7E1C">
              <w:rPr>
                <w:rFonts w:cs="Arial"/>
                <w:color w:val="auto"/>
                <w:sz w:val="16"/>
                <w:szCs w:val="16"/>
              </w:rPr>
              <w:t>0</w:t>
            </w:r>
          </w:p>
        </w:tc>
        <w:tc>
          <w:tcPr>
            <w:tcW w:w="462" w:type="pct"/>
            <w:tcBorders>
              <w:top w:val="nil"/>
              <w:left w:val="nil"/>
              <w:bottom w:val="single" w:sz="8" w:space="0" w:color="auto"/>
              <w:right w:val="single" w:sz="8" w:space="0" w:color="auto"/>
            </w:tcBorders>
            <w:shd w:val="clear" w:color="auto" w:fill="auto"/>
            <w:vAlign w:val="center"/>
          </w:tcPr>
          <w:p w14:paraId="5AB5A38D" w14:textId="36144767" w:rsidR="00E3296D" w:rsidRPr="00BD7E1C" w:rsidRDefault="00E3296D" w:rsidP="00E3296D">
            <w:pPr>
              <w:spacing w:after="0" w:line="240" w:lineRule="auto"/>
              <w:jc w:val="center"/>
              <w:rPr>
                <w:rFonts w:eastAsia="Times New Roman"/>
                <w:color w:val="auto"/>
                <w:sz w:val="16"/>
                <w:szCs w:val="16"/>
                <w:lang w:eastAsia="ru-RU"/>
              </w:rPr>
            </w:pPr>
            <w:r w:rsidRPr="00BD7E1C">
              <w:rPr>
                <w:rFonts w:cs="Arial"/>
                <w:color w:val="auto"/>
                <w:sz w:val="16"/>
                <w:szCs w:val="16"/>
              </w:rPr>
              <w:t>0</w:t>
            </w:r>
          </w:p>
        </w:tc>
        <w:tc>
          <w:tcPr>
            <w:tcW w:w="467" w:type="pct"/>
            <w:gridSpan w:val="2"/>
            <w:tcBorders>
              <w:top w:val="nil"/>
              <w:left w:val="nil"/>
              <w:bottom w:val="single" w:sz="8" w:space="0" w:color="auto"/>
              <w:right w:val="single" w:sz="8" w:space="0" w:color="auto"/>
            </w:tcBorders>
            <w:shd w:val="clear" w:color="auto" w:fill="auto"/>
            <w:vAlign w:val="center"/>
          </w:tcPr>
          <w:p w14:paraId="05504330" w14:textId="0BF7B744" w:rsidR="00E3296D" w:rsidRPr="00BD7E1C" w:rsidRDefault="00E3296D" w:rsidP="00E3296D">
            <w:pPr>
              <w:spacing w:after="0" w:line="240" w:lineRule="auto"/>
              <w:jc w:val="center"/>
              <w:rPr>
                <w:rFonts w:eastAsia="Times New Roman"/>
                <w:color w:val="auto"/>
                <w:sz w:val="16"/>
                <w:szCs w:val="16"/>
                <w:lang w:eastAsia="ru-RU"/>
              </w:rPr>
            </w:pPr>
            <w:r w:rsidRPr="00BD7E1C">
              <w:rPr>
                <w:rFonts w:cs="Arial"/>
                <w:color w:val="auto"/>
                <w:sz w:val="16"/>
                <w:szCs w:val="16"/>
              </w:rPr>
              <w:t>88 188,87</w:t>
            </w:r>
          </w:p>
        </w:tc>
      </w:tr>
      <w:tr w:rsidR="00BD7E1C" w:rsidRPr="00BD7E1C" w14:paraId="588DAC5F" w14:textId="77777777" w:rsidTr="00E3296D">
        <w:trPr>
          <w:gridAfter w:val="1"/>
          <w:wAfter w:w="3" w:type="pct"/>
          <w:trHeight w:val="315"/>
        </w:trPr>
        <w:tc>
          <w:tcPr>
            <w:tcW w:w="530" w:type="pct"/>
            <w:vMerge/>
            <w:tcBorders>
              <w:top w:val="nil"/>
              <w:left w:val="single" w:sz="8" w:space="0" w:color="auto"/>
              <w:bottom w:val="single" w:sz="8" w:space="0" w:color="000000"/>
              <w:right w:val="single" w:sz="8" w:space="0" w:color="auto"/>
            </w:tcBorders>
            <w:vAlign w:val="center"/>
            <w:hideMark/>
          </w:tcPr>
          <w:p w14:paraId="4E89BF84" w14:textId="77777777" w:rsidR="00E3296D" w:rsidRPr="00BD7E1C" w:rsidRDefault="00E3296D" w:rsidP="00E3296D">
            <w:pPr>
              <w:spacing w:after="0" w:line="240" w:lineRule="auto"/>
              <w:jc w:val="center"/>
              <w:rPr>
                <w:rFonts w:eastAsia="Times New Roman"/>
                <w:b/>
                <w:bCs/>
                <w:color w:val="auto"/>
                <w:sz w:val="18"/>
                <w:szCs w:val="18"/>
                <w:lang w:eastAsia="ru-RU"/>
              </w:rPr>
            </w:pPr>
          </w:p>
        </w:tc>
        <w:tc>
          <w:tcPr>
            <w:tcW w:w="416" w:type="pct"/>
            <w:tcBorders>
              <w:top w:val="nil"/>
              <w:left w:val="nil"/>
              <w:bottom w:val="single" w:sz="8" w:space="0" w:color="auto"/>
              <w:right w:val="single" w:sz="8" w:space="0" w:color="auto"/>
            </w:tcBorders>
            <w:shd w:val="clear" w:color="auto" w:fill="auto"/>
            <w:vAlign w:val="center"/>
            <w:hideMark/>
          </w:tcPr>
          <w:p w14:paraId="15851761" w14:textId="77777777" w:rsidR="00E3296D" w:rsidRPr="00BD7E1C" w:rsidRDefault="00E3296D" w:rsidP="00E3296D">
            <w:pPr>
              <w:spacing w:after="0" w:line="240" w:lineRule="auto"/>
              <w:jc w:val="center"/>
              <w:rPr>
                <w:rFonts w:eastAsia="Times New Roman"/>
                <w:color w:val="auto"/>
                <w:sz w:val="18"/>
                <w:szCs w:val="18"/>
                <w:lang w:eastAsia="ru-RU"/>
              </w:rPr>
            </w:pPr>
            <w:r w:rsidRPr="00BD7E1C">
              <w:rPr>
                <w:rFonts w:eastAsia="Times New Roman"/>
                <w:color w:val="auto"/>
                <w:sz w:val="18"/>
                <w:szCs w:val="18"/>
                <w:lang w:eastAsia="ru-RU"/>
              </w:rPr>
              <w:t>СН1</w:t>
            </w:r>
          </w:p>
        </w:tc>
        <w:tc>
          <w:tcPr>
            <w:tcW w:w="389" w:type="pct"/>
            <w:tcBorders>
              <w:top w:val="nil"/>
              <w:left w:val="nil"/>
              <w:bottom w:val="single" w:sz="8" w:space="0" w:color="auto"/>
              <w:right w:val="single" w:sz="8" w:space="0" w:color="auto"/>
            </w:tcBorders>
            <w:shd w:val="clear" w:color="auto" w:fill="auto"/>
            <w:vAlign w:val="center"/>
          </w:tcPr>
          <w:p w14:paraId="2DDE9159" w14:textId="2C377275" w:rsidR="00E3296D" w:rsidRPr="00BD7E1C" w:rsidRDefault="00E3296D" w:rsidP="00E3296D">
            <w:pPr>
              <w:spacing w:after="0" w:line="240" w:lineRule="auto"/>
              <w:jc w:val="center"/>
              <w:rPr>
                <w:rFonts w:eastAsia="Times New Roman"/>
                <w:color w:val="auto"/>
                <w:sz w:val="16"/>
                <w:szCs w:val="16"/>
                <w:lang w:eastAsia="ru-RU"/>
              </w:rPr>
            </w:pPr>
            <w:r w:rsidRPr="00BD7E1C">
              <w:rPr>
                <w:rFonts w:cs="Arial"/>
                <w:color w:val="auto"/>
                <w:sz w:val="16"/>
                <w:szCs w:val="16"/>
              </w:rPr>
              <w:t>0</w:t>
            </w:r>
          </w:p>
        </w:tc>
        <w:tc>
          <w:tcPr>
            <w:tcW w:w="389" w:type="pct"/>
            <w:tcBorders>
              <w:top w:val="nil"/>
              <w:left w:val="nil"/>
              <w:bottom w:val="single" w:sz="8" w:space="0" w:color="auto"/>
              <w:right w:val="single" w:sz="8" w:space="0" w:color="auto"/>
            </w:tcBorders>
            <w:shd w:val="clear" w:color="auto" w:fill="auto"/>
            <w:vAlign w:val="center"/>
          </w:tcPr>
          <w:p w14:paraId="4E7AC425" w14:textId="2A655488" w:rsidR="00E3296D" w:rsidRPr="00BD7E1C" w:rsidRDefault="00E3296D" w:rsidP="00E3296D">
            <w:pPr>
              <w:spacing w:after="0" w:line="240" w:lineRule="auto"/>
              <w:jc w:val="center"/>
              <w:rPr>
                <w:rFonts w:eastAsia="Times New Roman"/>
                <w:color w:val="auto"/>
                <w:sz w:val="16"/>
                <w:szCs w:val="16"/>
                <w:lang w:eastAsia="ru-RU"/>
              </w:rPr>
            </w:pPr>
            <w:r w:rsidRPr="00BD7E1C">
              <w:rPr>
                <w:rFonts w:cs="Arial"/>
                <w:color w:val="auto"/>
                <w:sz w:val="16"/>
                <w:szCs w:val="16"/>
              </w:rPr>
              <w:t>0</w:t>
            </w:r>
          </w:p>
        </w:tc>
        <w:tc>
          <w:tcPr>
            <w:tcW w:w="389" w:type="pct"/>
            <w:tcBorders>
              <w:top w:val="nil"/>
              <w:left w:val="nil"/>
              <w:bottom w:val="single" w:sz="8" w:space="0" w:color="auto"/>
              <w:right w:val="single" w:sz="8" w:space="0" w:color="auto"/>
            </w:tcBorders>
            <w:shd w:val="clear" w:color="auto" w:fill="auto"/>
            <w:vAlign w:val="center"/>
          </w:tcPr>
          <w:p w14:paraId="56C39DDA" w14:textId="2980856E" w:rsidR="00E3296D" w:rsidRPr="00BD7E1C" w:rsidRDefault="00E3296D" w:rsidP="00E3296D">
            <w:pPr>
              <w:spacing w:after="0" w:line="240" w:lineRule="auto"/>
              <w:jc w:val="center"/>
              <w:rPr>
                <w:rFonts w:eastAsia="Times New Roman"/>
                <w:color w:val="auto"/>
                <w:sz w:val="16"/>
                <w:szCs w:val="16"/>
                <w:lang w:eastAsia="ru-RU"/>
              </w:rPr>
            </w:pPr>
            <w:r w:rsidRPr="00BD7E1C">
              <w:rPr>
                <w:rFonts w:cs="Arial"/>
                <w:color w:val="auto"/>
                <w:sz w:val="16"/>
                <w:szCs w:val="16"/>
              </w:rPr>
              <w:t>0</w:t>
            </w:r>
          </w:p>
        </w:tc>
        <w:tc>
          <w:tcPr>
            <w:tcW w:w="394" w:type="pct"/>
            <w:tcBorders>
              <w:top w:val="nil"/>
              <w:left w:val="nil"/>
              <w:bottom w:val="single" w:sz="8" w:space="0" w:color="auto"/>
              <w:right w:val="single" w:sz="8" w:space="0" w:color="auto"/>
            </w:tcBorders>
            <w:shd w:val="clear" w:color="auto" w:fill="auto"/>
            <w:vAlign w:val="center"/>
          </w:tcPr>
          <w:p w14:paraId="298B88F1" w14:textId="01DB800A" w:rsidR="00E3296D" w:rsidRPr="00BD7E1C" w:rsidRDefault="00E3296D" w:rsidP="00E3296D">
            <w:pPr>
              <w:spacing w:after="0" w:line="240" w:lineRule="auto"/>
              <w:jc w:val="center"/>
              <w:rPr>
                <w:rFonts w:eastAsia="Times New Roman"/>
                <w:color w:val="auto"/>
                <w:sz w:val="16"/>
                <w:szCs w:val="16"/>
                <w:lang w:eastAsia="ru-RU"/>
              </w:rPr>
            </w:pPr>
            <w:r w:rsidRPr="00BD7E1C">
              <w:rPr>
                <w:rFonts w:cs="Arial"/>
                <w:color w:val="auto"/>
                <w:sz w:val="16"/>
                <w:szCs w:val="16"/>
              </w:rPr>
              <w:t>28 331,02</w:t>
            </w:r>
          </w:p>
        </w:tc>
        <w:tc>
          <w:tcPr>
            <w:tcW w:w="382" w:type="pct"/>
            <w:tcBorders>
              <w:top w:val="nil"/>
              <w:left w:val="nil"/>
              <w:bottom w:val="single" w:sz="8" w:space="0" w:color="auto"/>
              <w:right w:val="single" w:sz="8" w:space="0" w:color="auto"/>
            </w:tcBorders>
            <w:shd w:val="clear" w:color="auto" w:fill="auto"/>
            <w:vAlign w:val="center"/>
          </w:tcPr>
          <w:p w14:paraId="691149BC" w14:textId="0AFF893E" w:rsidR="00E3296D" w:rsidRPr="00BD7E1C" w:rsidRDefault="00E3296D" w:rsidP="00E3296D">
            <w:pPr>
              <w:spacing w:after="0" w:line="240" w:lineRule="auto"/>
              <w:jc w:val="center"/>
              <w:rPr>
                <w:rFonts w:eastAsia="Times New Roman"/>
                <w:color w:val="auto"/>
                <w:sz w:val="16"/>
                <w:szCs w:val="16"/>
                <w:lang w:eastAsia="ru-RU"/>
              </w:rPr>
            </w:pPr>
            <w:r w:rsidRPr="00BD7E1C">
              <w:rPr>
                <w:rFonts w:cs="Arial"/>
                <w:color w:val="auto"/>
                <w:sz w:val="16"/>
                <w:szCs w:val="16"/>
              </w:rPr>
              <w:t>25 186,21</w:t>
            </w:r>
          </w:p>
        </w:tc>
        <w:tc>
          <w:tcPr>
            <w:tcW w:w="386" w:type="pct"/>
            <w:tcBorders>
              <w:top w:val="nil"/>
              <w:left w:val="nil"/>
              <w:bottom w:val="single" w:sz="8" w:space="0" w:color="auto"/>
              <w:right w:val="single" w:sz="8" w:space="0" w:color="auto"/>
            </w:tcBorders>
            <w:shd w:val="clear" w:color="auto" w:fill="auto"/>
            <w:vAlign w:val="center"/>
          </w:tcPr>
          <w:p w14:paraId="57469660" w14:textId="368E73CB" w:rsidR="00E3296D" w:rsidRPr="00BD7E1C" w:rsidRDefault="00E3296D" w:rsidP="00E3296D">
            <w:pPr>
              <w:spacing w:after="0" w:line="240" w:lineRule="auto"/>
              <w:jc w:val="center"/>
              <w:rPr>
                <w:rFonts w:eastAsia="Times New Roman"/>
                <w:color w:val="auto"/>
                <w:sz w:val="16"/>
                <w:szCs w:val="16"/>
                <w:lang w:eastAsia="ru-RU"/>
              </w:rPr>
            </w:pPr>
            <w:r w:rsidRPr="00BD7E1C">
              <w:rPr>
                <w:rFonts w:cs="Arial"/>
                <w:color w:val="auto"/>
                <w:sz w:val="16"/>
                <w:szCs w:val="16"/>
              </w:rPr>
              <w:t>53 517,23</w:t>
            </w:r>
          </w:p>
        </w:tc>
        <w:tc>
          <w:tcPr>
            <w:tcW w:w="385" w:type="pct"/>
            <w:tcBorders>
              <w:top w:val="nil"/>
              <w:left w:val="nil"/>
              <w:bottom w:val="single" w:sz="8" w:space="0" w:color="auto"/>
              <w:right w:val="single" w:sz="8" w:space="0" w:color="auto"/>
            </w:tcBorders>
            <w:shd w:val="clear" w:color="auto" w:fill="auto"/>
            <w:vAlign w:val="center"/>
          </w:tcPr>
          <w:p w14:paraId="4A03BBFD" w14:textId="3526192A" w:rsidR="00E3296D" w:rsidRPr="00BD7E1C" w:rsidRDefault="00E3296D" w:rsidP="00E3296D">
            <w:pPr>
              <w:spacing w:after="0" w:line="240" w:lineRule="auto"/>
              <w:jc w:val="center"/>
              <w:rPr>
                <w:rFonts w:eastAsia="Times New Roman"/>
                <w:color w:val="auto"/>
                <w:sz w:val="16"/>
                <w:szCs w:val="16"/>
                <w:lang w:eastAsia="ru-RU"/>
              </w:rPr>
            </w:pPr>
            <w:r w:rsidRPr="00BD7E1C">
              <w:rPr>
                <w:rFonts w:cs="Arial"/>
                <w:color w:val="auto"/>
                <w:sz w:val="16"/>
                <w:szCs w:val="16"/>
              </w:rPr>
              <w:t>0</w:t>
            </w:r>
          </w:p>
        </w:tc>
        <w:tc>
          <w:tcPr>
            <w:tcW w:w="408" w:type="pct"/>
            <w:tcBorders>
              <w:top w:val="nil"/>
              <w:left w:val="nil"/>
              <w:bottom w:val="single" w:sz="8" w:space="0" w:color="auto"/>
              <w:right w:val="single" w:sz="8" w:space="0" w:color="auto"/>
            </w:tcBorders>
            <w:shd w:val="clear" w:color="auto" w:fill="auto"/>
            <w:vAlign w:val="center"/>
          </w:tcPr>
          <w:p w14:paraId="0C4FADF5" w14:textId="482A020D" w:rsidR="00E3296D" w:rsidRPr="00BD7E1C" w:rsidRDefault="00E3296D" w:rsidP="00E3296D">
            <w:pPr>
              <w:spacing w:after="0" w:line="240" w:lineRule="auto"/>
              <w:jc w:val="center"/>
              <w:rPr>
                <w:rFonts w:eastAsia="Times New Roman"/>
                <w:color w:val="auto"/>
                <w:sz w:val="16"/>
                <w:szCs w:val="16"/>
                <w:lang w:eastAsia="ru-RU"/>
              </w:rPr>
            </w:pPr>
            <w:r w:rsidRPr="00BD7E1C">
              <w:rPr>
                <w:rFonts w:cs="Arial"/>
                <w:color w:val="auto"/>
                <w:sz w:val="16"/>
                <w:szCs w:val="16"/>
              </w:rPr>
              <w:t>0</w:t>
            </w:r>
          </w:p>
        </w:tc>
        <w:tc>
          <w:tcPr>
            <w:tcW w:w="462" w:type="pct"/>
            <w:tcBorders>
              <w:top w:val="nil"/>
              <w:left w:val="nil"/>
              <w:bottom w:val="single" w:sz="8" w:space="0" w:color="auto"/>
              <w:right w:val="single" w:sz="8" w:space="0" w:color="auto"/>
            </w:tcBorders>
            <w:shd w:val="clear" w:color="auto" w:fill="auto"/>
            <w:vAlign w:val="center"/>
          </w:tcPr>
          <w:p w14:paraId="67D149B2" w14:textId="4C291505" w:rsidR="00E3296D" w:rsidRPr="00BD7E1C" w:rsidRDefault="00E3296D" w:rsidP="00E3296D">
            <w:pPr>
              <w:spacing w:after="0" w:line="240" w:lineRule="auto"/>
              <w:jc w:val="center"/>
              <w:rPr>
                <w:rFonts w:eastAsia="Times New Roman"/>
                <w:color w:val="auto"/>
                <w:sz w:val="16"/>
                <w:szCs w:val="16"/>
                <w:lang w:eastAsia="ru-RU"/>
              </w:rPr>
            </w:pPr>
            <w:r w:rsidRPr="00BD7E1C">
              <w:rPr>
                <w:rFonts w:cs="Arial"/>
                <w:color w:val="auto"/>
                <w:sz w:val="16"/>
                <w:szCs w:val="16"/>
              </w:rPr>
              <w:t>0</w:t>
            </w:r>
          </w:p>
        </w:tc>
        <w:tc>
          <w:tcPr>
            <w:tcW w:w="467" w:type="pct"/>
            <w:gridSpan w:val="2"/>
            <w:tcBorders>
              <w:top w:val="nil"/>
              <w:left w:val="nil"/>
              <w:bottom w:val="single" w:sz="8" w:space="0" w:color="auto"/>
              <w:right w:val="single" w:sz="8" w:space="0" w:color="auto"/>
            </w:tcBorders>
            <w:shd w:val="clear" w:color="auto" w:fill="auto"/>
            <w:vAlign w:val="center"/>
          </w:tcPr>
          <w:p w14:paraId="63052C9F" w14:textId="3EAEDACA" w:rsidR="00E3296D" w:rsidRPr="00BD7E1C" w:rsidRDefault="00E3296D" w:rsidP="00E3296D">
            <w:pPr>
              <w:spacing w:after="0" w:line="240" w:lineRule="auto"/>
              <w:jc w:val="center"/>
              <w:rPr>
                <w:rFonts w:eastAsia="Times New Roman"/>
                <w:color w:val="auto"/>
                <w:sz w:val="16"/>
                <w:szCs w:val="16"/>
                <w:lang w:eastAsia="ru-RU"/>
              </w:rPr>
            </w:pPr>
            <w:r w:rsidRPr="00BD7E1C">
              <w:rPr>
                <w:rFonts w:cs="Arial"/>
                <w:color w:val="auto"/>
                <w:sz w:val="16"/>
                <w:szCs w:val="16"/>
              </w:rPr>
              <w:t>53 517,23</w:t>
            </w:r>
          </w:p>
        </w:tc>
      </w:tr>
      <w:tr w:rsidR="00BD7E1C" w:rsidRPr="00BD7E1C" w14:paraId="63171D07" w14:textId="77777777" w:rsidTr="00E3296D">
        <w:trPr>
          <w:gridAfter w:val="1"/>
          <w:wAfter w:w="3" w:type="pct"/>
          <w:trHeight w:val="315"/>
        </w:trPr>
        <w:tc>
          <w:tcPr>
            <w:tcW w:w="530" w:type="pct"/>
            <w:vMerge/>
            <w:tcBorders>
              <w:top w:val="nil"/>
              <w:left w:val="single" w:sz="8" w:space="0" w:color="auto"/>
              <w:bottom w:val="single" w:sz="8" w:space="0" w:color="000000"/>
              <w:right w:val="single" w:sz="8" w:space="0" w:color="auto"/>
            </w:tcBorders>
            <w:vAlign w:val="center"/>
            <w:hideMark/>
          </w:tcPr>
          <w:p w14:paraId="4E1AA5D5" w14:textId="77777777" w:rsidR="00E3296D" w:rsidRPr="00BD7E1C" w:rsidRDefault="00E3296D" w:rsidP="00E3296D">
            <w:pPr>
              <w:spacing w:after="0" w:line="240" w:lineRule="auto"/>
              <w:jc w:val="center"/>
              <w:rPr>
                <w:rFonts w:eastAsia="Times New Roman"/>
                <w:b/>
                <w:bCs/>
                <w:color w:val="auto"/>
                <w:sz w:val="18"/>
                <w:szCs w:val="18"/>
                <w:lang w:eastAsia="ru-RU"/>
              </w:rPr>
            </w:pPr>
          </w:p>
        </w:tc>
        <w:tc>
          <w:tcPr>
            <w:tcW w:w="416" w:type="pct"/>
            <w:tcBorders>
              <w:top w:val="nil"/>
              <w:left w:val="nil"/>
              <w:bottom w:val="single" w:sz="8" w:space="0" w:color="auto"/>
              <w:right w:val="single" w:sz="8" w:space="0" w:color="auto"/>
            </w:tcBorders>
            <w:shd w:val="clear" w:color="auto" w:fill="auto"/>
            <w:vAlign w:val="center"/>
            <w:hideMark/>
          </w:tcPr>
          <w:p w14:paraId="6F58B6BD" w14:textId="77777777" w:rsidR="00E3296D" w:rsidRPr="00BD7E1C" w:rsidRDefault="00E3296D" w:rsidP="00E3296D">
            <w:pPr>
              <w:spacing w:after="0" w:line="240" w:lineRule="auto"/>
              <w:jc w:val="center"/>
              <w:rPr>
                <w:rFonts w:eastAsia="Times New Roman"/>
                <w:color w:val="auto"/>
                <w:sz w:val="18"/>
                <w:szCs w:val="18"/>
                <w:lang w:eastAsia="ru-RU"/>
              </w:rPr>
            </w:pPr>
            <w:r w:rsidRPr="00BD7E1C">
              <w:rPr>
                <w:rFonts w:eastAsia="Times New Roman"/>
                <w:color w:val="auto"/>
                <w:sz w:val="18"/>
                <w:szCs w:val="18"/>
                <w:lang w:eastAsia="ru-RU"/>
              </w:rPr>
              <w:t>СН2</w:t>
            </w:r>
          </w:p>
        </w:tc>
        <w:tc>
          <w:tcPr>
            <w:tcW w:w="389" w:type="pct"/>
            <w:tcBorders>
              <w:top w:val="nil"/>
              <w:left w:val="nil"/>
              <w:bottom w:val="single" w:sz="8" w:space="0" w:color="auto"/>
              <w:right w:val="single" w:sz="8" w:space="0" w:color="auto"/>
            </w:tcBorders>
            <w:shd w:val="clear" w:color="auto" w:fill="auto"/>
            <w:vAlign w:val="center"/>
          </w:tcPr>
          <w:p w14:paraId="3967731C" w14:textId="56B13111" w:rsidR="00E3296D" w:rsidRPr="00BD7E1C" w:rsidRDefault="00E3296D" w:rsidP="00E3296D">
            <w:pPr>
              <w:spacing w:after="0" w:line="240" w:lineRule="auto"/>
              <w:jc w:val="center"/>
              <w:rPr>
                <w:rFonts w:eastAsia="Times New Roman"/>
                <w:color w:val="auto"/>
                <w:sz w:val="16"/>
                <w:szCs w:val="16"/>
                <w:lang w:eastAsia="ru-RU"/>
              </w:rPr>
            </w:pPr>
            <w:r w:rsidRPr="00BD7E1C">
              <w:rPr>
                <w:rFonts w:cs="Arial"/>
                <w:color w:val="auto"/>
                <w:sz w:val="16"/>
                <w:szCs w:val="16"/>
              </w:rPr>
              <w:t>312,67</w:t>
            </w:r>
          </w:p>
        </w:tc>
        <w:tc>
          <w:tcPr>
            <w:tcW w:w="389" w:type="pct"/>
            <w:tcBorders>
              <w:top w:val="nil"/>
              <w:left w:val="nil"/>
              <w:bottom w:val="single" w:sz="8" w:space="0" w:color="auto"/>
              <w:right w:val="single" w:sz="8" w:space="0" w:color="auto"/>
            </w:tcBorders>
            <w:shd w:val="clear" w:color="auto" w:fill="auto"/>
            <w:vAlign w:val="center"/>
          </w:tcPr>
          <w:p w14:paraId="50B7DC27" w14:textId="28E53FD6" w:rsidR="00E3296D" w:rsidRPr="00BD7E1C" w:rsidRDefault="00E3296D" w:rsidP="00E3296D">
            <w:pPr>
              <w:spacing w:after="0" w:line="240" w:lineRule="auto"/>
              <w:jc w:val="center"/>
              <w:rPr>
                <w:rFonts w:eastAsia="Times New Roman"/>
                <w:color w:val="auto"/>
                <w:sz w:val="16"/>
                <w:szCs w:val="16"/>
                <w:lang w:eastAsia="ru-RU"/>
              </w:rPr>
            </w:pPr>
            <w:r w:rsidRPr="00BD7E1C">
              <w:rPr>
                <w:rFonts w:cs="Arial"/>
                <w:color w:val="auto"/>
                <w:sz w:val="16"/>
                <w:szCs w:val="16"/>
              </w:rPr>
              <w:t>310,17</w:t>
            </w:r>
          </w:p>
        </w:tc>
        <w:tc>
          <w:tcPr>
            <w:tcW w:w="389" w:type="pct"/>
            <w:tcBorders>
              <w:top w:val="nil"/>
              <w:left w:val="nil"/>
              <w:bottom w:val="single" w:sz="8" w:space="0" w:color="auto"/>
              <w:right w:val="single" w:sz="8" w:space="0" w:color="auto"/>
            </w:tcBorders>
            <w:shd w:val="clear" w:color="auto" w:fill="auto"/>
            <w:vAlign w:val="center"/>
          </w:tcPr>
          <w:p w14:paraId="38859BFC" w14:textId="7E40252E" w:rsidR="00E3296D" w:rsidRPr="00BD7E1C" w:rsidRDefault="00E3296D" w:rsidP="00E3296D">
            <w:pPr>
              <w:spacing w:after="0" w:line="240" w:lineRule="auto"/>
              <w:jc w:val="center"/>
              <w:rPr>
                <w:rFonts w:eastAsia="Times New Roman"/>
                <w:color w:val="auto"/>
                <w:sz w:val="16"/>
                <w:szCs w:val="16"/>
                <w:lang w:eastAsia="ru-RU"/>
              </w:rPr>
            </w:pPr>
            <w:r w:rsidRPr="00BD7E1C">
              <w:rPr>
                <w:rFonts w:cs="Arial"/>
                <w:color w:val="auto"/>
                <w:sz w:val="16"/>
                <w:szCs w:val="16"/>
              </w:rPr>
              <w:t>622,84</w:t>
            </w:r>
          </w:p>
        </w:tc>
        <w:tc>
          <w:tcPr>
            <w:tcW w:w="394" w:type="pct"/>
            <w:tcBorders>
              <w:top w:val="nil"/>
              <w:left w:val="nil"/>
              <w:bottom w:val="single" w:sz="8" w:space="0" w:color="auto"/>
              <w:right w:val="single" w:sz="8" w:space="0" w:color="auto"/>
            </w:tcBorders>
            <w:shd w:val="clear" w:color="auto" w:fill="auto"/>
            <w:vAlign w:val="center"/>
          </w:tcPr>
          <w:p w14:paraId="78BDE7E3" w14:textId="7E0C2B70" w:rsidR="00E3296D" w:rsidRPr="00BD7E1C" w:rsidRDefault="00E3296D" w:rsidP="00E3296D">
            <w:pPr>
              <w:spacing w:after="0" w:line="240" w:lineRule="auto"/>
              <w:jc w:val="center"/>
              <w:rPr>
                <w:rFonts w:eastAsia="Times New Roman"/>
                <w:color w:val="auto"/>
                <w:sz w:val="16"/>
                <w:szCs w:val="16"/>
                <w:lang w:eastAsia="ru-RU"/>
              </w:rPr>
            </w:pPr>
            <w:r w:rsidRPr="00BD7E1C">
              <w:rPr>
                <w:rFonts w:cs="Arial"/>
                <w:color w:val="auto"/>
                <w:sz w:val="16"/>
                <w:szCs w:val="16"/>
              </w:rPr>
              <w:t>160 194,96</w:t>
            </w:r>
          </w:p>
        </w:tc>
        <w:tc>
          <w:tcPr>
            <w:tcW w:w="382" w:type="pct"/>
            <w:tcBorders>
              <w:top w:val="nil"/>
              <w:left w:val="nil"/>
              <w:bottom w:val="single" w:sz="8" w:space="0" w:color="auto"/>
              <w:right w:val="single" w:sz="8" w:space="0" w:color="auto"/>
            </w:tcBorders>
            <w:shd w:val="clear" w:color="auto" w:fill="auto"/>
            <w:vAlign w:val="center"/>
          </w:tcPr>
          <w:p w14:paraId="2875EB66" w14:textId="68DAE920" w:rsidR="00E3296D" w:rsidRPr="00BD7E1C" w:rsidRDefault="00E3296D" w:rsidP="00E3296D">
            <w:pPr>
              <w:spacing w:after="0" w:line="240" w:lineRule="auto"/>
              <w:jc w:val="center"/>
              <w:rPr>
                <w:rFonts w:eastAsia="Times New Roman"/>
                <w:color w:val="auto"/>
                <w:sz w:val="16"/>
                <w:szCs w:val="16"/>
                <w:lang w:eastAsia="ru-RU"/>
              </w:rPr>
            </w:pPr>
            <w:r w:rsidRPr="00BD7E1C">
              <w:rPr>
                <w:rFonts w:cs="Arial"/>
                <w:color w:val="auto"/>
                <w:sz w:val="16"/>
                <w:szCs w:val="16"/>
              </w:rPr>
              <w:t>149 267,82</w:t>
            </w:r>
          </w:p>
        </w:tc>
        <w:tc>
          <w:tcPr>
            <w:tcW w:w="386" w:type="pct"/>
            <w:tcBorders>
              <w:top w:val="nil"/>
              <w:left w:val="nil"/>
              <w:bottom w:val="single" w:sz="8" w:space="0" w:color="auto"/>
              <w:right w:val="single" w:sz="8" w:space="0" w:color="auto"/>
            </w:tcBorders>
            <w:shd w:val="clear" w:color="auto" w:fill="auto"/>
            <w:vAlign w:val="center"/>
          </w:tcPr>
          <w:p w14:paraId="4ED46C50" w14:textId="5A8F0A82" w:rsidR="00E3296D" w:rsidRPr="00BD7E1C" w:rsidRDefault="00E3296D" w:rsidP="00E3296D">
            <w:pPr>
              <w:spacing w:after="0" w:line="240" w:lineRule="auto"/>
              <w:jc w:val="center"/>
              <w:rPr>
                <w:rFonts w:eastAsia="Times New Roman"/>
                <w:color w:val="auto"/>
                <w:sz w:val="16"/>
                <w:szCs w:val="16"/>
                <w:lang w:eastAsia="ru-RU"/>
              </w:rPr>
            </w:pPr>
            <w:r w:rsidRPr="00BD7E1C">
              <w:rPr>
                <w:rFonts w:cs="Arial"/>
                <w:color w:val="auto"/>
                <w:sz w:val="16"/>
                <w:szCs w:val="16"/>
              </w:rPr>
              <w:t>309 462,79</w:t>
            </w:r>
          </w:p>
        </w:tc>
        <w:tc>
          <w:tcPr>
            <w:tcW w:w="385" w:type="pct"/>
            <w:tcBorders>
              <w:top w:val="nil"/>
              <w:left w:val="nil"/>
              <w:bottom w:val="single" w:sz="8" w:space="0" w:color="auto"/>
              <w:right w:val="single" w:sz="8" w:space="0" w:color="auto"/>
            </w:tcBorders>
            <w:shd w:val="clear" w:color="auto" w:fill="auto"/>
            <w:vAlign w:val="center"/>
          </w:tcPr>
          <w:p w14:paraId="464C251C" w14:textId="3C93139D" w:rsidR="00E3296D" w:rsidRPr="00BD7E1C" w:rsidRDefault="00E3296D" w:rsidP="00E3296D">
            <w:pPr>
              <w:spacing w:after="0" w:line="240" w:lineRule="auto"/>
              <w:jc w:val="center"/>
              <w:rPr>
                <w:rFonts w:eastAsia="Times New Roman"/>
                <w:color w:val="auto"/>
                <w:sz w:val="16"/>
                <w:szCs w:val="16"/>
                <w:lang w:eastAsia="ru-RU"/>
              </w:rPr>
            </w:pPr>
            <w:r w:rsidRPr="00BD7E1C">
              <w:rPr>
                <w:rFonts w:cs="Arial"/>
                <w:color w:val="auto"/>
                <w:sz w:val="16"/>
                <w:szCs w:val="16"/>
              </w:rPr>
              <w:t>93 171,18</w:t>
            </w:r>
          </w:p>
        </w:tc>
        <w:tc>
          <w:tcPr>
            <w:tcW w:w="408" w:type="pct"/>
            <w:tcBorders>
              <w:top w:val="nil"/>
              <w:left w:val="nil"/>
              <w:bottom w:val="single" w:sz="8" w:space="0" w:color="auto"/>
              <w:right w:val="single" w:sz="8" w:space="0" w:color="auto"/>
            </w:tcBorders>
            <w:shd w:val="clear" w:color="auto" w:fill="auto"/>
            <w:vAlign w:val="center"/>
          </w:tcPr>
          <w:p w14:paraId="72387A29" w14:textId="71644792" w:rsidR="00E3296D" w:rsidRPr="00BD7E1C" w:rsidRDefault="00E3296D" w:rsidP="00E3296D">
            <w:pPr>
              <w:spacing w:after="0" w:line="240" w:lineRule="auto"/>
              <w:jc w:val="center"/>
              <w:rPr>
                <w:rFonts w:eastAsia="Times New Roman"/>
                <w:color w:val="auto"/>
                <w:sz w:val="16"/>
                <w:szCs w:val="16"/>
                <w:lang w:eastAsia="ru-RU"/>
              </w:rPr>
            </w:pPr>
            <w:r w:rsidRPr="00BD7E1C">
              <w:rPr>
                <w:rFonts w:cs="Arial"/>
                <w:color w:val="auto"/>
                <w:sz w:val="16"/>
                <w:szCs w:val="16"/>
              </w:rPr>
              <w:t>125 008,00</w:t>
            </w:r>
          </w:p>
        </w:tc>
        <w:tc>
          <w:tcPr>
            <w:tcW w:w="462" w:type="pct"/>
            <w:tcBorders>
              <w:top w:val="nil"/>
              <w:left w:val="nil"/>
              <w:bottom w:val="single" w:sz="8" w:space="0" w:color="auto"/>
              <w:right w:val="single" w:sz="8" w:space="0" w:color="auto"/>
            </w:tcBorders>
            <w:shd w:val="clear" w:color="auto" w:fill="auto"/>
            <w:vAlign w:val="center"/>
          </w:tcPr>
          <w:p w14:paraId="7BB372AC" w14:textId="2DA7B456" w:rsidR="00E3296D" w:rsidRPr="00BD7E1C" w:rsidRDefault="00E3296D" w:rsidP="00E3296D">
            <w:pPr>
              <w:spacing w:after="0" w:line="240" w:lineRule="auto"/>
              <w:jc w:val="center"/>
              <w:rPr>
                <w:rFonts w:eastAsia="Times New Roman"/>
                <w:color w:val="auto"/>
                <w:sz w:val="16"/>
                <w:szCs w:val="16"/>
                <w:lang w:eastAsia="ru-RU"/>
              </w:rPr>
            </w:pPr>
            <w:r w:rsidRPr="00BD7E1C">
              <w:rPr>
                <w:rFonts w:cs="Arial"/>
                <w:color w:val="auto"/>
                <w:sz w:val="16"/>
                <w:szCs w:val="16"/>
              </w:rPr>
              <w:t>218 179,18</w:t>
            </w:r>
          </w:p>
        </w:tc>
        <w:tc>
          <w:tcPr>
            <w:tcW w:w="467" w:type="pct"/>
            <w:gridSpan w:val="2"/>
            <w:tcBorders>
              <w:top w:val="nil"/>
              <w:left w:val="nil"/>
              <w:bottom w:val="single" w:sz="8" w:space="0" w:color="auto"/>
              <w:right w:val="single" w:sz="8" w:space="0" w:color="auto"/>
            </w:tcBorders>
            <w:shd w:val="clear" w:color="auto" w:fill="auto"/>
            <w:vAlign w:val="center"/>
          </w:tcPr>
          <w:p w14:paraId="2E433363" w14:textId="3A2792E1" w:rsidR="00E3296D" w:rsidRPr="00BD7E1C" w:rsidRDefault="00E3296D" w:rsidP="00E3296D">
            <w:pPr>
              <w:spacing w:after="0" w:line="240" w:lineRule="auto"/>
              <w:jc w:val="center"/>
              <w:rPr>
                <w:rFonts w:eastAsia="Times New Roman"/>
                <w:color w:val="auto"/>
                <w:sz w:val="16"/>
                <w:szCs w:val="16"/>
                <w:lang w:eastAsia="ru-RU"/>
              </w:rPr>
            </w:pPr>
            <w:r w:rsidRPr="00BD7E1C">
              <w:rPr>
                <w:rFonts w:cs="Arial"/>
                <w:color w:val="auto"/>
                <w:sz w:val="16"/>
                <w:szCs w:val="16"/>
              </w:rPr>
              <w:t>528 264,80</w:t>
            </w:r>
          </w:p>
        </w:tc>
      </w:tr>
      <w:tr w:rsidR="00BD7E1C" w:rsidRPr="00BD7E1C" w14:paraId="7CB77954" w14:textId="77777777" w:rsidTr="00E3296D">
        <w:trPr>
          <w:gridAfter w:val="1"/>
          <w:wAfter w:w="3" w:type="pct"/>
          <w:trHeight w:val="315"/>
        </w:trPr>
        <w:tc>
          <w:tcPr>
            <w:tcW w:w="530" w:type="pct"/>
            <w:vMerge/>
            <w:tcBorders>
              <w:top w:val="nil"/>
              <w:left w:val="single" w:sz="8" w:space="0" w:color="auto"/>
              <w:bottom w:val="single" w:sz="8" w:space="0" w:color="000000"/>
              <w:right w:val="single" w:sz="8" w:space="0" w:color="auto"/>
            </w:tcBorders>
            <w:vAlign w:val="center"/>
            <w:hideMark/>
          </w:tcPr>
          <w:p w14:paraId="08C17B00" w14:textId="77777777" w:rsidR="00E3296D" w:rsidRPr="00BD7E1C" w:rsidRDefault="00E3296D" w:rsidP="00E3296D">
            <w:pPr>
              <w:spacing w:after="0" w:line="240" w:lineRule="auto"/>
              <w:jc w:val="center"/>
              <w:rPr>
                <w:rFonts w:eastAsia="Times New Roman"/>
                <w:b/>
                <w:bCs/>
                <w:color w:val="auto"/>
                <w:sz w:val="18"/>
                <w:szCs w:val="18"/>
                <w:lang w:eastAsia="ru-RU"/>
              </w:rPr>
            </w:pPr>
          </w:p>
        </w:tc>
        <w:tc>
          <w:tcPr>
            <w:tcW w:w="416" w:type="pct"/>
            <w:tcBorders>
              <w:top w:val="nil"/>
              <w:left w:val="nil"/>
              <w:bottom w:val="nil"/>
              <w:right w:val="single" w:sz="8" w:space="0" w:color="auto"/>
            </w:tcBorders>
            <w:shd w:val="clear" w:color="auto" w:fill="auto"/>
            <w:vAlign w:val="center"/>
            <w:hideMark/>
          </w:tcPr>
          <w:p w14:paraId="0198603B" w14:textId="77777777" w:rsidR="00E3296D" w:rsidRPr="00BD7E1C" w:rsidRDefault="00E3296D" w:rsidP="00E3296D">
            <w:pPr>
              <w:spacing w:after="0" w:line="240" w:lineRule="auto"/>
              <w:jc w:val="center"/>
              <w:rPr>
                <w:rFonts w:eastAsia="Times New Roman"/>
                <w:color w:val="auto"/>
                <w:sz w:val="18"/>
                <w:szCs w:val="18"/>
                <w:lang w:eastAsia="ru-RU"/>
              </w:rPr>
            </w:pPr>
            <w:r w:rsidRPr="00BD7E1C">
              <w:rPr>
                <w:rFonts w:eastAsia="Times New Roman"/>
                <w:color w:val="auto"/>
                <w:sz w:val="18"/>
                <w:szCs w:val="18"/>
                <w:lang w:eastAsia="ru-RU"/>
              </w:rPr>
              <w:t>НН</w:t>
            </w:r>
          </w:p>
        </w:tc>
        <w:tc>
          <w:tcPr>
            <w:tcW w:w="389" w:type="pct"/>
            <w:tcBorders>
              <w:top w:val="nil"/>
              <w:left w:val="nil"/>
              <w:bottom w:val="single" w:sz="8" w:space="0" w:color="auto"/>
              <w:right w:val="single" w:sz="8" w:space="0" w:color="auto"/>
            </w:tcBorders>
            <w:shd w:val="clear" w:color="auto" w:fill="auto"/>
            <w:vAlign w:val="center"/>
          </w:tcPr>
          <w:p w14:paraId="4DB077DF" w14:textId="3152BB3E" w:rsidR="00E3296D" w:rsidRPr="00BD7E1C" w:rsidRDefault="00E3296D" w:rsidP="00E3296D">
            <w:pPr>
              <w:spacing w:after="0" w:line="240" w:lineRule="auto"/>
              <w:jc w:val="center"/>
              <w:rPr>
                <w:rFonts w:eastAsia="Times New Roman"/>
                <w:color w:val="auto"/>
                <w:sz w:val="16"/>
                <w:szCs w:val="16"/>
                <w:lang w:eastAsia="ru-RU"/>
              </w:rPr>
            </w:pPr>
            <w:r w:rsidRPr="00BD7E1C">
              <w:rPr>
                <w:rFonts w:cs="Arial"/>
                <w:color w:val="auto"/>
                <w:sz w:val="16"/>
                <w:szCs w:val="16"/>
              </w:rPr>
              <w:t>3 009,61</w:t>
            </w:r>
          </w:p>
        </w:tc>
        <w:tc>
          <w:tcPr>
            <w:tcW w:w="389" w:type="pct"/>
            <w:tcBorders>
              <w:top w:val="nil"/>
              <w:left w:val="nil"/>
              <w:bottom w:val="single" w:sz="8" w:space="0" w:color="auto"/>
              <w:right w:val="single" w:sz="8" w:space="0" w:color="auto"/>
            </w:tcBorders>
            <w:shd w:val="clear" w:color="auto" w:fill="auto"/>
            <w:vAlign w:val="center"/>
          </w:tcPr>
          <w:p w14:paraId="05F387F3" w14:textId="0C56E16C" w:rsidR="00E3296D" w:rsidRPr="00BD7E1C" w:rsidRDefault="00E3296D" w:rsidP="00E3296D">
            <w:pPr>
              <w:spacing w:after="0" w:line="240" w:lineRule="auto"/>
              <w:jc w:val="center"/>
              <w:rPr>
                <w:rFonts w:eastAsia="Times New Roman"/>
                <w:color w:val="auto"/>
                <w:sz w:val="16"/>
                <w:szCs w:val="16"/>
                <w:lang w:eastAsia="ru-RU"/>
              </w:rPr>
            </w:pPr>
            <w:r w:rsidRPr="00BD7E1C">
              <w:rPr>
                <w:rFonts w:cs="Arial"/>
                <w:color w:val="auto"/>
                <w:sz w:val="16"/>
                <w:szCs w:val="16"/>
              </w:rPr>
              <w:t>3 006,28</w:t>
            </w:r>
          </w:p>
        </w:tc>
        <w:tc>
          <w:tcPr>
            <w:tcW w:w="389" w:type="pct"/>
            <w:tcBorders>
              <w:top w:val="nil"/>
              <w:left w:val="nil"/>
              <w:bottom w:val="single" w:sz="8" w:space="0" w:color="auto"/>
              <w:right w:val="single" w:sz="8" w:space="0" w:color="auto"/>
            </w:tcBorders>
            <w:shd w:val="clear" w:color="auto" w:fill="auto"/>
            <w:vAlign w:val="center"/>
          </w:tcPr>
          <w:p w14:paraId="6AB31D5D" w14:textId="6FEACD48" w:rsidR="00E3296D" w:rsidRPr="00BD7E1C" w:rsidRDefault="00E3296D" w:rsidP="00E3296D">
            <w:pPr>
              <w:spacing w:after="0" w:line="240" w:lineRule="auto"/>
              <w:jc w:val="center"/>
              <w:rPr>
                <w:rFonts w:eastAsia="Times New Roman"/>
                <w:color w:val="auto"/>
                <w:sz w:val="16"/>
                <w:szCs w:val="16"/>
                <w:lang w:eastAsia="ru-RU"/>
              </w:rPr>
            </w:pPr>
            <w:r w:rsidRPr="00BD7E1C">
              <w:rPr>
                <w:rFonts w:cs="Arial"/>
                <w:color w:val="auto"/>
                <w:sz w:val="16"/>
                <w:szCs w:val="16"/>
              </w:rPr>
              <w:t>6 015,89</w:t>
            </w:r>
          </w:p>
        </w:tc>
        <w:tc>
          <w:tcPr>
            <w:tcW w:w="394" w:type="pct"/>
            <w:tcBorders>
              <w:top w:val="nil"/>
              <w:left w:val="nil"/>
              <w:bottom w:val="single" w:sz="8" w:space="0" w:color="auto"/>
              <w:right w:val="single" w:sz="8" w:space="0" w:color="auto"/>
            </w:tcBorders>
            <w:shd w:val="clear" w:color="auto" w:fill="auto"/>
            <w:vAlign w:val="center"/>
          </w:tcPr>
          <w:p w14:paraId="747A5971" w14:textId="22B49D1B" w:rsidR="00E3296D" w:rsidRPr="00BD7E1C" w:rsidRDefault="00E3296D" w:rsidP="00E3296D">
            <w:pPr>
              <w:spacing w:after="0" w:line="240" w:lineRule="auto"/>
              <w:jc w:val="center"/>
              <w:rPr>
                <w:rFonts w:eastAsia="Times New Roman"/>
                <w:color w:val="auto"/>
                <w:sz w:val="16"/>
                <w:szCs w:val="16"/>
                <w:lang w:eastAsia="ru-RU"/>
              </w:rPr>
            </w:pPr>
            <w:r w:rsidRPr="00BD7E1C">
              <w:rPr>
                <w:rFonts w:cs="Arial"/>
                <w:color w:val="auto"/>
                <w:sz w:val="16"/>
                <w:szCs w:val="16"/>
              </w:rPr>
              <w:t>156 691,20</w:t>
            </w:r>
          </w:p>
        </w:tc>
        <w:tc>
          <w:tcPr>
            <w:tcW w:w="382" w:type="pct"/>
            <w:tcBorders>
              <w:top w:val="nil"/>
              <w:left w:val="nil"/>
              <w:bottom w:val="single" w:sz="8" w:space="0" w:color="auto"/>
              <w:right w:val="single" w:sz="8" w:space="0" w:color="auto"/>
            </w:tcBorders>
            <w:shd w:val="clear" w:color="auto" w:fill="auto"/>
            <w:vAlign w:val="center"/>
          </w:tcPr>
          <w:p w14:paraId="14C62A08" w14:textId="2C0AD2F9" w:rsidR="00E3296D" w:rsidRPr="00BD7E1C" w:rsidRDefault="00E3296D" w:rsidP="00E3296D">
            <w:pPr>
              <w:spacing w:after="0" w:line="240" w:lineRule="auto"/>
              <w:jc w:val="center"/>
              <w:rPr>
                <w:rFonts w:eastAsia="Times New Roman"/>
                <w:color w:val="auto"/>
                <w:sz w:val="16"/>
                <w:szCs w:val="16"/>
                <w:lang w:eastAsia="ru-RU"/>
              </w:rPr>
            </w:pPr>
            <w:r w:rsidRPr="00BD7E1C">
              <w:rPr>
                <w:rFonts w:cs="Arial"/>
                <w:color w:val="auto"/>
                <w:sz w:val="16"/>
                <w:szCs w:val="16"/>
              </w:rPr>
              <w:t>153 876,61</w:t>
            </w:r>
          </w:p>
        </w:tc>
        <w:tc>
          <w:tcPr>
            <w:tcW w:w="386" w:type="pct"/>
            <w:tcBorders>
              <w:top w:val="nil"/>
              <w:left w:val="nil"/>
              <w:bottom w:val="single" w:sz="8" w:space="0" w:color="auto"/>
              <w:right w:val="single" w:sz="8" w:space="0" w:color="auto"/>
            </w:tcBorders>
            <w:shd w:val="clear" w:color="auto" w:fill="auto"/>
            <w:vAlign w:val="center"/>
          </w:tcPr>
          <w:p w14:paraId="114730A1" w14:textId="2905F39C" w:rsidR="00E3296D" w:rsidRPr="00BD7E1C" w:rsidRDefault="00E3296D" w:rsidP="00E3296D">
            <w:pPr>
              <w:spacing w:after="0" w:line="240" w:lineRule="auto"/>
              <w:jc w:val="center"/>
              <w:rPr>
                <w:rFonts w:eastAsia="Times New Roman"/>
                <w:color w:val="auto"/>
                <w:sz w:val="16"/>
                <w:szCs w:val="16"/>
                <w:lang w:eastAsia="ru-RU"/>
              </w:rPr>
            </w:pPr>
            <w:r w:rsidRPr="00BD7E1C">
              <w:rPr>
                <w:rFonts w:cs="Arial"/>
                <w:color w:val="auto"/>
                <w:sz w:val="16"/>
                <w:szCs w:val="16"/>
              </w:rPr>
              <w:t>310 567,81</w:t>
            </w:r>
          </w:p>
        </w:tc>
        <w:tc>
          <w:tcPr>
            <w:tcW w:w="385" w:type="pct"/>
            <w:tcBorders>
              <w:top w:val="nil"/>
              <w:left w:val="nil"/>
              <w:bottom w:val="single" w:sz="8" w:space="0" w:color="auto"/>
              <w:right w:val="single" w:sz="8" w:space="0" w:color="auto"/>
            </w:tcBorders>
            <w:shd w:val="clear" w:color="auto" w:fill="auto"/>
            <w:vAlign w:val="center"/>
          </w:tcPr>
          <w:p w14:paraId="73213B0B" w14:textId="645F6BDB" w:rsidR="00E3296D" w:rsidRPr="00BD7E1C" w:rsidRDefault="00E3296D" w:rsidP="00E3296D">
            <w:pPr>
              <w:spacing w:after="0" w:line="240" w:lineRule="auto"/>
              <w:jc w:val="center"/>
              <w:rPr>
                <w:rFonts w:eastAsia="Times New Roman"/>
                <w:color w:val="auto"/>
                <w:sz w:val="16"/>
                <w:szCs w:val="16"/>
                <w:lang w:eastAsia="ru-RU"/>
              </w:rPr>
            </w:pPr>
            <w:r w:rsidRPr="00BD7E1C">
              <w:rPr>
                <w:rFonts w:cs="Arial"/>
                <w:color w:val="auto"/>
                <w:sz w:val="16"/>
                <w:szCs w:val="16"/>
              </w:rPr>
              <w:t>101 861,23</w:t>
            </w:r>
          </w:p>
        </w:tc>
        <w:tc>
          <w:tcPr>
            <w:tcW w:w="408" w:type="pct"/>
            <w:tcBorders>
              <w:top w:val="nil"/>
              <w:left w:val="nil"/>
              <w:bottom w:val="single" w:sz="8" w:space="0" w:color="auto"/>
              <w:right w:val="single" w:sz="8" w:space="0" w:color="auto"/>
            </w:tcBorders>
            <w:shd w:val="clear" w:color="auto" w:fill="auto"/>
            <w:vAlign w:val="center"/>
          </w:tcPr>
          <w:p w14:paraId="5CE31BCA" w14:textId="3BB995A3" w:rsidR="00E3296D" w:rsidRPr="00BD7E1C" w:rsidRDefault="00E3296D" w:rsidP="00E3296D">
            <w:pPr>
              <w:spacing w:after="0" w:line="240" w:lineRule="auto"/>
              <w:jc w:val="center"/>
              <w:rPr>
                <w:rFonts w:eastAsia="Times New Roman"/>
                <w:color w:val="auto"/>
                <w:sz w:val="16"/>
                <w:szCs w:val="16"/>
                <w:lang w:eastAsia="ru-RU"/>
              </w:rPr>
            </w:pPr>
            <w:r w:rsidRPr="00BD7E1C">
              <w:rPr>
                <w:rFonts w:cs="Arial"/>
                <w:color w:val="auto"/>
                <w:sz w:val="16"/>
                <w:szCs w:val="16"/>
              </w:rPr>
              <w:t>105 654,51</w:t>
            </w:r>
          </w:p>
        </w:tc>
        <w:tc>
          <w:tcPr>
            <w:tcW w:w="462" w:type="pct"/>
            <w:tcBorders>
              <w:top w:val="nil"/>
              <w:left w:val="nil"/>
              <w:bottom w:val="single" w:sz="8" w:space="0" w:color="auto"/>
              <w:right w:val="single" w:sz="8" w:space="0" w:color="auto"/>
            </w:tcBorders>
            <w:shd w:val="clear" w:color="auto" w:fill="auto"/>
            <w:vAlign w:val="center"/>
          </w:tcPr>
          <w:p w14:paraId="0FAE0BE6" w14:textId="130B9090" w:rsidR="00E3296D" w:rsidRPr="00BD7E1C" w:rsidRDefault="00E3296D" w:rsidP="00E3296D">
            <w:pPr>
              <w:spacing w:after="0" w:line="240" w:lineRule="auto"/>
              <w:jc w:val="center"/>
              <w:rPr>
                <w:rFonts w:eastAsia="Times New Roman"/>
                <w:color w:val="auto"/>
                <w:sz w:val="16"/>
                <w:szCs w:val="16"/>
                <w:lang w:eastAsia="ru-RU"/>
              </w:rPr>
            </w:pPr>
            <w:r w:rsidRPr="00BD7E1C">
              <w:rPr>
                <w:rFonts w:cs="Arial"/>
                <w:color w:val="auto"/>
                <w:sz w:val="16"/>
                <w:szCs w:val="16"/>
              </w:rPr>
              <w:t>207 515,73</w:t>
            </w:r>
          </w:p>
        </w:tc>
        <w:tc>
          <w:tcPr>
            <w:tcW w:w="467" w:type="pct"/>
            <w:gridSpan w:val="2"/>
            <w:tcBorders>
              <w:top w:val="nil"/>
              <w:left w:val="nil"/>
              <w:bottom w:val="single" w:sz="8" w:space="0" w:color="auto"/>
              <w:right w:val="single" w:sz="8" w:space="0" w:color="auto"/>
            </w:tcBorders>
            <w:shd w:val="clear" w:color="auto" w:fill="auto"/>
            <w:vAlign w:val="center"/>
          </w:tcPr>
          <w:p w14:paraId="230B1F2B" w14:textId="7B7B8751" w:rsidR="00E3296D" w:rsidRPr="00BD7E1C" w:rsidRDefault="00E3296D" w:rsidP="00E3296D">
            <w:pPr>
              <w:spacing w:after="0" w:line="240" w:lineRule="auto"/>
              <w:jc w:val="center"/>
              <w:rPr>
                <w:rFonts w:eastAsia="Times New Roman"/>
                <w:color w:val="auto"/>
                <w:sz w:val="16"/>
                <w:szCs w:val="16"/>
                <w:lang w:eastAsia="ru-RU"/>
              </w:rPr>
            </w:pPr>
            <w:r w:rsidRPr="00BD7E1C">
              <w:rPr>
                <w:rFonts w:cs="Arial"/>
                <w:color w:val="auto"/>
                <w:sz w:val="16"/>
                <w:szCs w:val="16"/>
              </w:rPr>
              <w:t>524 099,43</w:t>
            </w:r>
          </w:p>
        </w:tc>
      </w:tr>
      <w:tr w:rsidR="00BD7E1C" w:rsidRPr="00BD7E1C" w14:paraId="396E4AC6" w14:textId="77777777" w:rsidTr="00E3296D">
        <w:trPr>
          <w:gridAfter w:val="1"/>
          <w:wAfter w:w="3" w:type="pct"/>
          <w:trHeight w:val="315"/>
        </w:trPr>
        <w:tc>
          <w:tcPr>
            <w:tcW w:w="530" w:type="pct"/>
            <w:vMerge/>
            <w:tcBorders>
              <w:top w:val="nil"/>
              <w:left w:val="single" w:sz="8" w:space="0" w:color="auto"/>
              <w:bottom w:val="single" w:sz="8" w:space="0" w:color="auto"/>
              <w:right w:val="single" w:sz="8" w:space="0" w:color="auto"/>
            </w:tcBorders>
            <w:vAlign w:val="center"/>
            <w:hideMark/>
          </w:tcPr>
          <w:p w14:paraId="25B67B03" w14:textId="77777777" w:rsidR="00E3296D" w:rsidRPr="00BD7E1C" w:rsidRDefault="00E3296D" w:rsidP="00E3296D">
            <w:pPr>
              <w:spacing w:after="0" w:line="240" w:lineRule="auto"/>
              <w:jc w:val="center"/>
              <w:rPr>
                <w:rFonts w:eastAsia="Times New Roman"/>
                <w:b/>
                <w:bCs/>
                <w:color w:val="auto"/>
                <w:sz w:val="18"/>
                <w:szCs w:val="18"/>
                <w:lang w:eastAsia="ru-RU"/>
              </w:rPr>
            </w:pPr>
          </w:p>
        </w:tc>
        <w:tc>
          <w:tcPr>
            <w:tcW w:w="416" w:type="pct"/>
            <w:tcBorders>
              <w:top w:val="single" w:sz="8" w:space="0" w:color="auto"/>
              <w:left w:val="nil"/>
              <w:bottom w:val="single" w:sz="8" w:space="0" w:color="auto"/>
              <w:right w:val="single" w:sz="8" w:space="0" w:color="auto"/>
            </w:tcBorders>
            <w:shd w:val="clear" w:color="auto" w:fill="auto"/>
            <w:vAlign w:val="center"/>
            <w:hideMark/>
          </w:tcPr>
          <w:p w14:paraId="6499E05A" w14:textId="77777777" w:rsidR="00E3296D" w:rsidRPr="00BD7E1C" w:rsidRDefault="00E3296D" w:rsidP="00E3296D">
            <w:pPr>
              <w:spacing w:after="0" w:line="240" w:lineRule="auto"/>
              <w:jc w:val="center"/>
              <w:rPr>
                <w:rFonts w:eastAsia="Times New Roman"/>
                <w:b/>
                <w:bCs/>
                <w:color w:val="auto"/>
                <w:sz w:val="18"/>
                <w:szCs w:val="18"/>
                <w:lang w:eastAsia="ru-RU"/>
              </w:rPr>
            </w:pPr>
            <w:r w:rsidRPr="00BD7E1C">
              <w:rPr>
                <w:rFonts w:eastAsia="Times New Roman"/>
                <w:b/>
                <w:bCs/>
                <w:color w:val="auto"/>
                <w:sz w:val="18"/>
                <w:szCs w:val="18"/>
                <w:lang w:eastAsia="ru-RU"/>
              </w:rPr>
              <w:t>ИТОГО</w:t>
            </w:r>
          </w:p>
        </w:tc>
        <w:tc>
          <w:tcPr>
            <w:tcW w:w="389" w:type="pct"/>
            <w:tcBorders>
              <w:top w:val="nil"/>
              <w:left w:val="nil"/>
              <w:bottom w:val="single" w:sz="8" w:space="0" w:color="auto"/>
              <w:right w:val="single" w:sz="8" w:space="0" w:color="auto"/>
            </w:tcBorders>
            <w:shd w:val="clear" w:color="auto" w:fill="auto"/>
            <w:vAlign w:val="center"/>
          </w:tcPr>
          <w:p w14:paraId="7E40DAB9" w14:textId="0E8B0361" w:rsidR="00E3296D" w:rsidRPr="00BD7E1C" w:rsidRDefault="00E3296D" w:rsidP="00E3296D">
            <w:pPr>
              <w:spacing w:after="0" w:line="240" w:lineRule="auto"/>
              <w:jc w:val="center"/>
              <w:rPr>
                <w:rFonts w:eastAsia="Times New Roman"/>
                <w:b/>
                <w:bCs/>
                <w:color w:val="auto"/>
                <w:sz w:val="18"/>
                <w:szCs w:val="18"/>
                <w:lang w:eastAsia="ru-RU"/>
              </w:rPr>
            </w:pPr>
            <w:r w:rsidRPr="00BD7E1C">
              <w:rPr>
                <w:rFonts w:cs="Arial"/>
                <w:b/>
                <w:bCs/>
                <w:color w:val="auto"/>
                <w:sz w:val="18"/>
                <w:szCs w:val="18"/>
              </w:rPr>
              <w:t>3 322,28</w:t>
            </w:r>
          </w:p>
        </w:tc>
        <w:tc>
          <w:tcPr>
            <w:tcW w:w="389" w:type="pct"/>
            <w:tcBorders>
              <w:top w:val="nil"/>
              <w:left w:val="nil"/>
              <w:bottom w:val="single" w:sz="8" w:space="0" w:color="auto"/>
              <w:right w:val="single" w:sz="8" w:space="0" w:color="auto"/>
            </w:tcBorders>
            <w:shd w:val="clear" w:color="auto" w:fill="auto"/>
            <w:vAlign w:val="center"/>
          </w:tcPr>
          <w:p w14:paraId="1913D8FB" w14:textId="4865843F" w:rsidR="00E3296D" w:rsidRPr="00BD7E1C" w:rsidRDefault="00E3296D" w:rsidP="00E3296D">
            <w:pPr>
              <w:spacing w:after="0" w:line="240" w:lineRule="auto"/>
              <w:jc w:val="center"/>
              <w:rPr>
                <w:rFonts w:eastAsia="Times New Roman"/>
                <w:b/>
                <w:bCs/>
                <w:color w:val="auto"/>
                <w:sz w:val="18"/>
                <w:szCs w:val="18"/>
                <w:lang w:eastAsia="ru-RU"/>
              </w:rPr>
            </w:pPr>
            <w:r w:rsidRPr="00BD7E1C">
              <w:rPr>
                <w:rFonts w:cs="Arial"/>
                <w:b/>
                <w:bCs/>
                <w:color w:val="auto"/>
                <w:sz w:val="18"/>
                <w:szCs w:val="18"/>
              </w:rPr>
              <w:t>3 316,45</w:t>
            </w:r>
          </w:p>
        </w:tc>
        <w:tc>
          <w:tcPr>
            <w:tcW w:w="389" w:type="pct"/>
            <w:tcBorders>
              <w:top w:val="nil"/>
              <w:left w:val="nil"/>
              <w:bottom w:val="single" w:sz="8" w:space="0" w:color="auto"/>
              <w:right w:val="single" w:sz="8" w:space="0" w:color="auto"/>
            </w:tcBorders>
            <w:shd w:val="clear" w:color="auto" w:fill="auto"/>
            <w:vAlign w:val="center"/>
          </w:tcPr>
          <w:p w14:paraId="2977CCB5" w14:textId="08C20799" w:rsidR="00E3296D" w:rsidRPr="00BD7E1C" w:rsidRDefault="00E3296D" w:rsidP="00E3296D">
            <w:pPr>
              <w:spacing w:after="0" w:line="240" w:lineRule="auto"/>
              <w:jc w:val="center"/>
              <w:rPr>
                <w:rFonts w:eastAsia="Times New Roman"/>
                <w:b/>
                <w:bCs/>
                <w:color w:val="auto"/>
                <w:sz w:val="18"/>
                <w:szCs w:val="18"/>
                <w:lang w:eastAsia="ru-RU"/>
              </w:rPr>
            </w:pPr>
            <w:r w:rsidRPr="00BD7E1C">
              <w:rPr>
                <w:rFonts w:cs="Arial"/>
                <w:b/>
                <w:bCs/>
                <w:color w:val="auto"/>
                <w:sz w:val="18"/>
                <w:szCs w:val="18"/>
              </w:rPr>
              <w:t>6 638,73</w:t>
            </w:r>
          </w:p>
        </w:tc>
        <w:tc>
          <w:tcPr>
            <w:tcW w:w="394" w:type="pct"/>
            <w:tcBorders>
              <w:top w:val="nil"/>
              <w:left w:val="nil"/>
              <w:bottom w:val="single" w:sz="8" w:space="0" w:color="auto"/>
              <w:right w:val="single" w:sz="8" w:space="0" w:color="auto"/>
            </w:tcBorders>
            <w:shd w:val="clear" w:color="auto" w:fill="auto"/>
            <w:vAlign w:val="center"/>
          </w:tcPr>
          <w:p w14:paraId="73F50614" w14:textId="195D8DA4" w:rsidR="00E3296D" w:rsidRPr="00BD7E1C" w:rsidRDefault="00E3296D" w:rsidP="00E3296D">
            <w:pPr>
              <w:spacing w:after="0" w:line="240" w:lineRule="auto"/>
              <w:jc w:val="center"/>
              <w:rPr>
                <w:rFonts w:eastAsia="Times New Roman"/>
                <w:b/>
                <w:bCs/>
                <w:color w:val="auto"/>
                <w:sz w:val="18"/>
                <w:szCs w:val="18"/>
                <w:lang w:eastAsia="ru-RU"/>
              </w:rPr>
            </w:pPr>
            <w:r w:rsidRPr="00BD7E1C">
              <w:rPr>
                <w:rFonts w:cs="Arial"/>
                <w:b/>
                <w:bCs/>
                <w:color w:val="auto"/>
                <w:sz w:val="18"/>
                <w:szCs w:val="18"/>
              </w:rPr>
              <w:t>386 180,30</w:t>
            </w:r>
          </w:p>
        </w:tc>
        <w:tc>
          <w:tcPr>
            <w:tcW w:w="382" w:type="pct"/>
            <w:tcBorders>
              <w:top w:val="nil"/>
              <w:left w:val="nil"/>
              <w:bottom w:val="single" w:sz="8" w:space="0" w:color="auto"/>
              <w:right w:val="single" w:sz="8" w:space="0" w:color="auto"/>
            </w:tcBorders>
            <w:shd w:val="clear" w:color="auto" w:fill="auto"/>
            <w:vAlign w:val="center"/>
          </w:tcPr>
          <w:p w14:paraId="19F734AA" w14:textId="31178F15" w:rsidR="00E3296D" w:rsidRPr="00BD7E1C" w:rsidRDefault="00E3296D" w:rsidP="00E3296D">
            <w:pPr>
              <w:spacing w:after="0" w:line="240" w:lineRule="auto"/>
              <w:jc w:val="center"/>
              <w:rPr>
                <w:rFonts w:eastAsia="Times New Roman"/>
                <w:b/>
                <w:bCs/>
                <w:color w:val="auto"/>
                <w:sz w:val="18"/>
                <w:szCs w:val="18"/>
                <w:lang w:eastAsia="ru-RU"/>
              </w:rPr>
            </w:pPr>
            <w:r w:rsidRPr="00BD7E1C">
              <w:rPr>
                <w:rFonts w:cs="Arial"/>
                <w:b/>
                <w:bCs/>
                <w:color w:val="auto"/>
                <w:sz w:val="18"/>
                <w:szCs w:val="18"/>
              </w:rPr>
              <w:t>375 556,39</w:t>
            </w:r>
          </w:p>
        </w:tc>
        <w:tc>
          <w:tcPr>
            <w:tcW w:w="386" w:type="pct"/>
            <w:tcBorders>
              <w:top w:val="nil"/>
              <w:left w:val="nil"/>
              <w:bottom w:val="single" w:sz="8" w:space="0" w:color="auto"/>
              <w:right w:val="single" w:sz="8" w:space="0" w:color="auto"/>
            </w:tcBorders>
            <w:shd w:val="clear" w:color="auto" w:fill="auto"/>
            <w:vAlign w:val="center"/>
          </w:tcPr>
          <w:p w14:paraId="3BAC19ED" w14:textId="70DAB743" w:rsidR="00E3296D" w:rsidRPr="00BD7E1C" w:rsidRDefault="00E3296D" w:rsidP="00E3296D">
            <w:pPr>
              <w:spacing w:after="0" w:line="240" w:lineRule="auto"/>
              <w:jc w:val="center"/>
              <w:rPr>
                <w:rFonts w:eastAsia="Times New Roman"/>
                <w:b/>
                <w:bCs/>
                <w:color w:val="auto"/>
                <w:sz w:val="18"/>
                <w:szCs w:val="18"/>
                <w:lang w:eastAsia="ru-RU"/>
              </w:rPr>
            </w:pPr>
            <w:r w:rsidRPr="00BD7E1C">
              <w:rPr>
                <w:rFonts w:cs="Arial"/>
                <w:b/>
                <w:bCs/>
                <w:color w:val="auto"/>
                <w:sz w:val="18"/>
                <w:szCs w:val="18"/>
              </w:rPr>
              <w:t>761 736,69</w:t>
            </w:r>
          </w:p>
        </w:tc>
        <w:tc>
          <w:tcPr>
            <w:tcW w:w="385" w:type="pct"/>
            <w:tcBorders>
              <w:top w:val="nil"/>
              <w:left w:val="nil"/>
              <w:bottom w:val="single" w:sz="8" w:space="0" w:color="auto"/>
              <w:right w:val="single" w:sz="8" w:space="0" w:color="auto"/>
            </w:tcBorders>
            <w:shd w:val="clear" w:color="auto" w:fill="auto"/>
            <w:vAlign w:val="center"/>
          </w:tcPr>
          <w:p w14:paraId="546B6D77" w14:textId="7BC577C2" w:rsidR="00E3296D" w:rsidRPr="00BD7E1C" w:rsidRDefault="00E3296D" w:rsidP="00E3296D">
            <w:pPr>
              <w:spacing w:after="0" w:line="240" w:lineRule="auto"/>
              <w:jc w:val="center"/>
              <w:rPr>
                <w:rFonts w:eastAsia="Times New Roman"/>
                <w:b/>
                <w:bCs/>
                <w:color w:val="auto"/>
                <w:sz w:val="18"/>
                <w:szCs w:val="18"/>
                <w:lang w:eastAsia="ru-RU"/>
              </w:rPr>
            </w:pPr>
            <w:r w:rsidRPr="00BD7E1C">
              <w:rPr>
                <w:rFonts w:cs="Arial"/>
                <w:b/>
                <w:bCs/>
                <w:color w:val="auto"/>
                <w:sz w:val="18"/>
                <w:szCs w:val="18"/>
              </w:rPr>
              <w:t>195 032,41</w:t>
            </w:r>
          </w:p>
        </w:tc>
        <w:tc>
          <w:tcPr>
            <w:tcW w:w="408" w:type="pct"/>
            <w:tcBorders>
              <w:top w:val="nil"/>
              <w:left w:val="nil"/>
              <w:bottom w:val="single" w:sz="8" w:space="0" w:color="auto"/>
              <w:right w:val="single" w:sz="8" w:space="0" w:color="auto"/>
            </w:tcBorders>
            <w:shd w:val="clear" w:color="auto" w:fill="auto"/>
            <w:vAlign w:val="center"/>
          </w:tcPr>
          <w:p w14:paraId="38535C4D" w14:textId="75B3988B" w:rsidR="00E3296D" w:rsidRPr="00BD7E1C" w:rsidRDefault="00E3296D" w:rsidP="00E3296D">
            <w:pPr>
              <w:spacing w:after="0" w:line="240" w:lineRule="auto"/>
              <w:jc w:val="center"/>
              <w:rPr>
                <w:rFonts w:eastAsia="Times New Roman"/>
                <w:b/>
                <w:bCs/>
                <w:color w:val="auto"/>
                <w:sz w:val="18"/>
                <w:szCs w:val="18"/>
                <w:lang w:eastAsia="ru-RU"/>
              </w:rPr>
            </w:pPr>
            <w:r w:rsidRPr="00BD7E1C">
              <w:rPr>
                <w:rFonts w:cs="Arial"/>
                <w:b/>
                <w:bCs/>
                <w:color w:val="auto"/>
                <w:sz w:val="18"/>
                <w:szCs w:val="18"/>
              </w:rPr>
              <w:t>230 662,50</w:t>
            </w:r>
          </w:p>
        </w:tc>
        <w:tc>
          <w:tcPr>
            <w:tcW w:w="462" w:type="pct"/>
            <w:tcBorders>
              <w:top w:val="nil"/>
              <w:left w:val="nil"/>
              <w:bottom w:val="single" w:sz="8" w:space="0" w:color="auto"/>
              <w:right w:val="single" w:sz="8" w:space="0" w:color="auto"/>
            </w:tcBorders>
            <w:shd w:val="clear" w:color="auto" w:fill="auto"/>
            <w:vAlign w:val="center"/>
          </w:tcPr>
          <w:p w14:paraId="7108C94A" w14:textId="61894A5C" w:rsidR="00E3296D" w:rsidRPr="00BD7E1C" w:rsidRDefault="00E3296D" w:rsidP="00E3296D">
            <w:pPr>
              <w:spacing w:after="0" w:line="240" w:lineRule="auto"/>
              <w:jc w:val="center"/>
              <w:rPr>
                <w:rFonts w:eastAsia="Times New Roman"/>
                <w:b/>
                <w:bCs/>
                <w:color w:val="auto"/>
                <w:sz w:val="18"/>
                <w:szCs w:val="18"/>
                <w:lang w:eastAsia="ru-RU"/>
              </w:rPr>
            </w:pPr>
            <w:r w:rsidRPr="00BD7E1C">
              <w:rPr>
                <w:rFonts w:cs="Arial"/>
                <w:b/>
                <w:bCs/>
                <w:color w:val="auto"/>
                <w:sz w:val="18"/>
                <w:szCs w:val="18"/>
              </w:rPr>
              <w:t>425 694,91</w:t>
            </w:r>
          </w:p>
        </w:tc>
        <w:tc>
          <w:tcPr>
            <w:tcW w:w="467" w:type="pct"/>
            <w:gridSpan w:val="2"/>
            <w:tcBorders>
              <w:top w:val="nil"/>
              <w:left w:val="nil"/>
              <w:bottom w:val="single" w:sz="8" w:space="0" w:color="auto"/>
              <w:right w:val="single" w:sz="8" w:space="0" w:color="auto"/>
            </w:tcBorders>
            <w:shd w:val="clear" w:color="auto" w:fill="auto"/>
            <w:vAlign w:val="center"/>
          </w:tcPr>
          <w:p w14:paraId="791F1B7C" w14:textId="132E95CB" w:rsidR="00E3296D" w:rsidRPr="00BD7E1C" w:rsidRDefault="00E3296D" w:rsidP="00E3296D">
            <w:pPr>
              <w:spacing w:after="0" w:line="240" w:lineRule="auto"/>
              <w:jc w:val="center"/>
              <w:rPr>
                <w:rFonts w:eastAsia="Times New Roman"/>
                <w:b/>
                <w:bCs/>
                <w:color w:val="auto"/>
                <w:sz w:val="18"/>
                <w:szCs w:val="18"/>
                <w:lang w:eastAsia="ru-RU"/>
              </w:rPr>
            </w:pPr>
            <w:r w:rsidRPr="00BD7E1C">
              <w:rPr>
                <w:rFonts w:cs="Arial"/>
                <w:b/>
                <w:bCs/>
                <w:color w:val="auto"/>
                <w:sz w:val="18"/>
                <w:szCs w:val="18"/>
              </w:rPr>
              <w:t>1 194 070,32</w:t>
            </w:r>
          </w:p>
        </w:tc>
      </w:tr>
      <w:tr w:rsidR="00BD7E1C" w:rsidRPr="00BD7E1C" w14:paraId="7D706110" w14:textId="77777777" w:rsidTr="00E3296D">
        <w:trPr>
          <w:gridAfter w:val="1"/>
          <w:wAfter w:w="3" w:type="pct"/>
          <w:trHeight w:val="315"/>
        </w:trPr>
        <w:tc>
          <w:tcPr>
            <w:tcW w:w="530" w:type="pct"/>
            <w:tcBorders>
              <w:top w:val="single" w:sz="8" w:space="0" w:color="auto"/>
              <w:left w:val="single" w:sz="8" w:space="0" w:color="auto"/>
              <w:bottom w:val="single" w:sz="8" w:space="0" w:color="auto"/>
              <w:right w:val="single" w:sz="8" w:space="0" w:color="auto"/>
            </w:tcBorders>
            <w:vAlign w:val="center"/>
          </w:tcPr>
          <w:p w14:paraId="09CE42CB" w14:textId="77777777" w:rsidR="00E3296D" w:rsidRPr="00BD7E1C" w:rsidRDefault="00E3296D" w:rsidP="00E3296D">
            <w:pPr>
              <w:spacing w:after="0" w:line="240" w:lineRule="auto"/>
              <w:jc w:val="center"/>
              <w:rPr>
                <w:rFonts w:eastAsia="Times New Roman"/>
                <w:b/>
                <w:bCs/>
                <w:color w:val="auto"/>
                <w:sz w:val="18"/>
                <w:szCs w:val="18"/>
                <w:lang w:eastAsia="ru-RU"/>
              </w:rPr>
            </w:pPr>
          </w:p>
          <w:p w14:paraId="0D1C6651" w14:textId="12D9B109" w:rsidR="00E3296D" w:rsidRPr="00BD7E1C" w:rsidRDefault="00E3296D" w:rsidP="00E3296D">
            <w:pPr>
              <w:spacing w:after="0" w:line="240" w:lineRule="auto"/>
              <w:jc w:val="center"/>
              <w:rPr>
                <w:rFonts w:eastAsia="Times New Roman"/>
                <w:b/>
                <w:bCs/>
                <w:color w:val="auto"/>
                <w:sz w:val="18"/>
                <w:szCs w:val="18"/>
                <w:lang w:eastAsia="ru-RU"/>
              </w:rPr>
            </w:pPr>
            <w:r w:rsidRPr="00BD7E1C">
              <w:rPr>
                <w:rFonts w:eastAsia="Times New Roman"/>
                <w:b/>
                <w:bCs/>
                <w:color w:val="auto"/>
                <w:sz w:val="18"/>
                <w:szCs w:val="18"/>
                <w:lang w:eastAsia="ru-RU"/>
              </w:rPr>
              <w:t>в том числе:</w:t>
            </w:r>
          </w:p>
        </w:tc>
        <w:tc>
          <w:tcPr>
            <w:tcW w:w="416" w:type="pct"/>
            <w:tcBorders>
              <w:top w:val="single" w:sz="8" w:space="0" w:color="auto"/>
              <w:left w:val="nil"/>
              <w:bottom w:val="single" w:sz="8" w:space="0" w:color="auto"/>
              <w:right w:val="single" w:sz="8" w:space="0" w:color="auto"/>
            </w:tcBorders>
            <w:shd w:val="clear" w:color="auto" w:fill="auto"/>
            <w:vAlign w:val="center"/>
          </w:tcPr>
          <w:p w14:paraId="158DF8FC" w14:textId="77777777" w:rsidR="00E3296D" w:rsidRPr="00BD7E1C" w:rsidRDefault="00E3296D" w:rsidP="00E3296D">
            <w:pPr>
              <w:spacing w:after="0" w:line="240" w:lineRule="auto"/>
              <w:jc w:val="center"/>
              <w:rPr>
                <w:rFonts w:eastAsia="Times New Roman"/>
                <w:b/>
                <w:bCs/>
                <w:color w:val="auto"/>
                <w:sz w:val="18"/>
                <w:szCs w:val="18"/>
                <w:lang w:eastAsia="ru-RU"/>
              </w:rPr>
            </w:pPr>
          </w:p>
        </w:tc>
        <w:tc>
          <w:tcPr>
            <w:tcW w:w="389" w:type="pct"/>
            <w:tcBorders>
              <w:top w:val="single" w:sz="8" w:space="0" w:color="auto"/>
              <w:left w:val="nil"/>
              <w:bottom w:val="single" w:sz="8" w:space="0" w:color="auto"/>
              <w:right w:val="single" w:sz="8" w:space="0" w:color="auto"/>
            </w:tcBorders>
            <w:shd w:val="clear" w:color="auto" w:fill="auto"/>
            <w:vAlign w:val="center"/>
          </w:tcPr>
          <w:p w14:paraId="0295A0EF" w14:textId="77777777" w:rsidR="00E3296D" w:rsidRPr="00BD7E1C" w:rsidRDefault="00E3296D" w:rsidP="00E3296D">
            <w:pPr>
              <w:spacing w:after="0" w:line="240" w:lineRule="auto"/>
              <w:jc w:val="center"/>
              <w:rPr>
                <w:rFonts w:cs="Arial"/>
                <w:b/>
                <w:bCs/>
                <w:color w:val="auto"/>
                <w:sz w:val="16"/>
                <w:szCs w:val="16"/>
              </w:rPr>
            </w:pPr>
          </w:p>
        </w:tc>
        <w:tc>
          <w:tcPr>
            <w:tcW w:w="389" w:type="pct"/>
            <w:tcBorders>
              <w:top w:val="single" w:sz="8" w:space="0" w:color="auto"/>
              <w:left w:val="nil"/>
              <w:bottom w:val="single" w:sz="8" w:space="0" w:color="auto"/>
              <w:right w:val="single" w:sz="8" w:space="0" w:color="auto"/>
            </w:tcBorders>
            <w:shd w:val="clear" w:color="auto" w:fill="auto"/>
            <w:vAlign w:val="center"/>
          </w:tcPr>
          <w:p w14:paraId="414BABF1" w14:textId="77777777" w:rsidR="00E3296D" w:rsidRPr="00BD7E1C" w:rsidRDefault="00E3296D" w:rsidP="00E3296D">
            <w:pPr>
              <w:spacing w:after="0" w:line="240" w:lineRule="auto"/>
              <w:jc w:val="center"/>
              <w:rPr>
                <w:rFonts w:cs="Arial"/>
                <w:b/>
                <w:bCs/>
                <w:color w:val="auto"/>
                <w:sz w:val="16"/>
                <w:szCs w:val="16"/>
              </w:rPr>
            </w:pPr>
          </w:p>
        </w:tc>
        <w:tc>
          <w:tcPr>
            <w:tcW w:w="389" w:type="pct"/>
            <w:tcBorders>
              <w:top w:val="single" w:sz="8" w:space="0" w:color="auto"/>
              <w:left w:val="nil"/>
              <w:bottom w:val="single" w:sz="8" w:space="0" w:color="auto"/>
              <w:right w:val="single" w:sz="8" w:space="0" w:color="auto"/>
            </w:tcBorders>
            <w:shd w:val="clear" w:color="auto" w:fill="auto"/>
            <w:vAlign w:val="center"/>
          </w:tcPr>
          <w:p w14:paraId="0F102275" w14:textId="77777777" w:rsidR="00E3296D" w:rsidRPr="00BD7E1C" w:rsidRDefault="00E3296D" w:rsidP="00E3296D">
            <w:pPr>
              <w:spacing w:after="0" w:line="240" w:lineRule="auto"/>
              <w:jc w:val="center"/>
              <w:rPr>
                <w:rFonts w:cs="Arial"/>
                <w:b/>
                <w:bCs/>
                <w:color w:val="auto"/>
                <w:sz w:val="16"/>
                <w:szCs w:val="16"/>
              </w:rPr>
            </w:pPr>
          </w:p>
        </w:tc>
        <w:tc>
          <w:tcPr>
            <w:tcW w:w="394" w:type="pct"/>
            <w:tcBorders>
              <w:top w:val="single" w:sz="8" w:space="0" w:color="auto"/>
              <w:left w:val="nil"/>
              <w:bottom w:val="single" w:sz="8" w:space="0" w:color="auto"/>
              <w:right w:val="single" w:sz="8" w:space="0" w:color="auto"/>
            </w:tcBorders>
            <w:shd w:val="clear" w:color="auto" w:fill="auto"/>
            <w:vAlign w:val="center"/>
          </w:tcPr>
          <w:p w14:paraId="7906AE2E" w14:textId="77777777" w:rsidR="00E3296D" w:rsidRPr="00BD7E1C" w:rsidRDefault="00E3296D" w:rsidP="00E3296D">
            <w:pPr>
              <w:spacing w:after="0" w:line="240" w:lineRule="auto"/>
              <w:jc w:val="center"/>
              <w:rPr>
                <w:rFonts w:cs="Arial"/>
                <w:b/>
                <w:bCs/>
                <w:color w:val="auto"/>
                <w:sz w:val="16"/>
                <w:szCs w:val="16"/>
              </w:rPr>
            </w:pPr>
          </w:p>
        </w:tc>
        <w:tc>
          <w:tcPr>
            <w:tcW w:w="382" w:type="pct"/>
            <w:tcBorders>
              <w:top w:val="single" w:sz="8" w:space="0" w:color="auto"/>
              <w:left w:val="nil"/>
              <w:bottom w:val="single" w:sz="8" w:space="0" w:color="auto"/>
              <w:right w:val="single" w:sz="8" w:space="0" w:color="auto"/>
            </w:tcBorders>
            <w:shd w:val="clear" w:color="auto" w:fill="auto"/>
            <w:vAlign w:val="center"/>
          </w:tcPr>
          <w:p w14:paraId="10550616" w14:textId="77777777" w:rsidR="00E3296D" w:rsidRPr="00BD7E1C" w:rsidRDefault="00E3296D" w:rsidP="00E3296D">
            <w:pPr>
              <w:spacing w:after="0" w:line="240" w:lineRule="auto"/>
              <w:jc w:val="center"/>
              <w:rPr>
                <w:rFonts w:cs="Arial"/>
                <w:b/>
                <w:bCs/>
                <w:color w:val="auto"/>
                <w:sz w:val="16"/>
                <w:szCs w:val="16"/>
              </w:rPr>
            </w:pPr>
          </w:p>
        </w:tc>
        <w:tc>
          <w:tcPr>
            <w:tcW w:w="386" w:type="pct"/>
            <w:tcBorders>
              <w:top w:val="single" w:sz="8" w:space="0" w:color="auto"/>
              <w:left w:val="nil"/>
              <w:bottom w:val="single" w:sz="8" w:space="0" w:color="auto"/>
              <w:right w:val="single" w:sz="8" w:space="0" w:color="auto"/>
            </w:tcBorders>
            <w:shd w:val="clear" w:color="auto" w:fill="auto"/>
            <w:vAlign w:val="center"/>
          </w:tcPr>
          <w:p w14:paraId="28D738B5" w14:textId="77777777" w:rsidR="00E3296D" w:rsidRPr="00BD7E1C" w:rsidRDefault="00E3296D" w:rsidP="00E3296D">
            <w:pPr>
              <w:spacing w:after="0" w:line="240" w:lineRule="auto"/>
              <w:jc w:val="center"/>
              <w:rPr>
                <w:rFonts w:cs="Arial"/>
                <w:b/>
                <w:bCs/>
                <w:color w:val="auto"/>
                <w:sz w:val="16"/>
                <w:szCs w:val="16"/>
              </w:rPr>
            </w:pPr>
          </w:p>
        </w:tc>
        <w:tc>
          <w:tcPr>
            <w:tcW w:w="385" w:type="pct"/>
            <w:tcBorders>
              <w:top w:val="single" w:sz="8" w:space="0" w:color="auto"/>
              <w:left w:val="nil"/>
              <w:bottom w:val="single" w:sz="8" w:space="0" w:color="auto"/>
              <w:right w:val="single" w:sz="8" w:space="0" w:color="auto"/>
            </w:tcBorders>
            <w:shd w:val="clear" w:color="auto" w:fill="auto"/>
            <w:vAlign w:val="center"/>
          </w:tcPr>
          <w:p w14:paraId="63A752DD" w14:textId="77777777" w:rsidR="00E3296D" w:rsidRPr="00BD7E1C" w:rsidRDefault="00E3296D" w:rsidP="00E3296D">
            <w:pPr>
              <w:spacing w:after="0" w:line="240" w:lineRule="auto"/>
              <w:jc w:val="center"/>
              <w:rPr>
                <w:rFonts w:cs="Arial"/>
                <w:b/>
                <w:bCs/>
                <w:color w:val="auto"/>
                <w:sz w:val="16"/>
                <w:szCs w:val="16"/>
              </w:rPr>
            </w:pPr>
          </w:p>
        </w:tc>
        <w:tc>
          <w:tcPr>
            <w:tcW w:w="408" w:type="pct"/>
            <w:tcBorders>
              <w:top w:val="single" w:sz="8" w:space="0" w:color="auto"/>
              <w:left w:val="nil"/>
              <w:bottom w:val="single" w:sz="8" w:space="0" w:color="auto"/>
              <w:right w:val="single" w:sz="8" w:space="0" w:color="auto"/>
            </w:tcBorders>
            <w:shd w:val="clear" w:color="auto" w:fill="auto"/>
            <w:vAlign w:val="center"/>
          </w:tcPr>
          <w:p w14:paraId="2522E3B2" w14:textId="77777777" w:rsidR="00E3296D" w:rsidRPr="00BD7E1C" w:rsidRDefault="00E3296D" w:rsidP="00E3296D">
            <w:pPr>
              <w:spacing w:after="0" w:line="240" w:lineRule="auto"/>
              <w:jc w:val="center"/>
              <w:rPr>
                <w:rFonts w:cs="Arial"/>
                <w:b/>
                <w:bCs/>
                <w:color w:val="auto"/>
                <w:sz w:val="16"/>
                <w:szCs w:val="16"/>
              </w:rPr>
            </w:pPr>
          </w:p>
        </w:tc>
        <w:tc>
          <w:tcPr>
            <w:tcW w:w="462" w:type="pct"/>
            <w:tcBorders>
              <w:top w:val="single" w:sz="8" w:space="0" w:color="auto"/>
              <w:left w:val="nil"/>
              <w:bottom w:val="single" w:sz="8" w:space="0" w:color="auto"/>
              <w:right w:val="single" w:sz="8" w:space="0" w:color="auto"/>
            </w:tcBorders>
            <w:shd w:val="clear" w:color="auto" w:fill="auto"/>
            <w:vAlign w:val="center"/>
          </w:tcPr>
          <w:p w14:paraId="4685DD5C" w14:textId="77777777" w:rsidR="00E3296D" w:rsidRPr="00BD7E1C" w:rsidRDefault="00E3296D" w:rsidP="00E3296D">
            <w:pPr>
              <w:spacing w:after="0" w:line="240" w:lineRule="auto"/>
              <w:jc w:val="center"/>
              <w:rPr>
                <w:rFonts w:cs="Arial"/>
                <w:b/>
                <w:bCs/>
                <w:color w:val="auto"/>
                <w:sz w:val="16"/>
                <w:szCs w:val="16"/>
              </w:rPr>
            </w:pPr>
          </w:p>
        </w:tc>
        <w:tc>
          <w:tcPr>
            <w:tcW w:w="467" w:type="pct"/>
            <w:gridSpan w:val="2"/>
            <w:tcBorders>
              <w:top w:val="single" w:sz="8" w:space="0" w:color="auto"/>
              <w:left w:val="nil"/>
              <w:bottom w:val="single" w:sz="8" w:space="0" w:color="auto"/>
              <w:right w:val="single" w:sz="8" w:space="0" w:color="auto"/>
            </w:tcBorders>
            <w:shd w:val="clear" w:color="auto" w:fill="auto"/>
            <w:vAlign w:val="center"/>
          </w:tcPr>
          <w:p w14:paraId="1889E705" w14:textId="77777777" w:rsidR="00E3296D" w:rsidRPr="00BD7E1C" w:rsidRDefault="00E3296D" w:rsidP="00E3296D">
            <w:pPr>
              <w:spacing w:after="0" w:line="240" w:lineRule="auto"/>
              <w:jc w:val="center"/>
              <w:rPr>
                <w:rFonts w:cs="Arial"/>
                <w:b/>
                <w:bCs/>
                <w:color w:val="auto"/>
                <w:sz w:val="16"/>
                <w:szCs w:val="16"/>
              </w:rPr>
            </w:pPr>
          </w:p>
        </w:tc>
      </w:tr>
      <w:tr w:rsidR="00BD7E1C" w:rsidRPr="00BD7E1C" w14:paraId="06C19D62" w14:textId="77777777" w:rsidTr="00E3296D">
        <w:trPr>
          <w:gridAfter w:val="1"/>
          <w:wAfter w:w="3" w:type="pct"/>
          <w:trHeight w:val="315"/>
        </w:trPr>
        <w:tc>
          <w:tcPr>
            <w:tcW w:w="530" w:type="pct"/>
            <w:tcBorders>
              <w:top w:val="single" w:sz="8" w:space="0" w:color="auto"/>
              <w:left w:val="single" w:sz="8" w:space="0" w:color="auto"/>
              <w:bottom w:val="single" w:sz="8" w:space="0" w:color="auto"/>
              <w:right w:val="single" w:sz="8" w:space="0" w:color="auto"/>
            </w:tcBorders>
            <w:vAlign w:val="center"/>
          </w:tcPr>
          <w:p w14:paraId="5CD1E31D" w14:textId="290F60A5" w:rsidR="00E3296D" w:rsidRPr="00BD7E1C" w:rsidRDefault="00E3296D" w:rsidP="00E3296D">
            <w:pPr>
              <w:spacing w:after="0" w:line="240" w:lineRule="auto"/>
              <w:jc w:val="center"/>
              <w:rPr>
                <w:rFonts w:eastAsia="Times New Roman"/>
                <w:b/>
                <w:bCs/>
                <w:color w:val="auto"/>
                <w:sz w:val="18"/>
                <w:szCs w:val="18"/>
                <w:lang w:eastAsia="ru-RU"/>
              </w:rPr>
            </w:pPr>
            <w:r w:rsidRPr="00BD7E1C">
              <w:rPr>
                <w:rFonts w:eastAsia="Times New Roman"/>
                <w:b/>
                <w:bCs/>
                <w:color w:val="auto"/>
                <w:sz w:val="18"/>
                <w:szCs w:val="18"/>
                <w:lang w:eastAsia="ru-RU"/>
              </w:rPr>
              <w:t>расходы на оплату потерь</w:t>
            </w:r>
          </w:p>
        </w:tc>
        <w:tc>
          <w:tcPr>
            <w:tcW w:w="416" w:type="pct"/>
            <w:tcBorders>
              <w:top w:val="single" w:sz="8" w:space="0" w:color="auto"/>
              <w:left w:val="nil"/>
              <w:bottom w:val="single" w:sz="8" w:space="0" w:color="auto"/>
              <w:right w:val="single" w:sz="8" w:space="0" w:color="auto"/>
            </w:tcBorders>
            <w:shd w:val="clear" w:color="auto" w:fill="auto"/>
            <w:vAlign w:val="center"/>
          </w:tcPr>
          <w:p w14:paraId="7B02AFE4" w14:textId="77777777" w:rsidR="00E3296D" w:rsidRPr="00BD7E1C" w:rsidRDefault="00E3296D" w:rsidP="00E3296D">
            <w:pPr>
              <w:spacing w:after="0" w:line="240" w:lineRule="auto"/>
              <w:jc w:val="center"/>
              <w:rPr>
                <w:rFonts w:eastAsia="Times New Roman"/>
                <w:b/>
                <w:bCs/>
                <w:color w:val="auto"/>
                <w:sz w:val="18"/>
                <w:szCs w:val="18"/>
                <w:lang w:eastAsia="ru-RU"/>
              </w:rPr>
            </w:pPr>
          </w:p>
        </w:tc>
        <w:tc>
          <w:tcPr>
            <w:tcW w:w="389" w:type="pct"/>
            <w:tcBorders>
              <w:top w:val="single" w:sz="8" w:space="0" w:color="auto"/>
              <w:left w:val="nil"/>
              <w:bottom w:val="single" w:sz="8" w:space="0" w:color="auto"/>
              <w:right w:val="single" w:sz="8" w:space="0" w:color="auto"/>
            </w:tcBorders>
            <w:shd w:val="clear" w:color="auto" w:fill="auto"/>
            <w:vAlign w:val="bottom"/>
          </w:tcPr>
          <w:p w14:paraId="3122AE4C" w14:textId="7177BA1F" w:rsidR="00E3296D" w:rsidRPr="00BD7E1C" w:rsidRDefault="00E3296D" w:rsidP="00E3296D">
            <w:pPr>
              <w:spacing w:after="0" w:line="240" w:lineRule="auto"/>
              <w:jc w:val="center"/>
              <w:rPr>
                <w:rFonts w:cs="Arial"/>
                <w:b/>
                <w:bCs/>
                <w:color w:val="auto"/>
                <w:sz w:val="18"/>
                <w:szCs w:val="18"/>
              </w:rPr>
            </w:pPr>
            <w:r w:rsidRPr="00BD7E1C">
              <w:rPr>
                <w:rFonts w:cs="Arial"/>
                <w:b/>
                <w:bCs/>
                <w:color w:val="auto"/>
                <w:sz w:val="18"/>
                <w:szCs w:val="18"/>
              </w:rPr>
              <w:t>348,76</w:t>
            </w:r>
          </w:p>
        </w:tc>
        <w:tc>
          <w:tcPr>
            <w:tcW w:w="389" w:type="pct"/>
            <w:tcBorders>
              <w:top w:val="single" w:sz="8" w:space="0" w:color="auto"/>
              <w:left w:val="nil"/>
              <w:bottom w:val="single" w:sz="8" w:space="0" w:color="auto"/>
              <w:right w:val="single" w:sz="8" w:space="0" w:color="auto"/>
            </w:tcBorders>
            <w:shd w:val="clear" w:color="auto" w:fill="auto"/>
            <w:vAlign w:val="bottom"/>
          </w:tcPr>
          <w:p w14:paraId="1A8565D0" w14:textId="192C1FF0" w:rsidR="00E3296D" w:rsidRPr="00BD7E1C" w:rsidRDefault="00E3296D" w:rsidP="00E3296D">
            <w:pPr>
              <w:spacing w:after="0" w:line="240" w:lineRule="auto"/>
              <w:jc w:val="center"/>
              <w:rPr>
                <w:rFonts w:cs="Arial"/>
                <w:b/>
                <w:bCs/>
                <w:color w:val="auto"/>
                <w:sz w:val="18"/>
                <w:szCs w:val="18"/>
              </w:rPr>
            </w:pPr>
            <w:r w:rsidRPr="00BD7E1C">
              <w:rPr>
                <w:rFonts w:cs="Arial"/>
                <w:b/>
                <w:bCs/>
                <w:color w:val="auto"/>
                <w:sz w:val="18"/>
                <w:szCs w:val="18"/>
              </w:rPr>
              <w:t>340,68</w:t>
            </w:r>
          </w:p>
        </w:tc>
        <w:tc>
          <w:tcPr>
            <w:tcW w:w="389" w:type="pct"/>
            <w:tcBorders>
              <w:top w:val="single" w:sz="8" w:space="0" w:color="auto"/>
              <w:left w:val="nil"/>
              <w:bottom w:val="single" w:sz="8" w:space="0" w:color="auto"/>
              <w:right w:val="single" w:sz="8" w:space="0" w:color="auto"/>
            </w:tcBorders>
            <w:shd w:val="clear" w:color="auto" w:fill="auto"/>
            <w:vAlign w:val="bottom"/>
          </w:tcPr>
          <w:p w14:paraId="0A9FABFD" w14:textId="4CD20A96" w:rsidR="00E3296D" w:rsidRPr="00BD7E1C" w:rsidRDefault="00E3296D" w:rsidP="00E3296D">
            <w:pPr>
              <w:spacing w:after="0" w:line="240" w:lineRule="auto"/>
              <w:jc w:val="center"/>
              <w:rPr>
                <w:rFonts w:cs="Arial"/>
                <w:b/>
                <w:bCs/>
                <w:color w:val="auto"/>
                <w:sz w:val="18"/>
                <w:szCs w:val="18"/>
              </w:rPr>
            </w:pPr>
            <w:r w:rsidRPr="00BD7E1C">
              <w:rPr>
                <w:rFonts w:cs="Arial"/>
                <w:b/>
                <w:bCs/>
                <w:color w:val="auto"/>
                <w:sz w:val="18"/>
                <w:szCs w:val="18"/>
              </w:rPr>
              <w:t>689,43</w:t>
            </w:r>
          </w:p>
        </w:tc>
        <w:tc>
          <w:tcPr>
            <w:tcW w:w="394" w:type="pct"/>
            <w:tcBorders>
              <w:top w:val="single" w:sz="8" w:space="0" w:color="auto"/>
              <w:left w:val="nil"/>
              <w:bottom w:val="single" w:sz="8" w:space="0" w:color="auto"/>
              <w:right w:val="single" w:sz="8" w:space="0" w:color="auto"/>
            </w:tcBorders>
            <w:shd w:val="clear" w:color="auto" w:fill="auto"/>
            <w:vAlign w:val="bottom"/>
          </w:tcPr>
          <w:p w14:paraId="2A95D111" w14:textId="30ECF283" w:rsidR="00E3296D" w:rsidRPr="00BD7E1C" w:rsidRDefault="00E3296D" w:rsidP="00E3296D">
            <w:pPr>
              <w:spacing w:after="0" w:line="240" w:lineRule="auto"/>
              <w:jc w:val="center"/>
              <w:rPr>
                <w:rFonts w:cs="Arial"/>
                <w:b/>
                <w:bCs/>
                <w:color w:val="auto"/>
                <w:sz w:val="18"/>
                <w:szCs w:val="18"/>
              </w:rPr>
            </w:pPr>
            <w:r w:rsidRPr="00BD7E1C">
              <w:rPr>
                <w:rFonts w:cs="Arial"/>
                <w:b/>
                <w:bCs/>
                <w:color w:val="auto"/>
                <w:sz w:val="18"/>
                <w:szCs w:val="18"/>
              </w:rPr>
              <w:t>17 796,76</w:t>
            </w:r>
          </w:p>
        </w:tc>
        <w:tc>
          <w:tcPr>
            <w:tcW w:w="382" w:type="pct"/>
            <w:tcBorders>
              <w:top w:val="single" w:sz="8" w:space="0" w:color="auto"/>
              <w:left w:val="nil"/>
              <w:bottom w:val="single" w:sz="8" w:space="0" w:color="auto"/>
              <w:right w:val="single" w:sz="8" w:space="0" w:color="auto"/>
            </w:tcBorders>
            <w:shd w:val="clear" w:color="auto" w:fill="auto"/>
            <w:vAlign w:val="bottom"/>
          </w:tcPr>
          <w:p w14:paraId="50824FF1" w14:textId="0D205326" w:rsidR="00E3296D" w:rsidRPr="00BD7E1C" w:rsidRDefault="00E3296D" w:rsidP="00E3296D">
            <w:pPr>
              <w:spacing w:after="0" w:line="240" w:lineRule="auto"/>
              <w:jc w:val="center"/>
              <w:rPr>
                <w:rFonts w:cs="Arial"/>
                <w:b/>
                <w:bCs/>
                <w:color w:val="auto"/>
                <w:sz w:val="18"/>
                <w:szCs w:val="18"/>
              </w:rPr>
            </w:pPr>
            <w:r w:rsidRPr="00BD7E1C">
              <w:rPr>
                <w:rFonts w:cs="Arial"/>
                <w:b/>
                <w:bCs/>
                <w:color w:val="auto"/>
                <w:sz w:val="18"/>
                <w:szCs w:val="18"/>
              </w:rPr>
              <w:t>16 610,85</w:t>
            </w:r>
          </w:p>
        </w:tc>
        <w:tc>
          <w:tcPr>
            <w:tcW w:w="386" w:type="pct"/>
            <w:tcBorders>
              <w:top w:val="single" w:sz="8" w:space="0" w:color="auto"/>
              <w:left w:val="nil"/>
              <w:bottom w:val="single" w:sz="8" w:space="0" w:color="auto"/>
              <w:right w:val="single" w:sz="8" w:space="0" w:color="auto"/>
            </w:tcBorders>
            <w:shd w:val="clear" w:color="auto" w:fill="auto"/>
            <w:vAlign w:val="bottom"/>
          </w:tcPr>
          <w:p w14:paraId="3241B76E" w14:textId="2C229E31" w:rsidR="00E3296D" w:rsidRPr="00BD7E1C" w:rsidRDefault="00E3296D" w:rsidP="00E3296D">
            <w:pPr>
              <w:spacing w:after="0" w:line="240" w:lineRule="auto"/>
              <w:jc w:val="center"/>
              <w:rPr>
                <w:rFonts w:cs="Arial"/>
                <w:b/>
                <w:bCs/>
                <w:color w:val="auto"/>
                <w:sz w:val="18"/>
                <w:szCs w:val="18"/>
              </w:rPr>
            </w:pPr>
            <w:r w:rsidRPr="00BD7E1C">
              <w:rPr>
                <w:rFonts w:cs="Arial"/>
                <w:b/>
                <w:bCs/>
                <w:color w:val="auto"/>
                <w:sz w:val="18"/>
                <w:szCs w:val="18"/>
              </w:rPr>
              <w:t>34 407,61</w:t>
            </w:r>
          </w:p>
        </w:tc>
        <w:tc>
          <w:tcPr>
            <w:tcW w:w="385" w:type="pct"/>
            <w:tcBorders>
              <w:top w:val="single" w:sz="8" w:space="0" w:color="auto"/>
              <w:left w:val="nil"/>
              <w:bottom w:val="single" w:sz="8" w:space="0" w:color="auto"/>
              <w:right w:val="single" w:sz="8" w:space="0" w:color="auto"/>
            </w:tcBorders>
            <w:shd w:val="clear" w:color="auto" w:fill="auto"/>
            <w:vAlign w:val="bottom"/>
          </w:tcPr>
          <w:p w14:paraId="1E26B980" w14:textId="471B78EB" w:rsidR="00E3296D" w:rsidRPr="00BD7E1C" w:rsidRDefault="00E3296D" w:rsidP="00E3296D">
            <w:pPr>
              <w:spacing w:after="0" w:line="240" w:lineRule="auto"/>
              <w:jc w:val="center"/>
              <w:rPr>
                <w:rFonts w:cs="Arial"/>
                <w:b/>
                <w:bCs/>
                <w:color w:val="auto"/>
                <w:sz w:val="18"/>
                <w:szCs w:val="18"/>
              </w:rPr>
            </w:pPr>
            <w:r w:rsidRPr="00BD7E1C">
              <w:rPr>
                <w:rFonts w:cs="Arial"/>
                <w:b/>
                <w:bCs/>
                <w:color w:val="auto"/>
                <w:sz w:val="18"/>
                <w:szCs w:val="18"/>
              </w:rPr>
              <w:t>33 355,89</w:t>
            </w:r>
          </w:p>
        </w:tc>
        <w:tc>
          <w:tcPr>
            <w:tcW w:w="408" w:type="pct"/>
            <w:tcBorders>
              <w:top w:val="single" w:sz="8" w:space="0" w:color="auto"/>
              <w:left w:val="nil"/>
              <w:bottom w:val="single" w:sz="8" w:space="0" w:color="auto"/>
              <w:right w:val="single" w:sz="8" w:space="0" w:color="auto"/>
            </w:tcBorders>
            <w:shd w:val="clear" w:color="auto" w:fill="auto"/>
            <w:vAlign w:val="bottom"/>
          </w:tcPr>
          <w:p w14:paraId="4EA7225D" w14:textId="03FAB547" w:rsidR="00E3296D" w:rsidRPr="00BD7E1C" w:rsidRDefault="00E3296D" w:rsidP="00E3296D">
            <w:pPr>
              <w:spacing w:after="0" w:line="240" w:lineRule="auto"/>
              <w:jc w:val="center"/>
              <w:rPr>
                <w:rFonts w:cs="Arial"/>
                <w:b/>
                <w:bCs/>
                <w:color w:val="auto"/>
                <w:sz w:val="18"/>
                <w:szCs w:val="18"/>
              </w:rPr>
            </w:pPr>
            <w:r w:rsidRPr="00BD7E1C">
              <w:rPr>
                <w:rFonts w:cs="Arial"/>
                <w:b/>
                <w:bCs/>
                <w:color w:val="auto"/>
                <w:sz w:val="18"/>
                <w:szCs w:val="18"/>
              </w:rPr>
              <w:t>36 887,70</w:t>
            </w:r>
          </w:p>
        </w:tc>
        <w:tc>
          <w:tcPr>
            <w:tcW w:w="462" w:type="pct"/>
            <w:tcBorders>
              <w:top w:val="single" w:sz="8" w:space="0" w:color="auto"/>
              <w:left w:val="nil"/>
              <w:bottom w:val="single" w:sz="8" w:space="0" w:color="auto"/>
              <w:right w:val="single" w:sz="8" w:space="0" w:color="auto"/>
            </w:tcBorders>
            <w:shd w:val="clear" w:color="auto" w:fill="auto"/>
            <w:vAlign w:val="bottom"/>
          </w:tcPr>
          <w:p w14:paraId="7CDE32D5" w14:textId="44091978" w:rsidR="00E3296D" w:rsidRPr="00BD7E1C" w:rsidRDefault="00E3296D" w:rsidP="00E3296D">
            <w:pPr>
              <w:spacing w:after="0" w:line="240" w:lineRule="auto"/>
              <w:jc w:val="center"/>
              <w:rPr>
                <w:rFonts w:cs="Arial"/>
                <w:b/>
                <w:bCs/>
                <w:color w:val="auto"/>
                <w:sz w:val="18"/>
                <w:szCs w:val="18"/>
              </w:rPr>
            </w:pPr>
            <w:r w:rsidRPr="00BD7E1C">
              <w:rPr>
                <w:rFonts w:cs="Arial"/>
                <w:b/>
                <w:bCs/>
                <w:color w:val="auto"/>
                <w:sz w:val="18"/>
                <w:szCs w:val="18"/>
              </w:rPr>
              <w:t>70 243,60</w:t>
            </w:r>
          </w:p>
        </w:tc>
        <w:tc>
          <w:tcPr>
            <w:tcW w:w="467" w:type="pct"/>
            <w:gridSpan w:val="2"/>
            <w:tcBorders>
              <w:top w:val="single" w:sz="8" w:space="0" w:color="auto"/>
              <w:left w:val="nil"/>
              <w:bottom w:val="single" w:sz="8" w:space="0" w:color="auto"/>
              <w:right w:val="single" w:sz="8" w:space="0" w:color="auto"/>
            </w:tcBorders>
            <w:shd w:val="clear" w:color="auto" w:fill="auto"/>
            <w:vAlign w:val="bottom"/>
          </w:tcPr>
          <w:p w14:paraId="7351088A" w14:textId="2C22DEAC" w:rsidR="00E3296D" w:rsidRPr="00BD7E1C" w:rsidRDefault="00E3296D" w:rsidP="00E3296D">
            <w:pPr>
              <w:spacing w:after="0" w:line="240" w:lineRule="auto"/>
              <w:jc w:val="center"/>
              <w:rPr>
                <w:rFonts w:cs="Arial"/>
                <w:b/>
                <w:bCs/>
                <w:color w:val="auto"/>
                <w:sz w:val="18"/>
                <w:szCs w:val="18"/>
              </w:rPr>
            </w:pPr>
            <w:r w:rsidRPr="00BD7E1C">
              <w:rPr>
                <w:rFonts w:cs="Arial"/>
                <w:b/>
                <w:bCs/>
                <w:color w:val="auto"/>
                <w:sz w:val="18"/>
                <w:szCs w:val="18"/>
              </w:rPr>
              <w:t>105 340,64</w:t>
            </w:r>
          </w:p>
        </w:tc>
      </w:tr>
    </w:tbl>
    <w:p w14:paraId="573768F7" w14:textId="2C06ECF8" w:rsidR="009A4C46" w:rsidRPr="00BD7E1C" w:rsidRDefault="00E3296D" w:rsidP="009A4C46">
      <w:pPr>
        <w:spacing w:after="32" w:line="360" w:lineRule="auto"/>
        <w:jc w:val="both"/>
        <w:rPr>
          <w:rFonts w:eastAsia="Times New Roman"/>
          <w:color w:val="auto"/>
          <w:lang w:eastAsia="ru-RU"/>
        </w:rPr>
      </w:pPr>
      <w:r w:rsidRPr="00BD7E1C">
        <w:rPr>
          <w:rFonts w:eastAsia="Times New Roman"/>
          <w:color w:val="auto"/>
          <w:lang w:eastAsia="ru-RU"/>
        </w:rPr>
        <w:t>*) указаны объемы полезного отпуска для населения, которое рассчитывается по полному тарифу</w:t>
      </w:r>
    </w:p>
    <w:p w14:paraId="20BDA749" w14:textId="3935B670" w:rsidR="00E3296D" w:rsidRPr="00BD7E1C" w:rsidRDefault="00E3296D" w:rsidP="009A4C46">
      <w:pPr>
        <w:spacing w:after="32" w:line="360" w:lineRule="auto"/>
        <w:jc w:val="both"/>
        <w:rPr>
          <w:rFonts w:eastAsia="Times New Roman"/>
          <w:color w:val="auto"/>
          <w:lang w:eastAsia="ru-RU"/>
        </w:rPr>
      </w:pPr>
      <w:r w:rsidRPr="00BD7E1C">
        <w:rPr>
          <w:rFonts w:eastAsia="Times New Roman"/>
          <w:color w:val="auto"/>
          <w:lang w:eastAsia="ru-RU"/>
        </w:rPr>
        <w:t>**) указаны объемы полезного отпуска по населению, рассчитывающемуся по тарифам</w:t>
      </w:r>
      <w:r w:rsidR="003318B3" w:rsidRPr="00BD7E1C">
        <w:rPr>
          <w:rFonts w:eastAsia="Times New Roman"/>
          <w:color w:val="auto"/>
          <w:lang w:eastAsia="ru-RU"/>
        </w:rPr>
        <w:t>,</w:t>
      </w:r>
      <w:r w:rsidRPr="00BD7E1C">
        <w:rPr>
          <w:rFonts w:eastAsia="Times New Roman"/>
          <w:color w:val="auto"/>
          <w:lang w:eastAsia="ru-RU"/>
        </w:rPr>
        <w:t xml:space="preserve"> к которым применен понижающий коэффициент 0,7.</w:t>
      </w:r>
    </w:p>
    <w:p w14:paraId="366C0E6A" w14:textId="77777777" w:rsidR="00E3296D" w:rsidRPr="00BD7E1C" w:rsidRDefault="00E3296D" w:rsidP="009A4C46">
      <w:pPr>
        <w:spacing w:after="32" w:line="360" w:lineRule="auto"/>
        <w:jc w:val="both"/>
        <w:rPr>
          <w:rFonts w:eastAsia="Times New Roman"/>
          <w:color w:val="auto"/>
          <w:sz w:val="26"/>
          <w:szCs w:val="26"/>
          <w:lang w:eastAsia="ru-RU"/>
        </w:rPr>
      </w:pPr>
    </w:p>
    <w:p w14:paraId="772C16E0" w14:textId="3F53B148" w:rsidR="009A4C46" w:rsidRDefault="009A4C46" w:rsidP="009A4C46">
      <w:pPr>
        <w:spacing w:after="32" w:line="360" w:lineRule="auto"/>
        <w:jc w:val="both"/>
        <w:rPr>
          <w:rFonts w:eastAsia="Times New Roman"/>
          <w:i/>
          <w:color w:val="0000CC"/>
          <w:sz w:val="28"/>
          <w:szCs w:val="28"/>
          <w:lang w:eastAsia="ru-RU"/>
        </w:rPr>
      </w:pPr>
    </w:p>
    <w:p w14:paraId="27AD39E3" w14:textId="77777777" w:rsidR="00A31C7C" w:rsidRPr="00A31C7C" w:rsidRDefault="00A31C7C" w:rsidP="009A4C46">
      <w:pPr>
        <w:spacing w:after="32" w:line="360" w:lineRule="auto"/>
        <w:jc w:val="both"/>
        <w:rPr>
          <w:rFonts w:eastAsia="Times New Roman"/>
          <w:i/>
          <w:color w:val="0000CC"/>
          <w:sz w:val="28"/>
          <w:szCs w:val="28"/>
          <w:lang w:eastAsia="ru-RU"/>
        </w:rPr>
        <w:sectPr w:rsidR="00A31C7C" w:rsidRPr="00A31C7C" w:rsidSect="0063188C">
          <w:pgSz w:w="16838" w:h="11906" w:orient="landscape"/>
          <w:pgMar w:top="1701" w:right="1134" w:bottom="851" w:left="1134" w:header="709" w:footer="709" w:gutter="0"/>
          <w:cols w:space="708"/>
          <w:docGrid w:linePitch="360"/>
        </w:sectPr>
      </w:pPr>
    </w:p>
    <w:p w14:paraId="71768A2E" w14:textId="20400483" w:rsidR="009A4C46" w:rsidRPr="00BD7E1C" w:rsidRDefault="009A4C46" w:rsidP="009A4C46">
      <w:pPr>
        <w:spacing w:after="32" w:line="360" w:lineRule="auto"/>
        <w:ind w:firstLine="709"/>
        <w:jc w:val="both"/>
        <w:rPr>
          <w:rFonts w:eastAsia="Times New Roman"/>
          <w:color w:val="auto"/>
          <w:sz w:val="26"/>
          <w:szCs w:val="26"/>
          <w:lang w:eastAsia="ru-RU"/>
        </w:rPr>
      </w:pPr>
      <w:bookmarkStart w:id="53" w:name="_Hlk41405714"/>
      <w:r w:rsidRPr="00E93DFF">
        <w:rPr>
          <w:rFonts w:eastAsia="Times New Roman"/>
          <w:color w:val="auto"/>
          <w:sz w:val="26"/>
          <w:szCs w:val="26"/>
          <w:lang w:eastAsia="ru-RU"/>
        </w:rPr>
        <w:lastRenderedPageBreak/>
        <w:t xml:space="preserve">По расчету Исполнителя фактический объем выручки за услуги по передаче электрической энергии за 2017 год в части содержания электрических сетей, определенный исходя из установленных на 2017 год тарифов на услуги по передаче электрической энергии без учета ставки, используемой для целей </w:t>
      </w:r>
      <w:r w:rsidRPr="00BD7E1C">
        <w:rPr>
          <w:rFonts w:eastAsia="Times New Roman"/>
          <w:color w:val="auto"/>
          <w:sz w:val="26"/>
          <w:szCs w:val="26"/>
          <w:lang w:eastAsia="ru-RU"/>
        </w:rPr>
        <w:t xml:space="preserve">определения расходов на оплату нормативных потерь электрической энергии при ее передаче по электрическим сетям, и фактических объемов оказанных услуг составил </w:t>
      </w:r>
      <w:r w:rsidR="00E3296D" w:rsidRPr="00BD7E1C">
        <w:rPr>
          <w:rFonts w:eastAsia="Times New Roman"/>
          <w:color w:val="auto"/>
          <w:sz w:val="26"/>
          <w:szCs w:val="26"/>
          <w:lang w:eastAsia="ru-RU"/>
        </w:rPr>
        <w:t>1 088 729,68</w:t>
      </w:r>
      <w:r w:rsidR="00613867" w:rsidRPr="00BD7E1C">
        <w:rPr>
          <w:rFonts w:eastAsia="Times New Roman"/>
          <w:color w:val="auto"/>
          <w:sz w:val="26"/>
          <w:szCs w:val="26"/>
          <w:lang w:eastAsia="ru-RU"/>
        </w:rPr>
        <w:t xml:space="preserve"> </w:t>
      </w:r>
      <w:r w:rsidRPr="00BD7E1C">
        <w:rPr>
          <w:rFonts w:eastAsia="Times New Roman"/>
          <w:color w:val="auto"/>
          <w:sz w:val="26"/>
          <w:szCs w:val="26"/>
          <w:lang w:eastAsia="ru-RU"/>
        </w:rPr>
        <w:t>тыс. руб.</w:t>
      </w:r>
      <w:r w:rsidR="00E3296D" w:rsidRPr="00BD7E1C">
        <w:rPr>
          <w:rFonts w:eastAsia="Times New Roman"/>
          <w:color w:val="auto"/>
          <w:sz w:val="26"/>
          <w:szCs w:val="26"/>
          <w:lang w:eastAsia="ru-RU"/>
        </w:rPr>
        <w:t xml:space="preserve"> (разница между товарной выручкой 1 194 070,32 тыс. руб. и нормативных расходов на оплату потерь 105 340,64 тыс. руб.)</w:t>
      </w:r>
      <w:r w:rsidRPr="00BD7E1C">
        <w:rPr>
          <w:rFonts w:eastAsia="Times New Roman"/>
          <w:color w:val="auto"/>
          <w:sz w:val="26"/>
          <w:szCs w:val="26"/>
          <w:lang w:eastAsia="ru-RU"/>
        </w:rPr>
        <w:t xml:space="preserve"> Отклонение от величины, рассчитанной</w:t>
      </w:r>
      <w:r w:rsidR="00EB686C" w:rsidRPr="00BD7E1C">
        <w:rPr>
          <w:rFonts w:eastAsia="Times New Roman"/>
          <w:color w:val="auto"/>
          <w:sz w:val="26"/>
          <w:szCs w:val="26"/>
          <w:lang w:eastAsia="ru-RU"/>
        </w:rPr>
        <w:t xml:space="preserve"> </w:t>
      </w:r>
      <w:r w:rsidRPr="00BD7E1C">
        <w:rPr>
          <w:rFonts w:eastAsia="Times New Roman"/>
          <w:color w:val="auto"/>
          <w:sz w:val="26"/>
          <w:szCs w:val="26"/>
          <w:lang w:eastAsia="ru-RU"/>
        </w:rPr>
        <w:t>АО</w:t>
      </w:r>
      <w:r w:rsidR="00EB686C" w:rsidRPr="00BD7E1C">
        <w:rPr>
          <w:rFonts w:eastAsia="Times New Roman"/>
          <w:color w:val="auto"/>
          <w:sz w:val="26"/>
          <w:szCs w:val="26"/>
          <w:lang w:eastAsia="ru-RU"/>
        </w:rPr>
        <w:t> </w:t>
      </w:r>
      <w:r w:rsidRPr="00BD7E1C">
        <w:rPr>
          <w:rFonts w:eastAsia="Times New Roman"/>
          <w:color w:val="auto"/>
          <w:sz w:val="26"/>
          <w:szCs w:val="26"/>
          <w:lang w:eastAsia="ru-RU"/>
        </w:rPr>
        <w:t xml:space="preserve">«Тываэнерго» составило </w:t>
      </w:r>
      <w:r w:rsidR="00E3296D" w:rsidRPr="00BD7E1C">
        <w:rPr>
          <w:rFonts w:eastAsia="Times New Roman"/>
          <w:color w:val="auto"/>
          <w:sz w:val="26"/>
          <w:szCs w:val="26"/>
          <w:lang w:eastAsia="ru-RU"/>
        </w:rPr>
        <w:t>2 847,37</w:t>
      </w:r>
      <w:r w:rsidRPr="00BD7E1C">
        <w:rPr>
          <w:rFonts w:eastAsia="Times New Roman"/>
          <w:color w:val="auto"/>
          <w:sz w:val="26"/>
          <w:szCs w:val="26"/>
          <w:lang w:eastAsia="ru-RU"/>
        </w:rPr>
        <w:t xml:space="preserve"> тыс.</w:t>
      </w:r>
      <w:r w:rsidR="00EB686C" w:rsidRPr="00BD7E1C">
        <w:rPr>
          <w:rFonts w:eastAsia="Times New Roman"/>
          <w:color w:val="auto"/>
          <w:sz w:val="26"/>
          <w:szCs w:val="26"/>
          <w:lang w:eastAsia="ru-RU"/>
        </w:rPr>
        <w:t> </w:t>
      </w:r>
      <w:r w:rsidRPr="00BD7E1C">
        <w:rPr>
          <w:rFonts w:eastAsia="Times New Roman"/>
          <w:color w:val="auto"/>
          <w:sz w:val="26"/>
          <w:szCs w:val="26"/>
          <w:lang w:eastAsia="ru-RU"/>
        </w:rPr>
        <w:t xml:space="preserve">руб. </w:t>
      </w:r>
      <w:r w:rsidR="003318B3" w:rsidRPr="00BD7E1C">
        <w:rPr>
          <w:rFonts w:eastAsia="Times New Roman"/>
          <w:color w:val="auto"/>
          <w:sz w:val="26"/>
          <w:szCs w:val="26"/>
          <w:lang w:eastAsia="ru-RU"/>
        </w:rPr>
        <w:t>Отклонение величины Исполнителя от величины АО «Тываэнерго» обусловлено применением в расчетах только одноставочных тарифов на услуги по передаче электрической энергии, при этом Исполнителем применены тариф</w:t>
      </w:r>
      <w:r w:rsidR="00EB686C" w:rsidRPr="00BD7E1C">
        <w:rPr>
          <w:rFonts w:eastAsia="Times New Roman"/>
          <w:color w:val="auto"/>
          <w:sz w:val="26"/>
          <w:szCs w:val="26"/>
          <w:lang w:eastAsia="ru-RU"/>
        </w:rPr>
        <w:t>ы</w:t>
      </w:r>
      <w:r w:rsidR="003318B3" w:rsidRPr="00BD7E1C">
        <w:rPr>
          <w:rFonts w:eastAsia="Times New Roman"/>
          <w:color w:val="auto"/>
          <w:sz w:val="26"/>
          <w:szCs w:val="26"/>
          <w:lang w:eastAsia="ru-RU"/>
        </w:rPr>
        <w:t xml:space="preserve"> на услуги по передаче, по которым производились фактические расчеты с конечными потребителями. </w:t>
      </w:r>
    </w:p>
    <w:bookmarkEnd w:id="53"/>
    <w:p w14:paraId="6B9FFBD2" w14:textId="77777777" w:rsidR="009A4C46" w:rsidRPr="00F94FED" w:rsidRDefault="009A4C46" w:rsidP="009A4C46">
      <w:pPr>
        <w:spacing w:after="32" w:line="360" w:lineRule="auto"/>
        <w:ind w:firstLine="709"/>
        <w:jc w:val="both"/>
        <w:rPr>
          <w:rFonts w:eastAsia="Times New Roman"/>
          <w:sz w:val="26"/>
          <w:szCs w:val="26"/>
          <w:lang w:eastAsia="ru-RU"/>
        </w:rPr>
      </w:pPr>
      <w:r w:rsidRPr="00BD7E1C">
        <w:rPr>
          <w:rFonts w:eastAsia="Times New Roman"/>
          <w:color w:val="auto"/>
          <w:sz w:val="26"/>
          <w:szCs w:val="26"/>
          <w:lang w:eastAsia="ru-RU"/>
        </w:rPr>
        <w:t xml:space="preserve">В таблице приведен сравнительные показатели, использованные в расчетах </w:t>
      </w:r>
      <w:r w:rsidRPr="00F94FED">
        <w:rPr>
          <w:rFonts w:eastAsia="Times New Roman"/>
          <w:sz w:val="26"/>
          <w:szCs w:val="26"/>
          <w:lang w:eastAsia="ru-RU"/>
        </w:rPr>
        <w:t>АО «Тываэнерго» и Службы по тарифам Республики Тыва.</w:t>
      </w:r>
    </w:p>
    <w:p w14:paraId="738CA3E4" w14:textId="77777777" w:rsidR="009A4C46" w:rsidRPr="00F94FED" w:rsidRDefault="009A4C46" w:rsidP="009A4C46">
      <w:pPr>
        <w:spacing w:after="0" w:line="240" w:lineRule="auto"/>
        <w:ind w:firstLine="709"/>
        <w:jc w:val="both"/>
        <w:rPr>
          <w:rFonts w:eastAsia="Times New Roman"/>
          <w:sz w:val="26"/>
          <w:szCs w:val="26"/>
          <w:lang w:eastAsia="ru-RU"/>
        </w:rPr>
      </w:pPr>
    </w:p>
    <w:tbl>
      <w:tblPr>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819"/>
        <w:gridCol w:w="2160"/>
        <w:gridCol w:w="984"/>
        <w:gridCol w:w="1119"/>
        <w:gridCol w:w="983"/>
        <w:gridCol w:w="1299"/>
        <w:gridCol w:w="983"/>
        <w:gridCol w:w="998"/>
      </w:tblGrid>
      <w:tr w:rsidR="0059122D" w:rsidRPr="0059122D" w14:paraId="2173E942" w14:textId="77777777" w:rsidTr="0059122D">
        <w:trPr>
          <w:trHeight w:val="1277"/>
          <w:tblHeader/>
        </w:trPr>
        <w:tc>
          <w:tcPr>
            <w:tcW w:w="47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57864BA" w14:textId="77777777" w:rsidR="009A4C46" w:rsidRPr="00F94FED" w:rsidRDefault="009A4C46">
            <w:pPr>
              <w:spacing w:after="0" w:line="240" w:lineRule="auto"/>
              <w:jc w:val="center"/>
              <w:rPr>
                <w:rFonts w:eastAsia="Calibri"/>
                <w:b/>
                <w:bCs/>
                <w:color w:val="FFFFFF" w:themeColor="background1"/>
                <w:lang w:eastAsia="ru-RU" w:bidi="ru-RU"/>
              </w:rPr>
            </w:pPr>
            <w:r w:rsidRPr="00F94FED">
              <w:rPr>
                <w:rFonts w:eastAsia="Calibri"/>
                <w:b/>
                <w:bCs/>
                <w:color w:val="FFFFFF" w:themeColor="background1"/>
                <w:lang w:eastAsia="ru-RU" w:bidi="ru-RU"/>
              </w:rPr>
              <w:t>№ н/п</w:t>
            </w:r>
          </w:p>
        </w:tc>
        <w:tc>
          <w:tcPr>
            <w:tcW w:w="118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6BD1A00" w14:textId="77777777" w:rsidR="009A4C46" w:rsidRPr="00F94FED" w:rsidRDefault="009A4C46">
            <w:pPr>
              <w:spacing w:after="0" w:line="240" w:lineRule="auto"/>
              <w:jc w:val="center"/>
              <w:rPr>
                <w:rFonts w:eastAsia="Calibri"/>
                <w:b/>
                <w:bCs/>
                <w:color w:val="FFFFFF" w:themeColor="background1"/>
                <w:lang w:eastAsia="ru-RU" w:bidi="ru-RU"/>
              </w:rPr>
            </w:pPr>
            <w:r w:rsidRPr="00F94FED">
              <w:rPr>
                <w:rFonts w:eastAsia="Calibri"/>
                <w:b/>
                <w:bCs/>
                <w:color w:val="FFFFFF" w:themeColor="background1"/>
                <w:lang w:eastAsia="ru-RU" w:bidi="ru-RU"/>
              </w:rPr>
              <w:t>Показатель</w:t>
            </w:r>
          </w:p>
        </w:tc>
        <w:tc>
          <w:tcPr>
            <w:tcW w:w="55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F9B312A" w14:textId="77777777" w:rsidR="009A4C46" w:rsidRPr="00F94FED" w:rsidRDefault="009A4C46">
            <w:pPr>
              <w:spacing w:after="0" w:line="240" w:lineRule="auto"/>
              <w:jc w:val="center"/>
              <w:rPr>
                <w:rFonts w:eastAsia="Calibri"/>
                <w:b/>
                <w:bCs/>
                <w:color w:val="FFFFFF" w:themeColor="background1"/>
                <w:lang w:eastAsia="ru-RU" w:bidi="ru-RU"/>
              </w:rPr>
            </w:pPr>
            <w:r w:rsidRPr="00F94FED">
              <w:rPr>
                <w:rFonts w:eastAsia="Calibri"/>
                <w:b/>
                <w:bCs/>
                <w:color w:val="FFFFFF" w:themeColor="background1"/>
                <w:lang w:eastAsia="ru-RU" w:bidi="ru-RU"/>
              </w:rPr>
              <w:t>Ед. изм.</w:t>
            </w:r>
          </w:p>
        </w:tc>
        <w:tc>
          <w:tcPr>
            <w:tcW w:w="55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FB9F6D1" w14:textId="77777777" w:rsidR="009A4C46" w:rsidRPr="00F94FED" w:rsidRDefault="009A4C46">
            <w:pPr>
              <w:spacing w:after="0" w:line="240" w:lineRule="auto"/>
              <w:jc w:val="center"/>
              <w:rPr>
                <w:rFonts w:eastAsia="Calibri"/>
                <w:b/>
                <w:bCs/>
                <w:color w:val="FFFFFF" w:themeColor="background1"/>
                <w:lang w:eastAsia="ru-RU" w:bidi="ru-RU"/>
              </w:rPr>
            </w:pPr>
            <w:r w:rsidRPr="00F94FED">
              <w:rPr>
                <w:rFonts w:eastAsia="Calibri"/>
                <w:b/>
                <w:bCs/>
                <w:color w:val="FFFFFF" w:themeColor="background1"/>
                <w:lang w:eastAsia="ru-RU" w:bidi="ru-RU"/>
              </w:rPr>
              <w:t>2017 год Утверждено</w:t>
            </w:r>
          </w:p>
        </w:tc>
        <w:tc>
          <w:tcPr>
            <w:tcW w:w="55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C3E929B" w14:textId="77777777" w:rsidR="009A4C46" w:rsidRPr="00F94FED" w:rsidRDefault="009A4C46">
            <w:pPr>
              <w:spacing w:after="0" w:line="240" w:lineRule="auto"/>
              <w:jc w:val="center"/>
              <w:rPr>
                <w:rFonts w:eastAsia="Calibri"/>
                <w:b/>
                <w:bCs/>
                <w:color w:val="FFFFFF" w:themeColor="background1"/>
                <w:lang w:eastAsia="ru-RU" w:bidi="ru-RU"/>
              </w:rPr>
            </w:pPr>
            <w:r w:rsidRPr="00F94FED">
              <w:rPr>
                <w:rFonts w:eastAsia="Calibri"/>
                <w:b/>
                <w:bCs/>
                <w:color w:val="FFFFFF" w:themeColor="background1"/>
                <w:lang w:eastAsia="ru-RU" w:bidi="ru-RU"/>
              </w:rPr>
              <w:t>2017 год Факт</w:t>
            </w:r>
          </w:p>
        </w:tc>
        <w:tc>
          <w:tcPr>
            <w:tcW w:w="55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78B269D" w14:textId="77777777" w:rsidR="009A4C46" w:rsidRPr="00F94FED" w:rsidRDefault="009A4C46">
            <w:pPr>
              <w:spacing w:after="0" w:line="240" w:lineRule="auto"/>
              <w:jc w:val="center"/>
              <w:rPr>
                <w:rFonts w:eastAsia="Calibri"/>
                <w:b/>
                <w:bCs/>
                <w:color w:val="FFFFFF" w:themeColor="background1"/>
                <w:lang w:eastAsia="ru-RU" w:bidi="ru-RU"/>
              </w:rPr>
            </w:pPr>
            <w:r w:rsidRPr="00F94FED">
              <w:rPr>
                <w:rFonts w:eastAsia="Calibri"/>
                <w:b/>
                <w:bCs/>
                <w:color w:val="FFFFFF" w:themeColor="background1"/>
                <w:lang w:eastAsia="ru-RU" w:bidi="ru-RU"/>
              </w:rPr>
              <w:t>2017 год использовано в расчетах</w:t>
            </w:r>
          </w:p>
        </w:tc>
        <w:tc>
          <w:tcPr>
            <w:tcW w:w="55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0553ADC" w14:textId="77777777" w:rsidR="009A4C46" w:rsidRPr="00F94FED" w:rsidRDefault="009A4C46">
            <w:pPr>
              <w:spacing w:after="0" w:line="240" w:lineRule="auto"/>
              <w:jc w:val="center"/>
              <w:rPr>
                <w:rFonts w:eastAsia="Calibri"/>
                <w:b/>
                <w:bCs/>
                <w:color w:val="FFFFFF" w:themeColor="background1"/>
                <w:lang w:eastAsia="ru-RU" w:bidi="ru-RU"/>
              </w:rPr>
            </w:pPr>
            <w:r w:rsidRPr="00F94FED">
              <w:rPr>
                <w:rFonts w:eastAsia="Calibri"/>
                <w:b/>
                <w:bCs/>
                <w:color w:val="FFFFFF" w:themeColor="background1"/>
                <w:lang w:eastAsia="ru-RU" w:bidi="ru-RU"/>
              </w:rPr>
              <w:t>Факт по данным бухучета</w:t>
            </w:r>
          </w:p>
        </w:tc>
        <w:tc>
          <w:tcPr>
            <w:tcW w:w="55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0C0045B" w14:textId="77777777" w:rsidR="009A4C46" w:rsidRPr="00F94FED" w:rsidRDefault="009A4C46">
            <w:pPr>
              <w:spacing w:after="0" w:line="240" w:lineRule="auto"/>
              <w:jc w:val="center"/>
              <w:rPr>
                <w:rFonts w:eastAsia="Calibri"/>
                <w:b/>
                <w:bCs/>
                <w:color w:val="FFFFFF" w:themeColor="background1"/>
                <w:lang w:eastAsia="ru-RU" w:bidi="ru-RU"/>
              </w:rPr>
            </w:pPr>
            <w:r w:rsidRPr="00F94FED">
              <w:rPr>
                <w:rFonts w:eastAsia="Calibri"/>
                <w:b/>
                <w:bCs/>
                <w:color w:val="FFFFFF" w:themeColor="background1"/>
                <w:lang w:eastAsia="ru-RU" w:bidi="ru-RU"/>
              </w:rPr>
              <w:t>По форме 46-ээ (передача)</w:t>
            </w:r>
          </w:p>
        </w:tc>
      </w:tr>
      <w:tr w:rsidR="0059122D" w:rsidRPr="0059122D" w14:paraId="110D0F8D" w14:textId="77777777" w:rsidTr="0059122D">
        <w:trPr>
          <w:trHeight w:val="136"/>
          <w:tblHeader/>
        </w:trPr>
        <w:tc>
          <w:tcPr>
            <w:tcW w:w="47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6C8466A" w14:textId="77777777" w:rsidR="009A4C46" w:rsidRPr="00F94FED" w:rsidRDefault="009A4C46">
            <w:pPr>
              <w:spacing w:after="0" w:line="240" w:lineRule="auto"/>
              <w:jc w:val="center"/>
              <w:rPr>
                <w:rFonts w:eastAsia="Calibri"/>
                <w:bCs/>
                <w:i/>
                <w:color w:val="FFFFFF" w:themeColor="background1"/>
                <w:lang w:eastAsia="ru-RU" w:bidi="ru-RU"/>
              </w:rPr>
            </w:pPr>
            <w:r w:rsidRPr="00F94FED">
              <w:rPr>
                <w:rFonts w:eastAsia="Calibri"/>
                <w:bCs/>
                <w:i/>
                <w:color w:val="FFFFFF" w:themeColor="background1"/>
                <w:lang w:eastAsia="ru-RU" w:bidi="ru-RU"/>
              </w:rPr>
              <w:t>1</w:t>
            </w:r>
          </w:p>
        </w:tc>
        <w:tc>
          <w:tcPr>
            <w:tcW w:w="118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C424E9C" w14:textId="77777777" w:rsidR="009A4C46" w:rsidRPr="00F94FED" w:rsidRDefault="009A4C46">
            <w:pPr>
              <w:spacing w:after="0" w:line="240" w:lineRule="auto"/>
              <w:jc w:val="center"/>
              <w:rPr>
                <w:rFonts w:eastAsia="Calibri"/>
                <w:bCs/>
                <w:i/>
                <w:color w:val="FFFFFF" w:themeColor="background1"/>
                <w:lang w:eastAsia="ru-RU" w:bidi="ru-RU"/>
              </w:rPr>
            </w:pPr>
            <w:r w:rsidRPr="00F94FED">
              <w:rPr>
                <w:rFonts w:eastAsia="Calibri"/>
                <w:bCs/>
                <w:i/>
                <w:color w:val="FFFFFF" w:themeColor="background1"/>
                <w:lang w:eastAsia="ru-RU" w:bidi="ru-RU"/>
              </w:rPr>
              <w:t>2</w:t>
            </w:r>
          </w:p>
        </w:tc>
        <w:tc>
          <w:tcPr>
            <w:tcW w:w="55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6CEAB7D" w14:textId="77777777" w:rsidR="009A4C46" w:rsidRPr="00F94FED" w:rsidRDefault="009A4C46">
            <w:pPr>
              <w:spacing w:after="0" w:line="240" w:lineRule="auto"/>
              <w:jc w:val="center"/>
              <w:rPr>
                <w:rFonts w:eastAsia="Calibri"/>
                <w:bCs/>
                <w:i/>
                <w:color w:val="FFFFFF" w:themeColor="background1"/>
                <w:lang w:eastAsia="ru-RU" w:bidi="ru-RU"/>
              </w:rPr>
            </w:pPr>
            <w:r w:rsidRPr="00F94FED">
              <w:rPr>
                <w:rFonts w:eastAsia="Calibri"/>
                <w:bCs/>
                <w:i/>
                <w:color w:val="FFFFFF" w:themeColor="background1"/>
                <w:lang w:eastAsia="ru-RU" w:bidi="ru-RU"/>
              </w:rPr>
              <w:t>3</w:t>
            </w:r>
          </w:p>
        </w:tc>
        <w:tc>
          <w:tcPr>
            <w:tcW w:w="55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19594C8" w14:textId="77777777" w:rsidR="009A4C46" w:rsidRPr="00F94FED" w:rsidRDefault="009A4C46">
            <w:pPr>
              <w:spacing w:after="0" w:line="240" w:lineRule="auto"/>
              <w:jc w:val="center"/>
              <w:rPr>
                <w:rFonts w:eastAsia="Calibri"/>
                <w:bCs/>
                <w:i/>
                <w:color w:val="FFFFFF" w:themeColor="background1"/>
                <w:lang w:eastAsia="ru-RU" w:bidi="ru-RU"/>
              </w:rPr>
            </w:pPr>
            <w:r w:rsidRPr="00F94FED">
              <w:rPr>
                <w:rFonts w:eastAsia="Calibri"/>
                <w:bCs/>
                <w:i/>
                <w:color w:val="FFFFFF" w:themeColor="background1"/>
                <w:lang w:eastAsia="ru-RU" w:bidi="ru-RU"/>
              </w:rPr>
              <w:t>4</w:t>
            </w:r>
          </w:p>
        </w:tc>
        <w:tc>
          <w:tcPr>
            <w:tcW w:w="55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279833D" w14:textId="77777777" w:rsidR="009A4C46" w:rsidRPr="00F94FED" w:rsidRDefault="009A4C46">
            <w:pPr>
              <w:spacing w:after="0" w:line="240" w:lineRule="auto"/>
              <w:jc w:val="center"/>
              <w:rPr>
                <w:rFonts w:eastAsia="Calibri"/>
                <w:bCs/>
                <w:i/>
                <w:color w:val="FFFFFF" w:themeColor="background1"/>
                <w:lang w:eastAsia="ru-RU" w:bidi="ru-RU"/>
              </w:rPr>
            </w:pPr>
            <w:r w:rsidRPr="00F94FED">
              <w:rPr>
                <w:rFonts w:eastAsia="Calibri"/>
                <w:bCs/>
                <w:i/>
                <w:color w:val="FFFFFF" w:themeColor="background1"/>
                <w:lang w:eastAsia="ru-RU" w:bidi="ru-RU"/>
              </w:rPr>
              <w:t>5</w:t>
            </w:r>
          </w:p>
        </w:tc>
        <w:tc>
          <w:tcPr>
            <w:tcW w:w="55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AAC990B" w14:textId="77777777" w:rsidR="009A4C46" w:rsidRPr="00F94FED" w:rsidRDefault="009A4C46">
            <w:pPr>
              <w:spacing w:after="0" w:line="240" w:lineRule="auto"/>
              <w:jc w:val="center"/>
              <w:rPr>
                <w:rFonts w:eastAsia="Calibri"/>
                <w:bCs/>
                <w:i/>
                <w:color w:val="FFFFFF" w:themeColor="background1"/>
                <w:lang w:eastAsia="ru-RU" w:bidi="ru-RU"/>
              </w:rPr>
            </w:pPr>
            <w:r w:rsidRPr="00F94FED">
              <w:rPr>
                <w:rFonts w:eastAsia="Calibri"/>
                <w:bCs/>
                <w:i/>
                <w:color w:val="FFFFFF" w:themeColor="background1"/>
                <w:lang w:eastAsia="ru-RU" w:bidi="ru-RU"/>
              </w:rPr>
              <w:t>6</w:t>
            </w:r>
          </w:p>
        </w:tc>
        <w:tc>
          <w:tcPr>
            <w:tcW w:w="55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A782BB0" w14:textId="77777777" w:rsidR="009A4C46" w:rsidRPr="00F94FED" w:rsidRDefault="009A4C46">
            <w:pPr>
              <w:spacing w:after="0" w:line="240" w:lineRule="auto"/>
              <w:jc w:val="center"/>
              <w:rPr>
                <w:rFonts w:eastAsia="Calibri"/>
                <w:bCs/>
                <w:i/>
                <w:color w:val="FFFFFF" w:themeColor="background1"/>
                <w:lang w:eastAsia="ru-RU" w:bidi="ru-RU"/>
              </w:rPr>
            </w:pPr>
            <w:r w:rsidRPr="00F94FED">
              <w:rPr>
                <w:rFonts w:eastAsia="Calibri"/>
                <w:bCs/>
                <w:i/>
                <w:color w:val="FFFFFF" w:themeColor="background1"/>
                <w:lang w:eastAsia="ru-RU" w:bidi="ru-RU"/>
              </w:rPr>
              <w:t>7</w:t>
            </w:r>
          </w:p>
        </w:tc>
        <w:tc>
          <w:tcPr>
            <w:tcW w:w="55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F30DFF7" w14:textId="77777777" w:rsidR="009A4C46" w:rsidRPr="00F94FED" w:rsidRDefault="009A4C46">
            <w:pPr>
              <w:spacing w:after="0" w:line="240" w:lineRule="auto"/>
              <w:jc w:val="center"/>
              <w:rPr>
                <w:rFonts w:eastAsia="Calibri"/>
                <w:bCs/>
                <w:i/>
                <w:color w:val="FFFFFF" w:themeColor="background1"/>
                <w:lang w:eastAsia="ru-RU" w:bidi="ru-RU"/>
              </w:rPr>
            </w:pPr>
            <w:r w:rsidRPr="00F94FED">
              <w:rPr>
                <w:rFonts w:eastAsia="Calibri"/>
                <w:bCs/>
                <w:i/>
                <w:color w:val="FFFFFF" w:themeColor="background1"/>
                <w:lang w:eastAsia="ru-RU" w:bidi="ru-RU"/>
              </w:rPr>
              <w:t>8</w:t>
            </w:r>
          </w:p>
        </w:tc>
      </w:tr>
      <w:tr w:rsidR="00F94FED" w:rsidRPr="009A4C46" w14:paraId="409445A5" w14:textId="77777777" w:rsidTr="00F94FED">
        <w:trPr>
          <w:trHeight w:val="624"/>
        </w:trPr>
        <w:tc>
          <w:tcPr>
            <w:tcW w:w="470" w:type="pct"/>
            <w:tcBorders>
              <w:top w:val="single" w:sz="4" w:space="0" w:color="FFFFFF" w:themeColor="background1"/>
            </w:tcBorders>
            <w:shd w:val="clear" w:color="auto" w:fill="FFFFFF"/>
            <w:vAlign w:val="center"/>
          </w:tcPr>
          <w:p w14:paraId="3D1A61C6" w14:textId="77777777" w:rsidR="009A4C46" w:rsidRPr="009A4C46" w:rsidRDefault="009A4C46" w:rsidP="009A4C46">
            <w:pPr>
              <w:spacing w:after="0" w:line="240" w:lineRule="auto"/>
              <w:jc w:val="center"/>
              <w:rPr>
                <w:rFonts w:eastAsia="Calibri"/>
                <w:bCs/>
                <w:lang w:eastAsia="ru-RU" w:bidi="ru-RU"/>
              </w:rPr>
            </w:pPr>
            <w:r w:rsidRPr="009A4C46">
              <w:rPr>
                <w:rFonts w:eastAsia="Calibri"/>
                <w:bCs/>
                <w:lang w:eastAsia="ru-RU" w:bidi="ru-RU"/>
              </w:rPr>
              <w:t>1</w:t>
            </w:r>
          </w:p>
        </w:tc>
        <w:tc>
          <w:tcPr>
            <w:tcW w:w="1187" w:type="pct"/>
            <w:tcBorders>
              <w:top w:val="single" w:sz="4" w:space="0" w:color="FFFFFF" w:themeColor="background1"/>
            </w:tcBorders>
            <w:shd w:val="clear" w:color="auto" w:fill="FFFFFF"/>
            <w:vAlign w:val="center"/>
          </w:tcPr>
          <w:p w14:paraId="3825C2B2" w14:textId="77777777" w:rsidR="009A4C46" w:rsidRPr="009A4C46" w:rsidRDefault="009A4C46" w:rsidP="009A4C46">
            <w:pPr>
              <w:spacing w:after="0" w:line="240" w:lineRule="auto"/>
              <w:rPr>
                <w:rFonts w:eastAsia="Calibri"/>
                <w:bCs/>
                <w:lang w:eastAsia="ru-RU" w:bidi="ru-RU"/>
              </w:rPr>
            </w:pPr>
            <w:r w:rsidRPr="009A4C46">
              <w:rPr>
                <w:rFonts w:eastAsia="Calibri"/>
                <w:bCs/>
                <w:lang w:eastAsia="ru-RU" w:bidi="ru-RU"/>
              </w:rPr>
              <w:t>Необходимая валовая выручка (без учета затрат на оплату услуг ТСО)</w:t>
            </w:r>
          </w:p>
        </w:tc>
        <w:tc>
          <w:tcPr>
            <w:tcW w:w="558" w:type="pct"/>
            <w:tcBorders>
              <w:top w:val="single" w:sz="4" w:space="0" w:color="FFFFFF" w:themeColor="background1"/>
            </w:tcBorders>
            <w:shd w:val="clear" w:color="auto" w:fill="FFFFFF"/>
            <w:vAlign w:val="center"/>
          </w:tcPr>
          <w:p w14:paraId="1BAAF15F" w14:textId="77777777" w:rsidR="009A4C46" w:rsidRPr="009A4C46" w:rsidRDefault="009A4C46" w:rsidP="009A4C46">
            <w:pPr>
              <w:spacing w:after="0" w:line="240" w:lineRule="auto"/>
              <w:jc w:val="center"/>
              <w:rPr>
                <w:rFonts w:eastAsia="Calibri"/>
                <w:bCs/>
                <w:lang w:eastAsia="ru-RU" w:bidi="ru-RU"/>
              </w:rPr>
            </w:pPr>
            <w:r w:rsidRPr="009A4C46">
              <w:rPr>
                <w:rFonts w:eastAsia="Calibri"/>
                <w:bCs/>
                <w:lang w:eastAsia="ru-RU" w:bidi="ru-RU"/>
              </w:rPr>
              <w:t>тыс. руб.</w:t>
            </w:r>
          </w:p>
        </w:tc>
        <w:tc>
          <w:tcPr>
            <w:tcW w:w="557" w:type="pct"/>
            <w:tcBorders>
              <w:top w:val="single" w:sz="4" w:space="0" w:color="FFFFFF" w:themeColor="background1"/>
            </w:tcBorders>
            <w:shd w:val="clear" w:color="auto" w:fill="FFFFFF"/>
            <w:vAlign w:val="center"/>
          </w:tcPr>
          <w:p w14:paraId="07FA80AA" w14:textId="77777777" w:rsidR="009A4C46" w:rsidRPr="009A4C46" w:rsidRDefault="009A4C46" w:rsidP="009A4C46">
            <w:pPr>
              <w:spacing w:after="0" w:line="240" w:lineRule="auto"/>
              <w:jc w:val="center"/>
              <w:rPr>
                <w:rFonts w:eastAsia="Calibri"/>
                <w:bCs/>
                <w:lang w:eastAsia="ru-RU" w:bidi="ru-RU"/>
              </w:rPr>
            </w:pPr>
            <w:r w:rsidRPr="009A4C46">
              <w:rPr>
                <w:rFonts w:eastAsia="Calibri"/>
                <w:bCs/>
                <w:lang w:eastAsia="ru-RU" w:bidi="ru-RU"/>
              </w:rPr>
              <w:t>1 295 414</w:t>
            </w:r>
          </w:p>
        </w:tc>
        <w:tc>
          <w:tcPr>
            <w:tcW w:w="557" w:type="pct"/>
            <w:tcBorders>
              <w:top w:val="single" w:sz="4" w:space="0" w:color="FFFFFF" w:themeColor="background1"/>
            </w:tcBorders>
            <w:shd w:val="clear" w:color="auto" w:fill="FFFFFF"/>
            <w:vAlign w:val="center"/>
          </w:tcPr>
          <w:p w14:paraId="3026A13F" w14:textId="77777777" w:rsidR="009A4C46" w:rsidRPr="009A4C46" w:rsidRDefault="009A4C46" w:rsidP="009A4C46">
            <w:pPr>
              <w:spacing w:after="0" w:line="240" w:lineRule="auto"/>
              <w:jc w:val="center"/>
              <w:rPr>
                <w:rFonts w:eastAsia="Calibri"/>
                <w:bCs/>
                <w:lang w:eastAsia="ru-RU" w:bidi="ru-RU"/>
              </w:rPr>
            </w:pPr>
            <w:r w:rsidRPr="009A4C46">
              <w:rPr>
                <w:rFonts w:eastAsia="Calibri"/>
                <w:bCs/>
                <w:lang w:eastAsia="ru-RU" w:bidi="ru-RU"/>
              </w:rPr>
              <w:t>1 351 536</w:t>
            </w:r>
          </w:p>
        </w:tc>
        <w:tc>
          <w:tcPr>
            <w:tcW w:w="557" w:type="pct"/>
            <w:tcBorders>
              <w:top w:val="single" w:sz="4" w:space="0" w:color="FFFFFF" w:themeColor="background1"/>
            </w:tcBorders>
            <w:shd w:val="clear" w:color="auto" w:fill="FFFFFF"/>
            <w:vAlign w:val="center"/>
          </w:tcPr>
          <w:p w14:paraId="5504BD29" w14:textId="77777777" w:rsidR="009A4C46" w:rsidRPr="009A4C46" w:rsidRDefault="009A4C46" w:rsidP="009A4C46">
            <w:pPr>
              <w:spacing w:after="0" w:line="240" w:lineRule="auto"/>
              <w:jc w:val="center"/>
              <w:rPr>
                <w:rFonts w:eastAsia="Calibri"/>
                <w:bCs/>
                <w:lang w:eastAsia="ru-RU" w:bidi="ru-RU"/>
              </w:rPr>
            </w:pPr>
            <w:r w:rsidRPr="009A4C46">
              <w:rPr>
                <w:rFonts w:eastAsia="Calibri"/>
                <w:bCs/>
                <w:lang w:eastAsia="ru-RU" w:bidi="ru-RU"/>
              </w:rPr>
              <w:t>1 302 164</w:t>
            </w:r>
          </w:p>
        </w:tc>
        <w:tc>
          <w:tcPr>
            <w:tcW w:w="557" w:type="pct"/>
            <w:tcBorders>
              <w:top w:val="single" w:sz="4" w:space="0" w:color="FFFFFF" w:themeColor="background1"/>
            </w:tcBorders>
            <w:shd w:val="clear" w:color="auto" w:fill="FFFFFF"/>
            <w:vAlign w:val="center"/>
          </w:tcPr>
          <w:p w14:paraId="31D9AE7A" w14:textId="77777777" w:rsidR="009A4C46" w:rsidRPr="009A4C46" w:rsidRDefault="009A4C46" w:rsidP="009A4C46">
            <w:pPr>
              <w:spacing w:after="0" w:line="240" w:lineRule="auto"/>
              <w:jc w:val="center"/>
              <w:rPr>
                <w:rFonts w:eastAsia="Calibri"/>
                <w:bCs/>
                <w:lang w:eastAsia="ru-RU" w:bidi="ru-RU"/>
              </w:rPr>
            </w:pPr>
            <w:r w:rsidRPr="009A4C46">
              <w:rPr>
                <w:rFonts w:eastAsia="Calibri"/>
                <w:bCs/>
                <w:lang w:eastAsia="ru-RU" w:bidi="ru-RU"/>
              </w:rPr>
              <w:t>1 382 753</w:t>
            </w:r>
          </w:p>
        </w:tc>
        <w:tc>
          <w:tcPr>
            <w:tcW w:w="557" w:type="pct"/>
            <w:tcBorders>
              <w:top w:val="single" w:sz="4" w:space="0" w:color="FFFFFF" w:themeColor="background1"/>
            </w:tcBorders>
            <w:shd w:val="clear" w:color="auto" w:fill="FFFFFF"/>
            <w:vAlign w:val="center"/>
          </w:tcPr>
          <w:p w14:paraId="07075D55" w14:textId="77777777" w:rsidR="009A4C46" w:rsidRPr="009A4C46" w:rsidRDefault="009A4C46" w:rsidP="009A4C46">
            <w:pPr>
              <w:spacing w:after="0" w:line="240" w:lineRule="auto"/>
              <w:jc w:val="center"/>
              <w:rPr>
                <w:rFonts w:eastAsia="Calibri"/>
                <w:bCs/>
                <w:lang w:eastAsia="ru-RU" w:bidi="ru-RU"/>
              </w:rPr>
            </w:pPr>
            <w:r w:rsidRPr="009A4C46">
              <w:rPr>
                <w:rFonts w:eastAsia="Calibri"/>
                <w:bCs/>
                <w:lang w:eastAsia="ru-RU" w:bidi="ru-RU"/>
              </w:rPr>
              <w:t>-</w:t>
            </w:r>
          </w:p>
        </w:tc>
      </w:tr>
      <w:tr w:rsidR="00F94FED" w:rsidRPr="009A4C46" w14:paraId="5DCAC5F7" w14:textId="77777777" w:rsidTr="00F94FED">
        <w:trPr>
          <w:trHeight w:val="624"/>
        </w:trPr>
        <w:tc>
          <w:tcPr>
            <w:tcW w:w="470" w:type="pct"/>
            <w:shd w:val="clear" w:color="auto" w:fill="FFFFFF"/>
            <w:vAlign w:val="center"/>
          </w:tcPr>
          <w:p w14:paraId="13409486" w14:textId="77777777" w:rsidR="009A4C46" w:rsidRPr="009A4C46" w:rsidRDefault="009A4C46" w:rsidP="009A4C46">
            <w:pPr>
              <w:spacing w:after="0" w:line="240" w:lineRule="auto"/>
              <w:jc w:val="center"/>
              <w:rPr>
                <w:rFonts w:eastAsia="Calibri"/>
                <w:bCs/>
                <w:lang w:eastAsia="ru-RU" w:bidi="ru-RU"/>
              </w:rPr>
            </w:pPr>
            <w:r w:rsidRPr="009A4C46">
              <w:rPr>
                <w:rFonts w:eastAsia="Calibri"/>
                <w:bCs/>
                <w:lang w:eastAsia="ru-RU" w:bidi="ru-RU"/>
              </w:rPr>
              <w:t>1.1.</w:t>
            </w:r>
          </w:p>
        </w:tc>
        <w:tc>
          <w:tcPr>
            <w:tcW w:w="1187" w:type="pct"/>
            <w:shd w:val="clear" w:color="auto" w:fill="FFFFFF"/>
            <w:vAlign w:val="center"/>
          </w:tcPr>
          <w:p w14:paraId="2F8E9A65" w14:textId="77777777" w:rsidR="009A4C46" w:rsidRPr="009A4C46" w:rsidRDefault="009A4C46" w:rsidP="009A4C46">
            <w:pPr>
              <w:spacing w:after="0" w:line="240" w:lineRule="auto"/>
              <w:rPr>
                <w:rFonts w:eastAsia="Calibri"/>
                <w:bCs/>
                <w:lang w:eastAsia="ru-RU" w:bidi="ru-RU"/>
              </w:rPr>
            </w:pPr>
            <w:r w:rsidRPr="009A4C46">
              <w:rPr>
                <w:rFonts w:eastAsia="Calibri"/>
                <w:bCs/>
                <w:lang w:eastAsia="ru-RU" w:bidi="ru-RU"/>
              </w:rPr>
              <w:t>Расходы на оплату потерь электрической энергии (НВВ на оплату потерь)</w:t>
            </w:r>
          </w:p>
        </w:tc>
        <w:tc>
          <w:tcPr>
            <w:tcW w:w="558" w:type="pct"/>
            <w:shd w:val="clear" w:color="auto" w:fill="FFFFFF"/>
            <w:vAlign w:val="center"/>
          </w:tcPr>
          <w:p w14:paraId="0CC5D3A2" w14:textId="77777777" w:rsidR="009A4C46" w:rsidRPr="009A4C46" w:rsidRDefault="009A4C46" w:rsidP="009A4C46">
            <w:pPr>
              <w:spacing w:after="0" w:line="240" w:lineRule="auto"/>
              <w:jc w:val="center"/>
              <w:rPr>
                <w:rFonts w:eastAsia="Calibri"/>
                <w:bCs/>
                <w:lang w:eastAsia="ru-RU" w:bidi="ru-RU"/>
              </w:rPr>
            </w:pPr>
            <w:r w:rsidRPr="009A4C46">
              <w:rPr>
                <w:rFonts w:eastAsia="Calibri"/>
                <w:bCs/>
                <w:lang w:eastAsia="ru-RU" w:bidi="ru-RU"/>
              </w:rPr>
              <w:t>тыс. руб.</w:t>
            </w:r>
          </w:p>
        </w:tc>
        <w:tc>
          <w:tcPr>
            <w:tcW w:w="557" w:type="pct"/>
            <w:shd w:val="clear" w:color="auto" w:fill="FFFFFF"/>
            <w:vAlign w:val="center"/>
          </w:tcPr>
          <w:p w14:paraId="1C54B782" w14:textId="77777777" w:rsidR="009A4C46" w:rsidRPr="009A4C46" w:rsidRDefault="009A4C46" w:rsidP="009A4C46">
            <w:pPr>
              <w:spacing w:after="0" w:line="240" w:lineRule="auto"/>
              <w:jc w:val="center"/>
              <w:rPr>
                <w:rFonts w:eastAsia="Calibri"/>
                <w:bCs/>
                <w:lang w:eastAsia="ru-RU" w:bidi="ru-RU"/>
              </w:rPr>
            </w:pPr>
            <w:r w:rsidRPr="009A4C46">
              <w:rPr>
                <w:rFonts w:eastAsia="Calibri"/>
                <w:bCs/>
                <w:lang w:eastAsia="ru-RU" w:bidi="ru-RU"/>
              </w:rPr>
              <w:t>128 193</w:t>
            </w:r>
          </w:p>
        </w:tc>
        <w:tc>
          <w:tcPr>
            <w:tcW w:w="557" w:type="pct"/>
            <w:shd w:val="clear" w:color="auto" w:fill="FFFFFF"/>
            <w:vAlign w:val="center"/>
          </w:tcPr>
          <w:p w14:paraId="7910BEE7" w14:textId="77777777" w:rsidR="009A4C46" w:rsidRPr="009A4C46" w:rsidRDefault="009A4C46" w:rsidP="009A4C46">
            <w:pPr>
              <w:spacing w:after="0" w:line="240" w:lineRule="auto"/>
              <w:jc w:val="center"/>
              <w:rPr>
                <w:rFonts w:eastAsia="Calibri"/>
                <w:bCs/>
                <w:lang w:eastAsia="ru-RU" w:bidi="ru-RU"/>
              </w:rPr>
            </w:pPr>
            <w:r w:rsidRPr="009A4C46">
              <w:rPr>
                <w:rFonts w:eastAsia="Calibri"/>
                <w:bCs/>
                <w:lang w:eastAsia="ru-RU" w:bidi="ru-RU"/>
              </w:rPr>
              <w:t>210 587</w:t>
            </w:r>
          </w:p>
        </w:tc>
        <w:tc>
          <w:tcPr>
            <w:tcW w:w="557" w:type="pct"/>
            <w:shd w:val="clear" w:color="auto" w:fill="FFFFFF"/>
            <w:vAlign w:val="center"/>
          </w:tcPr>
          <w:p w14:paraId="1278AB77" w14:textId="77777777" w:rsidR="009A4C46" w:rsidRPr="009A4C46" w:rsidRDefault="009A4C46" w:rsidP="009A4C46">
            <w:pPr>
              <w:spacing w:after="0" w:line="240" w:lineRule="auto"/>
              <w:jc w:val="center"/>
              <w:rPr>
                <w:rFonts w:eastAsia="Calibri"/>
                <w:bCs/>
                <w:lang w:eastAsia="ru-RU" w:bidi="ru-RU"/>
              </w:rPr>
            </w:pPr>
            <w:r w:rsidRPr="009A4C46">
              <w:rPr>
                <w:rFonts w:eastAsia="Calibri"/>
                <w:bCs/>
                <w:lang w:eastAsia="ru-RU" w:bidi="ru-RU"/>
              </w:rPr>
              <w:t>210 587</w:t>
            </w:r>
          </w:p>
        </w:tc>
        <w:tc>
          <w:tcPr>
            <w:tcW w:w="557" w:type="pct"/>
            <w:shd w:val="clear" w:color="auto" w:fill="FFFFFF"/>
            <w:vAlign w:val="center"/>
          </w:tcPr>
          <w:p w14:paraId="3A56BE56" w14:textId="77777777" w:rsidR="009A4C46" w:rsidRPr="009A4C46" w:rsidRDefault="009A4C46" w:rsidP="009A4C46">
            <w:pPr>
              <w:spacing w:after="0" w:line="240" w:lineRule="auto"/>
              <w:jc w:val="center"/>
              <w:rPr>
                <w:rFonts w:eastAsia="Calibri"/>
                <w:bCs/>
                <w:lang w:eastAsia="ru-RU" w:bidi="ru-RU"/>
              </w:rPr>
            </w:pPr>
            <w:r w:rsidRPr="009A4C46">
              <w:rPr>
                <w:rFonts w:eastAsia="Calibri"/>
                <w:bCs/>
                <w:lang w:eastAsia="ru-RU" w:bidi="ru-RU"/>
              </w:rPr>
              <w:t>210 587</w:t>
            </w:r>
          </w:p>
        </w:tc>
        <w:tc>
          <w:tcPr>
            <w:tcW w:w="557" w:type="pct"/>
            <w:shd w:val="clear" w:color="auto" w:fill="FFFFFF"/>
            <w:vAlign w:val="center"/>
          </w:tcPr>
          <w:p w14:paraId="2CD0B55F" w14:textId="77777777" w:rsidR="009A4C46" w:rsidRPr="009A4C46" w:rsidRDefault="009A4C46" w:rsidP="009A4C46">
            <w:pPr>
              <w:spacing w:after="0" w:line="240" w:lineRule="auto"/>
              <w:jc w:val="center"/>
              <w:rPr>
                <w:rFonts w:eastAsia="Calibri"/>
                <w:bCs/>
                <w:lang w:eastAsia="ru-RU" w:bidi="ru-RU"/>
              </w:rPr>
            </w:pPr>
            <w:r w:rsidRPr="009A4C46">
              <w:rPr>
                <w:rFonts w:eastAsia="Calibri"/>
                <w:bCs/>
                <w:lang w:eastAsia="ru-RU" w:bidi="ru-RU"/>
              </w:rPr>
              <w:t>-</w:t>
            </w:r>
          </w:p>
        </w:tc>
      </w:tr>
      <w:tr w:rsidR="00F94FED" w:rsidRPr="009A4C46" w14:paraId="39339D54" w14:textId="77777777" w:rsidTr="00F94FED">
        <w:trPr>
          <w:trHeight w:val="566"/>
        </w:trPr>
        <w:tc>
          <w:tcPr>
            <w:tcW w:w="470" w:type="pct"/>
            <w:shd w:val="clear" w:color="auto" w:fill="FFFFFF"/>
            <w:vAlign w:val="center"/>
          </w:tcPr>
          <w:p w14:paraId="4719875F" w14:textId="77777777" w:rsidR="009A4C46" w:rsidRPr="009A4C46" w:rsidRDefault="009A4C46" w:rsidP="009A4C46">
            <w:pPr>
              <w:spacing w:after="0" w:line="240" w:lineRule="auto"/>
              <w:jc w:val="center"/>
              <w:rPr>
                <w:rFonts w:eastAsia="Calibri"/>
                <w:bCs/>
                <w:lang w:eastAsia="ru-RU" w:bidi="ru-RU"/>
              </w:rPr>
            </w:pPr>
          </w:p>
        </w:tc>
        <w:tc>
          <w:tcPr>
            <w:tcW w:w="1187" w:type="pct"/>
            <w:shd w:val="clear" w:color="auto" w:fill="FFFFFF"/>
            <w:vAlign w:val="center"/>
          </w:tcPr>
          <w:p w14:paraId="396B1DE8" w14:textId="77777777" w:rsidR="009A4C46" w:rsidRPr="009A4C46" w:rsidRDefault="009A4C46" w:rsidP="009A4C46">
            <w:pPr>
              <w:spacing w:after="0" w:line="240" w:lineRule="auto"/>
              <w:rPr>
                <w:rFonts w:eastAsia="Calibri"/>
                <w:bCs/>
                <w:lang w:eastAsia="ru-RU" w:bidi="ru-RU"/>
              </w:rPr>
            </w:pPr>
            <w:r w:rsidRPr="009A4C46">
              <w:rPr>
                <w:rFonts w:eastAsia="Calibri"/>
                <w:bCs/>
                <w:lang w:eastAsia="ru-RU" w:bidi="ru-RU"/>
              </w:rPr>
              <w:t>Объем потерь</w:t>
            </w:r>
          </w:p>
        </w:tc>
        <w:tc>
          <w:tcPr>
            <w:tcW w:w="558" w:type="pct"/>
            <w:shd w:val="clear" w:color="auto" w:fill="FFFFFF"/>
            <w:vAlign w:val="center"/>
          </w:tcPr>
          <w:p w14:paraId="5D671151" w14:textId="036EE593" w:rsidR="009A4C46" w:rsidRPr="009A4C46" w:rsidRDefault="009A4C46" w:rsidP="009A4C46">
            <w:pPr>
              <w:spacing w:after="0" w:line="240" w:lineRule="auto"/>
              <w:jc w:val="center"/>
              <w:rPr>
                <w:rFonts w:eastAsia="Calibri"/>
                <w:bCs/>
                <w:lang w:eastAsia="ru-RU" w:bidi="ru-RU"/>
              </w:rPr>
            </w:pPr>
            <w:r w:rsidRPr="009A4C46">
              <w:rPr>
                <w:rFonts w:eastAsia="Calibri"/>
                <w:bCs/>
                <w:lang w:eastAsia="ru-RU" w:bidi="ru-RU"/>
              </w:rPr>
              <w:t>млн. кВт</w:t>
            </w:r>
            <w:r w:rsidR="0059122D">
              <w:rPr>
                <w:rFonts w:eastAsia="Calibri"/>
                <w:bCs/>
                <w:lang w:eastAsia="ru-RU" w:bidi="ru-RU"/>
              </w:rPr>
              <w:t>*</w:t>
            </w:r>
            <w:r w:rsidRPr="009A4C46">
              <w:rPr>
                <w:rFonts w:eastAsia="Calibri"/>
                <w:bCs/>
                <w:lang w:eastAsia="ru-RU" w:bidi="ru-RU"/>
              </w:rPr>
              <w:t>ч</w:t>
            </w:r>
          </w:p>
        </w:tc>
        <w:tc>
          <w:tcPr>
            <w:tcW w:w="557" w:type="pct"/>
            <w:shd w:val="clear" w:color="auto" w:fill="FFFFFF"/>
            <w:vAlign w:val="center"/>
          </w:tcPr>
          <w:p w14:paraId="56102791" w14:textId="77777777" w:rsidR="009A4C46" w:rsidRPr="009A4C46" w:rsidRDefault="009A4C46" w:rsidP="009A4C46">
            <w:pPr>
              <w:spacing w:after="0" w:line="240" w:lineRule="auto"/>
              <w:jc w:val="center"/>
              <w:rPr>
                <w:rFonts w:eastAsia="Calibri"/>
                <w:bCs/>
                <w:lang w:eastAsia="ru-RU" w:bidi="ru-RU"/>
              </w:rPr>
            </w:pPr>
            <w:r w:rsidRPr="009A4C46">
              <w:rPr>
                <w:rFonts w:eastAsia="Calibri"/>
                <w:bCs/>
                <w:lang w:eastAsia="ru-RU" w:bidi="ru-RU"/>
              </w:rPr>
              <w:t>163,93</w:t>
            </w:r>
          </w:p>
        </w:tc>
        <w:tc>
          <w:tcPr>
            <w:tcW w:w="557" w:type="pct"/>
            <w:shd w:val="clear" w:color="auto" w:fill="FFFFFF"/>
            <w:vAlign w:val="center"/>
          </w:tcPr>
          <w:p w14:paraId="44CAC908" w14:textId="77777777" w:rsidR="009A4C46" w:rsidRPr="009A4C46" w:rsidRDefault="009A4C46" w:rsidP="009A4C46">
            <w:pPr>
              <w:spacing w:after="0" w:line="240" w:lineRule="auto"/>
              <w:jc w:val="center"/>
              <w:rPr>
                <w:rFonts w:eastAsia="Calibri"/>
                <w:bCs/>
                <w:lang w:eastAsia="ru-RU" w:bidi="ru-RU"/>
              </w:rPr>
            </w:pPr>
            <w:r w:rsidRPr="009A4C46">
              <w:rPr>
                <w:rFonts w:eastAsia="Calibri"/>
                <w:bCs/>
                <w:lang w:eastAsia="ru-RU" w:bidi="ru-RU"/>
              </w:rPr>
              <w:t>256,80</w:t>
            </w:r>
          </w:p>
        </w:tc>
        <w:tc>
          <w:tcPr>
            <w:tcW w:w="557" w:type="pct"/>
            <w:shd w:val="clear" w:color="auto" w:fill="FFFFFF"/>
            <w:vAlign w:val="center"/>
          </w:tcPr>
          <w:p w14:paraId="328F0C34" w14:textId="77777777" w:rsidR="009A4C46" w:rsidRPr="009A4C46" w:rsidRDefault="009A4C46" w:rsidP="009A4C46">
            <w:pPr>
              <w:spacing w:after="0" w:line="240" w:lineRule="auto"/>
              <w:jc w:val="center"/>
              <w:rPr>
                <w:rFonts w:eastAsia="Calibri"/>
                <w:bCs/>
                <w:lang w:eastAsia="ru-RU" w:bidi="ru-RU"/>
              </w:rPr>
            </w:pPr>
            <w:r w:rsidRPr="009A4C46">
              <w:rPr>
                <w:rFonts w:eastAsia="Calibri"/>
                <w:bCs/>
                <w:lang w:eastAsia="ru-RU" w:bidi="ru-RU"/>
              </w:rPr>
              <w:t>256,80</w:t>
            </w:r>
          </w:p>
        </w:tc>
        <w:tc>
          <w:tcPr>
            <w:tcW w:w="557" w:type="pct"/>
            <w:shd w:val="clear" w:color="auto" w:fill="FFFFFF"/>
            <w:vAlign w:val="center"/>
          </w:tcPr>
          <w:p w14:paraId="34D3E7A1" w14:textId="77777777" w:rsidR="009A4C46" w:rsidRPr="009A4C46" w:rsidRDefault="009A4C46" w:rsidP="009A4C46">
            <w:pPr>
              <w:spacing w:after="0" w:line="240" w:lineRule="auto"/>
              <w:jc w:val="center"/>
              <w:rPr>
                <w:rFonts w:eastAsia="Calibri"/>
                <w:bCs/>
                <w:lang w:eastAsia="ru-RU" w:bidi="ru-RU"/>
              </w:rPr>
            </w:pPr>
            <w:r w:rsidRPr="009A4C46">
              <w:rPr>
                <w:rFonts w:eastAsia="Calibri"/>
                <w:bCs/>
                <w:lang w:eastAsia="ru-RU" w:bidi="ru-RU"/>
              </w:rPr>
              <w:t>256,80</w:t>
            </w:r>
          </w:p>
        </w:tc>
        <w:tc>
          <w:tcPr>
            <w:tcW w:w="557" w:type="pct"/>
            <w:shd w:val="clear" w:color="auto" w:fill="FFFFFF"/>
            <w:vAlign w:val="center"/>
          </w:tcPr>
          <w:p w14:paraId="4069E2EE" w14:textId="77777777" w:rsidR="009A4C46" w:rsidRPr="009A4C46" w:rsidRDefault="009A4C46" w:rsidP="009A4C46">
            <w:pPr>
              <w:spacing w:after="0" w:line="240" w:lineRule="auto"/>
              <w:jc w:val="center"/>
              <w:rPr>
                <w:rFonts w:eastAsia="Calibri"/>
                <w:bCs/>
                <w:lang w:eastAsia="ru-RU" w:bidi="ru-RU"/>
              </w:rPr>
            </w:pPr>
            <w:r w:rsidRPr="009A4C46">
              <w:rPr>
                <w:rFonts w:eastAsia="Calibri"/>
                <w:bCs/>
                <w:lang w:eastAsia="ru-RU" w:bidi="ru-RU"/>
              </w:rPr>
              <w:t>256,8</w:t>
            </w:r>
          </w:p>
        </w:tc>
      </w:tr>
      <w:tr w:rsidR="00F94FED" w:rsidRPr="009A4C46" w14:paraId="1C35F618" w14:textId="77777777" w:rsidTr="00F94FED">
        <w:trPr>
          <w:trHeight w:val="552"/>
        </w:trPr>
        <w:tc>
          <w:tcPr>
            <w:tcW w:w="470" w:type="pct"/>
            <w:shd w:val="clear" w:color="auto" w:fill="FFFFFF"/>
            <w:vAlign w:val="center"/>
          </w:tcPr>
          <w:p w14:paraId="0C276354" w14:textId="77777777" w:rsidR="009A4C46" w:rsidRPr="009A4C46" w:rsidRDefault="009A4C46" w:rsidP="009A4C46">
            <w:pPr>
              <w:spacing w:after="0" w:line="240" w:lineRule="auto"/>
              <w:jc w:val="center"/>
              <w:rPr>
                <w:rFonts w:eastAsia="Calibri"/>
                <w:bCs/>
                <w:lang w:eastAsia="ru-RU" w:bidi="ru-RU"/>
              </w:rPr>
            </w:pPr>
          </w:p>
        </w:tc>
        <w:tc>
          <w:tcPr>
            <w:tcW w:w="1187" w:type="pct"/>
            <w:shd w:val="clear" w:color="auto" w:fill="FFFFFF"/>
            <w:vAlign w:val="center"/>
          </w:tcPr>
          <w:p w14:paraId="5E1A4FC0" w14:textId="77777777" w:rsidR="009A4C46" w:rsidRPr="009A4C46" w:rsidRDefault="009A4C46" w:rsidP="009A4C46">
            <w:pPr>
              <w:spacing w:after="0" w:line="240" w:lineRule="auto"/>
              <w:rPr>
                <w:rFonts w:eastAsia="Calibri"/>
                <w:bCs/>
                <w:lang w:eastAsia="ru-RU" w:bidi="ru-RU"/>
              </w:rPr>
            </w:pPr>
            <w:r w:rsidRPr="009A4C46">
              <w:rPr>
                <w:rFonts w:eastAsia="Calibri"/>
                <w:bCs/>
                <w:lang w:eastAsia="ru-RU" w:bidi="ru-RU"/>
              </w:rPr>
              <w:t>Тариф покупки потерь</w:t>
            </w:r>
          </w:p>
        </w:tc>
        <w:tc>
          <w:tcPr>
            <w:tcW w:w="558" w:type="pct"/>
            <w:shd w:val="clear" w:color="auto" w:fill="FFFFFF"/>
            <w:vAlign w:val="center"/>
          </w:tcPr>
          <w:p w14:paraId="32726878" w14:textId="5069E74F" w:rsidR="009A4C46" w:rsidRPr="009A4C46" w:rsidRDefault="009A4C46" w:rsidP="009A4C46">
            <w:pPr>
              <w:spacing w:after="0" w:line="240" w:lineRule="auto"/>
              <w:jc w:val="center"/>
              <w:rPr>
                <w:rFonts w:eastAsia="Calibri"/>
                <w:bCs/>
                <w:lang w:eastAsia="ru-RU" w:bidi="ru-RU"/>
              </w:rPr>
            </w:pPr>
            <w:r w:rsidRPr="009A4C46">
              <w:rPr>
                <w:rFonts w:eastAsia="Calibri"/>
                <w:bCs/>
                <w:lang w:eastAsia="ru-RU" w:bidi="ru-RU"/>
              </w:rPr>
              <w:t>руб./МВт</w:t>
            </w:r>
            <w:r w:rsidR="0059122D">
              <w:rPr>
                <w:rFonts w:eastAsia="Calibri"/>
                <w:bCs/>
                <w:lang w:eastAsia="ru-RU" w:bidi="ru-RU"/>
              </w:rPr>
              <w:t>*</w:t>
            </w:r>
            <w:r w:rsidRPr="009A4C46">
              <w:rPr>
                <w:rFonts w:eastAsia="Calibri"/>
                <w:bCs/>
                <w:lang w:eastAsia="ru-RU" w:bidi="ru-RU"/>
              </w:rPr>
              <w:t>ч</w:t>
            </w:r>
          </w:p>
        </w:tc>
        <w:tc>
          <w:tcPr>
            <w:tcW w:w="557" w:type="pct"/>
            <w:shd w:val="clear" w:color="auto" w:fill="FFFFFF"/>
            <w:vAlign w:val="center"/>
          </w:tcPr>
          <w:p w14:paraId="6A1E96C3" w14:textId="77777777" w:rsidR="009A4C46" w:rsidRPr="009A4C46" w:rsidRDefault="009A4C46" w:rsidP="009A4C46">
            <w:pPr>
              <w:spacing w:after="0" w:line="240" w:lineRule="auto"/>
              <w:jc w:val="center"/>
              <w:rPr>
                <w:rFonts w:eastAsia="Calibri"/>
                <w:bCs/>
                <w:lang w:eastAsia="ru-RU" w:bidi="ru-RU"/>
              </w:rPr>
            </w:pPr>
            <w:r w:rsidRPr="009A4C46">
              <w:rPr>
                <w:rFonts w:eastAsia="Calibri"/>
                <w:bCs/>
                <w:lang w:eastAsia="ru-RU" w:bidi="ru-RU"/>
              </w:rPr>
              <w:t>782,0</w:t>
            </w:r>
          </w:p>
        </w:tc>
        <w:tc>
          <w:tcPr>
            <w:tcW w:w="557" w:type="pct"/>
            <w:shd w:val="clear" w:color="auto" w:fill="FFFFFF"/>
            <w:vAlign w:val="center"/>
          </w:tcPr>
          <w:p w14:paraId="328AA882" w14:textId="77777777" w:rsidR="009A4C46" w:rsidRPr="009A4C46" w:rsidRDefault="009A4C46" w:rsidP="009A4C46">
            <w:pPr>
              <w:spacing w:after="0" w:line="240" w:lineRule="auto"/>
              <w:jc w:val="center"/>
              <w:rPr>
                <w:rFonts w:eastAsia="Calibri"/>
                <w:bCs/>
                <w:lang w:eastAsia="ru-RU" w:bidi="ru-RU"/>
              </w:rPr>
            </w:pPr>
            <w:r w:rsidRPr="009A4C46">
              <w:rPr>
                <w:rFonts w:eastAsia="Calibri"/>
                <w:bCs/>
                <w:lang w:eastAsia="ru-RU" w:bidi="ru-RU"/>
              </w:rPr>
              <w:t>820,05</w:t>
            </w:r>
          </w:p>
        </w:tc>
        <w:tc>
          <w:tcPr>
            <w:tcW w:w="557" w:type="pct"/>
            <w:shd w:val="clear" w:color="auto" w:fill="FFFFFF"/>
            <w:vAlign w:val="center"/>
          </w:tcPr>
          <w:p w14:paraId="0C6F4BC3" w14:textId="77777777" w:rsidR="009A4C46" w:rsidRPr="009A4C46" w:rsidRDefault="009A4C46" w:rsidP="009A4C46">
            <w:pPr>
              <w:spacing w:after="0" w:line="240" w:lineRule="auto"/>
              <w:jc w:val="center"/>
              <w:rPr>
                <w:rFonts w:eastAsia="Calibri"/>
                <w:bCs/>
                <w:lang w:eastAsia="ru-RU" w:bidi="ru-RU"/>
              </w:rPr>
            </w:pPr>
            <w:r w:rsidRPr="009A4C46">
              <w:rPr>
                <w:rFonts w:eastAsia="Calibri"/>
                <w:bCs/>
                <w:lang w:eastAsia="ru-RU" w:bidi="ru-RU"/>
              </w:rPr>
              <w:t>820,05</w:t>
            </w:r>
          </w:p>
        </w:tc>
        <w:tc>
          <w:tcPr>
            <w:tcW w:w="557" w:type="pct"/>
            <w:shd w:val="clear" w:color="auto" w:fill="FFFFFF"/>
            <w:vAlign w:val="center"/>
          </w:tcPr>
          <w:p w14:paraId="24BA24B9" w14:textId="77777777" w:rsidR="009A4C46" w:rsidRPr="009A4C46" w:rsidRDefault="009A4C46" w:rsidP="009A4C46">
            <w:pPr>
              <w:spacing w:after="0" w:line="240" w:lineRule="auto"/>
              <w:jc w:val="center"/>
              <w:rPr>
                <w:rFonts w:eastAsia="Calibri"/>
                <w:bCs/>
                <w:lang w:eastAsia="ru-RU" w:bidi="ru-RU"/>
              </w:rPr>
            </w:pPr>
            <w:r w:rsidRPr="009A4C46">
              <w:rPr>
                <w:rFonts w:eastAsia="Calibri"/>
                <w:bCs/>
                <w:lang w:eastAsia="ru-RU" w:bidi="ru-RU"/>
              </w:rPr>
              <w:t>820,05</w:t>
            </w:r>
          </w:p>
        </w:tc>
        <w:tc>
          <w:tcPr>
            <w:tcW w:w="557" w:type="pct"/>
            <w:shd w:val="clear" w:color="auto" w:fill="FFFFFF"/>
            <w:vAlign w:val="center"/>
          </w:tcPr>
          <w:p w14:paraId="141F9F7B" w14:textId="77777777" w:rsidR="009A4C46" w:rsidRPr="009A4C46" w:rsidRDefault="009A4C46" w:rsidP="009A4C46">
            <w:pPr>
              <w:spacing w:after="0" w:line="240" w:lineRule="auto"/>
              <w:jc w:val="center"/>
              <w:rPr>
                <w:rFonts w:eastAsia="Calibri"/>
                <w:bCs/>
                <w:lang w:eastAsia="ru-RU" w:bidi="ru-RU"/>
              </w:rPr>
            </w:pPr>
            <w:r w:rsidRPr="009A4C46">
              <w:rPr>
                <w:rFonts w:eastAsia="Calibri"/>
                <w:bCs/>
                <w:lang w:eastAsia="ru-RU" w:bidi="ru-RU"/>
              </w:rPr>
              <w:t>-</w:t>
            </w:r>
          </w:p>
        </w:tc>
      </w:tr>
      <w:tr w:rsidR="00F94FED" w:rsidRPr="009A4C46" w14:paraId="750D1523" w14:textId="77777777" w:rsidTr="00F94FED">
        <w:trPr>
          <w:trHeight w:val="552"/>
        </w:trPr>
        <w:tc>
          <w:tcPr>
            <w:tcW w:w="470" w:type="pct"/>
            <w:shd w:val="clear" w:color="auto" w:fill="FFFFFF"/>
            <w:vAlign w:val="center"/>
          </w:tcPr>
          <w:p w14:paraId="5D2ECA56" w14:textId="77777777" w:rsidR="009A4C46" w:rsidRPr="009A4C46" w:rsidRDefault="009A4C46" w:rsidP="009A4C46">
            <w:pPr>
              <w:spacing w:after="0" w:line="240" w:lineRule="auto"/>
              <w:jc w:val="center"/>
              <w:rPr>
                <w:rFonts w:eastAsia="Calibri"/>
                <w:bCs/>
                <w:lang w:eastAsia="ru-RU" w:bidi="ru-RU"/>
              </w:rPr>
            </w:pPr>
          </w:p>
        </w:tc>
        <w:tc>
          <w:tcPr>
            <w:tcW w:w="1187" w:type="pct"/>
            <w:shd w:val="clear" w:color="auto" w:fill="FFFFFF"/>
            <w:vAlign w:val="center"/>
          </w:tcPr>
          <w:p w14:paraId="67153A5A" w14:textId="77777777" w:rsidR="009A4C46" w:rsidRPr="009A4C46" w:rsidRDefault="009A4C46" w:rsidP="009A4C46">
            <w:pPr>
              <w:spacing w:after="0" w:line="240" w:lineRule="auto"/>
              <w:rPr>
                <w:rFonts w:eastAsia="Calibri"/>
                <w:bCs/>
                <w:lang w:eastAsia="ru-RU" w:bidi="ru-RU"/>
              </w:rPr>
            </w:pPr>
            <w:r w:rsidRPr="009A4C46">
              <w:rPr>
                <w:rFonts w:eastAsia="Calibri"/>
                <w:bCs/>
                <w:lang w:eastAsia="ru-RU" w:bidi="ru-RU"/>
              </w:rPr>
              <w:t>Полезный отпуск потребителям</w:t>
            </w:r>
          </w:p>
        </w:tc>
        <w:tc>
          <w:tcPr>
            <w:tcW w:w="558" w:type="pct"/>
            <w:shd w:val="clear" w:color="auto" w:fill="FFFFFF"/>
            <w:vAlign w:val="center"/>
          </w:tcPr>
          <w:p w14:paraId="346C8B3A" w14:textId="09DB904D" w:rsidR="009A4C46" w:rsidRPr="009A4C46" w:rsidRDefault="009A4C46" w:rsidP="009A4C46">
            <w:pPr>
              <w:spacing w:after="0" w:line="240" w:lineRule="auto"/>
              <w:jc w:val="center"/>
              <w:rPr>
                <w:rFonts w:eastAsia="Calibri"/>
                <w:bCs/>
                <w:lang w:eastAsia="ru-RU" w:bidi="ru-RU"/>
              </w:rPr>
            </w:pPr>
            <w:r w:rsidRPr="009A4C46">
              <w:rPr>
                <w:rFonts w:eastAsia="Calibri"/>
                <w:bCs/>
                <w:lang w:eastAsia="ru-RU" w:bidi="ru-RU"/>
              </w:rPr>
              <w:t>млн. кВт</w:t>
            </w:r>
            <w:r w:rsidR="0059122D">
              <w:rPr>
                <w:rFonts w:eastAsia="Calibri"/>
                <w:bCs/>
                <w:lang w:eastAsia="ru-RU" w:bidi="ru-RU"/>
              </w:rPr>
              <w:t>*</w:t>
            </w:r>
            <w:r w:rsidRPr="009A4C46">
              <w:rPr>
                <w:rFonts w:eastAsia="Calibri"/>
                <w:bCs/>
                <w:lang w:eastAsia="ru-RU" w:bidi="ru-RU"/>
              </w:rPr>
              <w:t>ч</w:t>
            </w:r>
          </w:p>
        </w:tc>
        <w:tc>
          <w:tcPr>
            <w:tcW w:w="557" w:type="pct"/>
            <w:shd w:val="clear" w:color="auto" w:fill="FFFFFF"/>
            <w:vAlign w:val="center"/>
          </w:tcPr>
          <w:p w14:paraId="43260590" w14:textId="77777777" w:rsidR="009A4C46" w:rsidRPr="009A4C46" w:rsidRDefault="009A4C46" w:rsidP="009A4C46">
            <w:pPr>
              <w:spacing w:after="0" w:line="240" w:lineRule="auto"/>
              <w:jc w:val="center"/>
              <w:rPr>
                <w:rFonts w:eastAsia="Calibri"/>
                <w:bCs/>
                <w:lang w:eastAsia="ru-RU" w:bidi="ru-RU"/>
              </w:rPr>
            </w:pPr>
            <w:r w:rsidRPr="009A4C46">
              <w:rPr>
                <w:rFonts w:eastAsia="Calibri"/>
                <w:bCs/>
                <w:lang w:eastAsia="ru-RU" w:bidi="ru-RU"/>
              </w:rPr>
              <w:t>454,053</w:t>
            </w:r>
          </w:p>
        </w:tc>
        <w:tc>
          <w:tcPr>
            <w:tcW w:w="557" w:type="pct"/>
            <w:shd w:val="clear" w:color="auto" w:fill="FFFFFF"/>
            <w:vAlign w:val="center"/>
          </w:tcPr>
          <w:p w14:paraId="24B048D2" w14:textId="77777777" w:rsidR="009A4C46" w:rsidRPr="009A4C46" w:rsidRDefault="009A4C46" w:rsidP="009A4C46">
            <w:pPr>
              <w:spacing w:after="0" w:line="240" w:lineRule="auto"/>
              <w:jc w:val="center"/>
              <w:rPr>
                <w:rFonts w:eastAsia="Calibri"/>
                <w:bCs/>
                <w:lang w:eastAsia="ru-RU" w:bidi="ru-RU"/>
              </w:rPr>
            </w:pPr>
            <w:r w:rsidRPr="009A4C46">
              <w:rPr>
                <w:rFonts w:eastAsia="Calibri"/>
                <w:bCs/>
                <w:lang w:eastAsia="ru-RU" w:bidi="ru-RU"/>
              </w:rPr>
              <w:t>454,053</w:t>
            </w:r>
          </w:p>
        </w:tc>
        <w:tc>
          <w:tcPr>
            <w:tcW w:w="557" w:type="pct"/>
            <w:shd w:val="clear" w:color="auto" w:fill="FFFFFF"/>
            <w:vAlign w:val="center"/>
          </w:tcPr>
          <w:p w14:paraId="19E65C29" w14:textId="77777777" w:rsidR="009A4C46" w:rsidRPr="009A4C46" w:rsidRDefault="009A4C46" w:rsidP="009A4C46">
            <w:pPr>
              <w:spacing w:after="0" w:line="240" w:lineRule="auto"/>
              <w:jc w:val="center"/>
              <w:rPr>
                <w:rFonts w:eastAsia="Calibri"/>
                <w:bCs/>
                <w:lang w:eastAsia="ru-RU" w:bidi="ru-RU"/>
              </w:rPr>
            </w:pPr>
            <w:r w:rsidRPr="009A4C46">
              <w:rPr>
                <w:rFonts w:eastAsia="Calibri"/>
                <w:bCs/>
                <w:lang w:eastAsia="ru-RU" w:bidi="ru-RU"/>
              </w:rPr>
              <w:t>454,053</w:t>
            </w:r>
          </w:p>
        </w:tc>
        <w:tc>
          <w:tcPr>
            <w:tcW w:w="557" w:type="pct"/>
            <w:shd w:val="clear" w:color="auto" w:fill="FFFFFF"/>
            <w:vAlign w:val="center"/>
          </w:tcPr>
          <w:p w14:paraId="356A4964" w14:textId="77777777" w:rsidR="009A4C46" w:rsidRPr="009A4C46" w:rsidRDefault="009A4C46" w:rsidP="009A4C46">
            <w:pPr>
              <w:spacing w:after="0" w:line="240" w:lineRule="auto"/>
              <w:jc w:val="center"/>
              <w:rPr>
                <w:rFonts w:eastAsia="Calibri"/>
                <w:bCs/>
                <w:lang w:eastAsia="ru-RU" w:bidi="ru-RU"/>
              </w:rPr>
            </w:pPr>
            <w:r w:rsidRPr="009A4C46">
              <w:rPr>
                <w:rFonts w:eastAsia="Calibri"/>
                <w:bCs/>
                <w:lang w:eastAsia="ru-RU" w:bidi="ru-RU"/>
              </w:rPr>
              <w:t>454,053</w:t>
            </w:r>
          </w:p>
        </w:tc>
        <w:tc>
          <w:tcPr>
            <w:tcW w:w="557" w:type="pct"/>
            <w:shd w:val="clear" w:color="auto" w:fill="FFFFFF"/>
            <w:vAlign w:val="center"/>
          </w:tcPr>
          <w:p w14:paraId="498E5985" w14:textId="77777777" w:rsidR="009A4C46" w:rsidRPr="009A4C46" w:rsidRDefault="009A4C46" w:rsidP="009A4C46">
            <w:pPr>
              <w:spacing w:after="0" w:line="240" w:lineRule="auto"/>
              <w:jc w:val="center"/>
              <w:rPr>
                <w:rFonts w:eastAsia="Calibri"/>
                <w:bCs/>
                <w:lang w:eastAsia="ru-RU" w:bidi="ru-RU"/>
              </w:rPr>
            </w:pPr>
            <w:r w:rsidRPr="009A4C46">
              <w:rPr>
                <w:rFonts w:eastAsia="Calibri"/>
                <w:bCs/>
                <w:lang w:eastAsia="ru-RU" w:bidi="ru-RU"/>
              </w:rPr>
              <w:t>454,053</w:t>
            </w:r>
          </w:p>
        </w:tc>
      </w:tr>
      <w:tr w:rsidR="00F94FED" w:rsidRPr="009A4C46" w14:paraId="73BE8742" w14:textId="77777777" w:rsidTr="00F94FED">
        <w:trPr>
          <w:trHeight w:val="552"/>
        </w:trPr>
        <w:tc>
          <w:tcPr>
            <w:tcW w:w="470" w:type="pct"/>
            <w:shd w:val="clear" w:color="auto" w:fill="FFFFFF"/>
            <w:vAlign w:val="center"/>
          </w:tcPr>
          <w:p w14:paraId="11F0C70B" w14:textId="77777777" w:rsidR="009A4C46" w:rsidRPr="009A4C46" w:rsidRDefault="009A4C46" w:rsidP="009A4C46">
            <w:pPr>
              <w:spacing w:after="0" w:line="240" w:lineRule="auto"/>
              <w:jc w:val="center"/>
              <w:rPr>
                <w:rFonts w:eastAsia="Calibri"/>
                <w:bCs/>
                <w:lang w:eastAsia="ru-RU" w:bidi="ru-RU"/>
              </w:rPr>
            </w:pPr>
          </w:p>
        </w:tc>
        <w:tc>
          <w:tcPr>
            <w:tcW w:w="1187" w:type="pct"/>
            <w:shd w:val="clear" w:color="auto" w:fill="FFFFFF"/>
            <w:vAlign w:val="center"/>
          </w:tcPr>
          <w:p w14:paraId="5D10B70D" w14:textId="77777777" w:rsidR="009A4C46" w:rsidRPr="009A4C46" w:rsidRDefault="009A4C46" w:rsidP="009A4C46">
            <w:pPr>
              <w:spacing w:after="0" w:line="240" w:lineRule="auto"/>
              <w:rPr>
                <w:rFonts w:eastAsia="Calibri"/>
                <w:bCs/>
                <w:lang w:eastAsia="ru-RU" w:bidi="ru-RU"/>
              </w:rPr>
            </w:pPr>
            <w:r w:rsidRPr="009A4C46">
              <w:rPr>
                <w:rFonts w:eastAsia="Calibri"/>
                <w:bCs/>
                <w:lang w:eastAsia="ru-RU" w:bidi="ru-RU"/>
              </w:rPr>
              <w:t>Необходимая валовая выручка с учетом нагрузочных потерь</w:t>
            </w:r>
          </w:p>
        </w:tc>
        <w:tc>
          <w:tcPr>
            <w:tcW w:w="558" w:type="pct"/>
            <w:shd w:val="clear" w:color="auto" w:fill="FFFFFF"/>
            <w:vAlign w:val="center"/>
          </w:tcPr>
          <w:p w14:paraId="654B678E" w14:textId="77777777" w:rsidR="009A4C46" w:rsidRPr="009A4C46" w:rsidRDefault="009A4C46" w:rsidP="009A4C46">
            <w:pPr>
              <w:spacing w:after="0" w:line="240" w:lineRule="auto"/>
              <w:jc w:val="center"/>
              <w:rPr>
                <w:rFonts w:eastAsia="Calibri"/>
                <w:bCs/>
                <w:lang w:eastAsia="ru-RU" w:bidi="ru-RU"/>
              </w:rPr>
            </w:pPr>
            <w:r w:rsidRPr="009A4C46">
              <w:rPr>
                <w:rFonts w:eastAsia="Calibri"/>
                <w:bCs/>
                <w:lang w:eastAsia="ru-RU" w:bidi="ru-RU"/>
              </w:rPr>
              <w:t>тыс. руб.</w:t>
            </w:r>
          </w:p>
        </w:tc>
        <w:tc>
          <w:tcPr>
            <w:tcW w:w="557" w:type="pct"/>
            <w:shd w:val="clear" w:color="auto" w:fill="FFFFFF"/>
            <w:vAlign w:val="center"/>
          </w:tcPr>
          <w:p w14:paraId="18D099C4" w14:textId="77777777" w:rsidR="009A4C46" w:rsidRPr="009A4C46" w:rsidRDefault="009A4C46" w:rsidP="009A4C46">
            <w:pPr>
              <w:spacing w:after="0" w:line="240" w:lineRule="auto"/>
              <w:jc w:val="center"/>
              <w:rPr>
                <w:rFonts w:eastAsia="Calibri"/>
                <w:bCs/>
                <w:lang w:eastAsia="ru-RU" w:bidi="ru-RU"/>
              </w:rPr>
            </w:pPr>
            <w:r w:rsidRPr="009A4C46">
              <w:rPr>
                <w:rFonts w:eastAsia="Calibri"/>
                <w:bCs/>
                <w:lang w:eastAsia="ru-RU" w:bidi="ru-RU"/>
              </w:rPr>
              <w:t>1 167 221</w:t>
            </w:r>
          </w:p>
        </w:tc>
        <w:tc>
          <w:tcPr>
            <w:tcW w:w="557" w:type="pct"/>
            <w:shd w:val="clear" w:color="auto" w:fill="FFFFFF"/>
            <w:vAlign w:val="center"/>
          </w:tcPr>
          <w:p w14:paraId="15A7AC41" w14:textId="77777777" w:rsidR="009A4C46" w:rsidRPr="009A4C46" w:rsidRDefault="009A4C46" w:rsidP="009A4C46">
            <w:pPr>
              <w:spacing w:after="0" w:line="240" w:lineRule="auto"/>
              <w:jc w:val="center"/>
              <w:rPr>
                <w:rFonts w:eastAsia="Calibri"/>
                <w:bCs/>
                <w:lang w:eastAsia="ru-RU" w:bidi="ru-RU"/>
              </w:rPr>
            </w:pPr>
            <w:r w:rsidRPr="009A4C46">
              <w:rPr>
                <w:rFonts w:eastAsia="Calibri"/>
                <w:bCs/>
                <w:lang w:eastAsia="ru-RU" w:bidi="ru-RU"/>
              </w:rPr>
              <w:t>1 184 759</w:t>
            </w:r>
          </w:p>
        </w:tc>
        <w:tc>
          <w:tcPr>
            <w:tcW w:w="557" w:type="pct"/>
            <w:shd w:val="clear" w:color="auto" w:fill="FFFFFF"/>
            <w:vAlign w:val="center"/>
          </w:tcPr>
          <w:p w14:paraId="5C87E7FE" w14:textId="77777777" w:rsidR="009A4C46" w:rsidRPr="009A4C46" w:rsidRDefault="009A4C46" w:rsidP="009A4C46">
            <w:pPr>
              <w:spacing w:after="0" w:line="240" w:lineRule="auto"/>
              <w:jc w:val="center"/>
              <w:rPr>
                <w:rFonts w:eastAsia="Calibri"/>
                <w:bCs/>
                <w:lang w:eastAsia="ru-RU" w:bidi="ru-RU"/>
              </w:rPr>
            </w:pPr>
            <w:r w:rsidRPr="009A4C46">
              <w:rPr>
                <w:rFonts w:eastAsia="Calibri"/>
                <w:bCs/>
                <w:lang w:eastAsia="ru-RU" w:bidi="ru-RU"/>
              </w:rPr>
              <w:t>1 113 482</w:t>
            </w:r>
          </w:p>
        </w:tc>
        <w:tc>
          <w:tcPr>
            <w:tcW w:w="557" w:type="pct"/>
            <w:shd w:val="clear" w:color="auto" w:fill="FFFFFF"/>
            <w:vAlign w:val="center"/>
          </w:tcPr>
          <w:p w14:paraId="64DBE5D2" w14:textId="77777777" w:rsidR="009A4C46" w:rsidRPr="009A4C46" w:rsidRDefault="009A4C46" w:rsidP="009A4C46">
            <w:pPr>
              <w:spacing w:after="0" w:line="240" w:lineRule="auto"/>
              <w:jc w:val="center"/>
              <w:rPr>
                <w:rFonts w:eastAsia="Calibri"/>
                <w:bCs/>
                <w:lang w:eastAsia="ru-RU" w:bidi="ru-RU"/>
              </w:rPr>
            </w:pPr>
            <w:r w:rsidRPr="009A4C46">
              <w:rPr>
                <w:rFonts w:eastAsia="Calibri"/>
                <w:bCs/>
                <w:lang w:eastAsia="ru-RU" w:bidi="ru-RU"/>
              </w:rPr>
              <w:t>1 194 071</w:t>
            </w:r>
          </w:p>
        </w:tc>
        <w:tc>
          <w:tcPr>
            <w:tcW w:w="557" w:type="pct"/>
            <w:shd w:val="clear" w:color="auto" w:fill="FFFFFF"/>
            <w:vAlign w:val="center"/>
          </w:tcPr>
          <w:p w14:paraId="630C8E5E" w14:textId="77777777" w:rsidR="009A4C46" w:rsidRPr="009A4C46" w:rsidRDefault="009A4C46" w:rsidP="009A4C46">
            <w:pPr>
              <w:spacing w:after="0" w:line="240" w:lineRule="auto"/>
              <w:jc w:val="center"/>
              <w:rPr>
                <w:rFonts w:eastAsia="Calibri"/>
                <w:bCs/>
                <w:lang w:eastAsia="ru-RU" w:bidi="ru-RU"/>
              </w:rPr>
            </w:pPr>
            <w:r w:rsidRPr="009A4C46">
              <w:rPr>
                <w:rFonts w:eastAsia="Calibri"/>
                <w:bCs/>
                <w:lang w:eastAsia="ru-RU" w:bidi="ru-RU"/>
              </w:rPr>
              <w:t>-</w:t>
            </w:r>
          </w:p>
        </w:tc>
      </w:tr>
      <w:tr w:rsidR="00F94FED" w:rsidRPr="009A4C46" w14:paraId="77DE7CE3" w14:textId="77777777" w:rsidTr="00F94FED">
        <w:trPr>
          <w:trHeight w:val="552"/>
        </w:trPr>
        <w:tc>
          <w:tcPr>
            <w:tcW w:w="470" w:type="pct"/>
            <w:shd w:val="clear" w:color="auto" w:fill="FFFFFF"/>
            <w:vAlign w:val="center"/>
          </w:tcPr>
          <w:p w14:paraId="6F57EA62" w14:textId="77777777" w:rsidR="009A4C46" w:rsidRPr="009A4C46" w:rsidRDefault="009A4C46" w:rsidP="009A4C46">
            <w:pPr>
              <w:spacing w:after="0" w:line="240" w:lineRule="auto"/>
              <w:jc w:val="center"/>
              <w:rPr>
                <w:rFonts w:eastAsia="Calibri"/>
                <w:bCs/>
                <w:lang w:eastAsia="ru-RU" w:bidi="ru-RU"/>
              </w:rPr>
            </w:pPr>
          </w:p>
        </w:tc>
        <w:tc>
          <w:tcPr>
            <w:tcW w:w="1187" w:type="pct"/>
            <w:shd w:val="clear" w:color="auto" w:fill="FFFFFF"/>
            <w:vAlign w:val="center"/>
          </w:tcPr>
          <w:p w14:paraId="1AC791BD" w14:textId="77777777" w:rsidR="009A4C46" w:rsidRPr="009A4C46" w:rsidRDefault="009A4C46" w:rsidP="009A4C46">
            <w:pPr>
              <w:spacing w:after="0" w:line="240" w:lineRule="auto"/>
              <w:rPr>
                <w:rFonts w:eastAsia="Calibri"/>
                <w:bCs/>
                <w:lang w:eastAsia="ru-RU" w:bidi="ru-RU"/>
              </w:rPr>
            </w:pPr>
            <w:r w:rsidRPr="009A4C46">
              <w:rPr>
                <w:rFonts w:eastAsia="Calibri"/>
                <w:bCs/>
                <w:lang w:eastAsia="ru-RU" w:bidi="ru-RU"/>
              </w:rPr>
              <w:t>Стоимость нагрузочных потерь</w:t>
            </w:r>
          </w:p>
        </w:tc>
        <w:tc>
          <w:tcPr>
            <w:tcW w:w="558" w:type="pct"/>
            <w:shd w:val="clear" w:color="auto" w:fill="FFFFFF"/>
            <w:vAlign w:val="center"/>
          </w:tcPr>
          <w:p w14:paraId="752EB4EE" w14:textId="77777777" w:rsidR="009A4C46" w:rsidRPr="009A4C46" w:rsidRDefault="009A4C46" w:rsidP="009A4C46">
            <w:pPr>
              <w:spacing w:after="0" w:line="240" w:lineRule="auto"/>
              <w:jc w:val="center"/>
              <w:rPr>
                <w:rFonts w:eastAsia="Calibri"/>
                <w:bCs/>
                <w:lang w:eastAsia="ru-RU" w:bidi="ru-RU"/>
              </w:rPr>
            </w:pPr>
            <w:r w:rsidRPr="009A4C46">
              <w:rPr>
                <w:rFonts w:eastAsia="Calibri"/>
                <w:bCs/>
                <w:lang w:eastAsia="ru-RU" w:bidi="ru-RU"/>
              </w:rPr>
              <w:t>тыс. руб.</w:t>
            </w:r>
          </w:p>
        </w:tc>
        <w:tc>
          <w:tcPr>
            <w:tcW w:w="557" w:type="pct"/>
            <w:shd w:val="clear" w:color="auto" w:fill="FFFFFF"/>
            <w:vAlign w:val="center"/>
          </w:tcPr>
          <w:p w14:paraId="1BE01449" w14:textId="77777777" w:rsidR="009A4C46" w:rsidRPr="009A4C46" w:rsidRDefault="009A4C46" w:rsidP="009A4C46">
            <w:pPr>
              <w:spacing w:after="0" w:line="240" w:lineRule="auto"/>
              <w:jc w:val="center"/>
              <w:rPr>
                <w:rFonts w:eastAsia="Calibri"/>
                <w:bCs/>
                <w:lang w:eastAsia="ru-RU" w:bidi="ru-RU"/>
              </w:rPr>
            </w:pPr>
            <w:r w:rsidRPr="009A4C46">
              <w:rPr>
                <w:rFonts w:eastAsia="Calibri"/>
                <w:bCs/>
                <w:lang w:eastAsia="ru-RU" w:bidi="ru-RU"/>
              </w:rPr>
              <w:t>0</w:t>
            </w:r>
          </w:p>
        </w:tc>
        <w:tc>
          <w:tcPr>
            <w:tcW w:w="557" w:type="pct"/>
            <w:shd w:val="clear" w:color="auto" w:fill="FFFFFF"/>
            <w:vAlign w:val="center"/>
          </w:tcPr>
          <w:p w14:paraId="7E76F7E0" w14:textId="77777777" w:rsidR="009A4C46" w:rsidRPr="009A4C46" w:rsidRDefault="009A4C46" w:rsidP="009A4C46">
            <w:pPr>
              <w:spacing w:after="0" w:line="240" w:lineRule="auto"/>
              <w:jc w:val="center"/>
              <w:rPr>
                <w:rFonts w:eastAsia="Calibri"/>
                <w:bCs/>
                <w:lang w:eastAsia="ru-RU" w:bidi="ru-RU"/>
              </w:rPr>
            </w:pPr>
            <w:r w:rsidRPr="009A4C46">
              <w:rPr>
                <w:rFonts w:eastAsia="Calibri"/>
                <w:bCs/>
                <w:lang w:eastAsia="ru-RU" w:bidi="ru-RU"/>
              </w:rPr>
              <w:t>21 905</w:t>
            </w:r>
          </w:p>
        </w:tc>
        <w:tc>
          <w:tcPr>
            <w:tcW w:w="557" w:type="pct"/>
            <w:shd w:val="clear" w:color="auto" w:fill="FFFFFF"/>
            <w:vAlign w:val="center"/>
          </w:tcPr>
          <w:p w14:paraId="351057E4" w14:textId="77777777" w:rsidR="009A4C46" w:rsidRPr="009A4C46" w:rsidRDefault="009A4C46" w:rsidP="009A4C46">
            <w:pPr>
              <w:spacing w:after="0" w:line="240" w:lineRule="auto"/>
              <w:jc w:val="center"/>
              <w:rPr>
                <w:rFonts w:eastAsia="Calibri"/>
                <w:bCs/>
                <w:lang w:eastAsia="ru-RU" w:bidi="ru-RU"/>
              </w:rPr>
            </w:pPr>
            <w:r w:rsidRPr="009A4C46">
              <w:rPr>
                <w:rFonts w:eastAsia="Calibri"/>
                <w:bCs/>
                <w:lang w:eastAsia="ru-RU" w:bidi="ru-RU"/>
              </w:rPr>
              <w:t>21 905</w:t>
            </w:r>
          </w:p>
        </w:tc>
        <w:tc>
          <w:tcPr>
            <w:tcW w:w="557" w:type="pct"/>
            <w:shd w:val="clear" w:color="auto" w:fill="FFFFFF"/>
            <w:vAlign w:val="center"/>
          </w:tcPr>
          <w:p w14:paraId="4F08A80F" w14:textId="77777777" w:rsidR="009A4C46" w:rsidRPr="009A4C46" w:rsidRDefault="009A4C46" w:rsidP="009A4C46">
            <w:pPr>
              <w:spacing w:after="0" w:line="240" w:lineRule="auto"/>
              <w:jc w:val="center"/>
              <w:rPr>
                <w:rFonts w:eastAsia="Calibri"/>
                <w:bCs/>
                <w:lang w:eastAsia="ru-RU" w:bidi="ru-RU"/>
              </w:rPr>
            </w:pPr>
            <w:r w:rsidRPr="009A4C46">
              <w:rPr>
                <w:rFonts w:eastAsia="Calibri"/>
                <w:bCs/>
                <w:lang w:eastAsia="ru-RU" w:bidi="ru-RU"/>
              </w:rPr>
              <w:t>21 905</w:t>
            </w:r>
          </w:p>
        </w:tc>
        <w:tc>
          <w:tcPr>
            <w:tcW w:w="557" w:type="pct"/>
            <w:shd w:val="clear" w:color="auto" w:fill="FFFFFF"/>
            <w:vAlign w:val="center"/>
          </w:tcPr>
          <w:p w14:paraId="1A242650" w14:textId="77777777" w:rsidR="009A4C46" w:rsidRPr="009A4C46" w:rsidRDefault="009A4C46" w:rsidP="009A4C46">
            <w:pPr>
              <w:spacing w:after="0" w:line="240" w:lineRule="auto"/>
              <w:jc w:val="center"/>
              <w:rPr>
                <w:rFonts w:eastAsia="Calibri"/>
                <w:bCs/>
                <w:lang w:eastAsia="ru-RU" w:bidi="ru-RU"/>
              </w:rPr>
            </w:pPr>
            <w:r w:rsidRPr="009A4C46">
              <w:rPr>
                <w:rFonts w:eastAsia="Calibri"/>
                <w:bCs/>
                <w:lang w:eastAsia="ru-RU" w:bidi="ru-RU"/>
              </w:rPr>
              <w:t>-</w:t>
            </w:r>
          </w:p>
        </w:tc>
      </w:tr>
      <w:tr w:rsidR="00F94FED" w:rsidRPr="009A4C46" w14:paraId="575BA32C" w14:textId="77777777" w:rsidTr="00F94FED">
        <w:trPr>
          <w:trHeight w:val="605"/>
        </w:trPr>
        <w:tc>
          <w:tcPr>
            <w:tcW w:w="470" w:type="pct"/>
            <w:shd w:val="clear" w:color="auto" w:fill="FFFFFF"/>
            <w:vAlign w:val="center"/>
          </w:tcPr>
          <w:p w14:paraId="2D6A08A7" w14:textId="77777777" w:rsidR="009A4C46" w:rsidRPr="009A4C46" w:rsidRDefault="009A4C46" w:rsidP="009A4C46">
            <w:pPr>
              <w:spacing w:after="0" w:line="240" w:lineRule="auto"/>
              <w:jc w:val="center"/>
              <w:rPr>
                <w:rFonts w:eastAsia="Calibri"/>
                <w:bCs/>
                <w:lang w:eastAsia="ru-RU" w:bidi="ru-RU"/>
              </w:rPr>
            </w:pPr>
            <w:r w:rsidRPr="009A4C46">
              <w:rPr>
                <w:rFonts w:eastAsia="Calibri"/>
                <w:bCs/>
                <w:lang w:eastAsia="ru-RU" w:bidi="ru-RU"/>
              </w:rPr>
              <w:lastRenderedPageBreak/>
              <w:t>1.2.</w:t>
            </w:r>
          </w:p>
        </w:tc>
        <w:tc>
          <w:tcPr>
            <w:tcW w:w="1187" w:type="pct"/>
            <w:shd w:val="clear" w:color="auto" w:fill="FFFFFF"/>
            <w:vAlign w:val="center"/>
          </w:tcPr>
          <w:p w14:paraId="57DAAFA1" w14:textId="77777777" w:rsidR="009A4C46" w:rsidRPr="009A4C46" w:rsidRDefault="009A4C46" w:rsidP="009A4C46">
            <w:pPr>
              <w:spacing w:after="0" w:line="240" w:lineRule="auto"/>
              <w:rPr>
                <w:rFonts w:eastAsia="Calibri"/>
                <w:bCs/>
                <w:lang w:eastAsia="ru-RU" w:bidi="ru-RU"/>
              </w:rPr>
            </w:pPr>
            <w:r w:rsidRPr="009A4C46">
              <w:rPr>
                <w:rFonts w:eastAsia="Calibri"/>
                <w:bCs/>
                <w:lang w:eastAsia="ru-RU" w:bidi="ru-RU"/>
              </w:rPr>
              <w:t>Расходы на содержание электрических сетей (НВВ на содержание) Выручка от продаж по тарифам</w:t>
            </w:r>
          </w:p>
        </w:tc>
        <w:tc>
          <w:tcPr>
            <w:tcW w:w="558" w:type="pct"/>
            <w:shd w:val="clear" w:color="auto" w:fill="FFFFFF"/>
            <w:vAlign w:val="center"/>
          </w:tcPr>
          <w:p w14:paraId="7B909FD5" w14:textId="77777777" w:rsidR="009A4C46" w:rsidRPr="009A4C46" w:rsidRDefault="009A4C46" w:rsidP="009A4C46">
            <w:pPr>
              <w:spacing w:after="0" w:line="240" w:lineRule="auto"/>
              <w:jc w:val="center"/>
              <w:rPr>
                <w:rFonts w:eastAsia="Calibri"/>
                <w:bCs/>
                <w:lang w:eastAsia="ru-RU" w:bidi="ru-RU"/>
              </w:rPr>
            </w:pPr>
            <w:r w:rsidRPr="009A4C46">
              <w:rPr>
                <w:rFonts w:eastAsia="Calibri"/>
                <w:bCs/>
                <w:lang w:eastAsia="ru-RU" w:bidi="ru-RU"/>
              </w:rPr>
              <w:t>тыс. руб.</w:t>
            </w:r>
          </w:p>
        </w:tc>
        <w:tc>
          <w:tcPr>
            <w:tcW w:w="557" w:type="pct"/>
            <w:shd w:val="clear" w:color="auto" w:fill="FFFFFF"/>
            <w:vAlign w:val="center"/>
          </w:tcPr>
          <w:p w14:paraId="7650A13E" w14:textId="77777777" w:rsidR="009A4C46" w:rsidRPr="009A4C46" w:rsidRDefault="009A4C46" w:rsidP="009A4C46">
            <w:pPr>
              <w:spacing w:after="0" w:line="240" w:lineRule="auto"/>
              <w:jc w:val="center"/>
              <w:rPr>
                <w:rFonts w:eastAsia="Calibri"/>
                <w:bCs/>
                <w:lang w:eastAsia="ru-RU" w:bidi="ru-RU"/>
              </w:rPr>
            </w:pPr>
            <w:r w:rsidRPr="009A4C46">
              <w:rPr>
                <w:rFonts w:eastAsia="Calibri"/>
                <w:bCs/>
                <w:lang w:eastAsia="ru-RU" w:bidi="ru-RU"/>
              </w:rPr>
              <w:t>1 167 221</w:t>
            </w:r>
          </w:p>
        </w:tc>
        <w:tc>
          <w:tcPr>
            <w:tcW w:w="557" w:type="pct"/>
            <w:shd w:val="clear" w:color="auto" w:fill="FFFFFF"/>
            <w:vAlign w:val="center"/>
          </w:tcPr>
          <w:p w14:paraId="0E46B2E6" w14:textId="77777777" w:rsidR="009A4C46" w:rsidRPr="009A4C46" w:rsidRDefault="009A4C46" w:rsidP="009A4C46">
            <w:pPr>
              <w:spacing w:after="0" w:line="240" w:lineRule="auto"/>
              <w:jc w:val="center"/>
              <w:rPr>
                <w:rFonts w:eastAsia="Calibri"/>
                <w:bCs/>
                <w:lang w:eastAsia="ru-RU" w:bidi="ru-RU"/>
              </w:rPr>
            </w:pPr>
            <w:r w:rsidRPr="009A4C46">
              <w:rPr>
                <w:rFonts w:eastAsia="Calibri"/>
                <w:bCs/>
                <w:lang w:eastAsia="ru-RU" w:bidi="ru-RU"/>
              </w:rPr>
              <w:t>1 162 854</w:t>
            </w:r>
          </w:p>
        </w:tc>
        <w:tc>
          <w:tcPr>
            <w:tcW w:w="557" w:type="pct"/>
            <w:shd w:val="clear" w:color="auto" w:fill="FFFFFF"/>
            <w:vAlign w:val="center"/>
          </w:tcPr>
          <w:p w14:paraId="4949E045" w14:textId="77777777" w:rsidR="009A4C46" w:rsidRPr="009A4C46" w:rsidRDefault="009A4C46" w:rsidP="009A4C46">
            <w:pPr>
              <w:spacing w:after="0" w:line="240" w:lineRule="auto"/>
              <w:jc w:val="center"/>
              <w:rPr>
                <w:rFonts w:eastAsia="Calibri"/>
                <w:bCs/>
                <w:lang w:eastAsia="ru-RU" w:bidi="ru-RU"/>
              </w:rPr>
            </w:pPr>
            <w:r w:rsidRPr="009A4C46">
              <w:rPr>
                <w:rFonts w:eastAsia="Calibri"/>
                <w:bCs/>
                <w:lang w:eastAsia="ru-RU" w:bidi="ru-RU"/>
              </w:rPr>
              <w:t>1 091 577</w:t>
            </w:r>
          </w:p>
        </w:tc>
        <w:tc>
          <w:tcPr>
            <w:tcW w:w="557" w:type="pct"/>
            <w:shd w:val="clear" w:color="auto" w:fill="FFFFFF"/>
            <w:vAlign w:val="center"/>
          </w:tcPr>
          <w:p w14:paraId="322D922E" w14:textId="77777777" w:rsidR="009A4C46" w:rsidRPr="009A4C46" w:rsidRDefault="009A4C46" w:rsidP="009A4C46">
            <w:pPr>
              <w:spacing w:after="0" w:line="240" w:lineRule="auto"/>
              <w:jc w:val="center"/>
              <w:rPr>
                <w:rFonts w:eastAsia="Calibri"/>
                <w:bCs/>
                <w:lang w:eastAsia="ru-RU" w:bidi="ru-RU"/>
              </w:rPr>
            </w:pPr>
            <w:r w:rsidRPr="009A4C46">
              <w:rPr>
                <w:rFonts w:eastAsia="Calibri"/>
                <w:bCs/>
                <w:lang w:eastAsia="ru-RU" w:bidi="ru-RU"/>
              </w:rPr>
              <w:t xml:space="preserve">1 172 166  </w:t>
            </w:r>
          </w:p>
        </w:tc>
        <w:tc>
          <w:tcPr>
            <w:tcW w:w="557" w:type="pct"/>
            <w:shd w:val="clear" w:color="auto" w:fill="FFFFFF"/>
            <w:vAlign w:val="center"/>
          </w:tcPr>
          <w:p w14:paraId="194DC3C2" w14:textId="77777777" w:rsidR="009A4C46" w:rsidRPr="009A4C46" w:rsidRDefault="009A4C46" w:rsidP="009A4C46">
            <w:pPr>
              <w:spacing w:after="0" w:line="240" w:lineRule="auto"/>
              <w:jc w:val="center"/>
              <w:rPr>
                <w:rFonts w:eastAsia="Calibri"/>
                <w:bCs/>
                <w:lang w:eastAsia="ru-RU" w:bidi="ru-RU"/>
              </w:rPr>
            </w:pPr>
            <w:r w:rsidRPr="009A4C46">
              <w:rPr>
                <w:rFonts w:eastAsia="Calibri"/>
                <w:bCs/>
                <w:lang w:eastAsia="ru-RU" w:bidi="ru-RU"/>
              </w:rPr>
              <w:t>1 383 155</w:t>
            </w:r>
          </w:p>
        </w:tc>
      </w:tr>
    </w:tbl>
    <w:p w14:paraId="4BE9113B" w14:textId="77777777" w:rsidR="00CB5AA8" w:rsidRDefault="00CB5AA8" w:rsidP="00F94FED">
      <w:pPr>
        <w:spacing w:after="0" w:line="360" w:lineRule="auto"/>
        <w:ind w:firstLine="709"/>
        <w:jc w:val="both"/>
        <w:rPr>
          <w:rFonts w:eastAsia="Times New Roman"/>
          <w:sz w:val="26"/>
          <w:szCs w:val="26"/>
          <w:lang w:eastAsia="ru-RU"/>
        </w:rPr>
      </w:pPr>
      <w:bookmarkStart w:id="54" w:name="_Hlk41405894"/>
    </w:p>
    <w:p w14:paraId="2E834161" w14:textId="1535CC3E" w:rsidR="009A4C46" w:rsidRPr="00F94FED" w:rsidRDefault="009A4C46" w:rsidP="00F94FED">
      <w:pPr>
        <w:spacing w:after="0" w:line="360" w:lineRule="auto"/>
        <w:ind w:firstLine="709"/>
        <w:jc w:val="both"/>
        <w:rPr>
          <w:rFonts w:eastAsia="Times New Roman"/>
          <w:sz w:val="26"/>
          <w:szCs w:val="26"/>
          <w:lang w:eastAsia="ru-RU"/>
        </w:rPr>
      </w:pPr>
      <w:r w:rsidRPr="00F94FED">
        <w:rPr>
          <w:rFonts w:eastAsia="Times New Roman"/>
          <w:sz w:val="26"/>
          <w:szCs w:val="26"/>
          <w:lang w:eastAsia="ru-RU"/>
        </w:rPr>
        <w:t xml:space="preserve">Объемы полезного отпуска и потерь подтверждаются данными бухгалтерского учета и формой </w:t>
      </w:r>
      <w:proofErr w:type="spellStart"/>
      <w:r w:rsidRPr="00F94FED">
        <w:rPr>
          <w:rFonts w:eastAsia="Times New Roman"/>
          <w:sz w:val="26"/>
          <w:szCs w:val="26"/>
          <w:lang w:eastAsia="ru-RU"/>
        </w:rPr>
        <w:t>статотчетности</w:t>
      </w:r>
      <w:proofErr w:type="spellEnd"/>
      <w:r w:rsidRPr="00F94FED">
        <w:rPr>
          <w:rFonts w:eastAsia="Times New Roman"/>
          <w:sz w:val="26"/>
          <w:szCs w:val="26"/>
          <w:lang w:eastAsia="ru-RU"/>
        </w:rPr>
        <w:t xml:space="preserve"> 46-ээ (передача).</w:t>
      </w:r>
    </w:p>
    <w:p w14:paraId="7C6FED31" w14:textId="57752FB8" w:rsidR="009A4C46" w:rsidRPr="00F94FED" w:rsidRDefault="009A4C46" w:rsidP="00F94FED">
      <w:pPr>
        <w:spacing w:after="0" w:line="360" w:lineRule="auto"/>
        <w:ind w:firstLine="709"/>
        <w:jc w:val="both"/>
        <w:rPr>
          <w:rFonts w:eastAsia="Times New Roman"/>
          <w:sz w:val="26"/>
          <w:szCs w:val="26"/>
          <w:lang w:eastAsia="ru-RU"/>
        </w:rPr>
      </w:pPr>
      <w:r w:rsidRPr="00F94FED">
        <w:rPr>
          <w:rFonts w:eastAsia="Times New Roman"/>
          <w:sz w:val="26"/>
          <w:szCs w:val="26"/>
          <w:lang w:eastAsia="ru-RU"/>
        </w:rPr>
        <w:t>Выручка от оказания услуг по передаче электрической энергии за 2017 год составила 1</w:t>
      </w:r>
      <w:r w:rsidR="0059122D">
        <w:rPr>
          <w:rFonts w:eastAsia="Times New Roman"/>
          <w:sz w:val="26"/>
          <w:szCs w:val="26"/>
          <w:lang w:eastAsia="ru-RU"/>
        </w:rPr>
        <w:t> </w:t>
      </w:r>
      <w:r w:rsidRPr="00F94FED">
        <w:rPr>
          <w:rFonts w:eastAsia="Times New Roman"/>
          <w:sz w:val="26"/>
          <w:szCs w:val="26"/>
          <w:lang w:eastAsia="ru-RU"/>
        </w:rPr>
        <w:t>172</w:t>
      </w:r>
      <w:r w:rsidR="0059122D">
        <w:rPr>
          <w:rFonts w:eastAsia="Times New Roman"/>
          <w:sz w:val="26"/>
          <w:szCs w:val="26"/>
          <w:lang w:eastAsia="ru-RU"/>
        </w:rPr>
        <w:t> </w:t>
      </w:r>
      <w:r w:rsidRPr="00F94FED">
        <w:rPr>
          <w:rFonts w:eastAsia="Times New Roman"/>
          <w:sz w:val="26"/>
          <w:szCs w:val="26"/>
          <w:lang w:eastAsia="ru-RU"/>
        </w:rPr>
        <w:t>166 тыс. руб.</w:t>
      </w:r>
    </w:p>
    <w:p w14:paraId="6CEB7186" w14:textId="77777777" w:rsidR="009A4C46" w:rsidRPr="00F94FED" w:rsidRDefault="009A4C46" w:rsidP="00F94FED">
      <w:pPr>
        <w:spacing w:after="0" w:line="360" w:lineRule="auto"/>
        <w:ind w:firstLine="709"/>
        <w:jc w:val="both"/>
        <w:rPr>
          <w:rFonts w:eastAsia="Times New Roman"/>
          <w:sz w:val="26"/>
          <w:szCs w:val="26"/>
          <w:lang w:eastAsia="ru-RU"/>
        </w:rPr>
      </w:pPr>
      <w:r w:rsidRPr="00F94FED">
        <w:rPr>
          <w:rFonts w:eastAsia="Times New Roman"/>
          <w:sz w:val="26"/>
          <w:szCs w:val="26"/>
          <w:lang w:eastAsia="ru-RU"/>
        </w:rPr>
        <w:t xml:space="preserve">Данная сумма подтверждена данными бухгалтерского отчета </w:t>
      </w:r>
      <w:r w:rsidRPr="00F94FED">
        <w:rPr>
          <w:rFonts w:eastAsia="Times New Roman"/>
          <w:sz w:val="26"/>
          <w:szCs w:val="26"/>
          <w:lang w:eastAsia="ru-RU"/>
        </w:rPr>
        <w:br/>
        <w:t>АО «Тываэнерго» за 2017 год, аудиторского заключения, проведенным анализом актов выполненных работ с АО «Тываэнергосбыт» за 2017 год с учетом протоколов разногласий.</w:t>
      </w:r>
    </w:p>
    <w:tbl>
      <w:tblPr>
        <w:tblOverlap w:val="never"/>
        <w:tblW w:w="5000" w:type="pct"/>
        <w:tblCellMar>
          <w:left w:w="10" w:type="dxa"/>
          <w:right w:w="10" w:type="dxa"/>
        </w:tblCellMar>
        <w:tblLook w:val="04A0" w:firstRow="1" w:lastRow="0" w:firstColumn="1" w:lastColumn="0" w:noHBand="0" w:noVBand="1"/>
      </w:tblPr>
      <w:tblGrid>
        <w:gridCol w:w="344"/>
        <w:gridCol w:w="1357"/>
        <w:gridCol w:w="3538"/>
        <w:gridCol w:w="1465"/>
        <w:gridCol w:w="1366"/>
        <w:gridCol w:w="1275"/>
      </w:tblGrid>
      <w:tr w:rsidR="0072390C" w:rsidRPr="0072390C" w14:paraId="11257F9C" w14:textId="77777777" w:rsidTr="00F94FED">
        <w:trPr>
          <w:trHeight w:val="485"/>
          <w:tblHeader/>
        </w:trPr>
        <w:tc>
          <w:tcPr>
            <w:tcW w:w="18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bookmarkEnd w:id="54"/>
          <w:p w14:paraId="05CFA8B7" w14:textId="77777777" w:rsidR="009A4C46" w:rsidRPr="0072390C" w:rsidRDefault="009A4C46" w:rsidP="00F94FED">
            <w:pPr>
              <w:widowControl w:val="0"/>
              <w:spacing w:after="0" w:line="360" w:lineRule="auto"/>
              <w:jc w:val="center"/>
              <w:rPr>
                <w:rFonts w:eastAsia="Times New Roman"/>
                <w:b/>
                <w:color w:val="FFFFFF" w:themeColor="background1"/>
                <w:lang w:eastAsia="ru-RU" w:bidi="ru-RU"/>
              </w:rPr>
            </w:pPr>
            <w:r w:rsidRPr="0072390C">
              <w:rPr>
                <w:rFonts w:eastAsia="Times New Roman"/>
                <w:b/>
                <w:color w:val="FFFFFF" w:themeColor="background1"/>
                <w:lang w:eastAsia="ru-RU" w:bidi="ru-RU"/>
              </w:rPr>
              <w:t>№ п/п</w:t>
            </w:r>
          </w:p>
        </w:tc>
        <w:tc>
          <w:tcPr>
            <w:tcW w:w="72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A881DB2" w14:textId="77777777" w:rsidR="009A4C46" w:rsidRPr="0072390C" w:rsidRDefault="009A4C46" w:rsidP="00F94FED">
            <w:pPr>
              <w:widowControl w:val="0"/>
              <w:spacing w:after="0" w:line="360" w:lineRule="auto"/>
              <w:jc w:val="center"/>
              <w:rPr>
                <w:rFonts w:eastAsia="Times New Roman"/>
                <w:b/>
                <w:color w:val="FFFFFF" w:themeColor="background1"/>
                <w:lang w:eastAsia="ru-RU" w:bidi="ru-RU"/>
              </w:rPr>
            </w:pPr>
            <w:r w:rsidRPr="0072390C">
              <w:rPr>
                <w:rFonts w:eastAsia="Times New Roman"/>
                <w:b/>
                <w:color w:val="FFFFFF" w:themeColor="background1"/>
                <w:lang w:eastAsia="ru-RU" w:bidi="ru-RU"/>
              </w:rPr>
              <w:t>Обозначение</w:t>
            </w:r>
          </w:p>
        </w:tc>
        <w:tc>
          <w:tcPr>
            <w:tcW w:w="189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2E7E565" w14:textId="77777777" w:rsidR="009A4C46" w:rsidRPr="0072390C" w:rsidRDefault="009A4C46" w:rsidP="00F94FED">
            <w:pPr>
              <w:widowControl w:val="0"/>
              <w:spacing w:after="0" w:line="360" w:lineRule="auto"/>
              <w:jc w:val="center"/>
              <w:rPr>
                <w:rFonts w:eastAsia="Times New Roman"/>
                <w:b/>
                <w:color w:val="FFFFFF" w:themeColor="background1"/>
                <w:lang w:eastAsia="ru-RU" w:bidi="ru-RU"/>
              </w:rPr>
            </w:pPr>
            <w:r w:rsidRPr="0072390C">
              <w:rPr>
                <w:rFonts w:eastAsia="Times New Roman"/>
                <w:b/>
                <w:color w:val="FFFFFF" w:themeColor="background1"/>
                <w:lang w:eastAsia="ru-RU" w:bidi="ru-RU"/>
              </w:rPr>
              <w:t>Показатель (тыс. руб.)</w:t>
            </w:r>
          </w:p>
        </w:tc>
        <w:tc>
          <w:tcPr>
            <w:tcW w:w="2197"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5582238" w14:textId="77777777" w:rsidR="009A4C46" w:rsidRPr="0072390C" w:rsidRDefault="009A4C46" w:rsidP="00F94FED">
            <w:pPr>
              <w:widowControl w:val="0"/>
              <w:spacing w:after="0" w:line="360" w:lineRule="auto"/>
              <w:jc w:val="center"/>
              <w:rPr>
                <w:rFonts w:eastAsia="Times New Roman"/>
                <w:b/>
                <w:color w:val="FFFFFF" w:themeColor="background1"/>
                <w:lang w:eastAsia="ru-RU" w:bidi="ru-RU"/>
              </w:rPr>
            </w:pPr>
            <w:r w:rsidRPr="0072390C">
              <w:rPr>
                <w:rFonts w:eastAsia="Times New Roman"/>
                <w:b/>
                <w:color w:val="FFFFFF" w:themeColor="background1"/>
                <w:lang w:eastAsia="ru-RU" w:bidi="ru-RU"/>
              </w:rPr>
              <w:t>2019 год</w:t>
            </w:r>
          </w:p>
        </w:tc>
      </w:tr>
      <w:tr w:rsidR="0072390C" w:rsidRPr="0072390C" w14:paraId="3CAD0586" w14:textId="77777777" w:rsidTr="00F94FED">
        <w:trPr>
          <w:trHeight w:val="677"/>
          <w:tblHeader/>
        </w:trPr>
        <w:tc>
          <w:tcPr>
            <w:tcW w:w="18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69D3F2A" w14:textId="77777777" w:rsidR="009A4C46" w:rsidRPr="0072390C" w:rsidRDefault="009A4C46" w:rsidP="009A4C46">
            <w:pPr>
              <w:widowControl w:val="0"/>
              <w:spacing w:after="0" w:line="240" w:lineRule="auto"/>
              <w:jc w:val="center"/>
              <w:rPr>
                <w:rFonts w:eastAsia="Microsoft Sans Serif"/>
                <w:b/>
                <w:color w:val="FFFFFF" w:themeColor="background1"/>
                <w:lang w:eastAsia="ru-RU" w:bidi="ru-RU"/>
              </w:rPr>
            </w:pPr>
          </w:p>
        </w:tc>
        <w:tc>
          <w:tcPr>
            <w:tcW w:w="72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98D10A4" w14:textId="77777777" w:rsidR="009A4C46" w:rsidRPr="0072390C" w:rsidRDefault="009A4C46" w:rsidP="009A4C46">
            <w:pPr>
              <w:widowControl w:val="0"/>
              <w:spacing w:after="0" w:line="240" w:lineRule="auto"/>
              <w:jc w:val="center"/>
              <w:rPr>
                <w:rFonts w:eastAsia="Microsoft Sans Serif"/>
                <w:b/>
                <w:color w:val="FFFFFF" w:themeColor="background1"/>
                <w:lang w:eastAsia="ru-RU" w:bidi="ru-RU"/>
              </w:rPr>
            </w:pPr>
          </w:p>
        </w:tc>
        <w:tc>
          <w:tcPr>
            <w:tcW w:w="189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3C42A02" w14:textId="77777777" w:rsidR="009A4C46" w:rsidRPr="0072390C" w:rsidRDefault="009A4C46" w:rsidP="009A4C46">
            <w:pPr>
              <w:widowControl w:val="0"/>
              <w:spacing w:after="0" w:line="240" w:lineRule="auto"/>
              <w:jc w:val="center"/>
              <w:rPr>
                <w:rFonts w:eastAsia="Microsoft Sans Serif"/>
                <w:b/>
                <w:color w:val="FFFFFF" w:themeColor="background1"/>
                <w:lang w:eastAsia="ru-RU" w:bidi="ru-RU"/>
              </w:rPr>
            </w:pPr>
          </w:p>
        </w:tc>
        <w:tc>
          <w:tcPr>
            <w:tcW w:w="78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78C850A" w14:textId="51E4AB81" w:rsidR="009A4C46" w:rsidRPr="0072390C" w:rsidRDefault="009A4C46" w:rsidP="009A4C46">
            <w:pPr>
              <w:widowControl w:val="0"/>
              <w:spacing w:after="0" w:line="216" w:lineRule="exact"/>
              <w:jc w:val="center"/>
              <w:rPr>
                <w:rFonts w:eastAsia="Times New Roman"/>
                <w:b/>
                <w:color w:val="FFFFFF" w:themeColor="background1"/>
                <w:lang w:eastAsia="ru-RU" w:bidi="ru-RU"/>
              </w:rPr>
            </w:pPr>
            <w:r w:rsidRPr="0072390C">
              <w:rPr>
                <w:rFonts w:eastAsia="Times New Roman"/>
                <w:b/>
                <w:color w:val="FFFFFF" w:themeColor="background1"/>
                <w:lang w:eastAsia="ru-RU" w:bidi="ru-RU"/>
              </w:rPr>
              <w:t xml:space="preserve">Расчет </w:t>
            </w:r>
            <w:r w:rsidR="008B0B3C" w:rsidRPr="0072390C">
              <w:rPr>
                <w:rFonts w:eastAsia="Times New Roman"/>
                <w:b/>
                <w:color w:val="FFFFFF" w:themeColor="background1"/>
                <w:lang w:eastAsia="ru-RU" w:bidi="ru-RU"/>
              </w:rPr>
              <w:br/>
            </w:r>
            <w:r w:rsidRPr="0072390C">
              <w:rPr>
                <w:rFonts w:eastAsia="Times New Roman"/>
                <w:b/>
                <w:color w:val="FFFFFF" w:themeColor="background1"/>
                <w:lang w:eastAsia="ru-RU" w:bidi="ru-RU"/>
              </w:rPr>
              <w:t xml:space="preserve">АО «Тываэнерго» и принятое значения </w:t>
            </w:r>
            <w:r w:rsidR="008B0B3C" w:rsidRPr="0072390C">
              <w:rPr>
                <w:rFonts w:eastAsia="Times New Roman"/>
                <w:b/>
                <w:color w:val="FFFFFF" w:themeColor="background1"/>
                <w:lang w:eastAsia="ru-RU" w:bidi="ru-RU"/>
              </w:rPr>
              <w:t>Службой</w:t>
            </w:r>
          </w:p>
        </w:tc>
        <w:tc>
          <w:tcPr>
            <w:tcW w:w="73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4D8A347" w14:textId="77777777" w:rsidR="009A4C46" w:rsidRPr="0072390C" w:rsidRDefault="009A4C46" w:rsidP="009A4C46">
            <w:pPr>
              <w:widowControl w:val="0"/>
              <w:spacing w:after="0" w:line="190" w:lineRule="exact"/>
              <w:jc w:val="center"/>
              <w:rPr>
                <w:rFonts w:eastAsia="Times New Roman"/>
                <w:b/>
                <w:color w:val="FFFFFF" w:themeColor="background1"/>
                <w:lang w:eastAsia="ru-RU" w:bidi="ru-RU"/>
              </w:rPr>
            </w:pPr>
            <w:r w:rsidRPr="0072390C">
              <w:rPr>
                <w:rFonts w:eastAsia="Times New Roman"/>
                <w:b/>
                <w:color w:val="FFFFFF" w:themeColor="background1"/>
                <w:lang w:eastAsia="ru-RU" w:bidi="ru-RU"/>
              </w:rPr>
              <w:t>Расчет Исполнителя</w:t>
            </w:r>
          </w:p>
        </w:tc>
        <w:tc>
          <w:tcPr>
            <w:tcW w:w="68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5FCC20C" w14:textId="77777777" w:rsidR="009A4C46" w:rsidRPr="0072390C" w:rsidRDefault="009A4C46" w:rsidP="009A4C46">
            <w:pPr>
              <w:widowControl w:val="0"/>
              <w:spacing w:after="0" w:line="180" w:lineRule="exact"/>
              <w:jc w:val="center"/>
              <w:rPr>
                <w:rFonts w:eastAsia="Times New Roman"/>
                <w:b/>
                <w:color w:val="FFFFFF" w:themeColor="background1"/>
                <w:lang w:eastAsia="ru-RU" w:bidi="ru-RU"/>
              </w:rPr>
            </w:pPr>
            <w:r w:rsidRPr="0072390C">
              <w:rPr>
                <w:rFonts w:eastAsia="Times New Roman"/>
                <w:b/>
                <w:i/>
                <w:iCs/>
                <w:color w:val="FFFFFF" w:themeColor="background1"/>
                <w:lang w:eastAsia="ru-RU" w:bidi="ru-RU"/>
              </w:rPr>
              <w:t>Отклонение</w:t>
            </w:r>
          </w:p>
        </w:tc>
      </w:tr>
      <w:tr w:rsidR="0072390C" w:rsidRPr="0072390C" w14:paraId="23C72CF8" w14:textId="77777777" w:rsidTr="00F94FED">
        <w:trPr>
          <w:trHeight w:val="451"/>
          <w:tblHeader/>
        </w:trPr>
        <w:tc>
          <w:tcPr>
            <w:tcW w:w="18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4B9C43D" w14:textId="77777777" w:rsidR="009A4C46" w:rsidRPr="0072390C" w:rsidRDefault="009A4C46" w:rsidP="009A4C46">
            <w:pPr>
              <w:widowControl w:val="0"/>
              <w:spacing w:after="0" w:line="180" w:lineRule="exact"/>
              <w:jc w:val="center"/>
              <w:rPr>
                <w:rFonts w:eastAsia="Times New Roman"/>
                <w:b/>
                <w:color w:val="FFFFFF" w:themeColor="background1"/>
                <w:lang w:eastAsia="ru-RU" w:bidi="ru-RU"/>
              </w:rPr>
            </w:pPr>
            <w:r w:rsidRPr="0072390C">
              <w:rPr>
                <w:rFonts w:eastAsia="Times New Roman"/>
                <w:b/>
                <w:i/>
                <w:iCs/>
                <w:color w:val="FFFFFF" w:themeColor="background1"/>
                <w:lang w:eastAsia="ru-RU" w:bidi="ru-RU"/>
              </w:rPr>
              <w:t>1</w:t>
            </w:r>
          </w:p>
        </w:tc>
        <w:tc>
          <w:tcPr>
            <w:tcW w:w="72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5AA3AD6" w14:textId="77777777" w:rsidR="009A4C46" w:rsidRPr="0072390C" w:rsidRDefault="009A4C46" w:rsidP="009A4C46">
            <w:pPr>
              <w:widowControl w:val="0"/>
              <w:spacing w:after="0" w:line="180" w:lineRule="exact"/>
              <w:jc w:val="center"/>
              <w:rPr>
                <w:rFonts w:eastAsia="Times New Roman"/>
                <w:b/>
                <w:color w:val="FFFFFF" w:themeColor="background1"/>
                <w:lang w:eastAsia="ru-RU" w:bidi="ru-RU"/>
              </w:rPr>
            </w:pPr>
            <w:r w:rsidRPr="0072390C">
              <w:rPr>
                <w:rFonts w:eastAsia="Times New Roman"/>
                <w:b/>
                <w:i/>
                <w:iCs/>
                <w:color w:val="FFFFFF" w:themeColor="background1"/>
                <w:lang w:eastAsia="ru-RU" w:bidi="ru-RU"/>
              </w:rPr>
              <w:t>2</w:t>
            </w:r>
          </w:p>
        </w:tc>
        <w:tc>
          <w:tcPr>
            <w:tcW w:w="189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EA02C6A" w14:textId="77777777" w:rsidR="009A4C46" w:rsidRPr="0072390C" w:rsidRDefault="009A4C46" w:rsidP="009A4C46">
            <w:pPr>
              <w:widowControl w:val="0"/>
              <w:spacing w:after="0" w:line="180" w:lineRule="exact"/>
              <w:jc w:val="center"/>
              <w:rPr>
                <w:rFonts w:eastAsia="Times New Roman"/>
                <w:b/>
                <w:color w:val="FFFFFF" w:themeColor="background1"/>
                <w:lang w:eastAsia="ru-RU" w:bidi="ru-RU"/>
              </w:rPr>
            </w:pPr>
            <w:r w:rsidRPr="0072390C">
              <w:rPr>
                <w:rFonts w:eastAsia="Times New Roman"/>
                <w:b/>
                <w:i/>
                <w:iCs/>
                <w:color w:val="FFFFFF" w:themeColor="background1"/>
                <w:lang w:eastAsia="ru-RU" w:bidi="ru-RU"/>
              </w:rPr>
              <w:t>3</w:t>
            </w:r>
          </w:p>
        </w:tc>
        <w:tc>
          <w:tcPr>
            <w:tcW w:w="78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1D49DFA" w14:textId="77777777" w:rsidR="009A4C46" w:rsidRPr="0072390C" w:rsidRDefault="009A4C46" w:rsidP="009A4C46">
            <w:pPr>
              <w:widowControl w:val="0"/>
              <w:spacing w:after="0" w:line="180" w:lineRule="exact"/>
              <w:jc w:val="center"/>
              <w:rPr>
                <w:rFonts w:eastAsia="Times New Roman"/>
                <w:b/>
                <w:color w:val="FFFFFF" w:themeColor="background1"/>
                <w:lang w:eastAsia="ru-RU" w:bidi="ru-RU"/>
              </w:rPr>
            </w:pPr>
            <w:r w:rsidRPr="0072390C">
              <w:rPr>
                <w:rFonts w:eastAsia="Times New Roman"/>
                <w:b/>
                <w:i/>
                <w:iCs/>
                <w:color w:val="FFFFFF" w:themeColor="background1"/>
                <w:lang w:eastAsia="ru-RU" w:bidi="ru-RU"/>
              </w:rPr>
              <w:t>4</w:t>
            </w:r>
          </w:p>
        </w:tc>
        <w:tc>
          <w:tcPr>
            <w:tcW w:w="73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4BD2D87" w14:textId="77777777" w:rsidR="009A4C46" w:rsidRPr="0072390C" w:rsidRDefault="009A4C46" w:rsidP="009A4C46">
            <w:pPr>
              <w:widowControl w:val="0"/>
              <w:spacing w:after="0" w:line="190" w:lineRule="exact"/>
              <w:jc w:val="center"/>
              <w:rPr>
                <w:rFonts w:eastAsia="Times New Roman"/>
                <w:b/>
                <w:color w:val="FFFFFF" w:themeColor="background1"/>
                <w:lang w:eastAsia="ru-RU" w:bidi="ru-RU"/>
              </w:rPr>
            </w:pPr>
            <w:r w:rsidRPr="0072390C">
              <w:rPr>
                <w:rFonts w:eastAsia="Times New Roman"/>
                <w:b/>
                <w:color w:val="FFFFFF" w:themeColor="background1"/>
                <w:lang w:eastAsia="ru-RU" w:bidi="ru-RU"/>
              </w:rPr>
              <w:t>5</w:t>
            </w:r>
          </w:p>
        </w:tc>
        <w:tc>
          <w:tcPr>
            <w:tcW w:w="68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888663D" w14:textId="77777777" w:rsidR="009A4C46" w:rsidRPr="0072390C" w:rsidRDefault="009A4C46" w:rsidP="009A4C46">
            <w:pPr>
              <w:widowControl w:val="0"/>
              <w:spacing w:after="0" w:line="180" w:lineRule="exact"/>
              <w:jc w:val="center"/>
              <w:rPr>
                <w:rFonts w:eastAsia="Times New Roman"/>
                <w:b/>
                <w:color w:val="FFFFFF" w:themeColor="background1"/>
                <w:lang w:eastAsia="ru-RU" w:bidi="ru-RU"/>
              </w:rPr>
            </w:pPr>
            <w:r w:rsidRPr="0072390C">
              <w:rPr>
                <w:rFonts w:eastAsia="Times New Roman"/>
                <w:b/>
                <w:i/>
                <w:iCs/>
                <w:color w:val="FFFFFF" w:themeColor="background1"/>
                <w:lang w:eastAsia="ru-RU" w:bidi="ru-RU"/>
              </w:rPr>
              <w:t>6=5-4</w:t>
            </w:r>
          </w:p>
        </w:tc>
      </w:tr>
      <w:tr w:rsidR="0072390C" w:rsidRPr="0072390C" w14:paraId="33FE1FBA" w14:textId="77777777" w:rsidTr="00F94FED">
        <w:trPr>
          <w:trHeight w:val="691"/>
        </w:trPr>
        <w:tc>
          <w:tcPr>
            <w:tcW w:w="184" w:type="pct"/>
            <w:tcBorders>
              <w:top w:val="single" w:sz="4" w:space="0" w:color="FFFFFF" w:themeColor="background1"/>
              <w:left w:val="single" w:sz="4" w:space="0" w:color="auto"/>
            </w:tcBorders>
            <w:shd w:val="clear" w:color="auto" w:fill="FFFFFF"/>
            <w:vAlign w:val="center"/>
          </w:tcPr>
          <w:p w14:paraId="2B14F4D8" w14:textId="77777777" w:rsidR="009A4C46" w:rsidRPr="0072390C" w:rsidRDefault="009A4C46" w:rsidP="009A4C46">
            <w:pPr>
              <w:widowControl w:val="0"/>
              <w:spacing w:after="0" w:line="190" w:lineRule="exact"/>
              <w:jc w:val="center"/>
              <w:rPr>
                <w:rFonts w:eastAsia="Times New Roman"/>
                <w:color w:val="auto"/>
                <w:lang w:eastAsia="ru-RU" w:bidi="ru-RU"/>
              </w:rPr>
            </w:pPr>
            <w:r w:rsidRPr="0072390C">
              <w:rPr>
                <w:rFonts w:eastAsia="Times New Roman"/>
                <w:bCs/>
                <w:color w:val="auto"/>
                <w:lang w:eastAsia="ru-RU" w:bidi="ru-RU"/>
              </w:rPr>
              <w:t>1</w:t>
            </w:r>
          </w:p>
        </w:tc>
        <w:tc>
          <w:tcPr>
            <w:tcW w:w="726" w:type="pct"/>
            <w:tcBorders>
              <w:top w:val="single" w:sz="4" w:space="0" w:color="FFFFFF" w:themeColor="background1"/>
              <w:left w:val="single" w:sz="4" w:space="0" w:color="auto"/>
            </w:tcBorders>
            <w:shd w:val="clear" w:color="auto" w:fill="FFFFFF"/>
            <w:vAlign w:val="center"/>
          </w:tcPr>
          <w:p w14:paraId="5E01D8A3" w14:textId="77777777" w:rsidR="009A4C46" w:rsidRPr="0072390C" w:rsidRDefault="009A4C46" w:rsidP="009A4C46">
            <w:pPr>
              <w:widowControl w:val="0"/>
              <w:spacing w:after="0" w:line="190" w:lineRule="exact"/>
              <w:jc w:val="center"/>
              <w:rPr>
                <w:rFonts w:eastAsia="Times New Roman"/>
                <w:color w:val="auto"/>
                <w:lang w:eastAsia="ru-RU" w:bidi="ru-RU"/>
              </w:rPr>
            </w:pPr>
            <m:oMathPara>
              <m:oMath>
                <m:r>
                  <w:rPr>
                    <w:rFonts w:ascii="Cambria Math" w:eastAsia="Times New Roman" w:hAnsi="Cambria Math"/>
                    <w:color w:val="auto"/>
                    <w:lang w:eastAsia="ru-RU"/>
                  </w:rPr>
                  <m:t>∆</m:t>
                </m:r>
                <m:sSubSup>
                  <m:sSubSupPr>
                    <m:ctrlPr>
                      <w:rPr>
                        <w:rFonts w:ascii="Cambria Math" w:eastAsia="Times New Roman" w:hAnsi="Cambria Math"/>
                        <w:i/>
                        <w:color w:val="auto"/>
                        <w:lang w:eastAsia="ru-RU"/>
                      </w:rPr>
                    </m:ctrlPr>
                  </m:sSubSupPr>
                  <m:e>
                    <m:r>
                      <w:rPr>
                        <w:rFonts w:ascii="Cambria Math" w:eastAsia="Times New Roman" w:hAnsi="Cambria Math"/>
                        <w:color w:val="auto"/>
                        <w:lang w:eastAsia="ru-RU"/>
                      </w:rPr>
                      <m:t>НВВ</m:t>
                    </m:r>
                  </m:e>
                  <m:sub>
                    <m:r>
                      <w:rPr>
                        <w:rFonts w:ascii="Cambria Math" w:eastAsia="Times New Roman" w:hAnsi="Cambria Math"/>
                        <w:color w:val="auto"/>
                        <w:lang w:val="en-US" w:eastAsia="ru-RU"/>
                      </w:rPr>
                      <m:t>i</m:t>
                    </m:r>
                  </m:sub>
                  <m:sup>
                    <m:r>
                      <w:rPr>
                        <w:rFonts w:ascii="Cambria Math" w:eastAsia="Times New Roman" w:hAnsi="Cambria Math"/>
                        <w:color w:val="auto"/>
                        <w:lang w:eastAsia="ru-RU"/>
                      </w:rPr>
                      <m:t>сод</m:t>
                    </m:r>
                  </m:sup>
                </m:sSubSup>
              </m:oMath>
            </m:oMathPara>
          </w:p>
        </w:tc>
        <w:tc>
          <w:tcPr>
            <w:tcW w:w="1893" w:type="pct"/>
            <w:tcBorders>
              <w:top w:val="single" w:sz="4" w:space="0" w:color="FFFFFF" w:themeColor="background1"/>
              <w:left w:val="single" w:sz="4" w:space="0" w:color="auto"/>
            </w:tcBorders>
            <w:shd w:val="clear" w:color="auto" w:fill="FFFFFF"/>
            <w:vAlign w:val="center"/>
          </w:tcPr>
          <w:p w14:paraId="07E0BAB6" w14:textId="77777777" w:rsidR="009A4C46" w:rsidRPr="0072390C" w:rsidRDefault="009A4C46" w:rsidP="00B44325">
            <w:pPr>
              <w:widowControl w:val="0"/>
              <w:spacing w:after="0" w:line="226" w:lineRule="exact"/>
              <w:rPr>
                <w:rFonts w:eastAsia="Times New Roman"/>
                <w:color w:val="auto"/>
                <w:lang w:eastAsia="ru-RU" w:bidi="ru-RU"/>
              </w:rPr>
            </w:pPr>
            <w:r w:rsidRPr="0072390C">
              <w:rPr>
                <w:rFonts w:eastAsia="Times New Roman"/>
                <w:bCs/>
                <w:color w:val="auto"/>
                <w:lang w:eastAsia="ru-RU" w:bidi="ru-RU"/>
              </w:rPr>
              <w:t xml:space="preserve">Компенсация выпадающих/излишне полученных доходов за год </w:t>
            </w:r>
            <w:r w:rsidRPr="0072390C">
              <w:rPr>
                <w:rFonts w:eastAsia="Times New Roman"/>
                <w:bCs/>
                <w:color w:val="auto"/>
                <w:lang w:val="en-US" w:eastAsia="ru-RU" w:bidi="ru-RU"/>
              </w:rPr>
              <w:t>n</w:t>
            </w:r>
            <w:r w:rsidRPr="0072390C">
              <w:rPr>
                <w:rFonts w:eastAsia="Times New Roman"/>
                <w:bCs/>
                <w:color w:val="auto"/>
                <w:lang w:eastAsia="ru-RU" w:bidi="ru-RU"/>
              </w:rPr>
              <w:t xml:space="preserve">-2 </w:t>
            </w:r>
          </w:p>
        </w:tc>
        <w:tc>
          <w:tcPr>
            <w:tcW w:w="784" w:type="pct"/>
            <w:tcBorders>
              <w:top w:val="single" w:sz="4" w:space="0" w:color="FFFFFF" w:themeColor="background1"/>
              <w:left w:val="single" w:sz="4" w:space="0" w:color="auto"/>
            </w:tcBorders>
            <w:shd w:val="clear" w:color="auto" w:fill="FFFFFF"/>
            <w:vAlign w:val="center"/>
          </w:tcPr>
          <w:p w14:paraId="53679542" w14:textId="77777777" w:rsidR="009A4C46" w:rsidRPr="0072390C" w:rsidRDefault="009A4C46" w:rsidP="009A4C46">
            <w:pPr>
              <w:widowControl w:val="0"/>
              <w:spacing w:after="0" w:line="190" w:lineRule="exact"/>
              <w:jc w:val="center"/>
              <w:rPr>
                <w:rFonts w:eastAsia="Times New Roman"/>
                <w:color w:val="auto"/>
                <w:lang w:eastAsia="ru-RU" w:bidi="ru-RU"/>
              </w:rPr>
            </w:pPr>
            <w:r w:rsidRPr="0072390C">
              <w:rPr>
                <w:rFonts w:eastAsia="Times New Roman"/>
                <w:bCs/>
                <w:color w:val="auto"/>
                <w:lang w:eastAsia="ru-RU" w:bidi="ru-RU"/>
              </w:rPr>
              <w:t>75 644</w:t>
            </w:r>
          </w:p>
        </w:tc>
        <w:tc>
          <w:tcPr>
            <w:tcW w:w="731" w:type="pct"/>
            <w:tcBorders>
              <w:top w:val="single" w:sz="4" w:space="0" w:color="FFFFFF" w:themeColor="background1"/>
              <w:left w:val="single" w:sz="4" w:space="0" w:color="auto"/>
            </w:tcBorders>
            <w:shd w:val="clear" w:color="auto" w:fill="FFFFFF"/>
            <w:vAlign w:val="center"/>
          </w:tcPr>
          <w:p w14:paraId="47D5E735" w14:textId="6FC5E030" w:rsidR="009A4C46" w:rsidRPr="0072390C" w:rsidRDefault="00E3296D" w:rsidP="009A4C46">
            <w:pPr>
              <w:widowControl w:val="0"/>
              <w:spacing w:after="0" w:line="190" w:lineRule="exact"/>
              <w:jc w:val="center"/>
              <w:rPr>
                <w:rFonts w:eastAsia="Times New Roman"/>
                <w:color w:val="auto"/>
                <w:lang w:eastAsia="ru-RU" w:bidi="ru-RU"/>
              </w:rPr>
            </w:pPr>
            <w:r>
              <w:rPr>
                <w:rFonts w:eastAsia="Times New Roman"/>
                <w:color w:val="auto"/>
                <w:lang w:eastAsia="ru-RU" w:bidi="ru-RU"/>
              </w:rPr>
              <w:t>78 491,37</w:t>
            </w:r>
          </w:p>
        </w:tc>
        <w:tc>
          <w:tcPr>
            <w:tcW w:w="682" w:type="pct"/>
            <w:tcBorders>
              <w:top w:val="single" w:sz="4" w:space="0" w:color="FFFFFF" w:themeColor="background1"/>
              <w:left w:val="single" w:sz="4" w:space="0" w:color="auto"/>
              <w:right w:val="single" w:sz="4" w:space="0" w:color="auto"/>
            </w:tcBorders>
            <w:shd w:val="clear" w:color="auto" w:fill="FFFFFF"/>
            <w:vAlign w:val="center"/>
          </w:tcPr>
          <w:p w14:paraId="7413BB1C" w14:textId="2F9EAED1" w:rsidR="009A4C46" w:rsidRPr="0072390C" w:rsidRDefault="00E3296D" w:rsidP="009A4C46">
            <w:pPr>
              <w:widowControl w:val="0"/>
              <w:spacing w:after="0" w:line="190" w:lineRule="exact"/>
              <w:jc w:val="center"/>
              <w:rPr>
                <w:rFonts w:eastAsia="Times New Roman"/>
                <w:color w:val="auto"/>
                <w:lang w:eastAsia="ru-RU" w:bidi="ru-RU"/>
              </w:rPr>
            </w:pPr>
            <w:r>
              <w:rPr>
                <w:rFonts w:eastAsia="Times New Roman"/>
                <w:color w:val="auto"/>
                <w:lang w:eastAsia="ru-RU" w:bidi="ru-RU"/>
              </w:rPr>
              <w:t>2 847,32</w:t>
            </w:r>
          </w:p>
        </w:tc>
      </w:tr>
      <w:tr w:rsidR="0072390C" w:rsidRPr="0072390C" w14:paraId="7A7AAF2B" w14:textId="77777777" w:rsidTr="00F94FED">
        <w:trPr>
          <w:trHeight w:val="902"/>
        </w:trPr>
        <w:tc>
          <w:tcPr>
            <w:tcW w:w="184" w:type="pct"/>
            <w:tcBorders>
              <w:top w:val="single" w:sz="4" w:space="0" w:color="auto"/>
              <w:left w:val="single" w:sz="4" w:space="0" w:color="auto"/>
              <w:bottom w:val="single" w:sz="4" w:space="0" w:color="auto"/>
            </w:tcBorders>
            <w:shd w:val="clear" w:color="auto" w:fill="FFFFFF"/>
            <w:vAlign w:val="center"/>
          </w:tcPr>
          <w:p w14:paraId="3713F478" w14:textId="77777777" w:rsidR="009A4C46" w:rsidRPr="0072390C" w:rsidRDefault="009A4C46" w:rsidP="009A4C46">
            <w:pPr>
              <w:widowControl w:val="0"/>
              <w:spacing w:after="0" w:line="190" w:lineRule="exact"/>
              <w:jc w:val="center"/>
              <w:rPr>
                <w:rFonts w:eastAsia="Times New Roman"/>
                <w:color w:val="auto"/>
                <w:lang w:eastAsia="ru-RU" w:bidi="ru-RU"/>
              </w:rPr>
            </w:pPr>
            <w:r w:rsidRPr="0072390C">
              <w:rPr>
                <w:rFonts w:eastAsia="Times New Roman"/>
                <w:bCs/>
                <w:color w:val="auto"/>
                <w:lang w:eastAsia="ru-RU" w:bidi="ru-RU"/>
              </w:rPr>
              <w:t>2</w:t>
            </w:r>
          </w:p>
        </w:tc>
        <w:tc>
          <w:tcPr>
            <w:tcW w:w="726" w:type="pct"/>
            <w:tcBorders>
              <w:top w:val="single" w:sz="4" w:space="0" w:color="auto"/>
              <w:left w:val="single" w:sz="4" w:space="0" w:color="auto"/>
              <w:bottom w:val="single" w:sz="4" w:space="0" w:color="auto"/>
            </w:tcBorders>
            <w:shd w:val="clear" w:color="auto" w:fill="FFFFFF"/>
            <w:vAlign w:val="center"/>
          </w:tcPr>
          <w:p w14:paraId="13966787" w14:textId="77777777" w:rsidR="009A4C46" w:rsidRPr="0072390C" w:rsidRDefault="009A4C46" w:rsidP="009A4C46">
            <w:pPr>
              <w:widowControl w:val="0"/>
              <w:spacing w:after="0" w:line="190" w:lineRule="exact"/>
              <w:jc w:val="center"/>
              <w:rPr>
                <w:rFonts w:eastAsia="Times New Roman"/>
                <w:color w:val="auto"/>
                <w:lang w:eastAsia="ru-RU" w:bidi="ru-RU"/>
              </w:rPr>
            </w:pPr>
            <w:r w:rsidRPr="0072390C">
              <w:rPr>
                <w:rFonts w:eastAsia="Times New Roman"/>
                <w:bCs/>
                <w:color w:val="auto"/>
                <w:lang w:eastAsia="ru-RU" w:bidi="ru-RU"/>
              </w:rPr>
              <w:t xml:space="preserve">НВВ сод </w:t>
            </w:r>
            <w:proofErr w:type="spellStart"/>
            <w:r w:rsidRPr="0072390C">
              <w:rPr>
                <w:rFonts w:eastAsia="Times New Roman"/>
                <w:bCs/>
                <w:color w:val="auto"/>
                <w:lang w:val="en-US" w:eastAsia="ru-RU" w:bidi="ru-RU"/>
              </w:rPr>
              <w:t>i</w:t>
            </w:r>
            <w:proofErr w:type="spellEnd"/>
            <w:r w:rsidRPr="0072390C">
              <w:rPr>
                <w:rFonts w:eastAsia="Times New Roman"/>
                <w:bCs/>
                <w:color w:val="auto"/>
                <w:lang w:eastAsia="ru-RU" w:bidi="ru-RU"/>
              </w:rPr>
              <w:t>-2</w:t>
            </w:r>
          </w:p>
        </w:tc>
        <w:tc>
          <w:tcPr>
            <w:tcW w:w="1893" w:type="pct"/>
            <w:tcBorders>
              <w:top w:val="single" w:sz="4" w:space="0" w:color="auto"/>
              <w:left w:val="single" w:sz="4" w:space="0" w:color="auto"/>
              <w:bottom w:val="single" w:sz="4" w:space="0" w:color="auto"/>
            </w:tcBorders>
            <w:shd w:val="clear" w:color="auto" w:fill="FFFFFF"/>
            <w:vAlign w:val="center"/>
          </w:tcPr>
          <w:p w14:paraId="1FB4FC29" w14:textId="12425EE1" w:rsidR="009A4C46" w:rsidRPr="0072390C" w:rsidRDefault="009A4C46" w:rsidP="00B44325">
            <w:pPr>
              <w:widowControl w:val="0"/>
              <w:spacing w:after="0" w:line="216" w:lineRule="exact"/>
              <w:rPr>
                <w:rFonts w:eastAsia="Times New Roman"/>
                <w:color w:val="auto"/>
                <w:lang w:eastAsia="ru-RU" w:bidi="ru-RU"/>
              </w:rPr>
            </w:pPr>
            <w:r w:rsidRPr="0072390C">
              <w:rPr>
                <w:rFonts w:eastAsia="Times New Roman"/>
                <w:bCs/>
                <w:color w:val="auto"/>
                <w:lang w:eastAsia="ru-RU" w:bidi="ru-RU"/>
              </w:rPr>
              <w:t>Необходимая валовая выручка в части содержания электрических сетей, утвержденная Службой по тарифам Республики Тыва на 2017 год</w:t>
            </w:r>
          </w:p>
        </w:tc>
        <w:tc>
          <w:tcPr>
            <w:tcW w:w="784" w:type="pct"/>
            <w:tcBorders>
              <w:top w:val="single" w:sz="4" w:space="0" w:color="auto"/>
              <w:left w:val="single" w:sz="4" w:space="0" w:color="auto"/>
              <w:bottom w:val="single" w:sz="4" w:space="0" w:color="auto"/>
            </w:tcBorders>
            <w:shd w:val="clear" w:color="auto" w:fill="FFFFFF"/>
            <w:vAlign w:val="center"/>
          </w:tcPr>
          <w:p w14:paraId="7D3A724E" w14:textId="77777777" w:rsidR="009A4C46" w:rsidRPr="0072390C" w:rsidRDefault="009A4C46" w:rsidP="009A4C46">
            <w:pPr>
              <w:widowControl w:val="0"/>
              <w:spacing w:after="0" w:line="190" w:lineRule="exact"/>
              <w:jc w:val="center"/>
              <w:rPr>
                <w:rFonts w:eastAsia="Times New Roman"/>
                <w:color w:val="auto"/>
                <w:lang w:eastAsia="ru-RU" w:bidi="ru-RU"/>
              </w:rPr>
            </w:pPr>
            <w:r w:rsidRPr="0072390C">
              <w:rPr>
                <w:rFonts w:eastAsia="Times New Roman"/>
                <w:bCs/>
                <w:color w:val="auto"/>
                <w:lang w:eastAsia="ru-RU" w:bidi="ru-RU"/>
              </w:rPr>
              <w:t>1 167 221</w:t>
            </w:r>
          </w:p>
        </w:tc>
        <w:tc>
          <w:tcPr>
            <w:tcW w:w="731" w:type="pct"/>
            <w:tcBorders>
              <w:top w:val="single" w:sz="4" w:space="0" w:color="auto"/>
              <w:left w:val="single" w:sz="4" w:space="0" w:color="auto"/>
              <w:bottom w:val="single" w:sz="4" w:space="0" w:color="auto"/>
            </w:tcBorders>
            <w:shd w:val="clear" w:color="auto" w:fill="FFFFFF"/>
            <w:vAlign w:val="center"/>
          </w:tcPr>
          <w:p w14:paraId="46400A21" w14:textId="77777777" w:rsidR="009A4C46" w:rsidRPr="0072390C" w:rsidRDefault="009A4C46" w:rsidP="009A4C46">
            <w:pPr>
              <w:widowControl w:val="0"/>
              <w:spacing w:after="0" w:line="190" w:lineRule="exact"/>
              <w:jc w:val="center"/>
              <w:rPr>
                <w:rFonts w:eastAsia="Times New Roman"/>
                <w:color w:val="auto"/>
                <w:lang w:eastAsia="ru-RU" w:bidi="ru-RU"/>
              </w:rPr>
            </w:pPr>
            <w:r w:rsidRPr="0072390C">
              <w:rPr>
                <w:rFonts w:eastAsia="Times New Roman"/>
                <w:bCs/>
                <w:color w:val="auto"/>
                <w:lang w:eastAsia="ru-RU" w:bidi="ru-RU"/>
              </w:rPr>
              <w:t>1 167 221</w:t>
            </w:r>
          </w:p>
        </w:tc>
        <w:tc>
          <w:tcPr>
            <w:tcW w:w="682" w:type="pct"/>
            <w:tcBorders>
              <w:top w:val="single" w:sz="4" w:space="0" w:color="auto"/>
              <w:left w:val="single" w:sz="4" w:space="0" w:color="auto"/>
              <w:bottom w:val="single" w:sz="4" w:space="0" w:color="auto"/>
              <w:right w:val="single" w:sz="4" w:space="0" w:color="auto"/>
            </w:tcBorders>
            <w:shd w:val="clear" w:color="auto" w:fill="FFFFFF"/>
            <w:vAlign w:val="center"/>
          </w:tcPr>
          <w:p w14:paraId="21D16E21" w14:textId="77777777" w:rsidR="009A4C46" w:rsidRPr="0072390C" w:rsidRDefault="009A4C46" w:rsidP="009A4C46">
            <w:pPr>
              <w:widowControl w:val="0"/>
              <w:spacing w:after="0" w:line="190" w:lineRule="exact"/>
              <w:jc w:val="center"/>
              <w:rPr>
                <w:rFonts w:eastAsia="Times New Roman"/>
                <w:color w:val="auto"/>
                <w:lang w:eastAsia="ru-RU" w:bidi="ru-RU"/>
              </w:rPr>
            </w:pPr>
            <w:r w:rsidRPr="0072390C">
              <w:rPr>
                <w:rFonts w:eastAsia="Times New Roman"/>
                <w:bCs/>
                <w:color w:val="auto"/>
                <w:lang w:eastAsia="ru-RU" w:bidi="ru-RU"/>
              </w:rPr>
              <w:t>0</w:t>
            </w:r>
          </w:p>
        </w:tc>
      </w:tr>
      <w:tr w:rsidR="00BD7E1C" w:rsidRPr="00BD7E1C" w14:paraId="6BF9A7DA" w14:textId="77777777" w:rsidTr="00F94FED">
        <w:trPr>
          <w:trHeight w:val="902"/>
        </w:trPr>
        <w:tc>
          <w:tcPr>
            <w:tcW w:w="184" w:type="pct"/>
            <w:tcBorders>
              <w:top w:val="single" w:sz="4" w:space="0" w:color="auto"/>
              <w:left w:val="single" w:sz="4" w:space="0" w:color="auto"/>
              <w:bottom w:val="single" w:sz="4" w:space="0" w:color="auto"/>
            </w:tcBorders>
            <w:shd w:val="clear" w:color="auto" w:fill="FFFFFF"/>
            <w:vAlign w:val="center"/>
          </w:tcPr>
          <w:p w14:paraId="4F9EF3E4" w14:textId="77777777" w:rsidR="009A4C46" w:rsidRPr="00BD7E1C" w:rsidRDefault="009A4C46" w:rsidP="009A4C46">
            <w:pPr>
              <w:widowControl w:val="0"/>
              <w:spacing w:after="0" w:line="190" w:lineRule="exact"/>
              <w:jc w:val="center"/>
              <w:rPr>
                <w:rFonts w:eastAsia="Times New Roman"/>
                <w:bCs/>
                <w:color w:val="auto"/>
                <w:lang w:eastAsia="ru-RU" w:bidi="ru-RU"/>
              </w:rPr>
            </w:pPr>
            <w:r w:rsidRPr="00BD7E1C">
              <w:rPr>
                <w:rFonts w:eastAsia="Times New Roman"/>
                <w:bCs/>
                <w:color w:val="auto"/>
                <w:lang w:eastAsia="ru-RU" w:bidi="ru-RU"/>
              </w:rPr>
              <w:t>3</w:t>
            </w:r>
          </w:p>
        </w:tc>
        <w:tc>
          <w:tcPr>
            <w:tcW w:w="726" w:type="pct"/>
            <w:tcBorders>
              <w:top w:val="single" w:sz="4" w:space="0" w:color="auto"/>
              <w:left w:val="single" w:sz="4" w:space="0" w:color="auto"/>
              <w:bottom w:val="single" w:sz="4" w:space="0" w:color="auto"/>
            </w:tcBorders>
            <w:shd w:val="clear" w:color="auto" w:fill="FFFFFF"/>
            <w:vAlign w:val="center"/>
          </w:tcPr>
          <w:p w14:paraId="1FFF41A1" w14:textId="77777777" w:rsidR="009A4C46" w:rsidRPr="00BD7E1C" w:rsidRDefault="009A4C46" w:rsidP="009A4C46">
            <w:pPr>
              <w:widowControl w:val="0"/>
              <w:spacing w:after="0" w:line="190" w:lineRule="exact"/>
              <w:jc w:val="center"/>
              <w:rPr>
                <w:rFonts w:eastAsia="Times New Roman"/>
                <w:bCs/>
                <w:color w:val="auto"/>
                <w:lang w:eastAsia="ru-RU" w:bidi="ru-RU"/>
              </w:rPr>
            </w:pPr>
            <w:r w:rsidRPr="00BD7E1C">
              <w:rPr>
                <w:rFonts w:eastAsia="Times New Roman"/>
                <w:bCs/>
                <w:color w:val="auto"/>
                <w:lang w:val="en-US" w:eastAsia="ru-RU" w:bidi="en-US"/>
              </w:rPr>
              <w:t xml:space="preserve">HBB </w:t>
            </w:r>
            <w:r w:rsidRPr="00BD7E1C">
              <w:rPr>
                <w:rFonts w:eastAsia="Times New Roman"/>
                <w:bCs/>
                <w:color w:val="auto"/>
                <w:lang w:eastAsia="ru-RU" w:bidi="ru-RU"/>
              </w:rPr>
              <w:t xml:space="preserve">ф </w:t>
            </w:r>
            <w:proofErr w:type="spellStart"/>
            <w:r w:rsidRPr="00BD7E1C">
              <w:rPr>
                <w:rFonts w:eastAsia="Times New Roman"/>
                <w:bCs/>
                <w:color w:val="auto"/>
                <w:lang w:val="en-US" w:eastAsia="ru-RU" w:bidi="ru-RU"/>
              </w:rPr>
              <w:t>i</w:t>
            </w:r>
            <w:proofErr w:type="spellEnd"/>
            <w:r w:rsidRPr="00BD7E1C">
              <w:rPr>
                <w:rFonts w:eastAsia="Times New Roman"/>
                <w:bCs/>
                <w:color w:val="auto"/>
                <w:lang w:eastAsia="ru-RU" w:bidi="ru-RU"/>
              </w:rPr>
              <w:t>-2</w:t>
            </w:r>
          </w:p>
        </w:tc>
        <w:tc>
          <w:tcPr>
            <w:tcW w:w="1893" w:type="pct"/>
            <w:tcBorders>
              <w:top w:val="single" w:sz="4" w:space="0" w:color="auto"/>
              <w:left w:val="single" w:sz="4" w:space="0" w:color="auto"/>
              <w:bottom w:val="single" w:sz="4" w:space="0" w:color="auto"/>
            </w:tcBorders>
            <w:shd w:val="clear" w:color="auto" w:fill="FFFFFF"/>
            <w:vAlign w:val="center"/>
          </w:tcPr>
          <w:p w14:paraId="1E858220" w14:textId="77777777" w:rsidR="009A4C46" w:rsidRPr="00BD7E1C" w:rsidRDefault="009A4C46" w:rsidP="00B44325">
            <w:pPr>
              <w:widowControl w:val="0"/>
              <w:spacing w:after="0" w:line="216" w:lineRule="exact"/>
              <w:rPr>
                <w:rFonts w:eastAsia="Times New Roman"/>
                <w:bCs/>
                <w:color w:val="auto"/>
                <w:lang w:eastAsia="ru-RU" w:bidi="ru-RU"/>
              </w:rPr>
            </w:pPr>
            <w:r w:rsidRPr="00BD7E1C">
              <w:rPr>
                <w:rFonts w:eastAsia="Times New Roman"/>
                <w:bCs/>
                <w:color w:val="auto"/>
                <w:lang w:eastAsia="ru-RU" w:bidi="ru-RU"/>
              </w:rPr>
              <w:t>Фактический объем выручки от реализации</w:t>
            </w:r>
            <w:r w:rsidRPr="00BD7E1C">
              <w:rPr>
                <w:rFonts w:eastAsia="Times New Roman"/>
                <w:color w:val="auto"/>
                <w:lang w:eastAsia="ru-RU"/>
              </w:rPr>
              <w:t xml:space="preserve"> </w:t>
            </w:r>
            <w:r w:rsidRPr="00BD7E1C">
              <w:rPr>
                <w:rFonts w:eastAsia="Times New Roman"/>
                <w:bCs/>
                <w:color w:val="auto"/>
                <w:lang w:eastAsia="ru-RU" w:bidi="ru-RU"/>
              </w:rPr>
              <w:t>продукции, по регулируемому виду деятельности за 2017 год</w:t>
            </w:r>
          </w:p>
        </w:tc>
        <w:tc>
          <w:tcPr>
            <w:tcW w:w="784" w:type="pct"/>
            <w:tcBorders>
              <w:top w:val="single" w:sz="4" w:space="0" w:color="auto"/>
              <w:left w:val="single" w:sz="4" w:space="0" w:color="auto"/>
              <w:bottom w:val="single" w:sz="4" w:space="0" w:color="auto"/>
            </w:tcBorders>
            <w:shd w:val="clear" w:color="auto" w:fill="FFFFFF"/>
            <w:vAlign w:val="center"/>
          </w:tcPr>
          <w:p w14:paraId="02DDC7CA" w14:textId="77777777" w:rsidR="009A4C46" w:rsidRPr="00BD7E1C" w:rsidRDefault="009A4C46" w:rsidP="009A4C46">
            <w:pPr>
              <w:widowControl w:val="0"/>
              <w:spacing w:after="0" w:line="190" w:lineRule="exact"/>
              <w:jc w:val="center"/>
              <w:rPr>
                <w:rFonts w:eastAsia="Times New Roman"/>
                <w:bCs/>
                <w:color w:val="auto"/>
                <w:lang w:eastAsia="ru-RU" w:bidi="ru-RU"/>
              </w:rPr>
            </w:pPr>
            <w:r w:rsidRPr="00BD7E1C">
              <w:rPr>
                <w:rFonts w:eastAsia="Times New Roman"/>
                <w:bCs/>
                <w:color w:val="auto"/>
                <w:lang w:eastAsia="ru-RU" w:bidi="ru-RU"/>
              </w:rPr>
              <w:t>1 091 577</w:t>
            </w:r>
          </w:p>
        </w:tc>
        <w:tc>
          <w:tcPr>
            <w:tcW w:w="731" w:type="pct"/>
            <w:tcBorders>
              <w:top w:val="single" w:sz="4" w:space="0" w:color="auto"/>
              <w:left w:val="single" w:sz="4" w:space="0" w:color="auto"/>
              <w:bottom w:val="single" w:sz="4" w:space="0" w:color="auto"/>
            </w:tcBorders>
            <w:shd w:val="clear" w:color="auto" w:fill="FFFFFF"/>
            <w:vAlign w:val="center"/>
          </w:tcPr>
          <w:p w14:paraId="114652C6" w14:textId="57B89BAB" w:rsidR="009A4C46" w:rsidRPr="00BD7E1C" w:rsidRDefault="00E3296D" w:rsidP="003E36F7">
            <w:pPr>
              <w:widowControl w:val="0"/>
              <w:spacing w:after="0" w:line="190" w:lineRule="exact"/>
              <w:jc w:val="center"/>
              <w:rPr>
                <w:rFonts w:eastAsia="Times New Roman"/>
                <w:bCs/>
                <w:color w:val="auto"/>
                <w:lang w:eastAsia="ru-RU" w:bidi="ru-RU"/>
              </w:rPr>
            </w:pPr>
            <w:r w:rsidRPr="00BD7E1C">
              <w:rPr>
                <w:rFonts w:eastAsia="Times New Roman"/>
                <w:bCs/>
                <w:color w:val="auto"/>
                <w:lang w:eastAsia="ru-RU" w:bidi="ru-RU"/>
              </w:rPr>
              <w:t>1 088 729,68</w:t>
            </w:r>
          </w:p>
        </w:tc>
        <w:tc>
          <w:tcPr>
            <w:tcW w:w="682" w:type="pct"/>
            <w:tcBorders>
              <w:top w:val="single" w:sz="4" w:space="0" w:color="auto"/>
              <w:left w:val="single" w:sz="4" w:space="0" w:color="auto"/>
              <w:bottom w:val="single" w:sz="4" w:space="0" w:color="auto"/>
              <w:right w:val="single" w:sz="4" w:space="0" w:color="auto"/>
            </w:tcBorders>
            <w:shd w:val="clear" w:color="auto" w:fill="FFFFFF"/>
            <w:vAlign w:val="center"/>
          </w:tcPr>
          <w:p w14:paraId="51E226DC" w14:textId="47A65587" w:rsidR="009A4C46" w:rsidRPr="00BD7E1C" w:rsidRDefault="00E3296D" w:rsidP="003E36F7">
            <w:pPr>
              <w:widowControl w:val="0"/>
              <w:spacing w:after="0" w:line="190" w:lineRule="exact"/>
              <w:jc w:val="center"/>
              <w:rPr>
                <w:rFonts w:eastAsia="Times New Roman"/>
                <w:bCs/>
                <w:color w:val="auto"/>
                <w:lang w:eastAsia="ru-RU" w:bidi="ru-RU"/>
              </w:rPr>
            </w:pPr>
            <w:r w:rsidRPr="00BD7E1C">
              <w:rPr>
                <w:rFonts w:eastAsia="Times New Roman"/>
                <w:bCs/>
                <w:color w:val="auto"/>
                <w:lang w:eastAsia="ru-RU" w:bidi="ru-RU"/>
              </w:rPr>
              <w:t>2 847,32</w:t>
            </w:r>
          </w:p>
        </w:tc>
      </w:tr>
    </w:tbl>
    <w:p w14:paraId="2C659A5D" w14:textId="77777777" w:rsidR="00B44325" w:rsidRPr="0072390C" w:rsidRDefault="00B44325" w:rsidP="00F94FED">
      <w:pPr>
        <w:spacing w:after="0" w:line="360" w:lineRule="auto"/>
        <w:ind w:firstLine="709"/>
        <w:jc w:val="both"/>
        <w:rPr>
          <w:rFonts w:eastAsia="Times New Roman"/>
          <w:color w:val="auto"/>
          <w:sz w:val="26"/>
          <w:szCs w:val="26"/>
          <w:lang w:eastAsia="ru-RU"/>
        </w:rPr>
      </w:pPr>
    </w:p>
    <w:p w14:paraId="47F9128D" w14:textId="6B03E222" w:rsidR="00BD7E1C" w:rsidRDefault="009A4C46" w:rsidP="00EB686C">
      <w:pPr>
        <w:spacing w:after="0" w:line="360" w:lineRule="auto"/>
        <w:ind w:firstLine="709"/>
        <w:jc w:val="both"/>
        <w:rPr>
          <w:rFonts w:eastAsia="Times New Roman"/>
          <w:sz w:val="28"/>
          <w:szCs w:val="28"/>
          <w:lang w:eastAsia="ru-RU"/>
        </w:rPr>
      </w:pPr>
      <w:bookmarkStart w:id="55" w:name="_Hlk41405911"/>
      <w:r w:rsidRPr="0072390C">
        <w:rPr>
          <w:rFonts w:eastAsia="Times New Roman"/>
          <w:color w:val="auto"/>
          <w:sz w:val="26"/>
          <w:szCs w:val="26"/>
          <w:lang w:eastAsia="ru-RU"/>
        </w:rPr>
        <w:t xml:space="preserve">Таким образом, согласно расчету Исполнителя, корректировка необходимой валовой выручки на 2019 год по объему фактической выручки 2017 года составляет </w:t>
      </w:r>
      <w:r w:rsidR="00E3296D">
        <w:rPr>
          <w:rFonts w:eastAsia="Times New Roman"/>
          <w:color w:val="auto"/>
          <w:sz w:val="26"/>
          <w:szCs w:val="26"/>
          <w:lang w:eastAsia="ru-RU"/>
        </w:rPr>
        <w:t>78 491,37</w:t>
      </w:r>
      <w:r w:rsidRPr="0072390C">
        <w:rPr>
          <w:rFonts w:eastAsia="Times New Roman"/>
          <w:color w:val="auto"/>
          <w:sz w:val="26"/>
          <w:szCs w:val="26"/>
          <w:lang w:eastAsia="ru-RU"/>
        </w:rPr>
        <w:t xml:space="preserve"> тыс. руб.</w:t>
      </w:r>
      <w:r w:rsidR="004D58E8" w:rsidRPr="0072390C">
        <w:rPr>
          <w:rFonts w:eastAsia="Times New Roman"/>
          <w:color w:val="auto"/>
          <w:sz w:val="26"/>
          <w:szCs w:val="26"/>
          <w:lang w:eastAsia="ru-RU"/>
        </w:rPr>
        <w:t xml:space="preserve">, что на </w:t>
      </w:r>
      <w:r w:rsidR="00E3296D">
        <w:rPr>
          <w:rFonts w:eastAsia="Times New Roman"/>
          <w:color w:val="auto"/>
          <w:sz w:val="26"/>
          <w:szCs w:val="26"/>
          <w:lang w:eastAsia="ru-RU"/>
        </w:rPr>
        <w:t>2 847,32</w:t>
      </w:r>
      <w:r w:rsidR="004D58E8" w:rsidRPr="0072390C">
        <w:rPr>
          <w:rFonts w:eastAsia="Times New Roman"/>
          <w:color w:val="auto"/>
          <w:sz w:val="26"/>
          <w:szCs w:val="26"/>
          <w:lang w:eastAsia="ru-RU"/>
        </w:rPr>
        <w:t xml:space="preserve">  тыс. руб. больше величины корректировки, определенной Службой.</w:t>
      </w:r>
      <w:bookmarkEnd w:id="55"/>
      <w:r w:rsidRPr="009A4C46">
        <w:rPr>
          <w:rFonts w:eastAsia="Times New Roman"/>
          <w:sz w:val="28"/>
          <w:szCs w:val="28"/>
          <w:lang w:eastAsia="ru-RU"/>
        </w:rPr>
        <w:br w:type="page"/>
      </w:r>
    </w:p>
    <w:p w14:paraId="00AEE1AF" w14:textId="77777777" w:rsidR="009A4C46" w:rsidRPr="00F94FED" w:rsidRDefault="009A4C46" w:rsidP="00F94FED">
      <w:pPr>
        <w:pStyle w:val="3"/>
        <w:numPr>
          <w:ilvl w:val="1"/>
          <w:numId w:val="1"/>
        </w:numPr>
        <w:spacing w:line="360" w:lineRule="auto"/>
        <w:ind w:left="567" w:hanging="567"/>
        <w:jc w:val="both"/>
        <w:rPr>
          <w:b/>
          <w:color w:val="4F6228" w:themeColor="accent3" w:themeShade="80"/>
          <w:sz w:val="28"/>
          <w:szCs w:val="28"/>
        </w:rPr>
      </w:pPr>
      <w:bookmarkStart w:id="56" w:name="_Toc40554856"/>
      <w:bookmarkStart w:id="57" w:name="_Toc40733191"/>
      <w:r w:rsidRPr="00F94FED">
        <w:rPr>
          <w:rFonts w:ascii="Myriad Pro" w:hAnsi="Myriad Pro"/>
          <w:b/>
          <w:color w:val="4F6228" w:themeColor="accent3" w:themeShade="80"/>
          <w:sz w:val="28"/>
          <w:szCs w:val="28"/>
        </w:rPr>
        <w:lastRenderedPageBreak/>
        <w:t>Анализ перераспределения необходимой валовой выручки между годами долгосрочного периода в том числе по периодам регулирования, относящимся к разным долгосрочным периодам регулирования</w:t>
      </w:r>
      <w:bookmarkEnd w:id="56"/>
      <w:bookmarkEnd w:id="57"/>
    </w:p>
    <w:p w14:paraId="5014AA93" w14:textId="77777777" w:rsidR="009A4C46" w:rsidRPr="00F94FED" w:rsidRDefault="009A4C46" w:rsidP="00F94FED">
      <w:pPr>
        <w:autoSpaceDE w:val="0"/>
        <w:autoSpaceDN w:val="0"/>
        <w:adjustRightInd w:val="0"/>
        <w:spacing w:after="0" w:line="360" w:lineRule="auto"/>
        <w:ind w:firstLine="567"/>
        <w:jc w:val="both"/>
        <w:rPr>
          <w:rFonts w:eastAsia="Calibri"/>
          <w:sz w:val="26"/>
          <w:szCs w:val="26"/>
        </w:rPr>
      </w:pPr>
      <w:r w:rsidRPr="00F94FED">
        <w:rPr>
          <w:rFonts w:eastAsia="Calibri"/>
          <w:sz w:val="26"/>
          <w:szCs w:val="26"/>
        </w:rPr>
        <w:t>В соответствии с Основами ценообразования № 1178 в составе НВВ в соответствующем году регулирования может учитываться величина распределяемых в целях сглаживания изменения тарифов исключаемых необоснованных доходов и расходов, выявленных в том числе по результатам проверки хозяйственной деятельности регулируемой организации и учитываемых экономически обоснованных расходов, не учтенных при установлении регулируемых цен (тарифов) на тот период регулирования, в котором они понесены, или доходов, недополученных при осуществлении регулируемой деятельности в этот период регулирования, а также результаты деятельности регулируемой организации за предыдущие годы до начала долгосрочного периода регулирования методом долгосрочной индексации необходимой валовой выручки или до изменения метода регулирования согласно абзацу второму пункта 39 Основ ценообразования.</w:t>
      </w:r>
    </w:p>
    <w:p w14:paraId="43E0A57E" w14:textId="77777777" w:rsidR="009A4C46" w:rsidRPr="00F94FED" w:rsidRDefault="009A4C46" w:rsidP="00F94FED">
      <w:pPr>
        <w:autoSpaceDE w:val="0"/>
        <w:autoSpaceDN w:val="0"/>
        <w:adjustRightInd w:val="0"/>
        <w:spacing w:after="0" w:line="360" w:lineRule="auto"/>
        <w:ind w:firstLine="567"/>
        <w:jc w:val="both"/>
        <w:rPr>
          <w:rFonts w:eastAsia="Calibri"/>
          <w:sz w:val="26"/>
          <w:szCs w:val="26"/>
        </w:rPr>
      </w:pPr>
      <w:r w:rsidRPr="00F94FED">
        <w:rPr>
          <w:rFonts w:eastAsia="Calibri"/>
          <w:sz w:val="26"/>
          <w:szCs w:val="26"/>
        </w:rPr>
        <w:t>Распределение в целях сглаживания изменения тарифов исключаемых необоснованных доходов и расходов, выявленных в том числе по результатам проверки хозяйственной деятельности регулируемой организации, учитываемых экономически обоснованных расходов, не учтенных при установлении регулируемых цен (тарифов) на тот период регулирования, в котором они понесены, или доходов, недополученных при осуществлении регулируемой деятельности в этот период регулирования, осуществляется на период не более 5 лет.</w:t>
      </w:r>
    </w:p>
    <w:p w14:paraId="1C399AC8" w14:textId="77777777" w:rsidR="009A4C46" w:rsidRPr="00F94FED" w:rsidRDefault="009A4C46" w:rsidP="00F94FED">
      <w:pPr>
        <w:autoSpaceDE w:val="0"/>
        <w:autoSpaceDN w:val="0"/>
        <w:adjustRightInd w:val="0"/>
        <w:spacing w:after="0" w:line="360" w:lineRule="auto"/>
        <w:ind w:firstLine="567"/>
        <w:jc w:val="both"/>
        <w:rPr>
          <w:rFonts w:eastAsia="Calibri"/>
          <w:sz w:val="26"/>
          <w:szCs w:val="26"/>
        </w:rPr>
      </w:pPr>
      <w:r w:rsidRPr="00F94FED">
        <w:rPr>
          <w:rFonts w:eastAsia="Calibri"/>
          <w:sz w:val="26"/>
          <w:szCs w:val="26"/>
        </w:rPr>
        <w:t xml:space="preserve">Распределяемые в целях сглаживания изменения тарифов исключаемые необоснованные доходы и расходы, выявленные в том числе по результатам проверки хозяйственной деятельности регулируемой организации, учитываемые экономически обоснованные расходы, не учтенные при установлении регулируемых цен (тарифов) на тот период регулирования, в котором они </w:t>
      </w:r>
      <w:r w:rsidRPr="00F94FED">
        <w:rPr>
          <w:rFonts w:eastAsia="Calibri"/>
          <w:sz w:val="26"/>
          <w:szCs w:val="26"/>
        </w:rPr>
        <w:lastRenderedPageBreak/>
        <w:t>понесены, или доходы, недополученные при осуществлении регулируемой деятельности в этот период регулирования, включаются в необходимую валовую выручку регулируемой организации с учетом параметров прогноза социально-экономического развития Российской Федерации.</w:t>
      </w:r>
    </w:p>
    <w:p w14:paraId="68F3B37C" w14:textId="77777777" w:rsidR="009A4C46" w:rsidRPr="00F94FED" w:rsidRDefault="009A4C46" w:rsidP="00F94FED">
      <w:pPr>
        <w:autoSpaceDE w:val="0"/>
        <w:autoSpaceDN w:val="0"/>
        <w:adjustRightInd w:val="0"/>
        <w:spacing w:after="0" w:line="360" w:lineRule="auto"/>
        <w:ind w:firstLine="567"/>
        <w:jc w:val="both"/>
        <w:rPr>
          <w:rFonts w:eastAsia="Calibri"/>
          <w:sz w:val="26"/>
          <w:szCs w:val="26"/>
        </w:rPr>
      </w:pPr>
      <w:r w:rsidRPr="00F94FED">
        <w:rPr>
          <w:rFonts w:eastAsia="Calibri"/>
          <w:sz w:val="26"/>
          <w:szCs w:val="26"/>
        </w:rPr>
        <w:t>Перераспределение доходов и расходов может включать в себя в том числе величину перераспределения необходимой валовой выручки, осуществлявшегося в целях сглаживания роста тарифов при применении метода доходности инвестированного капитала до перехода к регулированию методом долгосрочной индексации необходимой валовой выручки.</w:t>
      </w:r>
    </w:p>
    <w:p w14:paraId="68398B2A" w14:textId="77777777" w:rsidR="009A4C46" w:rsidRPr="00F94FED" w:rsidRDefault="009A4C46" w:rsidP="00F94FED">
      <w:pPr>
        <w:autoSpaceDE w:val="0"/>
        <w:autoSpaceDN w:val="0"/>
        <w:adjustRightInd w:val="0"/>
        <w:spacing w:after="0" w:line="360" w:lineRule="auto"/>
        <w:ind w:firstLine="567"/>
        <w:jc w:val="both"/>
        <w:rPr>
          <w:rFonts w:eastAsia="Calibri"/>
          <w:sz w:val="26"/>
          <w:szCs w:val="26"/>
        </w:rPr>
      </w:pPr>
      <w:r w:rsidRPr="00F94FED">
        <w:rPr>
          <w:rFonts w:eastAsia="Calibri"/>
          <w:sz w:val="26"/>
          <w:szCs w:val="26"/>
        </w:rPr>
        <w:t>Величина перераспределения может принимать как положительные, так и отрицательные значения.</w:t>
      </w:r>
    </w:p>
    <w:p w14:paraId="029CB26A" w14:textId="3AAFE447" w:rsidR="009A4C46" w:rsidRDefault="009A4C46" w:rsidP="0059122D">
      <w:pPr>
        <w:autoSpaceDE w:val="0"/>
        <w:autoSpaceDN w:val="0"/>
        <w:adjustRightInd w:val="0"/>
        <w:spacing w:after="0" w:line="360" w:lineRule="auto"/>
        <w:ind w:firstLine="567"/>
        <w:jc w:val="both"/>
        <w:rPr>
          <w:rFonts w:eastAsia="Calibri"/>
          <w:sz w:val="26"/>
          <w:szCs w:val="26"/>
        </w:rPr>
      </w:pPr>
      <w:r w:rsidRPr="00F94FED">
        <w:rPr>
          <w:rFonts w:eastAsia="Calibri"/>
          <w:sz w:val="26"/>
          <w:szCs w:val="26"/>
        </w:rPr>
        <w:t>Величина перераспределения не определяется для территориальных сетевых организаций, необходимая валовая выручка которых с учетом расходов на оплату потерь и оплату услуг других территориальных сетевых организаций за 3 последних периода регулирования не превысила 10 процентов суммарной необходимой валовой выручки территориальных сетевых организаций, учтенной при установлении единых (котловых) тарифов на услуги по передаче электрической энергии, за исключением результатов деятельности регулируемой организации за предыдущие годы до начала долгосрочного периода регулирования методом долгосрочной индексации необходимой валовой выручки или до изменения метода регулирования согласно абзацу второму пункта 39 Основ ценообразования.</w:t>
      </w:r>
    </w:p>
    <w:p w14:paraId="08D55CA6" w14:textId="77777777" w:rsidR="0059122D" w:rsidRPr="00F94FED" w:rsidRDefault="0059122D" w:rsidP="00F94FED">
      <w:pPr>
        <w:autoSpaceDE w:val="0"/>
        <w:autoSpaceDN w:val="0"/>
        <w:adjustRightInd w:val="0"/>
        <w:spacing w:after="0" w:line="360" w:lineRule="auto"/>
        <w:ind w:firstLine="567"/>
        <w:jc w:val="both"/>
        <w:rPr>
          <w:rFonts w:eastAsia="Calibri"/>
          <w:sz w:val="26"/>
          <w:szCs w:val="26"/>
        </w:rPr>
      </w:pPr>
    </w:p>
    <w:p w14:paraId="50752C0D" w14:textId="4918A344" w:rsidR="009A4C46" w:rsidRPr="00F94FED" w:rsidRDefault="00195CA9" w:rsidP="001D2691">
      <w:pPr>
        <w:autoSpaceDE w:val="0"/>
        <w:autoSpaceDN w:val="0"/>
        <w:adjustRightInd w:val="0"/>
        <w:spacing w:after="0" w:line="360" w:lineRule="auto"/>
        <w:jc w:val="both"/>
        <w:rPr>
          <w:rFonts w:eastAsia="Calibri"/>
          <w:b/>
          <w:bCs/>
          <w:sz w:val="26"/>
          <w:szCs w:val="26"/>
        </w:rPr>
      </w:pPr>
      <w:r w:rsidRPr="00F94FED">
        <w:rPr>
          <w:rFonts w:eastAsia="Calibri"/>
          <w:b/>
          <w:bCs/>
          <w:sz w:val="26"/>
          <w:szCs w:val="26"/>
        </w:rPr>
        <w:t>ПОЗИЦИЯ ТЕРРИТОРИАЛЬНОЙ СЕТЕВОЙ ОРГАНИЗАЦИИ</w:t>
      </w:r>
    </w:p>
    <w:p w14:paraId="254F7DE3" w14:textId="14C975CB" w:rsidR="009A4C46" w:rsidRPr="009A4C46" w:rsidRDefault="009A4C46" w:rsidP="00F94FED">
      <w:pPr>
        <w:autoSpaceDE w:val="0"/>
        <w:autoSpaceDN w:val="0"/>
        <w:adjustRightInd w:val="0"/>
        <w:spacing w:after="32" w:line="360" w:lineRule="auto"/>
        <w:ind w:firstLine="567"/>
        <w:jc w:val="both"/>
        <w:rPr>
          <w:rFonts w:eastAsia="Calibri"/>
          <w:sz w:val="28"/>
          <w:szCs w:val="28"/>
        </w:rPr>
      </w:pPr>
      <w:r w:rsidRPr="00F94FED">
        <w:rPr>
          <w:rFonts w:eastAsia="Calibri"/>
          <w:sz w:val="26"/>
          <w:szCs w:val="26"/>
        </w:rPr>
        <w:t xml:space="preserve">В составе обосновывающих материалов АО «Тываэнерго» представило расчет перераспределения и выпадающих расходов по годам с целью корректировки НВВ 2019 года. </w:t>
      </w:r>
    </w:p>
    <w:tbl>
      <w:tblPr>
        <w:tblStyle w:val="af8"/>
        <w:tblW w:w="5000" w:type="pct"/>
        <w:tblLayout w:type="fixed"/>
        <w:tblLook w:val="04A0" w:firstRow="1" w:lastRow="0" w:firstColumn="1" w:lastColumn="0" w:noHBand="0" w:noVBand="1"/>
      </w:tblPr>
      <w:tblGrid>
        <w:gridCol w:w="444"/>
        <w:gridCol w:w="1917"/>
        <w:gridCol w:w="775"/>
        <w:gridCol w:w="775"/>
        <w:gridCol w:w="776"/>
        <w:gridCol w:w="776"/>
        <w:gridCol w:w="776"/>
        <w:gridCol w:w="776"/>
        <w:gridCol w:w="776"/>
        <w:gridCol w:w="776"/>
        <w:gridCol w:w="778"/>
      </w:tblGrid>
      <w:tr w:rsidR="009A4C46" w:rsidRPr="009A4C46" w14:paraId="50A89FAE" w14:textId="77777777" w:rsidTr="00F94FED">
        <w:trPr>
          <w:trHeight w:val="600"/>
          <w:tblHeader/>
        </w:trPr>
        <w:tc>
          <w:tcPr>
            <w:tcW w:w="23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59D23B6" w14:textId="77777777" w:rsidR="009A4C46" w:rsidRPr="00F94FED" w:rsidRDefault="009A4C46" w:rsidP="009A4C46">
            <w:pPr>
              <w:autoSpaceDE w:val="0"/>
              <w:autoSpaceDN w:val="0"/>
              <w:adjustRightInd w:val="0"/>
              <w:jc w:val="center"/>
              <w:rPr>
                <w:rFonts w:eastAsia="Calibri"/>
                <w:b/>
                <w:color w:val="FFFFFF" w:themeColor="background1"/>
                <w:sz w:val="16"/>
                <w:szCs w:val="16"/>
              </w:rPr>
            </w:pPr>
            <w:r w:rsidRPr="00F94FED">
              <w:rPr>
                <w:rFonts w:eastAsia="Calibri"/>
                <w:b/>
                <w:color w:val="FFFFFF" w:themeColor="background1"/>
                <w:sz w:val="16"/>
                <w:szCs w:val="16"/>
              </w:rPr>
              <w:lastRenderedPageBreak/>
              <w:t>№ п/п</w:t>
            </w:r>
          </w:p>
        </w:tc>
        <w:tc>
          <w:tcPr>
            <w:tcW w:w="102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86FEA70" w14:textId="77777777" w:rsidR="009A4C46" w:rsidRPr="00F94FED" w:rsidRDefault="009A4C46" w:rsidP="009A4C46">
            <w:pPr>
              <w:autoSpaceDE w:val="0"/>
              <w:autoSpaceDN w:val="0"/>
              <w:adjustRightInd w:val="0"/>
              <w:jc w:val="center"/>
              <w:rPr>
                <w:rFonts w:eastAsia="Calibri"/>
                <w:b/>
                <w:color w:val="FFFFFF" w:themeColor="background1"/>
                <w:sz w:val="16"/>
                <w:szCs w:val="16"/>
              </w:rPr>
            </w:pPr>
            <w:r w:rsidRPr="00F94FED">
              <w:rPr>
                <w:rFonts w:eastAsia="Calibri"/>
                <w:b/>
                <w:color w:val="FFFFFF" w:themeColor="background1"/>
                <w:sz w:val="16"/>
                <w:szCs w:val="16"/>
              </w:rPr>
              <w:t>Наименование показателя</w:t>
            </w:r>
          </w:p>
        </w:tc>
        <w:tc>
          <w:tcPr>
            <w:tcW w:w="3736" w:type="pct"/>
            <w:gridSpan w:val="9"/>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881A520" w14:textId="1FD4CB0C" w:rsidR="009A4C46" w:rsidRPr="00F94FED" w:rsidRDefault="009A4C46" w:rsidP="009A4C46">
            <w:pPr>
              <w:autoSpaceDE w:val="0"/>
              <w:autoSpaceDN w:val="0"/>
              <w:adjustRightInd w:val="0"/>
              <w:jc w:val="center"/>
              <w:rPr>
                <w:rFonts w:eastAsia="Calibri"/>
                <w:b/>
                <w:color w:val="FFFFFF" w:themeColor="background1"/>
                <w:sz w:val="16"/>
                <w:szCs w:val="16"/>
              </w:rPr>
            </w:pPr>
            <w:r w:rsidRPr="00F94FED">
              <w:rPr>
                <w:rFonts w:eastAsia="Calibri"/>
                <w:b/>
                <w:color w:val="FFFFFF" w:themeColor="background1"/>
                <w:sz w:val="16"/>
                <w:szCs w:val="16"/>
              </w:rPr>
              <w:t>Значение показателя</w:t>
            </w:r>
            <w:r w:rsidR="0059122D">
              <w:rPr>
                <w:rFonts w:eastAsia="Calibri"/>
                <w:b/>
                <w:color w:val="FFFFFF" w:themeColor="background1"/>
                <w:sz w:val="16"/>
                <w:szCs w:val="16"/>
              </w:rPr>
              <w:t>, тыс. руб.</w:t>
            </w:r>
          </w:p>
        </w:tc>
      </w:tr>
      <w:tr w:rsidR="00F94FED" w:rsidRPr="009A4C46" w14:paraId="4017E32B" w14:textId="77777777" w:rsidTr="00F94FED">
        <w:trPr>
          <w:trHeight w:val="690"/>
          <w:tblHeader/>
        </w:trPr>
        <w:tc>
          <w:tcPr>
            <w:tcW w:w="23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002B4FE" w14:textId="77777777" w:rsidR="009A4C46" w:rsidRPr="00F94FED" w:rsidRDefault="009A4C46" w:rsidP="009A4C46">
            <w:pPr>
              <w:autoSpaceDE w:val="0"/>
              <w:autoSpaceDN w:val="0"/>
              <w:adjustRightInd w:val="0"/>
              <w:jc w:val="center"/>
              <w:rPr>
                <w:rFonts w:eastAsia="Calibri"/>
                <w:color w:val="FFFFFF" w:themeColor="background1"/>
                <w:sz w:val="16"/>
                <w:szCs w:val="16"/>
              </w:rPr>
            </w:pPr>
            <w:r w:rsidRPr="00F94FED">
              <w:rPr>
                <w:rFonts w:eastAsia="Calibri"/>
                <w:color w:val="FFFFFF" w:themeColor="background1"/>
                <w:sz w:val="16"/>
                <w:szCs w:val="16"/>
              </w:rPr>
              <w:t>1</w:t>
            </w:r>
          </w:p>
        </w:tc>
        <w:tc>
          <w:tcPr>
            <w:tcW w:w="102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2E66BDC" w14:textId="77777777" w:rsidR="009A4C46" w:rsidRPr="00F94FED" w:rsidRDefault="009A4C46" w:rsidP="009A4C46">
            <w:pPr>
              <w:autoSpaceDE w:val="0"/>
              <w:autoSpaceDN w:val="0"/>
              <w:adjustRightInd w:val="0"/>
              <w:rPr>
                <w:rFonts w:eastAsia="Calibri"/>
                <w:color w:val="FFFFFF" w:themeColor="background1"/>
                <w:sz w:val="16"/>
                <w:szCs w:val="16"/>
              </w:rPr>
            </w:pPr>
            <w:r w:rsidRPr="00F94FED">
              <w:rPr>
                <w:rFonts w:eastAsia="Calibri"/>
                <w:color w:val="FFFFFF" w:themeColor="background1"/>
                <w:sz w:val="16"/>
                <w:szCs w:val="16"/>
              </w:rPr>
              <w:t>Год долгосрочного периода регулирования, в котором необходимо учесть корректировку</w:t>
            </w:r>
          </w:p>
        </w:tc>
        <w:tc>
          <w:tcPr>
            <w:tcW w:w="41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CC4ACDD" w14:textId="77777777" w:rsidR="009A4C46" w:rsidRPr="00F94FED" w:rsidRDefault="009A4C46" w:rsidP="009A4C46">
            <w:pPr>
              <w:autoSpaceDE w:val="0"/>
              <w:autoSpaceDN w:val="0"/>
              <w:adjustRightInd w:val="0"/>
              <w:jc w:val="center"/>
              <w:rPr>
                <w:rFonts w:eastAsia="Calibri"/>
                <w:b/>
                <w:color w:val="FFFFFF" w:themeColor="background1"/>
                <w:sz w:val="16"/>
                <w:szCs w:val="16"/>
              </w:rPr>
            </w:pPr>
            <w:r w:rsidRPr="00F94FED">
              <w:rPr>
                <w:rFonts w:eastAsia="Calibri"/>
                <w:b/>
                <w:color w:val="FFFFFF" w:themeColor="background1"/>
                <w:sz w:val="16"/>
                <w:szCs w:val="16"/>
              </w:rPr>
              <w:t>2012</w:t>
            </w:r>
          </w:p>
        </w:tc>
        <w:tc>
          <w:tcPr>
            <w:tcW w:w="41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028813D" w14:textId="77777777" w:rsidR="009A4C46" w:rsidRPr="00F94FED" w:rsidRDefault="009A4C46" w:rsidP="009A4C46">
            <w:pPr>
              <w:autoSpaceDE w:val="0"/>
              <w:autoSpaceDN w:val="0"/>
              <w:adjustRightInd w:val="0"/>
              <w:jc w:val="center"/>
              <w:rPr>
                <w:rFonts w:eastAsia="Calibri"/>
                <w:b/>
                <w:color w:val="FFFFFF" w:themeColor="background1"/>
                <w:sz w:val="16"/>
                <w:szCs w:val="16"/>
              </w:rPr>
            </w:pPr>
            <w:r w:rsidRPr="00F94FED">
              <w:rPr>
                <w:rFonts w:eastAsia="Calibri"/>
                <w:b/>
                <w:color w:val="FFFFFF" w:themeColor="background1"/>
                <w:sz w:val="16"/>
                <w:szCs w:val="16"/>
              </w:rPr>
              <w:t>2013</w:t>
            </w:r>
          </w:p>
        </w:tc>
        <w:tc>
          <w:tcPr>
            <w:tcW w:w="41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CF2CAAB" w14:textId="77777777" w:rsidR="009A4C46" w:rsidRPr="00F94FED" w:rsidRDefault="009A4C46" w:rsidP="009A4C46">
            <w:pPr>
              <w:autoSpaceDE w:val="0"/>
              <w:autoSpaceDN w:val="0"/>
              <w:adjustRightInd w:val="0"/>
              <w:jc w:val="center"/>
              <w:rPr>
                <w:rFonts w:eastAsia="Calibri"/>
                <w:b/>
                <w:color w:val="FFFFFF" w:themeColor="background1"/>
                <w:sz w:val="16"/>
                <w:szCs w:val="16"/>
              </w:rPr>
            </w:pPr>
            <w:r w:rsidRPr="00F94FED">
              <w:rPr>
                <w:rFonts w:eastAsia="Calibri"/>
                <w:b/>
                <w:color w:val="FFFFFF" w:themeColor="background1"/>
                <w:sz w:val="16"/>
                <w:szCs w:val="16"/>
              </w:rPr>
              <w:t>2014</w:t>
            </w:r>
          </w:p>
        </w:tc>
        <w:tc>
          <w:tcPr>
            <w:tcW w:w="41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955BCDE" w14:textId="77777777" w:rsidR="009A4C46" w:rsidRPr="00F94FED" w:rsidRDefault="009A4C46" w:rsidP="009A4C46">
            <w:pPr>
              <w:autoSpaceDE w:val="0"/>
              <w:autoSpaceDN w:val="0"/>
              <w:adjustRightInd w:val="0"/>
              <w:jc w:val="center"/>
              <w:rPr>
                <w:rFonts w:eastAsia="Calibri"/>
                <w:b/>
                <w:color w:val="FFFFFF" w:themeColor="background1"/>
                <w:sz w:val="16"/>
                <w:szCs w:val="16"/>
              </w:rPr>
            </w:pPr>
            <w:r w:rsidRPr="00F94FED">
              <w:rPr>
                <w:rFonts w:eastAsia="Calibri"/>
                <w:b/>
                <w:color w:val="FFFFFF" w:themeColor="background1"/>
                <w:sz w:val="16"/>
                <w:szCs w:val="16"/>
              </w:rPr>
              <w:t>2015</w:t>
            </w:r>
          </w:p>
        </w:tc>
        <w:tc>
          <w:tcPr>
            <w:tcW w:w="41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93B53B5" w14:textId="77777777" w:rsidR="009A4C46" w:rsidRPr="00F94FED" w:rsidRDefault="009A4C46" w:rsidP="009A4C46">
            <w:pPr>
              <w:autoSpaceDE w:val="0"/>
              <w:autoSpaceDN w:val="0"/>
              <w:adjustRightInd w:val="0"/>
              <w:jc w:val="center"/>
              <w:rPr>
                <w:rFonts w:eastAsia="Calibri"/>
                <w:b/>
                <w:color w:val="FFFFFF" w:themeColor="background1"/>
                <w:sz w:val="16"/>
                <w:szCs w:val="16"/>
              </w:rPr>
            </w:pPr>
            <w:r w:rsidRPr="00F94FED">
              <w:rPr>
                <w:rFonts w:eastAsia="Calibri"/>
                <w:b/>
                <w:color w:val="FFFFFF" w:themeColor="background1"/>
                <w:sz w:val="16"/>
                <w:szCs w:val="16"/>
              </w:rPr>
              <w:t>2016</w:t>
            </w:r>
          </w:p>
        </w:tc>
        <w:tc>
          <w:tcPr>
            <w:tcW w:w="41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4073665" w14:textId="77777777" w:rsidR="009A4C46" w:rsidRPr="00F94FED" w:rsidRDefault="009A4C46" w:rsidP="009A4C46">
            <w:pPr>
              <w:autoSpaceDE w:val="0"/>
              <w:autoSpaceDN w:val="0"/>
              <w:adjustRightInd w:val="0"/>
              <w:jc w:val="center"/>
              <w:rPr>
                <w:rFonts w:eastAsia="Calibri"/>
                <w:b/>
                <w:color w:val="FFFFFF" w:themeColor="background1"/>
                <w:sz w:val="16"/>
                <w:szCs w:val="16"/>
              </w:rPr>
            </w:pPr>
            <w:r w:rsidRPr="00F94FED">
              <w:rPr>
                <w:rFonts w:eastAsia="Calibri"/>
                <w:b/>
                <w:color w:val="FFFFFF" w:themeColor="background1"/>
                <w:sz w:val="16"/>
                <w:szCs w:val="16"/>
              </w:rPr>
              <w:t>2017</w:t>
            </w:r>
          </w:p>
        </w:tc>
        <w:tc>
          <w:tcPr>
            <w:tcW w:w="41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3BEB342" w14:textId="77777777" w:rsidR="009A4C46" w:rsidRPr="00F94FED" w:rsidRDefault="009A4C46" w:rsidP="009A4C46">
            <w:pPr>
              <w:autoSpaceDE w:val="0"/>
              <w:autoSpaceDN w:val="0"/>
              <w:adjustRightInd w:val="0"/>
              <w:jc w:val="center"/>
              <w:rPr>
                <w:rFonts w:eastAsia="Calibri"/>
                <w:b/>
                <w:color w:val="FFFFFF" w:themeColor="background1"/>
                <w:sz w:val="16"/>
                <w:szCs w:val="16"/>
              </w:rPr>
            </w:pPr>
            <w:r w:rsidRPr="00F94FED">
              <w:rPr>
                <w:rFonts w:eastAsia="Calibri"/>
                <w:b/>
                <w:color w:val="FFFFFF" w:themeColor="background1"/>
                <w:sz w:val="16"/>
                <w:szCs w:val="16"/>
              </w:rPr>
              <w:t>2018</w:t>
            </w:r>
          </w:p>
        </w:tc>
        <w:tc>
          <w:tcPr>
            <w:tcW w:w="41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5EFBA67" w14:textId="77777777" w:rsidR="009A4C46" w:rsidRPr="00F94FED" w:rsidRDefault="009A4C46" w:rsidP="009A4C46">
            <w:pPr>
              <w:autoSpaceDE w:val="0"/>
              <w:autoSpaceDN w:val="0"/>
              <w:adjustRightInd w:val="0"/>
              <w:jc w:val="center"/>
              <w:rPr>
                <w:rFonts w:eastAsia="Calibri"/>
                <w:b/>
                <w:color w:val="FFFFFF" w:themeColor="background1"/>
                <w:sz w:val="16"/>
                <w:szCs w:val="16"/>
              </w:rPr>
            </w:pPr>
            <w:r w:rsidRPr="00F94FED">
              <w:rPr>
                <w:rFonts w:eastAsia="Calibri"/>
                <w:b/>
                <w:color w:val="FFFFFF" w:themeColor="background1"/>
                <w:sz w:val="16"/>
                <w:szCs w:val="16"/>
              </w:rPr>
              <w:t>2019</w:t>
            </w:r>
          </w:p>
        </w:tc>
        <w:tc>
          <w:tcPr>
            <w:tcW w:w="41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8CEC993" w14:textId="77777777" w:rsidR="009A4C46" w:rsidRPr="00F94FED" w:rsidRDefault="009A4C46" w:rsidP="009A4C46">
            <w:pPr>
              <w:autoSpaceDE w:val="0"/>
              <w:autoSpaceDN w:val="0"/>
              <w:adjustRightInd w:val="0"/>
              <w:jc w:val="center"/>
              <w:rPr>
                <w:rFonts w:eastAsia="Calibri"/>
                <w:b/>
                <w:color w:val="FFFFFF" w:themeColor="background1"/>
                <w:sz w:val="16"/>
                <w:szCs w:val="16"/>
              </w:rPr>
            </w:pPr>
            <w:r w:rsidRPr="00F94FED">
              <w:rPr>
                <w:rFonts w:eastAsia="Calibri"/>
                <w:b/>
                <w:color w:val="FFFFFF" w:themeColor="background1"/>
                <w:sz w:val="16"/>
                <w:szCs w:val="16"/>
              </w:rPr>
              <w:t>Итого</w:t>
            </w:r>
          </w:p>
        </w:tc>
      </w:tr>
      <w:tr w:rsidR="009A4C46" w:rsidRPr="009A4C46" w14:paraId="4BFD159C" w14:textId="77777777" w:rsidTr="00F94FED">
        <w:trPr>
          <w:trHeight w:val="690"/>
        </w:trPr>
        <w:tc>
          <w:tcPr>
            <w:tcW w:w="238" w:type="pct"/>
            <w:tcBorders>
              <w:top w:val="single" w:sz="4" w:space="0" w:color="FFFFFF" w:themeColor="background1"/>
            </w:tcBorders>
            <w:noWrap/>
            <w:vAlign w:val="center"/>
            <w:hideMark/>
          </w:tcPr>
          <w:p w14:paraId="6F72CF7F" w14:textId="77777777" w:rsidR="009A4C46" w:rsidRPr="009A4C46" w:rsidRDefault="009A4C46" w:rsidP="009A4C46">
            <w:pPr>
              <w:autoSpaceDE w:val="0"/>
              <w:autoSpaceDN w:val="0"/>
              <w:adjustRightInd w:val="0"/>
              <w:jc w:val="center"/>
              <w:rPr>
                <w:rFonts w:eastAsia="Calibri"/>
                <w:sz w:val="16"/>
                <w:szCs w:val="16"/>
              </w:rPr>
            </w:pPr>
            <w:r w:rsidRPr="009A4C46">
              <w:rPr>
                <w:rFonts w:eastAsia="Calibri"/>
                <w:sz w:val="16"/>
                <w:szCs w:val="16"/>
              </w:rPr>
              <w:t>2</w:t>
            </w:r>
          </w:p>
        </w:tc>
        <w:tc>
          <w:tcPr>
            <w:tcW w:w="1026" w:type="pct"/>
            <w:tcBorders>
              <w:top w:val="single" w:sz="4" w:space="0" w:color="FFFFFF" w:themeColor="background1"/>
            </w:tcBorders>
            <w:vAlign w:val="center"/>
            <w:hideMark/>
          </w:tcPr>
          <w:p w14:paraId="228F240A" w14:textId="77777777" w:rsidR="009A4C46" w:rsidRPr="009A4C46" w:rsidRDefault="009A4C46" w:rsidP="009A4C46">
            <w:pPr>
              <w:autoSpaceDE w:val="0"/>
              <w:autoSpaceDN w:val="0"/>
              <w:adjustRightInd w:val="0"/>
              <w:rPr>
                <w:rFonts w:eastAsia="Calibri"/>
                <w:b/>
                <w:bCs/>
                <w:sz w:val="16"/>
                <w:szCs w:val="16"/>
              </w:rPr>
            </w:pPr>
            <w:r w:rsidRPr="009A4C46">
              <w:rPr>
                <w:rFonts w:eastAsia="Calibri"/>
                <w:b/>
                <w:bCs/>
                <w:sz w:val="16"/>
                <w:szCs w:val="16"/>
              </w:rPr>
              <w:t>Расчетная величина корректировок</w:t>
            </w:r>
          </w:p>
        </w:tc>
        <w:tc>
          <w:tcPr>
            <w:tcW w:w="415" w:type="pct"/>
            <w:tcBorders>
              <w:top w:val="single" w:sz="4" w:space="0" w:color="FFFFFF" w:themeColor="background1"/>
            </w:tcBorders>
            <w:noWrap/>
            <w:vAlign w:val="center"/>
            <w:hideMark/>
          </w:tcPr>
          <w:p w14:paraId="6866527F" w14:textId="77777777" w:rsidR="009A4C46" w:rsidRPr="009A4C46" w:rsidRDefault="009A4C46" w:rsidP="009A4C46">
            <w:pPr>
              <w:autoSpaceDE w:val="0"/>
              <w:autoSpaceDN w:val="0"/>
              <w:adjustRightInd w:val="0"/>
              <w:jc w:val="center"/>
              <w:rPr>
                <w:rFonts w:eastAsia="Calibri"/>
                <w:b/>
                <w:bCs/>
                <w:sz w:val="16"/>
                <w:szCs w:val="16"/>
              </w:rPr>
            </w:pPr>
            <w:r w:rsidRPr="009A4C46">
              <w:rPr>
                <w:rFonts w:eastAsia="Calibri"/>
                <w:b/>
                <w:bCs/>
                <w:sz w:val="16"/>
                <w:szCs w:val="16"/>
              </w:rPr>
              <w:t>-</w:t>
            </w:r>
          </w:p>
        </w:tc>
        <w:tc>
          <w:tcPr>
            <w:tcW w:w="415" w:type="pct"/>
            <w:tcBorders>
              <w:top w:val="single" w:sz="4" w:space="0" w:color="FFFFFF" w:themeColor="background1"/>
            </w:tcBorders>
            <w:noWrap/>
            <w:vAlign w:val="center"/>
            <w:hideMark/>
          </w:tcPr>
          <w:p w14:paraId="3877BB30" w14:textId="77777777" w:rsidR="009A4C46" w:rsidRPr="009A4C46" w:rsidRDefault="009A4C46" w:rsidP="009A4C46">
            <w:pPr>
              <w:autoSpaceDE w:val="0"/>
              <w:autoSpaceDN w:val="0"/>
              <w:adjustRightInd w:val="0"/>
              <w:jc w:val="center"/>
              <w:rPr>
                <w:rFonts w:eastAsia="Calibri"/>
                <w:b/>
                <w:bCs/>
                <w:sz w:val="16"/>
                <w:szCs w:val="16"/>
              </w:rPr>
            </w:pPr>
            <w:r w:rsidRPr="009A4C46">
              <w:rPr>
                <w:rFonts w:eastAsia="Calibri"/>
                <w:b/>
                <w:bCs/>
                <w:sz w:val="16"/>
                <w:szCs w:val="16"/>
              </w:rPr>
              <w:t>-</w:t>
            </w:r>
          </w:p>
        </w:tc>
        <w:tc>
          <w:tcPr>
            <w:tcW w:w="415" w:type="pct"/>
            <w:tcBorders>
              <w:top w:val="single" w:sz="4" w:space="0" w:color="FFFFFF" w:themeColor="background1"/>
            </w:tcBorders>
            <w:noWrap/>
            <w:vAlign w:val="center"/>
            <w:hideMark/>
          </w:tcPr>
          <w:p w14:paraId="6454ED3D" w14:textId="77777777" w:rsidR="009A4C46" w:rsidRPr="009A4C46" w:rsidRDefault="009A4C46" w:rsidP="009A4C46">
            <w:pPr>
              <w:autoSpaceDE w:val="0"/>
              <w:autoSpaceDN w:val="0"/>
              <w:adjustRightInd w:val="0"/>
              <w:jc w:val="center"/>
              <w:rPr>
                <w:rFonts w:eastAsia="Calibri"/>
                <w:b/>
                <w:bCs/>
                <w:sz w:val="16"/>
                <w:szCs w:val="16"/>
              </w:rPr>
            </w:pPr>
            <w:r w:rsidRPr="009A4C46">
              <w:rPr>
                <w:rFonts w:eastAsia="Calibri"/>
                <w:b/>
                <w:bCs/>
                <w:sz w:val="16"/>
                <w:szCs w:val="16"/>
              </w:rPr>
              <w:t>139 759</w:t>
            </w:r>
          </w:p>
        </w:tc>
        <w:tc>
          <w:tcPr>
            <w:tcW w:w="415" w:type="pct"/>
            <w:tcBorders>
              <w:top w:val="single" w:sz="4" w:space="0" w:color="FFFFFF" w:themeColor="background1"/>
            </w:tcBorders>
            <w:noWrap/>
            <w:vAlign w:val="center"/>
            <w:hideMark/>
          </w:tcPr>
          <w:p w14:paraId="291E1DF8" w14:textId="77777777" w:rsidR="009A4C46" w:rsidRPr="009A4C46" w:rsidRDefault="009A4C46" w:rsidP="009A4C46">
            <w:pPr>
              <w:autoSpaceDE w:val="0"/>
              <w:autoSpaceDN w:val="0"/>
              <w:adjustRightInd w:val="0"/>
              <w:jc w:val="center"/>
              <w:rPr>
                <w:rFonts w:eastAsia="Calibri"/>
                <w:b/>
                <w:bCs/>
                <w:sz w:val="16"/>
                <w:szCs w:val="16"/>
              </w:rPr>
            </w:pPr>
            <w:r w:rsidRPr="009A4C46">
              <w:rPr>
                <w:rFonts w:eastAsia="Calibri"/>
                <w:b/>
                <w:bCs/>
                <w:sz w:val="16"/>
                <w:szCs w:val="16"/>
              </w:rPr>
              <w:t>113 378</w:t>
            </w:r>
          </w:p>
        </w:tc>
        <w:tc>
          <w:tcPr>
            <w:tcW w:w="415" w:type="pct"/>
            <w:tcBorders>
              <w:top w:val="single" w:sz="4" w:space="0" w:color="FFFFFF" w:themeColor="background1"/>
            </w:tcBorders>
            <w:noWrap/>
            <w:vAlign w:val="center"/>
            <w:hideMark/>
          </w:tcPr>
          <w:p w14:paraId="037080A6" w14:textId="77777777" w:rsidR="009A4C46" w:rsidRPr="009A4C46" w:rsidRDefault="009A4C46" w:rsidP="009A4C46">
            <w:pPr>
              <w:autoSpaceDE w:val="0"/>
              <w:autoSpaceDN w:val="0"/>
              <w:adjustRightInd w:val="0"/>
              <w:jc w:val="center"/>
              <w:rPr>
                <w:rFonts w:eastAsia="Calibri"/>
                <w:b/>
                <w:bCs/>
                <w:sz w:val="16"/>
                <w:szCs w:val="16"/>
              </w:rPr>
            </w:pPr>
            <w:r w:rsidRPr="009A4C46">
              <w:rPr>
                <w:rFonts w:eastAsia="Calibri"/>
                <w:b/>
                <w:bCs/>
                <w:sz w:val="16"/>
                <w:szCs w:val="16"/>
              </w:rPr>
              <w:t>112 094</w:t>
            </w:r>
          </w:p>
        </w:tc>
        <w:tc>
          <w:tcPr>
            <w:tcW w:w="415" w:type="pct"/>
            <w:tcBorders>
              <w:top w:val="single" w:sz="4" w:space="0" w:color="FFFFFF" w:themeColor="background1"/>
            </w:tcBorders>
            <w:noWrap/>
            <w:vAlign w:val="center"/>
            <w:hideMark/>
          </w:tcPr>
          <w:p w14:paraId="0E0413B5" w14:textId="77777777" w:rsidR="009A4C46" w:rsidRPr="009A4C46" w:rsidRDefault="009A4C46" w:rsidP="009A4C46">
            <w:pPr>
              <w:autoSpaceDE w:val="0"/>
              <w:autoSpaceDN w:val="0"/>
              <w:adjustRightInd w:val="0"/>
              <w:jc w:val="center"/>
              <w:rPr>
                <w:rFonts w:eastAsia="Calibri"/>
                <w:b/>
                <w:bCs/>
                <w:sz w:val="16"/>
                <w:szCs w:val="16"/>
              </w:rPr>
            </w:pPr>
            <w:r w:rsidRPr="009A4C46">
              <w:rPr>
                <w:rFonts w:eastAsia="Calibri"/>
                <w:b/>
                <w:bCs/>
                <w:sz w:val="16"/>
                <w:szCs w:val="16"/>
              </w:rPr>
              <w:t>90 587</w:t>
            </w:r>
          </w:p>
        </w:tc>
        <w:tc>
          <w:tcPr>
            <w:tcW w:w="415" w:type="pct"/>
            <w:tcBorders>
              <w:top w:val="single" w:sz="4" w:space="0" w:color="FFFFFF" w:themeColor="background1"/>
            </w:tcBorders>
            <w:noWrap/>
            <w:vAlign w:val="center"/>
            <w:hideMark/>
          </w:tcPr>
          <w:p w14:paraId="4D74D175" w14:textId="77777777" w:rsidR="009A4C46" w:rsidRPr="009A4C46" w:rsidRDefault="009A4C46" w:rsidP="009A4C46">
            <w:pPr>
              <w:autoSpaceDE w:val="0"/>
              <w:autoSpaceDN w:val="0"/>
              <w:adjustRightInd w:val="0"/>
              <w:jc w:val="center"/>
              <w:rPr>
                <w:rFonts w:eastAsia="Calibri"/>
                <w:b/>
                <w:bCs/>
                <w:sz w:val="16"/>
                <w:szCs w:val="16"/>
              </w:rPr>
            </w:pPr>
            <w:r w:rsidRPr="009A4C46">
              <w:rPr>
                <w:rFonts w:eastAsia="Calibri"/>
                <w:b/>
                <w:bCs/>
                <w:sz w:val="16"/>
                <w:szCs w:val="16"/>
              </w:rPr>
              <w:t>230 576</w:t>
            </w:r>
          </w:p>
        </w:tc>
        <w:tc>
          <w:tcPr>
            <w:tcW w:w="415" w:type="pct"/>
            <w:tcBorders>
              <w:top w:val="single" w:sz="4" w:space="0" w:color="FFFFFF" w:themeColor="background1"/>
            </w:tcBorders>
            <w:noWrap/>
            <w:vAlign w:val="center"/>
            <w:hideMark/>
          </w:tcPr>
          <w:p w14:paraId="15945304" w14:textId="77777777" w:rsidR="009A4C46" w:rsidRPr="009A4C46" w:rsidRDefault="009A4C46" w:rsidP="009A4C46">
            <w:pPr>
              <w:autoSpaceDE w:val="0"/>
              <w:autoSpaceDN w:val="0"/>
              <w:adjustRightInd w:val="0"/>
              <w:jc w:val="center"/>
              <w:rPr>
                <w:rFonts w:eastAsia="Calibri"/>
                <w:b/>
                <w:bCs/>
                <w:sz w:val="16"/>
                <w:szCs w:val="16"/>
              </w:rPr>
            </w:pPr>
            <w:r w:rsidRPr="009A4C46">
              <w:rPr>
                <w:rFonts w:eastAsia="Calibri"/>
                <w:b/>
                <w:bCs/>
                <w:sz w:val="16"/>
                <w:szCs w:val="16"/>
              </w:rPr>
              <w:t>306 614</w:t>
            </w:r>
          </w:p>
        </w:tc>
        <w:tc>
          <w:tcPr>
            <w:tcW w:w="415" w:type="pct"/>
            <w:tcBorders>
              <w:top w:val="single" w:sz="4" w:space="0" w:color="FFFFFF" w:themeColor="background1"/>
            </w:tcBorders>
            <w:noWrap/>
            <w:vAlign w:val="center"/>
            <w:hideMark/>
          </w:tcPr>
          <w:p w14:paraId="76418E4D" w14:textId="77777777" w:rsidR="009A4C46" w:rsidRPr="009A4C46" w:rsidRDefault="009A4C46" w:rsidP="009A4C46">
            <w:pPr>
              <w:autoSpaceDE w:val="0"/>
              <w:autoSpaceDN w:val="0"/>
              <w:adjustRightInd w:val="0"/>
              <w:jc w:val="center"/>
              <w:rPr>
                <w:rFonts w:eastAsia="Calibri"/>
                <w:b/>
                <w:bCs/>
                <w:sz w:val="16"/>
                <w:szCs w:val="16"/>
              </w:rPr>
            </w:pPr>
            <w:r w:rsidRPr="009A4C46">
              <w:rPr>
                <w:rFonts w:eastAsia="Calibri"/>
                <w:b/>
                <w:bCs/>
                <w:sz w:val="16"/>
                <w:szCs w:val="16"/>
              </w:rPr>
              <w:t>993 008</w:t>
            </w:r>
          </w:p>
        </w:tc>
      </w:tr>
      <w:tr w:rsidR="009A4C46" w:rsidRPr="009A4C46" w14:paraId="151D4F7A" w14:textId="77777777" w:rsidTr="00F94FED">
        <w:trPr>
          <w:trHeight w:val="690"/>
        </w:trPr>
        <w:tc>
          <w:tcPr>
            <w:tcW w:w="238" w:type="pct"/>
            <w:noWrap/>
            <w:vAlign w:val="center"/>
            <w:hideMark/>
          </w:tcPr>
          <w:p w14:paraId="4732E267" w14:textId="77777777" w:rsidR="009A4C46" w:rsidRPr="009A4C46" w:rsidRDefault="009A4C46" w:rsidP="009A4C46">
            <w:pPr>
              <w:autoSpaceDE w:val="0"/>
              <w:autoSpaceDN w:val="0"/>
              <w:adjustRightInd w:val="0"/>
              <w:jc w:val="center"/>
              <w:rPr>
                <w:rFonts w:eastAsia="Calibri"/>
                <w:sz w:val="16"/>
                <w:szCs w:val="16"/>
              </w:rPr>
            </w:pPr>
            <w:r w:rsidRPr="009A4C46">
              <w:rPr>
                <w:rFonts w:eastAsia="Calibri"/>
                <w:sz w:val="16"/>
                <w:szCs w:val="16"/>
              </w:rPr>
              <w:t>3</w:t>
            </w:r>
          </w:p>
        </w:tc>
        <w:tc>
          <w:tcPr>
            <w:tcW w:w="1026" w:type="pct"/>
            <w:vAlign w:val="center"/>
            <w:hideMark/>
          </w:tcPr>
          <w:p w14:paraId="0624765E" w14:textId="77777777" w:rsidR="009A4C46" w:rsidRPr="009A4C46" w:rsidRDefault="009A4C46" w:rsidP="009A4C46">
            <w:pPr>
              <w:autoSpaceDE w:val="0"/>
              <w:autoSpaceDN w:val="0"/>
              <w:adjustRightInd w:val="0"/>
              <w:rPr>
                <w:rFonts w:eastAsia="Calibri"/>
                <w:sz w:val="16"/>
                <w:szCs w:val="16"/>
              </w:rPr>
            </w:pPr>
            <w:r w:rsidRPr="009A4C46">
              <w:rPr>
                <w:rFonts w:eastAsia="Calibri"/>
                <w:sz w:val="16"/>
                <w:szCs w:val="16"/>
              </w:rPr>
              <w:t>Корректировка подконтрольных расходов в связи с изменением планируемых параметров расчета тарифов</w:t>
            </w:r>
          </w:p>
        </w:tc>
        <w:tc>
          <w:tcPr>
            <w:tcW w:w="415" w:type="pct"/>
            <w:noWrap/>
            <w:vAlign w:val="center"/>
            <w:hideMark/>
          </w:tcPr>
          <w:p w14:paraId="3FDDABAC" w14:textId="77777777" w:rsidR="009A4C46" w:rsidRPr="009A4C46" w:rsidRDefault="009A4C46" w:rsidP="009A4C46">
            <w:pPr>
              <w:autoSpaceDE w:val="0"/>
              <w:autoSpaceDN w:val="0"/>
              <w:adjustRightInd w:val="0"/>
              <w:jc w:val="center"/>
              <w:rPr>
                <w:rFonts w:eastAsia="Calibri"/>
                <w:sz w:val="16"/>
                <w:szCs w:val="16"/>
              </w:rPr>
            </w:pPr>
            <w:r w:rsidRPr="009A4C46">
              <w:rPr>
                <w:rFonts w:eastAsia="Calibri"/>
                <w:sz w:val="16"/>
                <w:szCs w:val="16"/>
              </w:rPr>
              <w:t>-</w:t>
            </w:r>
          </w:p>
        </w:tc>
        <w:tc>
          <w:tcPr>
            <w:tcW w:w="415" w:type="pct"/>
            <w:noWrap/>
            <w:vAlign w:val="center"/>
            <w:hideMark/>
          </w:tcPr>
          <w:p w14:paraId="360FAFD0" w14:textId="77777777" w:rsidR="009A4C46" w:rsidRPr="009A4C46" w:rsidRDefault="009A4C46" w:rsidP="009A4C46">
            <w:pPr>
              <w:autoSpaceDE w:val="0"/>
              <w:autoSpaceDN w:val="0"/>
              <w:adjustRightInd w:val="0"/>
              <w:jc w:val="center"/>
              <w:rPr>
                <w:rFonts w:eastAsia="Calibri"/>
                <w:sz w:val="16"/>
                <w:szCs w:val="16"/>
              </w:rPr>
            </w:pPr>
            <w:r w:rsidRPr="009A4C46">
              <w:rPr>
                <w:rFonts w:eastAsia="Calibri"/>
                <w:sz w:val="16"/>
                <w:szCs w:val="16"/>
              </w:rPr>
              <w:t>-</w:t>
            </w:r>
          </w:p>
        </w:tc>
        <w:tc>
          <w:tcPr>
            <w:tcW w:w="415" w:type="pct"/>
            <w:noWrap/>
            <w:vAlign w:val="center"/>
            <w:hideMark/>
          </w:tcPr>
          <w:p w14:paraId="12D89F99" w14:textId="77777777" w:rsidR="009A4C46" w:rsidRPr="009A4C46" w:rsidRDefault="009A4C46" w:rsidP="009A4C46">
            <w:pPr>
              <w:autoSpaceDE w:val="0"/>
              <w:autoSpaceDN w:val="0"/>
              <w:adjustRightInd w:val="0"/>
              <w:jc w:val="center"/>
              <w:rPr>
                <w:rFonts w:eastAsia="Calibri"/>
                <w:sz w:val="16"/>
                <w:szCs w:val="16"/>
              </w:rPr>
            </w:pPr>
            <w:r w:rsidRPr="009A4C46">
              <w:rPr>
                <w:rFonts w:eastAsia="Calibri"/>
                <w:sz w:val="16"/>
                <w:szCs w:val="16"/>
              </w:rPr>
              <w:t>-</w:t>
            </w:r>
          </w:p>
        </w:tc>
        <w:tc>
          <w:tcPr>
            <w:tcW w:w="415" w:type="pct"/>
            <w:noWrap/>
            <w:vAlign w:val="center"/>
            <w:hideMark/>
          </w:tcPr>
          <w:p w14:paraId="1B6F6CAD" w14:textId="77777777" w:rsidR="009A4C46" w:rsidRPr="009A4C46" w:rsidRDefault="009A4C46" w:rsidP="009A4C46">
            <w:pPr>
              <w:autoSpaceDE w:val="0"/>
              <w:autoSpaceDN w:val="0"/>
              <w:adjustRightInd w:val="0"/>
              <w:jc w:val="center"/>
              <w:rPr>
                <w:rFonts w:eastAsia="Calibri"/>
                <w:sz w:val="16"/>
                <w:szCs w:val="16"/>
              </w:rPr>
            </w:pPr>
            <w:r w:rsidRPr="009A4C46">
              <w:rPr>
                <w:rFonts w:eastAsia="Calibri"/>
                <w:sz w:val="16"/>
                <w:szCs w:val="16"/>
              </w:rPr>
              <w:t>3 609</w:t>
            </w:r>
          </w:p>
        </w:tc>
        <w:tc>
          <w:tcPr>
            <w:tcW w:w="415" w:type="pct"/>
            <w:noWrap/>
            <w:vAlign w:val="center"/>
            <w:hideMark/>
          </w:tcPr>
          <w:p w14:paraId="1CA8F640" w14:textId="77777777" w:rsidR="009A4C46" w:rsidRPr="009A4C46" w:rsidRDefault="009A4C46" w:rsidP="009A4C46">
            <w:pPr>
              <w:autoSpaceDE w:val="0"/>
              <w:autoSpaceDN w:val="0"/>
              <w:adjustRightInd w:val="0"/>
              <w:jc w:val="center"/>
              <w:rPr>
                <w:rFonts w:eastAsia="Calibri"/>
                <w:sz w:val="16"/>
                <w:szCs w:val="16"/>
              </w:rPr>
            </w:pPr>
            <w:r w:rsidRPr="009A4C46">
              <w:rPr>
                <w:rFonts w:eastAsia="Calibri"/>
                <w:sz w:val="16"/>
                <w:szCs w:val="16"/>
              </w:rPr>
              <w:t>24 449</w:t>
            </w:r>
          </w:p>
        </w:tc>
        <w:tc>
          <w:tcPr>
            <w:tcW w:w="415" w:type="pct"/>
            <w:noWrap/>
            <w:vAlign w:val="center"/>
            <w:hideMark/>
          </w:tcPr>
          <w:p w14:paraId="18FBC115" w14:textId="77777777" w:rsidR="009A4C46" w:rsidRPr="009A4C46" w:rsidRDefault="009A4C46" w:rsidP="009A4C46">
            <w:pPr>
              <w:autoSpaceDE w:val="0"/>
              <w:autoSpaceDN w:val="0"/>
              <w:adjustRightInd w:val="0"/>
              <w:jc w:val="center"/>
              <w:rPr>
                <w:rFonts w:eastAsia="Calibri"/>
                <w:sz w:val="16"/>
                <w:szCs w:val="16"/>
              </w:rPr>
            </w:pPr>
            <w:r w:rsidRPr="009A4C46">
              <w:rPr>
                <w:rFonts w:eastAsia="Calibri"/>
                <w:sz w:val="16"/>
                <w:szCs w:val="16"/>
              </w:rPr>
              <w:t>54 154</w:t>
            </w:r>
          </w:p>
        </w:tc>
        <w:tc>
          <w:tcPr>
            <w:tcW w:w="415" w:type="pct"/>
            <w:noWrap/>
            <w:vAlign w:val="center"/>
            <w:hideMark/>
          </w:tcPr>
          <w:p w14:paraId="0D2AEF37" w14:textId="77777777" w:rsidR="009A4C46" w:rsidRPr="009A4C46" w:rsidRDefault="009A4C46" w:rsidP="009A4C46">
            <w:pPr>
              <w:autoSpaceDE w:val="0"/>
              <w:autoSpaceDN w:val="0"/>
              <w:adjustRightInd w:val="0"/>
              <w:jc w:val="center"/>
              <w:rPr>
                <w:rFonts w:eastAsia="Calibri"/>
                <w:sz w:val="16"/>
                <w:szCs w:val="16"/>
              </w:rPr>
            </w:pPr>
            <w:r w:rsidRPr="009A4C46">
              <w:rPr>
                <w:rFonts w:eastAsia="Calibri"/>
                <w:sz w:val="16"/>
                <w:szCs w:val="16"/>
              </w:rPr>
              <w:t>17 725</w:t>
            </w:r>
          </w:p>
        </w:tc>
        <w:tc>
          <w:tcPr>
            <w:tcW w:w="415" w:type="pct"/>
            <w:noWrap/>
            <w:vAlign w:val="center"/>
            <w:hideMark/>
          </w:tcPr>
          <w:p w14:paraId="4327C761" w14:textId="77777777" w:rsidR="009A4C46" w:rsidRPr="009A4C46" w:rsidRDefault="009A4C46" w:rsidP="009A4C46">
            <w:pPr>
              <w:autoSpaceDE w:val="0"/>
              <w:autoSpaceDN w:val="0"/>
              <w:adjustRightInd w:val="0"/>
              <w:jc w:val="center"/>
              <w:rPr>
                <w:rFonts w:eastAsia="Calibri"/>
                <w:sz w:val="16"/>
                <w:szCs w:val="16"/>
              </w:rPr>
            </w:pPr>
            <w:r w:rsidRPr="009A4C46">
              <w:rPr>
                <w:rFonts w:eastAsia="Calibri"/>
                <w:sz w:val="16"/>
                <w:szCs w:val="16"/>
              </w:rPr>
              <w:t>-4 635</w:t>
            </w:r>
          </w:p>
        </w:tc>
        <w:tc>
          <w:tcPr>
            <w:tcW w:w="415" w:type="pct"/>
            <w:noWrap/>
            <w:vAlign w:val="center"/>
            <w:hideMark/>
          </w:tcPr>
          <w:p w14:paraId="6818A921" w14:textId="77777777" w:rsidR="009A4C46" w:rsidRPr="009A4C46" w:rsidRDefault="009A4C46" w:rsidP="009A4C46">
            <w:pPr>
              <w:autoSpaceDE w:val="0"/>
              <w:autoSpaceDN w:val="0"/>
              <w:adjustRightInd w:val="0"/>
              <w:jc w:val="center"/>
              <w:rPr>
                <w:rFonts w:eastAsia="Calibri"/>
                <w:sz w:val="16"/>
                <w:szCs w:val="16"/>
              </w:rPr>
            </w:pPr>
            <w:r w:rsidRPr="009A4C46">
              <w:rPr>
                <w:rFonts w:eastAsia="Calibri"/>
                <w:sz w:val="16"/>
                <w:szCs w:val="16"/>
              </w:rPr>
              <w:t>95 302</w:t>
            </w:r>
          </w:p>
        </w:tc>
      </w:tr>
      <w:tr w:rsidR="009A4C46" w:rsidRPr="009A4C46" w14:paraId="528ED2EB" w14:textId="77777777" w:rsidTr="00F94FED">
        <w:trPr>
          <w:trHeight w:val="690"/>
        </w:trPr>
        <w:tc>
          <w:tcPr>
            <w:tcW w:w="238" w:type="pct"/>
            <w:noWrap/>
            <w:vAlign w:val="center"/>
            <w:hideMark/>
          </w:tcPr>
          <w:p w14:paraId="207EB1CC" w14:textId="77777777" w:rsidR="009A4C46" w:rsidRPr="009A4C46" w:rsidRDefault="009A4C46" w:rsidP="009A4C46">
            <w:pPr>
              <w:autoSpaceDE w:val="0"/>
              <w:autoSpaceDN w:val="0"/>
              <w:adjustRightInd w:val="0"/>
              <w:jc w:val="center"/>
              <w:rPr>
                <w:rFonts w:eastAsia="Calibri"/>
                <w:sz w:val="16"/>
                <w:szCs w:val="16"/>
              </w:rPr>
            </w:pPr>
            <w:r w:rsidRPr="009A4C46">
              <w:rPr>
                <w:rFonts w:eastAsia="Calibri"/>
                <w:sz w:val="16"/>
                <w:szCs w:val="16"/>
              </w:rPr>
              <w:t>4</w:t>
            </w:r>
          </w:p>
        </w:tc>
        <w:tc>
          <w:tcPr>
            <w:tcW w:w="1026" w:type="pct"/>
            <w:vAlign w:val="center"/>
            <w:hideMark/>
          </w:tcPr>
          <w:p w14:paraId="3777949C" w14:textId="77777777" w:rsidR="009A4C46" w:rsidRPr="009A4C46" w:rsidRDefault="009A4C46" w:rsidP="009A4C46">
            <w:pPr>
              <w:autoSpaceDE w:val="0"/>
              <w:autoSpaceDN w:val="0"/>
              <w:adjustRightInd w:val="0"/>
              <w:rPr>
                <w:rFonts w:eastAsia="Calibri"/>
                <w:sz w:val="16"/>
                <w:szCs w:val="16"/>
              </w:rPr>
            </w:pPr>
            <w:r w:rsidRPr="009A4C46">
              <w:rPr>
                <w:rFonts w:eastAsia="Calibri"/>
                <w:sz w:val="16"/>
                <w:szCs w:val="16"/>
              </w:rPr>
              <w:t>Корректировка неподконтрольных расходов исходя из фактических значений указанного параметра</w:t>
            </w:r>
          </w:p>
        </w:tc>
        <w:tc>
          <w:tcPr>
            <w:tcW w:w="415" w:type="pct"/>
            <w:noWrap/>
            <w:vAlign w:val="center"/>
            <w:hideMark/>
          </w:tcPr>
          <w:p w14:paraId="018CF2AD" w14:textId="77777777" w:rsidR="009A4C46" w:rsidRPr="009A4C46" w:rsidRDefault="009A4C46" w:rsidP="009A4C46">
            <w:pPr>
              <w:autoSpaceDE w:val="0"/>
              <w:autoSpaceDN w:val="0"/>
              <w:adjustRightInd w:val="0"/>
              <w:jc w:val="center"/>
              <w:rPr>
                <w:rFonts w:eastAsia="Calibri"/>
                <w:sz w:val="16"/>
                <w:szCs w:val="16"/>
              </w:rPr>
            </w:pPr>
            <w:r w:rsidRPr="009A4C46">
              <w:rPr>
                <w:rFonts w:eastAsia="Calibri"/>
                <w:sz w:val="16"/>
                <w:szCs w:val="16"/>
              </w:rPr>
              <w:t>-</w:t>
            </w:r>
          </w:p>
        </w:tc>
        <w:tc>
          <w:tcPr>
            <w:tcW w:w="415" w:type="pct"/>
            <w:noWrap/>
            <w:vAlign w:val="center"/>
            <w:hideMark/>
          </w:tcPr>
          <w:p w14:paraId="17468DB3" w14:textId="77777777" w:rsidR="009A4C46" w:rsidRPr="009A4C46" w:rsidRDefault="009A4C46" w:rsidP="009A4C46">
            <w:pPr>
              <w:autoSpaceDE w:val="0"/>
              <w:autoSpaceDN w:val="0"/>
              <w:adjustRightInd w:val="0"/>
              <w:jc w:val="center"/>
              <w:rPr>
                <w:rFonts w:eastAsia="Calibri"/>
                <w:sz w:val="16"/>
                <w:szCs w:val="16"/>
              </w:rPr>
            </w:pPr>
            <w:r w:rsidRPr="009A4C46">
              <w:rPr>
                <w:rFonts w:eastAsia="Calibri"/>
                <w:sz w:val="16"/>
                <w:szCs w:val="16"/>
              </w:rPr>
              <w:t>-</w:t>
            </w:r>
          </w:p>
        </w:tc>
        <w:tc>
          <w:tcPr>
            <w:tcW w:w="415" w:type="pct"/>
            <w:noWrap/>
            <w:vAlign w:val="center"/>
            <w:hideMark/>
          </w:tcPr>
          <w:p w14:paraId="08B6BE02" w14:textId="77777777" w:rsidR="009A4C46" w:rsidRPr="009A4C46" w:rsidRDefault="009A4C46" w:rsidP="009A4C46">
            <w:pPr>
              <w:autoSpaceDE w:val="0"/>
              <w:autoSpaceDN w:val="0"/>
              <w:adjustRightInd w:val="0"/>
              <w:jc w:val="center"/>
              <w:rPr>
                <w:rFonts w:eastAsia="Calibri"/>
                <w:sz w:val="16"/>
                <w:szCs w:val="16"/>
              </w:rPr>
            </w:pPr>
            <w:r w:rsidRPr="009A4C46">
              <w:rPr>
                <w:rFonts w:eastAsia="Calibri"/>
                <w:sz w:val="16"/>
                <w:szCs w:val="16"/>
              </w:rPr>
              <w:t>68 229</w:t>
            </w:r>
          </w:p>
        </w:tc>
        <w:tc>
          <w:tcPr>
            <w:tcW w:w="415" w:type="pct"/>
            <w:noWrap/>
            <w:vAlign w:val="center"/>
            <w:hideMark/>
          </w:tcPr>
          <w:p w14:paraId="65A4179F" w14:textId="77777777" w:rsidR="009A4C46" w:rsidRPr="009A4C46" w:rsidRDefault="009A4C46" w:rsidP="009A4C46">
            <w:pPr>
              <w:autoSpaceDE w:val="0"/>
              <w:autoSpaceDN w:val="0"/>
              <w:adjustRightInd w:val="0"/>
              <w:jc w:val="center"/>
              <w:rPr>
                <w:rFonts w:eastAsia="Calibri"/>
                <w:sz w:val="16"/>
                <w:szCs w:val="16"/>
              </w:rPr>
            </w:pPr>
            <w:r w:rsidRPr="009A4C46">
              <w:rPr>
                <w:rFonts w:eastAsia="Calibri"/>
                <w:sz w:val="16"/>
                <w:szCs w:val="16"/>
              </w:rPr>
              <w:t>52 665</w:t>
            </w:r>
          </w:p>
        </w:tc>
        <w:tc>
          <w:tcPr>
            <w:tcW w:w="415" w:type="pct"/>
            <w:noWrap/>
            <w:vAlign w:val="center"/>
            <w:hideMark/>
          </w:tcPr>
          <w:p w14:paraId="632B1C7E" w14:textId="77777777" w:rsidR="009A4C46" w:rsidRPr="009A4C46" w:rsidRDefault="009A4C46" w:rsidP="009A4C46">
            <w:pPr>
              <w:autoSpaceDE w:val="0"/>
              <w:autoSpaceDN w:val="0"/>
              <w:adjustRightInd w:val="0"/>
              <w:jc w:val="center"/>
              <w:rPr>
                <w:rFonts w:eastAsia="Calibri"/>
                <w:sz w:val="16"/>
                <w:szCs w:val="16"/>
              </w:rPr>
            </w:pPr>
            <w:r w:rsidRPr="009A4C46">
              <w:rPr>
                <w:rFonts w:eastAsia="Calibri"/>
                <w:sz w:val="16"/>
                <w:szCs w:val="16"/>
              </w:rPr>
              <w:t>-9 592</w:t>
            </w:r>
          </w:p>
        </w:tc>
        <w:tc>
          <w:tcPr>
            <w:tcW w:w="415" w:type="pct"/>
            <w:noWrap/>
            <w:vAlign w:val="center"/>
            <w:hideMark/>
          </w:tcPr>
          <w:p w14:paraId="07F0FB53" w14:textId="77777777" w:rsidR="009A4C46" w:rsidRPr="009A4C46" w:rsidRDefault="009A4C46" w:rsidP="009A4C46">
            <w:pPr>
              <w:autoSpaceDE w:val="0"/>
              <w:autoSpaceDN w:val="0"/>
              <w:adjustRightInd w:val="0"/>
              <w:jc w:val="center"/>
              <w:rPr>
                <w:rFonts w:eastAsia="Calibri"/>
                <w:sz w:val="16"/>
                <w:szCs w:val="16"/>
              </w:rPr>
            </w:pPr>
            <w:r w:rsidRPr="009A4C46">
              <w:rPr>
                <w:rFonts w:eastAsia="Calibri"/>
                <w:sz w:val="16"/>
                <w:szCs w:val="16"/>
              </w:rPr>
              <w:t>-69 414</w:t>
            </w:r>
          </w:p>
        </w:tc>
        <w:tc>
          <w:tcPr>
            <w:tcW w:w="415" w:type="pct"/>
            <w:noWrap/>
            <w:vAlign w:val="center"/>
            <w:hideMark/>
          </w:tcPr>
          <w:p w14:paraId="42E641B2" w14:textId="77777777" w:rsidR="009A4C46" w:rsidRPr="009A4C46" w:rsidRDefault="009A4C46" w:rsidP="009A4C46">
            <w:pPr>
              <w:autoSpaceDE w:val="0"/>
              <w:autoSpaceDN w:val="0"/>
              <w:adjustRightInd w:val="0"/>
              <w:jc w:val="center"/>
              <w:rPr>
                <w:rFonts w:eastAsia="Calibri"/>
                <w:sz w:val="16"/>
                <w:szCs w:val="16"/>
              </w:rPr>
            </w:pPr>
            <w:r w:rsidRPr="009A4C46">
              <w:rPr>
                <w:rFonts w:eastAsia="Calibri"/>
                <w:sz w:val="16"/>
                <w:szCs w:val="16"/>
              </w:rPr>
              <w:t>73 532</w:t>
            </w:r>
          </w:p>
        </w:tc>
        <w:tc>
          <w:tcPr>
            <w:tcW w:w="415" w:type="pct"/>
            <w:noWrap/>
            <w:vAlign w:val="center"/>
            <w:hideMark/>
          </w:tcPr>
          <w:p w14:paraId="16731964" w14:textId="77777777" w:rsidR="009A4C46" w:rsidRPr="009A4C46" w:rsidRDefault="009A4C46" w:rsidP="009A4C46">
            <w:pPr>
              <w:autoSpaceDE w:val="0"/>
              <w:autoSpaceDN w:val="0"/>
              <w:adjustRightInd w:val="0"/>
              <w:jc w:val="center"/>
              <w:rPr>
                <w:rFonts w:eastAsia="Calibri"/>
                <w:sz w:val="16"/>
                <w:szCs w:val="16"/>
              </w:rPr>
            </w:pPr>
            <w:r w:rsidRPr="009A4C46">
              <w:rPr>
                <w:rFonts w:eastAsia="Calibri"/>
                <w:sz w:val="16"/>
                <w:szCs w:val="16"/>
              </w:rPr>
              <w:t>196 093</w:t>
            </w:r>
          </w:p>
        </w:tc>
        <w:tc>
          <w:tcPr>
            <w:tcW w:w="415" w:type="pct"/>
            <w:noWrap/>
            <w:vAlign w:val="center"/>
            <w:hideMark/>
          </w:tcPr>
          <w:p w14:paraId="58A1CEFE" w14:textId="77777777" w:rsidR="009A4C46" w:rsidRPr="009A4C46" w:rsidRDefault="009A4C46" w:rsidP="009A4C46">
            <w:pPr>
              <w:autoSpaceDE w:val="0"/>
              <w:autoSpaceDN w:val="0"/>
              <w:adjustRightInd w:val="0"/>
              <w:jc w:val="center"/>
              <w:rPr>
                <w:rFonts w:eastAsia="Calibri"/>
                <w:sz w:val="16"/>
                <w:szCs w:val="16"/>
              </w:rPr>
            </w:pPr>
            <w:r w:rsidRPr="009A4C46">
              <w:rPr>
                <w:rFonts w:eastAsia="Calibri"/>
                <w:sz w:val="16"/>
                <w:szCs w:val="16"/>
              </w:rPr>
              <w:t>311 512</w:t>
            </w:r>
          </w:p>
        </w:tc>
      </w:tr>
      <w:tr w:rsidR="009A4C46" w:rsidRPr="009A4C46" w14:paraId="03E2CE28" w14:textId="77777777" w:rsidTr="00F94FED">
        <w:trPr>
          <w:trHeight w:val="690"/>
        </w:trPr>
        <w:tc>
          <w:tcPr>
            <w:tcW w:w="238" w:type="pct"/>
            <w:noWrap/>
            <w:vAlign w:val="center"/>
            <w:hideMark/>
          </w:tcPr>
          <w:p w14:paraId="4C3E69BF" w14:textId="77777777" w:rsidR="009A4C46" w:rsidRPr="009A4C46" w:rsidRDefault="009A4C46" w:rsidP="009A4C46">
            <w:pPr>
              <w:autoSpaceDE w:val="0"/>
              <w:autoSpaceDN w:val="0"/>
              <w:adjustRightInd w:val="0"/>
              <w:jc w:val="center"/>
              <w:rPr>
                <w:rFonts w:eastAsia="Calibri"/>
                <w:sz w:val="16"/>
                <w:szCs w:val="16"/>
              </w:rPr>
            </w:pPr>
            <w:r w:rsidRPr="009A4C46">
              <w:rPr>
                <w:rFonts w:eastAsia="Calibri"/>
                <w:sz w:val="16"/>
                <w:szCs w:val="16"/>
              </w:rPr>
              <w:t>5</w:t>
            </w:r>
          </w:p>
        </w:tc>
        <w:tc>
          <w:tcPr>
            <w:tcW w:w="1026" w:type="pct"/>
            <w:vAlign w:val="center"/>
            <w:hideMark/>
          </w:tcPr>
          <w:p w14:paraId="116B9F34" w14:textId="77777777" w:rsidR="009A4C46" w:rsidRPr="009A4C46" w:rsidRDefault="009A4C46" w:rsidP="009A4C46">
            <w:pPr>
              <w:autoSpaceDE w:val="0"/>
              <w:autoSpaceDN w:val="0"/>
              <w:adjustRightInd w:val="0"/>
              <w:rPr>
                <w:rFonts w:eastAsia="Calibri"/>
                <w:sz w:val="16"/>
                <w:szCs w:val="16"/>
              </w:rPr>
            </w:pPr>
            <w:r w:rsidRPr="009A4C46">
              <w:rPr>
                <w:rFonts w:eastAsia="Calibri"/>
                <w:sz w:val="16"/>
                <w:szCs w:val="16"/>
              </w:rPr>
              <w:t>Корректировка с учетом изменения полезного отпуска и цен на электрическую энергию</w:t>
            </w:r>
          </w:p>
        </w:tc>
        <w:tc>
          <w:tcPr>
            <w:tcW w:w="415" w:type="pct"/>
            <w:noWrap/>
            <w:vAlign w:val="center"/>
            <w:hideMark/>
          </w:tcPr>
          <w:p w14:paraId="68C7470F" w14:textId="77777777" w:rsidR="009A4C46" w:rsidRPr="009A4C46" w:rsidRDefault="009A4C46" w:rsidP="009A4C46">
            <w:pPr>
              <w:autoSpaceDE w:val="0"/>
              <w:autoSpaceDN w:val="0"/>
              <w:adjustRightInd w:val="0"/>
              <w:jc w:val="center"/>
              <w:rPr>
                <w:rFonts w:eastAsia="Calibri"/>
                <w:sz w:val="16"/>
                <w:szCs w:val="16"/>
              </w:rPr>
            </w:pPr>
            <w:r w:rsidRPr="009A4C46">
              <w:rPr>
                <w:rFonts w:eastAsia="Calibri"/>
                <w:sz w:val="16"/>
                <w:szCs w:val="16"/>
              </w:rPr>
              <w:t>-</w:t>
            </w:r>
          </w:p>
        </w:tc>
        <w:tc>
          <w:tcPr>
            <w:tcW w:w="415" w:type="pct"/>
            <w:noWrap/>
            <w:vAlign w:val="center"/>
            <w:hideMark/>
          </w:tcPr>
          <w:p w14:paraId="3FFDFAFE" w14:textId="77777777" w:rsidR="009A4C46" w:rsidRPr="009A4C46" w:rsidRDefault="009A4C46" w:rsidP="009A4C46">
            <w:pPr>
              <w:autoSpaceDE w:val="0"/>
              <w:autoSpaceDN w:val="0"/>
              <w:adjustRightInd w:val="0"/>
              <w:jc w:val="center"/>
              <w:rPr>
                <w:rFonts w:eastAsia="Calibri"/>
                <w:sz w:val="16"/>
                <w:szCs w:val="16"/>
              </w:rPr>
            </w:pPr>
            <w:r w:rsidRPr="009A4C46">
              <w:rPr>
                <w:rFonts w:eastAsia="Calibri"/>
                <w:sz w:val="16"/>
                <w:szCs w:val="16"/>
              </w:rPr>
              <w:t>-</w:t>
            </w:r>
          </w:p>
        </w:tc>
        <w:tc>
          <w:tcPr>
            <w:tcW w:w="415" w:type="pct"/>
            <w:noWrap/>
            <w:vAlign w:val="center"/>
            <w:hideMark/>
          </w:tcPr>
          <w:p w14:paraId="0D92B55F" w14:textId="77777777" w:rsidR="009A4C46" w:rsidRPr="009A4C46" w:rsidRDefault="009A4C46" w:rsidP="009A4C46">
            <w:pPr>
              <w:autoSpaceDE w:val="0"/>
              <w:autoSpaceDN w:val="0"/>
              <w:adjustRightInd w:val="0"/>
              <w:jc w:val="center"/>
              <w:rPr>
                <w:rFonts w:eastAsia="Calibri"/>
                <w:sz w:val="16"/>
                <w:szCs w:val="16"/>
              </w:rPr>
            </w:pPr>
            <w:r w:rsidRPr="009A4C46">
              <w:rPr>
                <w:rFonts w:eastAsia="Calibri"/>
                <w:sz w:val="16"/>
                <w:szCs w:val="16"/>
              </w:rPr>
              <w:t>22 550</w:t>
            </w:r>
          </w:p>
        </w:tc>
        <w:tc>
          <w:tcPr>
            <w:tcW w:w="415" w:type="pct"/>
            <w:noWrap/>
            <w:vAlign w:val="center"/>
            <w:hideMark/>
          </w:tcPr>
          <w:p w14:paraId="5044C1D8" w14:textId="77777777" w:rsidR="009A4C46" w:rsidRPr="009A4C46" w:rsidRDefault="009A4C46" w:rsidP="009A4C46">
            <w:pPr>
              <w:autoSpaceDE w:val="0"/>
              <w:autoSpaceDN w:val="0"/>
              <w:adjustRightInd w:val="0"/>
              <w:jc w:val="center"/>
              <w:rPr>
                <w:rFonts w:eastAsia="Calibri"/>
                <w:sz w:val="16"/>
                <w:szCs w:val="16"/>
              </w:rPr>
            </w:pPr>
            <w:r w:rsidRPr="009A4C46">
              <w:rPr>
                <w:rFonts w:eastAsia="Calibri"/>
                <w:sz w:val="16"/>
                <w:szCs w:val="16"/>
              </w:rPr>
              <w:t>10 496</w:t>
            </w:r>
          </w:p>
        </w:tc>
        <w:tc>
          <w:tcPr>
            <w:tcW w:w="415" w:type="pct"/>
            <w:noWrap/>
            <w:vAlign w:val="center"/>
            <w:hideMark/>
          </w:tcPr>
          <w:p w14:paraId="78CD6E7B" w14:textId="77777777" w:rsidR="009A4C46" w:rsidRPr="009A4C46" w:rsidRDefault="009A4C46" w:rsidP="009A4C46">
            <w:pPr>
              <w:autoSpaceDE w:val="0"/>
              <w:autoSpaceDN w:val="0"/>
              <w:adjustRightInd w:val="0"/>
              <w:jc w:val="center"/>
              <w:rPr>
                <w:rFonts w:eastAsia="Calibri"/>
                <w:sz w:val="16"/>
                <w:szCs w:val="16"/>
              </w:rPr>
            </w:pPr>
            <w:r w:rsidRPr="009A4C46">
              <w:rPr>
                <w:rFonts w:eastAsia="Calibri"/>
                <w:sz w:val="16"/>
                <w:szCs w:val="16"/>
              </w:rPr>
              <w:t>20 906</w:t>
            </w:r>
          </w:p>
        </w:tc>
        <w:tc>
          <w:tcPr>
            <w:tcW w:w="415" w:type="pct"/>
            <w:noWrap/>
            <w:vAlign w:val="center"/>
            <w:hideMark/>
          </w:tcPr>
          <w:p w14:paraId="7C145DEA" w14:textId="77777777" w:rsidR="009A4C46" w:rsidRPr="009A4C46" w:rsidRDefault="009A4C46" w:rsidP="009A4C46">
            <w:pPr>
              <w:autoSpaceDE w:val="0"/>
              <w:autoSpaceDN w:val="0"/>
              <w:adjustRightInd w:val="0"/>
              <w:jc w:val="center"/>
              <w:rPr>
                <w:rFonts w:eastAsia="Calibri"/>
                <w:sz w:val="16"/>
                <w:szCs w:val="16"/>
              </w:rPr>
            </w:pPr>
            <w:r w:rsidRPr="009A4C46">
              <w:rPr>
                <w:rFonts w:eastAsia="Calibri"/>
                <w:sz w:val="16"/>
                <w:szCs w:val="16"/>
              </w:rPr>
              <w:t>32 500</w:t>
            </w:r>
          </w:p>
        </w:tc>
        <w:tc>
          <w:tcPr>
            <w:tcW w:w="415" w:type="pct"/>
            <w:noWrap/>
            <w:vAlign w:val="center"/>
            <w:hideMark/>
          </w:tcPr>
          <w:p w14:paraId="3463D651" w14:textId="77777777" w:rsidR="009A4C46" w:rsidRPr="009A4C46" w:rsidRDefault="009A4C46" w:rsidP="009A4C46">
            <w:pPr>
              <w:autoSpaceDE w:val="0"/>
              <w:autoSpaceDN w:val="0"/>
              <w:adjustRightInd w:val="0"/>
              <w:jc w:val="center"/>
              <w:rPr>
                <w:rFonts w:eastAsia="Calibri"/>
                <w:sz w:val="16"/>
                <w:szCs w:val="16"/>
              </w:rPr>
            </w:pPr>
            <w:r w:rsidRPr="009A4C46">
              <w:rPr>
                <w:rFonts w:eastAsia="Calibri"/>
                <w:sz w:val="16"/>
                <w:szCs w:val="16"/>
              </w:rPr>
              <w:t>31 295</w:t>
            </w:r>
          </w:p>
        </w:tc>
        <w:tc>
          <w:tcPr>
            <w:tcW w:w="415" w:type="pct"/>
            <w:noWrap/>
            <w:vAlign w:val="center"/>
            <w:hideMark/>
          </w:tcPr>
          <w:p w14:paraId="7521A216" w14:textId="77777777" w:rsidR="009A4C46" w:rsidRPr="009A4C46" w:rsidRDefault="009A4C46" w:rsidP="009A4C46">
            <w:pPr>
              <w:autoSpaceDE w:val="0"/>
              <w:autoSpaceDN w:val="0"/>
              <w:adjustRightInd w:val="0"/>
              <w:jc w:val="center"/>
              <w:rPr>
                <w:rFonts w:eastAsia="Calibri"/>
                <w:sz w:val="16"/>
                <w:szCs w:val="16"/>
              </w:rPr>
            </w:pPr>
            <w:r w:rsidRPr="009A4C46">
              <w:rPr>
                <w:rFonts w:eastAsia="Calibri"/>
                <w:sz w:val="16"/>
                <w:szCs w:val="16"/>
              </w:rPr>
              <w:t>27 395</w:t>
            </w:r>
          </w:p>
        </w:tc>
        <w:tc>
          <w:tcPr>
            <w:tcW w:w="415" w:type="pct"/>
            <w:noWrap/>
            <w:vAlign w:val="center"/>
            <w:hideMark/>
          </w:tcPr>
          <w:p w14:paraId="26541CD5" w14:textId="77777777" w:rsidR="009A4C46" w:rsidRPr="009A4C46" w:rsidRDefault="009A4C46" w:rsidP="009A4C46">
            <w:pPr>
              <w:autoSpaceDE w:val="0"/>
              <w:autoSpaceDN w:val="0"/>
              <w:adjustRightInd w:val="0"/>
              <w:jc w:val="center"/>
              <w:rPr>
                <w:rFonts w:eastAsia="Calibri"/>
                <w:sz w:val="16"/>
                <w:szCs w:val="16"/>
              </w:rPr>
            </w:pPr>
            <w:r w:rsidRPr="009A4C46">
              <w:rPr>
                <w:rFonts w:eastAsia="Calibri"/>
                <w:sz w:val="16"/>
                <w:szCs w:val="16"/>
              </w:rPr>
              <w:t>145 142</w:t>
            </w:r>
          </w:p>
        </w:tc>
      </w:tr>
      <w:tr w:rsidR="009A4C46" w:rsidRPr="009A4C46" w14:paraId="1285492E" w14:textId="77777777" w:rsidTr="00F94FED">
        <w:trPr>
          <w:trHeight w:val="1290"/>
        </w:trPr>
        <w:tc>
          <w:tcPr>
            <w:tcW w:w="238" w:type="pct"/>
            <w:noWrap/>
            <w:vAlign w:val="center"/>
            <w:hideMark/>
          </w:tcPr>
          <w:p w14:paraId="2F0B7F8B" w14:textId="77777777" w:rsidR="009A4C46" w:rsidRPr="009A4C46" w:rsidRDefault="009A4C46" w:rsidP="009A4C46">
            <w:pPr>
              <w:autoSpaceDE w:val="0"/>
              <w:autoSpaceDN w:val="0"/>
              <w:adjustRightInd w:val="0"/>
              <w:jc w:val="center"/>
              <w:rPr>
                <w:rFonts w:eastAsia="Calibri"/>
                <w:sz w:val="16"/>
                <w:szCs w:val="16"/>
              </w:rPr>
            </w:pPr>
            <w:r w:rsidRPr="009A4C46">
              <w:rPr>
                <w:rFonts w:eastAsia="Calibri"/>
                <w:sz w:val="16"/>
                <w:szCs w:val="16"/>
              </w:rPr>
              <w:t>6</w:t>
            </w:r>
          </w:p>
        </w:tc>
        <w:tc>
          <w:tcPr>
            <w:tcW w:w="1026" w:type="pct"/>
            <w:vAlign w:val="center"/>
            <w:hideMark/>
          </w:tcPr>
          <w:p w14:paraId="6728B503" w14:textId="77777777" w:rsidR="009A4C46" w:rsidRPr="009A4C46" w:rsidRDefault="009A4C46" w:rsidP="009A4C46">
            <w:pPr>
              <w:autoSpaceDE w:val="0"/>
              <w:autoSpaceDN w:val="0"/>
              <w:adjustRightInd w:val="0"/>
              <w:rPr>
                <w:rFonts w:eastAsia="Calibri"/>
                <w:sz w:val="16"/>
                <w:szCs w:val="16"/>
              </w:rPr>
            </w:pPr>
            <w:r w:rsidRPr="009A4C46">
              <w:rPr>
                <w:rFonts w:eastAsia="Calibri"/>
                <w:sz w:val="16"/>
                <w:szCs w:val="16"/>
              </w:rPr>
              <w:t>Корректировка необходимой валовой выручки на i-</w:t>
            </w:r>
            <w:proofErr w:type="spellStart"/>
            <w:r w:rsidRPr="009A4C46">
              <w:rPr>
                <w:rFonts w:eastAsia="Calibri"/>
                <w:sz w:val="16"/>
                <w:szCs w:val="16"/>
              </w:rPr>
              <w:t>тый</w:t>
            </w:r>
            <w:proofErr w:type="spellEnd"/>
            <w:r w:rsidRPr="009A4C46">
              <w:rPr>
                <w:rFonts w:eastAsia="Calibri"/>
                <w:sz w:val="16"/>
                <w:szCs w:val="16"/>
              </w:rPr>
              <w:t xml:space="preserve"> год долгосрочного периода регулирования, осуществляемая в связи с изменением (неисполнением) инвестиционной программы на (i-1)-й год</w:t>
            </w:r>
          </w:p>
        </w:tc>
        <w:tc>
          <w:tcPr>
            <w:tcW w:w="415" w:type="pct"/>
            <w:noWrap/>
            <w:vAlign w:val="center"/>
            <w:hideMark/>
          </w:tcPr>
          <w:p w14:paraId="1FB512CD" w14:textId="77777777" w:rsidR="009A4C46" w:rsidRPr="009A4C46" w:rsidRDefault="009A4C46" w:rsidP="009A4C46">
            <w:pPr>
              <w:autoSpaceDE w:val="0"/>
              <w:autoSpaceDN w:val="0"/>
              <w:adjustRightInd w:val="0"/>
              <w:jc w:val="center"/>
              <w:rPr>
                <w:rFonts w:eastAsia="Calibri"/>
                <w:sz w:val="16"/>
                <w:szCs w:val="16"/>
              </w:rPr>
            </w:pPr>
            <w:r w:rsidRPr="009A4C46">
              <w:rPr>
                <w:rFonts w:eastAsia="Calibri"/>
                <w:sz w:val="16"/>
                <w:szCs w:val="16"/>
              </w:rPr>
              <w:t>-</w:t>
            </w:r>
          </w:p>
        </w:tc>
        <w:tc>
          <w:tcPr>
            <w:tcW w:w="415" w:type="pct"/>
            <w:noWrap/>
            <w:vAlign w:val="center"/>
            <w:hideMark/>
          </w:tcPr>
          <w:p w14:paraId="009F0CBB" w14:textId="77777777" w:rsidR="009A4C46" w:rsidRPr="009A4C46" w:rsidRDefault="009A4C46" w:rsidP="009A4C46">
            <w:pPr>
              <w:autoSpaceDE w:val="0"/>
              <w:autoSpaceDN w:val="0"/>
              <w:adjustRightInd w:val="0"/>
              <w:jc w:val="center"/>
              <w:rPr>
                <w:rFonts w:eastAsia="Calibri"/>
                <w:sz w:val="16"/>
                <w:szCs w:val="16"/>
              </w:rPr>
            </w:pPr>
            <w:r w:rsidRPr="009A4C46">
              <w:rPr>
                <w:rFonts w:eastAsia="Calibri"/>
                <w:sz w:val="16"/>
                <w:szCs w:val="16"/>
              </w:rPr>
              <w:t>-</w:t>
            </w:r>
          </w:p>
        </w:tc>
        <w:tc>
          <w:tcPr>
            <w:tcW w:w="415" w:type="pct"/>
            <w:noWrap/>
            <w:vAlign w:val="center"/>
            <w:hideMark/>
          </w:tcPr>
          <w:p w14:paraId="70B815A2" w14:textId="77777777" w:rsidR="009A4C46" w:rsidRPr="009A4C46" w:rsidRDefault="009A4C46" w:rsidP="009A4C46">
            <w:pPr>
              <w:autoSpaceDE w:val="0"/>
              <w:autoSpaceDN w:val="0"/>
              <w:adjustRightInd w:val="0"/>
              <w:jc w:val="center"/>
              <w:rPr>
                <w:rFonts w:eastAsia="Calibri"/>
                <w:sz w:val="16"/>
                <w:szCs w:val="16"/>
              </w:rPr>
            </w:pPr>
            <w:r w:rsidRPr="009A4C46">
              <w:rPr>
                <w:rFonts w:eastAsia="Calibri"/>
                <w:sz w:val="16"/>
                <w:szCs w:val="16"/>
              </w:rPr>
              <w:t>48 980</w:t>
            </w:r>
          </w:p>
        </w:tc>
        <w:tc>
          <w:tcPr>
            <w:tcW w:w="415" w:type="pct"/>
            <w:noWrap/>
            <w:vAlign w:val="center"/>
            <w:hideMark/>
          </w:tcPr>
          <w:p w14:paraId="6122CE6E" w14:textId="77777777" w:rsidR="009A4C46" w:rsidRPr="009A4C46" w:rsidRDefault="009A4C46" w:rsidP="009A4C46">
            <w:pPr>
              <w:autoSpaceDE w:val="0"/>
              <w:autoSpaceDN w:val="0"/>
              <w:adjustRightInd w:val="0"/>
              <w:jc w:val="center"/>
              <w:rPr>
                <w:rFonts w:eastAsia="Calibri"/>
                <w:sz w:val="16"/>
                <w:szCs w:val="16"/>
              </w:rPr>
            </w:pPr>
            <w:r w:rsidRPr="009A4C46">
              <w:rPr>
                <w:rFonts w:eastAsia="Calibri"/>
                <w:sz w:val="16"/>
                <w:szCs w:val="16"/>
              </w:rPr>
              <w:t>46 608</w:t>
            </w:r>
          </w:p>
        </w:tc>
        <w:tc>
          <w:tcPr>
            <w:tcW w:w="415" w:type="pct"/>
            <w:noWrap/>
            <w:vAlign w:val="center"/>
            <w:hideMark/>
          </w:tcPr>
          <w:p w14:paraId="0F562A9B" w14:textId="77777777" w:rsidR="009A4C46" w:rsidRPr="009A4C46" w:rsidRDefault="009A4C46" w:rsidP="009A4C46">
            <w:pPr>
              <w:autoSpaceDE w:val="0"/>
              <w:autoSpaceDN w:val="0"/>
              <w:adjustRightInd w:val="0"/>
              <w:jc w:val="center"/>
              <w:rPr>
                <w:rFonts w:eastAsia="Calibri"/>
                <w:sz w:val="16"/>
                <w:szCs w:val="16"/>
              </w:rPr>
            </w:pPr>
            <w:r w:rsidRPr="009A4C46">
              <w:rPr>
                <w:rFonts w:eastAsia="Calibri"/>
                <w:sz w:val="16"/>
                <w:szCs w:val="16"/>
              </w:rPr>
              <w:t>64 127</w:t>
            </w:r>
          </w:p>
        </w:tc>
        <w:tc>
          <w:tcPr>
            <w:tcW w:w="415" w:type="pct"/>
            <w:noWrap/>
            <w:vAlign w:val="center"/>
            <w:hideMark/>
          </w:tcPr>
          <w:p w14:paraId="77AD2B36" w14:textId="77777777" w:rsidR="009A4C46" w:rsidRPr="009A4C46" w:rsidRDefault="009A4C46" w:rsidP="009A4C46">
            <w:pPr>
              <w:autoSpaceDE w:val="0"/>
              <w:autoSpaceDN w:val="0"/>
              <w:adjustRightInd w:val="0"/>
              <w:jc w:val="center"/>
              <w:rPr>
                <w:rFonts w:eastAsia="Calibri"/>
                <w:sz w:val="16"/>
                <w:szCs w:val="16"/>
              </w:rPr>
            </w:pPr>
            <w:r w:rsidRPr="009A4C46">
              <w:rPr>
                <w:rFonts w:eastAsia="Calibri"/>
                <w:sz w:val="16"/>
                <w:szCs w:val="16"/>
              </w:rPr>
              <w:t>60 177</w:t>
            </w:r>
          </w:p>
        </w:tc>
        <w:tc>
          <w:tcPr>
            <w:tcW w:w="415" w:type="pct"/>
            <w:noWrap/>
            <w:vAlign w:val="center"/>
            <w:hideMark/>
          </w:tcPr>
          <w:p w14:paraId="495FAB94" w14:textId="77777777" w:rsidR="009A4C46" w:rsidRPr="009A4C46" w:rsidRDefault="009A4C46" w:rsidP="009A4C46">
            <w:pPr>
              <w:autoSpaceDE w:val="0"/>
              <w:autoSpaceDN w:val="0"/>
              <w:adjustRightInd w:val="0"/>
              <w:jc w:val="center"/>
              <w:rPr>
                <w:rFonts w:eastAsia="Calibri"/>
                <w:sz w:val="16"/>
                <w:szCs w:val="16"/>
              </w:rPr>
            </w:pPr>
            <w:r w:rsidRPr="009A4C46">
              <w:rPr>
                <w:rFonts w:eastAsia="Calibri"/>
                <w:sz w:val="16"/>
                <w:szCs w:val="16"/>
              </w:rPr>
              <w:t>93 885</w:t>
            </w:r>
          </w:p>
        </w:tc>
        <w:tc>
          <w:tcPr>
            <w:tcW w:w="415" w:type="pct"/>
            <w:noWrap/>
            <w:vAlign w:val="center"/>
            <w:hideMark/>
          </w:tcPr>
          <w:p w14:paraId="76463B6F" w14:textId="77777777" w:rsidR="009A4C46" w:rsidRPr="009A4C46" w:rsidRDefault="009A4C46" w:rsidP="009A4C46">
            <w:pPr>
              <w:autoSpaceDE w:val="0"/>
              <w:autoSpaceDN w:val="0"/>
              <w:adjustRightInd w:val="0"/>
              <w:jc w:val="center"/>
              <w:rPr>
                <w:rFonts w:eastAsia="Calibri"/>
                <w:sz w:val="16"/>
                <w:szCs w:val="16"/>
              </w:rPr>
            </w:pPr>
            <w:r w:rsidRPr="009A4C46">
              <w:rPr>
                <w:rFonts w:eastAsia="Calibri"/>
                <w:sz w:val="16"/>
                <w:szCs w:val="16"/>
              </w:rPr>
              <w:t>-3 058</w:t>
            </w:r>
          </w:p>
        </w:tc>
        <w:tc>
          <w:tcPr>
            <w:tcW w:w="415" w:type="pct"/>
            <w:noWrap/>
            <w:vAlign w:val="center"/>
            <w:hideMark/>
          </w:tcPr>
          <w:p w14:paraId="7F62F606" w14:textId="77777777" w:rsidR="009A4C46" w:rsidRPr="009A4C46" w:rsidRDefault="009A4C46" w:rsidP="009A4C46">
            <w:pPr>
              <w:autoSpaceDE w:val="0"/>
              <w:autoSpaceDN w:val="0"/>
              <w:adjustRightInd w:val="0"/>
              <w:jc w:val="center"/>
              <w:rPr>
                <w:rFonts w:eastAsia="Calibri"/>
                <w:sz w:val="16"/>
                <w:szCs w:val="16"/>
              </w:rPr>
            </w:pPr>
            <w:r w:rsidRPr="009A4C46">
              <w:rPr>
                <w:rFonts w:eastAsia="Calibri"/>
                <w:sz w:val="16"/>
                <w:szCs w:val="16"/>
              </w:rPr>
              <w:t>310 719</w:t>
            </w:r>
          </w:p>
        </w:tc>
      </w:tr>
      <w:tr w:rsidR="009A4C46" w:rsidRPr="009A4C46" w14:paraId="18E2152C" w14:textId="77777777" w:rsidTr="00F94FED">
        <w:trPr>
          <w:trHeight w:val="930"/>
        </w:trPr>
        <w:tc>
          <w:tcPr>
            <w:tcW w:w="238" w:type="pct"/>
            <w:noWrap/>
            <w:vAlign w:val="center"/>
            <w:hideMark/>
          </w:tcPr>
          <w:p w14:paraId="1E552D13" w14:textId="77777777" w:rsidR="009A4C46" w:rsidRPr="009A4C46" w:rsidRDefault="009A4C46" w:rsidP="009A4C46">
            <w:pPr>
              <w:autoSpaceDE w:val="0"/>
              <w:autoSpaceDN w:val="0"/>
              <w:adjustRightInd w:val="0"/>
              <w:jc w:val="center"/>
              <w:rPr>
                <w:rFonts w:eastAsia="Calibri"/>
                <w:sz w:val="16"/>
                <w:szCs w:val="16"/>
              </w:rPr>
            </w:pPr>
            <w:r w:rsidRPr="009A4C46">
              <w:rPr>
                <w:rFonts w:eastAsia="Calibri"/>
                <w:sz w:val="16"/>
                <w:szCs w:val="16"/>
              </w:rPr>
              <w:t>7</w:t>
            </w:r>
          </w:p>
        </w:tc>
        <w:tc>
          <w:tcPr>
            <w:tcW w:w="1026" w:type="pct"/>
            <w:vAlign w:val="center"/>
            <w:hideMark/>
          </w:tcPr>
          <w:p w14:paraId="44AEF0B1" w14:textId="77777777" w:rsidR="009A4C46" w:rsidRPr="009A4C46" w:rsidRDefault="009A4C46" w:rsidP="009A4C46">
            <w:pPr>
              <w:autoSpaceDE w:val="0"/>
              <w:autoSpaceDN w:val="0"/>
              <w:adjustRightInd w:val="0"/>
              <w:rPr>
                <w:rFonts w:eastAsia="Calibri"/>
                <w:sz w:val="16"/>
                <w:szCs w:val="16"/>
              </w:rPr>
            </w:pPr>
            <w:r w:rsidRPr="009A4C46">
              <w:rPr>
                <w:rFonts w:eastAsia="Calibri"/>
                <w:sz w:val="16"/>
                <w:szCs w:val="16"/>
              </w:rPr>
              <w:t>Корректировка необходимой валовой выручки на i-</w:t>
            </w:r>
            <w:proofErr w:type="spellStart"/>
            <w:r w:rsidRPr="009A4C46">
              <w:rPr>
                <w:rFonts w:eastAsia="Calibri"/>
                <w:sz w:val="16"/>
                <w:szCs w:val="16"/>
              </w:rPr>
              <w:t>тый</w:t>
            </w:r>
            <w:proofErr w:type="spellEnd"/>
            <w:r w:rsidRPr="009A4C46">
              <w:rPr>
                <w:rFonts w:eastAsia="Calibri"/>
                <w:sz w:val="16"/>
                <w:szCs w:val="16"/>
              </w:rPr>
              <w:t xml:space="preserve"> год долгосрочного периода регулирования, осуществляемая с учетом показателей надежности и качества услуг</w:t>
            </w:r>
          </w:p>
        </w:tc>
        <w:tc>
          <w:tcPr>
            <w:tcW w:w="415" w:type="pct"/>
            <w:noWrap/>
            <w:vAlign w:val="center"/>
            <w:hideMark/>
          </w:tcPr>
          <w:p w14:paraId="06549863" w14:textId="77777777" w:rsidR="009A4C46" w:rsidRPr="009A4C46" w:rsidRDefault="009A4C46" w:rsidP="009A4C46">
            <w:pPr>
              <w:autoSpaceDE w:val="0"/>
              <w:autoSpaceDN w:val="0"/>
              <w:adjustRightInd w:val="0"/>
              <w:jc w:val="center"/>
              <w:rPr>
                <w:rFonts w:eastAsia="Calibri"/>
                <w:sz w:val="16"/>
                <w:szCs w:val="16"/>
              </w:rPr>
            </w:pPr>
            <w:r w:rsidRPr="009A4C46">
              <w:rPr>
                <w:rFonts w:eastAsia="Calibri"/>
                <w:sz w:val="16"/>
                <w:szCs w:val="16"/>
              </w:rPr>
              <w:t>-</w:t>
            </w:r>
          </w:p>
        </w:tc>
        <w:tc>
          <w:tcPr>
            <w:tcW w:w="415" w:type="pct"/>
            <w:noWrap/>
            <w:vAlign w:val="center"/>
            <w:hideMark/>
          </w:tcPr>
          <w:p w14:paraId="7666B885" w14:textId="77777777" w:rsidR="009A4C46" w:rsidRPr="009A4C46" w:rsidRDefault="009A4C46" w:rsidP="009A4C46">
            <w:pPr>
              <w:autoSpaceDE w:val="0"/>
              <w:autoSpaceDN w:val="0"/>
              <w:adjustRightInd w:val="0"/>
              <w:jc w:val="center"/>
              <w:rPr>
                <w:rFonts w:eastAsia="Calibri"/>
                <w:sz w:val="16"/>
                <w:szCs w:val="16"/>
              </w:rPr>
            </w:pPr>
            <w:r w:rsidRPr="009A4C46">
              <w:rPr>
                <w:rFonts w:eastAsia="Calibri"/>
                <w:sz w:val="16"/>
                <w:szCs w:val="16"/>
              </w:rPr>
              <w:t>-</w:t>
            </w:r>
          </w:p>
        </w:tc>
        <w:tc>
          <w:tcPr>
            <w:tcW w:w="415" w:type="pct"/>
            <w:noWrap/>
            <w:vAlign w:val="center"/>
            <w:hideMark/>
          </w:tcPr>
          <w:p w14:paraId="5DC1CD1C" w14:textId="77777777" w:rsidR="009A4C46" w:rsidRPr="009A4C46" w:rsidRDefault="009A4C46" w:rsidP="009A4C46">
            <w:pPr>
              <w:autoSpaceDE w:val="0"/>
              <w:autoSpaceDN w:val="0"/>
              <w:adjustRightInd w:val="0"/>
              <w:jc w:val="center"/>
              <w:rPr>
                <w:rFonts w:eastAsia="Calibri"/>
                <w:sz w:val="16"/>
                <w:szCs w:val="16"/>
              </w:rPr>
            </w:pPr>
            <w:r w:rsidRPr="009A4C46">
              <w:rPr>
                <w:rFonts w:eastAsia="Calibri"/>
                <w:sz w:val="16"/>
                <w:szCs w:val="16"/>
              </w:rPr>
              <w:t>-</w:t>
            </w:r>
          </w:p>
        </w:tc>
        <w:tc>
          <w:tcPr>
            <w:tcW w:w="415" w:type="pct"/>
            <w:noWrap/>
            <w:vAlign w:val="center"/>
            <w:hideMark/>
          </w:tcPr>
          <w:p w14:paraId="6EE6A2AE" w14:textId="77777777" w:rsidR="009A4C46" w:rsidRPr="009A4C46" w:rsidRDefault="009A4C46" w:rsidP="009A4C46">
            <w:pPr>
              <w:autoSpaceDE w:val="0"/>
              <w:autoSpaceDN w:val="0"/>
              <w:adjustRightInd w:val="0"/>
              <w:jc w:val="center"/>
              <w:rPr>
                <w:rFonts w:eastAsia="Calibri"/>
                <w:sz w:val="16"/>
                <w:szCs w:val="16"/>
              </w:rPr>
            </w:pPr>
            <w:r w:rsidRPr="009A4C46">
              <w:rPr>
                <w:rFonts w:eastAsia="Calibri"/>
                <w:sz w:val="16"/>
                <w:szCs w:val="16"/>
              </w:rPr>
              <w:t>-</w:t>
            </w:r>
          </w:p>
        </w:tc>
        <w:tc>
          <w:tcPr>
            <w:tcW w:w="415" w:type="pct"/>
            <w:noWrap/>
            <w:vAlign w:val="center"/>
            <w:hideMark/>
          </w:tcPr>
          <w:p w14:paraId="20FBE28D" w14:textId="77777777" w:rsidR="009A4C46" w:rsidRPr="009A4C46" w:rsidRDefault="009A4C46" w:rsidP="009A4C46">
            <w:pPr>
              <w:autoSpaceDE w:val="0"/>
              <w:autoSpaceDN w:val="0"/>
              <w:adjustRightInd w:val="0"/>
              <w:jc w:val="center"/>
              <w:rPr>
                <w:rFonts w:eastAsia="Calibri"/>
                <w:sz w:val="16"/>
                <w:szCs w:val="16"/>
              </w:rPr>
            </w:pPr>
            <w:r w:rsidRPr="009A4C46">
              <w:rPr>
                <w:rFonts w:eastAsia="Calibri"/>
                <w:sz w:val="16"/>
                <w:szCs w:val="16"/>
              </w:rPr>
              <w:t>12 205</w:t>
            </w:r>
          </w:p>
        </w:tc>
        <w:tc>
          <w:tcPr>
            <w:tcW w:w="415" w:type="pct"/>
            <w:noWrap/>
            <w:vAlign w:val="center"/>
            <w:hideMark/>
          </w:tcPr>
          <w:p w14:paraId="7A2F0014" w14:textId="77777777" w:rsidR="009A4C46" w:rsidRPr="009A4C46" w:rsidRDefault="009A4C46" w:rsidP="009A4C46">
            <w:pPr>
              <w:autoSpaceDE w:val="0"/>
              <w:autoSpaceDN w:val="0"/>
              <w:adjustRightInd w:val="0"/>
              <w:jc w:val="center"/>
              <w:rPr>
                <w:rFonts w:eastAsia="Calibri"/>
                <w:sz w:val="16"/>
                <w:szCs w:val="16"/>
              </w:rPr>
            </w:pPr>
            <w:r w:rsidRPr="009A4C46">
              <w:rPr>
                <w:rFonts w:eastAsia="Calibri"/>
                <w:sz w:val="16"/>
                <w:szCs w:val="16"/>
              </w:rPr>
              <w:t>13 171</w:t>
            </w:r>
          </w:p>
        </w:tc>
        <w:tc>
          <w:tcPr>
            <w:tcW w:w="415" w:type="pct"/>
            <w:noWrap/>
            <w:vAlign w:val="center"/>
            <w:hideMark/>
          </w:tcPr>
          <w:p w14:paraId="7822FCB1" w14:textId="77777777" w:rsidR="009A4C46" w:rsidRPr="009A4C46" w:rsidRDefault="009A4C46" w:rsidP="009A4C46">
            <w:pPr>
              <w:autoSpaceDE w:val="0"/>
              <w:autoSpaceDN w:val="0"/>
              <w:adjustRightInd w:val="0"/>
              <w:jc w:val="center"/>
              <w:rPr>
                <w:rFonts w:eastAsia="Calibri"/>
                <w:sz w:val="16"/>
                <w:szCs w:val="16"/>
              </w:rPr>
            </w:pPr>
            <w:r w:rsidRPr="009A4C46">
              <w:rPr>
                <w:rFonts w:eastAsia="Calibri"/>
                <w:sz w:val="16"/>
                <w:szCs w:val="16"/>
              </w:rPr>
              <w:t>14 139</w:t>
            </w:r>
          </w:p>
        </w:tc>
        <w:tc>
          <w:tcPr>
            <w:tcW w:w="415" w:type="pct"/>
            <w:noWrap/>
            <w:vAlign w:val="center"/>
            <w:hideMark/>
          </w:tcPr>
          <w:p w14:paraId="71451533" w14:textId="77777777" w:rsidR="009A4C46" w:rsidRPr="009A4C46" w:rsidRDefault="009A4C46" w:rsidP="009A4C46">
            <w:pPr>
              <w:autoSpaceDE w:val="0"/>
              <w:autoSpaceDN w:val="0"/>
              <w:adjustRightInd w:val="0"/>
              <w:jc w:val="center"/>
              <w:rPr>
                <w:rFonts w:eastAsia="Calibri"/>
                <w:sz w:val="16"/>
                <w:szCs w:val="16"/>
              </w:rPr>
            </w:pPr>
            <w:r w:rsidRPr="009A4C46">
              <w:rPr>
                <w:rFonts w:eastAsia="Calibri"/>
                <w:sz w:val="16"/>
                <w:szCs w:val="16"/>
              </w:rPr>
              <w:t>15 174</w:t>
            </w:r>
          </w:p>
        </w:tc>
        <w:tc>
          <w:tcPr>
            <w:tcW w:w="415" w:type="pct"/>
            <w:noWrap/>
            <w:vAlign w:val="center"/>
            <w:hideMark/>
          </w:tcPr>
          <w:p w14:paraId="024B2BF5" w14:textId="77777777" w:rsidR="009A4C46" w:rsidRPr="009A4C46" w:rsidRDefault="009A4C46" w:rsidP="009A4C46">
            <w:pPr>
              <w:autoSpaceDE w:val="0"/>
              <w:autoSpaceDN w:val="0"/>
              <w:adjustRightInd w:val="0"/>
              <w:jc w:val="center"/>
              <w:rPr>
                <w:rFonts w:eastAsia="Calibri"/>
                <w:sz w:val="16"/>
                <w:szCs w:val="16"/>
              </w:rPr>
            </w:pPr>
            <w:r w:rsidRPr="009A4C46">
              <w:rPr>
                <w:rFonts w:eastAsia="Calibri"/>
                <w:sz w:val="16"/>
                <w:szCs w:val="16"/>
              </w:rPr>
              <w:t>54 688</w:t>
            </w:r>
          </w:p>
        </w:tc>
      </w:tr>
      <w:tr w:rsidR="009A4C46" w:rsidRPr="009A4C46" w14:paraId="484C9BDC" w14:textId="77777777" w:rsidTr="00F94FED">
        <w:trPr>
          <w:trHeight w:val="705"/>
        </w:trPr>
        <w:tc>
          <w:tcPr>
            <w:tcW w:w="238" w:type="pct"/>
            <w:noWrap/>
            <w:vAlign w:val="center"/>
            <w:hideMark/>
          </w:tcPr>
          <w:p w14:paraId="3452F12F" w14:textId="77777777" w:rsidR="009A4C46" w:rsidRPr="009A4C46" w:rsidRDefault="009A4C46" w:rsidP="009A4C46">
            <w:pPr>
              <w:autoSpaceDE w:val="0"/>
              <w:autoSpaceDN w:val="0"/>
              <w:adjustRightInd w:val="0"/>
              <w:jc w:val="center"/>
              <w:rPr>
                <w:rFonts w:eastAsia="Calibri"/>
                <w:sz w:val="16"/>
                <w:szCs w:val="16"/>
              </w:rPr>
            </w:pPr>
            <w:r w:rsidRPr="009A4C46">
              <w:rPr>
                <w:rFonts w:eastAsia="Calibri"/>
                <w:sz w:val="16"/>
                <w:szCs w:val="16"/>
              </w:rPr>
              <w:t>8</w:t>
            </w:r>
          </w:p>
        </w:tc>
        <w:tc>
          <w:tcPr>
            <w:tcW w:w="1026" w:type="pct"/>
            <w:vAlign w:val="center"/>
            <w:hideMark/>
          </w:tcPr>
          <w:p w14:paraId="6CFB6B64" w14:textId="77777777" w:rsidR="009A4C46" w:rsidRPr="009A4C46" w:rsidRDefault="009A4C46" w:rsidP="009A4C46">
            <w:pPr>
              <w:autoSpaceDE w:val="0"/>
              <w:autoSpaceDN w:val="0"/>
              <w:adjustRightInd w:val="0"/>
              <w:rPr>
                <w:rFonts w:eastAsia="Calibri"/>
                <w:sz w:val="16"/>
                <w:szCs w:val="16"/>
              </w:rPr>
            </w:pPr>
            <w:r w:rsidRPr="009A4C46">
              <w:rPr>
                <w:rFonts w:eastAsia="Calibri"/>
                <w:sz w:val="16"/>
                <w:szCs w:val="16"/>
              </w:rPr>
              <w:t>Корректировка необходимой валовой выручки по доходам от осуществления регулируемой деятельности</w:t>
            </w:r>
          </w:p>
        </w:tc>
        <w:tc>
          <w:tcPr>
            <w:tcW w:w="415" w:type="pct"/>
            <w:noWrap/>
            <w:vAlign w:val="center"/>
            <w:hideMark/>
          </w:tcPr>
          <w:p w14:paraId="0453DAEF" w14:textId="77777777" w:rsidR="009A4C46" w:rsidRPr="009A4C46" w:rsidRDefault="009A4C46" w:rsidP="009A4C46">
            <w:pPr>
              <w:autoSpaceDE w:val="0"/>
              <w:autoSpaceDN w:val="0"/>
              <w:adjustRightInd w:val="0"/>
              <w:jc w:val="center"/>
              <w:rPr>
                <w:rFonts w:eastAsia="Calibri"/>
                <w:sz w:val="16"/>
                <w:szCs w:val="16"/>
              </w:rPr>
            </w:pPr>
          </w:p>
        </w:tc>
        <w:tc>
          <w:tcPr>
            <w:tcW w:w="415" w:type="pct"/>
            <w:noWrap/>
            <w:vAlign w:val="center"/>
            <w:hideMark/>
          </w:tcPr>
          <w:p w14:paraId="2002C331" w14:textId="77777777" w:rsidR="009A4C46" w:rsidRPr="009A4C46" w:rsidRDefault="009A4C46" w:rsidP="009A4C46">
            <w:pPr>
              <w:autoSpaceDE w:val="0"/>
              <w:autoSpaceDN w:val="0"/>
              <w:adjustRightInd w:val="0"/>
              <w:jc w:val="center"/>
              <w:rPr>
                <w:rFonts w:eastAsia="Calibri"/>
                <w:sz w:val="16"/>
                <w:szCs w:val="16"/>
              </w:rPr>
            </w:pPr>
          </w:p>
        </w:tc>
        <w:tc>
          <w:tcPr>
            <w:tcW w:w="415" w:type="pct"/>
            <w:noWrap/>
            <w:vAlign w:val="center"/>
            <w:hideMark/>
          </w:tcPr>
          <w:p w14:paraId="2506E367" w14:textId="77777777" w:rsidR="009A4C46" w:rsidRPr="009A4C46" w:rsidRDefault="009A4C46" w:rsidP="009A4C46">
            <w:pPr>
              <w:autoSpaceDE w:val="0"/>
              <w:autoSpaceDN w:val="0"/>
              <w:adjustRightInd w:val="0"/>
              <w:jc w:val="center"/>
              <w:rPr>
                <w:rFonts w:eastAsia="Calibri"/>
                <w:sz w:val="16"/>
                <w:szCs w:val="16"/>
              </w:rPr>
            </w:pPr>
          </w:p>
        </w:tc>
        <w:tc>
          <w:tcPr>
            <w:tcW w:w="415" w:type="pct"/>
            <w:noWrap/>
            <w:vAlign w:val="center"/>
            <w:hideMark/>
          </w:tcPr>
          <w:p w14:paraId="144EAD87" w14:textId="77777777" w:rsidR="009A4C46" w:rsidRPr="009A4C46" w:rsidRDefault="009A4C46" w:rsidP="009A4C46">
            <w:pPr>
              <w:autoSpaceDE w:val="0"/>
              <w:autoSpaceDN w:val="0"/>
              <w:adjustRightInd w:val="0"/>
              <w:jc w:val="center"/>
              <w:rPr>
                <w:rFonts w:eastAsia="Calibri"/>
                <w:sz w:val="16"/>
                <w:szCs w:val="16"/>
              </w:rPr>
            </w:pPr>
          </w:p>
        </w:tc>
        <w:tc>
          <w:tcPr>
            <w:tcW w:w="415" w:type="pct"/>
            <w:noWrap/>
            <w:vAlign w:val="center"/>
            <w:hideMark/>
          </w:tcPr>
          <w:p w14:paraId="2963D5FB" w14:textId="77777777" w:rsidR="009A4C46" w:rsidRPr="009A4C46" w:rsidRDefault="009A4C46" w:rsidP="009A4C46">
            <w:pPr>
              <w:autoSpaceDE w:val="0"/>
              <w:autoSpaceDN w:val="0"/>
              <w:adjustRightInd w:val="0"/>
              <w:jc w:val="center"/>
              <w:rPr>
                <w:rFonts w:eastAsia="Calibri"/>
                <w:sz w:val="16"/>
                <w:szCs w:val="16"/>
              </w:rPr>
            </w:pPr>
          </w:p>
        </w:tc>
        <w:tc>
          <w:tcPr>
            <w:tcW w:w="415" w:type="pct"/>
            <w:noWrap/>
            <w:vAlign w:val="center"/>
            <w:hideMark/>
          </w:tcPr>
          <w:p w14:paraId="7614D206" w14:textId="77777777" w:rsidR="009A4C46" w:rsidRPr="009A4C46" w:rsidRDefault="009A4C46" w:rsidP="009A4C46">
            <w:pPr>
              <w:autoSpaceDE w:val="0"/>
              <w:autoSpaceDN w:val="0"/>
              <w:adjustRightInd w:val="0"/>
              <w:jc w:val="center"/>
              <w:rPr>
                <w:rFonts w:eastAsia="Calibri"/>
                <w:sz w:val="16"/>
                <w:szCs w:val="16"/>
              </w:rPr>
            </w:pPr>
          </w:p>
        </w:tc>
        <w:tc>
          <w:tcPr>
            <w:tcW w:w="415" w:type="pct"/>
            <w:noWrap/>
            <w:vAlign w:val="center"/>
            <w:hideMark/>
          </w:tcPr>
          <w:p w14:paraId="17CA3A33" w14:textId="77777777" w:rsidR="009A4C46" w:rsidRPr="009A4C46" w:rsidRDefault="009A4C46" w:rsidP="009A4C46">
            <w:pPr>
              <w:autoSpaceDE w:val="0"/>
              <w:autoSpaceDN w:val="0"/>
              <w:adjustRightInd w:val="0"/>
              <w:jc w:val="center"/>
              <w:rPr>
                <w:rFonts w:eastAsia="Calibri"/>
                <w:sz w:val="16"/>
                <w:szCs w:val="16"/>
              </w:rPr>
            </w:pPr>
          </w:p>
        </w:tc>
        <w:tc>
          <w:tcPr>
            <w:tcW w:w="415" w:type="pct"/>
            <w:noWrap/>
            <w:vAlign w:val="center"/>
            <w:hideMark/>
          </w:tcPr>
          <w:p w14:paraId="4427807B" w14:textId="77777777" w:rsidR="009A4C46" w:rsidRPr="009A4C46" w:rsidRDefault="009A4C46" w:rsidP="009A4C46">
            <w:pPr>
              <w:autoSpaceDE w:val="0"/>
              <w:autoSpaceDN w:val="0"/>
              <w:adjustRightInd w:val="0"/>
              <w:jc w:val="center"/>
              <w:rPr>
                <w:rFonts w:eastAsia="Calibri"/>
                <w:sz w:val="16"/>
                <w:szCs w:val="16"/>
              </w:rPr>
            </w:pPr>
            <w:r w:rsidRPr="009A4C46">
              <w:rPr>
                <w:rFonts w:eastAsia="Calibri"/>
                <w:sz w:val="16"/>
                <w:szCs w:val="16"/>
              </w:rPr>
              <w:t>75 644</w:t>
            </w:r>
          </w:p>
        </w:tc>
        <w:tc>
          <w:tcPr>
            <w:tcW w:w="415" w:type="pct"/>
            <w:noWrap/>
            <w:vAlign w:val="center"/>
            <w:hideMark/>
          </w:tcPr>
          <w:p w14:paraId="3A78D33D" w14:textId="77777777" w:rsidR="009A4C46" w:rsidRPr="009A4C46" w:rsidRDefault="009A4C46" w:rsidP="009A4C46">
            <w:pPr>
              <w:autoSpaceDE w:val="0"/>
              <w:autoSpaceDN w:val="0"/>
              <w:adjustRightInd w:val="0"/>
              <w:jc w:val="center"/>
              <w:rPr>
                <w:rFonts w:eastAsia="Calibri"/>
                <w:sz w:val="16"/>
                <w:szCs w:val="16"/>
              </w:rPr>
            </w:pPr>
            <w:r w:rsidRPr="009A4C46">
              <w:rPr>
                <w:rFonts w:eastAsia="Calibri"/>
                <w:sz w:val="16"/>
                <w:szCs w:val="16"/>
              </w:rPr>
              <w:t>75 644</w:t>
            </w:r>
          </w:p>
        </w:tc>
      </w:tr>
      <w:tr w:rsidR="009A4C46" w:rsidRPr="009A4C46" w14:paraId="32BC6CF0" w14:textId="77777777" w:rsidTr="00F94FED">
        <w:trPr>
          <w:trHeight w:val="233"/>
        </w:trPr>
        <w:tc>
          <w:tcPr>
            <w:tcW w:w="238" w:type="pct"/>
            <w:noWrap/>
            <w:vAlign w:val="center"/>
            <w:hideMark/>
          </w:tcPr>
          <w:p w14:paraId="3E041273" w14:textId="77777777" w:rsidR="009A4C46" w:rsidRPr="009A4C46" w:rsidRDefault="009A4C46" w:rsidP="009A4C46">
            <w:pPr>
              <w:autoSpaceDE w:val="0"/>
              <w:autoSpaceDN w:val="0"/>
              <w:adjustRightInd w:val="0"/>
              <w:jc w:val="center"/>
              <w:rPr>
                <w:rFonts w:eastAsia="Calibri"/>
                <w:sz w:val="16"/>
                <w:szCs w:val="16"/>
              </w:rPr>
            </w:pPr>
            <w:r w:rsidRPr="009A4C46">
              <w:rPr>
                <w:rFonts w:eastAsia="Calibri"/>
                <w:sz w:val="16"/>
                <w:szCs w:val="16"/>
              </w:rPr>
              <w:t>9</w:t>
            </w:r>
          </w:p>
        </w:tc>
        <w:tc>
          <w:tcPr>
            <w:tcW w:w="1026" w:type="pct"/>
            <w:vAlign w:val="center"/>
            <w:hideMark/>
          </w:tcPr>
          <w:p w14:paraId="3D44A337" w14:textId="77777777" w:rsidR="009A4C46" w:rsidRPr="009A4C46" w:rsidRDefault="009A4C46" w:rsidP="009A4C46">
            <w:pPr>
              <w:autoSpaceDE w:val="0"/>
              <w:autoSpaceDN w:val="0"/>
              <w:adjustRightInd w:val="0"/>
              <w:rPr>
                <w:rFonts w:eastAsia="Calibri"/>
                <w:b/>
                <w:bCs/>
                <w:sz w:val="16"/>
                <w:szCs w:val="16"/>
              </w:rPr>
            </w:pPr>
            <w:r w:rsidRPr="009A4C46">
              <w:rPr>
                <w:rFonts w:eastAsia="Calibri"/>
                <w:b/>
                <w:bCs/>
                <w:sz w:val="16"/>
                <w:szCs w:val="16"/>
              </w:rPr>
              <w:t>Включено в НВВ</w:t>
            </w:r>
          </w:p>
        </w:tc>
        <w:tc>
          <w:tcPr>
            <w:tcW w:w="415" w:type="pct"/>
            <w:noWrap/>
            <w:vAlign w:val="center"/>
            <w:hideMark/>
          </w:tcPr>
          <w:p w14:paraId="0D363BDE" w14:textId="77777777" w:rsidR="009A4C46" w:rsidRPr="009A4C46" w:rsidRDefault="009A4C46" w:rsidP="009A4C46">
            <w:pPr>
              <w:autoSpaceDE w:val="0"/>
              <w:autoSpaceDN w:val="0"/>
              <w:adjustRightInd w:val="0"/>
              <w:jc w:val="center"/>
              <w:rPr>
                <w:rFonts w:eastAsia="Calibri"/>
                <w:b/>
                <w:bCs/>
                <w:sz w:val="16"/>
                <w:szCs w:val="16"/>
              </w:rPr>
            </w:pPr>
          </w:p>
        </w:tc>
        <w:tc>
          <w:tcPr>
            <w:tcW w:w="415" w:type="pct"/>
            <w:noWrap/>
            <w:vAlign w:val="center"/>
            <w:hideMark/>
          </w:tcPr>
          <w:p w14:paraId="74A360AD" w14:textId="77777777" w:rsidR="009A4C46" w:rsidRPr="009A4C46" w:rsidRDefault="009A4C46" w:rsidP="009A4C46">
            <w:pPr>
              <w:autoSpaceDE w:val="0"/>
              <w:autoSpaceDN w:val="0"/>
              <w:adjustRightInd w:val="0"/>
              <w:jc w:val="center"/>
              <w:rPr>
                <w:rFonts w:eastAsia="Calibri"/>
                <w:b/>
                <w:bCs/>
                <w:sz w:val="16"/>
                <w:szCs w:val="16"/>
              </w:rPr>
            </w:pPr>
          </w:p>
        </w:tc>
        <w:tc>
          <w:tcPr>
            <w:tcW w:w="415" w:type="pct"/>
            <w:noWrap/>
            <w:vAlign w:val="center"/>
            <w:hideMark/>
          </w:tcPr>
          <w:p w14:paraId="3AC0D36B" w14:textId="77777777" w:rsidR="009A4C46" w:rsidRPr="009A4C46" w:rsidRDefault="009A4C46" w:rsidP="009A4C46">
            <w:pPr>
              <w:autoSpaceDE w:val="0"/>
              <w:autoSpaceDN w:val="0"/>
              <w:adjustRightInd w:val="0"/>
              <w:jc w:val="center"/>
              <w:rPr>
                <w:rFonts w:eastAsia="Calibri"/>
                <w:b/>
                <w:bCs/>
                <w:sz w:val="16"/>
                <w:szCs w:val="16"/>
              </w:rPr>
            </w:pPr>
            <w:r w:rsidRPr="009A4C46">
              <w:rPr>
                <w:rFonts w:eastAsia="Calibri"/>
                <w:b/>
                <w:bCs/>
                <w:sz w:val="16"/>
                <w:szCs w:val="16"/>
              </w:rPr>
              <w:t>21 907</w:t>
            </w:r>
          </w:p>
        </w:tc>
        <w:tc>
          <w:tcPr>
            <w:tcW w:w="415" w:type="pct"/>
            <w:noWrap/>
            <w:vAlign w:val="center"/>
            <w:hideMark/>
          </w:tcPr>
          <w:p w14:paraId="127B9268" w14:textId="77777777" w:rsidR="009A4C46" w:rsidRPr="009A4C46" w:rsidRDefault="009A4C46" w:rsidP="009A4C46">
            <w:pPr>
              <w:autoSpaceDE w:val="0"/>
              <w:autoSpaceDN w:val="0"/>
              <w:adjustRightInd w:val="0"/>
              <w:jc w:val="center"/>
              <w:rPr>
                <w:rFonts w:eastAsia="Calibri"/>
                <w:b/>
                <w:bCs/>
                <w:sz w:val="16"/>
                <w:szCs w:val="16"/>
              </w:rPr>
            </w:pPr>
            <w:r w:rsidRPr="009A4C46">
              <w:rPr>
                <w:rFonts w:eastAsia="Calibri"/>
                <w:b/>
                <w:bCs/>
                <w:sz w:val="16"/>
                <w:szCs w:val="16"/>
              </w:rPr>
              <w:t>22 740</w:t>
            </w:r>
          </w:p>
        </w:tc>
        <w:tc>
          <w:tcPr>
            <w:tcW w:w="415" w:type="pct"/>
            <w:noWrap/>
            <w:vAlign w:val="center"/>
            <w:hideMark/>
          </w:tcPr>
          <w:p w14:paraId="29AC4DCA" w14:textId="77777777" w:rsidR="009A4C46" w:rsidRPr="009A4C46" w:rsidRDefault="009A4C46" w:rsidP="009A4C46">
            <w:pPr>
              <w:autoSpaceDE w:val="0"/>
              <w:autoSpaceDN w:val="0"/>
              <w:adjustRightInd w:val="0"/>
              <w:jc w:val="center"/>
              <w:rPr>
                <w:rFonts w:eastAsia="Calibri"/>
                <w:b/>
                <w:bCs/>
                <w:sz w:val="16"/>
                <w:szCs w:val="16"/>
              </w:rPr>
            </w:pPr>
            <w:r w:rsidRPr="009A4C46">
              <w:rPr>
                <w:rFonts w:eastAsia="Calibri"/>
                <w:b/>
                <w:bCs/>
                <w:sz w:val="16"/>
                <w:szCs w:val="16"/>
              </w:rPr>
              <w:t>20 248</w:t>
            </w:r>
          </w:p>
        </w:tc>
        <w:tc>
          <w:tcPr>
            <w:tcW w:w="415" w:type="pct"/>
            <w:noWrap/>
            <w:vAlign w:val="center"/>
            <w:hideMark/>
          </w:tcPr>
          <w:p w14:paraId="52310617" w14:textId="77777777" w:rsidR="009A4C46" w:rsidRPr="009A4C46" w:rsidRDefault="009A4C46" w:rsidP="009A4C46">
            <w:pPr>
              <w:autoSpaceDE w:val="0"/>
              <w:autoSpaceDN w:val="0"/>
              <w:adjustRightInd w:val="0"/>
              <w:jc w:val="center"/>
              <w:rPr>
                <w:rFonts w:eastAsia="Calibri"/>
                <w:b/>
                <w:bCs/>
                <w:sz w:val="16"/>
                <w:szCs w:val="16"/>
              </w:rPr>
            </w:pPr>
            <w:r w:rsidRPr="009A4C46">
              <w:rPr>
                <w:rFonts w:eastAsia="Calibri"/>
                <w:b/>
                <w:bCs/>
                <w:sz w:val="16"/>
                <w:szCs w:val="16"/>
              </w:rPr>
              <w:t>42 843</w:t>
            </w:r>
          </w:p>
        </w:tc>
        <w:tc>
          <w:tcPr>
            <w:tcW w:w="415" w:type="pct"/>
            <w:noWrap/>
            <w:vAlign w:val="center"/>
            <w:hideMark/>
          </w:tcPr>
          <w:p w14:paraId="3DC373AD" w14:textId="77777777" w:rsidR="009A4C46" w:rsidRPr="009A4C46" w:rsidRDefault="009A4C46" w:rsidP="009A4C46">
            <w:pPr>
              <w:autoSpaceDE w:val="0"/>
              <w:autoSpaceDN w:val="0"/>
              <w:adjustRightInd w:val="0"/>
              <w:jc w:val="center"/>
              <w:rPr>
                <w:rFonts w:eastAsia="Calibri"/>
                <w:b/>
                <w:bCs/>
                <w:sz w:val="16"/>
                <w:szCs w:val="16"/>
              </w:rPr>
            </w:pPr>
            <w:r w:rsidRPr="009A4C46">
              <w:rPr>
                <w:rFonts w:eastAsia="Calibri"/>
                <w:b/>
                <w:bCs/>
                <w:sz w:val="16"/>
                <w:szCs w:val="16"/>
              </w:rPr>
              <w:t>48 026</w:t>
            </w:r>
          </w:p>
        </w:tc>
        <w:tc>
          <w:tcPr>
            <w:tcW w:w="415" w:type="pct"/>
            <w:noWrap/>
            <w:vAlign w:val="center"/>
            <w:hideMark/>
          </w:tcPr>
          <w:p w14:paraId="0E398D17" w14:textId="77777777" w:rsidR="009A4C46" w:rsidRPr="009A4C46" w:rsidRDefault="009A4C46" w:rsidP="009A4C46">
            <w:pPr>
              <w:autoSpaceDE w:val="0"/>
              <w:autoSpaceDN w:val="0"/>
              <w:adjustRightInd w:val="0"/>
              <w:jc w:val="center"/>
              <w:rPr>
                <w:rFonts w:eastAsia="Calibri"/>
                <w:b/>
                <w:bCs/>
                <w:sz w:val="16"/>
                <w:szCs w:val="16"/>
              </w:rPr>
            </w:pPr>
          </w:p>
        </w:tc>
        <w:tc>
          <w:tcPr>
            <w:tcW w:w="415" w:type="pct"/>
            <w:noWrap/>
            <w:vAlign w:val="center"/>
            <w:hideMark/>
          </w:tcPr>
          <w:p w14:paraId="50E66BA5" w14:textId="77777777" w:rsidR="009A4C46" w:rsidRPr="009A4C46" w:rsidRDefault="009A4C46" w:rsidP="009A4C46">
            <w:pPr>
              <w:autoSpaceDE w:val="0"/>
              <w:autoSpaceDN w:val="0"/>
              <w:adjustRightInd w:val="0"/>
              <w:jc w:val="center"/>
              <w:rPr>
                <w:rFonts w:eastAsia="Calibri"/>
                <w:b/>
                <w:bCs/>
                <w:sz w:val="16"/>
                <w:szCs w:val="16"/>
              </w:rPr>
            </w:pPr>
            <w:r w:rsidRPr="009A4C46">
              <w:rPr>
                <w:rFonts w:eastAsia="Calibri"/>
                <w:b/>
                <w:bCs/>
                <w:sz w:val="16"/>
                <w:szCs w:val="16"/>
              </w:rPr>
              <w:t>155 764</w:t>
            </w:r>
          </w:p>
        </w:tc>
      </w:tr>
      <w:tr w:rsidR="009A4C46" w:rsidRPr="009A4C46" w14:paraId="08F9DE65" w14:textId="77777777" w:rsidTr="00F94FED">
        <w:trPr>
          <w:trHeight w:val="268"/>
        </w:trPr>
        <w:tc>
          <w:tcPr>
            <w:tcW w:w="238" w:type="pct"/>
            <w:noWrap/>
            <w:vAlign w:val="center"/>
            <w:hideMark/>
          </w:tcPr>
          <w:p w14:paraId="01ABFE6B" w14:textId="77777777" w:rsidR="009A4C46" w:rsidRPr="009A4C46" w:rsidRDefault="009A4C46" w:rsidP="009A4C46">
            <w:pPr>
              <w:autoSpaceDE w:val="0"/>
              <w:autoSpaceDN w:val="0"/>
              <w:adjustRightInd w:val="0"/>
              <w:jc w:val="center"/>
              <w:rPr>
                <w:rFonts w:eastAsia="Calibri"/>
                <w:sz w:val="16"/>
                <w:szCs w:val="16"/>
              </w:rPr>
            </w:pPr>
            <w:r w:rsidRPr="009A4C46">
              <w:rPr>
                <w:rFonts w:eastAsia="Calibri"/>
                <w:sz w:val="16"/>
                <w:szCs w:val="16"/>
              </w:rPr>
              <w:t>10</w:t>
            </w:r>
          </w:p>
        </w:tc>
        <w:tc>
          <w:tcPr>
            <w:tcW w:w="1026" w:type="pct"/>
            <w:vAlign w:val="center"/>
            <w:hideMark/>
          </w:tcPr>
          <w:p w14:paraId="3E4C106F" w14:textId="77777777" w:rsidR="009A4C46" w:rsidRPr="009A4C46" w:rsidRDefault="009A4C46" w:rsidP="009A4C46">
            <w:pPr>
              <w:autoSpaceDE w:val="0"/>
              <w:autoSpaceDN w:val="0"/>
              <w:adjustRightInd w:val="0"/>
              <w:rPr>
                <w:rFonts w:eastAsia="Calibri"/>
                <w:b/>
                <w:bCs/>
                <w:sz w:val="16"/>
                <w:szCs w:val="16"/>
              </w:rPr>
            </w:pPr>
            <w:r w:rsidRPr="009A4C46">
              <w:rPr>
                <w:rFonts w:eastAsia="Calibri"/>
                <w:b/>
                <w:bCs/>
                <w:sz w:val="16"/>
                <w:szCs w:val="16"/>
              </w:rPr>
              <w:t>Не учтено в НВВ</w:t>
            </w:r>
          </w:p>
        </w:tc>
        <w:tc>
          <w:tcPr>
            <w:tcW w:w="415" w:type="pct"/>
            <w:noWrap/>
            <w:vAlign w:val="center"/>
            <w:hideMark/>
          </w:tcPr>
          <w:p w14:paraId="071F49B2" w14:textId="77777777" w:rsidR="009A4C46" w:rsidRPr="009A4C46" w:rsidRDefault="009A4C46" w:rsidP="009A4C46">
            <w:pPr>
              <w:autoSpaceDE w:val="0"/>
              <w:autoSpaceDN w:val="0"/>
              <w:adjustRightInd w:val="0"/>
              <w:jc w:val="center"/>
              <w:rPr>
                <w:rFonts w:eastAsia="Calibri"/>
                <w:b/>
                <w:bCs/>
                <w:sz w:val="16"/>
                <w:szCs w:val="16"/>
              </w:rPr>
            </w:pPr>
            <w:r w:rsidRPr="009A4C46">
              <w:rPr>
                <w:rFonts w:eastAsia="Calibri"/>
                <w:b/>
                <w:bCs/>
                <w:sz w:val="16"/>
                <w:szCs w:val="16"/>
              </w:rPr>
              <w:t>-</w:t>
            </w:r>
          </w:p>
        </w:tc>
        <w:tc>
          <w:tcPr>
            <w:tcW w:w="415" w:type="pct"/>
            <w:noWrap/>
            <w:vAlign w:val="center"/>
            <w:hideMark/>
          </w:tcPr>
          <w:p w14:paraId="565AF433" w14:textId="77777777" w:rsidR="009A4C46" w:rsidRPr="009A4C46" w:rsidRDefault="009A4C46" w:rsidP="009A4C46">
            <w:pPr>
              <w:autoSpaceDE w:val="0"/>
              <w:autoSpaceDN w:val="0"/>
              <w:adjustRightInd w:val="0"/>
              <w:jc w:val="center"/>
              <w:rPr>
                <w:rFonts w:eastAsia="Calibri"/>
                <w:b/>
                <w:bCs/>
                <w:sz w:val="16"/>
                <w:szCs w:val="16"/>
              </w:rPr>
            </w:pPr>
            <w:r w:rsidRPr="009A4C46">
              <w:rPr>
                <w:rFonts w:eastAsia="Calibri"/>
                <w:b/>
                <w:bCs/>
                <w:sz w:val="16"/>
                <w:szCs w:val="16"/>
              </w:rPr>
              <w:t>-</w:t>
            </w:r>
          </w:p>
        </w:tc>
        <w:tc>
          <w:tcPr>
            <w:tcW w:w="415" w:type="pct"/>
            <w:noWrap/>
            <w:vAlign w:val="center"/>
            <w:hideMark/>
          </w:tcPr>
          <w:p w14:paraId="7A572DC1" w14:textId="77777777" w:rsidR="009A4C46" w:rsidRPr="009A4C46" w:rsidRDefault="009A4C46" w:rsidP="009A4C46">
            <w:pPr>
              <w:autoSpaceDE w:val="0"/>
              <w:autoSpaceDN w:val="0"/>
              <w:adjustRightInd w:val="0"/>
              <w:jc w:val="center"/>
              <w:rPr>
                <w:rFonts w:eastAsia="Calibri"/>
                <w:b/>
                <w:bCs/>
                <w:sz w:val="16"/>
                <w:szCs w:val="16"/>
              </w:rPr>
            </w:pPr>
            <w:r w:rsidRPr="009A4C46">
              <w:rPr>
                <w:rFonts w:eastAsia="Calibri"/>
                <w:b/>
                <w:bCs/>
                <w:sz w:val="16"/>
                <w:szCs w:val="16"/>
              </w:rPr>
              <w:t>117 852</w:t>
            </w:r>
          </w:p>
        </w:tc>
        <w:tc>
          <w:tcPr>
            <w:tcW w:w="415" w:type="pct"/>
            <w:noWrap/>
            <w:vAlign w:val="center"/>
            <w:hideMark/>
          </w:tcPr>
          <w:p w14:paraId="7D832E29" w14:textId="77777777" w:rsidR="009A4C46" w:rsidRPr="009A4C46" w:rsidRDefault="009A4C46" w:rsidP="009A4C46">
            <w:pPr>
              <w:autoSpaceDE w:val="0"/>
              <w:autoSpaceDN w:val="0"/>
              <w:adjustRightInd w:val="0"/>
              <w:jc w:val="center"/>
              <w:rPr>
                <w:rFonts w:eastAsia="Calibri"/>
                <w:b/>
                <w:bCs/>
                <w:sz w:val="16"/>
                <w:szCs w:val="16"/>
              </w:rPr>
            </w:pPr>
            <w:r w:rsidRPr="009A4C46">
              <w:rPr>
                <w:rFonts w:eastAsia="Calibri"/>
                <w:b/>
                <w:bCs/>
                <w:sz w:val="16"/>
                <w:szCs w:val="16"/>
              </w:rPr>
              <w:t>90 639</w:t>
            </w:r>
          </w:p>
        </w:tc>
        <w:tc>
          <w:tcPr>
            <w:tcW w:w="415" w:type="pct"/>
            <w:noWrap/>
            <w:vAlign w:val="center"/>
            <w:hideMark/>
          </w:tcPr>
          <w:p w14:paraId="2C8ECE36" w14:textId="77777777" w:rsidR="009A4C46" w:rsidRPr="009A4C46" w:rsidRDefault="009A4C46" w:rsidP="009A4C46">
            <w:pPr>
              <w:autoSpaceDE w:val="0"/>
              <w:autoSpaceDN w:val="0"/>
              <w:adjustRightInd w:val="0"/>
              <w:jc w:val="center"/>
              <w:rPr>
                <w:rFonts w:eastAsia="Calibri"/>
                <w:b/>
                <w:bCs/>
                <w:sz w:val="16"/>
                <w:szCs w:val="16"/>
              </w:rPr>
            </w:pPr>
            <w:r w:rsidRPr="009A4C46">
              <w:rPr>
                <w:rFonts w:eastAsia="Calibri"/>
                <w:b/>
                <w:bCs/>
                <w:sz w:val="16"/>
                <w:szCs w:val="16"/>
              </w:rPr>
              <w:t>91 846</w:t>
            </w:r>
          </w:p>
        </w:tc>
        <w:tc>
          <w:tcPr>
            <w:tcW w:w="415" w:type="pct"/>
            <w:noWrap/>
            <w:vAlign w:val="center"/>
            <w:hideMark/>
          </w:tcPr>
          <w:p w14:paraId="7D89B612" w14:textId="77777777" w:rsidR="009A4C46" w:rsidRPr="009A4C46" w:rsidRDefault="009A4C46" w:rsidP="009A4C46">
            <w:pPr>
              <w:autoSpaceDE w:val="0"/>
              <w:autoSpaceDN w:val="0"/>
              <w:adjustRightInd w:val="0"/>
              <w:jc w:val="center"/>
              <w:rPr>
                <w:rFonts w:eastAsia="Calibri"/>
                <w:b/>
                <w:bCs/>
                <w:sz w:val="16"/>
                <w:szCs w:val="16"/>
              </w:rPr>
            </w:pPr>
            <w:r w:rsidRPr="009A4C46">
              <w:rPr>
                <w:rFonts w:eastAsia="Calibri"/>
                <w:b/>
                <w:bCs/>
                <w:sz w:val="16"/>
                <w:szCs w:val="16"/>
              </w:rPr>
              <w:t>47 744</w:t>
            </w:r>
          </w:p>
        </w:tc>
        <w:tc>
          <w:tcPr>
            <w:tcW w:w="415" w:type="pct"/>
            <w:noWrap/>
            <w:vAlign w:val="center"/>
            <w:hideMark/>
          </w:tcPr>
          <w:p w14:paraId="271AC32E" w14:textId="77777777" w:rsidR="009A4C46" w:rsidRPr="009A4C46" w:rsidRDefault="009A4C46" w:rsidP="009A4C46">
            <w:pPr>
              <w:autoSpaceDE w:val="0"/>
              <w:autoSpaceDN w:val="0"/>
              <w:adjustRightInd w:val="0"/>
              <w:jc w:val="center"/>
              <w:rPr>
                <w:rFonts w:eastAsia="Calibri"/>
                <w:b/>
                <w:bCs/>
                <w:sz w:val="16"/>
                <w:szCs w:val="16"/>
              </w:rPr>
            </w:pPr>
            <w:r w:rsidRPr="009A4C46">
              <w:rPr>
                <w:rFonts w:eastAsia="Calibri"/>
                <w:b/>
                <w:bCs/>
                <w:sz w:val="16"/>
                <w:szCs w:val="16"/>
              </w:rPr>
              <w:t>182 549</w:t>
            </w:r>
          </w:p>
        </w:tc>
        <w:tc>
          <w:tcPr>
            <w:tcW w:w="415" w:type="pct"/>
            <w:noWrap/>
            <w:vAlign w:val="center"/>
            <w:hideMark/>
          </w:tcPr>
          <w:p w14:paraId="48BE9241" w14:textId="77777777" w:rsidR="009A4C46" w:rsidRPr="009A4C46" w:rsidRDefault="009A4C46" w:rsidP="009A4C46">
            <w:pPr>
              <w:autoSpaceDE w:val="0"/>
              <w:autoSpaceDN w:val="0"/>
              <w:adjustRightInd w:val="0"/>
              <w:jc w:val="center"/>
              <w:rPr>
                <w:rFonts w:eastAsia="Calibri"/>
                <w:b/>
                <w:bCs/>
                <w:sz w:val="16"/>
                <w:szCs w:val="16"/>
              </w:rPr>
            </w:pPr>
            <w:r w:rsidRPr="009A4C46">
              <w:rPr>
                <w:rFonts w:eastAsia="Calibri"/>
                <w:b/>
                <w:bCs/>
                <w:sz w:val="16"/>
                <w:szCs w:val="16"/>
              </w:rPr>
              <w:t>306 614</w:t>
            </w:r>
          </w:p>
        </w:tc>
        <w:tc>
          <w:tcPr>
            <w:tcW w:w="415" w:type="pct"/>
            <w:noWrap/>
            <w:vAlign w:val="center"/>
            <w:hideMark/>
          </w:tcPr>
          <w:p w14:paraId="51FD9996" w14:textId="77777777" w:rsidR="009A4C46" w:rsidRPr="009A4C46" w:rsidRDefault="009A4C46" w:rsidP="009A4C46">
            <w:pPr>
              <w:autoSpaceDE w:val="0"/>
              <w:autoSpaceDN w:val="0"/>
              <w:adjustRightInd w:val="0"/>
              <w:jc w:val="center"/>
              <w:rPr>
                <w:rFonts w:eastAsia="Calibri"/>
                <w:b/>
                <w:bCs/>
                <w:sz w:val="16"/>
                <w:szCs w:val="16"/>
              </w:rPr>
            </w:pPr>
            <w:r w:rsidRPr="009A4C46">
              <w:rPr>
                <w:rFonts w:eastAsia="Calibri"/>
                <w:b/>
                <w:bCs/>
                <w:sz w:val="16"/>
                <w:szCs w:val="16"/>
              </w:rPr>
              <w:t>837 243</w:t>
            </w:r>
          </w:p>
        </w:tc>
      </w:tr>
    </w:tbl>
    <w:p w14:paraId="74D5866E" w14:textId="77777777" w:rsidR="009A4C46" w:rsidRPr="00F94FED" w:rsidRDefault="009A4C46" w:rsidP="00F94FED">
      <w:pPr>
        <w:autoSpaceDE w:val="0"/>
        <w:autoSpaceDN w:val="0"/>
        <w:adjustRightInd w:val="0"/>
        <w:spacing w:after="0" w:line="360" w:lineRule="auto"/>
        <w:ind w:firstLine="567"/>
        <w:jc w:val="both"/>
        <w:rPr>
          <w:rFonts w:eastAsia="Calibri"/>
          <w:sz w:val="26"/>
          <w:szCs w:val="26"/>
        </w:rPr>
      </w:pPr>
    </w:p>
    <w:p w14:paraId="3E931D93" w14:textId="77777777" w:rsidR="009A4C46" w:rsidRPr="00F94FED" w:rsidRDefault="009A4C46" w:rsidP="00F94FED">
      <w:pPr>
        <w:autoSpaceDE w:val="0"/>
        <w:autoSpaceDN w:val="0"/>
        <w:adjustRightInd w:val="0"/>
        <w:spacing w:after="0" w:line="360" w:lineRule="auto"/>
        <w:ind w:firstLine="567"/>
        <w:jc w:val="both"/>
        <w:rPr>
          <w:rFonts w:eastAsia="Calibri"/>
          <w:sz w:val="26"/>
          <w:szCs w:val="26"/>
        </w:rPr>
      </w:pPr>
      <w:r w:rsidRPr="00F94FED">
        <w:rPr>
          <w:rFonts w:eastAsia="Calibri"/>
          <w:sz w:val="26"/>
          <w:szCs w:val="26"/>
        </w:rPr>
        <w:t>Согласно расчету АО «Тываэнерго», общая сумма корректировок, подлежащая распределению за период 2014-2019 гг. (6 лет) составила 993 008 тыс. руб. При этом за этот же период включено в состав НВВ 155 764 тыс. руб., не учтено в НВВ 837 243 тыс. руб. В 2019 году предложено учесть в составе НВВ 306 614 тыс. руб.</w:t>
      </w:r>
    </w:p>
    <w:p w14:paraId="2CE274BC" w14:textId="77777777" w:rsidR="009A4C46" w:rsidRPr="00F94FED" w:rsidRDefault="009A4C46" w:rsidP="00F94FED">
      <w:pPr>
        <w:autoSpaceDE w:val="0"/>
        <w:autoSpaceDN w:val="0"/>
        <w:adjustRightInd w:val="0"/>
        <w:spacing w:after="0" w:line="360" w:lineRule="auto"/>
        <w:ind w:firstLine="567"/>
        <w:jc w:val="both"/>
        <w:rPr>
          <w:rFonts w:eastAsia="Calibri"/>
          <w:sz w:val="26"/>
          <w:szCs w:val="26"/>
        </w:rPr>
      </w:pPr>
    </w:p>
    <w:p w14:paraId="06A50C18" w14:textId="11FFC03B" w:rsidR="009A4C46" w:rsidRPr="00F94FED" w:rsidRDefault="0059122D" w:rsidP="004D58E8">
      <w:pPr>
        <w:autoSpaceDE w:val="0"/>
        <w:autoSpaceDN w:val="0"/>
        <w:adjustRightInd w:val="0"/>
        <w:spacing w:after="0" w:line="360" w:lineRule="auto"/>
        <w:jc w:val="both"/>
        <w:rPr>
          <w:rFonts w:eastAsia="Times New Roman"/>
          <w:b/>
          <w:bCs/>
          <w:sz w:val="26"/>
          <w:szCs w:val="26"/>
          <w:lang w:eastAsia="ru-RU"/>
        </w:rPr>
      </w:pPr>
      <w:r w:rsidRPr="00F94FED">
        <w:rPr>
          <w:rFonts w:eastAsia="Times New Roman"/>
          <w:b/>
          <w:bCs/>
          <w:sz w:val="26"/>
          <w:szCs w:val="26"/>
          <w:lang w:eastAsia="ru-RU"/>
        </w:rPr>
        <w:lastRenderedPageBreak/>
        <w:t>ПОЗИЦИЯ ОРГАНА РЕГУЛИРОВАНИЯ</w:t>
      </w:r>
    </w:p>
    <w:p w14:paraId="04CDA640" w14:textId="77777777" w:rsidR="009A4C46" w:rsidRPr="00F94FED" w:rsidRDefault="009A4C46" w:rsidP="00F94FED">
      <w:pPr>
        <w:autoSpaceDE w:val="0"/>
        <w:autoSpaceDN w:val="0"/>
        <w:adjustRightInd w:val="0"/>
        <w:spacing w:after="0" w:line="360" w:lineRule="auto"/>
        <w:ind w:firstLine="567"/>
        <w:jc w:val="both"/>
        <w:rPr>
          <w:rFonts w:eastAsia="Times New Roman"/>
          <w:sz w:val="26"/>
          <w:szCs w:val="26"/>
          <w:lang w:eastAsia="ru-RU"/>
        </w:rPr>
      </w:pPr>
      <w:r w:rsidRPr="00F94FED">
        <w:rPr>
          <w:rFonts w:eastAsia="Times New Roman"/>
          <w:sz w:val="26"/>
          <w:szCs w:val="26"/>
          <w:lang w:eastAsia="ru-RU"/>
        </w:rPr>
        <w:t>Согласно экспертному заключению Службы по тарифам Республики Тыва в соответствии с положениями пункта 7 Основ ценообразования № 1178 исключение экономически необоснованных доходов и расходов организации, осуществляющих регулируемую деятельность, выявленных в том числе по результатам проверки их хозяйственной деятельности, учет экономически обоснованных расходов организации не учтенных при установлении регулируемых цен (тарифов) на тот период регулирования, в котором они понесены, или доходов, недополученных при осуществлении регулируемой деятельности в этот период регулирования по независящим от организации, причинам, в целях сглаживания изменения тарифов могут осуществляться в течение периода, в том числе относящегося к разным долгосрочным периодам регулирования, который не может быть более 5 лет.</w:t>
      </w:r>
    </w:p>
    <w:p w14:paraId="606F9B32" w14:textId="77777777" w:rsidR="009A4C46" w:rsidRPr="00F94FED" w:rsidRDefault="009A4C46" w:rsidP="00F94FED">
      <w:pPr>
        <w:autoSpaceDE w:val="0"/>
        <w:autoSpaceDN w:val="0"/>
        <w:adjustRightInd w:val="0"/>
        <w:spacing w:after="0" w:line="360" w:lineRule="auto"/>
        <w:ind w:firstLine="567"/>
        <w:jc w:val="both"/>
        <w:rPr>
          <w:rFonts w:eastAsia="Times New Roman"/>
          <w:sz w:val="26"/>
          <w:szCs w:val="26"/>
          <w:lang w:eastAsia="ru-RU"/>
        </w:rPr>
      </w:pPr>
      <w:r w:rsidRPr="00F94FED">
        <w:rPr>
          <w:rFonts w:eastAsia="Times New Roman"/>
          <w:sz w:val="26"/>
          <w:szCs w:val="26"/>
          <w:lang w:eastAsia="ru-RU"/>
        </w:rPr>
        <w:t xml:space="preserve">Оставшаяся величина корректировки НВВ АО «Тываэнерго» в размере </w:t>
      </w:r>
      <w:r w:rsidRPr="00F94FED">
        <w:rPr>
          <w:rFonts w:eastAsia="Times New Roman"/>
          <w:sz w:val="26"/>
          <w:szCs w:val="26"/>
          <w:lang w:eastAsia="ru-RU"/>
        </w:rPr>
        <w:br/>
        <w:t>1 606 995 тыс. руб. (без учета ИПЦ) подлежит учету в НВВ последующих периодов регулирования с учетом параметров прогноза социально-экономического развития Российской Федерации.</w:t>
      </w:r>
    </w:p>
    <w:p w14:paraId="3D0E6F4E" w14:textId="6DE856C4" w:rsidR="009A4C46" w:rsidRPr="00F94FED" w:rsidRDefault="009A4C46" w:rsidP="00F94FED">
      <w:pPr>
        <w:autoSpaceDE w:val="0"/>
        <w:autoSpaceDN w:val="0"/>
        <w:adjustRightInd w:val="0"/>
        <w:spacing w:after="0" w:line="360" w:lineRule="auto"/>
        <w:ind w:firstLine="567"/>
        <w:jc w:val="both"/>
        <w:rPr>
          <w:rFonts w:eastAsia="Calibri"/>
          <w:sz w:val="26"/>
          <w:szCs w:val="26"/>
        </w:rPr>
      </w:pPr>
      <w:r w:rsidRPr="00F94FED">
        <w:rPr>
          <w:rFonts w:eastAsia="Times New Roman"/>
          <w:sz w:val="26"/>
          <w:szCs w:val="26"/>
          <w:lang w:eastAsia="ru-RU"/>
        </w:rPr>
        <w:t xml:space="preserve">Сравнительные данные по перераспределению НВВ по предложениям </w:t>
      </w:r>
      <w:r w:rsidR="004D58E8">
        <w:rPr>
          <w:rFonts w:eastAsia="Times New Roman"/>
          <w:sz w:val="26"/>
          <w:szCs w:val="26"/>
          <w:lang w:eastAsia="ru-RU"/>
        </w:rPr>
        <w:br/>
      </w:r>
      <w:r w:rsidRPr="00F94FED">
        <w:rPr>
          <w:rFonts w:eastAsia="Times New Roman"/>
          <w:sz w:val="26"/>
          <w:szCs w:val="26"/>
          <w:lang w:eastAsia="ru-RU"/>
        </w:rPr>
        <w:t>АО «Тываэнерго» и утвержденные Службой по тарифам Республики Тыва.</w:t>
      </w:r>
    </w:p>
    <w:tbl>
      <w:tblPr>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341"/>
        <w:gridCol w:w="5350"/>
        <w:gridCol w:w="1313"/>
        <w:gridCol w:w="1179"/>
        <w:gridCol w:w="1162"/>
      </w:tblGrid>
      <w:tr w:rsidR="009A4C46" w:rsidRPr="009A4C46" w14:paraId="073E70AB" w14:textId="77777777" w:rsidTr="004D58E8">
        <w:trPr>
          <w:trHeight w:val="254"/>
          <w:tblHeader/>
        </w:trPr>
        <w:tc>
          <w:tcPr>
            <w:tcW w:w="18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DD0DDEC" w14:textId="77777777" w:rsidR="009A4C46" w:rsidRPr="00F94FED" w:rsidRDefault="009A4C46" w:rsidP="009A4C46">
            <w:pPr>
              <w:widowControl w:val="0"/>
              <w:spacing w:after="0" w:line="190" w:lineRule="exact"/>
              <w:jc w:val="center"/>
              <w:rPr>
                <w:rFonts w:eastAsia="Times New Roman"/>
                <w:color w:val="FFFFFF" w:themeColor="background1"/>
                <w:lang w:eastAsia="ru-RU" w:bidi="ru-RU"/>
              </w:rPr>
            </w:pPr>
            <w:r w:rsidRPr="00F94FED">
              <w:rPr>
                <w:rFonts w:eastAsia="Times New Roman"/>
                <w:b/>
                <w:bCs/>
                <w:color w:val="FFFFFF" w:themeColor="background1"/>
                <w:lang w:eastAsia="ru-RU" w:bidi="ru-RU"/>
              </w:rPr>
              <w:t>№</w:t>
            </w:r>
          </w:p>
          <w:p w14:paraId="00DE97BB" w14:textId="77777777" w:rsidR="009A4C46" w:rsidRPr="00F94FED" w:rsidRDefault="009A4C46" w:rsidP="009A4C46">
            <w:pPr>
              <w:widowControl w:val="0"/>
              <w:spacing w:after="0" w:line="190" w:lineRule="exact"/>
              <w:jc w:val="center"/>
              <w:rPr>
                <w:rFonts w:eastAsia="Times New Roman"/>
                <w:color w:val="FFFFFF" w:themeColor="background1"/>
                <w:lang w:eastAsia="ru-RU" w:bidi="ru-RU"/>
              </w:rPr>
            </w:pPr>
            <w:r w:rsidRPr="00F94FED">
              <w:rPr>
                <w:rFonts w:eastAsia="Times New Roman"/>
                <w:b/>
                <w:bCs/>
                <w:color w:val="FFFFFF" w:themeColor="background1"/>
                <w:lang w:eastAsia="ru-RU" w:bidi="ru-RU"/>
              </w:rPr>
              <w:t>п/п</w:t>
            </w:r>
          </w:p>
        </w:tc>
        <w:tc>
          <w:tcPr>
            <w:tcW w:w="286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66F911C" w14:textId="3A8D3C80" w:rsidR="009A4C46" w:rsidRPr="00F94FED" w:rsidRDefault="009A4C46" w:rsidP="009A4C46">
            <w:pPr>
              <w:widowControl w:val="0"/>
              <w:spacing w:after="0" w:line="190" w:lineRule="exact"/>
              <w:jc w:val="center"/>
              <w:rPr>
                <w:rFonts w:eastAsia="Times New Roman"/>
                <w:color w:val="FFFFFF" w:themeColor="background1"/>
                <w:lang w:eastAsia="ru-RU" w:bidi="ru-RU"/>
              </w:rPr>
            </w:pPr>
            <w:r w:rsidRPr="00F94FED">
              <w:rPr>
                <w:rFonts w:eastAsia="Times New Roman"/>
                <w:b/>
                <w:bCs/>
                <w:color w:val="FFFFFF" w:themeColor="background1"/>
                <w:lang w:eastAsia="ru-RU" w:bidi="ru-RU"/>
              </w:rPr>
              <w:t>Показатель</w:t>
            </w:r>
          </w:p>
        </w:tc>
        <w:tc>
          <w:tcPr>
            <w:tcW w:w="1944"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11ED782" w14:textId="77777777" w:rsidR="009A4C46" w:rsidRPr="00F94FED" w:rsidRDefault="009A4C46" w:rsidP="009A4C46">
            <w:pPr>
              <w:widowControl w:val="0"/>
              <w:spacing w:after="0" w:line="190" w:lineRule="exact"/>
              <w:jc w:val="center"/>
              <w:rPr>
                <w:rFonts w:eastAsia="Times New Roman"/>
                <w:color w:val="FFFFFF" w:themeColor="background1"/>
                <w:lang w:eastAsia="ru-RU" w:bidi="ru-RU"/>
              </w:rPr>
            </w:pPr>
            <w:r w:rsidRPr="00F94FED">
              <w:rPr>
                <w:rFonts w:eastAsia="Times New Roman"/>
                <w:b/>
                <w:bCs/>
                <w:color w:val="FFFFFF" w:themeColor="background1"/>
                <w:lang w:eastAsia="ru-RU" w:bidi="ru-RU"/>
              </w:rPr>
              <w:t>2019 год</w:t>
            </w:r>
          </w:p>
        </w:tc>
      </w:tr>
      <w:tr w:rsidR="009A4C46" w:rsidRPr="009A4C46" w14:paraId="5A3BF89A" w14:textId="77777777" w:rsidTr="004D58E8">
        <w:trPr>
          <w:trHeight w:val="672"/>
          <w:tblHeader/>
        </w:trPr>
        <w:tc>
          <w:tcPr>
            <w:tcW w:w="18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1750CD1" w14:textId="77777777" w:rsidR="009A4C46" w:rsidRPr="00F94FED" w:rsidRDefault="009A4C46" w:rsidP="009A4C46">
            <w:pPr>
              <w:widowControl w:val="0"/>
              <w:spacing w:after="0" w:line="240" w:lineRule="auto"/>
              <w:jc w:val="center"/>
              <w:rPr>
                <w:rFonts w:eastAsia="Microsoft Sans Serif" w:cs="Microsoft Sans Serif"/>
                <w:color w:val="FFFFFF" w:themeColor="background1"/>
                <w:lang w:eastAsia="ru-RU" w:bidi="ru-RU"/>
              </w:rPr>
            </w:pPr>
          </w:p>
        </w:tc>
        <w:tc>
          <w:tcPr>
            <w:tcW w:w="286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279665A" w14:textId="77777777" w:rsidR="009A4C46" w:rsidRPr="00F94FED" w:rsidRDefault="009A4C46" w:rsidP="009A4C46">
            <w:pPr>
              <w:widowControl w:val="0"/>
              <w:spacing w:after="0" w:line="240" w:lineRule="auto"/>
              <w:jc w:val="center"/>
              <w:rPr>
                <w:rFonts w:eastAsia="Microsoft Sans Serif" w:cs="Microsoft Sans Serif"/>
                <w:color w:val="FFFFFF" w:themeColor="background1"/>
                <w:lang w:eastAsia="ru-RU" w:bidi="ru-RU"/>
              </w:rPr>
            </w:pPr>
          </w:p>
        </w:tc>
        <w:tc>
          <w:tcPr>
            <w:tcW w:w="70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658358F" w14:textId="1455ACE6" w:rsidR="009A4C46" w:rsidRPr="00F94FED" w:rsidRDefault="009A4C46" w:rsidP="009A4C46">
            <w:pPr>
              <w:widowControl w:val="0"/>
              <w:spacing w:after="0" w:line="221" w:lineRule="exact"/>
              <w:jc w:val="center"/>
              <w:rPr>
                <w:rFonts w:eastAsia="Times New Roman"/>
                <w:color w:val="FFFFFF" w:themeColor="background1"/>
                <w:lang w:eastAsia="ru-RU" w:bidi="ru-RU"/>
              </w:rPr>
            </w:pPr>
            <w:r w:rsidRPr="00F94FED">
              <w:rPr>
                <w:rFonts w:eastAsia="Times New Roman"/>
                <w:b/>
                <w:bCs/>
                <w:color w:val="FFFFFF" w:themeColor="background1"/>
                <w:lang w:eastAsia="ru-RU" w:bidi="ru-RU"/>
              </w:rPr>
              <w:t>Предложение АО «Тываэнерго»</w:t>
            </w:r>
            <w:r w:rsidR="0059122D" w:rsidRPr="00F94FED">
              <w:rPr>
                <w:rFonts w:eastAsia="Times New Roman"/>
                <w:b/>
                <w:bCs/>
                <w:color w:val="FFFFFF" w:themeColor="background1"/>
                <w:lang w:eastAsia="ru-RU" w:bidi="ru-RU"/>
              </w:rPr>
              <w:t xml:space="preserve">, </w:t>
            </w:r>
            <w:proofErr w:type="spellStart"/>
            <w:r w:rsidR="0059122D" w:rsidRPr="00F94FED">
              <w:rPr>
                <w:rFonts w:eastAsia="Times New Roman"/>
                <w:b/>
                <w:bCs/>
                <w:color w:val="FFFFFF" w:themeColor="background1"/>
                <w:lang w:eastAsia="ru-RU" w:bidi="ru-RU"/>
              </w:rPr>
              <w:t>тыс.руб</w:t>
            </w:r>
            <w:proofErr w:type="spellEnd"/>
            <w:r w:rsidR="0059122D" w:rsidRPr="00F94FED">
              <w:rPr>
                <w:rFonts w:eastAsia="Times New Roman"/>
                <w:b/>
                <w:bCs/>
                <w:color w:val="FFFFFF" w:themeColor="background1"/>
                <w:lang w:eastAsia="ru-RU" w:bidi="ru-RU"/>
              </w:rPr>
              <w:t>.</w:t>
            </w:r>
          </w:p>
        </w:tc>
        <w:tc>
          <w:tcPr>
            <w:tcW w:w="63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10B6A08" w14:textId="40C92D45" w:rsidR="009A4C46" w:rsidRPr="00F94FED" w:rsidRDefault="009A4C46" w:rsidP="009A4C46">
            <w:pPr>
              <w:widowControl w:val="0"/>
              <w:spacing w:after="0" w:line="190" w:lineRule="exact"/>
              <w:jc w:val="center"/>
              <w:rPr>
                <w:rFonts w:eastAsia="Times New Roman"/>
                <w:b/>
                <w:color w:val="FFFFFF" w:themeColor="background1"/>
                <w:lang w:eastAsia="ru-RU" w:bidi="ru-RU"/>
              </w:rPr>
            </w:pPr>
            <w:r w:rsidRPr="00F94FED">
              <w:rPr>
                <w:rFonts w:eastAsia="Times New Roman"/>
                <w:b/>
                <w:bCs/>
                <w:color w:val="FFFFFF" w:themeColor="background1"/>
                <w:lang w:eastAsia="ru-RU" w:bidi="ru-RU"/>
              </w:rPr>
              <w:t>Утверждено</w:t>
            </w:r>
          </w:p>
          <w:p w14:paraId="2DEF6D27" w14:textId="15FCB556" w:rsidR="009A4C46" w:rsidRPr="00F94FED" w:rsidRDefault="008B0B3C" w:rsidP="009A4C46">
            <w:pPr>
              <w:widowControl w:val="0"/>
              <w:spacing w:after="0" w:line="190" w:lineRule="exact"/>
              <w:jc w:val="center"/>
              <w:rPr>
                <w:rFonts w:eastAsia="Times New Roman"/>
                <w:b/>
                <w:color w:val="FFFFFF" w:themeColor="background1"/>
                <w:lang w:eastAsia="ru-RU" w:bidi="ru-RU"/>
              </w:rPr>
            </w:pPr>
            <w:r>
              <w:rPr>
                <w:rFonts w:eastAsia="Times New Roman"/>
                <w:b/>
                <w:color w:val="FFFFFF" w:themeColor="background1"/>
                <w:lang w:eastAsia="ru-RU" w:bidi="ru-RU"/>
              </w:rPr>
              <w:t>Службой</w:t>
            </w:r>
            <w:r w:rsidR="0059122D" w:rsidRPr="00F94FED">
              <w:rPr>
                <w:rFonts w:eastAsia="Times New Roman"/>
                <w:b/>
                <w:color w:val="FFFFFF" w:themeColor="background1"/>
                <w:lang w:eastAsia="ru-RU" w:bidi="ru-RU"/>
              </w:rPr>
              <w:t>, тыс. руб.</w:t>
            </w:r>
          </w:p>
        </w:tc>
        <w:tc>
          <w:tcPr>
            <w:tcW w:w="60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53B2D0C" w14:textId="38F6551F" w:rsidR="009A4C46" w:rsidRPr="00F94FED" w:rsidRDefault="009A4C46" w:rsidP="009A4C46">
            <w:pPr>
              <w:widowControl w:val="0"/>
              <w:spacing w:after="0" w:line="180" w:lineRule="exact"/>
              <w:jc w:val="center"/>
              <w:rPr>
                <w:rFonts w:eastAsia="Times New Roman"/>
                <w:color w:val="FFFFFF" w:themeColor="background1"/>
                <w:lang w:eastAsia="ru-RU" w:bidi="ru-RU"/>
              </w:rPr>
            </w:pPr>
            <w:r w:rsidRPr="00F94FED">
              <w:rPr>
                <w:rFonts w:eastAsia="Times New Roman"/>
                <w:b/>
                <w:bCs/>
                <w:color w:val="FFFFFF" w:themeColor="background1"/>
                <w:lang w:eastAsia="ru-RU" w:bidi="ru-RU"/>
              </w:rPr>
              <w:t>Отклонение</w:t>
            </w:r>
            <w:r w:rsidR="0059122D" w:rsidRPr="00F94FED">
              <w:rPr>
                <w:rFonts w:eastAsia="Times New Roman"/>
                <w:b/>
                <w:bCs/>
                <w:color w:val="FFFFFF" w:themeColor="background1"/>
                <w:lang w:eastAsia="ru-RU" w:bidi="ru-RU"/>
              </w:rPr>
              <w:t>, тыс. руб.</w:t>
            </w:r>
          </w:p>
        </w:tc>
      </w:tr>
      <w:tr w:rsidR="009A4C46" w:rsidRPr="009A4C46" w14:paraId="256556C9" w14:textId="77777777" w:rsidTr="004D58E8">
        <w:trPr>
          <w:trHeight w:val="254"/>
          <w:tblHeader/>
        </w:trPr>
        <w:tc>
          <w:tcPr>
            <w:tcW w:w="18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9BD2494" w14:textId="77777777" w:rsidR="009A4C46" w:rsidRPr="00F94FED" w:rsidRDefault="009A4C46" w:rsidP="009A4C46">
            <w:pPr>
              <w:widowControl w:val="0"/>
              <w:spacing w:after="0" w:line="180" w:lineRule="exact"/>
              <w:jc w:val="center"/>
              <w:rPr>
                <w:rFonts w:eastAsia="Times New Roman"/>
                <w:color w:val="FFFFFF" w:themeColor="background1"/>
                <w:lang w:eastAsia="ru-RU" w:bidi="ru-RU"/>
              </w:rPr>
            </w:pPr>
            <w:r w:rsidRPr="00F94FED">
              <w:rPr>
                <w:rFonts w:eastAsia="Times New Roman"/>
                <w:b/>
                <w:bCs/>
                <w:color w:val="FFFFFF" w:themeColor="background1"/>
                <w:lang w:eastAsia="ru-RU" w:bidi="ru-RU"/>
              </w:rPr>
              <w:t>1</w:t>
            </w:r>
          </w:p>
        </w:tc>
        <w:tc>
          <w:tcPr>
            <w:tcW w:w="286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8312C89" w14:textId="77777777" w:rsidR="009A4C46" w:rsidRPr="00F94FED" w:rsidRDefault="009A4C46" w:rsidP="009A4C46">
            <w:pPr>
              <w:widowControl w:val="0"/>
              <w:spacing w:after="0" w:line="180" w:lineRule="exact"/>
              <w:jc w:val="center"/>
              <w:rPr>
                <w:rFonts w:eastAsia="Times New Roman"/>
                <w:color w:val="FFFFFF" w:themeColor="background1"/>
                <w:lang w:eastAsia="ru-RU" w:bidi="ru-RU"/>
              </w:rPr>
            </w:pPr>
            <w:r w:rsidRPr="00F94FED">
              <w:rPr>
                <w:rFonts w:eastAsia="Times New Roman"/>
                <w:b/>
                <w:bCs/>
                <w:color w:val="FFFFFF" w:themeColor="background1"/>
                <w:lang w:eastAsia="ru-RU" w:bidi="ru-RU"/>
              </w:rPr>
              <w:t>2</w:t>
            </w:r>
          </w:p>
        </w:tc>
        <w:tc>
          <w:tcPr>
            <w:tcW w:w="70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1867DC2" w14:textId="77777777" w:rsidR="009A4C46" w:rsidRPr="00F94FED" w:rsidRDefault="009A4C46" w:rsidP="009A4C46">
            <w:pPr>
              <w:widowControl w:val="0"/>
              <w:spacing w:after="0" w:line="180" w:lineRule="exact"/>
              <w:jc w:val="center"/>
              <w:rPr>
                <w:rFonts w:eastAsia="Times New Roman"/>
                <w:color w:val="FFFFFF" w:themeColor="background1"/>
                <w:lang w:eastAsia="ru-RU" w:bidi="ru-RU"/>
              </w:rPr>
            </w:pPr>
            <w:r w:rsidRPr="00F94FED">
              <w:rPr>
                <w:rFonts w:eastAsia="Times New Roman"/>
                <w:b/>
                <w:bCs/>
                <w:color w:val="FFFFFF" w:themeColor="background1"/>
                <w:lang w:eastAsia="ru-RU" w:bidi="ru-RU"/>
              </w:rPr>
              <w:t>3</w:t>
            </w:r>
          </w:p>
        </w:tc>
        <w:tc>
          <w:tcPr>
            <w:tcW w:w="63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F9323DC" w14:textId="77777777" w:rsidR="009A4C46" w:rsidRPr="00F94FED" w:rsidRDefault="009A4C46" w:rsidP="009A4C46">
            <w:pPr>
              <w:widowControl w:val="0"/>
              <w:spacing w:after="0" w:line="180" w:lineRule="exact"/>
              <w:jc w:val="center"/>
              <w:rPr>
                <w:rFonts w:eastAsia="Times New Roman"/>
                <w:color w:val="FFFFFF" w:themeColor="background1"/>
                <w:lang w:eastAsia="ru-RU" w:bidi="ru-RU"/>
              </w:rPr>
            </w:pPr>
            <w:r w:rsidRPr="00F94FED">
              <w:rPr>
                <w:rFonts w:eastAsia="Times New Roman"/>
                <w:b/>
                <w:bCs/>
                <w:color w:val="FFFFFF" w:themeColor="background1"/>
                <w:lang w:eastAsia="ru-RU" w:bidi="ru-RU"/>
              </w:rPr>
              <w:t>4</w:t>
            </w:r>
          </w:p>
        </w:tc>
        <w:tc>
          <w:tcPr>
            <w:tcW w:w="60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AD3AB73" w14:textId="77777777" w:rsidR="009A4C46" w:rsidRPr="00F94FED" w:rsidRDefault="009A4C46" w:rsidP="009A4C46">
            <w:pPr>
              <w:widowControl w:val="0"/>
              <w:spacing w:after="0" w:line="180" w:lineRule="exact"/>
              <w:jc w:val="center"/>
              <w:rPr>
                <w:rFonts w:eastAsia="Times New Roman"/>
                <w:color w:val="FFFFFF" w:themeColor="background1"/>
                <w:lang w:eastAsia="ru-RU" w:bidi="ru-RU"/>
              </w:rPr>
            </w:pPr>
            <w:r w:rsidRPr="00F94FED">
              <w:rPr>
                <w:rFonts w:eastAsia="Times New Roman"/>
                <w:b/>
                <w:bCs/>
                <w:color w:val="FFFFFF" w:themeColor="background1"/>
                <w:lang w:eastAsia="ru-RU" w:bidi="ru-RU"/>
              </w:rPr>
              <w:t>5=4-3</w:t>
            </w:r>
          </w:p>
        </w:tc>
      </w:tr>
      <w:tr w:rsidR="009A4C46" w:rsidRPr="009A4C46" w14:paraId="50E81503" w14:textId="77777777" w:rsidTr="004D58E8">
        <w:trPr>
          <w:trHeight w:val="677"/>
        </w:trPr>
        <w:tc>
          <w:tcPr>
            <w:tcW w:w="188" w:type="pct"/>
            <w:tcBorders>
              <w:top w:val="single" w:sz="4" w:space="0" w:color="FFFFFF" w:themeColor="background1"/>
            </w:tcBorders>
            <w:shd w:val="clear" w:color="auto" w:fill="FFFFFF"/>
            <w:vAlign w:val="center"/>
          </w:tcPr>
          <w:p w14:paraId="3BBF282C" w14:textId="77777777" w:rsidR="009A4C46" w:rsidRPr="009A4C46" w:rsidRDefault="009A4C46" w:rsidP="009A4C46">
            <w:pPr>
              <w:widowControl w:val="0"/>
              <w:spacing w:after="0" w:line="190" w:lineRule="exact"/>
              <w:jc w:val="center"/>
              <w:rPr>
                <w:rFonts w:eastAsia="Times New Roman"/>
                <w:color w:val="000000"/>
                <w:lang w:eastAsia="ru-RU" w:bidi="ru-RU"/>
              </w:rPr>
            </w:pPr>
            <w:r w:rsidRPr="009A4C46">
              <w:rPr>
                <w:rFonts w:eastAsia="Times New Roman"/>
                <w:bCs/>
                <w:color w:val="000000"/>
                <w:lang w:eastAsia="ru-RU" w:bidi="ru-RU"/>
              </w:rPr>
              <w:t>1</w:t>
            </w:r>
          </w:p>
        </w:tc>
        <w:tc>
          <w:tcPr>
            <w:tcW w:w="2868" w:type="pct"/>
            <w:tcBorders>
              <w:top w:val="single" w:sz="4" w:space="0" w:color="FFFFFF" w:themeColor="background1"/>
            </w:tcBorders>
            <w:shd w:val="clear" w:color="auto" w:fill="FFFFFF"/>
            <w:vAlign w:val="center"/>
          </w:tcPr>
          <w:p w14:paraId="2F7500F1" w14:textId="77777777" w:rsidR="009A4C46" w:rsidRPr="009A4C46" w:rsidRDefault="009A4C46" w:rsidP="009A4C46">
            <w:pPr>
              <w:widowControl w:val="0"/>
              <w:spacing w:after="0" w:line="221" w:lineRule="exact"/>
              <w:rPr>
                <w:rFonts w:eastAsia="Times New Roman"/>
                <w:color w:val="000000"/>
                <w:lang w:eastAsia="ru-RU" w:bidi="ru-RU"/>
              </w:rPr>
            </w:pPr>
            <w:r w:rsidRPr="009A4C46">
              <w:rPr>
                <w:rFonts w:eastAsia="Times New Roman"/>
                <w:bCs/>
                <w:color w:val="000000"/>
                <w:lang w:eastAsia="ru-RU" w:bidi="ru-RU"/>
              </w:rPr>
              <w:t xml:space="preserve">Корректировка </w:t>
            </w:r>
            <w:r w:rsidRPr="009A4C46">
              <w:rPr>
                <w:rFonts w:eastAsia="Times New Roman"/>
                <w:bCs/>
                <w:color w:val="000000"/>
                <w:lang w:val="en-US" w:eastAsia="ru-RU" w:bidi="en-US"/>
              </w:rPr>
              <w:t>HBB</w:t>
            </w:r>
            <w:r w:rsidRPr="009A4C46">
              <w:rPr>
                <w:rFonts w:eastAsia="Times New Roman"/>
                <w:bCs/>
                <w:color w:val="000000"/>
                <w:lang w:eastAsia="ru-RU" w:bidi="en-US"/>
              </w:rPr>
              <w:t xml:space="preserve"> </w:t>
            </w:r>
            <w:r w:rsidRPr="009A4C46">
              <w:rPr>
                <w:rFonts w:eastAsia="Times New Roman"/>
                <w:bCs/>
                <w:color w:val="000000"/>
                <w:lang w:eastAsia="ru-RU" w:bidi="ru-RU"/>
              </w:rPr>
              <w:t>рассчитанная в соответствии с методическими указаниями, утверждаемыми Федеральной антимонопольной службой за 2017 год</w:t>
            </w:r>
          </w:p>
        </w:tc>
        <w:tc>
          <w:tcPr>
            <w:tcW w:w="701" w:type="pct"/>
            <w:tcBorders>
              <w:top w:val="single" w:sz="4" w:space="0" w:color="FFFFFF" w:themeColor="background1"/>
            </w:tcBorders>
            <w:shd w:val="clear" w:color="auto" w:fill="FFFFFF"/>
            <w:vAlign w:val="center"/>
          </w:tcPr>
          <w:p w14:paraId="36B1F90A" w14:textId="77777777" w:rsidR="009A4C46" w:rsidRPr="009A4C46" w:rsidRDefault="009A4C46" w:rsidP="009A4C46">
            <w:pPr>
              <w:widowControl w:val="0"/>
              <w:spacing w:after="0" w:line="190" w:lineRule="exact"/>
              <w:jc w:val="center"/>
              <w:rPr>
                <w:rFonts w:eastAsia="Times New Roman"/>
                <w:color w:val="000000"/>
                <w:lang w:eastAsia="ru-RU" w:bidi="ru-RU"/>
              </w:rPr>
            </w:pPr>
            <w:r w:rsidRPr="009A4C46">
              <w:rPr>
                <w:rFonts w:eastAsia="Times New Roman"/>
                <w:bCs/>
                <w:color w:val="000000"/>
                <w:lang w:eastAsia="ru-RU" w:bidi="ru-RU"/>
              </w:rPr>
              <w:t>306 614</w:t>
            </w:r>
          </w:p>
        </w:tc>
        <w:tc>
          <w:tcPr>
            <w:tcW w:w="636" w:type="pct"/>
            <w:tcBorders>
              <w:top w:val="single" w:sz="4" w:space="0" w:color="FFFFFF" w:themeColor="background1"/>
            </w:tcBorders>
            <w:shd w:val="clear" w:color="auto" w:fill="FFFFFF"/>
            <w:vAlign w:val="center"/>
          </w:tcPr>
          <w:p w14:paraId="64ABC627" w14:textId="77777777" w:rsidR="009A4C46" w:rsidRPr="009A4C46" w:rsidRDefault="009A4C46" w:rsidP="009A4C46">
            <w:pPr>
              <w:widowControl w:val="0"/>
              <w:spacing w:after="0" w:line="190" w:lineRule="exact"/>
              <w:jc w:val="center"/>
              <w:rPr>
                <w:rFonts w:eastAsia="Times New Roman"/>
                <w:color w:val="000000"/>
                <w:lang w:eastAsia="ru-RU" w:bidi="ru-RU"/>
              </w:rPr>
            </w:pPr>
            <w:r w:rsidRPr="009A4C46">
              <w:rPr>
                <w:rFonts w:eastAsia="Times New Roman"/>
                <w:bCs/>
                <w:color w:val="000000"/>
                <w:lang w:eastAsia="ru-RU" w:bidi="ru-RU"/>
              </w:rPr>
              <w:t>306 613</w:t>
            </w:r>
          </w:p>
        </w:tc>
        <w:tc>
          <w:tcPr>
            <w:tcW w:w="607" w:type="pct"/>
            <w:tcBorders>
              <w:top w:val="single" w:sz="4" w:space="0" w:color="FFFFFF" w:themeColor="background1"/>
            </w:tcBorders>
            <w:shd w:val="clear" w:color="auto" w:fill="FFFFFF"/>
            <w:vAlign w:val="center"/>
          </w:tcPr>
          <w:p w14:paraId="2CDDB7FC" w14:textId="77777777" w:rsidR="009A4C46" w:rsidRPr="009A4C46" w:rsidRDefault="009A4C46" w:rsidP="009A4C46">
            <w:pPr>
              <w:widowControl w:val="0"/>
              <w:spacing w:after="0" w:line="190" w:lineRule="exact"/>
              <w:jc w:val="center"/>
              <w:rPr>
                <w:rFonts w:eastAsia="Times New Roman"/>
                <w:color w:val="000000"/>
                <w:lang w:eastAsia="ru-RU" w:bidi="ru-RU"/>
              </w:rPr>
            </w:pPr>
            <w:r w:rsidRPr="009A4C46">
              <w:rPr>
                <w:rFonts w:eastAsia="Times New Roman"/>
                <w:bCs/>
                <w:color w:val="000000"/>
                <w:lang w:eastAsia="ru-RU" w:bidi="ru-RU"/>
              </w:rPr>
              <w:t>0</w:t>
            </w:r>
          </w:p>
        </w:tc>
      </w:tr>
      <w:tr w:rsidR="009A4C46" w:rsidRPr="009A4C46" w14:paraId="015D7D02" w14:textId="77777777" w:rsidTr="0063188C">
        <w:trPr>
          <w:trHeight w:val="446"/>
        </w:trPr>
        <w:tc>
          <w:tcPr>
            <w:tcW w:w="188" w:type="pct"/>
            <w:shd w:val="clear" w:color="auto" w:fill="FFFFFF"/>
            <w:vAlign w:val="center"/>
          </w:tcPr>
          <w:p w14:paraId="727B0574" w14:textId="77777777" w:rsidR="009A4C46" w:rsidRPr="009A4C46" w:rsidRDefault="009A4C46" w:rsidP="009A4C46">
            <w:pPr>
              <w:widowControl w:val="0"/>
              <w:spacing w:after="0" w:line="190" w:lineRule="exact"/>
              <w:jc w:val="center"/>
              <w:rPr>
                <w:rFonts w:eastAsia="Times New Roman"/>
                <w:color w:val="000000"/>
                <w:lang w:eastAsia="ru-RU" w:bidi="ru-RU"/>
              </w:rPr>
            </w:pPr>
            <w:r w:rsidRPr="009A4C46">
              <w:rPr>
                <w:rFonts w:eastAsia="Times New Roman"/>
                <w:bCs/>
                <w:color w:val="000000"/>
                <w:lang w:eastAsia="ru-RU" w:bidi="ru-RU"/>
              </w:rPr>
              <w:t>2</w:t>
            </w:r>
          </w:p>
        </w:tc>
        <w:tc>
          <w:tcPr>
            <w:tcW w:w="2868" w:type="pct"/>
            <w:shd w:val="clear" w:color="auto" w:fill="FFFFFF"/>
            <w:vAlign w:val="center"/>
          </w:tcPr>
          <w:p w14:paraId="748D2C86" w14:textId="77777777" w:rsidR="009A4C46" w:rsidRPr="009A4C46" w:rsidRDefault="009A4C46" w:rsidP="009A4C46">
            <w:pPr>
              <w:widowControl w:val="0"/>
              <w:spacing w:after="0" w:line="221" w:lineRule="exact"/>
              <w:rPr>
                <w:rFonts w:eastAsia="Times New Roman"/>
                <w:color w:val="000000"/>
                <w:lang w:eastAsia="ru-RU" w:bidi="ru-RU"/>
              </w:rPr>
            </w:pPr>
            <w:r w:rsidRPr="009A4C46">
              <w:rPr>
                <w:rFonts w:eastAsia="Times New Roman"/>
                <w:bCs/>
                <w:color w:val="000000"/>
                <w:lang w:eastAsia="ru-RU" w:bidi="ru-RU"/>
              </w:rPr>
              <w:t>Корректировка НВВ, примененная в 2019 году (без учета перераспределения корректировок прошлых лет)</w:t>
            </w:r>
          </w:p>
        </w:tc>
        <w:tc>
          <w:tcPr>
            <w:tcW w:w="701" w:type="pct"/>
            <w:shd w:val="clear" w:color="auto" w:fill="FFFFFF"/>
            <w:vAlign w:val="center"/>
          </w:tcPr>
          <w:p w14:paraId="66F1F468" w14:textId="77777777" w:rsidR="009A4C46" w:rsidRPr="009A4C46" w:rsidRDefault="009A4C46" w:rsidP="009A4C46">
            <w:pPr>
              <w:widowControl w:val="0"/>
              <w:spacing w:after="0" w:line="190" w:lineRule="exact"/>
              <w:jc w:val="center"/>
              <w:rPr>
                <w:rFonts w:eastAsia="Times New Roman"/>
                <w:color w:val="000000"/>
                <w:lang w:eastAsia="ru-RU" w:bidi="ru-RU"/>
              </w:rPr>
            </w:pPr>
            <w:r w:rsidRPr="009A4C46">
              <w:rPr>
                <w:rFonts w:eastAsia="Times New Roman"/>
                <w:bCs/>
                <w:color w:val="000000"/>
                <w:lang w:eastAsia="ru-RU" w:bidi="ru-RU"/>
              </w:rPr>
              <w:t>306 614</w:t>
            </w:r>
          </w:p>
        </w:tc>
        <w:tc>
          <w:tcPr>
            <w:tcW w:w="636" w:type="pct"/>
            <w:shd w:val="clear" w:color="auto" w:fill="FFFFFF"/>
            <w:vAlign w:val="center"/>
          </w:tcPr>
          <w:p w14:paraId="6B3A30FD" w14:textId="77777777" w:rsidR="009A4C46" w:rsidRPr="009A4C46" w:rsidRDefault="009A4C46" w:rsidP="009A4C46">
            <w:pPr>
              <w:widowControl w:val="0"/>
              <w:spacing w:after="0" w:line="190" w:lineRule="exact"/>
              <w:jc w:val="center"/>
              <w:rPr>
                <w:rFonts w:eastAsia="Times New Roman"/>
                <w:color w:val="000000"/>
                <w:lang w:eastAsia="ru-RU" w:bidi="ru-RU"/>
              </w:rPr>
            </w:pPr>
            <w:r w:rsidRPr="009A4C46">
              <w:rPr>
                <w:rFonts w:eastAsia="Times New Roman"/>
                <w:bCs/>
                <w:color w:val="000000"/>
                <w:lang w:eastAsia="ru-RU" w:bidi="ru-RU"/>
              </w:rPr>
              <w:t>52 349</w:t>
            </w:r>
          </w:p>
        </w:tc>
        <w:tc>
          <w:tcPr>
            <w:tcW w:w="607" w:type="pct"/>
            <w:shd w:val="clear" w:color="auto" w:fill="FFFFFF"/>
            <w:vAlign w:val="center"/>
          </w:tcPr>
          <w:p w14:paraId="327659BD" w14:textId="77777777" w:rsidR="009A4C46" w:rsidRPr="009A4C46" w:rsidRDefault="009A4C46" w:rsidP="009A4C46">
            <w:pPr>
              <w:widowControl w:val="0"/>
              <w:spacing w:after="0" w:line="190" w:lineRule="exact"/>
              <w:jc w:val="center"/>
              <w:rPr>
                <w:rFonts w:eastAsia="Times New Roman"/>
                <w:color w:val="000000"/>
                <w:lang w:eastAsia="ru-RU" w:bidi="ru-RU"/>
              </w:rPr>
            </w:pPr>
            <w:r w:rsidRPr="009A4C46">
              <w:rPr>
                <w:rFonts w:eastAsia="Times New Roman"/>
                <w:bCs/>
                <w:color w:val="000000"/>
                <w:lang w:eastAsia="ru-RU" w:bidi="ru-RU"/>
              </w:rPr>
              <w:t>-254 265</w:t>
            </w:r>
          </w:p>
        </w:tc>
      </w:tr>
      <w:tr w:rsidR="009A4C46" w:rsidRPr="009A4C46" w14:paraId="350433E8" w14:textId="77777777" w:rsidTr="0063188C">
        <w:trPr>
          <w:trHeight w:val="446"/>
        </w:trPr>
        <w:tc>
          <w:tcPr>
            <w:tcW w:w="188" w:type="pct"/>
            <w:shd w:val="clear" w:color="auto" w:fill="FFFFFF"/>
            <w:vAlign w:val="center"/>
          </w:tcPr>
          <w:p w14:paraId="7A9164EE" w14:textId="77777777" w:rsidR="009A4C46" w:rsidRPr="009A4C46" w:rsidRDefault="009A4C46" w:rsidP="009A4C46">
            <w:pPr>
              <w:widowControl w:val="0"/>
              <w:spacing w:after="0" w:line="190" w:lineRule="exact"/>
              <w:jc w:val="center"/>
              <w:rPr>
                <w:rFonts w:eastAsia="Times New Roman"/>
                <w:color w:val="000000"/>
                <w:lang w:eastAsia="ru-RU" w:bidi="ru-RU"/>
              </w:rPr>
            </w:pPr>
            <w:r w:rsidRPr="009A4C46">
              <w:rPr>
                <w:rFonts w:eastAsia="Times New Roman"/>
                <w:bCs/>
                <w:color w:val="000000"/>
                <w:lang w:eastAsia="ru-RU" w:bidi="ru-RU"/>
              </w:rPr>
              <w:t>3</w:t>
            </w:r>
          </w:p>
        </w:tc>
        <w:tc>
          <w:tcPr>
            <w:tcW w:w="2868" w:type="pct"/>
            <w:shd w:val="clear" w:color="auto" w:fill="FFFFFF"/>
            <w:vAlign w:val="center"/>
          </w:tcPr>
          <w:p w14:paraId="36D9E8F0" w14:textId="77777777" w:rsidR="009A4C46" w:rsidRPr="009A4C46" w:rsidRDefault="009A4C46" w:rsidP="009A4C46">
            <w:pPr>
              <w:widowControl w:val="0"/>
              <w:spacing w:after="0" w:line="221" w:lineRule="exact"/>
              <w:rPr>
                <w:rFonts w:eastAsia="Times New Roman"/>
                <w:color w:val="000000"/>
                <w:lang w:eastAsia="ru-RU" w:bidi="ru-RU"/>
              </w:rPr>
            </w:pPr>
            <w:r w:rsidRPr="009A4C46">
              <w:rPr>
                <w:rFonts w:eastAsia="Times New Roman"/>
                <w:bCs/>
                <w:color w:val="000000"/>
                <w:lang w:eastAsia="ru-RU" w:bidi="ru-RU"/>
              </w:rPr>
              <w:t>Величина корректировки рассчитанная за прошлые периоды регулирования (без учета ИПЦ)</w:t>
            </w:r>
          </w:p>
        </w:tc>
        <w:tc>
          <w:tcPr>
            <w:tcW w:w="701" w:type="pct"/>
            <w:shd w:val="clear" w:color="auto" w:fill="FFFFFF"/>
            <w:vAlign w:val="center"/>
          </w:tcPr>
          <w:p w14:paraId="60CA028C" w14:textId="77777777" w:rsidR="009A4C46" w:rsidRPr="009A4C46" w:rsidRDefault="009A4C46" w:rsidP="009A4C46">
            <w:pPr>
              <w:widowControl w:val="0"/>
              <w:spacing w:after="0" w:line="190" w:lineRule="exact"/>
              <w:jc w:val="center"/>
              <w:rPr>
                <w:rFonts w:eastAsia="Times New Roman"/>
                <w:color w:val="000000"/>
                <w:lang w:eastAsia="ru-RU" w:bidi="ru-RU"/>
              </w:rPr>
            </w:pPr>
            <w:r w:rsidRPr="009A4C46">
              <w:rPr>
                <w:rFonts w:eastAsia="Times New Roman"/>
                <w:bCs/>
                <w:color w:val="000000"/>
                <w:lang w:eastAsia="ru-RU" w:bidi="ru-RU"/>
              </w:rPr>
              <w:t>1 508 495</w:t>
            </w:r>
          </w:p>
        </w:tc>
        <w:tc>
          <w:tcPr>
            <w:tcW w:w="636" w:type="pct"/>
            <w:shd w:val="clear" w:color="auto" w:fill="FFFFFF"/>
            <w:vAlign w:val="center"/>
          </w:tcPr>
          <w:p w14:paraId="40D09A03" w14:textId="77777777" w:rsidR="009A4C46" w:rsidRPr="009A4C46" w:rsidRDefault="009A4C46" w:rsidP="009A4C46">
            <w:pPr>
              <w:widowControl w:val="0"/>
              <w:spacing w:after="0" w:line="190" w:lineRule="exact"/>
              <w:jc w:val="center"/>
              <w:rPr>
                <w:rFonts w:eastAsia="Times New Roman"/>
                <w:color w:val="000000"/>
                <w:lang w:eastAsia="ru-RU" w:bidi="ru-RU"/>
              </w:rPr>
            </w:pPr>
            <w:r w:rsidRPr="009A4C46">
              <w:rPr>
                <w:rFonts w:eastAsia="Times New Roman"/>
                <w:bCs/>
                <w:color w:val="000000"/>
                <w:lang w:eastAsia="ru-RU" w:bidi="ru-RU"/>
              </w:rPr>
              <w:t>1 508 495</w:t>
            </w:r>
          </w:p>
        </w:tc>
        <w:tc>
          <w:tcPr>
            <w:tcW w:w="607" w:type="pct"/>
            <w:shd w:val="clear" w:color="auto" w:fill="FFFFFF"/>
            <w:vAlign w:val="center"/>
          </w:tcPr>
          <w:p w14:paraId="1DB1472C" w14:textId="77777777" w:rsidR="009A4C46" w:rsidRPr="009A4C46" w:rsidRDefault="009A4C46" w:rsidP="009A4C46">
            <w:pPr>
              <w:widowControl w:val="0"/>
              <w:spacing w:after="0" w:line="190" w:lineRule="exact"/>
              <w:jc w:val="center"/>
              <w:rPr>
                <w:rFonts w:eastAsia="Times New Roman"/>
                <w:color w:val="000000"/>
                <w:lang w:eastAsia="ru-RU" w:bidi="ru-RU"/>
              </w:rPr>
            </w:pPr>
            <w:r w:rsidRPr="009A4C46">
              <w:rPr>
                <w:rFonts w:eastAsia="Times New Roman"/>
                <w:bCs/>
                <w:color w:val="000000"/>
                <w:lang w:eastAsia="ru-RU" w:bidi="ru-RU"/>
              </w:rPr>
              <w:t>0</w:t>
            </w:r>
          </w:p>
        </w:tc>
      </w:tr>
      <w:tr w:rsidR="009A4C46" w:rsidRPr="009A4C46" w14:paraId="583AB6E0" w14:textId="77777777" w:rsidTr="0063188C">
        <w:trPr>
          <w:trHeight w:val="259"/>
        </w:trPr>
        <w:tc>
          <w:tcPr>
            <w:tcW w:w="188" w:type="pct"/>
            <w:shd w:val="clear" w:color="auto" w:fill="FFFFFF"/>
            <w:vAlign w:val="center"/>
          </w:tcPr>
          <w:p w14:paraId="7D482BB6" w14:textId="77777777" w:rsidR="009A4C46" w:rsidRPr="009A4C46" w:rsidRDefault="009A4C46" w:rsidP="009A4C46">
            <w:pPr>
              <w:widowControl w:val="0"/>
              <w:spacing w:after="0" w:line="190" w:lineRule="exact"/>
              <w:jc w:val="center"/>
              <w:rPr>
                <w:rFonts w:eastAsia="Times New Roman"/>
                <w:color w:val="000000"/>
                <w:lang w:eastAsia="ru-RU" w:bidi="ru-RU"/>
              </w:rPr>
            </w:pPr>
            <w:r w:rsidRPr="009A4C46">
              <w:rPr>
                <w:rFonts w:eastAsia="Times New Roman"/>
                <w:bCs/>
                <w:color w:val="000000"/>
                <w:lang w:eastAsia="ru-RU" w:bidi="ru-RU"/>
              </w:rPr>
              <w:t>3.1.</w:t>
            </w:r>
          </w:p>
        </w:tc>
        <w:tc>
          <w:tcPr>
            <w:tcW w:w="2868" w:type="pct"/>
            <w:shd w:val="clear" w:color="auto" w:fill="FFFFFF"/>
            <w:vAlign w:val="center"/>
          </w:tcPr>
          <w:p w14:paraId="54C1DC8D" w14:textId="77777777" w:rsidR="009A4C46" w:rsidRPr="009A4C46" w:rsidRDefault="009A4C46" w:rsidP="009A4C46">
            <w:pPr>
              <w:widowControl w:val="0"/>
              <w:spacing w:after="0" w:line="190" w:lineRule="exact"/>
              <w:rPr>
                <w:rFonts w:eastAsia="Times New Roman"/>
                <w:color w:val="000000"/>
                <w:lang w:eastAsia="ru-RU" w:bidi="ru-RU"/>
              </w:rPr>
            </w:pPr>
            <w:r w:rsidRPr="009A4C46">
              <w:rPr>
                <w:rFonts w:eastAsia="Times New Roman"/>
                <w:bCs/>
                <w:color w:val="000000"/>
                <w:lang w:eastAsia="ru-RU" w:bidi="ru-RU"/>
              </w:rPr>
              <w:t>Корректировки 2016 года</w:t>
            </w:r>
          </w:p>
        </w:tc>
        <w:tc>
          <w:tcPr>
            <w:tcW w:w="701" w:type="pct"/>
            <w:shd w:val="clear" w:color="auto" w:fill="FFFFFF"/>
            <w:vAlign w:val="center"/>
          </w:tcPr>
          <w:p w14:paraId="2C36FBBE" w14:textId="77777777" w:rsidR="009A4C46" w:rsidRPr="009A4C46" w:rsidRDefault="009A4C46" w:rsidP="009A4C46">
            <w:pPr>
              <w:widowControl w:val="0"/>
              <w:spacing w:after="0" w:line="190" w:lineRule="exact"/>
              <w:jc w:val="center"/>
              <w:rPr>
                <w:rFonts w:eastAsia="Times New Roman"/>
                <w:color w:val="000000"/>
                <w:lang w:eastAsia="ru-RU" w:bidi="ru-RU"/>
              </w:rPr>
            </w:pPr>
            <w:r w:rsidRPr="009A4C46">
              <w:rPr>
                <w:rFonts w:eastAsia="Times New Roman"/>
                <w:bCs/>
                <w:color w:val="000000"/>
                <w:lang w:eastAsia="ru-RU" w:bidi="ru-RU"/>
              </w:rPr>
              <w:t>348 942</w:t>
            </w:r>
          </w:p>
        </w:tc>
        <w:tc>
          <w:tcPr>
            <w:tcW w:w="636" w:type="pct"/>
            <w:shd w:val="clear" w:color="auto" w:fill="FFFFFF"/>
            <w:vAlign w:val="center"/>
          </w:tcPr>
          <w:p w14:paraId="54647ECA" w14:textId="77777777" w:rsidR="009A4C46" w:rsidRPr="009A4C46" w:rsidRDefault="009A4C46" w:rsidP="009A4C46">
            <w:pPr>
              <w:widowControl w:val="0"/>
              <w:spacing w:after="0" w:line="190" w:lineRule="exact"/>
              <w:jc w:val="center"/>
              <w:rPr>
                <w:rFonts w:eastAsia="Times New Roman"/>
                <w:color w:val="000000"/>
                <w:lang w:eastAsia="ru-RU" w:bidi="ru-RU"/>
              </w:rPr>
            </w:pPr>
            <w:r w:rsidRPr="009A4C46">
              <w:rPr>
                <w:rFonts w:eastAsia="Times New Roman"/>
                <w:bCs/>
                <w:color w:val="000000"/>
                <w:lang w:eastAsia="ru-RU" w:bidi="ru-RU"/>
              </w:rPr>
              <w:t>348 942</w:t>
            </w:r>
          </w:p>
        </w:tc>
        <w:tc>
          <w:tcPr>
            <w:tcW w:w="607" w:type="pct"/>
            <w:shd w:val="clear" w:color="auto" w:fill="FFFFFF"/>
            <w:vAlign w:val="center"/>
          </w:tcPr>
          <w:p w14:paraId="2E60F243" w14:textId="77777777" w:rsidR="009A4C46" w:rsidRPr="009A4C46" w:rsidRDefault="009A4C46" w:rsidP="009A4C46">
            <w:pPr>
              <w:widowControl w:val="0"/>
              <w:spacing w:after="0" w:line="190" w:lineRule="exact"/>
              <w:jc w:val="center"/>
              <w:rPr>
                <w:rFonts w:eastAsia="Times New Roman"/>
                <w:color w:val="000000"/>
                <w:lang w:eastAsia="ru-RU" w:bidi="ru-RU"/>
              </w:rPr>
            </w:pPr>
            <w:r w:rsidRPr="009A4C46">
              <w:rPr>
                <w:rFonts w:eastAsia="Times New Roman"/>
                <w:bCs/>
                <w:color w:val="000000"/>
                <w:lang w:eastAsia="ru-RU" w:bidi="ru-RU"/>
              </w:rPr>
              <w:t>0</w:t>
            </w:r>
          </w:p>
        </w:tc>
      </w:tr>
      <w:tr w:rsidR="009A4C46" w:rsidRPr="009A4C46" w14:paraId="50C71AC7" w14:textId="77777777" w:rsidTr="0063188C">
        <w:trPr>
          <w:trHeight w:val="254"/>
        </w:trPr>
        <w:tc>
          <w:tcPr>
            <w:tcW w:w="188" w:type="pct"/>
            <w:shd w:val="clear" w:color="auto" w:fill="FFFFFF"/>
            <w:vAlign w:val="center"/>
          </w:tcPr>
          <w:p w14:paraId="5F86949A" w14:textId="77777777" w:rsidR="009A4C46" w:rsidRPr="009A4C46" w:rsidRDefault="009A4C46" w:rsidP="009A4C46">
            <w:pPr>
              <w:widowControl w:val="0"/>
              <w:spacing w:after="0" w:line="190" w:lineRule="exact"/>
              <w:jc w:val="center"/>
              <w:rPr>
                <w:rFonts w:eastAsia="Times New Roman"/>
                <w:color w:val="000000"/>
                <w:lang w:eastAsia="ru-RU" w:bidi="ru-RU"/>
              </w:rPr>
            </w:pPr>
            <w:r w:rsidRPr="009A4C46">
              <w:rPr>
                <w:rFonts w:eastAsia="Times New Roman"/>
                <w:bCs/>
                <w:color w:val="000000"/>
                <w:lang w:eastAsia="ru-RU" w:bidi="ru-RU"/>
              </w:rPr>
              <w:t>3.2.</w:t>
            </w:r>
          </w:p>
        </w:tc>
        <w:tc>
          <w:tcPr>
            <w:tcW w:w="2868" w:type="pct"/>
            <w:shd w:val="clear" w:color="auto" w:fill="FFFFFF"/>
            <w:vAlign w:val="center"/>
          </w:tcPr>
          <w:p w14:paraId="48FFC0FF" w14:textId="77777777" w:rsidR="009A4C46" w:rsidRPr="009A4C46" w:rsidRDefault="009A4C46" w:rsidP="009A4C46">
            <w:pPr>
              <w:widowControl w:val="0"/>
              <w:spacing w:after="0" w:line="190" w:lineRule="exact"/>
              <w:rPr>
                <w:rFonts w:eastAsia="Times New Roman"/>
                <w:color w:val="000000"/>
                <w:lang w:eastAsia="ru-RU" w:bidi="ru-RU"/>
              </w:rPr>
            </w:pPr>
            <w:r w:rsidRPr="009A4C46">
              <w:rPr>
                <w:rFonts w:eastAsia="Times New Roman"/>
                <w:bCs/>
                <w:color w:val="000000"/>
                <w:lang w:eastAsia="ru-RU" w:bidi="ru-RU"/>
              </w:rPr>
              <w:t>Корректировки 2015 года</w:t>
            </w:r>
          </w:p>
        </w:tc>
        <w:tc>
          <w:tcPr>
            <w:tcW w:w="701" w:type="pct"/>
            <w:shd w:val="clear" w:color="auto" w:fill="FFFFFF"/>
            <w:vAlign w:val="center"/>
          </w:tcPr>
          <w:p w14:paraId="169BC371" w14:textId="77777777" w:rsidR="009A4C46" w:rsidRPr="009A4C46" w:rsidRDefault="009A4C46" w:rsidP="009A4C46">
            <w:pPr>
              <w:widowControl w:val="0"/>
              <w:spacing w:after="0" w:line="190" w:lineRule="exact"/>
              <w:jc w:val="center"/>
              <w:rPr>
                <w:rFonts w:eastAsia="Times New Roman"/>
                <w:color w:val="000000"/>
                <w:lang w:eastAsia="ru-RU" w:bidi="ru-RU"/>
              </w:rPr>
            </w:pPr>
            <w:r w:rsidRPr="009A4C46">
              <w:rPr>
                <w:rFonts w:eastAsia="Times New Roman"/>
                <w:bCs/>
                <w:color w:val="000000"/>
                <w:lang w:eastAsia="ru-RU" w:bidi="ru-RU"/>
              </w:rPr>
              <w:t>245 889</w:t>
            </w:r>
          </w:p>
        </w:tc>
        <w:tc>
          <w:tcPr>
            <w:tcW w:w="636" w:type="pct"/>
            <w:shd w:val="clear" w:color="auto" w:fill="FFFFFF"/>
            <w:vAlign w:val="center"/>
          </w:tcPr>
          <w:p w14:paraId="70A5807E" w14:textId="77777777" w:rsidR="009A4C46" w:rsidRPr="009A4C46" w:rsidRDefault="009A4C46" w:rsidP="009A4C46">
            <w:pPr>
              <w:widowControl w:val="0"/>
              <w:spacing w:after="0" w:line="190" w:lineRule="exact"/>
              <w:jc w:val="center"/>
              <w:rPr>
                <w:rFonts w:eastAsia="Times New Roman"/>
                <w:color w:val="000000"/>
                <w:lang w:eastAsia="ru-RU" w:bidi="ru-RU"/>
              </w:rPr>
            </w:pPr>
            <w:r w:rsidRPr="009A4C46">
              <w:rPr>
                <w:rFonts w:eastAsia="Times New Roman"/>
                <w:bCs/>
                <w:color w:val="000000"/>
                <w:lang w:eastAsia="ru-RU" w:bidi="ru-RU"/>
              </w:rPr>
              <w:t>245 889</w:t>
            </w:r>
          </w:p>
        </w:tc>
        <w:tc>
          <w:tcPr>
            <w:tcW w:w="607" w:type="pct"/>
            <w:shd w:val="clear" w:color="auto" w:fill="FFFFFF"/>
            <w:vAlign w:val="center"/>
          </w:tcPr>
          <w:p w14:paraId="183F55B1" w14:textId="77777777" w:rsidR="009A4C46" w:rsidRPr="009A4C46" w:rsidRDefault="009A4C46" w:rsidP="009A4C46">
            <w:pPr>
              <w:widowControl w:val="0"/>
              <w:spacing w:after="0" w:line="190" w:lineRule="exact"/>
              <w:jc w:val="center"/>
              <w:rPr>
                <w:rFonts w:eastAsia="Times New Roman"/>
                <w:color w:val="000000"/>
                <w:lang w:eastAsia="ru-RU" w:bidi="ru-RU"/>
              </w:rPr>
            </w:pPr>
            <w:r w:rsidRPr="009A4C46">
              <w:rPr>
                <w:rFonts w:eastAsia="Times New Roman"/>
                <w:bCs/>
                <w:color w:val="000000"/>
                <w:lang w:eastAsia="ru-RU" w:bidi="ru-RU"/>
              </w:rPr>
              <w:t>0</w:t>
            </w:r>
          </w:p>
        </w:tc>
      </w:tr>
      <w:tr w:rsidR="009A4C46" w:rsidRPr="009A4C46" w14:paraId="71A343D4" w14:textId="77777777" w:rsidTr="0063188C">
        <w:trPr>
          <w:trHeight w:val="259"/>
        </w:trPr>
        <w:tc>
          <w:tcPr>
            <w:tcW w:w="188" w:type="pct"/>
            <w:shd w:val="clear" w:color="auto" w:fill="FFFFFF"/>
            <w:vAlign w:val="center"/>
          </w:tcPr>
          <w:p w14:paraId="015B15F8" w14:textId="77777777" w:rsidR="009A4C46" w:rsidRPr="009A4C46" w:rsidRDefault="009A4C46" w:rsidP="009A4C46">
            <w:pPr>
              <w:widowControl w:val="0"/>
              <w:spacing w:after="0" w:line="190" w:lineRule="exact"/>
              <w:jc w:val="center"/>
              <w:rPr>
                <w:rFonts w:eastAsia="Times New Roman"/>
                <w:color w:val="000000"/>
                <w:lang w:eastAsia="ru-RU" w:bidi="ru-RU"/>
              </w:rPr>
            </w:pPr>
            <w:r w:rsidRPr="009A4C46">
              <w:rPr>
                <w:rFonts w:eastAsia="Times New Roman"/>
                <w:bCs/>
                <w:color w:val="000000"/>
                <w:lang w:eastAsia="ru-RU" w:bidi="ru-RU"/>
              </w:rPr>
              <w:t>3.3.</w:t>
            </w:r>
          </w:p>
        </w:tc>
        <w:tc>
          <w:tcPr>
            <w:tcW w:w="2868" w:type="pct"/>
            <w:shd w:val="clear" w:color="auto" w:fill="FFFFFF"/>
            <w:vAlign w:val="center"/>
          </w:tcPr>
          <w:p w14:paraId="1E667E1F" w14:textId="77777777" w:rsidR="009A4C46" w:rsidRPr="009A4C46" w:rsidRDefault="009A4C46" w:rsidP="009A4C46">
            <w:pPr>
              <w:widowControl w:val="0"/>
              <w:spacing w:after="0" w:line="190" w:lineRule="exact"/>
              <w:rPr>
                <w:rFonts w:eastAsia="Times New Roman"/>
                <w:color w:val="000000"/>
                <w:lang w:eastAsia="ru-RU" w:bidi="ru-RU"/>
              </w:rPr>
            </w:pPr>
            <w:r w:rsidRPr="009A4C46">
              <w:rPr>
                <w:rFonts w:eastAsia="Times New Roman"/>
                <w:bCs/>
                <w:color w:val="000000"/>
                <w:lang w:eastAsia="ru-RU" w:bidi="ru-RU"/>
              </w:rPr>
              <w:t>Корректировки 2014 года</w:t>
            </w:r>
          </w:p>
        </w:tc>
        <w:tc>
          <w:tcPr>
            <w:tcW w:w="701" w:type="pct"/>
            <w:shd w:val="clear" w:color="auto" w:fill="FFFFFF"/>
            <w:vAlign w:val="center"/>
          </w:tcPr>
          <w:p w14:paraId="5D01397D" w14:textId="77777777" w:rsidR="009A4C46" w:rsidRPr="009A4C46" w:rsidRDefault="009A4C46" w:rsidP="009A4C46">
            <w:pPr>
              <w:widowControl w:val="0"/>
              <w:spacing w:after="0" w:line="190" w:lineRule="exact"/>
              <w:jc w:val="center"/>
              <w:rPr>
                <w:rFonts w:eastAsia="Times New Roman"/>
                <w:color w:val="000000"/>
                <w:lang w:eastAsia="ru-RU" w:bidi="ru-RU"/>
              </w:rPr>
            </w:pPr>
            <w:r w:rsidRPr="009A4C46">
              <w:rPr>
                <w:rFonts w:eastAsia="Times New Roman"/>
                <w:bCs/>
                <w:color w:val="000000"/>
                <w:lang w:eastAsia="ru-RU" w:bidi="ru-RU"/>
              </w:rPr>
              <w:t>294 430</w:t>
            </w:r>
          </w:p>
        </w:tc>
        <w:tc>
          <w:tcPr>
            <w:tcW w:w="636" w:type="pct"/>
            <w:shd w:val="clear" w:color="auto" w:fill="FFFFFF"/>
            <w:vAlign w:val="center"/>
          </w:tcPr>
          <w:p w14:paraId="130747AB" w14:textId="77777777" w:rsidR="009A4C46" w:rsidRPr="009A4C46" w:rsidRDefault="009A4C46" w:rsidP="009A4C46">
            <w:pPr>
              <w:widowControl w:val="0"/>
              <w:spacing w:after="0" w:line="190" w:lineRule="exact"/>
              <w:jc w:val="center"/>
              <w:rPr>
                <w:rFonts w:eastAsia="Times New Roman"/>
                <w:color w:val="000000"/>
                <w:lang w:eastAsia="ru-RU" w:bidi="ru-RU"/>
              </w:rPr>
            </w:pPr>
            <w:r w:rsidRPr="009A4C46">
              <w:rPr>
                <w:rFonts w:eastAsia="Times New Roman"/>
                <w:bCs/>
                <w:color w:val="000000"/>
                <w:lang w:eastAsia="ru-RU" w:bidi="ru-RU"/>
              </w:rPr>
              <w:t>294 430</w:t>
            </w:r>
          </w:p>
        </w:tc>
        <w:tc>
          <w:tcPr>
            <w:tcW w:w="607" w:type="pct"/>
            <w:shd w:val="clear" w:color="auto" w:fill="FFFFFF"/>
            <w:vAlign w:val="center"/>
          </w:tcPr>
          <w:p w14:paraId="19551F6C" w14:textId="77777777" w:rsidR="009A4C46" w:rsidRPr="009A4C46" w:rsidRDefault="009A4C46" w:rsidP="009A4C46">
            <w:pPr>
              <w:widowControl w:val="0"/>
              <w:spacing w:after="0" w:line="190" w:lineRule="exact"/>
              <w:jc w:val="center"/>
              <w:rPr>
                <w:rFonts w:eastAsia="Times New Roman"/>
                <w:color w:val="000000"/>
                <w:lang w:eastAsia="ru-RU" w:bidi="ru-RU"/>
              </w:rPr>
            </w:pPr>
            <w:r w:rsidRPr="009A4C46">
              <w:rPr>
                <w:rFonts w:eastAsia="Times New Roman"/>
                <w:bCs/>
                <w:color w:val="000000"/>
                <w:lang w:eastAsia="ru-RU" w:bidi="ru-RU"/>
              </w:rPr>
              <w:t>0</w:t>
            </w:r>
          </w:p>
        </w:tc>
      </w:tr>
      <w:tr w:rsidR="009A4C46" w:rsidRPr="009A4C46" w14:paraId="3989551D" w14:textId="77777777" w:rsidTr="0063188C">
        <w:trPr>
          <w:trHeight w:val="254"/>
        </w:trPr>
        <w:tc>
          <w:tcPr>
            <w:tcW w:w="188" w:type="pct"/>
            <w:shd w:val="clear" w:color="auto" w:fill="FFFFFF"/>
            <w:vAlign w:val="center"/>
          </w:tcPr>
          <w:p w14:paraId="1F6E14CD" w14:textId="77777777" w:rsidR="009A4C46" w:rsidRPr="009A4C46" w:rsidRDefault="009A4C46" w:rsidP="009A4C46">
            <w:pPr>
              <w:widowControl w:val="0"/>
              <w:spacing w:after="0" w:line="190" w:lineRule="exact"/>
              <w:jc w:val="center"/>
              <w:rPr>
                <w:rFonts w:eastAsia="Times New Roman"/>
                <w:color w:val="000000"/>
                <w:lang w:eastAsia="ru-RU" w:bidi="ru-RU"/>
              </w:rPr>
            </w:pPr>
            <w:r w:rsidRPr="009A4C46">
              <w:rPr>
                <w:rFonts w:eastAsia="Times New Roman"/>
                <w:bCs/>
                <w:color w:val="000000"/>
                <w:lang w:eastAsia="ru-RU" w:bidi="ru-RU"/>
              </w:rPr>
              <w:t>3.4.</w:t>
            </w:r>
          </w:p>
        </w:tc>
        <w:tc>
          <w:tcPr>
            <w:tcW w:w="2868" w:type="pct"/>
            <w:shd w:val="clear" w:color="auto" w:fill="FFFFFF"/>
            <w:vAlign w:val="center"/>
          </w:tcPr>
          <w:p w14:paraId="5D20CED1" w14:textId="77777777" w:rsidR="009A4C46" w:rsidRPr="009A4C46" w:rsidRDefault="009A4C46" w:rsidP="009A4C46">
            <w:pPr>
              <w:widowControl w:val="0"/>
              <w:spacing w:after="0" w:line="190" w:lineRule="exact"/>
              <w:rPr>
                <w:rFonts w:eastAsia="Times New Roman"/>
                <w:color w:val="000000"/>
                <w:lang w:eastAsia="ru-RU" w:bidi="ru-RU"/>
              </w:rPr>
            </w:pPr>
            <w:r w:rsidRPr="009A4C46">
              <w:rPr>
                <w:rFonts w:eastAsia="Times New Roman"/>
                <w:bCs/>
                <w:color w:val="000000"/>
                <w:lang w:eastAsia="ru-RU" w:bidi="ru-RU"/>
              </w:rPr>
              <w:t>Корректировки 2013 года</w:t>
            </w:r>
          </w:p>
        </w:tc>
        <w:tc>
          <w:tcPr>
            <w:tcW w:w="701" w:type="pct"/>
            <w:shd w:val="clear" w:color="auto" w:fill="FFFFFF"/>
            <w:vAlign w:val="center"/>
          </w:tcPr>
          <w:p w14:paraId="4EAB19AB" w14:textId="77777777" w:rsidR="009A4C46" w:rsidRPr="009A4C46" w:rsidRDefault="009A4C46" w:rsidP="009A4C46">
            <w:pPr>
              <w:widowControl w:val="0"/>
              <w:spacing w:after="0" w:line="190" w:lineRule="exact"/>
              <w:jc w:val="center"/>
              <w:rPr>
                <w:rFonts w:eastAsia="Times New Roman"/>
                <w:color w:val="000000"/>
                <w:lang w:eastAsia="ru-RU" w:bidi="ru-RU"/>
              </w:rPr>
            </w:pPr>
            <w:r w:rsidRPr="009A4C46">
              <w:rPr>
                <w:rFonts w:eastAsia="Times New Roman"/>
                <w:bCs/>
                <w:color w:val="000000"/>
                <w:lang w:eastAsia="ru-RU" w:bidi="ru-RU"/>
              </w:rPr>
              <w:t>278 791</w:t>
            </w:r>
          </w:p>
        </w:tc>
        <w:tc>
          <w:tcPr>
            <w:tcW w:w="636" w:type="pct"/>
            <w:shd w:val="clear" w:color="auto" w:fill="FFFFFF"/>
            <w:vAlign w:val="center"/>
          </w:tcPr>
          <w:p w14:paraId="1504849F" w14:textId="77777777" w:rsidR="009A4C46" w:rsidRPr="009A4C46" w:rsidRDefault="009A4C46" w:rsidP="009A4C46">
            <w:pPr>
              <w:widowControl w:val="0"/>
              <w:spacing w:after="0" w:line="190" w:lineRule="exact"/>
              <w:jc w:val="center"/>
              <w:rPr>
                <w:rFonts w:eastAsia="Times New Roman"/>
                <w:color w:val="000000"/>
                <w:lang w:eastAsia="ru-RU" w:bidi="ru-RU"/>
              </w:rPr>
            </w:pPr>
            <w:r w:rsidRPr="009A4C46">
              <w:rPr>
                <w:rFonts w:eastAsia="Times New Roman"/>
                <w:bCs/>
                <w:color w:val="000000"/>
                <w:lang w:eastAsia="ru-RU" w:bidi="ru-RU"/>
              </w:rPr>
              <w:t>278 791</w:t>
            </w:r>
          </w:p>
        </w:tc>
        <w:tc>
          <w:tcPr>
            <w:tcW w:w="607" w:type="pct"/>
            <w:shd w:val="clear" w:color="auto" w:fill="FFFFFF"/>
            <w:vAlign w:val="center"/>
          </w:tcPr>
          <w:p w14:paraId="696096E2" w14:textId="77777777" w:rsidR="009A4C46" w:rsidRPr="009A4C46" w:rsidRDefault="009A4C46" w:rsidP="009A4C46">
            <w:pPr>
              <w:widowControl w:val="0"/>
              <w:spacing w:after="0" w:line="190" w:lineRule="exact"/>
              <w:jc w:val="center"/>
              <w:rPr>
                <w:rFonts w:eastAsia="Times New Roman"/>
                <w:color w:val="000000"/>
                <w:lang w:eastAsia="ru-RU" w:bidi="ru-RU"/>
              </w:rPr>
            </w:pPr>
            <w:r w:rsidRPr="009A4C46">
              <w:rPr>
                <w:rFonts w:eastAsia="Times New Roman"/>
                <w:bCs/>
                <w:color w:val="000000"/>
                <w:lang w:eastAsia="ru-RU" w:bidi="ru-RU"/>
              </w:rPr>
              <w:t>0</w:t>
            </w:r>
          </w:p>
        </w:tc>
      </w:tr>
      <w:tr w:rsidR="009A4C46" w:rsidRPr="009A4C46" w14:paraId="59FA5D09" w14:textId="77777777" w:rsidTr="0063188C">
        <w:trPr>
          <w:trHeight w:val="254"/>
        </w:trPr>
        <w:tc>
          <w:tcPr>
            <w:tcW w:w="188" w:type="pct"/>
            <w:shd w:val="clear" w:color="auto" w:fill="FFFFFF"/>
            <w:vAlign w:val="center"/>
          </w:tcPr>
          <w:p w14:paraId="6492FA6C" w14:textId="77777777" w:rsidR="009A4C46" w:rsidRPr="009A4C46" w:rsidRDefault="009A4C46" w:rsidP="009A4C46">
            <w:pPr>
              <w:widowControl w:val="0"/>
              <w:spacing w:after="0" w:line="240" w:lineRule="auto"/>
              <w:jc w:val="center"/>
              <w:rPr>
                <w:rFonts w:eastAsia="Microsoft Sans Serif" w:cs="Microsoft Sans Serif"/>
                <w:color w:val="000000"/>
                <w:lang w:eastAsia="ru-RU" w:bidi="ru-RU"/>
              </w:rPr>
            </w:pPr>
          </w:p>
        </w:tc>
        <w:tc>
          <w:tcPr>
            <w:tcW w:w="2868" w:type="pct"/>
            <w:shd w:val="clear" w:color="auto" w:fill="FFFFFF"/>
            <w:vAlign w:val="center"/>
          </w:tcPr>
          <w:p w14:paraId="759DE69C" w14:textId="77777777" w:rsidR="009A4C46" w:rsidRPr="009A4C46" w:rsidRDefault="009A4C46" w:rsidP="009A4C46">
            <w:pPr>
              <w:widowControl w:val="0"/>
              <w:spacing w:after="0" w:line="190" w:lineRule="exact"/>
              <w:rPr>
                <w:rFonts w:eastAsia="Times New Roman"/>
                <w:color w:val="000000"/>
                <w:lang w:eastAsia="ru-RU" w:bidi="ru-RU"/>
              </w:rPr>
            </w:pPr>
            <w:r w:rsidRPr="009A4C46">
              <w:rPr>
                <w:rFonts w:eastAsia="Times New Roman"/>
                <w:bCs/>
                <w:color w:val="000000"/>
                <w:lang w:eastAsia="ru-RU" w:bidi="ru-RU"/>
              </w:rPr>
              <w:t>Корректировки 2012 года</w:t>
            </w:r>
          </w:p>
        </w:tc>
        <w:tc>
          <w:tcPr>
            <w:tcW w:w="701" w:type="pct"/>
            <w:shd w:val="clear" w:color="auto" w:fill="FFFFFF"/>
            <w:vAlign w:val="center"/>
          </w:tcPr>
          <w:p w14:paraId="45A4E5A8" w14:textId="77777777" w:rsidR="009A4C46" w:rsidRPr="009A4C46" w:rsidRDefault="009A4C46" w:rsidP="009A4C46">
            <w:pPr>
              <w:widowControl w:val="0"/>
              <w:spacing w:after="0" w:line="190" w:lineRule="exact"/>
              <w:jc w:val="center"/>
              <w:rPr>
                <w:rFonts w:eastAsia="Times New Roman"/>
                <w:color w:val="000000"/>
                <w:lang w:eastAsia="ru-RU" w:bidi="ru-RU"/>
              </w:rPr>
            </w:pPr>
            <w:r w:rsidRPr="009A4C46">
              <w:rPr>
                <w:rFonts w:eastAsia="Times New Roman"/>
                <w:bCs/>
                <w:color w:val="000000"/>
                <w:lang w:eastAsia="ru-RU" w:bidi="ru-RU"/>
              </w:rPr>
              <w:t>340 444</w:t>
            </w:r>
          </w:p>
        </w:tc>
        <w:tc>
          <w:tcPr>
            <w:tcW w:w="636" w:type="pct"/>
            <w:shd w:val="clear" w:color="auto" w:fill="FFFFFF"/>
            <w:vAlign w:val="center"/>
          </w:tcPr>
          <w:p w14:paraId="620B48F4" w14:textId="77777777" w:rsidR="009A4C46" w:rsidRPr="009A4C46" w:rsidRDefault="009A4C46" w:rsidP="009A4C46">
            <w:pPr>
              <w:widowControl w:val="0"/>
              <w:spacing w:after="0" w:line="190" w:lineRule="exact"/>
              <w:jc w:val="center"/>
              <w:rPr>
                <w:rFonts w:eastAsia="Times New Roman"/>
                <w:color w:val="000000"/>
                <w:lang w:eastAsia="ru-RU" w:bidi="ru-RU"/>
              </w:rPr>
            </w:pPr>
            <w:r w:rsidRPr="009A4C46">
              <w:rPr>
                <w:rFonts w:eastAsia="Times New Roman"/>
                <w:bCs/>
                <w:color w:val="000000"/>
                <w:lang w:eastAsia="ru-RU" w:bidi="ru-RU"/>
              </w:rPr>
              <w:t>340 444</w:t>
            </w:r>
          </w:p>
        </w:tc>
        <w:tc>
          <w:tcPr>
            <w:tcW w:w="607" w:type="pct"/>
            <w:shd w:val="clear" w:color="auto" w:fill="FFFFFF"/>
            <w:vAlign w:val="center"/>
          </w:tcPr>
          <w:p w14:paraId="65FA9A32" w14:textId="77777777" w:rsidR="009A4C46" w:rsidRPr="009A4C46" w:rsidRDefault="009A4C46" w:rsidP="009A4C46">
            <w:pPr>
              <w:widowControl w:val="0"/>
              <w:spacing w:after="0" w:line="190" w:lineRule="exact"/>
              <w:jc w:val="center"/>
              <w:rPr>
                <w:rFonts w:eastAsia="Times New Roman"/>
                <w:color w:val="000000"/>
                <w:lang w:eastAsia="ru-RU" w:bidi="ru-RU"/>
              </w:rPr>
            </w:pPr>
            <w:r w:rsidRPr="009A4C46">
              <w:rPr>
                <w:rFonts w:eastAsia="Times New Roman"/>
                <w:bCs/>
                <w:color w:val="000000"/>
                <w:lang w:eastAsia="ru-RU" w:bidi="ru-RU"/>
              </w:rPr>
              <w:t>0</w:t>
            </w:r>
          </w:p>
        </w:tc>
      </w:tr>
      <w:tr w:rsidR="009A4C46" w:rsidRPr="009A4C46" w14:paraId="31D2C985" w14:textId="77777777" w:rsidTr="0063188C">
        <w:trPr>
          <w:trHeight w:val="451"/>
        </w:trPr>
        <w:tc>
          <w:tcPr>
            <w:tcW w:w="188" w:type="pct"/>
            <w:shd w:val="clear" w:color="auto" w:fill="FFFFFF"/>
            <w:vAlign w:val="center"/>
          </w:tcPr>
          <w:p w14:paraId="74CFF92F" w14:textId="77777777" w:rsidR="009A4C46" w:rsidRPr="009A4C46" w:rsidRDefault="009A4C46" w:rsidP="009A4C46">
            <w:pPr>
              <w:widowControl w:val="0"/>
              <w:spacing w:after="0" w:line="190" w:lineRule="exact"/>
              <w:jc w:val="center"/>
              <w:rPr>
                <w:rFonts w:eastAsia="Times New Roman"/>
                <w:color w:val="000000"/>
                <w:lang w:eastAsia="ru-RU" w:bidi="ru-RU"/>
              </w:rPr>
            </w:pPr>
            <w:r w:rsidRPr="009A4C46">
              <w:rPr>
                <w:rFonts w:eastAsia="Times New Roman"/>
                <w:bCs/>
                <w:color w:val="000000"/>
                <w:lang w:eastAsia="ru-RU" w:bidi="ru-RU"/>
              </w:rPr>
              <w:t>4</w:t>
            </w:r>
          </w:p>
        </w:tc>
        <w:tc>
          <w:tcPr>
            <w:tcW w:w="2868" w:type="pct"/>
            <w:shd w:val="clear" w:color="auto" w:fill="FFFFFF"/>
            <w:vAlign w:val="center"/>
          </w:tcPr>
          <w:p w14:paraId="699774E3" w14:textId="77777777" w:rsidR="009A4C46" w:rsidRPr="009A4C46" w:rsidRDefault="009A4C46" w:rsidP="009A4C46">
            <w:pPr>
              <w:widowControl w:val="0"/>
              <w:spacing w:after="0" w:line="216" w:lineRule="exact"/>
              <w:rPr>
                <w:rFonts w:eastAsia="Times New Roman"/>
                <w:color w:val="000000"/>
                <w:lang w:eastAsia="ru-RU" w:bidi="ru-RU"/>
              </w:rPr>
            </w:pPr>
            <w:r w:rsidRPr="009A4C46">
              <w:rPr>
                <w:rFonts w:eastAsia="Times New Roman"/>
                <w:bCs/>
                <w:color w:val="000000"/>
                <w:lang w:eastAsia="ru-RU" w:bidi="ru-RU"/>
              </w:rPr>
              <w:t>Величина корректировки, учтенная в НВВ в 2019 году за прошлые периоды регулирования (с учетом ИПЦ)</w:t>
            </w:r>
          </w:p>
        </w:tc>
        <w:tc>
          <w:tcPr>
            <w:tcW w:w="701" w:type="pct"/>
            <w:shd w:val="clear" w:color="auto" w:fill="FFFFFF"/>
            <w:vAlign w:val="center"/>
          </w:tcPr>
          <w:p w14:paraId="726C0932" w14:textId="77777777" w:rsidR="009A4C46" w:rsidRPr="009A4C46" w:rsidRDefault="009A4C46" w:rsidP="009A4C46">
            <w:pPr>
              <w:widowControl w:val="0"/>
              <w:spacing w:after="0" w:line="190" w:lineRule="exact"/>
              <w:jc w:val="center"/>
              <w:rPr>
                <w:rFonts w:eastAsia="Times New Roman"/>
                <w:color w:val="000000"/>
                <w:lang w:eastAsia="ru-RU" w:bidi="ru-RU"/>
              </w:rPr>
            </w:pPr>
            <w:r w:rsidRPr="009A4C46">
              <w:rPr>
                <w:rFonts w:eastAsia="Times New Roman"/>
                <w:bCs/>
                <w:color w:val="000000"/>
                <w:lang w:eastAsia="ru-RU" w:bidi="ru-RU"/>
              </w:rPr>
              <w:t>0</w:t>
            </w:r>
          </w:p>
        </w:tc>
        <w:tc>
          <w:tcPr>
            <w:tcW w:w="636" w:type="pct"/>
            <w:shd w:val="clear" w:color="auto" w:fill="FFFFFF"/>
            <w:vAlign w:val="center"/>
          </w:tcPr>
          <w:p w14:paraId="35A9B01C" w14:textId="77777777" w:rsidR="009A4C46" w:rsidRPr="009A4C46" w:rsidRDefault="009A4C46" w:rsidP="009A4C46">
            <w:pPr>
              <w:widowControl w:val="0"/>
              <w:spacing w:after="0" w:line="190" w:lineRule="exact"/>
              <w:jc w:val="center"/>
              <w:rPr>
                <w:rFonts w:eastAsia="Times New Roman"/>
                <w:color w:val="000000"/>
                <w:lang w:eastAsia="ru-RU" w:bidi="ru-RU"/>
              </w:rPr>
            </w:pPr>
            <w:r w:rsidRPr="009A4C46">
              <w:rPr>
                <w:rFonts w:eastAsia="Times New Roman"/>
                <w:bCs/>
                <w:color w:val="000000"/>
                <w:lang w:eastAsia="ru-RU" w:bidi="ru-RU"/>
              </w:rPr>
              <w:t>0</w:t>
            </w:r>
          </w:p>
        </w:tc>
        <w:tc>
          <w:tcPr>
            <w:tcW w:w="607" w:type="pct"/>
            <w:shd w:val="clear" w:color="auto" w:fill="FFFFFF"/>
            <w:vAlign w:val="center"/>
          </w:tcPr>
          <w:p w14:paraId="49D60035" w14:textId="77777777" w:rsidR="009A4C46" w:rsidRPr="009A4C46" w:rsidRDefault="009A4C46" w:rsidP="009A4C46">
            <w:pPr>
              <w:widowControl w:val="0"/>
              <w:spacing w:after="0" w:line="190" w:lineRule="exact"/>
              <w:jc w:val="center"/>
              <w:rPr>
                <w:rFonts w:eastAsia="Times New Roman"/>
                <w:color w:val="000000"/>
                <w:lang w:eastAsia="ru-RU" w:bidi="ru-RU"/>
              </w:rPr>
            </w:pPr>
            <w:r w:rsidRPr="009A4C46">
              <w:rPr>
                <w:rFonts w:eastAsia="Times New Roman"/>
                <w:bCs/>
                <w:color w:val="000000"/>
                <w:lang w:eastAsia="ru-RU" w:bidi="ru-RU"/>
              </w:rPr>
              <w:t>0</w:t>
            </w:r>
          </w:p>
        </w:tc>
      </w:tr>
      <w:tr w:rsidR="009A4C46" w:rsidRPr="009A4C46" w14:paraId="59309A58" w14:textId="77777777" w:rsidTr="0063188C">
        <w:trPr>
          <w:trHeight w:val="254"/>
        </w:trPr>
        <w:tc>
          <w:tcPr>
            <w:tcW w:w="188" w:type="pct"/>
            <w:shd w:val="clear" w:color="auto" w:fill="FFFFFF"/>
            <w:vAlign w:val="center"/>
          </w:tcPr>
          <w:p w14:paraId="7E89CC1A" w14:textId="77777777" w:rsidR="009A4C46" w:rsidRPr="009A4C46" w:rsidRDefault="009A4C46" w:rsidP="009A4C46">
            <w:pPr>
              <w:widowControl w:val="0"/>
              <w:spacing w:after="0" w:line="190" w:lineRule="exact"/>
              <w:jc w:val="center"/>
              <w:rPr>
                <w:rFonts w:eastAsia="Times New Roman"/>
                <w:color w:val="000000"/>
                <w:lang w:eastAsia="ru-RU" w:bidi="ru-RU"/>
              </w:rPr>
            </w:pPr>
            <w:r w:rsidRPr="009A4C46">
              <w:rPr>
                <w:rFonts w:eastAsia="Times New Roman"/>
                <w:bCs/>
                <w:color w:val="000000"/>
                <w:lang w:eastAsia="ru-RU" w:bidi="ru-RU"/>
              </w:rPr>
              <w:t>4.1.</w:t>
            </w:r>
          </w:p>
        </w:tc>
        <w:tc>
          <w:tcPr>
            <w:tcW w:w="2868" w:type="pct"/>
            <w:shd w:val="clear" w:color="auto" w:fill="FFFFFF"/>
            <w:vAlign w:val="center"/>
          </w:tcPr>
          <w:p w14:paraId="07680B04" w14:textId="77777777" w:rsidR="009A4C46" w:rsidRPr="009A4C46" w:rsidRDefault="009A4C46" w:rsidP="009A4C46">
            <w:pPr>
              <w:widowControl w:val="0"/>
              <w:spacing w:after="0" w:line="190" w:lineRule="exact"/>
              <w:rPr>
                <w:rFonts w:eastAsia="Times New Roman"/>
                <w:color w:val="000000"/>
                <w:lang w:eastAsia="ru-RU" w:bidi="ru-RU"/>
              </w:rPr>
            </w:pPr>
            <w:r w:rsidRPr="009A4C46">
              <w:rPr>
                <w:rFonts w:eastAsia="Times New Roman"/>
                <w:bCs/>
                <w:color w:val="000000"/>
                <w:lang w:eastAsia="ru-RU" w:bidi="ru-RU"/>
              </w:rPr>
              <w:t>Корректировки 2016 года</w:t>
            </w:r>
          </w:p>
        </w:tc>
        <w:tc>
          <w:tcPr>
            <w:tcW w:w="701" w:type="pct"/>
            <w:shd w:val="clear" w:color="auto" w:fill="FFFFFF"/>
            <w:vAlign w:val="center"/>
          </w:tcPr>
          <w:p w14:paraId="3D7B5ED0" w14:textId="77777777" w:rsidR="009A4C46" w:rsidRPr="009A4C46" w:rsidRDefault="009A4C46" w:rsidP="009A4C46">
            <w:pPr>
              <w:widowControl w:val="0"/>
              <w:spacing w:after="0" w:line="240" w:lineRule="auto"/>
              <w:jc w:val="center"/>
              <w:rPr>
                <w:rFonts w:eastAsia="Microsoft Sans Serif" w:cs="Microsoft Sans Serif"/>
                <w:color w:val="000000"/>
                <w:lang w:eastAsia="ru-RU" w:bidi="ru-RU"/>
              </w:rPr>
            </w:pPr>
          </w:p>
        </w:tc>
        <w:tc>
          <w:tcPr>
            <w:tcW w:w="636" w:type="pct"/>
            <w:shd w:val="clear" w:color="auto" w:fill="FFFFFF"/>
            <w:vAlign w:val="center"/>
          </w:tcPr>
          <w:p w14:paraId="40F11A8B" w14:textId="77777777" w:rsidR="009A4C46" w:rsidRPr="009A4C46" w:rsidRDefault="009A4C46" w:rsidP="009A4C46">
            <w:pPr>
              <w:widowControl w:val="0"/>
              <w:spacing w:after="0" w:line="240" w:lineRule="auto"/>
              <w:jc w:val="center"/>
              <w:rPr>
                <w:rFonts w:eastAsia="Microsoft Sans Serif" w:cs="Microsoft Sans Serif"/>
                <w:color w:val="000000"/>
                <w:lang w:eastAsia="ru-RU" w:bidi="ru-RU"/>
              </w:rPr>
            </w:pPr>
          </w:p>
        </w:tc>
        <w:tc>
          <w:tcPr>
            <w:tcW w:w="607" w:type="pct"/>
            <w:shd w:val="clear" w:color="auto" w:fill="FFFFFF"/>
            <w:vAlign w:val="center"/>
          </w:tcPr>
          <w:p w14:paraId="7C941D2F" w14:textId="77777777" w:rsidR="009A4C46" w:rsidRPr="009A4C46" w:rsidRDefault="009A4C46" w:rsidP="009A4C46">
            <w:pPr>
              <w:widowControl w:val="0"/>
              <w:spacing w:after="0" w:line="190" w:lineRule="exact"/>
              <w:jc w:val="center"/>
              <w:rPr>
                <w:rFonts w:eastAsia="Times New Roman"/>
                <w:color w:val="000000"/>
                <w:lang w:eastAsia="ru-RU" w:bidi="ru-RU"/>
              </w:rPr>
            </w:pPr>
            <w:r w:rsidRPr="009A4C46">
              <w:rPr>
                <w:rFonts w:eastAsia="Times New Roman"/>
                <w:bCs/>
                <w:color w:val="000000"/>
                <w:lang w:eastAsia="ru-RU" w:bidi="ru-RU"/>
              </w:rPr>
              <w:t>0</w:t>
            </w:r>
          </w:p>
        </w:tc>
      </w:tr>
      <w:tr w:rsidR="009A4C46" w:rsidRPr="009A4C46" w14:paraId="687EFFB0" w14:textId="77777777" w:rsidTr="0063188C">
        <w:trPr>
          <w:trHeight w:val="250"/>
        </w:trPr>
        <w:tc>
          <w:tcPr>
            <w:tcW w:w="188" w:type="pct"/>
            <w:shd w:val="clear" w:color="auto" w:fill="FFFFFF"/>
            <w:vAlign w:val="center"/>
          </w:tcPr>
          <w:p w14:paraId="389E0EFD" w14:textId="77777777" w:rsidR="009A4C46" w:rsidRPr="009A4C46" w:rsidRDefault="009A4C46" w:rsidP="009A4C46">
            <w:pPr>
              <w:widowControl w:val="0"/>
              <w:spacing w:after="0" w:line="190" w:lineRule="exact"/>
              <w:jc w:val="center"/>
              <w:rPr>
                <w:rFonts w:eastAsia="Times New Roman"/>
                <w:color w:val="000000"/>
                <w:lang w:eastAsia="ru-RU" w:bidi="ru-RU"/>
              </w:rPr>
            </w:pPr>
            <w:r w:rsidRPr="009A4C46">
              <w:rPr>
                <w:rFonts w:eastAsia="Times New Roman"/>
                <w:bCs/>
                <w:color w:val="000000"/>
                <w:lang w:eastAsia="ru-RU" w:bidi="ru-RU"/>
              </w:rPr>
              <w:t>4.2.</w:t>
            </w:r>
          </w:p>
        </w:tc>
        <w:tc>
          <w:tcPr>
            <w:tcW w:w="2868" w:type="pct"/>
            <w:shd w:val="clear" w:color="auto" w:fill="FFFFFF"/>
            <w:vAlign w:val="center"/>
          </w:tcPr>
          <w:p w14:paraId="22B1E4C4" w14:textId="77777777" w:rsidR="009A4C46" w:rsidRPr="009A4C46" w:rsidRDefault="009A4C46" w:rsidP="009A4C46">
            <w:pPr>
              <w:widowControl w:val="0"/>
              <w:spacing w:after="0" w:line="190" w:lineRule="exact"/>
              <w:rPr>
                <w:rFonts w:eastAsia="Times New Roman"/>
                <w:color w:val="000000"/>
                <w:lang w:eastAsia="ru-RU" w:bidi="ru-RU"/>
              </w:rPr>
            </w:pPr>
            <w:r w:rsidRPr="009A4C46">
              <w:rPr>
                <w:rFonts w:eastAsia="Times New Roman"/>
                <w:bCs/>
                <w:color w:val="000000"/>
                <w:lang w:eastAsia="ru-RU" w:bidi="ru-RU"/>
              </w:rPr>
              <w:t>Корректировки 2015 года</w:t>
            </w:r>
          </w:p>
        </w:tc>
        <w:tc>
          <w:tcPr>
            <w:tcW w:w="701" w:type="pct"/>
            <w:shd w:val="clear" w:color="auto" w:fill="FFFFFF"/>
            <w:vAlign w:val="center"/>
          </w:tcPr>
          <w:p w14:paraId="1DA1F96A" w14:textId="77777777" w:rsidR="009A4C46" w:rsidRPr="009A4C46" w:rsidRDefault="009A4C46" w:rsidP="009A4C46">
            <w:pPr>
              <w:widowControl w:val="0"/>
              <w:spacing w:after="0" w:line="240" w:lineRule="auto"/>
              <w:jc w:val="center"/>
              <w:rPr>
                <w:rFonts w:eastAsia="Microsoft Sans Serif" w:cs="Microsoft Sans Serif"/>
                <w:color w:val="000000"/>
                <w:lang w:eastAsia="ru-RU" w:bidi="ru-RU"/>
              </w:rPr>
            </w:pPr>
          </w:p>
        </w:tc>
        <w:tc>
          <w:tcPr>
            <w:tcW w:w="636" w:type="pct"/>
            <w:shd w:val="clear" w:color="auto" w:fill="FFFFFF"/>
            <w:vAlign w:val="center"/>
          </w:tcPr>
          <w:p w14:paraId="69EA128D" w14:textId="77777777" w:rsidR="009A4C46" w:rsidRPr="009A4C46" w:rsidRDefault="009A4C46" w:rsidP="009A4C46">
            <w:pPr>
              <w:widowControl w:val="0"/>
              <w:spacing w:after="0" w:line="240" w:lineRule="auto"/>
              <w:jc w:val="center"/>
              <w:rPr>
                <w:rFonts w:eastAsia="Microsoft Sans Serif" w:cs="Microsoft Sans Serif"/>
                <w:color w:val="000000"/>
                <w:lang w:eastAsia="ru-RU" w:bidi="ru-RU"/>
              </w:rPr>
            </w:pPr>
          </w:p>
        </w:tc>
        <w:tc>
          <w:tcPr>
            <w:tcW w:w="607" w:type="pct"/>
            <w:shd w:val="clear" w:color="auto" w:fill="FFFFFF"/>
            <w:vAlign w:val="center"/>
          </w:tcPr>
          <w:p w14:paraId="53D68A28" w14:textId="77777777" w:rsidR="009A4C46" w:rsidRPr="009A4C46" w:rsidRDefault="009A4C46" w:rsidP="009A4C46">
            <w:pPr>
              <w:widowControl w:val="0"/>
              <w:spacing w:after="0" w:line="190" w:lineRule="exact"/>
              <w:jc w:val="center"/>
              <w:rPr>
                <w:rFonts w:eastAsia="Times New Roman"/>
                <w:color w:val="000000"/>
                <w:lang w:eastAsia="ru-RU" w:bidi="ru-RU"/>
              </w:rPr>
            </w:pPr>
            <w:r w:rsidRPr="009A4C46">
              <w:rPr>
                <w:rFonts w:eastAsia="Times New Roman"/>
                <w:bCs/>
                <w:color w:val="000000"/>
                <w:lang w:eastAsia="ru-RU" w:bidi="ru-RU"/>
              </w:rPr>
              <w:t>0</w:t>
            </w:r>
          </w:p>
        </w:tc>
      </w:tr>
      <w:tr w:rsidR="009A4C46" w:rsidRPr="009A4C46" w14:paraId="75C2F67D" w14:textId="77777777" w:rsidTr="0063188C">
        <w:trPr>
          <w:trHeight w:val="254"/>
        </w:trPr>
        <w:tc>
          <w:tcPr>
            <w:tcW w:w="188" w:type="pct"/>
            <w:shd w:val="clear" w:color="auto" w:fill="FFFFFF"/>
            <w:vAlign w:val="center"/>
          </w:tcPr>
          <w:p w14:paraId="6B23F700" w14:textId="77777777" w:rsidR="009A4C46" w:rsidRPr="009A4C46" w:rsidRDefault="009A4C46" w:rsidP="009A4C46">
            <w:pPr>
              <w:widowControl w:val="0"/>
              <w:spacing w:after="0" w:line="190" w:lineRule="exact"/>
              <w:jc w:val="center"/>
              <w:rPr>
                <w:rFonts w:eastAsia="Times New Roman"/>
                <w:color w:val="000000"/>
                <w:lang w:eastAsia="ru-RU" w:bidi="ru-RU"/>
              </w:rPr>
            </w:pPr>
            <w:r w:rsidRPr="009A4C46">
              <w:rPr>
                <w:rFonts w:eastAsia="Times New Roman"/>
                <w:bCs/>
                <w:color w:val="000000"/>
                <w:lang w:eastAsia="ru-RU" w:bidi="ru-RU"/>
              </w:rPr>
              <w:lastRenderedPageBreak/>
              <w:t>4.3.</w:t>
            </w:r>
          </w:p>
        </w:tc>
        <w:tc>
          <w:tcPr>
            <w:tcW w:w="2868" w:type="pct"/>
            <w:shd w:val="clear" w:color="auto" w:fill="FFFFFF"/>
            <w:vAlign w:val="center"/>
          </w:tcPr>
          <w:p w14:paraId="5DC7A2B3" w14:textId="77777777" w:rsidR="009A4C46" w:rsidRPr="009A4C46" w:rsidRDefault="009A4C46" w:rsidP="009A4C46">
            <w:pPr>
              <w:widowControl w:val="0"/>
              <w:spacing w:after="0" w:line="190" w:lineRule="exact"/>
              <w:rPr>
                <w:rFonts w:eastAsia="Times New Roman"/>
                <w:color w:val="000000"/>
                <w:lang w:eastAsia="ru-RU" w:bidi="ru-RU"/>
              </w:rPr>
            </w:pPr>
            <w:r w:rsidRPr="009A4C46">
              <w:rPr>
                <w:rFonts w:eastAsia="Times New Roman"/>
                <w:bCs/>
                <w:color w:val="000000"/>
                <w:lang w:eastAsia="ru-RU" w:bidi="ru-RU"/>
              </w:rPr>
              <w:t>Корректировки 2014 года</w:t>
            </w:r>
          </w:p>
        </w:tc>
        <w:tc>
          <w:tcPr>
            <w:tcW w:w="701" w:type="pct"/>
            <w:shd w:val="clear" w:color="auto" w:fill="FFFFFF"/>
            <w:vAlign w:val="center"/>
          </w:tcPr>
          <w:p w14:paraId="4EB995DA" w14:textId="77777777" w:rsidR="009A4C46" w:rsidRPr="009A4C46" w:rsidRDefault="009A4C46" w:rsidP="009A4C46">
            <w:pPr>
              <w:widowControl w:val="0"/>
              <w:spacing w:after="0" w:line="240" w:lineRule="auto"/>
              <w:jc w:val="center"/>
              <w:rPr>
                <w:rFonts w:eastAsia="Microsoft Sans Serif" w:cs="Microsoft Sans Serif"/>
                <w:color w:val="000000"/>
                <w:lang w:eastAsia="ru-RU" w:bidi="ru-RU"/>
              </w:rPr>
            </w:pPr>
          </w:p>
        </w:tc>
        <w:tc>
          <w:tcPr>
            <w:tcW w:w="636" w:type="pct"/>
            <w:shd w:val="clear" w:color="auto" w:fill="FFFFFF"/>
            <w:vAlign w:val="center"/>
          </w:tcPr>
          <w:p w14:paraId="40B6AA75" w14:textId="77777777" w:rsidR="009A4C46" w:rsidRPr="009A4C46" w:rsidRDefault="009A4C46" w:rsidP="009A4C46">
            <w:pPr>
              <w:widowControl w:val="0"/>
              <w:spacing w:after="0" w:line="240" w:lineRule="auto"/>
              <w:jc w:val="center"/>
              <w:rPr>
                <w:rFonts w:eastAsia="Microsoft Sans Serif" w:cs="Microsoft Sans Serif"/>
                <w:color w:val="000000"/>
                <w:lang w:eastAsia="ru-RU" w:bidi="ru-RU"/>
              </w:rPr>
            </w:pPr>
          </w:p>
        </w:tc>
        <w:tc>
          <w:tcPr>
            <w:tcW w:w="607" w:type="pct"/>
            <w:shd w:val="clear" w:color="auto" w:fill="FFFFFF"/>
            <w:vAlign w:val="center"/>
          </w:tcPr>
          <w:p w14:paraId="3AB61150" w14:textId="77777777" w:rsidR="009A4C46" w:rsidRPr="009A4C46" w:rsidRDefault="009A4C46" w:rsidP="009A4C46">
            <w:pPr>
              <w:widowControl w:val="0"/>
              <w:spacing w:after="0" w:line="190" w:lineRule="exact"/>
              <w:jc w:val="center"/>
              <w:rPr>
                <w:rFonts w:eastAsia="Times New Roman"/>
                <w:color w:val="000000"/>
                <w:lang w:eastAsia="ru-RU" w:bidi="ru-RU"/>
              </w:rPr>
            </w:pPr>
            <w:r w:rsidRPr="009A4C46">
              <w:rPr>
                <w:rFonts w:eastAsia="Times New Roman"/>
                <w:bCs/>
                <w:color w:val="000000"/>
                <w:lang w:eastAsia="ru-RU" w:bidi="ru-RU"/>
              </w:rPr>
              <w:t>0</w:t>
            </w:r>
          </w:p>
        </w:tc>
      </w:tr>
      <w:tr w:rsidR="009A4C46" w:rsidRPr="009A4C46" w14:paraId="312B9587" w14:textId="77777777" w:rsidTr="0063188C">
        <w:trPr>
          <w:trHeight w:val="259"/>
        </w:trPr>
        <w:tc>
          <w:tcPr>
            <w:tcW w:w="188" w:type="pct"/>
            <w:shd w:val="clear" w:color="auto" w:fill="FFFFFF"/>
            <w:vAlign w:val="center"/>
          </w:tcPr>
          <w:p w14:paraId="5376FDBD" w14:textId="77777777" w:rsidR="009A4C46" w:rsidRPr="009A4C46" w:rsidRDefault="009A4C46" w:rsidP="009A4C46">
            <w:pPr>
              <w:widowControl w:val="0"/>
              <w:spacing w:after="0" w:line="190" w:lineRule="exact"/>
              <w:jc w:val="center"/>
              <w:rPr>
                <w:rFonts w:eastAsia="Times New Roman"/>
                <w:color w:val="000000"/>
                <w:lang w:eastAsia="ru-RU" w:bidi="ru-RU"/>
              </w:rPr>
            </w:pPr>
            <w:r w:rsidRPr="009A4C46">
              <w:rPr>
                <w:rFonts w:eastAsia="Times New Roman"/>
                <w:bCs/>
                <w:color w:val="000000"/>
                <w:lang w:eastAsia="ru-RU" w:bidi="ru-RU"/>
              </w:rPr>
              <w:t>4.4.</w:t>
            </w:r>
          </w:p>
        </w:tc>
        <w:tc>
          <w:tcPr>
            <w:tcW w:w="2868" w:type="pct"/>
            <w:shd w:val="clear" w:color="auto" w:fill="FFFFFF"/>
            <w:vAlign w:val="center"/>
          </w:tcPr>
          <w:p w14:paraId="16F11DE5" w14:textId="77777777" w:rsidR="009A4C46" w:rsidRPr="009A4C46" w:rsidRDefault="009A4C46" w:rsidP="009A4C46">
            <w:pPr>
              <w:widowControl w:val="0"/>
              <w:spacing w:after="0" w:line="190" w:lineRule="exact"/>
              <w:rPr>
                <w:rFonts w:eastAsia="Times New Roman"/>
                <w:color w:val="000000"/>
                <w:lang w:eastAsia="ru-RU" w:bidi="ru-RU"/>
              </w:rPr>
            </w:pPr>
            <w:r w:rsidRPr="009A4C46">
              <w:rPr>
                <w:rFonts w:eastAsia="Times New Roman"/>
                <w:bCs/>
                <w:color w:val="000000"/>
                <w:lang w:eastAsia="ru-RU" w:bidi="ru-RU"/>
              </w:rPr>
              <w:t>Корректировки 2013 года</w:t>
            </w:r>
          </w:p>
        </w:tc>
        <w:tc>
          <w:tcPr>
            <w:tcW w:w="701" w:type="pct"/>
            <w:shd w:val="clear" w:color="auto" w:fill="FFFFFF"/>
            <w:vAlign w:val="center"/>
          </w:tcPr>
          <w:p w14:paraId="3B1492B0" w14:textId="77777777" w:rsidR="009A4C46" w:rsidRPr="009A4C46" w:rsidRDefault="009A4C46" w:rsidP="009A4C46">
            <w:pPr>
              <w:widowControl w:val="0"/>
              <w:spacing w:after="0" w:line="240" w:lineRule="auto"/>
              <w:jc w:val="center"/>
              <w:rPr>
                <w:rFonts w:eastAsia="Microsoft Sans Serif" w:cs="Microsoft Sans Serif"/>
                <w:color w:val="000000"/>
                <w:lang w:eastAsia="ru-RU" w:bidi="ru-RU"/>
              </w:rPr>
            </w:pPr>
          </w:p>
        </w:tc>
        <w:tc>
          <w:tcPr>
            <w:tcW w:w="636" w:type="pct"/>
            <w:shd w:val="clear" w:color="auto" w:fill="FFFFFF"/>
            <w:vAlign w:val="center"/>
          </w:tcPr>
          <w:p w14:paraId="1F4C4221" w14:textId="77777777" w:rsidR="009A4C46" w:rsidRPr="009A4C46" w:rsidRDefault="009A4C46" w:rsidP="009A4C46">
            <w:pPr>
              <w:widowControl w:val="0"/>
              <w:spacing w:after="0" w:line="240" w:lineRule="auto"/>
              <w:jc w:val="center"/>
              <w:rPr>
                <w:rFonts w:eastAsia="Microsoft Sans Serif" w:cs="Microsoft Sans Serif"/>
                <w:color w:val="000000"/>
                <w:lang w:eastAsia="ru-RU" w:bidi="ru-RU"/>
              </w:rPr>
            </w:pPr>
          </w:p>
        </w:tc>
        <w:tc>
          <w:tcPr>
            <w:tcW w:w="607" w:type="pct"/>
            <w:shd w:val="clear" w:color="auto" w:fill="FFFFFF"/>
            <w:vAlign w:val="center"/>
          </w:tcPr>
          <w:p w14:paraId="4B91BDCF" w14:textId="77777777" w:rsidR="009A4C46" w:rsidRPr="009A4C46" w:rsidRDefault="009A4C46" w:rsidP="009A4C46">
            <w:pPr>
              <w:widowControl w:val="0"/>
              <w:spacing w:after="0" w:line="190" w:lineRule="exact"/>
              <w:jc w:val="center"/>
              <w:rPr>
                <w:rFonts w:eastAsia="Times New Roman"/>
                <w:color w:val="000000"/>
                <w:lang w:eastAsia="ru-RU" w:bidi="ru-RU"/>
              </w:rPr>
            </w:pPr>
            <w:r w:rsidRPr="009A4C46">
              <w:rPr>
                <w:rFonts w:eastAsia="Times New Roman"/>
                <w:bCs/>
                <w:color w:val="000000"/>
                <w:lang w:eastAsia="ru-RU" w:bidi="ru-RU"/>
              </w:rPr>
              <w:t>0</w:t>
            </w:r>
          </w:p>
        </w:tc>
      </w:tr>
      <w:tr w:rsidR="009A4C46" w:rsidRPr="009A4C46" w14:paraId="0AB0DD3B" w14:textId="77777777" w:rsidTr="0063188C">
        <w:trPr>
          <w:trHeight w:val="250"/>
        </w:trPr>
        <w:tc>
          <w:tcPr>
            <w:tcW w:w="188" w:type="pct"/>
            <w:shd w:val="clear" w:color="auto" w:fill="FFFFFF"/>
            <w:vAlign w:val="center"/>
          </w:tcPr>
          <w:p w14:paraId="70142206" w14:textId="77777777" w:rsidR="009A4C46" w:rsidRPr="009A4C46" w:rsidRDefault="009A4C46" w:rsidP="009A4C46">
            <w:pPr>
              <w:widowControl w:val="0"/>
              <w:spacing w:after="0" w:line="240" w:lineRule="auto"/>
              <w:jc w:val="center"/>
              <w:rPr>
                <w:rFonts w:eastAsia="Microsoft Sans Serif" w:cs="Microsoft Sans Serif"/>
                <w:color w:val="000000"/>
                <w:lang w:eastAsia="ru-RU" w:bidi="ru-RU"/>
              </w:rPr>
            </w:pPr>
          </w:p>
        </w:tc>
        <w:tc>
          <w:tcPr>
            <w:tcW w:w="2868" w:type="pct"/>
            <w:shd w:val="clear" w:color="auto" w:fill="FFFFFF"/>
            <w:vAlign w:val="center"/>
          </w:tcPr>
          <w:p w14:paraId="4F6A330B" w14:textId="77777777" w:rsidR="009A4C46" w:rsidRPr="009A4C46" w:rsidRDefault="009A4C46" w:rsidP="009A4C46">
            <w:pPr>
              <w:widowControl w:val="0"/>
              <w:spacing w:after="0" w:line="190" w:lineRule="exact"/>
              <w:rPr>
                <w:rFonts w:eastAsia="Times New Roman"/>
                <w:color w:val="000000"/>
                <w:lang w:eastAsia="ru-RU" w:bidi="ru-RU"/>
              </w:rPr>
            </w:pPr>
            <w:r w:rsidRPr="009A4C46">
              <w:rPr>
                <w:rFonts w:eastAsia="Times New Roman"/>
                <w:bCs/>
                <w:color w:val="000000"/>
                <w:lang w:eastAsia="ru-RU" w:bidi="ru-RU"/>
              </w:rPr>
              <w:t>Корректировки 2012 года</w:t>
            </w:r>
          </w:p>
        </w:tc>
        <w:tc>
          <w:tcPr>
            <w:tcW w:w="701" w:type="pct"/>
            <w:shd w:val="clear" w:color="auto" w:fill="FFFFFF"/>
            <w:vAlign w:val="center"/>
          </w:tcPr>
          <w:p w14:paraId="3835185E" w14:textId="77777777" w:rsidR="009A4C46" w:rsidRPr="009A4C46" w:rsidRDefault="009A4C46" w:rsidP="009A4C46">
            <w:pPr>
              <w:widowControl w:val="0"/>
              <w:spacing w:after="0" w:line="240" w:lineRule="auto"/>
              <w:jc w:val="center"/>
              <w:rPr>
                <w:rFonts w:eastAsia="Microsoft Sans Serif" w:cs="Microsoft Sans Serif"/>
                <w:color w:val="000000"/>
                <w:lang w:eastAsia="ru-RU" w:bidi="ru-RU"/>
              </w:rPr>
            </w:pPr>
          </w:p>
        </w:tc>
        <w:tc>
          <w:tcPr>
            <w:tcW w:w="636" w:type="pct"/>
            <w:shd w:val="clear" w:color="auto" w:fill="FFFFFF"/>
            <w:vAlign w:val="center"/>
          </w:tcPr>
          <w:p w14:paraId="67F4B326" w14:textId="77777777" w:rsidR="009A4C46" w:rsidRPr="009A4C46" w:rsidRDefault="009A4C46" w:rsidP="009A4C46">
            <w:pPr>
              <w:widowControl w:val="0"/>
              <w:spacing w:after="0" w:line="240" w:lineRule="auto"/>
              <w:jc w:val="center"/>
              <w:rPr>
                <w:rFonts w:eastAsia="Microsoft Sans Serif" w:cs="Microsoft Sans Serif"/>
                <w:color w:val="000000"/>
                <w:lang w:eastAsia="ru-RU" w:bidi="ru-RU"/>
              </w:rPr>
            </w:pPr>
          </w:p>
        </w:tc>
        <w:tc>
          <w:tcPr>
            <w:tcW w:w="607" w:type="pct"/>
            <w:shd w:val="clear" w:color="auto" w:fill="FFFFFF"/>
            <w:vAlign w:val="center"/>
          </w:tcPr>
          <w:p w14:paraId="3189B350" w14:textId="77777777" w:rsidR="009A4C46" w:rsidRPr="009A4C46" w:rsidRDefault="009A4C46" w:rsidP="009A4C46">
            <w:pPr>
              <w:widowControl w:val="0"/>
              <w:spacing w:after="0" w:line="190" w:lineRule="exact"/>
              <w:jc w:val="center"/>
              <w:rPr>
                <w:rFonts w:eastAsia="Times New Roman"/>
                <w:color w:val="000000"/>
                <w:lang w:eastAsia="ru-RU" w:bidi="ru-RU"/>
              </w:rPr>
            </w:pPr>
            <w:r w:rsidRPr="009A4C46">
              <w:rPr>
                <w:rFonts w:eastAsia="Times New Roman"/>
                <w:bCs/>
                <w:color w:val="000000"/>
                <w:lang w:eastAsia="ru-RU" w:bidi="ru-RU"/>
              </w:rPr>
              <w:t>0</w:t>
            </w:r>
          </w:p>
        </w:tc>
      </w:tr>
      <w:tr w:rsidR="009A4C46" w:rsidRPr="009A4C46" w14:paraId="76D48995" w14:textId="77777777" w:rsidTr="0063188C">
        <w:trPr>
          <w:trHeight w:val="235"/>
        </w:trPr>
        <w:tc>
          <w:tcPr>
            <w:tcW w:w="188" w:type="pct"/>
            <w:shd w:val="clear" w:color="auto" w:fill="FFFFFF"/>
            <w:vAlign w:val="center"/>
          </w:tcPr>
          <w:p w14:paraId="3E23D9C1" w14:textId="77777777" w:rsidR="009A4C46" w:rsidRPr="009A4C46" w:rsidRDefault="009A4C46" w:rsidP="009A4C46">
            <w:pPr>
              <w:widowControl w:val="0"/>
              <w:spacing w:after="0" w:line="190" w:lineRule="exact"/>
              <w:jc w:val="center"/>
              <w:rPr>
                <w:rFonts w:eastAsia="Times New Roman"/>
                <w:color w:val="000000"/>
                <w:lang w:eastAsia="ru-RU" w:bidi="ru-RU"/>
              </w:rPr>
            </w:pPr>
            <w:r w:rsidRPr="009A4C46">
              <w:rPr>
                <w:rFonts w:eastAsia="Times New Roman"/>
                <w:bCs/>
                <w:color w:val="000000"/>
                <w:lang w:eastAsia="ru-RU" w:bidi="ru-RU"/>
              </w:rPr>
              <w:t>5</w:t>
            </w:r>
          </w:p>
        </w:tc>
        <w:tc>
          <w:tcPr>
            <w:tcW w:w="2868" w:type="pct"/>
            <w:shd w:val="clear" w:color="auto" w:fill="FFFFFF"/>
            <w:vAlign w:val="center"/>
          </w:tcPr>
          <w:p w14:paraId="0065993C" w14:textId="77777777" w:rsidR="009A4C46" w:rsidRPr="009A4C46" w:rsidRDefault="009A4C46" w:rsidP="009A4C46">
            <w:pPr>
              <w:widowControl w:val="0"/>
              <w:spacing w:after="0" w:line="190" w:lineRule="exact"/>
              <w:rPr>
                <w:rFonts w:eastAsia="Times New Roman"/>
                <w:color w:val="000000"/>
                <w:lang w:eastAsia="ru-RU" w:bidi="ru-RU"/>
              </w:rPr>
            </w:pPr>
            <w:r w:rsidRPr="009A4C46">
              <w:rPr>
                <w:rFonts w:eastAsia="Times New Roman"/>
                <w:bCs/>
                <w:color w:val="000000"/>
                <w:lang w:eastAsia="ru-RU" w:bidi="ru-RU"/>
              </w:rPr>
              <w:t>Итого корректировка НВВ примененная в 2019 году (п.2.+ п.4.)</w:t>
            </w:r>
          </w:p>
        </w:tc>
        <w:tc>
          <w:tcPr>
            <w:tcW w:w="701" w:type="pct"/>
            <w:shd w:val="clear" w:color="auto" w:fill="FFFFFF"/>
            <w:vAlign w:val="center"/>
          </w:tcPr>
          <w:p w14:paraId="54B43749" w14:textId="77777777" w:rsidR="009A4C46" w:rsidRPr="009A4C46" w:rsidRDefault="009A4C46" w:rsidP="009A4C46">
            <w:pPr>
              <w:widowControl w:val="0"/>
              <w:spacing w:after="0" w:line="190" w:lineRule="exact"/>
              <w:jc w:val="center"/>
              <w:rPr>
                <w:rFonts w:eastAsia="Times New Roman"/>
                <w:color w:val="000000"/>
                <w:lang w:eastAsia="ru-RU" w:bidi="ru-RU"/>
              </w:rPr>
            </w:pPr>
            <w:r w:rsidRPr="009A4C46">
              <w:rPr>
                <w:rFonts w:eastAsia="Times New Roman"/>
                <w:bCs/>
                <w:color w:val="000000"/>
                <w:lang w:eastAsia="ru-RU" w:bidi="ru-RU"/>
              </w:rPr>
              <w:t>306 614</w:t>
            </w:r>
          </w:p>
        </w:tc>
        <w:tc>
          <w:tcPr>
            <w:tcW w:w="636" w:type="pct"/>
            <w:shd w:val="clear" w:color="auto" w:fill="FFFFFF"/>
            <w:vAlign w:val="center"/>
          </w:tcPr>
          <w:p w14:paraId="20B9D6F8" w14:textId="77777777" w:rsidR="009A4C46" w:rsidRPr="009A4C46" w:rsidRDefault="009A4C46" w:rsidP="009A4C46">
            <w:pPr>
              <w:widowControl w:val="0"/>
              <w:spacing w:after="0" w:line="190" w:lineRule="exact"/>
              <w:jc w:val="center"/>
              <w:rPr>
                <w:rFonts w:eastAsia="Times New Roman"/>
                <w:color w:val="000000"/>
                <w:lang w:eastAsia="ru-RU" w:bidi="ru-RU"/>
              </w:rPr>
            </w:pPr>
            <w:r w:rsidRPr="009A4C46">
              <w:rPr>
                <w:rFonts w:eastAsia="Times New Roman"/>
                <w:bCs/>
                <w:color w:val="000000"/>
                <w:lang w:eastAsia="ru-RU" w:bidi="ru-RU"/>
              </w:rPr>
              <w:t>52 349</w:t>
            </w:r>
          </w:p>
        </w:tc>
        <w:tc>
          <w:tcPr>
            <w:tcW w:w="607" w:type="pct"/>
            <w:shd w:val="clear" w:color="auto" w:fill="FFFFFF"/>
            <w:vAlign w:val="center"/>
          </w:tcPr>
          <w:p w14:paraId="1478BC17" w14:textId="77777777" w:rsidR="009A4C46" w:rsidRPr="009A4C46" w:rsidRDefault="009A4C46" w:rsidP="009A4C46">
            <w:pPr>
              <w:widowControl w:val="0"/>
              <w:spacing w:after="0" w:line="190" w:lineRule="exact"/>
              <w:jc w:val="center"/>
              <w:rPr>
                <w:rFonts w:eastAsia="Times New Roman"/>
                <w:color w:val="000000"/>
                <w:lang w:eastAsia="ru-RU" w:bidi="ru-RU"/>
              </w:rPr>
            </w:pPr>
            <w:r w:rsidRPr="009A4C46">
              <w:rPr>
                <w:rFonts w:eastAsia="Times New Roman"/>
                <w:bCs/>
                <w:color w:val="000000"/>
                <w:lang w:eastAsia="ru-RU" w:bidi="ru-RU"/>
              </w:rPr>
              <w:t>-254 265</w:t>
            </w:r>
          </w:p>
        </w:tc>
      </w:tr>
      <w:tr w:rsidR="009A4C46" w:rsidRPr="009A4C46" w14:paraId="320AFE61" w14:textId="77777777" w:rsidTr="0063188C">
        <w:trPr>
          <w:trHeight w:val="456"/>
        </w:trPr>
        <w:tc>
          <w:tcPr>
            <w:tcW w:w="188" w:type="pct"/>
            <w:shd w:val="clear" w:color="auto" w:fill="FFFFFF"/>
            <w:vAlign w:val="center"/>
          </w:tcPr>
          <w:p w14:paraId="52AF010E" w14:textId="77777777" w:rsidR="009A4C46" w:rsidRPr="009A4C46" w:rsidRDefault="009A4C46" w:rsidP="009A4C46">
            <w:pPr>
              <w:widowControl w:val="0"/>
              <w:spacing w:after="0" w:line="180" w:lineRule="exact"/>
              <w:jc w:val="center"/>
              <w:rPr>
                <w:rFonts w:eastAsia="Times New Roman"/>
                <w:color w:val="000000"/>
                <w:lang w:eastAsia="ru-RU" w:bidi="ru-RU"/>
              </w:rPr>
            </w:pPr>
            <w:r w:rsidRPr="009A4C46">
              <w:rPr>
                <w:rFonts w:eastAsia="Times New Roman"/>
                <w:bCs/>
                <w:i/>
                <w:iCs/>
                <w:color w:val="000000"/>
                <w:lang w:eastAsia="ru-RU" w:bidi="ru-RU"/>
              </w:rPr>
              <w:t>6</w:t>
            </w:r>
          </w:p>
        </w:tc>
        <w:tc>
          <w:tcPr>
            <w:tcW w:w="2868" w:type="pct"/>
            <w:shd w:val="clear" w:color="auto" w:fill="FFFFFF"/>
            <w:vAlign w:val="center"/>
          </w:tcPr>
          <w:p w14:paraId="1EC84D88" w14:textId="77777777" w:rsidR="009A4C46" w:rsidRPr="009A4C46" w:rsidRDefault="009A4C46" w:rsidP="009A4C46">
            <w:pPr>
              <w:widowControl w:val="0"/>
              <w:spacing w:after="0" w:line="221" w:lineRule="exact"/>
              <w:rPr>
                <w:rFonts w:eastAsia="Times New Roman"/>
                <w:color w:val="000000"/>
                <w:lang w:eastAsia="ru-RU" w:bidi="ru-RU"/>
              </w:rPr>
            </w:pPr>
            <w:r w:rsidRPr="009A4C46">
              <w:rPr>
                <w:rFonts w:eastAsia="Times New Roman"/>
                <w:bCs/>
                <w:color w:val="000000"/>
                <w:lang w:eastAsia="ru-RU" w:bidi="ru-RU"/>
              </w:rPr>
              <w:t>Величина корректировки НВВ, учтенная в предыдущих периодах регулирования</w:t>
            </w:r>
          </w:p>
        </w:tc>
        <w:tc>
          <w:tcPr>
            <w:tcW w:w="701" w:type="pct"/>
            <w:shd w:val="clear" w:color="auto" w:fill="FFFFFF"/>
            <w:vAlign w:val="center"/>
          </w:tcPr>
          <w:p w14:paraId="05530CE9" w14:textId="77777777" w:rsidR="009A4C46" w:rsidRPr="009A4C46" w:rsidRDefault="009A4C46" w:rsidP="009A4C46">
            <w:pPr>
              <w:widowControl w:val="0"/>
              <w:spacing w:after="0" w:line="190" w:lineRule="exact"/>
              <w:jc w:val="center"/>
              <w:rPr>
                <w:rFonts w:eastAsia="Times New Roman"/>
                <w:color w:val="000000"/>
                <w:lang w:eastAsia="ru-RU" w:bidi="ru-RU"/>
              </w:rPr>
            </w:pPr>
            <w:r w:rsidRPr="009A4C46">
              <w:rPr>
                <w:rFonts w:eastAsia="Times New Roman"/>
                <w:bCs/>
                <w:color w:val="000000"/>
                <w:lang w:eastAsia="ru-RU" w:bidi="ru-RU"/>
              </w:rPr>
              <w:t>155 764</w:t>
            </w:r>
          </w:p>
        </w:tc>
        <w:tc>
          <w:tcPr>
            <w:tcW w:w="636" w:type="pct"/>
            <w:shd w:val="clear" w:color="auto" w:fill="FFFFFF"/>
            <w:vAlign w:val="center"/>
          </w:tcPr>
          <w:p w14:paraId="5E230A74" w14:textId="77777777" w:rsidR="009A4C46" w:rsidRPr="009A4C46" w:rsidRDefault="009A4C46" w:rsidP="009A4C46">
            <w:pPr>
              <w:widowControl w:val="0"/>
              <w:spacing w:after="0" w:line="190" w:lineRule="exact"/>
              <w:jc w:val="center"/>
              <w:rPr>
                <w:rFonts w:eastAsia="Times New Roman"/>
                <w:color w:val="000000"/>
                <w:lang w:eastAsia="ru-RU" w:bidi="ru-RU"/>
              </w:rPr>
            </w:pPr>
            <w:r w:rsidRPr="009A4C46">
              <w:rPr>
                <w:rFonts w:eastAsia="Times New Roman"/>
                <w:bCs/>
                <w:color w:val="000000"/>
                <w:lang w:eastAsia="ru-RU" w:bidi="ru-RU"/>
              </w:rPr>
              <w:t>155 764</w:t>
            </w:r>
          </w:p>
        </w:tc>
        <w:tc>
          <w:tcPr>
            <w:tcW w:w="607" w:type="pct"/>
            <w:shd w:val="clear" w:color="auto" w:fill="FFFFFF"/>
            <w:vAlign w:val="center"/>
          </w:tcPr>
          <w:p w14:paraId="0154ECBF" w14:textId="77777777" w:rsidR="009A4C46" w:rsidRPr="009A4C46" w:rsidRDefault="009A4C46" w:rsidP="009A4C46">
            <w:pPr>
              <w:widowControl w:val="0"/>
              <w:spacing w:after="0" w:line="190" w:lineRule="exact"/>
              <w:jc w:val="center"/>
              <w:rPr>
                <w:rFonts w:eastAsia="Times New Roman"/>
                <w:color w:val="000000"/>
                <w:lang w:eastAsia="ru-RU" w:bidi="ru-RU"/>
              </w:rPr>
            </w:pPr>
            <w:r w:rsidRPr="009A4C46">
              <w:rPr>
                <w:rFonts w:eastAsia="Times New Roman"/>
                <w:bCs/>
                <w:color w:val="000000"/>
                <w:lang w:eastAsia="ru-RU" w:bidi="ru-RU"/>
              </w:rPr>
              <w:t>0</w:t>
            </w:r>
          </w:p>
        </w:tc>
      </w:tr>
      <w:tr w:rsidR="009A4C46" w:rsidRPr="009A4C46" w14:paraId="46A0EF2F" w14:textId="77777777" w:rsidTr="0063188C">
        <w:trPr>
          <w:trHeight w:val="470"/>
        </w:trPr>
        <w:tc>
          <w:tcPr>
            <w:tcW w:w="188" w:type="pct"/>
            <w:shd w:val="clear" w:color="auto" w:fill="FFFFFF"/>
            <w:vAlign w:val="center"/>
          </w:tcPr>
          <w:p w14:paraId="6ACDA268" w14:textId="77777777" w:rsidR="009A4C46" w:rsidRPr="009A4C46" w:rsidRDefault="009A4C46" w:rsidP="009A4C46">
            <w:pPr>
              <w:widowControl w:val="0"/>
              <w:spacing w:after="0" w:line="190" w:lineRule="exact"/>
              <w:jc w:val="center"/>
              <w:rPr>
                <w:rFonts w:eastAsia="Times New Roman"/>
                <w:color w:val="000000"/>
                <w:lang w:eastAsia="ru-RU" w:bidi="ru-RU"/>
              </w:rPr>
            </w:pPr>
            <w:r w:rsidRPr="009A4C46">
              <w:rPr>
                <w:rFonts w:eastAsia="Times New Roman"/>
                <w:bCs/>
                <w:color w:val="000000"/>
                <w:lang w:eastAsia="ru-RU" w:bidi="ru-RU"/>
              </w:rPr>
              <w:t>7</w:t>
            </w:r>
          </w:p>
        </w:tc>
        <w:tc>
          <w:tcPr>
            <w:tcW w:w="2868" w:type="pct"/>
            <w:shd w:val="clear" w:color="auto" w:fill="FFFFFF"/>
            <w:vAlign w:val="center"/>
          </w:tcPr>
          <w:p w14:paraId="6DDC6CF2" w14:textId="77777777" w:rsidR="009A4C46" w:rsidRPr="009A4C46" w:rsidRDefault="009A4C46" w:rsidP="009A4C46">
            <w:pPr>
              <w:widowControl w:val="0"/>
              <w:spacing w:after="0" w:line="221" w:lineRule="exact"/>
              <w:rPr>
                <w:rFonts w:eastAsia="Times New Roman"/>
                <w:color w:val="000000"/>
                <w:lang w:eastAsia="ru-RU" w:bidi="ru-RU"/>
              </w:rPr>
            </w:pPr>
            <w:r w:rsidRPr="009A4C46">
              <w:rPr>
                <w:rFonts w:eastAsia="Times New Roman"/>
                <w:bCs/>
                <w:color w:val="000000"/>
                <w:lang w:eastAsia="ru-RU" w:bidi="ru-RU"/>
              </w:rPr>
              <w:t xml:space="preserve">Величина корректировки НВВ подлежащая учету в будущих периодах регулирования (без учета ИПЦ) </w:t>
            </w:r>
          </w:p>
        </w:tc>
        <w:tc>
          <w:tcPr>
            <w:tcW w:w="701" w:type="pct"/>
            <w:shd w:val="clear" w:color="auto" w:fill="FFFFFF"/>
            <w:vAlign w:val="center"/>
          </w:tcPr>
          <w:p w14:paraId="3C4C7D92" w14:textId="77777777" w:rsidR="009A4C46" w:rsidRPr="009A4C46" w:rsidRDefault="009A4C46" w:rsidP="009A4C46">
            <w:pPr>
              <w:widowControl w:val="0"/>
              <w:spacing w:after="0" w:line="190" w:lineRule="exact"/>
              <w:jc w:val="center"/>
              <w:rPr>
                <w:rFonts w:eastAsia="Times New Roman"/>
                <w:color w:val="000000"/>
                <w:lang w:eastAsia="ru-RU" w:bidi="ru-RU"/>
              </w:rPr>
            </w:pPr>
            <w:r w:rsidRPr="009A4C46">
              <w:rPr>
                <w:rFonts w:eastAsia="Times New Roman"/>
                <w:bCs/>
                <w:color w:val="000000"/>
                <w:lang w:eastAsia="ru-RU" w:bidi="ru-RU"/>
              </w:rPr>
              <w:t>1 352 731</w:t>
            </w:r>
          </w:p>
        </w:tc>
        <w:tc>
          <w:tcPr>
            <w:tcW w:w="636" w:type="pct"/>
            <w:shd w:val="clear" w:color="auto" w:fill="FFFFFF"/>
            <w:vAlign w:val="center"/>
          </w:tcPr>
          <w:p w14:paraId="5D7A150A" w14:textId="77777777" w:rsidR="009A4C46" w:rsidRPr="009A4C46" w:rsidRDefault="009A4C46" w:rsidP="009A4C46">
            <w:pPr>
              <w:widowControl w:val="0"/>
              <w:spacing w:after="0" w:line="190" w:lineRule="exact"/>
              <w:jc w:val="center"/>
              <w:rPr>
                <w:rFonts w:eastAsia="Times New Roman"/>
                <w:color w:val="000000"/>
                <w:lang w:eastAsia="ru-RU" w:bidi="ru-RU"/>
              </w:rPr>
            </w:pPr>
            <w:r w:rsidRPr="009A4C46">
              <w:rPr>
                <w:rFonts w:eastAsia="Times New Roman"/>
                <w:bCs/>
                <w:color w:val="000000"/>
                <w:lang w:eastAsia="ru-RU" w:bidi="ru-RU"/>
              </w:rPr>
              <w:t>1 606 °95</w:t>
            </w:r>
          </w:p>
        </w:tc>
        <w:tc>
          <w:tcPr>
            <w:tcW w:w="607" w:type="pct"/>
            <w:shd w:val="clear" w:color="auto" w:fill="FFFFFF"/>
            <w:vAlign w:val="center"/>
          </w:tcPr>
          <w:p w14:paraId="2F861A05" w14:textId="77777777" w:rsidR="009A4C46" w:rsidRPr="009A4C46" w:rsidRDefault="009A4C46" w:rsidP="009A4C46">
            <w:pPr>
              <w:widowControl w:val="0"/>
              <w:spacing w:after="0" w:line="190" w:lineRule="exact"/>
              <w:jc w:val="center"/>
              <w:rPr>
                <w:rFonts w:eastAsia="Times New Roman"/>
                <w:color w:val="000000"/>
                <w:lang w:eastAsia="ru-RU" w:bidi="ru-RU"/>
              </w:rPr>
            </w:pPr>
            <w:r w:rsidRPr="009A4C46">
              <w:rPr>
                <w:rFonts w:eastAsia="Times New Roman"/>
                <w:bCs/>
                <w:color w:val="000000"/>
                <w:lang w:eastAsia="ru-RU" w:bidi="ru-RU"/>
              </w:rPr>
              <w:t>254 264</w:t>
            </w:r>
          </w:p>
        </w:tc>
      </w:tr>
    </w:tbl>
    <w:p w14:paraId="2704AED9" w14:textId="77777777" w:rsidR="009A4C46" w:rsidRPr="00F94FED" w:rsidRDefault="009A4C46" w:rsidP="00F94FED">
      <w:pPr>
        <w:autoSpaceDE w:val="0"/>
        <w:autoSpaceDN w:val="0"/>
        <w:adjustRightInd w:val="0"/>
        <w:spacing w:after="0" w:line="360" w:lineRule="auto"/>
        <w:ind w:firstLine="567"/>
        <w:jc w:val="both"/>
        <w:rPr>
          <w:rFonts w:eastAsia="Times New Roman"/>
          <w:bCs/>
          <w:sz w:val="26"/>
          <w:szCs w:val="26"/>
          <w:u w:val="single"/>
          <w:lang w:eastAsia="ru-RU"/>
        </w:rPr>
      </w:pPr>
    </w:p>
    <w:p w14:paraId="79B48D53" w14:textId="3D821330" w:rsidR="009A4C46" w:rsidRPr="004D58E8" w:rsidRDefault="004D58E8" w:rsidP="004D58E8">
      <w:pPr>
        <w:autoSpaceDE w:val="0"/>
        <w:autoSpaceDN w:val="0"/>
        <w:adjustRightInd w:val="0"/>
        <w:spacing w:after="0" w:line="360" w:lineRule="auto"/>
        <w:jc w:val="both"/>
        <w:rPr>
          <w:rFonts w:eastAsia="Times New Roman"/>
          <w:b/>
          <w:sz w:val="26"/>
          <w:szCs w:val="26"/>
          <w:lang w:eastAsia="ru-RU"/>
        </w:rPr>
      </w:pPr>
      <w:r w:rsidRPr="004D58E8">
        <w:rPr>
          <w:rFonts w:eastAsia="Times New Roman"/>
          <w:b/>
          <w:sz w:val="26"/>
          <w:szCs w:val="26"/>
          <w:lang w:eastAsia="ru-RU"/>
        </w:rPr>
        <w:t>ПОЗИЦИЯ ИСПОЛНИТЕЛЯ</w:t>
      </w:r>
    </w:p>
    <w:p w14:paraId="1E9EA8D5" w14:textId="77777777" w:rsidR="009A4C46" w:rsidRPr="00F94FED" w:rsidRDefault="009A4C46" w:rsidP="00F94FED">
      <w:pPr>
        <w:autoSpaceDE w:val="0"/>
        <w:autoSpaceDN w:val="0"/>
        <w:adjustRightInd w:val="0"/>
        <w:spacing w:after="0" w:line="360" w:lineRule="auto"/>
        <w:ind w:firstLine="567"/>
        <w:jc w:val="both"/>
        <w:rPr>
          <w:rFonts w:eastAsia="Times New Roman"/>
          <w:sz w:val="26"/>
          <w:szCs w:val="26"/>
          <w:lang w:eastAsia="ru-RU"/>
        </w:rPr>
      </w:pPr>
      <w:r w:rsidRPr="00F94FED">
        <w:rPr>
          <w:rFonts w:eastAsia="Times New Roman"/>
          <w:sz w:val="26"/>
          <w:szCs w:val="26"/>
          <w:lang w:eastAsia="ru-RU"/>
        </w:rPr>
        <w:t xml:space="preserve">Согласно требованиям пункта 7 Основ ценообразования № 1178 распределение в целях сглаживания изменения тарифов, исключаемых необоснованных доходов и расходов, выявленных в том числе по результатам проверки хозяйственной деятельности регулируемой организации, учитываемых экономически обоснованных расходов, не учтенных при установлении регулируемых цен (тарифов) на тот период регулирования, в котором они понесены, или доходов, недополученных при осуществлении регулируемой деятельности в этот период регулирования, осуществляется на период </w:t>
      </w:r>
      <w:r w:rsidRPr="00F94FED">
        <w:rPr>
          <w:rFonts w:eastAsia="Times New Roman"/>
          <w:b/>
          <w:sz w:val="26"/>
          <w:szCs w:val="26"/>
          <w:lang w:eastAsia="ru-RU"/>
        </w:rPr>
        <w:t>не более</w:t>
      </w:r>
      <w:r w:rsidRPr="00F94FED">
        <w:rPr>
          <w:rFonts w:eastAsia="Times New Roman"/>
          <w:sz w:val="26"/>
          <w:szCs w:val="26"/>
          <w:lang w:eastAsia="ru-RU"/>
        </w:rPr>
        <w:t xml:space="preserve"> 5 лет.</w:t>
      </w:r>
    </w:p>
    <w:p w14:paraId="47BFBAA3" w14:textId="77777777" w:rsidR="009A4C46" w:rsidRPr="00F94FED" w:rsidRDefault="009A4C46" w:rsidP="00F94FED">
      <w:pPr>
        <w:autoSpaceDE w:val="0"/>
        <w:autoSpaceDN w:val="0"/>
        <w:adjustRightInd w:val="0"/>
        <w:spacing w:after="0" w:line="360" w:lineRule="auto"/>
        <w:ind w:firstLine="567"/>
        <w:jc w:val="both"/>
        <w:rPr>
          <w:rFonts w:eastAsia="Times New Roman"/>
          <w:sz w:val="26"/>
          <w:szCs w:val="26"/>
          <w:lang w:eastAsia="ru-RU"/>
        </w:rPr>
      </w:pPr>
      <w:r w:rsidRPr="00F94FED">
        <w:rPr>
          <w:rFonts w:eastAsia="Times New Roman"/>
          <w:sz w:val="26"/>
          <w:szCs w:val="26"/>
          <w:lang w:eastAsia="ru-RU"/>
        </w:rPr>
        <w:t>Расчет распределения в целях сглаживания изменения тарифов</w:t>
      </w:r>
    </w:p>
    <w:p w14:paraId="2167CF17" w14:textId="77777777" w:rsidR="009A4C46" w:rsidRPr="00F94FED" w:rsidRDefault="009A4C46" w:rsidP="00F94FED">
      <w:pPr>
        <w:autoSpaceDE w:val="0"/>
        <w:autoSpaceDN w:val="0"/>
        <w:adjustRightInd w:val="0"/>
        <w:spacing w:after="0" w:line="360" w:lineRule="auto"/>
        <w:ind w:firstLine="567"/>
        <w:jc w:val="both"/>
        <w:rPr>
          <w:rFonts w:eastAsia="Times New Roman"/>
          <w:sz w:val="26"/>
          <w:szCs w:val="26"/>
          <w:lang w:eastAsia="ru-RU"/>
        </w:rPr>
      </w:pPr>
      <w:r w:rsidRPr="00F94FED">
        <w:rPr>
          <w:rFonts w:eastAsia="Times New Roman"/>
          <w:sz w:val="26"/>
          <w:szCs w:val="26"/>
          <w:lang w:eastAsia="ru-RU"/>
        </w:rPr>
        <w:t>Анализ расчетов, выполненных АО «Тываэнерго» и Службой по тарифам Республики Тыва, показал следующее.</w:t>
      </w:r>
    </w:p>
    <w:p w14:paraId="268070F6" w14:textId="4DD60B8A" w:rsidR="009A4C46" w:rsidRPr="00F94FED" w:rsidRDefault="009A4C46" w:rsidP="00F94FED">
      <w:pPr>
        <w:numPr>
          <w:ilvl w:val="0"/>
          <w:numId w:val="9"/>
        </w:numPr>
        <w:autoSpaceDE w:val="0"/>
        <w:autoSpaceDN w:val="0"/>
        <w:adjustRightInd w:val="0"/>
        <w:spacing w:after="0" w:line="360" w:lineRule="auto"/>
        <w:ind w:left="1134" w:hanging="567"/>
        <w:contextualSpacing/>
        <w:jc w:val="both"/>
        <w:rPr>
          <w:rFonts w:eastAsia="Calibri"/>
          <w:sz w:val="26"/>
          <w:szCs w:val="26"/>
        </w:rPr>
      </w:pPr>
      <w:r w:rsidRPr="00F94FED">
        <w:rPr>
          <w:rFonts w:eastAsia="Calibri"/>
          <w:sz w:val="26"/>
          <w:szCs w:val="26"/>
        </w:rPr>
        <w:t>Расчет АО «Тываэнерго» выполнен некорректно в связи с тем, что выпадающие доходы</w:t>
      </w:r>
      <w:r w:rsidR="004D58E8">
        <w:rPr>
          <w:rFonts w:eastAsia="Calibri"/>
          <w:sz w:val="26"/>
          <w:szCs w:val="26"/>
        </w:rPr>
        <w:t>,</w:t>
      </w:r>
      <w:r w:rsidRPr="00F94FED">
        <w:rPr>
          <w:rFonts w:eastAsia="Calibri"/>
          <w:sz w:val="26"/>
          <w:szCs w:val="26"/>
        </w:rPr>
        <w:t xml:space="preserve"> по которым срок перераспределения, превышает 5 лет (2012-2014 г</w:t>
      </w:r>
      <w:r w:rsidR="0059122D">
        <w:rPr>
          <w:rFonts w:eastAsia="Calibri"/>
          <w:sz w:val="26"/>
          <w:szCs w:val="26"/>
        </w:rPr>
        <w:t>оды</w:t>
      </w:r>
      <w:r w:rsidRPr="00F94FED">
        <w:rPr>
          <w:rFonts w:eastAsia="Calibri"/>
          <w:sz w:val="26"/>
          <w:szCs w:val="26"/>
        </w:rPr>
        <w:t>) не заявлен в составе НВВ на 2019 год.</w:t>
      </w:r>
    </w:p>
    <w:p w14:paraId="287A4B69" w14:textId="77777777" w:rsidR="009A4C46" w:rsidRPr="00F94FED" w:rsidRDefault="009A4C46" w:rsidP="00F94FED">
      <w:pPr>
        <w:numPr>
          <w:ilvl w:val="0"/>
          <w:numId w:val="9"/>
        </w:numPr>
        <w:autoSpaceDE w:val="0"/>
        <w:autoSpaceDN w:val="0"/>
        <w:adjustRightInd w:val="0"/>
        <w:spacing w:after="0" w:line="360" w:lineRule="auto"/>
        <w:ind w:left="1134" w:hanging="567"/>
        <w:contextualSpacing/>
        <w:jc w:val="both"/>
        <w:rPr>
          <w:rFonts w:eastAsia="Calibri"/>
          <w:sz w:val="26"/>
          <w:szCs w:val="26"/>
        </w:rPr>
      </w:pPr>
      <w:r w:rsidRPr="00F94FED">
        <w:rPr>
          <w:rFonts w:eastAsia="Calibri"/>
          <w:sz w:val="26"/>
          <w:szCs w:val="26"/>
        </w:rPr>
        <w:t>Регулирующий орган, подтвердив правильность предложения АО «Тываэнерго» по корректировке НВВ на 2019 год в сумме 306 613 тыс. руб., включил при этом в состав НВВ корректировку в размере 52 349 тыс. руб. В экспертном заключении отсутствуют пояснения Службы по тарифам Республики Тыва по распределению корректировки НВВ за 2017 года по годам долгосрочного периода регулирования.</w:t>
      </w:r>
    </w:p>
    <w:p w14:paraId="76ABBDE7" w14:textId="2B4A1071" w:rsidR="009A4C46" w:rsidRPr="00F94FED" w:rsidRDefault="009A4C46" w:rsidP="00F94FED">
      <w:pPr>
        <w:numPr>
          <w:ilvl w:val="0"/>
          <w:numId w:val="9"/>
        </w:numPr>
        <w:autoSpaceDE w:val="0"/>
        <w:autoSpaceDN w:val="0"/>
        <w:adjustRightInd w:val="0"/>
        <w:spacing w:after="0" w:line="360" w:lineRule="auto"/>
        <w:ind w:left="1134" w:hanging="567"/>
        <w:contextualSpacing/>
        <w:jc w:val="both"/>
        <w:rPr>
          <w:rFonts w:eastAsia="Calibri"/>
          <w:sz w:val="26"/>
          <w:szCs w:val="26"/>
        </w:rPr>
      </w:pPr>
      <w:r w:rsidRPr="00F94FED">
        <w:rPr>
          <w:rFonts w:eastAsia="Calibri"/>
          <w:sz w:val="26"/>
          <w:szCs w:val="26"/>
        </w:rPr>
        <w:lastRenderedPageBreak/>
        <w:t>В экспертном заключении отсутствуют пояснения Службы по тарифам Республики Тыва об учете корректировок НВВ за 2012-2013 г</w:t>
      </w:r>
      <w:r w:rsidR="00CE42C4">
        <w:rPr>
          <w:rFonts w:eastAsia="Calibri"/>
          <w:sz w:val="26"/>
          <w:szCs w:val="26"/>
        </w:rPr>
        <w:t>оды</w:t>
      </w:r>
      <w:r w:rsidRPr="00F94FED">
        <w:rPr>
          <w:rFonts w:eastAsia="Calibri"/>
          <w:sz w:val="26"/>
          <w:szCs w:val="26"/>
        </w:rPr>
        <w:t>, по которым закончился пятилетний срок перераспределения в целях сглаживания роста тарифов на услуги по передаче электрической энергии.</w:t>
      </w:r>
    </w:p>
    <w:p w14:paraId="35A1410D" w14:textId="11E3F020" w:rsidR="009A4C46" w:rsidRPr="00F94FED" w:rsidRDefault="009A4C46" w:rsidP="00F94FED">
      <w:pPr>
        <w:autoSpaceDE w:val="0"/>
        <w:autoSpaceDN w:val="0"/>
        <w:adjustRightInd w:val="0"/>
        <w:spacing w:after="0" w:line="360" w:lineRule="auto"/>
        <w:ind w:firstLine="567"/>
        <w:jc w:val="both"/>
        <w:rPr>
          <w:rFonts w:eastAsia="Times New Roman"/>
          <w:sz w:val="26"/>
          <w:szCs w:val="26"/>
          <w:lang w:eastAsia="ru-RU"/>
        </w:rPr>
      </w:pPr>
      <w:r w:rsidRPr="00F94FED">
        <w:rPr>
          <w:rFonts w:eastAsia="Times New Roman"/>
          <w:sz w:val="26"/>
          <w:szCs w:val="26"/>
          <w:lang w:eastAsia="ru-RU"/>
        </w:rPr>
        <w:t>Исполнитель отмечает, что требования п. 7 Основ ценообразования №</w:t>
      </w:r>
      <w:r w:rsidR="00CE42C4">
        <w:rPr>
          <w:rFonts w:eastAsia="Times New Roman"/>
          <w:sz w:val="26"/>
          <w:szCs w:val="26"/>
          <w:lang w:eastAsia="ru-RU"/>
        </w:rPr>
        <w:t> </w:t>
      </w:r>
      <w:r w:rsidRPr="00F94FED">
        <w:rPr>
          <w:rFonts w:eastAsia="Times New Roman"/>
          <w:sz w:val="26"/>
          <w:szCs w:val="26"/>
          <w:lang w:eastAsia="ru-RU"/>
        </w:rPr>
        <w:t xml:space="preserve">1178 о распределении исключаемых экономически необоснованных доходов и расходов, учитываемых экономически обоснованных расходов, не учтенных при установлении регулируемых цен (тарифов) на тот период регулирования, в котором они понесены, или доходов, недополученных при осуществлении регулируемой деятельности в этот период регулирования вступили в силу 23.11.2016, в связи с чем распределение корректировки НВВ за 2012-2013 </w:t>
      </w:r>
      <w:r w:rsidR="00CE42C4">
        <w:rPr>
          <w:rFonts w:eastAsia="Times New Roman"/>
          <w:sz w:val="26"/>
          <w:szCs w:val="26"/>
          <w:lang w:eastAsia="ru-RU"/>
        </w:rPr>
        <w:t>годы</w:t>
      </w:r>
      <w:r w:rsidRPr="00F94FED">
        <w:rPr>
          <w:rFonts w:eastAsia="Times New Roman"/>
          <w:sz w:val="26"/>
          <w:szCs w:val="26"/>
          <w:lang w:eastAsia="ru-RU"/>
        </w:rPr>
        <w:t xml:space="preserve"> Службой по тарифам Республики Тыва противоречат нормам законодательства, действующим на момент утверждения НВВ на 2014 и 2015 </w:t>
      </w:r>
      <w:r w:rsidR="00CE42C4">
        <w:rPr>
          <w:rFonts w:eastAsia="Times New Roman"/>
          <w:sz w:val="26"/>
          <w:szCs w:val="26"/>
          <w:lang w:eastAsia="ru-RU"/>
        </w:rPr>
        <w:t>годы.</w:t>
      </w:r>
      <w:r w:rsidRPr="00F94FED">
        <w:rPr>
          <w:rFonts w:eastAsia="Times New Roman"/>
          <w:sz w:val="26"/>
          <w:szCs w:val="26"/>
          <w:lang w:eastAsia="ru-RU"/>
        </w:rPr>
        <w:t xml:space="preserve"> Учитывая факт распределения корректировки НВВ по итогам 2012 и 2013 </w:t>
      </w:r>
      <w:r w:rsidR="00CE42C4">
        <w:rPr>
          <w:rFonts w:eastAsia="Times New Roman"/>
          <w:sz w:val="26"/>
          <w:szCs w:val="26"/>
          <w:lang w:eastAsia="ru-RU"/>
        </w:rPr>
        <w:t>годы</w:t>
      </w:r>
      <w:r w:rsidRPr="00F94FED">
        <w:rPr>
          <w:rFonts w:eastAsia="Times New Roman"/>
          <w:sz w:val="26"/>
          <w:szCs w:val="26"/>
          <w:lang w:eastAsia="ru-RU"/>
        </w:rPr>
        <w:t>, хотело бы отметить, что корректировка НВВ за 2012 год, должна была полностью учтена в НВВ на 2018 год (не более 5 лет), за 2013 год в НВВ на 2019 год. За период 2014-2019 г</w:t>
      </w:r>
      <w:r w:rsidR="00CE42C4">
        <w:rPr>
          <w:rFonts w:eastAsia="Times New Roman"/>
          <w:sz w:val="26"/>
          <w:szCs w:val="26"/>
          <w:lang w:eastAsia="ru-RU"/>
        </w:rPr>
        <w:t>оды</w:t>
      </w:r>
      <w:r w:rsidRPr="00F94FED">
        <w:rPr>
          <w:rFonts w:eastAsia="Times New Roman"/>
          <w:sz w:val="26"/>
          <w:szCs w:val="26"/>
          <w:lang w:eastAsia="ru-RU"/>
        </w:rPr>
        <w:t xml:space="preserve"> Службой по тарифам Республики Тыва учтена корректировка по итогам прошедшего периода регулирования 2012-2017 г</w:t>
      </w:r>
      <w:r w:rsidR="00CE42C4">
        <w:rPr>
          <w:rFonts w:eastAsia="Times New Roman"/>
          <w:sz w:val="26"/>
          <w:szCs w:val="26"/>
          <w:lang w:eastAsia="ru-RU"/>
        </w:rPr>
        <w:t>оды</w:t>
      </w:r>
      <w:r w:rsidRPr="00F94FED">
        <w:rPr>
          <w:rFonts w:eastAsia="Times New Roman"/>
          <w:sz w:val="26"/>
          <w:szCs w:val="26"/>
          <w:lang w:eastAsia="ru-RU"/>
        </w:rPr>
        <w:t xml:space="preserve"> в размере 208 113 тыс. руб., при этом корректировки за 2012-2017 г</w:t>
      </w:r>
      <w:r w:rsidR="00CE42C4">
        <w:rPr>
          <w:rFonts w:eastAsia="Times New Roman"/>
          <w:sz w:val="26"/>
          <w:szCs w:val="26"/>
          <w:lang w:eastAsia="ru-RU"/>
        </w:rPr>
        <w:t>оды</w:t>
      </w:r>
      <w:r w:rsidRPr="00F94FED">
        <w:rPr>
          <w:rFonts w:eastAsia="Times New Roman"/>
          <w:sz w:val="26"/>
          <w:szCs w:val="26"/>
          <w:lang w:eastAsia="ru-RU"/>
        </w:rPr>
        <w:t xml:space="preserve"> (согласно Экспертному заключению на 2019 год) составляют 1 815 108 тыс. руб., в т.ч. за период, по которым истек пятилетний срок (2012-2013 г</w:t>
      </w:r>
      <w:r w:rsidR="00CE42C4">
        <w:rPr>
          <w:rFonts w:eastAsia="Times New Roman"/>
          <w:sz w:val="26"/>
          <w:szCs w:val="26"/>
          <w:lang w:eastAsia="ru-RU"/>
        </w:rPr>
        <w:t>оды</w:t>
      </w:r>
      <w:r w:rsidRPr="00F94FED">
        <w:rPr>
          <w:rFonts w:eastAsia="Times New Roman"/>
          <w:sz w:val="26"/>
          <w:szCs w:val="26"/>
          <w:lang w:eastAsia="ru-RU"/>
        </w:rPr>
        <w:t>) – 574 588 тыс. руб., что подтверждает факт нарушения со стороны Службы по тарифам Республики Тыва требований п. 7 Основ ценообразования №1178.</w:t>
      </w:r>
    </w:p>
    <w:p w14:paraId="06496C90" w14:textId="77777777" w:rsidR="009A4C46" w:rsidRPr="00F94FED" w:rsidRDefault="009A4C46" w:rsidP="00F94FED">
      <w:pPr>
        <w:autoSpaceDE w:val="0"/>
        <w:autoSpaceDN w:val="0"/>
        <w:adjustRightInd w:val="0"/>
        <w:spacing w:after="0" w:line="360" w:lineRule="auto"/>
        <w:ind w:firstLine="567"/>
        <w:jc w:val="both"/>
        <w:rPr>
          <w:rFonts w:eastAsia="Times New Roman"/>
          <w:sz w:val="26"/>
          <w:szCs w:val="26"/>
          <w:lang w:eastAsia="ru-RU"/>
        </w:rPr>
      </w:pPr>
      <w:r w:rsidRPr="00F94FED">
        <w:rPr>
          <w:rFonts w:eastAsia="Times New Roman"/>
          <w:sz w:val="26"/>
          <w:szCs w:val="26"/>
          <w:lang w:eastAsia="ru-RU"/>
        </w:rPr>
        <w:t xml:space="preserve">Исполнителем выполнен расчет величины корректировок НВВ за прошлые периоды регулирования, обязательные к включению в НВВ на 2019 год. </w:t>
      </w:r>
    </w:p>
    <w:tbl>
      <w:tblPr>
        <w:tblW w:w="5000" w:type="pct"/>
        <w:tblLook w:val="04A0" w:firstRow="1" w:lastRow="0" w:firstColumn="1" w:lastColumn="0" w:noHBand="0" w:noVBand="1"/>
      </w:tblPr>
      <w:tblGrid>
        <w:gridCol w:w="697"/>
        <w:gridCol w:w="1564"/>
        <w:gridCol w:w="927"/>
        <w:gridCol w:w="927"/>
        <w:gridCol w:w="927"/>
        <w:gridCol w:w="927"/>
        <w:gridCol w:w="927"/>
        <w:gridCol w:w="928"/>
        <w:gridCol w:w="18"/>
        <w:gridCol w:w="1503"/>
      </w:tblGrid>
      <w:tr w:rsidR="00CE42C4" w:rsidRPr="00CE42C4" w14:paraId="38B2E393" w14:textId="77777777" w:rsidTr="004D58E8">
        <w:trPr>
          <w:trHeight w:val="630"/>
          <w:tblHeader/>
        </w:trPr>
        <w:tc>
          <w:tcPr>
            <w:tcW w:w="37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9D685D0" w14:textId="77777777" w:rsidR="009A4C46" w:rsidRPr="00F94FED" w:rsidRDefault="009A4C46" w:rsidP="009A4C46">
            <w:pPr>
              <w:spacing w:after="0" w:line="240" w:lineRule="auto"/>
              <w:jc w:val="center"/>
              <w:rPr>
                <w:rFonts w:eastAsia="Times New Roman"/>
                <w:b/>
                <w:bCs/>
                <w:color w:val="FFFFFF" w:themeColor="background1"/>
                <w:sz w:val="18"/>
                <w:szCs w:val="18"/>
                <w:lang w:eastAsia="ru-RU"/>
              </w:rPr>
            </w:pPr>
            <w:r w:rsidRPr="00F94FED">
              <w:rPr>
                <w:rFonts w:eastAsia="Times New Roman"/>
                <w:b/>
                <w:bCs/>
                <w:color w:val="FFFFFF" w:themeColor="background1"/>
                <w:sz w:val="18"/>
                <w:szCs w:val="18"/>
                <w:lang w:eastAsia="ru-RU"/>
              </w:rPr>
              <w:lastRenderedPageBreak/>
              <w:t>Год</w:t>
            </w:r>
          </w:p>
        </w:tc>
        <w:tc>
          <w:tcPr>
            <w:tcW w:w="83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5D84A90" w14:textId="77777777" w:rsidR="009A4C46" w:rsidRPr="00F94FED" w:rsidRDefault="009A4C46" w:rsidP="009A4C46">
            <w:pPr>
              <w:spacing w:after="0" w:line="240" w:lineRule="auto"/>
              <w:jc w:val="center"/>
              <w:rPr>
                <w:rFonts w:eastAsia="Times New Roman"/>
                <w:b/>
                <w:bCs/>
                <w:color w:val="FFFFFF" w:themeColor="background1"/>
                <w:sz w:val="18"/>
                <w:szCs w:val="18"/>
                <w:lang w:eastAsia="ru-RU"/>
              </w:rPr>
            </w:pPr>
            <w:r w:rsidRPr="00F94FED">
              <w:rPr>
                <w:rFonts w:eastAsia="Times New Roman"/>
                <w:b/>
                <w:bCs/>
                <w:color w:val="FFFFFF" w:themeColor="background1"/>
                <w:sz w:val="18"/>
                <w:szCs w:val="18"/>
                <w:lang w:eastAsia="ru-RU"/>
              </w:rPr>
              <w:t>Величина корректировки рассчитанная за прошлые периоды регулирования (без учета ИПЦ), тыс. руб.</w:t>
            </w:r>
          </w:p>
        </w:tc>
        <w:tc>
          <w:tcPr>
            <w:tcW w:w="2987" w:type="pct"/>
            <w:gridSpan w:val="6"/>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5B15387" w14:textId="77777777" w:rsidR="009A4C46" w:rsidRPr="00F94FED" w:rsidRDefault="009A4C46" w:rsidP="009A4C46">
            <w:pPr>
              <w:spacing w:after="0" w:line="240" w:lineRule="auto"/>
              <w:jc w:val="center"/>
              <w:rPr>
                <w:rFonts w:eastAsia="Times New Roman"/>
                <w:b/>
                <w:bCs/>
                <w:color w:val="FFFFFF" w:themeColor="background1"/>
                <w:sz w:val="18"/>
                <w:szCs w:val="18"/>
                <w:lang w:eastAsia="ru-RU"/>
              </w:rPr>
            </w:pPr>
            <w:r w:rsidRPr="00F94FED">
              <w:rPr>
                <w:rFonts w:eastAsia="Times New Roman"/>
                <w:b/>
                <w:bCs/>
                <w:color w:val="FFFFFF" w:themeColor="background1"/>
                <w:sz w:val="18"/>
                <w:szCs w:val="18"/>
                <w:lang w:eastAsia="ru-RU"/>
              </w:rPr>
              <w:t>Учтено Службой по тарифам Республики Тыва, тыс. руб.</w:t>
            </w:r>
          </w:p>
        </w:tc>
        <w:tc>
          <w:tcPr>
            <w:tcW w:w="799" w:type="pct"/>
            <w:gridSpan w:val="2"/>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EDE1405" w14:textId="77777777" w:rsidR="009A4C46" w:rsidRPr="00F94FED" w:rsidRDefault="009A4C46" w:rsidP="009A4C46">
            <w:pPr>
              <w:spacing w:after="0" w:line="240" w:lineRule="auto"/>
              <w:jc w:val="center"/>
              <w:rPr>
                <w:rFonts w:eastAsia="Times New Roman"/>
                <w:b/>
                <w:bCs/>
                <w:color w:val="FFFFFF" w:themeColor="background1"/>
                <w:sz w:val="18"/>
                <w:szCs w:val="18"/>
                <w:lang w:eastAsia="ru-RU"/>
              </w:rPr>
            </w:pPr>
            <w:r w:rsidRPr="00F94FED">
              <w:rPr>
                <w:rFonts w:eastAsia="Times New Roman"/>
                <w:b/>
                <w:bCs/>
                <w:color w:val="FFFFFF" w:themeColor="background1"/>
                <w:sz w:val="18"/>
                <w:szCs w:val="18"/>
                <w:lang w:eastAsia="ru-RU"/>
              </w:rPr>
              <w:t>Не учтенный остаток корректировки, тыс. руб.</w:t>
            </w:r>
          </w:p>
        </w:tc>
      </w:tr>
      <w:tr w:rsidR="00F94FED" w:rsidRPr="00CE42C4" w14:paraId="32FF244E" w14:textId="77777777" w:rsidTr="004D58E8">
        <w:trPr>
          <w:trHeight w:val="780"/>
          <w:tblHeader/>
        </w:trPr>
        <w:tc>
          <w:tcPr>
            <w:tcW w:w="37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1D15D7D" w14:textId="77777777" w:rsidR="009A4C46" w:rsidRPr="00F94FED" w:rsidRDefault="009A4C46" w:rsidP="009A4C46">
            <w:pPr>
              <w:spacing w:after="0" w:line="240" w:lineRule="auto"/>
              <w:jc w:val="center"/>
              <w:rPr>
                <w:rFonts w:eastAsia="Times New Roman"/>
                <w:b/>
                <w:bCs/>
                <w:color w:val="FFFFFF" w:themeColor="background1"/>
                <w:sz w:val="18"/>
                <w:szCs w:val="18"/>
                <w:lang w:eastAsia="ru-RU"/>
              </w:rPr>
            </w:pPr>
          </w:p>
        </w:tc>
        <w:tc>
          <w:tcPr>
            <w:tcW w:w="83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7FC4B25" w14:textId="77777777" w:rsidR="009A4C46" w:rsidRPr="00F94FED" w:rsidRDefault="009A4C46" w:rsidP="009A4C46">
            <w:pPr>
              <w:spacing w:after="0" w:line="240" w:lineRule="auto"/>
              <w:jc w:val="center"/>
              <w:rPr>
                <w:rFonts w:eastAsia="Times New Roman"/>
                <w:b/>
                <w:bCs/>
                <w:color w:val="FFFFFF" w:themeColor="background1"/>
                <w:sz w:val="18"/>
                <w:szCs w:val="18"/>
                <w:lang w:eastAsia="ru-RU"/>
              </w:rPr>
            </w:pPr>
          </w:p>
        </w:tc>
        <w:tc>
          <w:tcPr>
            <w:tcW w:w="49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4DB8FE6" w14:textId="77777777" w:rsidR="009A4C46" w:rsidRPr="00F94FED" w:rsidRDefault="009A4C46" w:rsidP="009A4C46">
            <w:pPr>
              <w:spacing w:after="0" w:line="240" w:lineRule="auto"/>
              <w:jc w:val="center"/>
              <w:rPr>
                <w:rFonts w:eastAsia="Times New Roman"/>
                <w:b/>
                <w:bCs/>
                <w:color w:val="FFFFFF" w:themeColor="background1"/>
                <w:sz w:val="18"/>
                <w:szCs w:val="18"/>
                <w:lang w:eastAsia="ru-RU"/>
              </w:rPr>
            </w:pPr>
            <w:r w:rsidRPr="00F94FED">
              <w:rPr>
                <w:rFonts w:eastAsia="Times New Roman"/>
                <w:b/>
                <w:bCs/>
                <w:color w:val="FFFFFF" w:themeColor="background1"/>
                <w:sz w:val="18"/>
                <w:szCs w:val="18"/>
                <w:lang w:eastAsia="ru-RU"/>
              </w:rPr>
              <w:t>2014 год</w:t>
            </w:r>
          </w:p>
        </w:tc>
        <w:tc>
          <w:tcPr>
            <w:tcW w:w="49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62C5301" w14:textId="77777777" w:rsidR="009A4C46" w:rsidRPr="00F94FED" w:rsidRDefault="009A4C46" w:rsidP="009A4C46">
            <w:pPr>
              <w:spacing w:after="0" w:line="240" w:lineRule="auto"/>
              <w:jc w:val="center"/>
              <w:rPr>
                <w:rFonts w:eastAsia="Times New Roman"/>
                <w:b/>
                <w:bCs/>
                <w:color w:val="FFFFFF" w:themeColor="background1"/>
                <w:sz w:val="18"/>
                <w:szCs w:val="18"/>
                <w:lang w:eastAsia="ru-RU"/>
              </w:rPr>
            </w:pPr>
            <w:r w:rsidRPr="00F94FED">
              <w:rPr>
                <w:rFonts w:eastAsia="Times New Roman"/>
                <w:b/>
                <w:bCs/>
                <w:color w:val="FFFFFF" w:themeColor="background1"/>
                <w:sz w:val="18"/>
                <w:szCs w:val="18"/>
                <w:lang w:eastAsia="ru-RU"/>
              </w:rPr>
              <w:t>2015 год</w:t>
            </w:r>
          </w:p>
        </w:tc>
        <w:tc>
          <w:tcPr>
            <w:tcW w:w="49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D792F25" w14:textId="77777777" w:rsidR="009A4C46" w:rsidRPr="00F94FED" w:rsidRDefault="009A4C46" w:rsidP="009A4C46">
            <w:pPr>
              <w:spacing w:after="0" w:line="240" w:lineRule="auto"/>
              <w:jc w:val="center"/>
              <w:rPr>
                <w:rFonts w:eastAsia="Times New Roman"/>
                <w:b/>
                <w:bCs/>
                <w:color w:val="FFFFFF" w:themeColor="background1"/>
                <w:sz w:val="18"/>
                <w:szCs w:val="18"/>
                <w:lang w:eastAsia="ru-RU"/>
              </w:rPr>
            </w:pPr>
            <w:r w:rsidRPr="00F94FED">
              <w:rPr>
                <w:rFonts w:eastAsia="Times New Roman"/>
                <w:b/>
                <w:bCs/>
                <w:color w:val="FFFFFF" w:themeColor="background1"/>
                <w:sz w:val="18"/>
                <w:szCs w:val="18"/>
                <w:lang w:eastAsia="ru-RU"/>
              </w:rPr>
              <w:t>2016 год</w:t>
            </w:r>
          </w:p>
        </w:tc>
        <w:tc>
          <w:tcPr>
            <w:tcW w:w="49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D1279DB" w14:textId="77777777" w:rsidR="009A4C46" w:rsidRPr="00F94FED" w:rsidRDefault="009A4C46" w:rsidP="009A4C46">
            <w:pPr>
              <w:spacing w:after="0" w:line="240" w:lineRule="auto"/>
              <w:jc w:val="center"/>
              <w:rPr>
                <w:rFonts w:eastAsia="Times New Roman"/>
                <w:b/>
                <w:bCs/>
                <w:color w:val="FFFFFF" w:themeColor="background1"/>
                <w:sz w:val="18"/>
                <w:szCs w:val="18"/>
                <w:lang w:eastAsia="ru-RU"/>
              </w:rPr>
            </w:pPr>
            <w:r w:rsidRPr="00F94FED">
              <w:rPr>
                <w:rFonts w:eastAsia="Times New Roman"/>
                <w:b/>
                <w:bCs/>
                <w:color w:val="FFFFFF" w:themeColor="background1"/>
                <w:sz w:val="18"/>
                <w:szCs w:val="18"/>
                <w:lang w:eastAsia="ru-RU"/>
              </w:rPr>
              <w:t>2017 год</w:t>
            </w:r>
          </w:p>
        </w:tc>
        <w:tc>
          <w:tcPr>
            <w:tcW w:w="49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8D9911D" w14:textId="77777777" w:rsidR="009A4C46" w:rsidRPr="00F94FED" w:rsidRDefault="009A4C46" w:rsidP="009A4C46">
            <w:pPr>
              <w:spacing w:after="0" w:line="240" w:lineRule="auto"/>
              <w:jc w:val="center"/>
              <w:rPr>
                <w:rFonts w:eastAsia="Times New Roman"/>
                <w:b/>
                <w:bCs/>
                <w:color w:val="FFFFFF" w:themeColor="background1"/>
                <w:sz w:val="18"/>
                <w:szCs w:val="18"/>
                <w:lang w:eastAsia="ru-RU"/>
              </w:rPr>
            </w:pPr>
            <w:r w:rsidRPr="00F94FED">
              <w:rPr>
                <w:rFonts w:eastAsia="Times New Roman"/>
                <w:b/>
                <w:bCs/>
                <w:color w:val="FFFFFF" w:themeColor="background1"/>
                <w:sz w:val="18"/>
                <w:szCs w:val="18"/>
                <w:lang w:eastAsia="ru-RU"/>
              </w:rPr>
              <w:t>2018 год</w:t>
            </w:r>
          </w:p>
        </w:tc>
        <w:tc>
          <w:tcPr>
            <w:tcW w:w="49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DA0D51B" w14:textId="77777777" w:rsidR="009A4C46" w:rsidRPr="00F94FED" w:rsidRDefault="009A4C46" w:rsidP="009A4C46">
            <w:pPr>
              <w:spacing w:after="0" w:line="240" w:lineRule="auto"/>
              <w:jc w:val="center"/>
              <w:rPr>
                <w:rFonts w:eastAsia="Times New Roman"/>
                <w:b/>
                <w:bCs/>
                <w:color w:val="FFFFFF" w:themeColor="background1"/>
                <w:sz w:val="18"/>
                <w:szCs w:val="18"/>
                <w:lang w:eastAsia="ru-RU"/>
              </w:rPr>
            </w:pPr>
            <w:r w:rsidRPr="00F94FED">
              <w:rPr>
                <w:rFonts w:eastAsia="Times New Roman"/>
                <w:b/>
                <w:bCs/>
                <w:color w:val="FFFFFF" w:themeColor="background1"/>
                <w:sz w:val="18"/>
                <w:szCs w:val="18"/>
                <w:lang w:eastAsia="ru-RU"/>
              </w:rPr>
              <w:t>2019 год</w:t>
            </w:r>
          </w:p>
        </w:tc>
        <w:tc>
          <w:tcPr>
            <w:tcW w:w="799" w:type="pct"/>
            <w:gridSpan w:val="2"/>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E1C6944" w14:textId="77777777" w:rsidR="009A4C46" w:rsidRPr="00F94FED" w:rsidRDefault="009A4C46" w:rsidP="009A4C46">
            <w:pPr>
              <w:spacing w:after="0" w:line="240" w:lineRule="auto"/>
              <w:rPr>
                <w:rFonts w:eastAsia="Times New Roman"/>
                <w:b/>
                <w:bCs/>
                <w:color w:val="FFFFFF" w:themeColor="background1"/>
                <w:sz w:val="18"/>
                <w:szCs w:val="18"/>
                <w:lang w:eastAsia="ru-RU"/>
              </w:rPr>
            </w:pPr>
          </w:p>
        </w:tc>
      </w:tr>
      <w:tr w:rsidR="009A4C46" w:rsidRPr="00CE42C4" w14:paraId="4113F25F" w14:textId="77777777" w:rsidTr="004D58E8">
        <w:trPr>
          <w:trHeight w:val="630"/>
        </w:trPr>
        <w:tc>
          <w:tcPr>
            <w:tcW w:w="375"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01208C92" w14:textId="77777777" w:rsidR="009A4C46" w:rsidRPr="00CE42C4" w:rsidRDefault="009A4C46" w:rsidP="00F94FED">
            <w:pPr>
              <w:spacing w:after="0" w:line="240" w:lineRule="auto"/>
              <w:jc w:val="center"/>
              <w:rPr>
                <w:rFonts w:eastAsia="Times New Roman"/>
                <w:color w:val="000000"/>
                <w:sz w:val="18"/>
                <w:szCs w:val="18"/>
                <w:lang w:eastAsia="ru-RU"/>
              </w:rPr>
            </w:pPr>
            <w:r w:rsidRPr="00CE42C4">
              <w:rPr>
                <w:rFonts w:eastAsia="Times New Roman"/>
                <w:color w:val="000000"/>
                <w:sz w:val="18"/>
                <w:szCs w:val="18"/>
                <w:lang w:eastAsia="ru-RU"/>
              </w:rPr>
              <w:t>2012 год</w:t>
            </w:r>
          </w:p>
        </w:tc>
        <w:tc>
          <w:tcPr>
            <w:tcW w:w="839" w:type="pct"/>
            <w:tcBorders>
              <w:top w:val="single" w:sz="4" w:space="0" w:color="FFFFFF" w:themeColor="background1"/>
              <w:left w:val="nil"/>
              <w:bottom w:val="single" w:sz="4" w:space="0" w:color="auto"/>
              <w:right w:val="single" w:sz="4" w:space="0" w:color="auto"/>
            </w:tcBorders>
            <w:shd w:val="clear" w:color="auto" w:fill="auto"/>
            <w:vAlign w:val="center"/>
            <w:hideMark/>
          </w:tcPr>
          <w:p w14:paraId="58BD7469" w14:textId="77777777" w:rsidR="009A4C46" w:rsidRPr="00CE42C4" w:rsidRDefault="009A4C46" w:rsidP="00F94FED">
            <w:pPr>
              <w:spacing w:after="0" w:line="240" w:lineRule="auto"/>
              <w:jc w:val="center"/>
              <w:rPr>
                <w:rFonts w:eastAsia="Times New Roman"/>
                <w:color w:val="000000"/>
                <w:sz w:val="18"/>
                <w:szCs w:val="18"/>
                <w:lang w:eastAsia="ru-RU"/>
              </w:rPr>
            </w:pPr>
            <w:r w:rsidRPr="00CE42C4">
              <w:rPr>
                <w:rFonts w:eastAsia="Times New Roman"/>
                <w:color w:val="000000"/>
                <w:sz w:val="18"/>
                <w:szCs w:val="18"/>
                <w:lang w:eastAsia="ru-RU"/>
              </w:rPr>
              <w:t>340 444</w:t>
            </w:r>
          </w:p>
        </w:tc>
        <w:tc>
          <w:tcPr>
            <w:tcW w:w="498" w:type="pct"/>
            <w:tcBorders>
              <w:top w:val="single" w:sz="4" w:space="0" w:color="FFFFFF" w:themeColor="background1"/>
              <w:left w:val="nil"/>
              <w:bottom w:val="single" w:sz="4" w:space="0" w:color="auto"/>
              <w:right w:val="single" w:sz="4" w:space="0" w:color="auto"/>
            </w:tcBorders>
            <w:shd w:val="clear" w:color="auto" w:fill="auto"/>
            <w:vAlign w:val="center"/>
            <w:hideMark/>
          </w:tcPr>
          <w:p w14:paraId="7727C2E6" w14:textId="77777777" w:rsidR="009A4C46" w:rsidRPr="00CE42C4" w:rsidRDefault="009A4C46" w:rsidP="00F94FED">
            <w:pPr>
              <w:spacing w:after="0" w:line="240" w:lineRule="auto"/>
              <w:jc w:val="center"/>
              <w:rPr>
                <w:rFonts w:eastAsia="Times New Roman"/>
                <w:color w:val="000000"/>
                <w:sz w:val="18"/>
                <w:szCs w:val="18"/>
                <w:lang w:eastAsia="ru-RU"/>
              </w:rPr>
            </w:pPr>
            <w:r w:rsidRPr="00CE42C4">
              <w:rPr>
                <w:rFonts w:eastAsia="Times New Roman"/>
                <w:color w:val="000000"/>
                <w:sz w:val="18"/>
                <w:szCs w:val="18"/>
                <w:lang w:eastAsia="ru-RU"/>
              </w:rPr>
              <w:t>21 907</w:t>
            </w:r>
          </w:p>
        </w:tc>
        <w:tc>
          <w:tcPr>
            <w:tcW w:w="498" w:type="pct"/>
            <w:tcBorders>
              <w:top w:val="single" w:sz="4" w:space="0" w:color="FFFFFF" w:themeColor="background1"/>
              <w:left w:val="nil"/>
              <w:bottom w:val="single" w:sz="4" w:space="0" w:color="auto"/>
              <w:right w:val="single" w:sz="4" w:space="0" w:color="auto"/>
            </w:tcBorders>
            <w:shd w:val="clear" w:color="auto" w:fill="auto"/>
            <w:vAlign w:val="center"/>
            <w:hideMark/>
          </w:tcPr>
          <w:p w14:paraId="4B6CE64B" w14:textId="353D4C4F" w:rsidR="009A4C46" w:rsidRPr="00CE42C4" w:rsidRDefault="009A4C46" w:rsidP="00F94FED">
            <w:pPr>
              <w:spacing w:after="0" w:line="240" w:lineRule="auto"/>
              <w:jc w:val="center"/>
              <w:rPr>
                <w:rFonts w:eastAsia="Times New Roman"/>
                <w:color w:val="000000"/>
                <w:sz w:val="18"/>
                <w:szCs w:val="18"/>
                <w:lang w:eastAsia="ru-RU"/>
              </w:rPr>
            </w:pPr>
          </w:p>
        </w:tc>
        <w:tc>
          <w:tcPr>
            <w:tcW w:w="498" w:type="pct"/>
            <w:tcBorders>
              <w:top w:val="single" w:sz="4" w:space="0" w:color="FFFFFF" w:themeColor="background1"/>
              <w:left w:val="nil"/>
              <w:bottom w:val="single" w:sz="4" w:space="0" w:color="auto"/>
              <w:right w:val="single" w:sz="4" w:space="0" w:color="auto"/>
            </w:tcBorders>
            <w:shd w:val="clear" w:color="auto" w:fill="auto"/>
            <w:vAlign w:val="center"/>
            <w:hideMark/>
          </w:tcPr>
          <w:p w14:paraId="2BCBA516" w14:textId="0BA5396F" w:rsidR="009A4C46" w:rsidRPr="00CE42C4" w:rsidRDefault="009A4C46" w:rsidP="00F94FED">
            <w:pPr>
              <w:spacing w:after="0" w:line="240" w:lineRule="auto"/>
              <w:jc w:val="center"/>
              <w:rPr>
                <w:rFonts w:eastAsia="Times New Roman"/>
                <w:color w:val="000000"/>
                <w:sz w:val="18"/>
                <w:szCs w:val="18"/>
                <w:lang w:eastAsia="ru-RU"/>
              </w:rPr>
            </w:pPr>
          </w:p>
        </w:tc>
        <w:tc>
          <w:tcPr>
            <w:tcW w:w="498" w:type="pct"/>
            <w:tcBorders>
              <w:top w:val="single" w:sz="4" w:space="0" w:color="FFFFFF" w:themeColor="background1"/>
              <w:left w:val="nil"/>
              <w:bottom w:val="single" w:sz="4" w:space="0" w:color="auto"/>
              <w:right w:val="single" w:sz="4" w:space="0" w:color="auto"/>
            </w:tcBorders>
            <w:shd w:val="clear" w:color="auto" w:fill="auto"/>
            <w:vAlign w:val="center"/>
            <w:hideMark/>
          </w:tcPr>
          <w:p w14:paraId="3E890EAA" w14:textId="5C991CC8" w:rsidR="009A4C46" w:rsidRPr="00CE42C4" w:rsidRDefault="009A4C46" w:rsidP="00F94FED">
            <w:pPr>
              <w:spacing w:after="0" w:line="240" w:lineRule="auto"/>
              <w:jc w:val="center"/>
              <w:rPr>
                <w:rFonts w:eastAsia="Times New Roman"/>
                <w:color w:val="000000"/>
                <w:sz w:val="18"/>
                <w:szCs w:val="18"/>
                <w:lang w:eastAsia="ru-RU"/>
              </w:rPr>
            </w:pPr>
          </w:p>
        </w:tc>
        <w:tc>
          <w:tcPr>
            <w:tcW w:w="498" w:type="pct"/>
            <w:tcBorders>
              <w:top w:val="single" w:sz="4" w:space="0" w:color="FFFFFF" w:themeColor="background1"/>
              <w:left w:val="nil"/>
              <w:bottom w:val="single" w:sz="4" w:space="0" w:color="auto"/>
              <w:right w:val="single" w:sz="4" w:space="0" w:color="auto"/>
            </w:tcBorders>
            <w:shd w:val="clear" w:color="auto" w:fill="auto"/>
            <w:vAlign w:val="center"/>
            <w:hideMark/>
          </w:tcPr>
          <w:p w14:paraId="2B046926" w14:textId="78F20D1A" w:rsidR="009A4C46" w:rsidRPr="00CE42C4" w:rsidRDefault="009A4C46" w:rsidP="00F94FED">
            <w:pPr>
              <w:spacing w:after="0" w:line="240" w:lineRule="auto"/>
              <w:jc w:val="center"/>
              <w:rPr>
                <w:rFonts w:eastAsia="Times New Roman"/>
                <w:color w:val="000000"/>
                <w:sz w:val="18"/>
                <w:szCs w:val="18"/>
                <w:lang w:eastAsia="ru-RU"/>
              </w:rPr>
            </w:pPr>
          </w:p>
        </w:tc>
        <w:tc>
          <w:tcPr>
            <w:tcW w:w="498" w:type="pct"/>
            <w:tcBorders>
              <w:top w:val="single" w:sz="4" w:space="0" w:color="FFFFFF" w:themeColor="background1"/>
              <w:left w:val="nil"/>
              <w:bottom w:val="single" w:sz="4" w:space="0" w:color="auto"/>
              <w:right w:val="single" w:sz="4" w:space="0" w:color="auto"/>
            </w:tcBorders>
            <w:shd w:val="clear" w:color="auto" w:fill="auto"/>
            <w:vAlign w:val="center"/>
            <w:hideMark/>
          </w:tcPr>
          <w:p w14:paraId="6342A507" w14:textId="78EDA696" w:rsidR="009A4C46" w:rsidRPr="00CE42C4" w:rsidRDefault="009A4C46" w:rsidP="00F94FED">
            <w:pPr>
              <w:spacing w:after="0" w:line="240" w:lineRule="auto"/>
              <w:jc w:val="center"/>
              <w:rPr>
                <w:rFonts w:eastAsia="Times New Roman"/>
                <w:color w:val="000000"/>
                <w:sz w:val="18"/>
                <w:szCs w:val="18"/>
                <w:lang w:eastAsia="ru-RU"/>
              </w:rPr>
            </w:pPr>
          </w:p>
        </w:tc>
        <w:tc>
          <w:tcPr>
            <w:tcW w:w="799" w:type="pct"/>
            <w:gridSpan w:val="2"/>
            <w:tcBorders>
              <w:top w:val="single" w:sz="4" w:space="0" w:color="FFFFFF" w:themeColor="background1"/>
              <w:left w:val="nil"/>
              <w:bottom w:val="single" w:sz="4" w:space="0" w:color="auto"/>
              <w:right w:val="single" w:sz="4" w:space="0" w:color="auto"/>
            </w:tcBorders>
            <w:shd w:val="clear" w:color="auto" w:fill="auto"/>
            <w:vAlign w:val="center"/>
            <w:hideMark/>
          </w:tcPr>
          <w:p w14:paraId="0EC1EFA9" w14:textId="77777777" w:rsidR="009A4C46" w:rsidRPr="00CE42C4" w:rsidRDefault="009A4C46" w:rsidP="00F94FED">
            <w:pPr>
              <w:spacing w:after="0" w:line="240" w:lineRule="auto"/>
              <w:jc w:val="center"/>
              <w:rPr>
                <w:rFonts w:eastAsia="Times New Roman"/>
                <w:color w:val="000000"/>
                <w:sz w:val="18"/>
                <w:szCs w:val="18"/>
                <w:lang w:eastAsia="ru-RU"/>
              </w:rPr>
            </w:pPr>
            <w:r w:rsidRPr="00CE42C4">
              <w:rPr>
                <w:rFonts w:eastAsia="Times New Roman"/>
                <w:color w:val="000000"/>
                <w:sz w:val="18"/>
                <w:szCs w:val="18"/>
                <w:lang w:eastAsia="ru-RU"/>
              </w:rPr>
              <w:t>318 537</w:t>
            </w:r>
          </w:p>
        </w:tc>
      </w:tr>
      <w:tr w:rsidR="009A4C46" w:rsidRPr="00CE42C4" w14:paraId="3D950563" w14:textId="77777777" w:rsidTr="00F94FED">
        <w:trPr>
          <w:trHeight w:val="630"/>
        </w:trPr>
        <w:tc>
          <w:tcPr>
            <w:tcW w:w="375" w:type="pct"/>
            <w:tcBorders>
              <w:top w:val="nil"/>
              <w:left w:val="single" w:sz="4" w:space="0" w:color="auto"/>
              <w:bottom w:val="single" w:sz="4" w:space="0" w:color="auto"/>
              <w:right w:val="single" w:sz="4" w:space="0" w:color="auto"/>
            </w:tcBorders>
            <w:shd w:val="clear" w:color="auto" w:fill="auto"/>
            <w:vAlign w:val="center"/>
            <w:hideMark/>
          </w:tcPr>
          <w:p w14:paraId="35460765" w14:textId="77777777" w:rsidR="009A4C46" w:rsidRPr="00CE42C4" w:rsidRDefault="009A4C46" w:rsidP="00F94FED">
            <w:pPr>
              <w:spacing w:after="0" w:line="240" w:lineRule="auto"/>
              <w:jc w:val="center"/>
              <w:rPr>
                <w:rFonts w:eastAsia="Times New Roman"/>
                <w:color w:val="000000"/>
                <w:sz w:val="18"/>
                <w:szCs w:val="18"/>
                <w:lang w:eastAsia="ru-RU"/>
              </w:rPr>
            </w:pPr>
            <w:r w:rsidRPr="00CE42C4">
              <w:rPr>
                <w:rFonts w:eastAsia="Times New Roman"/>
                <w:color w:val="000000"/>
                <w:sz w:val="18"/>
                <w:szCs w:val="18"/>
                <w:lang w:eastAsia="ru-RU"/>
              </w:rPr>
              <w:t>2013 год</w:t>
            </w:r>
          </w:p>
        </w:tc>
        <w:tc>
          <w:tcPr>
            <w:tcW w:w="839" w:type="pct"/>
            <w:tcBorders>
              <w:top w:val="nil"/>
              <w:left w:val="nil"/>
              <w:bottom w:val="single" w:sz="4" w:space="0" w:color="auto"/>
              <w:right w:val="single" w:sz="4" w:space="0" w:color="auto"/>
            </w:tcBorders>
            <w:shd w:val="clear" w:color="auto" w:fill="auto"/>
            <w:vAlign w:val="center"/>
            <w:hideMark/>
          </w:tcPr>
          <w:p w14:paraId="5A968236" w14:textId="77777777" w:rsidR="009A4C46" w:rsidRPr="00CE42C4" w:rsidRDefault="009A4C46" w:rsidP="00F94FED">
            <w:pPr>
              <w:spacing w:after="0" w:line="240" w:lineRule="auto"/>
              <w:jc w:val="center"/>
              <w:rPr>
                <w:rFonts w:eastAsia="Times New Roman"/>
                <w:color w:val="000000"/>
                <w:sz w:val="18"/>
                <w:szCs w:val="18"/>
                <w:lang w:eastAsia="ru-RU"/>
              </w:rPr>
            </w:pPr>
            <w:r w:rsidRPr="00CE42C4">
              <w:rPr>
                <w:rFonts w:eastAsia="Times New Roman"/>
                <w:color w:val="000000"/>
                <w:sz w:val="18"/>
                <w:szCs w:val="18"/>
                <w:lang w:eastAsia="ru-RU"/>
              </w:rPr>
              <w:t>278 791</w:t>
            </w:r>
          </w:p>
        </w:tc>
        <w:tc>
          <w:tcPr>
            <w:tcW w:w="498" w:type="pct"/>
            <w:tcBorders>
              <w:top w:val="nil"/>
              <w:left w:val="nil"/>
              <w:bottom w:val="single" w:sz="4" w:space="0" w:color="auto"/>
              <w:right w:val="single" w:sz="4" w:space="0" w:color="auto"/>
            </w:tcBorders>
            <w:shd w:val="clear" w:color="auto" w:fill="auto"/>
            <w:vAlign w:val="center"/>
            <w:hideMark/>
          </w:tcPr>
          <w:p w14:paraId="5B0E2742" w14:textId="77777777" w:rsidR="009A4C46" w:rsidRPr="00CE42C4" w:rsidRDefault="009A4C46" w:rsidP="00F94FED">
            <w:pPr>
              <w:spacing w:after="0" w:line="240" w:lineRule="auto"/>
              <w:jc w:val="center"/>
              <w:rPr>
                <w:rFonts w:eastAsia="Times New Roman"/>
                <w:color w:val="000000"/>
                <w:sz w:val="18"/>
                <w:szCs w:val="18"/>
                <w:lang w:eastAsia="ru-RU"/>
              </w:rPr>
            </w:pPr>
            <w:r w:rsidRPr="00CE42C4">
              <w:rPr>
                <w:rFonts w:eastAsia="Times New Roman"/>
                <w:color w:val="000000"/>
                <w:sz w:val="18"/>
                <w:szCs w:val="18"/>
                <w:lang w:eastAsia="ru-RU"/>
              </w:rPr>
              <w:t>0</w:t>
            </w:r>
          </w:p>
        </w:tc>
        <w:tc>
          <w:tcPr>
            <w:tcW w:w="498" w:type="pct"/>
            <w:tcBorders>
              <w:top w:val="nil"/>
              <w:left w:val="nil"/>
              <w:bottom w:val="single" w:sz="4" w:space="0" w:color="auto"/>
              <w:right w:val="single" w:sz="4" w:space="0" w:color="auto"/>
            </w:tcBorders>
            <w:shd w:val="clear" w:color="auto" w:fill="auto"/>
            <w:vAlign w:val="center"/>
            <w:hideMark/>
          </w:tcPr>
          <w:p w14:paraId="4905006B" w14:textId="77777777" w:rsidR="009A4C46" w:rsidRPr="00CE42C4" w:rsidRDefault="009A4C46" w:rsidP="00F94FED">
            <w:pPr>
              <w:spacing w:after="0" w:line="240" w:lineRule="auto"/>
              <w:jc w:val="center"/>
              <w:rPr>
                <w:rFonts w:eastAsia="Times New Roman"/>
                <w:color w:val="000000"/>
                <w:sz w:val="18"/>
                <w:szCs w:val="18"/>
                <w:lang w:eastAsia="ru-RU"/>
              </w:rPr>
            </w:pPr>
            <w:r w:rsidRPr="00CE42C4">
              <w:rPr>
                <w:rFonts w:eastAsia="Times New Roman"/>
                <w:color w:val="000000"/>
                <w:sz w:val="18"/>
                <w:szCs w:val="18"/>
                <w:lang w:eastAsia="ru-RU"/>
              </w:rPr>
              <w:t>22 740</w:t>
            </w:r>
          </w:p>
        </w:tc>
        <w:tc>
          <w:tcPr>
            <w:tcW w:w="498" w:type="pct"/>
            <w:tcBorders>
              <w:top w:val="nil"/>
              <w:left w:val="nil"/>
              <w:bottom w:val="single" w:sz="4" w:space="0" w:color="auto"/>
              <w:right w:val="single" w:sz="4" w:space="0" w:color="auto"/>
            </w:tcBorders>
            <w:shd w:val="clear" w:color="auto" w:fill="auto"/>
            <w:vAlign w:val="center"/>
            <w:hideMark/>
          </w:tcPr>
          <w:p w14:paraId="5FEDE2DC" w14:textId="501CCA58" w:rsidR="009A4C46" w:rsidRPr="00CE42C4" w:rsidRDefault="009A4C46" w:rsidP="00F94FED">
            <w:pPr>
              <w:spacing w:after="0" w:line="240" w:lineRule="auto"/>
              <w:jc w:val="center"/>
              <w:rPr>
                <w:rFonts w:eastAsia="Times New Roman"/>
                <w:color w:val="000000"/>
                <w:sz w:val="18"/>
                <w:szCs w:val="18"/>
                <w:lang w:eastAsia="ru-RU"/>
              </w:rPr>
            </w:pPr>
          </w:p>
        </w:tc>
        <w:tc>
          <w:tcPr>
            <w:tcW w:w="498" w:type="pct"/>
            <w:tcBorders>
              <w:top w:val="nil"/>
              <w:left w:val="nil"/>
              <w:bottom w:val="single" w:sz="4" w:space="0" w:color="auto"/>
              <w:right w:val="single" w:sz="4" w:space="0" w:color="auto"/>
            </w:tcBorders>
            <w:shd w:val="clear" w:color="auto" w:fill="auto"/>
            <w:vAlign w:val="center"/>
            <w:hideMark/>
          </w:tcPr>
          <w:p w14:paraId="4424F188" w14:textId="7B8B6390" w:rsidR="009A4C46" w:rsidRPr="00CE42C4" w:rsidRDefault="009A4C46" w:rsidP="00F94FED">
            <w:pPr>
              <w:spacing w:after="0" w:line="240" w:lineRule="auto"/>
              <w:jc w:val="center"/>
              <w:rPr>
                <w:rFonts w:eastAsia="Times New Roman"/>
                <w:color w:val="000000"/>
                <w:sz w:val="18"/>
                <w:szCs w:val="18"/>
                <w:lang w:eastAsia="ru-RU"/>
              </w:rPr>
            </w:pPr>
          </w:p>
        </w:tc>
        <w:tc>
          <w:tcPr>
            <w:tcW w:w="498" w:type="pct"/>
            <w:tcBorders>
              <w:top w:val="nil"/>
              <w:left w:val="nil"/>
              <w:bottom w:val="single" w:sz="4" w:space="0" w:color="auto"/>
              <w:right w:val="single" w:sz="4" w:space="0" w:color="auto"/>
            </w:tcBorders>
            <w:shd w:val="clear" w:color="auto" w:fill="auto"/>
            <w:vAlign w:val="center"/>
            <w:hideMark/>
          </w:tcPr>
          <w:p w14:paraId="5852BF8D" w14:textId="2D778419" w:rsidR="009A4C46" w:rsidRPr="00CE42C4" w:rsidRDefault="009A4C46" w:rsidP="00F94FED">
            <w:pPr>
              <w:spacing w:after="0" w:line="240" w:lineRule="auto"/>
              <w:jc w:val="center"/>
              <w:rPr>
                <w:rFonts w:eastAsia="Times New Roman"/>
                <w:color w:val="000000"/>
                <w:sz w:val="18"/>
                <w:szCs w:val="18"/>
                <w:lang w:eastAsia="ru-RU"/>
              </w:rPr>
            </w:pPr>
          </w:p>
        </w:tc>
        <w:tc>
          <w:tcPr>
            <w:tcW w:w="498" w:type="pct"/>
            <w:tcBorders>
              <w:top w:val="nil"/>
              <w:left w:val="nil"/>
              <w:bottom w:val="single" w:sz="4" w:space="0" w:color="auto"/>
              <w:right w:val="single" w:sz="4" w:space="0" w:color="auto"/>
            </w:tcBorders>
            <w:shd w:val="clear" w:color="auto" w:fill="auto"/>
            <w:vAlign w:val="center"/>
            <w:hideMark/>
          </w:tcPr>
          <w:p w14:paraId="798B798F" w14:textId="5D13856D" w:rsidR="009A4C46" w:rsidRPr="00CE42C4" w:rsidRDefault="009A4C46" w:rsidP="00F94FED">
            <w:pPr>
              <w:spacing w:after="0" w:line="240" w:lineRule="auto"/>
              <w:jc w:val="center"/>
              <w:rPr>
                <w:rFonts w:eastAsia="Times New Roman"/>
                <w:color w:val="000000"/>
                <w:sz w:val="18"/>
                <w:szCs w:val="18"/>
                <w:lang w:eastAsia="ru-RU"/>
              </w:rPr>
            </w:pPr>
          </w:p>
        </w:tc>
        <w:tc>
          <w:tcPr>
            <w:tcW w:w="799" w:type="pct"/>
            <w:gridSpan w:val="2"/>
            <w:tcBorders>
              <w:top w:val="nil"/>
              <w:left w:val="nil"/>
              <w:bottom w:val="single" w:sz="4" w:space="0" w:color="auto"/>
              <w:right w:val="single" w:sz="4" w:space="0" w:color="auto"/>
            </w:tcBorders>
            <w:shd w:val="clear" w:color="auto" w:fill="auto"/>
            <w:vAlign w:val="center"/>
            <w:hideMark/>
          </w:tcPr>
          <w:p w14:paraId="76C34E05" w14:textId="77777777" w:rsidR="009A4C46" w:rsidRPr="00CE42C4" w:rsidRDefault="009A4C46" w:rsidP="00F94FED">
            <w:pPr>
              <w:spacing w:after="0" w:line="240" w:lineRule="auto"/>
              <w:jc w:val="center"/>
              <w:rPr>
                <w:rFonts w:eastAsia="Times New Roman"/>
                <w:color w:val="000000"/>
                <w:sz w:val="18"/>
                <w:szCs w:val="18"/>
                <w:lang w:eastAsia="ru-RU"/>
              </w:rPr>
            </w:pPr>
            <w:r w:rsidRPr="00CE42C4">
              <w:rPr>
                <w:rFonts w:eastAsia="Times New Roman"/>
                <w:color w:val="000000"/>
                <w:sz w:val="18"/>
                <w:szCs w:val="18"/>
                <w:lang w:eastAsia="ru-RU"/>
              </w:rPr>
              <w:t>256 051</w:t>
            </w:r>
          </w:p>
        </w:tc>
      </w:tr>
      <w:tr w:rsidR="009A4C46" w:rsidRPr="00CE42C4" w14:paraId="7EC934CF" w14:textId="77777777" w:rsidTr="00F94FED">
        <w:trPr>
          <w:trHeight w:val="630"/>
        </w:trPr>
        <w:tc>
          <w:tcPr>
            <w:tcW w:w="375" w:type="pct"/>
            <w:tcBorders>
              <w:top w:val="nil"/>
              <w:left w:val="single" w:sz="4" w:space="0" w:color="auto"/>
              <w:bottom w:val="single" w:sz="4" w:space="0" w:color="auto"/>
              <w:right w:val="single" w:sz="4" w:space="0" w:color="auto"/>
            </w:tcBorders>
            <w:shd w:val="clear" w:color="auto" w:fill="auto"/>
            <w:vAlign w:val="center"/>
            <w:hideMark/>
          </w:tcPr>
          <w:p w14:paraId="18FC6C47" w14:textId="77777777" w:rsidR="009A4C46" w:rsidRPr="00CE42C4" w:rsidRDefault="009A4C46" w:rsidP="00F94FED">
            <w:pPr>
              <w:spacing w:after="0" w:line="240" w:lineRule="auto"/>
              <w:jc w:val="center"/>
              <w:rPr>
                <w:rFonts w:eastAsia="Times New Roman"/>
                <w:color w:val="000000"/>
                <w:sz w:val="18"/>
                <w:szCs w:val="18"/>
                <w:lang w:eastAsia="ru-RU"/>
              </w:rPr>
            </w:pPr>
            <w:r w:rsidRPr="00CE42C4">
              <w:rPr>
                <w:rFonts w:eastAsia="Times New Roman"/>
                <w:color w:val="000000"/>
                <w:sz w:val="18"/>
                <w:szCs w:val="18"/>
                <w:lang w:eastAsia="ru-RU"/>
              </w:rPr>
              <w:t>2014 год</w:t>
            </w:r>
          </w:p>
        </w:tc>
        <w:tc>
          <w:tcPr>
            <w:tcW w:w="839" w:type="pct"/>
            <w:tcBorders>
              <w:top w:val="nil"/>
              <w:left w:val="nil"/>
              <w:bottom w:val="single" w:sz="4" w:space="0" w:color="auto"/>
              <w:right w:val="single" w:sz="4" w:space="0" w:color="auto"/>
            </w:tcBorders>
            <w:shd w:val="clear" w:color="auto" w:fill="auto"/>
            <w:vAlign w:val="center"/>
            <w:hideMark/>
          </w:tcPr>
          <w:p w14:paraId="26D293F2" w14:textId="77777777" w:rsidR="009A4C46" w:rsidRPr="00CE42C4" w:rsidRDefault="009A4C46" w:rsidP="00F94FED">
            <w:pPr>
              <w:spacing w:after="0" w:line="240" w:lineRule="auto"/>
              <w:jc w:val="center"/>
              <w:rPr>
                <w:rFonts w:eastAsia="Times New Roman"/>
                <w:color w:val="000000"/>
                <w:sz w:val="18"/>
                <w:szCs w:val="18"/>
                <w:lang w:eastAsia="ru-RU"/>
              </w:rPr>
            </w:pPr>
            <w:r w:rsidRPr="00CE42C4">
              <w:rPr>
                <w:rFonts w:eastAsia="Times New Roman"/>
                <w:color w:val="000000"/>
                <w:sz w:val="18"/>
                <w:szCs w:val="18"/>
                <w:lang w:eastAsia="ru-RU"/>
              </w:rPr>
              <w:t>294 430</w:t>
            </w:r>
          </w:p>
        </w:tc>
        <w:tc>
          <w:tcPr>
            <w:tcW w:w="498" w:type="pct"/>
            <w:tcBorders>
              <w:top w:val="nil"/>
              <w:left w:val="nil"/>
              <w:bottom w:val="single" w:sz="4" w:space="0" w:color="auto"/>
              <w:right w:val="single" w:sz="4" w:space="0" w:color="auto"/>
            </w:tcBorders>
            <w:shd w:val="clear" w:color="auto" w:fill="auto"/>
            <w:vAlign w:val="center"/>
            <w:hideMark/>
          </w:tcPr>
          <w:p w14:paraId="77826E92" w14:textId="77777777" w:rsidR="009A4C46" w:rsidRPr="00CE42C4" w:rsidRDefault="009A4C46" w:rsidP="00F94FED">
            <w:pPr>
              <w:spacing w:after="0" w:line="240" w:lineRule="auto"/>
              <w:jc w:val="center"/>
              <w:rPr>
                <w:rFonts w:eastAsia="Times New Roman"/>
                <w:color w:val="000000"/>
                <w:sz w:val="18"/>
                <w:szCs w:val="18"/>
                <w:lang w:eastAsia="ru-RU"/>
              </w:rPr>
            </w:pPr>
            <w:r w:rsidRPr="00CE42C4">
              <w:rPr>
                <w:rFonts w:eastAsia="Times New Roman"/>
                <w:color w:val="000000"/>
                <w:sz w:val="18"/>
                <w:szCs w:val="18"/>
                <w:lang w:eastAsia="ru-RU"/>
              </w:rPr>
              <w:t>0</w:t>
            </w:r>
          </w:p>
        </w:tc>
        <w:tc>
          <w:tcPr>
            <w:tcW w:w="498" w:type="pct"/>
            <w:tcBorders>
              <w:top w:val="nil"/>
              <w:left w:val="nil"/>
              <w:bottom w:val="single" w:sz="4" w:space="0" w:color="auto"/>
              <w:right w:val="single" w:sz="4" w:space="0" w:color="auto"/>
            </w:tcBorders>
            <w:shd w:val="clear" w:color="auto" w:fill="auto"/>
            <w:vAlign w:val="center"/>
            <w:hideMark/>
          </w:tcPr>
          <w:p w14:paraId="61D8D810" w14:textId="50F29857" w:rsidR="009A4C46" w:rsidRPr="00CE42C4" w:rsidRDefault="009A4C46" w:rsidP="00F94FED">
            <w:pPr>
              <w:spacing w:after="0" w:line="240" w:lineRule="auto"/>
              <w:jc w:val="center"/>
              <w:rPr>
                <w:rFonts w:eastAsia="Times New Roman"/>
                <w:color w:val="000000"/>
                <w:sz w:val="18"/>
                <w:szCs w:val="18"/>
                <w:lang w:eastAsia="ru-RU"/>
              </w:rPr>
            </w:pPr>
          </w:p>
        </w:tc>
        <w:tc>
          <w:tcPr>
            <w:tcW w:w="498" w:type="pct"/>
            <w:tcBorders>
              <w:top w:val="nil"/>
              <w:left w:val="nil"/>
              <w:bottom w:val="single" w:sz="4" w:space="0" w:color="auto"/>
              <w:right w:val="single" w:sz="4" w:space="0" w:color="auto"/>
            </w:tcBorders>
            <w:shd w:val="clear" w:color="auto" w:fill="auto"/>
            <w:vAlign w:val="center"/>
            <w:hideMark/>
          </w:tcPr>
          <w:p w14:paraId="56E5D5EC" w14:textId="77777777" w:rsidR="009A4C46" w:rsidRPr="00CE42C4" w:rsidRDefault="009A4C46" w:rsidP="00F94FED">
            <w:pPr>
              <w:spacing w:after="0" w:line="240" w:lineRule="auto"/>
              <w:jc w:val="center"/>
              <w:rPr>
                <w:rFonts w:eastAsia="Times New Roman"/>
                <w:color w:val="000000"/>
                <w:sz w:val="18"/>
                <w:szCs w:val="18"/>
                <w:lang w:eastAsia="ru-RU"/>
              </w:rPr>
            </w:pPr>
            <w:r w:rsidRPr="00CE42C4">
              <w:rPr>
                <w:rFonts w:eastAsia="Times New Roman"/>
                <w:color w:val="000000"/>
                <w:sz w:val="18"/>
                <w:szCs w:val="18"/>
                <w:lang w:eastAsia="ru-RU"/>
              </w:rPr>
              <w:t>20 248</w:t>
            </w:r>
          </w:p>
        </w:tc>
        <w:tc>
          <w:tcPr>
            <w:tcW w:w="498" w:type="pct"/>
            <w:tcBorders>
              <w:top w:val="nil"/>
              <w:left w:val="nil"/>
              <w:bottom w:val="single" w:sz="4" w:space="0" w:color="auto"/>
              <w:right w:val="single" w:sz="4" w:space="0" w:color="auto"/>
            </w:tcBorders>
            <w:shd w:val="clear" w:color="auto" w:fill="auto"/>
            <w:vAlign w:val="center"/>
            <w:hideMark/>
          </w:tcPr>
          <w:p w14:paraId="4A4C9F18" w14:textId="05CB111C" w:rsidR="009A4C46" w:rsidRPr="00CE42C4" w:rsidRDefault="009A4C46" w:rsidP="00F94FED">
            <w:pPr>
              <w:spacing w:after="0" w:line="240" w:lineRule="auto"/>
              <w:jc w:val="center"/>
              <w:rPr>
                <w:rFonts w:eastAsia="Times New Roman"/>
                <w:color w:val="000000"/>
                <w:sz w:val="18"/>
                <w:szCs w:val="18"/>
                <w:lang w:eastAsia="ru-RU"/>
              </w:rPr>
            </w:pPr>
          </w:p>
        </w:tc>
        <w:tc>
          <w:tcPr>
            <w:tcW w:w="498" w:type="pct"/>
            <w:tcBorders>
              <w:top w:val="nil"/>
              <w:left w:val="nil"/>
              <w:bottom w:val="single" w:sz="4" w:space="0" w:color="auto"/>
              <w:right w:val="single" w:sz="4" w:space="0" w:color="auto"/>
            </w:tcBorders>
            <w:shd w:val="clear" w:color="auto" w:fill="auto"/>
            <w:vAlign w:val="center"/>
            <w:hideMark/>
          </w:tcPr>
          <w:p w14:paraId="788025D2" w14:textId="5A5C07EE" w:rsidR="009A4C46" w:rsidRPr="00CE42C4" w:rsidRDefault="009A4C46" w:rsidP="00F94FED">
            <w:pPr>
              <w:spacing w:after="0" w:line="240" w:lineRule="auto"/>
              <w:jc w:val="center"/>
              <w:rPr>
                <w:rFonts w:eastAsia="Times New Roman"/>
                <w:color w:val="000000"/>
                <w:sz w:val="18"/>
                <w:szCs w:val="18"/>
                <w:lang w:eastAsia="ru-RU"/>
              </w:rPr>
            </w:pPr>
          </w:p>
        </w:tc>
        <w:tc>
          <w:tcPr>
            <w:tcW w:w="498" w:type="pct"/>
            <w:tcBorders>
              <w:top w:val="nil"/>
              <w:left w:val="nil"/>
              <w:bottom w:val="single" w:sz="4" w:space="0" w:color="auto"/>
              <w:right w:val="single" w:sz="4" w:space="0" w:color="auto"/>
            </w:tcBorders>
            <w:shd w:val="clear" w:color="auto" w:fill="auto"/>
            <w:vAlign w:val="center"/>
            <w:hideMark/>
          </w:tcPr>
          <w:p w14:paraId="6737DBC7" w14:textId="17A92E79" w:rsidR="009A4C46" w:rsidRPr="00CE42C4" w:rsidRDefault="009A4C46" w:rsidP="00F94FED">
            <w:pPr>
              <w:spacing w:after="0" w:line="240" w:lineRule="auto"/>
              <w:jc w:val="center"/>
              <w:rPr>
                <w:rFonts w:eastAsia="Times New Roman"/>
                <w:color w:val="000000"/>
                <w:sz w:val="18"/>
                <w:szCs w:val="18"/>
                <w:lang w:eastAsia="ru-RU"/>
              </w:rPr>
            </w:pPr>
          </w:p>
        </w:tc>
        <w:tc>
          <w:tcPr>
            <w:tcW w:w="799" w:type="pct"/>
            <w:gridSpan w:val="2"/>
            <w:tcBorders>
              <w:top w:val="nil"/>
              <w:left w:val="nil"/>
              <w:bottom w:val="single" w:sz="4" w:space="0" w:color="auto"/>
              <w:right w:val="single" w:sz="4" w:space="0" w:color="auto"/>
            </w:tcBorders>
            <w:shd w:val="clear" w:color="auto" w:fill="auto"/>
            <w:vAlign w:val="center"/>
            <w:hideMark/>
          </w:tcPr>
          <w:p w14:paraId="64F7501C" w14:textId="77777777" w:rsidR="009A4C46" w:rsidRPr="00CE42C4" w:rsidRDefault="009A4C46" w:rsidP="00F94FED">
            <w:pPr>
              <w:spacing w:after="0" w:line="240" w:lineRule="auto"/>
              <w:jc w:val="center"/>
              <w:rPr>
                <w:rFonts w:eastAsia="Times New Roman"/>
                <w:color w:val="000000"/>
                <w:sz w:val="18"/>
                <w:szCs w:val="18"/>
                <w:lang w:eastAsia="ru-RU"/>
              </w:rPr>
            </w:pPr>
            <w:r w:rsidRPr="00CE42C4">
              <w:rPr>
                <w:rFonts w:eastAsia="Times New Roman"/>
                <w:color w:val="000000"/>
                <w:sz w:val="18"/>
                <w:szCs w:val="18"/>
                <w:lang w:eastAsia="ru-RU"/>
              </w:rPr>
              <w:t>274 182</w:t>
            </w:r>
          </w:p>
        </w:tc>
      </w:tr>
      <w:tr w:rsidR="009A4C46" w:rsidRPr="00CE42C4" w14:paraId="19A5DEE2" w14:textId="77777777" w:rsidTr="00F94FED">
        <w:trPr>
          <w:trHeight w:val="630"/>
        </w:trPr>
        <w:tc>
          <w:tcPr>
            <w:tcW w:w="375" w:type="pct"/>
            <w:tcBorders>
              <w:top w:val="nil"/>
              <w:left w:val="single" w:sz="4" w:space="0" w:color="auto"/>
              <w:bottom w:val="single" w:sz="4" w:space="0" w:color="auto"/>
              <w:right w:val="single" w:sz="4" w:space="0" w:color="auto"/>
            </w:tcBorders>
            <w:shd w:val="clear" w:color="auto" w:fill="auto"/>
            <w:vAlign w:val="center"/>
            <w:hideMark/>
          </w:tcPr>
          <w:p w14:paraId="07FBE5F5" w14:textId="77777777" w:rsidR="009A4C46" w:rsidRPr="00CE42C4" w:rsidRDefault="009A4C46" w:rsidP="00F94FED">
            <w:pPr>
              <w:spacing w:after="0" w:line="240" w:lineRule="auto"/>
              <w:jc w:val="center"/>
              <w:rPr>
                <w:rFonts w:eastAsia="Times New Roman"/>
                <w:color w:val="000000"/>
                <w:sz w:val="18"/>
                <w:szCs w:val="18"/>
                <w:lang w:eastAsia="ru-RU"/>
              </w:rPr>
            </w:pPr>
            <w:r w:rsidRPr="00CE42C4">
              <w:rPr>
                <w:rFonts w:eastAsia="Times New Roman"/>
                <w:color w:val="000000"/>
                <w:sz w:val="18"/>
                <w:szCs w:val="18"/>
                <w:lang w:eastAsia="ru-RU"/>
              </w:rPr>
              <w:t>2015 год</w:t>
            </w:r>
          </w:p>
        </w:tc>
        <w:tc>
          <w:tcPr>
            <w:tcW w:w="839" w:type="pct"/>
            <w:tcBorders>
              <w:top w:val="nil"/>
              <w:left w:val="nil"/>
              <w:bottom w:val="single" w:sz="4" w:space="0" w:color="auto"/>
              <w:right w:val="single" w:sz="4" w:space="0" w:color="auto"/>
            </w:tcBorders>
            <w:shd w:val="clear" w:color="auto" w:fill="auto"/>
            <w:vAlign w:val="center"/>
            <w:hideMark/>
          </w:tcPr>
          <w:p w14:paraId="65B1AC1D" w14:textId="77777777" w:rsidR="009A4C46" w:rsidRPr="00CE42C4" w:rsidRDefault="009A4C46" w:rsidP="00F94FED">
            <w:pPr>
              <w:spacing w:after="0" w:line="240" w:lineRule="auto"/>
              <w:jc w:val="center"/>
              <w:rPr>
                <w:rFonts w:eastAsia="Times New Roman"/>
                <w:color w:val="000000"/>
                <w:sz w:val="18"/>
                <w:szCs w:val="18"/>
                <w:lang w:eastAsia="ru-RU"/>
              </w:rPr>
            </w:pPr>
            <w:r w:rsidRPr="00CE42C4">
              <w:rPr>
                <w:rFonts w:eastAsia="Times New Roman"/>
                <w:color w:val="000000"/>
                <w:sz w:val="18"/>
                <w:szCs w:val="18"/>
                <w:lang w:eastAsia="ru-RU"/>
              </w:rPr>
              <w:t>245 889</w:t>
            </w:r>
          </w:p>
        </w:tc>
        <w:tc>
          <w:tcPr>
            <w:tcW w:w="498" w:type="pct"/>
            <w:tcBorders>
              <w:top w:val="nil"/>
              <w:left w:val="nil"/>
              <w:bottom w:val="single" w:sz="4" w:space="0" w:color="auto"/>
              <w:right w:val="single" w:sz="4" w:space="0" w:color="auto"/>
            </w:tcBorders>
            <w:shd w:val="clear" w:color="auto" w:fill="auto"/>
            <w:vAlign w:val="center"/>
            <w:hideMark/>
          </w:tcPr>
          <w:p w14:paraId="6C24B2A5" w14:textId="506898D8" w:rsidR="009A4C46" w:rsidRPr="00CE42C4" w:rsidRDefault="009A4C46" w:rsidP="00F94FED">
            <w:pPr>
              <w:spacing w:after="0" w:line="240" w:lineRule="auto"/>
              <w:jc w:val="center"/>
              <w:rPr>
                <w:rFonts w:eastAsia="Times New Roman"/>
                <w:color w:val="000000"/>
                <w:sz w:val="18"/>
                <w:szCs w:val="18"/>
                <w:lang w:eastAsia="ru-RU"/>
              </w:rPr>
            </w:pPr>
          </w:p>
        </w:tc>
        <w:tc>
          <w:tcPr>
            <w:tcW w:w="498" w:type="pct"/>
            <w:tcBorders>
              <w:top w:val="nil"/>
              <w:left w:val="nil"/>
              <w:bottom w:val="single" w:sz="4" w:space="0" w:color="auto"/>
              <w:right w:val="single" w:sz="4" w:space="0" w:color="auto"/>
            </w:tcBorders>
            <w:shd w:val="clear" w:color="auto" w:fill="auto"/>
            <w:vAlign w:val="center"/>
            <w:hideMark/>
          </w:tcPr>
          <w:p w14:paraId="56E6432D" w14:textId="57BC7BD8" w:rsidR="009A4C46" w:rsidRPr="00CE42C4" w:rsidRDefault="009A4C46" w:rsidP="00F94FED">
            <w:pPr>
              <w:spacing w:after="0" w:line="240" w:lineRule="auto"/>
              <w:jc w:val="center"/>
              <w:rPr>
                <w:rFonts w:eastAsia="Times New Roman"/>
                <w:color w:val="000000"/>
                <w:sz w:val="18"/>
                <w:szCs w:val="18"/>
                <w:lang w:eastAsia="ru-RU"/>
              </w:rPr>
            </w:pPr>
          </w:p>
        </w:tc>
        <w:tc>
          <w:tcPr>
            <w:tcW w:w="498" w:type="pct"/>
            <w:tcBorders>
              <w:top w:val="nil"/>
              <w:left w:val="nil"/>
              <w:bottom w:val="single" w:sz="4" w:space="0" w:color="auto"/>
              <w:right w:val="single" w:sz="4" w:space="0" w:color="auto"/>
            </w:tcBorders>
            <w:shd w:val="clear" w:color="auto" w:fill="auto"/>
            <w:vAlign w:val="center"/>
            <w:hideMark/>
          </w:tcPr>
          <w:p w14:paraId="5AABEA17" w14:textId="74E80474" w:rsidR="009A4C46" w:rsidRPr="00CE42C4" w:rsidRDefault="009A4C46" w:rsidP="00F94FED">
            <w:pPr>
              <w:spacing w:after="0" w:line="240" w:lineRule="auto"/>
              <w:jc w:val="center"/>
              <w:rPr>
                <w:rFonts w:eastAsia="Times New Roman"/>
                <w:color w:val="000000"/>
                <w:sz w:val="18"/>
                <w:szCs w:val="18"/>
                <w:lang w:eastAsia="ru-RU"/>
              </w:rPr>
            </w:pPr>
          </w:p>
        </w:tc>
        <w:tc>
          <w:tcPr>
            <w:tcW w:w="498" w:type="pct"/>
            <w:tcBorders>
              <w:top w:val="nil"/>
              <w:left w:val="nil"/>
              <w:bottom w:val="single" w:sz="4" w:space="0" w:color="auto"/>
              <w:right w:val="single" w:sz="4" w:space="0" w:color="auto"/>
            </w:tcBorders>
            <w:shd w:val="clear" w:color="auto" w:fill="auto"/>
            <w:vAlign w:val="center"/>
            <w:hideMark/>
          </w:tcPr>
          <w:p w14:paraId="10405EE8" w14:textId="77777777" w:rsidR="009A4C46" w:rsidRPr="00CE42C4" w:rsidRDefault="009A4C46" w:rsidP="00F94FED">
            <w:pPr>
              <w:spacing w:after="0" w:line="240" w:lineRule="auto"/>
              <w:jc w:val="center"/>
              <w:rPr>
                <w:rFonts w:eastAsia="Times New Roman"/>
                <w:color w:val="000000"/>
                <w:sz w:val="18"/>
                <w:szCs w:val="18"/>
                <w:lang w:eastAsia="ru-RU"/>
              </w:rPr>
            </w:pPr>
            <w:r w:rsidRPr="00CE42C4">
              <w:rPr>
                <w:rFonts w:eastAsia="Times New Roman"/>
                <w:color w:val="000000"/>
                <w:sz w:val="18"/>
                <w:szCs w:val="18"/>
                <w:lang w:eastAsia="ru-RU"/>
              </w:rPr>
              <w:t>42 843</w:t>
            </w:r>
          </w:p>
        </w:tc>
        <w:tc>
          <w:tcPr>
            <w:tcW w:w="498" w:type="pct"/>
            <w:tcBorders>
              <w:top w:val="nil"/>
              <w:left w:val="nil"/>
              <w:bottom w:val="single" w:sz="4" w:space="0" w:color="auto"/>
              <w:right w:val="single" w:sz="4" w:space="0" w:color="auto"/>
            </w:tcBorders>
            <w:shd w:val="clear" w:color="auto" w:fill="auto"/>
            <w:vAlign w:val="center"/>
            <w:hideMark/>
          </w:tcPr>
          <w:p w14:paraId="1085A900" w14:textId="03FFC111" w:rsidR="009A4C46" w:rsidRPr="00CE42C4" w:rsidRDefault="009A4C46" w:rsidP="00F94FED">
            <w:pPr>
              <w:spacing w:after="0" w:line="240" w:lineRule="auto"/>
              <w:jc w:val="center"/>
              <w:rPr>
                <w:rFonts w:eastAsia="Times New Roman"/>
                <w:color w:val="000000"/>
                <w:sz w:val="18"/>
                <w:szCs w:val="18"/>
                <w:lang w:eastAsia="ru-RU"/>
              </w:rPr>
            </w:pPr>
          </w:p>
        </w:tc>
        <w:tc>
          <w:tcPr>
            <w:tcW w:w="498" w:type="pct"/>
            <w:tcBorders>
              <w:top w:val="nil"/>
              <w:left w:val="nil"/>
              <w:bottom w:val="single" w:sz="4" w:space="0" w:color="auto"/>
              <w:right w:val="single" w:sz="4" w:space="0" w:color="auto"/>
            </w:tcBorders>
            <w:shd w:val="clear" w:color="auto" w:fill="auto"/>
            <w:vAlign w:val="center"/>
            <w:hideMark/>
          </w:tcPr>
          <w:p w14:paraId="72B119BF" w14:textId="059E6473" w:rsidR="009A4C46" w:rsidRPr="00CE42C4" w:rsidRDefault="009A4C46" w:rsidP="00F94FED">
            <w:pPr>
              <w:spacing w:after="0" w:line="240" w:lineRule="auto"/>
              <w:jc w:val="center"/>
              <w:rPr>
                <w:rFonts w:eastAsia="Times New Roman"/>
                <w:color w:val="000000"/>
                <w:sz w:val="18"/>
                <w:szCs w:val="18"/>
                <w:lang w:eastAsia="ru-RU"/>
              </w:rPr>
            </w:pPr>
          </w:p>
        </w:tc>
        <w:tc>
          <w:tcPr>
            <w:tcW w:w="799" w:type="pct"/>
            <w:gridSpan w:val="2"/>
            <w:tcBorders>
              <w:top w:val="nil"/>
              <w:left w:val="nil"/>
              <w:bottom w:val="single" w:sz="4" w:space="0" w:color="auto"/>
              <w:right w:val="single" w:sz="4" w:space="0" w:color="auto"/>
            </w:tcBorders>
            <w:shd w:val="clear" w:color="auto" w:fill="auto"/>
            <w:vAlign w:val="center"/>
            <w:hideMark/>
          </w:tcPr>
          <w:p w14:paraId="0F35AFCC" w14:textId="77777777" w:rsidR="009A4C46" w:rsidRPr="00CE42C4" w:rsidRDefault="009A4C46" w:rsidP="00F94FED">
            <w:pPr>
              <w:spacing w:after="0" w:line="240" w:lineRule="auto"/>
              <w:jc w:val="center"/>
              <w:rPr>
                <w:rFonts w:eastAsia="Times New Roman"/>
                <w:color w:val="000000"/>
                <w:sz w:val="18"/>
                <w:szCs w:val="18"/>
                <w:lang w:eastAsia="ru-RU"/>
              </w:rPr>
            </w:pPr>
            <w:r w:rsidRPr="00CE42C4">
              <w:rPr>
                <w:rFonts w:eastAsia="Times New Roman"/>
                <w:color w:val="000000"/>
                <w:sz w:val="18"/>
                <w:szCs w:val="18"/>
                <w:lang w:eastAsia="ru-RU"/>
              </w:rPr>
              <w:t>203 046</w:t>
            </w:r>
          </w:p>
        </w:tc>
      </w:tr>
      <w:tr w:rsidR="009A4C46" w:rsidRPr="00CE42C4" w14:paraId="01750728" w14:textId="77777777" w:rsidTr="00F94FED">
        <w:trPr>
          <w:trHeight w:val="630"/>
        </w:trPr>
        <w:tc>
          <w:tcPr>
            <w:tcW w:w="375" w:type="pct"/>
            <w:tcBorders>
              <w:top w:val="nil"/>
              <w:left w:val="single" w:sz="4" w:space="0" w:color="auto"/>
              <w:bottom w:val="single" w:sz="4" w:space="0" w:color="auto"/>
              <w:right w:val="single" w:sz="4" w:space="0" w:color="auto"/>
            </w:tcBorders>
            <w:shd w:val="clear" w:color="auto" w:fill="auto"/>
            <w:vAlign w:val="center"/>
            <w:hideMark/>
          </w:tcPr>
          <w:p w14:paraId="0B64394E" w14:textId="77777777" w:rsidR="009A4C46" w:rsidRPr="00CE42C4" w:rsidRDefault="009A4C46" w:rsidP="00F94FED">
            <w:pPr>
              <w:spacing w:after="0" w:line="240" w:lineRule="auto"/>
              <w:jc w:val="center"/>
              <w:rPr>
                <w:rFonts w:eastAsia="Times New Roman"/>
                <w:color w:val="000000"/>
                <w:sz w:val="18"/>
                <w:szCs w:val="18"/>
                <w:lang w:eastAsia="ru-RU"/>
              </w:rPr>
            </w:pPr>
            <w:r w:rsidRPr="00CE42C4">
              <w:rPr>
                <w:rFonts w:eastAsia="Times New Roman"/>
                <w:color w:val="000000"/>
                <w:sz w:val="18"/>
                <w:szCs w:val="18"/>
                <w:lang w:eastAsia="ru-RU"/>
              </w:rPr>
              <w:t>2016 год</w:t>
            </w:r>
          </w:p>
        </w:tc>
        <w:tc>
          <w:tcPr>
            <w:tcW w:w="839" w:type="pct"/>
            <w:tcBorders>
              <w:top w:val="nil"/>
              <w:left w:val="nil"/>
              <w:bottom w:val="single" w:sz="4" w:space="0" w:color="auto"/>
              <w:right w:val="single" w:sz="4" w:space="0" w:color="auto"/>
            </w:tcBorders>
            <w:shd w:val="clear" w:color="auto" w:fill="auto"/>
            <w:vAlign w:val="center"/>
            <w:hideMark/>
          </w:tcPr>
          <w:p w14:paraId="1EF71777" w14:textId="77777777" w:rsidR="009A4C46" w:rsidRPr="00CE42C4" w:rsidRDefault="009A4C46" w:rsidP="00F94FED">
            <w:pPr>
              <w:spacing w:after="0" w:line="240" w:lineRule="auto"/>
              <w:jc w:val="center"/>
              <w:rPr>
                <w:rFonts w:eastAsia="Times New Roman"/>
                <w:color w:val="000000"/>
                <w:sz w:val="18"/>
                <w:szCs w:val="18"/>
                <w:lang w:eastAsia="ru-RU"/>
              </w:rPr>
            </w:pPr>
            <w:r w:rsidRPr="00CE42C4">
              <w:rPr>
                <w:rFonts w:eastAsia="Times New Roman"/>
                <w:color w:val="000000"/>
                <w:sz w:val="18"/>
                <w:szCs w:val="18"/>
                <w:lang w:eastAsia="ru-RU"/>
              </w:rPr>
              <w:t>348 942</w:t>
            </w:r>
          </w:p>
        </w:tc>
        <w:tc>
          <w:tcPr>
            <w:tcW w:w="498" w:type="pct"/>
            <w:tcBorders>
              <w:top w:val="nil"/>
              <w:left w:val="nil"/>
              <w:bottom w:val="single" w:sz="4" w:space="0" w:color="auto"/>
              <w:right w:val="single" w:sz="4" w:space="0" w:color="auto"/>
            </w:tcBorders>
            <w:shd w:val="clear" w:color="auto" w:fill="auto"/>
            <w:vAlign w:val="center"/>
            <w:hideMark/>
          </w:tcPr>
          <w:p w14:paraId="084BF791" w14:textId="288036E4" w:rsidR="009A4C46" w:rsidRPr="00CE42C4" w:rsidRDefault="009A4C46" w:rsidP="00F94FED">
            <w:pPr>
              <w:spacing w:after="0" w:line="240" w:lineRule="auto"/>
              <w:jc w:val="center"/>
              <w:rPr>
                <w:rFonts w:eastAsia="Times New Roman"/>
                <w:color w:val="000000"/>
                <w:sz w:val="18"/>
                <w:szCs w:val="18"/>
                <w:lang w:eastAsia="ru-RU"/>
              </w:rPr>
            </w:pPr>
          </w:p>
        </w:tc>
        <w:tc>
          <w:tcPr>
            <w:tcW w:w="498" w:type="pct"/>
            <w:tcBorders>
              <w:top w:val="nil"/>
              <w:left w:val="nil"/>
              <w:bottom w:val="single" w:sz="4" w:space="0" w:color="auto"/>
              <w:right w:val="single" w:sz="4" w:space="0" w:color="auto"/>
            </w:tcBorders>
            <w:shd w:val="clear" w:color="auto" w:fill="auto"/>
            <w:vAlign w:val="center"/>
            <w:hideMark/>
          </w:tcPr>
          <w:p w14:paraId="65652627" w14:textId="59C69B9F" w:rsidR="009A4C46" w:rsidRPr="00CE42C4" w:rsidRDefault="009A4C46" w:rsidP="00F94FED">
            <w:pPr>
              <w:spacing w:after="0" w:line="240" w:lineRule="auto"/>
              <w:jc w:val="center"/>
              <w:rPr>
                <w:rFonts w:eastAsia="Times New Roman"/>
                <w:color w:val="000000"/>
                <w:sz w:val="18"/>
                <w:szCs w:val="18"/>
                <w:lang w:eastAsia="ru-RU"/>
              </w:rPr>
            </w:pPr>
          </w:p>
        </w:tc>
        <w:tc>
          <w:tcPr>
            <w:tcW w:w="498" w:type="pct"/>
            <w:tcBorders>
              <w:top w:val="nil"/>
              <w:left w:val="nil"/>
              <w:bottom w:val="single" w:sz="4" w:space="0" w:color="auto"/>
              <w:right w:val="single" w:sz="4" w:space="0" w:color="auto"/>
            </w:tcBorders>
            <w:shd w:val="clear" w:color="auto" w:fill="auto"/>
            <w:vAlign w:val="center"/>
            <w:hideMark/>
          </w:tcPr>
          <w:p w14:paraId="74759403" w14:textId="334D17F3" w:rsidR="009A4C46" w:rsidRPr="00CE42C4" w:rsidRDefault="009A4C46" w:rsidP="00F94FED">
            <w:pPr>
              <w:spacing w:after="0" w:line="240" w:lineRule="auto"/>
              <w:jc w:val="center"/>
              <w:rPr>
                <w:rFonts w:eastAsia="Times New Roman"/>
                <w:color w:val="000000"/>
                <w:sz w:val="18"/>
                <w:szCs w:val="18"/>
                <w:lang w:eastAsia="ru-RU"/>
              </w:rPr>
            </w:pPr>
          </w:p>
        </w:tc>
        <w:tc>
          <w:tcPr>
            <w:tcW w:w="498" w:type="pct"/>
            <w:tcBorders>
              <w:top w:val="nil"/>
              <w:left w:val="nil"/>
              <w:bottom w:val="single" w:sz="4" w:space="0" w:color="auto"/>
              <w:right w:val="single" w:sz="4" w:space="0" w:color="auto"/>
            </w:tcBorders>
            <w:shd w:val="clear" w:color="auto" w:fill="auto"/>
            <w:vAlign w:val="center"/>
            <w:hideMark/>
          </w:tcPr>
          <w:p w14:paraId="5DBC1BDE" w14:textId="2F9CA26A" w:rsidR="009A4C46" w:rsidRPr="00CE42C4" w:rsidRDefault="009A4C46" w:rsidP="00F94FED">
            <w:pPr>
              <w:spacing w:after="0" w:line="240" w:lineRule="auto"/>
              <w:jc w:val="center"/>
              <w:rPr>
                <w:rFonts w:eastAsia="Times New Roman"/>
                <w:color w:val="000000"/>
                <w:sz w:val="18"/>
                <w:szCs w:val="18"/>
                <w:lang w:eastAsia="ru-RU"/>
              </w:rPr>
            </w:pPr>
          </w:p>
        </w:tc>
        <w:tc>
          <w:tcPr>
            <w:tcW w:w="498" w:type="pct"/>
            <w:tcBorders>
              <w:top w:val="nil"/>
              <w:left w:val="nil"/>
              <w:bottom w:val="single" w:sz="4" w:space="0" w:color="auto"/>
              <w:right w:val="single" w:sz="4" w:space="0" w:color="auto"/>
            </w:tcBorders>
            <w:shd w:val="clear" w:color="auto" w:fill="auto"/>
            <w:vAlign w:val="center"/>
            <w:hideMark/>
          </w:tcPr>
          <w:p w14:paraId="1485F954" w14:textId="77777777" w:rsidR="009A4C46" w:rsidRPr="00CE42C4" w:rsidRDefault="009A4C46" w:rsidP="00F94FED">
            <w:pPr>
              <w:spacing w:after="0" w:line="240" w:lineRule="auto"/>
              <w:jc w:val="center"/>
              <w:rPr>
                <w:rFonts w:eastAsia="Times New Roman"/>
                <w:color w:val="000000"/>
                <w:sz w:val="18"/>
                <w:szCs w:val="18"/>
                <w:lang w:eastAsia="ru-RU"/>
              </w:rPr>
            </w:pPr>
            <w:r w:rsidRPr="00CE42C4">
              <w:rPr>
                <w:rFonts w:eastAsia="Times New Roman"/>
                <w:color w:val="000000"/>
                <w:sz w:val="18"/>
                <w:szCs w:val="18"/>
                <w:lang w:eastAsia="ru-RU"/>
              </w:rPr>
              <w:t>48 026</w:t>
            </w:r>
          </w:p>
        </w:tc>
        <w:tc>
          <w:tcPr>
            <w:tcW w:w="498" w:type="pct"/>
            <w:tcBorders>
              <w:top w:val="nil"/>
              <w:left w:val="nil"/>
              <w:bottom w:val="single" w:sz="4" w:space="0" w:color="auto"/>
              <w:right w:val="single" w:sz="4" w:space="0" w:color="auto"/>
            </w:tcBorders>
            <w:shd w:val="clear" w:color="auto" w:fill="auto"/>
            <w:vAlign w:val="center"/>
            <w:hideMark/>
          </w:tcPr>
          <w:p w14:paraId="72BAD1A5" w14:textId="270F8DE2" w:rsidR="009A4C46" w:rsidRPr="00CE42C4" w:rsidRDefault="009A4C46" w:rsidP="00F94FED">
            <w:pPr>
              <w:spacing w:after="0" w:line="240" w:lineRule="auto"/>
              <w:jc w:val="center"/>
              <w:rPr>
                <w:rFonts w:eastAsia="Times New Roman"/>
                <w:color w:val="000000"/>
                <w:sz w:val="18"/>
                <w:szCs w:val="18"/>
                <w:lang w:eastAsia="ru-RU"/>
              </w:rPr>
            </w:pPr>
          </w:p>
        </w:tc>
        <w:tc>
          <w:tcPr>
            <w:tcW w:w="799" w:type="pct"/>
            <w:gridSpan w:val="2"/>
            <w:tcBorders>
              <w:top w:val="nil"/>
              <w:left w:val="nil"/>
              <w:bottom w:val="single" w:sz="4" w:space="0" w:color="auto"/>
              <w:right w:val="single" w:sz="4" w:space="0" w:color="auto"/>
            </w:tcBorders>
            <w:shd w:val="clear" w:color="auto" w:fill="auto"/>
            <w:vAlign w:val="center"/>
            <w:hideMark/>
          </w:tcPr>
          <w:p w14:paraId="0409A7BF" w14:textId="77777777" w:rsidR="009A4C46" w:rsidRPr="00CE42C4" w:rsidRDefault="009A4C46" w:rsidP="00F94FED">
            <w:pPr>
              <w:spacing w:after="0" w:line="240" w:lineRule="auto"/>
              <w:jc w:val="center"/>
              <w:rPr>
                <w:rFonts w:eastAsia="Times New Roman"/>
                <w:color w:val="000000"/>
                <w:sz w:val="18"/>
                <w:szCs w:val="18"/>
                <w:lang w:eastAsia="ru-RU"/>
              </w:rPr>
            </w:pPr>
            <w:r w:rsidRPr="00CE42C4">
              <w:rPr>
                <w:rFonts w:eastAsia="Times New Roman"/>
                <w:color w:val="000000"/>
                <w:sz w:val="18"/>
                <w:szCs w:val="18"/>
                <w:lang w:eastAsia="ru-RU"/>
              </w:rPr>
              <w:t>300 916</w:t>
            </w:r>
          </w:p>
        </w:tc>
      </w:tr>
      <w:tr w:rsidR="009A4C46" w:rsidRPr="00CE42C4" w14:paraId="68A5993A" w14:textId="77777777" w:rsidTr="00F94FED">
        <w:trPr>
          <w:trHeight w:val="630"/>
        </w:trPr>
        <w:tc>
          <w:tcPr>
            <w:tcW w:w="375" w:type="pct"/>
            <w:tcBorders>
              <w:top w:val="nil"/>
              <w:left w:val="single" w:sz="4" w:space="0" w:color="auto"/>
              <w:bottom w:val="single" w:sz="4" w:space="0" w:color="auto"/>
              <w:right w:val="single" w:sz="4" w:space="0" w:color="auto"/>
            </w:tcBorders>
            <w:shd w:val="clear" w:color="auto" w:fill="auto"/>
            <w:vAlign w:val="center"/>
            <w:hideMark/>
          </w:tcPr>
          <w:p w14:paraId="01A048ED" w14:textId="77777777" w:rsidR="009A4C46" w:rsidRPr="00CE42C4" w:rsidRDefault="009A4C46" w:rsidP="00F94FED">
            <w:pPr>
              <w:spacing w:after="0" w:line="240" w:lineRule="auto"/>
              <w:jc w:val="center"/>
              <w:rPr>
                <w:rFonts w:eastAsia="Times New Roman"/>
                <w:color w:val="000000"/>
                <w:sz w:val="18"/>
                <w:szCs w:val="18"/>
                <w:lang w:eastAsia="ru-RU"/>
              </w:rPr>
            </w:pPr>
            <w:r w:rsidRPr="00CE42C4">
              <w:rPr>
                <w:rFonts w:eastAsia="Times New Roman"/>
                <w:color w:val="000000"/>
                <w:sz w:val="18"/>
                <w:szCs w:val="18"/>
                <w:lang w:eastAsia="ru-RU"/>
              </w:rPr>
              <w:t>2017 год</w:t>
            </w:r>
          </w:p>
        </w:tc>
        <w:tc>
          <w:tcPr>
            <w:tcW w:w="839" w:type="pct"/>
            <w:tcBorders>
              <w:top w:val="nil"/>
              <w:left w:val="nil"/>
              <w:bottom w:val="single" w:sz="4" w:space="0" w:color="auto"/>
              <w:right w:val="single" w:sz="4" w:space="0" w:color="auto"/>
            </w:tcBorders>
            <w:shd w:val="clear" w:color="auto" w:fill="auto"/>
            <w:vAlign w:val="center"/>
            <w:hideMark/>
          </w:tcPr>
          <w:p w14:paraId="7D1A52D5" w14:textId="77777777" w:rsidR="009A4C46" w:rsidRPr="00CE42C4" w:rsidRDefault="009A4C46" w:rsidP="00F94FED">
            <w:pPr>
              <w:spacing w:after="0" w:line="240" w:lineRule="auto"/>
              <w:jc w:val="center"/>
              <w:rPr>
                <w:rFonts w:eastAsia="Times New Roman"/>
                <w:color w:val="000000"/>
                <w:sz w:val="18"/>
                <w:szCs w:val="18"/>
                <w:lang w:eastAsia="ru-RU"/>
              </w:rPr>
            </w:pPr>
            <w:r w:rsidRPr="00CE42C4">
              <w:rPr>
                <w:rFonts w:eastAsia="Times New Roman"/>
                <w:color w:val="000000"/>
                <w:sz w:val="18"/>
                <w:szCs w:val="18"/>
                <w:lang w:eastAsia="ru-RU"/>
              </w:rPr>
              <w:t>306 614</w:t>
            </w:r>
          </w:p>
        </w:tc>
        <w:tc>
          <w:tcPr>
            <w:tcW w:w="498" w:type="pct"/>
            <w:tcBorders>
              <w:top w:val="nil"/>
              <w:left w:val="nil"/>
              <w:bottom w:val="single" w:sz="4" w:space="0" w:color="auto"/>
              <w:right w:val="single" w:sz="4" w:space="0" w:color="auto"/>
            </w:tcBorders>
            <w:shd w:val="clear" w:color="auto" w:fill="auto"/>
            <w:vAlign w:val="center"/>
            <w:hideMark/>
          </w:tcPr>
          <w:p w14:paraId="75E8BD8E" w14:textId="1AC2D49F" w:rsidR="009A4C46" w:rsidRPr="00CE42C4" w:rsidRDefault="009A4C46" w:rsidP="00F94FED">
            <w:pPr>
              <w:spacing w:after="0" w:line="240" w:lineRule="auto"/>
              <w:jc w:val="center"/>
              <w:rPr>
                <w:rFonts w:eastAsia="Times New Roman"/>
                <w:color w:val="000000"/>
                <w:sz w:val="18"/>
                <w:szCs w:val="18"/>
                <w:lang w:eastAsia="ru-RU"/>
              </w:rPr>
            </w:pPr>
          </w:p>
        </w:tc>
        <w:tc>
          <w:tcPr>
            <w:tcW w:w="498" w:type="pct"/>
            <w:tcBorders>
              <w:top w:val="nil"/>
              <w:left w:val="nil"/>
              <w:bottom w:val="single" w:sz="4" w:space="0" w:color="auto"/>
              <w:right w:val="single" w:sz="4" w:space="0" w:color="auto"/>
            </w:tcBorders>
            <w:shd w:val="clear" w:color="auto" w:fill="auto"/>
            <w:vAlign w:val="center"/>
            <w:hideMark/>
          </w:tcPr>
          <w:p w14:paraId="7CBCF222" w14:textId="3F63901C" w:rsidR="009A4C46" w:rsidRPr="00CE42C4" w:rsidRDefault="009A4C46" w:rsidP="00F94FED">
            <w:pPr>
              <w:spacing w:after="0" w:line="240" w:lineRule="auto"/>
              <w:jc w:val="center"/>
              <w:rPr>
                <w:rFonts w:eastAsia="Times New Roman"/>
                <w:color w:val="000000"/>
                <w:sz w:val="18"/>
                <w:szCs w:val="18"/>
                <w:lang w:eastAsia="ru-RU"/>
              </w:rPr>
            </w:pPr>
          </w:p>
        </w:tc>
        <w:tc>
          <w:tcPr>
            <w:tcW w:w="498" w:type="pct"/>
            <w:tcBorders>
              <w:top w:val="nil"/>
              <w:left w:val="nil"/>
              <w:bottom w:val="single" w:sz="4" w:space="0" w:color="auto"/>
              <w:right w:val="single" w:sz="4" w:space="0" w:color="auto"/>
            </w:tcBorders>
            <w:shd w:val="clear" w:color="auto" w:fill="auto"/>
            <w:vAlign w:val="center"/>
            <w:hideMark/>
          </w:tcPr>
          <w:p w14:paraId="77A204CC" w14:textId="699C4C6C" w:rsidR="009A4C46" w:rsidRPr="00CE42C4" w:rsidRDefault="009A4C46" w:rsidP="00F94FED">
            <w:pPr>
              <w:spacing w:after="0" w:line="240" w:lineRule="auto"/>
              <w:jc w:val="center"/>
              <w:rPr>
                <w:rFonts w:eastAsia="Times New Roman"/>
                <w:color w:val="000000"/>
                <w:sz w:val="18"/>
                <w:szCs w:val="18"/>
                <w:lang w:eastAsia="ru-RU"/>
              </w:rPr>
            </w:pPr>
          </w:p>
        </w:tc>
        <w:tc>
          <w:tcPr>
            <w:tcW w:w="498" w:type="pct"/>
            <w:tcBorders>
              <w:top w:val="nil"/>
              <w:left w:val="nil"/>
              <w:bottom w:val="single" w:sz="4" w:space="0" w:color="auto"/>
              <w:right w:val="single" w:sz="4" w:space="0" w:color="auto"/>
            </w:tcBorders>
            <w:shd w:val="clear" w:color="auto" w:fill="auto"/>
            <w:vAlign w:val="center"/>
            <w:hideMark/>
          </w:tcPr>
          <w:p w14:paraId="1D9F0F75" w14:textId="2C2CCBAA" w:rsidR="009A4C46" w:rsidRPr="00CE42C4" w:rsidRDefault="009A4C46" w:rsidP="00F94FED">
            <w:pPr>
              <w:spacing w:after="0" w:line="240" w:lineRule="auto"/>
              <w:jc w:val="center"/>
              <w:rPr>
                <w:rFonts w:eastAsia="Times New Roman"/>
                <w:color w:val="000000"/>
                <w:sz w:val="18"/>
                <w:szCs w:val="18"/>
                <w:lang w:eastAsia="ru-RU"/>
              </w:rPr>
            </w:pPr>
          </w:p>
        </w:tc>
        <w:tc>
          <w:tcPr>
            <w:tcW w:w="498" w:type="pct"/>
            <w:tcBorders>
              <w:top w:val="nil"/>
              <w:left w:val="nil"/>
              <w:bottom w:val="single" w:sz="4" w:space="0" w:color="auto"/>
              <w:right w:val="single" w:sz="4" w:space="0" w:color="auto"/>
            </w:tcBorders>
            <w:shd w:val="clear" w:color="auto" w:fill="auto"/>
            <w:vAlign w:val="center"/>
            <w:hideMark/>
          </w:tcPr>
          <w:p w14:paraId="7A20AD07" w14:textId="4D8DF8F9" w:rsidR="009A4C46" w:rsidRPr="00CE42C4" w:rsidRDefault="009A4C46" w:rsidP="00F94FED">
            <w:pPr>
              <w:spacing w:after="0" w:line="240" w:lineRule="auto"/>
              <w:jc w:val="center"/>
              <w:rPr>
                <w:rFonts w:eastAsia="Times New Roman"/>
                <w:color w:val="000000"/>
                <w:sz w:val="18"/>
                <w:szCs w:val="18"/>
                <w:lang w:eastAsia="ru-RU"/>
              </w:rPr>
            </w:pPr>
          </w:p>
        </w:tc>
        <w:tc>
          <w:tcPr>
            <w:tcW w:w="498" w:type="pct"/>
            <w:tcBorders>
              <w:top w:val="nil"/>
              <w:left w:val="nil"/>
              <w:bottom w:val="single" w:sz="4" w:space="0" w:color="auto"/>
              <w:right w:val="single" w:sz="4" w:space="0" w:color="auto"/>
            </w:tcBorders>
            <w:shd w:val="clear" w:color="auto" w:fill="auto"/>
            <w:vAlign w:val="center"/>
            <w:hideMark/>
          </w:tcPr>
          <w:p w14:paraId="529AE838" w14:textId="77777777" w:rsidR="009A4C46" w:rsidRPr="00CE42C4" w:rsidRDefault="009A4C46" w:rsidP="00F94FED">
            <w:pPr>
              <w:spacing w:after="0" w:line="240" w:lineRule="auto"/>
              <w:jc w:val="center"/>
              <w:rPr>
                <w:rFonts w:eastAsia="Times New Roman"/>
                <w:color w:val="000000"/>
                <w:sz w:val="18"/>
                <w:szCs w:val="18"/>
                <w:lang w:eastAsia="ru-RU"/>
              </w:rPr>
            </w:pPr>
            <w:r w:rsidRPr="00CE42C4">
              <w:rPr>
                <w:rFonts w:eastAsia="Times New Roman"/>
                <w:color w:val="000000"/>
                <w:sz w:val="18"/>
                <w:szCs w:val="18"/>
                <w:lang w:eastAsia="ru-RU"/>
              </w:rPr>
              <w:t>52 349</w:t>
            </w:r>
          </w:p>
        </w:tc>
        <w:tc>
          <w:tcPr>
            <w:tcW w:w="799" w:type="pct"/>
            <w:gridSpan w:val="2"/>
            <w:tcBorders>
              <w:top w:val="nil"/>
              <w:left w:val="nil"/>
              <w:bottom w:val="single" w:sz="4" w:space="0" w:color="auto"/>
              <w:right w:val="single" w:sz="4" w:space="0" w:color="auto"/>
            </w:tcBorders>
            <w:shd w:val="clear" w:color="auto" w:fill="auto"/>
            <w:vAlign w:val="center"/>
            <w:hideMark/>
          </w:tcPr>
          <w:p w14:paraId="1BCB7DCB" w14:textId="77777777" w:rsidR="009A4C46" w:rsidRPr="00CE42C4" w:rsidRDefault="009A4C46" w:rsidP="00F94FED">
            <w:pPr>
              <w:spacing w:after="0" w:line="240" w:lineRule="auto"/>
              <w:jc w:val="center"/>
              <w:rPr>
                <w:rFonts w:eastAsia="Times New Roman"/>
                <w:color w:val="000000"/>
                <w:sz w:val="18"/>
                <w:szCs w:val="18"/>
                <w:lang w:eastAsia="ru-RU"/>
              </w:rPr>
            </w:pPr>
            <w:r w:rsidRPr="00CE42C4">
              <w:rPr>
                <w:rFonts w:eastAsia="Times New Roman"/>
                <w:color w:val="000000"/>
                <w:sz w:val="18"/>
                <w:szCs w:val="18"/>
                <w:lang w:eastAsia="ru-RU"/>
              </w:rPr>
              <w:t>254 265</w:t>
            </w:r>
          </w:p>
        </w:tc>
      </w:tr>
      <w:tr w:rsidR="009A4C46" w:rsidRPr="00CE42C4" w14:paraId="137B8ABF" w14:textId="77777777" w:rsidTr="004D58E8">
        <w:trPr>
          <w:trHeight w:val="630"/>
        </w:trPr>
        <w:tc>
          <w:tcPr>
            <w:tcW w:w="4211" w:type="pct"/>
            <w:gridSpan w:val="9"/>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33F44706" w14:textId="77777777" w:rsidR="009A4C46" w:rsidRPr="00F94FED" w:rsidRDefault="009A4C46" w:rsidP="00F94FED">
            <w:pPr>
              <w:spacing w:after="0" w:line="240" w:lineRule="auto"/>
              <w:jc w:val="center"/>
              <w:rPr>
                <w:rFonts w:eastAsia="Times New Roman"/>
                <w:b/>
                <w:bCs/>
                <w:color w:val="000000"/>
                <w:sz w:val="18"/>
                <w:szCs w:val="18"/>
                <w:lang w:eastAsia="ru-RU"/>
              </w:rPr>
            </w:pPr>
            <w:r w:rsidRPr="00F94FED">
              <w:rPr>
                <w:rFonts w:eastAsia="Times New Roman"/>
                <w:b/>
                <w:bCs/>
                <w:color w:val="000000"/>
                <w:sz w:val="18"/>
                <w:szCs w:val="18"/>
                <w:lang w:eastAsia="ru-RU"/>
              </w:rPr>
              <w:t>Обязательно к включению в НВВ на 2019 год</w:t>
            </w:r>
          </w:p>
        </w:tc>
        <w:tc>
          <w:tcPr>
            <w:tcW w:w="789" w:type="pct"/>
            <w:tcBorders>
              <w:top w:val="nil"/>
              <w:left w:val="nil"/>
              <w:bottom w:val="single" w:sz="4" w:space="0" w:color="auto"/>
              <w:right w:val="single" w:sz="4" w:space="0" w:color="auto"/>
            </w:tcBorders>
            <w:shd w:val="clear" w:color="auto" w:fill="D6E3BC" w:themeFill="accent3" w:themeFillTint="66"/>
            <w:vAlign w:val="center"/>
            <w:hideMark/>
          </w:tcPr>
          <w:p w14:paraId="3D557BCF" w14:textId="77777777" w:rsidR="009A4C46" w:rsidRPr="00F94FED" w:rsidRDefault="009A4C46" w:rsidP="00F94FED">
            <w:pPr>
              <w:spacing w:after="0" w:line="240" w:lineRule="auto"/>
              <w:jc w:val="center"/>
              <w:rPr>
                <w:rFonts w:eastAsia="Times New Roman"/>
                <w:b/>
                <w:bCs/>
                <w:color w:val="000000"/>
                <w:sz w:val="18"/>
                <w:szCs w:val="18"/>
                <w:lang w:eastAsia="ru-RU"/>
              </w:rPr>
            </w:pPr>
            <w:r w:rsidRPr="00F94FED">
              <w:rPr>
                <w:rFonts w:eastAsia="Times New Roman"/>
                <w:b/>
                <w:bCs/>
                <w:color w:val="000000"/>
                <w:sz w:val="18"/>
                <w:szCs w:val="18"/>
                <w:lang w:eastAsia="ru-RU"/>
              </w:rPr>
              <w:t>574 588</w:t>
            </w:r>
          </w:p>
        </w:tc>
      </w:tr>
    </w:tbl>
    <w:p w14:paraId="05866D00" w14:textId="77777777" w:rsidR="009A4C46" w:rsidRPr="00F94FED" w:rsidRDefault="009A4C46" w:rsidP="009A4C46">
      <w:pPr>
        <w:autoSpaceDE w:val="0"/>
        <w:autoSpaceDN w:val="0"/>
        <w:adjustRightInd w:val="0"/>
        <w:spacing w:after="32" w:line="360" w:lineRule="auto"/>
        <w:ind w:firstLine="567"/>
        <w:jc w:val="both"/>
        <w:rPr>
          <w:rFonts w:eastAsia="Times New Roman"/>
          <w:sz w:val="26"/>
          <w:szCs w:val="26"/>
          <w:lang w:eastAsia="ru-RU"/>
        </w:rPr>
      </w:pPr>
    </w:p>
    <w:p w14:paraId="1110418A" w14:textId="77777777" w:rsidR="009A4C46" w:rsidRPr="00F94FED" w:rsidRDefault="009A4C46" w:rsidP="009A4C46">
      <w:pPr>
        <w:autoSpaceDE w:val="0"/>
        <w:autoSpaceDN w:val="0"/>
        <w:adjustRightInd w:val="0"/>
        <w:spacing w:after="32" w:line="360" w:lineRule="auto"/>
        <w:ind w:firstLine="567"/>
        <w:jc w:val="both"/>
        <w:rPr>
          <w:rFonts w:eastAsia="Times New Roman"/>
          <w:sz w:val="26"/>
          <w:szCs w:val="26"/>
          <w:lang w:eastAsia="ru-RU"/>
        </w:rPr>
      </w:pPr>
      <w:r w:rsidRPr="00F94FED">
        <w:rPr>
          <w:rFonts w:eastAsia="Times New Roman"/>
          <w:sz w:val="26"/>
          <w:szCs w:val="26"/>
          <w:lang w:eastAsia="ru-RU"/>
        </w:rPr>
        <w:t>На основании вышеизложенного, Исполнитель считает неправомерным позицию Службы по тарифам Республики Тыва в части не учета в составе НВВ на 2019 год, распределенных доходов, недополученных АО «Тываэнерго» при осуществлении регулируемой деятельности за 2012-2013 гг. в размер 574 588 тыс. руб.</w:t>
      </w:r>
    </w:p>
    <w:p w14:paraId="37AF08E0" w14:textId="77777777" w:rsidR="009A4C46" w:rsidRPr="00F94FED" w:rsidRDefault="009A4C46" w:rsidP="009A4C46">
      <w:pPr>
        <w:autoSpaceDE w:val="0"/>
        <w:autoSpaceDN w:val="0"/>
        <w:adjustRightInd w:val="0"/>
        <w:spacing w:after="32" w:line="360" w:lineRule="auto"/>
        <w:ind w:firstLine="567"/>
        <w:jc w:val="both"/>
        <w:rPr>
          <w:rFonts w:eastAsia="Times New Roman"/>
          <w:sz w:val="26"/>
          <w:szCs w:val="26"/>
          <w:lang w:eastAsia="ru-RU"/>
        </w:rPr>
      </w:pPr>
      <w:r w:rsidRPr="00F94FED">
        <w:rPr>
          <w:rFonts w:eastAsia="Times New Roman"/>
          <w:sz w:val="26"/>
          <w:szCs w:val="26"/>
          <w:lang w:eastAsia="ru-RU"/>
        </w:rPr>
        <w:t>Исполнитель рекомендует АО «Тываэнерго» в последующие периоды регулирования, заявлять в рамках тарифной кампании не только корректировку НВВ по итогам прошедшего периода регулирования, а также по итогам периодов, по которым истекает пятилетний срок.</w:t>
      </w:r>
    </w:p>
    <w:p w14:paraId="0ECA31D4" w14:textId="77777777" w:rsidR="00A31C7C" w:rsidRDefault="00A31C7C" w:rsidP="009A4C46">
      <w:pPr>
        <w:spacing w:after="0" w:line="240" w:lineRule="auto"/>
        <w:rPr>
          <w:rFonts w:eastAsia="Times New Roman"/>
          <w:sz w:val="26"/>
          <w:szCs w:val="26"/>
          <w:lang w:eastAsia="ru-RU"/>
        </w:rPr>
      </w:pPr>
    </w:p>
    <w:p w14:paraId="50F446A0" w14:textId="5674B0DC" w:rsidR="009A4C46" w:rsidRPr="00F94FED" w:rsidRDefault="009A4C46" w:rsidP="009A4C46">
      <w:pPr>
        <w:spacing w:after="0" w:line="240" w:lineRule="auto"/>
        <w:rPr>
          <w:rFonts w:eastAsia="Times New Roman"/>
          <w:sz w:val="26"/>
          <w:szCs w:val="26"/>
          <w:lang w:eastAsia="ru-RU"/>
        </w:rPr>
      </w:pPr>
      <w:r w:rsidRPr="00F94FED">
        <w:rPr>
          <w:rFonts w:eastAsia="Times New Roman"/>
          <w:sz w:val="26"/>
          <w:szCs w:val="26"/>
          <w:lang w:eastAsia="ru-RU"/>
        </w:rPr>
        <w:br w:type="page"/>
      </w:r>
    </w:p>
    <w:p w14:paraId="46464C61" w14:textId="77777777" w:rsidR="009A4C46" w:rsidRPr="00F94FED" w:rsidRDefault="009A4C46" w:rsidP="00F94FED">
      <w:pPr>
        <w:pStyle w:val="3"/>
        <w:numPr>
          <w:ilvl w:val="0"/>
          <w:numId w:val="1"/>
        </w:numPr>
        <w:spacing w:line="360" w:lineRule="auto"/>
        <w:jc w:val="both"/>
        <w:rPr>
          <w:b/>
          <w:color w:val="4F6228" w:themeColor="accent3" w:themeShade="80"/>
          <w:sz w:val="28"/>
          <w:szCs w:val="28"/>
        </w:rPr>
      </w:pPr>
      <w:bookmarkStart w:id="58" w:name="_Toc40554857"/>
      <w:bookmarkStart w:id="59" w:name="_Toc40733192"/>
      <w:r w:rsidRPr="00F94FED">
        <w:rPr>
          <w:rFonts w:ascii="Myriad Pro" w:hAnsi="Myriad Pro"/>
          <w:b/>
          <w:color w:val="4F6228" w:themeColor="accent3" w:themeShade="80"/>
          <w:sz w:val="28"/>
          <w:szCs w:val="28"/>
        </w:rPr>
        <w:lastRenderedPageBreak/>
        <w:t>Свод корректировок необходимой валовой выручки АО «Тываэнерго» на услуги по передаче электрической энергии за 2017 год</w:t>
      </w:r>
      <w:bookmarkEnd w:id="58"/>
      <w:bookmarkEnd w:id="59"/>
    </w:p>
    <w:p w14:paraId="11ED006E" w14:textId="77777777" w:rsidR="009A4C46" w:rsidRPr="00F94FED" w:rsidRDefault="009A4C46" w:rsidP="00F94FED">
      <w:pPr>
        <w:tabs>
          <w:tab w:val="left" w:pos="0"/>
        </w:tabs>
        <w:autoSpaceDE w:val="0"/>
        <w:autoSpaceDN w:val="0"/>
        <w:adjustRightInd w:val="0"/>
        <w:spacing w:after="0" w:line="360" w:lineRule="auto"/>
        <w:ind w:firstLine="567"/>
        <w:jc w:val="both"/>
        <w:rPr>
          <w:rFonts w:eastAsia="Times New Roman"/>
          <w:sz w:val="26"/>
          <w:szCs w:val="26"/>
          <w:lang w:eastAsia="ru-RU"/>
        </w:rPr>
      </w:pPr>
      <w:r w:rsidRPr="00F94FED">
        <w:rPr>
          <w:rFonts w:eastAsia="Times New Roman"/>
          <w:sz w:val="26"/>
          <w:szCs w:val="26"/>
          <w:lang w:eastAsia="ru-RU"/>
        </w:rPr>
        <w:t>Исполнителем проведен анализ представленных документов и расчетов, выполненных АО «Тываэнерго» и Службой по тарифам Республики Тыва, в части корректировок необходимой валовой выручки на 2019 год по итогам фактических параметров 2017 года.</w:t>
      </w:r>
    </w:p>
    <w:p w14:paraId="4C36319C" w14:textId="77777777" w:rsidR="009A4C46" w:rsidRPr="00F94FED" w:rsidRDefault="009A4C46" w:rsidP="00F94FED">
      <w:pPr>
        <w:tabs>
          <w:tab w:val="left" w:pos="0"/>
        </w:tabs>
        <w:autoSpaceDE w:val="0"/>
        <w:autoSpaceDN w:val="0"/>
        <w:adjustRightInd w:val="0"/>
        <w:spacing w:after="0" w:line="360" w:lineRule="auto"/>
        <w:ind w:firstLine="567"/>
        <w:jc w:val="both"/>
        <w:rPr>
          <w:rFonts w:eastAsia="Times New Roman"/>
          <w:sz w:val="26"/>
          <w:szCs w:val="26"/>
          <w:lang w:eastAsia="ru-RU"/>
        </w:rPr>
      </w:pPr>
      <w:r w:rsidRPr="00F94FED">
        <w:rPr>
          <w:rFonts w:eastAsia="Times New Roman"/>
          <w:sz w:val="26"/>
          <w:szCs w:val="26"/>
          <w:lang w:eastAsia="ru-RU"/>
        </w:rPr>
        <w:t>Анализ отдельных составляющих корректировки необходимой валовой выручки приведен в соответствующих разделах отчета.</w:t>
      </w:r>
    </w:p>
    <w:p w14:paraId="561A099C" w14:textId="77777777" w:rsidR="009A4C46" w:rsidRPr="00F94FED" w:rsidRDefault="009A4C46" w:rsidP="00F94FED">
      <w:pPr>
        <w:tabs>
          <w:tab w:val="left" w:pos="0"/>
        </w:tabs>
        <w:autoSpaceDE w:val="0"/>
        <w:autoSpaceDN w:val="0"/>
        <w:adjustRightInd w:val="0"/>
        <w:spacing w:after="0" w:line="360" w:lineRule="auto"/>
        <w:ind w:firstLine="567"/>
        <w:jc w:val="center"/>
        <w:rPr>
          <w:rFonts w:eastAsia="Times New Roman"/>
          <w:b/>
          <w:iCs/>
          <w:sz w:val="26"/>
          <w:szCs w:val="26"/>
          <w:lang w:eastAsia="ru-RU"/>
        </w:rPr>
      </w:pPr>
      <w:r w:rsidRPr="00F94FED">
        <w:rPr>
          <w:rFonts w:eastAsia="Times New Roman"/>
          <w:b/>
          <w:iCs/>
          <w:sz w:val="26"/>
          <w:szCs w:val="26"/>
          <w:lang w:eastAsia="ru-RU"/>
        </w:rPr>
        <w:t xml:space="preserve">Сравнительные характеристики расчетов корректировки НВВ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7"/>
        <w:gridCol w:w="2187"/>
        <w:gridCol w:w="1501"/>
        <w:gridCol w:w="1501"/>
        <w:gridCol w:w="1389"/>
        <w:gridCol w:w="1140"/>
        <w:gridCol w:w="1090"/>
      </w:tblGrid>
      <w:tr w:rsidR="009A4C46" w:rsidRPr="009A4C46" w14:paraId="1811B3FB" w14:textId="77777777" w:rsidTr="00014831">
        <w:trPr>
          <w:trHeight w:val="315"/>
          <w:tblHeader/>
        </w:trPr>
        <w:tc>
          <w:tcPr>
            <w:tcW w:w="28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FEF7AA4" w14:textId="77777777" w:rsidR="009A4C46" w:rsidRPr="00F94FED" w:rsidRDefault="009A4C46" w:rsidP="009A4C46">
            <w:pPr>
              <w:spacing w:after="0" w:line="240" w:lineRule="auto"/>
              <w:jc w:val="center"/>
              <w:rPr>
                <w:rFonts w:eastAsia="Times New Roman"/>
                <w:b/>
                <w:bCs/>
                <w:color w:val="FFFFFF" w:themeColor="background1"/>
                <w:sz w:val="19"/>
                <w:szCs w:val="19"/>
                <w:lang w:eastAsia="ru-RU"/>
              </w:rPr>
            </w:pPr>
            <w:r w:rsidRPr="00F94FED">
              <w:rPr>
                <w:rFonts w:eastAsia="Times New Roman"/>
                <w:b/>
                <w:bCs/>
                <w:color w:val="FFFFFF" w:themeColor="background1"/>
                <w:sz w:val="19"/>
                <w:szCs w:val="19"/>
                <w:lang w:eastAsia="ru-RU" w:bidi="ru-RU"/>
              </w:rPr>
              <w:t>№ п/п</w:t>
            </w:r>
          </w:p>
        </w:tc>
        <w:tc>
          <w:tcPr>
            <w:tcW w:w="117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999DD3E" w14:textId="77777777" w:rsidR="00CE42C4" w:rsidRPr="00F94FED" w:rsidRDefault="009A4C46" w:rsidP="009A4C46">
            <w:pPr>
              <w:spacing w:after="0" w:line="240" w:lineRule="auto"/>
              <w:jc w:val="center"/>
              <w:rPr>
                <w:rFonts w:eastAsia="Times New Roman"/>
                <w:b/>
                <w:bCs/>
                <w:color w:val="FFFFFF" w:themeColor="background1"/>
                <w:sz w:val="19"/>
                <w:szCs w:val="19"/>
                <w:lang w:eastAsia="ru-RU" w:bidi="ru-RU"/>
              </w:rPr>
            </w:pPr>
            <w:r w:rsidRPr="00F94FED">
              <w:rPr>
                <w:rFonts w:eastAsia="Times New Roman"/>
                <w:b/>
                <w:bCs/>
                <w:color w:val="FFFFFF" w:themeColor="background1"/>
                <w:sz w:val="19"/>
                <w:szCs w:val="19"/>
                <w:lang w:eastAsia="ru-RU" w:bidi="ru-RU"/>
              </w:rPr>
              <w:t>Показатель</w:t>
            </w:r>
          </w:p>
          <w:p w14:paraId="6140BEAB" w14:textId="707FAB0D" w:rsidR="009A4C46" w:rsidRPr="00F94FED" w:rsidRDefault="009A4C46" w:rsidP="009A4C46">
            <w:pPr>
              <w:spacing w:after="0" w:line="240" w:lineRule="auto"/>
              <w:jc w:val="center"/>
              <w:rPr>
                <w:rFonts w:eastAsia="Times New Roman"/>
                <w:b/>
                <w:bCs/>
                <w:color w:val="FFFFFF" w:themeColor="background1"/>
                <w:sz w:val="19"/>
                <w:szCs w:val="19"/>
                <w:lang w:eastAsia="ru-RU"/>
              </w:rPr>
            </w:pPr>
          </w:p>
        </w:tc>
        <w:tc>
          <w:tcPr>
            <w:tcW w:w="3542" w:type="pct"/>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BDF7ED7" w14:textId="77777777" w:rsidR="009A4C46" w:rsidRPr="00F94FED" w:rsidRDefault="009A4C46" w:rsidP="009A4C46">
            <w:pPr>
              <w:spacing w:after="0" w:line="240" w:lineRule="auto"/>
              <w:jc w:val="center"/>
              <w:rPr>
                <w:rFonts w:eastAsia="Times New Roman"/>
                <w:b/>
                <w:bCs/>
                <w:color w:val="FFFFFF" w:themeColor="background1"/>
                <w:sz w:val="19"/>
                <w:szCs w:val="19"/>
                <w:lang w:eastAsia="ru-RU"/>
              </w:rPr>
            </w:pPr>
            <w:r w:rsidRPr="00F94FED">
              <w:rPr>
                <w:rFonts w:eastAsia="Times New Roman"/>
                <w:b/>
                <w:bCs/>
                <w:color w:val="FFFFFF" w:themeColor="background1"/>
                <w:sz w:val="19"/>
                <w:szCs w:val="19"/>
                <w:lang w:eastAsia="ru-RU" w:bidi="ru-RU"/>
              </w:rPr>
              <w:t>2019 год</w:t>
            </w:r>
          </w:p>
        </w:tc>
      </w:tr>
      <w:tr w:rsidR="009A4C46" w:rsidRPr="009A4C46" w14:paraId="5C937EBD" w14:textId="77777777" w:rsidTr="00014831">
        <w:trPr>
          <w:trHeight w:val="943"/>
          <w:tblHeader/>
        </w:trPr>
        <w:tc>
          <w:tcPr>
            <w:tcW w:w="28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A326EA9" w14:textId="77777777" w:rsidR="009A4C46" w:rsidRPr="00F94FED" w:rsidRDefault="009A4C46" w:rsidP="009A4C46">
            <w:pPr>
              <w:spacing w:after="0" w:line="240" w:lineRule="auto"/>
              <w:rPr>
                <w:rFonts w:eastAsia="Times New Roman"/>
                <w:b/>
                <w:bCs/>
                <w:color w:val="FFFFFF" w:themeColor="background1"/>
                <w:sz w:val="19"/>
                <w:szCs w:val="19"/>
                <w:lang w:eastAsia="ru-RU"/>
              </w:rPr>
            </w:pPr>
          </w:p>
        </w:tc>
        <w:tc>
          <w:tcPr>
            <w:tcW w:w="117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BCC385C" w14:textId="77777777" w:rsidR="009A4C46" w:rsidRPr="00F94FED" w:rsidRDefault="009A4C46" w:rsidP="009A4C46">
            <w:pPr>
              <w:spacing w:after="0" w:line="240" w:lineRule="auto"/>
              <w:rPr>
                <w:rFonts w:eastAsia="Times New Roman"/>
                <w:b/>
                <w:bCs/>
                <w:color w:val="FFFFFF" w:themeColor="background1"/>
                <w:sz w:val="19"/>
                <w:szCs w:val="19"/>
                <w:lang w:eastAsia="ru-RU"/>
              </w:rPr>
            </w:pPr>
          </w:p>
        </w:tc>
        <w:tc>
          <w:tcPr>
            <w:tcW w:w="80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49B2212" w14:textId="089C8705" w:rsidR="009A4C46" w:rsidRPr="00F94FED" w:rsidRDefault="009A4C46" w:rsidP="009A4C46">
            <w:pPr>
              <w:spacing w:after="0" w:line="240" w:lineRule="auto"/>
              <w:jc w:val="center"/>
              <w:rPr>
                <w:rFonts w:eastAsia="Times New Roman"/>
                <w:b/>
                <w:bCs/>
                <w:color w:val="FFFFFF" w:themeColor="background1"/>
                <w:sz w:val="19"/>
                <w:szCs w:val="19"/>
                <w:lang w:eastAsia="ru-RU"/>
              </w:rPr>
            </w:pPr>
            <w:r w:rsidRPr="00F94FED">
              <w:rPr>
                <w:rFonts w:eastAsia="Times New Roman"/>
                <w:b/>
                <w:bCs/>
                <w:color w:val="FFFFFF" w:themeColor="background1"/>
                <w:sz w:val="19"/>
                <w:szCs w:val="19"/>
                <w:lang w:eastAsia="ru-RU" w:bidi="ru-RU"/>
              </w:rPr>
              <w:t>Предложение АО «Тываэнерго»</w:t>
            </w:r>
            <w:r w:rsidR="00CE42C4" w:rsidRPr="00F94FED">
              <w:rPr>
                <w:rFonts w:eastAsia="Times New Roman"/>
                <w:b/>
                <w:bCs/>
                <w:color w:val="FFFFFF" w:themeColor="background1"/>
                <w:sz w:val="19"/>
                <w:szCs w:val="19"/>
                <w:lang w:eastAsia="ru-RU" w:bidi="ru-RU"/>
              </w:rPr>
              <w:t xml:space="preserve"> , тыс. руб.</w:t>
            </w:r>
          </w:p>
        </w:tc>
        <w:tc>
          <w:tcPr>
            <w:tcW w:w="80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E770819" w14:textId="77F48EA0" w:rsidR="009A4C46" w:rsidRPr="00F94FED" w:rsidRDefault="009A4C46" w:rsidP="009A4C46">
            <w:pPr>
              <w:spacing w:after="0" w:line="240" w:lineRule="auto"/>
              <w:jc w:val="center"/>
              <w:rPr>
                <w:rFonts w:eastAsia="Times New Roman"/>
                <w:b/>
                <w:bCs/>
                <w:color w:val="FFFFFF" w:themeColor="background1"/>
                <w:sz w:val="19"/>
                <w:szCs w:val="19"/>
                <w:lang w:eastAsia="ru-RU"/>
              </w:rPr>
            </w:pPr>
            <w:r w:rsidRPr="00F94FED">
              <w:rPr>
                <w:rFonts w:eastAsia="Times New Roman"/>
                <w:b/>
                <w:bCs/>
                <w:color w:val="FFFFFF" w:themeColor="background1"/>
                <w:sz w:val="19"/>
                <w:szCs w:val="19"/>
                <w:lang w:eastAsia="ru-RU" w:bidi="ru-RU"/>
              </w:rPr>
              <w:t>Утверждено Службой по тарифам Республики Тыва</w:t>
            </w:r>
            <w:r w:rsidR="00CE42C4" w:rsidRPr="00F94FED">
              <w:rPr>
                <w:rFonts w:eastAsia="Times New Roman"/>
                <w:b/>
                <w:bCs/>
                <w:color w:val="FFFFFF" w:themeColor="background1"/>
                <w:sz w:val="19"/>
                <w:szCs w:val="19"/>
                <w:lang w:eastAsia="ru-RU" w:bidi="ru-RU"/>
              </w:rPr>
              <w:t>, тыс. руб.</w:t>
            </w:r>
          </w:p>
        </w:tc>
        <w:tc>
          <w:tcPr>
            <w:tcW w:w="74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77E6EB7" w14:textId="7C1078B9" w:rsidR="009A4C46" w:rsidRPr="00F94FED" w:rsidRDefault="009A4C46" w:rsidP="009A4C46">
            <w:pPr>
              <w:spacing w:after="0" w:line="240" w:lineRule="auto"/>
              <w:jc w:val="center"/>
              <w:rPr>
                <w:rFonts w:eastAsia="Times New Roman"/>
                <w:b/>
                <w:bCs/>
                <w:color w:val="FFFFFF" w:themeColor="background1"/>
                <w:sz w:val="19"/>
                <w:szCs w:val="19"/>
                <w:lang w:eastAsia="ru-RU"/>
              </w:rPr>
            </w:pPr>
            <w:r w:rsidRPr="00F94FED">
              <w:rPr>
                <w:rFonts w:eastAsia="Times New Roman"/>
                <w:b/>
                <w:bCs/>
                <w:color w:val="FFFFFF" w:themeColor="background1"/>
                <w:sz w:val="19"/>
                <w:szCs w:val="19"/>
                <w:lang w:eastAsia="ru-RU"/>
              </w:rPr>
              <w:t>Исполнитель</w:t>
            </w:r>
            <w:r w:rsidR="00CE42C4" w:rsidRPr="00F94FED">
              <w:rPr>
                <w:rFonts w:eastAsia="Times New Roman"/>
                <w:b/>
                <w:bCs/>
                <w:color w:val="FFFFFF" w:themeColor="background1"/>
                <w:sz w:val="19"/>
                <w:szCs w:val="19"/>
                <w:lang w:eastAsia="ru-RU" w:bidi="ru-RU"/>
              </w:rPr>
              <w:t>, тыс. руб.</w:t>
            </w:r>
          </w:p>
        </w:tc>
        <w:tc>
          <w:tcPr>
            <w:tcW w:w="119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86A2ED5" w14:textId="1EF440ED" w:rsidR="009A4C46" w:rsidRPr="00F94FED" w:rsidRDefault="009A4C46" w:rsidP="009A4C46">
            <w:pPr>
              <w:spacing w:after="0" w:line="240" w:lineRule="auto"/>
              <w:jc w:val="center"/>
              <w:rPr>
                <w:rFonts w:eastAsia="Times New Roman"/>
                <w:b/>
                <w:bCs/>
                <w:color w:val="FFFFFF" w:themeColor="background1"/>
                <w:sz w:val="18"/>
                <w:szCs w:val="18"/>
                <w:lang w:eastAsia="ru-RU"/>
              </w:rPr>
            </w:pPr>
            <w:r w:rsidRPr="00F94FED">
              <w:rPr>
                <w:rFonts w:eastAsia="Times New Roman"/>
                <w:b/>
                <w:bCs/>
                <w:color w:val="FFFFFF" w:themeColor="background1"/>
                <w:sz w:val="18"/>
                <w:szCs w:val="18"/>
                <w:lang w:eastAsia="ru-RU" w:bidi="ru-RU"/>
              </w:rPr>
              <w:t>Отклонение</w:t>
            </w:r>
            <w:r w:rsidR="00CE42C4" w:rsidRPr="00F94FED">
              <w:rPr>
                <w:rFonts w:eastAsia="Times New Roman"/>
                <w:b/>
                <w:bCs/>
                <w:color w:val="FFFFFF" w:themeColor="background1"/>
                <w:sz w:val="19"/>
                <w:szCs w:val="19"/>
                <w:lang w:eastAsia="ru-RU" w:bidi="ru-RU"/>
              </w:rPr>
              <w:t>, тыс. руб.</w:t>
            </w:r>
          </w:p>
        </w:tc>
      </w:tr>
      <w:tr w:rsidR="00F94FED" w:rsidRPr="009A4C46" w14:paraId="2E48B324" w14:textId="77777777" w:rsidTr="00014831">
        <w:trPr>
          <w:trHeight w:val="315"/>
          <w:tblHeader/>
        </w:trPr>
        <w:tc>
          <w:tcPr>
            <w:tcW w:w="28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171FEF1" w14:textId="77777777" w:rsidR="009A4C46" w:rsidRPr="00F94FED" w:rsidRDefault="009A4C46" w:rsidP="009A4C46">
            <w:pPr>
              <w:spacing w:after="0" w:line="240" w:lineRule="auto"/>
              <w:jc w:val="center"/>
              <w:rPr>
                <w:rFonts w:eastAsia="Times New Roman"/>
                <w:b/>
                <w:bCs/>
                <w:color w:val="FFFFFF" w:themeColor="background1"/>
                <w:sz w:val="18"/>
                <w:szCs w:val="18"/>
                <w:lang w:eastAsia="ru-RU"/>
              </w:rPr>
            </w:pPr>
            <w:r w:rsidRPr="00F94FED">
              <w:rPr>
                <w:rFonts w:eastAsia="Times New Roman"/>
                <w:b/>
                <w:bCs/>
                <w:color w:val="FFFFFF" w:themeColor="background1"/>
                <w:sz w:val="18"/>
                <w:szCs w:val="18"/>
                <w:lang w:eastAsia="ru-RU" w:bidi="ru-RU"/>
              </w:rPr>
              <w:t>1</w:t>
            </w:r>
          </w:p>
        </w:tc>
        <w:tc>
          <w:tcPr>
            <w:tcW w:w="117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D4E14B5" w14:textId="77777777" w:rsidR="009A4C46" w:rsidRPr="00F94FED" w:rsidRDefault="009A4C46" w:rsidP="009A4C46">
            <w:pPr>
              <w:spacing w:after="0" w:line="240" w:lineRule="auto"/>
              <w:jc w:val="center"/>
              <w:rPr>
                <w:rFonts w:eastAsia="Times New Roman"/>
                <w:b/>
                <w:bCs/>
                <w:color w:val="FFFFFF" w:themeColor="background1"/>
                <w:sz w:val="18"/>
                <w:szCs w:val="18"/>
                <w:lang w:eastAsia="ru-RU"/>
              </w:rPr>
            </w:pPr>
            <w:r w:rsidRPr="00F94FED">
              <w:rPr>
                <w:rFonts w:eastAsia="Times New Roman"/>
                <w:b/>
                <w:bCs/>
                <w:color w:val="FFFFFF" w:themeColor="background1"/>
                <w:sz w:val="18"/>
                <w:szCs w:val="18"/>
                <w:lang w:eastAsia="ru-RU" w:bidi="ru-RU"/>
              </w:rPr>
              <w:t>2</w:t>
            </w:r>
          </w:p>
        </w:tc>
        <w:tc>
          <w:tcPr>
            <w:tcW w:w="80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77D1D3A" w14:textId="77777777" w:rsidR="009A4C46" w:rsidRPr="00F94FED" w:rsidRDefault="009A4C46" w:rsidP="009A4C46">
            <w:pPr>
              <w:spacing w:after="0" w:line="240" w:lineRule="auto"/>
              <w:jc w:val="center"/>
              <w:rPr>
                <w:rFonts w:eastAsia="Times New Roman"/>
                <w:b/>
                <w:bCs/>
                <w:color w:val="FFFFFF" w:themeColor="background1"/>
                <w:sz w:val="18"/>
                <w:szCs w:val="18"/>
                <w:lang w:eastAsia="ru-RU"/>
              </w:rPr>
            </w:pPr>
            <w:r w:rsidRPr="00F94FED">
              <w:rPr>
                <w:rFonts w:eastAsia="Times New Roman"/>
                <w:b/>
                <w:bCs/>
                <w:color w:val="FFFFFF" w:themeColor="background1"/>
                <w:sz w:val="18"/>
                <w:szCs w:val="18"/>
                <w:lang w:eastAsia="ru-RU" w:bidi="ru-RU"/>
              </w:rPr>
              <w:t>3</w:t>
            </w:r>
          </w:p>
        </w:tc>
        <w:tc>
          <w:tcPr>
            <w:tcW w:w="80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5D6F9C3" w14:textId="77777777" w:rsidR="009A4C46" w:rsidRPr="00F94FED" w:rsidRDefault="009A4C46" w:rsidP="009A4C46">
            <w:pPr>
              <w:spacing w:after="0" w:line="240" w:lineRule="auto"/>
              <w:jc w:val="center"/>
              <w:rPr>
                <w:rFonts w:eastAsia="Times New Roman"/>
                <w:b/>
                <w:bCs/>
                <w:color w:val="FFFFFF" w:themeColor="background1"/>
                <w:sz w:val="19"/>
                <w:szCs w:val="19"/>
                <w:lang w:eastAsia="ru-RU"/>
              </w:rPr>
            </w:pPr>
            <w:r w:rsidRPr="00F94FED">
              <w:rPr>
                <w:rFonts w:eastAsia="Times New Roman"/>
                <w:b/>
                <w:bCs/>
                <w:color w:val="FFFFFF" w:themeColor="background1"/>
                <w:sz w:val="19"/>
                <w:szCs w:val="19"/>
                <w:lang w:eastAsia="ru-RU" w:bidi="ru-RU"/>
              </w:rPr>
              <w:t>4</w:t>
            </w:r>
          </w:p>
        </w:tc>
        <w:tc>
          <w:tcPr>
            <w:tcW w:w="74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3387074" w14:textId="77777777" w:rsidR="009A4C46" w:rsidRPr="00F94FED" w:rsidRDefault="009A4C46" w:rsidP="009A4C46">
            <w:pPr>
              <w:spacing w:after="0" w:line="240" w:lineRule="auto"/>
              <w:jc w:val="center"/>
              <w:rPr>
                <w:rFonts w:eastAsia="Times New Roman"/>
                <w:b/>
                <w:bCs/>
                <w:color w:val="FFFFFF" w:themeColor="background1"/>
                <w:sz w:val="19"/>
                <w:szCs w:val="19"/>
                <w:lang w:eastAsia="ru-RU"/>
              </w:rPr>
            </w:pPr>
            <w:r w:rsidRPr="00F94FED">
              <w:rPr>
                <w:rFonts w:eastAsia="Times New Roman"/>
                <w:b/>
                <w:bCs/>
                <w:color w:val="FFFFFF" w:themeColor="background1"/>
                <w:sz w:val="19"/>
                <w:szCs w:val="19"/>
                <w:lang w:eastAsia="ru-RU"/>
              </w:rPr>
              <w:t>5</w:t>
            </w:r>
          </w:p>
        </w:tc>
        <w:tc>
          <w:tcPr>
            <w:tcW w:w="61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73ED7F9" w14:textId="77777777" w:rsidR="009A4C46" w:rsidRPr="00F94FED" w:rsidRDefault="009A4C46" w:rsidP="009A4C46">
            <w:pPr>
              <w:spacing w:after="0" w:line="240" w:lineRule="auto"/>
              <w:jc w:val="center"/>
              <w:rPr>
                <w:rFonts w:eastAsia="Times New Roman"/>
                <w:b/>
                <w:bCs/>
                <w:color w:val="FFFFFF" w:themeColor="background1"/>
                <w:sz w:val="19"/>
                <w:szCs w:val="19"/>
                <w:lang w:eastAsia="ru-RU"/>
              </w:rPr>
            </w:pPr>
            <w:r w:rsidRPr="00F94FED">
              <w:rPr>
                <w:rFonts w:eastAsia="Times New Roman"/>
                <w:b/>
                <w:bCs/>
                <w:color w:val="FFFFFF" w:themeColor="background1"/>
                <w:sz w:val="19"/>
                <w:szCs w:val="19"/>
                <w:lang w:eastAsia="ru-RU"/>
              </w:rPr>
              <w:t>6=5-4</w:t>
            </w:r>
          </w:p>
        </w:tc>
        <w:tc>
          <w:tcPr>
            <w:tcW w:w="5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0F05062" w14:textId="77777777" w:rsidR="009A4C46" w:rsidRPr="00F94FED" w:rsidRDefault="009A4C46" w:rsidP="009A4C46">
            <w:pPr>
              <w:spacing w:after="0" w:line="240" w:lineRule="auto"/>
              <w:jc w:val="center"/>
              <w:rPr>
                <w:rFonts w:eastAsia="Times New Roman"/>
                <w:b/>
                <w:bCs/>
                <w:color w:val="FFFFFF" w:themeColor="background1"/>
                <w:sz w:val="18"/>
                <w:szCs w:val="18"/>
                <w:lang w:eastAsia="ru-RU"/>
              </w:rPr>
            </w:pPr>
            <w:r w:rsidRPr="00F94FED">
              <w:rPr>
                <w:rFonts w:eastAsia="Times New Roman"/>
                <w:b/>
                <w:bCs/>
                <w:color w:val="FFFFFF" w:themeColor="background1"/>
                <w:sz w:val="18"/>
                <w:szCs w:val="18"/>
                <w:lang w:eastAsia="ru-RU" w:bidi="ru-RU"/>
              </w:rPr>
              <w:t>7=5-3</w:t>
            </w:r>
          </w:p>
        </w:tc>
      </w:tr>
      <w:tr w:rsidR="00BD7E1C" w:rsidRPr="00BD7E1C" w14:paraId="6531EB09" w14:textId="77777777" w:rsidTr="00014831">
        <w:trPr>
          <w:trHeight w:val="1545"/>
        </w:trPr>
        <w:tc>
          <w:tcPr>
            <w:tcW w:w="288" w:type="pct"/>
            <w:tcBorders>
              <w:top w:val="single" w:sz="4" w:space="0" w:color="FFFFFF" w:themeColor="background1"/>
            </w:tcBorders>
            <w:shd w:val="clear" w:color="000000" w:fill="FFFFFF"/>
            <w:vAlign w:val="center"/>
            <w:hideMark/>
          </w:tcPr>
          <w:p w14:paraId="360D495D" w14:textId="77777777" w:rsidR="00014831" w:rsidRPr="00BD7E1C" w:rsidRDefault="00014831" w:rsidP="00014831">
            <w:pPr>
              <w:spacing w:after="0" w:line="240" w:lineRule="auto"/>
              <w:jc w:val="center"/>
              <w:rPr>
                <w:rFonts w:eastAsia="Times New Roman"/>
                <w:color w:val="auto"/>
                <w:sz w:val="19"/>
                <w:szCs w:val="19"/>
                <w:lang w:eastAsia="ru-RU"/>
              </w:rPr>
            </w:pPr>
            <w:r w:rsidRPr="00BD7E1C">
              <w:rPr>
                <w:rFonts w:eastAsia="Times New Roman"/>
                <w:bCs/>
                <w:color w:val="auto"/>
                <w:sz w:val="19"/>
                <w:szCs w:val="19"/>
                <w:lang w:eastAsia="ru-RU" w:bidi="ru-RU"/>
              </w:rPr>
              <w:t>1</w:t>
            </w:r>
          </w:p>
        </w:tc>
        <w:tc>
          <w:tcPr>
            <w:tcW w:w="1170" w:type="pct"/>
            <w:tcBorders>
              <w:top w:val="single" w:sz="4" w:space="0" w:color="FFFFFF" w:themeColor="background1"/>
            </w:tcBorders>
            <w:shd w:val="clear" w:color="000000" w:fill="FFFFFF"/>
            <w:vAlign w:val="center"/>
            <w:hideMark/>
          </w:tcPr>
          <w:p w14:paraId="36C45418" w14:textId="77777777" w:rsidR="00014831" w:rsidRPr="00BD7E1C" w:rsidRDefault="00014831" w:rsidP="00014831">
            <w:pPr>
              <w:spacing w:after="0" w:line="240" w:lineRule="auto"/>
              <w:rPr>
                <w:rFonts w:eastAsia="Times New Roman"/>
                <w:color w:val="auto"/>
                <w:sz w:val="19"/>
                <w:szCs w:val="19"/>
                <w:lang w:eastAsia="ru-RU"/>
              </w:rPr>
            </w:pPr>
            <w:r w:rsidRPr="00BD7E1C">
              <w:rPr>
                <w:rFonts w:eastAsia="Times New Roman"/>
                <w:bCs/>
                <w:color w:val="auto"/>
                <w:sz w:val="19"/>
                <w:szCs w:val="19"/>
                <w:lang w:eastAsia="ru-RU" w:bidi="ru-RU"/>
              </w:rPr>
              <w:t>Расходы, связанные с компенсацией незапланированных расходов (со знаком «плюс») или полученного избытка (со знаком «минус») по итогам 2017 года, в том числе:</w:t>
            </w:r>
          </w:p>
        </w:tc>
        <w:tc>
          <w:tcPr>
            <w:tcW w:w="803" w:type="pct"/>
            <w:tcBorders>
              <w:top w:val="single" w:sz="4" w:space="0" w:color="FFFFFF" w:themeColor="background1"/>
            </w:tcBorders>
            <w:shd w:val="clear" w:color="000000" w:fill="FFFFFF"/>
            <w:vAlign w:val="center"/>
            <w:hideMark/>
          </w:tcPr>
          <w:p w14:paraId="24DAF85C" w14:textId="77777777" w:rsidR="00014831" w:rsidRPr="00BD7E1C" w:rsidRDefault="00014831" w:rsidP="00014831">
            <w:pPr>
              <w:spacing w:after="0" w:line="240" w:lineRule="auto"/>
              <w:jc w:val="center"/>
              <w:rPr>
                <w:rFonts w:eastAsia="Times New Roman"/>
                <w:color w:val="auto"/>
                <w:sz w:val="19"/>
                <w:szCs w:val="19"/>
                <w:lang w:eastAsia="ru-RU"/>
              </w:rPr>
            </w:pPr>
            <w:r w:rsidRPr="00BD7E1C">
              <w:rPr>
                <w:rFonts w:eastAsia="Times New Roman"/>
                <w:bCs/>
                <w:color w:val="auto"/>
                <w:sz w:val="19"/>
                <w:szCs w:val="19"/>
                <w:lang w:eastAsia="ru-RU" w:bidi="ru-RU"/>
              </w:rPr>
              <w:t>306 614</w:t>
            </w:r>
          </w:p>
        </w:tc>
        <w:tc>
          <w:tcPr>
            <w:tcW w:w="803" w:type="pct"/>
            <w:tcBorders>
              <w:top w:val="single" w:sz="4" w:space="0" w:color="FFFFFF" w:themeColor="background1"/>
            </w:tcBorders>
            <w:shd w:val="clear" w:color="000000" w:fill="FFFFFF"/>
            <w:vAlign w:val="center"/>
            <w:hideMark/>
          </w:tcPr>
          <w:p w14:paraId="7F769A84" w14:textId="77777777" w:rsidR="00014831" w:rsidRPr="00BD7E1C" w:rsidRDefault="00014831" w:rsidP="00014831">
            <w:pPr>
              <w:spacing w:after="0" w:line="240" w:lineRule="auto"/>
              <w:jc w:val="center"/>
              <w:rPr>
                <w:rFonts w:eastAsia="Times New Roman"/>
                <w:color w:val="auto"/>
                <w:sz w:val="19"/>
                <w:szCs w:val="19"/>
                <w:lang w:eastAsia="ru-RU"/>
              </w:rPr>
            </w:pPr>
            <w:r w:rsidRPr="00BD7E1C">
              <w:rPr>
                <w:rFonts w:eastAsia="Times New Roman"/>
                <w:bCs/>
                <w:color w:val="auto"/>
                <w:sz w:val="19"/>
                <w:szCs w:val="19"/>
                <w:lang w:eastAsia="ru-RU" w:bidi="ru-RU"/>
              </w:rPr>
              <w:t>306 614</w:t>
            </w:r>
          </w:p>
        </w:tc>
        <w:tc>
          <w:tcPr>
            <w:tcW w:w="743" w:type="pct"/>
            <w:tcBorders>
              <w:top w:val="single" w:sz="4" w:space="0" w:color="FFFFFF" w:themeColor="background1"/>
            </w:tcBorders>
            <w:shd w:val="clear" w:color="000000" w:fill="FFFFFF"/>
            <w:vAlign w:val="center"/>
            <w:hideMark/>
          </w:tcPr>
          <w:p w14:paraId="0412A388" w14:textId="6B460B46" w:rsidR="00014831" w:rsidRPr="00BD7E1C" w:rsidRDefault="00014831" w:rsidP="00014831">
            <w:pPr>
              <w:spacing w:after="0" w:line="240" w:lineRule="auto"/>
              <w:jc w:val="center"/>
              <w:rPr>
                <w:rFonts w:eastAsia="Times New Roman"/>
                <w:color w:val="auto"/>
                <w:sz w:val="19"/>
                <w:szCs w:val="19"/>
                <w:lang w:eastAsia="ru-RU"/>
              </w:rPr>
            </w:pPr>
            <w:r w:rsidRPr="00BD7E1C">
              <w:rPr>
                <w:rFonts w:cs="Calibri"/>
                <w:color w:val="auto"/>
                <w:sz w:val="19"/>
                <w:szCs w:val="19"/>
              </w:rPr>
              <w:t>302 413</w:t>
            </w:r>
          </w:p>
        </w:tc>
        <w:tc>
          <w:tcPr>
            <w:tcW w:w="610" w:type="pct"/>
            <w:tcBorders>
              <w:top w:val="single" w:sz="4" w:space="0" w:color="FFFFFF" w:themeColor="background1"/>
            </w:tcBorders>
            <w:shd w:val="clear" w:color="000000" w:fill="FFFFFF"/>
            <w:vAlign w:val="center"/>
            <w:hideMark/>
          </w:tcPr>
          <w:p w14:paraId="5A184955" w14:textId="1267DB0D" w:rsidR="00014831" w:rsidRPr="00BD7E1C" w:rsidRDefault="00014831" w:rsidP="00014831">
            <w:pPr>
              <w:spacing w:after="0" w:line="240" w:lineRule="auto"/>
              <w:jc w:val="center"/>
              <w:rPr>
                <w:rFonts w:eastAsia="Times New Roman"/>
                <w:color w:val="auto"/>
                <w:sz w:val="19"/>
                <w:szCs w:val="19"/>
                <w:lang w:eastAsia="ru-RU"/>
              </w:rPr>
            </w:pPr>
            <w:r w:rsidRPr="00BD7E1C">
              <w:rPr>
                <w:rFonts w:cs="Calibri"/>
                <w:color w:val="auto"/>
                <w:sz w:val="19"/>
                <w:szCs w:val="19"/>
              </w:rPr>
              <w:t>-4 201</w:t>
            </w:r>
          </w:p>
        </w:tc>
        <w:tc>
          <w:tcPr>
            <w:tcW w:w="583" w:type="pct"/>
            <w:tcBorders>
              <w:top w:val="single" w:sz="4" w:space="0" w:color="FFFFFF" w:themeColor="background1"/>
            </w:tcBorders>
            <w:shd w:val="clear" w:color="000000" w:fill="FFFFFF"/>
            <w:vAlign w:val="center"/>
            <w:hideMark/>
          </w:tcPr>
          <w:p w14:paraId="70C2332B" w14:textId="20E8BB57" w:rsidR="00014831" w:rsidRPr="00BD7E1C" w:rsidRDefault="00014831" w:rsidP="00014831">
            <w:pPr>
              <w:spacing w:after="0" w:line="240" w:lineRule="auto"/>
              <w:jc w:val="center"/>
              <w:rPr>
                <w:rFonts w:eastAsia="Times New Roman"/>
                <w:color w:val="auto"/>
                <w:sz w:val="19"/>
                <w:szCs w:val="19"/>
                <w:lang w:eastAsia="ru-RU"/>
              </w:rPr>
            </w:pPr>
            <w:r w:rsidRPr="00BD7E1C">
              <w:rPr>
                <w:rFonts w:cs="Calibri"/>
                <w:color w:val="auto"/>
                <w:sz w:val="19"/>
                <w:szCs w:val="19"/>
              </w:rPr>
              <w:t>-4 201</w:t>
            </w:r>
          </w:p>
        </w:tc>
      </w:tr>
      <w:tr w:rsidR="00BD7E1C" w:rsidRPr="00BD7E1C" w14:paraId="13158AFE" w14:textId="77777777" w:rsidTr="00014831">
        <w:trPr>
          <w:trHeight w:val="1035"/>
        </w:trPr>
        <w:tc>
          <w:tcPr>
            <w:tcW w:w="288" w:type="pct"/>
            <w:shd w:val="clear" w:color="000000" w:fill="FFFFFF"/>
            <w:vAlign w:val="center"/>
            <w:hideMark/>
          </w:tcPr>
          <w:p w14:paraId="4712A032" w14:textId="77777777" w:rsidR="00014831" w:rsidRPr="00BD7E1C" w:rsidRDefault="00014831" w:rsidP="00014831">
            <w:pPr>
              <w:spacing w:after="0" w:line="240" w:lineRule="auto"/>
              <w:jc w:val="center"/>
              <w:rPr>
                <w:rFonts w:eastAsia="Times New Roman"/>
                <w:color w:val="auto"/>
                <w:sz w:val="19"/>
                <w:szCs w:val="19"/>
                <w:lang w:eastAsia="ru-RU"/>
              </w:rPr>
            </w:pPr>
            <w:r w:rsidRPr="00BD7E1C">
              <w:rPr>
                <w:rFonts w:eastAsia="Times New Roman"/>
                <w:bCs/>
                <w:color w:val="auto"/>
                <w:sz w:val="19"/>
                <w:szCs w:val="19"/>
                <w:lang w:eastAsia="ru-RU" w:bidi="ru-RU"/>
              </w:rPr>
              <w:t>1.1.</w:t>
            </w:r>
          </w:p>
        </w:tc>
        <w:tc>
          <w:tcPr>
            <w:tcW w:w="1170" w:type="pct"/>
            <w:shd w:val="clear" w:color="000000" w:fill="FFFFFF"/>
            <w:vAlign w:val="center"/>
            <w:hideMark/>
          </w:tcPr>
          <w:p w14:paraId="30987588" w14:textId="77777777" w:rsidR="00014831" w:rsidRPr="00BD7E1C" w:rsidRDefault="00014831" w:rsidP="00014831">
            <w:pPr>
              <w:spacing w:after="0" w:line="240" w:lineRule="auto"/>
              <w:rPr>
                <w:rFonts w:eastAsia="Times New Roman"/>
                <w:color w:val="auto"/>
                <w:sz w:val="19"/>
                <w:szCs w:val="19"/>
                <w:lang w:eastAsia="ru-RU"/>
              </w:rPr>
            </w:pPr>
            <w:r w:rsidRPr="00BD7E1C">
              <w:rPr>
                <w:rFonts w:eastAsia="Times New Roman"/>
                <w:bCs/>
                <w:color w:val="auto"/>
                <w:sz w:val="19"/>
                <w:szCs w:val="19"/>
                <w:lang w:eastAsia="ru-RU" w:bidi="ru-RU"/>
              </w:rPr>
              <w:t>Корректировка необходимой валовой выручки по доходам от осуществления регулируемой деятельности за 2017 год</w:t>
            </w:r>
          </w:p>
        </w:tc>
        <w:tc>
          <w:tcPr>
            <w:tcW w:w="803" w:type="pct"/>
            <w:shd w:val="clear" w:color="000000" w:fill="FFFFFF"/>
            <w:vAlign w:val="center"/>
            <w:hideMark/>
          </w:tcPr>
          <w:p w14:paraId="63E1B44D" w14:textId="77777777" w:rsidR="00014831" w:rsidRPr="00BD7E1C" w:rsidRDefault="00014831" w:rsidP="00014831">
            <w:pPr>
              <w:spacing w:after="0" w:line="240" w:lineRule="auto"/>
              <w:jc w:val="center"/>
              <w:rPr>
                <w:rFonts w:eastAsia="Times New Roman"/>
                <w:color w:val="auto"/>
                <w:sz w:val="19"/>
                <w:szCs w:val="19"/>
                <w:lang w:eastAsia="ru-RU"/>
              </w:rPr>
            </w:pPr>
            <w:r w:rsidRPr="00BD7E1C">
              <w:rPr>
                <w:rFonts w:eastAsia="Times New Roman"/>
                <w:color w:val="auto"/>
                <w:sz w:val="19"/>
                <w:szCs w:val="19"/>
                <w:lang w:val="en-US" w:eastAsia="ru-RU"/>
              </w:rPr>
              <w:t>75 644</w:t>
            </w:r>
          </w:p>
        </w:tc>
        <w:tc>
          <w:tcPr>
            <w:tcW w:w="803" w:type="pct"/>
            <w:shd w:val="clear" w:color="000000" w:fill="FFFFFF"/>
            <w:vAlign w:val="center"/>
            <w:hideMark/>
          </w:tcPr>
          <w:p w14:paraId="64CEDC44" w14:textId="77777777" w:rsidR="00014831" w:rsidRPr="00BD7E1C" w:rsidRDefault="00014831" w:rsidP="00014831">
            <w:pPr>
              <w:spacing w:after="0" w:line="240" w:lineRule="auto"/>
              <w:jc w:val="center"/>
              <w:rPr>
                <w:rFonts w:eastAsia="Times New Roman"/>
                <w:color w:val="auto"/>
                <w:sz w:val="19"/>
                <w:szCs w:val="19"/>
                <w:lang w:eastAsia="ru-RU"/>
              </w:rPr>
            </w:pPr>
            <w:r w:rsidRPr="00BD7E1C">
              <w:rPr>
                <w:rFonts w:eastAsia="Times New Roman"/>
                <w:color w:val="auto"/>
                <w:sz w:val="19"/>
                <w:szCs w:val="19"/>
                <w:lang w:val="en-US" w:eastAsia="ru-RU"/>
              </w:rPr>
              <w:t>75 644</w:t>
            </w:r>
          </w:p>
        </w:tc>
        <w:tc>
          <w:tcPr>
            <w:tcW w:w="743" w:type="pct"/>
            <w:shd w:val="clear" w:color="000000" w:fill="FFFFFF"/>
            <w:vAlign w:val="center"/>
            <w:hideMark/>
          </w:tcPr>
          <w:p w14:paraId="6EE504ED" w14:textId="75B4171B" w:rsidR="00014831" w:rsidRPr="00BD7E1C" w:rsidRDefault="00014831" w:rsidP="00014831">
            <w:pPr>
              <w:spacing w:after="0" w:line="240" w:lineRule="auto"/>
              <w:jc w:val="center"/>
              <w:rPr>
                <w:rFonts w:eastAsia="Times New Roman"/>
                <w:color w:val="auto"/>
                <w:sz w:val="19"/>
                <w:szCs w:val="19"/>
                <w:lang w:eastAsia="ru-RU"/>
              </w:rPr>
            </w:pPr>
            <w:r w:rsidRPr="00BD7E1C">
              <w:rPr>
                <w:rFonts w:cs="Calibri"/>
                <w:color w:val="auto"/>
                <w:sz w:val="19"/>
                <w:szCs w:val="19"/>
              </w:rPr>
              <w:t>78 491</w:t>
            </w:r>
          </w:p>
        </w:tc>
        <w:tc>
          <w:tcPr>
            <w:tcW w:w="610" w:type="pct"/>
            <w:shd w:val="clear" w:color="000000" w:fill="FFFFFF"/>
            <w:vAlign w:val="center"/>
            <w:hideMark/>
          </w:tcPr>
          <w:p w14:paraId="62FAEB56" w14:textId="7DEF4C49" w:rsidR="00014831" w:rsidRPr="00BD7E1C" w:rsidRDefault="00014831" w:rsidP="00014831">
            <w:pPr>
              <w:spacing w:after="0" w:line="240" w:lineRule="auto"/>
              <w:jc w:val="center"/>
              <w:rPr>
                <w:rFonts w:eastAsia="Times New Roman"/>
                <w:color w:val="auto"/>
                <w:sz w:val="19"/>
                <w:szCs w:val="19"/>
                <w:lang w:eastAsia="ru-RU"/>
              </w:rPr>
            </w:pPr>
            <w:r w:rsidRPr="00BD7E1C">
              <w:rPr>
                <w:rFonts w:cs="Calibri"/>
                <w:color w:val="auto"/>
                <w:sz w:val="19"/>
                <w:szCs w:val="19"/>
              </w:rPr>
              <w:t>2 847</w:t>
            </w:r>
          </w:p>
        </w:tc>
        <w:tc>
          <w:tcPr>
            <w:tcW w:w="583" w:type="pct"/>
            <w:shd w:val="clear" w:color="000000" w:fill="FFFFFF"/>
            <w:vAlign w:val="center"/>
            <w:hideMark/>
          </w:tcPr>
          <w:p w14:paraId="4F232A2B" w14:textId="3F571417" w:rsidR="00014831" w:rsidRPr="00BD7E1C" w:rsidRDefault="00014831" w:rsidP="00014831">
            <w:pPr>
              <w:spacing w:after="0" w:line="240" w:lineRule="auto"/>
              <w:jc w:val="center"/>
              <w:rPr>
                <w:rFonts w:eastAsia="Times New Roman"/>
                <w:color w:val="auto"/>
                <w:sz w:val="19"/>
                <w:szCs w:val="19"/>
                <w:lang w:eastAsia="ru-RU"/>
              </w:rPr>
            </w:pPr>
            <w:r w:rsidRPr="00BD7E1C">
              <w:rPr>
                <w:rFonts w:cs="Calibri"/>
                <w:color w:val="auto"/>
                <w:sz w:val="19"/>
                <w:szCs w:val="19"/>
              </w:rPr>
              <w:t>2 847</w:t>
            </w:r>
          </w:p>
        </w:tc>
      </w:tr>
      <w:tr w:rsidR="00BD7E1C" w:rsidRPr="00BD7E1C" w14:paraId="60471632" w14:textId="77777777" w:rsidTr="00014831">
        <w:trPr>
          <w:trHeight w:val="1800"/>
        </w:trPr>
        <w:tc>
          <w:tcPr>
            <w:tcW w:w="288" w:type="pct"/>
            <w:shd w:val="clear" w:color="000000" w:fill="FFFFFF"/>
            <w:vAlign w:val="center"/>
            <w:hideMark/>
          </w:tcPr>
          <w:p w14:paraId="3C81DDCF" w14:textId="77777777" w:rsidR="009A4C46" w:rsidRPr="00BD7E1C" w:rsidRDefault="009A4C46" w:rsidP="009A4C46">
            <w:pPr>
              <w:spacing w:after="0" w:line="240" w:lineRule="auto"/>
              <w:jc w:val="center"/>
              <w:rPr>
                <w:rFonts w:eastAsia="Times New Roman"/>
                <w:color w:val="auto"/>
                <w:sz w:val="19"/>
                <w:szCs w:val="19"/>
                <w:lang w:eastAsia="ru-RU"/>
              </w:rPr>
            </w:pPr>
            <w:r w:rsidRPr="00BD7E1C">
              <w:rPr>
                <w:rFonts w:eastAsia="Times New Roman"/>
                <w:bCs/>
                <w:color w:val="auto"/>
                <w:sz w:val="19"/>
                <w:szCs w:val="19"/>
                <w:lang w:eastAsia="ru-RU" w:bidi="ru-RU"/>
              </w:rPr>
              <w:t>1.2.</w:t>
            </w:r>
          </w:p>
        </w:tc>
        <w:tc>
          <w:tcPr>
            <w:tcW w:w="1170" w:type="pct"/>
            <w:shd w:val="clear" w:color="000000" w:fill="FFFFFF"/>
            <w:vAlign w:val="center"/>
            <w:hideMark/>
          </w:tcPr>
          <w:p w14:paraId="5D271621" w14:textId="77777777" w:rsidR="009A4C46" w:rsidRPr="00BD7E1C" w:rsidRDefault="009A4C46" w:rsidP="009A4C46">
            <w:pPr>
              <w:spacing w:after="0" w:line="240" w:lineRule="auto"/>
              <w:rPr>
                <w:rFonts w:eastAsia="Times New Roman"/>
                <w:color w:val="auto"/>
                <w:sz w:val="19"/>
                <w:szCs w:val="19"/>
                <w:lang w:eastAsia="ru-RU"/>
              </w:rPr>
            </w:pPr>
            <w:r w:rsidRPr="00BD7E1C">
              <w:rPr>
                <w:rFonts w:eastAsia="Times New Roman"/>
                <w:bCs/>
                <w:color w:val="auto"/>
                <w:sz w:val="19"/>
                <w:szCs w:val="19"/>
                <w:lang w:eastAsia="ru-RU" w:bidi="ru-RU"/>
              </w:rPr>
              <w:t>Дополнительные доходы, полученные в году 2017 вследствие взыскания стоимости выявленного бездоговорного потребления электроэнергии, подлежащие исключению из НВВ на 2017 год</w:t>
            </w:r>
          </w:p>
        </w:tc>
        <w:tc>
          <w:tcPr>
            <w:tcW w:w="803" w:type="pct"/>
            <w:shd w:val="clear" w:color="000000" w:fill="FFFFFF"/>
            <w:vAlign w:val="center"/>
            <w:hideMark/>
          </w:tcPr>
          <w:p w14:paraId="3F88D837" w14:textId="77777777" w:rsidR="009A4C46" w:rsidRPr="00BD7E1C" w:rsidRDefault="009A4C46" w:rsidP="009A4C46">
            <w:pPr>
              <w:spacing w:after="0" w:line="240" w:lineRule="auto"/>
              <w:jc w:val="center"/>
              <w:rPr>
                <w:rFonts w:eastAsia="Times New Roman"/>
                <w:color w:val="auto"/>
                <w:sz w:val="19"/>
                <w:szCs w:val="19"/>
                <w:lang w:eastAsia="ru-RU"/>
              </w:rPr>
            </w:pPr>
            <w:r w:rsidRPr="00BD7E1C">
              <w:rPr>
                <w:rFonts w:eastAsia="Times New Roman"/>
                <w:bCs/>
                <w:color w:val="auto"/>
                <w:sz w:val="19"/>
                <w:szCs w:val="19"/>
                <w:lang w:eastAsia="ru-RU" w:bidi="ru-RU"/>
              </w:rPr>
              <w:t>0</w:t>
            </w:r>
          </w:p>
        </w:tc>
        <w:tc>
          <w:tcPr>
            <w:tcW w:w="803" w:type="pct"/>
            <w:shd w:val="clear" w:color="000000" w:fill="FFFFFF"/>
            <w:vAlign w:val="center"/>
            <w:hideMark/>
          </w:tcPr>
          <w:p w14:paraId="7FDB82DA" w14:textId="77777777" w:rsidR="009A4C46" w:rsidRPr="00BD7E1C" w:rsidRDefault="009A4C46" w:rsidP="009A4C46">
            <w:pPr>
              <w:spacing w:after="0" w:line="240" w:lineRule="auto"/>
              <w:jc w:val="center"/>
              <w:rPr>
                <w:rFonts w:eastAsia="Times New Roman"/>
                <w:color w:val="auto"/>
                <w:sz w:val="19"/>
                <w:szCs w:val="19"/>
                <w:lang w:eastAsia="ru-RU"/>
              </w:rPr>
            </w:pPr>
            <w:r w:rsidRPr="00BD7E1C">
              <w:rPr>
                <w:rFonts w:eastAsia="Times New Roman"/>
                <w:bCs/>
                <w:color w:val="auto"/>
                <w:sz w:val="19"/>
                <w:szCs w:val="19"/>
                <w:lang w:eastAsia="ru-RU" w:bidi="ru-RU"/>
              </w:rPr>
              <w:t>0</w:t>
            </w:r>
          </w:p>
        </w:tc>
        <w:tc>
          <w:tcPr>
            <w:tcW w:w="743" w:type="pct"/>
            <w:shd w:val="clear" w:color="000000" w:fill="FFFFFF"/>
            <w:vAlign w:val="center"/>
            <w:hideMark/>
          </w:tcPr>
          <w:p w14:paraId="2337F356" w14:textId="77777777" w:rsidR="009A4C46" w:rsidRPr="00BD7E1C" w:rsidRDefault="009A4C46" w:rsidP="009A4C46">
            <w:pPr>
              <w:spacing w:after="0" w:line="240" w:lineRule="auto"/>
              <w:jc w:val="center"/>
              <w:rPr>
                <w:rFonts w:eastAsia="Times New Roman"/>
                <w:color w:val="auto"/>
                <w:sz w:val="19"/>
                <w:szCs w:val="19"/>
                <w:lang w:eastAsia="ru-RU"/>
              </w:rPr>
            </w:pPr>
            <w:r w:rsidRPr="00BD7E1C">
              <w:rPr>
                <w:rFonts w:eastAsia="Times New Roman"/>
                <w:color w:val="auto"/>
                <w:sz w:val="19"/>
                <w:szCs w:val="19"/>
                <w:lang w:eastAsia="ru-RU"/>
              </w:rPr>
              <w:t>0</w:t>
            </w:r>
          </w:p>
        </w:tc>
        <w:tc>
          <w:tcPr>
            <w:tcW w:w="610" w:type="pct"/>
            <w:shd w:val="clear" w:color="000000" w:fill="FFFFFF"/>
            <w:vAlign w:val="center"/>
            <w:hideMark/>
          </w:tcPr>
          <w:p w14:paraId="347EF3BF" w14:textId="77777777" w:rsidR="009A4C46" w:rsidRPr="00BD7E1C" w:rsidRDefault="009A4C46" w:rsidP="009A4C46">
            <w:pPr>
              <w:spacing w:after="0" w:line="240" w:lineRule="auto"/>
              <w:jc w:val="center"/>
              <w:rPr>
                <w:rFonts w:eastAsia="Times New Roman"/>
                <w:color w:val="auto"/>
                <w:sz w:val="19"/>
                <w:szCs w:val="19"/>
                <w:lang w:eastAsia="ru-RU"/>
              </w:rPr>
            </w:pPr>
            <w:r w:rsidRPr="00BD7E1C">
              <w:rPr>
                <w:rFonts w:eastAsia="Times New Roman"/>
                <w:color w:val="auto"/>
                <w:sz w:val="19"/>
                <w:szCs w:val="19"/>
                <w:lang w:eastAsia="ru-RU"/>
              </w:rPr>
              <w:t>0</w:t>
            </w:r>
          </w:p>
        </w:tc>
        <w:tc>
          <w:tcPr>
            <w:tcW w:w="583" w:type="pct"/>
            <w:shd w:val="clear" w:color="000000" w:fill="FFFFFF"/>
            <w:vAlign w:val="center"/>
            <w:hideMark/>
          </w:tcPr>
          <w:p w14:paraId="0559C77F" w14:textId="77777777" w:rsidR="009A4C46" w:rsidRPr="00BD7E1C" w:rsidRDefault="009A4C46" w:rsidP="009A4C46">
            <w:pPr>
              <w:spacing w:after="0" w:line="240" w:lineRule="auto"/>
              <w:jc w:val="center"/>
              <w:rPr>
                <w:rFonts w:eastAsia="Times New Roman"/>
                <w:color w:val="auto"/>
                <w:sz w:val="19"/>
                <w:szCs w:val="19"/>
                <w:lang w:eastAsia="ru-RU"/>
              </w:rPr>
            </w:pPr>
            <w:r w:rsidRPr="00BD7E1C">
              <w:rPr>
                <w:rFonts w:eastAsia="Times New Roman"/>
                <w:bCs/>
                <w:color w:val="auto"/>
                <w:sz w:val="19"/>
                <w:szCs w:val="19"/>
                <w:lang w:eastAsia="ru-RU" w:bidi="ru-RU"/>
              </w:rPr>
              <w:t>0</w:t>
            </w:r>
          </w:p>
        </w:tc>
      </w:tr>
      <w:tr w:rsidR="009A4C46" w:rsidRPr="009A4C46" w14:paraId="035A1B1D" w14:textId="77777777" w:rsidTr="00014831">
        <w:trPr>
          <w:trHeight w:val="1035"/>
        </w:trPr>
        <w:tc>
          <w:tcPr>
            <w:tcW w:w="288" w:type="pct"/>
            <w:shd w:val="clear" w:color="000000" w:fill="FFFFFF"/>
            <w:vAlign w:val="center"/>
            <w:hideMark/>
          </w:tcPr>
          <w:p w14:paraId="222B6BCF" w14:textId="77777777" w:rsidR="009A4C46" w:rsidRPr="009A4C46" w:rsidRDefault="009A4C46" w:rsidP="009A4C46">
            <w:pPr>
              <w:spacing w:after="0" w:line="240" w:lineRule="auto"/>
              <w:jc w:val="center"/>
              <w:rPr>
                <w:rFonts w:eastAsia="Times New Roman"/>
                <w:color w:val="000000"/>
                <w:sz w:val="19"/>
                <w:szCs w:val="19"/>
                <w:lang w:eastAsia="ru-RU"/>
              </w:rPr>
            </w:pPr>
            <w:r w:rsidRPr="009A4C46">
              <w:rPr>
                <w:rFonts w:eastAsia="Times New Roman"/>
                <w:bCs/>
                <w:color w:val="000000"/>
                <w:sz w:val="19"/>
                <w:szCs w:val="19"/>
                <w:lang w:eastAsia="ru-RU" w:bidi="ru-RU"/>
              </w:rPr>
              <w:t>1.3.</w:t>
            </w:r>
          </w:p>
        </w:tc>
        <w:tc>
          <w:tcPr>
            <w:tcW w:w="1170" w:type="pct"/>
            <w:shd w:val="clear" w:color="000000" w:fill="FFFFFF"/>
            <w:vAlign w:val="center"/>
            <w:hideMark/>
          </w:tcPr>
          <w:p w14:paraId="76D3B066" w14:textId="77777777" w:rsidR="009A4C46" w:rsidRPr="009A4C46" w:rsidRDefault="009A4C46" w:rsidP="009A4C46">
            <w:pPr>
              <w:spacing w:after="0" w:line="240" w:lineRule="auto"/>
              <w:rPr>
                <w:rFonts w:eastAsia="Times New Roman"/>
                <w:color w:val="000000"/>
                <w:sz w:val="19"/>
                <w:szCs w:val="19"/>
                <w:lang w:eastAsia="ru-RU"/>
              </w:rPr>
            </w:pPr>
            <w:r w:rsidRPr="009A4C46">
              <w:rPr>
                <w:rFonts w:eastAsia="Times New Roman"/>
                <w:bCs/>
                <w:color w:val="000000"/>
                <w:sz w:val="19"/>
                <w:szCs w:val="19"/>
                <w:lang w:eastAsia="ru-RU" w:bidi="ru-RU"/>
              </w:rPr>
              <w:t>Корректировка подконтрольных расходов в связи с изменением планируемых параметров расчета тарифов</w:t>
            </w:r>
          </w:p>
        </w:tc>
        <w:tc>
          <w:tcPr>
            <w:tcW w:w="803" w:type="pct"/>
            <w:shd w:val="clear" w:color="000000" w:fill="FFFFFF"/>
            <w:vAlign w:val="center"/>
            <w:hideMark/>
          </w:tcPr>
          <w:p w14:paraId="32232ED8" w14:textId="77777777" w:rsidR="009A4C46" w:rsidRPr="009A4C46" w:rsidRDefault="009A4C46" w:rsidP="009A4C46">
            <w:pPr>
              <w:spacing w:after="0" w:line="240" w:lineRule="auto"/>
              <w:jc w:val="center"/>
              <w:rPr>
                <w:rFonts w:eastAsia="Times New Roman"/>
                <w:color w:val="000000"/>
                <w:sz w:val="19"/>
                <w:szCs w:val="19"/>
                <w:lang w:eastAsia="ru-RU"/>
              </w:rPr>
            </w:pPr>
            <w:r w:rsidRPr="009A4C46">
              <w:rPr>
                <w:rFonts w:eastAsia="Times New Roman"/>
                <w:bCs/>
                <w:color w:val="000000"/>
                <w:sz w:val="19"/>
                <w:szCs w:val="19"/>
                <w:lang w:eastAsia="ru-RU" w:bidi="ru-RU"/>
              </w:rPr>
              <w:t>-4 635</w:t>
            </w:r>
          </w:p>
        </w:tc>
        <w:tc>
          <w:tcPr>
            <w:tcW w:w="803" w:type="pct"/>
            <w:shd w:val="clear" w:color="000000" w:fill="FFFFFF"/>
            <w:vAlign w:val="center"/>
            <w:hideMark/>
          </w:tcPr>
          <w:p w14:paraId="0AC8DCA1" w14:textId="77777777" w:rsidR="009A4C46" w:rsidRPr="009A4C46" w:rsidRDefault="009A4C46" w:rsidP="009A4C46">
            <w:pPr>
              <w:spacing w:after="0" w:line="240" w:lineRule="auto"/>
              <w:jc w:val="center"/>
              <w:rPr>
                <w:rFonts w:eastAsia="Times New Roman"/>
                <w:color w:val="000000"/>
                <w:sz w:val="19"/>
                <w:szCs w:val="19"/>
                <w:lang w:eastAsia="ru-RU"/>
              </w:rPr>
            </w:pPr>
            <w:r w:rsidRPr="009A4C46">
              <w:rPr>
                <w:rFonts w:eastAsia="Times New Roman"/>
                <w:bCs/>
                <w:color w:val="000000"/>
                <w:sz w:val="19"/>
                <w:szCs w:val="19"/>
                <w:lang w:eastAsia="ru-RU" w:bidi="ru-RU"/>
              </w:rPr>
              <w:t>-4 635</w:t>
            </w:r>
          </w:p>
        </w:tc>
        <w:tc>
          <w:tcPr>
            <w:tcW w:w="743" w:type="pct"/>
            <w:shd w:val="clear" w:color="000000" w:fill="FFFFFF"/>
            <w:vAlign w:val="center"/>
            <w:hideMark/>
          </w:tcPr>
          <w:p w14:paraId="56C4BCE4" w14:textId="77777777" w:rsidR="009A4C46" w:rsidRPr="009A4C46" w:rsidRDefault="009A4C46" w:rsidP="009A4C46">
            <w:pPr>
              <w:spacing w:after="0" w:line="240" w:lineRule="auto"/>
              <w:jc w:val="center"/>
              <w:rPr>
                <w:rFonts w:eastAsia="Times New Roman"/>
                <w:color w:val="000000"/>
                <w:sz w:val="19"/>
                <w:szCs w:val="19"/>
                <w:lang w:eastAsia="ru-RU"/>
              </w:rPr>
            </w:pPr>
            <w:r w:rsidRPr="009A4C46">
              <w:rPr>
                <w:rFonts w:eastAsia="Times New Roman"/>
                <w:color w:val="000000"/>
                <w:sz w:val="19"/>
                <w:szCs w:val="19"/>
                <w:lang w:eastAsia="ru-RU"/>
              </w:rPr>
              <w:t>-5 712</w:t>
            </w:r>
          </w:p>
        </w:tc>
        <w:tc>
          <w:tcPr>
            <w:tcW w:w="610" w:type="pct"/>
            <w:shd w:val="clear" w:color="000000" w:fill="FFFFFF"/>
            <w:vAlign w:val="center"/>
            <w:hideMark/>
          </w:tcPr>
          <w:p w14:paraId="548F5DB4" w14:textId="77777777" w:rsidR="009A4C46" w:rsidRPr="009A4C46" w:rsidRDefault="009A4C46" w:rsidP="009A4C46">
            <w:pPr>
              <w:spacing w:after="0" w:line="240" w:lineRule="auto"/>
              <w:jc w:val="center"/>
              <w:rPr>
                <w:rFonts w:eastAsia="Times New Roman"/>
                <w:color w:val="000000"/>
                <w:sz w:val="19"/>
                <w:szCs w:val="19"/>
                <w:lang w:eastAsia="ru-RU"/>
              </w:rPr>
            </w:pPr>
            <w:r w:rsidRPr="009A4C46">
              <w:rPr>
                <w:rFonts w:eastAsia="Times New Roman"/>
                <w:color w:val="000000"/>
                <w:sz w:val="19"/>
                <w:szCs w:val="19"/>
                <w:lang w:eastAsia="ru-RU"/>
              </w:rPr>
              <w:t>-1 077</w:t>
            </w:r>
          </w:p>
        </w:tc>
        <w:tc>
          <w:tcPr>
            <w:tcW w:w="583" w:type="pct"/>
            <w:shd w:val="clear" w:color="000000" w:fill="FFFFFF"/>
            <w:vAlign w:val="center"/>
            <w:hideMark/>
          </w:tcPr>
          <w:p w14:paraId="1B0AAB4B" w14:textId="77777777" w:rsidR="009A4C46" w:rsidRPr="009A4C46" w:rsidRDefault="009A4C46" w:rsidP="009A4C46">
            <w:pPr>
              <w:spacing w:after="0" w:line="240" w:lineRule="auto"/>
              <w:jc w:val="center"/>
              <w:rPr>
                <w:rFonts w:eastAsia="Times New Roman"/>
                <w:color w:val="000000"/>
                <w:sz w:val="19"/>
                <w:szCs w:val="19"/>
                <w:lang w:eastAsia="ru-RU"/>
              </w:rPr>
            </w:pPr>
            <w:r w:rsidRPr="009A4C46">
              <w:rPr>
                <w:rFonts w:eastAsia="Times New Roman"/>
                <w:bCs/>
                <w:color w:val="000000"/>
                <w:sz w:val="19"/>
                <w:szCs w:val="19"/>
                <w:lang w:eastAsia="ru-RU" w:bidi="ru-RU"/>
              </w:rPr>
              <w:t>-1 077</w:t>
            </w:r>
          </w:p>
        </w:tc>
      </w:tr>
      <w:tr w:rsidR="009A4C46" w:rsidRPr="009A4C46" w14:paraId="5C6C310A" w14:textId="77777777" w:rsidTr="00014831">
        <w:trPr>
          <w:trHeight w:val="1035"/>
        </w:trPr>
        <w:tc>
          <w:tcPr>
            <w:tcW w:w="288" w:type="pct"/>
            <w:shd w:val="clear" w:color="000000" w:fill="FFFFFF"/>
            <w:vAlign w:val="center"/>
            <w:hideMark/>
          </w:tcPr>
          <w:p w14:paraId="32CEEA39" w14:textId="77777777" w:rsidR="009A4C46" w:rsidRPr="009A4C46" w:rsidRDefault="009A4C46" w:rsidP="009A4C46">
            <w:pPr>
              <w:spacing w:after="0" w:line="240" w:lineRule="auto"/>
              <w:jc w:val="center"/>
              <w:rPr>
                <w:rFonts w:eastAsia="Times New Roman"/>
                <w:color w:val="000000"/>
                <w:sz w:val="19"/>
                <w:szCs w:val="19"/>
                <w:lang w:eastAsia="ru-RU"/>
              </w:rPr>
            </w:pPr>
            <w:r w:rsidRPr="009A4C46">
              <w:rPr>
                <w:rFonts w:eastAsia="Times New Roman"/>
                <w:bCs/>
                <w:color w:val="000000"/>
                <w:sz w:val="19"/>
                <w:szCs w:val="19"/>
                <w:lang w:eastAsia="ru-RU" w:bidi="ru-RU"/>
              </w:rPr>
              <w:lastRenderedPageBreak/>
              <w:t>1.4.</w:t>
            </w:r>
          </w:p>
        </w:tc>
        <w:tc>
          <w:tcPr>
            <w:tcW w:w="1170" w:type="pct"/>
            <w:shd w:val="clear" w:color="000000" w:fill="FFFFFF"/>
            <w:vAlign w:val="center"/>
            <w:hideMark/>
          </w:tcPr>
          <w:p w14:paraId="46FC5982" w14:textId="77777777" w:rsidR="009A4C46" w:rsidRPr="009A4C46" w:rsidRDefault="009A4C46" w:rsidP="009A4C46">
            <w:pPr>
              <w:spacing w:after="0" w:line="240" w:lineRule="auto"/>
              <w:rPr>
                <w:rFonts w:eastAsia="Times New Roman"/>
                <w:color w:val="000000"/>
                <w:sz w:val="19"/>
                <w:szCs w:val="19"/>
                <w:lang w:eastAsia="ru-RU"/>
              </w:rPr>
            </w:pPr>
            <w:r w:rsidRPr="009A4C46">
              <w:rPr>
                <w:rFonts w:eastAsia="Times New Roman"/>
                <w:bCs/>
                <w:color w:val="000000"/>
                <w:sz w:val="19"/>
                <w:szCs w:val="19"/>
                <w:lang w:eastAsia="ru-RU" w:bidi="ru-RU"/>
              </w:rPr>
              <w:t>Корректировка необходимой валовой выручки с учетом изменения полезного отпуска и цен на электрическую энергию</w:t>
            </w:r>
          </w:p>
        </w:tc>
        <w:tc>
          <w:tcPr>
            <w:tcW w:w="803" w:type="pct"/>
            <w:shd w:val="clear" w:color="000000" w:fill="FFFFFF"/>
            <w:vAlign w:val="center"/>
            <w:hideMark/>
          </w:tcPr>
          <w:p w14:paraId="5A02B108" w14:textId="77777777" w:rsidR="009A4C46" w:rsidRPr="009A4C46" w:rsidRDefault="009A4C46" w:rsidP="009A4C46">
            <w:pPr>
              <w:spacing w:after="0" w:line="240" w:lineRule="auto"/>
              <w:jc w:val="center"/>
              <w:rPr>
                <w:rFonts w:eastAsia="Times New Roman"/>
                <w:color w:val="000000"/>
                <w:sz w:val="19"/>
                <w:szCs w:val="19"/>
                <w:lang w:eastAsia="ru-RU"/>
              </w:rPr>
            </w:pPr>
            <w:r w:rsidRPr="009A4C46">
              <w:rPr>
                <w:rFonts w:eastAsia="Times New Roman"/>
                <w:bCs/>
                <w:color w:val="000000"/>
                <w:sz w:val="19"/>
                <w:szCs w:val="19"/>
                <w:lang w:eastAsia="ru-RU" w:bidi="ru-RU"/>
              </w:rPr>
              <w:t>27 395</w:t>
            </w:r>
          </w:p>
        </w:tc>
        <w:tc>
          <w:tcPr>
            <w:tcW w:w="803" w:type="pct"/>
            <w:shd w:val="clear" w:color="000000" w:fill="FFFFFF"/>
            <w:vAlign w:val="center"/>
            <w:hideMark/>
          </w:tcPr>
          <w:p w14:paraId="344E73D2" w14:textId="77777777" w:rsidR="009A4C46" w:rsidRPr="009A4C46" w:rsidRDefault="009A4C46" w:rsidP="009A4C46">
            <w:pPr>
              <w:spacing w:after="0" w:line="240" w:lineRule="auto"/>
              <w:jc w:val="center"/>
              <w:rPr>
                <w:rFonts w:eastAsia="Times New Roman"/>
                <w:color w:val="000000"/>
                <w:sz w:val="19"/>
                <w:szCs w:val="19"/>
                <w:lang w:eastAsia="ru-RU"/>
              </w:rPr>
            </w:pPr>
            <w:r w:rsidRPr="009A4C46">
              <w:rPr>
                <w:rFonts w:eastAsia="Times New Roman"/>
                <w:bCs/>
                <w:color w:val="000000"/>
                <w:sz w:val="19"/>
                <w:szCs w:val="19"/>
                <w:lang w:eastAsia="ru-RU" w:bidi="ru-RU"/>
              </w:rPr>
              <w:t>27 395</w:t>
            </w:r>
          </w:p>
        </w:tc>
        <w:tc>
          <w:tcPr>
            <w:tcW w:w="743" w:type="pct"/>
            <w:shd w:val="clear" w:color="000000" w:fill="FFFFFF"/>
            <w:vAlign w:val="center"/>
            <w:hideMark/>
          </w:tcPr>
          <w:p w14:paraId="40BE190E" w14:textId="77777777" w:rsidR="009A4C46" w:rsidRPr="009A4C46" w:rsidRDefault="009A4C46" w:rsidP="009A4C46">
            <w:pPr>
              <w:spacing w:after="0" w:line="240" w:lineRule="auto"/>
              <w:jc w:val="center"/>
              <w:rPr>
                <w:rFonts w:eastAsia="Times New Roman"/>
                <w:color w:val="000000"/>
                <w:sz w:val="19"/>
                <w:szCs w:val="19"/>
                <w:lang w:eastAsia="ru-RU"/>
              </w:rPr>
            </w:pPr>
            <w:r w:rsidRPr="009A4C46">
              <w:rPr>
                <w:rFonts w:eastAsia="Times New Roman"/>
                <w:color w:val="000000"/>
                <w:sz w:val="19"/>
                <w:szCs w:val="19"/>
                <w:lang w:eastAsia="ru-RU"/>
              </w:rPr>
              <w:t>27 395</w:t>
            </w:r>
          </w:p>
        </w:tc>
        <w:tc>
          <w:tcPr>
            <w:tcW w:w="610" w:type="pct"/>
            <w:shd w:val="clear" w:color="000000" w:fill="FFFFFF"/>
            <w:vAlign w:val="center"/>
            <w:hideMark/>
          </w:tcPr>
          <w:p w14:paraId="57D3F8CA" w14:textId="77777777" w:rsidR="009A4C46" w:rsidRPr="009A4C46" w:rsidRDefault="009A4C46" w:rsidP="009A4C46">
            <w:pPr>
              <w:spacing w:after="0" w:line="240" w:lineRule="auto"/>
              <w:jc w:val="center"/>
              <w:rPr>
                <w:rFonts w:eastAsia="Times New Roman"/>
                <w:color w:val="000000"/>
                <w:sz w:val="19"/>
                <w:szCs w:val="19"/>
                <w:lang w:eastAsia="ru-RU"/>
              </w:rPr>
            </w:pPr>
            <w:r w:rsidRPr="009A4C46">
              <w:rPr>
                <w:rFonts w:eastAsia="Times New Roman"/>
                <w:color w:val="000000"/>
                <w:sz w:val="19"/>
                <w:szCs w:val="19"/>
                <w:lang w:eastAsia="ru-RU"/>
              </w:rPr>
              <w:t>0</w:t>
            </w:r>
          </w:p>
        </w:tc>
        <w:tc>
          <w:tcPr>
            <w:tcW w:w="583" w:type="pct"/>
            <w:shd w:val="clear" w:color="000000" w:fill="FFFFFF"/>
            <w:vAlign w:val="center"/>
            <w:hideMark/>
          </w:tcPr>
          <w:p w14:paraId="79FC3AE4" w14:textId="77777777" w:rsidR="009A4C46" w:rsidRPr="009A4C46" w:rsidRDefault="009A4C46" w:rsidP="009A4C46">
            <w:pPr>
              <w:spacing w:after="0" w:line="240" w:lineRule="auto"/>
              <w:jc w:val="center"/>
              <w:rPr>
                <w:rFonts w:eastAsia="Times New Roman"/>
                <w:color w:val="000000"/>
                <w:sz w:val="19"/>
                <w:szCs w:val="19"/>
                <w:lang w:eastAsia="ru-RU"/>
              </w:rPr>
            </w:pPr>
            <w:r w:rsidRPr="009A4C46">
              <w:rPr>
                <w:rFonts w:eastAsia="Times New Roman"/>
                <w:bCs/>
                <w:color w:val="000000"/>
                <w:sz w:val="19"/>
                <w:szCs w:val="19"/>
                <w:lang w:eastAsia="ru-RU" w:bidi="ru-RU"/>
              </w:rPr>
              <w:t>0</w:t>
            </w:r>
          </w:p>
        </w:tc>
      </w:tr>
      <w:tr w:rsidR="009A4C46" w:rsidRPr="009A4C46" w14:paraId="2263F3BA" w14:textId="77777777" w:rsidTr="00014831">
        <w:trPr>
          <w:trHeight w:val="780"/>
        </w:trPr>
        <w:tc>
          <w:tcPr>
            <w:tcW w:w="288" w:type="pct"/>
            <w:shd w:val="clear" w:color="000000" w:fill="FFFFFF"/>
            <w:vAlign w:val="center"/>
            <w:hideMark/>
          </w:tcPr>
          <w:p w14:paraId="3DA24258" w14:textId="77777777" w:rsidR="009A4C46" w:rsidRPr="009A4C46" w:rsidRDefault="009A4C46" w:rsidP="009A4C46">
            <w:pPr>
              <w:spacing w:after="0" w:line="240" w:lineRule="auto"/>
              <w:jc w:val="center"/>
              <w:rPr>
                <w:rFonts w:eastAsia="Times New Roman"/>
                <w:color w:val="000000"/>
                <w:sz w:val="19"/>
                <w:szCs w:val="19"/>
                <w:lang w:eastAsia="ru-RU"/>
              </w:rPr>
            </w:pPr>
            <w:r w:rsidRPr="009A4C46">
              <w:rPr>
                <w:rFonts w:eastAsia="Times New Roman"/>
                <w:bCs/>
                <w:color w:val="000000"/>
                <w:sz w:val="19"/>
                <w:szCs w:val="19"/>
                <w:lang w:eastAsia="ru-RU" w:bidi="ru-RU"/>
              </w:rPr>
              <w:t>1.5.</w:t>
            </w:r>
          </w:p>
        </w:tc>
        <w:tc>
          <w:tcPr>
            <w:tcW w:w="1170" w:type="pct"/>
            <w:shd w:val="clear" w:color="000000" w:fill="FFFFFF"/>
            <w:vAlign w:val="center"/>
            <w:hideMark/>
          </w:tcPr>
          <w:p w14:paraId="14D81186" w14:textId="77777777" w:rsidR="009A4C46" w:rsidRPr="009A4C46" w:rsidRDefault="009A4C46" w:rsidP="009A4C46">
            <w:pPr>
              <w:spacing w:after="0" w:line="240" w:lineRule="auto"/>
              <w:rPr>
                <w:rFonts w:eastAsia="Times New Roman"/>
                <w:color w:val="000000"/>
                <w:sz w:val="19"/>
                <w:szCs w:val="19"/>
                <w:lang w:eastAsia="ru-RU"/>
              </w:rPr>
            </w:pPr>
            <w:r w:rsidRPr="009A4C46">
              <w:rPr>
                <w:rFonts w:eastAsia="Times New Roman"/>
                <w:bCs/>
                <w:color w:val="000000"/>
                <w:sz w:val="19"/>
                <w:szCs w:val="19"/>
                <w:lang w:eastAsia="ru-RU" w:bidi="ru-RU"/>
              </w:rPr>
              <w:t>Корректировка неподконтрольных расходов исходя из фактических значений</w:t>
            </w:r>
          </w:p>
        </w:tc>
        <w:tc>
          <w:tcPr>
            <w:tcW w:w="803" w:type="pct"/>
            <w:shd w:val="clear" w:color="000000" w:fill="FFFFFF"/>
            <w:vAlign w:val="center"/>
            <w:hideMark/>
          </w:tcPr>
          <w:p w14:paraId="4024F634" w14:textId="77777777" w:rsidR="009A4C46" w:rsidRPr="009A4C46" w:rsidRDefault="009A4C46" w:rsidP="009A4C46">
            <w:pPr>
              <w:spacing w:after="0" w:line="240" w:lineRule="auto"/>
              <w:jc w:val="center"/>
              <w:rPr>
                <w:rFonts w:eastAsia="Times New Roman"/>
                <w:color w:val="000000"/>
                <w:sz w:val="19"/>
                <w:szCs w:val="19"/>
                <w:lang w:eastAsia="ru-RU"/>
              </w:rPr>
            </w:pPr>
            <w:r w:rsidRPr="009A4C46">
              <w:rPr>
                <w:rFonts w:eastAsia="Times New Roman"/>
                <w:bCs/>
                <w:color w:val="000000"/>
                <w:sz w:val="19"/>
                <w:szCs w:val="19"/>
                <w:lang w:eastAsia="ru-RU" w:bidi="ru-RU"/>
              </w:rPr>
              <w:t>196 093</w:t>
            </w:r>
          </w:p>
        </w:tc>
        <w:tc>
          <w:tcPr>
            <w:tcW w:w="803" w:type="pct"/>
            <w:shd w:val="clear" w:color="000000" w:fill="FFFFFF"/>
            <w:vAlign w:val="center"/>
            <w:hideMark/>
          </w:tcPr>
          <w:p w14:paraId="65060F64" w14:textId="77777777" w:rsidR="009A4C46" w:rsidRPr="009A4C46" w:rsidRDefault="009A4C46" w:rsidP="009A4C46">
            <w:pPr>
              <w:spacing w:after="0" w:line="240" w:lineRule="auto"/>
              <w:jc w:val="center"/>
              <w:rPr>
                <w:rFonts w:eastAsia="Times New Roman"/>
                <w:color w:val="000000"/>
                <w:sz w:val="19"/>
                <w:szCs w:val="19"/>
                <w:lang w:eastAsia="ru-RU"/>
              </w:rPr>
            </w:pPr>
            <w:r w:rsidRPr="009A4C46">
              <w:rPr>
                <w:rFonts w:eastAsia="Times New Roman"/>
                <w:bCs/>
                <w:color w:val="000000"/>
                <w:sz w:val="19"/>
                <w:szCs w:val="19"/>
                <w:lang w:eastAsia="ru-RU" w:bidi="ru-RU"/>
              </w:rPr>
              <w:t>196 092</w:t>
            </w:r>
          </w:p>
        </w:tc>
        <w:tc>
          <w:tcPr>
            <w:tcW w:w="743" w:type="pct"/>
            <w:shd w:val="clear" w:color="000000" w:fill="FFFFFF"/>
            <w:vAlign w:val="center"/>
            <w:hideMark/>
          </w:tcPr>
          <w:p w14:paraId="34895BC0" w14:textId="77777777" w:rsidR="009A4C46" w:rsidRPr="009A4C46" w:rsidRDefault="009A4C46" w:rsidP="009A4C46">
            <w:pPr>
              <w:spacing w:after="0" w:line="240" w:lineRule="auto"/>
              <w:jc w:val="center"/>
              <w:rPr>
                <w:rFonts w:eastAsia="Times New Roman"/>
                <w:color w:val="000000"/>
                <w:sz w:val="19"/>
                <w:szCs w:val="19"/>
                <w:lang w:eastAsia="ru-RU"/>
              </w:rPr>
            </w:pPr>
            <w:r w:rsidRPr="009A4C46">
              <w:rPr>
                <w:rFonts w:eastAsia="Times New Roman"/>
                <w:color w:val="000000"/>
                <w:sz w:val="19"/>
                <w:szCs w:val="19"/>
                <w:lang w:eastAsia="ru-RU"/>
              </w:rPr>
              <w:t>190 123</w:t>
            </w:r>
          </w:p>
        </w:tc>
        <w:tc>
          <w:tcPr>
            <w:tcW w:w="610" w:type="pct"/>
            <w:shd w:val="clear" w:color="000000" w:fill="FFFFFF"/>
            <w:vAlign w:val="center"/>
            <w:hideMark/>
          </w:tcPr>
          <w:p w14:paraId="1491A839" w14:textId="77777777" w:rsidR="009A4C46" w:rsidRPr="009A4C46" w:rsidRDefault="009A4C46" w:rsidP="009A4C46">
            <w:pPr>
              <w:spacing w:after="0" w:line="240" w:lineRule="auto"/>
              <w:jc w:val="center"/>
              <w:rPr>
                <w:rFonts w:eastAsia="Times New Roman"/>
                <w:color w:val="000000"/>
                <w:sz w:val="19"/>
                <w:szCs w:val="19"/>
                <w:lang w:eastAsia="ru-RU"/>
              </w:rPr>
            </w:pPr>
            <w:r w:rsidRPr="009A4C46">
              <w:rPr>
                <w:rFonts w:eastAsia="Times New Roman"/>
                <w:color w:val="000000"/>
                <w:sz w:val="19"/>
                <w:szCs w:val="19"/>
                <w:lang w:eastAsia="ru-RU"/>
              </w:rPr>
              <w:t>-5 969</w:t>
            </w:r>
          </w:p>
        </w:tc>
        <w:tc>
          <w:tcPr>
            <w:tcW w:w="583" w:type="pct"/>
            <w:shd w:val="clear" w:color="000000" w:fill="FFFFFF"/>
            <w:vAlign w:val="center"/>
            <w:hideMark/>
          </w:tcPr>
          <w:p w14:paraId="32EF5385" w14:textId="77777777" w:rsidR="009A4C46" w:rsidRPr="009A4C46" w:rsidRDefault="009A4C46" w:rsidP="009A4C46">
            <w:pPr>
              <w:spacing w:after="0" w:line="240" w:lineRule="auto"/>
              <w:jc w:val="center"/>
              <w:rPr>
                <w:rFonts w:eastAsia="Times New Roman"/>
                <w:color w:val="000000"/>
                <w:sz w:val="19"/>
                <w:szCs w:val="19"/>
                <w:lang w:eastAsia="ru-RU"/>
              </w:rPr>
            </w:pPr>
            <w:r w:rsidRPr="009A4C46">
              <w:rPr>
                <w:rFonts w:eastAsia="Times New Roman"/>
                <w:bCs/>
                <w:color w:val="000000"/>
                <w:sz w:val="19"/>
                <w:szCs w:val="19"/>
                <w:lang w:eastAsia="ru-RU" w:bidi="ru-RU"/>
              </w:rPr>
              <w:t>-5 970</w:t>
            </w:r>
          </w:p>
        </w:tc>
      </w:tr>
      <w:tr w:rsidR="009A4C46" w:rsidRPr="009A4C46" w14:paraId="3C853410" w14:textId="77777777" w:rsidTr="00014831">
        <w:trPr>
          <w:trHeight w:val="1290"/>
        </w:trPr>
        <w:tc>
          <w:tcPr>
            <w:tcW w:w="288" w:type="pct"/>
            <w:shd w:val="clear" w:color="000000" w:fill="FFFFFF"/>
            <w:vAlign w:val="center"/>
            <w:hideMark/>
          </w:tcPr>
          <w:p w14:paraId="6F89FB50" w14:textId="77777777" w:rsidR="009A4C46" w:rsidRPr="009A4C46" w:rsidRDefault="009A4C46" w:rsidP="009A4C46">
            <w:pPr>
              <w:spacing w:after="0" w:line="240" w:lineRule="auto"/>
              <w:jc w:val="center"/>
              <w:rPr>
                <w:rFonts w:eastAsia="Times New Roman"/>
                <w:color w:val="000000"/>
                <w:sz w:val="19"/>
                <w:szCs w:val="19"/>
                <w:lang w:eastAsia="ru-RU"/>
              </w:rPr>
            </w:pPr>
            <w:r w:rsidRPr="009A4C46">
              <w:rPr>
                <w:rFonts w:eastAsia="Times New Roman"/>
                <w:bCs/>
                <w:color w:val="000000"/>
                <w:sz w:val="19"/>
                <w:szCs w:val="19"/>
                <w:lang w:eastAsia="ru-RU" w:bidi="ru-RU"/>
              </w:rPr>
              <w:t>1.6.</w:t>
            </w:r>
          </w:p>
        </w:tc>
        <w:tc>
          <w:tcPr>
            <w:tcW w:w="1170" w:type="pct"/>
            <w:shd w:val="clear" w:color="000000" w:fill="FFFFFF"/>
            <w:vAlign w:val="center"/>
            <w:hideMark/>
          </w:tcPr>
          <w:p w14:paraId="1B7B169D" w14:textId="77777777" w:rsidR="009A4C46" w:rsidRPr="009A4C46" w:rsidRDefault="009A4C46" w:rsidP="009A4C46">
            <w:pPr>
              <w:spacing w:after="0" w:line="240" w:lineRule="auto"/>
              <w:rPr>
                <w:rFonts w:eastAsia="Times New Roman"/>
                <w:color w:val="000000"/>
                <w:sz w:val="19"/>
                <w:szCs w:val="19"/>
                <w:lang w:eastAsia="ru-RU"/>
              </w:rPr>
            </w:pPr>
            <w:r w:rsidRPr="009A4C46">
              <w:rPr>
                <w:rFonts w:eastAsia="Times New Roman"/>
                <w:bCs/>
                <w:color w:val="000000"/>
                <w:sz w:val="19"/>
                <w:szCs w:val="19"/>
                <w:lang w:eastAsia="ru-RU" w:bidi="ru-RU"/>
              </w:rPr>
              <w:t>Корректировка, осуществляемая в связи с изменением (неисполнением) инвестиционной программы за 2017 год</w:t>
            </w:r>
          </w:p>
        </w:tc>
        <w:tc>
          <w:tcPr>
            <w:tcW w:w="803" w:type="pct"/>
            <w:shd w:val="clear" w:color="000000" w:fill="FFFFFF"/>
            <w:vAlign w:val="center"/>
            <w:hideMark/>
          </w:tcPr>
          <w:p w14:paraId="5C1F43E6" w14:textId="77777777" w:rsidR="009A4C46" w:rsidRPr="009A4C46" w:rsidRDefault="009A4C46" w:rsidP="009A4C46">
            <w:pPr>
              <w:spacing w:after="0" w:line="240" w:lineRule="auto"/>
              <w:jc w:val="center"/>
              <w:rPr>
                <w:rFonts w:eastAsia="Times New Roman"/>
                <w:color w:val="000000"/>
                <w:sz w:val="19"/>
                <w:szCs w:val="19"/>
                <w:lang w:eastAsia="ru-RU"/>
              </w:rPr>
            </w:pPr>
            <w:r w:rsidRPr="009A4C46">
              <w:rPr>
                <w:rFonts w:eastAsia="Times New Roman"/>
                <w:bCs/>
                <w:color w:val="000000"/>
                <w:sz w:val="19"/>
                <w:szCs w:val="19"/>
                <w:lang w:eastAsia="ru-RU" w:bidi="ru-RU"/>
              </w:rPr>
              <w:t>-3 058</w:t>
            </w:r>
          </w:p>
        </w:tc>
        <w:tc>
          <w:tcPr>
            <w:tcW w:w="803" w:type="pct"/>
            <w:shd w:val="clear" w:color="000000" w:fill="FFFFFF"/>
            <w:vAlign w:val="center"/>
            <w:hideMark/>
          </w:tcPr>
          <w:p w14:paraId="367CB79B" w14:textId="77777777" w:rsidR="009A4C46" w:rsidRPr="009A4C46" w:rsidRDefault="009A4C46" w:rsidP="009A4C46">
            <w:pPr>
              <w:spacing w:after="0" w:line="240" w:lineRule="auto"/>
              <w:jc w:val="center"/>
              <w:rPr>
                <w:rFonts w:eastAsia="Times New Roman"/>
                <w:color w:val="000000"/>
                <w:sz w:val="19"/>
                <w:szCs w:val="19"/>
                <w:lang w:eastAsia="ru-RU"/>
              </w:rPr>
            </w:pPr>
            <w:r w:rsidRPr="009A4C46">
              <w:rPr>
                <w:rFonts w:eastAsia="Times New Roman"/>
                <w:bCs/>
                <w:color w:val="000000"/>
                <w:sz w:val="19"/>
                <w:szCs w:val="19"/>
                <w:lang w:eastAsia="ru-RU" w:bidi="ru-RU"/>
              </w:rPr>
              <w:t>-3 058</w:t>
            </w:r>
          </w:p>
        </w:tc>
        <w:tc>
          <w:tcPr>
            <w:tcW w:w="743" w:type="pct"/>
            <w:shd w:val="clear" w:color="000000" w:fill="FFFFFF"/>
            <w:vAlign w:val="center"/>
            <w:hideMark/>
          </w:tcPr>
          <w:p w14:paraId="699C821C" w14:textId="77777777" w:rsidR="009A4C46" w:rsidRPr="009A4C46" w:rsidRDefault="009A4C46" w:rsidP="009A4C46">
            <w:pPr>
              <w:spacing w:after="0" w:line="240" w:lineRule="auto"/>
              <w:jc w:val="center"/>
              <w:rPr>
                <w:rFonts w:eastAsia="Times New Roman"/>
                <w:color w:val="000000"/>
                <w:sz w:val="19"/>
                <w:szCs w:val="19"/>
                <w:lang w:eastAsia="ru-RU"/>
              </w:rPr>
            </w:pPr>
            <w:r w:rsidRPr="009A4C46">
              <w:rPr>
                <w:rFonts w:eastAsia="Times New Roman"/>
                <w:color w:val="000000"/>
                <w:sz w:val="19"/>
                <w:szCs w:val="19"/>
                <w:lang w:eastAsia="ru-RU"/>
              </w:rPr>
              <w:t>-3 058</w:t>
            </w:r>
          </w:p>
        </w:tc>
        <w:tc>
          <w:tcPr>
            <w:tcW w:w="610" w:type="pct"/>
            <w:shd w:val="clear" w:color="000000" w:fill="FFFFFF"/>
            <w:vAlign w:val="center"/>
            <w:hideMark/>
          </w:tcPr>
          <w:p w14:paraId="34384CFB" w14:textId="77777777" w:rsidR="009A4C46" w:rsidRPr="009A4C46" w:rsidRDefault="009A4C46" w:rsidP="009A4C46">
            <w:pPr>
              <w:spacing w:after="0" w:line="240" w:lineRule="auto"/>
              <w:jc w:val="center"/>
              <w:rPr>
                <w:rFonts w:eastAsia="Times New Roman"/>
                <w:color w:val="000000"/>
                <w:sz w:val="19"/>
                <w:szCs w:val="19"/>
                <w:lang w:eastAsia="ru-RU"/>
              </w:rPr>
            </w:pPr>
            <w:r w:rsidRPr="009A4C46">
              <w:rPr>
                <w:rFonts w:eastAsia="Times New Roman"/>
                <w:color w:val="000000"/>
                <w:sz w:val="19"/>
                <w:szCs w:val="19"/>
                <w:lang w:eastAsia="ru-RU"/>
              </w:rPr>
              <w:t>0</w:t>
            </w:r>
          </w:p>
        </w:tc>
        <w:tc>
          <w:tcPr>
            <w:tcW w:w="583" w:type="pct"/>
            <w:shd w:val="clear" w:color="000000" w:fill="FFFFFF"/>
            <w:vAlign w:val="center"/>
            <w:hideMark/>
          </w:tcPr>
          <w:p w14:paraId="6EEE06BB" w14:textId="77777777" w:rsidR="009A4C46" w:rsidRPr="009A4C46" w:rsidRDefault="009A4C46" w:rsidP="009A4C46">
            <w:pPr>
              <w:spacing w:after="0" w:line="240" w:lineRule="auto"/>
              <w:jc w:val="center"/>
              <w:rPr>
                <w:rFonts w:eastAsia="Times New Roman"/>
                <w:color w:val="000000"/>
                <w:sz w:val="19"/>
                <w:szCs w:val="19"/>
                <w:lang w:eastAsia="ru-RU"/>
              </w:rPr>
            </w:pPr>
            <w:r w:rsidRPr="009A4C46">
              <w:rPr>
                <w:rFonts w:eastAsia="Times New Roman"/>
                <w:bCs/>
                <w:color w:val="000000"/>
                <w:sz w:val="19"/>
                <w:szCs w:val="19"/>
                <w:lang w:eastAsia="ru-RU" w:bidi="ru-RU"/>
              </w:rPr>
              <w:t>0</w:t>
            </w:r>
          </w:p>
        </w:tc>
      </w:tr>
      <w:tr w:rsidR="009A4C46" w:rsidRPr="009A4C46" w14:paraId="2B01F460" w14:textId="77777777" w:rsidTr="00014831">
        <w:trPr>
          <w:trHeight w:val="1035"/>
        </w:trPr>
        <w:tc>
          <w:tcPr>
            <w:tcW w:w="288" w:type="pct"/>
            <w:shd w:val="clear" w:color="000000" w:fill="FFFFFF"/>
            <w:vAlign w:val="center"/>
            <w:hideMark/>
          </w:tcPr>
          <w:p w14:paraId="5D2B14AA" w14:textId="77777777" w:rsidR="009A4C46" w:rsidRPr="009A4C46" w:rsidRDefault="009A4C46" w:rsidP="009A4C46">
            <w:pPr>
              <w:spacing w:after="0" w:line="240" w:lineRule="auto"/>
              <w:jc w:val="center"/>
              <w:rPr>
                <w:rFonts w:eastAsia="Times New Roman"/>
                <w:color w:val="000000"/>
                <w:sz w:val="19"/>
                <w:szCs w:val="19"/>
                <w:lang w:eastAsia="ru-RU"/>
              </w:rPr>
            </w:pPr>
            <w:r w:rsidRPr="009A4C46">
              <w:rPr>
                <w:rFonts w:eastAsia="Times New Roman"/>
                <w:bCs/>
                <w:color w:val="000000"/>
                <w:sz w:val="19"/>
                <w:szCs w:val="19"/>
                <w:lang w:eastAsia="ru-RU" w:bidi="ru-RU"/>
              </w:rPr>
              <w:t>1.7.</w:t>
            </w:r>
          </w:p>
        </w:tc>
        <w:tc>
          <w:tcPr>
            <w:tcW w:w="1170" w:type="pct"/>
            <w:shd w:val="clear" w:color="000000" w:fill="FFFFFF"/>
            <w:vAlign w:val="center"/>
            <w:hideMark/>
          </w:tcPr>
          <w:p w14:paraId="58C4A934" w14:textId="77777777" w:rsidR="009A4C46" w:rsidRPr="009A4C46" w:rsidRDefault="009A4C46" w:rsidP="009A4C46">
            <w:pPr>
              <w:spacing w:after="0" w:line="240" w:lineRule="auto"/>
              <w:rPr>
                <w:rFonts w:eastAsia="Times New Roman"/>
                <w:color w:val="000000"/>
                <w:sz w:val="19"/>
                <w:szCs w:val="19"/>
                <w:lang w:eastAsia="ru-RU"/>
              </w:rPr>
            </w:pPr>
            <w:r w:rsidRPr="009A4C46">
              <w:rPr>
                <w:rFonts w:eastAsia="Times New Roman"/>
                <w:bCs/>
                <w:color w:val="000000"/>
                <w:sz w:val="19"/>
                <w:szCs w:val="19"/>
                <w:lang w:eastAsia="ru-RU" w:bidi="ru-RU"/>
              </w:rPr>
              <w:t>Корректировка с учетом надежности и качества производимых (реализуемых) товаров (услуг) в 2017 году</w:t>
            </w:r>
          </w:p>
        </w:tc>
        <w:tc>
          <w:tcPr>
            <w:tcW w:w="803" w:type="pct"/>
            <w:shd w:val="clear" w:color="000000" w:fill="FFFFFF"/>
            <w:vAlign w:val="center"/>
            <w:hideMark/>
          </w:tcPr>
          <w:p w14:paraId="0B9C1BDE" w14:textId="77777777" w:rsidR="009A4C46" w:rsidRPr="009A4C46" w:rsidRDefault="009A4C46" w:rsidP="009A4C46">
            <w:pPr>
              <w:spacing w:after="0" w:line="240" w:lineRule="auto"/>
              <w:jc w:val="center"/>
              <w:rPr>
                <w:rFonts w:eastAsia="Times New Roman"/>
                <w:color w:val="000000"/>
                <w:sz w:val="19"/>
                <w:szCs w:val="19"/>
                <w:lang w:eastAsia="ru-RU"/>
              </w:rPr>
            </w:pPr>
            <w:r w:rsidRPr="009A4C46">
              <w:rPr>
                <w:rFonts w:eastAsia="Times New Roman"/>
                <w:bCs/>
                <w:color w:val="000000"/>
                <w:sz w:val="19"/>
                <w:szCs w:val="19"/>
                <w:lang w:eastAsia="ru-RU" w:bidi="ru-RU"/>
              </w:rPr>
              <w:t>15 174</w:t>
            </w:r>
          </w:p>
        </w:tc>
        <w:tc>
          <w:tcPr>
            <w:tcW w:w="803" w:type="pct"/>
            <w:shd w:val="clear" w:color="000000" w:fill="FFFFFF"/>
            <w:vAlign w:val="center"/>
            <w:hideMark/>
          </w:tcPr>
          <w:p w14:paraId="7EE5BD4E" w14:textId="77777777" w:rsidR="009A4C46" w:rsidRPr="009A4C46" w:rsidRDefault="009A4C46" w:rsidP="009A4C46">
            <w:pPr>
              <w:spacing w:after="0" w:line="240" w:lineRule="auto"/>
              <w:jc w:val="center"/>
              <w:rPr>
                <w:rFonts w:eastAsia="Times New Roman"/>
                <w:color w:val="000000"/>
                <w:sz w:val="19"/>
                <w:szCs w:val="19"/>
                <w:lang w:eastAsia="ru-RU"/>
              </w:rPr>
            </w:pPr>
            <w:r w:rsidRPr="009A4C46">
              <w:rPr>
                <w:rFonts w:eastAsia="Times New Roman"/>
                <w:bCs/>
                <w:color w:val="000000"/>
                <w:sz w:val="19"/>
                <w:szCs w:val="19"/>
                <w:lang w:eastAsia="ru-RU" w:bidi="ru-RU"/>
              </w:rPr>
              <w:t>15 174</w:t>
            </w:r>
          </w:p>
        </w:tc>
        <w:tc>
          <w:tcPr>
            <w:tcW w:w="743" w:type="pct"/>
            <w:shd w:val="clear" w:color="000000" w:fill="FFFFFF"/>
            <w:vAlign w:val="center"/>
            <w:hideMark/>
          </w:tcPr>
          <w:p w14:paraId="4E9C593D" w14:textId="77777777" w:rsidR="009A4C46" w:rsidRPr="009A4C46" w:rsidRDefault="009A4C46" w:rsidP="009A4C46">
            <w:pPr>
              <w:spacing w:after="0" w:line="240" w:lineRule="auto"/>
              <w:jc w:val="center"/>
              <w:rPr>
                <w:rFonts w:eastAsia="Times New Roman"/>
                <w:color w:val="000000"/>
                <w:sz w:val="19"/>
                <w:szCs w:val="19"/>
                <w:lang w:eastAsia="ru-RU"/>
              </w:rPr>
            </w:pPr>
            <w:r w:rsidRPr="009A4C46">
              <w:rPr>
                <w:rFonts w:eastAsia="Times New Roman"/>
                <w:color w:val="000000"/>
                <w:sz w:val="19"/>
                <w:szCs w:val="19"/>
                <w:lang w:eastAsia="ru-RU"/>
              </w:rPr>
              <w:t>15 174</w:t>
            </w:r>
          </w:p>
        </w:tc>
        <w:tc>
          <w:tcPr>
            <w:tcW w:w="610" w:type="pct"/>
            <w:shd w:val="clear" w:color="000000" w:fill="FFFFFF"/>
            <w:vAlign w:val="center"/>
            <w:hideMark/>
          </w:tcPr>
          <w:p w14:paraId="5F185565" w14:textId="77777777" w:rsidR="009A4C46" w:rsidRPr="009A4C46" w:rsidRDefault="009A4C46" w:rsidP="009A4C46">
            <w:pPr>
              <w:spacing w:after="0" w:line="240" w:lineRule="auto"/>
              <w:jc w:val="center"/>
              <w:rPr>
                <w:rFonts w:eastAsia="Times New Roman"/>
                <w:color w:val="000000"/>
                <w:sz w:val="19"/>
                <w:szCs w:val="19"/>
                <w:lang w:eastAsia="ru-RU"/>
              </w:rPr>
            </w:pPr>
            <w:r w:rsidRPr="009A4C46">
              <w:rPr>
                <w:rFonts w:eastAsia="Times New Roman"/>
                <w:color w:val="000000"/>
                <w:sz w:val="19"/>
                <w:szCs w:val="19"/>
                <w:lang w:eastAsia="ru-RU"/>
              </w:rPr>
              <w:t>0</w:t>
            </w:r>
          </w:p>
        </w:tc>
        <w:tc>
          <w:tcPr>
            <w:tcW w:w="583" w:type="pct"/>
            <w:shd w:val="clear" w:color="000000" w:fill="FFFFFF"/>
            <w:vAlign w:val="center"/>
            <w:hideMark/>
          </w:tcPr>
          <w:p w14:paraId="4390F489" w14:textId="77777777" w:rsidR="009A4C46" w:rsidRPr="009A4C46" w:rsidRDefault="009A4C46" w:rsidP="009A4C46">
            <w:pPr>
              <w:spacing w:after="0" w:line="240" w:lineRule="auto"/>
              <w:jc w:val="center"/>
              <w:rPr>
                <w:rFonts w:eastAsia="Times New Roman"/>
                <w:color w:val="000000"/>
                <w:sz w:val="19"/>
                <w:szCs w:val="19"/>
                <w:lang w:eastAsia="ru-RU"/>
              </w:rPr>
            </w:pPr>
            <w:r w:rsidRPr="009A4C46">
              <w:rPr>
                <w:rFonts w:eastAsia="Times New Roman"/>
                <w:bCs/>
                <w:color w:val="000000"/>
                <w:sz w:val="19"/>
                <w:szCs w:val="19"/>
                <w:lang w:eastAsia="ru-RU" w:bidi="ru-RU"/>
              </w:rPr>
              <w:t>0</w:t>
            </w:r>
          </w:p>
        </w:tc>
      </w:tr>
      <w:tr w:rsidR="009A4C46" w:rsidRPr="009A4C46" w14:paraId="22D17609" w14:textId="77777777" w:rsidTr="00014831">
        <w:trPr>
          <w:trHeight w:val="525"/>
        </w:trPr>
        <w:tc>
          <w:tcPr>
            <w:tcW w:w="288" w:type="pct"/>
            <w:shd w:val="clear" w:color="000000" w:fill="FFFFFF"/>
            <w:vAlign w:val="center"/>
            <w:hideMark/>
          </w:tcPr>
          <w:p w14:paraId="0508E118" w14:textId="77777777" w:rsidR="009A4C46" w:rsidRPr="009A4C46" w:rsidRDefault="009A4C46" w:rsidP="009A4C46">
            <w:pPr>
              <w:spacing w:after="0" w:line="240" w:lineRule="auto"/>
              <w:jc w:val="center"/>
              <w:rPr>
                <w:rFonts w:eastAsia="Times New Roman"/>
                <w:color w:val="000000"/>
                <w:sz w:val="19"/>
                <w:szCs w:val="19"/>
                <w:lang w:eastAsia="ru-RU"/>
              </w:rPr>
            </w:pPr>
            <w:r w:rsidRPr="009A4C46">
              <w:rPr>
                <w:rFonts w:eastAsia="Times New Roman"/>
                <w:bCs/>
                <w:color w:val="000000"/>
                <w:sz w:val="19"/>
                <w:szCs w:val="19"/>
                <w:lang w:eastAsia="ru-RU" w:bidi="ru-RU"/>
              </w:rPr>
              <w:t>2.</w:t>
            </w:r>
          </w:p>
        </w:tc>
        <w:tc>
          <w:tcPr>
            <w:tcW w:w="1170" w:type="pct"/>
            <w:shd w:val="clear" w:color="000000" w:fill="FFFFFF"/>
            <w:vAlign w:val="center"/>
            <w:hideMark/>
          </w:tcPr>
          <w:p w14:paraId="40AFFD82" w14:textId="77777777" w:rsidR="009A4C46" w:rsidRPr="009A4C46" w:rsidRDefault="009A4C46" w:rsidP="009A4C46">
            <w:pPr>
              <w:spacing w:after="0" w:line="240" w:lineRule="auto"/>
              <w:rPr>
                <w:rFonts w:eastAsia="Times New Roman"/>
                <w:color w:val="000000"/>
                <w:sz w:val="19"/>
                <w:szCs w:val="19"/>
                <w:lang w:eastAsia="ru-RU"/>
              </w:rPr>
            </w:pPr>
            <w:r w:rsidRPr="009A4C46">
              <w:rPr>
                <w:rFonts w:eastAsia="Times New Roman"/>
                <w:bCs/>
                <w:color w:val="000000"/>
                <w:sz w:val="19"/>
                <w:szCs w:val="19"/>
                <w:lang w:eastAsia="ru-RU" w:bidi="ru-RU"/>
              </w:rPr>
              <w:t xml:space="preserve">Корректировка НВВ по итогом 2017 года, учтенная в НВВ на 2019 году </w:t>
            </w:r>
          </w:p>
        </w:tc>
        <w:tc>
          <w:tcPr>
            <w:tcW w:w="803" w:type="pct"/>
            <w:shd w:val="clear" w:color="000000" w:fill="FFFFFF"/>
            <w:vAlign w:val="center"/>
            <w:hideMark/>
          </w:tcPr>
          <w:p w14:paraId="3A9D2903" w14:textId="77777777" w:rsidR="009A4C46" w:rsidRPr="009A4C46" w:rsidRDefault="009A4C46" w:rsidP="009A4C46">
            <w:pPr>
              <w:spacing w:after="0" w:line="240" w:lineRule="auto"/>
              <w:jc w:val="center"/>
              <w:rPr>
                <w:rFonts w:eastAsia="Times New Roman"/>
                <w:color w:val="000000"/>
                <w:sz w:val="19"/>
                <w:szCs w:val="19"/>
                <w:lang w:eastAsia="ru-RU"/>
              </w:rPr>
            </w:pPr>
            <w:r w:rsidRPr="009A4C46">
              <w:rPr>
                <w:rFonts w:eastAsia="Times New Roman"/>
                <w:bCs/>
                <w:color w:val="000000"/>
                <w:sz w:val="19"/>
                <w:szCs w:val="19"/>
                <w:lang w:eastAsia="ru-RU" w:bidi="ru-RU"/>
              </w:rPr>
              <w:t>306 614</w:t>
            </w:r>
          </w:p>
        </w:tc>
        <w:tc>
          <w:tcPr>
            <w:tcW w:w="803" w:type="pct"/>
            <w:shd w:val="clear" w:color="000000" w:fill="FFFFFF"/>
            <w:vAlign w:val="center"/>
            <w:hideMark/>
          </w:tcPr>
          <w:p w14:paraId="3A3B2830" w14:textId="77777777" w:rsidR="009A4C46" w:rsidRPr="009A4C46" w:rsidRDefault="009A4C46" w:rsidP="009A4C46">
            <w:pPr>
              <w:spacing w:after="0" w:line="240" w:lineRule="auto"/>
              <w:jc w:val="center"/>
              <w:rPr>
                <w:rFonts w:eastAsia="Times New Roman"/>
                <w:color w:val="000000"/>
                <w:sz w:val="19"/>
                <w:szCs w:val="19"/>
                <w:lang w:eastAsia="ru-RU"/>
              </w:rPr>
            </w:pPr>
            <w:r w:rsidRPr="009A4C46">
              <w:rPr>
                <w:rFonts w:eastAsia="Times New Roman"/>
                <w:bCs/>
                <w:color w:val="000000"/>
                <w:sz w:val="19"/>
                <w:szCs w:val="19"/>
                <w:lang w:eastAsia="ru-RU" w:bidi="ru-RU"/>
              </w:rPr>
              <w:t>52 349</w:t>
            </w:r>
          </w:p>
        </w:tc>
        <w:tc>
          <w:tcPr>
            <w:tcW w:w="743" w:type="pct"/>
            <w:shd w:val="clear" w:color="000000" w:fill="FFFFFF"/>
            <w:vAlign w:val="center"/>
            <w:hideMark/>
          </w:tcPr>
          <w:p w14:paraId="0A8199F3" w14:textId="77777777" w:rsidR="009A4C46" w:rsidRPr="009A4C46" w:rsidRDefault="009A4C46" w:rsidP="009A4C46">
            <w:pPr>
              <w:spacing w:after="0" w:line="240" w:lineRule="auto"/>
              <w:jc w:val="center"/>
              <w:rPr>
                <w:rFonts w:eastAsia="Times New Roman"/>
                <w:color w:val="000000"/>
                <w:sz w:val="19"/>
                <w:szCs w:val="19"/>
                <w:lang w:eastAsia="ru-RU"/>
              </w:rPr>
            </w:pPr>
            <w:r w:rsidRPr="009A4C46">
              <w:rPr>
                <w:rFonts w:eastAsia="Times New Roman"/>
                <w:color w:val="000000"/>
                <w:sz w:val="19"/>
                <w:szCs w:val="19"/>
                <w:lang w:eastAsia="ru-RU"/>
              </w:rPr>
              <w:t>52 349</w:t>
            </w:r>
          </w:p>
        </w:tc>
        <w:tc>
          <w:tcPr>
            <w:tcW w:w="610" w:type="pct"/>
            <w:shd w:val="clear" w:color="000000" w:fill="FFFFFF"/>
            <w:vAlign w:val="center"/>
            <w:hideMark/>
          </w:tcPr>
          <w:p w14:paraId="28FBB0F5" w14:textId="77777777" w:rsidR="009A4C46" w:rsidRPr="009A4C46" w:rsidRDefault="009A4C46" w:rsidP="009A4C46">
            <w:pPr>
              <w:spacing w:after="0" w:line="240" w:lineRule="auto"/>
              <w:jc w:val="center"/>
              <w:rPr>
                <w:rFonts w:eastAsia="Times New Roman"/>
                <w:color w:val="000000"/>
                <w:sz w:val="19"/>
                <w:szCs w:val="19"/>
                <w:lang w:eastAsia="ru-RU"/>
              </w:rPr>
            </w:pPr>
            <w:r w:rsidRPr="009A4C46">
              <w:rPr>
                <w:rFonts w:eastAsia="Times New Roman"/>
                <w:color w:val="000000"/>
                <w:sz w:val="19"/>
                <w:szCs w:val="19"/>
                <w:lang w:eastAsia="ru-RU"/>
              </w:rPr>
              <w:t>0</w:t>
            </w:r>
          </w:p>
        </w:tc>
        <w:tc>
          <w:tcPr>
            <w:tcW w:w="583" w:type="pct"/>
            <w:shd w:val="clear" w:color="000000" w:fill="FFFFFF"/>
            <w:vAlign w:val="center"/>
            <w:hideMark/>
          </w:tcPr>
          <w:p w14:paraId="5AC06AE3" w14:textId="77777777" w:rsidR="009A4C46" w:rsidRPr="009A4C46" w:rsidRDefault="009A4C46" w:rsidP="009A4C46">
            <w:pPr>
              <w:spacing w:after="0" w:line="240" w:lineRule="auto"/>
              <w:jc w:val="center"/>
              <w:rPr>
                <w:rFonts w:eastAsia="Times New Roman"/>
                <w:color w:val="000000"/>
                <w:sz w:val="19"/>
                <w:szCs w:val="19"/>
                <w:lang w:eastAsia="ru-RU"/>
              </w:rPr>
            </w:pPr>
            <w:r w:rsidRPr="009A4C46">
              <w:rPr>
                <w:rFonts w:eastAsia="Times New Roman"/>
                <w:bCs/>
                <w:color w:val="000000"/>
                <w:sz w:val="19"/>
                <w:szCs w:val="19"/>
                <w:lang w:eastAsia="ru-RU" w:bidi="ru-RU"/>
              </w:rPr>
              <w:t>-254 265</w:t>
            </w:r>
          </w:p>
        </w:tc>
      </w:tr>
      <w:tr w:rsidR="009A4C46" w:rsidRPr="009A4C46" w14:paraId="035476DA" w14:textId="77777777" w:rsidTr="00014831">
        <w:trPr>
          <w:trHeight w:val="525"/>
        </w:trPr>
        <w:tc>
          <w:tcPr>
            <w:tcW w:w="288" w:type="pct"/>
            <w:shd w:val="clear" w:color="000000" w:fill="FFFFFF"/>
            <w:vAlign w:val="center"/>
          </w:tcPr>
          <w:p w14:paraId="58A9FC81" w14:textId="77777777" w:rsidR="009A4C46" w:rsidRPr="009A4C46" w:rsidRDefault="009A4C46" w:rsidP="009A4C46">
            <w:pPr>
              <w:spacing w:after="0" w:line="240" w:lineRule="auto"/>
              <w:jc w:val="center"/>
              <w:rPr>
                <w:rFonts w:eastAsia="Times New Roman"/>
                <w:bCs/>
                <w:color w:val="000000"/>
                <w:sz w:val="19"/>
                <w:szCs w:val="19"/>
                <w:lang w:eastAsia="ru-RU" w:bidi="ru-RU"/>
              </w:rPr>
            </w:pPr>
            <w:r w:rsidRPr="009A4C46">
              <w:rPr>
                <w:rFonts w:eastAsia="Times New Roman"/>
                <w:bCs/>
                <w:color w:val="000000"/>
                <w:sz w:val="19"/>
                <w:szCs w:val="19"/>
                <w:lang w:eastAsia="ru-RU" w:bidi="ru-RU"/>
              </w:rPr>
              <w:t>3.</w:t>
            </w:r>
          </w:p>
        </w:tc>
        <w:tc>
          <w:tcPr>
            <w:tcW w:w="1170" w:type="pct"/>
            <w:shd w:val="clear" w:color="000000" w:fill="FFFFFF"/>
            <w:vAlign w:val="center"/>
          </w:tcPr>
          <w:p w14:paraId="0C48B469" w14:textId="77777777" w:rsidR="009A4C46" w:rsidRPr="009A4C46" w:rsidRDefault="009A4C46" w:rsidP="009A4C46">
            <w:pPr>
              <w:spacing w:after="0" w:line="240" w:lineRule="auto"/>
              <w:rPr>
                <w:rFonts w:eastAsia="Times New Roman"/>
                <w:bCs/>
                <w:color w:val="000000"/>
                <w:sz w:val="19"/>
                <w:szCs w:val="19"/>
                <w:lang w:eastAsia="ru-RU" w:bidi="ru-RU"/>
              </w:rPr>
            </w:pPr>
            <w:r w:rsidRPr="009A4C46">
              <w:rPr>
                <w:rFonts w:eastAsia="Times New Roman"/>
                <w:bCs/>
                <w:color w:val="000000"/>
                <w:sz w:val="19"/>
                <w:szCs w:val="19"/>
                <w:lang w:eastAsia="ru-RU" w:bidi="ru-RU"/>
              </w:rPr>
              <w:t xml:space="preserve">Величина корректировки, учтенная в НВВ в 2019 году за прошлые периоды регулирования </w:t>
            </w:r>
          </w:p>
        </w:tc>
        <w:tc>
          <w:tcPr>
            <w:tcW w:w="803" w:type="pct"/>
            <w:shd w:val="clear" w:color="000000" w:fill="FFFFFF"/>
            <w:vAlign w:val="center"/>
          </w:tcPr>
          <w:p w14:paraId="5C3DE7ED" w14:textId="77777777" w:rsidR="009A4C46" w:rsidRPr="009A4C46" w:rsidRDefault="009A4C46" w:rsidP="009A4C46">
            <w:pPr>
              <w:spacing w:after="0" w:line="240" w:lineRule="auto"/>
              <w:jc w:val="center"/>
              <w:rPr>
                <w:rFonts w:eastAsia="Times New Roman"/>
                <w:bCs/>
                <w:color w:val="000000"/>
                <w:sz w:val="19"/>
                <w:szCs w:val="19"/>
                <w:lang w:eastAsia="ru-RU" w:bidi="ru-RU"/>
              </w:rPr>
            </w:pPr>
            <w:r w:rsidRPr="009A4C46">
              <w:rPr>
                <w:rFonts w:eastAsia="Times New Roman"/>
                <w:bCs/>
                <w:color w:val="000000"/>
                <w:sz w:val="19"/>
                <w:szCs w:val="19"/>
                <w:lang w:eastAsia="ru-RU" w:bidi="ru-RU"/>
              </w:rPr>
              <w:t>0</w:t>
            </w:r>
          </w:p>
        </w:tc>
        <w:tc>
          <w:tcPr>
            <w:tcW w:w="803" w:type="pct"/>
            <w:shd w:val="clear" w:color="000000" w:fill="FFFFFF"/>
            <w:vAlign w:val="center"/>
          </w:tcPr>
          <w:p w14:paraId="4DF74963" w14:textId="77777777" w:rsidR="009A4C46" w:rsidRPr="009A4C46" w:rsidRDefault="009A4C46" w:rsidP="009A4C46">
            <w:pPr>
              <w:spacing w:after="0" w:line="240" w:lineRule="auto"/>
              <w:jc w:val="center"/>
              <w:rPr>
                <w:rFonts w:eastAsia="Times New Roman"/>
                <w:bCs/>
                <w:color w:val="000000"/>
                <w:sz w:val="19"/>
                <w:szCs w:val="19"/>
                <w:lang w:eastAsia="ru-RU" w:bidi="ru-RU"/>
              </w:rPr>
            </w:pPr>
            <w:r w:rsidRPr="009A4C46">
              <w:rPr>
                <w:rFonts w:eastAsia="Times New Roman"/>
                <w:bCs/>
                <w:color w:val="000000"/>
                <w:sz w:val="19"/>
                <w:szCs w:val="19"/>
                <w:lang w:eastAsia="ru-RU" w:bidi="ru-RU"/>
              </w:rPr>
              <w:t>0</w:t>
            </w:r>
          </w:p>
        </w:tc>
        <w:tc>
          <w:tcPr>
            <w:tcW w:w="743" w:type="pct"/>
            <w:shd w:val="clear" w:color="000000" w:fill="FFFFFF"/>
            <w:vAlign w:val="center"/>
          </w:tcPr>
          <w:p w14:paraId="22C73016" w14:textId="77777777" w:rsidR="009A4C46" w:rsidRPr="009A4C46" w:rsidRDefault="009A4C46" w:rsidP="009A4C46">
            <w:pPr>
              <w:spacing w:after="0" w:line="240" w:lineRule="auto"/>
              <w:jc w:val="center"/>
              <w:rPr>
                <w:rFonts w:eastAsia="Times New Roman"/>
                <w:color w:val="000000"/>
                <w:sz w:val="19"/>
                <w:szCs w:val="19"/>
                <w:lang w:eastAsia="ru-RU"/>
              </w:rPr>
            </w:pPr>
            <w:r w:rsidRPr="009A4C46">
              <w:rPr>
                <w:rFonts w:eastAsia="Times New Roman"/>
                <w:color w:val="000000"/>
                <w:sz w:val="19"/>
                <w:szCs w:val="19"/>
                <w:lang w:eastAsia="ru-RU"/>
              </w:rPr>
              <w:t>574 588</w:t>
            </w:r>
          </w:p>
        </w:tc>
        <w:tc>
          <w:tcPr>
            <w:tcW w:w="610" w:type="pct"/>
            <w:shd w:val="clear" w:color="000000" w:fill="FFFFFF"/>
            <w:vAlign w:val="center"/>
          </w:tcPr>
          <w:p w14:paraId="4E8C7CA8" w14:textId="77777777" w:rsidR="009A4C46" w:rsidRPr="009A4C46" w:rsidRDefault="009A4C46" w:rsidP="009A4C46">
            <w:pPr>
              <w:spacing w:after="0" w:line="240" w:lineRule="auto"/>
              <w:jc w:val="center"/>
              <w:rPr>
                <w:rFonts w:eastAsia="Times New Roman"/>
                <w:color w:val="000000"/>
                <w:sz w:val="19"/>
                <w:szCs w:val="19"/>
                <w:lang w:eastAsia="ru-RU"/>
              </w:rPr>
            </w:pPr>
            <w:r w:rsidRPr="009A4C46">
              <w:rPr>
                <w:rFonts w:eastAsia="Times New Roman"/>
                <w:color w:val="000000"/>
                <w:sz w:val="19"/>
                <w:szCs w:val="19"/>
                <w:lang w:eastAsia="ru-RU"/>
              </w:rPr>
              <w:t>574 588</w:t>
            </w:r>
          </w:p>
        </w:tc>
        <w:tc>
          <w:tcPr>
            <w:tcW w:w="583" w:type="pct"/>
            <w:shd w:val="clear" w:color="000000" w:fill="FFFFFF"/>
            <w:vAlign w:val="center"/>
          </w:tcPr>
          <w:p w14:paraId="7E970980" w14:textId="77777777" w:rsidR="009A4C46" w:rsidRPr="009A4C46" w:rsidRDefault="009A4C46" w:rsidP="009A4C46">
            <w:pPr>
              <w:spacing w:after="0" w:line="240" w:lineRule="auto"/>
              <w:jc w:val="center"/>
              <w:rPr>
                <w:rFonts w:eastAsia="Times New Roman"/>
                <w:bCs/>
                <w:color w:val="000000"/>
                <w:sz w:val="19"/>
                <w:szCs w:val="19"/>
                <w:lang w:eastAsia="ru-RU" w:bidi="ru-RU"/>
              </w:rPr>
            </w:pPr>
            <w:r w:rsidRPr="009A4C46">
              <w:rPr>
                <w:rFonts w:eastAsia="Times New Roman"/>
                <w:bCs/>
                <w:color w:val="000000"/>
                <w:sz w:val="19"/>
                <w:szCs w:val="19"/>
                <w:lang w:eastAsia="ru-RU" w:bidi="ru-RU"/>
              </w:rPr>
              <w:t>574 588</w:t>
            </w:r>
          </w:p>
        </w:tc>
      </w:tr>
      <w:tr w:rsidR="009A4C46" w:rsidRPr="009A4C46" w14:paraId="6A4DE534" w14:textId="77777777" w:rsidTr="00014831">
        <w:trPr>
          <w:trHeight w:val="628"/>
        </w:trPr>
        <w:tc>
          <w:tcPr>
            <w:tcW w:w="288" w:type="pct"/>
            <w:shd w:val="clear" w:color="000000" w:fill="FFFFFF"/>
            <w:vAlign w:val="center"/>
          </w:tcPr>
          <w:p w14:paraId="5A604CB4" w14:textId="77777777" w:rsidR="009A4C46" w:rsidRPr="009A4C46" w:rsidRDefault="009A4C46" w:rsidP="009A4C46">
            <w:pPr>
              <w:spacing w:after="0" w:line="240" w:lineRule="auto"/>
              <w:jc w:val="center"/>
              <w:rPr>
                <w:rFonts w:eastAsia="Times New Roman"/>
                <w:b/>
                <w:bCs/>
                <w:color w:val="000000"/>
                <w:sz w:val="19"/>
                <w:szCs w:val="19"/>
                <w:lang w:eastAsia="ru-RU" w:bidi="ru-RU"/>
              </w:rPr>
            </w:pPr>
            <w:r w:rsidRPr="009A4C46">
              <w:rPr>
                <w:rFonts w:eastAsia="Times New Roman"/>
                <w:b/>
                <w:bCs/>
                <w:color w:val="000000"/>
                <w:sz w:val="19"/>
                <w:szCs w:val="19"/>
                <w:lang w:eastAsia="ru-RU" w:bidi="ru-RU"/>
              </w:rPr>
              <w:t>4.</w:t>
            </w:r>
          </w:p>
        </w:tc>
        <w:tc>
          <w:tcPr>
            <w:tcW w:w="1170" w:type="pct"/>
            <w:shd w:val="clear" w:color="000000" w:fill="FFFFFF"/>
            <w:vAlign w:val="center"/>
          </w:tcPr>
          <w:p w14:paraId="3B6B887C" w14:textId="77777777" w:rsidR="009A4C46" w:rsidRPr="009A4C46" w:rsidRDefault="009A4C46" w:rsidP="009A4C46">
            <w:pPr>
              <w:spacing w:after="0" w:line="240" w:lineRule="auto"/>
              <w:rPr>
                <w:rFonts w:eastAsia="Times New Roman"/>
                <w:b/>
                <w:bCs/>
                <w:color w:val="000000"/>
                <w:sz w:val="19"/>
                <w:szCs w:val="19"/>
                <w:lang w:eastAsia="ru-RU" w:bidi="ru-RU"/>
              </w:rPr>
            </w:pPr>
            <w:r w:rsidRPr="009A4C46">
              <w:rPr>
                <w:rFonts w:eastAsia="Times New Roman"/>
                <w:b/>
                <w:bCs/>
                <w:color w:val="000000"/>
                <w:sz w:val="19"/>
                <w:szCs w:val="19"/>
                <w:lang w:eastAsia="ru-RU" w:bidi="ru-RU"/>
              </w:rPr>
              <w:t>ИТОГО</w:t>
            </w:r>
          </w:p>
        </w:tc>
        <w:tc>
          <w:tcPr>
            <w:tcW w:w="803" w:type="pct"/>
            <w:shd w:val="clear" w:color="000000" w:fill="FFFFFF"/>
            <w:vAlign w:val="center"/>
          </w:tcPr>
          <w:p w14:paraId="275FC787" w14:textId="77777777" w:rsidR="009A4C46" w:rsidRPr="009A4C46" w:rsidRDefault="009A4C46" w:rsidP="009A4C46">
            <w:pPr>
              <w:spacing w:after="0" w:line="240" w:lineRule="auto"/>
              <w:jc w:val="center"/>
              <w:rPr>
                <w:rFonts w:eastAsia="Times New Roman"/>
                <w:b/>
                <w:bCs/>
                <w:color w:val="000000"/>
                <w:sz w:val="19"/>
                <w:szCs w:val="19"/>
                <w:lang w:eastAsia="ru-RU" w:bidi="ru-RU"/>
              </w:rPr>
            </w:pPr>
            <w:r w:rsidRPr="009A4C46">
              <w:rPr>
                <w:rFonts w:eastAsia="Times New Roman"/>
                <w:b/>
                <w:bCs/>
                <w:color w:val="000000"/>
                <w:sz w:val="19"/>
                <w:szCs w:val="19"/>
                <w:lang w:eastAsia="ru-RU" w:bidi="ru-RU"/>
              </w:rPr>
              <w:t>306 614</w:t>
            </w:r>
          </w:p>
        </w:tc>
        <w:tc>
          <w:tcPr>
            <w:tcW w:w="803" w:type="pct"/>
            <w:shd w:val="clear" w:color="000000" w:fill="FFFFFF"/>
            <w:vAlign w:val="center"/>
          </w:tcPr>
          <w:p w14:paraId="20764EA7" w14:textId="77777777" w:rsidR="009A4C46" w:rsidRPr="009A4C46" w:rsidRDefault="009A4C46" w:rsidP="009A4C46">
            <w:pPr>
              <w:spacing w:after="0" w:line="240" w:lineRule="auto"/>
              <w:jc w:val="center"/>
              <w:rPr>
                <w:rFonts w:eastAsia="Times New Roman"/>
                <w:b/>
                <w:bCs/>
                <w:color w:val="000000"/>
                <w:sz w:val="19"/>
                <w:szCs w:val="19"/>
                <w:lang w:eastAsia="ru-RU" w:bidi="ru-RU"/>
              </w:rPr>
            </w:pPr>
            <w:r w:rsidRPr="009A4C46">
              <w:rPr>
                <w:rFonts w:eastAsia="Times New Roman"/>
                <w:b/>
                <w:bCs/>
                <w:color w:val="000000"/>
                <w:sz w:val="19"/>
                <w:szCs w:val="19"/>
                <w:lang w:eastAsia="ru-RU" w:bidi="ru-RU"/>
              </w:rPr>
              <w:t>52 349</w:t>
            </w:r>
          </w:p>
        </w:tc>
        <w:tc>
          <w:tcPr>
            <w:tcW w:w="743" w:type="pct"/>
            <w:shd w:val="clear" w:color="000000" w:fill="FFFFFF"/>
            <w:vAlign w:val="center"/>
          </w:tcPr>
          <w:p w14:paraId="75B41084" w14:textId="77777777" w:rsidR="009A4C46" w:rsidRPr="009A4C46" w:rsidRDefault="009A4C46" w:rsidP="009A4C46">
            <w:pPr>
              <w:spacing w:after="0" w:line="240" w:lineRule="auto"/>
              <w:jc w:val="center"/>
              <w:rPr>
                <w:rFonts w:eastAsia="Times New Roman"/>
                <w:b/>
                <w:color w:val="000000"/>
                <w:sz w:val="19"/>
                <w:szCs w:val="19"/>
                <w:lang w:eastAsia="ru-RU"/>
              </w:rPr>
            </w:pPr>
            <w:r w:rsidRPr="009A4C46">
              <w:rPr>
                <w:rFonts w:eastAsia="Times New Roman"/>
                <w:b/>
                <w:color w:val="000000"/>
                <w:sz w:val="19"/>
                <w:szCs w:val="19"/>
                <w:lang w:eastAsia="ru-RU"/>
              </w:rPr>
              <w:t>626 937</w:t>
            </w:r>
          </w:p>
        </w:tc>
        <w:tc>
          <w:tcPr>
            <w:tcW w:w="610" w:type="pct"/>
            <w:shd w:val="clear" w:color="000000" w:fill="FFFFFF"/>
            <w:vAlign w:val="center"/>
          </w:tcPr>
          <w:p w14:paraId="17EA8C78" w14:textId="77777777" w:rsidR="009A4C46" w:rsidRPr="009A4C46" w:rsidRDefault="009A4C46" w:rsidP="009A4C46">
            <w:pPr>
              <w:spacing w:after="0" w:line="240" w:lineRule="auto"/>
              <w:jc w:val="center"/>
              <w:rPr>
                <w:rFonts w:eastAsia="Times New Roman"/>
                <w:b/>
                <w:color w:val="000000"/>
                <w:sz w:val="19"/>
                <w:szCs w:val="19"/>
                <w:lang w:eastAsia="ru-RU"/>
              </w:rPr>
            </w:pPr>
            <w:r w:rsidRPr="009A4C46">
              <w:rPr>
                <w:rFonts w:eastAsia="Times New Roman"/>
                <w:b/>
                <w:color w:val="000000"/>
                <w:sz w:val="19"/>
                <w:szCs w:val="19"/>
                <w:lang w:eastAsia="ru-RU"/>
              </w:rPr>
              <w:t>574 588</w:t>
            </w:r>
          </w:p>
        </w:tc>
        <w:tc>
          <w:tcPr>
            <w:tcW w:w="583" w:type="pct"/>
            <w:shd w:val="clear" w:color="000000" w:fill="FFFFFF"/>
            <w:vAlign w:val="center"/>
          </w:tcPr>
          <w:p w14:paraId="1C1B9C75" w14:textId="77777777" w:rsidR="009A4C46" w:rsidRPr="009A4C46" w:rsidRDefault="009A4C46" w:rsidP="009A4C46">
            <w:pPr>
              <w:spacing w:after="0" w:line="240" w:lineRule="auto"/>
              <w:jc w:val="center"/>
              <w:rPr>
                <w:rFonts w:eastAsia="Times New Roman"/>
                <w:b/>
                <w:bCs/>
                <w:color w:val="000000"/>
                <w:sz w:val="19"/>
                <w:szCs w:val="19"/>
                <w:lang w:eastAsia="ru-RU" w:bidi="ru-RU"/>
              </w:rPr>
            </w:pPr>
            <w:r w:rsidRPr="009A4C46">
              <w:rPr>
                <w:rFonts w:eastAsia="Times New Roman"/>
                <w:b/>
                <w:bCs/>
                <w:color w:val="000000"/>
                <w:sz w:val="19"/>
                <w:szCs w:val="19"/>
                <w:lang w:eastAsia="ru-RU" w:bidi="ru-RU"/>
              </w:rPr>
              <w:t>320 323</w:t>
            </w:r>
          </w:p>
        </w:tc>
      </w:tr>
    </w:tbl>
    <w:p w14:paraId="495EFEA4" w14:textId="77777777" w:rsidR="009A4C46" w:rsidRPr="00F94FED" w:rsidRDefault="009A4C46" w:rsidP="00F94FED">
      <w:pPr>
        <w:autoSpaceDE w:val="0"/>
        <w:autoSpaceDN w:val="0"/>
        <w:adjustRightInd w:val="0"/>
        <w:spacing w:after="0" w:line="360" w:lineRule="auto"/>
        <w:jc w:val="both"/>
        <w:rPr>
          <w:rFonts w:eastAsia="Times New Roman"/>
          <w:sz w:val="26"/>
          <w:szCs w:val="26"/>
          <w:lang w:eastAsia="ru-RU"/>
        </w:rPr>
      </w:pPr>
    </w:p>
    <w:p w14:paraId="5C5BB1FE" w14:textId="2883CB93" w:rsidR="009A4C46" w:rsidRPr="00F94FED" w:rsidRDefault="009A4C46" w:rsidP="00F94FED">
      <w:pPr>
        <w:autoSpaceDE w:val="0"/>
        <w:autoSpaceDN w:val="0"/>
        <w:adjustRightInd w:val="0"/>
        <w:spacing w:after="0" w:line="360" w:lineRule="auto"/>
        <w:ind w:firstLine="567"/>
        <w:jc w:val="both"/>
        <w:rPr>
          <w:rFonts w:eastAsia="Times New Roman"/>
          <w:sz w:val="26"/>
          <w:szCs w:val="26"/>
          <w:lang w:eastAsia="ru-RU"/>
        </w:rPr>
      </w:pPr>
      <w:r w:rsidRPr="00F94FED">
        <w:rPr>
          <w:rFonts w:eastAsia="Times New Roman"/>
          <w:sz w:val="26"/>
          <w:szCs w:val="26"/>
          <w:lang w:eastAsia="ru-RU"/>
        </w:rPr>
        <w:t xml:space="preserve">Из представленных в таблице данных отклонения между позицией </w:t>
      </w:r>
      <w:r w:rsidR="004D58E8">
        <w:rPr>
          <w:rFonts w:eastAsia="Times New Roman"/>
          <w:sz w:val="26"/>
          <w:szCs w:val="26"/>
          <w:lang w:eastAsia="ru-RU"/>
        </w:rPr>
        <w:br/>
      </w:r>
      <w:r w:rsidRPr="00F94FED">
        <w:rPr>
          <w:rFonts w:eastAsia="Times New Roman"/>
          <w:sz w:val="26"/>
          <w:szCs w:val="26"/>
          <w:lang w:eastAsia="ru-RU"/>
        </w:rPr>
        <w:t xml:space="preserve">АО «Тываэнерго» и регулирующим органом по корректировке НВВ на 2019 год не выявлено. Служба по тарифам Республики Тыва согласилась с расчетами </w:t>
      </w:r>
      <w:r w:rsidRPr="00F94FED">
        <w:rPr>
          <w:rFonts w:eastAsia="Times New Roman"/>
          <w:sz w:val="26"/>
          <w:szCs w:val="26"/>
          <w:lang w:eastAsia="ru-RU"/>
        </w:rPr>
        <w:br/>
        <w:t xml:space="preserve">АО «Тываэнерго» по всем составляющим корректировки НВВ. При утверждении НВВ на 2019 год Службой по тарифам Республики Тыва учитывает положения </w:t>
      </w:r>
      <w:r w:rsidR="004D58E8">
        <w:rPr>
          <w:rFonts w:eastAsia="Times New Roman"/>
          <w:sz w:val="26"/>
          <w:szCs w:val="26"/>
          <w:lang w:eastAsia="ru-RU"/>
        </w:rPr>
        <w:br/>
      </w:r>
      <w:r w:rsidRPr="00F94FED">
        <w:rPr>
          <w:rFonts w:eastAsia="Times New Roman"/>
          <w:sz w:val="26"/>
          <w:szCs w:val="26"/>
          <w:lang w:eastAsia="ru-RU"/>
        </w:rPr>
        <w:t xml:space="preserve">п. 7 Основ ценообразования и учитывает размер корректировки НВВ по итогам 2017 год в сумме 52 349 тыс. руб., отклонения от заявленных АО «Тываэнерго» </w:t>
      </w:r>
      <w:r w:rsidR="00CE42C4">
        <w:rPr>
          <w:rFonts w:eastAsia="Times New Roman"/>
          <w:sz w:val="26"/>
          <w:szCs w:val="26"/>
          <w:lang w:eastAsia="ru-RU"/>
        </w:rPr>
        <w:t>–</w:t>
      </w:r>
      <w:r w:rsidRPr="00F94FED">
        <w:rPr>
          <w:rFonts w:eastAsia="Times New Roman"/>
          <w:sz w:val="26"/>
          <w:szCs w:val="26"/>
          <w:lang w:eastAsia="ru-RU"/>
        </w:rPr>
        <w:t xml:space="preserve">254 265 тыс. руб. перенесены на последующие годы долгосрочного периода </w:t>
      </w:r>
      <w:r w:rsidRPr="00F94FED">
        <w:rPr>
          <w:rFonts w:eastAsia="Times New Roman"/>
          <w:sz w:val="26"/>
          <w:szCs w:val="26"/>
          <w:lang w:eastAsia="ru-RU"/>
        </w:rPr>
        <w:lastRenderedPageBreak/>
        <w:t xml:space="preserve">регулирования, что не противоречит нормам законодательства. Однако, Службой по тарифам Республики Тыва не учтены недополученные доходы и расходы </w:t>
      </w:r>
      <w:r w:rsidR="004D58E8">
        <w:rPr>
          <w:rFonts w:eastAsia="Times New Roman"/>
          <w:sz w:val="26"/>
          <w:szCs w:val="26"/>
          <w:lang w:eastAsia="ru-RU"/>
        </w:rPr>
        <w:br/>
      </w:r>
      <w:r w:rsidRPr="00F94FED">
        <w:rPr>
          <w:rFonts w:eastAsia="Times New Roman"/>
          <w:sz w:val="26"/>
          <w:szCs w:val="26"/>
          <w:lang w:eastAsia="ru-RU"/>
        </w:rPr>
        <w:t>АО «Тываэнерго» не учтенных при установлении регулируемых цен (тарифов) за 2012-2014 г</w:t>
      </w:r>
      <w:r w:rsidR="00CE42C4">
        <w:rPr>
          <w:rFonts w:eastAsia="Times New Roman"/>
          <w:sz w:val="26"/>
          <w:szCs w:val="26"/>
          <w:lang w:eastAsia="ru-RU"/>
        </w:rPr>
        <w:t>оды.</w:t>
      </w:r>
    </w:p>
    <w:p w14:paraId="44C84400" w14:textId="19BF6800" w:rsidR="009A4C46" w:rsidRPr="00F94FED" w:rsidRDefault="009A4C46" w:rsidP="00F94FED">
      <w:pPr>
        <w:autoSpaceDE w:val="0"/>
        <w:autoSpaceDN w:val="0"/>
        <w:adjustRightInd w:val="0"/>
        <w:spacing w:after="0" w:line="360" w:lineRule="auto"/>
        <w:ind w:firstLine="567"/>
        <w:jc w:val="both"/>
        <w:rPr>
          <w:rFonts w:eastAsia="Times New Roman"/>
          <w:sz w:val="26"/>
          <w:szCs w:val="26"/>
          <w:lang w:eastAsia="ru-RU"/>
        </w:rPr>
      </w:pPr>
      <w:r w:rsidRPr="00F94FED">
        <w:rPr>
          <w:rFonts w:eastAsia="Times New Roman"/>
          <w:sz w:val="26"/>
          <w:szCs w:val="26"/>
          <w:lang w:eastAsia="ru-RU"/>
        </w:rPr>
        <w:t xml:space="preserve">Расчетное значение корректировки НВВ по результатам деятельности </w:t>
      </w:r>
      <w:r w:rsidR="00CE42C4">
        <w:rPr>
          <w:rFonts w:eastAsia="Times New Roman"/>
          <w:sz w:val="26"/>
          <w:szCs w:val="26"/>
          <w:lang w:eastAsia="ru-RU"/>
        </w:rPr>
        <w:br/>
      </w:r>
      <w:r w:rsidRPr="00F94FED">
        <w:rPr>
          <w:rFonts w:eastAsia="Times New Roman"/>
          <w:sz w:val="26"/>
          <w:szCs w:val="26"/>
          <w:lang w:eastAsia="ru-RU"/>
        </w:rPr>
        <w:t xml:space="preserve">АО «Тываэнерго» за 2017 год по расчету Исполнителя составило 315 </w:t>
      </w:r>
      <w:r w:rsidR="003E36F7">
        <w:rPr>
          <w:rFonts w:eastAsia="Times New Roman"/>
          <w:sz w:val="26"/>
          <w:szCs w:val="26"/>
          <w:lang w:eastAsia="ru-RU"/>
        </w:rPr>
        <w:t>245</w:t>
      </w:r>
      <w:r w:rsidRPr="00F94FED">
        <w:rPr>
          <w:rFonts w:eastAsia="Times New Roman"/>
          <w:sz w:val="26"/>
          <w:szCs w:val="26"/>
          <w:lang w:eastAsia="ru-RU"/>
        </w:rPr>
        <w:t xml:space="preserve"> тыс. руб., что не соответствует расчетным значениям АО «Тываэнерго» и Службы по тарифам Республики Тыва.</w:t>
      </w:r>
    </w:p>
    <w:p w14:paraId="51E58EF6" w14:textId="4F78FF47" w:rsidR="009A4C46" w:rsidRPr="00F94FED" w:rsidRDefault="009A4C46" w:rsidP="00F94FED">
      <w:pPr>
        <w:autoSpaceDE w:val="0"/>
        <w:autoSpaceDN w:val="0"/>
        <w:adjustRightInd w:val="0"/>
        <w:spacing w:after="0" w:line="360" w:lineRule="auto"/>
        <w:ind w:firstLine="567"/>
        <w:jc w:val="both"/>
        <w:rPr>
          <w:rFonts w:eastAsia="Times New Roman"/>
          <w:sz w:val="26"/>
          <w:szCs w:val="26"/>
          <w:lang w:eastAsia="ru-RU"/>
        </w:rPr>
      </w:pPr>
      <w:r w:rsidRPr="00F94FED">
        <w:rPr>
          <w:rFonts w:eastAsia="Times New Roman"/>
          <w:sz w:val="26"/>
          <w:szCs w:val="26"/>
          <w:lang w:eastAsia="ru-RU"/>
        </w:rPr>
        <w:t>Отклонение размера корректировки НВВ АО «Тываэнерго» по итогам 2017 года, по расчету Исполнителя относительно расчетов АО «Тываэнерго» и Службы по тарифам Республики Тыва составило 8</w:t>
      </w:r>
      <w:r w:rsidR="00CE42C4">
        <w:rPr>
          <w:rFonts w:eastAsia="Times New Roman"/>
          <w:sz w:val="26"/>
          <w:szCs w:val="26"/>
          <w:lang w:eastAsia="ru-RU"/>
        </w:rPr>
        <w:t> </w:t>
      </w:r>
      <w:r w:rsidR="003E36F7">
        <w:rPr>
          <w:rFonts w:eastAsia="Times New Roman"/>
          <w:sz w:val="26"/>
          <w:szCs w:val="26"/>
          <w:lang w:eastAsia="ru-RU"/>
        </w:rPr>
        <w:t>631</w:t>
      </w:r>
      <w:r w:rsidRPr="00F94FED">
        <w:rPr>
          <w:rFonts w:eastAsia="Times New Roman"/>
          <w:sz w:val="26"/>
          <w:szCs w:val="26"/>
          <w:lang w:eastAsia="ru-RU"/>
        </w:rPr>
        <w:t xml:space="preserve"> тыс. руб. Отклонение сложилось в результате учета отклонения фактических расходов связанные с осуществлением технологического присоединения к электрическим сетям, не включенные в плату за технологическое присоединение от плановых, учтённых Службой по тарифам Республики Тыва при определении плановых выпадающих доходов от льготного ТП на 2019 год, а не в составе корректировки неподконтрольных расходов.</w:t>
      </w:r>
    </w:p>
    <w:p w14:paraId="6EAA60D6" w14:textId="77777777" w:rsidR="009A4C46" w:rsidRPr="00F94FED" w:rsidRDefault="009A4C46" w:rsidP="00F94FED">
      <w:pPr>
        <w:autoSpaceDE w:val="0"/>
        <w:autoSpaceDN w:val="0"/>
        <w:adjustRightInd w:val="0"/>
        <w:spacing w:after="0" w:line="360" w:lineRule="auto"/>
        <w:ind w:firstLine="567"/>
        <w:jc w:val="both"/>
        <w:rPr>
          <w:rFonts w:eastAsia="Times New Roman"/>
          <w:sz w:val="26"/>
          <w:szCs w:val="26"/>
          <w:lang w:eastAsia="ru-RU"/>
        </w:rPr>
      </w:pPr>
      <w:r w:rsidRPr="00F94FED">
        <w:rPr>
          <w:rFonts w:eastAsia="Times New Roman"/>
          <w:sz w:val="26"/>
          <w:szCs w:val="26"/>
          <w:lang w:eastAsia="ru-RU"/>
        </w:rPr>
        <w:t>Размер корректировки НВВ по итогам 2017 года, учтенный в составе НВВ на 2019 год принят Исполнителем на уровне, учтенном Службой по тарифам Республики Тыва в сумме 52 349 тыс. руб.</w:t>
      </w:r>
    </w:p>
    <w:p w14:paraId="1951DA0C" w14:textId="63C4EE0F" w:rsidR="009A4C46" w:rsidRPr="00F94FED" w:rsidRDefault="009A4C46" w:rsidP="00F94FED">
      <w:pPr>
        <w:autoSpaceDE w:val="0"/>
        <w:autoSpaceDN w:val="0"/>
        <w:adjustRightInd w:val="0"/>
        <w:spacing w:after="0" w:line="360" w:lineRule="auto"/>
        <w:ind w:firstLine="567"/>
        <w:jc w:val="both"/>
        <w:rPr>
          <w:rFonts w:eastAsia="Times New Roman"/>
          <w:sz w:val="26"/>
          <w:szCs w:val="26"/>
          <w:lang w:eastAsia="ru-RU"/>
        </w:rPr>
      </w:pPr>
      <w:r w:rsidRPr="00F94FED">
        <w:rPr>
          <w:rFonts w:eastAsia="Times New Roman"/>
          <w:sz w:val="26"/>
          <w:szCs w:val="26"/>
          <w:lang w:eastAsia="ru-RU"/>
        </w:rPr>
        <w:t>Таким образом, расходы, связанные с компенсацией незапланированных расходов, рассчитанные в соответствии с методическими указаниями, утверждаемыми Федеральной антимонопольной службой за 2017 год и за 2012-2013 г</w:t>
      </w:r>
      <w:r w:rsidR="00F71BAF">
        <w:rPr>
          <w:rFonts w:eastAsia="Times New Roman"/>
          <w:sz w:val="26"/>
          <w:szCs w:val="26"/>
          <w:lang w:eastAsia="ru-RU"/>
        </w:rPr>
        <w:t>оды</w:t>
      </w:r>
      <w:r w:rsidRPr="00F94FED">
        <w:rPr>
          <w:rFonts w:eastAsia="Times New Roman"/>
          <w:sz w:val="26"/>
          <w:szCs w:val="26"/>
          <w:lang w:eastAsia="ru-RU"/>
        </w:rPr>
        <w:t>, необходимые к включению в НВВ на 2019 год составляют 626 937 тыс. руб. (52 349 тыс. руб., учтенные в НВВ на 2019 год Службой по тарифам Республики Тыва по итогам 2017 год +574 588 тыс. руб. распределенных доходы, недополученные АО «Тываэнерго» при осуществлении регулируемой деятельности за 2012-2013 г</w:t>
      </w:r>
      <w:r w:rsidR="00F71BAF">
        <w:rPr>
          <w:rFonts w:eastAsia="Times New Roman"/>
          <w:sz w:val="26"/>
          <w:szCs w:val="26"/>
          <w:lang w:eastAsia="ru-RU"/>
        </w:rPr>
        <w:t>г.</w:t>
      </w:r>
      <w:r w:rsidRPr="00F94FED">
        <w:rPr>
          <w:rFonts w:eastAsia="Times New Roman"/>
          <w:sz w:val="26"/>
          <w:szCs w:val="26"/>
          <w:lang w:eastAsia="ru-RU"/>
        </w:rPr>
        <w:t>).</w:t>
      </w:r>
    </w:p>
    <w:p w14:paraId="7426ABD7" w14:textId="77777777" w:rsidR="009A4C46" w:rsidRPr="00F94FED" w:rsidRDefault="009A4C46" w:rsidP="00F94FED">
      <w:pPr>
        <w:autoSpaceDE w:val="0"/>
        <w:autoSpaceDN w:val="0"/>
        <w:adjustRightInd w:val="0"/>
        <w:spacing w:after="0" w:line="360" w:lineRule="auto"/>
        <w:ind w:firstLine="567"/>
        <w:jc w:val="both"/>
        <w:rPr>
          <w:rFonts w:eastAsia="Times New Roman"/>
          <w:sz w:val="26"/>
          <w:szCs w:val="26"/>
          <w:lang w:eastAsia="ru-RU"/>
        </w:rPr>
      </w:pPr>
      <w:r w:rsidRPr="00F94FED">
        <w:rPr>
          <w:rFonts w:eastAsia="Times New Roman"/>
          <w:sz w:val="26"/>
          <w:szCs w:val="26"/>
          <w:lang w:eastAsia="ru-RU"/>
        </w:rPr>
        <w:br w:type="page"/>
      </w:r>
    </w:p>
    <w:p w14:paraId="0A9B3AC4" w14:textId="77777777" w:rsidR="009A4C46" w:rsidRPr="00F94FED" w:rsidRDefault="009A4C46" w:rsidP="00F94FED">
      <w:pPr>
        <w:pStyle w:val="3"/>
        <w:numPr>
          <w:ilvl w:val="0"/>
          <w:numId w:val="1"/>
        </w:numPr>
        <w:spacing w:line="360" w:lineRule="auto"/>
        <w:jc w:val="both"/>
        <w:rPr>
          <w:b/>
          <w:color w:val="4F6228" w:themeColor="accent3" w:themeShade="80"/>
          <w:sz w:val="28"/>
          <w:szCs w:val="28"/>
        </w:rPr>
      </w:pPr>
      <w:bookmarkStart w:id="60" w:name="_Toc40554858"/>
      <w:bookmarkStart w:id="61" w:name="_Toc40733193"/>
      <w:r w:rsidRPr="00F94FED">
        <w:rPr>
          <w:rFonts w:ascii="Myriad Pro" w:hAnsi="Myriad Pro"/>
          <w:b/>
          <w:color w:val="4F6228" w:themeColor="accent3" w:themeShade="80"/>
          <w:sz w:val="28"/>
          <w:szCs w:val="28"/>
        </w:rPr>
        <w:lastRenderedPageBreak/>
        <w:t>Анализ экономически обоснованных выпадающих расходов/недополученных доходов, полученных АО «Тываэнерго» за 2017-2018 гг. в результате принятых Службой по тарифам Республика Тыва тарифно-балансовых решений, в том числе анализ соответствия фактической товарной выручки АО «Тываэнерго» от передачи электрической энергии по единым (котловым) тарифам необходимой валовой выручке, утвержденной регулирующим органом</w:t>
      </w:r>
      <w:bookmarkEnd w:id="60"/>
      <w:bookmarkEnd w:id="61"/>
    </w:p>
    <w:p w14:paraId="696C944C" w14:textId="77777777" w:rsidR="009A4C46" w:rsidRPr="00F94FED" w:rsidRDefault="009A4C46" w:rsidP="00F94FED">
      <w:pPr>
        <w:autoSpaceDE w:val="0"/>
        <w:autoSpaceDN w:val="0"/>
        <w:adjustRightInd w:val="0"/>
        <w:spacing w:after="0" w:line="360" w:lineRule="auto"/>
        <w:ind w:firstLine="567"/>
        <w:jc w:val="both"/>
        <w:rPr>
          <w:rFonts w:eastAsia="Times New Roman"/>
          <w:sz w:val="26"/>
          <w:szCs w:val="26"/>
          <w:lang w:eastAsia="ru-RU"/>
        </w:rPr>
      </w:pPr>
      <w:r w:rsidRPr="00F94FED">
        <w:rPr>
          <w:rFonts w:eastAsia="Times New Roman"/>
          <w:color w:val="000000"/>
          <w:sz w:val="26"/>
          <w:szCs w:val="26"/>
          <w:lang w:eastAsia="ru-RU"/>
        </w:rPr>
        <w:t>Согласно пункту 7 Основ ценообразования № 1178, в</w:t>
      </w:r>
      <w:r w:rsidRPr="00F94FED">
        <w:rPr>
          <w:rFonts w:eastAsia="Times New Roman"/>
          <w:sz w:val="26"/>
          <w:szCs w:val="26"/>
          <w:lang w:eastAsia="ru-RU"/>
        </w:rPr>
        <w:t xml:space="preserve"> случае если на основании данных статистической и бухгалтерской отчетности за год и иных материалов выявлены экономически обоснованные расходы организаций, осуществляющих регулируемую деятельность, не учтенные при установлении регулируемых цен (тарифов) на тот период регулирования, в котором они понесены, или доход, недополученный при осуществлении регулируемой деятельности в этот период регулирования по независящим от организации, осуществляющей регулируемую деятельность, причинам, указанные расходы (доход) учитываются регулирующими органами при установлении регулируемых цен (тарифов) на следующий период регулирования. К экономически обоснованным расходам в том числе относятся расходы, связанные с обслуживанием заемных средств, привлекаемых для покрытия недостатка средств (за исключением случая применения в отношении организации, осуществляющей регулируемую деятельность, метода доходности инвестированного капитала).</w:t>
      </w:r>
    </w:p>
    <w:p w14:paraId="05821EAD" w14:textId="07DD91AC" w:rsidR="009A4C46" w:rsidRPr="00F94FED" w:rsidRDefault="009A4C46" w:rsidP="00F94FED">
      <w:pPr>
        <w:autoSpaceDE w:val="0"/>
        <w:autoSpaceDN w:val="0"/>
        <w:adjustRightInd w:val="0"/>
        <w:spacing w:after="0" w:line="360" w:lineRule="auto"/>
        <w:ind w:firstLine="567"/>
        <w:jc w:val="both"/>
        <w:rPr>
          <w:rFonts w:eastAsia="Times New Roman"/>
          <w:sz w:val="26"/>
          <w:szCs w:val="26"/>
          <w:lang w:eastAsia="ru-RU"/>
        </w:rPr>
      </w:pPr>
      <w:r w:rsidRPr="00F94FED">
        <w:rPr>
          <w:rFonts w:eastAsia="Times New Roman"/>
          <w:sz w:val="26"/>
          <w:szCs w:val="26"/>
          <w:lang w:eastAsia="ru-RU"/>
        </w:rPr>
        <w:t>Исполнителем проанализированы плановые и фактические расходы АО</w:t>
      </w:r>
      <w:r w:rsidR="00CB5AA8">
        <w:rPr>
          <w:rFonts w:eastAsia="Times New Roman"/>
          <w:sz w:val="26"/>
          <w:szCs w:val="26"/>
          <w:lang w:eastAsia="ru-RU"/>
        </w:rPr>
        <w:t> </w:t>
      </w:r>
      <w:r w:rsidRPr="00F94FED">
        <w:rPr>
          <w:rFonts w:eastAsia="Times New Roman"/>
          <w:sz w:val="26"/>
          <w:szCs w:val="26"/>
          <w:lang w:eastAsia="ru-RU"/>
        </w:rPr>
        <w:t>«Тываэнерго» за 2017-2018 гг., а также определены причины отклонения товарной выручки АО «Тываэнерго» от передачи электрической энергии от прогнозных значений.</w:t>
      </w:r>
    </w:p>
    <w:p w14:paraId="6BDF8665" w14:textId="77777777" w:rsidR="009A4C46" w:rsidRPr="00F94FED" w:rsidRDefault="009A4C46" w:rsidP="00F94FED">
      <w:pPr>
        <w:autoSpaceDE w:val="0"/>
        <w:autoSpaceDN w:val="0"/>
        <w:adjustRightInd w:val="0"/>
        <w:spacing w:after="0" w:line="360" w:lineRule="auto"/>
        <w:ind w:firstLine="567"/>
        <w:jc w:val="both"/>
        <w:rPr>
          <w:rFonts w:eastAsia="Times New Roman"/>
          <w:sz w:val="26"/>
          <w:szCs w:val="26"/>
          <w:lang w:eastAsia="ru-RU"/>
        </w:rPr>
      </w:pPr>
      <w:r w:rsidRPr="00F94FED">
        <w:rPr>
          <w:rFonts w:eastAsia="Times New Roman"/>
          <w:sz w:val="26"/>
          <w:szCs w:val="26"/>
          <w:lang w:eastAsia="ru-RU"/>
        </w:rPr>
        <w:t>Сравнительный анализ фактических расходов АО «Тываэнерго» за 2017 год и расходов, учтенных при формировании НВВ 2017 года, представлен в следующей таблице.</w:t>
      </w:r>
    </w:p>
    <w:p w14:paraId="30CFB241" w14:textId="77777777" w:rsidR="004D58E8" w:rsidRDefault="004D58E8" w:rsidP="009A4C46">
      <w:pPr>
        <w:spacing w:after="0" w:line="240" w:lineRule="auto"/>
        <w:jc w:val="center"/>
        <w:rPr>
          <w:rFonts w:eastAsia="Times New Roman"/>
          <w:b/>
          <w:color w:val="FFFFFF" w:themeColor="background1"/>
          <w:lang w:eastAsia="ru-RU"/>
        </w:rPr>
        <w:sectPr w:rsidR="004D58E8" w:rsidSect="0063188C">
          <w:pgSz w:w="11906" w:h="16838"/>
          <w:pgMar w:top="1134" w:right="850" w:bottom="1134" w:left="1701" w:header="708" w:footer="708" w:gutter="0"/>
          <w:cols w:space="708"/>
          <w:docGrid w:linePitch="360"/>
        </w:sectPr>
      </w:pPr>
    </w:p>
    <w:tbl>
      <w:tblPr>
        <w:tblW w:w="5152" w:type="pct"/>
        <w:tblLayout w:type="fixed"/>
        <w:tblLook w:val="04A0" w:firstRow="1" w:lastRow="0" w:firstColumn="1" w:lastColumn="0" w:noHBand="0" w:noVBand="1"/>
      </w:tblPr>
      <w:tblGrid>
        <w:gridCol w:w="4109"/>
        <w:gridCol w:w="1491"/>
        <w:gridCol w:w="1629"/>
        <w:gridCol w:w="1419"/>
        <w:gridCol w:w="1425"/>
        <w:gridCol w:w="975"/>
        <w:gridCol w:w="1176"/>
        <w:gridCol w:w="2779"/>
      </w:tblGrid>
      <w:tr w:rsidR="00F71BAF" w:rsidRPr="00F71BAF" w14:paraId="3C50966A" w14:textId="77777777" w:rsidTr="004D58E8">
        <w:trPr>
          <w:trHeight w:val="20"/>
          <w:tblHeader/>
        </w:trPr>
        <w:tc>
          <w:tcPr>
            <w:tcW w:w="136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933CFB1" w14:textId="632580EB" w:rsidR="009A4C46" w:rsidRPr="00F94FED" w:rsidRDefault="009A4C46" w:rsidP="004D58E8">
            <w:pPr>
              <w:spacing w:after="0" w:line="240" w:lineRule="auto"/>
              <w:contextualSpacing/>
              <w:jc w:val="center"/>
              <w:rPr>
                <w:rFonts w:eastAsia="Times New Roman"/>
                <w:b/>
                <w:color w:val="FFFFFF" w:themeColor="background1"/>
                <w:lang w:eastAsia="ru-RU"/>
              </w:rPr>
            </w:pPr>
            <w:r w:rsidRPr="00F94FED">
              <w:rPr>
                <w:rFonts w:eastAsia="Times New Roman"/>
                <w:b/>
                <w:color w:val="FFFFFF" w:themeColor="background1"/>
                <w:lang w:eastAsia="ru-RU"/>
              </w:rPr>
              <w:lastRenderedPageBreak/>
              <w:t>Наименование</w:t>
            </w:r>
          </w:p>
        </w:tc>
        <w:tc>
          <w:tcPr>
            <w:tcW w:w="49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3B3B502" w14:textId="14ED9D9A" w:rsidR="009A4C46" w:rsidRPr="00F94FED" w:rsidRDefault="009A4C46" w:rsidP="004D58E8">
            <w:pPr>
              <w:spacing w:after="0" w:line="240" w:lineRule="auto"/>
              <w:contextualSpacing/>
              <w:jc w:val="center"/>
              <w:rPr>
                <w:rFonts w:eastAsia="Times New Roman"/>
                <w:b/>
                <w:color w:val="FFFFFF" w:themeColor="background1"/>
                <w:lang w:eastAsia="ru-RU"/>
              </w:rPr>
            </w:pPr>
            <w:proofErr w:type="spellStart"/>
            <w:r w:rsidRPr="00F94FED">
              <w:rPr>
                <w:rFonts w:eastAsia="Times New Roman"/>
                <w:b/>
                <w:color w:val="FFFFFF" w:themeColor="background1"/>
                <w:lang w:eastAsia="ru-RU"/>
              </w:rPr>
              <w:t>Ед.изм</w:t>
            </w:r>
            <w:proofErr w:type="spellEnd"/>
          </w:p>
        </w:tc>
        <w:tc>
          <w:tcPr>
            <w:tcW w:w="54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033E35F" w14:textId="7AC3E2DA" w:rsidR="009A4C46" w:rsidRPr="00F94FED" w:rsidRDefault="009A4C46" w:rsidP="004D58E8">
            <w:pPr>
              <w:spacing w:after="0" w:line="240" w:lineRule="auto"/>
              <w:contextualSpacing/>
              <w:jc w:val="center"/>
              <w:rPr>
                <w:rFonts w:eastAsia="Times New Roman"/>
                <w:b/>
                <w:color w:val="FFFFFF" w:themeColor="background1"/>
                <w:lang w:eastAsia="ru-RU"/>
              </w:rPr>
            </w:pPr>
            <w:r w:rsidRPr="00F94FED">
              <w:rPr>
                <w:rFonts w:eastAsia="Times New Roman"/>
                <w:b/>
                <w:color w:val="FFFFFF" w:themeColor="background1"/>
                <w:lang w:eastAsia="ru-RU"/>
              </w:rPr>
              <w:t xml:space="preserve">Утверждено на 2017 </w:t>
            </w:r>
            <w:r w:rsidR="00F71BAF">
              <w:rPr>
                <w:rFonts w:eastAsia="Times New Roman"/>
                <w:b/>
                <w:color w:val="FFFFFF" w:themeColor="background1"/>
                <w:lang w:eastAsia="ru-RU"/>
              </w:rPr>
              <w:t>год</w:t>
            </w:r>
          </w:p>
        </w:tc>
        <w:tc>
          <w:tcPr>
            <w:tcW w:w="47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1A67E97" w14:textId="0FB14B97" w:rsidR="009A4C46" w:rsidRPr="00F94FED" w:rsidRDefault="009A4C46" w:rsidP="004D58E8">
            <w:pPr>
              <w:spacing w:after="0" w:line="240" w:lineRule="auto"/>
              <w:contextualSpacing/>
              <w:jc w:val="center"/>
              <w:rPr>
                <w:rFonts w:eastAsia="Times New Roman"/>
                <w:b/>
                <w:color w:val="FFFFFF" w:themeColor="background1"/>
                <w:lang w:eastAsia="ru-RU"/>
              </w:rPr>
            </w:pPr>
            <w:r w:rsidRPr="00F94FED">
              <w:rPr>
                <w:rFonts w:eastAsia="Times New Roman"/>
                <w:b/>
                <w:color w:val="FFFFFF" w:themeColor="background1"/>
                <w:lang w:eastAsia="ru-RU"/>
              </w:rPr>
              <w:t>Факт 2017</w:t>
            </w:r>
            <w:r w:rsidR="00F71BAF">
              <w:rPr>
                <w:rFonts w:eastAsia="Times New Roman"/>
                <w:b/>
                <w:color w:val="FFFFFF" w:themeColor="background1"/>
                <w:lang w:eastAsia="ru-RU"/>
              </w:rPr>
              <w:t xml:space="preserve"> года</w:t>
            </w:r>
          </w:p>
        </w:tc>
        <w:tc>
          <w:tcPr>
            <w:tcW w:w="800"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B5340D7" w14:textId="77777777" w:rsidR="009A4C46" w:rsidRPr="00F94FED" w:rsidRDefault="009A4C46" w:rsidP="004D58E8">
            <w:pPr>
              <w:spacing w:after="0" w:line="240" w:lineRule="auto"/>
              <w:contextualSpacing/>
              <w:jc w:val="center"/>
              <w:rPr>
                <w:rFonts w:eastAsia="Times New Roman"/>
                <w:b/>
                <w:color w:val="FFFFFF" w:themeColor="background1"/>
                <w:lang w:eastAsia="ru-RU"/>
              </w:rPr>
            </w:pPr>
            <w:r w:rsidRPr="00F94FED">
              <w:rPr>
                <w:rFonts w:eastAsia="Times New Roman"/>
                <w:b/>
                <w:color w:val="FFFFFF" w:themeColor="background1"/>
                <w:lang w:eastAsia="ru-RU"/>
              </w:rPr>
              <w:t>Отклонение (факт-план)</w:t>
            </w:r>
          </w:p>
        </w:tc>
        <w:tc>
          <w:tcPr>
            <w:tcW w:w="1319"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3EB7E14" w14:textId="77777777" w:rsidR="009A4C46" w:rsidRPr="00F94FED" w:rsidRDefault="009A4C46" w:rsidP="004D58E8">
            <w:pPr>
              <w:spacing w:after="0" w:line="240" w:lineRule="auto"/>
              <w:contextualSpacing/>
              <w:jc w:val="center"/>
              <w:rPr>
                <w:rFonts w:eastAsia="Times New Roman"/>
                <w:b/>
                <w:color w:val="FFFFFF" w:themeColor="background1"/>
                <w:lang w:eastAsia="ru-RU"/>
              </w:rPr>
            </w:pPr>
            <w:r w:rsidRPr="00F94FED">
              <w:rPr>
                <w:rFonts w:eastAsia="Times New Roman"/>
                <w:b/>
                <w:color w:val="FFFFFF" w:themeColor="background1"/>
                <w:lang w:eastAsia="ru-RU"/>
              </w:rPr>
              <w:t>Корректировки, учтенные в 2019 году</w:t>
            </w:r>
          </w:p>
        </w:tc>
      </w:tr>
      <w:tr w:rsidR="00F71BAF" w:rsidRPr="00F71BAF" w14:paraId="313F68C6" w14:textId="77777777" w:rsidTr="004D58E8">
        <w:trPr>
          <w:trHeight w:val="20"/>
          <w:tblHeader/>
        </w:trPr>
        <w:tc>
          <w:tcPr>
            <w:tcW w:w="136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AA72F7B" w14:textId="77777777" w:rsidR="009A4C46" w:rsidRPr="00F94FED" w:rsidRDefault="009A4C46" w:rsidP="004D58E8">
            <w:pPr>
              <w:spacing w:after="0" w:line="240" w:lineRule="auto"/>
              <w:contextualSpacing/>
              <w:jc w:val="center"/>
              <w:rPr>
                <w:rFonts w:eastAsia="Times New Roman"/>
                <w:b/>
                <w:color w:val="FFFFFF" w:themeColor="background1"/>
                <w:lang w:eastAsia="ru-RU"/>
              </w:rPr>
            </w:pPr>
          </w:p>
        </w:tc>
        <w:tc>
          <w:tcPr>
            <w:tcW w:w="49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AD56CC1" w14:textId="77777777" w:rsidR="009A4C46" w:rsidRPr="00F94FED" w:rsidRDefault="009A4C46" w:rsidP="004D58E8">
            <w:pPr>
              <w:spacing w:after="0" w:line="240" w:lineRule="auto"/>
              <w:contextualSpacing/>
              <w:jc w:val="center"/>
              <w:rPr>
                <w:rFonts w:eastAsia="Times New Roman"/>
                <w:b/>
                <w:color w:val="FFFFFF" w:themeColor="background1"/>
                <w:lang w:eastAsia="ru-RU"/>
              </w:rPr>
            </w:pPr>
          </w:p>
        </w:tc>
        <w:tc>
          <w:tcPr>
            <w:tcW w:w="54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8BA17AE" w14:textId="77777777" w:rsidR="009A4C46" w:rsidRPr="00F94FED" w:rsidRDefault="009A4C46" w:rsidP="004D58E8">
            <w:pPr>
              <w:spacing w:after="0" w:line="240" w:lineRule="auto"/>
              <w:contextualSpacing/>
              <w:jc w:val="center"/>
              <w:rPr>
                <w:rFonts w:eastAsia="Times New Roman"/>
                <w:b/>
                <w:color w:val="FFFFFF" w:themeColor="background1"/>
                <w:lang w:eastAsia="ru-RU"/>
              </w:rPr>
            </w:pPr>
          </w:p>
        </w:tc>
        <w:tc>
          <w:tcPr>
            <w:tcW w:w="47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62B59E2" w14:textId="77777777" w:rsidR="009A4C46" w:rsidRPr="00F94FED" w:rsidRDefault="009A4C46" w:rsidP="004D58E8">
            <w:pPr>
              <w:spacing w:after="0" w:line="240" w:lineRule="auto"/>
              <w:contextualSpacing/>
              <w:jc w:val="center"/>
              <w:rPr>
                <w:rFonts w:eastAsia="Times New Roman"/>
                <w:b/>
                <w:color w:val="FFFFFF" w:themeColor="background1"/>
                <w:lang w:eastAsia="ru-RU"/>
              </w:rPr>
            </w:pPr>
          </w:p>
        </w:tc>
        <w:tc>
          <w:tcPr>
            <w:tcW w:w="47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8240D9E" w14:textId="77777777" w:rsidR="009A4C46" w:rsidRPr="00F94FED" w:rsidRDefault="009A4C46" w:rsidP="004D58E8">
            <w:pPr>
              <w:spacing w:after="0" w:line="240" w:lineRule="auto"/>
              <w:contextualSpacing/>
              <w:jc w:val="center"/>
              <w:rPr>
                <w:rFonts w:eastAsia="Times New Roman"/>
                <w:b/>
                <w:color w:val="FFFFFF" w:themeColor="background1"/>
                <w:lang w:eastAsia="ru-RU"/>
              </w:rPr>
            </w:pPr>
            <w:r w:rsidRPr="00F94FED">
              <w:rPr>
                <w:rFonts w:eastAsia="Times New Roman"/>
                <w:b/>
                <w:color w:val="FFFFFF" w:themeColor="background1"/>
                <w:lang w:eastAsia="ru-RU"/>
              </w:rPr>
              <w:t>тыс. руб.</w:t>
            </w:r>
          </w:p>
        </w:tc>
        <w:tc>
          <w:tcPr>
            <w:tcW w:w="32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A2B2A0E" w14:textId="77777777" w:rsidR="009A4C46" w:rsidRPr="00F94FED" w:rsidRDefault="009A4C46" w:rsidP="004D58E8">
            <w:pPr>
              <w:spacing w:after="0" w:line="240" w:lineRule="auto"/>
              <w:contextualSpacing/>
              <w:jc w:val="center"/>
              <w:rPr>
                <w:rFonts w:eastAsia="Times New Roman"/>
                <w:b/>
                <w:color w:val="FFFFFF" w:themeColor="background1"/>
                <w:lang w:eastAsia="ru-RU"/>
              </w:rPr>
            </w:pPr>
            <w:r w:rsidRPr="00F94FED">
              <w:rPr>
                <w:rFonts w:eastAsia="Times New Roman"/>
                <w:b/>
                <w:color w:val="FFFFFF" w:themeColor="background1"/>
                <w:lang w:eastAsia="ru-RU"/>
              </w:rPr>
              <w:t>%</w:t>
            </w:r>
          </w:p>
        </w:tc>
        <w:tc>
          <w:tcPr>
            <w:tcW w:w="39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4F95C1E" w14:textId="77777777" w:rsidR="009A4C46" w:rsidRPr="00F94FED" w:rsidRDefault="009A4C46" w:rsidP="004D58E8">
            <w:pPr>
              <w:spacing w:after="0" w:line="240" w:lineRule="auto"/>
              <w:contextualSpacing/>
              <w:jc w:val="center"/>
              <w:rPr>
                <w:rFonts w:eastAsia="Times New Roman"/>
                <w:b/>
                <w:color w:val="FFFFFF" w:themeColor="background1"/>
                <w:lang w:eastAsia="ru-RU"/>
              </w:rPr>
            </w:pPr>
            <w:r w:rsidRPr="00F94FED">
              <w:rPr>
                <w:rFonts w:eastAsia="Times New Roman"/>
                <w:b/>
                <w:color w:val="FFFFFF" w:themeColor="background1"/>
                <w:lang w:eastAsia="ru-RU"/>
              </w:rPr>
              <w:t>тыс. руб.</w:t>
            </w:r>
          </w:p>
        </w:tc>
        <w:tc>
          <w:tcPr>
            <w:tcW w:w="9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D4F9622" w14:textId="77777777" w:rsidR="009A4C46" w:rsidRPr="00F94FED" w:rsidRDefault="009A4C46" w:rsidP="004D58E8">
            <w:pPr>
              <w:spacing w:after="0" w:line="240" w:lineRule="auto"/>
              <w:contextualSpacing/>
              <w:jc w:val="center"/>
              <w:rPr>
                <w:rFonts w:eastAsia="Times New Roman"/>
                <w:b/>
                <w:color w:val="FFFFFF" w:themeColor="background1"/>
                <w:lang w:eastAsia="ru-RU"/>
              </w:rPr>
            </w:pPr>
          </w:p>
        </w:tc>
      </w:tr>
      <w:tr w:rsidR="00F71BAF" w:rsidRPr="00F71BAF" w14:paraId="49546FB8" w14:textId="77777777" w:rsidTr="004D58E8">
        <w:trPr>
          <w:trHeight w:val="20"/>
          <w:tblHeader/>
        </w:trPr>
        <w:tc>
          <w:tcPr>
            <w:tcW w:w="136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9DACD93" w14:textId="474EC90C" w:rsidR="00F71BAF" w:rsidRPr="00F94FED" w:rsidRDefault="00F71BAF" w:rsidP="004D58E8">
            <w:pPr>
              <w:spacing w:after="0" w:line="240" w:lineRule="auto"/>
              <w:contextualSpacing/>
              <w:jc w:val="center"/>
              <w:rPr>
                <w:rFonts w:eastAsia="Times New Roman"/>
                <w:b/>
                <w:color w:val="FFFFFF" w:themeColor="background1"/>
                <w:lang w:eastAsia="ru-RU"/>
              </w:rPr>
            </w:pPr>
            <w:r w:rsidRPr="00F94FED">
              <w:rPr>
                <w:rFonts w:eastAsia="Times New Roman"/>
                <w:b/>
                <w:color w:val="FFFFFF" w:themeColor="background1"/>
                <w:lang w:eastAsia="ru-RU"/>
              </w:rPr>
              <w:t>1</w:t>
            </w:r>
          </w:p>
        </w:tc>
        <w:tc>
          <w:tcPr>
            <w:tcW w:w="49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A0D523A" w14:textId="3483BE15" w:rsidR="00F71BAF" w:rsidRPr="00F94FED" w:rsidRDefault="00F71BAF" w:rsidP="004D58E8">
            <w:pPr>
              <w:spacing w:after="0" w:line="240" w:lineRule="auto"/>
              <w:contextualSpacing/>
              <w:jc w:val="center"/>
              <w:rPr>
                <w:rFonts w:eastAsia="Times New Roman"/>
                <w:b/>
                <w:color w:val="FFFFFF" w:themeColor="background1"/>
                <w:lang w:eastAsia="ru-RU"/>
              </w:rPr>
            </w:pPr>
            <w:r w:rsidRPr="00F94FED">
              <w:rPr>
                <w:rFonts w:eastAsia="Times New Roman"/>
                <w:b/>
                <w:color w:val="FFFFFF" w:themeColor="background1"/>
                <w:lang w:eastAsia="ru-RU"/>
              </w:rPr>
              <w:t>2</w:t>
            </w:r>
          </w:p>
        </w:tc>
        <w:tc>
          <w:tcPr>
            <w:tcW w:w="54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C183C09" w14:textId="3D1FF49C" w:rsidR="00F71BAF" w:rsidRPr="00F94FED" w:rsidRDefault="00F71BAF" w:rsidP="004D58E8">
            <w:pPr>
              <w:spacing w:after="0" w:line="240" w:lineRule="auto"/>
              <w:contextualSpacing/>
              <w:jc w:val="center"/>
              <w:rPr>
                <w:rFonts w:eastAsia="Times New Roman"/>
                <w:b/>
                <w:color w:val="FFFFFF" w:themeColor="background1"/>
                <w:lang w:eastAsia="ru-RU"/>
              </w:rPr>
            </w:pPr>
            <w:r w:rsidRPr="00F94FED">
              <w:rPr>
                <w:rFonts w:eastAsia="Times New Roman"/>
                <w:b/>
                <w:color w:val="FFFFFF" w:themeColor="background1"/>
                <w:lang w:eastAsia="ru-RU"/>
              </w:rPr>
              <w:t>3</w:t>
            </w:r>
          </w:p>
        </w:tc>
        <w:tc>
          <w:tcPr>
            <w:tcW w:w="47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8C3EB41" w14:textId="0DF7DB5E" w:rsidR="00F71BAF" w:rsidRPr="00F94FED" w:rsidRDefault="00F71BAF" w:rsidP="004D58E8">
            <w:pPr>
              <w:spacing w:after="0" w:line="240" w:lineRule="auto"/>
              <w:contextualSpacing/>
              <w:jc w:val="center"/>
              <w:rPr>
                <w:rFonts w:eastAsia="Times New Roman"/>
                <w:b/>
                <w:color w:val="FFFFFF" w:themeColor="background1"/>
                <w:lang w:eastAsia="ru-RU"/>
              </w:rPr>
            </w:pPr>
            <w:r w:rsidRPr="00F94FED">
              <w:rPr>
                <w:rFonts w:eastAsia="Times New Roman"/>
                <w:b/>
                <w:color w:val="FFFFFF" w:themeColor="background1"/>
                <w:lang w:eastAsia="ru-RU"/>
              </w:rPr>
              <w:t>4</w:t>
            </w:r>
          </w:p>
        </w:tc>
        <w:tc>
          <w:tcPr>
            <w:tcW w:w="47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F24E91E" w14:textId="78A75EB1" w:rsidR="00F71BAF" w:rsidRPr="00F94FED" w:rsidRDefault="00F71BAF" w:rsidP="004D58E8">
            <w:pPr>
              <w:spacing w:after="0" w:line="240" w:lineRule="auto"/>
              <w:contextualSpacing/>
              <w:jc w:val="center"/>
              <w:rPr>
                <w:rFonts w:eastAsia="Times New Roman"/>
                <w:b/>
                <w:color w:val="FFFFFF" w:themeColor="background1"/>
                <w:lang w:eastAsia="ru-RU"/>
              </w:rPr>
            </w:pPr>
            <w:r w:rsidRPr="00F94FED">
              <w:rPr>
                <w:rFonts w:eastAsia="Times New Roman"/>
                <w:b/>
                <w:color w:val="FFFFFF" w:themeColor="background1"/>
                <w:lang w:eastAsia="ru-RU"/>
              </w:rPr>
              <w:t>5</w:t>
            </w:r>
          </w:p>
        </w:tc>
        <w:tc>
          <w:tcPr>
            <w:tcW w:w="32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60FE8D5" w14:textId="47E89952" w:rsidR="00F71BAF" w:rsidRPr="00F94FED" w:rsidRDefault="00F71BAF" w:rsidP="004D58E8">
            <w:pPr>
              <w:spacing w:after="0" w:line="240" w:lineRule="auto"/>
              <w:contextualSpacing/>
              <w:jc w:val="center"/>
              <w:rPr>
                <w:rFonts w:eastAsia="Times New Roman"/>
                <w:b/>
                <w:color w:val="FFFFFF" w:themeColor="background1"/>
                <w:lang w:eastAsia="ru-RU"/>
              </w:rPr>
            </w:pPr>
            <w:r w:rsidRPr="00F94FED">
              <w:rPr>
                <w:rFonts w:eastAsia="Times New Roman"/>
                <w:b/>
                <w:color w:val="FFFFFF" w:themeColor="background1"/>
                <w:lang w:eastAsia="ru-RU"/>
              </w:rPr>
              <w:t>6</w:t>
            </w:r>
          </w:p>
        </w:tc>
        <w:tc>
          <w:tcPr>
            <w:tcW w:w="39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B64116B" w14:textId="414EC3B8" w:rsidR="00F71BAF" w:rsidRPr="00F94FED" w:rsidRDefault="00F71BAF" w:rsidP="004D58E8">
            <w:pPr>
              <w:spacing w:after="0" w:line="240" w:lineRule="auto"/>
              <w:contextualSpacing/>
              <w:jc w:val="center"/>
              <w:rPr>
                <w:rFonts w:eastAsia="Times New Roman"/>
                <w:b/>
                <w:color w:val="FFFFFF" w:themeColor="background1"/>
                <w:lang w:eastAsia="ru-RU"/>
              </w:rPr>
            </w:pPr>
            <w:r w:rsidRPr="00F94FED">
              <w:rPr>
                <w:rFonts w:eastAsia="Times New Roman"/>
                <w:b/>
                <w:color w:val="FFFFFF" w:themeColor="background1"/>
                <w:lang w:eastAsia="ru-RU"/>
              </w:rPr>
              <w:t>7</w:t>
            </w:r>
          </w:p>
        </w:tc>
        <w:tc>
          <w:tcPr>
            <w:tcW w:w="9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8FCE7C5" w14:textId="05B73706" w:rsidR="00F71BAF" w:rsidRPr="00F94FED" w:rsidRDefault="00F71BAF" w:rsidP="004D58E8">
            <w:pPr>
              <w:spacing w:after="0" w:line="240" w:lineRule="auto"/>
              <w:contextualSpacing/>
              <w:jc w:val="center"/>
              <w:rPr>
                <w:rFonts w:eastAsia="Times New Roman"/>
                <w:b/>
                <w:color w:val="FFFFFF" w:themeColor="background1"/>
                <w:lang w:eastAsia="ru-RU"/>
              </w:rPr>
            </w:pPr>
            <w:r w:rsidRPr="00F94FED">
              <w:rPr>
                <w:rFonts w:eastAsia="Times New Roman"/>
                <w:b/>
                <w:color w:val="FFFFFF" w:themeColor="background1"/>
                <w:lang w:eastAsia="ru-RU"/>
              </w:rPr>
              <w:t>8</w:t>
            </w:r>
          </w:p>
        </w:tc>
      </w:tr>
      <w:tr w:rsidR="00F71BAF" w:rsidRPr="009A4C46" w14:paraId="25011DF9" w14:textId="77777777" w:rsidTr="004D58E8">
        <w:trPr>
          <w:trHeight w:val="20"/>
        </w:trPr>
        <w:tc>
          <w:tcPr>
            <w:tcW w:w="1369"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68A34646" w14:textId="77777777" w:rsidR="009A4C46" w:rsidRPr="009A4C46" w:rsidRDefault="009A4C46" w:rsidP="004D58E8">
            <w:pPr>
              <w:spacing w:after="0" w:line="240" w:lineRule="auto"/>
              <w:contextualSpacing/>
              <w:jc w:val="both"/>
              <w:rPr>
                <w:rFonts w:eastAsia="Times New Roman"/>
                <w:b/>
                <w:lang w:eastAsia="ru-RU"/>
              </w:rPr>
            </w:pPr>
            <w:r w:rsidRPr="009A4C46">
              <w:rPr>
                <w:rFonts w:eastAsia="Times New Roman"/>
                <w:b/>
                <w:lang w:eastAsia="ru-RU"/>
              </w:rPr>
              <w:t>Подконтрольные расходы</w:t>
            </w:r>
          </w:p>
        </w:tc>
        <w:tc>
          <w:tcPr>
            <w:tcW w:w="497" w:type="pct"/>
            <w:tcBorders>
              <w:top w:val="single" w:sz="4" w:space="0" w:color="FFFFFF" w:themeColor="background1"/>
              <w:left w:val="nil"/>
              <w:bottom w:val="single" w:sz="4" w:space="0" w:color="auto"/>
              <w:right w:val="single" w:sz="4" w:space="0" w:color="auto"/>
            </w:tcBorders>
            <w:shd w:val="clear" w:color="auto" w:fill="auto"/>
            <w:vAlign w:val="center"/>
            <w:hideMark/>
          </w:tcPr>
          <w:p w14:paraId="5ACBDD2B" w14:textId="77777777" w:rsidR="009A4C46" w:rsidRPr="009A4C46" w:rsidRDefault="009A4C46" w:rsidP="004D58E8">
            <w:pPr>
              <w:spacing w:after="0" w:line="240" w:lineRule="auto"/>
              <w:contextualSpacing/>
              <w:jc w:val="center"/>
              <w:rPr>
                <w:rFonts w:eastAsia="Times New Roman"/>
                <w:b/>
                <w:lang w:eastAsia="ru-RU"/>
              </w:rPr>
            </w:pPr>
            <w:r w:rsidRPr="009A4C46">
              <w:rPr>
                <w:rFonts w:eastAsia="Times New Roman"/>
                <w:b/>
                <w:lang w:eastAsia="ru-RU"/>
              </w:rPr>
              <w:t>тыс. руб.</w:t>
            </w:r>
          </w:p>
        </w:tc>
        <w:tc>
          <w:tcPr>
            <w:tcW w:w="543" w:type="pct"/>
            <w:tcBorders>
              <w:top w:val="single" w:sz="4" w:space="0" w:color="FFFFFF" w:themeColor="background1"/>
              <w:left w:val="nil"/>
              <w:bottom w:val="single" w:sz="8" w:space="0" w:color="auto"/>
              <w:right w:val="single" w:sz="8" w:space="0" w:color="auto"/>
            </w:tcBorders>
            <w:shd w:val="clear" w:color="auto" w:fill="auto"/>
            <w:noWrap/>
            <w:vAlign w:val="center"/>
            <w:hideMark/>
          </w:tcPr>
          <w:p w14:paraId="59F0B07B" w14:textId="77777777" w:rsidR="009A4C46" w:rsidRPr="009A4C46" w:rsidRDefault="009A4C46" w:rsidP="004D58E8">
            <w:pPr>
              <w:spacing w:after="0" w:line="240" w:lineRule="auto"/>
              <w:contextualSpacing/>
              <w:jc w:val="center"/>
              <w:rPr>
                <w:rFonts w:eastAsia="Times New Roman"/>
                <w:b/>
                <w:lang w:eastAsia="ru-RU"/>
              </w:rPr>
            </w:pPr>
            <w:r w:rsidRPr="009A4C46">
              <w:rPr>
                <w:rFonts w:eastAsia="Times New Roman"/>
                <w:b/>
                <w:bCs/>
                <w:color w:val="000000"/>
                <w:lang w:eastAsia="ru-RU"/>
              </w:rPr>
              <w:t>564 655</w:t>
            </w:r>
          </w:p>
        </w:tc>
        <w:tc>
          <w:tcPr>
            <w:tcW w:w="473" w:type="pct"/>
            <w:tcBorders>
              <w:top w:val="single" w:sz="4" w:space="0" w:color="FFFFFF" w:themeColor="background1"/>
              <w:left w:val="nil"/>
              <w:bottom w:val="single" w:sz="8" w:space="0" w:color="auto"/>
              <w:right w:val="single" w:sz="8" w:space="0" w:color="auto"/>
            </w:tcBorders>
            <w:shd w:val="clear" w:color="auto" w:fill="auto"/>
            <w:noWrap/>
            <w:vAlign w:val="center"/>
            <w:hideMark/>
          </w:tcPr>
          <w:p w14:paraId="01AF542D" w14:textId="77777777" w:rsidR="009A4C46" w:rsidRPr="009A4C46" w:rsidRDefault="009A4C46" w:rsidP="004D58E8">
            <w:pPr>
              <w:spacing w:after="0" w:line="240" w:lineRule="auto"/>
              <w:contextualSpacing/>
              <w:jc w:val="center"/>
              <w:rPr>
                <w:rFonts w:eastAsia="Times New Roman"/>
                <w:b/>
                <w:lang w:eastAsia="ru-RU"/>
              </w:rPr>
            </w:pPr>
            <w:r w:rsidRPr="009A4C46">
              <w:rPr>
                <w:rFonts w:eastAsia="Times New Roman"/>
                <w:b/>
                <w:bCs/>
                <w:color w:val="000000"/>
                <w:lang w:eastAsia="ru-RU"/>
              </w:rPr>
              <w:t>418 423</w:t>
            </w:r>
          </w:p>
        </w:tc>
        <w:tc>
          <w:tcPr>
            <w:tcW w:w="475" w:type="pct"/>
            <w:tcBorders>
              <w:top w:val="single" w:sz="4" w:space="0" w:color="FFFFFF" w:themeColor="background1"/>
              <w:left w:val="nil"/>
              <w:bottom w:val="single" w:sz="8" w:space="0" w:color="auto"/>
              <w:right w:val="single" w:sz="8" w:space="0" w:color="auto"/>
            </w:tcBorders>
            <w:shd w:val="clear" w:color="auto" w:fill="auto"/>
            <w:noWrap/>
            <w:vAlign w:val="center"/>
            <w:hideMark/>
          </w:tcPr>
          <w:p w14:paraId="3E3CEEA1" w14:textId="77777777" w:rsidR="009A4C46" w:rsidRPr="009A4C46" w:rsidRDefault="009A4C46" w:rsidP="004D58E8">
            <w:pPr>
              <w:spacing w:after="0" w:line="240" w:lineRule="auto"/>
              <w:contextualSpacing/>
              <w:jc w:val="center"/>
              <w:rPr>
                <w:rFonts w:eastAsia="Times New Roman"/>
                <w:b/>
                <w:lang w:eastAsia="ru-RU"/>
              </w:rPr>
            </w:pPr>
            <w:r w:rsidRPr="009A4C46">
              <w:rPr>
                <w:rFonts w:eastAsia="Times New Roman"/>
                <w:b/>
                <w:bCs/>
                <w:color w:val="000000"/>
                <w:lang w:eastAsia="ru-RU"/>
              </w:rPr>
              <w:t>-146 232</w:t>
            </w:r>
          </w:p>
        </w:tc>
        <w:tc>
          <w:tcPr>
            <w:tcW w:w="325" w:type="pct"/>
            <w:tcBorders>
              <w:top w:val="single" w:sz="4" w:space="0" w:color="FFFFFF" w:themeColor="background1"/>
              <w:left w:val="nil"/>
              <w:bottom w:val="single" w:sz="8" w:space="0" w:color="auto"/>
              <w:right w:val="single" w:sz="8" w:space="0" w:color="auto"/>
            </w:tcBorders>
            <w:shd w:val="clear" w:color="auto" w:fill="auto"/>
            <w:noWrap/>
            <w:vAlign w:val="center"/>
            <w:hideMark/>
          </w:tcPr>
          <w:p w14:paraId="429B7DBE" w14:textId="77777777" w:rsidR="009A4C46" w:rsidRPr="009A4C46" w:rsidRDefault="009A4C46" w:rsidP="004D58E8">
            <w:pPr>
              <w:spacing w:after="0" w:line="240" w:lineRule="auto"/>
              <w:contextualSpacing/>
              <w:jc w:val="center"/>
              <w:rPr>
                <w:rFonts w:eastAsia="Times New Roman"/>
                <w:b/>
                <w:lang w:eastAsia="ru-RU"/>
              </w:rPr>
            </w:pPr>
            <w:r w:rsidRPr="009A4C46">
              <w:rPr>
                <w:rFonts w:eastAsia="Times New Roman"/>
                <w:b/>
                <w:bCs/>
                <w:color w:val="000000"/>
                <w:lang w:eastAsia="ru-RU"/>
              </w:rPr>
              <w:t>-26%</w:t>
            </w:r>
          </w:p>
        </w:tc>
        <w:tc>
          <w:tcPr>
            <w:tcW w:w="392" w:type="pct"/>
            <w:tcBorders>
              <w:top w:val="single" w:sz="4" w:space="0" w:color="FFFFFF" w:themeColor="background1"/>
              <w:left w:val="nil"/>
              <w:bottom w:val="single" w:sz="8" w:space="0" w:color="auto"/>
              <w:right w:val="single" w:sz="8" w:space="0" w:color="000000"/>
            </w:tcBorders>
            <w:shd w:val="clear" w:color="auto" w:fill="auto"/>
            <w:noWrap/>
            <w:vAlign w:val="center"/>
            <w:hideMark/>
          </w:tcPr>
          <w:p w14:paraId="6233B80A" w14:textId="77777777" w:rsidR="009A4C46" w:rsidRPr="009A4C46" w:rsidRDefault="009A4C46" w:rsidP="004D58E8">
            <w:pPr>
              <w:spacing w:after="0" w:line="240" w:lineRule="auto"/>
              <w:contextualSpacing/>
              <w:jc w:val="center"/>
              <w:rPr>
                <w:rFonts w:eastAsia="Times New Roman"/>
                <w:lang w:eastAsia="ru-RU"/>
              </w:rPr>
            </w:pPr>
            <w:r w:rsidRPr="009A4C46">
              <w:rPr>
                <w:rFonts w:eastAsia="Times New Roman"/>
                <w:color w:val="000000"/>
                <w:lang w:eastAsia="ru-RU"/>
              </w:rPr>
              <w:t>-4 635</w:t>
            </w:r>
          </w:p>
        </w:tc>
        <w:tc>
          <w:tcPr>
            <w:tcW w:w="927" w:type="pct"/>
            <w:tcBorders>
              <w:top w:val="single" w:sz="4" w:space="0" w:color="FFFFFF" w:themeColor="background1"/>
              <w:left w:val="nil"/>
              <w:bottom w:val="single" w:sz="4" w:space="0" w:color="auto"/>
              <w:right w:val="single" w:sz="4" w:space="0" w:color="auto"/>
            </w:tcBorders>
            <w:shd w:val="clear" w:color="auto" w:fill="auto"/>
            <w:vAlign w:val="center"/>
            <w:hideMark/>
          </w:tcPr>
          <w:p w14:paraId="7528458D" w14:textId="7852EA3E" w:rsidR="009A4C46" w:rsidRPr="009A4C46" w:rsidRDefault="009A4C46" w:rsidP="004D58E8">
            <w:pPr>
              <w:spacing w:after="0" w:line="240" w:lineRule="auto"/>
              <w:contextualSpacing/>
              <w:jc w:val="center"/>
              <w:rPr>
                <w:rFonts w:eastAsia="Times New Roman"/>
                <w:lang w:eastAsia="ru-RU"/>
              </w:rPr>
            </w:pPr>
            <w:r w:rsidRPr="009A4C46">
              <w:rPr>
                <w:rFonts w:eastAsia="Times New Roman"/>
                <w:lang w:eastAsia="ru-RU"/>
              </w:rPr>
              <w:t>Кор</w:t>
            </w:r>
            <w:r w:rsidR="004D58E8">
              <w:rPr>
                <w:rFonts w:eastAsia="Times New Roman"/>
                <w:lang w:eastAsia="ru-RU"/>
              </w:rPr>
              <w:t>ректиров</w:t>
            </w:r>
            <w:r w:rsidRPr="009A4C46">
              <w:rPr>
                <w:rFonts w:eastAsia="Times New Roman"/>
                <w:lang w:eastAsia="ru-RU"/>
              </w:rPr>
              <w:t>ка подконтрольных расходов</w:t>
            </w:r>
          </w:p>
        </w:tc>
      </w:tr>
      <w:tr w:rsidR="00F71BAF" w:rsidRPr="009A4C46" w14:paraId="6A70E1FE" w14:textId="77777777" w:rsidTr="004D58E8">
        <w:trPr>
          <w:trHeight w:val="20"/>
        </w:trPr>
        <w:tc>
          <w:tcPr>
            <w:tcW w:w="1369" w:type="pct"/>
            <w:tcBorders>
              <w:top w:val="nil"/>
              <w:left w:val="single" w:sz="4" w:space="0" w:color="auto"/>
              <w:bottom w:val="single" w:sz="4" w:space="0" w:color="auto"/>
              <w:right w:val="single" w:sz="4" w:space="0" w:color="auto"/>
            </w:tcBorders>
            <w:shd w:val="clear" w:color="auto" w:fill="auto"/>
            <w:vAlign w:val="center"/>
            <w:hideMark/>
          </w:tcPr>
          <w:p w14:paraId="36E794BA" w14:textId="47E2B118" w:rsidR="009A4C46" w:rsidRPr="009A4C46" w:rsidRDefault="009A4C46" w:rsidP="004D58E8">
            <w:pPr>
              <w:spacing w:after="0" w:line="240" w:lineRule="auto"/>
              <w:contextualSpacing/>
              <w:jc w:val="right"/>
              <w:rPr>
                <w:rFonts w:eastAsia="Times New Roman"/>
                <w:lang w:eastAsia="ru-RU"/>
              </w:rPr>
            </w:pPr>
            <w:r w:rsidRPr="009A4C46">
              <w:rPr>
                <w:rFonts w:eastAsia="Times New Roman"/>
                <w:lang w:eastAsia="ru-RU"/>
              </w:rPr>
              <w:t>в т.ч. ФОТ</w:t>
            </w:r>
          </w:p>
        </w:tc>
        <w:tc>
          <w:tcPr>
            <w:tcW w:w="497" w:type="pct"/>
            <w:tcBorders>
              <w:top w:val="nil"/>
              <w:left w:val="nil"/>
              <w:bottom w:val="single" w:sz="4" w:space="0" w:color="auto"/>
              <w:right w:val="single" w:sz="4" w:space="0" w:color="auto"/>
            </w:tcBorders>
            <w:shd w:val="clear" w:color="auto" w:fill="auto"/>
            <w:vAlign w:val="center"/>
            <w:hideMark/>
          </w:tcPr>
          <w:p w14:paraId="6D41710B" w14:textId="77777777" w:rsidR="009A4C46" w:rsidRPr="009A4C46" w:rsidRDefault="009A4C46" w:rsidP="004D58E8">
            <w:pPr>
              <w:spacing w:after="0" w:line="240" w:lineRule="auto"/>
              <w:contextualSpacing/>
              <w:jc w:val="center"/>
              <w:rPr>
                <w:rFonts w:eastAsia="Times New Roman"/>
                <w:lang w:eastAsia="ru-RU"/>
              </w:rPr>
            </w:pPr>
            <w:r w:rsidRPr="009A4C46">
              <w:rPr>
                <w:rFonts w:eastAsia="Times New Roman"/>
                <w:lang w:eastAsia="ru-RU"/>
              </w:rPr>
              <w:t>тыс. руб.</w:t>
            </w:r>
          </w:p>
        </w:tc>
        <w:tc>
          <w:tcPr>
            <w:tcW w:w="543" w:type="pct"/>
            <w:tcBorders>
              <w:top w:val="nil"/>
              <w:left w:val="nil"/>
              <w:bottom w:val="single" w:sz="8" w:space="0" w:color="auto"/>
              <w:right w:val="single" w:sz="8" w:space="0" w:color="auto"/>
            </w:tcBorders>
            <w:shd w:val="clear" w:color="auto" w:fill="auto"/>
            <w:noWrap/>
            <w:vAlign w:val="center"/>
            <w:hideMark/>
          </w:tcPr>
          <w:p w14:paraId="029AAC29" w14:textId="77777777" w:rsidR="009A4C46" w:rsidRPr="009A4C46" w:rsidRDefault="009A4C46" w:rsidP="004D58E8">
            <w:pPr>
              <w:spacing w:after="0" w:line="240" w:lineRule="auto"/>
              <w:contextualSpacing/>
              <w:jc w:val="center"/>
              <w:rPr>
                <w:rFonts w:eastAsia="Times New Roman"/>
                <w:lang w:eastAsia="ru-RU"/>
              </w:rPr>
            </w:pPr>
            <w:r w:rsidRPr="009A4C46">
              <w:rPr>
                <w:rFonts w:eastAsia="Times New Roman"/>
                <w:color w:val="000000"/>
                <w:lang w:eastAsia="ru-RU"/>
              </w:rPr>
              <w:t>328 842</w:t>
            </w:r>
          </w:p>
        </w:tc>
        <w:tc>
          <w:tcPr>
            <w:tcW w:w="473" w:type="pct"/>
            <w:tcBorders>
              <w:top w:val="nil"/>
              <w:left w:val="nil"/>
              <w:bottom w:val="single" w:sz="8" w:space="0" w:color="auto"/>
              <w:right w:val="single" w:sz="8" w:space="0" w:color="auto"/>
            </w:tcBorders>
            <w:shd w:val="clear" w:color="auto" w:fill="auto"/>
            <w:noWrap/>
            <w:vAlign w:val="center"/>
            <w:hideMark/>
          </w:tcPr>
          <w:p w14:paraId="02CB496F" w14:textId="77777777" w:rsidR="009A4C46" w:rsidRPr="009A4C46" w:rsidRDefault="009A4C46" w:rsidP="004D58E8">
            <w:pPr>
              <w:spacing w:after="0" w:line="240" w:lineRule="auto"/>
              <w:contextualSpacing/>
              <w:jc w:val="center"/>
              <w:rPr>
                <w:rFonts w:eastAsia="Times New Roman"/>
                <w:lang w:eastAsia="ru-RU"/>
              </w:rPr>
            </w:pPr>
            <w:r w:rsidRPr="009A4C46">
              <w:rPr>
                <w:rFonts w:eastAsia="Times New Roman"/>
                <w:color w:val="000000"/>
                <w:lang w:eastAsia="ru-RU"/>
              </w:rPr>
              <w:t>307 743</w:t>
            </w:r>
          </w:p>
        </w:tc>
        <w:tc>
          <w:tcPr>
            <w:tcW w:w="475" w:type="pct"/>
            <w:tcBorders>
              <w:top w:val="nil"/>
              <w:left w:val="nil"/>
              <w:bottom w:val="single" w:sz="8" w:space="0" w:color="auto"/>
              <w:right w:val="single" w:sz="8" w:space="0" w:color="auto"/>
            </w:tcBorders>
            <w:shd w:val="clear" w:color="auto" w:fill="auto"/>
            <w:noWrap/>
            <w:vAlign w:val="center"/>
            <w:hideMark/>
          </w:tcPr>
          <w:p w14:paraId="4BCCE511" w14:textId="77777777" w:rsidR="009A4C46" w:rsidRPr="009A4C46" w:rsidRDefault="009A4C46" w:rsidP="004D58E8">
            <w:pPr>
              <w:spacing w:after="0" w:line="240" w:lineRule="auto"/>
              <w:contextualSpacing/>
              <w:jc w:val="center"/>
              <w:rPr>
                <w:rFonts w:eastAsia="Times New Roman"/>
                <w:lang w:eastAsia="ru-RU"/>
              </w:rPr>
            </w:pPr>
            <w:r w:rsidRPr="009A4C46">
              <w:rPr>
                <w:rFonts w:eastAsia="Times New Roman"/>
                <w:color w:val="000000"/>
                <w:lang w:eastAsia="ru-RU"/>
              </w:rPr>
              <w:t>-21 099</w:t>
            </w:r>
          </w:p>
        </w:tc>
        <w:tc>
          <w:tcPr>
            <w:tcW w:w="325" w:type="pct"/>
            <w:tcBorders>
              <w:top w:val="nil"/>
              <w:left w:val="nil"/>
              <w:bottom w:val="single" w:sz="8" w:space="0" w:color="auto"/>
              <w:right w:val="single" w:sz="8" w:space="0" w:color="auto"/>
            </w:tcBorders>
            <w:shd w:val="clear" w:color="auto" w:fill="auto"/>
            <w:noWrap/>
            <w:vAlign w:val="center"/>
            <w:hideMark/>
          </w:tcPr>
          <w:p w14:paraId="0E7CA16E" w14:textId="77777777" w:rsidR="009A4C46" w:rsidRPr="009A4C46" w:rsidRDefault="009A4C46" w:rsidP="004D58E8">
            <w:pPr>
              <w:spacing w:after="0" w:line="240" w:lineRule="auto"/>
              <w:contextualSpacing/>
              <w:jc w:val="center"/>
              <w:rPr>
                <w:rFonts w:eastAsia="Times New Roman"/>
                <w:lang w:eastAsia="ru-RU"/>
              </w:rPr>
            </w:pPr>
            <w:r w:rsidRPr="009A4C46">
              <w:rPr>
                <w:rFonts w:eastAsia="Times New Roman"/>
                <w:color w:val="000000"/>
                <w:lang w:eastAsia="ru-RU"/>
              </w:rPr>
              <w:t>-6%</w:t>
            </w:r>
          </w:p>
        </w:tc>
        <w:tc>
          <w:tcPr>
            <w:tcW w:w="392" w:type="pct"/>
            <w:tcBorders>
              <w:top w:val="single" w:sz="8" w:space="0" w:color="auto"/>
              <w:left w:val="nil"/>
              <w:bottom w:val="single" w:sz="8" w:space="0" w:color="auto"/>
              <w:right w:val="single" w:sz="8" w:space="0" w:color="000000"/>
            </w:tcBorders>
            <w:shd w:val="clear" w:color="auto" w:fill="auto"/>
            <w:noWrap/>
            <w:vAlign w:val="center"/>
            <w:hideMark/>
          </w:tcPr>
          <w:p w14:paraId="5E49A624" w14:textId="77777777" w:rsidR="009A4C46" w:rsidRPr="009A4C46" w:rsidRDefault="009A4C46" w:rsidP="004D58E8">
            <w:pPr>
              <w:spacing w:after="0" w:line="240" w:lineRule="auto"/>
              <w:contextualSpacing/>
              <w:jc w:val="center"/>
              <w:rPr>
                <w:rFonts w:eastAsia="Times New Roman"/>
                <w:lang w:eastAsia="ru-RU"/>
              </w:rPr>
            </w:pPr>
            <w:r w:rsidRPr="009A4C46">
              <w:rPr>
                <w:rFonts w:eastAsia="Times New Roman" w:cs="Calibri"/>
                <w:color w:val="000000"/>
                <w:lang w:eastAsia="ru-RU"/>
              </w:rPr>
              <w:t> </w:t>
            </w:r>
          </w:p>
        </w:tc>
        <w:tc>
          <w:tcPr>
            <w:tcW w:w="927" w:type="pct"/>
            <w:tcBorders>
              <w:top w:val="nil"/>
              <w:left w:val="nil"/>
              <w:bottom w:val="single" w:sz="4" w:space="0" w:color="auto"/>
              <w:right w:val="single" w:sz="4" w:space="0" w:color="auto"/>
            </w:tcBorders>
            <w:shd w:val="clear" w:color="auto" w:fill="auto"/>
            <w:vAlign w:val="center"/>
            <w:hideMark/>
          </w:tcPr>
          <w:p w14:paraId="4A77A139" w14:textId="77777777" w:rsidR="009A4C46" w:rsidRPr="009A4C46" w:rsidRDefault="009A4C46" w:rsidP="004D58E8">
            <w:pPr>
              <w:spacing w:after="0" w:line="240" w:lineRule="auto"/>
              <w:contextualSpacing/>
              <w:jc w:val="center"/>
              <w:rPr>
                <w:rFonts w:eastAsia="Times New Roman"/>
                <w:lang w:eastAsia="ru-RU"/>
              </w:rPr>
            </w:pPr>
          </w:p>
        </w:tc>
      </w:tr>
      <w:tr w:rsidR="00F71BAF" w:rsidRPr="009A4C46" w14:paraId="0A5260E4" w14:textId="77777777" w:rsidTr="004D58E8">
        <w:trPr>
          <w:trHeight w:val="20"/>
        </w:trPr>
        <w:tc>
          <w:tcPr>
            <w:tcW w:w="1369" w:type="pct"/>
            <w:tcBorders>
              <w:top w:val="nil"/>
              <w:left w:val="single" w:sz="4" w:space="0" w:color="auto"/>
              <w:bottom w:val="single" w:sz="4" w:space="0" w:color="auto"/>
              <w:right w:val="single" w:sz="4" w:space="0" w:color="auto"/>
            </w:tcBorders>
            <w:shd w:val="clear" w:color="auto" w:fill="auto"/>
            <w:vAlign w:val="center"/>
            <w:hideMark/>
          </w:tcPr>
          <w:p w14:paraId="079AC8C2" w14:textId="77777777" w:rsidR="009A4C46" w:rsidRPr="009A4C46" w:rsidRDefault="009A4C46" w:rsidP="004D58E8">
            <w:pPr>
              <w:spacing w:after="0" w:line="240" w:lineRule="auto"/>
              <w:contextualSpacing/>
              <w:rPr>
                <w:rFonts w:eastAsia="Times New Roman"/>
                <w:b/>
                <w:lang w:eastAsia="ru-RU"/>
              </w:rPr>
            </w:pPr>
            <w:r w:rsidRPr="009A4C46">
              <w:rPr>
                <w:rFonts w:eastAsia="Times New Roman"/>
                <w:b/>
                <w:lang w:eastAsia="ru-RU"/>
              </w:rPr>
              <w:t>Неподконтрольные расходы</w:t>
            </w:r>
          </w:p>
        </w:tc>
        <w:tc>
          <w:tcPr>
            <w:tcW w:w="497" w:type="pct"/>
            <w:tcBorders>
              <w:top w:val="nil"/>
              <w:left w:val="nil"/>
              <w:bottom w:val="single" w:sz="4" w:space="0" w:color="auto"/>
              <w:right w:val="single" w:sz="4" w:space="0" w:color="auto"/>
            </w:tcBorders>
            <w:shd w:val="clear" w:color="auto" w:fill="auto"/>
            <w:vAlign w:val="center"/>
            <w:hideMark/>
          </w:tcPr>
          <w:p w14:paraId="58147B23" w14:textId="77777777" w:rsidR="009A4C46" w:rsidRPr="009A4C46" w:rsidRDefault="009A4C46" w:rsidP="004D58E8">
            <w:pPr>
              <w:spacing w:after="0" w:line="240" w:lineRule="auto"/>
              <w:contextualSpacing/>
              <w:jc w:val="center"/>
              <w:rPr>
                <w:rFonts w:eastAsia="Times New Roman"/>
                <w:b/>
                <w:lang w:eastAsia="ru-RU"/>
              </w:rPr>
            </w:pPr>
            <w:r w:rsidRPr="009A4C46">
              <w:rPr>
                <w:rFonts w:eastAsia="Times New Roman"/>
                <w:b/>
                <w:lang w:eastAsia="ru-RU"/>
              </w:rPr>
              <w:t>тыс. руб.</w:t>
            </w:r>
          </w:p>
        </w:tc>
        <w:tc>
          <w:tcPr>
            <w:tcW w:w="543" w:type="pct"/>
            <w:tcBorders>
              <w:top w:val="nil"/>
              <w:left w:val="nil"/>
              <w:bottom w:val="single" w:sz="8" w:space="0" w:color="auto"/>
              <w:right w:val="single" w:sz="8" w:space="0" w:color="auto"/>
            </w:tcBorders>
            <w:shd w:val="clear" w:color="auto" w:fill="auto"/>
            <w:noWrap/>
            <w:vAlign w:val="center"/>
            <w:hideMark/>
          </w:tcPr>
          <w:p w14:paraId="24C4E48E" w14:textId="77777777" w:rsidR="009A4C46" w:rsidRPr="009A4C46" w:rsidRDefault="009A4C46" w:rsidP="004D58E8">
            <w:pPr>
              <w:spacing w:after="0" w:line="240" w:lineRule="auto"/>
              <w:contextualSpacing/>
              <w:jc w:val="center"/>
              <w:rPr>
                <w:rFonts w:eastAsia="Times New Roman"/>
                <w:b/>
                <w:lang w:eastAsia="ru-RU"/>
              </w:rPr>
            </w:pPr>
            <w:r w:rsidRPr="009A4C46">
              <w:rPr>
                <w:rFonts w:eastAsia="Times New Roman"/>
                <w:b/>
                <w:bCs/>
                <w:color w:val="000000"/>
                <w:lang w:eastAsia="ru-RU"/>
              </w:rPr>
              <w:t>559 723</w:t>
            </w:r>
          </w:p>
        </w:tc>
        <w:tc>
          <w:tcPr>
            <w:tcW w:w="473" w:type="pct"/>
            <w:tcBorders>
              <w:top w:val="nil"/>
              <w:left w:val="nil"/>
              <w:bottom w:val="single" w:sz="8" w:space="0" w:color="auto"/>
              <w:right w:val="single" w:sz="8" w:space="0" w:color="auto"/>
            </w:tcBorders>
            <w:shd w:val="clear" w:color="auto" w:fill="auto"/>
            <w:noWrap/>
            <w:vAlign w:val="center"/>
            <w:hideMark/>
          </w:tcPr>
          <w:p w14:paraId="3080D236" w14:textId="77777777" w:rsidR="009A4C46" w:rsidRPr="009A4C46" w:rsidRDefault="009A4C46" w:rsidP="004D58E8">
            <w:pPr>
              <w:spacing w:after="0" w:line="240" w:lineRule="auto"/>
              <w:contextualSpacing/>
              <w:jc w:val="center"/>
              <w:rPr>
                <w:rFonts w:eastAsia="Times New Roman"/>
                <w:b/>
                <w:lang w:eastAsia="ru-RU"/>
              </w:rPr>
            </w:pPr>
            <w:r w:rsidRPr="009A4C46">
              <w:rPr>
                <w:rFonts w:eastAsia="Times New Roman"/>
                <w:b/>
                <w:bCs/>
                <w:color w:val="000000"/>
                <w:lang w:eastAsia="ru-RU"/>
              </w:rPr>
              <w:t>744 430</w:t>
            </w:r>
          </w:p>
        </w:tc>
        <w:tc>
          <w:tcPr>
            <w:tcW w:w="475" w:type="pct"/>
            <w:tcBorders>
              <w:top w:val="nil"/>
              <w:left w:val="nil"/>
              <w:bottom w:val="single" w:sz="8" w:space="0" w:color="auto"/>
              <w:right w:val="single" w:sz="8" w:space="0" w:color="auto"/>
            </w:tcBorders>
            <w:shd w:val="clear" w:color="auto" w:fill="auto"/>
            <w:noWrap/>
            <w:vAlign w:val="center"/>
            <w:hideMark/>
          </w:tcPr>
          <w:p w14:paraId="590D250D" w14:textId="77777777" w:rsidR="009A4C46" w:rsidRPr="009A4C46" w:rsidRDefault="009A4C46" w:rsidP="004D58E8">
            <w:pPr>
              <w:spacing w:after="0" w:line="240" w:lineRule="auto"/>
              <w:contextualSpacing/>
              <w:jc w:val="center"/>
              <w:rPr>
                <w:rFonts w:eastAsia="Times New Roman"/>
                <w:b/>
                <w:lang w:eastAsia="ru-RU"/>
              </w:rPr>
            </w:pPr>
            <w:r w:rsidRPr="009A4C46">
              <w:rPr>
                <w:rFonts w:eastAsia="Times New Roman"/>
                <w:b/>
                <w:bCs/>
                <w:color w:val="000000"/>
                <w:lang w:eastAsia="ru-RU"/>
              </w:rPr>
              <w:t>184 707</w:t>
            </w:r>
          </w:p>
        </w:tc>
        <w:tc>
          <w:tcPr>
            <w:tcW w:w="325" w:type="pct"/>
            <w:tcBorders>
              <w:top w:val="nil"/>
              <w:left w:val="nil"/>
              <w:bottom w:val="single" w:sz="8" w:space="0" w:color="auto"/>
              <w:right w:val="single" w:sz="8" w:space="0" w:color="auto"/>
            </w:tcBorders>
            <w:shd w:val="clear" w:color="auto" w:fill="auto"/>
            <w:noWrap/>
            <w:vAlign w:val="center"/>
            <w:hideMark/>
          </w:tcPr>
          <w:p w14:paraId="68534FD8" w14:textId="77777777" w:rsidR="009A4C46" w:rsidRPr="009A4C46" w:rsidRDefault="009A4C46" w:rsidP="004D58E8">
            <w:pPr>
              <w:spacing w:after="0" w:line="240" w:lineRule="auto"/>
              <w:contextualSpacing/>
              <w:jc w:val="center"/>
              <w:rPr>
                <w:rFonts w:eastAsia="Times New Roman"/>
                <w:b/>
                <w:lang w:eastAsia="ru-RU"/>
              </w:rPr>
            </w:pPr>
            <w:r w:rsidRPr="009A4C46">
              <w:rPr>
                <w:rFonts w:eastAsia="Times New Roman"/>
                <w:b/>
                <w:bCs/>
                <w:color w:val="000000"/>
                <w:lang w:eastAsia="ru-RU"/>
              </w:rPr>
              <w:t>33%</w:t>
            </w:r>
          </w:p>
        </w:tc>
        <w:tc>
          <w:tcPr>
            <w:tcW w:w="392" w:type="pct"/>
            <w:tcBorders>
              <w:top w:val="single" w:sz="8" w:space="0" w:color="auto"/>
              <w:left w:val="nil"/>
              <w:bottom w:val="single" w:sz="8" w:space="0" w:color="auto"/>
              <w:right w:val="single" w:sz="8" w:space="0" w:color="000000"/>
            </w:tcBorders>
            <w:shd w:val="clear" w:color="auto" w:fill="auto"/>
            <w:noWrap/>
            <w:vAlign w:val="center"/>
            <w:hideMark/>
          </w:tcPr>
          <w:p w14:paraId="5F2AEF6D" w14:textId="77777777" w:rsidR="009A4C46" w:rsidRPr="009A4C46" w:rsidRDefault="009A4C46" w:rsidP="004D58E8">
            <w:pPr>
              <w:spacing w:after="0" w:line="240" w:lineRule="auto"/>
              <w:contextualSpacing/>
              <w:jc w:val="center"/>
              <w:rPr>
                <w:rFonts w:eastAsia="Times New Roman"/>
                <w:lang w:eastAsia="ru-RU"/>
              </w:rPr>
            </w:pPr>
            <w:r w:rsidRPr="009A4C46">
              <w:rPr>
                <w:rFonts w:eastAsia="Times New Roman"/>
                <w:color w:val="000000"/>
                <w:lang w:eastAsia="ru-RU"/>
              </w:rPr>
              <w:t>29 589</w:t>
            </w:r>
          </w:p>
        </w:tc>
        <w:tc>
          <w:tcPr>
            <w:tcW w:w="927" w:type="pct"/>
            <w:tcBorders>
              <w:top w:val="nil"/>
              <w:left w:val="nil"/>
              <w:bottom w:val="single" w:sz="4" w:space="0" w:color="auto"/>
              <w:right w:val="single" w:sz="4" w:space="0" w:color="auto"/>
            </w:tcBorders>
            <w:shd w:val="clear" w:color="auto" w:fill="auto"/>
            <w:vAlign w:val="center"/>
            <w:hideMark/>
          </w:tcPr>
          <w:p w14:paraId="0D302043" w14:textId="5E5AF838" w:rsidR="009A4C46" w:rsidRPr="009A4C46" w:rsidRDefault="009A4C46" w:rsidP="004D58E8">
            <w:pPr>
              <w:spacing w:after="0" w:line="240" w:lineRule="auto"/>
              <w:contextualSpacing/>
              <w:jc w:val="center"/>
              <w:rPr>
                <w:rFonts w:eastAsia="Times New Roman"/>
                <w:lang w:eastAsia="ru-RU"/>
              </w:rPr>
            </w:pPr>
            <w:r w:rsidRPr="009A4C46">
              <w:rPr>
                <w:rFonts w:eastAsia="Times New Roman"/>
                <w:lang w:eastAsia="ru-RU"/>
              </w:rPr>
              <w:t>Кор</w:t>
            </w:r>
            <w:r w:rsidR="004D58E8">
              <w:rPr>
                <w:rFonts w:eastAsia="Times New Roman"/>
                <w:lang w:eastAsia="ru-RU"/>
              </w:rPr>
              <w:t>ректиров</w:t>
            </w:r>
            <w:r w:rsidRPr="009A4C46">
              <w:rPr>
                <w:rFonts w:eastAsia="Times New Roman"/>
                <w:lang w:eastAsia="ru-RU"/>
              </w:rPr>
              <w:t>ка неподконтрольных расходов</w:t>
            </w:r>
          </w:p>
        </w:tc>
      </w:tr>
      <w:tr w:rsidR="00F71BAF" w:rsidRPr="009A4C46" w14:paraId="145F3E21" w14:textId="77777777" w:rsidTr="004D58E8">
        <w:trPr>
          <w:trHeight w:val="20"/>
        </w:trPr>
        <w:tc>
          <w:tcPr>
            <w:tcW w:w="1369" w:type="pct"/>
            <w:tcBorders>
              <w:top w:val="nil"/>
              <w:left w:val="single" w:sz="4" w:space="0" w:color="auto"/>
              <w:bottom w:val="single" w:sz="4" w:space="0" w:color="auto"/>
              <w:right w:val="single" w:sz="4" w:space="0" w:color="auto"/>
            </w:tcBorders>
            <w:shd w:val="clear" w:color="auto" w:fill="auto"/>
            <w:vAlign w:val="center"/>
            <w:hideMark/>
          </w:tcPr>
          <w:p w14:paraId="155BC74C" w14:textId="77777777" w:rsidR="009A4C46" w:rsidRPr="009A4C46" w:rsidRDefault="009A4C46" w:rsidP="004D58E8">
            <w:pPr>
              <w:spacing w:after="0" w:line="240" w:lineRule="auto"/>
              <w:contextualSpacing/>
              <w:jc w:val="right"/>
              <w:rPr>
                <w:rFonts w:eastAsia="Times New Roman"/>
                <w:lang w:eastAsia="ru-RU"/>
              </w:rPr>
            </w:pPr>
            <w:r w:rsidRPr="009A4C46">
              <w:rPr>
                <w:rFonts w:eastAsia="Times New Roman"/>
                <w:lang w:eastAsia="ru-RU"/>
              </w:rPr>
              <w:t>в т.ч. Расходы сетевой организации, связанные с осуществлением технологического присоединения к электрическим сетям, не включенные в плату за технологическое присоединение</w:t>
            </w:r>
          </w:p>
        </w:tc>
        <w:tc>
          <w:tcPr>
            <w:tcW w:w="497" w:type="pct"/>
            <w:tcBorders>
              <w:top w:val="nil"/>
              <w:left w:val="nil"/>
              <w:bottom w:val="single" w:sz="4" w:space="0" w:color="auto"/>
              <w:right w:val="single" w:sz="4" w:space="0" w:color="auto"/>
            </w:tcBorders>
            <w:shd w:val="clear" w:color="auto" w:fill="auto"/>
            <w:vAlign w:val="center"/>
            <w:hideMark/>
          </w:tcPr>
          <w:p w14:paraId="7CF9787C" w14:textId="77777777" w:rsidR="009A4C46" w:rsidRPr="009A4C46" w:rsidRDefault="009A4C46" w:rsidP="004D58E8">
            <w:pPr>
              <w:spacing w:after="0" w:line="240" w:lineRule="auto"/>
              <w:contextualSpacing/>
              <w:jc w:val="center"/>
              <w:rPr>
                <w:rFonts w:eastAsia="Times New Roman"/>
                <w:lang w:eastAsia="ru-RU"/>
              </w:rPr>
            </w:pPr>
            <w:r w:rsidRPr="009A4C46">
              <w:rPr>
                <w:rFonts w:eastAsia="Times New Roman"/>
                <w:lang w:eastAsia="ru-RU"/>
              </w:rPr>
              <w:t>тыс. руб.</w:t>
            </w:r>
          </w:p>
        </w:tc>
        <w:tc>
          <w:tcPr>
            <w:tcW w:w="543" w:type="pct"/>
            <w:tcBorders>
              <w:top w:val="nil"/>
              <w:left w:val="nil"/>
              <w:bottom w:val="single" w:sz="8" w:space="0" w:color="auto"/>
              <w:right w:val="single" w:sz="8" w:space="0" w:color="auto"/>
            </w:tcBorders>
            <w:shd w:val="clear" w:color="auto" w:fill="auto"/>
            <w:noWrap/>
            <w:vAlign w:val="center"/>
            <w:hideMark/>
          </w:tcPr>
          <w:p w14:paraId="09903100" w14:textId="77777777" w:rsidR="009A4C46" w:rsidRPr="009A4C46" w:rsidRDefault="009A4C46" w:rsidP="004D58E8">
            <w:pPr>
              <w:spacing w:after="0" w:line="240" w:lineRule="auto"/>
              <w:contextualSpacing/>
              <w:jc w:val="center"/>
              <w:rPr>
                <w:rFonts w:eastAsia="Times New Roman"/>
                <w:lang w:eastAsia="ru-RU"/>
              </w:rPr>
            </w:pPr>
            <w:r w:rsidRPr="009A4C46">
              <w:rPr>
                <w:rFonts w:eastAsia="Times New Roman"/>
                <w:color w:val="000000"/>
                <w:lang w:eastAsia="ru-RU"/>
              </w:rPr>
              <w:t>40 461</w:t>
            </w:r>
          </w:p>
        </w:tc>
        <w:tc>
          <w:tcPr>
            <w:tcW w:w="473" w:type="pct"/>
            <w:tcBorders>
              <w:top w:val="nil"/>
              <w:left w:val="nil"/>
              <w:bottom w:val="single" w:sz="8" w:space="0" w:color="auto"/>
              <w:right w:val="single" w:sz="8" w:space="0" w:color="auto"/>
            </w:tcBorders>
            <w:shd w:val="clear" w:color="auto" w:fill="auto"/>
            <w:noWrap/>
            <w:vAlign w:val="center"/>
            <w:hideMark/>
          </w:tcPr>
          <w:p w14:paraId="7BB47B87" w14:textId="77777777" w:rsidR="009A4C46" w:rsidRPr="009A4C46" w:rsidRDefault="009A4C46" w:rsidP="004D58E8">
            <w:pPr>
              <w:spacing w:after="0" w:line="240" w:lineRule="auto"/>
              <w:contextualSpacing/>
              <w:jc w:val="center"/>
              <w:rPr>
                <w:rFonts w:eastAsia="Times New Roman"/>
                <w:lang w:eastAsia="ru-RU"/>
              </w:rPr>
            </w:pPr>
            <w:r w:rsidRPr="009A4C46">
              <w:rPr>
                <w:rFonts w:eastAsia="Times New Roman"/>
                <w:color w:val="000000"/>
                <w:lang w:eastAsia="ru-RU"/>
              </w:rPr>
              <w:t>34 492</w:t>
            </w:r>
          </w:p>
        </w:tc>
        <w:tc>
          <w:tcPr>
            <w:tcW w:w="475" w:type="pct"/>
            <w:tcBorders>
              <w:top w:val="nil"/>
              <w:left w:val="nil"/>
              <w:bottom w:val="single" w:sz="8" w:space="0" w:color="auto"/>
              <w:right w:val="single" w:sz="8" w:space="0" w:color="auto"/>
            </w:tcBorders>
            <w:shd w:val="clear" w:color="auto" w:fill="auto"/>
            <w:noWrap/>
            <w:vAlign w:val="center"/>
            <w:hideMark/>
          </w:tcPr>
          <w:p w14:paraId="55F3E287" w14:textId="77777777" w:rsidR="009A4C46" w:rsidRPr="009A4C46" w:rsidRDefault="009A4C46" w:rsidP="004D58E8">
            <w:pPr>
              <w:spacing w:after="0" w:line="240" w:lineRule="auto"/>
              <w:contextualSpacing/>
              <w:jc w:val="center"/>
              <w:rPr>
                <w:rFonts w:eastAsia="Times New Roman"/>
                <w:lang w:eastAsia="ru-RU"/>
              </w:rPr>
            </w:pPr>
            <w:r w:rsidRPr="009A4C46">
              <w:rPr>
                <w:rFonts w:eastAsia="Times New Roman"/>
                <w:color w:val="000000"/>
                <w:lang w:eastAsia="ru-RU"/>
              </w:rPr>
              <w:t>-5 969</w:t>
            </w:r>
          </w:p>
        </w:tc>
        <w:tc>
          <w:tcPr>
            <w:tcW w:w="325" w:type="pct"/>
            <w:tcBorders>
              <w:top w:val="nil"/>
              <w:left w:val="nil"/>
              <w:bottom w:val="single" w:sz="8" w:space="0" w:color="auto"/>
              <w:right w:val="single" w:sz="8" w:space="0" w:color="auto"/>
            </w:tcBorders>
            <w:shd w:val="clear" w:color="auto" w:fill="auto"/>
            <w:noWrap/>
            <w:vAlign w:val="center"/>
            <w:hideMark/>
          </w:tcPr>
          <w:p w14:paraId="084631E2" w14:textId="77777777" w:rsidR="009A4C46" w:rsidRPr="009A4C46" w:rsidRDefault="009A4C46" w:rsidP="004D58E8">
            <w:pPr>
              <w:spacing w:after="0" w:line="240" w:lineRule="auto"/>
              <w:contextualSpacing/>
              <w:jc w:val="center"/>
              <w:rPr>
                <w:rFonts w:eastAsia="Times New Roman"/>
                <w:lang w:eastAsia="ru-RU"/>
              </w:rPr>
            </w:pPr>
            <w:r w:rsidRPr="009A4C46">
              <w:rPr>
                <w:rFonts w:eastAsia="Times New Roman"/>
                <w:color w:val="000000"/>
                <w:lang w:eastAsia="ru-RU"/>
              </w:rPr>
              <w:t>-15%</w:t>
            </w:r>
          </w:p>
        </w:tc>
        <w:tc>
          <w:tcPr>
            <w:tcW w:w="392" w:type="pct"/>
            <w:tcBorders>
              <w:top w:val="single" w:sz="8" w:space="0" w:color="auto"/>
              <w:left w:val="nil"/>
              <w:bottom w:val="single" w:sz="8" w:space="0" w:color="auto"/>
              <w:right w:val="single" w:sz="8" w:space="0" w:color="000000"/>
            </w:tcBorders>
            <w:shd w:val="clear" w:color="auto" w:fill="auto"/>
            <w:noWrap/>
            <w:vAlign w:val="center"/>
            <w:hideMark/>
          </w:tcPr>
          <w:p w14:paraId="07F4609B" w14:textId="77777777" w:rsidR="009A4C46" w:rsidRPr="009A4C46" w:rsidRDefault="009A4C46" w:rsidP="004D58E8">
            <w:pPr>
              <w:spacing w:after="0" w:line="240" w:lineRule="auto"/>
              <w:contextualSpacing/>
              <w:jc w:val="center"/>
              <w:rPr>
                <w:rFonts w:eastAsia="Times New Roman"/>
                <w:lang w:eastAsia="ru-RU"/>
              </w:rPr>
            </w:pPr>
            <w:r w:rsidRPr="009A4C46">
              <w:rPr>
                <w:rFonts w:eastAsia="Times New Roman" w:cs="Calibri"/>
                <w:color w:val="000000"/>
                <w:lang w:eastAsia="ru-RU"/>
              </w:rPr>
              <w:t> </w:t>
            </w:r>
          </w:p>
        </w:tc>
        <w:tc>
          <w:tcPr>
            <w:tcW w:w="927" w:type="pct"/>
            <w:tcBorders>
              <w:top w:val="nil"/>
              <w:left w:val="nil"/>
              <w:bottom w:val="single" w:sz="4" w:space="0" w:color="auto"/>
              <w:right w:val="single" w:sz="4" w:space="0" w:color="auto"/>
            </w:tcBorders>
            <w:shd w:val="clear" w:color="auto" w:fill="auto"/>
            <w:noWrap/>
            <w:vAlign w:val="center"/>
            <w:hideMark/>
          </w:tcPr>
          <w:p w14:paraId="452AC1F2" w14:textId="77777777" w:rsidR="009A4C46" w:rsidRPr="009A4C46" w:rsidRDefault="009A4C46" w:rsidP="004D58E8">
            <w:pPr>
              <w:spacing w:after="0" w:line="240" w:lineRule="auto"/>
              <w:contextualSpacing/>
              <w:jc w:val="center"/>
              <w:rPr>
                <w:rFonts w:eastAsia="Times New Roman"/>
                <w:lang w:eastAsia="ru-RU"/>
              </w:rPr>
            </w:pPr>
          </w:p>
        </w:tc>
      </w:tr>
      <w:tr w:rsidR="00F71BAF" w:rsidRPr="009A4C46" w14:paraId="09316E2F" w14:textId="77777777" w:rsidTr="004D58E8">
        <w:trPr>
          <w:trHeight w:val="20"/>
        </w:trPr>
        <w:tc>
          <w:tcPr>
            <w:tcW w:w="1369" w:type="pct"/>
            <w:tcBorders>
              <w:top w:val="nil"/>
              <w:left w:val="single" w:sz="4" w:space="0" w:color="auto"/>
              <w:bottom w:val="single" w:sz="4" w:space="0" w:color="auto"/>
              <w:right w:val="single" w:sz="4" w:space="0" w:color="auto"/>
            </w:tcBorders>
            <w:shd w:val="clear" w:color="auto" w:fill="auto"/>
            <w:vAlign w:val="center"/>
            <w:hideMark/>
          </w:tcPr>
          <w:p w14:paraId="24DF29F8" w14:textId="5EB0AEC6" w:rsidR="009A4C46" w:rsidRPr="009A4C46" w:rsidRDefault="009A4C46" w:rsidP="004D58E8">
            <w:pPr>
              <w:spacing w:after="0" w:line="240" w:lineRule="auto"/>
              <w:contextualSpacing/>
              <w:jc w:val="right"/>
              <w:rPr>
                <w:rFonts w:eastAsia="Times New Roman"/>
                <w:lang w:eastAsia="ru-RU"/>
              </w:rPr>
            </w:pPr>
            <w:r w:rsidRPr="009A4C46">
              <w:rPr>
                <w:rFonts w:eastAsia="Times New Roman"/>
                <w:lang w:eastAsia="ru-RU"/>
              </w:rPr>
              <w:t xml:space="preserve"> в т.ч.  Амортизация</w:t>
            </w:r>
          </w:p>
        </w:tc>
        <w:tc>
          <w:tcPr>
            <w:tcW w:w="497" w:type="pct"/>
            <w:tcBorders>
              <w:top w:val="nil"/>
              <w:left w:val="nil"/>
              <w:bottom w:val="single" w:sz="4" w:space="0" w:color="auto"/>
              <w:right w:val="single" w:sz="4" w:space="0" w:color="auto"/>
            </w:tcBorders>
            <w:shd w:val="clear" w:color="auto" w:fill="auto"/>
            <w:vAlign w:val="center"/>
            <w:hideMark/>
          </w:tcPr>
          <w:p w14:paraId="2059C87E" w14:textId="77777777" w:rsidR="009A4C46" w:rsidRPr="009A4C46" w:rsidRDefault="009A4C46" w:rsidP="004D58E8">
            <w:pPr>
              <w:spacing w:after="0" w:line="240" w:lineRule="auto"/>
              <w:contextualSpacing/>
              <w:jc w:val="center"/>
              <w:rPr>
                <w:rFonts w:eastAsia="Times New Roman"/>
                <w:lang w:eastAsia="ru-RU"/>
              </w:rPr>
            </w:pPr>
            <w:r w:rsidRPr="009A4C46">
              <w:rPr>
                <w:rFonts w:eastAsia="Times New Roman"/>
                <w:lang w:eastAsia="ru-RU"/>
              </w:rPr>
              <w:t>тыс. руб.</w:t>
            </w:r>
          </w:p>
        </w:tc>
        <w:tc>
          <w:tcPr>
            <w:tcW w:w="543" w:type="pct"/>
            <w:tcBorders>
              <w:top w:val="nil"/>
              <w:left w:val="nil"/>
              <w:bottom w:val="single" w:sz="8" w:space="0" w:color="auto"/>
              <w:right w:val="single" w:sz="8" w:space="0" w:color="auto"/>
            </w:tcBorders>
            <w:shd w:val="clear" w:color="auto" w:fill="auto"/>
            <w:noWrap/>
            <w:vAlign w:val="center"/>
            <w:hideMark/>
          </w:tcPr>
          <w:p w14:paraId="2F6D427F" w14:textId="77777777" w:rsidR="009A4C46" w:rsidRPr="009A4C46" w:rsidRDefault="009A4C46" w:rsidP="004D58E8">
            <w:pPr>
              <w:spacing w:after="0" w:line="240" w:lineRule="auto"/>
              <w:contextualSpacing/>
              <w:jc w:val="center"/>
              <w:rPr>
                <w:rFonts w:eastAsia="Times New Roman"/>
                <w:lang w:eastAsia="ru-RU"/>
              </w:rPr>
            </w:pPr>
            <w:r w:rsidRPr="009A4C46">
              <w:rPr>
                <w:rFonts w:eastAsia="Times New Roman"/>
                <w:color w:val="000000"/>
                <w:lang w:eastAsia="ru-RU"/>
              </w:rPr>
              <w:t>78 756</w:t>
            </w:r>
          </w:p>
        </w:tc>
        <w:tc>
          <w:tcPr>
            <w:tcW w:w="473" w:type="pct"/>
            <w:tcBorders>
              <w:top w:val="nil"/>
              <w:left w:val="nil"/>
              <w:bottom w:val="single" w:sz="8" w:space="0" w:color="auto"/>
              <w:right w:val="single" w:sz="8" w:space="0" w:color="auto"/>
            </w:tcBorders>
            <w:shd w:val="clear" w:color="auto" w:fill="auto"/>
            <w:noWrap/>
            <w:vAlign w:val="center"/>
            <w:hideMark/>
          </w:tcPr>
          <w:p w14:paraId="0D9CC8DF" w14:textId="77777777" w:rsidR="009A4C46" w:rsidRPr="009A4C46" w:rsidRDefault="009A4C46" w:rsidP="004D58E8">
            <w:pPr>
              <w:spacing w:after="0" w:line="240" w:lineRule="auto"/>
              <w:contextualSpacing/>
              <w:jc w:val="center"/>
              <w:rPr>
                <w:rFonts w:eastAsia="Times New Roman"/>
                <w:lang w:eastAsia="ru-RU"/>
              </w:rPr>
            </w:pPr>
            <w:r w:rsidRPr="009A4C46">
              <w:rPr>
                <w:rFonts w:eastAsia="Times New Roman"/>
                <w:color w:val="000000"/>
                <w:lang w:eastAsia="ru-RU"/>
              </w:rPr>
              <w:t>73 340</w:t>
            </w:r>
          </w:p>
        </w:tc>
        <w:tc>
          <w:tcPr>
            <w:tcW w:w="475" w:type="pct"/>
            <w:tcBorders>
              <w:top w:val="nil"/>
              <w:left w:val="nil"/>
              <w:bottom w:val="single" w:sz="8" w:space="0" w:color="auto"/>
              <w:right w:val="single" w:sz="8" w:space="0" w:color="auto"/>
            </w:tcBorders>
            <w:shd w:val="clear" w:color="auto" w:fill="auto"/>
            <w:noWrap/>
            <w:vAlign w:val="center"/>
            <w:hideMark/>
          </w:tcPr>
          <w:p w14:paraId="52D2D878" w14:textId="77777777" w:rsidR="009A4C46" w:rsidRPr="009A4C46" w:rsidRDefault="009A4C46" w:rsidP="004D58E8">
            <w:pPr>
              <w:spacing w:after="0" w:line="240" w:lineRule="auto"/>
              <w:contextualSpacing/>
              <w:jc w:val="center"/>
              <w:rPr>
                <w:rFonts w:eastAsia="Times New Roman"/>
                <w:lang w:eastAsia="ru-RU"/>
              </w:rPr>
            </w:pPr>
            <w:r w:rsidRPr="009A4C46">
              <w:rPr>
                <w:rFonts w:eastAsia="Times New Roman"/>
                <w:color w:val="000000"/>
                <w:lang w:eastAsia="ru-RU"/>
              </w:rPr>
              <w:t>-5 416</w:t>
            </w:r>
          </w:p>
        </w:tc>
        <w:tc>
          <w:tcPr>
            <w:tcW w:w="325" w:type="pct"/>
            <w:tcBorders>
              <w:top w:val="nil"/>
              <w:left w:val="nil"/>
              <w:bottom w:val="single" w:sz="8" w:space="0" w:color="auto"/>
              <w:right w:val="single" w:sz="8" w:space="0" w:color="auto"/>
            </w:tcBorders>
            <w:shd w:val="clear" w:color="auto" w:fill="auto"/>
            <w:noWrap/>
            <w:vAlign w:val="center"/>
            <w:hideMark/>
          </w:tcPr>
          <w:p w14:paraId="7DC75C0A" w14:textId="77777777" w:rsidR="009A4C46" w:rsidRPr="009A4C46" w:rsidRDefault="009A4C46" w:rsidP="004D58E8">
            <w:pPr>
              <w:spacing w:after="0" w:line="240" w:lineRule="auto"/>
              <w:contextualSpacing/>
              <w:jc w:val="center"/>
              <w:rPr>
                <w:rFonts w:eastAsia="Times New Roman"/>
                <w:lang w:eastAsia="ru-RU"/>
              </w:rPr>
            </w:pPr>
            <w:r w:rsidRPr="009A4C46">
              <w:rPr>
                <w:rFonts w:eastAsia="Times New Roman"/>
                <w:color w:val="000000"/>
                <w:lang w:eastAsia="ru-RU"/>
              </w:rPr>
              <w:t>-7%</w:t>
            </w:r>
          </w:p>
        </w:tc>
        <w:tc>
          <w:tcPr>
            <w:tcW w:w="392" w:type="pct"/>
            <w:tcBorders>
              <w:top w:val="single" w:sz="8" w:space="0" w:color="auto"/>
              <w:left w:val="nil"/>
              <w:bottom w:val="single" w:sz="8" w:space="0" w:color="auto"/>
              <w:right w:val="single" w:sz="8" w:space="0" w:color="000000"/>
            </w:tcBorders>
            <w:shd w:val="clear" w:color="auto" w:fill="auto"/>
            <w:noWrap/>
            <w:vAlign w:val="center"/>
            <w:hideMark/>
          </w:tcPr>
          <w:p w14:paraId="6422F3C7" w14:textId="77777777" w:rsidR="009A4C46" w:rsidRPr="009A4C46" w:rsidRDefault="009A4C46" w:rsidP="004D58E8">
            <w:pPr>
              <w:spacing w:after="0" w:line="240" w:lineRule="auto"/>
              <w:contextualSpacing/>
              <w:jc w:val="center"/>
              <w:rPr>
                <w:rFonts w:eastAsia="Times New Roman"/>
                <w:lang w:eastAsia="ru-RU"/>
              </w:rPr>
            </w:pPr>
            <w:r w:rsidRPr="009A4C46">
              <w:rPr>
                <w:rFonts w:eastAsia="Times New Roman"/>
                <w:color w:val="000000"/>
                <w:lang w:eastAsia="ru-RU"/>
              </w:rPr>
              <w:t>-3 058</w:t>
            </w:r>
          </w:p>
        </w:tc>
        <w:tc>
          <w:tcPr>
            <w:tcW w:w="927" w:type="pct"/>
            <w:tcBorders>
              <w:top w:val="nil"/>
              <w:left w:val="nil"/>
              <w:bottom w:val="single" w:sz="4" w:space="0" w:color="auto"/>
              <w:right w:val="single" w:sz="4" w:space="0" w:color="auto"/>
            </w:tcBorders>
            <w:shd w:val="clear" w:color="auto" w:fill="auto"/>
            <w:vAlign w:val="center"/>
            <w:hideMark/>
          </w:tcPr>
          <w:p w14:paraId="2BEEF4C8" w14:textId="60C71557" w:rsidR="009A4C46" w:rsidRPr="009A4C46" w:rsidRDefault="009A4C46" w:rsidP="004D58E8">
            <w:pPr>
              <w:spacing w:after="0" w:line="240" w:lineRule="auto"/>
              <w:contextualSpacing/>
              <w:jc w:val="center"/>
              <w:rPr>
                <w:rFonts w:eastAsia="Times New Roman"/>
                <w:lang w:eastAsia="ru-RU"/>
              </w:rPr>
            </w:pPr>
            <w:r w:rsidRPr="009A4C46">
              <w:rPr>
                <w:rFonts w:eastAsia="Times New Roman"/>
                <w:lang w:eastAsia="ru-RU"/>
              </w:rPr>
              <w:t>Кор</w:t>
            </w:r>
            <w:r w:rsidR="004D58E8">
              <w:rPr>
                <w:rFonts w:eastAsia="Times New Roman"/>
                <w:lang w:eastAsia="ru-RU"/>
              </w:rPr>
              <w:t>ректировка</w:t>
            </w:r>
            <w:r w:rsidRPr="009A4C46">
              <w:rPr>
                <w:rFonts w:eastAsia="Times New Roman"/>
                <w:lang w:eastAsia="ru-RU"/>
              </w:rPr>
              <w:t xml:space="preserve"> за неисполнение ИП</w:t>
            </w:r>
          </w:p>
        </w:tc>
      </w:tr>
      <w:tr w:rsidR="00F71BAF" w:rsidRPr="009A4C46" w14:paraId="3B07EFEB" w14:textId="77777777" w:rsidTr="004D58E8">
        <w:trPr>
          <w:trHeight w:val="20"/>
        </w:trPr>
        <w:tc>
          <w:tcPr>
            <w:tcW w:w="1369" w:type="pct"/>
            <w:tcBorders>
              <w:top w:val="nil"/>
              <w:left w:val="single" w:sz="4" w:space="0" w:color="auto"/>
              <w:bottom w:val="single" w:sz="4" w:space="0" w:color="auto"/>
              <w:right w:val="single" w:sz="4" w:space="0" w:color="auto"/>
            </w:tcBorders>
            <w:shd w:val="clear" w:color="auto" w:fill="auto"/>
            <w:vAlign w:val="center"/>
            <w:hideMark/>
          </w:tcPr>
          <w:p w14:paraId="485CA62A" w14:textId="77777777" w:rsidR="009A4C46" w:rsidRPr="009A4C46" w:rsidRDefault="009A4C46" w:rsidP="004D58E8">
            <w:pPr>
              <w:spacing w:after="0" w:line="240" w:lineRule="auto"/>
              <w:contextualSpacing/>
              <w:rPr>
                <w:rFonts w:eastAsia="Times New Roman"/>
                <w:b/>
                <w:lang w:eastAsia="ru-RU"/>
              </w:rPr>
            </w:pPr>
            <w:r w:rsidRPr="009A4C46">
              <w:rPr>
                <w:rFonts w:eastAsia="Times New Roman"/>
                <w:b/>
                <w:lang w:eastAsia="ru-RU"/>
              </w:rPr>
              <w:t>Экономически обоснованные расходы, не учтенные в предыдущем периоде регулирования</w:t>
            </w:r>
          </w:p>
        </w:tc>
        <w:tc>
          <w:tcPr>
            <w:tcW w:w="497" w:type="pct"/>
            <w:tcBorders>
              <w:top w:val="nil"/>
              <w:left w:val="nil"/>
              <w:bottom w:val="single" w:sz="4" w:space="0" w:color="auto"/>
              <w:right w:val="single" w:sz="4" w:space="0" w:color="auto"/>
            </w:tcBorders>
            <w:shd w:val="clear" w:color="auto" w:fill="auto"/>
            <w:vAlign w:val="center"/>
            <w:hideMark/>
          </w:tcPr>
          <w:p w14:paraId="255F6FBA" w14:textId="77777777" w:rsidR="009A4C46" w:rsidRPr="009A4C46" w:rsidRDefault="009A4C46" w:rsidP="004D58E8">
            <w:pPr>
              <w:spacing w:after="0" w:line="240" w:lineRule="auto"/>
              <w:contextualSpacing/>
              <w:jc w:val="center"/>
              <w:rPr>
                <w:rFonts w:eastAsia="Times New Roman"/>
                <w:b/>
                <w:lang w:eastAsia="ru-RU"/>
              </w:rPr>
            </w:pPr>
            <w:r w:rsidRPr="009A4C46">
              <w:rPr>
                <w:rFonts w:eastAsia="Times New Roman"/>
                <w:b/>
                <w:lang w:eastAsia="ru-RU"/>
              </w:rPr>
              <w:t>тыс. руб.</w:t>
            </w:r>
          </w:p>
        </w:tc>
        <w:tc>
          <w:tcPr>
            <w:tcW w:w="543" w:type="pct"/>
            <w:tcBorders>
              <w:top w:val="nil"/>
              <w:left w:val="nil"/>
              <w:bottom w:val="single" w:sz="8" w:space="0" w:color="auto"/>
              <w:right w:val="single" w:sz="8" w:space="0" w:color="auto"/>
            </w:tcBorders>
            <w:shd w:val="clear" w:color="auto" w:fill="auto"/>
            <w:noWrap/>
            <w:vAlign w:val="center"/>
            <w:hideMark/>
          </w:tcPr>
          <w:p w14:paraId="594DFD93" w14:textId="77777777" w:rsidR="009A4C46" w:rsidRPr="009A4C46" w:rsidRDefault="009A4C46" w:rsidP="004D58E8">
            <w:pPr>
              <w:spacing w:after="0" w:line="240" w:lineRule="auto"/>
              <w:contextualSpacing/>
              <w:jc w:val="center"/>
              <w:rPr>
                <w:rFonts w:eastAsia="Times New Roman"/>
                <w:b/>
                <w:lang w:eastAsia="ru-RU"/>
              </w:rPr>
            </w:pPr>
            <w:r w:rsidRPr="009A4C46">
              <w:rPr>
                <w:rFonts w:eastAsia="Times New Roman"/>
                <w:b/>
                <w:bCs/>
                <w:color w:val="000000"/>
                <w:lang w:eastAsia="ru-RU"/>
              </w:rPr>
              <w:t>42 843</w:t>
            </w:r>
          </w:p>
        </w:tc>
        <w:tc>
          <w:tcPr>
            <w:tcW w:w="473" w:type="pct"/>
            <w:tcBorders>
              <w:top w:val="nil"/>
              <w:left w:val="nil"/>
              <w:bottom w:val="single" w:sz="8" w:space="0" w:color="auto"/>
              <w:right w:val="single" w:sz="8" w:space="0" w:color="auto"/>
            </w:tcBorders>
            <w:shd w:val="clear" w:color="auto" w:fill="auto"/>
            <w:noWrap/>
            <w:vAlign w:val="center"/>
            <w:hideMark/>
          </w:tcPr>
          <w:p w14:paraId="2005C36D" w14:textId="77777777" w:rsidR="009A4C46" w:rsidRPr="009A4C46" w:rsidRDefault="009A4C46" w:rsidP="004D58E8">
            <w:pPr>
              <w:spacing w:after="0" w:line="240" w:lineRule="auto"/>
              <w:contextualSpacing/>
              <w:jc w:val="center"/>
              <w:rPr>
                <w:rFonts w:eastAsia="Times New Roman"/>
                <w:b/>
                <w:lang w:eastAsia="ru-RU"/>
              </w:rPr>
            </w:pPr>
            <w:r w:rsidRPr="009A4C46">
              <w:rPr>
                <w:rFonts w:eastAsia="Times New Roman" w:cs="Calibri"/>
                <w:color w:val="000000"/>
                <w:lang w:eastAsia="ru-RU"/>
              </w:rPr>
              <w:t> </w:t>
            </w:r>
          </w:p>
        </w:tc>
        <w:tc>
          <w:tcPr>
            <w:tcW w:w="475" w:type="pct"/>
            <w:tcBorders>
              <w:top w:val="nil"/>
              <w:left w:val="nil"/>
              <w:bottom w:val="single" w:sz="8" w:space="0" w:color="auto"/>
              <w:right w:val="single" w:sz="8" w:space="0" w:color="auto"/>
            </w:tcBorders>
            <w:shd w:val="clear" w:color="auto" w:fill="auto"/>
            <w:noWrap/>
            <w:vAlign w:val="center"/>
            <w:hideMark/>
          </w:tcPr>
          <w:p w14:paraId="1826E9F7" w14:textId="77777777" w:rsidR="009A4C46" w:rsidRPr="009A4C46" w:rsidRDefault="009A4C46" w:rsidP="004D58E8">
            <w:pPr>
              <w:spacing w:after="0" w:line="240" w:lineRule="auto"/>
              <w:contextualSpacing/>
              <w:jc w:val="center"/>
              <w:rPr>
                <w:rFonts w:eastAsia="Times New Roman"/>
                <w:b/>
                <w:lang w:eastAsia="ru-RU"/>
              </w:rPr>
            </w:pPr>
            <w:r w:rsidRPr="009A4C46">
              <w:rPr>
                <w:rFonts w:eastAsia="Times New Roman" w:cs="Calibri"/>
                <w:color w:val="000000"/>
                <w:lang w:eastAsia="ru-RU"/>
              </w:rPr>
              <w:t>-42 843</w:t>
            </w:r>
          </w:p>
        </w:tc>
        <w:tc>
          <w:tcPr>
            <w:tcW w:w="325" w:type="pct"/>
            <w:tcBorders>
              <w:top w:val="nil"/>
              <w:left w:val="nil"/>
              <w:bottom w:val="single" w:sz="8" w:space="0" w:color="auto"/>
              <w:right w:val="single" w:sz="8" w:space="0" w:color="auto"/>
            </w:tcBorders>
            <w:shd w:val="clear" w:color="auto" w:fill="auto"/>
            <w:noWrap/>
            <w:vAlign w:val="center"/>
            <w:hideMark/>
          </w:tcPr>
          <w:p w14:paraId="27EA7981" w14:textId="77777777" w:rsidR="009A4C46" w:rsidRPr="009A4C46" w:rsidRDefault="009A4C46" w:rsidP="004D58E8">
            <w:pPr>
              <w:spacing w:after="0" w:line="240" w:lineRule="auto"/>
              <w:contextualSpacing/>
              <w:jc w:val="center"/>
              <w:rPr>
                <w:rFonts w:eastAsia="Times New Roman"/>
                <w:b/>
                <w:lang w:eastAsia="ru-RU"/>
              </w:rPr>
            </w:pPr>
            <w:r w:rsidRPr="00A31C7C">
              <w:rPr>
                <w:rFonts w:eastAsia="Times New Roman" w:cs="Calibri"/>
                <w:color w:val="FF0000"/>
                <w:lang w:eastAsia="ru-RU"/>
              </w:rPr>
              <w:t>-1</w:t>
            </w:r>
          </w:p>
        </w:tc>
        <w:tc>
          <w:tcPr>
            <w:tcW w:w="392" w:type="pct"/>
            <w:tcBorders>
              <w:top w:val="single" w:sz="8" w:space="0" w:color="auto"/>
              <w:left w:val="nil"/>
              <w:bottom w:val="single" w:sz="8" w:space="0" w:color="auto"/>
              <w:right w:val="single" w:sz="8" w:space="0" w:color="000000"/>
            </w:tcBorders>
            <w:shd w:val="clear" w:color="auto" w:fill="auto"/>
            <w:noWrap/>
            <w:vAlign w:val="center"/>
            <w:hideMark/>
          </w:tcPr>
          <w:p w14:paraId="69441C5B" w14:textId="77777777" w:rsidR="009A4C46" w:rsidRPr="009A4C46" w:rsidRDefault="009A4C46" w:rsidP="004D58E8">
            <w:pPr>
              <w:spacing w:after="0" w:line="240" w:lineRule="auto"/>
              <w:contextualSpacing/>
              <w:jc w:val="center"/>
              <w:rPr>
                <w:rFonts w:eastAsia="Times New Roman"/>
                <w:b/>
                <w:lang w:eastAsia="ru-RU"/>
              </w:rPr>
            </w:pPr>
            <w:r w:rsidRPr="009A4C46">
              <w:rPr>
                <w:rFonts w:eastAsia="Times New Roman" w:cs="Calibri"/>
                <w:color w:val="000000"/>
                <w:lang w:eastAsia="ru-RU"/>
              </w:rPr>
              <w:t> </w:t>
            </w:r>
          </w:p>
        </w:tc>
        <w:tc>
          <w:tcPr>
            <w:tcW w:w="927" w:type="pct"/>
            <w:tcBorders>
              <w:top w:val="nil"/>
              <w:left w:val="nil"/>
              <w:bottom w:val="single" w:sz="4" w:space="0" w:color="auto"/>
              <w:right w:val="single" w:sz="4" w:space="0" w:color="auto"/>
            </w:tcBorders>
            <w:shd w:val="clear" w:color="auto" w:fill="auto"/>
            <w:vAlign w:val="center"/>
            <w:hideMark/>
          </w:tcPr>
          <w:p w14:paraId="7500CEBC" w14:textId="77777777" w:rsidR="009A4C46" w:rsidRPr="009A4C46" w:rsidRDefault="009A4C46" w:rsidP="004D58E8">
            <w:pPr>
              <w:spacing w:after="0" w:line="240" w:lineRule="auto"/>
              <w:contextualSpacing/>
              <w:jc w:val="center"/>
              <w:rPr>
                <w:rFonts w:eastAsia="Times New Roman"/>
                <w:b/>
                <w:lang w:eastAsia="ru-RU"/>
              </w:rPr>
            </w:pPr>
          </w:p>
        </w:tc>
      </w:tr>
      <w:tr w:rsidR="00F71BAF" w:rsidRPr="009A4C46" w14:paraId="75FF30DA" w14:textId="77777777" w:rsidTr="004D58E8">
        <w:trPr>
          <w:trHeight w:val="20"/>
        </w:trPr>
        <w:tc>
          <w:tcPr>
            <w:tcW w:w="1369" w:type="pct"/>
            <w:tcBorders>
              <w:top w:val="nil"/>
              <w:left w:val="single" w:sz="4" w:space="0" w:color="auto"/>
              <w:bottom w:val="single" w:sz="4" w:space="0" w:color="auto"/>
              <w:right w:val="single" w:sz="4" w:space="0" w:color="auto"/>
            </w:tcBorders>
            <w:shd w:val="clear" w:color="auto" w:fill="auto"/>
            <w:vAlign w:val="center"/>
            <w:hideMark/>
          </w:tcPr>
          <w:p w14:paraId="3A8BDA52" w14:textId="77777777" w:rsidR="009A4C46" w:rsidRPr="009A4C46" w:rsidRDefault="009A4C46" w:rsidP="004D58E8">
            <w:pPr>
              <w:spacing w:after="0" w:line="240" w:lineRule="auto"/>
              <w:contextualSpacing/>
              <w:jc w:val="both"/>
              <w:rPr>
                <w:rFonts w:eastAsia="Times New Roman"/>
                <w:b/>
                <w:lang w:eastAsia="ru-RU"/>
              </w:rPr>
            </w:pPr>
            <w:r w:rsidRPr="009A4C46">
              <w:rPr>
                <w:rFonts w:eastAsia="Times New Roman"/>
                <w:b/>
                <w:lang w:eastAsia="ru-RU"/>
              </w:rPr>
              <w:t xml:space="preserve">НВВ на содержание </w:t>
            </w:r>
          </w:p>
        </w:tc>
        <w:tc>
          <w:tcPr>
            <w:tcW w:w="497" w:type="pct"/>
            <w:tcBorders>
              <w:top w:val="nil"/>
              <w:left w:val="nil"/>
              <w:bottom w:val="single" w:sz="4" w:space="0" w:color="auto"/>
              <w:right w:val="single" w:sz="4" w:space="0" w:color="auto"/>
            </w:tcBorders>
            <w:shd w:val="clear" w:color="auto" w:fill="auto"/>
            <w:vAlign w:val="center"/>
            <w:hideMark/>
          </w:tcPr>
          <w:p w14:paraId="22434E5D" w14:textId="77777777" w:rsidR="009A4C46" w:rsidRPr="009A4C46" w:rsidRDefault="009A4C46" w:rsidP="004D58E8">
            <w:pPr>
              <w:spacing w:after="0" w:line="240" w:lineRule="auto"/>
              <w:contextualSpacing/>
              <w:jc w:val="center"/>
              <w:rPr>
                <w:rFonts w:eastAsia="Times New Roman"/>
                <w:b/>
                <w:lang w:eastAsia="ru-RU"/>
              </w:rPr>
            </w:pPr>
            <w:r w:rsidRPr="009A4C46">
              <w:rPr>
                <w:rFonts w:eastAsia="Times New Roman"/>
                <w:b/>
                <w:lang w:eastAsia="ru-RU"/>
              </w:rPr>
              <w:t>тыс. руб.</w:t>
            </w:r>
          </w:p>
        </w:tc>
        <w:tc>
          <w:tcPr>
            <w:tcW w:w="543" w:type="pct"/>
            <w:tcBorders>
              <w:top w:val="nil"/>
              <w:left w:val="nil"/>
              <w:bottom w:val="single" w:sz="8" w:space="0" w:color="auto"/>
              <w:right w:val="single" w:sz="8" w:space="0" w:color="auto"/>
            </w:tcBorders>
            <w:shd w:val="clear" w:color="auto" w:fill="auto"/>
            <w:noWrap/>
            <w:vAlign w:val="center"/>
            <w:hideMark/>
          </w:tcPr>
          <w:p w14:paraId="0B21FFB5" w14:textId="77777777" w:rsidR="009A4C46" w:rsidRPr="009A4C46" w:rsidRDefault="009A4C46" w:rsidP="004D58E8">
            <w:pPr>
              <w:spacing w:after="0" w:line="240" w:lineRule="auto"/>
              <w:contextualSpacing/>
              <w:jc w:val="center"/>
              <w:rPr>
                <w:rFonts w:eastAsia="Times New Roman"/>
                <w:b/>
                <w:lang w:eastAsia="ru-RU"/>
              </w:rPr>
            </w:pPr>
            <w:r w:rsidRPr="009A4C46">
              <w:rPr>
                <w:rFonts w:eastAsia="Times New Roman"/>
                <w:b/>
                <w:bCs/>
                <w:color w:val="000000"/>
                <w:lang w:eastAsia="ru-RU"/>
              </w:rPr>
              <w:t>1 167 221</w:t>
            </w:r>
          </w:p>
        </w:tc>
        <w:tc>
          <w:tcPr>
            <w:tcW w:w="473" w:type="pct"/>
            <w:tcBorders>
              <w:top w:val="nil"/>
              <w:left w:val="nil"/>
              <w:bottom w:val="single" w:sz="8" w:space="0" w:color="auto"/>
              <w:right w:val="single" w:sz="8" w:space="0" w:color="auto"/>
            </w:tcBorders>
            <w:shd w:val="clear" w:color="auto" w:fill="auto"/>
            <w:noWrap/>
            <w:vAlign w:val="center"/>
            <w:hideMark/>
          </w:tcPr>
          <w:p w14:paraId="325B85E4" w14:textId="77777777" w:rsidR="009A4C46" w:rsidRPr="009A4C46" w:rsidRDefault="009A4C46" w:rsidP="004D58E8">
            <w:pPr>
              <w:spacing w:after="0" w:line="240" w:lineRule="auto"/>
              <w:contextualSpacing/>
              <w:jc w:val="center"/>
              <w:rPr>
                <w:rFonts w:eastAsia="Times New Roman"/>
                <w:b/>
                <w:lang w:eastAsia="ru-RU"/>
              </w:rPr>
            </w:pPr>
            <w:r w:rsidRPr="009A4C46">
              <w:rPr>
                <w:rFonts w:eastAsia="Times New Roman"/>
                <w:b/>
                <w:bCs/>
                <w:color w:val="000000"/>
                <w:lang w:eastAsia="ru-RU"/>
              </w:rPr>
              <w:t>1 162 854</w:t>
            </w:r>
          </w:p>
        </w:tc>
        <w:tc>
          <w:tcPr>
            <w:tcW w:w="475" w:type="pct"/>
            <w:tcBorders>
              <w:top w:val="nil"/>
              <w:left w:val="nil"/>
              <w:bottom w:val="single" w:sz="8" w:space="0" w:color="auto"/>
              <w:right w:val="single" w:sz="8" w:space="0" w:color="auto"/>
            </w:tcBorders>
            <w:shd w:val="clear" w:color="auto" w:fill="auto"/>
            <w:noWrap/>
            <w:vAlign w:val="center"/>
            <w:hideMark/>
          </w:tcPr>
          <w:p w14:paraId="7C2C4C13" w14:textId="77777777" w:rsidR="009A4C46" w:rsidRPr="009A4C46" w:rsidRDefault="009A4C46" w:rsidP="004D58E8">
            <w:pPr>
              <w:spacing w:after="0" w:line="240" w:lineRule="auto"/>
              <w:contextualSpacing/>
              <w:jc w:val="center"/>
              <w:rPr>
                <w:rFonts w:eastAsia="Times New Roman"/>
                <w:b/>
                <w:lang w:eastAsia="ru-RU"/>
              </w:rPr>
            </w:pPr>
            <w:r w:rsidRPr="009A4C46">
              <w:rPr>
                <w:rFonts w:eastAsia="Times New Roman"/>
                <w:b/>
                <w:bCs/>
                <w:color w:val="000000"/>
                <w:lang w:eastAsia="ru-RU"/>
              </w:rPr>
              <w:t>-4 367</w:t>
            </w:r>
          </w:p>
        </w:tc>
        <w:tc>
          <w:tcPr>
            <w:tcW w:w="325" w:type="pct"/>
            <w:tcBorders>
              <w:top w:val="nil"/>
              <w:left w:val="nil"/>
              <w:bottom w:val="single" w:sz="8" w:space="0" w:color="auto"/>
              <w:right w:val="single" w:sz="8" w:space="0" w:color="auto"/>
            </w:tcBorders>
            <w:shd w:val="clear" w:color="auto" w:fill="auto"/>
            <w:noWrap/>
            <w:vAlign w:val="center"/>
            <w:hideMark/>
          </w:tcPr>
          <w:p w14:paraId="4A6F6359" w14:textId="77777777" w:rsidR="009A4C46" w:rsidRPr="009A4C46" w:rsidRDefault="009A4C46" w:rsidP="004D58E8">
            <w:pPr>
              <w:spacing w:after="0" w:line="240" w:lineRule="auto"/>
              <w:contextualSpacing/>
              <w:jc w:val="center"/>
              <w:rPr>
                <w:rFonts w:eastAsia="Times New Roman"/>
                <w:b/>
                <w:lang w:eastAsia="ru-RU"/>
              </w:rPr>
            </w:pPr>
            <w:r w:rsidRPr="009A4C46">
              <w:rPr>
                <w:rFonts w:eastAsia="Times New Roman"/>
                <w:b/>
                <w:bCs/>
                <w:color w:val="000000"/>
                <w:lang w:eastAsia="ru-RU"/>
              </w:rPr>
              <w:t>0%</w:t>
            </w:r>
          </w:p>
        </w:tc>
        <w:tc>
          <w:tcPr>
            <w:tcW w:w="392" w:type="pct"/>
            <w:tcBorders>
              <w:top w:val="single" w:sz="8" w:space="0" w:color="auto"/>
              <w:left w:val="nil"/>
              <w:bottom w:val="single" w:sz="8" w:space="0" w:color="auto"/>
              <w:right w:val="single" w:sz="8" w:space="0" w:color="000000"/>
            </w:tcBorders>
            <w:shd w:val="clear" w:color="auto" w:fill="auto"/>
            <w:noWrap/>
            <w:vAlign w:val="center"/>
            <w:hideMark/>
          </w:tcPr>
          <w:p w14:paraId="2E431D48" w14:textId="77777777" w:rsidR="009A4C46" w:rsidRPr="009A4C46" w:rsidRDefault="009A4C46" w:rsidP="004D58E8">
            <w:pPr>
              <w:spacing w:after="0" w:line="240" w:lineRule="auto"/>
              <w:contextualSpacing/>
              <w:jc w:val="center"/>
              <w:rPr>
                <w:rFonts w:eastAsia="Times New Roman"/>
                <w:lang w:eastAsia="ru-RU"/>
              </w:rPr>
            </w:pPr>
            <w:r w:rsidRPr="009A4C46">
              <w:rPr>
                <w:rFonts w:eastAsia="Times New Roman"/>
                <w:color w:val="000000"/>
                <w:lang w:eastAsia="ru-RU"/>
              </w:rPr>
              <w:t>24 954</w:t>
            </w:r>
          </w:p>
        </w:tc>
        <w:tc>
          <w:tcPr>
            <w:tcW w:w="927" w:type="pct"/>
            <w:tcBorders>
              <w:top w:val="nil"/>
              <w:left w:val="nil"/>
              <w:bottom w:val="single" w:sz="4" w:space="0" w:color="auto"/>
              <w:right w:val="single" w:sz="4" w:space="0" w:color="auto"/>
            </w:tcBorders>
            <w:shd w:val="clear" w:color="auto" w:fill="auto"/>
            <w:vAlign w:val="center"/>
            <w:hideMark/>
          </w:tcPr>
          <w:p w14:paraId="5FC725BA" w14:textId="25DC56C8" w:rsidR="009A4C46" w:rsidRPr="009A4C46" w:rsidRDefault="009A4C46" w:rsidP="004D58E8">
            <w:pPr>
              <w:spacing w:after="0" w:line="240" w:lineRule="auto"/>
              <w:contextualSpacing/>
              <w:jc w:val="center"/>
              <w:rPr>
                <w:rFonts w:eastAsia="Times New Roman"/>
                <w:lang w:eastAsia="ru-RU"/>
              </w:rPr>
            </w:pPr>
            <w:r w:rsidRPr="009A4C46">
              <w:rPr>
                <w:rFonts w:eastAsia="Times New Roman"/>
                <w:lang w:eastAsia="ru-RU"/>
              </w:rPr>
              <w:t>Кор</w:t>
            </w:r>
            <w:r w:rsidR="004D58E8">
              <w:rPr>
                <w:rFonts w:eastAsia="Times New Roman"/>
                <w:lang w:eastAsia="ru-RU"/>
              </w:rPr>
              <w:t>ректировка</w:t>
            </w:r>
            <w:r w:rsidRPr="009A4C46">
              <w:rPr>
                <w:rFonts w:eastAsia="Times New Roman"/>
                <w:lang w:eastAsia="ru-RU"/>
              </w:rPr>
              <w:t xml:space="preserve"> по доходам</w:t>
            </w:r>
          </w:p>
        </w:tc>
      </w:tr>
      <w:tr w:rsidR="00F71BAF" w:rsidRPr="009A4C46" w14:paraId="619EEA59" w14:textId="77777777" w:rsidTr="004D58E8">
        <w:trPr>
          <w:trHeight w:val="20"/>
        </w:trPr>
        <w:tc>
          <w:tcPr>
            <w:tcW w:w="1369" w:type="pct"/>
            <w:tcBorders>
              <w:top w:val="nil"/>
              <w:left w:val="single" w:sz="4" w:space="0" w:color="auto"/>
              <w:bottom w:val="single" w:sz="4" w:space="0" w:color="auto"/>
              <w:right w:val="single" w:sz="4" w:space="0" w:color="auto"/>
            </w:tcBorders>
            <w:shd w:val="clear" w:color="auto" w:fill="auto"/>
            <w:vAlign w:val="center"/>
            <w:hideMark/>
          </w:tcPr>
          <w:p w14:paraId="5A0204B1" w14:textId="77777777" w:rsidR="009A4C46" w:rsidRPr="009A4C46" w:rsidRDefault="009A4C46" w:rsidP="004D58E8">
            <w:pPr>
              <w:spacing w:after="0" w:line="240" w:lineRule="auto"/>
              <w:contextualSpacing/>
              <w:jc w:val="both"/>
              <w:rPr>
                <w:rFonts w:eastAsia="Times New Roman"/>
                <w:lang w:eastAsia="ru-RU"/>
              </w:rPr>
            </w:pPr>
            <w:r w:rsidRPr="009A4C46">
              <w:rPr>
                <w:rFonts w:eastAsia="Times New Roman"/>
                <w:lang w:eastAsia="ru-RU"/>
              </w:rPr>
              <w:t>Поступление в сеть</w:t>
            </w:r>
          </w:p>
        </w:tc>
        <w:tc>
          <w:tcPr>
            <w:tcW w:w="497" w:type="pct"/>
            <w:tcBorders>
              <w:top w:val="nil"/>
              <w:left w:val="nil"/>
              <w:bottom w:val="single" w:sz="4" w:space="0" w:color="auto"/>
              <w:right w:val="single" w:sz="4" w:space="0" w:color="auto"/>
            </w:tcBorders>
            <w:shd w:val="clear" w:color="auto" w:fill="auto"/>
            <w:noWrap/>
            <w:vAlign w:val="center"/>
            <w:hideMark/>
          </w:tcPr>
          <w:p w14:paraId="1A7AF0EA" w14:textId="77777777" w:rsidR="009A4C46" w:rsidRPr="009A4C46" w:rsidRDefault="009A4C46" w:rsidP="004D58E8">
            <w:pPr>
              <w:spacing w:after="0" w:line="240" w:lineRule="auto"/>
              <w:contextualSpacing/>
              <w:jc w:val="center"/>
              <w:rPr>
                <w:rFonts w:eastAsia="Times New Roman"/>
                <w:lang w:eastAsia="ru-RU"/>
              </w:rPr>
            </w:pPr>
            <w:r w:rsidRPr="009A4C46">
              <w:rPr>
                <w:rFonts w:eastAsia="Times New Roman"/>
                <w:lang w:eastAsia="ru-RU"/>
              </w:rPr>
              <w:t xml:space="preserve">млн. </w:t>
            </w:r>
            <w:proofErr w:type="spellStart"/>
            <w:r w:rsidRPr="009A4C46">
              <w:rPr>
                <w:rFonts w:eastAsia="Times New Roman"/>
                <w:lang w:eastAsia="ru-RU"/>
              </w:rPr>
              <w:t>кВтч</w:t>
            </w:r>
            <w:proofErr w:type="spellEnd"/>
          </w:p>
        </w:tc>
        <w:tc>
          <w:tcPr>
            <w:tcW w:w="543" w:type="pct"/>
            <w:tcBorders>
              <w:top w:val="nil"/>
              <w:left w:val="nil"/>
              <w:bottom w:val="single" w:sz="8" w:space="0" w:color="auto"/>
              <w:right w:val="single" w:sz="8" w:space="0" w:color="auto"/>
            </w:tcBorders>
            <w:shd w:val="clear" w:color="auto" w:fill="auto"/>
            <w:noWrap/>
            <w:vAlign w:val="center"/>
            <w:hideMark/>
          </w:tcPr>
          <w:p w14:paraId="79790916" w14:textId="77777777" w:rsidR="009A4C46" w:rsidRPr="009A4C46" w:rsidRDefault="009A4C46" w:rsidP="004D58E8">
            <w:pPr>
              <w:spacing w:after="0" w:line="240" w:lineRule="auto"/>
              <w:contextualSpacing/>
              <w:jc w:val="center"/>
              <w:rPr>
                <w:rFonts w:eastAsia="Times New Roman"/>
                <w:lang w:eastAsia="ru-RU"/>
              </w:rPr>
            </w:pPr>
            <w:r w:rsidRPr="009A4C46">
              <w:rPr>
                <w:rFonts w:eastAsia="Times New Roman"/>
                <w:color w:val="000000"/>
                <w:lang w:eastAsia="ru-RU"/>
              </w:rPr>
              <w:t>614,19</w:t>
            </w:r>
          </w:p>
        </w:tc>
        <w:tc>
          <w:tcPr>
            <w:tcW w:w="473" w:type="pct"/>
            <w:tcBorders>
              <w:top w:val="nil"/>
              <w:left w:val="nil"/>
              <w:bottom w:val="single" w:sz="8" w:space="0" w:color="auto"/>
              <w:right w:val="single" w:sz="8" w:space="0" w:color="auto"/>
            </w:tcBorders>
            <w:shd w:val="clear" w:color="auto" w:fill="auto"/>
            <w:noWrap/>
            <w:vAlign w:val="center"/>
            <w:hideMark/>
          </w:tcPr>
          <w:p w14:paraId="335E8728" w14:textId="77777777" w:rsidR="009A4C46" w:rsidRPr="009A4C46" w:rsidRDefault="009A4C46" w:rsidP="004D58E8">
            <w:pPr>
              <w:spacing w:after="0" w:line="240" w:lineRule="auto"/>
              <w:contextualSpacing/>
              <w:jc w:val="center"/>
              <w:rPr>
                <w:rFonts w:eastAsia="Times New Roman"/>
                <w:lang w:eastAsia="ru-RU"/>
              </w:rPr>
            </w:pPr>
            <w:r w:rsidRPr="009A4C46">
              <w:rPr>
                <w:rFonts w:eastAsia="Times New Roman"/>
                <w:color w:val="000000"/>
                <w:lang w:eastAsia="ru-RU"/>
              </w:rPr>
              <w:t>710,85</w:t>
            </w:r>
          </w:p>
        </w:tc>
        <w:tc>
          <w:tcPr>
            <w:tcW w:w="475" w:type="pct"/>
            <w:tcBorders>
              <w:top w:val="nil"/>
              <w:left w:val="nil"/>
              <w:bottom w:val="single" w:sz="8" w:space="0" w:color="auto"/>
              <w:right w:val="single" w:sz="8" w:space="0" w:color="auto"/>
            </w:tcBorders>
            <w:shd w:val="clear" w:color="auto" w:fill="auto"/>
            <w:noWrap/>
            <w:vAlign w:val="center"/>
            <w:hideMark/>
          </w:tcPr>
          <w:p w14:paraId="4C73CE3D" w14:textId="77777777" w:rsidR="009A4C46" w:rsidRPr="009A4C46" w:rsidRDefault="009A4C46" w:rsidP="004D58E8">
            <w:pPr>
              <w:spacing w:after="0" w:line="240" w:lineRule="auto"/>
              <w:contextualSpacing/>
              <w:jc w:val="center"/>
              <w:rPr>
                <w:rFonts w:eastAsia="Times New Roman"/>
                <w:lang w:eastAsia="ru-RU"/>
              </w:rPr>
            </w:pPr>
            <w:r w:rsidRPr="009A4C46">
              <w:rPr>
                <w:rFonts w:eastAsia="Times New Roman"/>
                <w:color w:val="000000"/>
                <w:lang w:eastAsia="ru-RU"/>
              </w:rPr>
              <w:t>97</w:t>
            </w:r>
          </w:p>
        </w:tc>
        <w:tc>
          <w:tcPr>
            <w:tcW w:w="325" w:type="pct"/>
            <w:tcBorders>
              <w:top w:val="nil"/>
              <w:left w:val="nil"/>
              <w:bottom w:val="single" w:sz="8" w:space="0" w:color="auto"/>
              <w:right w:val="single" w:sz="8" w:space="0" w:color="auto"/>
            </w:tcBorders>
            <w:shd w:val="clear" w:color="auto" w:fill="auto"/>
            <w:noWrap/>
            <w:vAlign w:val="center"/>
            <w:hideMark/>
          </w:tcPr>
          <w:p w14:paraId="11BBE9A8" w14:textId="77777777" w:rsidR="009A4C46" w:rsidRPr="009A4C46" w:rsidRDefault="009A4C46" w:rsidP="004D58E8">
            <w:pPr>
              <w:spacing w:after="0" w:line="240" w:lineRule="auto"/>
              <w:contextualSpacing/>
              <w:jc w:val="center"/>
              <w:rPr>
                <w:rFonts w:eastAsia="Times New Roman"/>
                <w:lang w:eastAsia="ru-RU"/>
              </w:rPr>
            </w:pPr>
            <w:r w:rsidRPr="009A4C46">
              <w:rPr>
                <w:rFonts w:eastAsia="Times New Roman"/>
                <w:color w:val="000000"/>
                <w:lang w:eastAsia="ru-RU"/>
              </w:rPr>
              <w:t>16%</w:t>
            </w:r>
          </w:p>
        </w:tc>
        <w:tc>
          <w:tcPr>
            <w:tcW w:w="392" w:type="pct"/>
            <w:tcBorders>
              <w:top w:val="single" w:sz="8" w:space="0" w:color="auto"/>
              <w:left w:val="nil"/>
              <w:bottom w:val="single" w:sz="8" w:space="0" w:color="auto"/>
              <w:right w:val="single" w:sz="8" w:space="0" w:color="000000"/>
            </w:tcBorders>
            <w:shd w:val="clear" w:color="auto" w:fill="auto"/>
            <w:noWrap/>
            <w:vAlign w:val="center"/>
            <w:hideMark/>
          </w:tcPr>
          <w:p w14:paraId="70FF904B" w14:textId="77777777" w:rsidR="009A4C46" w:rsidRPr="009A4C46" w:rsidRDefault="009A4C46" w:rsidP="004D58E8">
            <w:pPr>
              <w:spacing w:after="0" w:line="240" w:lineRule="auto"/>
              <w:contextualSpacing/>
              <w:jc w:val="center"/>
              <w:rPr>
                <w:rFonts w:eastAsia="Times New Roman"/>
                <w:lang w:eastAsia="ru-RU"/>
              </w:rPr>
            </w:pPr>
            <w:r w:rsidRPr="009A4C46">
              <w:rPr>
                <w:rFonts w:eastAsia="Times New Roman" w:cs="Calibri"/>
                <w:color w:val="000000"/>
                <w:lang w:eastAsia="ru-RU"/>
              </w:rPr>
              <w:t> </w:t>
            </w:r>
          </w:p>
        </w:tc>
        <w:tc>
          <w:tcPr>
            <w:tcW w:w="927" w:type="pct"/>
            <w:tcBorders>
              <w:top w:val="nil"/>
              <w:left w:val="nil"/>
              <w:bottom w:val="single" w:sz="4" w:space="0" w:color="auto"/>
              <w:right w:val="single" w:sz="4" w:space="0" w:color="auto"/>
            </w:tcBorders>
            <w:shd w:val="clear" w:color="auto" w:fill="auto"/>
            <w:noWrap/>
            <w:vAlign w:val="center"/>
            <w:hideMark/>
          </w:tcPr>
          <w:p w14:paraId="174F8B47" w14:textId="77777777" w:rsidR="009A4C46" w:rsidRPr="009A4C46" w:rsidRDefault="009A4C46" w:rsidP="004D58E8">
            <w:pPr>
              <w:spacing w:after="0" w:line="240" w:lineRule="auto"/>
              <w:contextualSpacing/>
              <w:jc w:val="center"/>
              <w:rPr>
                <w:rFonts w:eastAsia="Times New Roman"/>
                <w:lang w:eastAsia="ru-RU"/>
              </w:rPr>
            </w:pPr>
          </w:p>
        </w:tc>
      </w:tr>
      <w:tr w:rsidR="00F71BAF" w:rsidRPr="009A4C46" w14:paraId="77B6FBC6" w14:textId="77777777" w:rsidTr="004D58E8">
        <w:trPr>
          <w:trHeight w:val="20"/>
        </w:trPr>
        <w:tc>
          <w:tcPr>
            <w:tcW w:w="1369" w:type="pct"/>
            <w:tcBorders>
              <w:top w:val="nil"/>
              <w:left w:val="single" w:sz="4" w:space="0" w:color="auto"/>
              <w:bottom w:val="single" w:sz="4" w:space="0" w:color="auto"/>
              <w:right w:val="single" w:sz="4" w:space="0" w:color="auto"/>
            </w:tcBorders>
            <w:shd w:val="clear" w:color="auto" w:fill="auto"/>
            <w:vAlign w:val="center"/>
            <w:hideMark/>
          </w:tcPr>
          <w:p w14:paraId="28914415" w14:textId="77777777" w:rsidR="009A4C46" w:rsidRPr="009A4C46" w:rsidRDefault="009A4C46" w:rsidP="004D58E8">
            <w:pPr>
              <w:spacing w:after="0" w:line="240" w:lineRule="auto"/>
              <w:contextualSpacing/>
              <w:jc w:val="both"/>
              <w:rPr>
                <w:rFonts w:eastAsia="Times New Roman"/>
                <w:lang w:eastAsia="ru-RU"/>
              </w:rPr>
            </w:pPr>
            <w:r w:rsidRPr="009A4C46">
              <w:rPr>
                <w:rFonts w:eastAsia="Times New Roman"/>
                <w:lang w:eastAsia="ru-RU"/>
              </w:rPr>
              <w:t xml:space="preserve">Величина технологического расхода (потерь) электроэнергии </w:t>
            </w:r>
          </w:p>
        </w:tc>
        <w:tc>
          <w:tcPr>
            <w:tcW w:w="497" w:type="pct"/>
            <w:tcBorders>
              <w:top w:val="nil"/>
              <w:left w:val="nil"/>
              <w:bottom w:val="single" w:sz="4" w:space="0" w:color="auto"/>
              <w:right w:val="single" w:sz="4" w:space="0" w:color="auto"/>
            </w:tcBorders>
            <w:shd w:val="clear" w:color="auto" w:fill="auto"/>
            <w:noWrap/>
            <w:vAlign w:val="center"/>
            <w:hideMark/>
          </w:tcPr>
          <w:p w14:paraId="67ED94BF" w14:textId="77777777" w:rsidR="009A4C46" w:rsidRPr="009A4C46" w:rsidRDefault="009A4C46" w:rsidP="004D58E8">
            <w:pPr>
              <w:spacing w:after="0" w:line="240" w:lineRule="auto"/>
              <w:contextualSpacing/>
              <w:jc w:val="center"/>
              <w:rPr>
                <w:rFonts w:eastAsia="Times New Roman"/>
                <w:lang w:eastAsia="ru-RU"/>
              </w:rPr>
            </w:pPr>
            <w:r w:rsidRPr="009A4C46">
              <w:rPr>
                <w:rFonts w:eastAsia="Times New Roman"/>
                <w:lang w:eastAsia="ru-RU"/>
              </w:rPr>
              <w:t xml:space="preserve">млн. </w:t>
            </w:r>
            <w:proofErr w:type="spellStart"/>
            <w:r w:rsidRPr="009A4C46">
              <w:rPr>
                <w:rFonts w:eastAsia="Times New Roman"/>
                <w:lang w:eastAsia="ru-RU"/>
              </w:rPr>
              <w:t>кВтч</w:t>
            </w:r>
            <w:proofErr w:type="spellEnd"/>
          </w:p>
        </w:tc>
        <w:tc>
          <w:tcPr>
            <w:tcW w:w="543" w:type="pct"/>
            <w:tcBorders>
              <w:top w:val="nil"/>
              <w:left w:val="nil"/>
              <w:bottom w:val="single" w:sz="8" w:space="0" w:color="auto"/>
              <w:right w:val="single" w:sz="8" w:space="0" w:color="auto"/>
            </w:tcBorders>
            <w:shd w:val="clear" w:color="auto" w:fill="auto"/>
            <w:noWrap/>
            <w:vAlign w:val="center"/>
            <w:hideMark/>
          </w:tcPr>
          <w:p w14:paraId="2070494B" w14:textId="77777777" w:rsidR="009A4C46" w:rsidRPr="009A4C46" w:rsidRDefault="009A4C46" w:rsidP="004D58E8">
            <w:pPr>
              <w:spacing w:after="0" w:line="240" w:lineRule="auto"/>
              <w:contextualSpacing/>
              <w:jc w:val="center"/>
              <w:rPr>
                <w:rFonts w:eastAsia="Times New Roman"/>
                <w:lang w:eastAsia="ru-RU"/>
              </w:rPr>
            </w:pPr>
            <w:r w:rsidRPr="009A4C46">
              <w:rPr>
                <w:rFonts w:eastAsia="Times New Roman"/>
                <w:color w:val="000000"/>
                <w:lang w:eastAsia="ru-RU"/>
              </w:rPr>
              <w:t>163,9301</w:t>
            </w:r>
          </w:p>
        </w:tc>
        <w:tc>
          <w:tcPr>
            <w:tcW w:w="473" w:type="pct"/>
            <w:tcBorders>
              <w:top w:val="nil"/>
              <w:left w:val="nil"/>
              <w:bottom w:val="single" w:sz="8" w:space="0" w:color="auto"/>
              <w:right w:val="single" w:sz="8" w:space="0" w:color="auto"/>
            </w:tcBorders>
            <w:shd w:val="clear" w:color="auto" w:fill="auto"/>
            <w:noWrap/>
            <w:vAlign w:val="center"/>
            <w:hideMark/>
          </w:tcPr>
          <w:p w14:paraId="0EB876ED" w14:textId="77777777" w:rsidR="009A4C46" w:rsidRPr="009A4C46" w:rsidRDefault="009A4C46" w:rsidP="004D58E8">
            <w:pPr>
              <w:spacing w:after="0" w:line="240" w:lineRule="auto"/>
              <w:contextualSpacing/>
              <w:jc w:val="center"/>
              <w:rPr>
                <w:rFonts w:eastAsia="Times New Roman"/>
                <w:lang w:eastAsia="ru-RU"/>
              </w:rPr>
            </w:pPr>
            <w:r w:rsidRPr="009A4C46">
              <w:rPr>
                <w:rFonts w:eastAsia="Times New Roman"/>
                <w:color w:val="000000"/>
                <w:lang w:eastAsia="ru-RU"/>
              </w:rPr>
              <w:t>256,799752</w:t>
            </w:r>
          </w:p>
        </w:tc>
        <w:tc>
          <w:tcPr>
            <w:tcW w:w="475" w:type="pct"/>
            <w:tcBorders>
              <w:top w:val="nil"/>
              <w:left w:val="nil"/>
              <w:bottom w:val="single" w:sz="8" w:space="0" w:color="auto"/>
              <w:right w:val="single" w:sz="8" w:space="0" w:color="auto"/>
            </w:tcBorders>
            <w:shd w:val="clear" w:color="auto" w:fill="auto"/>
            <w:noWrap/>
            <w:vAlign w:val="center"/>
            <w:hideMark/>
          </w:tcPr>
          <w:p w14:paraId="55B709CF" w14:textId="77777777" w:rsidR="009A4C46" w:rsidRPr="009A4C46" w:rsidRDefault="009A4C46" w:rsidP="004D58E8">
            <w:pPr>
              <w:spacing w:after="0" w:line="240" w:lineRule="auto"/>
              <w:contextualSpacing/>
              <w:jc w:val="center"/>
              <w:rPr>
                <w:rFonts w:eastAsia="Times New Roman"/>
                <w:lang w:eastAsia="ru-RU"/>
              </w:rPr>
            </w:pPr>
            <w:r w:rsidRPr="009A4C46">
              <w:rPr>
                <w:rFonts w:eastAsia="Times New Roman"/>
                <w:color w:val="000000"/>
                <w:lang w:eastAsia="ru-RU"/>
              </w:rPr>
              <w:t>93</w:t>
            </w:r>
          </w:p>
        </w:tc>
        <w:tc>
          <w:tcPr>
            <w:tcW w:w="325" w:type="pct"/>
            <w:tcBorders>
              <w:top w:val="nil"/>
              <w:left w:val="nil"/>
              <w:bottom w:val="single" w:sz="8" w:space="0" w:color="auto"/>
              <w:right w:val="single" w:sz="8" w:space="0" w:color="auto"/>
            </w:tcBorders>
            <w:shd w:val="clear" w:color="auto" w:fill="auto"/>
            <w:noWrap/>
            <w:vAlign w:val="center"/>
            <w:hideMark/>
          </w:tcPr>
          <w:p w14:paraId="6A002E60" w14:textId="77777777" w:rsidR="009A4C46" w:rsidRPr="009A4C46" w:rsidRDefault="009A4C46" w:rsidP="004D58E8">
            <w:pPr>
              <w:spacing w:after="0" w:line="240" w:lineRule="auto"/>
              <w:contextualSpacing/>
              <w:jc w:val="center"/>
              <w:rPr>
                <w:rFonts w:eastAsia="Times New Roman"/>
                <w:lang w:eastAsia="ru-RU"/>
              </w:rPr>
            </w:pPr>
            <w:r w:rsidRPr="009A4C46">
              <w:rPr>
                <w:rFonts w:eastAsia="Times New Roman"/>
                <w:color w:val="000000"/>
                <w:lang w:eastAsia="ru-RU"/>
              </w:rPr>
              <w:t>57%</w:t>
            </w:r>
          </w:p>
        </w:tc>
        <w:tc>
          <w:tcPr>
            <w:tcW w:w="392" w:type="pct"/>
            <w:tcBorders>
              <w:top w:val="single" w:sz="8" w:space="0" w:color="auto"/>
              <w:left w:val="nil"/>
              <w:bottom w:val="single" w:sz="8" w:space="0" w:color="auto"/>
              <w:right w:val="single" w:sz="8" w:space="0" w:color="000000"/>
            </w:tcBorders>
            <w:shd w:val="clear" w:color="auto" w:fill="auto"/>
            <w:noWrap/>
            <w:vAlign w:val="center"/>
            <w:hideMark/>
          </w:tcPr>
          <w:p w14:paraId="24001376" w14:textId="77777777" w:rsidR="009A4C46" w:rsidRPr="009A4C46" w:rsidRDefault="009A4C46" w:rsidP="004D58E8">
            <w:pPr>
              <w:spacing w:after="0" w:line="240" w:lineRule="auto"/>
              <w:contextualSpacing/>
              <w:jc w:val="center"/>
              <w:rPr>
                <w:rFonts w:eastAsia="Times New Roman"/>
                <w:lang w:eastAsia="ru-RU"/>
              </w:rPr>
            </w:pPr>
            <w:r w:rsidRPr="009A4C46">
              <w:rPr>
                <w:rFonts w:eastAsia="Times New Roman" w:cs="Calibri"/>
                <w:color w:val="000000"/>
                <w:lang w:eastAsia="ru-RU"/>
              </w:rPr>
              <w:t> </w:t>
            </w:r>
          </w:p>
        </w:tc>
        <w:tc>
          <w:tcPr>
            <w:tcW w:w="927" w:type="pct"/>
            <w:tcBorders>
              <w:top w:val="nil"/>
              <w:left w:val="nil"/>
              <w:bottom w:val="single" w:sz="4" w:space="0" w:color="auto"/>
              <w:right w:val="single" w:sz="4" w:space="0" w:color="auto"/>
            </w:tcBorders>
            <w:shd w:val="clear" w:color="auto" w:fill="auto"/>
            <w:noWrap/>
            <w:vAlign w:val="center"/>
            <w:hideMark/>
          </w:tcPr>
          <w:p w14:paraId="31F74FA3" w14:textId="77777777" w:rsidR="009A4C46" w:rsidRPr="009A4C46" w:rsidRDefault="009A4C46" w:rsidP="004D58E8">
            <w:pPr>
              <w:spacing w:after="0" w:line="240" w:lineRule="auto"/>
              <w:contextualSpacing/>
              <w:jc w:val="center"/>
              <w:rPr>
                <w:rFonts w:eastAsia="Times New Roman"/>
                <w:lang w:eastAsia="ru-RU"/>
              </w:rPr>
            </w:pPr>
          </w:p>
        </w:tc>
      </w:tr>
      <w:tr w:rsidR="00F71BAF" w:rsidRPr="009A4C46" w14:paraId="31D7C972" w14:textId="77777777" w:rsidTr="004D58E8">
        <w:trPr>
          <w:trHeight w:val="20"/>
        </w:trPr>
        <w:tc>
          <w:tcPr>
            <w:tcW w:w="1369" w:type="pct"/>
            <w:tcBorders>
              <w:top w:val="nil"/>
              <w:left w:val="single" w:sz="4" w:space="0" w:color="auto"/>
              <w:bottom w:val="single" w:sz="4" w:space="0" w:color="auto"/>
              <w:right w:val="single" w:sz="4" w:space="0" w:color="auto"/>
            </w:tcBorders>
            <w:shd w:val="clear" w:color="auto" w:fill="auto"/>
            <w:vAlign w:val="center"/>
            <w:hideMark/>
          </w:tcPr>
          <w:p w14:paraId="41E5D9C9" w14:textId="77777777" w:rsidR="009A4C46" w:rsidRPr="009A4C46" w:rsidRDefault="009A4C46" w:rsidP="004D58E8">
            <w:pPr>
              <w:spacing w:after="0" w:line="240" w:lineRule="auto"/>
              <w:contextualSpacing/>
              <w:jc w:val="both"/>
              <w:rPr>
                <w:rFonts w:eastAsia="Times New Roman"/>
                <w:lang w:eastAsia="ru-RU"/>
              </w:rPr>
            </w:pPr>
            <w:r w:rsidRPr="009A4C46">
              <w:rPr>
                <w:rFonts w:eastAsia="Times New Roman"/>
                <w:lang w:eastAsia="ru-RU"/>
              </w:rPr>
              <w:t>Тариф покупки потерь</w:t>
            </w:r>
          </w:p>
        </w:tc>
        <w:tc>
          <w:tcPr>
            <w:tcW w:w="497" w:type="pct"/>
            <w:tcBorders>
              <w:top w:val="nil"/>
              <w:left w:val="nil"/>
              <w:bottom w:val="single" w:sz="4" w:space="0" w:color="auto"/>
              <w:right w:val="single" w:sz="4" w:space="0" w:color="auto"/>
            </w:tcBorders>
            <w:shd w:val="clear" w:color="auto" w:fill="auto"/>
            <w:noWrap/>
            <w:vAlign w:val="center"/>
            <w:hideMark/>
          </w:tcPr>
          <w:p w14:paraId="29E0BB6E" w14:textId="77777777" w:rsidR="009A4C46" w:rsidRPr="009A4C46" w:rsidRDefault="009A4C46" w:rsidP="004D58E8">
            <w:pPr>
              <w:spacing w:after="0" w:line="240" w:lineRule="auto"/>
              <w:contextualSpacing/>
              <w:jc w:val="center"/>
              <w:rPr>
                <w:rFonts w:eastAsia="Times New Roman"/>
                <w:lang w:eastAsia="ru-RU"/>
              </w:rPr>
            </w:pPr>
            <w:r w:rsidRPr="009A4C46">
              <w:rPr>
                <w:rFonts w:eastAsia="Times New Roman"/>
                <w:lang w:eastAsia="ru-RU"/>
              </w:rPr>
              <w:t>руб./</w:t>
            </w:r>
            <w:proofErr w:type="spellStart"/>
            <w:r w:rsidRPr="009A4C46">
              <w:rPr>
                <w:rFonts w:eastAsia="Times New Roman"/>
                <w:lang w:eastAsia="ru-RU"/>
              </w:rPr>
              <w:t>МВтч</w:t>
            </w:r>
            <w:proofErr w:type="spellEnd"/>
          </w:p>
        </w:tc>
        <w:tc>
          <w:tcPr>
            <w:tcW w:w="543" w:type="pct"/>
            <w:tcBorders>
              <w:top w:val="nil"/>
              <w:left w:val="nil"/>
              <w:bottom w:val="single" w:sz="8" w:space="0" w:color="auto"/>
              <w:right w:val="single" w:sz="8" w:space="0" w:color="auto"/>
            </w:tcBorders>
            <w:shd w:val="clear" w:color="auto" w:fill="auto"/>
            <w:noWrap/>
            <w:vAlign w:val="center"/>
            <w:hideMark/>
          </w:tcPr>
          <w:p w14:paraId="2D832269" w14:textId="77777777" w:rsidR="009A4C46" w:rsidRPr="009A4C46" w:rsidRDefault="009A4C46" w:rsidP="004D58E8">
            <w:pPr>
              <w:spacing w:after="0" w:line="240" w:lineRule="auto"/>
              <w:contextualSpacing/>
              <w:jc w:val="center"/>
              <w:rPr>
                <w:rFonts w:eastAsia="Times New Roman"/>
                <w:lang w:eastAsia="ru-RU"/>
              </w:rPr>
            </w:pPr>
            <w:r w:rsidRPr="009A4C46">
              <w:rPr>
                <w:rFonts w:eastAsia="Times New Roman"/>
                <w:color w:val="000000"/>
                <w:lang w:eastAsia="ru-RU"/>
              </w:rPr>
              <w:t>782,00</w:t>
            </w:r>
          </w:p>
        </w:tc>
        <w:tc>
          <w:tcPr>
            <w:tcW w:w="473" w:type="pct"/>
            <w:tcBorders>
              <w:top w:val="nil"/>
              <w:left w:val="nil"/>
              <w:bottom w:val="single" w:sz="8" w:space="0" w:color="auto"/>
              <w:right w:val="single" w:sz="8" w:space="0" w:color="auto"/>
            </w:tcBorders>
            <w:shd w:val="clear" w:color="auto" w:fill="auto"/>
            <w:noWrap/>
            <w:vAlign w:val="center"/>
            <w:hideMark/>
          </w:tcPr>
          <w:p w14:paraId="1ACBD982" w14:textId="77777777" w:rsidR="009A4C46" w:rsidRPr="009A4C46" w:rsidRDefault="009A4C46" w:rsidP="004D58E8">
            <w:pPr>
              <w:spacing w:after="0" w:line="240" w:lineRule="auto"/>
              <w:contextualSpacing/>
              <w:jc w:val="center"/>
              <w:rPr>
                <w:rFonts w:eastAsia="Times New Roman"/>
                <w:lang w:eastAsia="ru-RU"/>
              </w:rPr>
            </w:pPr>
            <w:r w:rsidRPr="009A4C46">
              <w:rPr>
                <w:rFonts w:eastAsia="Times New Roman"/>
                <w:color w:val="000000"/>
                <w:lang w:eastAsia="ru-RU"/>
              </w:rPr>
              <w:t>820,05</w:t>
            </w:r>
          </w:p>
        </w:tc>
        <w:tc>
          <w:tcPr>
            <w:tcW w:w="475" w:type="pct"/>
            <w:tcBorders>
              <w:top w:val="nil"/>
              <w:left w:val="nil"/>
              <w:bottom w:val="single" w:sz="8" w:space="0" w:color="auto"/>
              <w:right w:val="single" w:sz="8" w:space="0" w:color="auto"/>
            </w:tcBorders>
            <w:shd w:val="clear" w:color="auto" w:fill="auto"/>
            <w:noWrap/>
            <w:vAlign w:val="center"/>
            <w:hideMark/>
          </w:tcPr>
          <w:p w14:paraId="19640F05" w14:textId="77777777" w:rsidR="009A4C46" w:rsidRPr="009A4C46" w:rsidRDefault="009A4C46" w:rsidP="004D58E8">
            <w:pPr>
              <w:spacing w:after="0" w:line="240" w:lineRule="auto"/>
              <w:contextualSpacing/>
              <w:jc w:val="center"/>
              <w:rPr>
                <w:rFonts w:eastAsia="Times New Roman"/>
                <w:lang w:eastAsia="ru-RU"/>
              </w:rPr>
            </w:pPr>
            <w:r w:rsidRPr="009A4C46">
              <w:rPr>
                <w:rFonts w:eastAsia="Times New Roman"/>
                <w:color w:val="000000"/>
                <w:lang w:eastAsia="ru-RU"/>
              </w:rPr>
              <w:t>38</w:t>
            </w:r>
          </w:p>
        </w:tc>
        <w:tc>
          <w:tcPr>
            <w:tcW w:w="325" w:type="pct"/>
            <w:tcBorders>
              <w:top w:val="nil"/>
              <w:left w:val="nil"/>
              <w:bottom w:val="single" w:sz="8" w:space="0" w:color="auto"/>
              <w:right w:val="single" w:sz="8" w:space="0" w:color="auto"/>
            </w:tcBorders>
            <w:shd w:val="clear" w:color="auto" w:fill="auto"/>
            <w:noWrap/>
            <w:vAlign w:val="center"/>
            <w:hideMark/>
          </w:tcPr>
          <w:p w14:paraId="2EA0EE89" w14:textId="77777777" w:rsidR="009A4C46" w:rsidRPr="009A4C46" w:rsidRDefault="009A4C46" w:rsidP="004D58E8">
            <w:pPr>
              <w:spacing w:after="0" w:line="240" w:lineRule="auto"/>
              <w:contextualSpacing/>
              <w:jc w:val="center"/>
              <w:rPr>
                <w:rFonts w:eastAsia="Times New Roman"/>
                <w:lang w:eastAsia="ru-RU"/>
              </w:rPr>
            </w:pPr>
            <w:r w:rsidRPr="009A4C46">
              <w:rPr>
                <w:rFonts w:eastAsia="Times New Roman"/>
                <w:color w:val="000000"/>
                <w:lang w:eastAsia="ru-RU"/>
              </w:rPr>
              <w:t>5%</w:t>
            </w:r>
          </w:p>
        </w:tc>
        <w:tc>
          <w:tcPr>
            <w:tcW w:w="392" w:type="pct"/>
            <w:tcBorders>
              <w:top w:val="single" w:sz="8" w:space="0" w:color="auto"/>
              <w:left w:val="nil"/>
              <w:bottom w:val="single" w:sz="8" w:space="0" w:color="auto"/>
              <w:right w:val="single" w:sz="8" w:space="0" w:color="000000"/>
            </w:tcBorders>
            <w:shd w:val="clear" w:color="auto" w:fill="auto"/>
            <w:noWrap/>
            <w:vAlign w:val="center"/>
            <w:hideMark/>
          </w:tcPr>
          <w:p w14:paraId="6EEBCEB1" w14:textId="77777777" w:rsidR="009A4C46" w:rsidRPr="009A4C46" w:rsidRDefault="009A4C46" w:rsidP="004D58E8">
            <w:pPr>
              <w:spacing w:after="0" w:line="240" w:lineRule="auto"/>
              <w:contextualSpacing/>
              <w:jc w:val="center"/>
              <w:rPr>
                <w:rFonts w:eastAsia="Times New Roman"/>
                <w:lang w:eastAsia="ru-RU"/>
              </w:rPr>
            </w:pPr>
            <w:r w:rsidRPr="009A4C46">
              <w:rPr>
                <w:rFonts w:eastAsia="Times New Roman" w:cs="Calibri"/>
                <w:color w:val="000000"/>
                <w:lang w:eastAsia="ru-RU"/>
              </w:rPr>
              <w:t> </w:t>
            </w:r>
          </w:p>
        </w:tc>
        <w:tc>
          <w:tcPr>
            <w:tcW w:w="927" w:type="pct"/>
            <w:tcBorders>
              <w:top w:val="nil"/>
              <w:left w:val="nil"/>
              <w:bottom w:val="single" w:sz="4" w:space="0" w:color="auto"/>
              <w:right w:val="single" w:sz="4" w:space="0" w:color="auto"/>
            </w:tcBorders>
            <w:shd w:val="clear" w:color="auto" w:fill="auto"/>
            <w:noWrap/>
            <w:vAlign w:val="center"/>
            <w:hideMark/>
          </w:tcPr>
          <w:p w14:paraId="67653CBB" w14:textId="77777777" w:rsidR="009A4C46" w:rsidRPr="009A4C46" w:rsidRDefault="009A4C46" w:rsidP="004D58E8">
            <w:pPr>
              <w:spacing w:after="0" w:line="240" w:lineRule="auto"/>
              <w:contextualSpacing/>
              <w:jc w:val="center"/>
              <w:rPr>
                <w:rFonts w:eastAsia="Times New Roman"/>
                <w:lang w:eastAsia="ru-RU"/>
              </w:rPr>
            </w:pPr>
          </w:p>
        </w:tc>
      </w:tr>
      <w:tr w:rsidR="00F71BAF" w:rsidRPr="009A4C46" w14:paraId="566D109E" w14:textId="77777777" w:rsidTr="004D58E8">
        <w:trPr>
          <w:trHeight w:val="20"/>
        </w:trPr>
        <w:tc>
          <w:tcPr>
            <w:tcW w:w="1369" w:type="pct"/>
            <w:tcBorders>
              <w:top w:val="nil"/>
              <w:left w:val="single" w:sz="4" w:space="0" w:color="auto"/>
              <w:bottom w:val="single" w:sz="4" w:space="0" w:color="auto"/>
              <w:right w:val="single" w:sz="4" w:space="0" w:color="auto"/>
            </w:tcBorders>
            <w:shd w:val="clear" w:color="auto" w:fill="auto"/>
            <w:vAlign w:val="center"/>
            <w:hideMark/>
          </w:tcPr>
          <w:p w14:paraId="3E57E964" w14:textId="77777777" w:rsidR="009A4C46" w:rsidRPr="009A4C46" w:rsidRDefault="009A4C46" w:rsidP="004D58E8">
            <w:pPr>
              <w:spacing w:after="0" w:line="240" w:lineRule="auto"/>
              <w:contextualSpacing/>
              <w:jc w:val="both"/>
              <w:rPr>
                <w:rFonts w:eastAsia="Times New Roman"/>
                <w:lang w:eastAsia="ru-RU"/>
              </w:rPr>
            </w:pPr>
            <w:r w:rsidRPr="009A4C46">
              <w:rPr>
                <w:rFonts w:eastAsia="Times New Roman"/>
                <w:lang w:eastAsia="ru-RU"/>
              </w:rPr>
              <w:t>Затраты на покупную электроэнергию, приобретаемую в целях компенсации потерь</w:t>
            </w:r>
          </w:p>
        </w:tc>
        <w:tc>
          <w:tcPr>
            <w:tcW w:w="497" w:type="pct"/>
            <w:tcBorders>
              <w:top w:val="nil"/>
              <w:left w:val="nil"/>
              <w:bottom w:val="single" w:sz="4" w:space="0" w:color="auto"/>
              <w:right w:val="single" w:sz="4" w:space="0" w:color="auto"/>
            </w:tcBorders>
            <w:shd w:val="clear" w:color="auto" w:fill="auto"/>
            <w:vAlign w:val="center"/>
            <w:hideMark/>
          </w:tcPr>
          <w:p w14:paraId="4DA16609" w14:textId="77777777" w:rsidR="009A4C46" w:rsidRPr="009A4C46" w:rsidRDefault="009A4C46" w:rsidP="004D58E8">
            <w:pPr>
              <w:spacing w:after="0" w:line="240" w:lineRule="auto"/>
              <w:contextualSpacing/>
              <w:jc w:val="center"/>
              <w:rPr>
                <w:rFonts w:eastAsia="Times New Roman"/>
                <w:lang w:eastAsia="ru-RU"/>
              </w:rPr>
            </w:pPr>
            <w:r w:rsidRPr="009A4C46">
              <w:rPr>
                <w:rFonts w:eastAsia="Times New Roman"/>
                <w:lang w:eastAsia="ru-RU"/>
              </w:rPr>
              <w:t>тыс. руб.</w:t>
            </w:r>
          </w:p>
        </w:tc>
        <w:tc>
          <w:tcPr>
            <w:tcW w:w="543" w:type="pct"/>
            <w:tcBorders>
              <w:top w:val="nil"/>
              <w:left w:val="nil"/>
              <w:bottom w:val="single" w:sz="8" w:space="0" w:color="auto"/>
              <w:right w:val="single" w:sz="8" w:space="0" w:color="auto"/>
            </w:tcBorders>
            <w:shd w:val="clear" w:color="auto" w:fill="auto"/>
            <w:noWrap/>
            <w:vAlign w:val="center"/>
            <w:hideMark/>
          </w:tcPr>
          <w:p w14:paraId="43D456C3" w14:textId="77777777" w:rsidR="009A4C46" w:rsidRPr="009A4C46" w:rsidRDefault="009A4C46" w:rsidP="004D58E8">
            <w:pPr>
              <w:spacing w:after="0" w:line="240" w:lineRule="auto"/>
              <w:contextualSpacing/>
              <w:jc w:val="center"/>
              <w:rPr>
                <w:rFonts w:eastAsia="Times New Roman"/>
                <w:lang w:eastAsia="ru-RU"/>
              </w:rPr>
            </w:pPr>
            <w:r w:rsidRPr="009A4C46">
              <w:rPr>
                <w:rFonts w:eastAsia="Times New Roman"/>
                <w:color w:val="000000"/>
                <w:lang w:eastAsia="ru-RU"/>
              </w:rPr>
              <w:t>128 193</w:t>
            </w:r>
          </w:p>
        </w:tc>
        <w:tc>
          <w:tcPr>
            <w:tcW w:w="473" w:type="pct"/>
            <w:tcBorders>
              <w:top w:val="nil"/>
              <w:left w:val="nil"/>
              <w:bottom w:val="single" w:sz="8" w:space="0" w:color="auto"/>
              <w:right w:val="single" w:sz="8" w:space="0" w:color="auto"/>
            </w:tcBorders>
            <w:shd w:val="clear" w:color="auto" w:fill="auto"/>
            <w:noWrap/>
            <w:vAlign w:val="center"/>
            <w:hideMark/>
          </w:tcPr>
          <w:p w14:paraId="44115B78" w14:textId="77777777" w:rsidR="009A4C46" w:rsidRPr="009A4C46" w:rsidRDefault="009A4C46" w:rsidP="004D58E8">
            <w:pPr>
              <w:spacing w:after="0" w:line="240" w:lineRule="auto"/>
              <w:contextualSpacing/>
              <w:jc w:val="center"/>
              <w:rPr>
                <w:rFonts w:eastAsia="Times New Roman"/>
                <w:lang w:eastAsia="ru-RU"/>
              </w:rPr>
            </w:pPr>
            <w:r w:rsidRPr="009A4C46">
              <w:rPr>
                <w:rFonts w:eastAsia="Times New Roman"/>
                <w:color w:val="000000"/>
                <w:lang w:eastAsia="ru-RU"/>
              </w:rPr>
              <w:t>210 587</w:t>
            </w:r>
          </w:p>
        </w:tc>
        <w:tc>
          <w:tcPr>
            <w:tcW w:w="475" w:type="pct"/>
            <w:tcBorders>
              <w:top w:val="nil"/>
              <w:left w:val="nil"/>
              <w:bottom w:val="single" w:sz="8" w:space="0" w:color="auto"/>
              <w:right w:val="single" w:sz="8" w:space="0" w:color="auto"/>
            </w:tcBorders>
            <w:shd w:val="clear" w:color="auto" w:fill="auto"/>
            <w:noWrap/>
            <w:vAlign w:val="center"/>
            <w:hideMark/>
          </w:tcPr>
          <w:p w14:paraId="68EEE242" w14:textId="77777777" w:rsidR="009A4C46" w:rsidRPr="009A4C46" w:rsidRDefault="009A4C46" w:rsidP="004D58E8">
            <w:pPr>
              <w:spacing w:after="0" w:line="240" w:lineRule="auto"/>
              <w:contextualSpacing/>
              <w:jc w:val="center"/>
              <w:rPr>
                <w:rFonts w:eastAsia="Times New Roman"/>
                <w:lang w:eastAsia="ru-RU"/>
              </w:rPr>
            </w:pPr>
            <w:r w:rsidRPr="009A4C46">
              <w:rPr>
                <w:rFonts w:eastAsia="Times New Roman"/>
                <w:color w:val="000000"/>
                <w:lang w:eastAsia="ru-RU"/>
              </w:rPr>
              <w:t>82 394</w:t>
            </w:r>
          </w:p>
        </w:tc>
        <w:tc>
          <w:tcPr>
            <w:tcW w:w="325" w:type="pct"/>
            <w:tcBorders>
              <w:top w:val="nil"/>
              <w:left w:val="nil"/>
              <w:bottom w:val="single" w:sz="8" w:space="0" w:color="auto"/>
              <w:right w:val="single" w:sz="8" w:space="0" w:color="auto"/>
            </w:tcBorders>
            <w:shd w:val="clear" w:color="auto" w:fill="auto"/>
            <w:noWrap/>
            <w:vAlign w:val="center"/>
            <w:hideMark/>
          </w:tcPr>
          <w:p w14:paraId="2F6AEBBF" w14:textId="77777777" w:rsidR="009A4C46" w:rsidRPr="009A4C46" w:rsidRDefault="009A4C46" w:rsidP="004D58E8">
            <w:pPr>
              <w:spacing w:after="0" w:line="240" w:lineRule="auto"/>
              <w:contextualSpacing/>
              <w:jc w:val="center"/>
              <w:rPr>
                <w:rFonts w:eastAsia="Times New Roman"/>
                <w:lang w:eastAsia="ru-RU"/>
              </w:rPr>
            </w:pPr>
            <w:r w:rsidRPr="009A4C46">
              <w:rPr>
                <w:rFonts w:eastAsia="Times New Roman"/>
                <w:color w:val="000000"/>
                <w:lang w:eastAsia="ru-RU"/>
              </w:rPr>
              <w:t>64%</w:t>
            </w:r>
          </w:p>
        </w:tc>
        <w:tc>
          <w:tcPr>
            <w:tcW w:w="392" w:type="pct"/>
            <w:tcBorders>
              <w:top w:val="single" w:sz="8" w:space="0" w:color="auto"/>
              <w:left w:val="nil"/>
              <w:bottom w:val="single" w:sz="8" w:space="0" w:color="auto"/>
              <w:right w:val="single" w:sz="8" w:space="0" w:color="000000"/>
            </w:tcBorders>
            <w:shd w:val="clear" w:color="auto" w:fill="auto"/>
            <w:noWrap/>
            <w:vAlign w:val="center"/>
            <w:hideMark/>
          </w:tcPr>
          <w:p w14:paraId="33E2DC33" w14:textId="77777777" w:rsidR="009A4C46" w:rsidRPr="009A4C46" w:rsidRDefault="009A4C46" w:rsidP="004D58E8">
            <w:pPr>
              <w:spacing w:after="0" w:line="240" w:lineRule="auto"/>
              <w:contextualSpacing/>
              <w:jc w:val="center"/>
              <w:rPr>
                <w:rFonts w:eastAsia="Times New Roman"/>
                <w:lang w:eastAsia="ru-RU"/>
              </w:rPr>
            </w:pPr>
            <w:r w:rsidRPr="009A4C46">
              <w:rPr>
                <w:rFonts w:eastAsia="Times New Roman"/>
                <w:color w:val="000000"/>
                <w:lang w:eastAsia="ru-RU"/>
              </w:rPr>
              <w:t>27 395</w:t>
            </w:r>
          </w:p>
        </w:tc>
        <w:tc>
          <w:tcPr>
            <w:tcW w:w="927" w:type="pct"/>
            <w:tcBorders>
              <w:top w:val="nil"/>
              <w:left w:val="nil"/>
              <w:bottom w:val="single" w:sz="4" w:space="0" w:color="auto"/>
              <w:right w:val="single" w:sz="4" w:space="0" w:color="auto"/>
            </w:tcBorders>
            <w:shd w:val="clear" w:color="auto" w:fill="auto"/>
            <w:vAlign w:val="center"/>
            <w:hideMark/>
          </w:tcPr>
          <w:p w14:paraId="212653E4" w14:textId="370679C8" w:rsidR="009A4C46" w:rsidRPr="009A4C46" w:rsidRDefault="009A4C46" w:rsidP="004D58E8">
            <w:pPr>
              <w:spacing w:after="0" w:line="240" w:lineRule="auto"/>
              <w:contextualSpacing/>
              <w:jc w:val="center"/>
              <w:rPr>
                <w:rFonts w:eastAsia="Times New Roman"/>
                <w:lang w:eastAsia="ru-RU"/>
              </w:rPr>
            </w:pPr>
            <w:r w:rsidRPr="009A4C46">
              <w:rPr>
                <w:rFonts w:eastAsia="Times New Roman"/>
                <w:lang w:eastAsia="ru-RU"/>
              </w:rPr>
              <w:t>Кор</w:t>
            </w:r>
            <w:r w:rsidR="004D58E8">
              <w:rPr>
                <w:rFonts w:eastAsia="Times New Roman"/>
                <w:lang w:eastAsia="ru-RU"/>
              </w:rPr>
              <w:t>ректиров</w:t>
            </w:r>
            <w:r w:rsidRPr="009A4C46">
              <w:rPr>
                <w:rFonts w:eastAsia="Times New Roman"/>
                <w:lang w:eastAsia="ru-RU"/>
              </w:rPr>
              <w:t>ка по полезному отпуску и ценам</w:t>
            </w:r>
          </w:p>
        </w:tc>
      </w:tr>
      <w:tr w:rsidR="00F71BAF" w:rsidRPr="009A4C46" w14:paraId="55FFD78D" w14:textId="77777777" w:rsidTr="004D58E8">
        <w:trPr>
          <w:trHeight w:val="20"/>
        </w:trPr>
        <w:tc>
          <w:tcPr>
            <w:tcW w:w="1369" w:type="pct"/>
            <w:tcBorders>
              <w:top w:val="nil"/>
              <w:left w:val="single" w:sz="4" w:space="0" w:color="auto"/>
              <w:bottom w:val="single" w:sz="4" w:space="0" w:color="auto"/>
              <w:right w:val="single" w:sz="4" w:space="0" w:color="auto"/>
            </w:tcBorders>
            <w:shd w:val="clear" w:color="auto" w:fill="auto"/>
            <w:vAlign w:val="center"/>
            <w:hideMark/>
          </w:tcPr>
          <w:p w14:paraId="31235F7B" w14:textId="77777777" w:rsidR="009A4C46" w:rsidRPr="009A4C46" w:rsidRDefault="009A4C46" w:rsidP="004D58E8">
            <w:pPr>
              <w:spacing w:after="0" w:line="240" w:lineRule="auto"/>
              <w:contextualSpacing/>
              <w:jc w:val="both"/>
              <w:rPr>
                <w:rFonts w:eastAsia="Times New Roman"/>
                <w:b/>
                <w:lang w:eastAsia="ru-RU"/>
              </w:rPr>
            </w:pPr>
            <w:r w:rsidRPr="009A4C46">
              <w:rPr>
                <w:rFonts w:eastAsia="Times New Roman"/>
                <w:b/>
                <w:lang w:eastAsia="ru-RU"/>
              </w:rPr>
              <w:t>НВВ собственная (без ТСО)</w:t>
            </w:r>
          </w:p>
        </w:tc>
        <w:tc>
          <w:tcPr>
            <w:tcW w:w="497" w:type="pct"/>
            <w:tcBorders>
              <w:top w:val="nil"/>
              <w:left w:val="nil"/>
              <w:bottom w:val="single" w:sz="4" w:space="0" w:color="auto"/>
              <w:right w:val="single" w:sz="4" w:space="0" w:color="auto"/>
            </w:tcBorders>
            <w:shd w:val="clear" w:color="auto" w:fill="auto"/>
            <w:vAlign w:val="center"/>
            <w:hideMark/>
          </w:tcPr>
          <w:p w14:paraId="3512C29B" w14:textId="77777777" w:rsidR="009A4C46" w:rsidRPr="009A4C46" w:rsidRDefault="009A4C46" w:rsidP="004D58E8">
            <w:pPr>
              <w:spacing w:after="0" w:line="240" w:lineRule="auto"/>
              <w:contextualSpacing/>
              <w:jc w:val="center"/>
              <w:rPr>
                <w:rFonts w:eastAsia="Times New Roman"/>
                <w:b/>
                <w:lang w:eastAsia="ru-RU"/>
              </w:rPr>
            </w:pPr>
            <w:r w:rsidRPr="009A4C46">
              <w:rPr>
                <w:rFonts w:eastAsia="Times New Roman"/>
                <w:b/>
                <w:lang w:eastAsia="ru-RU"/>
              </w:rPr>
              <w:t>тыс. руб.</w:t>
            </w:r>
          </w:p>
        </w:tc>
        <w:tc>
          <w:tcPr>
            <w:tcW w:w="543" w:type="pct"/>
            <w:tcBorders>
              <w:top w:val="nil"/>
              <w:left w:val="nil"/>
              <w:bottom w:val="single" w:sz="8" w:space="0" w:color="auto"/>
              <w:right w:val="single" w:sz="8" w:space="0" w:color="auto"/>
            </w:tcBorders>
            <w:shd w:val="clear" w:color="auto" w:fill="auto"/>
            <w:noWrap/>
            <w:vAlign w:val="center"/>
            <w:hideMark/>
          </w:tcPr>
          <w:p w14:paraId="2BC094BE" w14:textId="77777777" w:rsidR="009A4C46" w:rsidRPr="009A4C46" w:rsidRDefault="009A4C46" w:rsidP="004D58E8">
            <w:pPr>
              <w:spacing w:after="0" w:line="240" w:lineRule="auto"/>
              <w:contextualSpacing/>
              <w:jc w:val="center"/>
              <w:rPr>
                <w:rFonts w:eastAsia="Times New Roman"/>
                <w:b/>
                <w:lang w:eastAsia="ru-RU"/>
              </w:rPr>
            </w:pPr>
            <w:r w:rsidRPr="009A4C46">
              <w:rPr>
                <w:rFonts w:eastAsia="Times New Roman"/>
                <w:b/>
                <w:bCs/>
                <w:color w:val="000000"/>
                <w:lang w:eastAsia="ru-RU"/>
              </w:rPr>
              <w:t>1 295 414</w:t>
            </w:r>
          </w:p>
        </w:tc>
        <w:tc>
          <w:tcPr>
            <w:tcW w:w="473" w:type="pct"/>
            <w:tcBorders>
              <w:top w:val="nil"/>
              <w:left w:val="nil"/>
              <w:bottom w:val="single" w:sz="8" w:space="0" w:color="auto"/>
              <w:right w:val="single" w:sz="8" w:space="0" w:color="auto"/>
            </w:tcBorders>
            <w:shd w:val="clear" w:color="auto" w:fill="auto"/>
            <w:noWrap/>
            <w:vAlign w:val="center"/>
            <w:hideMark/>
          </w:tcPr>
          <w:p w14:paraId="16170E19" w14:textId="77777777" w:rsidR="009A4C46" w:rsidRPr="009A4C46" w:rsidRDefault="009A4C46" w:rsidP="004D58E8">
            <w:pPr>
              <w:spacing w:after="0" w:line="240" w:lineRule="auto"/>
              <w:contextualSpacing/>
              <w:jc w:val="center"/>
              <w:rPr>
                <w:rFonts w:eastAsia="Times New Roman"/>
                <w:b/>
                <w:lang w:eastAsia="ru-RU"/>
              </w:rPr>
            </w:pPr>
            <w:r w:rsidRPr="009A4C46">
              <w:rPr>
                <w:rFonts w:eastAsia="Times New Roman"/>
                <w:b/>
                <w:bCs/>
                <w:color w:val="000000"/>
                <w:lang w:eastAsia="ru-RU"/>
              </w:rPr>
              <w:t>1 373 441</w:t>
            </w:r>
          </w:p>
        </w:tc>
        <w:tc>
          <w:tcPr>
            <w:tcW w:w="475" w:type="pct"/>
            <w:tcBorders>
              <w:top w:val="nil"/>
              <w:left w:val="nil"/>
              <w:bottom w:val="single" w:sz="8" w:space="0" w:color="auto"/>
              <w:right w:val="single" w:sz="8" w:space="0" w:color="auto"/>
            </w:tcBorders>
            <w:shd w:val="clear" w:color="auto" w:fill="auto"/>
            <w:noWrap/>
            <w:vAlign w:val="center"/>
            <w:hideMark/>
          </w:tcPr>
          <w:p w14:paraId="0D849D17" w14:textId="77777777" w:rsidR="009A4C46" w:rsidRPr="009A4C46" w:rsidRDefault="009A4C46" w:rsidP="004D58E8">
            <w:pPr>
              <w:spacing w:after="0" w:line="240" w:lineRule="auto"/>
              <w:contextualSpacing/>
              <w:jc w:val="center"/>
              <w:rPr>
                <w:rFonts w:eastAsia="Times New Roman"/>
                <w:b/>
                <w:lang w:eastAsia="ru-RU"/>
              </w:rPr>
            </w:pPr>
            <w:r w:rsidRPr="009A4C46">
              <w:rPr>
                <w:rFonts w:eastAsia="Times New Roman"/>
                <w:b/>
                <w:bCs/>
                <w:color w:val="000000"/>
                <w:lang w:eastAsia="ru-RU"/>
              </w:rPr>
              <w:t>78 027</w:t>
            </w:r>
          </w:p>
        </w:tc>
        <w:tc>
          <w:tcPr>
            <w:tcW w:w="325" w:type="pct"/>
            <w:tcBorders>
              <w:top w:val="nil"/>
              <w:left w:val="nil"/>
              <w:bottom w:val="single" w:sz="8" w:space="0" w:color="auto"/>
              <w:right w:val="single" w:sz="8" w:space="0" w:color="auto"/>
            </w:tcBorders>
            <w:shd w:val="clear" w:color="auto" w:fill="auto"/>
            <w:noWrap/>
            <w:vAlign w:val="center"/>
            <w:hideMark/>
          </w:tcPr>
          <w:p w14:paraId="338B4430" w14:textId="77777777" w:rsidR="009A4C46" w:rsidRPr="009A4C46" w:rsidRDefault="009A4C46" w:rsidP="004D58E8">
            <w:pPr>
              <w:spacing w:after="0" w:line="240" w:lineRule="auto"/>
              <w:contextualSpacing/>
              <w:jc w:val="center"/>
              <w:rPr>
                <w:rFonts w:eastAsia="Times New Roman"/>
                <w:b/>
                <w:lang w:eastAsia="ru-RU"/>
              </w:rPr>
            </w:pPr>
            <w:r w:rsidRPr="009A4C46">
              <w:rPr>
                <w:rFonts w:eastAsia="Times New Roman"/>
                <w:b/>
                <w:bCs/>
                <w:color w:val="000000"/>
                <w:lang w:eastAsia="ru-RU"/>
              </w:rPr>
              <w:t>6%</w:t>
            </w:r>
          </w:p>
        </w:tc>
        <w:tc>
          <w:tcPr>
            <w:tcW w:w="392" w:type="pct"/>
            <w:tcBorders>
              <w:top w:val="single" w:sz="8" w:space="0" w:color="auto"/>
              <w:left w:val="nil"/>
              <w:bottom w:val="single" w:sz="8" w:space="0" w:color="auto"/>
              <w:right w:val="single" w:sz="8" w:space="0" w:color="000000"/>
            </w:tcBorders>
            <w:shd w:val="clear" w:color="auto" w:fill="auto"/>
            <w:noWrap/>
            <w:vAlign w:val="center"/>
            <w:hideMark/>
          </w:tcPr>
          <w:p w14:paraId="00C3AE32" w14:textId="77777777" w:rsidR="009A4C46" w:rsidRPr="009A4C46" w:rsidRDefault="009A4C46" w:rsidP="004D58E8">
            <w:pPr>
              <w:spacing w:after="0" w:line="240" w:lineRule="auto"/>
              <w:contextualSpacing/>
              <w:jc w:val="center"/>
              <w:rPr>
                <w:rFonts w:eastAsia="Times New Roman"/>
                <w:b/>
                <w:lang w:eastAsia="ru-RU"/>
              </w:rPr>
            </w:pPr>
            <w:r w:rsidRPr="009A4C46">
              <w:rPr>
                <w:rFonts w:eastAsia="Times New Roman"/>
                <w:color w:val="000000"/>
                <w:lang w:eastAsia="ru-RU"/>
              </w:rPr>
              <w:t>52 349</w:t>
            </w:r>
          </w:p>
        </w:tc>
        <w:tc>
          <w:tcPr>
            <w:tcW w:w="927" w:type="pct"/>
            <w:tcBorders>
              <w:top w:val="nil"/>
              <w:left w:val="nil"/>
              <w:bottom w:val="single" w:sz="4" w:space="0" w:color="auto"/>
              <w:right w:val="single" w:sz="4" w:space="0" w:color="auto"/>
            </w:tcBorders>
            <w:shd w:val="clear" w:color="auto" w:fill="auto"/>
            <w:noWrap/>
            <w:vAlign w:val="center"/>
            <w:hideMark/>
          </w:tcPr>
          <w:p w14:paraId="6DFE75F3" w14:textId="77777777" w:rsidR="009A4C46" w:rsidRPr="009A4C46" w:rsidRDefault="009A4C46" w:rsidP="004D58E8">
            <w:pPr>
              <w:spacing w:after="0" w:line="240" w:lineRule="auto"/>
              <w:contextualSpacing/>
              <w:jc w:val="center"/>
              <w:rPr>
                <w:rFonts w:eastAsia="Times New Roman"/>
                <w:b/>
                <w:lang w:eastAsia="ru-RU"/>
              </w:rPr>
            </w:pPr>
          </w:p>
        </w:tc>
      </w:tr>
      <w:tr w:rsidR="00F71BAF" w:rsidRPr="009A4C46" w14:paraId="17D7D7B9" w14:textId="77777777" w:rsidTr="004D58E8">
        <w:trPr>
          <w:trHeight w:val="20"/>
        </w:trPr>
        <w:tc>
          <w:tcPr>
            <w:tcW w:w="1369" w:type="pct"/>
            <w:tcBorders>
              <w:top w:val="nil"/>
              <w:left w:val="single" w:sz="4" w:space="0" w:color="auto"/>
              <w:bottom w:val="single" w:sz="4" w:space="0" w:color="auto"/>
              <w:right w:val="single" w:sz="4" w:space="0" w:color="auto"/>
            </w:tcBorders>
            <w:shd w:val="clear" w:color="auto" w:fill="auto"/>
            <w:vAlign w:val="center"/>
            <w:hideMark/>
          </w:tcPr>
          <w:p w14:paraId="52FD0D5F" w14:textId="77777777" w:rsidR="009A4C46" w:rsidRPr="009A4C46" w:rsidRDefault="009A4C46" w:rsidP="004D58E8">
            <w:pPr>
              <w:spacing w:after="0" w:line="240" w:lineRule="auto"/>
              <w:contextualSpacing/>
              <w:jc w:val="both"/>
              <w:rPr>
                <w:rFonts w:eastAsia="Times New Roman"/>
                <w:lang w:eastAsia="ru-RU"/>
              </w:rPr>
            </w:pPr>
            <w:r w:rsidRPr="009A4C46">
              <w:rPr>
                <w:rFonts w:eastAsia="Times New Roman"/>
                <w:lang w:eastAsia="ru-RU"/>
              </w:rPr>
              <w:t>Расходы на оплату услуг ТСО</w:t>
            </w:r>
          </w:p>
        </w:tc>
        <w:tc>
          <w:tcPr>
            <w:tcW w:w="497" w:type="pct"/>
            <w:tcBorders>
              <w:top w:val="nil"/>
              <w:left w:val="nil"/>
              <w:bottom w:val="single" w:sz="4" w:space="0" w:color="auto"/>
              <w:right w:val="single" w:sz="4" w:space="0" w:color="auto"/>
            </w:tcBorders>
            <w:shd w:val="clear" w:color="auto" w:fill="auto"/>
            <w:vAlign w:val="center"/>
            <w:hideMark/>
          </w:tcPr>
          <w:p w14:paraId="50F6C47C" w14:textId="77777777" w:rsidR="009A4C46" w:rsidRPr="009A4C46" w:rsidRDefault="009A4C46" w:rsidP="004D58E8">
            <w:pPr>
              <w:spacing w:after="0" w:line="240" w:lineRule="auto"/>
              <w:contextualSpacing/>
              <w:jc w:val="center"/>
              <w:rPr>
                <w:rFonts w:eastAsia="Times New Roman"/>
                <w:lang w:eastAsia="ru-RU"/>
              </w:rPr>
            </w:pPr>
            <w:r w:rsidRPr="009A4C46">
              <w:rPr>
                <w:rFonts w:eastAsia="Times New Roman"/>
                <w:lang w:eastAsia="ru-RU"/>
              </w:rPr>
              <w:t>тыс. руб.</w:t>
            </w:r>
          </w:p>
        </w:tc>
        <w:tc>
          <w:tcPr>
            <w:tcW w:w="543" w:type="pct"/>
            <w:tcBorders>
              <w:top w:val="nil"/>
              <w:left w:val="nil"/>
              <w:bottom w:val="single" w:sz="8" w:space="0" w:color="auto"/>
              <w:right w:val="single" w:sz="8" w:space="0" w:color="auto"/>
            </w:tcBorders>
            <w:shd w:val="clear" w:color="auto" w:fill="auto"/>
            <w:noWrap/>
            <w:vAlign w:val="center"/>
            <w:hideMark/>
          </w:tcPr>
          <w:p w14:paraId="25DCB41F" w14:textId="77777777" w:rsidR="009A4C46" w:rsidRPr="009A4C46" w:rsidRDefault="009A4C46" w:rsidP="004D58E8">
            <w:pPr>
              <w:spacing w:after="0" w:line="240" w:lineRule="auto"/>
              <w:contextualSpacing/>
              <w:jc w:val="center"/>
              <w:rPr>
                <w:rFonts w:eastAsia="Times New Roman"/>
                <w:lang w:eastAsia="ru-RU"/>
              </w:rPr>
            </w:pPr>
            <w:r w:rsidRPr="009A4C46">
              <w:rPr>
                <w:rFonts w:eastAsia="Times New Roman"/>
                <w:color w:val="000000"/>
                <w:lang w:eastAsia="ru-RU"/>
              </w:rPr>
              <w:t>0</w:t>
            </w:r>
          </w:p>
        </w:tc>
        <w:tc>
          <w:tcPr>
            <w:tcW w:w="473" w:type="pct"/>
            <w:tcBorders>
              <w:top w:val="nil"/>
              <w:left w:val="nil"/>
              <w:bottom w:val="single" w:sz="8" w:space="0" w:color="auto"/>
              <w:right w:val="single" w:sz="8" w:space="0" w:color="auto"/>
            </w:tcBorders>
            <w:shd w:val="clear" w:color="auto" w:fill="auto"/>
            <w:noWrap/>
            <w:vAlign w:val="center"/>
            <w:hideMark/>
          </w:tcPr>
          <w:p w14:paraId="1EF6D265" w14:textId="77777777" w:rsidR="009A4C46" w:rsidRPr="009A4C46" w:rsidRDefault="009A4C46" w:rsidP="004D58E8">
            <w:pPr>
              <w:spacing w:after="0" w:line="240" w:lineRule="auto"/>
              <w:contextualSpacing/>
              <w:jc w:val="center"/>
              <w:rPr>
                <w:rFonts w:eastAsia="Times New Roman"/>
                <w:lang w:eastAsia="ru-RU"/>
              </w:rPr>
            </w:pPr>
            <w:r w:rsidRPr="009A4C46">
              <w:rPr>
                <w:rFonts w:eastAsia="Times New Roman"/>
                <w:color w:val="000000"/>
                <w:lang w:eastAsia="ru-RU"/>
              </w:rPr>
              <w:t>0</w:t>
            </w:r>
          </w:p>
        </w:tc>
        <w:tc>
          <w:tcPr>
            <w:tcW w:w="475" w:type="pct"/>
            <w:tcBorders>
              <w:top w:val="nil"/>
              <w:left w:val="nil"/>
              <w:bottom w:val="single" w:sz="8" w:space="0" w:color="auto"/>
              <w:right w:val="single" w:sz="8" w:space="0" w:color="auto"/>
            </w:tcBorders>
            <w:shd w:val="clear" w:color="auto" w:fill="auto"/>
            <w:noWrap/>
            <w:vAlign w:val="center"/>
            <w:hideMark/>
          </w:tcPr>
          <w:p w14:paraId="7DF22AF4" w14:textId="77777777" w:rsidR="009A4C46" w:rsidRPr="009A4C46" w:rsidRDefault="009A4C46" w:rsidP="004D58E8">
            <w:pPr>
              <w:spacing w:after="0" w:line="240" w:lineRule="auto"/>
              <w:contextualSpacing/>
              <w:jc w:val="center"/>
              <w:rPr>
                <w:rFonts w:eastAsia="Times New Roman"/>
                <w:lang w:eastAsia="ru-RU"/>
              </w:rPr>
            </w:pPr>
            <w:r w:rsidRPr="009A4C46">
              <w:rPr>
                <w:rFonts w:eastAsia="Times New Roman"/>
                <w:color w:val="000000"/>
                <w:lang w:eastAsia="ru-RU"/>
              </w:rPr>
              <w:t> </w:t>
            </w:r>
          </w:p>
        </w:tc>
        <w:tc>
          <w:tcPr>
            <w:tcW w:w="325" w:type="pct"/>
            <w:tcBorders>
              <w:top w:val="nil"/>
              <w:left w:val="nil"/>
              <w:bottom w:val="single" w:sz="8" w:space="0" w:color="auto"/>
              <w:right w:val="single" w:sz="8" w:space="0" w:color="auto"/>
            </w:tcBorders>
            <w:shd w:val="clear" w:color="auto" w:fill="auto"/>
            <w:noWrap/>
            <w:vAlign w:val="center"/>
            <w:hideMark/>
          </w:tcPr>
          <w:p w14:paraId="4E66D0AB" w14:textId="77777777" w:rsidR="009A4C46" w:rsidRPr="009A4C46" w:rsidRDefault="009A4C46" w:rsidP="004D58E8">
            <w:pPr>
              <w:spacing w:after="0" w:line="240" w:lineRule="auto"/>
              <w:contextualSpacing/>
              <w:jc w:val="center"/>
              <w:rPr>
                <w:rFonts w:eastAsia="Times New Roman"/>
                <w:lang w:eastAsia="ru-RU"/>
              </w:rPr>
            </w:pPr>
            <w:r w:rsidRPr="009A4C46">
              <w:rPr>
                <w:rFonts w:eastAsia="Times New Roman"/>
                <w:color w:val="000000"/>
                <w:lang w:eastAsia="ru-RU"/>
              </w:rPr>
              <w:t> </w:t>
            </w:r>
          </w:p>
        </w:tc>
        <w:tc>
          <w:tcPr>
            <w:tcW w:w="392" w:type="pct"/>
            <w:tcBorders>
              <w:top w:val="single" w:sz="8" w:space="0" w:color="auto"/>
              <w:left w:val="nil"/>
              <w:bottom w:val="single" w:sz="8" w:space="0" w:color="auto"/>
              <w:right w:val="single" w:sz="8" w:space="0" w:color="000000"/>
            </w:tcBorders>
            <w:shd w:val="clear" w:color="auto" w:fill="auto"/>
            <w:noWrap/>
            <w:vAlign w:val="center"/>
            <w:hideMark/>
          </w:tcPr>
          <w:p w14:paraId="59601E0A" w14:textId="77777777" w:rsidR="009A4C46" w:rsidRPr="009A4C46" w:rsidRDefault="009A4C46" w:rsidP="004D58E8">
            <w:pPr>
              <w:spacing w:after="0" w:line="240" w:lineRule="auto"/>
              <w:contextualSpacing/>
              <w:jc w:val="center"/>
              <w:rPr>
                <w:rFonts w:eastAsia="Times New Roman"/>
                <w:lang w:eastAsia="ru-RU"/>
              </w:rPr>
            </w:pPr>
            <w:r w:rsidRPr="009A4C46">
              <w:rPr>
                <w:rFonts w:eastAsia="Times New Roman" w:cs="Calibri"/>
                <w:color w:val="000000"/>
                <w:lang w:eastAsia="ru-RU"/>
              </w:rPr>
              <w:t> </w:t>
            </w:r>
          </w:p>
        </w:tc>
        <w:tc>
          <w:tcPr>
            <w:tcW w:w="927" w:type="pct"/>
            <w:tcBorders>
              <w:top w:val="nil"/>
              <w:left w:val="nil"/>
              <w:bottom w:val="single" w:sz="4" w:space="0" w:color="auto"/>
              <w:right w:val="single" w:sz="4" w:space="0" w:color="auto"/>
            </w:tcBorders>
            <w:shd w:val="clear" w:color="auto" w:fill="auto"/>
            <w:noWrap/>
            <w:vAlign w:val="center"/>
            <w:hideMark/>
          </w:tcPr>
          <w:p w14:paraId="576D5161" w14:textId="77777777" w:rsidR="009A4C46" w:rsidRPr="009A4C46" w:rsidRDefault="009A4C46" w:rsidP="004D58E8">
            <w:pPr>
              <w:spacing w:after="0" w:line="240" w:lineRule="auto"/>
              <w:contextualSpacing/>
              <w:jc w:val="center"/>
              <w:rPr>
                <w:rFonts w:eastAsia="Times New Roman"/>
                <w:lang w:eastAsia="ru-RU"/>
              </w:rPr>
            </w:pPr>
          </w:p>
        </w:tc>
      </w:tr>
      <w:tr w:rsidR="00F71BAF" w:rsidRPr="009A4C46" w14:paraId="4ADF6D27" w14:textId="77777777" w:rsidTr="004D58E8">
        <w:trPr>
          <w:trHeight w:val="20"/>
        </w:trPr>
        <w:tc>
          <w:tcPr>
            <w:tcW w:w="1369" w:type="pct"/>
            <w:tcBorders>
              <w:top w:val="nil"/>
              <w:left w:val="single" w:sz="4" w:space="0" w:color="auto"/>
              <w:bottom w:val="single" w:sz="4" w:space="0" w:color="auto"/>
              <w:right w:val="single" w:sz="4" w:space="0" w:color="auto"/>
            </w:tcBorders>
            <w:shd w:val="clear" w:color="auto" w:fill="auto"/>
            <w:vAlign w:val="center"/>
            <w:hideMark/>
          </w:tcPr>
          <w:p w14:paraId="4E7B93BF" w14:textId="77777777" w:rsidR="009A4C46" w:rsidRPr="009A4C46" w:rsidRDefault="009A4C46" w:rsidP="004D58E8">
            <w:pPr>
              <w:spacing w:after="0" w:line="240" w:lineRule="auto"/>
              <w:contextualSpacing/>
              <w:jc w:val="both"/>
              <w:rPr>
                <w:rFonts w:eastAsia="Times New Roman"/>
                <w:b/>
                <w:lang w:eastAsia="ru-RU"/>
              </w:rPr>
            </w:pPr>
            <w:r w:rsidRPr="009A4C46">
              <w:rPr>
                <w:rFonts w:eastAsia="Times New Roman"/>
                <w:b/>
                <w:lang w:eastAsia="ru-RU"/>
              </w:rPr>
              <w:t xml:space="preserve">НВВ котловая </w:t>
            </w:r>
          </w:p>
        </w:tc>
        <w:tc>
          <w:tcPr>
            <w:tcW w:w="497" w:type="pct"/>
            <w:tcBorders>
              <w:top w:val="nil"/>
              <w:left w:val="nil"/>
              <w:bottom w:val="single" w:sz="4" w:space="0" w:color="auto"/>
              <w:right w:val="single" w:sz="4" w:space="0" w:color="auto"/>
            </w:tcBorders>
            <w:shd w:val="clear" w:color="auto" w:fill="auto"/>
            <w:vAlign w:val="center"/>
            <w:hideMark/>
          </w:tcPr>
          <w:p w14:paraId="75DFE16C" w14:textId="77777777" w:rsidR="009A4C46" w:rsidRPr="009A4C46" w:rsidRDefault="009A4C46" w:rsidP="004D58E8">
            <w:pPr>
              <w:spacing w:after="0" w:line="240" w:lineRule="auto"/>
              <w:contextualSpacing/>
              <w:jc w:val="center"/>
              <w:rPr>
                <w:rFonts w:eastAsia="Times New Roman"/>
                <w:b/>
                <w:lang w:eastAsia="ru-RU"/>
              </w:rPr>
            </w:pPr>
            <w:r w:rsidRPr="009A4C46">
              <w:rPr>
                <w:rFonts w:eastAsia="Times New Roman"/>
                <w:b/>
                <w:lang w:eastAsia="ru-RU"/>
              </w:rPr>
              <w:t>тыс. руб.</w:t>
            </w:r>
          </w:p>
        </w:tc>
        <w:tc>
          <w:tcPr>
            <w:tcW w:w="543" w:type="pct"/>
            <w:tcBorders>
              <w:top w:val="nil"/>
              <w:left w:val="nil"/>
              <w:bottom w:val="single" w:sz="8" w:space="0" w:color="auto"/>
              <w:right w:val="single" w:sz="8" w:space="0" w:color="auto"/>
            </w:tcBorders>
            <w:shd w:val="clear" w:color="auto" w:fill="auto"/>
            <w:noWrap/>
            <w:vAlign w:val="center"/>
            <w:hideMark/>
          </w:tcPr>
          <w:p w14:paraId="28D7E0AD" w14:textId="77777777" w:rsidR="009A4C46" w:rsidRPr="009A4C46" w:rsidRDefault="009A4C46" w:rsidP="004D58E8">
            <w:pPr>
              <w:spacing w:after="0" w:line="240" w:lineRule="auto"/>
              <w:contextualSpacing/>
              <w:jc w:val="center"/>
              <w:rPr>
                <w:rFonts w:eastAsia="Times New Roman"/>
                <w:b/>
                <w:lang w:eastAsia="ru-RU"/>
              </w:rPr>
            </w:pPr>
            <w:r w:rsidRPr="009A4C46">
              <w:rPr>
                <w:rFonts w:eastAsia="Times New Roman"/>
                <w:b/>
                <w:bCs/>
                <w:color w:val="000000"/>
                <w:lang w:eastAsia="ru-RU"/>
              </w:rPr>
              <w:t>1 295 414</w:t>
            </w:r>
          </w:p>
        </w:tc>
        <w:tc>
          <w:tcPr>
            <w:tcW w:w="473" w:type="pct"/>
            <w:tcBorders>
              <w:top w:val="nil"/>
              <w:left w:val="nil"/>
              <w:bottom w:val="single" w:sz="8" w:space="0" w:color="auto"/>
              <w:right w:val="single" w:sz="8" w:space="0" w:color="auto"/>
            </w:tcBorders>
            <w:shd w:val="clear" w:color="auto" w:fill="auto"/>
            <w:noWrap/>
            <w:vAlign w:val="center"/>
            <w:hideMark/>
          </w:tcPr>
          <w:p w14:paraId="7CD30ACF" w14:textId="77777777" w:rsidR="009A4C46" w:rsidRPr="009A4C46" w:rsidRDefault="009A4C46" w:rsidP="004D58E8">
            <w:pPr>
              <w:spacing w:after="0" w:line="240" w:lineRule="auto"/>
              <w:contextualSpacing/>
              <w:jc w:val="center"/>
              <w:rPr>
                <w:rFonts w:eastAsia="Times New Roman"/>
                <w:b/>
                <w:lang w:eastAsia="ru-RU"/>
              </w:rPr>
            </w:pPr>
            <w:r w:rsidRPr="009A4C46">
              <w:rPr>
                <w:rFonts w:eastAsia="Times New Roman"/>
                <w:b/>
                <w:bCs/>
                <w:color w:val="000000"/>
                <w:lang w:eastAsia="ru-RU"/>
              </w:rPr>
              <w:t>1 373 441</w:t>
            </w:r>
          </w:p>
        </w:tc>
        <w:tc>
          <w:tcPr>
            <w:tcW w:w="475" w:type="pct"/>
            <w:tcBorders>
              <w:top w:val="nil"/>
              <w:left w:val="nil"/>
              <w:bottom w:val="single" w:sz="8" w:space="0" w:color="auto"/>
              <w:right w:val="single" w:sz="8" w:space="0" w:color="auto"/>
            </w:tcBorders>
            <w:shd w:val="clear" w:color="auto" w:fill="auto"/>
            <w:noWrap/>
            <w:vAlign w:val="center"/>
            <w:hideMark/>
          </w:tcPr>
          <w:p w14:paraId="4752AFB8" w14:textId="77777777" w:rsidR="009A4C46" w:rsidRPr="009A4C46" w:rsidRDefault="009A4C46" w:rsidP="004D58E8">
            <w:pPr>
              <w:spacing w:after="0" w:line="240" w:lineRule="auto"/>
              <w:contextualSpacing/>
              <w:jc w:val="center"/>
              <w:rPr>
                <w:rFonts w:eastAsia="Times New Roman"/>
                <w:b/>
                <w:lang w:eastAsia="ru-RU"/>
              </w:rPr>
            </w:pPr>
            <w:r w:rsidRPr="009A4C46">
              <w:rPr>
                <w:rFonts w:eastAsia="Times New Roman"/>
                <w:b/>
                <w:bCs/>
                <w:color w:val="000000"/>
                <w:lang w:eastAsia="ru-RU"/>
              </w:rPr>
              <w:t>78 027</w:t>
            </w:r>
          </w:p>
        </w:tc>
        <w:tc>
          <w:tcPr>
            <w:tcW w:w="325" w:type="pct"/>
            <w:tcBorders>
              <w:top w:val="nil"/>
              <w:left w:val="nil"/>
              <w:bottom w:val="single" w:sz="8" w:space="0" w:color="auto"/>
              <w:right w:val="single" w:sz="8" w:space="0" w:color="auto"/>
            </w:tcBorders>
            <w:shd w:val="clear" w:color="auto" w:fill="auto"/>
            <w:noWrap/>
            <w:vAlign w:val="center"/>
            <w:hideMark/>
          </w:tcPr>
          <w:p w14:paraId="4A2BFDE2" w14:textId="77777777" w:rsidR="009A4C46" w:rsidRPr="009A4C46" w:rsidRDefault="009A4C46" w:rsidP="004D58E8">
            <w:pPr>
              <w:spacing w:after="0" w:line="240" w:lineRule="auto"/>
              <w:contextualSpacing/>
              <w:jc w:val="center"/>
              <w:rPr>
                <w:rFonts w:eastAsia="Times New Roman"/>
                <w:b/>
                <w:lang w:eastAsia="ru-RU"/>
              </w:rPr>
            </w:pPr>
            <w:r w:rsidRPr="009A4C46">
              <w:rPr>
                <w:rFonts w:eastAsia="Times New Roman"/>
                <w:b/>
                <w:bCs/>
                <w:color w:val="000000"/>
                <w:lang w:eastAsia="ru-RU"/>
              </w:rPr>
              <w:t>6%</w:t>
            </w:r>
          </w:p>
        </w:tc>
        <w:tc>
          <w:tcPr>
            <w:tcW w:w="392" w:type="pct"/>
            <w:tcBorders>
              <w:top w:val="single" w:sz="8" w:space="0" w:color="auto"/>
              <w:left w:val="nil"/>
              <w:bottom w:val="single" w:sz="8" w:space="0" w:color="auto"/>
              <w:right w:val="single" w:sz="8" w:space="0" w:color="000000"/>
            </w:tcBorders>
            <w:shd w:val="clear" w:color="auto" w:fill="auto"/>
            <w:noWrap/>
            <w:vAlign w:val="center"/>
            <w:hideMark/>
          </w:tcPr>
          <w:p w14:paraId="14B7B15A" w14:textId="77777777" w:rsidR="009A4C46" w:rsidRPr="009A4C46" w:rsidRDefault="009A4C46" w:rsidP="004D58E8">
            <w:pPr>
              <w:spacing w:after="0" w:line="240" w:lineRule="auto"/>
              <w:contextualSpacing/>
              <w:jc w:val="center"/>
              <w:rPr>
                <w:rFonts w:eastAsia="Times New Roman"/>
                <w:b/>
                <w:lang w:eastAsia="ru-RU"/>
              </w:rPr>
            </w:pPr>
            <w:r w:rsidRPr="009A4C46">
              <w:rPr>
                <w:rFonts w:eastAsia="Times New Roman"/>
                <w:b/>
                <w:bCs/>
                <w:color w:val="000000"/>
                <w:lang w:eastAsia="ru-RU"/>
              </w:rPr>
              <w:t>52 349</w:t>
            </w:r>
          </w:p>
        </w:tc>
        <w:tc>
          <w:tcPr>
            <w:tcW w:w="927" w:type="pct"/>
            <w:tcBorders>
              <w:top w:val="nil"/>
              <w:left w:val="nil"/>
              <w:bottom w:val="single" w:sz="4" w:space="0" w:color="auto"/>
              <w:right w:val="single" w:sz="4" w:space="0" w:color="auto"/>
            </w:tcBorders>
            <w:shd w:val="clear" w:color="auto" w:fill="auto"/>
            <w:noWrap/>
            <w:vAlign w:val="center"/>
            <w:hideMark/>
          </w:tcPr>
          <w:p w14:paraId="661B92E6" w14:textId="77777777" w:rsidR="009A4C46" w:rsidRPr="009A4C46" w:rsidRDefault="009A4C46" w:rsidP="004D58E8">
            <w:pPr>
              <w:spacing w:after="0" w:line="240" w:lineRule="auto"/>
              <w:contextualSpacing/>
              <w:jc w:val="center"/>
              <w:rPr>
                <w:rFonts w:eastAsia="Times New Roman"/>
                <w:b/>
                <w:lang w:eastAsia="ru-RU"/>
              </w:rPr>
            </w:pPr>
          </w:p>
        </w:tc>
      </w:tr>
      <w:tr w:rsidR="00F71BAF" w:rsidRPr="009A4C46" w14:paraId="7A2EB9F8" w14:textId="77777777" w:rsidTr="004D58E8">
        <w:trPr>
          <w:trHeight w:val="20"/>
        </w:trPr>
        <w:tc>
          <w:tcPr>
            <w:tcW w:w="1369" w:type="pct"/>
            <w:tcBorders>
              <w:top w:val="nil"/>
              <w:left w:val="single" w:sz="4" w:space="0" w:color="auto"/>
              <w:bottom w:val="single" w:sz="4" w:space="0" w:color="auto"/>
              <w:right w:val="single" w:sz="4" w:space="0" w:color="auto"/>
            </w:tcBorders>
            <w:shd w:val="clear" w:color="auto" w:fill="auto"/>
            <w:vAlign w:val="center"/>
            <w:hideMark/>
          </w:tcPr>
          <w:p w14:paraId="786B44B6" w14:textId="77777777" w:rsidR="009A4C46" w:rsidRPr="009A4C46" w:rsidRDefault="009A4C46" w:rsidP="004D58E8">
            <w:pPr>
              <w:spacing w:after="0" w:line="240" w:lineRule="auto"/>
              <w:contextualSpacing/>
              <w:jc w:val="both"/>
              <w:rPr>
                <w:rFonts w:eastAsia="Times New Roman"/>
                <w:b/>
                <w:lang w:eastAsia="ru-RU"/>
              </w:rPr>
            </w:pPr>
            <w:r w:rsidRPr="009A4C46">
              <w:rPr>
                <w:rFonts w:eastAsia="Times New Roman"/>
                <w:b/>
                <w:lang w:eastAsia="ru-RU"/>
              </w:rPr>
              <w:t>Фактически начисленная выручка</w:t>
            </w:r>
          </w:p>
        </w:tc>
        <w:tc>
          <w:tcPr>
            <w:tcW w:w="497" w:type="pct"/>
            <w:tcBorders>
              <w:top w:val="nil"/>
              <w:left w:val="nil"/>
              <w:bottom w:val="single" w:sz="4" w:space="0" w:color="auto"/>
              <w:right w:val="single" w:sz="4" w:space="0" w:color="auto"/>
            </w:tcBorders>
            <w:shd w:val="clear" w:color="auto" w:fill="auto"/>
            <w:vAlign w:val="center"/>
            <w:hideMark/>
          </w:tcPr>
          <w:p w14:paraId="4637E843" w14:textId="77777777" w:rsidR="009A4C46" w:rsidRPr="009A4C46" w:rsidRDefault="009A4C46" w:rsidP="004D58E8">
            <w:pPr>
              <w:spacing w:after="0" w:line="240" w:lineRule="auto"/>
              <w:contextualSpacing/>
              <w:jc w:val="center"/>
              <w:rPr>
                <w:rFonts w:eastAsia="Times New Roman"/>
                <w:b/>
                <w:lang w:eastAsia="ru-RU"/>
              </w:rPr>
            </w:pPr>
            <w:r w:rsidRPr="009A4C46">
              <w:rPr>
                <w:rFonts w:eastAsia="Times New Roman"/>
                <w:b/>
                <w:lang w:eastAsia="ru-RU"/>
              </w:rPr>
              <w:t>тыс. руб.</w:t>
            </w:r>
          </w:p>
        </w:tc>
        <w:tc>
          <w:tcPr>
            <w:tcW w:w="543" w:type="pct"/>
            <w:tcBorders>
              <w:top w:val="nil"/>
              <w:left w:val="nil"/>
              <w:bottom w:val="single" w:sz="8" w:space="0" w:color="auto"/>
              <w:right w:val="single" w:sz="8" w:space="0" w:color="auto"/>
            </w:tcBorders>
            <w:shd w:val="clear" w:color="auto" w:fill="auto"/>
            <w:noWrap/>
            <w:vAlign w:val="center"/>
            <w:hideMark/>
          </w:tcPr>
          <w:p w14:paraId="69D62CC7" w14:textId="77777777" w:rsidR="009A4C46" w:rsidRPr="009A4C46" w:rsidRDefault="009A4C46" w:rsidP="004D58E8">
            <w:pPr>
              <w:spacing w:after="0" w:line="240" w:lineRule="auto"/>
              <w:contextualSpacing/>
              <w:jc w:val="center"/>
              <w:rPr>
                <w:rFonts w:eastAsia="Times New Roman"/>
                <w:b/>
                <w:lang w:eastAsia="ru-RU"/>
              </w:rPr>
            </w:pPr>
            <w:r w:rsidRPr="009A4C46">
              <w:rPr>
                <w:rFonts w:eastAsia="Times New Roman"/>
                <w:b/>
                <w:bCs/>
                <w:color w:val="000000"/>
                <w:lang w:eastAsia="ru-RU"/>
              </w:rPr>
              <w:t>*</w:t>
            </w:r>
          </w:p>
        </w:tc>
        <w:tc>
          <w:tcPr>
            <w:tcW w:w="473" w:type="pct"/>
            <w:tcBorders>
              <w:top w:val="nil"/>
              <w:left w:val="nil"/>
              <w:bottom w:val="single" w:sz="8" w:space="0" w:color="auto"/>
              <w:right w:val="single" w:sz="8" w:space="0" w:color="auto"/>
            </w:tcBorders>
            <w:shd w:val="clear" w:color="auto" w:fill="auto"/>
            <w:noWrap/>
            <w:vAlign w:val="center"/>
            <w:hideMark/>
          </w:tcPr>
          <w:p w14:paraId="5880B159" w14:textId="77777777" w:rsidR="009A4C46" w:rsidRPr="009A4C46" w:rsidRDefault="009A4C46" w:rsidP="004D58E8">
            <w:pPr>
              <w:spacing w:after="0" w:line="240" w:lineRule="auto"/>
              <w:contextualSpacing/>
              <w:jc w:val="center"/>
              <w:rPr>
                <w:rFonts w:eastAsia="Times New Roman"/>
                <w:b/>
                <w:lang w:eastAsia="ru-RU"/>
              </w:rPr>
            </w:pPr>
            <w:r w:rsidRPr="009A4C46">
              <w:rPr>
                <w:rFonts w:eastAsia="Times New Roman"/>
                <w:b/>
                <w:bCs/>
                <w:color w:val="000000"/>
                <w:lang w:eastAsia="ru-RU"/>
              </w:rPr>
              <w:t>1 194 070</w:t>
            </w:r>
          </w:p>
        </w:tc>
        <w:tc>
          <w:tcPr>
            <w:tcW w:w="475" w:type="pct"/>
            <w:tcBorders>
              <w:top w:val="nil"/>
              <w:left w:val="nil"/>
              <w:bottom w:val="single" w:sz="8" w:space="0" w:color="auto"/>
              <w:right w:val="single" w:sz="8" w:space="0" w:color="auto"/>
            </w:tcBorders>
            <w:shd w:val="clear" w:color="auto" w:fill="auto"/>
            <w:noWrap/>
            <w:vAlign w:val="center"/>
            <w:hideMark/>
          </w:tcPr>
          <w:p w14:paraId="5C20821D" w14:textId="77777777" w:rsidR="009A4C46" w:rsidRPr="009A4C46" w:rsidRDefault="009A4C46" w:rsidP="004D58E8">
            <w:pPr>
              <w:spacing w:after="0" w:line="240" w:lineRule="auto"/>
              <w:contextualSpacing/>
              <w:jc w:val="center"/>
              <w:rPr>
                <w:rFonts w:eastAsia="Times New Roman"/>
                <w:b/>
                <w:lang w:eastAsia="ru-RU"/>
              </w:rPr>
            </w:pPr>
            <w:r w:rsidRPr="009A4C46">
              <w:rPr>
                <w:rFonts w:eastAsia="Times New Roman"/>
                <w:b/>
                <w:bCs/>
                <w:color w:val="000000"/>
                <w:lang w:eastAsia="ru-RU"/>
              </w:rPr>
              <w:t>-101 344</w:t>
            </w:r>
          </w:p>
        </w:tc>
        <w:tc>
          <w:tcPr>
            <w:tcW w:w="325" w:type="pct"/>
            <w:tcBorders>
              <w:top w:val="nil"/>
              <w:left w:val="nil"/>
              <w:bottom w:val="single" w:sz="8" w:space="0" w:color="auto"/>
              <w:right w:val="single" w:sz="8" w:space="0" w:color="auto"/>
            </w:tcBorders>
            <w:shd w:val="clear" w:color="auto" w:fill="auto"/>
            <w:noWrap/>
            <w:vAlign w:val="center"/>
            <w:hideMark/>
          </w:tcPr>
          <w:p w14:paraId="662C8A1E" w14:textId="77777777" w:rsidR="009A4C46" w:rsidRPr="009A4C46" w:rsidRDefault="009A4C46" w:rsidP="004D58E8">
            <w:pPr>
              <w:spacing w:after="0" w:line="240" w:lineRule="auto"/>
              <w:contextualSpacing/>
              <w:jc w:val="center"/>
              <w:rPr>
                <w:rFonts w:eastAsia="Times New Roman"/>
                <w:b/>
                <w:lang w:eastAsia="ru-RU"/>
              </w:rPr>
            </w:pPr>
            <w:r w:rsidRPr="009A4C46">
              <w:rPr>
                <w:rFonts w:eastAsia="Times New Roman"/>
                <w:b/>
                <w:bCs/>
                <w:color w:val="000000"/>
                <w:lang w:eastAsia="ru-RU"/>
              </w:rPr>
              <w:t>-8%</w:t>
            </w:r>
          </w:p>
        </w:tc>
        <w:tc>
          <w:tcPr>
            <w:tcW w:w="392" w:type="pct"/>
            <w:tcBorders>
              <w:top w:val="single" w:sz="8" w:space="0" w:color="auto"/>
              <w:left w:val="nil"/>
              <w:bottom w:val="single" w:sz="8" w:space="0" w:color="auto"/>
              <w:right w:val="single" w:sz="8" w:space="0" w:color="000000"/>
            </w:tcBorders>
            <w:shd w:val="clear" w:color="auto" w:fill="auto"/>
            <w:noWrap/>
            <w:vAlign w:val="center"/>
            <w:hideMark/>
          </w:tcPr>
          <w:p w14:paraId="55BB9D34" w14:textId="77777777" w:rsidR="009A4C46" w:rsidRPr="009A4C46" w:rsidRDefault="009A4C46" w:rsidP="004D58E8">
            <w:pPr>
              <w:spacing w:after="0" w:line="240" w:lineRule="auto"/>
              <w:contextualSpacing/>
              <w:jc w:val="center"/>
              <w:rPr>
                <w:rFonts w:eastAsia="Times New Roman"/>
                <w:b/>
                <w:lang w:eastAsia="ru-RU"/>
              </w:rPr>
            </w:pPr>
            <w:r w:rsidRPr="009A4C46">
              <w:rPr>
                <w:rFonts w:eastAsia="Times New Roman" w:cs="Calibri"/>
                <w:color w:val="000000"/>
                <w:lang w:eastAsia="ru-RU"/>
              </w:rPr>
              <w:t> </w:t>
            </w:r>
          </w:p>
        </w:tc>
        <w:tc>
          <w:tcPr>
            <w:tcW w:w="927" w:type="pct"/>
            <w:tcBorders>
              <w:top w:val="nil"/>
              <w:left w:val="nil"/>
              <w:bottom w:val="single" w:sz="4" w:space="0" w:color="auto"/>
              <w:right w:val="single" w:sz="4" w:space="0" w:color="auto"/>
            </w:tcBorders>
            <w:shd w:val="clear" w:color="auto" w:fill="auto"/>
            <w:noWrap/>
            <w:vAlign w:val="center"/>
            <w:hideMark/>
          </w:tcPr>
          <w:p w14:paraId="198ABAD8" w14:textId="77777777" w:rsidR="009A4C46" w:rsidRPr="009A4C46" w:rsidRDefault="009A4C46" w:rsidP="004D58E8">
            <w:pPr>
              <w:spacing w:after="0" w:line="240" w:lineRule="auto"/>
              <w:contextualSpacing/>
              <w:jc w:val="center"/>
              <w:rPr>
                <w:rFonts w:eastAsia="Times New Roman"/>
                <w:b/>
                <w:lang w:eastAsia="ru-RU"/>
              </w:rPr>
            </w:pPr>
          </w:p>
        </w:tc>
      </w:tr>
    </w:tbl>
    <w:p w14:paraId="4398D80E" w14:textId="77777777" w:rsidR="004D58E8" w:rsidRDefault="004D58E8" w:rsidP="00F94FED">
      <w:pPr>
        <w:spacing w:after="0" w:line="360" w:lineRule="auto"/>
        <w:ind w:firstLine="567"/>
        <w:contextualSpacing/>
        <w:jc w:val="both"/>
        <w:rPr>
          <w:rFonts w:eastAsia="Calibri"/>
          <w:i/>
          <w:sz w:val="26"/>
          <w:szCs w:val="26"/>
          <w:lang w:eastAsia="ru-RU"/>
        </w:rPr>
        <w:sectPr w:rsidR="004D58E8" w:rsidSect="004D58E8">
          <w:pgSz w:w="16838" w:h="11906" w:orient="landscape"/>
          <w:pgMar w:top="1701" w:right="1134" w:bottom="851" w:left="1134" w:header="709" w:footer="709" w:gutter="0"/>
          <w:cols w:space="708"/>
          <w:docGrid w:linePitch="360"/>
        </w:sectPr>
      </w:pPr>
    </w:p>
    <w:p w14:paraId="6DA16690" w14:textId="2AF63D42" w:rsidR="009A4C46" w:rsidRPr="005C3ACA" w:rsidRDefault="009A4C46" w:rsidP="00F94FED">
      <w:pPr>
        <w:spacing w:after="0" w:line="360" w:lineRule="auto"/>
        <w:ind w:firstLine="567"/>
        <w:contextualSpacing/>
        <w:jc w:val="both"/>
        <w:rPr>
          <w:rFonts w:eastAsia="Calibri"/>
          <w:i/>
          <w:lang w:eastAsia="ru-RU"/>
        </w:rPr>
      </w:pPr>
      <w:r w:rsidRPr="005C3ACA">
        <w:rPr>
          <w:rFonts w:eastAsia="Calibri"/>
          <w:i/>
          <w:lang w:eastAsia="ru-RU"/>
        </w:rPr>
        <w:lastRenderedPageBreak/>
        <w:t xml:space="preserve">Примечание: Общая величина корректировок по итогам 2017 года принята Службой по тарифам Республики Тыва в размере 306 613 тыс. руб., корректировки, учтенные в НВВ 2019 года, составляют 52 349 тыс. руб., оставшаяся сумма корректировок перенесена на последующие годы. </w:t>
      </w:r>
    </w:p>
    <w:p w14:paraId="63E88BBC" w14:textId="77777777" w:rsidR="009A4C46" w:rsidRPr="00F94FED" w:rsidRDefault="009A4C46" w:rsidP="00F94FED">
      <w:pPr>
        <w:spacing w:after="0" w:line="360" w:lineRule="auto"/>
        <w:ind w:firstLine="567"/>
        <w:contextualSpacing/>
        <w:jc w:val="both"/>
        <w:rPr>
          <w:rFonts w:eastAsia="Calibri"/>
          <w:i/>
          <w:sz w:val="26"/>
          <w:szCs w:val="26"/>
          <w:lang w:eastAsia="ru-RU"/>
        </w:rPr>
      </w:pPr>
    </w:p>
    <w:p w14:paraId="6B459B03" w14:textId="77777777" w:rsidR="009A4C46" w:rsidRPr="00F94FED" w:rsidRDefault="009A4C46" w:rsidP="00F94FED">
      <w:pPr>
        <w:spacing w:after="0" w:line="360" w:lineRule="auto"/>
        <w:ind w:firstLine="567"/>
        <w:jc w:val="both"/>
        <w:rPr>
          <w:rFonts w:eastAsia="Times New Roman"/>
          <w:sz w:val="26"/>
          <w:szCs w:val="26"/>
          <w:lang w:eastAsia="ru-RU"/>
        </w:rPr>
      </w:pPr>
      <w:r w:rsidRPr="00F94FED">
        <w:rPr>
          <w:rFonts w:eastAsia="Times New Roman"/>
          <w:sz w:val="26"/>
          <w:szCs w:val="26"/>
          <w:lang w:eastAsia="ru-RU"/>
        </w:rPr>
        <w:t>В 2017 году наблюдается снижение подконтрольных расходов и превышение неподконтрольных расходов над плановыми затратами, учтенными при формировании НВВ на 2017 год.</w:t>
      </w:r>
    </w:p>
    <w:p w14:paraId="6858BB9F" w14:textId="5C5EE7C2" w:rsidR="009A4C46" w:rsidRPr="00F94FED" w:rsidRDefault="009A4C46" w:rsidP="00F94FED">
      <w:pPr>
        <w:spacing w:after="0" w:line="360" w:lineRule="auto"/>
        <w:ind w:firstLine="567"/>
        <w:jc w:val="both"/>
        <w:rPr>
          <w:rFonts w:eastAsia="Times New Roman"/>
          <w:sz w:val="26"/>
          <w:szCs w:val="26"/>
          <w:lang w:eastAsia="ru-RU"/>
        </w:rPr>
      </w:pPr>
      <w:r w:rsidRPr="00F94FED">
        <w:rPr>
          <w:rFonts w:eastAsia="Times New Roman"/>
          <w:sz w:val="26"/>
          <w:szCs w:val="26"/>
          <w:lang w:eastAsia="ru-RU"/>
        </w:rPr>
        <w:t xml:space="preserve">Основное снижение по подконтрольным расходам формируется за счет экономии расходов с целью компенсации затрат по статьям неподконтрольных расходов и минимизации убытков по итогам года. </w:t>
      </w:r>
    </w:p>
    <w:p w14:paraId="2F22B494" w14:textId="77777777" w:rsidR="009A4C46" w:rsidRPr="00F94FED" w:rsidRDefault="009A4C46" w:rsidP="00F94FED">
      <w:pPr>
        <w:spacing w:after="0" w:line="360" w:lineRule="auto"/>
        <w:ind w:firstLine="567"/>
        <w:jc w:val="both"/>
        <w:rPr>
          <w:rFonts w:eastAsia="Times New Roman"/>
          <w:sz w:val="26"/>
          <w:szCs w:val="26"/>
          <w:lang w:eastAsia="ru-RU"/>
        </w:rPr>
      </w:pPr>
      <w:r w:rsidRPr="00F94FED">
        <w:rPr>
          <w:rFonts w:eastAsia="Times New Roman"/>
          <w:sz w:val="26"/>
          <w:szCs w:val="26"/>
          <w:lang w:eastAsia="ru-RU"/>
        </w:rPr>
        <w:t>Принимая во внимание, что фактический индекс потребительских цен сложился отличный от плановых значений 2017 года, в состав НВВ 2019 года Службой по тарифам Республики Тыва была включена отрицательная величина корректировки подконтрольных расходов в размере (-4 635) тыс. руб.</w:t>
      </w:r>
    </w:p>
    <w:p w14:paraId="6176683B" w14:textId="77777777" w:rsidR="009A4C46" w:rsidRPr="00F94FED" w:rsidRDefault="009A4C46" w:rsidP="00F94FED">
      <w:pPr>
        <w:spacing w:after="0" w:line="360" w:lineRule="auto"/>
        <w:ind w:firstLine="567"/>
        <w:jc w:val="both"/>
        <w:rPr>
          <w:rFonts w:eastAsia="Times New Roman"/>
          <w:sz w:val="26"/>
          <w:szCs w:val="26"/>
          <w:lang w:eastAsia="ru-RU"/>
        </w:rPr>
      </w:pPr>
      <w:r w:rsidRPr="00F94FED">
        <w:rPr>
          <w:rFonts w:eastAsia="Times New Roman"/>
          <w:sz w:val="26"/>
          <w:szCs w:val="26"/>
          <w:lang w:eastAsia="ru-RU"/>
        </w:rPr>
        <w:t xml:space="preserve">Превышение фактических неподконтрольных затрат над плановым значением, учтенным Службой по тарифам Республики Тыва в НВВ 2017 года, сформировалось за счет прочих неподконтрольных расходов. </w:t>
      </w:r>
    </w:p>
    <w:p w14:paraId="168990CE" w14:textId="77777777" w:rsidR="009A4C46" w:rsidRPr="00F94FED" w:rsidRDefault="009A4C46" w:rsidP="00F94FED">
      <w:pPr>
        <w:spacing w:after="0" w:line="360" w:lineRule="auto"/>
        <w:ind w:firstLine="567"/>
        <w:jc w:val="both"/>
        <w:rPr>
          <w:rFonts w:eastAsia="Times New Roman"/>
          <w:sz w:val="26"/>
          <w:szCs w:val="26"/>
          <w:lang w:eastAsia="ru-RU"/>
        </w:rPr>
      </w:pPr>
      <w:r w:rsidRPr="00F94FED">
        <w:rPr>
          <w:rFonts w:eastAsia="Times New Roman"/>
          <w:sz w:val="26"/>
          <w:szCs w:val="26"/>
          <w:lang w:eastAsia="ru-RU"/>
        </w:rPr>
        <w:t xml:space="preserve">При проведении Службой по тарифам Республики Тыва корректировки неподконтрольных расходов за 2017 год, величина которой составила 196 092 тыс. руб., прочие неподконтрольные расходы были учтены регулирующим органом, но в составе НВВ на 2019 год учтены не в полном объеме, так как Службой по тарифам Республики Тыва было принято решением о перераспределении корректировки неподконтрольных расходов на следующие годы долгосрочного периода регулирования.  </w:t>
      </w:r>
    </w:p>
    <w:p w14:paraId="3684DB7E" w14:textId="283159A0" w:rsidR="009A4C46" w:rsidRPr="00F94FED" w:rsidRDefault="009A4C46" w:rsidP="00F94FED">
      <w:pPr>
        <w:spacing w:after="0" w:line="360" w:lineRule="auto"/>
        <w:ind w:firstLine="709"/>
        <w:contextualSpacing/>
        <w:jc w:val="both"/>
        <w:rPr>
          <w:rFonts w:eastAsia="Calibri"/>
          <w:sz w:val="26"/>
          <w:szCs w:val="26"/>
          <w:lang w:eastAsia="ru-RU"/>
        </w:rPr>
      </w:pPr>
      <w:r w:rsidRPr="00F94FED">
        <w:rPr>
          <w:rFonts w:eastAsia="Calibri"/>
          <w:sz w:val="26"/>
          <w:szCs w:val="26"/>
          <w:lang w:eastAsia="ru-RU"/>
        </w:rPr>
        <w:t xml:space="preserve">В 2017 году в результате принятых Службой по тарифам Республики Тыва тарифно-балансовых решений у АО «Тываэнерго» сформировались выпадающие доходы в результате отклонения фактического отпуска электрической энергии от объема отпуска электрической энергии, учтенного Службой по тарифам Республики Тыва при принятии тарифно-балансовых решений на 2017 год, а также в результате отклонения фактической цены покупки электрической энергии в целях компенсации потерь от плановой цены. Величина выпадающих расходов </w:t>
      </w:r>
      <w:r w:rsidRPr="00F94FED">
        <w:rPr>
          <w:rFonts w:eastAsia="Calibri"/>
          <w:sz w:val="26"/>
          <w:szCs w:val="26"/>
          <w:lang w:eastAsia="ru-RU"/>
        </w:rPr>
        <w:lastRenderedPageBreak/>
        <w:t>АО</w:t>
      </w:r>
      <w:r w:rsidR="0072390C">
        <w:rPr>
          <w:rFonts w:eastAsia="Calibri"/>
          <w:sz w:val="26"/>
          <w:szCs w:val="26"/>
          <w:lang w:eastAsia="ru-RU"/>
        </w:rPr>
        <w:t> </w:t>
      </w:r>
      <w:r w:rsidRPr="00F94FED">
        <w:rPr>
          <w:rFonts w:eastAsia="Calibri"/>
          <w:sz w:val="26"/>
          <w:szCs w:val="26"/>
          <w:lang w:eastAsia="ru-RU"/>
        </w:rPr>
        <w:t xml:space="preserve">«Тываэнерго» составила 82 394 тыс. руб. Величина выпадающих расходов, заявленная АО «Тываэнерго» и учтенная Службой по тарифам Республики Тыва, не учитывает расходы, сложившиеся по сверхнормативным потерям. При принятии тарифно-балансовых решений на 2019 год учтены расходы в размере 27 395 тыс. руб. </w:t>
      </w:r>
    </w:p>
    <w:p w14:paraId="21E55481" w14:textId="77777777" w:rsidR="009A4C46" w:rsidRPr="00F94FED" w:rsidRDefault="009A4C46" w:rsidP="00F94FED">
      <w:pPr>
        <w:spacing w:after="0" w:line="360" w:lineRule="auto"/>
        <w:ind w:firstLine="709"/>
        <w:contextualSpacing/>
        <w:jc w:val="both"/>
        <w:rPr>
          <w:rFonts w:eastAsia="Times New Roman"/>
          <w:sz w:val="26"/>
          <w:szCs w:val="26"/>
          <w:lang w:eastAsia="ru-RU"/>
        </w:rPr>
      </w:pPr>
      <w:r w:rsidRPr="00F94FED">
        <w:rPr>
          <w:rFonts w:eastAsia="Calibri"/>
          <w:sz w:val="26"/>
          <w:szCs w:val="26"/>
          <w:lang w:eastAsia="ru-RU"/>
        </w:rPr>
        <w:t xml:space="preserve">Так же Службой по тарифам Республики Тыва была рассчитана корректировка по доходам </w:t>
      </w:r>
      <w:r w:rsidRPr="00F94FED">
        <w:rPr>
          <w:rFonts w:eastAsia="Times New Roman"/>
          <w:sz w:val="26"/>
          <w:szCs w:val="26"/>
          <w:lang w:eastAsia="ru-RU"/>
        </w:rPr>
        <w:t xml:space="preserve">от осуществления регулируемой деятельности в размер 75 644 тыс. руб. и корректировка, осуществляемая в связи с изменением (неисполнением) Инвестиционной программы 2017 года (- 3 058) тыс. руб.  </w:t>
      </w:r>
    </w:p>
    <w:p w14:paraId="75E7A9A2" w14:textId="77777777" w:rsidR="009A4C46" w:rsidRPr="00F94FED" w:rsidRDefault="009A4C46" w:rsidP="00F94FED">
      <w:pPr>
        <w:tabs>
          <w:tab w:val="left" w:pos="851"/>
        </w:tabs>
        <w:spacing w:after="0" w:line="360" w:lineRule="auto"/>
        <w:ind w:firstLine="709"/>
        <w:jc w:val="both"/>
        <w:rPr>
          <w:rFonts w:eastAsia="Times New Roman"/>
          <w:sz w:val="26"/>
          <w:szCs w:val="26"/>
          <w:lang w:eastAsia="ru-RU"/>
        </w:rPr>
      </w:pPr>
      <w:r w:rsidRPr="00F94FED">
        <w:rPr>
          <w:rFonts w:eastAsia="Times New Roman"/>
          <w:sz w:val="26"/>
          <w:szCs w:val="26"/>
          <w:lang w:eastAsia="ru-RU"/>
        </w:rPr>
        <w:t>Подробная позиция Исполнителя по обоснованности данных корректировок была изложена в предыдущей главе настоящего Отчета.</w:t>
      </w:r>
    </w:p>
    <w:p w14:paraId="5363A4B6" w14:textId="77777777" w:rsidR="009A4C46" w:rsidRPr="00F94FED" w:rsidRDefault="009A4C46" w:rsidP="00F94FED">
      <w:pPr>
        <w:tabs>
          <w:tab w:val="left" w:pos="851"/>
        </w:tabs>
        <w:spacing w:after="0" w:line="360" w:lineRule="auto"/>
        <w:ind w:firstLine="709"/>
        <w:jc w:val="both"/>
        <w:rPr>
          <w:rFonts w:eastAsia="Times New Roman"/>
          <w:sz w:val="26"/>
          <w:szCs w:val="26"/>
          <w:lang w:eastAsia="ru-RU"/>
        </w:rPr>
      </w:pPr>
      <w:r w:rsidRPr="00F94FED">
        <w:rPr>
          <w:rFonts w:eastAsia="Times New Roman"/>
          <w:sz w:val="26"/>
          <w:szCs w:val="26"/>
          <w:lang w:eastAsia="ru-RU"/>
        </w:rPr>
        <w:t>С целью проведения анализа соответствия фактической товарной выручки от передачи электрической энергии выручке, утвержденной регулирующим органом, Исполнителем произведен расчет плановой величины необходимой валовой выручки на 2017 год.</w:t>
      </w:r>
    </w:p>
    <w:p w14:paraId="30B2B382" w14:textId="77777777" w:rsidR="009A4C46" w:rsidRPr="00F94FED" w:rsidRDefault="009A4C46" w:rsidP="00F94FED">
      <w:pPr>
        <w:tabs>
          <w:tab w:val="left" w:pos="851"/>
        </w:tabs>
        <w:spacing w:after="0" w:line="360" w:lineRule="auto"/>
        <w:ind w:firstLine="567"/>
        <w:jc w:val="both"/>
        <w:rPr>
          <w:rFonts w:eastAsia="Times New Roman"/>
          <w:sz w:val="26"/>
          <w:szCs w:val="26"/>
          <w:lang w:eastAsia="ru-RU"/>
        </w:rPr>
      </w:pPr>
      <w:r w:rsidRPr="00F94FED">
        <w:rPr>
          <w:rFonts w:eastAsia="Times New Roman"/>
          <w:sz w:val="26"/>
          <w:szCs w:val="26"/>
          <w:lang w:eastAsia="ru-RU"/>
        </w:rPr>
        <w:t xml:space="preserve">Необходимая валовая выручка от передачи электрической энергии по единым (котловым) тарифам определена как произведение плановых объемов полезного отпуска электрической энергии (мощности) конечным потребителям в разрезе групп и уровней напряжения и единых (котловых) тарифов на услуги по передаче электрической энергии, утвержденных </w:t>
      </w:r>
      <w:r w:rsidRPr="00F94FED">
        <w:rPr>
          <w:rFonts w:eastAsia="Calibri"/>
          <w:sz w:val="26"/>
          <w:szCs w:val="26"/>
          <w:lang w:eastAsia="ru-RU"/>
        </w:rPr>
        <w:t xml:space="preserve">Службой по тарифам Республики Тыва </w:t>
      </w:r>
      <w:r w:rsidRPr="00F94FED">
        <w:rPr>
          <w:rFonts w:eastAsia="Times New Roman"/>
          <w:sz w:val="26"/>
          <w:szCs w:val="26"/>
          <w:lang w:eastAsia="ru-RU"/>
        </w:rPr>
        <w:t>на 2017 год постановлениями от 30.12.2016 № 89. Так же Исполнителем выполнен расчет на сходимость НВВ от передачи электрической энергии по одноставочным и двухставочным тарифам.</w:t>
      </w:r>
    </w:p>
    <w:p w14:paraId="529D5073" w14:textId="77777777" w:rsidR="009A4C46" w:rsidRPr="00F94FED" w:rsidRDefault="009A4C46" w:rsidP="00F94FED">
      <w:pPr>
        <w:spacing w:after="0"/>
        <w:rPr>
          <w:rFonts w:eastAsia="Times New Roman"/>
          <w:sz w:val="26"/>
          <w:szCs w:val="26"/>
          <w:lang w:eastAsia="ru-RU"/>
        </w:rPr>
      </w:pPr>
      <w:r w:rsidRPr="00F94FED">
        <w:rPr>
          <w:rFonts w:eastAsia="Times New Roman"/>
          <w:sz w:val="26"/>
          <w:szCs w:val="26"/>
          <w:lang w:eastAsia="ru-RU"/>
        </w:rPr>
        <w:br w:type="page"/>
      </w:r>
    </w:p>
    <w:p w14:paraId="78243DE4" w14:textId="77777777" w:rsidR="009A4C46" w:rsidRPr="009A4C46" w:rsidRDefault="009A4C46" w:rsidP="009A4C46">
      <w:pPr>
        <w:tabs>
          <w:tab w:val="left" w:pos="851"/>
        </w:tabs>
        <w:spacing w:afterLines="32" w:after="76" w:line="360" w:lineRule="auto"/>
        <w:ind w:firstLine="567"/>
        <w:jc w:val="both"/>
        <w:rPr>
          <w:rFonts w:eastAsia="Times New Roman"/>
          <w:sz w:val="28"/>
          <w:szCs w:val="28"/>
          <w:lang w:eastAsia="ru-RU"/>
        </w:rPr>
        <w:sectPr w:rsidR="009A4C46" w:rsidRPr="009A4C46" w:rsidSect="0063188C">
          <w:pgSz w:w="11906" w:h="16838"/>
          <w:pgMar w:top="1134" w:right="850" w:bottom="1134" w:left="1701" w:header="708" w:footer="708" w:gutter="0"/>
          <w:cols w:space="708"/>
          <w:docGrid w:linePitch="360"/>
        </w:sectPr>
      </w:pPr>
    </w:p>
    <w:p w14:paraId="2167462C" w14:textId="3B2DBF97" w:rsidR="009A4C46" w:rsidRPr="00F94FED" w:rsidRDefault="009A4C46" w:rsidP="009A4C46">
      <w:pPr>
        <w:spacing w:afterLines="32" w:after="76" w:line="360" w:lineRule="auto"/>
        <w:jc w:val="center"/>
        <w:rPr>
          <w:rFonts w:eastAsia="Times New Roman"/>
          <w:b/>
          <w:bCs/>
          <w:sz w:val="26"/>
          <w:szCs w:val="26"/>
          <w:lang w:eastAsia="ru-RU"/>
        </w:rPr>
      </w:pPr>
      <w:r w:rsidRPr="00F94FED">
        <w:rPr>
          <w:rFonts w:eastAsia="Times New Roman"/>
          <w:b/>
          <w:bCs/>
          <w:sz w:val="26"/>
          <w:szCs w:val="26"/>
          <w:lang w:eastAsia="ru-RU"/>
        </w:rPr>
        <w:lastRenderedPageBreak/>
        <w:t>Утвержденные единые (котловые) тарифы на услуги по передаче электрической энергии на 2017 год</w:t>
      </w:r>
    </w:p>
    <w:tbl>
      <w:tblPr>
        <w:tblW w:w="5000" w:type="pct"/>
        <w:tblLook w:val="04A0" w:firstRow="1" w:lastRow="0" w:firstColumn="1" w:lastColumn="0" w:noHBand="0" w:noVBand="1"/>
      </w:tblPr>
      <w:tblGrid>
        <w:gridCol w:w="2876"/>
        <w:gridCol w:w="1913"/>
        <w:gridCol w:w="1928"/>
        <w:gridCol w:w="2065"/>
        <w:gridCol w:w="1925"/>
        <w:gridCol w:w="2065"/>
        <w:gridCol w:w="1788"/>
      </w:tblGrid>
      <w:tr w:rsidR="009A4C46" w:rsidRPr="009A4C46" w14:paraId="53D6FE06" w14:textId="77777777" w:rsidTr="00070F3E">
        <w:trPr>
          <w:trHeight w:val="300"/>
          <w:tblHeader/>
        </w:trPr>
        <w:tc>
          <w:tcPr>
            <w:tcW w:w="98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1FBC0A8" w14:textId="77777777" w:rsidR="009A4C46" w:rsidRPr="00F94FED" w:rsidRDefault="009A4C46">
            <w:pPr>
              <w:spacing w:after="0" w:line="240" w:lineRule="auto"/>
              <w:jc w:val="center"/>
              <w:rPr>
                <w:rFonts w:eastAsia="Times New Roman"/>
                <w:color w:val="FFFFFF" w:themeColor="background1"/>
                <w:lang w:eastAsia="ru-RU"/>
              </w:rPr>
            </w:pPr>
            <w:r w:rsidRPr="00F94FED">
              <w:rPr>
                <w:rFonts w:eastAsia="Times New Roman"/>
                <w:color w:val="FFFFFF" w:themeColor="background1"/>
                <w:lang w:eastAsia="ru-RU"/>
              </w:rPr>
              <w:t>Потребители</w:t>
            </w:r>
          </w:p>
        </w:tc>
        <w:tc>
          <w:tcPr>
            <w:tcW w:w="4012" w:type="pct"/>
            <w:gridSpan w:val="6"/>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21AA921" w14:textId="77777777" w:rsidR="009A4C46" w:rsidRPr="00F94FED" w:rsidRDefault="009A4C46">
            <w:pPr>
              <w:spacing w:after="0" w:line="240" w:lineRule="auto"/>
              <w:jc w:val="center"/>
              <w:rPr>
                <w:rFonts w:eastAsia="Times New Roman"/>
                <w:color w:val="FFFFFF" w:themeColor="background1"/>
                <w:lang w:eastAsia="ru-RU"/>
              </w:rPr>
            </w:pPr>
            <w:r w:rsidRPr="00F94FED">
              <w:rPr>
                <w:rFonts w:eastAsia="Times New Roman"/>
                <w:color w:val="FFFFFF" w:themeColor="background1"/>
                <w:lang w:eastAsia="ru-RU"/>
              </w:rPr>
              <w:t>Утвержденные тарифы</w:t>
            </w:r>
          </w:p>
        </w:tc>
      </w:tr>
      <w:tr w:rsidR="009A4C46" w:rsidRPr="009A4C46" w14:paraId="3CA4CFC6" w14:textId="77777777" w:rsidTr="00070F3E">
        <w:trPr>
          <w:trHeight w:val="300"/>
          <w:tblHeader/>
        </w:trPr>
        <w:tc>
          <w:tcPr>
            <w:tcW w:w="98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9DC1E5F" w14:textId="77777777" w:rsidR="009A4C46" w:rsidRPr="00F94FED" w:rsidRDefault="009A4C46" w:rsidP="00F94FED">
            <w:pPr>
              <w:spacing w:after="0" w:line="240" w:lineRule="auto"/>
              <w:jc w:val="center"/>
              <w:rPr>
                <w:rFonts w:eastAsia="Times New Roman"/>
                <w:color w:val="FFFFFF" w:themeColor="background1"/>
                <w:lang w:eastAsia="ru-RU"/>
              </w:rPr>
            </w:pPr>
          </w:p>
        </w:tc>
        <w:tc>
          <w:tcPr>
            <w:tcW w:w="2028"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C860C77" w14:textId="77777777" w:rsidR="009A4C46" w:rsidRPr="00F94FED" w:rsidRDefault="009A4C46">
            <w:pPr>
              <w:spacing w:after="0" w:line="240" w:lineRule="auto"/>
              <w:jc w:val="center"/>
              <w:rPr>
                <w:rFonts w:eastAsia="Times New Roman"/>
                <w:color w:val="FFFFFF" w:themeColor="background1"/>
                <w:lang w:eastAsia="ru-RU"/>
              </w:rPr>
            </w:pPr>
            <w:r w:rsidRPr="00F94FED">
              <w:rPr>
                <w:rFonts w:eastAsia="Times New Roman"/>
                <w:color w:val="FFFFFF" w:themeColor="background1"/>
                <w:lang w:eastAsia="ru-RU"/>
              </w:rPr>
              <w:t>1 полугодие</w:t>
            </w:r>
          </w:p>
        </w:tc>
        <w:tc>
          <w:tcPr>
            <w:tcW w:w="1984"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D98DEB7" w14:textId="77777777" w:rsidR="009A4C46" w:rsidRPr="00F94FED" w:rsidRDefault="009A4C46">
            <w:pPr>
              <w:spacing w:after="0" w:line="240" w:lineRule="auto"/>
              <w:jc w:val="center"/>
              <w:rPr>
                <w:rFonts w:eastAsia="Times New Roman"/>
                <w:color w:val="FFFFFF" w:themeColor="background1"/>
                <w:lang w:eastAsia="ru-RU"/>
              </w:rPr>
            </w:pPr>
            <w:r w:rsidRPr="00F94FED">
              <w:rPr>
                <w:rFonts w:eastAsia="Times New Roman"/>
                <w:color w:val="FFFFFF" w:themeColor="background1"/>
                <w:lang w:eastAsia="ru-RU"/>
              </w:rPr>
              <w:t>2 полугодие</w:t>
            </w:r>
          </w:p>
        </w:tc>
      </w:tr>
      <w:tr w:rsidR="00F71BAF" w:rsidRPr="009A4C46" w14:paraId="0C1B39B5" w14:textId="77777777" w:rsidTr="00070F3E">
        <w:trPr>
          <w:trHeight w:val="300"/>
          <w:tblHeader/>
        </w:trPr>
        <w:tc>
          <w:tcPr>
            <w:tcW w:w="98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9C3A8BD" w14:textId="77777777" w:rsidR="00F71BAF" w:rsidRPr="00F94FED" w:rsidRDefault="00F71BAF" w:rsidP="00F94FED">
            <w:pPr>
              <w:spacing w:after="0" w:line="240" w:lineRule="auto"/>
              <w:jc w:val="center"/>
              <w:rPr>
                <w:rFonts w:eastAsia="Times New Roman"/>
                <w:color w:val="FFFFFF" w:themeColor="background1"/>
                <w:lang w:eastAsia="ru-RU"/>
              </w:rPr>
            </w:pPr>
          </w:p>
        </w:tc>
        <w:tc>
          <w:tcPr>
            <w:tcW w:w="1319"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22D0AEB" w14:textId="77777777" w:rsidR="00F71BAF" w:rsidRPr="00F94FED" w:rsidRDefault="00F71BAF">
            <w:pPr>
              <w:spacing w:after="0" w:line="240" w:lineRule="auto"/>
              <w:jc w:val="center"/>
              <w:rPr>
                <w:rFonts w:eastAsia="Times New Roman"/>
                <w:color w:val="FFFFFF" w:themeColor="background1"/>
                <w:lang w:eastAsia="ru-RU"/>
              </w:rPr>
            </w:pPr>
            <w:r w:rsidRPr="00F94FED">
              <w:rPr>
                <w:rFonts w:eastAsia="Times New Roman"/>
                <w:color w:val="FFFFFF" w:themeColor="background1"/>
                <w:lang w:eastAsia="ru-RU"/>
              </w:rPr>
              <w:t>2-х ставочный тариф</w:t>
            </w:r>
          </w:p>
        </w:tc>
        <w:tc>
          <w:tcPr>
            <w:tcW w:w="709"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15088BF3" w14:textId="5F4D782D" w:rsidR="00F71BAF" w:rsidRPr="00F94FED" w:rsidRDefault="00F71BAF">
            <w:pPr>
              <w:spacing w:after="0" w:line="240" w:lineRule="auto"/>
              <w:jc w:val="center"/>
              <w:rPr>
                <w:rFonts w:eastAsia="Times New Roman"/>
                <w:color w:val="FFFFFF" w:themeColor="background1"/>
                <w:lang w:eastAsia="ru-RU"/>
              </w:rPr>
            </w:pPr>
            <w:r w:rsidRPr="00F94FED">
              <w:rPr>
                <w:rFonts w:eastAsia="Times New Roman"/>
                <w:color w:val="FFFFFF" w:themeColor="background1"/>
                <w:lang w:eastAsia="ru-RU"/>
              </w:rPr>
              <w:t>Одноставочный тариф</w:t>
            </w:r>
          </w:p>
        </w:tc>
        <w:tc>
          <w:tcPr>
            <w:tcW w:w="1370"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3EDB410" w14:textId="77777777" w:rsidR="00F71BAF" w:rsidRPr="00F94FED" w:rsidRDefault="00F71BAF">
            <w:pPr>
              <w:spacing w:after="0" w:line="240" w:lineRule="auto"/>
              <w:jc w:val="center"/>
              <w:rPr>
                <w:rFonts w:eastAsia="Times New Roman"/>
                <w:color w:val="FFFFFF" w:themeColor="background1"/>
                <w:lang w:eastAsia="ru-RU"/>
              </w:rPr>
            </w:pPr>
            <w:r w:rsidRPr="00F94FED">
              <w:rPr>
                <w:rFonts w:eastAsia="Times New Roman"/>
                <w:color w:val="FFFFFF" w:themeColor="background1"/>
                <w:lang w:eastAsia="ru-RU"/>
              </w:rPr>
              <w:t>2-х ставочный тариф</w:t>
            </w:r>
          </w:p>
        </w:tc>
        <w:tc>
          <w:tcPr>
            <w:tcW w:w="614"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51217891" w14:textId="3A084FCF" w:rsidR="00F71BAF" w:rsidRPr="00F94FED" w:rsidRDefault="00F71BAF">
            <w:pPr>
              <w:spacing w:after="0" w:line="240" w:lineRule="auto"/>
              <w:jc w:val="center"/>
              <w:rPr>
                <w:rFonts w:eastAsia="Times New Roman"/>
                <w:color w:val="FFFFFF" w:themeColor="background1"/>
                <w:lang w:eastAsia="ru-RU"/>
              </w:rPr>
            </w:pPr>
            <w:r w:rsidRPr="00F94FED">
              <w:rPr>
                <w:rFonts w:eastAsia="Times New Roman"/>
                <w:color w:val="FFFFFF" w:themeColor="background1"/>
                <w:lang w:eastAsia="ru-RU"/>
              </w:rPr>
              <w:t>Одноставочный тариф</w:t>
            </w:r>
          </w:p>
        </w:tc>
      </w:tr>
      <w:tr w:rsidR="00F71BAF" w:rsidRPr="009A4C46" w14:paraId="22F74E1C" w14:textId="77777777" w:rsidTr="00070F3E">
        <w:trPr>
          <w:trHeight w:val="1028"/>
          <w:tblHeader/>
        </w:trPr>
        <w:tc>
          <w:tcPr>
            <w:tcW w:w="98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B817EDE" w14:textId="77777777" w:rsidR="00F71BAF" w:rsidRPr="00F94FED" w:rsidRDefault="00F71BAF" w:rsidP="00F94FED">
            <w:pPr>
              <w:spacing w:after="0" w:line="240" w:lineRule="auto"/>
              <w:jc w:val="center"/>
              <w:rPr>
                <w:rFonts w:eastAsia="Times New Roman"/>
                <w:color w:val="FFFFFF" w:themeColor="background1"/>
                <w:lang w:eastAsia="ru-RU"/>
              </w:rPr>
            </w:pPr>
          </w:p>
        </w:tc>
        <w:tc>
          <w:tcPr>
            <w:tcW w:w="65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1ECC146" w14:textId="77777777" w:rsidR="00F71BAF" w:rsidRPr="00F94FED" w:rsidRDefault="00F71BAF">
            <w:pPr>
              <w:spacing w:after="0" w:line="240" w:lineRule="auto"/>
              <w:jc w:val="center"/>
              <w:rPr>
                <w:rFonts w:eastAsia="Times New Roman"/>
                <w:color w:val="FFFFFF" w:themeColor="background1"/>
                <w:lang w:eastAsia="ru-RU"/>
              </w:rPr>
            </w:pPr>
            <w:r w:rsidRPr="00F94FED">
              <w:rPr>
                <w:rFonts w:eastAsia="Times New Roman"/>
                <w:color w:val="FFFFFF" w:themeColor="background1"/>
                <w:lang w:eastAsia="ru-RU"/>
              </w:rPr>
              <w:t>ставка за содержание электрических сетей</w:t>
            </w:r>
          </w:p>
        </w:tc>
        <w:tc>
          <w:tcPr>
            <w:tcW w:w="66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2BF5DDD" w14:textId="77777777" w:rsidR="00F71BAF" w:rsidRPr="00F94FED" w:rsidRDefault="00F71BAF">
            <w:pPr>
              <w:spacing w:after="0" w:line="240" w:lineRule="auto"/>
              <w:jc w:val="center"/>
              <w:rPr>
                <w:rFonts w:eastAsia="Times New Roman"/>
                <w:color w:val="FFFFFF" w:themeColor="background1"/>
                <w:lang w:eastAsia="ru-RU"/>
              </w:rPr>
            </w:pPr>
            <w:r w:rsidRPr="00F94FED">
              <w:rPr>
                <w:rFonts w:eastAsia="Times New Roman"/>
                <w:color w:val="FFFFFF" w:themeColor="background1"/>
                <w:lang w:eastAsia="ru-RU"/>
              </w:rPr>
              <w:t>ставка на оплату технологического расхода (потерь)</w:t>
            </w:r>
          </w:p>
        </w:tc>
        <w:tc>
          <w:tcPr>
            <w:tcW w:w="709" w:type="pct"/>
            <w:vMerge/>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280D369" w14:textId="77777777" w:rsidR="00F71BAF" w:rsidRPr="00F94FED" w:rsidRDefault="00F71BAF" w:rsidP="00F94FED">
            <w:pPr>
              <w:spacing w:after="0" w:line="240" w:lineRule="auto"/>
              <w:jc w:val="center"/>
              <w:rPr>
                <w:rFonts w:eastAsia="Times New Roman"/>
                <w:color w:val="FFFFFF" w:themeColor="background1"/>
                <w:lang w:eastAsia="ru-RU"/>
              </w:rPr>
            </w:pPr>
          </w:p>
        </w:tc>
        <w:tc>
          <w:tcPr>
            <w:tcW w:w="66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33B31BF" w14:textId="77777777" w:rsidR="00F71BAF" w:rsidRPr="00F94FED" w:rsidRDefault="00F71BAF">
            <w:pPr>
              <w:spacing w:after="0" w:line="240" w:lineRule="auto"/>
              <w:jc w:val="center"/>
              <w:rPr>
                <w:rFonts w:eastAsia="Times New Roman"/>
                <w:color w:val="FFFFFF" w:themeColor="background1"/>
                <w:lang w:eastAsia="ru-RU"/>
              </w:rPr>
            </w:pPr>
            <w:r w:rsidRPr="00F94FED">
              <w:rPr>
                <w:rFonts w:eastAsia="Times New Roman"/>
                <w:color w:val="FFFFFF" w:themeColor="background1"/>
                <w:lang w:eastAsia="ru-RU"/>
              </w:rPr>
              <w:t>ставка за содержание электрических сетей</w:t>
            </w:r>
          </w:p>
        </w:tc>
        <w:tc>
          <w:tcPr>
            <w:tcW w:w="70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0F0349E" w14:textId="77777777" w:rsidR="00F71BAF" w:rsidRPr="00F94FED" w:rsidRDefault="00F71BAF">
            <w:pPr>
              <w:spacing w:after="0" w:line="240" w:lineRule="auto"/>
              <w:jc w:val="center"/>
              <w:rPr>
                <w:rFonts w:eastAsia="Times New Roman"/>
                <w:color w:val="FFFFFF" w:themeColor="background1"/>
                <w:lang w:eastAsia="ru-RU"/>
              </w:rPr>
            </w:pPr>
            <w:r w:rsidRPr="00F94FED">
              <w:rPr>
                <w:rFonts w:eastAsia="Times New Roman"/>
                <w:color w:val="FFFFFF" w:themeColor="background1"/>
                <w:lang w:eastAsia="ru-RU"/>
              </w:rPr>
              <w:t>ставка на оплату технологического расхода (потерь)</w:t>
            </w:r>
          </w:p>
        </w:tc>
        <w:tc>
          <w:tcPr>
            <w:tcW w:w="614" w:type="pct"/>
            <w:vMerge/>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A1F6F21" w14:textId="77777777" w:rsidR="00F71BAF" w:rsidRPr="00F94FED" w:rsidRDefault="00F71BAF" w:rsidP="00F94FED">
            <w:pPr>
              <w:spacing w:after="0" w:line="240" w:lineRule="auto"/>
              <w:jc w:val="center"/>
              <w:rPr>
                <w:rFonts w:eastAsia="Times New Roman"/>
                <w:color w:val="FFFFFF" w:themeColor="background1"/>
                <w:lang w:eastAsia="ru-RU"/>
              </w:rPr>
            </w:pPr>
          </w:p>
        </w:tc>
      </w:tr>
      <w:tr w:rsidR="009A4C46" w:rsidRPr="009A4C46" w14:paraId="01416340" w14:textId="77777777" w:rsidTr="00070F3E">
        <w:trPr>
          <w:trHeight w:val="300"/>
          <w:tblHeader/>
        </w:trPr>
        <w:tc>
          <w:tcPr>
            <w:tcW w:w="98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6D8F4F1" w14:textId="77777777" w:rsidR="009A4C46" w:rsidRPr="00F94FED" w:rsidRDefault="009A4C46" w:rsidP="00F94FED">
            <w:pPr>
              <w:spacing w:after="0" w:line="240" w:lineRule="auto"/>
              <w:jc w:val="center"/>
              <w:rPr>
                <w:rFonts w:eastAsia="Times New Roman"/>
                <w:color w:val="FFFFFF" w:themeColor="background1"/>
                <w:lang w:eastAsia="ru-RU"/>
              </w:rPr>
            </w:pPr>
          </w:p>
        </w:tc>
        <w:tc>
          <w:tcPr>
            <w:tcW w:w="65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C3992B3" w14:textId="77777777" w:rsidR="009A4C46" w:rsidRPr="00F94FED" w:rsidRDefault="009A4C46">
            <w:pPr>
              <w:spacing w:after="0" w:line="240" w:lineRule="auto"/>
              <w:jc w:val="center"/>
              <w:rPr>
                <w:rFonts w:eastAsia="Times New Roman"/>
                <w:color w:val="FFFFFF" w:themeColor="background1"/>
                <w:lang w:eastAsia="ru-RU"/>
              </w:rPr>
            </w:pPr>
            <w:r w:rsidRPr="00F94FED">
              <w:rPr>
                <w:rFonts w:eastAsia="Times New Roman"/>
                <w:color w:val="FFFFFF" w:themeColor="background1"/>
                <w:lang w:eastAsia="ru-RU"/>
              </w:rPr>
              <w:t>руб./МВт. мес.</w:t>
            </w:r>
          </w:p>
        </w:tc>
        <w:tc>
          <w:tcPr>
            <w:tcW w:w="66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7BDAC01" w14:textId="32717773" w:rsidR="009A4C46" w:rsidRPr="00F94FED" w:rsidRDefault="009A4C46">
            <w:pPr>
              <w:spacing w:after="0" w:line="240" w:lineRule="auto"/>
              <w:jc w:val="center"/>
              <w:rPr>
                <w:rFonts w:eastAsia="Times New Roman"/>
                <w:color w:val="FFFFFF" w:themeColor="background1"/>
                <w:lang w:eastAsia="ru-RU"/>
              </w:rPr>
            </w:pPr>
            <w:r w:rsidRPr="00F94FED">
              <w:rPr>
                <w:rFonts w:eastAsia="Times New Roman"/>
                <w:color w:val="FFFFFF" w:themeColor="background1"/>
                <w:lang w:eastAsia="ru-RU"/>
              </w:rPr>
              <w:t>руб./МВт</w:t>
            </w:r>
            <w:r w:rsidR="00F71BAF" w:rsidRPr="00F94FED">
              <w:rPr>
                <w:rFonts w:eastAsia="Times New Roman"/>
                <w:color w:val="FFFFFF" w:themeColor="background1"/>
                <w:lang w:eastAsia="ru-RU"/>
              </w:rPr>
              <w:t>*</w:t>
            </w:r>
            <w:r w:rsidRPr="00F94FED">
              <w:rPr>
                <w:rFonts w:eastAsia="Times New Roman"/>
                <w:color w:val="FFFFFF" w:themeColor="background1"/>
                <w:lang w:eastAsia="ru-RU"/>
              </w:rPr>
              <w:t>ч.</w:t>
            </w:r>
          </w:p>
        </w:tc>
        <w:tc>
          <w:tcPr>
            <w:tcW w:w="70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27C6713" w14:textId="4600484D" w:rsidR="009A4C46" w:rsidRPr="00F94FED" w:rsidRDefault="009A4C46">
            <w:pPr>
              <w:spacing w:after="0" w:line="240" w:lineRule="auto"/>
              <w:jc w:val="center"/>
              <w:rPr>
                <w:rFonts w:eastAsia="Times New Roman"/>
                <w:color w:val="FFFFFF" w:themeColor="background1"/>
                <w:lang w:eastAsia="ru-RU"/>
              </w:rPr>
            </w:pPr>
            <w:r w:rsidRPr="00F94FED">
              <w:rPr>
                <w:rFonts w:eastAsia="Times New Roman"/>
                <w:color w:val="FFFFFF" w:themeColor="background1"/>
                <w:lang w:eastAsia="ru-RU"/>
              </w:rPr>
              <w:t>руб./кВт</w:t>
            </w:r>
            <w:r w:rsidR="00F71BAF" w:rsidRPr="00F94FED">
              <w:rPr>
                <w:rFonts w:eastAsia="Times New Roman"/>
                <w:color w:val="FFFFFF" w:themeColor="background1"/>
                <w:lang w:eastAsia="ru-RU"/>
              </w:rPr>
              <w:t>*</w:t>
            </w:r>
            <w:r w:rsidRPr="00F94FED">
              <w:rPr>
                <w:rFonts w:eastAsia="Times New Roman"/>
                <w:color w:val="FFFFFF" w:themeColor="background1"/>
                <w:lang w:eastAsia="ru-RU"/>
              </w:rPr>
              <w:t>ч.</w:t>
            </w:r>
          </w:p>
        </w:tc>
        <w:tc>
          <w:tcPr>
            <w:tcW w:w="66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98B0D08" w14:textId="77777777" w:rsidR="009A4C46" w:rsidRPr="00F94FED" w:rsidRDefault="009A4C46">
            <w:pPr>
              <w:spacing w:after="0" w:line="240" w:lineRule="auto"/>
              <w:jc w:val="center"/>
              <w:rPr>
                <w:rFonts w:eastAsia="Times New Roman"/>
                <w:color w:val="FFFFFF" w:themeColor="background1"/>
                <w:lang w:eastAsia="ru-RU"/>
              </w:rPr>
            </w:pPr>
            <w:r w:rsidRPr="00F94FED">
              <w:rPr>
                <w:rFonts w:eastAsia="Times New Roman"/>
                <w:color w:val="FFFFFF" w:themeColor="background1"/>
                <w:lang w:eastAsia="ru-RU"/>
              </w:rPr>
              <w:t>руб./МВт. мес.</w:t>
            </w:r>
          </w:p>
        </w:tc>
        <w:tc>
          <w:tcPr>
            <w:tcW w:w="70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67FD088" w14:textId="13E27D6E" w:rsidR="009A4C46" w:rsidRPr="00F94FED" w:rsidRDefault="009A4C46">
            <w:pPr>
              <w:spacing w:after="0" w:line="240" w:lineRule="auto"/>
              <w:jc w:val="center"/>
              <w:rPr>
                <w:rFonts w:eastAsia="Times New Roman"/>
                <w:color w:val="FFFFFF" w:themeColor="background1"/>
                <w:lang w:eastAsia="ru-RU"/>
              </w:rPr>
            </w:pPr>
            <w:r w:rsidRPr="00F94FED">
              <w:rPr>
                <w:rFonts w:eastAsia="Times New Roman"/>
                <w:color w:val="FFFFFF" w:themeColor="background1"/>
                <w:lang w:eastAsia="ru-RU"/>
              </w:rPr>
              <w:t>руб./МВт</w:t>
            </w:r>
            <w:r w:rsidR="00F71BAF" w:rsidRPr="00F94FED">
              <w:rPr>
                <w:rFonts w:eastAsia="Times New Roman"/>
                <w:color w:val="FFFFFF" w:themeColor="background1"/>
                <w:lang w:eastAsia="ru-RU"/>
              </w:rPr>
              <w:t>*</w:t>
            </w:r>
            <w:r w:rsidRPr="00F94FED">
              <w:rPr>
                <w:rFonts w:eastAsia="Times New Roman"/>
                <w:color w:val="FFFFFF" w:themeColor="background1"/>
                <w:lang w:eastAsia="ru-RU"/>
              </w:rPr>
              <w:t>ч.</w:t>
            </w:r>
          </w:p>
        </w:tc>
        <w:tc>
          <w:tcPr>
            <w:tcW w:w="6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06FEF70" w14:textId="72F29510" w:rsidR="009A4C46" w:rsidRPr="00F94FED" w:rsidRDefault="009A4C46">
            <w:pPr>
              <w:spacing w:after="0" w:line="240" w:lineRule="auto"/>
              <w:jc w:val="center"/>
              <w:rPr>
                <w:rFonts w:eastAsia="Times New Roman"/>
                <w:color w:val="FFFFFF" w:themeColor="background1"/>
                <w:lang w:eastAsia="ru-RU"/>
              </w:rPr>
            </w:pPr>
            <w:r w:rsidRPr="00F94FED">
              <w:rPr>
                <w:rFonts w:eastAsia="Times New Roman"/>
                <w:color w:val="FFFFFF" w:themeColor="background1"/>
                <w:lang w:eastAsia="ru-RU"/>
              </w:rPr>
              <w:t>руб./кВт</w:t>
            </w:r>
            <w:r w:rsidR="00F71BAF" w:rsidRPr="00F94FED">
              <w:rPr>
                <w:rFonts w:eastAsia="Times New Roman"/>
                <w:color w:val="FFFFFF" w:themeColor="background1"/>
                <w:lang w:eastAsia="ru-RU"/>
              </w:rPr>
              <w:t>*</w:t>
            </w:r>
            <w:r w:rsidRPr="00F94FED">
              <w:rPr>
                <w:rFonts w:eastAsia="Times New Roman"/>
                <w:color w:val="FFFFFF" w:themeColor="background1"/>
                <w:lang w:eastAsia="ru-RU"/>
              </w:rPr>
              <w:t>ч.</w:t>
            </w:r>
          </w:p>
        </w:tc>
      </w:tr>
      <w:tr w:rsidR="009A4C46" w:rsidRPr="009A4C46" w14:paraId="34E18C58" w14:textId="77777777" w:rsidTr="00070F3E">
        <w:trPr>
          <w:trHeight w:val="300"/>
        </w:trPr>
        <w:tc>
          <w:tcPr>
            <w:tcW w:w="988"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44892D45" w14:textId="77777777" w:rsidR="009A4C46" w:rsidRPr="009A4C46" w:rsidRDefault="009A4C46" w:rsidP="009A4C46">
            <w:pPr>
              <w:spacing w:after="0" w:line="240" w:lineRule="auto"/>
              <w:rPr>
                <w:rFonts w:eastAsia="Times New Roman"/>
                <w:lang w:eastAsia="ru-RU"/>
              </w:rPr>
            </w:pPr>
            <w:r w:rsidRPr="009A4C46">
              <w:rPr>
                <w:rFonts w:eastAsia="Times New Roman"/>
                <w:lang w:eastAsia="ru-RU"/>
              </w:rPr>
              <w:t>Прочие потребители</w:t>
            </w:r>
          </w:p>
        </w:tc>
        <w:tc>
          <w:tcPr>
            <w:tcW w:w="657"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5D9A918C" w14:textId="77777777" w:rsidR="009A4C46" w:rsidRPr="009A4C46" w:rsidRDefault="009A4C46" w:rsidP="009A4C46">
            <w:pPr>
              <w:spacing w:after="0" w:line="276" w:lineRule="auto"/>
              <w:jc w:val="center"/>
              <w:rPr>
                <w:rFonts w:eastAsia="Times New Roman"/>
                <w:lang w:eastAsia="ru-RU"/>
              </w:rPr>
            </w:pPr>
          </w:p>
        </w:tc>
        <w:tc>
          <w:tcPr>
            <w:tcW w:w="662"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0DCE993B" w14:textId="77777777" w:rsidR="009A4C46" w:rsidRPr="009A4C46" w:rsidRDefault="009A4C46" w:rsidP="009A4C46">
            <w:pPr>
              <w:spacing w:after="0" w:line="276" w:lineRule="auto"/>
              <w:jc w:val="center"/>
              <w:rPr>
                <w:rFonts w:eastAsia="Times New Roman"/>
                <w:lang w:eastAsia="ru-RU"/>
              </w:rPr>
            </w:pPr>
          </w:p>
        </w:tc>
        <w:tc>
          <w:tcPr>
            <w:tcW w:w="709"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49D91917" w14:textId="77777777" w:rsidR="009A4C46" w:rsidRPr="009A4C46" w:rsidRDefault="009A4C46" w:rsidP="009A4C46">
            <w:pPr>
              <w:spacing w:after="0" w:line="276" w:lineRule="auto"/>
              <w:jc w:val="center"/>
              <w:rPr>
                <w:rFonts w:eastAsia="Times New Roman"/>
                <w:lang w:eastAsia="ru-RU"/>
              </w:rPr>
            </w:pPr>
          </w:p>
        </w:tc>
        <w:tc>
          <w:tcPr>
            <w:tcW w:w="661"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28A46B16" w14:textId="77777777" w:rsidR="009A4C46" w:rsidRPr="009A4C46" w:rsidRDefault="009A4C46" w:rsidP="009A4C46">
            <w:pPr>
              <w:spacing w:after="0" w:line="276" w:lineRule="auto"/>
              <w:jc w:val="center"/>
              <w:rPr>
                <w:rFonts w:eastAsia="Times New Roman"/>
                <w:lang w:eastAsia="ru-RU"/>
              </w:rPr>
            </w:pPr>
          </w:p>
        </w:tc>
        <w:tc>
          <w:tcPr>
            <w:tcW w:w="709"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46ACFBC4" w14:textId="77777777" w:rsidR="009A4C46" w:rsidRPr="009A4C46" w:rsidRDefault="009A4C46" w:rsidP="009A4C46">
            <w:pPr>
              <w:spacing w:after="0" w:line="276" w:lineRule="auto"/>
              <w:jc w:val="center"/>
              <w:rPr>
                <w:rFonts w:eastAsia="Times New Roman"/>
                <w:lang w:eastAsia="ru-RU"/>
              </w:rPr>
            </w:pPr>
          </w:p>
        </w:tc>
        <w:tc>
          <w:tcPr>
            <w:tcW w:w="614"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754360B2" w14:textId="77777777" w:rsidR="009A4C46" w:rsidRPr="009A4C46" w:rsidRDefault="009A4C46" w:rsidP="009A4C46">
            <w:pPr>
              <w:spacing w:after="0" w:line="276" w:lineRule="auto"/>
              <w:jc w:val="center"/>
              <w:rPr>
                <w:rFonts w:eastAsia="Times New Roman"/>
                <w:lang w:eastAsia="ru-RU"/>
              </w:rPr>
            </w:pPr>
          </w:p>
        </w:tc>
      </w:tr>
      <w:tr w:rsidR="009A4C46" w:rsidRPr="009A4C46" w14:paraId="1778ACBB" w14:textId="77777777" w:rsidTr="00070F3E">
        <w:trPr>
          <w:trHeight w:val="300"/>
        </w:trPr>
        <w:tc>
          <w:tcPr>
            <w:tcW w:w="988" w:type="pct"/>
            <w:tcBorders>
              <w:top w:val="nil"/>
              <w:left w:val="single" w:sz="4" w:space="0" w:color="auto"/>
              <w:bottom w:val="single" w:sz="4" w:space="0" w:color="auto"/>
              <w:right w:val="single" w:sz="4" w:space="0" w:color="auto"/>
            </w:tcBorders>
            <w:shd w:val="clear" w:color="auto" w:fill="auto"/>
            <w:noWrap/>
            <w:vAlign w:val="center"/>
            <w:hideMark/>
          </w:tcPr>
          <w:p w14:paraId="4BD1D33A" w14:textId="77777777" w:rsidR="009A4C46" w:rsidRPr="009A4C46" w:rsidRDefault="009A4C46" w:rsidP="009A4C46">
            <w:pPr>
              <w:spacing w:after="0" w:line="240" w:lineRule="auto"/>
              <w:rPr>
                <w:rFonts w:eastAsia="Times New Roman"/>
                <w:lang w:eastAsia="ru-RU"/>
              </w:rPr>
            </w:pPr>
            <w:r w:rsidRPr="009A4C46">
              <w:rPr>
                <w:rFonts w:eastAsia="Times New Roman"/>
                <w:lang w:eastAsia="ru-RU"/>
              </w:rPr>
              <w:t>ВН</w:t>
            </w:r>
          </w:p>
        </w:tc>
        <w:tc>
          <w:tcPr>
            <w:tcW w:w="657" w:type="pct"/>
            <w:tcBorders>
              <w:top w:val="nil"/>
              <w:left w:val="nil"/>
              <w:bottom w:val="single" w:sz="8" w:space="0" w:color="auto"/>
              <w:right w:val="single" w:sz="8" w:space="0" w:color="auto"/>
            </w:tcBorders>
            <w:shd w:val="clear" w:color="auto" w:fill="auto"/>
            <w:noWrap/>
            <w:vAlign w:val="center"/>
            <w:hideMark/>
          </w:tcPr>
          <w:p w14:paraId="4BA127F2" w14:textId="77777777" w:rsidR="009A4C46" w:rsidRPr="009A4C46" w:rsidRDefault="009A4C46" w:rsidP="009A4C46">
            <w:pPr>
              <w:spacing w:after="0" w:line="240" w:lineRule="auto"/>
              <w:jc w:val="center"/>
              <w:rPr>
                <w:rFonts w:eastAsia="Times New Roman"/>
                <w:lang w:eastAsia="ru-RU"/>
              </w:rPr>
            </w:pPr>
            <w:r w:rsidRPr="009A4C46">
              <w:rPr>
                <w:rFonts w:eastAsia="Times New Roman"/>
                <w:lang w:eastAsia="ru-RU"/>
              </w:rPr>
              <w:t>2 545 910,54</w:t>
            </w:r>
          </w:p>
        </w:tc>
        <w:tc>
          <w:tcPr>
            <w:tcW w:w="662" w:type="pct"/>
            <w:tcBorders>
              <w:top w:val="nil"/>
              <w:left w:val="nil"/>
              <w:bottom w:val="single" w:sz="8" w:space="0" w:color="auto"/>
              <w:right w:val="single" w:sz="8" w:space="0" w:color="auto"/>
            </w:tcBorders>
            <w:shd w:val="clear" w:color="auto" w:fill="auto"/>
            <w:noWrap/>
            <w:vAlign w:val="center"/>
            <w:hideMark/>
          </w:tcPr>
          <w:p w14:paraId="00863A85" w14:textId="77777777" w:rsidR="009A4C46" w:rsidRPr="009A4C46" w:rsidRDefault="009A4C46" w:rsidP="009A4C46">
            <w:pPr>
              <w:spacing w:after="0" w:line="240" w:lineRule="auto"/>
              <w:jc w:val="center"/>
              <w:rPr>
                <w:rFonts w:eastAsia="Times New Roman"/>
                <w:lang w:eastAsia="ru-RU"/>
              </w:rPr>
            </w:pPr>
            <w:r w:rsidRPr="009A4C46">
              <w:rPr>
                <w:rFonts w:eastAsia="Times New Roman"/>
                <w:lang w:eastAsia="ru-RU"/>
              </w:rPr>
              <w:t>24,39</w:t>
            </w:r>
          </w:p>
        </w:tc>
        <w:tc>
          <w:tcPr>
            <w:tcW w:w="709" w:type="pct"/>
            <w:tcBorders>
              <w:top w:val="nil"/>
              <w:left w:val="nil"/>
              <w:bottom w:val="single" w:sz="8" w:space="0" w:color="auto"/>
              <w:right w:val="single" w:sz="8" w:space="0" w:color="auto"/>
            </w:tcBorders>
            <w:shd w:val="clear" w:color="auto" w:fill="auto"/>
            <w:noWrap/>
            <w:vAlign w:val="center"/>
            <w:hideMark/>
          </w:tcPr>
          <w:p w14:paraId="387FBE5C" w14:textId="77777777" w:rsidR="009A4C46" w:rsidRPr="009A4C46" w:rsidRDefault="009A4C46" w:rsidP="009A4C46">
            <w:pPr>
              <w:spacing w:after="0" w:line="240" w:lineRule="auto"/>
              <w:jc w:val="center"/>
              <w:rPr>
                <w:rFonts w:eastAsia="Times New Roman"/>
                <w:lang w:eastAsia="ru-RU"/>
              </w:rPr>
            </w:pPr>
            <w:r w:rsidRPr="009A4C46">
              <w:rPr>
                <w:rFonts w:eastAsia="Times New Roman"/>
                <w:lang w:eastAsia="ru-RU"/>
              </w:rPr>
              <w:t>2,81927</w:t>
            </w:r>
          </w:p>
        </w:tc>
        <w:tc>
          <w:tcPr>
            <w:tcW w:w="661" w:type="pct"/>
            <w:tcBorders>
              <w:top w:val="nil"/>
              <w:left w:val="nil"/>
              <w:bottom w:val="single" w:sz="8" w:space="0" w:color="auto"/>
              <w:right w:val="single" w:sz="8" w:space="0" w:color="auto"/>
            </w:tcBorders>
            <w:shd w:val="clear" w:color="auto" w:fill="auto"/>
            <w:noWrap/>
            <w:vAlign w:val="center"/>
            <w:hideMark/>
          </w:tcPr>
          <w:p w14:paraId="17B69230" w14:textId="77777777" w:rsidR="009A4C46" w:rsidRPr="009A4C46" w:rsidRDefault="009A4C46" w:rsidP="009A4C46">
            <w:pPr>
              <w:spacing w:after="0" w:line="240" w:lineRule="auto"/>
              <w:jc w:val="center"/>
              <w:rPr>
                <w:rFonts w:eastAsia="Times New Roman"/>
                <w:lang w:eastAsia="ru-RU"/>
              </w:rPr>
            </w:pPr>
            <w:r w:rsidRPr="009A4C46">
              <w:rPr>
                <w:rFonts w:eastAsia="Times New Roman"/>
                <w:lang w:eastAsia="ru-RU"/>
              </w:rPr>
              <w:t>2 673 206,07</w:t>
            </w:r>
          </w:p>
        </w:tc>
        <w:tc>
          <w:tcPr>
            <w:tcW w:w="709" w:type="pct"/>
            <w:tcBorders>
              <w:top w:val="nil"/>
              <w:left w:val="nil"/>
              <w:bottom w:val="single" w:sz="8" w:space="0" w:color="auto"/>
              <w:right w:val="single" w:sz="8" w:space="0" w:color="auto"/>
            </w:tcBorders>
            <w:shd w:val="clear" w:color="auto" w:fill="auto"/>
            <w:noWrap/>
            <w:vAlign w:val="center"/>
            <w:hideMark/>
          </w:tcPr>
          <w:p w14:paraId="5212F44F" w14:textId="77777777" w:rsidR="009A4C46" w:rsidRPr="009A4C46" w:rsidRDefault="009A4C46" w:rsidP="009A4C46">
            <w:pPr>
              <w:spacing w:after="0" w:line="240" w:lineRule="auto"/>
              <w:jc w:val="center"/>
              <w:rPr>
                <w:rFonts w:eastAsia="Times New Roman"/>
                <w:lang w:eastAsia="ru-RU"/>
              </w:rPr>
            </w:pPr>
            <w:r w:rsidRPr="009A4C46">
              <w:rPr>
                <w:rFonts w:eastAsia="Times New Roman"/>
                <w:lang w:eastAsia="ru-RU"/>
              </w:rPr>
              <w:t>24,63</w:t>
            </w:r>
          </w:p>
        </w:tc>
        <w:tc>
          <w:tcPr>
            <w:tcW w:w="614" w:type="pct"/>
            <w:tcBorders>
              <w:top w:val="nil"/>
              <w:left w:val="nil"/>
              <w:bottom w:val="single" w:sz="8" w:space="0" w:color="auto"/>
              <w:right w:val="single" w:sz="8" w:space="0" w:color="auto"/>
            </w:tcBorders>
            <w:shd w:val="clear" w:color="auto" w:fill="auto"/>
            <w:noWrap/>
            <w:vAlign w:val="center"/>
            <w:hideMark/>
          </w:tcPr>
          <w:p w14:paraId="3C334F5E" w14:textId="77777777" w:rsidR="009A4C46" w:rsidRPr="009A4C46" w:rsidRDefault="009A4C46" w:rsidP="009A4C46">
            <w:pPr>
              <w:spacing w:after="0" w:line="240" w:lineRule="auto"/>
              <w:jc w:val="center"/>
              <w:rPr>
                <w:rFonts w:eastAsia="Times New Roman"/>
                <w:lang w:eastAsia="ru-RU"/>
              </w:rPr>
            </w:pPr>
            <w:r w:rsidRPr="009A4C46">
              <w:rPr>
                <w:rFonts w:eastAsia="Times New Roman"/>
                <w:lang w:eastAsia="ru-RU"/>
              </w:rPr>
              <w:t>2,96023</w:t>
            </w:r>
          </w:p>
        </w:tc>
      </w:tr>
      <w:tr w:rsidR="009A4C46" w:rsidRPr="009A4C46" w14:paraId="26934F21" w14:textId="77777777" w:rsidTr="00070F3E">
        <w:trPr>
          <w:trHeight w:val="300"/>
        </w:trPr>
        <w:tc>
          <w:tcPr>
            <w:tcW w:w="988" w:type="pct"/>
            <w:tcBorders>
              <w:top w:val="nil"/>
              <w:left w:val="single" w:sz="4" w:space="0" w:color="auto"/>
              <w:bottom w:val="single" w:sz="4" w:space="0" w:color="auto"/>
              <w:right w:val="single" w:sz="4" w:space="0" w:color="auto"/>
            </w:tcBorders>
            <w:shd w:val="clear" w:color="auto" w:fill="auto"/>
            <w:noWrap/>
            <w:vAlign w:val="center"/>
            <w:hideMark/>
          </w:tcPr>
          <w:p w14:paraId="0B8744C6" w14:textId="77777777" w:rsidR="009A4C46" w:rsidRPr="009A4C46" w:rsidRDefault="009A4C46" w:rsidP="009A4C46">
            <w:pPr>
              <w:spacing w:after="0" w:line="240" w:lineRule="auto"/>
              <w:rPr>
                <w:rFonts w:eastAsia="Times New Roman"/>
                <w:lang w:eastAsia="ru-RU"/>
              </w:rPr>
            </w:pPr>
            <w:r w:rsidRPr="009A4C46">
              <w:rPr>
                <w:rFonts w:eastAsia="Times New Roman"/>
                <w:lang w:eastAsia="ru-RU"/>
              </w:rPr>
              <w:t>СН1</w:t>
            </w:r>
          </w:p>
        </w:tc>
        <w:tc>
          <w:tcPr>
            <w:tcW w:w="657" w:type="pct"/>
            <w:tcBorders>
              <w:top w:val="nil"/>
              <w:left w:val="nil"/>
              <w:bottom w:val="single" w:sz="8" w:space="0" w:color="auto"/>
              <w:right w:val="single" w:sz="8" w:space="0" w:color="auto"/>
            </w:tcBorders>
            <w:shd w:val="clear" w:color="auto" w:fill="auto"/>
            <w:noWrap/>
            <w:vAlign w:val="center"/>
            <w:hideMark/>
          </w:tcPr>
          <w:p w14:paraId="5F66144E" w14:textId="77777777" w:rsidR="009A4C46" w:rsidRPr="009A4C46" w:rsidRDefault="009A4C46" w:rsidP="009A4C46">
            <w:pPr>
              <w:spacing w:after="0" w:line="240" w:lineRule="auto"/>
              <w:jc w:val="center"/>
              <w:rPr>
                <w:rFonts w:eastAsia="Times New Roman"/>
                <w:lang w:eastAsia="ru-RU"/>
              </w:rPr>
            </w:pPr>
            <w:r w:rsidRPr="009A4C46">
              <w:rPr>
                <w:rFonts w:eastAsia="Times New Roman"/>
                <w:lang w:eastAsia="ru-RU"/>
              </w:rPr>
              <w:t>1 514 813,71</w:t>
            </w:r>
          </w:p>
        </w:tc>
        <w:tc>
          <w:tcPr>
            <w:tcW w:w="662" w:type="pct"/>
            <w:tcBorders>
              <w:top w:val="nil"/>
              <w:left w:val="nil"/>
              <w:bottom w:val="single" w:sz="8" w:space="0" w:color="auto"/>
              <w:right w:val="single" w:sz="8" w:space="0" w:color="auto"/>
            </w:tcBorders>
            <w:shd w:val="clear" w:color="auto" w:fill="auto"/>
            <w:noWrap/>
            <w:vAlign w:val="center"/>
            <w:hideMark/>
          </w:tcPr>
          <w:p w14:paraId="6A25CCE6" w14:textId="77777777" w:rsidR="009A4C46" w:rsidRPr="009A4C46" w:rsidRDefault="009A4C46" w:rsidP="009A4C46">
            <w:pPr>
              <w:spacing w:after="0" w:line="240" w:lineRule="auto"/>
              <w:jc w:val="center"/>
              <w:rPr>
                <w:rFonts w:eastAsia="Times New Roman"/>
                <w:lang w:eastAsia="ru-RU"/>
              </w:rPr>
            </w:pPr>
            <w:r w:rsidRPr="009A4C46">
              <w:rPr>
                <w:rFonts w:eastAsia="Times New Roman"/>
                <w:lang w:eastAsia="ru-RU"/>
              </w:rPr>
              <w:t>78,78</w:t>
            </w:r>
          </w:p>
        </w:tc>
        <w:tc>
          <w:tcPr>
            <w:tcW w:w="709" w:type="pct"/>
            <w:tcBorders>
              <w:top w:val="nil"/>
              <w:left w:val="nil"/>
              <w:bottom w:val="single" w:sz="8" w:space="0" w:color="auto"/>
              <w:right w:val="single" w:sz="8" w:space="0" w:color="auto"/>
            </w:tcBorders>
            <w:shd w:val="clear" w:color="auto" w:fill="auto"/>
            <w:noWrap/>
            <w:vAlign w:val="center"/>
            <w:hideMark/>
          </w:tcPr>
          <w:p w14:paraId="47328838" w14:textId="77777777" w:rsidR="009A4C46" w:rsidRPr="009A4C46" w:rsidRDefault="009A4C46" w:rsidP="009A4C46">
            <w:pPr>
              <w:spacing w:after="0" w:line="240" w:lineRule="auto"/>
              <w:jc w:val="center"/>
              <w:rPr>
                <w:rFonts w:eastAsia="Times New Roman"/>
                <w:lang w:eastAsia="ru-RU"/>
              </w:rPr>
            </w:pPr>
            <w:r w:rsidRPr="009A4C46">
              <w:rPr>
                <w:rFonts w:eastAsia="Times New Roman"/>
                <w:lang w:eastAsia="ru-RU"/>
              </w:rPr>
              <w:t>3,41478</w:t>
            </w:r>
          </w:p>
        </w:tc>
        <w:tc>
          <w:tcPr>
            <w:tcW w:w="661" w:type="pct"/>
            <w:tcBorders>
              <w:top w:val="nil"/>
              <w:left w:val="nil"/>
              <w:bottom w:val="single" w:sz="8" w:space="0" w:color="auto"/>
              <w:right w:val="single" w:sz="8" w:space="0" w:color="auto"/>
            </w:tcBorders>
            <w:shd w:val="clear" w:color="auto" w:fill="auto"/>
            <w:noWrap/>
            <w:vAlign w:val="center"/>
            <w:hideMark/>
          </w:tcPr>
          <w:p w14:paraId="78A09F10" w14:textId="77777777" w:rsidR="009A4C46" w:rsidRPr="009A4C46" w:rsidRDefault="009A4C46" w:rsidP="009A4C46">
            <w:pPr>
              <w:spacing w:after="0" w:line="240" w:lineRule="auto"/>
              <w:jc w:val="center"/>
              <w:rPr>
                <w:rFonts w:eastAsia="Times New Roman"/>
                <w:lang w:eastAsia="ru-RU"/>
              </w:rPr>
            </w:pPr>
            <w:r w:rsidRPr="009A4C46">
              <w:rPr>
                <w:rFonts w:eastAsia="Times New Roman"/>
                <w:lang w:eastAsia="ru-RU"/>
              </w:rPr>
              <w:t>1 590 544,40</w:t>
            </w:r>
          </w:p>
        </w:tc>
        <w:tc>
          <w:tcPr>
            <w:tcW w:w="709" w:type="pct"/>
            <w:tcBorders>
              <w:top w:val="nil"/>
              <w:left w:val="nil"/>
              <w:bottom w:val="single" w:sz="8" w:space="0" w:color="auto"/>
              <w:right w:val="single" w:sz="8" w:space="0" w:color="auto"/>
            </w:tcBorders>
            <w:shd w:val="clear" w:color="auto" w:fill="auto"/>
            <w:noWrap/>
            <w:vAlign w:val="center"/>
            <w:hideMark/>
          </w:tcPr>
          <w:p w14:paraId="45031708" w14:textId="77777777" w:rsidR="009A4C46" w:rsidRPr="009A4C46" w:rsidRDefault="009A4C46" w:rsidP="009A4C46">
            <w:pPr>
              <w:spacing w:after="0" w:line="240" w:lineRule="auto"/>
              <w:jc w:val="center"/>
              <w:rPr>
                <w:rFonts w:eastAsia="Times New Roman"/>
                <w:lang w:eastAsia="ru-RU"/>
              </w:rPr>
            </w:pPr>
            <w:r w:rsidRPr="009A4C46">
              <w:rPr>
                <w:rFonts w:eastAsia="Times New Roman"/>
                <w:lang w:eastAsia="ru-RU"/>
              </w:rPr>
              <w:t>79,57</w:t>
            </w:r>
          </w:p>
        </w:tc>
        <w:tc>
          <w:tcPr>
            <w:tcW w:w="614" w:type="pct"/>
            <w:tcBorders>
              <w:top w:val="nil"/>
              <w:left w:val="nil"/>
              <w:bottom w:val="single" w:sz="8" w:space="0" w:color="auto"/>
              <w:right w:val="single" w:sz="8" w:space="0" w:color="auto"/>
            </w:tcBorders>
            <w:shd w:val="clear" w:color="auto" w:fill="auto"/>
            <w:noWrap/>
            <w:vAlign w:val="center"/>
            <w:hideMark/>
          </w:tcPr>
          <w:p w14:paraId="22976F3D" w14:textId="77777777" w:rsidR="009A4C46" w:rsidRPr="009A4C46" w:rsidRDefault="009A4C46" w:rsidP="009A4C46">
            <w:pPr>
              <w:spacing w:after="0" w:line="240" w:lineRule="auto"/>
              <w:jc w:val="center"/>
              <w:rPr>
                <w:rFonts w:eastAsia="Times New Roman"/>
                <w:lang w:eastAsia="ru-RU"/>
              </w:rPr>
            </w:pPr>
            <w:r w:rsidRPr="009A4C46">
              <w:rPr>
                <w:rFonts w:eastAsia="Times New Roman"/>
                <w:lang w:eastAsia="ru-RU"/>
              </w:rPr>
              <w:t>3,58552</w:t>
            </w:r>
          </w:p>
        </w:tc>
      </w:tr>
      <w:tr w:rsidR="009A4C46" w:rsidRPr="009A4C46" w14:paraId="44F6447B" w14:textId="77777777" w:rsidTr="00070F3E">
        <w:trPr>
          <w:trHeight w:val="300"/>
        </w:trPr>
        <w:tc>
          <w:tcPr>
            <w:tcW w:w="988" w:type="pct"/>
            <w:tcBorders>
              <w:top w:val="nil"/>
              <w:left w:val="single" w:sz="4" w:space="0" w:color="auto"/>
              <w:bottom w:val="single" w:sz="4" w:space="0" w:color="auto"/>
              <w:right w:val="single" w:sz="4" w:space="0" w:color="auto"/>
            </w:tcBorders>
            <w:shd w:val="clear" w:color="auto" w:fill="auto"/>
            <w:noWrap/>
            <w:vAlign w:val="center"/>
            <w:hideMark/>
          </w:tcPr>
          <w:p w14:paraId="7C4F61E7" w14:textId="77777777" w:rsidR="009A4C46" w:rsidRPr="009A4C46" w:rsidRDefault="009A4C46" w:rsidP="009A4C46">
            <w:pPr>
              <w:spacing w:after="0" w:line="240" w:lineRule="auto"/>
              <w:rPr>
                <w:rFonts w:eastAsia="Times New Roman"/>
                <w:lang w:eastAsia="ru-RU"/>
              </w:rPr>
            </w:pPr>
            <w:r w:rsidRPr="009A4C46">
              <w:rPr>
                <w:rFonts w:eastAsia="Times New Roman"/>
                <w:lang w:eastAsia="ru-RU"/>
              </w:rPr>
              <w:t>СН2</w:t>
            </w:r>
          </w:p>
        </w:tc>
        <w:tc>
          <w:tcPr>
            <w:tcW w:w="657" w:type="pct"/>
            <w:tcBorders>
              <w:top w:val="nil"/>
              <w:left w:val="nil"/>
              <w:bottom w:val="single" w:sz="8" w:space="0" w:color="auto"/>
              <w:right w:val="single" w:sz="8" w:space="0" w:color="auto"/>
            </w:tcBorders>
            <w:shd w:val="clear" w:color="auto" w:fill="auto"/>
            <w:noWrap/>
            <w:vAlign w:val="center"/>
            <w:hideMark/>
          </w:tcPr>
          <w:p w14:paraId="0C6BCE9C" w14:textId="77777777" w:rsidR="009A4C46" w:rsidRPr="009A4C46" w:rsidRDefault="009A4C46" w:rsidP="009A4C46">
            <w:pPr>
              <w:spacing w:after="0" w:line="240" w:lineRule="auto"/>
              <w:jc w:val="center"/>
              <w:rPr>
                <w:rFonts w:eastAsia="Times New Roman"/>
                <w:lang w:eastAsia="ru-RU"/>
              </w:rPr>
            </w:pPr>
            <w:r w:rsidRPr="009A4C46">
              <w:rPr>
                <w:rFonts w:eastAsia="Times New Roman"/>
                <w:lang w:eastAsia="ru-RU"/>
              </w:rPr>
              <w:t>1 225 774,99</w:t>
            </w:r>
          </w:p>
        </w:tc>
        <w:tc>
          <w:tcPr>
            <w:tcW w:w="662" w:type="pct"/>
            <w:tcBorders>
              <w:top w:val="nil"/>
              <w:left w:val="nil"/>
              <w:bottom w:val="single" w:sz="8" w:space="0" w:color="auto"/>
              <w:right w:val="single" w:sz="8" w:space="0" w:color="auto"/>
            </w:tcBorders>
            <w:shd w:val="clear" w:color="auto" w:fill="auto"/>
            <w:noWrap/>
            <w:vAlign w:val="center"/>
            <w:hideMark/>
          </w:tcPr>
          <w:p w14:paraId="1EE1FB89" w14:textId="77777777" w:rsidR="009A4C46" w:rsidRPr="009A4C46" w:rsidRDefault="009A4C46" w:rsidP="009A4C46">
            <w:pPr>
              <w:spacing w:after="0" w:line="240" w:lineRule="auto"/>
              <w:jc w:val="center"/>
              <w:rPr>
                <w:rFonts w:eastAsia="Times New Roman"/>
                <w:lang w:eastAsia="ru-RU"/>
              </w:rPr>
            </w:pPr>
            <w:r w:rsidRPr="009A4C46">
              <w:rPr>
                <w:rFonts w:eastAsia="Times New Roman"/>
                <w:lang w:eastAsia="ru-RU"/>
              </w:rPr>
              <w:t>93,60</w:t>
            </w:r>
          </w:p>
        </w:tc>
        <w:tc>
          <w:tcPr>
            <w:tcW w:w="709" w:type="pct"/>
            <w:tcBorders>
              <w:top w:val="nil"/>
              <w:left w:val="nil"/>
              <w:bottom w:val="single" w:sz="8" w:space="0" w:color="auto"/>
              <w:right w:val="single" w:sz="8" w:space="0" w:color="auto"/>
            </w:tcBorders>
            <w:shd w:val="clear" w:color="auto" w:fill="auto"/>
            <w:noWrap/>
            <w:vAlign w:val="center"/>
            <w:hideMark/>
          </w:tcPr>
          <w:p w14:paraId="5E7B6779" w14:textId="77777777" w:rsidR="009A4C46" w:rsidRPr="009A4C46" w:rsidRDefault="009A4C46" w:rsidP="009A4C46">
            <w:pPr>
              <w:spacing w:after="0" w:line="240" w:lineRule="auto"/>
              <w:jc w:val="center"/>
              <w:rPr>
                <w:rFonts w:eastAsia="Times New Roman"/>
                <w:lang w:eastAsia="ru-RU"/>
              </w:rPr>
            </w:pPr>
            <w:r w:rsidRPr="009A4C46">
              <w:rPr>
                <w:rFonts w:eastAsia="Times New Roman"/>
                <w:lang w:eastAsia="ru-RU"/>
              </w:rPr>
              <w:t>3,61745</w:t>
            </w:r>
          </w:p>
        </w:tc>
        <w:tc>
          <w:tcPr>
            <w:tcW w:w="661" w:type="pct"/>
            <w:tcBorders>
              <w:top w:val="nil"/>
              <w:left w:val="nil"/>
              <w:bottom w:val="single" w:sz="8" w:space="0" w:color="auto"/>
              <w:right w:val="single" w:sz="8" w:space="0" w:color="auto"/>
            </w:tcBorders>
            <w:shd w:val="clear" w:color="auto" w:fill="auto"/>
            <w:noWrap/>
            <w:vAlign w:val="center"/>
            <w:hideMark/>
          </w:tcPr>
          <w:p w14:paraId="3F3D6958" w14:textId="77777777" w:rsidR="009A4C46" w:rsidRPr="009A4C46" w:rsidRDefault="009A4C46" w:rsidP="009A4C46">
            <w:pPr>
              <w:spacing w:after="0" w:line="240" w:lineRule="auto"/>
              <w:jc w:val="center"/>
              <w:rPr>
                <w:rFonts w:eastAsia="Times New Roman"/>
                <w:lang w:eastAsia="ru-RU"/>
              </w:rPr>
            </w:pPr>
            <w:r w:rsidRPr="009A4C46">
              <w:rPr>
                <w:rFonts w:eastAsia="Times New Roman"/>
                <w:lang w:eastAsia="ru-RU"/>
              </w:rPr>
              <w:t>1 287 063,74</w:t>
            </w:r>
          </w:p>
        </w:tc>
        <w:tc>
          <w:tcPr>
            <w:tcW w:w="709" w:type="pct"/>
            <w:tcBorders>
              <w:top w:val="nil"/>
              <w:left w:val="nil"/>
              <w:bottom w:val="single" w:sz="8" w:space="0" w:color="auto"/>
              <w:right w:val="single" w:sz="8" w:space="0" w:color="auto"/>
            </w:tcBorders>
            <w:shd w:val="clear" w:color="auto" w:fill="auto"/>
            <w:noWrap/>
            <w:vAlign w:val="center"/>
            <w:hideMark/>
          </w:tcPr>
          <w:p w14:paraId="31FF2D63" w14:textId="77777777" w:rsidR="009A4C46" w:rsidRPr="009A4C46" w:rsidRDefault="009A4C46" w:rsidP="009A4C46">
            <w:pPr>
              <w:spacing w:after="0" w:line="240" w:lineRule="auto"/>
              <w:jc w:val="center"/>
              <w:rPr>
                <w:rFonts w:eastAsia="Times New Roman"/>
                <w:lang w:eastAsia="ru-RU"/>
              </w:rPr>
            </w:pPr>
            <w:r w:rsidRPr="009A4C46">
              <w:rPr>
                <w:rFonts w:eastAsia="Times New Roman"/>
                <w:lang w:eastAsia="ru-RU"/>
              </w:rPr>
              <w:t>94,54</w:t>
            </w:r>
          </w:p>
        </w:tc>
        <w:tc>
          <w:tcPr>
            <w:tcW w:w="614" w:type="pct"/>
            <w:tcBorders>
              <w:top w:val="nil"/>
              <w:left w:val="nil"/>
              <w:bottom w:val="single" w:sz="8" w:space="0" w:color="auto"/>
              <w:right w:val="single" w:sz="8" w:space="0" w:color="auto"/>
            </w:tcBorders>
            <w:shd w:val="clear" w:color="auto" w:fill="auto"/>
            <w:noWrap/>
            <w:vAlign w:val="center"/>
            <w:hideMark/>
          </w:tcPr>
          <w:p w14:paraId="257CEF55" w14:textId="77777777" w:rsidR="009A4C46" w:rsidRPr="009A4C46" w:rsidRDefault="009A4C46" w:rsidP="009A4C46">
            <w:pPr>
              <w:spacing w:after="0" w:line="240" w:lineRule="auto"/>
              <w:jc w:val="center"/>
              <w:rPr>
                <w:rFonts w:eastAsia="Times New Roman"/>
                <w:lang w:eastAsia="ru-RU"/>
              </w:rPr>
            </w:pPr>
            <w:r w:rsidRPr="009A4C46">
              <w:rPr>
                <w:rFonts w:eastAsia="Times New Roman"/>
                <w:lang w:eastAsia="ru-RU"/>
              </w:rPr>
              <w:t>3,79832</w:t>
            </w:r>
          </w:p>
        </w:tc>
      </w:tr>
      <w:tr w:rsidR="009A4C46" w:rsidRPr="009A4C46" w14:paraId="72D45F9F" w14:textId="77777777" w:rsidTr="00070F3E">
        <w:trPr>
          <w:trHeight w:val="300"/>
        </w:trPr>
        <w:tc>
          <w:tcPr>
            <w:tcW w:w="988" w:type="pct"/>
            <w:tcBorders>
              <w:top w:val="nil"/>
              <w:left w:val="single" w:sz="4" w:space="0" w:color="auto"/>
              <w:bottom w:val="single" w:sz="4" w:space="0" w:color="auto"/>
              <w:right w:val="single" w:sz="4" w:space="0" w:color="auto"/>
            </w:tcBorders>
            <w:shd w:val="clear" w:color="auto" w:fill="auto"/>
            <w:noWrap/>
            <w:vAlign w:val="center"/>
            <w:hideMark/>
          </w:tcPr>
          <w:p w14:paraId="36ADE9CB" w14:textId="77777777" w:rsidR="009A4C46" w:rsidRPr="009A4C46" w:rsidRDefault="009A4C46" w:rsidP="009A4C46">
            <w:pPr>
              <w:spacing w:after="0" w:line="240" w:lineRule="auto"/>
              <w:rPr>
                <w:rFonts w:eastAsia="Times New Roman"/>
                <w:lang w:eastAsia="ru-RU"/>
              </w:rPr>
            </w:pPr>
            <w:r w:rsidRPr="009A4C46">
              <w:rPr>
                <w:rFonts w:eastAsia="Times New Roman"/>
                <w:lang w:eastAsia="ru-RU"/>
              </w:rPr>
              <w:t>НН</w:t>
            </w:r>
          </w:p>
        </w:tc>
        <w:tc>
          <w:tcPr>
            <w:tcW w:w="657" w:type="pct"/>
            <w:tcBorders>
              <w:top w:val="nil"/>
              <w:left w:val="nil"/>
              <w:bottom w:val="single" w:sz="8" w:space="0" w:color="auto"/>
              <w:right w:val="single" w:sz="8" w:space="0" w:color="auto"/>
            </w:tcBorders>
            <w:shd w:val="clear" w:color="auto" w:fill="auto"/>
            <w:noWrap/>
            <w:vAlign w:val="center"/>
            <w:hideMark/>
          </w:tcPr>
          <w:p w14:paraId="48EED2AF" w14:textId="77777777" w:rsidR="009A4C46" w:rsidRPr="009A4C46" w:rsidRDefault="009A4C46" w:rsidP="009A4C46">
            <w:pPr>
              <w:spacing w:after="0" w:line="240" w:lineRule="auto"/>
              <w:jc w:val="center"/>
              <w:rPr>
                <w:rFonts w:eastAsia="Times New Roman"/>
                <w:lang w:eastAsia="ru-RU"/>
              </w:rPr>
            </w:pPr>
            <w:r w:rsidRPr="009A4C46">
              <w:rPr>
                <w:rFonts w:eastAsia="Times New Roman"/>
                <w:lang w:eastAsia="ru-RU"/>
              </w:rPr>
              <w:t>1 488 129,01</w:t>
            </w:r>
          </w:p>
        </w:tc>
        <w:tc>
          <w:tcPr>
            <w:tcW w:w="662" w:type="pct"/>
            <w:tcBorders>
              <w:top w:val="nil"/>
              <w:left w:val="nil"/>
              <w:bottom w:val="single" w:sz="8" w:space="0" w:color="auto"/>
              <w:right w:val="single" w:sz="8" w:space="0" w:color="auto"/>
            </w:tcBorders>
            <w:shd w:val="clear" w:color="auto" w:fill="auto"/>
            <w:noWrap/>
            <w:vAlign w:val="center"/>
            <w:hideMark/>
          </w:tcPr>
          <w:p w14:paraId="0D15576C" w14:textId="77777777" w:rsidR="009A4C46" w:rsidRPr="009A4C46" w:rsidRDefault="009A4C46" w:rsidP="009A4C46">
            <w:pPr>
              <w:spacing w:after="0" w:line="240" w:lineRule="auto"/>
              <w:jc w:val="center"/>
              <w:rPr>
                <w:rFonts w:eastAsia="Times New Roman"/>
                <w:lang w:eastAsia="ru-RU"/>
              </w:rPr>
            </w:pPr>
            <w:r w:rsidRPr="009A4C46">
              <w:rPr>
                <w:rFonts w:eastAsia="Times New Roman"/>
                <w:lang w:eastAsia="ru-RU"/>
              </w:rPr>
              <w:t>292,90</w:t>
            </w:r>
          </w:p>
        </w:tc>
        <w:tc>
          <w:tcPr>
            <w:tcW w:w="709" w:type="pct"/>
            <w:tcBorders>
              <w:top w:val="nil"/>
              <w:left w:val="nil"/>
              <w:bottom w:val="single" w:sz="8" w:space="0" w:color="auto"/>
              <w:right w:val="single" w:sz="8" w:space="0" w:color="auto"/>
            </w:tcBorders>
            <w:shd w:val="clear" w:color="auto" w:fill="auto"/>
            <w:noWrap/>
            <w:vAlign w:val="center"/>
            <w:hideMark/>
          </w:tcPr>
          <w:p w14:paraId="06C78788" w14:textId="77777777" w:rsidR="009A4C46" w:rsidRPr="009A4C46" w:rsidRDefault="009A4C46" w:rsidP="009A4C46">
            <w:pPr>
              <w:spacing w:after="0" w:line="240" w:lineRule="auto"/>
              <w:jc w:val="center"/>
              <w:rPr>
                <w:rFonts w:eastAsia="Times New Roman"/>
                <w:lang w:eastAsia="ru-RU"/>
              </w:rPr>
            </w:pPr>
            <w:r w:rsidRPr="009A4C46">
              <w:rPr>
                <w:rFonts w:eastAsia="Times New Roman"/>
                <w:lang w:eastAsia="ru-RU"/>
              </w:rPr>
              <w:t>3,62983</w:t>
            </w:r>
          </w:p>
        </w:tc>
        <w:tc>
          <w:tcPr>
            <w:tcW w:w="661" w:type="pct"/>
            <w:tcBorders>
              <w:top w:val="nil"/>
              <w:left w:val="nil"/>
              <w:bottom w:val="single" w:sz="8" w:space="0" w:color="auto"/>
              <w:right w:val="single" w:sz="8" w:space="0" w:color="auto"/>
            </w:tcBorders>
            <w:shd w:val="clear" w:color="auto" w:fill="auto"/>
            <w:noWrap/>
            <w:vAlign w:val="center"/>
            <w:hideMark/>
          </w:tcPr>
          <w:p w14:paraId="2FA70FD9" w14:textId="77777777" w:rsidR="009A4C46" w:rsidRPr="009A4C46" w:rsidRDefault="009A4C46" w:rsidP="009A4C46">
            <w:pPr>
              <w:spacing w:after="0" w:line="240" w:lineRule="auto"/>
              <w:jc w:val="center"/>
              <w:rPr>
                <w:rFonts w:eastAsia="Times New Roman"/>
                <w:lang w:eastAsia="ru-RU"/>
              </w:rPr>
            </w:pPr>
            <w:r w:rsidRPr="009A4C46">
              <w:rPr>
                <w:rFonts w:eastAsia="Times New Roman"/>
                <w:lang w:eastAsia="ru-RU"/>
              </w:rPr>
              <w:t>1 562 535,46</w:t>
            </w:r>
          </w:p>
        </w:tc>
        <w:tc>
          <w:tcPr>
            <w:tcW w:w="709" w:type="pct"/>
            <w:tcBorders>
              <w:top w:val="nil"/>
              <w:left w:val="nil"/>
              <w:bottom w:val="single" w:sz="8" w:space="0" w:color="auto"/>
              <w:right w:val="single" w:sz="8" w:space="0" w:color="auto"/>
            </w:tcBorders>
            <w:shd w:val="clear" w:color="auto" w:fill="auto"/>
            <w:noWrap/>
            <w:vAlign w:val="center"/>
            <w:hideMark/>
          </w:tcPr>
          <w:p w14:paraId="3717CE73" w14:textId="77777777" w:rsidR="009A4C46" w:rsidRPr="009A4C46" w:rsidRDefault="009A4C46" w:rsidP="009A4C46">
            <w:pPr>
              <w:spacing w:after="0" w:line="240" w:lineRule="auto"/>
              <w:jc w:val="center"/>
              <w:rPr>
                <w:rFonts w:eastAsia="Times New Roman"/>
                <w:lang w:eastAsia="ru-RU"/>
              </w:rPr>
            </w:pPr>
            <w:r w:rsidRPr="009A4C46">
              <w:rPr>
                <w:rFonts w:eastAsia="Times New Roman"/>
                <w:lang w:eastAsia="ru-RU"/>
              </w:rPr>
              <w:t>295,83</w:t>
            </w:r>
          </w:p>
        </w:tc>
        <w:tc>
          <w:tcPr>
            <w:tcW w:w="614" w:type="pct"/>
            <w:tcBorders>
              <w:top w:val="nil"/>
              <w:left w:val="nil"/>
              <w:bottom w:val="single" w:sz="8" w:space="0" w:color="auto"/>
              <w:right w:val="single" w:sz="8" w:space="0" w:color="auto"/>
            </w:tcBorders>
            <w:shd w:val="clear" w:color="auto" w:fill="auto"/>
            <w:noWrap/>
            <w:vAlign w:val="center"/>
            <w:hideMark/>
          </w:tcPr>
          <w:p w14:paraId="2757EAB8" w14:textId="77777777" w:rsidR="009A4C46" w:rsidRPr="009A4C46" w:rsidRDefault="009A4C46" w:rsidP="009A4C46">
            <w:pPr>
              <w:spacing w:after="0" w:line="240" w:lineRule="auto"/>
              <w:jc w:val="center"/>
              <w:rPr>
                <w:rFonts w:eastAsia="Times New Roman"/>
                <w:lang w:eastAsia="ru-RU"/>
              </w:rPr>
            </w:pPr>
            <w:r w:rsidRPr="009A4C46">
              <w:rPr>
                <w:rFonts w:eastAsia="Times New Roman"/>
                <w:lang w:eastAsia="ru-RU"/>
              </w:rPr>
              <w:t>3,81132</w:t>
            </w:r>
          </w:p>
        </w:tc>
      </w:tr>
      <w:tr w:rsidR="009A4C46" w:rsidRPr="009A4C46" w14:paraId="69037246" w14:textId="77777777" w:rsidTr="00070F3E">
        <w:trPr>
          <w:trHeight w:val="300"/>
        </w:trPr>
        <w:tc>
          <w:tcPr>
            <w:tcW w:w="988" w:type="pct"/>
            <w:tcBorders>
              <w:top w:val="nil"/>
              <w:left w:val="single" w:sz="4" w:space="0" w:color="auto"/>
              <w:bottom w:val="single" w:sz="4" w:space="0" w:color="auto"/>
              <w:right w:val="single" w:sz="4" w:space="0" w:color="auto"/>
            </w:tcBorders>
            <w:shd w:val="clear" w:color="auto" w:fill="auto"/>
            <w:noWrap/>
            <w:vAlign w:val="center"/>
            <w:hideMark/>
          </w:tcPr>
          <w:p w14:paraId="58653B3D" w14:textId="77777777" w:rsidR="009A4C46" w:rsidRPr="009A4C46" w:rsidRDefault="009A4C46" w:rsidP="009A4C46">
            <w:pPr>
              <w:spacing w:after="0" w:line="240" w:lineRule="auto"/>
              <w:rPr>
                <w:rFonts w:eastAsia="Times New Roman"/>
                <w:lang w:eastAsia="ru-RU"/>
              </w:rPr>
            </w:pPr>
            <w:r w:rsidRPr="009A4C46">
              <w:rPr>
                <w:rFonts w:eastAsia="Times New Roman"/>
                <w:lang w:eastAsia="ru-RU"/>
              </w:rPr>
              <w:t xml:space="preserve">Население </w:t>
            </w:r>
          </w:p>
        </w:tc>
        <w:tc>
          <w:tcPr>
            <w:tcW w:w="657" w:type="pct"/>
            <w:tcBorders>
              <w:top w:val="nil"/>
              <w:left w:val="nil"/>
              <w:bottom w:val="single" w:sz="8" w:space="0" w:color="auto"/>
              <w:right w:val="single" w:sz="8" w:space="0" w:color="auto"/>
            </w:tcBorders>
            <w:shd w:val="clear" w:color="auto" w:fill="auto"/>
            <w:noWrap/>
            <w:vAlign w:val="center"/>
            <w:hideMark/>
          </w:tcPr>
          <w:p w14:paraId="3E9E8354" w14:textId="77777777" w:rsidR="009A4C46" w:rsidRPr="009A4C46" w:rsidRDefault="009A4C46" w:rsidP="009A4C46">
            <w:pPr>
              <w:spacing w:after="0" w:line="276" w:lineRule="auto"/>
              <w:jc w:val="center"/>
              <w:rPr>
                <w:rFonts w:eastAsia="Times New Roman"/>
                <w:lang w:eastAsia="ru-RU"/>
              </w:rPr>
            </w:pPr>
          </w:p>
        </w:tc>
        <w:tc>
          <w:tcPr>
            <w:tcW w:w="662" w:type="pct"/>
            <w:tcBorders>
              <w:top w:val="nil"/>
              <w:left w:val="nil"/>
              <w:bottom w:val="single" w:sz="8" w:space="0" w:color="auto"/>
              <w:right w:val="single" w:sz="8" w:space="0" w:color="auto"/>
            </w:tcBorders>
            <w:shd w:val="clear" w:color="auto" w:fill="auto"/>
            <w:noWrap/>
            <w:vAlign w:val="center"/>
            <w:hideMark/>
          </w:tcPr>
          <w:p w14:paraId="62210422" w14:textId="77777777" w:rsidR="009A4C46" w:rsidRPr="009A4C46" w:rsidRDefault="009A4C46" w:rsidP="009A4C46">
            <w:pPr>
              <w:spacing w:after="0" w:line="276" w:lineRule="auto"/>
              <w:jc w:val="center"/>
              <w:rPr>
                <w:rFonts w:eastAsia="Times New Roman"/>
                <w:lang w:eastAsia="ru-RU"/>
              </w:rPr>
            </w:pPr>
          </w:p>
        </w:tc>
        <w:tc>
          <w:tcPr>
            <w:tcW w:w="709" w:type="pct"/>
            <w:tcBorders>
              <w:top w:val="nil"/>
              <w:left w:val="nil"/>
              <w:bottom w:val="single" w:sz="8" w:space="0" w:color="auto"/>
              <w:right w:val="single" w:sz="8" w:space="0" w:color="auto"/>
            </w:tcBorders>
            <w:shd w:val="clear" w:color="auto" w:fill="auto"/>
            <w:noWrap/>
            <w:vAlign w:val="center"/>
            <w:hideMark/>
          </w:tcPr>
          <w:p w14:paraId="27A8654B" w14:textId="77777777" w:rsidR="009A4C46" w:rsidRPr="009A4C46" w:rsidRDefault="009A4C46" w:rsidP="009A4C46">
            <w:pPr>
              <w:spacing w:after="0" w:line="276" w:lineRule="auto"/>
              <w:jc w:val="center"/>
              <w:rPr>
                <w:rFonts w:eastAsia="Times New Roman"/>
                <w:lang w:eastAsia="ru-RU"/>
              </w:rPr>
            </w:pPr>
          </w:p>
        </w:tc>
        <w:tc>
          <w:tcPr>
            <w:tcW w:w="661" w:type="pct"/>
            <w:tcBorders>
              <w:top w:val="nil"/>
              <w:left w:val="nil"/>
              <w:bottom w:val="single" w:sz="8" w:space="0" w:color="auto"/>
              <w:right w:val="single" w:sz="8" w:space="0" w:color="auto"/>
            </w:tcBorders>
            <w:shd w:val="clear" w:color="auto" w:fill="auto"/>
            <w:noWrap/>
            <w:vAlign w:val="center"/>
            <w:hideMark/>
          </w:tcPr>
          <w:p w14:paraId="0242B907" w14:textId="77777777" w:rsidR="009A4C46" w:rsidRPr="009A4C46" w:rsidRDefault="009A4C46" w:rsidP="009A4C46">
            <w:pPr>
              <w:spacing w:after="0" w:line="276" w:lineRule="auto"/>
              <w:jc w:val="center"/>
              <w:rPr>
                <w:rFonts w:eastAsia="Times New Roman"/>
                <w:lang w:eastAsia="ru-RU"/>
              </w:rPr>
            </w:pPr>
          </w:p>
        </w:tc>
        <w:tc>
          <w:tcPr>
            <w:tcW w:w="709" w:type="pct"/>
            <w:tcBorders>
              <w:top w:val="nil"/>
              <w:left w:val="nil"/>
              <w:bottom w:val="single" w:sz="8" w:space="0" w:color="auto"/>
              <w:right w:val="single" w:sz="8" w:space="0" w:color="auto"/>
            </w:tcBorders>
            <w:shd w:val="clear" w:color="auto" w:fill="auto"/>
            <w:noWrap/>
            <w:vAlign w:val="center"/>
            <w:hideMark/>
          </w:tcPr>
          <w:p w14:paraId="54C0FFA8" w14:textId="77777777" w:rsidR="009A4C46" w:rsidRPr="009A4C46" w:rsidRDefault="009A4C46" w:rsidP="009A4C46">
            <w:pPr>
              <w:spacing w:after="0" w:line="276" w:lineRule="auto"/>
              <w:jc w:val="center"/>
              <w:rPr>
                <w:rFonts w:eastAsia="Times New Roman"/>
                <w:lang w:eastAsia="ru-RU"/>
              </w:rPr>
            </w:pPr>
          </w:p>
        </w:tc>
        <w:tc>
          <w:tcPr>
            <w:tcW w:w="614" w:type="pct"/>
            <w:tcBorders>
              <w:top w:val="nil"/>
              <w:left w:val="nil"/>
              <w:bottom w:val="single" w:sz="8" w:space="0" w:color="auto"/>
              <w:right w:val="single" w:sz="8" w:space="0" w:color="auto"/>
            </w:tcBorders>
            <w:shd w:val="clear" w:color="auto" w:fill="auto"/>
            <w:noWrap/>
            <w:vAlign w:val="center"/>
            <w:hideMark/>
          </w:tcPr>
          <w:p w14:paraId="0B1CC021" w14:textId="77777777" w:rsidR="009A4C46" w:rsidRPr="009A4C46" w:rsidRDefault="009A4C46" w:rsidP="009A4C46">
            <w:pPr>
              <w:spacing w:after="0" w:line="276" w:lineRule="auto"/>
              <w:jc w:val="center"/>
              <w:rPr>
                <w:rFonts w:eastAsia="Times New Roman"/>
                <w:lang w:eastAsia="ru-RU"/>
              </w:rPr>
            </w:pPr>
          </w:p>
        </w:tc>
      </w:tr>
      <w:tr w:rsidR="009A4C46" w:rsidRPr="009A4C46" w14:paraId="5623A343" w14:textId="77777777" w:rsidTr="00070F3E">
        <w:trPr>
          <w:trHeight w:val="300"/>
        </w:trPr>
        <w:tc>
          <w:tcPr>
            <w:tcW w:w="988" w:type="pct"/>
            <w:tcBorders>
              <w:top w:val="nil"/>
              <w:left w:val="single" w:sz="4" w:space="0" w:color="auto"/>
              <w:bottom w:val="single" w:sz="4" w:space="0" w:color="auto"/>
              <w:right w:val="single" w:sz="4" w:space="0" w:color="auto"/>
            </w:tcBorders>
            <w:shd w:val="clear" w:color="auto" w:fill="auto"/>
            <w:noWrap/>
            <w:vAlign w:val="center"/>
            <w:hideMark/>
          </w:tcPr>
          <w:p w14:paraId="4443E1CA" w14:textId="77777777" w:rsidR="009A4C46" w:rsidRPr="009A4C46" w:rsidRDefault="009A4C46" w:rsidP="009A4C46">
            <w:pPr>
              <w:spacing w:after="0" w:line="240" w:lineRule="auto"/>
              <w:rPr>
                <w:rFonts w:eastAsia="Times New Roman"/>
                <w:lang w:eastAsia="ru-RU"/>
              </w:rPr>
            </w:pPr>
            <w:r w:rsidRPr="009A4C46">
              <w:rPr>
                <w:rFonts w:eastAsia="Times New Roman"/>
                <w:lang w:eastAsia="ru-RU"/>
              </w:rPr>
              <w:t>Категория 1*</w:t>
            </w:r>
          </w:p>
        </w:tc>
        <w:tc>
          <w:tcPr>
            <w:tcW w:w="657" w:type="pct"/>
            <w:tcBorders>
              <w:top w:val="nil"/>
              <w:left w:val="nil"/>
              <w:bottom w:val="single" w:sz="8" w:space="0" w:color="auto"/>
              <w:right w:val="single" w:sz="8" w:space="0" w:color="auto"/>
            </w:tcBorders>
            <w:shd w:val="clear" w:color="auto" w:fill="auto"/>
            <w:noWrap/>
            <w:vAlign w:val="center"/>
            <w:hideMark/>
          </w:tcPr>
          <w:p w14:paraId="7B39CD9C" w14:textId="77777777" w:rsidR="009A4C46" w:rsidRPr="009A4C46" w:rsidRDefault="009A4C46" w:rsidP="009A4C46">
            <w:pPr>
              <w:spacing w:after="0" w:line="276" w:lineRule="auto"/>
              <w:jc w:val="center"/>
              <w:rPr>
                <w:rFonts w:eastAsia="Times New Roman"/>
                <w:lang w:eastAsia="ru-RU"/>
              </w:rPr>
            </w:pPr>
          </w:p>
        </w:tc>
        <w:tc>
          <w:tcPr>
            <w:tcW w:w="662" w:type="pct"/>
            <w:tcBorders>
              <w:top w:val="nil"/>
              <w:left w:val="nil"/>
              <w:bottom w:val="single" w:sz="8" w:space="0" w:color="auto"/>
              <w:right w:val="single" w:sz="8" w:space="0" w:color="auto"/>
            </w:tcBorders>
            <w:shd w:val="clear" w:color="auto" w:fill="auto"/>
            <w:noWrap/>
            <w:vAlign w:val="center"/>
            <w:hideMark/>
          </w:tcPr>
          <w:p w14:paraId="7391C198" w14:textId="77777777" w:rsidR="009A4C46" w:rsidRPr="009A4C46" w:rsidRDefault="009A4C46" w:rsidP="009A4C46">
            <w:pPr>
              <w:spacing w:after="0" w:line="276" w:lineRule="auto"/>
              <w:jc w:val="center"/>
              <w:rPr>
                <w:rFonts w:eastAsia="Times New Roman"/>
                <w:lang w:eastAsia="ru-RU"/>
              </w:rPr>
            </w:pPr>
          </w:p>
        </w:tc>
        <w:tc>
          <w:tcPr>
            <w:tcW w:w="709" w:type="pct"/>
            <w:tcBorders>
              <w:top w:val="nil"/>
              <w:left w:val="nil"/>
              <w:bottom w:val="single" w:sz="8" w:space="0" w:color="auto"/>
              <w:right w:val="single" w:sz="8" w:space="0" w:color="auto"/>
            </w:tcBorders>
            <w:shd w:val="clear" w:color="auto" w:fill="auto"/>
            <w:noWrap/>
            <w:vAlign w:val="center"/>
            <w:hideMark/>
          </w:tcPr>
          <w:p w14:paraId="39BCE206" w14:textId="77777777" w:rsidR="009A4C46" w:rsidRPr="009A4C46" w:rsidRDefault="009A4C46" w:rsidP="009A4C46">
            <w:pPr>
              <w:spacing w:after="0" w:line="240" w:lineRule="auto"/>
              <w:jc w:val="center"/>
              <w:rPr>
                <w:rFonts w:eastAsia="Times New Roman"/>
                <w:lang w:eastAsia="ru-RU"/>
              </w:rPr>
            </w:pPr>
            <w:r w:rsidRPr="009A4C46">
              <w:rPr>
                <w:rFonts w:eastAsia="Times New Roman"/>
                <w:lang w:eastAsia="ru-RU"/>
              </w:rPr>
              <w:t>2,22113</w:t>
            </w:r>
          </w:p>
        </w:tc>
        <w:tc>
          <w:tcPr>
            <w:tcW w:w="661" w:type="pct"/>
            <w:tcBorders>
              <w:top w:val="nil"/>
              <w:left w:val="nil"/>
              <w:bottom w:val="single" w:sz="8" w:space="0" w:color="auto"/>
              <w:right w:val="single" w:sz="8" w:space="0" w:color="auto"/>
            </w:tcBorders>
            <w:shd w:val="clear" w:color="auto" w:fill="auto"/>
            <w:noWrap/>
            <w:vAlign w:val="center"/>
            <w:hideMark/>
          </w:tcPr>
          <w:p w14:paraId="1E37D91F" w14:textId="77777777" w:rsidR="009A4C46" w:rsidRPr="009A4C46" w:rsidRDefault="009A4C46" w:rsidP="009A4C46">
            <w:pPr>
              <w:spacing w:after="0" w:line="276" w:lineRule="auto"/>
              <w:jc w:val="center"/>
              <w:rPr>
                <w:rFonts w:eastAsia="Times New Roman"/>
                <w:lang w:eastAsia="ru-RU"/>
              </w:rPr>
            </w:pPr>
          </w:p>
        </w:tc>
        <w:tc>
          <w:tcPr>
            <w:tcW w:w="709" w:type="pct"/>
            <w:tcBorders>
              <w:top w:val="nil"/>
              <w:left w:val="nil"/>
              <w:bottom w:val="single" w:sz="8" w:space="0" w:color="auto"/>
              <w:right w:val="single" w:sz="8" w:space="0" w:color="auto"/>
            </w:tcBorders>
            <w:shd w:val="clear" w:color="auto" w:fill="auto"/>
            <w:noWrap/>
            <w:vAlign w:val="center"/>
            <w:hideMark/>
          </w:tcPr>
          <w:p w14:paraId="5F91450A" w14:textId="77777777" w:rsidR="009A4C46" w:rsidRPr="009A4C46" w:rsidRDefault="009A4C46" w:rsidP="009A4C46">
            <w:pPr>
              <w:spacing w:after="0" w:line="276" w:lineRule="auto"/>
              <w:jc w:val="center"/>
              <w:rPr>
                <w:rFonts w:eastAsia="Times New Roman"/>
                <w:lang w:eastAsia="ru-RU"/>
              </w:rPr>
            </w:pPr>
          </w:p>
        </w:tc>
        <w:tc>
          <w:tcPr>
            <w:tcW w:w="614" w:type="pct"/>
            <w:tcBorders>
              <w:top w:val="nil"/>
              <w:left w:val="nil"/>
              <w:bottom w:val="single" w:sz="8" w:space="0" w:color="auto"/>
              <w:right w:val="single" w:sz="8" w:space="0" w:color="auto"/>
            </w:tcBorders>
            <w:shd w:val="clear" w:color="auto" w:fill="auto"/>
            <w:noWrap/>
            <w:vAlign w:val="center"/>
            <w:hideMark/>
          </w:tcPr>
          <w:p w14:paraId="6312751C" w14:textId="77777777" w:rsidR="009A4C46" w:rsidRPr="009A4C46" w:rsidRDefault="009A4C46" w:rsidP="009A4C46">
            <w:pPr>
              <w:spacing w:after="0" w:line="240" w:lineRule="auto"/>
              <w:jc w:val="center"/>
              <w:rPr>
                <w:rFonts w:eastAsia="Times New Roman"/>
                <w:lang w:eastAsia="ru-RU"/>
              </w:rPr>
            </w:pPr>
            <w:r w:rsidRPr="009A4C46">
              <w:rPr>
                <w:rFonts w:eastAsia="Times New Roman"/>
                <w:lang w:eastAsia="ru-RU"/>
              </w:rPr>
              <w:t>2,32745</w:t>
            </w:r>
          </w:p>
        </w:tc>
      </w:tr>
      <w:tr w:rsidR="009A4C46" w:rsidRPr="009A4C46" w14:paraId="4A1FBCD6" w14:textId="77777777" w:rsidTr="00070F3E">
        <w:trPr>
          <w:trHeight w:val="300"/>
        </w:trPr>
        <w:tc>
          <w:tcPr>
            <w:tcW w:w="988" w:type="pct"/>
            <w:tcBorders>
              <w:top w:val="nil"/>
              <w:left w:val="single" w:sz="4" w:space="0" w:color="auto"/>
              <w:bottom w:val="single" w:sz="4" w:space="0" w:color="auto"/>
              <w:right w:val="single" w:sz="4" w:space="0" w:color="auto"/>
            </w:tcBorders>
            <w:shd w:val="clear" w:color="auto" w:fill="auto"/>
            <w:noWrap/>
            <w:vAlign w:val="center"/>
            <w:hideMark/>
          </w:tcPr>
          <w:p w14:paraId="303B375A" w14:textId="77777777" w:rsidR="009A4C46" w:rsidRPr="009A4C46" w:rsidRDefault="009A4C46" w:rsidP="009A4C46">
            <w:pPr>
              <w:spacing w:after="0" w:line="240" w:lineRule="auto"/>
              <w:rPr>
                <w:rFonts w:eastAsia="Times New Roman"/>
                <w:lang w:eastAsia="ru-RU"/>
              </w:rPr>
            </w:pPr>
            <w:r w:rsidRPr="009A4C46">
              <w:rPr>
                <w:rFonts w:eastAsia="Times New Roman"/>
                <w:lang w:eastAsia="ru-RU"/>
              </w:rPr>
              <w:t>Категория 2*</w:t>
            </w:r>
          </w:p>
        </w:tc>
        <w:tc>
          <w:tcPr>
            <w:tcW w:w="657" w:type="pct"/>
            <w:tcBorders>
              <w:top w:val="nil"/>
              <w:left w:val="nil"/>
              <w:bottom w:val="single" w:sz="8" w:space="0" w:color="auto"/>
              <w:right w:val="single" w:sz="8" w:space="0" w:color="auto"/>
            </w:tcBorders>
            <w:shd w:val="clear" w:color="auto" w:fill="auto"/>
            <w:noWrap/>
            <w:vAlign w:val="center"/>
            <w:hideMark/>
          </w:tcPr>
          <w:p w14:paraId="6AC754C1" w14:textId="77777777" w:rsidR="009A4C46" w:rsidRPr="009A4C46" w:rsidRDefault="009A4C46" w:rsidP="009A4C46">
            <w:pPr>
              <w:spacing w:after="0" w:line="276" w:lineRule="auto"/>
              <w:jc w:val="center"/>
              <w:rPr>
                <w:rFonts w:eastAsia="Times New Roman"/>
                <w:lang w:eastAsia="ru-RU"/>
              </w:rPr>
            </w:pPr>
          </w:p>
        </w:tc>
        <w:tc>
          <w:tcPr>
            <w:tcW w:w="662" w:type="pct"/>
            <w:tcBorders>
              <w:top w:val="nil"/>
              <w:left w:val="nil"/>
              <w:bottom w:val="single" w:sz="8" w:space="0" w:color="auto"/>
              <w:right w:val="single" w:sz="8" w:space="0" w:color="auto"/>
            </w:tcBorders>
            <w:shd w:val="clear" w:color="auto" w:fill="auto"/>
            <w:noWrap/>
            <w:vAlign w:val="center"/>
            <w:hideMark/>
          </w:tcPr>
          <w:p w14:paraId="7C0B60E1" w14:textId="77777777" w:rsidR="009A4C46" w:rsidRPr="009A4C46" w:rsidRDefault="009A4C46" w:rsidP="009A4C46">
            <w:pPr>
              <w:spacing w:after="0" w:line="276" w:lineRule="auto"/>
              <w:jc w:val="center"/>
              <w:rPr>
                <w:rFonts w:eastAsia="Times New Roman"/>
                <w:lang w:eastAsia="ru-RU"/>
              </w:rPr>
            </w:pPr>
          </w:p>
        </w:tc>
        <w:tc>
          <w:tcPr>
            <w:tcW w:w="709" w:type="pct"/>
            <w:tcBorders>
              <w:top w:val="nil"/>
              <w:left w:val="nil"/>
              <w:bottom w:val="single" w:sz="8" w:space="0" w:color="auto"/>
              <w:right w:val="single" w:sz="8" w:space="0" w:color="auto"/>
            </w:tcBorders>
            <w:shd w:val="clear" w:color="auto" w:fill="auto"/>
            <w:noWrap/>
            <w:vAlign w:val="center"/>
            <w:hideMark/>
          </w:tcPr>
          <w:p w14:paraId="5B907FD0" w14:textId="77777777" w:rsidR="009A4C46" w:rsidRPr="009A4C46" w:rsidRDefault="009A4C46" w:rsidP="009A4C46">
            <w:pPr>
              <w:spacing w:after="0" w:line="240" w:lineRule="auto"/>
              <w:jc w:val="center"/>
              <w:rPr>
                <w:rFonts w:eastAsia="Times New Roman"/>
                <w:lang w:eastAsia="ru-RU"/>
              </w:rPr>
            </w:pPr>
            <w:r w:rsidRPr="009A4C46">
              <w:rPr>
                <w:rFonts w:eastAsia="Times New Roman"/>
                <w:lang w:eastAsia="ru-RU"/>
              </w:rPr>
              <w:t>1,41604</w:t>
            </w:r>
          </w:p>
        </w:tc>
        <w:tc>
          <w:tcPr>
            <w:tcW w:w="661" w:type="pct"/>
            <w:tcBorders>
              <w:top w:val="nil"/>
              <w:left w:val="nil"/>
              <w:bottom w:val="single" w:sz="8" w:space="0" w:color="auto"/>
              <w:right w:val="single" w:sz="8" w:space="0" w:color="auto"/>
            </w:tcBorders>
            <w:shd w:val="clear" w:color="auto" w:fill="auto"/>
            <w:noWrap/>
            <w:vAlign w:val="center"/>
            <w:hideMark/>
          </w:tcPr>
          <w:p w14:paraId="518433F1" w14:textId="77777777" w:rsidR="009A4C46" w:rsidRPr="009A4C46" w:rsidRDefault="009A4C46" w:rsidP="009A4C46">
            <w:pPr>
              <w:spacing w:after="0" w:line="276" w:lineRule="auto"/>
              <w:jc w:val="center"/>
              <w:rPr>
                <w:rFonts w:eastAsia="Times New Roman"/>
                <w:lang w:eastAsia="ru-RU"/>
              </w:rPr>
            </w:pPr>
          </w:p>
        </w:tc>
        <w:tc>
          <w:tcPr>
            <w:tcW w:w="709" w:type="pct"/>
            <w:tcBorders>
              <w:top w:val="nil"/>
              <w:left w:val="nil"/>
              <w:bottom w:val="single" w:sz="8" w:space="0" w:color="auto"/>
              <w:right w:val="single" w:sz="8" w:space="0" w:color="auto"/>
            </w:tcBorders>
            <w:shd w:val="clear" w:color="auto" w:fill="auto"/>
            <w:noWrap/>
            <w:vAlign w:val="center"/>
            <w:hideMark/>
          </w:tcPr>
          <w:p w14:paraId="57C9752C" w14:textId="77777777" w:rsidR="009A4C46" w:rsidRPr="009A4C46" w:rsidRDefault="009A4C46" w:rsidP="009A4C46">
            <w:pPr>
              <w:spacing w:after="0" w:line="276" w:lineRule="auto"/>
              <w:jc w:val="center"/>
              <w:rPr>
                <w:rFonts w:eastAsia="Times New Roman"/>
                <w:lang w:eastAsia="ru-RU"/>
              </w:rPr>
            </w:pPr>
          </w:p>
        </w:tc>
        <w:tc>
          <w:tcPr>
            <w:tcW w:w="614" w:type="pct"/>
            <w:tcBorders>
              <w:top w:val="nil"/>
              <w:left w:val="nil"/>
              <w:bottom w:val="single" w:sz="8" w:space="0" w:color="auto"/>
              <w:right w:val="single" w:sz="8" w:space="0" w:color="auto"/>
            </w:tcBorders>
            <w:shd w:val="clear" w:color="auto" w:fill="auto"/>
            <w:noWrap/>
            <w:vAlign w:val="center"/>
            <w:hideMark/>
          </w:tcPr>
          <w:p w14:paraId="66A103E8" w14:textId="77777777" w:rsidR="009A4C46" w:rsidRPr="009A4C46" w:rsidRDefault="009A4C46" w:rsidP="009A4C46">
            <w:pPr>
              <w:spacing w:after="0" w:line="240" w:lineRule="auto"/>
              <w:jc w:val="center"/>
              <w:rPr>
                <w:rFonts w:eastAsia="Times New Roman"/>
                <w:lang w:eastAsia="ru-RU"/>
              </w:rPr>
            </w:pPr>
            <w:r w:rsidRPr="009A4C46">
              <w:rPr>
                <w:rFonts w:eastAsia="Times New Roman"/>
                <w:lang w:eastAsia="ru-RU"/>
              </w:rPr>
              <w:t>1,48847</w:t>
            </w:r>
          </w:p>
        </w:tc>
      </w:tr>
      <w:tr w:rsidR="009A4C46" w:rsidRPr="009A4C46" w14:paraId="52F54A2C" w14:textId="77777777" w:rsidTr="00070F3E">
        <w:trPr>
          <w:trHeight w:val="300"/>
        </w:trPr>
        <w:tc>
          <w:tcPr>
            <w:tcW w:w="988" w:type="pct"/>
            <w:tcBorders>
              <w:top w:val="nil"/>
              <w:left w:val="single" w:sz="4" w:space="0" w:color="auto"/>
              <w:bottom w:val="single" w:sz="4" w:space="0" w:color="auto"/>
              <w:right w:val="single" w:sz="4" w:space="0" w:color="auto"/>
            </w:tcBorders>
            <w:shd w:val="clear" w:color="auto" w:fill="auto"/>
            <w:noWrap/>
            <w:vAlign w:val="center"/>
            <w:hideMark/>
          </w:tcPr>
          <w:p w14:paraId="3E9C4A9D" w14:textId="77777777" w:rsidR="009A4C46" w:rsidRPr="009A4C46" w:rsidRDefault="009A4C46" w:rsidP="009A4C46">
            <w:pPr>
              <w:spacing w:after="0" w:line="240" w:lineRule="auto"/>
              <w:rPr>
                <w:rFonts w:eastAsia="Times New Roman"/>
                <w:lang w:eastAsia="ru-RU"/>
              </w:rPr>
            </w:pPr>
            <w:r w:rsidRPr="009A4C46">
              <w:rPr>
                <w:rFonts w:eastAsia="Times New Roman"/>
                <w:lang w:eastAsia="ru-RU"/>
              </w:rPr>
              <w:t>Категория 3*</w:t>
            </w:r>
          </w:p>
        </w:tc>
        <w:tc>
          <w:tcPr>
            <w:tcW w:w="657" w:type="pct"/>
            <w:tcBorders>
              <w:top w:val="nil"/>
              <w:left w:val="nil"/>
              <w:bottom w:val="single" w:sz="8" w:space="0" w:color="auto"/>
              <w:right w:val="single" w:sz="8" w:space="0" w:color="auto"/>
            </w:tcBorders>
            <w:shd w:val="clear" w:color="auto" w:fill="auto"/>
            <w:noWrap/>
            <w:vAlign w:val="center"/>
            <w:hideMark/>
          </w:tcPr>
          <w:p w14:paraId="0CE73FF5" w14:textId="77777777" w:rsidR="009A4C46" w:rsidRPr="009A4C46" w:rsidRDefault="009A4C46" w:rsidP="009A4C46">
            <w:pPr>
              <w:spacing w:after="0" w:line="276" w:lineRule="auto"/>
              <w:jc w:val="center"/>
              <w:rPr>
                <w:rFonts w:eastAsia="Times New Roman"/>
                <w:lang w:eastAsia="ru-RU"/>
              </w:rPr>
            </w:pPr>
          </w:p>
        </w:tc>
        <w:tc>
          <w:tcPr>
            <w:tcW w:w="662" w:type="pct"/>
            <w:tcBorders>
              <w:top w:val="nil"/>
              <w:left w:val="nil"/>
              <w:bottom w:val="single" w:sz="8" w:space="0" w:color="auto"/>
              <w:right w:val="single" w:sz="8" w:space="0" w:color="auto"/>
            </w:tcBorders>
            <w:shd w:val="clear" w:color="auto" w:fill="auto"/>
            <w:noWrap/>
            <w:vAlign w:val="center"/>
            <w:hideMark/>
          </w:tcPr>
          <w:p w14:paraId="1E8D4218" w14:textId="77777777" w:rsidR="009A4C46" w:rsidRPr="009A4C46" w:rsidRDefault="009A4C46" w:rsidP="009A4C46">
            <w:pPr>
              <w:spacing w:after="0" w:line="276" w:lineRule="auto"/>
              <w:jc w:val="center"/>
              <w:rPr>
                <w:rFonts w:eastAsia="Times New Roman"/>
                <w:lang w:eastAsia="ru-RU"/>
              </w:rPr>
            </w:pPr>
          </w:p>
        </w:tc>
        <w:tc>
          <w:tcPr>
            <w:tcW w:w="709" w:type="pct"/>
            <w:tcBorders>
              <w:top w:val="nil"/>
              <w:left w:val="nil"/>
              <w:bottom w:val="single" w:sz="8" w:space="0" w:color="auto"/>
              <w:right w:val="single" w:sz="8" w:space="0" w:color="auto"/>
            </w:tcBorders>
            <w:shd w:val="clear" w:color="auto" w:fill="auto"/>
            <w:noWrap/>
            <w:vAlign w:val="center"/>
            <w:hideMark/>
          </w:tcPr>
          <w:p w14:paraId="2C2D4D04" w14:textId="77777777" w:rsidR="009A4C46" w:rsidRPr="009A4C46" w:rsidRDefault="009A4C46" w:rsidP="009A4C46">
            <w:pPr>
              <w:spacing w:after="0" w:line="240" w:lineRule="auto"/>
              <w:jc w:val="center"/>
              <w:rPr>
                <w:rFonts w:eastAsia="Times New Roman"/>
                <w:lang w:eastAsia="ru-RU"/>
              </w:rPr>
            </w:pPr>
            <w:r w:rsidRPr="009A4C46">
              <w:rPr>
                <w:rFonts w:eastAsia="Times New Roman"/>
                <w:lang w:eastAsia="ru-RU"/>
              </w:rPr>
              <w:t>1,41604</w:t>
            </w:r>
          </w:p>
        </w:tc>
        <w:tc>
          <w:tcPr>
            <w:tcW w:w="661" w:type="pct"/>
            <w:tcBorders>
              <w:top w:val="nil"/>
              <w:left w:val="nil"/>
              <w:bottom w:val="single" w:sz="8" w:space="0" w:color="auto"/>
              <w:right w:val="single" w:sz="8" w:space="0" w:color="auto"/>
            </w:tcBorders>
            <w:shd w:val="clear" w:color="auto" w:fill="auto"/>
            <w:noWrap/>
            <w:vAlign w:val="center"/>
            <w:hideMark/>
          </w:tcPr>
          <w:p w14:paraId="60F05211" w14:textId="77777777" w:rsidR="009A4C46" w:rsidRPr="009A4C46" w:rsidRDefault="009A4C46" w:rsidP="009A4C46">
            <w:pPr>
              <w:spacing w:after="0" w:line="276" w:lineRule="auto"/>
              <w:jc w:val="center"/>
              <w:rPr>
                <w:rFonts w:eastAsia="Times New Roman"/>
                <w:lang w:eastAsia="ru-RU"/>
              </w:rPr>
            </w:pPr>
          </w:p>
        </w:tc>
        <w:tc>
          <w:tcPr>
            <w:tcW w:w="709" w:type="pct"/>
            <w:tcBorders>
              <w:top w:val="nil"/>
              <w:left w:val="nil"/>
              <w:bottom w:val="single" w:sz="8" w:space="0" w:color="auto"/>
              <w:right w:val="single" w:sz="8" w:space="0" w:color="auto"/>
            </w:tcBorders>
            <w:shd w:val="clear" w:color="auto" w:fill="auto"/>
            <w:noWrap/>
            <w:vAlign w:val="center"/>
            <w:hideMark/>
          </w:tcPr>
          <w:p w14:paraId="7E89382E" w14:textId="77777777" w:rsidR="009A4C46" w:rsidRPr="009A4C46" w:rsidRDefault="009A4C46" w:rsidP="009A4C46">
            <w:pPr>
              <w:spacing w:after="0" w:line="276" w:lineRule="auto"/>
              <w:jc w:val="center"/>
              <w:rPr>
                <w:rFonts w:eastAsia="Times New Roman"/>
                <w:lang w:eastAsia="ru-RU"/>
              </w:rPr>
            </w:pPr>
          </w:p>
        </w:tc>
        <w:tc>
          <w:tcPr>
            <w:tcW w:w="614" w:type="pct"/>
            <w:tcBorders>
              <w:top w:val="nil"/>
              <w:left w:val="nil"/>
              <w:bottom w:val="single" w:sz="8" w:space="0" w:color="auto"/>
              <w:right w:val="single" w:sz="8" w:space="0" w:color="auto"/>
            </w:tcBorders>
            <w:shd w:val="clear" w:color="auto" w:fill="auto"/>
            <w:noWrap/>
            <w:vAlign w:val="center"/>
            <w:hideMark/>
          </w:tcPr>
          <w:p w14:paraId="713D2D07" w14:textId="77777777" w:rsidR="009A4C46" w:rsidRPr="009A4C46" w:rsidRDefault="009A4C46" w:rsidP="009A4C46">
            <w:pPr>
              <w:spacing w:after="0" w:line="240" w:lineRule="auto"/>
              <w:jc w:val="center"/>
              <w:rPr>
                <w:rFonts w:eastAsia="Times New Roman"/>
                <w:lang w:eastAsia="ru-RU"/>
              </w:rPr>
            </w:pPr>
            <w:r w:rsidRPr="009A4C46">
              <w:rPr>
                <w:rFonts w:eastAsia="Times New Roman"/>
                <w:lang w:eastAsia="ru-RU"/>
              </w:rPr>
              <w:t>1,48847</w:t>
            </w:r>
          </w:p>
        </w:tc>
      </w:tr>
      <w:tr w:rsidR="009A4C46" w:rsidRPr="009A4C46" w14:paraId="6E2B009B" w14:textId="77777777" w:rsidTr="00070F3E">
        <w:trPr>
          <w:trHeight w:val="300"/>
        </w:trPr>
        <w:tc>
          <w:tcPr>
            <w:tcW w:w="988" w:type="pct"/>
            <w:tcBorders>
              <w:top w:val="nil"/>
              <w:left w:val="single" w:sz="4" w:space="0" w:color="auto"/>
              <w:bottom w:val="single" w:sz="4" w:space="0" w:color="auto"/>
              <w:right w:val="single" w:sz="4" w:space="0" w:color="auto"/>
            </w:tcBorders>
            <w:shd w:val="clear" w:color="auto" w:fill="auto"/>
            <w:noWrap/>
            <w:vAlign w:val="center"/>
            <w:hideMark/>
          </w:tcPr>
          <w:p w14:paraId="272B51BA" w14:textId="77777777" w:rsidR="009A4C46" w:rsidRPr="009A4C46" w:rsidRDefault="009A4C46" w:rsidP="009A4C46">
            <w:pPr>
              <w:spacing w:after="0" w:line="240" w:lineRule="auto"/>
              <w:rPr>
                <w:rFonts w:eastAsia="Times New Roman"/>
                <w:lang w:eastAsia="ru-RU"/>
              </w:rPr>
            </w:pPr>
            <w:r w:rsidRPr="009A4C46">
              <w:rPr>
                <w:rFonts w:eastAsia="Times New Roman"/>
                <w:lang w:eastAsia="ru-RU"/>
              </w:rPr>
              <w:t>Категория 4.1*</w:t>
            </w:r>
          </w:p>
        </w:tc>
        <w:tc>
          <w:tcPr>
            <w:tcW w:w="657" w:type="pct"/>
            <w:tcBorders>
              <w:top w:val="nil"/>
              <w:left w:val="nil"/>
              <w:bottom w:val="single" w:sz="8" w:space="0" w:color="auto"/>
              <w:right w:val="single" w:sz="8" w:space="0" w:color="auto"/>
            </w:tcBorders>
            <w:shd w:val="clear" w:color="auto" w:fill="auto"/>
            <w:noWrap/>
            <w:vAlign w:val="center"/>
            <w:hideMark/>
          </w:tcPr>
          <w:p w14:paraId="43EB1AF2" w14:textId="77777777" w:rsidR="009A4C46" w:rsidRPr="009A4C46" w:rsidRDefault="009A4C46" w:rsidP="009A4C46">
            <w:pPr>
              <w:spacing w:after="0" w:line="276" w:lineRule="auto"/>
              <w:jc w:val="center"/>
              <w:rPr>
                <w:rFonts w:eastAsia="Times New Roman"/>
                <w:lang w:eastAsia="ru-RU"/>
              </w:rPr>
            </w:pPr>
          </w:p>
        </w:tc>
        <w:tc>
          <w:tcPr>
            <w:tcW w:w="662" w:type="pct"/>
            <w:tcBorders>
              <w:top w:val="nil"/>
              <w:left w:val="nil"/>
              <w:bottom w:val="single" w:sz="8" w:space="0" w:color="auto"/>
              <w:right w:val="single" w:sz="8" w:space="0" w:color="auto"/>
            </w:tcBorders>
            <w:shd w:val="clear" w:color="auto" w:fill="auto"/>
            <w:noWrap/>
            <w:vAlign w:val="center"/>
            <w:hideMark/>
          </w:tcPr>
          <w:p w14:paraId="2D758F9B" w14:textId="77777777" w:rsidR="009A4C46" w:rsidRPr="009A4C46" w:rsidRDefault="009A4C46" w:rsidP="009A4C46">
            <w:pPr>
              <w:spacing w:after="0" w:line="276" w:lineRule="auto"/>
              <w:jc w:val="center"/>
              <w:rPr>
                <w:rFonts w:eastAsia="Times New Roman"/>
                <w:lang w:eastAsia="ru-RU"/>
              </w:rPr>
            </w:pPr>
          </w:p>
        </w:tc>
        <w:tc>
          <w:tcPr>
            <w:tcW w:w="709" w:type="pct"/>
            <w:tcBorders>
              <w:top w:val="nil"/>
              <w:left w:val="nil"/>
              <w:bottom w:val="single" w:sz="8" w:space="0" w:color="auto"/>
              <w:right w:val="single" w:sz="8" w:space="0" w:color="auto"/>
            </w:tcBorders>
            <w:shd w:val="clear" w:color="auto" w:fill="auto"/>
            <w:noWrap/>
            <w:vAlign w:val="center"/>
            <w:hideMark/>
          </w:tcPr>
          <w:p w14:paraId="1212F10C" w14:textId="77777777" w:rsidR="009A4C46" w:rsidRPr="009A4C46" w:rsidRDefault="009A4C46" w:rsidP="009A4C46">
            <w:pPr>
              <w:spacing w:after="0" w:line="240" w:lineRule="auto"/>
              <w:jc w:val="center"/>
              <w:rPr>
                <w:rFonts w:eastAsia="Times New Roman"/>
                <w:lang w:eastAsia="ru-RU"/>
              </w:rPr>
            </w:pPr>
            <w:r w:rsidRPr="009A4C46">
              <w:rPr>
                <w:rFonts w:eastAsia="Times New Roman"/>
                <w:lang w:eastAsia="ru-RU"/>
              </w:rPr>
              <w:t>1,41604</w:t>
            </w:r>
          </w:p>
        </w:tc>
        <w:tc>
          <w:tcPr>
            <w:tcW w:w="661" w:type="pct"/>
            <w:tcBorders>
              <w:top w:val="nil"/>
              <w:left w:val="nil"/>
              <w:bottom w:val="single" w:sz="8" w:space="0" w:color="auto"/>
              <w:right w:val="single" w:sz="8" w:space="0" w:color="auto"/>
            </w:tcBorders>
            <w:shd w:val="clear" w:color="auto" w:fill="auto"/>
            <w:noWrap/>
            <w:vAlign w:val="center"/>
            <w:hideMark/>
          </w:tcPr>
          <w:p w14:paraId="7BB614A0" w14:textId="77777777" w:rsidR="009A4C46" w:rsidRPr="009A4C46" w:rsidRDefault="009A4C46" w:rsidP="009A4C46">
            <w:pPr>
              <w:spacing w:after="0" w:line="276" w:lineRule="auto"/>
              <w:jc w:val="center"/>
              <w:rPr>
                <w:rFonts w:eastAsia="Times New Roman"/>
                <w:lang w:eastAsia="ru-RU"/>
              </w:rPr>
            </w:pPr>
          </w:p>
        </w:tc>
        <w:tc>
          <w:tcPr>
            <w:tcW w:w="709" w:type="pct"/>
            <w:tcBorders>
              <w:top w:val="nil"/>
              <w:left w:val="nil"/>
              <w:bottom w:val="single" w:sz="8" w:space="0" w:color="auto"/>
              <w:right w:val="single" w:sz="8" w:space="0" w:color="auto"/>
            </w:tcBorders>
            <w:shd w:val="clear" w:color="auto" w:fill="auto"/>
            <w:noWrap/>
            <w:vAlign w:val="center"/>
            <w:hideMark/>
          </w:tcPr>
          <w:p w14:paraId="134231F8" w14:textId="77777777" w:rsidR="009A4C46" w:rsidRPr="009A4C46" w:rsidRDefault="009A4C46" w:rsidP="009A4C46">
            <w:pPr>
              <w:spacing w:after="0" w:line="276" w:lineRule="auto"/>
              <w:jc w:val="center"/>
              <w:rPr>
                <w:rFonts w:eastAsia="Times New Roman"/>
                <w:lang w:eastAsia="ru-RU"/>
              </w:rPr>
            </w:pPr>
          </w:p>
        </w:tc>
        <w:tc>
          <w:tcPr>
            <w:tcW w:w="614" w:type="pct"/>
            <w:tcBorders>
              <w:top w:val="nil"/>
              <w:left w:val="nil"/>
              <w:bottom w:val="single" w:sz="8" w:space="0" w:color="auto"/>
              <w:right w:val="single" w:sz="8" w:space="0" w:color="auto"/>
            </w:tcBorders>
            <w:shd w:val="clear" w:color="auto" w:fill="auto"/>
            <w:noWrap/>
            <w:vAlign w:val="center"/>
            <w:hideMark/>
          </w:tcPr>
          <w:p w14:paraId="6D83A3AC" w14:textId="77777777" w:rsidR="009A4C46" w:rsidRPr="009A4C46" w:rsidRDefault="009A4C46" w:rsidP="009A4C46">
            <w:pPr>
              <w:spacing w:after="0" w:line="240" w:lineRule="auto"/>
              <w:jc w:val="center"/>
              <w:rPr>
                <w:rFonts w:eastAsia="Times New Roman"/>
                <w:lang w:eastAsia="ru-RU"/>
              </w:rPr>
            </w:pPr>
            <w:r w:rsidRPr="009A4C46">
              <w:rPr>
                <w:rFonts w:eastAsia="Times New Roman"/>
                <w:lang w:eastAsia="ru-RU"/>
              </w:rPr>
              <w:t>1,48847</w:t>
            </w:r>
          </w:p>
        </w:tc>
      </w:tr>
      <w:tr w:rsidR="009A4C46" w:rsidRPr="009A4C46" w14:paraId="398E3296" w14:textId="77777777" w:rsidTr="00070F3E">
        <w:trPr>
          <w:trHeight w:val="300"/>
        </w:trPr>
        <w:tc>
          <w:tcPr>
            <w:tcW w:w="988" w:type="pct"/>
            <w:tcBorders>
              <w:top w:val="nil"/>
              <w:left w:val="single" w:sz="4" w:space="0" w:color="auto"/>
              <w:bottom w:val="single" w:sz="4" w:space="0" w:color="auto"/>
              <w:right w:val="single" w:sz="4" w:space="0" w:color="auto"/>
            </w:tcBorders>
            <w:shd w:val="clear" w:color="auto" w:fill="auto"/>
            <w:noWrap/>
            <w:vAlign w:val="center"/>
            <w:hideMark/>
          </w:tcPr>
          <w:p w14:paraId="02C335B8" w14:textId="77777777" w:rsidR="009A4C46" w:rsidRPr="009A4C46" w:rsidRDefault="009A4C46" w:rsidP="009A4C46">
            <w:pPr>
              <w:spacing w:after="0" w:line="240" w:lineRule="auto"/>
              <w:rPr>
                <w:rFonts w:eastAsia="Times New Roman"/>
                <w:lang w:eastAsia="ru-RU"/>
              </w:rPr>
            </w:pPr>
            <w:r w:rsidRPr="009A4C46">
              <w:rPr>
                <w:rFonts w:eastAsia="Times New Roman"/>
                <w:lang w:eastAsia="ru-RU"/>
              </w:rPr>
              <w:t>Категория 4.2*</w:t>
            </w:r>
          </w:p>
        </w:tc>
        <w:tc>
          <w:tcPr>
            <w:tcW w:w="657" w:type="pct"/>
            <w:tcBorders>
              <w:top w:val="nil"/>
              <w:left w:val="nil"/>
              <w:bottom w:val="single" w:sz="8" w:space="0" w:color="auto"/>
              <w:right w:val="single" w:sz="8" w:space="0" w:color="auto"/>
            </w:tcBorders>
            <w:shd w:val="clear" w:color="auto" w:fill="auto"/>
            <w:noWrap/>
            <w:vAlign w:val="center"/>
            <w:hideMark/>
          </w:tcPr>
          <w:p w14:paraId="15F08D9E" w14:textId="77777777" w:rsidR="009A4C46" w:rsidRPr="009A4C46" w:rsidRDefault="009A4C46" w:rsidP="009A4C46">
            <w:pPr>
              <w:spacing w:after="0" w:line="276" w:lineRule="auto"/>
              <w:jc w:val="center"/>
              <w:rPr>
                <w:rFonts w:eastAsia="Times New Roman"/>
                <w:lang w:eastAsia="ru-RU"/>
              </w:rPr>
            </w:pPr>
          </w:p>
        </w:tc>
        <w:tc>
          <w:tcPr>
            <w:tcW w:w="662" w:type="pct"/>
            <w:tcBorders>
              <w:top w:val="nil"/>
              <w:left w:val="nil"/>
              <w:bottom w:val="single" w:sz="8" w:space="0" w:color="auto"/>
              <w:right w:val="single" w:sz="8" w:space="0" w:color="auto"/>
            </w:tcBorders>
            <w:shd w:val="clear" w:color="auto" w:fill="auto"/>
            <w:noWrap/>
            <w:vAlign w:val="center"/>
            <w:hideMark/>
          </w:tcPr>
          <w:p w14:paraId="48759B9A" w14:textId="77777777" w:rsidR="009A4C46" w:rsidRPr="009A4C46" w:rsidRDefault="009A4C46" w:rsidP="009A4C46">
            <w:pPr>
              <w:spacing w:after="0" w:line="276" w:lineRule="auto"/>
              <w:jc w:val="center"/>
              <w:rPr>
                <w:rFonts w:eastAsia="Times New Roman"/>
                <w:lang w:eastAsia="ru-RU"/>
              </w:rPr>
            </w:pPr>
          </w:p>
        </w:tc>
        <w:tc>
          <w:tcPr>
            <w:tcW w:w="709" w:type="pct"/>
            <w:tcBorders>
              <w:top w:val="nil"/>
              <w:left w:val="nil"/>
              <w:bottom w:val="single" w:sz="8" w:space="0" w:color="auto"/>
              <w:right w:val="single" w:sz="8" w:space="0" w:color="auto"/>
            </w:tcBorders>
            <w:shd w:val="clear" w:color="auto" w:fill="auto"/>
            <w:noWrap/>
            <w:vAlign w:val="center"/>
            <w:hideMark/>
          </w:tcPr>
          <w:p w14:paraId="62DF2C13" w14:textId="77777777" w:rsidR="009A4C46" w:rsidRPr="009A4C46" w:rsidRDefault="009A4C46" w:rsidP="009A4C46">
            <w:pPr>
              <w:spacing w:after="0" w:line="240" w:lineRule="auto"/>
              <w:jc w:val="center"/>
              <w:rPr>
                <w:rFonts w:eastAsia="Times New Roman"/>
                <w:lang w:eastAsia="ru-RU"/>
              </w:rPr>
            </w:pPr>
            <w:r w:rsidRPr="009A4C46">
              <w:rPr>
                <w:rFonts w:eastAsia="Times New Roman"/>
                <w:lang w:eastAsia="ru-RU"/>
              </w:rPr>
              <w:t>2,22113</w:t>
            </w:r>
          </w:p>
        </w:tc>
        <w:tc>
          <w:tcPr>
            <w:tcW w:w="661" w:type="pct"/>
            <w:tcBorders>
              <w:top w:val="nil"/>
              <w:left w:val="nil"/>
              <w:bottom w:val="single" w:sz="8" w:space="0" w:color="auto"/>
              <w:right w:val="single" w:sz="8" w:space="0" w:color="auto"/>
            </w:tcBorders>
            <w:shd w:val="clear" w:color="auto" w:fill="auto"/>
            <w:noWrap/>
            <w:vAlign w:val="center"/>
            <w:hideMark/>
          </w:tcPr>
          <w:p w14:paraId="26AAB988" w14:textId="77777777" w:rsidR="009A4C46" w:rsidRPr="009A4C46" w:rsidRDefault="009A4C46" w:rsidP="009A4C46">
            <w:pPr>
              <w:spacing w:after="0" w:line="276" w:lineRule="auto"/>
              <w:jc w:val="center"/>
              <w:rPr>
                <w:rFonts w:eastAsia="Times New Roman"/>
                <w:lang w:eastAsia="ru-RU"/>
              </w:rPr>
            </w:pPr>
          </w:p>
        </w:tc>
        <w:tc>
          <w:tcPr>
            <w:tcW w:w="709" w:type="pct"/>
            <w:tcBorders>
              <w:top w:val="nil"/>
              <w:left w:val="nil"/>
              <w:bottom w:val="single" w:sz="8" w:space="0" w:color="auto"/>
              <w:right w:val="single" w:sz="8" w:space="0" w:color="auto"/>
            </w:tcBorders>
            <w:shd w:val="clear" w:color="auto" w:fill="auto"/>
            <w:noWrap/>
            <w:vAlign w:val="center"/>
            <w:hideMark/>
          </w:tcPr>
          <w:p w14:paraId="7E9C6E12" w14:textId="77777777" w:rsidR="009A4C46" w:rsidRPr="009A4C46" w:rsidRDefault="009A4C46" w:rsidP="009A4C46">
            <w:pPr>
              <w:spacing w:after="0" w:line="276" w:lineRule="auto"/>
              <w:jc w:val="center"/>
              <w:rPr>
                <w:rFonts w:eastAsia="Times New Roman"/>
                <w:lang w:eastAsia="ru-RU"/>
              </w:rPr>
            </w:pPr>
          </w:p>
        </w:tc>
        <w:tc>
          <w:tcPr>
            <w:tcW w:w="614" w:type="pct"/>
            <w:tcBorders>
              <w:top w:val="nil"/>
              <w:left w:val="nil"/>
              <w:bottom w:val="single" w:sz="8" w:space="0" w:color="auto"/>
              <w:right w:val="single" w:sz="8" w:space="0" w:color="auto"/>
            </w:tcBorders>
            <w:shd w:val="clear" w:color="auto" w:fill="auto"/>
            <w:noWrap/>
            <w:vAlign w:val="center"/>
            <w:hideMark/>
          </w:tcPr>
          <w:p w14:paraId="5237964F" w14:textId="77777777" w:rsidR="009A4C46" w:rsidRPr="009A4C46" w:rsidRDefault="009A4C46" w:rsidP="009A4C46">
            <w:pPr>
              <w:spacing w:after="0" w:line="240" w:lineRule="auto"/>
              <w:jc w:val="center"/>
              <w:rPr>
                <w:rFonts w:eastAsia="Times New Roman"/>
                <w:lang w:eastAsia="ru-RU"/>
              </w:rPr>
            </w:pPr>
            <w:r w:rsidRPr="009A4C46">
              <w:rPr>
                <w:rFonts w:eastAsia="Times New Roman"/>
                <w:lang w:eastAsia="ru-RU"/>
              </w:rPr>
              <w:t>2,32745</w:t>
            </w:r>
          </w:p>
        </w:tc>
      </w:tr>
      <w:tr w:rsidR="009A4C46" w:rsidRPr="009A4C46" w14:paraId="1F4CFDD6" w14:textId="77777777" w:rsidTr="00070F3E">
        <w:trPr>
          <w:trHeight w:val="300"/>
        </w:trPr>
        <w:tc>
          <w:tcPr>
            <w:tcW w:w="988" w:type="pct"/>
            <w:tcBorders>
              <w:top w:val="nil"/>
              <w:left w:val="single" w:sz="4" w:space="0" w:color="auto"/>
              <w:bottom w:val="single" w:sz="4" w:space="0" w:color="auto"/>
              <w:right w:val="single" w:sz="4" w:space="0" w:color="auto"/>
            </w:tcBorders>
            <w:shd w:val="clear" w:color="auto" w:fill="auto"/>
            <w:noWrap/>
            <w:vAlign w:val="center"/>
            <w:hideMark/>
          </w:tcPr>
          <w:p w14:paraId="1F376ED3" w14:textId="77777777" w:rsidR="009A4C46" w:rsidRPr="009A4C46" w:rsidRDefault="009A4C46" w:rsidP="009A4C46">
            <w:pPr>
              <w:spacing w:after="0" w:line="240" w:lineRule="auto"/>
              <w:rPr>
                <w:rFonts w:eastAsia="Times New Roman"/>
                <w:lang w:eastAsia="ru-RU"/>
              </w:rPr>
            </w:pPr>
            <w:r w:rsidRPr="009A4C46">
              <w:rPr>
                <w:rFonts w:eastAsia="Times New Roman"/>
                <w:lang w:eastAsia="ru-RU"/>
              </w:rPr>
              <w:t>Категория 4.3*</w:t>
            </w:r>
          </w:p>
        </w:tc>
        <w:tc>
          <w:tcPr>
            <w:tcW w:w="657" w:type="pct"/>
            <w:tcBorders>
              <w:top w:val="nil"/>
              <w:left w:val="nil"/>
              <w:bottom w:val="single" w:sz="8" w:space="0" w:color="auto"/>
              <w:right w:val="single" w:sz="8" w:space="0" w:color="auto"/>
            </w:tcBorders>
            <w:shd w:val="clear" w:color="auto" w:fill="auto"/>
            <w:noWrap/>
            <w:vAlign w:val="center"/>
            <w:hideMark/>
          </w:tcPr>
          <w:p w14:paraId="2CA34F53" w14:textId="77777777" w:rsidR="009A4C46" w:rsidRPr="009A4C46" w:rsidRDefault="009A4C46" w:rsidP="009A4C46">
            <w:pPr>
              <w:spacing w:after="0" w:line="276" w:lineRule="auto"/>
              <w:jc w:val="center"/>
              <w:rPr>
                <w:rFonts w:eastAsia="Times New Roman"/>
                <w:lang w:eastAsia="ru-RU"/>
              </w:rPr>
            </w:pPr>
          </w:p>
        </w:tc>
        <w:tc>
          <w:tcPr>
            <w:tcW w:w="662" w:type="pct"/>
            <w:tcBorders>
              <w:top w:val="nil"/>
              <w:left w:val="nil"/>
              <w:bottom w:val="single" w:sz="8" w:space="0" w:color="auto"/>
              <w:right w:val="single" w:sz="8" w:space="0" w:color="auto"/>
            </w:tcBorders>
            <w:shd w:val="clear" w:color="auto" w:fill="auto"/>
            <w:noWrap/>
            <w:vAlign w:val="center"/>
            <w:hideMark/>
          </w:tcPr>
          <w:p w14:paraId="1026DF40" w14:textId="77777777" w:rsidR="009A4C46" w:rsidRPr="009A4C46" w:rsidRDefault="009A4C46" w:rsidP="009A4C46">
            <w:pPr>
              <w:spacing w:after="0" w:line="276" w:lineRule="auto"/>
              <w:jc w:val="center"/>
              <w:rPr>
                <w:rFonts w:eastAsia="Times New Roman"/>
                <w:lang w:eastAsia="ru-RU"/>
              </w:rPr>
            </w:pPr>
          </w:p>
        </w:tc>
        <w:tc>
          <w:tcPr>
            <w:tcW w:w="709" w:type="pct"/>
            <w:tcBorders>
              <w:top w:val="nil"/>
              <w:left w:val="nil"/>
              <w:bottom w:val="single" w:sz="8" w:space="0" w:color="auto"/>
              <w:right w:val="single" w:sz="8" w:space="0" w:color="auto"/>
            </w:tcBorders>
            <w:shd w:val="clear" w:color="auto" w:fill="auto"/>
            <w:noWrap/>
            <w:vAlign w:val="center"/>
            <w:hideMark/>
          </w:tcPr>
          <w:p w14:paraId="3E4F414A" w14:textId="77777777" w:rsidR="009A4C46" w:rsidRPr="009A4C46" w:rsidRDefault="009A4C46" w:rsidP="009A4C46">
            <w:pPr>
              <w:spacing w:after="0" w:line="240" w:lineRule="auto"/>
              <w:jc w:val="center"/>
              <w:rPr>
                <w:rFonts w:eastAsia="Times New Roman"/>
                <w:lang w:eastAsia="ru-RU"/>
              </w:rPr>
            </w:pPr>
            <w:r w:rsidRPr="009A4C46">
              <w:rPr>
                <w:rFonts w:eastAsia="Times New Roman"/>
                <w:lang w:eastAsia="ru-RU"/>
              </w:rPr>
              <w:t>2,22113</w:t>
            </w:r>
          </w:p>
        </w:tc>
        <w:tc>
          <w:tcPr>
            <w:tcW w:w="661" w:type="pct"/>
            <w:tcBorders>
              <w:top w:val="nil"/>
              <w:left w:val="nil"/>
              <w:bottom w:val="single" w:sz="8" w:space="0" w:color="auto"/>
              <w:right w:val="single" w:sz="8" w:space="0" w:color="auto"/>
            </w:tcBorders>
            <w:shd w:val="clear" w:color="auto" w:fill="auto"/>
            <w:noWrap/>
            <w:vAlign w:val="center"/>
            <w:hideMark/>
          </w:tcPr>
          <w:p w14:paraId="01887FB7" w14:textId="77777777" w:rsidR="009A4C46" w:rsidRPr="009A4C46" w:rsidRDefault="009A4C46" w:rsidP="009A4C46">
            <w:pPr>
              <w:spacing w:after="0" w:line="276" w:lineRule="auto"/>
              <w:jc w:val="center"/>
              <w:rPr>
                <w:rFonts w:eastAsia="Times New Roman"/>
                <w:lang w:eastAsia="ru-RU"/>
              </w:rPr>
            </w:pPr>
          </w:p>
        </w:tc>
        <w:tc>
          <w:tcPr>
            <w:tcW w:w="709" w:type="pct"/>
            <w:tcBorders>
              <w:top w:val="nil"/>
              <w:left w:val="nil"/>
              <w:bottom w:val="single" w:sz="8" w:space="0" w:color="auto"/>
              <w:right w:val="single" w:sz="8" w:space="0" w:color="auto"/>
            </w:tcBorders>
            <w:shd w:val="clear" w:color="auto" w:fill="auto"/>
            <w:noWrap/>
            <w:vAlign w:val="center"/>
            <w:hideMark/>
          </w:tcPr>
          <w:p w14:paraId="6C983C0F" w14:textId="77777777" w:rsidR="009A4C46" w:rsidRPr="009A4C46" w:rsidRDefault="009A4C46" w:rsidP="009A4C46">
            <w:pPr>
              <w:spacing w:after="0" w:line="276" w:lineRule="auto"/>
              <w:jc w:val="center"/>
              <w:rPr>
                <w:rFonts w:eastAsia="Times New Roman"/>
                <w:lang w:eastAsia="ru-RU"/>
              </w:rPr>
            </w:pPr>
          </w:p>
        </w:tc>
        <w:tc>
          <w:tcPr>
            <w:tcW w:w="614" w:type="pct"/>
            <w:tcBorders>
              <w:top w:val="nil"/>
              <w:left w:val="nil"/>
              <w:bottom w:val="single" w:sz="8" w:space="0" w:color="auto"/>
              <w:right w:val="single" w:sz="8" w:space="0" w:color="auto"/>
            </w:tcBorders>
            <w:shd w:val="clear" w:color="auto" w:fill="auto"/>
            <w:noWrap/>
            <w:vAlign w:val="center"/>
            <w:hideMark/>
          </w:tcPr>
          <w:p w14:paraId="27450E94" w14:textId="77777777" w:rsidR="009A4C46" w:rsidRPr="009A4C46" w:rsidRDefault="009A4C46" w:rsidP="009A4C46">
            <w:pPr>
              <w:spacing w:after="0" w:line="240" w:lineRule="auto"/>
              <w:jc w:val="center"/>
              <w:rPr>
                <w:rFonts w:eastAsia="Times New Roman"/>
                <w:lang w:eastAsia="ru-RU"/>
              </w:rPr>
            </w:pPr>
            <w:r w:rsidRPr="009A4C46">
              <w:rPr>
                <w:rFonts w:eastAsia="Times New Roman"/>
                <w:lang w:eastAsia="ru-RU"/>
              </w:rPr>
              <w:t>2,32745</w:t>
            </w:r>
          </w:p>
        </w:tc>
      </w:tr>
      <w:tr w:rsidR="009A4C46" w:rsidRPr="009A4C46" w14:paraId="648B90A0" w14:textId="77777777" w:rsidTr="00070F3E">
        <w:trPr>
          <w:trHeight w:val="300"/>
        </w:trPr>
        <w:tc>
          <w:tcPr>
            <w:tcW w:w="988" w:type="pct"/>
            <w:tcBorders>
              <w:top w:val="nil"/>
              <w:left w:val="single" w:sz="4" w:space="0" w:color="auto"/>
              <w:bottom w:val="single" w:sz="4" w:space="0" w:color="auto"/>
              <w:right w:val="single" w:sz="4" w:space="0" w:color="auto"/>
            </w:tcBorders>
            <w:shd w:val="clear" w:color="auto" w:fill="auto"/>
            <w:noWrap/>
            <w:vAlign w:val="center"/>
            <w:hideMark/>
          </w:tcPr>
          <w:p w14:paraId="67B2CBD0" w14:textId="77777777" w:rsidR="009A4C46" w:rsidRPr="009A4C46" w:rsidRDefault="009A4C46" w:rsidP="009A4C46">
            <w:pPr>
              <w:spacing w:after="0" w:line="240" w:lineRule="auto"/>
              <w:rPr>
                <w:rFonts w:eastAsia="Times New Roman"/>
                <w:lang w:eastAsia="ru-RU"/>
              </w:rPr>
            </w:pPr>
            <w:r w:rsidRPr="009A4C46">
              <w:rPr>
                <w:rFonts w:eastAsia="Times New Roman"/>
                <w:lang w:eastAsia="ru-RU"/>
              </w:rPr>
              <w:t>Категория 4.4*</w:t>
            </w:r>
          </w:p>
        </w:tc>
        <w:tc>
          <w:tcPr>
            <w:tcW w:w="657" w:type="pct"/>
            <w:tcBorders>
              <w:top w:val="nil"/>
              <w:left w:val="nil"/>
              <w:bottom w:val="single" w:sz="8" w:space="0" w:color="auto"/>
              <w:right w:val="single" w:sz="8" w:space="0" w:color="auto"/>
            </w:tcBorders>
            <w:shd w:val="clear" w:color="auto" w:fill="auto"/>
            <w:noWrap/>
            <w:vAlign w:val="center"/>
            <w:hideMark/>
          </w:tcPr>
          <w:p w14:paraId="5141D8EE" w14:textId="77777777" w:rsidR="009A4C46" w:rsidRPr="009A4C46" w:rsidRDefault="009A4C46" w:rsidP="009A4C46">
            <w:pPr>
              <w:spacing w:after="0" w:line="276" w:lineRule="auto"/>
              <w:rPr>
                <w:rFonts w:eastAsia="Times New Roman"/>
                <w:lang w:eastAsia="ru-RU"/>
              </w:rPr>
            </w:pPr>
            <w:r w:rsidRPr="009A4C46">
              <w:rPr>
                <w:rFonts w:eastAsia="Times New Roman"/>
                <w:lang w:eastAsia="ru-RU"/>
              </w:rPr>
              <w:t> </w:t>
            </w:r>
          </w:p>
        </w:tc>
        <w:tc>
          <w:tcPr>
            <w:tcW w:w="662" w:type="pct"/>
            <w:tcBorders>
              <w:top w:val="nil"/>
              <w:left w:val="nil"/>
              <w:bottom w:val="single" w:sz="8" w:space="0" w:color="auto"/>
              <w:right w:val="single" w:sz="8" w:space="0" w:color="auto"/>
            </w:tcBorders>
            <w:shd w:val="clear" w:color="auto" w:fill="auto"/>
            <w:noWrap/>
            <w:vAlign w:val="center"/>
            <w:hideMark/>
          </w:tcPr>
          <w:p w14:paraId="662C11A7" w14:textId="77777777" w:rsidR="009A4C46" w:rsidRPr="009A4C46" w:rsidRDefault="009A4C46" w:rsidP="009A4C46">
            <w:pPr>
              <w:spacing w:after="0" w:line="276" w:lineRule="auto"/>
              <w:rPr>
                <w:rFonts w:eastAsia="Times New Roman"/>
                <w:lang w:eastAsia="ru-RU"/>
              </w:rPr>
            </w:pPr>
            <w:r w:rsidRPr="009A4C46">
              <w:rPr>
                <w:rFonts w:eastAsia="Times New Roman"/>
                <w:lang w:eastAsia="ru-RU"/>
              </w:rPr>
              <w:t> </w:t>
            </w:r>
          </w:p>
        </w:tc>
        <w:tc>
          <w:tcPr>
            <w:tcW w:w="709" w:type="pct"/>
            <w:tcBorders>
              <w:top w:val="nil"/>
              <w:left w:val="nil"/>
              <w:bottom w:val="single" w:sz="8" w:space="0" w:color="auto"/>
              <w:right w:val="single" w:sz="8" w:space="0" w:color="auto"/>
            </w:tcBorders>
            <w:shd w:val="clear" w:color="auto" w:fill="auto"/>
            <w:noWrap/>
            <w:vAlign w:val="center"/>
            <w:hideMark/>
          </w:tcPr>
          <w:p w14:paraId="43AE22C9" w14:textId="77777777" w:rsidR="009A4C46" w:rsidRPr="009A4C46" w:rsidRDefault="009A4C46" w:rsidP="009A4C46">
            <w:pPr>
              <w:spacing w:after="0" w:line="240" w:lineRule="auto"/>
              <w:jc w:val="center"/>
              <w:rPr>
                <w:rFonts w:eastAsia="Times New Roman"/>
                <w:lang w:eastAsia="ru-RU"/>
              </w:rPr>
            </w:pPr>
            <w:r w:rsidRPr="009A4C46">
              <w:rPr>
                <w:rFonts w:eastAsia="Times New Roman"/>
                <w:lang w:eastAsia="ru-RU"/>
              </w:rPr>
              <w:t>2,22113</w:t>
            </w:r>
          </w:p>
        </w:tc>
        <w:tc>
          <w:tcPr>
            <w:tcW w:w="661" w:type="pct"/>
            <w:tcBorders>
              <w:top w:val="nil"/>
              <w:left w:val="nil"/>
              <w:bottom w:val="single" w:sz="8" w:space="0" w:color="auto"/>
              <w:right w:val="single" w:sz="8" w:space="0" w:color="auto"/>
            </w:tcBorders>
            <w:shd w:val="clear" w:color="auto" w:fill="auto"/>
            <w:noWrap/>
            <w:vAlign w:val="center"/>
            <w:hideMark/>
          </w:tcPr>
          <w:p w14:paraId="0A79612C" w14:textId="77777777" w:rsidR="009A4C46" w:rsidRPr="009A4C46" w:rsidRDefault="009A4C46" w:rsidP="009A4C46">
            <w:pPr>
              <w:spacing w:after="0" w:line="276" w:lineRule="auto"/>
              <w:rPr>
                <w:rFonts w:eastAsia="Times New Roman"/>
                <w:lang w:eastAsia="ru-RU"/>
              </w:rPr>
            </w:pPr>
            <w:r w:rsidRPr="009A4C46">
              <w:rPr>
                <w:rFonts w:eastAsia="Times New Roman"/>
                <w:lang w:eastAsia="ru-RU"/>
              </w:rPr>
              <w:t> </w:t>
            </w:r>
          </w:p>
        </w:tc>
        <w:tc>
          <w:tcPr>
            <w:tcW w:w="709" w:type="pct"/>
            <w:tcBorders>
              <w:top w:val="nil"/>
              <w:left w:val="nil"/>
              <w:bottom w:val="single" w:sz="8" w:space="0" w:color="auto"/>
              <w:right w:val="single" w:sz="8" w:space="0" w:color="auto"/>
            </w:tcBorders>
            <w:shd w:val="clear" w:color="auto" w:fill="auto"/>
            <w:noWrap/>
            <w:vAlign w:val="center"/>
            <w:hideMark/>
          </w:tcPr>
          <w:p w14:paraId="6D919AE4" w14:textId="77777777" w:rsidR="009A4C46" w:rsidRPr="009A4C46" w:rsidRDefault="009A4C46" w:rsidP="009A4C46">
            <w:pPr>
              <w:spacing w:after="0" w:line="276" w:lineRule="auto"/>
              <w:rPr>
                <w:rFonts w:eastAsia="Times New Roman"/>
                <w:lang w:eastAsia="ru-RU"/>
              </w:rPr>
            </w:pPr>
            <w:r w:rsidRPr="009A4C46">
              <w:rPr>
                <w:rFonts w:eastAsia="Times New Roman"/>
                <w:lang w:eastAsia="ru-RU"/>
              </w:rPr>
              <w:t> </w:t>
            </w:r>
          </w:p>
        </w:tc>
        <w:tc>
          <w:tcPr>
            <w:tcW w:w="614" w:type="pct"/>
            <w:tcBorders>
              <w:top w:val="nil"/>
              <w:left w:val="nil"/>
              <w:bottom w:val="single" w:sz="8" w:space="0" w:color="auto"/>
              <w:right w:val="single" w:sz="8" w:space="0" w:color="auto"/>
            </w:tcBorders>
            <w:shd w:val="clear" w:color="auto" w:fill="auto"/>
            <w:noWrap/>
            <w:vAlign w:val="center"/>
            <w:hideMark/>
          </w:tcPr>
          <w:p w14:paraId="05F008BB" w14:textId="77777777" w:rsidR="009A4C46" w:rsidRPr="009A4C46" w:rsidRDefault="009A4C46" w:rsidP="009A4C46">
            <w:pPr>
              <w:spacing w:after="0" w:line="240" w:lineRule="auto"/>
              <w:jc w:val="center"/>
              <w:rPr>
                <w:rFonts w:eastAsia="Times New Roman"/>
                <w:lang w:eastAsia="ru-RU"/>
              </w:rPr>
            </w:pPr>
            <w:r w:rsidRPr="009A4C46">
              <w:rPr>
                <w:rFonts w:eastAsia="Times New Roman"/>
                <w:lang w:eastAsia="ru-RU"/>
              </w:rPr>
              <w:t>2,32745</w:t>
            </w:r>
          </w:p>
        </w:tc>
      </w:tr>
    </w:tbl>
    <w:p w14:paraId="593827C9" w14:textId="1063CFE6" w:rsidR="00F71BAF" w:rsidRDefault="00F71BAF" w:rsidP="009A4C46">
      <w:pPr>
        <w:spacing w:after="0" w:line="276" w:lineRule="auto"/>
        <w:jc w:val="center"/>
        <w:rPr>
          <w:rFonts w:eastAsia="Times New Roman"/>
          <w:sz w:val="28"/>
          <w:szCs w:val="28"/>
          <w:lang w:eastAsia="ru-RU"/>
        </w:rPr>
      </w:pPr>
    </w:p>
    <w:p w14:paraId="602B65F9" w14:textId="77777777" w:rsidR="00F71BAF" w:rsidRDefault="00F71BAF">
      <w:pPr>
        <w:rPr>
          <w:rFonts w:eastAsia="Times New Roman"/>
          <w:sz w:val="28"/>
          <w:szCs w:val="28"/>
          <w:lang w:eastAsia="ru-RU"/>
        </w:rPr>
      </w:pPr>
      <w:r>
        <w:rPr>
          <w:rFonts w:eastAsia="Times New Roman"/>
          <w:sz w:val="28"/>
          <w:szCs w:val="28"/>
          <w:lang w:eastAsia="ru-RU"/>
        </w:rPr>
        <w:br w:type="page"/>
      </w:r>
    </w:p>
    <w:p w14:paraId="020CF43F" w14:textId="77777777" w:rsidR="009A4C46" w:rsidRPr="00F94FED" w:rsidRDefault="009A4C46" w:rsidP="009A4C46">
      <w:pPr>
        <w:spacing w:after="0" w:line="276" w:lineRule="auto"/>
        <w:jc w:val="center"/>
        <w:rPr>
          <w:rFonts w:eastAsia="Times New Roman"/>
          <w:b/>
          <w:bCs/>
          <w:sz w:val="26"/>
          <w:szCs w:val="26"/>
          <w:lang w:eastAsia="ru-RU"/>
        </w:rPr>
      </w:pPr>
      <w:r w:rsidRPr="00F94FED">
        <w:rPr>
          <w:rFonts w:eastAsia="Times New Roman"/>
          <w:b/>
          <w:bCs/>
          <w:sz w:val="26"/>
          <w:szCs w:val="26"/>
          <w:lang w:eastAsia="ru-RU"/>
        </w:rPr>
        <w:lastRenderedPageBreak/>
        <w:t>Утвержденные балансовые показатели на 2017 год</w:t>
      </w:r>
    </w:p>
    <w:tbl>
      <w:tblPr>
        <w:tblW w:w="5000" w:type="pct"/>
        <w:tblLook w:val="04A0" w:firstRow="1" w:lastRow="0" w:firstColumn="1" w:lastColumn="0" w:noHBand="0" w:noVBand="1"/>
      </w:tblPr>
      <w:tblGrid>
        <w:gridCol w:w="2175"/>
        <w:gridCol w:w="3917"/>
        <w:gridCol w:w="2618"/>
        <w:gridCol w:w="2720"/>
        <w:gridCol w:w="3130"/>
      </w:tblGrid>
      <w:tr w:rsidR="00F71BAF" w:rsidRPr="00F71BAF" w14:paraId="436367BD" w14:textId="77777777" w:rsidTr="00F71BAF">
        <w:trPr>
          <w:trHeight w:val="315"/>
        </w:trPr>
        <w:tc>
          <w:tcPr>
            <w:tcW w:w="74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642ED22" w14:textId="77777777" w:rsidR="009A4C46" w:rsidRPr="00F94FED" w:rsidRDefault="009A4C46" w:rsidP="009A4C46">
            <w:pPr>
              <w:spacing w:after="0" w:line="240" w:lineRule="auto"/>
              <w:jc w:val="center"/>
              <w:rPr>
                <w:rFonts w:eastAsia="Times New Roman"/>
                <w:b/>
                <w:bCs/>
                <w:color w:val="FFFFFF" w:themeColor="background1"/>
                <w:lang w:eastAsia="ru-RU"/>
              </w:rPr>
            </w:pPr>
            <w:r w:rsidRPr="00F94FED">
              <w:rPr>
                <w:rFonts w:eastAsia="Times New Roman"/>
                <w:b/>
                <w:bCs/>
                <w:color w:val="FFFFFF" w:themeColor="background1"/>
                <w:lang w:eastAsia="ru-RU"/>
              </w:rPr>
              <w:t>Потребители</w:t>
            </w:r>
          </w:p>
        </w:tc>
        <w:tc>
          <w:tcPr>
            <w:tcW w:w="2244"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09033F5" w14:textId="77777777" w:rsidR="009A4C46" w:rsidRPr="00F94FED" w:rsidRDefault="009A4C46" w:rsidP="009A4C46">
            <w:pPr>
              <w:spacing w:after="0" w:line="240" w:lineRule="auto"/>
              <w:jc w:val="center"/>
              <w:rPr>
                <w:rFonts w:eastAsia="Times New Roman"/>
                <w:b/>
                <w:bCs/>
                <w:color w:val="FFFFFF" w:themeColor="background1"/>
                <w:lang w:eastAsia="ru-RU"/>
              </w:rPr>
            </w:pPr>
            <w:r w:rsidRPr="00F94FED">
              <w:rPr>
                <w:rFonts w:eastAsia="Times New Roman"/>
                <w:b/>
                <w:bCs/>
                <w:color w:val="FFFFFF" w:themeColor="background1"/>
                <w:lang w:eastAsia="ru-RU"/>
              </w:rPr>
              <w:t>Балансовые показатели</w:t>
            </w:r>
          </w:p>
        </w:tc>
        <w:tc>
          <w:tcPr>
            <w:tcW w:w="2009"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725E232" w14:textId="77777777" w:rsidR="009A4C46" w:rsidRPr="00F94FED" w:rsidRDefault="009A4C46" w:rsidP="009A4C46">
            <w:pPr>
              <w:spacing w:after="0" w:line="240" w:lineRule="auto"/>
              <w:jc w:val="center"/>
              <w:rPr>
                <w:rFonts w:eastAsia="Times New Roman"/>
                <w:b/>
                <w:bCs/>
                <w:color w:val="FFFFFF" w:themeColor="background1"/>
                <w:lang w:eastAsia="ru-RU"/>
              </w:rPr>
            </w:pPr>
            <w:r w:rsidRPr="00F94FED">
              <w:rPr>
                <w:rFonts w:eastAsia="Times New Roman"/>
                <w:b/>
                <w:bCs/>
                <w:color w:val="FFFFFF" w:themeColor="background1"/>
                <w:lang w:eastAsia="ru-RU"/>
              </w:rPr>
              <w:t>Балансовые показатели</w:t>
            </w:r>
          </w:p>
        </w:tc>
      </w:tr>
      <w:tr w:rsidR="00F71BAF" w:rsidRPr="00F71BAF" w14:paraId="7AB501CF" w14:textId="77777777" w:rsidTr="00F71BAF">
        <w:trPr>
          <w:trHeight w:val="495"/>
        </w:trPr>
        <w:tc>
          <w:tcPr>
            <w:tcW w:w="74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78F9F37" w14:textId="77777777" w:rsidR="009A4C46" w:rsidRPr="00F94FED" w:rsidRDefault="009A4C46" w:rsidP="009A4C46">
            <w:pPr>
              <w:spacing w:after="0" w:line="240" w:lineRule="auto"/>
              <w:rPr>
                <w:rFonts w:eastAsia="Times New Roman"/>
                <w:b/>
                <w:bCs/>
                <w:color w:val="FFFFFF" w:themeColor="background1"/>
                <w:lang w:eastAsia="ru-RU"/>
              </w:rPr>
            </w:pPr>
          </w:p>
        </w:tc>
        <w:tc>
          <w:tcPr>
            <w:tcW w:w="134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BDBEDDA" w14:textId="77777777" w:rsidR="009A4C46" w:rsidRPr="00F94FED" w:rsidRDefault="009A4C46" w:rsidP="009A4C46">
            <w:pPr>
              <w:spacing w:after="0" w:line="240" w:lineRule="auto"/>
              <w:jc w:val="center"/>
              <w:rPr>
                <w:rFonts w:eastAsia="Times New Roman"/>
                <w:b/>
                <w:bCs/>
                <w:color w:val="FFFFFF" w:themeColor="background1"/>
                <w:lang w:eastAsia="ru-RU"/>
              </w:rPr>
            </w:pPr>
            <w:r w:rsidRPr="00F94FED">
              <w:rPr>
                <w:rFonts w:eastAsia="Times New Roman"/>
                <w:b/>
                <w:bCs/>
                <w:color w:val="FFFFFF" w:themeColor="background1"/>
                <w:lang w:eastAsia="ru-RU"/>
              </w:rPr>
              <w:t>с 01.01.2017 по 30.06.2017</w:t>
            </w:r>
          </w:p>
        </w:tc>
        <w:tc>
          <w:tcPr>
            <w:tcW w:w="89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F409B1C" w14:textId="77777777" w:rsidR="009A4C46" w:rsidRPr="00F94FED" w:rsidRDefault="009A4C46" w:rsidP="009A4C46">
            <w:pPr>
              <w:spacing w:after="0" w:line="240" w:lineRule="auto"/>
              <w:jc w:val="center"/>
              <w:rPr>
                <w:rFonts w:eastAsia="Times New Roman"/>
                <w:b/>
                <w:bCs/>
                <w:color w:val="FFFFFF" w:themeColor="background1"/>
                <w:lang w:eastAsia="ru-RU"/>
              </w:rPr>
            </w:pPr>
            <w:r w:rsidRPr="00F94FED">
              <w:rPr>
                <w:rFonts w:eastAsia="Times New Roman"/>
                <w:b/>
                <w:bCs/>
                <w:color w:val="FFFFFF" w:themeColor="background1"/>
                <w:lang w:eastAsia="ru-RU"/>
              </w:rPr>
              <w:t>с 01.07.2017 по 31.12.2017</w:t>
            </w:r>
          </w:p>
        </w:tc>
        <w:tc>
          <w:tcPr>
            <w:tcW w:w="9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C8B75FC" w14:textId="77777777" w:rsidR="009A4C46" w:rsidRPr="00F94FED" w:rsidRDefault="009A4C46" w:rsidP="009A4C46">
            <w:pPr>
              <w:spacing w:after="0" w:line="240" w:lineRule="auto"/>
              <w:jc w:val="center"/>
              <w:rPr>
                <w:rFonts w:eastAsia="Times New Roman"/>
                <w:b/>
                <w:bCs/>
                <w:color w:val="FFFFFF" w:themeColor="background1"/>
                <w:lang w:eastAsia="ru-RU"/>
              </w:rPr>
            </w:pPr>
            <w:r w:rsidRPr="00F94FED">
              <w:rPr>
                <w:rFonts w:eastAsia="Times New Roman"/>
                <w:b/>
                <w:bCs/>
                <w:color w:val="FFFFFF" w:themeColor="background1"/>
                <w:lang w:eastAsia="ru-RU"/>
              </w:rPr>
              <w:t>с 01.01.2017 по 30.06.2017</w:t>
            </w:r>
          </w:p>
        </w:tc>
        <w:tc>
          <w:tcPr>
            <w:tcW w:w="107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D3A2548" w14:textId="77777777" w:rsidR="009A4C46" w:rsidRPr="00F94FED" w:rsidRDefault="009A4C46" w:rsidP="009A4C46">
            <w:pPr>
              <w:spacing w:after="0" w:line="240" w:lineRule="auto"/>
              <w:jc w:val="center"/>
              <w:rPr>
                <w:rFonts w:eastAsia="Times New Roman"/>
                <w:b/>
                <w:bCs/>
                <w:color w:val="FFFFFF" w:themeColor="background1"/>
                <w:lang w:eastAsia="ru-RU"/>
              </w:rPr>
            </w:pPr>
            <w:r w:rsidRPr="00F94FED">
              <w:rPr>
                <w:rFonts w:eastAsia="Times New Roman"/>
                <w:b/>
                <w:bCs/>
                <w:color w:val="FFFFFF" w:themeColor="background1"/>
                <w:lang w:eastAsia="ru-RU"/>
              </w:rPr>
              <w:t>с 01.07.2017 по 31.12.2017</w:t>
            </w:r>
          </w:p>
        </w:tc>
      </w:tr>
      <w:tr w:rsidR="00F71BAF" w:rsidRPr="00F71BAF" w14:paraId="5D8DCC58" w14:textId="77777777" w:rsidTr="00F71BAF">
        <w:trPr>
          <w:trHeight w:val="315"/>
        </w:trPr>
        <w:tc>
          <w:tcPr>
            <w:tcW w:w="74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D136D6B" w14:textId="77777777" w:rsidR="009A4C46" w:rsidRPr="00F94FED" w:rsidRDefault="009A4C46" w:rsidP="009A4C46">
            <w:pPr>
              <w:spacing w:after="0" w:line="240" w:lineRule="auto"/>
              <w:rPr>
                <w:rFonts w:eastAsia="Times New Roman"/>
                <w:b/>
                <w:bCs/>
                <w:color w:val="FFFFFF" w:themeColor="background1"/>
                <w:lang w:eastAsia="ru-RU"/>
              </w:rPr>
            </w:pPr>
          </w:p>
        </w:tc>
        <w:tc>
          <w:tcPr>
            <w:tcW w:w="134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D59683B" w14:textId="51E13511" w:rsidR="009A4C46" w:rsidRPr="00F94FED" w:rsidRDefault="009A4C46" w:rsidP="009A4C46">
            <w:pPr>
              <w:spacing w:after="0" w:line="240" w:lineRule="auto"/>
              <w:jc w:val="center"/>
              <w:rPr>
                <w:rFonts w:eastAsia="Times New Roman"/>
                <w:b/>
                <w:bCs/>
                <w:color w:val="FFFFFF" w:themeColor="background1"/>
                <w:lang w:eastAsia="ru-RU"/>
              </w:rPr>
            </w:pPr>
            <w:r w:rsidRPr="00F94FED">
              <w:rPr>
                <w:rFonts w:eastAsia="Times New Roman"/>
                <w:b/>
                <w:bCs/>
                <w:color w:val="FFFFFF" w:themeColor="background1"/>
                <w:lang w:eastAsia="ru-RU"/>
              </w:rPr>
              <w:t>млн. кВт</w:t>
            </w:r>
            <w:r w:rsidR="000A2AF3">
              <w:rPr>
                <w:rFonts w:eastAsia="Times New Roman"/>
                <w:b/>
                <w:bCs/>
                <w:color w:val="FFFFFF" w:themeColor="background1"/>
                <w:lang w:eastAsia="ru-RU"/>
              </w:rPr>
              <w:t>*</w:t>
            </w:r>
            <w:r w:rsidRPr="00F94FED">
              <w:rPr>
                <w:rFonts w:eastAsia="Times New Roman"/>
                <w:b/>
                <w:bCs/>
                <w:color w:val="FFFFFF" w:themeColor="background1"/>
                <w:lang w:eastAsia="ru-RU"/>
              </w:rPr>
              <w:t>ч</w:t>
            </w:r>
          </w:p>
        </w:tc>
        <w:tc>
          <w:tcPr>
            <w:tcW w:w="89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A00686A" w14:textId="6DD650A8" w:rsidR="009A4C46" w:rsidRPr="00F94FED" w:rsidRDefault="009A4C46" w:rsidP="009A4C46">
            <w:pPr>
              <w:spacing w:after="0" w:line="240" w:lineRule="auto"/>
              <w:jc w:val="center"/>
              <w:rPr>
                <w:rFonts w:eastAsia="Times New Roman"/>
                <w:b/>
                <w:bCs/>
                <w:color w:val="FFFFFF" w:themeColor="background1"/>
                <w:lang w:eastAsia="ru-RU"/>
              </w:rPr>
            </w:pPr>
            <w:r w:rsidRPr="00F94FED">
              <w:rPr>
                <w:rFonts w:eastAsia="Times New Roman"/>
                <w:b/>
                <w:bCs/>
                <w:color w:val="FFFFFF" w:themeColor="background1"/>
                <w:lang w:eastAsia="ru-RU"/>
              </w:rPr>
              <w:t>млн. кВт</w:t>
            </w:r>
            <w:r w:rsidR="000A2AF3">
              <w:rPr>
                <w:rFonts w:eastAsia="Times New Roman"/>
                <w:b/>
                <w:bCs/>
                <w:color w:val="FFFFFF" w:themeColor="background1"/>
                <w:lang w:eastAsia="ru-RU"/>
              </w:rPr>
              <w:t>*</w:t>
            </w:r>
            <w:r w:rsidRPr="00F94FED">
              <w:rPr>
                <w:rFonts w:eastAsia="Times New Roman"/>
                <w:b/>
                <w:bCs/>
                <w:color w:val="FFFFFF" w:themeColor="background1"/>
                <w:lang w:eastAsia="ru-RU"/>
              </w:rPr>
              <w:t>ч</w:t>
            </w:r>
          </w:p>
        </w:tc>
        <w:tc>
          <w:tcPr>
            <w:tcW w:w="9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CB28133" w14:textId="77777777" w:rsidR="009A4C46" w:rsidRPr="00F94FED" w:rsidRDefault="009A4C46" w:rsidP="009A4C46">
            <w:pPr>
              <w:spacing w:after="0" w:line="240" w:lineRule="auto"/>
              <w:jc w:val="center"/>
              <w:rPr>
                <w:rFonts w:eastAsia="Times New Roman"/>
                <w:b/>
                <w:bCs/>
                <w:color w:val="FFFFFF" w:themeColor="background1"/>
                <w:lang w:eastAsia="ru-RU"/>
              </w:rPr>
            </w:pPr>
            <w:r w:rsidRPr="00F94FED">
              <w:rPr>
                <w:rFonts w:eastAsia="Times New Roman"/>
                <w:b/>
                <w:bCs/>
                <w:color w:val="FFFFFF" w:themeColor="background1"/>
                <w:lang w:eastAsia="ru-RU"/>
              </w:rPr>
              <w:t>МВт</w:t>
            </w:r>
          </w:p>
        </w:tc>
        <w:tc>
          <w:tcPr>
            <w:tcW w:w="107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7136170" w14:textId="77777777" w:rsidR="009A4C46" w:rsidRPr="00F94FED" w:rsidRDefault="009A4C46" w:rsidP="009A4C46">
            <w:pPr>
              <w:spacing w:after="0" w:line="240" w:lineRule="auto"/>
              <w:jc w:val="center"/>
              <w:rPr>
                <w:rFonts w:eastAsia="Times New Roman"/>
                <w:b/>
                <w:bCs/>
                <w:color w:val="FFFFFF" w:themeColor="background1"/>
                <w:lang w:eastAsia="ru-RU"/>
              </w:rPr>
            </w:pPr>
            <w:r w:rsidRPr="00F94FED">
              <w:rPr>
                <w:rFonts w:eastAsia="Times New Roman"/>
                <w:b/>
                <w:bCs/>
                <w:color w:val="FFFFFF" w:themeColor="background1"/>
                <w:lang w:eastAsia="ru-RU"/>
              </w:rPr>
              <w:t>МВт</w:t>
            </w:r>
          </w:p>
        </w:tc>
      </w:tr>
      <w:tr w:rsidR="009A4C46" w:rsidRPr="009A4C46" w14:paraId="34AE64E4" w14:textId="77777777" w:rsidTr="00F94FED">
        <w:trPr>
          <w:trHeight w:val="315"/>
        </w:trPr>
        <w:tc>
          <w:tcPr>
            <w:tcW w:w="747" w:type="pct"/>
            <w:tcBorders>
              <w:top w:val="single" w:sz="4" w:space="0" w:color="FFFFFF" w:themeColor="background1"/>
              <w:left w:val="single" w:sz="8" w:space="0" w:color="auto"/>
              <w:bottom w:val="single" w:sz="8" w:space="0" w:color="auto"/>
              <w:right w:val="single" w:sz="8" w:space="0" w:color="auto"/>
            </w:tcBorders>
            <w:shd w:val="clear" w:color="auto" w:fill="auto"/>
            <w:noWrap/>
            <w:vAlign w:val="center"/>
            <w:hideMark/>
          </w:tcPr>
          <w:p w14:paraId="23E530D3" w14:textId="77777777" w:rsidR="009A4C46" w:rsidRPr="009A4C46" w:rsidRDefault="009A4C46" w:rsidP="009A4C46">
            <w:pPr>
              <w:spacing w:after="0" w:line="240" w:lineRule="auto"/>
              <w:rPr>
                <w:rFonts w:eastAsia="Times New Roman"/>
                <w:lang w:eastAsia="ru-RU"/>
              </w:rPr>
            </w:pPr>
            <w:r w:rsidRPr="009A4C46">
              <w:rPr>
                <w:rFonts w:eastAsia="Times New Roman"/>
                <w:lang w:eastAsia="ru-RU"/>
              </w:rPr>
              <w:t>Прочие потребители</w:t>
            </w:r>
          </w:p>
        </w:tc>
        <w:tc>
          <w:tcPr>
            <w:tcW w:w="1345" w:type="pct"/>
            <w:tcBorders>
              <w:top w:val="single" w:sz="4" w:space="0" w:color="FFFFFF" w:themeColor="background1"/>
              <w:left w:val="nil"/>
              <w:bottom w:val="single" w:sz="8" w:space="0" w:color="auto"/>
              <w:right w:val="single" w:sz="8" w:space="0" w:color="auto"/>
            </w:tcBorders>
            <w:shd w:val="clear" w:color="auto" w:fill="auto"/>
            <w:noWrap/>
            <w:vAlign w:val="center"/>
            <w:hideMark/>
          </w:tcPr>
          <w:p w14:paraId="2A8ED4DD" w14:textId="77777777" w:rsidR="009A4C46" w:rsidRPr="009A4C46" w:rsidRDefault="009A4C46" w:rsidP="009A4C46">
            <w:pPr>
              <w:spacing w:after="0" w:line="240" w:lineRule="auto"/>
              <w:jc w:val="center"/>
              <w:rPr>
                <w:rFonts w:eastAsia="Times New Roman"/>
                <w:lang w:eastAsia="ru-RU"/>
              </w:rPr>
            </w:pPr>
            <w:r w:rsidRPr="009A4C46">
              <w:rPr>
                <w:rFonts w:eastAsia="Times New Roman"/>
                <w:lang w:eastAsia="ru-RU"/>
              </w:rPr>
              <w:t>116,14</w:t>
            </w:r>
          </w:p>
        </w:tc>
        <w:tc>
          <w:tcPr>
            <w:tcW w:w="899" w:type="pct"/>
            <w:tcBorders>
              <w:top w:val="single" w:sz="4" w:space="0" w:color="FFFFFF" w:themeColor="background1"/>
              <w:left w:val="nil"/>
              <w:bottom w:val="single" w:sz="8" w:space="0" w:color="auto"/>
              <w:right w:val="single" w:sz="8" w:space="0" w:color="auto"/>
            </w:tcBorders>
            <w:shd w:val="clear" w:color="auto" w:fill="auto"/>
            <w:noWrap/>
            <w:vAlign w:val="center"/>
            <w:hideMark/>
          </w:tcPr>
          <w:p w14:paraId="4488DD54" w14:textId="77777777" w:rsidR="009A4C46" w:rsidRPr="009A4C46" w:rsidRDefault="009A4C46" w:rsidP="009A4C46">
            <w:pPr>
              <w:spacing w:after="0" w:line="240" w:lineRule="auto"/>
              <w:jc w:val="center"/>
              <w:rPr>
                <w:rFonts w:eastAsia="Times New Roman"/>
                <w:lang w:eastAsia="ru-RU"/>
              </w:rPr>
            </w:pPr>
            <w:r w:rsidRPr="009A4C46">
              <w:rPr>
                <w:rFonts w:eastAsia="Times New Roman"/>
                <w:lang w:eastAsia="ru-RU"/>
              </w:rPr>
              <w:t>139,11</w:t>
            </w:r>
          </w:p>
        </w:tc>
        <w:tc>
          <w:tcPr>
            <w:tcW w:w="934" w:type="pct"/>
            <w:tcBorders>
              <w:top w:val="single" w:sz="4" w:space="0" w:color="FFFFFF" w:themeColor="background1"/>
              <w:left w:val="nil"/>
              <w:bottom w:val="single" w:sz="8" w:space="0" w:color="auto"/>
              <w:right w:val="single" w:sz="8" w:space="0" w:color="auto"/>
            </w:tcBorders>
            <w:shd w:val="clear" w:color="auto" w:fill="auto"/>
            <w:noWrap/>
            <w:vAlign w:val="center"/>
            <w:hideMark/>
          </w:tcPr>
          <w:p w14:paraId="519FBE73" w14:textId="77777777" w:rsidR="009A4C46" w:rsidRPr="009A4C46" w:rsidRDefault="009A4C46" w:rsidP="009A4C46">
            <w:pPr>
              <w:spacing w:after="0" w:line="240" w:lineRule="auto"/>
              <w:jc w:val="center"/>
              <w:rPr>
                <w:rFonts w:eastAsia="Times New Roman"/>
                <w:lang w:eastAsia="ru-RU"/>
              </w:rPr>
            </w:pPr>
            <w:r w:rsidRPr="009A4C46">
              <w:rPr>
                <w:rFonts w:eastAsia="Times New Roman"/>
                <w:lang w:eastAsia="ru-RU"/>
              </w:rPr>
              <w:t>35,97</w:t>
            </w:r>
          </w:p>
        </w:tc>
        <w:tc>
          <w:tcPr>
            <w:tcW w:w="1075" w:type="pct"/>
            <w:tcBorders>
              <w:top w:val="single" w:sz="4" w:space="0" w:color="FFFFFF" w:themeColor="background1"/>
              <w:left w:val="nil"/>
              <w:bottom w:val="single" w:sz="8" w:space="0" w:color="auto"/>
              <w:right w:val="single" w:sz="8" w:space="0" w:color="auto"/>
            </w:tcBorders>
            <w:shd w:val="clear" w:color="auto" w:fill="auto"/>
            <w:noWrap/>
            <w:vAlign w:val="center"/>
            <w:hideMark/>
          </w:tcPr>
          <w:p w14:paraId="785A20EF" w14:textId="77777777" w:rsidR="009A4C46" w:rsidRPr="009A4C46" w:rsidRDefault="009A4C46" w:rsidP="009A4C46">
            <w:pPr>
              <w:spacing w:after="0" w:line="240" w:lineRule="auto"/>
              <w:jc w:val="center"/>
              <w:rPr>
                <w:rFonts w:eastAsia="Times New Roman"/>
                <w:lang w:eastAsia="ru-RU"/>
              </w:rPr>
            </w:pPr>
            <w:r w:rsidRPr="009A4C46">
              <w:rPr>
                <w:rFonts w:eastAsia="Times New Roman"/>
                <w:lang w:eastAsia="ru-RU"/>
              </w:rPr>
              <w:t>45,71</w:t>
            </w:r>
          </w:p>
        </w:tc>
      </w:tr>
      <w:tr w:rsidR="009A4C46" w:rsidRPr="009A4C46" w14:paraId="3E9F2BA1" w14:textId="77777777" w:rsidTr="00F94FED">
        <w:trPr>
          <w:trHeight w:val="315"/>
        </w:trPr>
        <w:tc>
          <w:tcPr>
            <w:tcW w:w="747" w:type="pct"/>
            <w:tcBorders>
              <w:top w:val="nil"/>
              <w:left w:val="single" w:sz="8" w:space="0" w:color="auto"/>
              <w:bottom w:val="single" w:sz="8" w:space="0" w:color="auto"/>
              <w:right w:val="single" w:sz="8" w:space="0" w:color="auto"/>
            </w:tcBorders>
            <w:shd w:val="clear" w:color="auto" w:fill="auto"/>
            <w:noWrap/>
            <w:vAlign w:val="center"/>
            <w:hideMark/>
          </w:tcPr>
          <w:p w14:paraId="2161403E" w14:textId="77777777" w:rsidR="009A4C46" w:rsidRPr="009A4C46" w:rsidRDefault="009A4C46" w:rsidP="009A4C46">
            <w:pPr>
              <w:spacing w:after="0" w:line="240" w:lineRule="auto"/>
              <w:rPr>
                <w:rFonts w:eastAsia="Times New Roman"/>
                <w:lang w:eastAsia="ru-RU"/>
              </w:rPr>
            </w:pPr>
            <w:r w:rsidRPr="009A4C46">
              <w:rPr>
                <w:rFonts w:eastAsia="Times New Roman"/>
                <w:lang w:eastAsia="ru-RU"/>
              </w:rPr>
              <w:t>ВН</w:t>
            </w:r>
          </w:p>
        </w:tc>
        <w:tc>
          <w:tcPr>
            <w:tcW w:w="1345" w:type="pct"/>
            <w:tcBorders>
              <w:top w:val="nil"/>
              <w:left w:val="nil"/>
              <w:bottom w:val="single" w:sz="8" w:space="0" w:color="auto"/>
              <w:right w:val="single" w:sz="8" w:space="0" w:color="auto"/>
            </w:tcBorders>
            <w:shd w:val="clear" w:color="auto" w:fill="auto"/>
            <w:noWrap/>
            <w:vAlign w:val="center"/>
            <w:hideMark/>
          </w:tcPr>
          <w:p w14:paraId="2AEA53F4" w14:textId="77777777" w:rsidR="009A4C46" w:rsidRPr="009A4C46" w:rsidRDefault="009A4C46" w:rsidP="009A4C46">
            <w:pPr>
              <w:spacing w:after="0" w:line="240" w:lineRule="auto"/>
              <w:jc w:val="center"/>
              <w:rPr>
                <w:rFonts w:eastAsia="Times New Roman"/>
                <w:lang w:eastAsia="ru-RU"/>
              </w:rPr>
            </w:pPr>
            <w:r w:rsidRPr="009A4C46">
              <w:rPr>
                <w:rFonts w:eastAsia="Times New Roman"/>
                <w:lang w:eastAsia="ru-RU"/>
              </w:rPr>
              <w:t>52,50</w:t>
            </w:r>
          </w:p>
        </w:tc>
        <w:tc>
          <w:tcPr>
            <w:tcW w:w="899" w:type="pct"/>
            <w:tcBorders>
              <w:top w:val="nil"/>
              <w:left w:val="nil"/>
              <w:bottom w:val="single" w:sz="8" w:space="0" w:color="auto"/>
              <w:right w:val="single" w:sz="8" w:space="0" w:color="auto"/>
            </w:tcBorders>
            <w:shd w:val="clear" w:color="auto" w:fill="auto"/>
            <w:noWrap/>
            <w:vAlign w:val="center"/>
            <w:hideMark/>
          </w:tcPr>
          <w:p w14:paraId="7AA391C7" w14:textId="77777777" w:rsidR="009A4C46" w:rsidRPr="009A4C46" w:rsidRDefault="009A4C46" w:rsidP="009A4C46">
            <w:pPr>
              <w:spacing w:after="0" w:line="240" w:lineRule="auto"/>
              <w:jc w:val="center"/>
              <w:rPr>
                <w:rFonts w:eastAsia="Times New Roman"/>
                <w:lang w:eastAsia="ru-RU"/>
              </w:rPr>
            </w:pPr>
            <w:r w:rsidRPr="009A4C46">
              <w:rPr>
                <w:rFonts w:eastAsia="Times New Roman"/>
                <w:lang w:eastAsia="ru-RU"/>
              </w:rPr>
              <w:t>50,66</w:t>
            </w:r>
          </w:p>
        </w:tc>
        <w:tc>
          <w:tcPr>
            <w:tcW w:w="934" w:type="pct"/>
            <w:tcBorders>
              <w:top w:val="nil"/>
              <w:left w:val="nil"/>
              <w:bottom w:val="single" w:sz="8" w:space="0" w:color="auto"/>
              <w:right w:val="single" w:sz="8" w:space="0" w:color="auto"/>
            </w:tcBorders>
            <w:shd w:val="clear" w:color="auto" w:fill="auto"/>
            <w:noWrap/>
            <w:vAlign w:val="center"/>
            <w:hideMark/>
          </w:tcPr>
          <w:p w14:paraId="701C6CD6" w14:textId="77777777" w:rsidR="009A4C46" w:rsidRPr="009A4C46" w:rsidRDefault="009A4C46" w:rsidP="009A4C46">
            <w:pPr>
              <w:spacing w:after="0" w:line="240" w:lineRule="auto"/>
              <w:jc w:val="center"/>
              <w:rPr>
                <w:rFonts w:eastAsia="Times New Roman"/>
                <w:lang w:eastAsia="ru-RU"/>
              </w:rPr>
            </w:pPr>
            <w:r w:rsidRPr="009A4C46">
              <w:rPr>
                <w:rFonts w:eastAsia="Times New Roman"/>
                <w:lang w:eastAsia="ru-RU"/>
              </w:rPr>
              <w:t>9,61</w:t>
            </w:r>
          </w:p>
        </w:tc>
        <w:tc>
          <w:tcPr>
            <w:tcW w:w="1075" w:type="pct"/>
            <w:tcBorders>
              <w:top w:val="nil"/>
              <w:left w:val="nil"/>
              <w:bottom w:val="single" w:sz="8" w:space="0" w:color="auto"/>
              <w:right w:val="single" w:sz="8" w:space="0" w:color="auto"/>
            </w:tcBorders>
            <w:shd w:val="clear" w:color="auto" w:fill="auto"/>
            <w:noWrap/>
            <w:vAlign w:val="center"/>
            <w:hideMark/>
          </w:tcPr>
          <w:p w14:paraId="0D883D2A" w14:textId="77777777" w:rsidR="009A4C46" w:rsidRPr="009A4C46" w:rsidRDefault="009A4C46" w:rsidP="009A4C46">
            <w:pPr>
              <w:spacing w:after="0" w:line="240" w:lineRule="auto"/>
              <w:jc w:val="center"/>
              <w:rPr>
                <w:rFonts w:eastAsia="Times New Roman"/>
                <w:lang w:eastAsia="ru-RU"/>
              </w:rPr>
            </w:pPr>
            <w:r w:rsidRPr="009A4C46">
              <w:rPr>
                <w:rFonts w:eastAsia="Times New Roman"/>
                <w:lang w:eastAsia="ru-RU"/>
              </w:rPr>
              <w:t>9,27</w:t>
            </w:r>
          </w:p>
        </w:tc>
      </w:tr>
      <w:tr w:rsidR="009A4C46" w:rsidRPr="009A4C46" w14:paraId="11D601D8" w14:textId="77777777" w:rsidTr="00F94FED">
        <w:trPr>
          <w:trHeight w:val="315"/>
        </w:trPr>
        <w:tc>
          <w:tcPr>
            <w:tcW w:w="747" w:type="pct"/>
            <w:tcBorders>
              <w:top w:val="nil"/>
              <w:left w:val="single" w:sz="8" w:space="0" w:color="auto"/>
              <w:bottom w:val="single" w:sz="8" w:space="0" w:color="auto"/>
              <w:right w:val="single" w:sz="8" w:space="0" w:color="auto"/>
            </w:tcBorders>
            <w:shd w:val="clear" w:color="auto" w:fill="auto"/>
            <w:noWrap/>
            <w:vAlign w:val="center"/>
            <w:hideMark/>
          </w:tcPr>
          <w:p w14:paraId="7B59A23E" w14:textId="77777777" w:rsidR="009A4C46" w:rsidRPr="009A4C46" w:rsidRDefault="009A4C46" w:rsidP="009A4C46">
            <w:pPr>
              <w:spacing w:after="0" w:line="240" w:lineRule="auto"/>
              <w:rPr>
                <w:rFonts w:eastAsia="Times New Roman"/>
                <w:lang w:eastAsia="ru-RU"/>
              </w:rPr>
            </w:pPr>
            <w:r w:rsidRPr="009A4C46">
              <w:rPr>
                <w:rFonts w:eastAsia="Times New Roman"/>
                <w:lang w:eastAsia="ru-RU"/>
              </w:rPr>
              <w:t>СН1</w:t>
            </w:r>
          </w:p>
        </w:tc>
        <w:tc>
          <w:tcPr>
            <w:tcW w:w="1345" w:type="pct"/>
            <w:tcBorders>
              <w:top w:val="nil"/>
              <w:left w:val="nil"/>
              <w:bottom w:val="single" w:sz="8" w:space="0" w:color="auto"/>
              <w:right w:val="single" w:sz="8" w:space="0" w:color="auto"/>
            </w:tcBorders>
            <w:shd w:val="clear" w:color="auto" w:fill="auto"/>
            <w:noWrap/>
            <w:vAlign w:val="center"/>
            <w:hideMark/>
          </w:tcPr>
          <w:p w14:paraId="38B20DCC" w14:textId="77777777" w:rsidR="009A4C46" w:rsidRPr="009A4C46" w:rsidRDefault="009A4C46" w:rsidP="009A4C46">
            <w:pPr>
              <w:spacing w:after="0" w:line="240" w:lineRule="auto"/>
              <w:jc w:val="center"/>
              <w:rPr>
                <w:rFonts w:eastAsia="Times New Roman"/>
                <w:lang w:eastAsia="ru-RU"/>
              </w:rPr>
            </w:pPr>
            <w:r w:rsidRPr="009A4C46">
              <w:rPr>
                <w:rFonts w:eastAsia="Times New Roman"/>
                <w:lang w:eastAsia="ru-RU"/>
              </w:rPr>
              <w:t>7,86</w:t>
            </w:r>
          </w:p>
        </w:tc>
        <w:tc>
          <w:tcPr>
            <w:tcW w:w="899" w:type="pct"/>
            <w:tcBorders>
              <w:top w:val="nil"/>
              <w:left w:val="nil"/>
              <w:bottom w:val="single" w:sz="8" w:space="0" w:color="auto"/>
              <w:right w:val="single" w:sz="8" w:space="0" w:color="auto"/>
            </w:tcBorders>
            <w:shd w:val="clear" w:color="auto" w:fill="auto"/>
            <w:noWrap/>
            <w:vAlign w:val="center"/>
            <w:hideMark/>
          </w:tcPr>
          <w:p w14:paraId="21C82CE5" w14:textId="77777777" w:rsidR="009A4C46" w:rsidRPr="009A4C46" w:rsidRDefault="009A4C46" w:rsidP="009A4C46">
            <w:pPr>
              <w:spacing w:after="0" w:line="240" w:lineRule="auto"/>
              <w:jc w:val="center"/>
              <w:rPr>
                <w:rFonts w:eastAsia="Times New Roman"/>
                <w:lang w:eastAsia="ru-RU"/>
              </w:rPr>
            </w:pPr>
            <w:r w:rsidRPr="009A4C46">
              <w:rPr>
                <w:rFonts w:eastAsia="Times New Roman"/>
                <w:lang w:eastAsia="ru-RU"/>
              </w:rPr>
              <w:t>1,33</w:t>
            </w:r>
          </w:p>
        </w:tc>
        <w:tc>
          <w:tcPr>
            <w:tcW w:w="934" w:type="pct"/>
            <w:tcBorders>
              <w:top w:val="nil"/>
              <w:left w:val="nil"/>
              <w:bottom w:val="single" w:sz="8" w:space="0" w:color="auto"/>
              <w:right w:val="single" w:sz="8" w:space="0" w:color="auto"/>
            </w:tcBorders>
            <w:shd w:val="clear" w:color="auto" w:fill="auto"/>
            <w:noWrap/>
            <w:vAlign w:val="center"/>
            <w:hideMark/>
          </w:tcPr>
          <w:p w14:paraId="176F023E" w14:textId="77777777" w:rsidR="009A4C46" w:rsidRPr="009A4C46" w:rsidRDefault="009A4C46" w:rsidP="009A4C46">
            <w:pPr>
              <w:spacing w:after="0" w:line="240" w:lineRule="auto"/>
              <w:jc w:val="center"/>
              <w:rPr>
                <w:rFonts w:eastAsia="Times New Roman"/>
                <w:lang w:eastAsia="ru-RU"/>
              </w:rPr>
            </w:pPr>
            <w:r w:rsidRPr="009A4C46">
              <w:rPr>
                <w:rFonts w:eastAsia="Times New Roman"/>
                <w:lang w:eastAsia="ru-RU"/>
              </w:rPr>
              <w:t>2,89</w:t>
            </w:r>
          </w:p>
        </w:tc>
        <w:tc>
          <w:tcPr>
            <w:tcW w:w="1075" w:type="pct"/>
            <w:tcBorders>
              <w:top w:val="nil"/>
              <w:left w:val="nil"/>
              <w:bottom w:val="single" w:sz="8" w:space="0" w:color="auto"/>
              <w:right w:val="single" w:sz="8" w:space="0" w:color="auto"/>
            </w:tcBorders>
            <w:shd w:val="clear" w:color="auto" w:fill="auto"/>
            <w:noWrap/>
            <w:vAlign w:val="center"/>
            <w:hideMark/>
          </w:tcPr>
          <w:p w14:paraId="18B5CF14" w14:textId="77777777" w:rsidR="009A4C46" w:rsidRPr="009A4C46" w:rsidRDefault="009A4C46" w:rsidP="009A4C46">
            <w:pPr>
              <w:spacing w:after="0" w:line="240" w:lineRule="auto"/>
              <w:jc w:val="center"/>
              <w:rPr>
                <w:rFonts w:eastAsia="Times New Roman"/>
                <w:lang w:eastAsia="ru-RU"/>
              </w:rPr>
            </w:pPr>
            <w:r w:rsidRPr="009A4C46">
              <w:rPr>
                <w:rFonts w:eastAsia="Times New Roman"/>
                <w:lang w:eastAsia="ru-RU"/>
              </w:rPr>
              <w:t>0,49</w:t>
            </w:r>
          </w:p>
        </w:tc>
      </w:tr>
      <w:tr w:rsidR="009A4C46" w:rsidRPr="009A4C46" w14:paraId="437C51B9" w14:textId="77777777" w:rsidTr="00F94FED">
        <w:trPr>
          <w:trHeight w:val="315"/>
        </w:trPr>
        <w:tc>
          <w:tcPr>
            <w:tcW w:w="747" w:type="pct"/>
            <w:tcBorders>
              <w:top w:val="nil"/>
              <w:left w:val="single" w:sz="8" w:space="0" w:color="auto"/>
              <w:bottom w:val="single" w:sz="8" w:space="0" w:color="auto"/>
              <w:right w:val="single" w:sz="8" w:space="0" w:color="auto"/>
            </w:tcBorders>
            <w:shd w:val="clear" w:color="auto" w:fill="auto"/>
            <w:noWrap/>
            <w:vAlign w:val="center"/>
            <w:hideMark/>
          </w:tcPr>
          <w:p w14:paraId="5A116B32" w14:textId="77777777" w:rsidR="009A4C46" w:rsidRPr="009A4C46" w:rsidRDefault="009A4C46" w:rsidP="009A4C46">
            <w:pPr>
              <w:spacing w:after="0" w:line="240" w:lineRule="auto"/>
              <w:rPr>
                <w:rFonts w:eastAsia="Times New Roman"/>
                <w:lang w:eastAsia="ru-RU"/>
              </w:rPr>
            </w:pPr>
            <w:r w:rsidRPr="009A4C46">
              <w:rPr>
                <w:rFonts w:eastAsia="Times New Roman"/>
                <w:lang w:eastAsia="ru-RU"/>
              </w:rPr>
              <w:t>СН2</w:t>
            </w:r>
          </w:p>
        </w:tc>
        <w:tc>
          <w:tcPr>
            <w:tcW w:w="1345" w:type="pct"/>
            <w:tcBorders>
              <w:top w:val="nil"/>
              <w:left w:val="nil"/>
              <w:bottom w:val="single" w:sz="8" w:space="0" w:color="auto"/>
              <w:right w:val="single" w:sz="8" w:space="0" w:color="auto"/>
            </w:tcBorders>
            <w:shd w:val="clear" w:color="auto" w:fill="auto"/>
            <w:noWrap/>
            <w:vAlign w:val="center"/>
            <w:hideMark/>
          </w:tcPr>
          <w:p w14:paraId="694A520D" w14:textId="77777777" w:rsidR="009A4C46" w:rsidRPr="009A4C46" w:rsidRDefault="009A4C46" w:rsidP="009A4C46">
            <w:pPr>
              <w:spacing w:after="0" w:line="240" w:lineRule="auto"/>
              <w:jc w:val="center"/>
              <w:rPr>
                <w:rFonts w:eastAsia="Times New Roman"/>
                <w:lang w:eastAsia="ru-RU"/>
              </w:rPr>
            </w:pPr>
            <w:r w:rsidRPr="009A4C46">
              <w:rPr>
                <w:rFonts w:eastAsia="Times New Roman"/>
                <w:lang w:eastAsia="ru-RU"/>
              </w:rPr>
              <w:t>24,90</w:t>
            </w:r>
          </w:p>
        </w:tc>
        <w:tc>
          <w:tcPr>
            <w:tcW w:w="899" w:type="pct"/>
            <w:tcBorders>
              <w:top w:val="nil"/>
              <w:left w:val="nil"/>
              <w:bottom w:val="single" w:sz="8" w:space="0" w:color="auto"/>
              <w:right w:val="single" w:sz="8" w:space="0" w:color="auto"/>
            </w:tcBorders>
            <w:shd w:val="clear" w:color="auto" w:fill="auto"/>
            <w:noWrap/>
            <w:vAlign w:val="center"/>
            <w:hideMark/>
          </w:tcPr>
          <w:p w14:paraId="633AA459" w14:textId="77777777" w:rsidR="009A4C46" w:rsidRPr="009A4C46" w:rsidRDefault="009A4C46" w:rsidP="009A4C46">
            <w:pPr>
              <w:spacing w:after="0" w:line="240" w:lineRule="auto"/>
              <w:jc w:val="center"/>
              <w:rPr>
                <w:rFonts w:eastAsia="Times New Roman"/>
                <w:lang w:eastAsia="ru-RU"/>
              </w:rPr>
            </w:pPr>
            <w:r w:rsidRPr="009A4C46">
              <w:rPr>
                <w:rFonts w:eastAsia="Times New Roman"/>
                <w:lang w:eastAsia="ru-RU"/>
              </w:rPr>
              <w:t>31,38</w:t>
            </w:r>
          </w:p>
        </w:tc>
        <w:tc>
          <w:tcPr>
            <w:tcW w:w="934" w:type="pct"/>
            <w:tcBorders>
              <w:top w:val="nil"/>
              <w:left w:val="nil"/>
              <w:bottom w:val="single" w:sz="8" w:space="0" w:color="auto"/>
              <w:right w:val="single" w:sz="8" w:space="0" w:color="auto"/>
            </w:tcBorders>
            <w:shd w:val="clear" w:color="auto" w:fill="auto"/>
            <w:noWrap/>
            <w:vAlign w:val="center"/>
            <w:hideMark/>
          </w:tcPr>
          <w:p w14:paraId="5BBFCC30" w14:textId="77777777" w:rsidR="009A4C46" w:rsidRPr="009A4C46" w:rsidRDefault="009A4C46" w:rsidP="009A4C46">
            <w:pPr>
              <w:spacing w:after="0" w:line="240" w:lineRule="auto"/>
              <w:jc w:val="center"/>
              <w:rPr>
                <w:rFonts w:eastAsia="Times New Roman"/>
                <w:lang w:eastAsia="ru-RU"/>
              </w:rPr>
            </w:pPr>
            <w:r w:rsidRPr="009A4C46">
              <w:rPr>
                <w:rFonts w:eastAsia="Times New Roman"/>
                <w:lang w:eastAsia="ru-RU"/>
              </w:rPr>
              <w:t>11,93</w:t>
            </w:r>
          </w:p>
        </w:tc>
        <w:tc>
          <w:tcPr>
            <w:tcW w:w="1075" w:type="pct"/>
            <w:tcBorders>
              <w:top w:val="nil"/>
              <w:left w:val="nil"/>
              <w:bottom w:val="single" w:sz="8" w:space="0" w:color="auto"/>
              <w:right w:val="single" w:sz="8" w:space="0" w:color="auto"/>
            </w:tcBorders>
            <w:shd w:val="clear" w:color="auto" w:fill="auto"/>
            <w:noWrap/>
            <w:vAlign w:val="center"/>
            <w:hideMark/>
          </w:tcPr>
          <w:p w14:paraId="68092FD1" w14:textId="77777777" w:rsidR="009A4C46" w:rsidRPr="009A4C46" w:rsidRDefault="009A4C46" w:rsidP="009A4C46">
            <w:pPr>
              <w:spacing w:after="0" w:line="240" w:lineRule="auto"/>
              <w:jc w:val="center"/>
              <w:rPr>
                <w:rFonts w:eastAsia="Times New Roman"/>
                <w:lang w:eastAsia="ru-RU"/>
              </w:rPr>
            </w:pPr>
            <w:r w:rsidRPr="009A4C46">
              <w:rPr>
                <w:rFonts w:eastAsia="Times New Roman"/>
                <w:lang w:eastAsia="ru-RU"/>
              </w:rPr>
              <w:t>15,05</w:t>
            </w:r>
          </w:p>
        </w:tc>
      </w:tr>
      <w:tr w:rsidR="009A4C46" w:rsidRPr="009A4C46" w14:paraId="254A5077" w14:textId="77777777" w:rsidTr="00F94FED">
        <w:trPr>
          <w:trHeight w:val="315"/>
        </w:trPr>
        <w:tc>
          <w:tcPr>
            <w:tcW w:w="747" w:type="pct"/>
            <w:tcBorders>
              <w:top w:val="nil"/>
              <w:left w:val="single" w:sz="8" w:space="0" w:color="auto"/>
              <w:bottom w:val="single" w:sz="8" w:space="0" w:color="auto"/>
              <w:right w:val="single" w:sz="8" w:space="0" w:color="auto"/>
            </w:tcBorders>
            <w:shd w:val="clear" w:color="auto" w:fill="auto"/>
            <w:noWrap/>
            <w:vAlign w:val="center"/>
            <w:hideMark/>
          </w:tcPr>
          <w:p w14:paraId="1357F629" w14:textId="77777777" w:rsidR="009A4C46" w:rsidRPr="009A4C46" w:rsidRDefault="009A4C46" w:rsidP="009A4C46">
            <w:pPr>
              <w:spacing w:after="0" w:line="240" w:lineRule="auto"/>
              <w:rPr>
                <w:rFonts w:eastAsia="Times New Roman"/>
                <w:lang w:eastAsia="ru-RU"/>
              </w:rPr>
            </w:pPr>
            <w:r w:rsidRPr="009A4C46">
              <w:rPr>
                <w:rFonts w:eastAsia="Times New Roman"/>
                <w:lang w:eastAsia="ru-RU"/>
              </w:rPr>
              <w:t>НН</w:t>
            </w:r>
          </w:p>
        </w:tc>
        <w:tc>
          <w:tcPr>
            <w:tcW w:w="1345" w:type="pct"/>
            <w:tcBorders>
              <w:top w:val="nil"/>
              <w:left w:val="nil"/>
              <w:bottom w:val="single" w:sz="8" w:space="0" w:color="auto"/>
              <w:right w:val="single" w:sz="8" w:space="0" w:color="auto"/>
            </w:tcBorders>
            <w:shd w:val="clear" w:color="auto" w:fill="auto"/>
            <w:noWrap/>
            <w:vAlign w:val="center"/>
            <w:hideMark/>
          </w:tcPr>
          <w:p w14:paraId="308B2F1A" w14:textId="77777777" w:rsidR="009A4C46" w:rsidRPr="009A4C46" w:rsidRDefault="009A4C46" w:rsidP="009A4C46">
            <w:pPr>
              <w:spacing w:after="0" w:line="240" w:lineRule="auto"/>
              <w:jc w:val="center"/>
              <w:rPr>
                <w:rFonts w:eastAsia="Times New Roman"/>
                <w:lang w:eastAsia="ru-RU"/>
              </w:rPr>
            </w:pPr>
            <w:r w:rsidRPr="009A4C46">
              <w:rPr>
                <w:rFonts w:eastAsia="Times New Roman"/>
                <w:lang w:eastAsia="ru-RU"/>
              </w:rPr>
              <w:t>30,88</w:t>
            </w:r>
          </w:p>
        </w:tc>
        <w:tc>
          <w:tcPr>
            <w:tcW w:w="899" w:type="pct"/>
            <w:tcBorders>
              <w:top w:val="nil"/>
              <w:left w:val="nil"/>
              <w:bottom w:val="single" w:sz="8" w:space="0" w:color="auto"/>
              <w:right w:val="single" w:sz="8" w:space="0" w:color="auto"/>
            </w:tcBorders>
            <w:shd w:val="clear" w:color="auto" w:fill="auto"/>
            <w:noWrap/>
            <w:vAlign w:val="center"/>
            <w:hideMark/>
          </w:tcPr>
          <w:p w14:paraId="669AD8BA" w14:textId="77777777" w:rsidR="009A4C46" w:rsidRPr="009A4C46" w:rsidRDefault="009A4C46" w:rsidP="009A4C46">
            <w:pPr>
              <w:spacing w:after="0" w:line="240" w:lineRule="auto"/>
              <w:jc w:val="center"/>
              <w:rPr>
                <w:rFonts w:eastAsia="Times New Roman"/>
                <w:lang w:eastAsia="ru-RU"/>
              </w:rPr>
            </w:pPr>
            <w:r w:rsidRPr="009A4C46">
              <w:rPr>
                <w:rFonts w:eastAsia="Times New Roman"/>
                <w:lang w:eastAsia="ru-RU"/>
              </w:rPr>
              <w:t>55,74</w:t>
            </w:r>
          </w:p>
        </w:tc>
        <w:tc>
          <w:tcPr>
            <w:tcW w:w="934" w:type="pct"/>
            <w:tcBorders>
              <w:top w:val="nil"/>
              <w:left w:val="nil"/>
              <w:bottom w:val="single" w:sz="8" w:space="0" w:color="auto"/>
              <w:right w:val="single" w:sz="8" w:space="0" w:color="auto"/>
            </w:tcBorders>
            <w:shd w:val="clear" w:color="auto" w:fill="auto"/>
            <w:noWrap/>
            <w:vAlign w:val="center"/>
            <w:hideMark/>
          </w:tcPr>
          <w:p w14:paraId="5D794111" w14:textId="77777777" w:rsidR="009A4C46" w:rsidRPr="009A4C46" w:rsidRDefault="009A4C46" w:rsidP="009A4C46">
            <w:pPr>
              <w:spacing w:after="0" w:line="240" w:lineRule="auto"/>
              <w:jc w:val="center"/>
              <w:rPr>
                <w:rFonts w:eastAsia="Times New Roman"/>
                <w:lang w:eastAsia="ru-RU"/>
              </w:rPr>
            </w:pPr>
            <w:r w:rsidRPr="009A4C46">
              <w:rPr>
                <w:rFonts w:eastAsia="Times New Roman"/>
                <w:lang w:eastAsia="ru-RU"/>
              </w:rPr>
              <w:t>11,54</w:t>
            </w:r>
          </w:p>
        </w:tc>
        <w:tc>
          <w:tcPr>
            <w:tcW w:w="1075" w:type="pct"/>
            <w:tcBorders>
              <w:top w:val="nil"/>
              <w:left w:val="nil"/>
              <w:bottom w:val="single" w:sz="8" w:space="0" w:color="auto"/>
              <w:right w:val="single" w:sz="8" w:space="0" w:color="auto"/>
            </w:tcBorders>
            <w:shd w:val="clear" w:color="auto" w:fill="auto"/>
            <w:noWrap/>
            <w:vAlign w:val="center"/>
            <w:hideMark/>
          </w:tcPr>
          <w:p w14:paraId="0FC21FCA" w14:textId="77777777" w:rsidR="009A4C46" w:rsidRPr="009A4C46" w:rsidRDefault="009A4C46" w:rsidP="009A4C46">
            <w:pPr>
              <w:spacing w:after="0" w:line="240" w:lineRule="auto"/>
              <w:jc w:val="center"/>
              <w:rPr>
                <w:rFonts w:eastAsia="Times New Roman"/>
                <w:lang w:eastAsia="ru-RU"/>
              </w:rPr>
            </w:pPr>
            <w:r w:rsidRPr="009A4C46">
              <w:rPr>
                <w:rFonts w:eastAsia="Times New Roman"/>
                <w:lang w:eastAsia="ru-RU"/>
              </w:rPr>
              <w:t>20,90</w:t>
            </w:r>
          </w:p>
        </w:tc>
      </w:tr>
      <w:tr w:rsidR="009A4C46" w:rsidRPr="009A4C46" w14:paraId="414C0B35" w14:textId="77777777" w:rsidTr="00F94FED">
        <w:trPr>
          <w:trHeight w:val="315"/>
        </w:trPr>
        <w:tc>
          <w:tcPr>
            <w:tcW w:w="747" w:type="pct"/>
            <w:tcBorders>
              <w:top w:val="nil"/>
              <w:left w:val="single" w:sz="8" w:space="0" w:color="auto"/>
              <w:bottom w:val="single" w:sz="8" w:space="0" w:color="auto"/>
              <w:right w:val="single" w:sz="8" w:space="0" w:color="auto"/>
            </w:tcBorders>
            <w:shd w:val="clear" w:color="auto" w:fill="auto"/>
            <w:noWrap/>
            <w:vAlign w:val="center"/>
            <w:hideMark/>
          </w:tcPr>
          <w:p w14:paraId="2EFDB508" w14:textId="77777777" w:rsidR="009A4C46" w:rsidRPr="009A4C46" w:rsidRDefault="009A4C46" w:rsidP="009A4C46">
            <w:pPr>
              <w:spacing w:after="0" w:line="240" w:lineRule="auto"/>
              <w:rPr>
                <w:rFonts w:eastAsia="Times New Roman"/>
                <w:lang w:eastAsia="ru-RU"/>
              </w:rPr>
            </w:pPr>
            <w:r w:rsidRPr="009A4C46">
              <w:rPr>
                <w:rFonts w:eastAsia="Times New Roman"/>
                <w:lang w:eastAsia="ru-RU"/>
              </w:rPr>
              <w:t xml:space="preserve">Население </w:t>
            </w:r>
          </w:p>
        </w:tc>
        <w:tc>
          <w:tcPr>
            <w:tcW w:w="1345" w:type="pct"/>
            <w:tcBorders>
              <w:top w:val="nil"/>
              <w:left w:val="nil"/>
              <w:bottom w:val="single" w:sz="8" w:space="0" w:color="auto"/>
              <w:right w:val="single" w:sz="8" w:space="0" w:color="auto"/>
            </w:tcBorders>
            <w:shd w:val="clear" w:color="auto" w:fill="auto"/>
            <w:noWrap/>
            <w:vAlign w:val="center"/>
            <w:hideMark/>
          </w:tcPr>
          <w:p w14:paraId="5616B88A" w14:textId="77777777" w:rsidR="009A4C46" w:rsidRPr="009A4C46" w:rsidRDefault="009A4C46" w:rsidP="009A4C46">
            <w:pPr>
              <w:spacing w:after="0" w:line="240" w:lineRule="auto"/>
              <w:jc w:val="center"/>
              <w:rPr>
                <w:rFonts w:eastAsia="Times New Roman"/>
                <w:lang w:eastAsia="ru-RU"/>
              </w:rPr>
            </w:pPr>
            <w:r w:rsidRPr="009A4C46">
              <w:rPr>
                <w:rFonts w:eastAsia="Times New Roman"/>
                <w:lang w:eastAsia="ru-RU"/>
              </w:rPr>
              <w:t>93,24</w:t>
            </w:r>
          </w:p>
        </w:tc>
        <w:tc>
          <w:tcPr>
            <w:tcW w:w="899" w:type="pct"/>
            <w:tcBorders>
              <w:top w:val="nil"/>
              <w:left w:val="nil"/>
              <w:bottom w:val="single" w:sz="8" w:space="0" w:color="auto"/>
              <w:right w:val="single" w:sz="8" w:space="0" w:color="auto"/>
            </w:tcBorders>
            <w:shd w:val="clear" w:color="auto" w:fill="auto"/>
            <w:noWrap/>
            <w:vAlign w:val="center"/>
            <w:hideMark/>
          </w:tcPr>
          <w:p w14:paraId="40B26EA8" w14:textId="77777777" w:rsidR="009A4C46" w:rsidRPr="009A4C46" w:rsidRDefault="009A4C46" w:rsidP="009A4C46">
            <w:pPr>
              <w:spacing w:after="0" w:line="240" w:lineRule="auto"/>
              <w:jc w:val="center"/>
              <w:rPr>
                <w:rFonts w:eastAsia="Times New Roman"/>
                <w:lang w:eastAsia="ru-RU"/>
              </w:rPr>
            </w:pPr>
            <w:r w:rsidRPr="009A4C46">
              <w:rPr>
                <w:rFonts w:eastAsia="Times New Roman"/>
                <w:lang w:eastAsia="ru-RU"/>
              </w:rPr>
              <w:t>101,76</w:t>
            </w:r>
          </w:p>
        </w:tc>
        <w:tc>
          <w:tcPr>
            <w:tcW w:w="934" w:type="pct"/>
            <w:tcBorders>
              <w:top w:val="nil"/>
              <w:left w:val="nil"/>
              <w:bottom w:val="single" w:sz="8" w:space="0" w:color="auto"/>
              <w:right w:val="single" w:sz="8" w:space="0" w:color="auto"/>
            </w:tcBorders>
            <w:shd w:val="clear" w:color="auto" w:fill="auto"/>
            <w:noWrap/>
            <w:vAlign w:val="center"/>
            <w:hideMark/>
          </w:tcPr>
          <w:p w14:paraId="184C0BC9" w14:textId="77777777" w:rsidR="009A4C46" w:rsidRPr="009A4C46" w:rsidRDefault="009A4C46" w:rsidP="009A4C46">
            <w:pPr>
              <w:spacing w:after="0" w:line="240" w:lineRule="auto"/>
              <w:jc w:val="center"/>
              <w:rPr>
                <w:rFonts w:eastAsia="Times New Roman"/>
                <w:lang w:eastAsia="ru-RU"/>
              </w:rPr>
            </w:pPr>
            <w:r w:rsidRPr="009A4C46">
              <w:rPr>
                <w:rFonts w:eastAsia="Times New Roman"/>
                <w:lang w:eastAsia="ru-RU"/>
              </w:rPr>
              <w:t>31,08</w:t>
            </w:r>
          </w:p>
        </w:tc>
        <w:tc>
          <w:tcPr>
            <w:tcW w:w="1075" w:type="pct"/>
            <w:tcBorders>
              <w:top w:val="nil"/>
              <w:left w:val="nil"/>
              <w:bottom w:val="single" w:sz="8" w:space="0" w:color="auto"/>
              <w:right w:val="single" w:sz="8" w:space="0" w:color="auto"/>
            </w:tcBorders>
            <w:shd w:val="clear" w:color="auto" w:fill="auto"/>
            <w:noWrap/>
            <w:vAlign w:val="center"/>
            <w:hideMark/>
          </w:tcPr>
          <w:p w14:paraId="386CCEF3" w14:textId="77777777" w:rsidR="009A4C46" w:rsidRPr="009A4C46" w:rsidRDefault="009A4C46" w:rsidP="009A4C46">
            <w:pPr>
              <w:spacing w:after="0" w:line="240" w:lineRule="auto"/>
              <w:jc w:val="center"/>
              <w:rPr>
                <w:rFonts w:eastAsia="Times New Roman"/>
                <w:lang w:eastAsia="ru-RU"/>
              </w:rPr>
            </w:pPr>
            <w:r w:rsidRPr="009A4C46">
              <w:rPr>
                <w:rFonts w:eastAsia="Times New Roman"/>
                <w:lang w:eastAsia="ru-RU"/>
              </w:rPr>
              <w:t>33,92</w:t>
            </w:r>
          </w:p>
        </w:tc>
      </w:tr>
      <w:tr w:rsidR="009A4C46" w:rsidRPr="009A4C46" w14:paraId="2DEE9671" w14:textId="77777777" w:rsidTr="00F94FED">
        <w:trPr>
          <w:trHeight w:val="315"/>
        </w:trPr>
        <w:tc>
          <w:tcPr>
            <w:tcW w:w="747" w:type="pct"/>
            <w:tcBorders>
              <w:top w:val="nil"/>
              <w:left w:val="single" w:sz="8" w:space="0" w:color="auto"/>
              <w:bottom w:val="single" w:sz="8" w:space="0" w:color="auto"/>
              <w:right w:val="single" w:sz="8" w:space="0" w:color="auto"/>
            </w:tcBorders>
            <w:shd w:val="clear" w:color="auto" w:fill="auto"/>
            <w:noWrap/>
            <w:vAlign w:val="center"/>
            <w:hideMark/>
          </w:tcPr>
          <w:p w14:paraId="1D56BC4F" w14:textId="77777777" w:rsidR="009A4C46" w:rsidRPr="009A4C46" w:rsidRDefault="009A4C46" w:rsidP="009A4C46">
            <w:pPr>
              <w:spacing w:after="0" w:line="240" w:lineRule="auto"/>
              <w:rPr>
                <w:rFonts w:eastAsia="Times New Roman"/>
                <w:lang w:eastAsia="ru-RU"/>
              </w:rPr>
            </w:pPr>
            <w:r w:rsidRPr="009A4C46">
              <w:rPr>
                <w:rFonts w:eastAsia="Times New Roman"/>
                <w:lang w:eastAsia="ru-RU"/>
              </w:rPr>
              <w:t>Категория 1*</w:t>
            </w:r>
          </w:p>
        </w:tc>
        <w:tc>
          <w:tcPr>
            <w:tcW w:w="1345" w:type="pct"/>
            <w:tcBorders>
              <w:top w:val="nil"/>
              <w:left w:val="nil"/>
              <w:bottom w:val="single" w:sz="8" w:space="0" w:color="auto"/>
              <w:right w:val="single" w:sz="8" w:space="0" w:color="auto"/>
            </w:tcBorders>
            <w:shd w:val="clear" w:color="auto" w:fill="auto"/>
            <w:noWrap/>
            <w:vAlign w:val="center"/>
            <w:hideMark/>
          </w:tcPr>
          <w:p w14:paraId="2382E430" w14:textId="77777777" w:rsidR="009A4C46" w:rsidRPr="009A4C46" w:rsidRDefault="009A4C46" w:rsidP="009A4C46">
            <w:pPr>
              <w:spacing w:after="0" w:line="240" w:lineRule="auto"/>
              <w:jc w:val="center"/>
              <w:rPr>
                <w:rFonts w:eastAsia="Times New Roman"/>
                <w:lang w:eastAsia="ru-RU"/>
              </w:rPr>
            </w:pPr>
            <w:r w:rsidRPr="009A4C46">
              <w:rPr>
                <w:rFonts w:eastAsia="Times New Roman"/>
                <w:lang w:eastAsia="ru-RU"/>
              </w:rPr>
              <w:t>86,11</w:t>
            </w:r>
          </w:p>
        </w:tc>
        <w:tc>
          <w:tcPr>
            <w:tcW w:w="899" w:type="pct"/>
            <w:tcBorders>
              <w:top w:val="nil"/>
              <w:left w:val="nil"/>
              <w:bottom w:val="single" w:sz="8" w:space="0" w:color="auto"/>
              <w:right w:val="single" w:sz="8" w:space="0" w:color="auto"/>
            </w:tcBorders>
            <w:shd w:val="clear" w:color="auto" w:fill="auto"/>
            <w:noWrap/>
            <w:vAlign w:val="center"/>
            <w:hideMark/>
          </w:tcPr>
          <w:p w14:paraId="6F78D5D5" w14:textId="77777777" w:rsidR="009A4C46" w:rsidRPr="009A4C46" w:rsidRDefault="009A4C46" w:rsidP="009A4C46">
            <w:pPr>
              <w:spacing w:after="0" w:line="240" w:lineRule="auto"/>
              <w:jc w:val="center"/>
              <w:rPr>
                <w:rFonts w:eastAsia="Times New Roman"/>
                <w:lang w:eastAsia="ru-RU"/>
              </w:rPr>
            </w:pPr>
            <w:r w:rsidRPr="009A4C46">
              <w:rPr>
                <w:rFonts w:eastAsia="Times New Roman"/>
                <w:lang w:eastAsia="ru-RU"/>
              </w:rPr>
              <w:t>84,24</w:t>
            </w:r>
          </w:p>
        </w:tc>
        <w:tc>
          <w:tcPr>
            <w:tcW w:w="934" w:type="pct"/>
            <w:vMerge w:val="restart"/>
            <w:tcBorders>
              <w:top w:val="nil"/>
              <w:left w:val="single" w:sz="8" w:space="0" w:color="auto"/>
              <w:bottom w:val="single" w:sz="8" w:space="0" w:color="000000"/>
              <w:right w:val="single" w:sz="8" w:space="0" w:color="auto"/>
            </w:tcBorders>
            <w:shd w:val="clear" w:color="auto" w:fill="auto"/>
            <w:noWrap/>
            <w:vAlign w:val="center"/>
            <w:hideMark/>
          </w:tcPr>
          <w:p w14:paraId="09B048C3" w14:textId="77777777" w:rsidR="009A4C46" w:rsidRPr="009A4C46" w:rsidRDefault="009A4C46" w:rsidP="009A4C46">
            <w:pPr>
              <w:spacing w:after="0" w:line="240" w:lineRule="auto"/>
              <w:jc w:val="center"/>
              <w:rPr>
                <w:rFonts w:eastAsia="Times New Roman"/>
                <w:lang w:eastAsia="ru-RU"/>
              </w:rPr>
            </w:pPr>
            <w:r w:rsidRPr="009A4C46">
              <w:rPr>
                <w:rFonts w:eastAsia="Times New Roman"/>
                <w:lang w:eastAsia="ru-RU"/>
              </w:rPr>
              <w:t>31,08</w:t>
            </w:r>
          </w:p>
        </w:tc>
        <w:tc>
          <w:tcPr>
            <w:tcW w:w="1075" w:type="pct"/>
            <w:vMerge w:val="restart"/>
            <w:tcBorders>
              <w:top w:val="nil"/>
              <w:left w:val="single" w:sz="8" w:space="0" w:color="auto"/>
              <w:bottom w:val="single" w:sz="8" w:space="0" w:color="000000"/>
              <w:right w:val="single" w:sz="8" w:space="0" w:color="auto"/>
            </w:tcBorders>
            <w:shd w:val="clear" w:color="auto" w:fill="auto"/>
            <w:noWrap/>
            <w:vAlign w:val="center"/>
            <w:hideMark/>
          </w:tcPr>
          <w:p w14:paraId="4AE42865" w14:textId="77777777" w:rsidR="009A4C46" w:rsidRPr="009A4C46" w:rsidRDefault="009A4C46" w:rsidP="009A4C46">
            <w:pPr>
              <w:spacing w:after="0" w:line="240" w:lineRule="auto"/>
              <w:jc w:val="center"/>
              <w:rPr>
                <w:rFonts w:eastAsia="Times New Roman"/>
                <w:lang w:eastAsia="ru-RU"/>
              </w:rPr>
            </w:pPr>
            <w:r w:rsidRPr="009A4C46">
              <w:rPr>
                <w:rFonts w:eastAsia="Times New Roman"/>
                <w:lang w:eastAsia="ru-RU"/>
              </w:rPr>
              <w:t>33,92</w:t>
            </w:r>
          </w:p>
        </w:tc>
      </w:tr>
      <w:tr w:rsidR="009A4C46" w:rsidRPr="009A4C46" w14:paraId="051A4856" w14:textId="77777777" w:rsidTr="00F94FED">
        <w:trPr>
          <w:trHeight w:val="315"/>
        </w:trPr>
        <w:tc>
          <w:tcPr>
            <w:tcW w:w="747" w:type="pct"/>
            <w:tcBorders>
              <w:top w:val="nil"/>
              <w:left w:val="single" w:sz="8" w:space="0" w:color="auto"/>
              <w:bottom w:val="single" w:sz="8" w:space="0" w:color="auto"/>
              <w:right w:val="single" w:sz="8" w:space="0" w:color="auto"/>
            </w:tcBorders>
            <w:shd w:val="clear" w:color="auto" w:fill="auto"/>
            <w:noWrap/>
            <w:vAlign w:val="center"/>
            <w:hideMark/>
          </w:tcPr>
          <w:p w14:paraId="350E282C" w14:textId="77777777" w:rsidR="009A4C46" w:rsidRPr="009A4C46" w:rsidRDefault="009A4C46" w:rsidP="009A4C46">
            <w:pPr>
              <w:spacing w:after="0" w:line="240" w:lineRule="auto"/>
              <w:rPr>
                <w:rFonts w:eastAsia="Times New Roman"/>
                <w:lang w:eastAsia="ru-RU"/>
              </w:rPr>
            </w:pPr>
            <w:r w:rsidRPr="009A4C46">
              <w:rPr>
                <w:rFonts w:eastAsia="Times New Roman"/>
                <w:lang w:eastAsia="ru-RU"/>
              </w:rPr>
              <w:t>Категория 2*</w:t>
            </w:r>
          </w:p>
        </w:tc>
        <w:tc>
          <w:tcPr>
            <w:tcW w:w="1345" w:type="pct"/>
            <w:tcBorders>
              <w:top w:val="nil"/>
              <w:left w:val="nil"/>
              <w:bottom w:val="single" w:sz="8" w:space="0" w:color="auto"/>
              <w:right w:val="single" w:sz="8" w:space="0" w:color="auto"/>
            </w:tcBorders>
            <w:shd w:val="clear" w:color="auto" w:fill="auto"/>
            <w:noWrap/>
            <w:vAlign w:val="center"/>
            <w:hideMark/>
          </w:tcPr>
          <w:p w14:paraId="7B27DF85" w14:textId="77777777" w:rsidR="009A4C46" w:rsidRPr="009A4C46" w:rsidRDefault="009A4C46" w:rsidP="009A4C46">
            <w:pPr>
              <w:spacing w:after="0" w:line="240" w:lineRule="auto"/>
              <w:jc w:val="center"/>
              <w:rPr>
                <w:rFonts w:eastAsia="Times New Roman"/>
                <w:lang w:eastAsia="ru-RU"/>
              </w:rPr>
            </w:pPr>
            <w:r w:rsidRPr="009A4C46">
              <w:rPr>
                <w:rFonts w:eastAsia="Times New Roman"/>
                <w:lang w:eastAsia="ru-RU"/>
              </w:rPr>
              <w:t>1,08</w:t>
            </w:r>
          </w:p>
        </w:tc>
        <w:tc>
          <w:tcPr>
            <w:tcW w:w="899" w:type="pct"/>
            <w:tcBorders>
              <w:top w:val="nil"/>
              <w:left w:val="nil"/>
              <w:bottom w:val="single" w:sz="8" w:space="0" w:color="auto"/>
              <w:right w:val="single" w:sz="8" w:space="0" w:color="auto"/>
            </w:tcBorders>
            <w:shd w:val="clear" w:color="auto" w:fill="auto"/>
            <w:noWrap/>
            <w:vAlign w:val="center"/>
            <w:hideMark/>
          </w:tcPr>
          <w:p w14:paraId="43B6F2B8" w14:textId="77777777" w:rsidR="009A4C46" w:rsidRPr="009A4C46" w:rsidRDefault="009A4C46" w:rsidP="009A4C46">
            <w:pPr>
              <w:spacing w:after="0" w:line="240" w:lineRule="auto"/>
              <w:jc w:val="center"/>
              <w:rPr>
                <w:rFonts w:eastAsia="Times New Roman"/>
                <w:lang w:eastAsia="ru-RU"/>
              </w:rPr>
            </w:pPr>
            <w:r w:rsidRPr="009A4C46">
              <w:rPr>
                <w:rFonts w:eastAsia="Times New Roman"/>
                <w:lang w:eastAsia="ru-RU"/>
              </w:rPr>
              <w:t>8,44</w:t>
            </w:r>
          </w:p>
        </w:tc>
        <w:tc>
          <w:tcPr>
            <w:tcW w:w="934" w:type="pct"/>
            <w:vMerge/>
            <w:tcBorders>
              <w:top w:val="nil"/>
              <w:left w:val="single" w:sz="8" w:space="0" w:color="auto"/>
              <w:bottom w:val="single" w:sz="8" w:space="0" w:color="000000"/>
              <w:right w:val="single" w:sz="8" w:space="0" w:color="auto"/>
            </w:tcBorders>
            <w:shd w:val="clear" w:color="auto" w:fill="auto"/>
            <w:vAlign w:val="center"/>
            <w:hideMark/>
          </w:tcPr>
          <w:p w14:paraId="5C8A4AFE" w14:textId="77777777" w:rsidR="009A4C46" w:rsidRPr="009A4C46" w:rsidRDefault="009A4C46" w:rsidP="009A4C46">
            <w:pPr>
              <w:spacing w:after="0" w:line="240" w:lineRule="auto"/>
              <w:rPr>
                <w:rFonts w:eastAsia="Times New Roman"/>
                <w:lang w:eastAsia="ru-RU"/>
              </w:rPr>
            </w:pPr>
          </w:p>
        </w:tc>
        <w:tc>
          <w:tcPr>
            <w:tcW w:w="1075" w:type="pct"/>
            <w:vMerge/>
            <w:tcBorders>
              <w:top w:val="nil"/>
              <w:left w:val="single" w:sz="8" w:space="0" w:color="auto"/>
              <w:bottom w:val="single" w:sz="8" w:space="0" w:color="000000"/>
              <w:right w:val="single" w:sz="8" w:space="0" w:color="auto"/>
            </w:tcBorders>
            <w:shd w:val="clear" w:color="auto" w:fill="auto"/>
            <w:vAlign w:val="center"/>
            <w:hideMark/>
          </w:tcPr>
          <w:p w14:paraId="406BDD6C" w14:textId="77777777" w:rsidR="009A4C46" w:rsidRPr="009A4C46" w:rsidRDefault="009A4C46" w:rsidP="009A4C46">
            <w:pPr>
              <w:spacing w:after="0" w:line="240" w:lineRule="auto"/>
              <w:rPr>
                <w:rFonts w:eastAsia="Times New Roman"/>
                <w:lang w:eastAsia="ru-RU"/>
              </w:rPr>
            </w:pPr>
          </w:p>
        </w:tc>
      </w:tr>
      <w:tr w:rsidR="009A4C46" w:rsidRPr="009A4C46" w14:paraId="5569E805" w14:textId="77777777" w:rsidTr="00F94FED">
        <w:trPr>
          <w:trHeight w:val="315"/>
        </w:trPr>
        <w:tc>
          <w:tcPr>
            <w:tcW w:w="747" w:type="pct"/>
            <w:tcBorders>
              <w:top w:val="nil"/>
              <w:left w:val="single" w:sz="8" w:space="0" w:color="auto"/>
              <w:bottom w:val="single" w:sz="8" w:space="0" w:color="auto"/>
              <w:right w:val="single" w:sz="8" w:space="0" w:color="auto"/>
            </w:tcBorders>
            <w:shd w:val="clear" w:color="auto" w:fill="auto"/>
            <w:noWrap/>
            <w:vAlign w:val="center"/>
            <w:hideMark/>
          </w:tcPr>
          <w:p w14:paraId="5C55C563" w14:textId="77777777" w:rsidR="009A4C46" w:rsidRPr="009A4C46" w:rsidRDefault="009A4C46" w:rsidP="009A4C46">
            <w:pPr>
              <w:spacing w:after="0" w:line="240" w:lineRule="auto"/>
              <w:rPr>
                <w:rFonts w:eastAsia="Times New Roman"/>
                <w:lang w:eastAsia="ru-RU"/>
              </w:rPr>
            </w:pPr>
            <w:r w:rsidRPr="009A4C46">
              <w:rPr>
                <w:rFonts w:eastAsia="Times New Roman"/>
                <w:lang w:eastAsia="ru-RU"/>
              </w:rPr>
              <w:t>Категория 3*</w:t>
            </w:r>
          </w:p>
        </w:tc>
        <w:tc>
          <w:tcPr>
            <w:tcW w:w="1345" w:type="pct"/>
            <w:tcBorders>
              <w:top w:val="nil"/>
              <w:left w:val="nil"/>
              <w:bottom w:val="single" w:sz="8" w:space="0" w:color="auto"/>
              <w:right w:val="single" w:sz="8" w:space="0" w:color="auto"/>
            </w:tcBorders>
            <w:shd w:val="clear" w:color="auto" w:fill="auto"/>
            <w:noWrap/>
            <w:vAlign w:val="center"/>
            <w:hideMark/>
          </w:tcPr>
          <w:p w14:paraId="61823F01" w14:textId="77777777" w:rsidR="009A4C46" w:rsidRPr="009A4C46" w:rsidRDefault="009A4C46" w:rsidP="009A4C46">
            <w:pPr>
              <w:spacing w:after="0" w:line="240" w:lineRule="auto"/>
              <w:jc w:val="center"/>
              <w:rPr>
                <w:rFonts w:eastAsia="Times New Roman"/>
                <w:lang w:eastAsia="ru-RU"/>
              </w:rPr>
            </w:pPr>
            <w:r w:rsidRPr="009A4C46">
              <w:rPr>
                <w:rFonts w:eastAsia="Times New Roman"/>
                <w:lang w:eastAsia="ru-RU"/>
              </w:rPr>
              <w:t>0,39</w:t>
            </w:r>
          </w:p>
        </w:tc>
        <w:tc>
          <w:tcPr>
            <w:tcW w:w="899" w:type="pct"/>
            <w:tcBorders>
              <w:top w:val="nil"/>
              <w:left w:val="nil"/>
              <w:bottom w:val="single" w:sz="8" w:space="0" w:color="auto"/>
              <w:right w:val="single" w:sz="8" w:space="0" w:color="auto"/>
            </w:tcBorders>
            <w:shd w:val="clear" w:color="auto" w:fill="auto"/>
            <w:noWrap/>
            <w:vAlign w:val="center"/>
            <w:hideMark/>
          </w:tcPr>
          <w:p w14:paraId="5CB7F39C" w14:textId="77777777" w:rsidR="009A4C46" w:rsidRPr="009A4C46" w:rsidRDefault="009A4C46" w:rsidP="009A4C46">
            <w:pPr>
              <w:spacing w:after="0" w:line="240" w:lineRule="auto"/>
              <w:jc w:val="center"/>
              <w:rPr>
                <w:rFonts w:eastAsia="Times New Roman"/>
                <w:lang w:eastAsia="ru-RU"/>
              </w:rPr>
            </w:pPr>
            <w:r w:rsidRPr="009A4C46">
              <w:rPr>
                <w:rFonts w:eastAsia="Times New Roman"/>
                <w:lang w:eastAsia="ru-RU"/>
              </w:rPr>
              <w:t>2,32</w:t>
            </w:r>
          </w:p>
        </w:tc>
        <w:tc>
          <w:tcPr>
            <w:tcW w:w="934" w:type="pct"/>
            <w:vMerge/>
            <w:tcBorders>
              <w:top w:val="nil"/>
              <w:left w:val="single" w:sz="8" w:space="0" w:color="auto"/>
              <w:bottom w:val="single" w:sz="8" w:space="0" w:color="000000"/>
              <w:right w:val="single" w:sz="8" w:space="0" w:color="auto"/>
            </w:tcBorders>
            <w:shd w:val="clear" w:color="auto" w:fill="auto"/>
            <w:vAlign w:val="center"/>
            <w:hideMark/>
          </w:tcPr>
          <w:p w14:paraId="1809973E" w14:textId="77777777" w:rsidR="009A4C46" w:rsidRPr="009A4C46" w:rsidRDefault="009A4C46" w:rsidP="009A4C46">
            <w:pPr>
              <w:spacing w:after="0" w:line="240" w:lineRule="auto"/>
              <w:rPr>
                <w:rFonts w:eastAsia="Times New Roman"/>
                <w:lang w:eastAsia="ru-RU"/>
              </w:rPr>
            </w:pPr>
          </w:p>
        </w:tc>
        <w:tc>
          <w:tcPr>
            <w:tcW w:w="1075" w:type="pct"/>
            <w:vMerge/>
            <w:tcBorders>
              <w:top w:val="nil"/>
              <w:left w:val="single" w:sz="8" w:space="0" w:color="auto"/>
              <w:bottom w:val="single" w:sz="8" w:space="0" w:color="000000"/>
              <w:right w:val="single" w:sz="8" w:space="0" w:color="auto"/>
            </w:tcBorders>
            <w:shd w:val="clear" w:color="auto" w:fill="auto"/>
            <w:vAlign w:val="center"/>
            <w:hideMark/>
          </w:tcPr>
          <w:p w14:paraId="42FBEAC2" w14:textId="77777777" w:rsidR="009A4C46" w:rsidRPr="009A4C46" w:rsidRDefault="009A4C46" w:rsidP="009A4C46">
            <w:pPr>
              <w:spacing w:after="0" w:line="240" w:lineRule="auto"/>
              <w:rPr>
                <w:rFonts w:eastAsia="Times New Roman"/>
                <w:lang w:eastAsia="ru-RU"/>
              </w:rPr>
            </w:pPr>
          </w:p>
        </w:tc>
      </w:tr>
      <w:tr w:rsidR="009A4C46" w:rsidRPr="009A4C46" w14:paraId="0E13112F" w14:textId="77777777" w:rsidTr="00F94FED">
        <w:trPr>
          <w:trHeight w:val="315"/>
        </w:trPr>
        <w:tc>
          <w:tcPr>
            <w:tcW w:w="747" w:type="pct"/>
            <w:tcBorders>
              <w:top w:val="nil"/>
              <w:left w:val="single" w:sz="8" w:space="0" w:color="auto"/>
              <w:bottom w:val="single" w:sz="8" w:space="0" w:color="auto"/>
              <w:right w:val="single" w:sz="8" w:space="0" w:color="auto"/>
            </w:tcBorders>
            <w:shd w:val="clear" w:color="auto" w:fill="auto"/>
            <w:noWrap/>
            <w:vAlign w:val="center"/>
            <w:hideMark/>
          </w:tcPr>
          <w:p w14:paraId="5AF6F5F6" w14:textId="77777777" w:rsidR="009A4C46" w:rsidRPr="009A4C46" w:rsidRDefault="009A4C46" w:rsidP="009A4C46">
            <w:pPr>
              <w:spacing w:after="0" w:line="240" w:lineRule="auto"/>
              <w:rPr>
                <w:rFonts w:eastAsia="Times New Roman"/>
                <w:lang w:eastAsia="ru-RU"/>
              </w:rPr>
            </w:pPr>
            <w:r w:rsidRPr="009A4C46">
              <w:rPr>
                <w:rFonts w:eastAsia="Times New Roman"/>
                <w:lang w:eastAsia="ru-RU"/>
              </w:rPr>
              <w:t>Категория 4.1*</w:t>
            </w:r>
          </w:p>
        </w:tc>
        <w:tc>
          <w:tcPr>
            <w:tcW w:w="1345" w:type="pct"/>
            <w:tcBorders>
              <w:top w:val="nil"/>
              <w:left w:val="nil"/>
              <w:bottom w:val="single" w:sz="8" w:space="0" w:color="auto"/>
              <w:right w:val="single" w:sz="8" w:space="0" w:color="auto"/>
            </w:tcBorders>
            <w:shd w:val="clear" w:color="auto" w:fill="auto"/>
            <w:noWrap/>
            <w:vAlign w:val="center"/>
            <w:hideMark/>
          </w:tcPr>
          <w:p w14:paraId="4F46B8A8" w14:textId="77777777" w:rsidR="009A4C46" w:rsidRPr="009A4C46" w:rsidRDefault="009A4C46" w:rsidP="009A4C46">
            <w:pPr>
              <w:spacing w:after="0" w:line="240" w:lineRule="auto"/>
              <w:jc w:val="center"/>
              <w:rPr>
                <w:rFonts w:eastAsia="Times New Roman"/>
                <w:lang w:eastAsia="ru-RU"/>
              </w:rPr>
            </w:pPr>
            <w:r w:rsidRPr="009A4C46">
              <w:rPr>
                <w:rFonts w:eastAsia="Times New Roman"/>
                <w:lang w:eastAsia="ru-RU"/>
              </w:rPr>
              <w:t>0,06</w:t>
            </w:r>
          </w:p>
        </w:tc>
        <w:tc>
          <w:tcPr>
            <w:tcW w:w="899" w:type="pct"/>
            <w:tcBorders>
              <w:top w:val="nil"/>
              <w:left w:val="nil"/>
              <w:bottom w:val="single" w:sz="8" w:space="0" w:color="auto"/>
              <w:right w:val="single" w:sz="8" w:space="0" w:color="auto"/>
            </w:tcBorders>
            <w:shd w:val="clear" w:color="auto" w:fill="auto"/>
            <w:noWrap/>
            <w:vAlign w:val="center"/>
            <w:hideMark/>
          </w:tcPr>
          <w:p w14:paraId="6726DA26" w14:textId="77777777" w:rsidR="009A4C46" w:rsidRPr="009A4C46" w:rsidRDefault="009A4C46" w:rsidP="009A4C46">
            <w:pPr>
              <w:spacing w:after="0" w:line="240" w:lineRule="auto"/>
              <w:jc w:val="center"/>
              <w:rPr>
                <w:rFonts w:eastAsia="Times New Roman"/>
                <w:lang w:eastAsia="ru-RU"/>
              </w:rPr>
            </w:pPr>
            <w:r w:rsidRPr="009A4C46">
              <w:rPr>
                <w:rFonts w:eastAsia="Times New Roman"/>
                <w:lang w:eastAsia="ru-RU"/>
              </w:rPr>
              <w:t>1,98</w:t>
            </w:r>
          </w:p>
        </w:tc>
        <w:tc>
          <w:tcPr>
            <w:tcW w:w="934" w:type="pct"/>
            <w:vMerge/>
            <w:tcBorders>
              <w:top w:val="nil"/>
              <w:left w:val="single" w:sz="8" w:space="0" w:color="auto"/>
              <w:bottom w:val="single" w:sz="8" w:space="0" w:color="000000"/>
              <w:right w:val="single" w:sz="8" w:space="0" w:color="auto"/>
            </w:tcBorders>
            <w:shd w:val="clear" w:color="auto" w:fill="auto"/>
            <w:vAlign w:val="center"/>
            <w:hideMark/>
          </w:tcPr>
          <w:p w14:paraId="588BCAD4" w14:textId="77777777" w:rsidR="009A4C46" w:rsidRPr="009A4C46" w:rsidRDefault="009A4C46" w:rsidP="009A4C46">
            <w:pPr>
              <w:spacing w:after="0" w:line="240" w:lineRule="auto"/>
              <w:rPr>
                <w:rFonts w:eastAsia="Times New Roman"/>
                <w:lang w:eastAsia="ru-RU"/>
              </w:rPr>
            </w:pPr>
          </w:p>
        </w:tc>
        <w:tc>
          <w:tcPr>
            <w:tcW w:w="1075" w:type="pct"/>
            <w:vMerge/>
            <w:tcBorders>
              <w:top w:val="nil"/>
              <w:left w:val="single" w:sz="8" w:space="0" w:color="auto"/>
              <w:bottom w:val="single" w:sz="8" w:space="0" w:color="000000"/>
              <w:right w:val="single" w:sz="8" w:space="0" w:color="auto"/>
            </w:tcBorders>
            <w:shd w:val="clear" w:color="auto" w:fill="auto"/>
            <w:vAlign w:val="center"/>
            <w:hideMark/>
          </w:tcPr>
          <w:p w14:paraId="05F11DDB" w14:textId="77777777" w:rsidR="009A4C46" w:rsidRPr="009A4C46" w:rsidRDefault="009A4C46" w:rsidP="009A4C46">
            <w:pPr>
              <w:spacing w:after="0" w:line="240" w:lineRule="auto"/>
              <w:rPr>
                <w:rFonts w:eastAsia="Times New Roman"/>
                <w:lang w:eastAsia="ru-RU"/>
              </w:rPr>
            </w:pPr>
          </w:p>
        </w:tc>
      </w:tr>
      <w:tr w:rsidR="009A4C46" w:rsidRPr="009A4C46" w14:paraId="2F2B3D9D" w14:textId="77777777" w:rsidTr="00F94FED">
        <w:trPr>
          <w:trHeight w:val="315"/>
        </w:trPr>
        <w:tc>
          <w:tcPr>
            <w:tcW w:w="747" w:type="pct"/>
            <w:tcBorders>
              <w:top w:val="nil"/>
              <w:left w:val="single" w:sz="8" w:space="0" w:color="auto"/>
              <w:bottom w:val="single" w:sz="8" w:space="0" w:color="auto"/>
              <w:right w:val="single" w:sz="8" w:space="0" w:color="auto"/>
            </w:tcBorders>
            <w:shd w:val="clear" w:color="auto" w:fill="auto"/>
            <w:noWrap/>
            <w:vAlign w:val="center"/>
            <w:hideMark/>
          </w:tcPr>
          <w:p w14:paraId="0C86FB83" w14:textId="77777777" w:rsidR="009A4C46" w:rsidRPr="009A4C46" w:rsidRDefault="009A4C46" w:rsidP="009A4C46">
            <w:pPr>
              <w:spacing w:after="0" w:line="240" w:lineRule="auto"/>
              <w:rPr>
                <w:rFonts w:eastAsia="Times New Roman"/>
                <w:lang w:eastAsia="ru-RU"/>
              </w:rPr>
            </w:pPr>
            <w:r w:rsidRPr="009A4C46">
              <w:rPr>
                <w:rFonts w:eastAsia="Times New Roman"/>
                <w:lang w:eastAsia="ru-RU"/>
              </w:rPr>
              <w:t>Категория 4.2*</w:t>
            </w:r>
          </w:p>
        </w:tc>
        <w:tc>
          <w:tcPr>
            <w:tcW w:w="1345" w:type="pct"/>
            <w:tcBorders>
              <w:top w:val="nil"/>
              <w:left w:val="nil"/>
              <w:bottom w:val="single" w:sz="8" w:space="0" w:color="auto"/>
              <w:right w:val="single" w:sz="8" w:space="0" w:color="auto"/>
            </w:tcBorders>
            <w:shd w:val="clear" w:color="auto" w:fill="auto"/>
            <w:noWrap/>
            <w:vAlign w:val="center"/>
            <w:hideMark/>
          </w:tcPr>
          <w:p w14:paraId="316B9659" w14:textId="77777777" w:rsidR="009A4C46" w:rsidRPr="009A4C46" w:rsidRDefault="009A4C46" w:rsidP="009A4C46">
            <w:pPr>
              <w:spacing w:after="0" w:line="240" w:lineRule="auto"/>
              <w:jc w:val="center"/>
              <w:rPr>
                <w:rFonts w:eastAsia="Times New Roman"/>
                <w:lang w:eastAsia="ru-RU"/>
              </w:rPr>
            </w:pPr>
            <w:r w:rsidRPr="009A4C46">
              <w:rPr>
                <w:rFonts w:eastAsia="Times New Roman"/>
                <w:lang w:eastAsia="ru-RU"/>
              </w:rPr>
              <w:t>0,70</w:t>
            </w:r>
          </w:p>
        </w:tc>
        <w:tc>
          <w:tcPr>
            <w:tcW w:w="899" w:type="pct"/>
            <w:tcBorders>
              <w:top w:val="nil"/>
              <w:left w:val="nil"/>
              <w:bottom w:val="single" w:sz="8" w:space="0" w:color="auto"/>
              <w:right w:val="single" w:sz="8" w:space="0" w:color="auto"/>
            </w:tcBorders>
            <w:shd w:val="clear" w:color="auto" w:fill="auto"/>
            <w:noWrap/>
            <w:vAlign w:val="center"/>
            <w:hideMark/>
          </w:tcPr>
          <w:p w14:paraId="0773B24C" w14:textId="77777777" w:rsidR="009A4C46" w:rsidRPr="009A4C46" w:rsidRDefault="009A4C46" w:rsidP="009A4C46">
            <w:pPr>
              <w:spacing w:after="0" w:line="240" w:lineRule="auto"/>
              <w:jc w:val="center"/>
              <w:rPr>
                <w:rFonts w:eastAsia="Times New Roman"/>
                <w:lang w:eastAsia="ru-RU"/>
              </w:rPr>
            </w:pPr>
            <w:r w:rsidRPr="009A4C46">
              <w:rPr>
                <w:rFonts w:eastAsia="Times New Roman"/>
                <w:lang w:eastAsia="ru-RU"/>
              </w:rPr>
              <w:t>0,71</w:t>
            </w:r>
          </w:p>
        </w:tc>
        <w:tc>
          <w:tcPr>
            <w:tcW w:w="934" w:type="pct"/>
            <w:vMerge/>
            <w:tcBorders>
              <w:top w:val="nil"/>
              <w:left w:val="single" w:sz="8" w:space="0" w:color="auto"/>
              <w:bottom w:val="single" w:sz="8" w:space="0" w:color="000000"/>
              <w:right w:val="single" w:sz="8" w:space="0" w:color="auto"/>
            </w:tcBorders>
            <w:shd w:val="clear" w:color="auto" w:fill="auto"/>
            <w:vAlign w:val="center"/>
            <w:hideMark/>
          </w:tcPr>
          <w:p w14:paraId="7C8BB88A" w14:textId="77777777" w:rsidR="009A4C46" w:rsidRPr="009A4C46" w:rsidRDefault="009A4C46" w:rsidP="009A4C46">
            <w:pPr>
              <w:spacing w:after="0" w:line="240" w:lineRule="auto"/>
              <w:rPr>
                <w:rFonts w:eastAsia="Times New Roman"/>
                <w:lang w:eastAsia="ru-RU"/>
              </w:rPr>
            </w:pPr>
          </w:p>
        </w:tc>
        <w:tc>
          <w:tcPr>
            <w:tcW w:w="1075" w:type="pct"/>
            <w:vMerge/>
            <w:tcBorders>
              <w:top w:val="nil"/>
              <w:left w:val="single" w:sz="8" w:space="0" w:color="auto"/>
              <w:bottom w:val="single" w:sz="8" w:space="0" w:color="000000"/>
              <w:right w:val="single" w:sz="8" w:space="0" w:color="auto"/>
            </w:tcBorders>
            <w:shd w:val="clear" w:color="auto" w:fill="auto"/>
            <w:vAlign w:val="center"/>
            <w:hideMark/>
          </w:tcPr>
          <w:p w14:paraId="17338969" w14:textId="77777777" w:rsidR="009A4C46" w:rsidRPr="009A4C46" w:rsidRDefault="009A4C46" w:rsidP="009A4C46">
            <w:pPr>
              <w:spacing w:after="0" w:line="240" w:lineRule="auto"/>
              <w:rPr>
                <w:rFonts w:eastAsia="Times New Roman"/>
                <w:lang w:eastAsia="ru-RU"/>
              </w:rPr>
            </w:pPr>
          </w:p>
        </w:tc>
      </w:tr>
      <w:tr w:rsidR="009A4C46" w:rsidRPr="009A4C46" w14:paraId="1E216E76" w14:textId="77777777" w:rsidTr="00F94FED">
        <w:trPr>
          <w:trHeight w:val="315"/>
        </w:trPr>
        <w:tc>
          <w:tcPr>
            <w:tcW w:w="747" w:type="pct"/>
            <w:tcBorders>
              <w:top w:val="nil"/>
              <w:left w:val="single" w:sz="8" w:space="0" w:color="auto"/>
              <w:bottom w:val="single" w:sz="8" w:space="0" w:color="auto"/>
              <w:right w:val="single" w:sz="8" w:space="0" w:color="auto"/>
            </w:tcBorders>
            <w:shd w:val="clear" w:color="auto" w:fill="auto"/>
            <w:noWrap/>
            <w:vAlign w:val="center"/>
            <w:hideMark/>
          </w:tcPr>
          <w:p w14:paraId="28E779EB" w14:textId="77777777" w:rsidR="009A4C46" w:rsidRPr="009A4C46" w:rsidRDefault="009A4C46" w:rsidP="009A4C46">
            <w:pPr>
              <w:spacing w:after="0" w:line="240" w:lineRule="auto"/>
              <w:rPr>
                <w:rFonts w:eastAsia="Times New Roman"/>
                <w:lang w:eastAsia="ru-RU"/>
              </w:rPr>
            </w:pPr>
            <w:r w:rsidRPr="009A4C46">
              <w:rPr>
                <w:rFonts w:eastAsia="Times New Roman"/>
                <w:lang w:eastAsia="ru-RU"/>
              </w:rPr>
              <w:t>Категория 4.3*</w:t>
            </w:r>
          </w:p>
        </w:tc>
        <w:tc>
          <w:tcPr>
            <w:tcW w:w="1345" w:type="pct"/>
            <w:tcBorders>
              <w:top w:val="nil"/>
              <w:left w:val="nil"/>
              <w:bottom w:val="single" w:sz="8" w:space="0" w:color="auto"/>
              <w:right w:val="single" w:sz="8" w:space="0" w:color="auto"/>
            </w:tcBorders>
            <w:shd w:val="clear" w:color="auto" w:fill="auto"/>
            <w:noWrap/>
            <w:vAlign w:val="center"/>
            <w:hideMark/>
          </w:tcPr>
          <w:p w14:paraId="533CE398" w14:textId="77777777" w:rsidR="009A4C46" w:rsidRPr="009A4C46" w:rsidRDefault="009A4C46" w:rsidP="009A4C46">
            <w:pPr>
              <w:spacing w:after="0" w:line="240" w:lineRule="auto"/>
              <w:jc w:val="center"/>
              <w:rPr>
                <w:rFonts w:eastAsia="Times New Roman"/>
                <w:lang w:eastAsia="ru-RU"/>
              </w:rPr>
            </w:pPr>
            <w:r w:rsidRPr="009A4C46">
              <w:rPr>
                <w:rFonts w:eastAsia="Times New Roman"/>
                <w:lang w:eastAsia="ru-RU"/>
              </w:rPr>
              <w:t>0,20</w:t>
            </w:r>
          </w:p>
        </w:tc>
        <w:tc>
          <w:tcPr>
            <w:tcW w:w="899" w:type="pct"/>
            <w:tcBorders>
              <w:top w:val="nil"/>
              <w:left w:val="nil"/>
              <w:bottom w:val="single" w:sz="8" w:space="0" w:color="auto"/>
              <w:right w:val="single" w:sz="8" w:space="0" w:color="auto"/>
            </w:tcBorders>
            <w:shd w:val="clear" w:color="auto" w:fill="auto"/>
            <w:noWrap/>
            <w:vAlign w:val="center"/>
            <w:hideMark/>
          </w:tcPr>
          <w:p w14:paraId="61F41309" w14:textId="77777777" w:rsidR="009A4C46" w:rsidRPr="009A4C46" w:rsidRDefault="009A4C46" w:rsidP="009A4C46">
            <w:pPr>
              <w:spacing w:after="0" w:line="240" w:lineRule="auto"/>
              <w:jc w:val="center"/>
              <w:rPr>
                <w:rFonts w:eastAsia="Times New Roman"/>
                <w:lang w:eastAsia="ru-RU"/>
              </w:rPr>
            </w:pPr>
            <w:r w:rsidRPr="009A4C46">
              <w:rPr>
                <w:rFonts w:eastAsia="Times New Roman"/>
                <w:lang w:eastAsia="ru-RU"/>
              </w:rPr>
              <w:t>0,18</w:t>
            </w:r>
          </w:p>
        </w:tc>
        <w:tc>
          <w:tcPr>
            <w:tcW w:w="934" w:type="pct"/>
            <w:vMerge/>
            <w:tcBorders>
              <w:top w:val="nil"/>
              <w:left w:val="single" w:sz="8" w:space="0" w:color="auto"/>
              <w:bottom w:val="single" w:sz="8" w:space="0" w:color="000000"/>
              <w:right w:val="single" w:sz="8" w:space="0" w:color="auto"/>
            </w:tcBorders>
            <w:shd w:val="clear" w:color="auto" w:fill="auto"/>
            <w:vAlign w:val="center"/>
            <w:hideMark/>
          </w:tcPr>
          <w:p w14:paraId="6B8B31C9" w14:textId="77777777" w:rsidR="009A4C46" w:rsidRPr="009A4C46" w:rsidRDefault="009A4C46" w:rsidP="009A4C46">
            <w:pPr>
              <w:spacing w:after="0" w:line="240" w:lineRule="auto"/>
              <w:rPr>
                <w:rFonts w:eastAsia="Times New Roman"/>
                <w:lang w:eastAsia="ru-RU"/>
              </w:rPr>
            </w:pPr>
          </w:p>
        </w:tc>
        <w:tc>
          <w:tcPr>
            <w:tcW w:w="1075" w:type="pct"/>
            <w:vMerge/>
            <w:tcBorders>
              <w:top w:val="nil"/>
              <w:left w:val="single" w:sz="8" w:space="0" w:color="auto"/>
              <w:bottom w:val="single" w:sz="8" w:space="0" w:color="000000"/>
              <w:right w:val="single" w:sz="8" w:space="0" w:color="auto"/>
            </w:tcBorders>
            <w:shd w:val="clear" w:color="auto" w:fill="auto"/>
            <w:vAlign w:val="center"/>
            <w:hideMark/>
          </w:tcPr>
          <w:p w14:paraId="5601CCFA" w14:textId="77777777" w:rsidR="009A4C46" w:rsidRPr="009A4C46" w:rsidRDefault="009A4C46" w:rsidP="009A4C46">
            <w:pPr>
              <w:spacing w:after="0" w:line="240" w:lineRule="auto"/>
              <w:rPr>
                <w:rFonts w:eastAsia="Times New Roman"/>
                <w:lang w:eastAsia="ru-RU"/>
              </w:rPr>
            </w:pPr>
          </w:p>
        </w:tc>
      </w:tr>
      <w:tr w:rsidR="009A4C46" w:rsidRPr="009A4C46" w14:paraId="6F1EF874" w14:textId="77777777" w:rsidTr="00F94FED">
        <w:trPr>
          <w:trHeight w:val="315"/>
        </w:trPr>
        <w:tc>
          <w:tcPr>
            <w:tcW w:w="747" w:type="pct"/>
            <w:tcBorders>
              <w:top w:val="nil"/>
              <w:left w:val="single" w:sz="8" w:space="0" w:color="auto"/>
              <w:bottom w:val="single" w:sz="8" w:space="0" w:color="auto"/>
              <w:right w:val="single" w:sz="8" w:space="0" w:color="auto"/>
            </w:tcBorders>
            <w:shd w:val="clear" w:color="auto" w:fill="auto"/>
            <w:noWrap/>
            <w:vAlign w:val="center"/>
            <w:hideMark/>
          </w:tcPr>
          <w:p w14:paraId="03975DF7" w14:textId="77777777" w:rsidR="009A4C46" w:rsidRPr="009A4C46" w:rsidRDefault="009A4C46" w:rsidP="009A4C46">
            <w:pPr>
              <w:spacing w:after="0" w:line="240" w:lineRule="auto"/>
              <w:rPr>
                <w:rFonts w:eastAsia="Times New Roman"/>
                <w:lang w:eastAsia="ru-RU"/>
              </w:rPr>
            </w:pPr>
            <w:r w:rsidRPr="009A4C46">
              <w:rPr>
                <w:rFonts w:eastAsia="Times New Roman"/>
                <w:lang w:eastAsia="ru-RU"/>
              </w:rPr>
              <w:t>Категория 4.4*</w:t>
            </w:r>
          </w:p>
        </w:tc>
        <w:tc>
          <w:tcPr>
            <w:tcW w:w="1345" w:type="pct"/>
            <w:tcBorders>
              <w:top w:val="nil"/>
              <w:left w:val="nil"/>
              <w:bottom w:val="single" w:sz="8" w:space="0" w:color="auto"/>
              <w:right w:val="single" w:sz="8" w:space="0" w:color="auto"/>
            </w:tcBorders>
            <w:shd w:val="clear" w:color="auto" w:fill="auto"/>
            <w:noWrap/>
            <w:vAlign w:val="center"/>
            <w:hideMark/>
          </w:tcPr>
          <w:p w14:paraId="60FC8FF1" w14:textId="77777777" w:rsidR="009A4C46" w:rsidRPr="009A4C46" w:rsidRDefault="009A4C46" w:rsidP="009A4C46">
            <w:pPr>
              <w:spacing w:after="0" w:line="240" w:lineRule="auto"/>
              <w:jc w:val="center"/>
              <w:rPr>
                <w:rFonts w:eastAsia="Times New Roman"/>
                <w:lang w:eastAsia="ru-RU"/>
              </w:rPr>
            </w:pPr>
            <w:r w:rsidRPr="009A4C46">
              <w:rPr>
                <w:rFonts w:eastAsia="Times New Roman"/>
                <w:lang w:eastAsia="ru-RU"/>
              </w:rPr>
              <w:t>4,70</w:t>
            </w:r>
          </w:p>
        </w:tc>
        <w:tc>
          <w:tcPr>
            <w:tcW w:w="899" w:type="pct"/>
            <w:tcBorders>
              <w:top w:val="nil"/>
              <w:left w:val="nil"/>
              <w:bottom w:val="single" w:sz="8" w:space="0" w:color="auto"/>
              <w:right w:val="single" w:sz="8" w:space="0" w:color="auto"/>
            </w:tcBorders>
            <w:shd w:val="clear" w:color="auto" w:fill="auto"/>
            <w:noWrap/>
            <w:vAlign w:val="center"/>
            <w:hideMark/>
          </w:tcPr>
          <w:p w14:paraId="542AE7C4" w14:textId="77777777" w:rsidR="009A4C46" w:rsidRPr="009A4C46" w:rsidRDefault="009A4C46" w:rsidP="009A4C46">
            <w:pPr>
              <w:spacing w:after="0" w:line="240" w:lineRule="auto"/>
              <w:jc w:val="center"/>
              <w:rPr>
                <w:rFonts w:eastAsia="Times New Roman"/>
                <w:lang w:eastAsia="ru-RU"/>
              </w:rPr>
            </w:pPr>
            <w:r w:rsidRPr="009A4C46">
              <w:rPr>
                <w:rFonts w:eastAsia="Times New Roman"/>
                <w:lang w:eastAsia="ru-RU"/>
              </w:rPr>
              <w:t>3,89</w:t>
            </w:r>
          </w:p>
        </w:tc>
        <w:tc>
          <w:tcPr>
            <w:tcW w:w="934" w:type="pct"/>
            <w:vMerge/>
            <w:tcBorders>
              <w:top w:val="nil"/>
              <w:left w:val="single" w:sz="8" w:space="0" w:color="auto"/>
              <w:bottom w:val="single" w:sz="8" w:space="0" w:color="000000"/>
              <w:right w:val="single" w:sz="8" w:space="0" w:color="auto"/>
            </w:tcBorders>
            <w:shd w:val="clear" w:color="auto" w:fill="auto"/>
            <w:vAlign w:val="center"/>
            <w:hideMark/>
          </w:tcPr>
          <w:p w14:paraId="0D0A3488" w14:textId="77777777" w:rsidR="009A4C46" w:rsidRPr="009A4C46" w:rsidRDefault="009A4C46" w:rsidP="009A4C46">
            <w:pPr>
              <w:spacing w:after="0" w:line="240" w:lineRule="auto"/>
              <w:rPr>
                <w:rFonts w:eastAsia="Times New Roman"/>
                <w:lang w:eastAsia="ru-RU"/>
              </w:rPr>
            </w:pPr>
          </w:p>
        </w:tc>
        <w:tc>
          <w:tcPr>
            <w:tcW w:w="1075" w:type="pct"/>
            <w:vMerge/>
            <w:tcBorders>
              <w:top w:val="nil"/>
              <w:left w:val="single" w:sz="8" w:space="0" w:color="auto"/>
              <w:bottom w:val="single" w:sz="8" w:space="0" w:color="000000"/>
              <w:right w:val="single" w:sz="8" w:space="0" w:color="auto"/>
            </w:tcBorders>
            <w:shd w:val="clear" w:color="auto" w:fill="auto"/>
            <w:vAlign w:val="center"/>
            <w:hideMark/>
          </w:tcPr>
          <w:p w14:paraId="5B8DEF37" w14:textId="77777777" w:rsidR="009A4C46" w:rsidRPr="009A4C46" w:rsidRDefault="009A4C46" w:rsidP="009A4C46">
            <w:pPr>
              <w:spacing w:after="0" w:line="240" w:lineRule="auto"/>
              <w:rPr>
                <w:rFonts w:eastAsia="Times New Roman"/>
                <w:lang w:eastAsia="ru-RU"/>
              </w:rPr>
            </w:pPr>
          </w:p>
        </w:tc>
      </w:tr>
    </w:tbl>
    <w:p w14:paraId="4DCC9705" w14:textId="77777777" w:rsidR="000A2AF3" w:rsidRDefault="000A2AF3">
      <w:pPr>
        <w:rPr>
          <w:rFonts w:eastAsia="Times New Roman"/>
          <w:sz w:val="28"/>
          <w:szCs w:val="28"/>
          <w:lang w:eastAsia="ru-RU"/>
        </w:rPr>
      </w:pPr>
      <w:r>
        <w:rPr>
          <w:rFonts w:eastAsia="Times New Roman"/>
          <w:sz w:val="28"/>
          <w:szCs w:val="28"/>
          <w:lang w:eastAsia="ru-RU"/>
        </w:rPr>
        <w:br w:type="page"/>
      </w:r>
    </w:p>
    <w:p w14:paraId="7C7D32DC" w14:textId="75B57814" w:rsidR="009A4C46" w:rsidRPr="00F94FED" w:rsidRDefault="009A4C46" w:rsidP="009A4C46">
      <w:pPr>
        <w:spacing w:after="0" w:line="240" w:lineRule="auto"/>
        <w:jc w:val="center"/>
        <w:rPr>
          <w:rFonts w:eastAsia="Times New Roman"/>
          <w:b/>
          <w:bCs/>
          <w:sz w:val="26"/>
          <w:szCs w:val="26"/>
          <w:lang w:eastAsia="ru-RU"/>
        </w:rPr>
      </w:pPr>
      <w:r w:rsidRPr="00F94FED">
        <w:rPr>
          <w:rFonts w:eastAsia="Times New Roman"/>
          <w:b/>
          <w:bCs/>
          <w:sz w:val="26"/>
          <w:szCs w:val="26"/>
          <w:lang w:eastAsia="ru-RU"/>
        </w:rPr>
        <w:lastRenderedPageBreak/>
        <w:t>Плановая выручка на 2017 год</w:t>
      </w:r>
    </w:p>
    <w:tbl>
      <w:tblPr>
        <w:tblW w:w="5102" w:type="pct"/>
        <w:tblLook w:val="04A0" w:firstRow="1" w:lastRow="0" w:firstColumn="1" w:lastColumn="0" w:noHBand="0" w:noVBand="1"/>
      </w:tblPr>
      <w:tblGrid>
        <w:gridCol w:w="7511"/>
        <w:gridCol w:w="2401"/>
        <w:gridCol w:w="2401"/>
        <w:gridCol w:w="2544"/>
      </w:tblGrid>
      <w:tr w:rsidR="009A4C46" w:rsidRPr="009A4C46" w14:paraId="31B360BF" w14:textId="77777777" w:rsidTr="00070F3E">
        <w:trPr>
          <w:trHeight w:val="20"/>
          <w:tblHeader/>
        </w:trPr>
        <w:tc>
          <w:tcPr>
            <w:tcW w:w="252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9AB01D9" w14:textId="77777777" w:rsidR="009A4C46" w:rsidRPr="00F94FED" w:rsidRDefault="009A4C46" w:rsidP="009A4C46">
            <w:pPr>
              <w:spacing w:after="0" w:line="240" w:lineRule="auto"/>
              <w:jc w:val="center"/>
              <w:rPr>
                <w:rFonts w:eastAsia="Times New Roman"/>
                <w:b/>
                <w:bCs/>
                <w:color w:val="FFFFFF" w:themeColor="background1"/>
                <w:lang w:eastAsia="ru-RU"/>
              </w:rPr>
            </w:pPr>
            <w:r w:rsidRPr="00F94FED">
              <w:rPr>
                <w:rFonts w:eastAsia="Times New Roman"/>
                <w:b/>
                <w:bCs/>
                <w:color w:val="FFFFFF" w:themeColor="background1"/>
                <w:lang w:eastAsia="ru-RU"/>
              </w:rPr>
              <w:t>Наименование</w:t>
            </w:r>
          </w:p>
        </w:tc>
        <w:tc>
          <w:tcPr>
            <w:tcW w:w="80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072CB7B" w14:textId="77777777" w:rsidR="009A4C46" w:rsidRPr="00F94FED" w:rsidRDefault="009A4C46" w:rsidP="009A4C46">
            <w:pPr>
              <w:spacing w:after="0" w:line="240" w:lineRule="auto"/>
              <w:jc w:val="center"/>
              <w:rPr>
                <w:rFonts w:eastAsia="Times New Roman"/>
                <w:b/>
                <w:bCs/>
                <w:color w:val="FFFFFF" w:themeColor="background1"/>
                <w:lang w:eastAsia="ru-RU"/>
              </w:rPr>
            </w:pPr>
            <w:r w:rsidRPr="00F94FED">
              <w:rPr>
                <w:rFonts w:eastAsia="Times New Roman"/>
                <w:b/>
                <w:bCs/>
                <w:color w:val="FFFFFF" w:themeColor="background1"/>
                <w:lang w:eastAsia="ru-RU"/>
              </w:rPr>
              <w:t>1 полугодие</w:t>
            </w:r>
          </w:p>
        </w:tc>
        <w:tc>
          <w:tcPr>
            <w:tcW w:w="80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EF50BDF" w14:textId="77777777" w:rsidR="009A4C46" w:rsidRPr="00F94FED" w:rsidRDefault="009A4C46" w:rsidP="009A4C46">
            <w:pPr>
              <w:spacing w:after="0" w:line="240" w:lineRule="auto"/>
              <w:jc w:val="center"/>
              <w:rPr>
                <w:rFonts w:eastAsia="Times New Roman"/>
                <w:b/>
                <w:bCs/>
                <w:color w:val="FFFFFF" w:themeColor="background1"/>
                <w:lang w:eastAsia="ru-RU"/>
              </w:rPr>
            </w:pPr>
            <w:r w:rsidRPr="00F94FED">
              <w:rPr>
                <w:rFonts w:eastAsia="Times New Roman"/>
                <w:b/>
                <w:bCs/>
                <w:color w:val="FFFFFF" w:themeColor="background1"/>
                <w:lang w:eastAsia="ru-RU"/>
              </w:rPr>
              <w:t xml:space="preserve">2 полугодие </w:t>
            </w:r>
          </w:p>
        </w:tc>
        <w:tc>
          <w:tcPr>
            <w:tcW w:w="8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9D529D9" w14:textId="77777777" w:rsidR="009A4C46" w:rsidRPr="00F94FED" w:rsidRDefault="009A4C46" w:rsidP="009A4C46">
            <w:pPr>
              <w:spacing w:after="0" w:line="240" w:lineRule="auto"/>
              <w:jc w:val="center"/>
              <w:rPr>
                <w:rFonts w:eastAsia="Times New Roman"/>
                <w:b/>
                <w:bCs/>
                <w:color w:val="FFFFFF" w:themeColor="background1"/>
                <w:lang w:eastAsia="ru-RU"/>
              </w:rPr>
            </w:pPr>
            <w:r w:rsidRPr="00F94FED">
              <w:rPr>
                <w:rFonts w:eastAsia="Times New Roman"/>
                <w:b/>
                <w:bCs/>
                <w:color w:val="FFFFFF" w:themeColor="background1"/>
                <w:lang w:eastAsia="ru-RU"/>
              </w:rPr>
              <w:t>2017 год</w:t>
            </w:r>
          </w:p>
        </w:tc>
      </w:tr>
      <w:tr w:rsidR="009A4C46" w:rsidRPr="009A4C46" w14:paraId="6BE952F0" w14:textId="77777777" w:rsidTr="00070F3E">
        <w:trPr>
          <w:trHeight w:val="20"/>
          <w:tblHeader/>
        </w:trPr>
        <w:tc>
          <w:tcPr>
            <w:tcW w:w="252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9933CFA" w14:textId="77777777" w:rsidR="009A4C46" w:rsidRPr="00F94FED" w:rsidRDefault="009A4C46" w:rsidP="009A4C46">
            <w:pPr>
              <w:spacing w:after="0" w:line="240" w:lineRule="auto"/>
              <w:rPr>
                <w:rFonts w:eastAsia="Times New Roman"/>
                <w:b/>
                <w:bCs/>
                <w:color w:val="FFFFFF" w:themeColor="background1"/>
                <w:lang w:eastAsia="ru-RU"/>
              </w:rPr>
            </w:pPr>
          </w:p>
        </w:tc>
        <w:tc>
          <w:tcPr>
            <w:tcW w:w="80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0972880" w14:textId="77777777" w:rsidR="009A4C46" w:rsidRPr="00F94FED" w:rsidRDefault="009A4C46" w:rsidP="009A4C46">
            <w:pPr>
              <w:spacing w:after="0" w:line="240" w:lineRule="auto"/>
              <w:jc w:val="center"/>
              <w:rPr>
                <w:rFonts w:eastAsia="Times New Roman"/>
                <w:b/>
                <w:bCs/>
                <w:color w:val="FFFFFF" w:themeColor="background1"/>
                <w:lang w:eastAsia="ru-RU"/>
              </w:rPr>
            </w:pPr>
            <w:r w:rsidRPr="00F94FED">
              <w:rPr>
                <w:rFonts w:eastAsia="Times New Roman"/>
                <w:b/>
                <w:bCs/>
                <w:color w:val="FFFFFF" w:themeColor="background1"/>
                <w:lang w:eastAsia="ru-RU"/>
              </w:rPr>
              <w:t>тыс. руб.</w:t>
            </w:r>
          </w:p>
        </w:tc>
        <w:tc>
          <w:tcPr>
            <w:tcW w:w="80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1F97CA2" w14:textId="77777777" w:rsidR="009A4C46" w:rsidRPr="00F94FED" w:rsidRDefault="009A4C46" w:rsidP="009A4C46">
            <w:pPr>
              <w:spacing w:after="0" w:line="240" w:lineRule="auto"/>
              <w:jc w:val="center"/>
              <w:rPr>
                <w:rFonts w:eastAsia="Times New Roman"/>
                <w:b/>
                <w:bCs/>
                <w:color w:val="FFFFFF" w:themeColor="background1"/>
                <w:lang w:eastAsia="ru-RU"/>
              </w:rPr>
            </w:pPr>
            <w:r w:rsidRPr="00F94FED">
              <w:rPr>
                <w:rFonts w:eastAsia="Times New Roman"/>
                <w:b/>
                <w:bCs/>
                <w:color w:val="FFFFFF" w:themeColor="background1"/>
                <w:lang w:eastAsia="ru-RU"/>
              </w:rPr>
              <w:t>тыс. руб.</w:t>
            </w:r>
          </w:p>
        </w:tc>
        <w:tc>
          <w:tcPr>
            <w:tcW w:w="8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B2F2D4A" w14:textId="77777777" w:rsidR="009A4C46" w:rsidRPr="00F94FED" w:rsidRDefault="009A4C46" w:rsidP="009A4C46">
            <w:pPr>
              <w:spacing w:after="0" w:line="240" w:lineRule="auto"/>
              <w:jc w:val="center"/>
              <w:rPr>
                <w:rFonts w:eastAsia="Times New Roman"/>
                <w:b/>
                <w:bCs/>
                <w:color w:val="FFFFFF" w:themeColor="background1"/>
                <w:lang w:eastAsia="ru-RU"/>
              </w:rPr>
            </w:pPr>
            <w:r w:rsidRPr="00F94FED">
              <w:rPr>
                <w:rFonts w:eastAsia="Times New Roman"/>
                <w:b/>
                <w:bCs/>
                <w:color w:val="FFFFFF" w:themeColor="background1"/>
                <w:lang w:eastAsia="ru-RU"/>
              </w:rPr>
              <w:t>тыс. руб.</w:t>
            </w:r>
          </w:p>
        </w:tc>
      </w:tr>
      <w:tr w:rsidR="009A4C46" w:rsidRPr="009A4C46" w14:paraId="65EBF0DC" w14:textId="77777777" w:rsidTr="00070F3E">
        <w:trPr>
          <w:trHeight w:val="20"/>
        </w:trPr>
        <w:tc>
          <w:tcPr>
            <w:tcW w:w="2527" w:type="pct"/>
            <w:tcBorders>
              <w:top w:val="single" w:sz="4" w:space="0" w:color="FFFFFF" w:themeColor="background1"/>
              <w:left w:val="single" w:sz="8" w:space="0" w:color="auto"/>
              <w:bottom w:val="single" w:sz="8" w:space="0" w:color="auto"/>
              <w:right w:val="single" w:sz="8" w:space="0" w:color="auto"/>
            </w:tcBorders>
            <w:shd w:val="clear" w:color="auto" w:fill="auto"/>
            <w:noWrap/>
            <w:vAlign w:val="center"/>
            <w:hideMark/>
          </w:tcPr>
          <w:p w14:paraId="711F9FF8" w14:textId="77777777" w:rsidR="009A4C46" w:rsidRPr="009A4C46" w:rsidRDefault="009A4C46" w:rsidP="009A4C46">
            <w:pPr>
              <w:spacing w:after="0" w:line="240" w:lineRule="auto"/>
              <w:jc w:val="center"/>
              <w:rPr>
                <w:rFonts w:eastAsia="Times New Roman"/>
                <w:b/>
                <w:bCs/>
                <w:color w:val="000000"/>
                <w:lang w:eastAsia="ru-RU"/>
              </w:rPr>
            </w:pPr>
            <w:r w:rsidRPr="009A4C46">
              <w:rPr>
                <w:rFonts w:eastAsia="Times New Roman"/>
                <w:b/>
                <w:bCs/>
                <w:color w:val="000000"/>
                <w:lang w:eastAsia="ru-RU"/>
              </w:rPr>
              <w:t>Плановая выручка - всего, в т.ч.</w:t>
            </w:r>
          </w:p>
        </w:tc>
        <w:tc>
          <w:tcPr>
            <w:tcW w:w="808" w:type="pct"/>
            <w:tcBorders>
              <w:top w:val="single" w:sz="4" w:space="0" w:color="FFFFFF" w:themeColor="background1"/>
              <w:left w:val="nil"/>
              <w:bottom w:val="single" w:sz="8" w:space="0" w:color="auto"/>
              <w:right w:val="single" w:sz="8" w:space="0" w:color="auto"/>
            </w:tcBorders>
            <w:shd w:val="clear" w:color="auto" w:fill="auto"/>
            <w:noWrap/>
            <w:vAlign w:val="center"/>
            <w:hideMark/>
          </w:tcPr>
          <w:p w14:paraId="6548E4C1" w14:textId="77777777" w:rsidR="009A4C46" w:rsidRPr="009A4C46" w:rsidRDefault="009A4C46" w:rsidP="009A4C46">
            <w:pPr>
              <w:spacing w:after="0" w:line="240" w:lineRule="auto"/>
              <w:jc w:val="right"/>
              <w:rPr>
                <w:rFonts w:eastAsia="Times New Roman"/>
                <w:b/>
                <w:bCs/>
                <w:color w:val="000000"/>
                <w:lang w:eastAsia="ru-RU"/>
              </w:rPr>
            </w:pPr>
            <w:r w:rsidRPr="009A4C46">
              <w:rPr>
                <w:rFonts w:eastAsia="Times New Roman"/>
                <w:b/>
                <w:bCs/>
                <w:color w:val="000000"/>
                <w:lang w:eastAsia="ru-RU"/>
              </w:rPr>
              <w:t>582 882</w:t>
            </w:r>
          </w:p>
        </w:tc>
        <w:tc>
          <w:tcPr>
            <w:tcW w:w="808" w:type="pct"/>
            <w:tcBorders>
              <w:top w:val="single" w:sz="4" w:space="0" w:color="FFFFFF" w:themeColor="background1"/>
              <w:left w:val="nil"/>
              <w:bottom w:val="single" w:sz="8" w:space="0" w:color="auto"/>
              <w:right w:val="single" w:sz="8" w:space="0" w:color="auto"/>
            </w:tcBorders>
            <w:shd w:val="clear" w:color="auto" w:fill="auto"/>
            <w:noWrap/>
            <w:vAlign w:val="center"/>
            <w:hideMark/>
          </w:tcPr>
          <w:p w14:paraId="387C9D1A" w14:textId="77777777" w:rsidR="009A4C46" w:rsidRPr="009A4C46" w:rsidRDefault="009A4C46" w:rsidP="009A4C46">
            <w:pPr>
              <w:spacing w:after="0" w:line="240" w:lineRule="auto"/>
              <w:jc w:val="right"/>
              <w:rPr>
                <w:rFonts w:eastAsia="Times New Roman"/>
                <w:b/>
                <w:bCs/>
                <w:color w:val="000000"/>
                <w:lang w:eastAsia="ru-RU"/>
              </w:rPr>
            </w:pPr>
            <w:r w:rsidRPr="009A4C46">
              <w:rPr>
                <w:rFonts w:eastAsia="Times New Roman"/>
                <w:b/>
                <w:bCs/>
                <w:color w:val="000000"/>
                <w:lang w:eastAsia="ru-RU"/>
              </w:rPr>
              <w:t>712 521</w:t>
            </w:r>
          </w:p>
        </w:tc>
        <w:tc>
          <w:tcPr>
            <w:tcW w:w="856" w:type="pct"/>
            <w:tcBorders>
              <w:top w:val="single" w:sz="4" w:space="0" w:color="FFFFFF" w:themeColor="background1"/>
              <w:left w:val="nil"/>
              <w:bottom w:val="single" w:sz="8" w:space="0" w:color="auto"/>
              <w:right w:val="single" w:sz="8" w:space="0" w:color="auto"/>
            </w:tcBorders>
            <w:shd w:val="clear" w:color="auto" w:fill="auto"/>
            <w:noWrap/>
            <w:vAlign w:val="center"/>
            <w:hideMark/>
          </w:tcPr>
          <w:p w14:paraId="1FA3B1E2" w14:textId="77777777" w:rsidR="009A4C46" w:rsidRPr="009A4C46" w:rsidRDefault="009A4C46" w:rsidP="009A4C46">
            <w:pPr>
              <w:spacing w:after="0" w:line="240" w:lineRule="auto"/>
              <w:jc w:val="right"/>
              <w:rPr>
                <w:rFonts w:eastAsia="Times New Roman"/>
                <w:b/>
                <w:bCs/>
                <w:color w:val="000000"/>
                <w:lang w:eastAsia="ru-RU"/>
              </w:rPr>
            </w:pPr>
            <w:r w:rsidRPr="009A4C46">
              <w:rPr>
                <w:rFonts w:eastAsia="Times New Roman"/>
                <w:b/>
                <w:bCs/>
                <w:color w:val="000000"/>
                <w:lang w:eastAsia="ru-RU"/>
              </w:rPr>
              <w:t>1 295 403</w:t>
            </w:r>
          </w:p>
        </w:tc>
      </w:tr>
      <w:tr w:rsidR="009A4C46" w:rsidRPr="009A4C46" w14:paraId="4E3D7931" w14:textId="77777777" w:rsidTr="00070F3E">
        <w:trPr>
          <w:trHeight w:val="20"/>
        </w:trPr>
        <w:tc>
          <w:tcPr>
            <w:tcW w:w="2527" w:type="pct"/>
            <w:tcBorders>
              <w:top w:val="nil"/>
              <w:left w:val="single" w:sz="8" w:space="0" w:color="auto"/>
              <w:bottom w:val="single" w:sz="8" w:space="0" w:color="auto"/>
              <w:right w:val="single" w:sz="8" w:space="0" w:color="auto"/>
            </w:tcBorders>
            <w:shd w:val="clear" w:color="auto" w:fill="auto"/>
            <w:vAlign w:val="center"/>
            <w:hideMark/>
          </w:tcPr>
          <w:p w14:paraId="278405E2" w14:textId="77777777" w:rsidR="009A4C46" w:rsidRPr="009A4C46" w:rsidRDefault="009A4C46" w:rsidP="009A4C46">
            <w:pPr>
              <w:spacing w:after="0" w:line="240" w:lineRule="auto"/>
              <w:rPr>
                <w:rFonts w:eastAsia="Times New Roman"/>
                <w:b/>
                <w:bCs/>
                <w:color w:val="000000"/>
                <w:lang w:eastAsia="ru-RU"/>
              </w:rPr>
            </w:pPr>
            <w:r w:rsidRPr="009A4C46">
              <w:rPr>
                <w:rFonts w:eastAsia="Times New Roman"/>
                <w:b/>
                <w:bCs/>
                <w:color w:val="000000"/>
                <w:lang w:eastAsia="ru-RU"/>
              </w:rPr>
              <w:t>Прочие потребители (по единым (котловым) одноставочным тарифам) – всего, в т.ч.</w:t>
            </w:r>
          </w:p>
        </w:tc>
        <w:tc>
          <w:tcPr>
            <w:tcW w:w="808" w:type="pct"/>
            <w:tcBorders>
              <w:top w:val="nil"/>
              <w:left w:val="nil"/>
              <w:bottom w:val="single" w:sz="8" w:space="0" w:color="auto"/>
              <w:right w:val="single" w:sz="8" w:space="0" w:color="auto"/>
            </w:tcBorders>
            <w:shd w:val="clear" w:color="auto" w:fill="auto"/>
            <w:noWrap/>
            <w:vAlign w:val="center"/>
            <w:hideMark/>
          </w:tcPr>
          <w:p w14:paraId="0EE28067" w14:textId="77777777" w:rsidR="009A4C46" w:rsidRPr="009A4C46" w:rsidRDefault="009A4C46" w:rsidP="009A4C46">
            <w:pPr>
              <w:spacing w:after="0" w:line="240" w:lineRule="auto"/>
              <w:jc w:val="right"/>
              <w:rPr>
                <w:rFonts w:eastAsia="Times New Roman"/>
                <w:b/>
                <w:bCs/>
                <w:color w:val="000000"/>
                <w:lang w:eastAsia="ru-RU"/>
              </w:rPr>
            </w:pPr>
            <w:r w:rsidRPr="009A4C46">
              <w:rPr>
                <w:rFonts w:eastAsia="Times New Roman"/>
                <w:b/>
                <w:bCs/>
                <w:color w:val="000000"/>
                <w:lang w:eastAsia="ru-RU"/>
              </w:rPr>
              <w:t>377 016</w:t>
            </w:r>
          </w:p>
        </w:tc>
        <w:tc>
          <w:tcPr>
            <w:tcW w:w="808" w:type="pct"/>
            <w:tcBorders>
              <w:top w:val="nil"/>
              <w:left w:val="nil"/>
              <w:bottom w:val="single" w:sz="8" w:space="0" w:color="auto"/>
              <w:right w:val="single" w:sz="8" w:space="0" w:color="auto"/>
            </w:tcBorders>
            <w:shd w:val="clear" w:color="auto" w:fill="auto"/>
            <w:noWrap/>
            <w:vAlign w:val="center"/>
            <w:hideMark/>
          </w:tcPr>
          <w:p w14:paraId="2264A5F8" w14:textId="77777777" w:rsidR="009A4C46" w:rsidRPr="009A4C46" w:rsidRDefault="009A4C46" w:rsidP="009A4C46">
            <w:pPr>
              <w:spacing w:after="0" w:line="240" w:lineRule="auto"/>
              <w:jc w:val="right"/>
              <w:rPr>
                <w:rFonts w:eastAsia="Times New Roman"/>
                <w:b/>
                <w:bCs/>
                <w:color w:val="000000"/>
                <w:lang w:eastAsia="ru-RU"/>
              </w:rPr>
            </w:pPr>
            <w:r w:rsidRPr="009A4C46">
              <w:rPr>
                <w:rFonts w:eastAsia="Times New Roman"/>
                <w:b/>
                <w:bCs/>
                <w:color w:val="000000"/>
                <w:lang w:eastAsia="ru-RU"/>
              </w:rPr>
              <w:t>486 368</w:t>
            </w:r>
          </w:p>
        </w:tc>
        <w:tc>
          <w:tcPr>
            <w:tcW w:w="856" w:type="pct"/>
            <w:tcBorders>
              <w:top w:val="nil"/>
              <w:left w:val="nil"/>
              <w:bottom w:val="single" w:sz="8" w:space="0" w:color="auto"/>
              <w:right w:val="single" w:sz="8" w:space="0" w:color="auto"/>
            </w:tcBorders>
            <w:shd w:val="clear" w:color="auto" w:fill="auto"/>
            <w:noWrap/>
            <w:vAlign w:val="center"/>
            <w:hideMark/>
          </w:tcPr>
          <w:p w14:paraId="0A3FD791" w14:textId="77777777" w:rsidR="009A4C46" w:rsidRPr="009A4C46" w:rsidRDefault="009A4C46" w:rsidP="009A4C46">
            <w:pPr>
              <w:spacing w:after="0" w:line="240" w:lineRule="auto"/>
              <w:jc w:val="right"/>
              <w:rPr>
                <w:rFonts w:eastAsia="Times New Roman"/>
                <w:b/>
                <w:bCs/>
                <w:color w:val="000000"/>
                <w:lang w:eastAsia="ru-RU"/>
              </w:rPr>
            </w:pPr>
            <w:r w:rsidRPr="009A4C46">
              <w:rPr>
                <w:rFonts w:eastAsia="Times New Roman"/>
                <w:b/>
                <w:bCs/>
                <w:color w:val="000000"/>
                <w:lang w:eastAsia="ru-RU"/>
              </w:rPr>
              <w:t>863 384</w:t>
            </w:r>
          </w:p>
        </w:tc>
      </w:tr>
      <w:tr w:rsidR="009A4C46" w:rsidRPr="009A4C46" w14:paraId="5F78E709" w14:textId="77777777" w:rsidTr="00070F3E">
        <w:trPr>
          <w:trHeight w:val="20"/>
        </w:trPr>
        <w:tc>
          <w:tcPr>
            <w:tcW w:w="2527" w:type="pct"/>
            <w:tcBorders>
              <w:top w:val="nil"/>
              <w:left w:val="single" w:sz="8" w:space="0" w:color="auto"/>
              <w:bottom w:val="single" w:sz="8" w:space="0" w:color="auto"/>
              <w:right w:val="single" w:sz="8" w:space="0" w:color="auto"/>
            </w:tcBorders>
            <w:shd w:val="clear" w:color="auto" w:fill="auto"/>
            <w:noWrap/>
            <w:vAlign w:val="center"/>
            <w:hideMark/>
          </w:tcPr>
          <w:p w14:paraId="275F2A63" w14:textId="77777777" w:rsidR="009A4C46" w:rsidRPr="009A4C46" w:rsidRDefault="009A4C46" w:rsidP="009A4C46">
            <w:pPr>
              <w:spacing w:after="0" w:line="240" w:lineRule="auto"/>
              <w:rPr>
                <w:rFonts w:eastAsia="Times New Roman"/>
                <w:color w:val="000000"/>
                <w:lang w:eastAsia="ru-RU"/>
              </w:rPr>
            </w:pPr>
            <w:r w:rsidRPr="009A4C46">
              <w:rPr>
                <w:rFonts w:eastAsia="Times New Roman"/>
                <w:color w:val="000000"/>
                <w:lang w:eastAsia="ru-RU"/>
              </w:rPr>
              <w:t>ВН</w:t>
            </w:r>
          </w:p>
        </w:tc>
        <w:tc>
          <w:tcPr>
            <w:tcW w:w="808" w:type="pct"/>
            <w:tcBorders>
              <w:top w:val="nil"/>
              <w:left w:val="nil"/>
              <w:bottom w:val="single" w:sz="8" w:space="0" w:color="auto"/>
              <w:right w:val="single" w:sz="8" w:space="0" w:color="auto"/>
            </w:tcBorders>
            <w:shd w:val="clear" w:color="auto" w:fill="auto"/>
            <w:noWrap/>
            <w:vAlign w:val="center"/>
            <w:hideMark/>
          </w:tcPr>
          <w:p w14:paraId="08E9ECCA" w14:textId="77777777" w:rsidR="009A4C46" w:rsidRPr="009A4C46" w:rsidRDefault="009A4C46" w:rsidP="009A4C46">
            <w:pPr>
              <w:spacing w:after="0" w:line="240" w:lineRule="auto"/>
              <w:jc w:val="right"/>
              <w:rPr>
                <w:rFonts w:eastAsia="Times New Roman"/>
                <w:color w:val="000000"/>
                <w:lang w:eastAsia="ru-RU"/>
              </w:rPr>
            </w:pPr>
            <w:r w:rsidRPr="009A4C46">
              <w:rPr>
                <w:rFonts w:eastAsia="Times New Roman"/>
                <w:color w:val="000000"/>
                <w:lang w:eastAsia="ru-RU"/>
              </w:rPr>
              <w:t>148 012</w:t>
            </w:r>
          </w:p>
        </w:tc>
        <w:tc>
          <w:tcPr>
            <w:tcW w:w="808" w:type="pct"/>
            <w:tcBorders>
              <w:top w:val="nil"/>
              <w:left w:val="nil"/>
              <w:bottom w:val="single" w:sz="8" w:space="0" w:color="auto"/>
              <w:right w:val="single" w:sz="8" w:space="0" w:color="auto"/>
            </w:tcBorders>
            <w:shd w:val="clear" w:color="auto" w:fill="auto"/>
            <w:noWrap/>
            <w:vAlign w:val="center"/>
            <w:hideMark/>
          </w:tcPr>
          <w:p w14:paraId="112DA62D" w14:textId="77777777" w:rsidR="009A4C46" w:rsidRPr="009A4C46" w:rsidRDefault="009A4C46" w:rsidP="009A4C46">
            <w:pPr>
              <w:spacing w:after="0" w:line="240" w:lineRule="auto"/>
              <w:jc w:val="right"/>
              <w:rPr>
                <w:rFonts w:eastAsia="Times New Roman"/>
                <w:color w:val="000000"/>
                <w:lang w:eastAsia="ru-RU"/>
              </w:rPr>
            </w:pPr>
            <w:r w:rsidRPr="009A4C46">
              <w:rPr>
                <w:rFonts w:eastAsia="Times New Roman"/>
                <w:color w:val="000000"/>
                <w:lang w:eastAsia="ru-RU"/>
              </w:rPr>
              <w:t>149 965</w:t>
            </w:r>
          </w:p>
        </w:tc>
        <w:tc>
          <w:tcPr>
            <w:tcW w:w="856" w:type="pct"/>
            <w:tcBorders>
              <w:top w:val="nil"/>
              <w:left w:val="nil"/>
              <w:bottom w:val="single" w:sz="8" w:space="0" w:color="auto"/>
              <w:right w:val="single" w:sz="8" w:space="0" w:color="auto"/>
            </w:tcBorders>
            <w:shd w:val="clear" w:color="auto" w:fill="auto"/>
            <w:noWrap/>
            <w:vAlign w:val="center"/>
            <w:hideMark/>
          </w:tcPr>
          <w:p w14:paraId="1F4CC6F2" w14:textId="77777777" w:rsidR="009A4C46" w:rsidRPr="009A4C46" w:rsidRDefault="009A4C46" w:rsidP="009A4C46">
            <w:pPr>
              <w:spacing w:after="0" w:line="240" w:lineRule="auto"/>
              <w:jc w:val="right"/>
              <w:rPr>
                <w:rFonts w:eastAsia="Times New Roman"/>
                <w:color w:val="000000"/>
                <w:lang w:eastAsia="ru-RU"/>
              </w:rPr>
            </w:pPr>
            <w:r w:rsidRPr="009A4C46">
              <w:rPr>
                <w:rFonts w:eastAsia="Times New Roman"/>
                <w:color w:val="000000"/>
                <w:lang w:eastAsia="ru-RU"/>
              </w:rPr>
              <w:t>297 977</w:t>
            </w:r>
          </w:p>
        </w:tc>
      </w:tr>
      <w:tr w:rsidR="009A4C46" w:rsidRPr="009A4C46" w14:paraId="0F7F8287" w14:textId="77777777" w:rsidTr="00070F3E">
        <w:trPr>
          <w:trHeight w:val="20"/>
        </w:trPr>
        <w:tc>
          <w:tcPr>
            <w:tcW w:w="2527" w:type="pct"/>
            <w:tcBorders>
              <w:top w:val="nil"/>
              <w:left w:val="single" w:sz="8" w:space="0" w:color="auto"/>
              <w:bottom w:val="single" w:sz="8" w:space="0" w:color="auto"/>
              <w:right w:val="single" w:sz="8" w:space="0" w:color="auto"/>
            </w:tcBorders>
            <w:shd w:val="clear" w:color="auto" w:fill="auto"/>
            <w:noWrap/>
            <w:vAlign w:val="center"/>
            <w:hideMark/>
          </w:tcPr>
          <w:p w14:paraId="3C443C28" w14:textId="77777777" w:rsidR="009A4C46" w:rsidRPr="009A4C46" w:rsidRDefault="009A4C46" w:rsidP="009A4C46">
            <w:pPr>
              <w:spacing w:after="0" w:line="240" w:lineRule="auto"/>
              <w:rPr>
                <w:rFonts w:eastAsia="Times New Roman"/>
                <w:color w:val="000000"/>
                <w:lang w:eastAsia="ru-RU"/>
              </w:rPr>
            </w:pPr>
            <w:r w:rsidRPr="009A4C46">
              <w:rPr>
                <w:rFonts w:eastAsia="Times New Roman"/>
                <w:color w:val="000000"/>
                <w:lang w:eastAsia="ru-RU"/>
              </w:rPr>
              <w:t>СН1</w:t>
            </w:r>
          </w:p>
        </w:tc>
        <w:tc>
          <w:tcPr>
            <w:tcW w:w="808" w:type="pct"/>
            <w:tcBorders>
              <w:top w:val="nil"/>
              <w:left w:val="nil"/>
              <w:bottom w:val="single" w:sz="8" w:space="0" w:color="auto"/>
              <w:right w:val="single" w:sz="8" w:space="0" w:color="auto"/>
            </w:tcBorders>
            <w:shd w:val="clear" w:color="auto" w:fill="auto"/>
            <w:noWrap/>
            <w:vAlign w:val="center"/>
            <w:hideMark/>
          </w:tcPr>
          <w:p w14:paraId="20C495FC" w14:textId="77777777" w:rsidR="009A4C46" w:rsidRPr="009A4C46" w:rsidRDefault="009A4C46" w:rsidP="009A4C46">
            <w:pPr>
              <w:spacing w:after="0" w:line="240" w:lineRule="auto"/>
              <w:jc w:val="right"/>
              <w:rPr>
                <w:rFonts w:eastAsia="Times New Roman"/>
                <w:color w:val="000000"/>
                <w:lang w:eastAsia="ru-RU"/>
              </w:rPr>
            </w:pPr>
            <w:r w:rsidRPr="009A4C46">
              <w:rPr>
                <w:rFonts w:eastAsia="Times New Roman"/>
                <w:color w:val="000000"/>
                <w:lang w:eastAsia="ru-RU"/>
              </w:rPr>
              <w:t>26 840</w:t>
            </w:r>
          </w:p>
        </w:tc>
        <w:tc>
          <w:tcPr>
            <w:tcW w:w="808" w:type="pct"/>
            <w:tcBorders>
              <w:top w:val="nil"/>
              <w:left w:val="nil"/>
              <w:bottom w:val="single" w:sz="8" w:space="0" w:color="auto"/>
              <w:right w:val="single" w:sz="8" w:space="0" w:color="auto"/>
            </w:tcBorders>
            <w:shd w:val="clear" w:color="auto" w:fill="auto"/>
            <w:noWrap/>
            <w:vAlign w:val="center"/>
            <w:hideMark/>
          </w:tcPr>
          <w:p w14:paraId="30BABB04" w14:textId="77777777" w:rsidR="009A4C46" w:rsidRPr="009A4C46" w:rsidRDefault="009A4C46" w:rsidP="009A4C46">
            <w:pPr>
              <w:spacing w:after="0" w:line="240" w:lineRule="auto"/>
              <w:jc w:val="right"/>
              <w:rPr>
                <w:rFonts w:eastAsia="Times New Roman"/>
                <w:color w:val="000000"/>
                <w:lang w:eastAsia="ru-RU"/>
              </w:rPr>
            </w:pPr>
            <w:r w:rsidRPr="009A4C46">
              <w:rPr>
                <w:rFonts w:eastAsia="Times New Roman"/>
                <w:color w:val="000000"/>
                <w:lang w:eastAsia="ru-RU"/>
              </w:rPr>
              <w:t>4 769</w:t>
            </w:r>
          </w:p>
        </w:tc>
        <w:tc>
          <w:tcPr>
            <w:tcW w:w="856" w:type="pct"/>
            <w:tcBorders>
              <w:top w:val="nil"/>
              <w:left w:val="nil"/>
              <w:bottom w:val="single" w:sz="8" w:space="0" w:color="auto"/>
              <w:right w:val="single" w:sz="8" w:space="0" w:color="auto"/>
            </w:tcBorders>
            <w:shd w:val="clear" w:color="auto" w:fill="auto"/>
            <w:noWrap/>
            <w:vAlign w:val="center"/>
            <w:hideMark/>
          </w:tcPr>
          <w:p w14:paraId="06A55376" w14:textId="77777777" w:rsidR="009A4C46" w:rsidRPr="009A4C46" w:rsidRDefault="009A4C46" w:rsidP="009A4C46">
            <w:pPr>
              <w:spacing w:after="0" w:line="240" w:lineRule="auto"/>
              <w:jc w:val="right"/>
              <w:rPr>
                <w:rFonts w:eastAsia="Times New Roman"/>
                <w:color w:val="000000"/>
                <w:lang w:eastAsia="ru-RU"/>
              </w:rPr>
            </w:pPr>
            <w:r w:rsidRPr="009A4C46">
              <w:rPr>
                <w:rFonts w:eastAsia="Times New Roman"/>
                <w:color w:val="000000"/>
                <w:lang w:eastAsia="ru-RU"/>
              </w:rPr>
              <w:t>31 609</w:t>
            </w:r>
          </w:p>
        </w:tc>
      </w:tr>
      <w:tr w:rsidR="009A4C46" w:rsidRPr="009A4C46" w14:paraId="54C0F2FD" w14:textId="77777777" w:rsidTr="00070F3E">
        <w:trPr>
          <w:trHeight w:val="20"/>
        </w:trPr>
        <w:tc>
          <w:tcPr>
            <w:tcW w:w="2527" w:type="pct"/>
            <w:tcBorders>
              <w:top w:val="nil"/>
              <w:left w:val="single" w:sz="8" w:space="0" w:color="auto"/>
              <w:bottom w:val="single" w:sz="8" w:space="0" w:color="auto"/>
              <w:right w:val="single" w:sz="8" w:space="0" w:color="auto"/>
            </w:tcBorders>
            <w:shd w:val="clear" w:color="auto" w:fill="auto"/>
            <w:noWrap/>
            <w:vAlign w:val="center"/>
            <w:hideMark/>
          </w:tcPr>
          <w:p w14:paraId="29BF3269" w14:textId="77777777" w:rsidR="009A4C46" w:rsidRPr="009A4C46" w:rsidRDefault="009A4C46" w:rsidP="009A4C46">
            <w:pPr>
              <w:spacing w:after="0" w:line="240" w:lineRule="auto"/>
              <w:rPr>
                <w:rFonts w:eastAsia="Times New Roman"/>
                <w:color w:val="000000"/>
                <w:lang w:eastAsia="ru-RU"/>
              </w:rPr>
            </w:pPr>
            <w:r w:rsidRPr="009A4C46">
              <w:rPr>
                <w:rFonts w:eastAsia="Times New Roman"/>
                <w:color w:val="000000"/>
                <w:lang w:eastAsia="ru-RU"/>
              </w:rPr>
              <w:t>СН2</w:t>
            </w:r>
          </w:p>
        </w:tc>
        <w:tc>
          <w:tcPr>
            <w:tcW w:w="808" w:type="pct"/>
            <w:tcBorders>
              <w:top w:val="nil"/>
              <w:left w:val="nil"/>
              <w:bottom w:val="single" w:sz="8" w:space="0" w:color="auto"/>
              <w:right w:val="single" w:sz="8" w:space="0" w:color="auto"/>
            </w:tcBorders>
            <w:shd w:val="clear" w:color="auto" w:fill="auto"/>
            <w:noWrap/>
            <w:vAlign w:val="center"/>
            <w:hideMark/>
          </w:tcPr>
          <w:p w14:paraId="26FDB6EB" w14:textId="77777777" w:rsidR="009A4C46" w:rsidRPr="009A4C46" w:rsidRDefault="009A4C46" w:rsidP="009A4C46">
            <w:pPr>
              <w:spacing w:after="0" w:line="240" w:lineRule="auto"/>
              <w:jc w:val="right"/>
              <w:rPr>
                <w:rFonts w:eastAsia="Times New Roman"/>
                <w:color w:val="000000"/>
                <w:lang w:eastAsia="ru-RU"/>
              </w:rPr>
            </w:pPr>
            <w:r w:rsidRPr="009A4C46">
              <w:rPr>
                <w:rFonts w:eastAsia="Times New Roman"/>
                <w:color w:val="000000"/>
                <w:lang w:eastAsia="ru-RU"/>
              </w:rPr>
              <w:t>90 075</w:t>
            </w:r>
          </w:p>
        </w:tc>
        <w:tc>
          <w:tcPr>
            <w:tcW w:w="808" w:type="pct"/>
            <w:tcBorders>
              <w:top w:val="nil"/>
              <w:left w:val="nil"/>
              <w:bottom w:val="single" w:sz="8" w:space="0" w:color="auto"/>
              <w:right w:val="single" w:sz="8" w:space="0" w:color="auto"/>
            </w:tcBorders>
            <w:shd w:val="clear" w:color="auto" w:fill="auto"/>
            <w:noWrap/>
            <w:vAlign w:val="center"/>
            <w:hideMark/>
          </w:tcPr>
          <w:p w14:paraId="6E5F27DD" w14:textId="77777777" w:rsidR="009A4C46" w:rsidRPr="009A4C46" w:rsidRDefault="009A4C46" w:rsidP="009A4C46">
            <w:pPr>
              <w:spacing w:after="0" w:line="240" w:lineRule="auto"/>
              <w:jc w:val="right"/>
              <w:rPr>
                <w:rFonts w:eastAsia="Times New Roman"/>
                <w:color w:val="000000"/>
                <w:lang w:eastAsia="ru-RU"/>
              </w:rPr>
            </w:pPr>
            <w:r w:rsidRPr="009A4C46">
              <w:rPr>
                <w:rFonts w:eastAsia="Times New Roman"/>
                <w:color w:val="000000"/>
                <w:lang w:eastAsia="ru-RU"/>
              </w:rPr>
              <w:t>119 191</w:t>
            </w:r>
          </w:p>
        </w:tc>
        <w:tc>
          <w:tcPr>
            <w:tcW w:w="856" w:type="pct"/>
            <w:tcBorders>
              <w:top w:val="nil"/>
              <w:left w:val="nil"/>
              <w:bottom w:val="single" w:sz="8" w:space="0" w:color="auto"/>
              <w:right w:val="single" w:sz="8" w:space="0" w:color="auto"/>
            </w:tcBorders>
            <w:shd w:val="clear" w:color="auto" w:fill="auto"/>
            <w:noWrap/>
            <w:vAlign w:val="center"/>
            <w:hideMark/>
          </w:tcPr>
          <w:p w14:paraId="538948F6" w14:textId="77777777" w:rsidR="009A4C46" w:rsidRPr="009A4C46" w:rsidRDefault="009A4C46" w:rsidP="009A4C46">
            <w:pPr>
              <w:spacing w:after="0" w:line="240" w:lineRule="auto"/>
              <w:jc w:val="right"/>
              <w:rPr>
                <w:rFonts w:eastAsia="Times New Roman"/>
                <w:color w:val="000000"/>
                <w:lang w:eastAsia="ru-RU"/>
              </w:rPr>
            </w:pPr>
            <w:r w:rsidRPr="009A4C46">
              <w:rPr>
                <w:rFonts w:eastAsia="Times New Roman"/>
                <w:color w:val="000000"/>
                <w:lang w:eastAsia="ru-RU"/>
              </w:rPr>
              <w:t>209 266</w:t>
            </w:r>
          </w:p>
        </w:tc>
      </w:tr>
      <w:tr w:rsidR="009A4C46" w:rsidRPr="009A4C46" w14:paraId="4C50845F" w14:textId="77777777" w:rsidTr="00070F3E">
        <w:trPr>
          <w:trHeight w:val="20"/>
        </w:trPr>
        <w:tc>
          <w:tcPr>
            <w:tcW w:w="2527" w:type="pct"/>
            <w:tcBorders>
              <w:top w:val="nil"/>
              <w:left w:val="single" w:sz="8" w:space="0" w:color="auto"/>
              <w:bottom w:val="single" w:sz="8" w:space="0" w:color="auto"/>
              <w:right w:val="single" w:sz="8" w:space="0" w:color="auto"/>
            </w:tcBorders>
            <w:shd w:val="clear" w:color="auto" w:fill="auto"/>
            <w:noWrap/>
            <w:vAlign w:val="center"/>
            <w:hideMark/>
          </w:tcPr>
          <w:p w14:paraId="0936A3CA" w14:textId="77777777" w:rsidR="009A4C46" w:rsidRPr="009A4C46" w:rsidRDefault="009A4C46" w:rsidP="009A4C46">
            <w:pPr>
              <w:spacing w:after="0" w:line="240" w:lineRule="auto"/>
              <w:rPr>
                <w:rFonts w:eastAsia="Times New Roman"/>
                <w:color w:val="000000"/>
                <w:lang w:eastAsia="ru-RU"/>
              </w:rPr>
            </w:pPr>
            <w:r w:rsidRPr="009A4C46">
              <w:rPr>
                <w:rFonts w:eastAsia="Times New Roman"/>
                <w:color w:val="000000"/>
                <w:lang w:eastAsia="ru-RU"/>
              </w:rPr>
              <w:t>НН</w:t>
            </w:r>
          </w:p>
        </w:tc>
        <w:tc>
          <w:tcPr>
            <w:tcW w:w="808" w:type="pct"/>
            <w:tcBorders>
              <w:top w:val="nil"/>
              <w:left w:val="nil"/>
              <w:bottom w:val="single" w:sz="8" w:space="0" w:color="auto"/>
              <w:right w:val="single" w:sz="8" w:space="0" w:color="auto"/>
            </w:tcBorders>
            <w:shd w:val="clear" w:color="auto" w:fill="auto"/>
            <w:noWrap/>
            <w:vAlign w:val="center"/>
            <w:hideMark/>
          </w:tcPr>
          <w:p w14:paraId="103621A0" w14:textId="77777777" w:rsidR="009A4C46" w:rsidRPr="009A4C46" w:rsidRDefault="009A4C46" w:rsidP="009A4C46">
            <w:pPr>
              <w:spacing w:after="0" w:line="240" w:lineRule="auto"/>
              <w:jc w:val="right"/>
              <w:rPr>
                <w:rFonts w:eastAsia="Times New Roman"/>
                <w:color w:val="000000"/>
                <w:lang w:eastAsia="ru-RU"/>
              </w:rPr>
            </w:pPr>
            <w:r w:rsidRPr="009A4C46">
              <w:rPr>
                <w:rFonts w:eastAsia="Times New Roman"/>
                <w:color w:val="000000"/>
                <w:lang w:eastAsia="ru-RU"/>
              </w:rPr>
              <w:t>112 089</w:t>
            </w:r>
          </w:p>
        </w:tc>
        <w:tc>
          <w:tcPr>
            <w:tcW w:w="808" w:type="pct"/>
            <w:tcBorders>
              <w:top w:val="nil"/>
              <w:left w:val="nil"/>
              <w:bottom w:val="single" w:sz="8" w:space="0" w:color="auto"/>
              <w:right w:val="single" w:sz="8" w:space="0" w:color="auto"/>
            </w:tcBorders>
            <w:shd w:val="clear" w:color="auto" w:fill="auto"/>
            <w:noWrap/>
            <w:vAlign w:val="center"/>
            <w:hideMark/>
          </w:tcPr>
          <w:p w14:paraId="07B4B52B" w14:textId="77777777" w:rsidR="009A4C46" w:rsidRPr="009A4C46" w:rsidRDefault="009A4C46" w:rsidP="009A4C46">
            <w:pPr>
              <w:spacing w:after="0" w:line="240" w:lineRule="auto"/>
              <w:jc w:val="right"/>
              <w:rPr>
                <w:rFonts w:eastAsia="Times New Roman"/>
                <w:color w:val="000000"/>
                <w:lang w:eastAsia="ru-RU"/>
              </w:rPr>
            </w:pPr>
            <w:r w:rsidRPr="009A4C46">
              <w:rPr>
                <w:rFonts w:eastAsia="Times New Roman"/>
                <w:color w:val="000000"/>
                <w:lang w:eastAsia="ru-RU"/>
              </w:rPr>
              <w:t>212 443</w:t>
            </w:r>
          </w:p>
        </w:tc>
        <w:tc>
          <w:tcPr>
            <w:tcW w:w="856" w:type="pct"/>
            <w:tcBorders>
              <w:top w:val="nil"/>
              <w:left w:val="nil"/>
              <w:bottom w:val="single" w:sz="8" w:space="0" w:color="auto"/>
              <w:right w:val="single" w:sz="8" w:space="0" w:color="auto"/>
            </w:tcBorders>
            <w:shd w:val="clear" w:color="auto" w:fill="auto"/>
            <w:noWrap/>
            <w:vAlign w:val="center"/>
            <w:hideMark/>
          </w:tcPr>
          <w:p w14:paraId="3A96F562" w14:textId="77777777" w:rsidR="009A4C46" w:rsidRPr="009A4C46" w:rsidRDefault="009A4C46" w:rsidP="009A4C46">
            <w:pPr>
              <w:spacing w:after="0" w:line="240" w:lineRule="auto"/>
              <w:jc w:val="right"/>
              <w:rPr>
                <w:rFonts w:eastAsia="Times New Roman"/>
                <w:color w:val="000000"/>
                <w:lang w:eastAsia="ru-RU"/>
              </w:rPr>
            </w:pPr>
            <w:r w:rsidRPr="009A4C46">
              <w:rPr>
                <w:rFonts w:eastAsia="Times New Roman"/>
                <w:color w:val="000000"/>
                <w:lang w:eastAsia="ru-RU"/>
              </w:rPr>
              <w:t>324 532</w:t>
            </w:r>
          </w:p>
        </w:tc>
      </w:tr>
      <w:tr w:rsidR="009A4C46" w:rsidRPr="009A4C46" w14:paraId="0B09F033" w14:textId="77777777" w:rsidTr="00070F3E">
        <w:trPr>
          <w:trHeight w:val="20"/>
        </w:trPr>
        <w:tc>
          <w:tcPr>
            <w:tcW w:w="2527" w:type="pct"/>
            <w:tcBorders>
              <w:top w:val="nil"/>
              <w:left w:val="single" w:sz="8" w:space="0" w:color="auto"/>
              <w:bottom w:val="single" w:sz="8" w:space="0" w:color="auto"/>
              <w:right w:val="single" w:sz="8" w:space="0" w:color="auto"/>
            </w:tcBorders>
            <w:shd w:val="clear" w:color="auto" w:fill="auto"/>
            <w:vAlign w:val="center"/>
            <w:hideMark/>
          </w:tcPr>
          <w:p w14:paraId="47F30D33" w14:textId="77777777" w:rsidR="009A4C46" w:rsidRPr="009A4C46" w:rsidRDefault="009A4C46" w:rsidP="009A4C46">
            <w:pPr>
              <w:spacing w:after="0" w:line="240" w:lineRule="auto"/>
              <w:rPr>
                <w:rFonts w:eastAsia="Times New Roman"/>
                <w:b/>
                <w:bCs/>
                <w:color w:val="000000"/>
                <w:lang w:eastAsia="ru-RU"/>
              </w:rPr>
            </w:pPr>
            <w:r w:rsidRPr="009A4C46">
              <w:rPr>
                <w:rFonts w:eastAsia="Times New Roman"/>
                <w:b/>
                <w:bCs/>
                <w:color w:val="000000"/>
                <w:lang w:eastAsia="ru-RU"/>
              </w:rPr>
              <w:t>Население (по единым (котловым) тарифам) – всего, в т.ч.</w:t>
            </w:r>
          </w:p>
        </w:tc>
        <w:tc>
          <w:tcPr>
            <w:tcW w:w="808" w:type="pct"/>
            <w:tcBorders>
              <w:top w:val="nil"/>
              <w:left w:val="nil"/>
              <w:bottom w:val="single" w:sz="8" w:space="0" w:color="auto"/>
              <w:right w:val="single" w:sz="8" w:space="0" w:color="auto"/>
            </w:tcBorders>
            <w:shd w:val="clear" w:color="auto" w:fill="auto"/>
            <w:noWrap/>
            <w:vAlign w:val="center"/>
            <w:hideMark/>
          </w:tcPr>
          <w:p w14:paraId="524E2B74" w14:textId="77777777" w:rsidR="009A4C46" w:rsidRPr="009A4C46" w:rsidRDefault="009A4C46" w:rsidP="009A4C46">
            <w:pPr>
              <w:spacing w:after="0" w:line="240" w:lineRule="auto"/>
              <w:jc w:val="right"/>
              <w:rPr>
                <w:rFonts w:eastAsia="Times New Roman"/>
                <w:b/>
                <w:bCs/>
                <w:color w:val="000000"/>
                <w:lang w:eastAsia="ru-RU"/>
              </w:rPr>
            </w:pPr>
            <w:r w:rsidRPr="009A4C46">
              <w:rPr>
                <w:rFonts w:eastAsia="Times New Roman"/>
                <w:b/>
                <w:bCs/>
                <w:color w:val="000000"/>
                <w:lang w:eastAsia="ru-RU"/>
              </w:rPr>
              <w:t>205 866</w:t>
            </w:r>
          </w:p>
        </w:tc>
        <w:tc>
          <w:tcPr>
            <w:tcW w:w="808" w:type="pct"/>
            <w:tcBorders>
              <w:top w:val="nil"/>
              <w:left w:val="nil"/>
              <w:bottom w:val="single" w:sz="8" w:space="0" w:color="auto"/>
              <w:right w:val="single" w:sz="8" w:space="0" w:color="auto"/>
            </w:tcBorders>
            <w:shd w:val="clear" w:color="auto" w:fill="auto"/>
            <w:noWrap/>
            <w:vAlign w:val="center"/>
            <w:hideMark/>
          </w:tcPr>
          <w:p w14:paraId="1BE5D763" w14:textId="77777777" w:rsidR="009A4C46" w:rsidRPr="009A4C46" w:rsidRDefault="009A4C46" w:rsidP="009A4C46">
            <w:pPr>
              <w:spacing w:after="0" w:line="240" w:lineRule="auto"/>
              <w:jc w:val="right"/>
              <w:rPr>
                <w:rFonts w:eastAsia="Times New Roman"/>
                <w:b/>
                <w:bCs/>
                <w:color w:val="000000"/>
                <w:lang w:eastAsia="ru-RU"/>
              </w:rPr>
            </w:pPr>
            <w:r w:rsidRPr="009A4C46">
              <w:rPr>
                <w:rFonts w:eastAsia="Times New Roman"/>
                <w:b/>
                <w:bCs/>
                <w:color w:val="000000"/>
                <w:lang w:eastAsia="ru-RU"/>
              </w:rPr>
              <w:t>226 153</w:t>
            </w:r>
          </w:p>
        </w:tc>
        <w:tc>
          <w:tcPr>
            <w:tcW w:w="856" w:type="pct"/>
            <w:tcBorders>
              <w:top w:val="nil"/>
              <w:left w:val="nil"/>
              <w:bottom w:val="single" w:sz="8" w:space="0" w:color="auto"/>
              <w:right w:val="single" w:sz="8" w:space="0" w:color="auto"/>
            </w:tcBorders>
            <w:shd w:val="clear" w:color="auto" w:fill="auto"/>
            <w:noWrap/>
            <w:vAlign w:val="center"/>
            <w:hideMark/>
          </w:tcPr>
          <w:p w14:paraId="5B84A710" w14:textId="77777777" w:rsidR="009A4C46" w:rsidRPr="009A4C46" w:rsidRDefault="009A4C46" w:rsidP="009A4C46">
            <w:pPr>
              <w:spacing w:after="0" w:line="240" w:lineRule="auto"/>
              <w:jc w:val="right"/>
              <w:rPr>
                <w:rFonts w:eastAsia="Times New Roman"/>
                <w:b/>
                <w:bCs/>
                <w:color w:val="000000"/>
                <w:lang w:eastAsia="ru-RU"/>
              </w:rPr>
            </w:pPr>
            <w:r w:rsidRPr="009A4C46">
              <w:rPr>
                <w:rFonts w:eastAsia="Times New Roman"/>
                <w:b/>
                <w:bCs/>
                <w:color w:val="000000"/>
                <w:lang w:eastAsia="ru-RU"/>
              </w:rPr>
              <w:t>432 019</w:t>
            </w:r>
          </w:p>
        </w:tc>
      </w:tr>
      <w:tr w:rsidR="009A4C46" w:rsidRPr="009A4C46" w14:paraId="2FEE2CC3" w14:textId="77777777" w:rsidTr="00070F3E">
        <w:trPr>
          <w:trHeight w:val="20"/>
        </w:trPr>
        <w:tc>
          <w:tcPr>
            <w:tcW w:w="2527" w:type="pct"/>
            <w:tcBorders>
              <w:top w:val="nil"/>
              <w:left w:val="single" w:sz="8" w:space="0" w:color="auto"/>
              <w:bottom w:val="single" w:sz="8" w:space="0" w:color="auto"/>
              <w:right w:val="single" w:sz="8" w:space="0" w:color="auto"/>
            </w:tcBorders>
            <w:shd w:val="clear" w:color="auto" w:fill="auto"/>
            <w:noWrap/>
            <w:vAlign w:val="center"/>
            <w:hideMark/>
          </w:tcPr>
          <w:p w14:paraId="175090C6" w14:textId="77777777" w:rsidR="009A4C46" w:rsidRPr="009A4C46" w:rsidRDefault="009A4C46" w:rsidP="009A4C46">
            <w:pPr>
              <w:spacing w:after="0" w:line="240" w:lineRule="auto"/>
              <w:rPr>
                <w:rFonts w:eastAsia="Times New Roman"/>
                <w:color w:val="000000"/>
                <w:lang w:eastAsia="ru-RU"/>
              </w:rPr>
            </w:pPr>
            <w:r w:rsidRPr="009A4C46">
              <w:rPr>
                <w:rFonts w:eastAsia="Times New Roman"/>
                <w:color w:val="000000"/>
                <w:lang w:eastAsia="ru-RU"/>
              </w:rPr>
              <w:t>Категория 1</w:t>
            </w:r>
          </w:p>
        </w:tc>
        <w:tc>
          <w:tcPr>
            <w:tcW w:w="808" w:type="pct"/>
            <w:tcBorders>
              <w:top w:val="nil"/>
              <w:left w:val="nil"/>
              <w:bottom w:val="single" w:sz="8" w:space="0" w:color="auto"/>
              <w:right w:val="single" w:sz="8" w:space="0" w:color="auto"/>
            </w:tcBorders>
            <w:shd w:val="clear" w:color="auto" w:fill="auto"/>
            <w:noWrap/>
            <w:vAlign w:val="center"/>
            <w:hideMark/>
          </w:tcPr>
          <w:p w14:paraId="08CEB0E8" w14:textId="77777777" w:rsidR="009A4C46" w:rsidRPr="009A4C46" w:rsidRDefault="009A4C46" w:rsidP="009A4C46">
            <w:pPr>
              <w:spacing w:after="0" w:line="240" w:lineRule="auto"/>
              <w:jc w:val="right"/>
              <w:rPr>
                <w:rFonts w:eastAsia="Times New Roman"/>
                <w:color w:val="000000"/>
                <w:lang w:eastAsia="ru-RU"/>
              </w:rPr>
            </w:pPr>
            <w:r w:rsidRPr="009A4C46">
              <w:rPr>
                <w:rFonts w:eastAsia="Times New Roman"/>
                <w:color w:val="000000"/>
                <w:lang w:eastAsia="ru-RU"/>
              </w:rPr>
              <w:t>191 262</w:t>
            </w:r>
          </w:p>
        </w:tc>
        <w:tc>
          <w:tcPr>
            <w:tcW w:w="808" w:type="pct"/>
            <w:tcBorders>
              <w:top w:val="nil"/>
              <w:left w:val="nil"/>
              <w:bottom w:val="single" w:sz="8" w:space="0" w:color="auto"/>
              <w:right w:val="single" w:sz="8" w:space="0" w:color="auto"/>
            </w:tcBorders>
            <w:shd w:val="clear" w:color="auto" w:fill="auto"/>
            <w:noWrap/>
            <w:vAlign w:val="center"/>
            <w:hideMark/>
          </w:tcPr>
          <w:p w14:paraId="7C6577DD" w14:textId="77777777" w:rsidR="009A4C46" w:rsidRPr="009A4C46" w:rsidRDefault="009A4C46" w:rsidP="009A4C46">
            <w:pPr>
              <w:spacing w:after="0" w:line="240" w:lineRule="auto"/>
              <w:jc w:val="right"/>
              <w:rPr>
                <w:rFonts w:eastAsia="Times New Roman"/>
                <w:color w:val="000000"/>
                <w:lang w:eastAsia="ru-RU"/>
              </w:rPr>
            </w:pPr>
            <w:r w:rsidRPr="009A4C46">
              <w:rPr>
                <w:rFonts w:eastAsia="Times New Roman"/>
                <w:color w:val="000000"/>
                <w:lang w:eastAsia="ru-RU"/>
              </w:rPr>
              <w:t>196 064</w:t>
            </w:r>
          </w:p>
        </w:tc>
        <w:tc>
          <w:tcPr>
            <w:tcW w:w="856" w:type="pct"/>
            <w:tcBorders>
              <w:top w:val="nil"/>
              <w:left w:val="nil"/>
              <w:bottom w:val="single" w:sz="8" w:space="0" w:color="auto"/>
              <w:right w:val="single" w:sz="8" w:space="0" w:color="auto"/>
            </w:tcBorders>
            <w:shd w:val="clear" w:color="auto" w:fill="auto"/>
            <w:noWrap/>
            <w:vAlign w:val="center"/>
            <w:hideMark/>
          </w:tcPr>
          <w:p w14:paraId="5BB45358" w14:textId="77777777" w:rsidR="009A4C46" w:rsidRPr="009A4C46" w:rsidRDefault="009A4C46" w:rsidP="009A4C46">
            <w:pPr>
              <w:spacing w:after="0" w:line="240" w:lineRule="auto"/>
              <w:jc w:val="right"/>
              <w:rPr>
                <w:rFonts w:eastAsia="Times New Roman"/>
                <w:color w:val="000000"/>
                <w:lang w:eastAsia="ru-RU"/>
              </w:rPr>
            </w:pPr>
            <w:r w:rsidRPr="009A4C46">
              <w:rPr>
                <w:rFonts w:eastAsia="Times New Roman"/>
                <w:color w:val="000000"/>
                <w:lang w:eastAsia="ru-RU"/>
              </w:rPr>
              <w:t>387 326</w:t>
            </w:r>
          </w:p>
        </w:tc>
      </w:tr>
      <w:tr w:rsidR="009A4C46" w:rsidRPr="009A4C46" w14:paraId="1ED70BB2" w14:textId="77777777" w:rsidTr="00070F3E">
        <w:trPr>
          <w:trHeight w:val="20"/>
        </w:trPr>
        <w:tc>
          <w:tcPr>
            <w:tcW w:w="2527" w:type="pct"/>
            <w:tcBorders>
              <w:top w:val="nil"/>
              <w:left w:val="single" w:sz="8" w:space="0" w:color="auto"/>
              <w:bottom w:val="single" w:sz="8" w:space="0" w:color="auto"/>
              <w:right w:val="single" w:sz="8" w:space="0" w:color="auto"/>
            </w:tcBorders>
            <w:shd w:val="clear" w:color="auto" w:fill="auto"/>
            <w:noWrap/>
            <w:vAlign w:val="center"/>
            <w:hideMark/>
          </w:tcPr>
          <w:p w14:paraId="5F380DDA" w14:textId="77777777" w:rsidR="009A4C46" w:rsidRPr="009A4C46" w:rsidRDefault="009A4C46" w:rsidP="009A4C46">
            <w:pPr>
              <w:spacing w:after="0" w:line="240" w:lineRule="auto"/>
              <w:rPr>
                <w:rFonts w:eastAsia="Times New Roman"/>
                <w:color w:val="000000"/>
                <w:lang w:eastAsia="ru-RU"/>
              </w:rPr>
            </w:pPr>
            <w:r w:rsidRPr="009A4C46">
              <w:rPr>
                <w:rFonts w:eastAsia="Times New Roman"/>
                <w:color w:val="000000"/>
                <w:lang w:eastAsia="ru-RU"/>
              </w:rPr>
              <w:t>Категория 2</w:t>
            </w:r>
          </w:p>
        </w:tc>
        <w:tc>
          <w:tcPr>
            <w:tcW w:w="808" w:type="pct"/>
            <w:tcBorders>
              <w:top w:val="nil"/>
              <w:left w:val="nil"/>
              <w:bottom w:val="single" w:sz="8" w:space="0" w:color="auto"/>
              <w:right w:val="single" w:sz="8" w:space="0" w:color="auto"/>
            </w:tcBorders>
            <w:shd w:val="clear" w:color="auto" w:fill="auto"/>
            <w:noWrap/>
            <w:vAlign w:val="center"/>
            <w:hideMark/>
          </w:tcPr>
          <w:p w14:paraId="04785C4F" w14:textId="77777777" w:rsidR="009A4C46" w:rsidRPr="009A4C46" w:rsidRDefault="009A4C46" w:rsidP="009A4C46">
            <w:pPr>
              <w:spacing w:after="0" w:line="240" w:lineRule="auto"/>
              <w:jc w:val="right"/>
              <w:rPr>
                <w:rFonts w:eastAsia="Times New Roman"/>
                <w:color w:val="000000"/>
                <w:lang w:eastAsia="ru-RU"/>
              </w:rPr>
            </w:pPr>
            <w:r w:rsidRPr="009A4C46">
              <w:rPr>
                <w:rFonts w:eastAsia="Times New Roman"/>
                <w:color w:val="000000"/>
                <w:lang w:eastAsia="ru-RU"/>
              </w:rPr>
              <w:t>1 529</w:t>
            </w:r>
          </w:p>
        </w:tc>
        <w:tc>
          <w:tcPr>
            <w:tcW w:w="808" w:type="pct"/>
            <w:tcBorders>
              <w:top w:val="nil"/>
              <w:left w:val="nil"/>
              <w:bottom w:val="single" w:sz="8" w:space="0" w:color="auto"/>
              <w:right w:val="single" w:sz="8" w:space="0" w:color="auto"/>
            </w:tcBorders>
            <w:shd w:val="clear" w:color="auto" w:fill="auto"/>
            <w:noWrap/>
            <w:vAlign w:val="center"/>
            <w:hideMark/>
          </w:tcPr>
          <w:p w14:paraId="1879FCB2" w14:textId="77777777" w:rsidR="009A4C46" w:rsidRPr="009A4C46" w:rsidRDefault="009A4C46" w:rsidP="009A4C46">
            <w:pPr>
              <w:spacing w:after="0" w:line="240" w:lineRule="auto"/>
              <w:jc w:val="right"/>
              <w:rPr>
                <w:rFonts w:eastAsia="Times New Roman"/>
                <w:color w:val="000000"/>
                <w:lang w:eastAsia="ru-RU"/>
              </w:rPr>
            </w:pPr>
            <w:r w:rsidRPr="009A4C46">
              <w:rPr>
                <w:rFonts w:eastAsia="Times New Roman"/>
                <w:color w:val="000000"/>
                <w:lang w:eastAsia="ru-RU"/>
              </w:rPr>
              <w:t>12 563</w:t>
            </w:r>
          </w:p>
        </w:tc>
        <w:tc>
          <w:tcPr>
            <w:tcW w:w="856" w:type="pct"/>
            <w:tcBorders>
              <w:top w:val="nil"/>
              <w:left w:val="nil"/>
              <w:bottom w:val="single" w:sz="8" w:space="0" w:color="auto"/>
              <w:right w:val="single" w:sz="8" w:space="0" w:color="auto"/>
            </w:tcBorders>
            <w:shd w:val="clear" w:color="auto" w:fill="auto"/>
            <w:noWrap/>
            <w:vAlign w:val="center"/>
            <w:hideMark/>
          </w:tcPr>
          <w:p w14:paraId="1AE002C5" w14:textId="77777777" w:rsidR="009A4C46" w:rsidRPr="009A4C46" w:rsidRDefault="009A4C46" w:rsidP="009A4C46">
            <w:pPr>
              <w:spacing w:after="0" w:line="240" w:lineRule="auto"/>
              <w:jc w:val="right"/>
              <w:rPr>
                <w:rFonts w:eastAsia="Times New Roman"/>
                <w:color w:val="000000"/>
                <w:lang w:eastAsia="ru-RU"/>
              </w:rPr>
            </w:pPr>
            <w:r w:rsidRPr="009A4C46">
              <w:rPr>
                <w:rFonts w:eastAsia="Times New Roman"/>
                <w:color w:val="000000"/>
                <w:lang w:eastAsia="ru-RU"/>
              </w:rPr>
              <w:t>14 092</w:t>
            </w:r>
          </w:p>
        </w:tc>
      </w:tr>
      <w:tr w:rsidR="009A4C46" w:rsidRPr="009A4C46" w14:paraId="4CBD1D7C" w14:textId="77777777" w:rsidTr="00070F3E">
        <w:trPr>
          <w:trHeight w:val="20"/>
        </w:trPr>
        <w:tc>
          <w:tcPr>
            <w:tcW w:w="2527" w:type="pct"/>
            <w:tcBorders>
              <w:top w:val="nil"/>
              <w:left w:val="single" w:sz="8" w:space="0" w:color="auto"/>
              <w:bottom w:val="single" w:sz="8" w:space="0" w:color="auto"/>
              <w:right w:val="single" w:sz="8" w:space="0" w:color="auto"/>
            </w:tcBorders>
            <w:shd w:val="clear" w:color="auto" w:fill="auto"/>
            <w:noWrap/>
            <w:vAlign w:val="center"/>
            <w:hideMark/>
          </w:tcPr>
          <w:p w14:paraId="3AE8741F" w14:textId="77777777" w:rsidR="009A4C46" w:rsidRPr="009A4C46" w:rsidRDefault="009A4C46" w:rsidP="009A4C46">
            <w:pPr>
              <w:spacing w:after="0" w:line="240" w:lineRule="auto"/>
              <w:rPr>
                <w:rFonts w:eastAsia="Times New Roman"/>
                <w:color w:val="000000"/>
                <w:lang w:eastAsia="ru-RU"/>
              </w:rPr>
            </w:pPr>
            <w:r w:rsidRPr="009A4C46">
              <w:rPr>
                <w:rFonts w:eastAsia="Times New Roman"/>
                <w:color w:val="000000"/>
                <w:lang w:eastAsia="ru-RU"/>
              </w:rPr>
              <w:t>Категория 3</w:t>
            </w:r>
          </w:p>
        </w:tc>
        <w:tc>
          <w:tcPr>
            <w:tcW w:w="808" w:type="pct"/>
            <w:tcBorders>
              <w:top w:val="nil"/>
              <w:left w:val="nil"/>
              <w:bottom w:val="single" w:sz="8" w:space="0" w:color="auto"/>
              <w:right w:val="single" w:sz="8" w:space="0" w:color="auto"/>
            </w:tcBorders>
            <w:shd w:val="clear" w:color="auto" w:fill="auto"/>
            <w:noWrap/>
            <w:vAlign w:val="center"/>
            <w:hideMark/>
          </w:tcPr>
          <w:p w14:paraId="02BB958B" w14:textId="77777777" w:rsidR="009A4C46" w:rsidRPr="009A4C46" w:rsidRDefault="009A4C46" w:rsidP="009A4C46">
            <w:pPr>
              <w:spacing w:after="0" w:line="240" w:lineRule="auto"/>
              <w:jc w:val="right"/>
              <w:rPr>
                <w:rFonts w:eastAsia="Times New Roman"/>
                <w:color w:val="000000"/>
                <w:lang w:eastAsia="ru-RU"/>
              </w:rPr>
            </w:pPr>
            <w:r w:rsidRPr="009A4C46">
              <w:rPr>
                <w:rFonts w:eastAsia="Times New Roman"/>
                <w:color w:val="000000"/>
                <w:lang w:eastAsia="ru-RU"/>
              </w:rPr>
              <w:t>552</w:t>
            </w:r>
          </w:p>
        </w:tc>
        <w:tc>
          <w:tcPr>
            <w:tcW w:w="808" w:type="pct"/>
            <w:tcBorders>
              <w:top w:val="nil"/>
              <w:left w:val="nil"/>
              <w:bottom w:val="single" w:sz="8" w:space="0" w:color="auto"/>
              <w:right w:val="single" w:sz="8" w:space="0" w:color="auto"/>
            </w:tcBorders>
            <w:shd w:val="clear" w:color="auto" w:fill="auto"/>
            <w:noWrap/>
            <w:vAlign w:val="center"/>
            <w:hideMark/>
          </w:tcPr>
          <w:p w14:paraId="7164A586" w14:textId="77777777" w:rsidR="009A4C46" w:rsidRPr="009A4C46" w:rsidRDefault="009A4C46" w:rsidP="009A4C46">
            <w:pPr>
              <w:spacing w:after="0" w:line="240" w:lineRule="auto"/>
              <w:jc w:val="right"/>
              <w:rPr>
                <w:rFonts w:eastAsia="Times New Roman"/>
                <w:color w:val="000000"/>
                <w:lang w:eastAsia="ru-RU"/>
              </w:rPr>
            </w:pPr>
            <w:r w:rsidRPr="009A4C46">
              <w:rPr>
                <w:rFonts w:eastAsia="Times New Roman"/>
                <w:color w:val="000000"/>
                <w:lang w:eastAsia="ru-RU"/>
              </w:rPr>
              <w:t>3 453</w:t>
            </w:r>
          </w:p>
        </w:tc>
        <w:tc>
          <w:tcPr>
            <w:tcW w:w="856" w:type="pct"/>
            <w:tcBorders>
              <w:top w:val="nil"/>
              <w:left w:val="nil"/>
              <w:bottom w:val="single" w:sz="8" w:space="0" w:color="auto"/>
              <w:right w:val="single" w:sz="8" w:space="0" w:color="auto"/>
            </w:tcBorders>
            <w:shd w:val="clear" w:color="auto" w:fill="auto"/>
            <w:noWrap/>
            <w:vAlign w:val="center"/>
            <w:hideMark/>
          </w:tcPr>
          <w:p w14:paraId="3D2EF015" w14:textId="77777777" w:rsidR="009A4C46" w:rsidRPr="009A4C46" w:rsidRDefault="009A4C46" w:rsidP="009A4C46">
            <w:pPr>
              <w:spacing w:after="0" w:line="240" w:lineRule="auto"/>
              <w:jc w:val="right"/>
              <w:rPr>
                <w:rFonts w:eastAsia="Times New Roman"/>
                <w:color w:val="000000"/>
                <w:lang w:eastAsia="ru-RU"/>
              </w:rPr>
            </w:pPr>
            <w:r w:rsidRPr="009A4C46">
              <w:rPr>
                <w:rFonts w:eastAsia="Times New Roman"/>
                <w:color w:val="000000"/>
                <w:lang w:eastAsia="ru-RU"/>
              </w:rPr>
              <w:t>4 006</w:t>
            </w:r>
          </w:p>
        </w:tc>
      </w:tr>
      <w:tr w:rsidR="009A4C46" w:rsidRPr="009A4C46" w14:paraId="330E4D8E" w14:textId="77777777" w:rsidTr="00070F3E">
        <w:trPr>
          <w:trHeight w:val="20"/>
        </w:trPr>
        <w:tc>
          <w:tcPr>
            <w:tcW w:w="2527" w:type="pct"/>
            <w:tcBorders>
              <w:top w:val="nil"/>
              <w:left w:val="single" w:sz="8" w:space="0" w:color="auto"/>
              <w:bottom w:val="single" w:sz="8" w:space="0" w:color="auto"/>
              <w:right w:val="single" w:sz="8" w:space="0" w:color="auto"/>
            </w:tcBorders>
            <w:shd w:val="clear" w:color="auto" w:fill="auto"/>
            <w:noWrap/>
            <w:vAlign w:val="center"/>
            <w:hideMark/>
          </w:tcPr>
          <w:p w14:paraId="0E20FF4F" w14:textId="77777777" w:rsidR="009A4C46" w:rsidRPr="009A4C46" w:rsidRDefault="009A4C46" w:rsidP="009A4C46">
            <w:pPr>
              <w:spacing w:after="0" w:line="240" w:lineRule="auto"/>
              <w:rPr>
                <w:rFonts w:eastAsia="Times New Roman"/>
                <w:color w:val="000000"/>
                <w:lang w:eastAsia="ru-RU"/>
              </w:rPr>
            </w:pPr>
            <w:r w:rsidRPr="009A4C46">
              <w:rPr>
                <w:rFonts w:eastAsia="Times New Roman"/>
                <w:color w:val="000000"/>
                <w:lang w:eastAsia="ru-RU"/>
              </w:rPr>
              <w:t>Категория 4.1</w:t>
            </w:r>
          </w:p>
        </w:tc>
        <w:tc>
          <w:tcPr>
            <w:tcW w:w="808" w:type="pct"/>
            <w:tcBorders>
              <w:top w:val="nil"/>
              <w:left w:val="nil"/>
              <w:bottom w:val="single" w:sz="8" w:space="0" w:color="auto"/>
              <w:right w:val="single" w:sz="8" w:space="0" w:color="auto"/>
            </w:tcBorders>
            <w:shd w:val="clear" w:color="auto" w:fill="auto"/>
            <w:noWrap/>
            <w:vAlign w:val="center"/>
            <w:hideMark/>
          </w:tcPr>
          <w:p w14:paraId="22EF2456" w14:textId="77777777" w:rsidR="009A4C46" w:rsidRPr="009A4C46" w:rsidRDefault="009A4C46" w:rsidP="009A4C46">
            <w:pPr>
              <w:spacing w:after="0" w:line="240" w:lineRule="auto"/>
              <w:jc w:val="right"/>
              <w:rPr>
                <w:rFonts w:eastAsia="Times New Roman"/>
                <w:color w:val="000000"/>
                <w:lang w:eastAsia="ru-RU"/>
              </w:rPr>
            </w:pPr>
            <w:r w:rsidRPr="009A4C46">
              <w:rPr>
                <w:rFonts w:eastAsia="Times New Roman"/>
                <w:color w:val="000000"/>
                <w:lang w:eastAsia="ru-RU"/>
              </w:rPr>
              <w:t>85</w:t>
            </w:r>
          </w:p>
        </w:tc>
        <w:tc>
          <w:tcPr>
            <w:tcW w:w="808" w:type="pct"/>
            <w:tcBorders>
              <w:top w:val="nil"/>
              <w:left w:val="nil"/>
              <w:bottom w:val="single" w:sz="8" w:space="0" w:color="auto"/>
              <w:right w:val="single" w:sz="8" w:space="0" w:color="auto"/>
            </w:tcBorders>
            <w:shd w:val="clear" w:color="auto" w:fill="auto"/>
            <w:noWrap/>
            <w:vAlign w:val="center"/>
            <w:hideMark/>
          </w:tcPr>
          <w:p w14:paraId="4B51B848" w14:textId="77777777" w:rsidR="009A4C46" w:rsidRPr="009A4C46" w:rsidRDefault="009A4C46" w:rsidP="009A4C46">
            <w:pPr>
              <w:spacing w:after="0" w:line="240" w:lineRule="auto"/>
              <w:jc w:val="right"/>
              <w:rPr>
                <w:rFonts w:eastAsia="Times New Roman"/>
                <w:color w:val="000000"/>
                <w:lang w:eastAsia="ru-RU"/>
              </w:rPr>
            </w:pPr>
            <w:r w:rsidRPr="009A4C46">
              <w:rPr>
                <w:rFonts w:eastAsia="Times New Roman"/>
                <w:color w:val="000000"/>
                <w:lang w:eastAsia="ru-RU"/>
              </w:rPr>
              <w:t>2 947</w:t>
            </w:r>
          </w:p>
        </w:tc>
        <w:tc>
          <w:tcPr>
            <w:tcW w:w="856" w:type="pct"/>
            <w:tcBorders>
              <w:top w:val="nil"/>
              <w:left w:val="nil"/>
              <w:bottom w:val="single" w:sz="8" w:space="0" w:color="auto"/>
              <w:right w:val="single" w:sz="8" w:space="0" w:color="auto"/>
            </w:tcBorders>
            <w:shd w:val="clear" w:color="auto" w:fill="auto"/>
            <w:noWrap/>
            <w:vAlign w:val="center"/>
            <w:hideMark/>
          </w:tcPr>
          <w:p w14:paraId="19176F1C" w14:textId="77777777" w:rsidR="009A4C46" w:rsidRPr="009A4C46" w:rsidRDefault="009A4C46" w:rsidP="009A4C46">
            <w:pPr>
              <w:spacing w:after="0" w:line="240" w:lineRule="auto"/>
              <w:jc w:val="right"/>
              <w:rPr>
                <w:rFonts w:eastAsia="Times New Roman"/>
                <w:color w:val="000000"/>
                <w:lang w:eastAsia="ru-RU"/>
              </w:rPr>
            </w:pPr>
            <w:r w:rsidRPr="009A4C46">
              <w:rPr>
                <w:rFonts w:eastAsia="Times New Roman"/>
                <w:color w:val="000000"/>
                <w:lang w:eastAsia="ru-RU"/>
              </w:rPr>
              <w:t>3 032</w:t>
            </w:r>
          </w:p>
        </w:tc>
      </w:tr>
      <w:tr w:rsidR="009A4C46" w:rsidRPr="009A4C46" w14:paraId="21673996" w14:textId="77777777" w:rsidTr="00070F3E">
        <w:trPr>
          <w:trHeight w:val="20"/>
        </w:trPr>
        <w:tc>
          <w:tcPr>
            <w:tcW w:w="2527" w:type="pct"/>
            <w:tcBorders>
              <w:top w:val="nil"/>
              <w:left w:val="single" w:sz="8" w:space="0" w:color="auto"/>
              <w:bottom w:val="single" w:sz="8" w:space="0" w:color="auto"/>
              <w:right w:val="single" w:sz="8" w:space="0" w:color="auto"/>
            </w:tcBorders>
            <w:shd w:val="clear" w:color="auto" w:fill="auto"/>
            <w:noWrap/>
            <w:vAlign w:val="center"/>
            <w:hideMark/>
          </w:tcPr>
          <w:p w14:paraId="46C205E5" w14:textId="77777777" w:rsidR="009A4C46" w:rsidRPr="009A4C46" w:rsidRDefault="009A4C46" w:rsidP="009A4C46">
            <w:pPr>
              <w:spacing w:after="0" w:line="240" w:lineRule="auto"/>
              <w:rPr>
                <w:rFonts w:eastAsia="Times New Roman"/>
                <w:color w:val="000000"/>
                <w:lang w:eastAsia="ru-RU"/>
              </w:rPr>
            </w:pPr>
            <w:r w:rsidRPr="009A4C46">
              <w:rPr>
                <w:rFonts w:eastAsia="Times New Roman"/>
                <w:color w:val="000000"/>
                <w:lang w:eastAsia="ru-RU"/>
              </w:rPr>
              <w:t>Категория 4.2</w:t>
            </w:r>
          </w:p>
        </w:tc>
        <w:tc>
          <w:tcPr>
            <w:tcW w:w="808" w:type="pct"/>
            <w:tcBorders>
              <w:top w:val="nil"/>
              <w:left w:val="nil"/>
              <w:bottom w:val="single" w:sz="8" w:space="0" w:color="auto"/>
              <w:right w:val="single" w:sz="8" w:space="0" w:color="auto"/>
            </w:tcBorders>
            <w:shd w:val="clear" w:color="auto" w:fill="auto"/>
            <w:noWrap/>
            <w:vAlign w:val="center"/>
            <w:hideMark/>
          </w:tcPr>
          <w:p w14:paraId="1C68FCB5" w14:textId="77777777" w:rsidR="009A4C46" w:rsidRPr="009A4C46" w:rsidRDefault="009A4C46" w:rsidP="009A4C46">
            <w:pPr>
              <w:spacing w:after="0" w:line="240" w:lineRule="auto"/>
              <w:jc w:val="right"/>
              <w:rPr>
                <w:rFonts w:eastAsia="Times New Roman"/>
                <w:color w:val="000000"/>
                <w:lang w:eastAsia="ru-RU"/>
              </w:rPr>
            </w:pPr>
            <w:r w:rsidRPr="009A4C46">
              <w:rPr>
                <w:rFonts w:eastAsia="Times New Roman"/>
                <w:color w:val="000000"/>
                <w:lang w:eastAsia="ru-RU"/>
              </w:rPr>
              <w:t>1 555</w:t>
            </w:r>
          </w:p>
        </w:tc>
        <w:tc>
          <w:tcPr>
            <w:tcW w:w="808" w:type="pct"/>
            <w:tcBorders>
              <w:top w:val="nil"/>
              <w:left w:val="nil"/>
              <w:bottom w:val="single" w:sz="8" w:space="0" w:color="auto"/>
              <w:right w:val="single" w:sz="8" w:space="0" w:color="auto"/>
            </w:tcBorders>
            <w:shd w:val="clear" w:color="auto" w:fill="auto"/>
            <w:noWrap/>
            <w:vAlign w:val="center"/>
            <w:hideMark/>
          </w:tcPr>
          <w:p w14:paraId="02B36F6B" w14:textId="77777777" w:rsidR="009A4C46" w:rsidRPr="009A4C46" w:rsidRDefault="009A4C46" w:rsidP="009A4C46">
            <w:pPr>
              <w:spacing w:after="0" w:line="240" w:lineRule="auto"/>
              <w:jc w:val="right"/>
              <w:rPr>
                <w:rFonts w:eastAsia="Times New Roman"/>
                <w:color w:val="000000"/>
                <w:lang w:eastAsia="ru-RU"/>
              </w:rPr>
            </w:pPr>
            <w:r w:rsidRPr="009A4C46">
              <w:rPr>
                <w:rFonts w:eastAsia="Times New Roman"/>
                <w:color w:val="000000"/>
                <w:lang w:eastAsia="ru-RU"/>
              </w:rPr>
              <w:t>1 652</w:t>
            </w:r>
          </w:p>
        </w:tc>
        <w:tc>
          <w:tcPr>
            <w:tcW w:w="856" w:type="pct"/>
            <w:tcBorders>
              <w:top w:val="nil"/>
              <w:left w:val="nil"/>
              <w:bottom w:val="single" w:sz="8" w:space="0" w:color="auto"/>
              <w:right w:val="single" w:sz="8" w:space="0" w:color="auto"/>
            </w:tcBorders>
            <w:shd w:val="clear" w:color="auto" w:fill="auto"/>
            <w:noWrap/>
            <w:vAlign w:val="center"/>
            <w:hideMark/>
          </w:tcPr>
          <w:p w14:paraId="38C6102C" w14:textId="77777777" w:rsidR="009A4C46" w:rsidRPr="009A4C46" w:rsidRDefault="009A4C46" w:rsidP="009A4C46">
            <w:pPr>
              <w:spacing w:after="0" w:line="240" w:lineRule="auto"/>
              <w:jc w:val="right"/>
              <w:rPr>
                <w:rFonts w:eastAsia="Times New Roman"/>
                <w:color w:val="000000"/>
                <w:lang w:eastAsia="ru-RU"/>
              </w:rPr>
            </w:pPr>
            <w:r w:rsidRPr="009A4C46">
              <w:rPr>
                <w:rFonts w:eastAsia="Times New Roman"/>
                <w:color w:val="000000"/>
                <w:lang w:eastAsia="ru-RU"/>
              </w:rPr>
              <w:t>3 207</w:t>
            </w:r>
          </w:p>
        </w:tc>
      </w:tr>
      <w:tr w:rsidR="009A4C46" w:rsidRPr="009A4C46" w14:paraId="45A65FEB" w14:textId="77777777" w:rsidTr="00070F3E">
        <w:trPr>
          <w:trHeight w:val="20"/>
        </w:trPr>
        <w:tc>
          <w:tcPr>
            <w:tcW w:w="2527" w:type="pct"/>
            <w:tcBorders>
              <w:top w:val="nil"/>
              <w:left w:val="single" w:sz="8" w:space="0" w:color="auto"/>
              <w:bottom w:val="single" w:sz="8" w:space="0" w:color="auto"/>
              <w:right w:val="single" w:sz="8" w:space="0" w:color="auto"/>
            </w:tcBorders>
            <w:shd w:val="clear" w:color="auto" w:fill="auto"/>
            <w:noWrap/>
            <w:vAlign w:val="center"/>
            <w:hideMark/>
          </w:tcPr>
          <w:p w14:paraId="1018F28E" w14:textId="77777777" w:rsidR="009A4C46" w:rsidRPr="009A4C46" w:rsidRDefault="009A4C46" w:rsidP="009A4C46">
            <w:pPr>
              <w:spacing w:after="0" w:line="240" w:lineRule="auto"/>
              <w:rPr>
                <w:rFonts w:eastAsia="Times New Roman"/>
                <w:color w:val="000000"/>
                <w:lang w:eastAsia="ru-RU"/>
              </w:rPr>
            </w:pPr>
            <w:r w:rsidRPr="009A4C46">
              <w:rPr>
                <w:rFonts w:eastAsia="Times New Roman"/>
                <w:color w:val="000000"/>
                <w:lang w:eastAsia="ru-RU"/>
              </w:rPr>
              <w:t>Категория 4.3</w:t>
            </w:r>
          </w:p>
        </w:tc>
        <w:tc>
          <w:tcPr>
            <w:tcW w:w="808" w:type="pct"/>
            <w:tcBorders>
              <w:top w:val="nil"/>
              <w:left w:val="nil"/>
              <w:bottom w:val="single" w:sz="8" w:space="0" w:color="auto"/>
              <w:right w:val="single" w:sz="8" w:space="0" w:color="auto"/>
            </w:tcBorders>
            <w:shd w:val="clear" w:color="auto" w:fill="auto"/>
            <w:noWrap/>
            <w:vAlign w:val="center"/>
            <w:hideMark/>
          </w:tcPr>
          <w:p w14:paraId="281DFADE" w14:textId="77777777" w:rsidR="009A4C46" w:rsidRPr="009A4C46" w:rsidRDefault="009A4C46" w:rsidP="009A4C46">
            <w:pPr>
              <w:spacing w:after="0" w:line="240" w:lineRule="auto"/>
              <w:jc w:val="right"/>
              <w:rPr>
                <w:rFonts w:eastAsia="Times New Roman"/>
                <w:color w:val="000000"/>
                <w:lang w:eastAsia="ru-RU"/>
              </w:rPr>
            </w:pPr>
            <w:r w:rsidRPr="009A4C46">
              <w:rPr>
                <w:rFonts w:eastAsia="Times New Roman"/>
                <w:color w:val="000000"/>
                <w:lang w:eastAsia="ru-RU"/>
              </w:rPr>
              <w:t>444</w:t>
            </w:r>
          </w:p>
        </w:tc>
        <w:tc>
          <w:tcPr>
            <w:tcW w:w="808" w:type="pct"/>
            <w:tcBorders>
              <w:top w:val="nil"/>
              <w:left w:val="nil"/>
              <w:bottom w:val="single" w:sz="8" w:space="0" w:color="auto"/>
              <w:right w:val="single" w:sz="8" w:space="0" w:color="auto"/>
            </w:tcBorders>
            <w:shd w:val="clear" w:color="auto" w:fill="auto"/>
            <w:noWrap/>
            <w:vAlign w:val="center"/>
            <w:hideMark/>
          </w:tcPr>
          <w:p w14:paraId="212DE2DA" w14:textId="77777777" w:rsidR="009A4C46" w:rsidRPr="009A4C46" w:rsidRDefault="009A4C46" w:rsidP="009A4C46">
            <w:pPr>
              <w:spacing w:after="0" w:line="240" w:lineRule="auto"/>
              <w:jc w:val="right"/>
              <w:rPr>
                <w:rFonts w:eastAsia="Times New Roman"/>
                <w:color w:val="000000"/>
                <w:lang w:eastAsia="ru-RU"/>
              </w:rPr>
            </w:pPr>
            <w:r w:rsidRPr="009A4C46">
              <w:rPr>
                <w:rFonts w:eastAsia="Times New Roman"/>
                <w:color w:val="000000"/>
                <w:lang w:eastAsia="ru-RU"/>
              </w:rPr>
              <w:t>419</w:t>
            </w:r>
          </w:p>
        </w:tc>
        <w:tc>
          <w:tcPr>
            <w:tcW w:w="856" w:type="pct"/>
            <w:tcBorders>
              <w:top w:val="nil"/>
              <w:left w:val="nil"/>
              <w:bottom w:val="single" w:sz="8" w:space="0" w:color="auto"/>
              <w:right w:val="single" w:sz="8" w:space="0" w:color="auto"/>
            </w:tcBorders>
            <w:shd w:val="clear" w:color="auto" w:fill="auto"/>
            <w:noWrap/>
            <w:vAlign w:val="center"/>
            <w:hideMark/>
          </w:tcPr>
          <w:p w14:paraId="7864949E" w14:textId="77777777" w:rsidR="009A4C46" w:rsidRPr="009A4C46" w:rsidRDefault="009A4C46" w:rsidP="009A4C46">
            <w:pPr>
              <w:spacing w:after="0" w:line="240" w:lineRule="auto"/>
              <w:jc w:val="right"/>
              <w:rPr>
                <w:rFonts w:eastAsia="Times New Roman"/>
                <w:color w:val="000000"/>
                <w:lang w:eastAsia="ru-RU"/>
              </w:rPr>
            </w:pPr>
            <w:r w:rsidRPr="009A4C46">
              <w:rPr>
                <w:rFonts w:eastAsia="Times New Roman"/>
                <w:color w:val="000000"/>
                <w:lang w:eastAsia="ru-RU"/>
              </w:rPr>
              <w:t>863</w:t>
            </w:r>
          </w:p>
        </w:tc>
      </w:tr>
      <w:tr w:rsidR="009A4C46" w:rsidRPr="009A4C46" w14:paraId="2CE7791A" w14:textId="77777777" w:rsidTr="00070F3E">
        <w:trPr>
          <w:trHeight w:val="20"/>
        </w:trPr>
        <w:tc>
          <w:tcPr>
            <w:tcW w:w="2527" w:type="pct"/>
            <w:tcBorders>
              <w:top w:val="nil"/>
              <w:left w:val="single" w:sz="8" w:space="0" w:color="auto"/>
              <w:bottom w:val="single" w:sz="8" w:space="0" w:color="auto"/>
              <w:right w:val="single" w:sz="8" w:space="0" w:color="auto"/>
            </w:tcBorders>
            <w:shd w:val="clear" w:color="auto" w:fill="auto"/>
            <w:noWrap/>
            <w:vAlign w:val="center"/>
            <w:hideMark/>
          </w:tcPr>
          <w:p w14:paraId="1ABA9137" w14:textId="77777777" w:rsidR="009A4C46" w:rsidRPr="009A4C46" w:rsidRDefault="009A4C46" w:rsidP="009A4C46">
            <w:pPr>
              <w:spacing w:after="0" w:line="240" w:lineRule="auto"/>
              <w:rPr>
                <w:rFonts w:eastAsia="Times New Roman"/>
                <w:color w:val="000000"/>
                <w:lang w:eastAsia="ru-RU"/>
              </w:rPr>
            </w:pPr>
            <w:r w:rsidRPr="009A4C46">
              <w:rPr>
                <w:rFonts w:eastAsia="Times New Roman"/>
                <w:color w:val="000000"/>
                <w:lang w:eastAsia="ru-RU"/>
              </w:rPr>
              <w:t>Категория 4.4</w:t>
            </w:r>
          </w:p>
        </w:tc>
        <w:tc>
          <w:tcPr>
            <w:tcW w:w="808" w:type="pct"/>
            <w:tcBorders>
              <w:top w:val="nil"/>
              <w:left w:val="nil"/>
              <w:bottom w:val="single" w:sz="8" w:space="0" w:color="auto"/>
              <w:right w:val="single" w:sz="8" w:space="0" w:color="auto"/>
            </w:tcBorders>
            <w:shd w:val="clear" w:color="auto" w:fill="auto"/>
            <w:noWrap/>
            <w:vAlign w:val="center"/>
            <w:hideMark/>
          </w:tcPr>
          <w:p w14:paraId="0261B277" w14:textId="77777777" w:rsidR="009A4C46" w:rsidRPr="009A4C46" w:rsidRDefault="009A4C46" w:rsidP="009A4C46">
            <w:pPr>
              <w:spacing w:after="0" w:line="240" w:lineRule="auto"/>
              <w:jc w:val="right"/>
              <w:rPr>
                <w:rFonts w:eastAsia="Times New Roman"/>
                <w:color w:val="000000"/>
                <w:lang w:eastAsia="ru-RU"/>
              </w:rPr>
            </w:pPr>
            <w:r w:rsidRPr="009A4C46">
              <w:rPr>
                <w:rFonts w:eastAsia="Times New Roman"/>
                <w:color w:val="000000"/>
                <w:lang w:eastAsia="ru-RU"/>
              </w:rPr>
              <w:t>10 439</w:t>
            </w:r>
          </w:p>
        </w:tc>
        <w:tc>
          <w:tcPr>
            <w:tcW w:w="808" w:type="pct"/>
            <w:tcBorders>
              <w:top w:val="nil"/>
              <w:left w:val="nil"/>
              <w:bottom w:val="single" w:sz="8" w:space="0" w:color="auto"/>
              <w:right w:val="single" w:sz="8" w:space="0" w:color="auto"/>
            </w:tcBorders>
            <w:shd w:val="clear" w:color="auto" w:fill="auto"/>
            <w:noWrap/>
            <w:vAlign w:val="center"/>
            <w:hideMark/>
          </w:tcPr>
          <w:p w14:paraId="79083DA5" w14:textId="77777777" w:rsidR="009A4C46" w:rsidRPr="009A4C46" w:rsidRDefault="009A4C46" w:rsidP="009A4C46">
            <w:pPr>
              <w:spacing w:after="0" w:line="240" w:lineRule="auto"/>
              <w:jc w:val="right"/>
              <w:rPr>
                <w:rFonts w:eastAsia="Times New Roman"/>
                <w:color w:val="000000"/>
                <w:lang w:eastAsia="ru-RU"/>
              </w:rPr>
            </w:pPr>
            <w:r w:rsidRPr="009A4C46">
              <w:rPr>
                <w:rFonts w:eastAsia="Times New Roman"/>
                <w:color w:val="000000"/>
                <w:lang w:eastAsia="ru-RU"/>
              </w:rPr>
              <w:t>9 054</w:t>
            </w:r>
          </w:p>
        </w:tc>
        <w:tc>
          <w:tcPr>
            <w:tcW w:w="856" w:type="pct"/>
            <w:tcBorders>
              <w:top w:val="nil"/>
              <w:left w:val="nil"/>
              <w:bottom w:val="single" w:sz="8" w:space="0" w:color="auto"/>
              <w:right w:val="single" w:sz="8" w:space="0" w:color="auto"/>
            </w:tcBorders>
            <w:shd w:val="clear" w:color="auto" w:fill="auto"/>
            <w:noWrap/>
            <w:vAlign w:val="center"/>
            <w:hideMark/>
          </w:tcPr>
          <w:p w14:paraId="4C31C88C" w14:textId="77777777" w:rsidR="009A4C46" w:rsidRPr="009A4C46" w:rsidRDefault="009A4C46" w:rsidP="009A4C46">
            <w:pPr>
              <w:spacing w:after="0" w:line="240" w:lineRule="auto"/>
              <w:jc w:val="right"/>
              <w:rPr>
                <w:rFonts w:eastAsia="Times New Roman"/>
                <w:color w:val="000000"/>
                <w:lang w:eastAsia="ru-RU"/>
              </w:rPr>
            </w:pPr>
            <w:r w:rsidRPr="009A4C46">
              <w:rPr>
                <w:rFonts w:eastAsia="Times New Roman"/>
                <w:color w:val="000000"/>
                <w:lang w:eastAsia="ru-RU"/>
              </w:rPr>
              <w:t>19 493</w:t>
            </w:r>
          </w:p>
        </w:tc>
      </w:tr>
      <w:tr w:rsidR="009A4C46" w:rsidRPr="009A4C46" w14:paraId="10BB4F37" w14:textId="77777777" w:rsidTr="00070F3E">
        <w:trPr>
          <w:trHeight w:val="20"/>
        </w:trPr>
        <w:tc>
          <w:tcPr>
            <w:tcW w:w="2527" w:type="pct"/>
            <w:tcBorders>
              <w:top w:val="nil"/>
              <w:left w:val="single" w:sz="8" w:space="0" w:color="auto"/>
              <w:bottom w:val="single" w:sz="8" w:space="0" w:color="auto"/>
              <w:right w:val="single" w:sz="8" w:space="0" w:color="auto"/>
            </w:tcBorders>
            <w:shd w:val="clear" w:color="auto" w:fill="auto"/>
            <w:noWrap/>
            <w:vAlign w:val="center"/>
          </w:tcPr>
          <w:p w14:paraId="471DB6E8" w14:textId="77777777" w:rsidR="009A4C46" w:rsidRPr="009A4C46" w:rsidRDefault="009A4C46" w:rsidP="009A4C46">
            <w:pPr>
              <w:spacing w:after="0" w:line="240" w:lineRule="auto"/>
              <w:rPr>
                <w:rFonts w:eastAsia="Times New Roman"/>
                <w:color w:val="000000"/>
                <w:lang w:val="en-US" w:eastAsia="ru-RU"/>
              </w:rPr>
            </w:pPr>
            <w:r w:rsidRPr="009A4C46">
              <w:rPr>
                <w:rFonts w:eastAsia="Times New Roman"/>
                <w:color w:val="000000"/>
                <w:lang w:eastAsia="ru-RU"/>
              </w:rPr>
              <w:t>Справочно</w:t>
            </w:r>
            <w:r w:rsidRPr="009A4C46">
              <w:rPr>
                <w:rFonts w:eastAsia="Times New Roman"/>
                <w:color w:val="000000"/>
                <w:lang w:val="en-US" w:eastAsia="ru-RU"/>
              </w:rPr>
              <w:t>:</w:t>
            </w:r>
          </w:p>
        </w:tc>
        <w:tc>
          <w:tcPr>
            <w:tcW w:w="808" w:type="pct"/>
            <w:tcBorders>
              <w:top w:val="nil"/>
              <w:left w:val="nil"/>
              <w:bottom w:val="single" w:sz="8" w:space="0" w:color="auto"/>
              <w:right w:val="single" w:sz="8" w:space="0" w:color="auto"/>
            </w:tcBorders>
            <w:shd w:val="clear" w:color="auto" w:fill="auto"/>
            <w:noWrap/>
            <w:vAlign w:val="center"/>
          </w:tcPr>
          <w:p w14:paraId="59FEC1AA" w14:textId="77777777" w:rsidR="009A4C46" w:rsidRPr="009A4C46" w:rsidRDefault="009A4C46" w:rsidP="009A4C46">
            <w:pPr>
              <w:spacing w:after="0" w:line="240" w:lineRule="auto"/>
              <w:jc w:val="right"/>
              <w:rPr>
                <w:rFonts w:eastAsia="Times New Roman"/>
                <w:color w:val="000000"/>
                <w:lang w:eastAsia="ru-RU"/>
              </w:rPr>
            </w:pPr>
          </w:p>
        </w:tc>
        <w:tc>
          <w:tcPr>
            <w:tcW w:w="808" w:type="pct"/>
            <w:tcBorders>
              <w:top w:val="nil"/>
              <w:left w:val="nil"/>
              <w:bottom w:val="single" w:sz="8" w:space="0" w:color="auto"/>
              <w:right w:val="single" w:sz="8" w:space="0" w:color="auto"/>
            </w:tcBorders>
            <w:shd w:val="clear" w:color="auto" w:fill="auto"/>
            <w:noWrap/>
            <w:vAlign w:val="center"/>
          </w:tcPr>
          <w:p w14:paraId="1D58795E" w14:textId="77777777" w:rsidR="009A4C46" w:rsidRPr="009A4C46" w:rsidRDefault="009A4C46" w:rsidP="009A4C46">
            <w:pPr>
              <w:spacing w:after="0" w:line="240" w:lineRule="auto"/>
              <w:jc w:val="right"/>
              <w:rPr>
                <w:rFonts w:eastAsia="Times New Roman"/>
                <w:color w:val="000000"/>
                <w:lang w:eastAsia="ru-RU"/>
              </w:rPr>
            </w:pPr>
          </w:p>
        </w:tc>
        <w:tc>
          <w:tcPr>
            <w:tcW w:w="856" w:type="pct"/>
            <w:tcBorders>
              <w:top w:val="nil"/>
              <w:left w:val="nil"/>
              <w:bottom w:val="single" w:sz="8" w:space="0" w:color="auto"/>
              <w:right w:val="single" w:sz="8" w:space="0" w:color="auto"/>
            </w:tcBorders>
            <w:shd w:val="clear" w:color="auto" w:fill="auto"/>
            <w:noWrap/>
            <w:vAlign w:val="center"/>
          </w:tcPr>
          <w:p w14:paraId="6634C01F" w14:textId="77777777" w:rsidR="009A4C46" w:rsidRPr="009A4C46" w:rsidRDefault="009A4C46" w:rsidP="009A4C46">
            <w:pPr>
              <w:spacing w:after="0" w:line="240" w:lineRule="auto"/>
              <w:jc w:val="right"/>
              <w:rPr>
                <w:rFonts w:eastAsia="Times New Roman"/>
                <w:color w:val="000000"/>
                <w:lang w:eastAsia="ru-RU"/>
              </w:rPr>
            </w:pPr>
          </w:p>
        </w:tc>
      </w:tr>
      <w:tr w:rsidR="009A4C46" w:rsidRPr="009A4C46" w14:paraId="289AA91C" w14:textId="77777777" w:rsidTr="00070F3E">
        <w:trPr>
          <w:trHeight w:val="20"/>
        </w:trPr>
        <w:tc>
          <w:tcPr>
            <w:tcW w:w="2527" w:type="pct"/>
            <w:tcBorders>
              <w:top w:val="nil"/>
              <w:left w:val="single" w:sz="8" w:space="0" w:color="auto"/>
              <w:bottom w:val="single" w:sz="8" w:space="0" w:color="auto"/>
              <w:right w:val="single" w:sz="8" w:space="0" w:color="auto"/>
            </w:tcBorders>
            <w:shd w:val="clear" w:color="auto" w:fill="auto"/>
            <w:noWrap/>
            <w:vAlign w:val="center"/>
          </w:tcPr>
          <w:p w14:paraId="7CDA9E4F" w14:textId="77777777" w:rsidR="009A4C46" w:rsidRPr="009A4C46" w:rsidRDefault="009A4C46" w:rsidP="009A4C46">
            <w:pPr>
              <w:spacing w:after="0" w:line="240" w:lineRule="auto"/>
              <w:rPr>
                <w:rFonts w:eastAsia="Times New Roman"/>
                <w:color w:val="000000"/>
                <w:lang w:eastAsia="ru-RU"/>
              </w:rPr>
            </w:pPr>
            <w:r w:rsidRPr="009A4C46">
              <w:rPr>
                <w:rFonts w:eastAsia="Times New Roman"/>
                <w:b/>
                <w:bCs/>
                <w:color w:val="000000"/>
                <w:lang w:eastAsia="ru-RU"/>
              </w:rPr>
              <w:t>Плановая выручка – всего по двухставочным тарифам, в т.ч.</w:t>
            </w:r>
          </w:p>
        </w:tc>
        <w:tc>
          <w:tcPr>
            <w:tcW w:w="808" w:type="pct"/>
            <w:tcBorders>
              <w:top w:val="nil"/>
              <w:left w:val="nil"/>
              <w:bottom w:val="single" w:sz="8" w:space="0" w:color="auto"/>
              <w:right w:val="single" w:sz="8" w:space="0" w:color="auto"/>
            </w:tcBorders>
            <w:shd w:val="clear" w:color="auto" w:fill="auto"/>
            <w:noWrap/>
            <w:vAlign w:val="center"/>
          </w:tcPr>
          <w:p w14:paraId="69F838C7" w14:textId="77777777" w:rsidR="009A4C46" w:rsidRPr="009A4C46" w:rsidRDefault="009A4C46" w:rsidP="009A4C46">
            <w:pPr>
              <w:spacing w:after="0" w:line="240" w:lineRule="auto"/>
              <w:jc w:val="right"/>
              <w:rPr>
                <w:rFonts w:eastAsia="Times New Roman"/>
                <w:color w:val="000000"/>
                <w:lang w:eastAsia="ru-RU"/>
              </w:rPr>
            </w:pPr>
            <w:r w:rsidRPr="009A4C46">
              <w:rPr>
                <w:rFonts w:eastAsia="Times New Roman"/>
                <w:b/>
                <w:bCs/>
                <w:color w:val="000000"/>
                <w:lang w:eastAsia="ru-RU"/>
              </w:rPr>
              <w:t>377 118</w:t>
            </w:r>
          </w:p>
        </w:tc>
        <w:tc>
          <w:tcPr>
            <w:tcW w:w="808" w:type="pct"/>
            <w:tcBorders>
              <w:top w:val="nil"/>
              <w:left w:val="nil"/>
              <w:bottom w:val="single" w:sz="8" w:space="0" w:color="auto"/>
              <w:right w:val="single" w:sz="8" w:space="0" w:color="auto"/>
            </w:tcBorders>
            <w:shd w:val="clear" w:color="auto" w:fill="auto"/>
            <w:noWrap/>
            <w:vAlign w:val="center"/>
          </w:tcPr>
          <w:p w14:paraId="72A722B3" w14:textId="77777777" w:rsidR="009A4C46" w:rsidRPr="009A4C46" w:rsidRDefault="009A4C46" w:rsidP="009A4C46">
            <w:pPr>
              <w:spacing w:after="0" w:line="240" w:lineRule="auto"/>
              <w:jc w:val="right"/>
              <w:rPr>
                <w:rFonts w:eastAsia="Times New Roman"/>
                <w:color w:val="000000"/>
                <w:lang w:eastAsia="ru-RU"/>
              </w:rPr>
            </w:pPr>
            <w:r w:rsidRPr="009A4C46">
              <w:rPr>
                <w:rFonts w:eastAsia="Times New Roman"/>
                <w:b/>
                <w:bCs/>
                <w:color w:val="000000"/>
                <w:lang w:eastAsia="ru-RU"/>
              </w:rPr>
              <w:t>486 334</w:t>
            </w:r>
          </w:p>
        </w:tc>
        <w:tc>
          <w:tcPr>
            <w:tcW w:w="856" w:type="pct"/>
            <w:tcBorders>
              <w:top w:val="nil"/>
              <w:left w:val="nil"/>
              <w:bottom w:val="single" w:sz="8" w:space="0" w:color="auto"/>
              <w:right w:val="single" w:sz="8" w:space="0" w:color="auto"/>
            </w:tcBorders>
            <w:shd w:val="clear" w:color="auto" w:fill="auto"/>
            <w:noWrap/>
            <w:vAlign w:val="center"/>
          </w:tcPr>
          <w:p w14:paraId="10EB2943" w14:textId="77777777" w:rsidR="009A4C46" w:rsidRPr="009A4C46" w:rsidRDefault="009A4C46" w:rsidP="009A4C46">
            <w:pPr>
              <w:spacing w:after="0" w:line="240" w:lineRule="auto"/>
              <w:jc w:val="right"/>
              <w:rPr>
                <w:rFonts w:eastAsia="Times New Roman"/>
                <w:color w:val="000000"/>
                <w:lang w:eastAsia="ru-RU"/>
              </w:rPr>
            </w:pPr>
            <w:r w:rsidRPr="009A4C46">
              <w:rPr>
                <w:rFonts w:eastAsia="Times New Roman"/>
                <w:b/>
                <w:bCs/>
                <w:color w:val="000000"/>
                <w:lang w:eastAsia="ru-RU"/>
              </w:rPr>
              <w:t>863 452</w:t>
            </w:r>
          </w:p>
        </w:tc>
      </w:tr>
      <w:tr w:rsidR="009A4C46" w:rsidRPr="009A4C46" w14:paraId="00B220A3" w14:textId="77777777" w:rsidTr="00070F3E">
        <w:trPr>
          <w:trHeight w:val="20"/>
        </w:trPr>
        <w:tc>
          <w:tcPr>
            <w:tcW w:w="2527" w:type="pct"/>
            <w:tcBorders>
              <w:top w:val="nil"/>
              <w:left w:val="single" w:sz="8" w:space="0" w:color="auto"/>
              <w:bottom w:val="single" w:sz="8" w:space="0" w:color="auto"/>
              <w:right w:val="single" w:sz="8" w:space="0" w:color="auto"/>
            </w:tcBorders>
            <w:shd w:val="clear" w:color="auto" w:fill="auto"/>
            <w:vAlign w:val="center"/>
            <w:hideMark/>
          </w:tcPr>
          <w:p w14:paraId="505672BC" w14:textId="77777777" w:rsidR="009A4C46" w:rsidRPr="009A4C46" w:rsidRDefault="009A4C46" w:rsidP="009A4C46">
            <w:pPr>
              <w:spacing w:after="0" w:line="240" w:lineRule="auto"/>
              <w:rPr>
                <w:rFonts w:eastAsia="Times New Roman"/>
                <w:b/>
                <w:bCs/>
                <w:color w:val="000000"/>
                <w:lang w:eastAsia="ru-RU"/>
              </w:rPr>
            </w:pPr>
            <w:r w:rsidRPr="009A4C46">
              <w:rPr>
                <w:rFonts w:eastAsia="Times New Roman"/>
                <w:b/>
                <w:bCs/>
                <w:color w:val="000000"/>
                <w:lang w:eastAsia="ru-RU"/>
              </w:rPr>
              <w:t>на содержание</w:t>
            </w:r>
          </w:p>
        </w:tc>
        <w:tc>
          <w:tcPr>
            <w:tcW w:w="808" w:type="pct"/>
            <w:tcBorders>
              <w:top w:val="nil"/>
              <w:left w:val="nil"/>
              <w:bottom w:val="single" w:sz="8" w:space="0" w:color="auto"/>
              <w:right w:val="single" w:sz="8" w:space="0" w:color="auto"/>
            </w:tcBorders>
            <w:shd w:val="clear" w:color="auto" w:fill="auto"/>
            <w:noWrap/>
            <w:vAlign w:val="center"/>
            <w:hideMark/>
          </w:tcPr>
          <w:p w14:paraId="1F7C6ECA" w14:textId="77777777" w:rsidR="009A4C46" w:rsidRPr="009A4C46" w:rsidRDefault="009A4C46" w:rsidP="009A4C46">
            <w:pPr>
              <w:spacing w:after="0" w:line="240" w:lineRule="auto"/>
              <w:jc w:val="right"/>
              <w:rPr>
                <w:rFonts w:eastAsia="Times New Roman"/>
                <w:b/>
                <w:bCs/>
                <w:color w:val="000000"/>
                <w:lang w:eastAsia="ru-RU"/>
              </w:rPr>
            </w:pPr>
            <w:r w:rsidRPr="009A4C46">
              <w:rPr>
                <w:rFonts w:eastAsia="Times New Roman"/>
                <w:b/>
                <w:bCs/>
                <w:color w:val="000000"/>
                <w:lang w:eastAsia="ru-RU"/>
              </w:rPr>
              <w:t>363 843</w:t>
            </w:r>
          </w:p>
        </w:tc>
        <w:tc>
          <w:tcPr>
            <w:tcW w:w="808" w:type="pct"/>
            <w:tcBorders>
              <w:top w:val="nil"/>
              <w:left w:val="nil"/>
              <w:bottom w:val="single" w:sz="8" w:space="0" w:color="auto"/>
              <w:right w:val="single" w:sz="8" w:space="0" w:color="auto"/>
            </w:tcBorders>
            <w:shd w:val="clear" w:color="auto" w:fill="auto"/>
            <w:noWrap/>
            <w:vAlign w:val="center"/>
            <w:hideMark/>
          </w:tcPr>
          <w:p w14:paraId="03B302B8" w14:textId="77777777" w:rsidR="009A4C46" w:rsidRPr="009A4C46" w:rsidRDefault="009A4C46" w:rsidP="009A4C46">
            <w:pPr>
              <w:spacing w:after="0" w:line="240" w:lineRule="auto"/>
              <w:jc w:val="right"/>
              <w:rPr>
                <w:rFonts w:eastAsia="Times New Roman"/>
                <w:b/>
                <w:bCs/>
                <w:color w:val="000000"/>
                <w:lang w:eastAsia="ru-RU"/>
              </w:rPr>
            </w:pPr>
            <w:r w:rsidRPr="009A4C46">
              <w:rPr>
                <w:rFonts w:eastAsia="Times New Roman"/>
                <w:b/>
                <w:bCs/>
                <w:color w:val="000000"/>
                <w:lang w:eastAsia="ru-RU"/>
              </w:rPr>
              <w:t>465 524</w:t>
            </w:r>
          </w:p>
        </w:tc>
        <w:tc>
          <w:tcPr>
            <w:tcW w:w="856" w:type="pct"/>
            <w:tcBorders>
              <w:top w:val="nil"/>
              <w:left w:val="nil"/>
              <w:bottom w:val="single" w:sz="8" w:space="0" w:color="auto"/>
              <w:right w:val="single" w:sz="8" w:space="0" w:color="auto"/>
            </w:tcBorders>
            <w:shd w:val="clear" w:color="auto" w:fill="auto"/>
            <w:noWrap/>
            <w:vAlign w:val="center"/>
            <w:hideMark/>
          </w:tcPr>
          <w:p w14:paraId="057BFD54" w14:textId="77777777" w:rsidR="009A4C46" w:rsidRPr="009A4C46" w:rsidRDefault="009A4C46" w:rsidP="009A4C46">
            <w:pPr>
              <w:spacing w:after="0" w:line="240" w:lineRule="auto"/>
              <w:jc w:val="right"/>
              <w:rPr>
                <w:rFonts w:eastAsia="Times New Roman"/>
                <w:b/>
                <w:bCs/>
                <w:color w:val="000000"/>
                <w:lang w:eastAsia="ru-RU"/>
              </w:rPr>
            </w:pPr>
            <w:r w:rsidRPr="009A4C46">
              <w:rPr>
                <w:rFonts w:eastAsia="Times New Roman"/>
                <w:b/>
                <w:bCs/>
                <w:color w:val="000000"/>
                <w:lang w:eastAsia="ru-RU"/>
              </w:rPr>
              <w:t>829 367</w:t>
            </w:r>
          </w:p>
        </w:tc>
      </w:tr>
      <w:tr w:rsidR="009A4C46" w:rsidRPr="009A4C46" w14:paraId="24A2F359" w14:textId="77777777" w:rsidTr="00070F3E">
        <w:trPr>
          <w:trHeight w:val="20"/>
        </w:trPr>
        <w:tc>
          <w:tcPr>
            <w:tcW w:w="2527" w:type="pct"/>
            <w:tcBorders>
              <w:top w:val="nil"/>
              <w:left w:val="single" w:sz="8" w:space="0" w:color="auto"/>
              <w:bottom w:val="single" w:sz="8" w:space="0" w:color="auto"/>
              <w:right w:val="single" w:sz="8" w:space="0" w:color="auto"/>
            </w:tcBorders>
            <w:shd w:val="clear" w:color="auto" w:fill="auto"/>
            <w:noWrap/>
            <w:vAlign w:val="center"/>
            <w:hideMark/>
          </w:tcPr>
          <w:p w14:paraId="4C9ACBA1" w14:textId="77777777" w:rsidR="009A4C46" w:rsidRPr="009A4C46" w:rsidRDefault="009A4C46" w:rsidP="009A4C46">
            <w:pPr>
              <w:spacing w:after="0" w:line="240" w:lineRule="auto"/>
              <w:rPr>
                <w:rFonts w:eastAsia="Times New Roman"/>
                <w:color w:val="000000"/>
                <w:lang w:eastAsia="ru-RU"/>
              </w:rPr>
            </w:pPr>
            <w:r w:rsidRPr="009A4C46">
              <w:rPr>
                <w:rFonts w:eastAsia="Times New Roman"/>
                <w:color w:val="000000"/>
                <w:lang w:eastAsia="ru-RU"/>
              </w:rPr>
              <w:t>ВН</w:t>
            </w:r>
          </w:p>
        </w:tc>
        <w:tc>
          <w:tcPr>
            <w:tcW w:w="808" w:type="pct"/>
            <w:tcBorders>
              <w:top w:val="nil"/>
              <w:left w:val="nil"/>
              <w:bottom w:val="single" w:sz="8" w:space="0" w:color="auto"/>
              <w:right w:val="single" w:sz="8" w:space="0" w:color="auto"/>
            </w:tcBorders>
            <w:shd w:val="clear" w:color="auto" w:fill="auto"/>
            <w:noWrap/>
            <w:vAlign w:val="center"/>
            <w:hideMark/>
          </w:tcPr>
          <w:p w14:paraId="6982C517" w14:textId="77777777" w:rsidR="009A4C46" w:rsidRPr="009A4C46" w:rsidRDefault="009A4C46" w:rsidP="009A4C46">
            <w:pPr>
              <w:spacing w:after="0" w:line="240" w:lineRule="auto"/>
              <w:jc w:val="right"/>
              <w:rPr>
                <w:rFonts w:eastAsia="Times New Roman"/>
                <w:color w:val="000000"/>
                <w:lang w:eastAsia="ru-RU"/>
              </w:rPr>
            </w:pPr>
            <w:r w:rsidRPr="009A4C46">
              <w:rPr>
                <w:rFonts w:eastAsia="Times New Roman"/>
                <w:color w:val="000000"/>
                <w:lang w:eastAsia="ru-RU"/>
              </w:rPr>
              <w:t>146 797</w:t>
            </w:r>
          </w:p>
        </w:tc>
        <w:tc>
          <w:tcPr>
            <w:tcW w:w="808" w:type="pct"/>
            <w:tcBorders>
              <w:top w:val="nil"/>
              <w:left w:val="nil"/>
              <w:bottom w:val="single" w:sz="8" w:space="0" w:color="auto"/>
              <w:right w:val="single" w:sz="8" w:space="0" w:color="auto"/>
            </w:tcBorders>
            <w:shd w:val="clear" w:color="auto" w:fill="auto"/>
            <w:noWrap/>
            <w:vAlign w:val="center"/>
            <w:hideMark/>
          </w:tcPr>
          <w:p w14:paraId="58CFF459" w14:textId="77777777" w:rsidR="009A4C46" w:rsidRPr="009A4C46" w:rsidRDefault="009A4C46" w:rsidP="009A4C46">
            <w:pPr>
              <w:spacing w:after="0" w:line="240" w:lineRule="auto"/>
              <w:jc w:val="right"/>
              <w:rPr>
                <w:rFonts w:eastAsia="Times New Roman"/>
                <w:color w:val="000000"/>
                <w:lang w:eastAsia="ru-RU"/>
              </w:rPr>
            </w:pPr>
            <w:r w:rsidRPr="009A4C46">
              <w:rPr>
                <w:rFonts w:eastAsia="Times New Roman"/>
                <w:color w:val="000000"/>
                <w:lang w:eastAsia="ru-RU"/>
              </w:rPr>
              <w:t>148 684</w:t>
            </w:r>
          </w:p>
        </w:tc>
        <w:tc>
          <w:tcPr>
            <w:tcW w:w="856" w:type="pct"/>
            <w:tcBorders>
              <w:top w:val="nil"/>
              <w:left w:val="nil"/>
              <w:bottom w:val="single" w:sz="8" w:space="0" w:color="auto"/>
              <w:right w:val="single" w:sz="8" w:space="0" w:color="auto"/>
            </w:tcBorders>
            <w:shd w:val="clear" w:color="auto" w:fill="auto"/>
            <w:noWrap/>
            <w:vAlign w:val="center"/>
            <w:hideMark/>
          </w:tcPr>
          <w:p w14:paraId="3CDDD0E0" w14:textId="77777777" w:rsidR="009A4C46" w:rsidRPr="009A4C46" w:rsidRDefault="009A4C46" w:rsidP="009A4C46">
            <w:pPr>
              <w:spacing w:after="0" w:line="240" w:lineRule="auto"/>
              <w:jc w:val="right"/>
              <w:rPr>
                <w:rFonts w:eastAsia="Times New Roman"/>
                <w:color w:val="000000"/>
                <w:lang w:eastAsia="ru-RU"/>
              </w:rPr>
            </w:pPr>
            <w:r w:rsidRPr="009A4C46">
              <w:rPr>
                <w:rFonts w:eastAsia="Times New Roman"/>
                <w:color w:val="000000"/>
                <w:lang w:eastAsia="ru-RU"/>
              </w:rPr>
              <w:t>295 481</w:t>
            </w:r>
          </w:p>
        </w:tc>
      </w:tr>
      <w:tr w:rsidR="009A4C46" w:rsidRPr="009A4C46" w14:paraId="7D2B79BE" w14:textId="77777777" w:rsidTr="00070F3E">
        <w:trPr>
          <w:trHeight w:val="20"/>
        </w:trPr>
        <w:tc>
          <w:tcPr>
            <w:tcW w:w="2527" w:type="pct"/>
            <w:tcBorders>
              <w:top w:val="nil"/>
              <w:left w:val="single" w:sz="8" w:space="0" w:color="auto"/>
              <w:bottom w:val="single" w:sz="8" w:space="0" w:color="auto"/>
              <w:right w:val="single" w:sz="8" w:space="0" w:color="auto"/>
            </w:tcBorders>
            <w:shd w:val="clear" w:color="auto" w:fill="auto"/>
            <w:noWrap/>
            <w:vAlign w:val="center"/>
            <w:hideMark/>
          </w:tcPr>
          <w:p w14:paraId="1A5E6C3C" w14:textId="77777777" w:rsidR="009A4C46" w:rsidRPr="009A4C46" w:rsidRDefault="009A4C46" w:rsidP="009A4C46">
            <w:pPr>
              <w:spacing w:after="0" w:line="240" w:lineRule="auto"/>
              <w:rPr>
                <w:rFonts w:eastAsia="Times New Roman"/>
                <w:color w:val="000000"/>
                <w:lang w:eastAsia="ru-RU"/>
              </w:rPr>
            </w:pPr>
            <w:r w:rsidRPr="009A4C46">
              <w:rPr>
                <w:rFonts w:eastAsia="Times New Roman"/>
                <w:color w:val="000000"/>
                <w:lang w:eastAsia="ru-RU"/>
              </w:rPr>
              <w:t>СН1</w:t>
            </w:r>
          </w:p>
        </w:tc>
        <w:tc>
          <w:tcPr>
            <w:tcW w:w="808" w:type="pct"/>
            <w:tcBorders>
              <w:top w:val="nil"/>
              <w:left w:val="nil"/>
              <w:bottom w:val="single" w:sz="8" w:space="0" w:color="auto"/>
              <w:right w:val="single" w:sz="8" w:space="0" w:color="auto"/>
            </w:tcBorders>
            <w:shd w:val="clear" w:color="auto" w:fill="auto"/>
            <w:noWrap/>
            <w:vAlign w:val="center"/>
            <w:hideMark/>
          </w:tcPr>
          <w:p w14:paraId="336AF78A" w14:textId="77777777" w:rsidR="009A4C46" w:rsidRPr="009A4C46" w:rsidRDefault="009A4C46" w:rsidP="009A4C46">
            <w:pPr>
              <w:spacing w:after="0" w:line="240" w:lineRule="auto"/>
              <w:jc w:val="right"/>
              <w:rPr>
                <w:rFonts w:eastAsia="Times New Roman"/>
                <w:color w:val="000000"/>
                <w:lang w:eastAsia="ru-RU"/>
              </w:rPr>
            </w:pPr>
            <w:r w:rsidRPr="009A4C46">
              <w:rPr>
                <w:rFonts w:eastAsia="Times New Roman"/>
                <w:color w:val="000000"/>
                <w:lang w:eastAsia="ru-RU"/>
              </w:rPr>
              <w:t>26 267</w:t>
            </w:r>
          </w:p>
        </w:tc>
        <w:tc>
          <w:tcPr>
            <w:tcW w:w="808" w:type="pct"/>
            <w:tcBorders>
              <w:top w:val="nil"/>
              <w:left w:val="nil"/>
              <w:bottom w:val="single" w:sz="8" w:space="0" w:color="auto"/>
              <w:right w:val="single" w:sz="8" w:space="0" w:color="auto"/>
            </w:tcBorders>
            <w:shd w:val="clear" w:color="auto" w:fill="auto"/>
            <w:noWrap/>
            <w:vAlign w:val="center"/>
            <w:hideMark/>
          </w:tcPr>
          <w:p w14:paraId="29A73663" w14:textId="77777777" w:rsidR="009A4C46" w:rsidRPr="009A4C46" w:rsidRDefault="009A4C46" w:rsidP="009A4C46">
            <w:pPr>
              <w:spacing w:after="0" w:line="240" w:lineRule="auto"/>
              <w:jc w:val="right"/>
              <w:rPr>
                <w:rFonts w:eastAsia="Times New Roman"/>
                <w:color w:val="000000"/>
                <w:lang w:eastAsia="ru-RU"/>
              </w:rPr>
            </w:pPr>
            <w:r w:rsidRPr="009A4C46">
              <w:rPr>
                <w:rFonts w:eastAsia="Times New Roman"/>
                <w:color w:val="000000"/>
                <w:lang w:eastAsia="ru-RU"/>
              </w:rPr>
              <w:t>4 676</w:t>
            </w:r>
          </w:p>
        </w:tc>
        <w:tc>
          <w:tcPr>
            <w:tcW w:w="856" w:type="pct"/>
            <w:tcBorders>
              <w:top w:val="nil"/>
              <w:left w:val="nil"/>
              <w:bottom w:val="single" w:sz="8" w:space="0" w:color="auto"/>
              <w:right w:val="single" w:sz="8" w:space="0" w:color="auto"/>
            </w:tcBorders>
            <w:shd w:val="clear" w:color="auto" w:fill="auto"/>
            <w:noWrap/>
            <w:vAlign w:val="center"/>
            <w:hideMark/>
          </w:tcPr>
          <w:p w14:paraId="0EDE31DC" w14:textId="77777777" w:rsidR="009A4C46" w:rsidRPr="009A4C46" w:rsidRDefault="009A4C46" w:rsidP="009A4C46">
            <w:pPr>
              <w:spacing w:after="0" w:line="240" w:lineRule="auto"/>
              <w:jc w:val="right"/>
              <w:rPr>
                <w:rFonts w:eastAsia="Times New Roman"/>
                <w:color w:val="000000"/>
                <w:lang w:eastAsia="ru-RU"/>
              </w:rPr>
            </w:pPr>
            <w:r w:rsidRPr="009A4C46">
              <w:rPr>
                <w:rFonts w:eastAsia="Times New Roman"/>
                <w:color w:val="000000"/>
                <w:lang w:eastAsia="ru-RU"/>
              </w:rPr>
              <w:t>30 943</w:t>
            </w:r>
          </w:p>
        </w:tc>
      </w:tr>
      <w:tr w:rsidR="009A4C46" w:rsidRPr="009A4C46" w14:paraId="7D8A07D2" w14:textId="77777777" w:rsidTr="00070F3E">
        <w:trPr>
          <w:trHeight w:val="20"/>
        </w:trPr>
        <w:tc>
          <w:tcPr>
            <w:tcW w:w="2527" w:type="pct"/>
            <w:tcBorders>
              <w:top w:val="nil"/>
              <w:left w:val="single" w:sz="8" w:space="0" w:color="auto"/>
              <w:bottom w:val="single" w:sz="8" w:space="0" w:color="auto"/>
              <w:right w:val="single" w:sz="8" w:space="0" w:color="auto"/>
            </w:tcBorders>
            <w:shd w:val="clear" w:color="auto" w:fill="auto"/>
            <w:noWrap/>
            <w:vAlign w:val="center"/>
            <w:hideMark/>
          </w:tcPr>
          <w:p w14:paraId="07EA7067" w14:textId="77777777" w:rsidR="009A4C46" w:rsidRPr="009A4C46" w:rsidRDefault="009A4C46" w:rsidP="009A4C46">
            <w:pPr>
              <w:spacing w:after="0" w:line="240" w:lineRule="auto"/>
              <w:rPr>
                <w:rFonts w:eastAsia="Times New Roman"/>
                <w:color w:val="000000"/>
                <w:lang w:eastAsia="ru-RU"/>
              </w:rPr>
            </w:pPr>
            <w:r w:rsidRPr="009A4C46">
              <w:rPr>
                <w:rFonts w:eastAsia="Times New Roman"/>
                <w:color w:val="000000"/>
                <w:lang w:eastAsia="ru-RU"/>
              </w:rPr>
              <w:t>СН2</w:t>
            </w:r>
          </w:p>
        </w:tc>
        <w:tc>
          <w:tcPr>
            <w:tcW w:w="808" w:type="pct"/>
            <w:tcBorders>
              <w:top w:val="nil"/>
              <w:left w:val="nil"/>
              <w:bottom w:val="single" w:sz="8" w:space="0" w:color="auto"/>
              <w:right w:val="single" w:sz="8" w:space="0" w:color="auto"/>
            </w:tcBorders>
            <w:shd w:val="clear" w:color="auto" w:fill="auto"/>
            <w:noWrap/>
            <w:vAlign w:val="center"/>
            <w:hideMark/>
          </w:tcPr>
          <w:p w14:paraId="47E6D4FE" w14:textId="77777777" w:rsidR="009A4C46" w:rsidRPr="009A4C46" w:rsidRDefault="009A4C46" w:rsidP="009A4C46">
            <w:pPr>
              <w:spacing w:after="0" w:line="240" w:lineRule="auto"/>
              <w:jc w:val="right"/>
              <w:rPr>
                <w:rFonts w:eastAsia="Times New Roman"/>
                <w:color w:val="000000"/>
                <w:lang w:eastAsia="ru-RU"/>
              </w:rPr>
            </w:pPr>
            <w:r w:rsidRPr="009A4C46">
              <w:rPr>
                <w:rFonts w:eastAsia="Times New Roman"/>
                <w:color w:val="000000"/>
                <w:lang w:eastAsia="ru-RU"/>
              </w:rPr>
              <w:t>87 741</w:t>
            </w:r>
          </w:p>
        </w:tc>
        <w:tc>
          <w:tcPr>
            <w:tcW w:w="808" w:type="pct"/>
            <w:tcBorders>
              <w:top w:val="nil"/>
              <w:left w:val="nil"/>
              <w:bottom w:val="single" w:sz="8" w:space="0" w:color="auto"/>
              <w:right w:val="single" w:sz="8" w:space="0" w:color="auto"/>
            </w:tcBorders>
            <w:shd w:val="clear" w:color="auto" w:fill="auto"/>
            <w:noWrap/>
            <w:vAlign w:val="center"/>
            <w:hideMark/>
          </w:tcPr>
          <w:p w14:paraId="7D85E93D" w14:textId="77777777" w:rsidR="009A4C46" w:rsidRPr="009A4C46" w:rsidRDefault="009A4C46" w:rsidP="009A4C46">
            <w:pPr>
              <w:spacing w:after="0" w:line="240" w:lineRule="auto"/>
              <w:jc w:val="right"/>
              <w:rPr>
                <w:rFonts w:eastAsia="Times New Roman"/>
                <w:color w:val="000000"/>
                <w:lang w:eastAsia="ru-RU"/>
              </w:rPr>
            </w:pPr>
            <w:r w:rsidRPr="009A4C46">
              <w:rPr>
                <w:rFonts w:eastAsia="Times New Roman"/>
                <w:color w:val="000000"/>
                <w:lang w:eastAsia="ru-RU"/>
              </w:rPr>
              <w:t>116 222</w:t>
            </w:r>
          </w:p>
        </w:tc>
        <w:tc>
          <w:tcPr>
            <w:tcW w:w="856" w:type="pct"/>
            <w:tcBorders>
              <w:top w:val="nil"/>
              <w:left w:val="nil"/>
              <w:bottom w:val="single" w:sz="8" w:space="0" w:color="auto"/>
              <w:right w:val="single" w:sz="8" w:space="0" w:color="auto"/>
            </w:tcBorders>
            <w:shd w:val="clear" w:color="auto" w:fill="auto"/>
            <w:noWrap/>
            <w:vAlign w:val="center"/>
            <w:hideMark/>
          </w:tcPr>
          <w:p w14:paraId="1551C89E" w14:textId="77777777" w:rsidR="009A4C46" w:rsidRPr="009A4C46" w:rsidRDefault="009A4C46" w:rsidP="009A4C46">
            <w:pPr>
              <w:spacing w:after="0" w:line="240" w:lineRule="auto"/>
              <w:jc w:val="right"/>
              <w:rPr>
                <w:rFonts w:eastAsia="Times New Roman"/>
                <w:color w:val="000000"/>
                <w:lang w:eastAsia="ru-RU"/>
              </w:rPr>
            </w:pPr>
            <w:r w:rsidRPr="009A4C46">
              <w:rPr>
                <w:rFonts w:eastAsia="Times New Roman"/>
                <w:color w:val="000000"/>
                <w:lang w:eastAsia="ru-RU"/>
              </w:rPr>
              <w:t>203 963</w:t>
            </w:r>
          </w:p>
        </w:tc>
      </w:tr>
      <w:tr w:rsidR="009A4C46" w:rsidRPr="009A4C46" w14:paraId="675303B0" w14:textId="77777777" w:rsidTr="00070F3E">
        <w:trPr>
          <w:trHeight w:val="20"/>
        </w:trPr>
        <w:tc>
          <w:tcPr>
            <w:tcW w:w="2527" w:type="pct"/>
            <w:tcBorders>
              <w:top w:val="nil"/>
              <w:left w:val="single" w:sz="8" w:space="0" w:color="auto"/>
              <w:bottom w:val="single" w:sz="8" w:space="0" w:color="auto"/>
              <w:right w:val="single" w:sz="8" w:space="0" w:color="auto"/>
            </w:tcBorders>
            <w:shd w:val="clear" w:color="auto" w:fill="auto"/>
            <w:noWrap/>
            <w:vAlign w:val="center"/>
            <w:hideMark/>
          </w:tcPr>
          <w:p w14:paraId="335B0CDC" w14:textId="77777777" w:rsidR="009A4C46" w:rsidRPr="009A4C46" w:rsidRDefault="009A4C46" w:rsidP="009A4C46">
            <w:pPr>
              <w:spacing w:after="0" w:line="240" w:lineRule="auto"/>
              <w:rPr>
                <w:rFonts w:eastAsia="Times New Roman"/>
                <w:color w:val="000000"/>
                <w:lang w:eastAsia="ru-RU"/>
              </w:rPr>
            </w:pPr>
            <w:r w:rsidRPr="009A4C46">
              <w:rPr>
                <w:rFonts w:eastAsia="Times New Roman"/>
                <w:color w:val="000000"/>
                <w:lang w:eastAsia="ru-RU"/>
              </w:rPr>
              <w:t>НН</w:t>
            </w:r>
          </w:p>
        </w:tc>
        <w:tc>
          <w:tcPr>
            <w:tcW w:w="808" w:type="pct"/>
            <w:tcBorders>
              <w:top w:val="nil"/>
              <w:left w:val="nil"/>
              <w:bottom w:val="single" w:sz="8" w:space="0" w:color="auto"/>
              <w:right w:val="single" w:sz="8" w:space="0" w:color="auto"/>
            </w:tcBorders>
            <w:shd w:val="clear" w:color="auto" w:fill="auto"/>
            <w:noWrap/>
            <w:vAlign w:val="center"/>
            <w:hideMark/>
          </w:tcPr>
          <w:p w14:paraId="47091A48" w14:textId="77777777" w:rsidR="009A4C46" w:rsidRPr="009A4C46" w:rsidRDefault="009A4C46" w:rsidP="009A4C46">
            <w:pPr>
              <w:spacing w:after="0" w:line="240" w:lineRule="auto"/>
              <w:jc w:val="right"/>
              <w:rPr>
                <w:rFonts w:eastAsia="Times New Roman"/>
                <w:color w:val="000000"/>
                <w:lang w:eastAsia="ru-RU"/>
              </w:rPr>
            </w:pPr>
            <w:r w:rsidRPr="009A4C46">
              <w:rPr>
                <w:rFonts w:eastAsia="Times New Roman"/>
                <w:color w:val="000000"/>
                <w:lang w:eastAsia="ru-RU"/>
              </w:rPr>
              <w:t>103 038</w:t>
            </w:r>
          </w:p>
        </w:tc>
        <w:tc>
          <w:tcPr>
            <w:tcW w:w="808" w:type="pct"/>
            <w:tcBorders>
              <w:top w:val="nil"/>
              <w:left w:val="nil"/>
              <w:bottom w:val="single" w:sz="8" w:space="0" w:color="auto"/>
              <w:right w:val="single" w:sz="8" w:space="0" w:color="auto"/>
            </w:tcBorders>
            <w:shd w:val="clear" w:color="auto" w:fill="auto"/>
            <w:noWrap/>
            <w:vAlign w:val="center"/>
            <w:hideMark/>
          </w:tcPr>
          <w:p w14:paraId="43420523" w14:textId="77777777" w:rsidR="009A4C46" w:rsidRPr="009A4C46" w:rsidRDefault="009A4C46" w:rsidP="009A4C46">
            <w:pPr>
              <w:spacing w:after="0" w:line="240" w:lineRule="auto"/>
              <w:jc w:val="right"/>
              <w:rPr>
                <w:rFonts w:eastAsia="Times New Roman"/>
                <w:color w:val="000000"/>
                <w:lang w:eastAsia="ru-RU"/>
              </w:rPr>
            </w:pPr>
            <w:r w:rsidRPr="009A4C46">
              <w:rPr>
                <w:rFonts w:eastAsia="Times New Roman"/>
                <w:color w:val="000000"/>
                <w:lang w:eastAsia="ru-RU"/>
              </w:rPr>
              <w:t>195 942</w:t>
            </w:r>
          </w:p>
        </w:tc>
        <w:tc>
          <w:tcPr>
            <w:tcW w:w="856" w:type="pct"/>
            <w:tcBorders>
              <w:top w:val="nil"/>
              <w:left w:val="nil"/>
              <w:bottom w:val="single" w:sz="8" w:space="0" w:color="auto"/>
              <w:right w:val="single" w:sz="8" w:space="0" w:color="auto"/>
            </w:tcBorders>
            <w:shd w:val="clear" w:color="auto" w:fill="auto"/>
            <w:noWrap/>
            <w:vAlign w:val="center"/>
            <w:hideMark/>
          </w:tcPr>
          <w:p w14:paraId="56CBE668" w14:textId="77777777" w:rsidR="009A4C46" w:rsidRPr="009A4C46" w:rsidRDefault="009A4C46" w:rsidP="009A4C46">
            <w:pPr>
              <w:spacing w:after="0" w:line="240" w:lineRule="auto"/>
              <w:jc w:val="right"/>
              <w:rPr>
                <w:rFonts w:eastAsia="Times New Roman"/>
                <w:color w:val="000000"/>
                <w:lang w:eastAsia="ru-RU"/>
              </w:rPr>
            </w:pPr>
            <w:r w:rsidRPr="009A4C46">
              <w:rPr>
                <w:rFonts w:eastAsia="Times New Roman"/>
                <w:color w:val="000000"/>
                <w:lang w:eastAsia="ru-RU"/>
              </w:rPr>
              <w:t>298 980</w:t>
            </w:r>
          </w:p>
        </w:tc>
      </w:tr>
      <w:tr w:rsidR="009A4C46" w:rsidRPr="009A4C46" w14:paraId="7D6E6446" w14:textId="77777777" w:rsidTr="00070F3E">
        <w:trPr>
          <w:trHeight w:val="20"/>
        </w:trPr>
        <w:tc>
          <w:tcPr>
            <w:tcW w:w="2527" w:type="pct"/>
            <w:tcBorders>
              <w:top w:val="nil"/>
              <w:left w:val="single" w:sz="8" w:space="0" w:color="auto"/>
              <w:bottom w:val="single" w:sz="8" w:space="0" w:color="auto"/>
              <w:right w:val="single" w:sz="8" w:space="0" w:color="auto"/>
            </w:tcBorders>
            <w:shd w:val="clear" w:color="auto" w:fill="auto"/>
            <w:vAlign w:val="center"/>
            <w:hideMark/>
          </w:tcPr>
          <w:p w14:paraId="76C163F5" w14:textId="77777777" w:rsidR="009A4C46" w:rsidRPr="009A4C46" w:rsidRDefault="009A4C46" w:rsidP="009A4C46">
            <w:pPr>
              <w:spacing w:after="0" w:line="240" w:lineRule="auto"/>
              <w:rPr>
                <w:rFonts w:eastAsia="Times New Roman"/>
                <w:b/>
                <w:bCs/>
                <w:color w:val="000000"/>
                <w:lang w:eastAsia="ru-RU"/>
              </w:rPr>
            </w:pPr>
            <w:r w:rsidRPr="009A4C46">
              <w:rPr>
                <w:rFonts w:eastAsia="Times New Roman"/>
                <w:b/>
                <w:bCs/>
                <w:color w:val="000000"/>
                <w:lang w:eastAsia="ru-RU"/>
              </w:rPr>
              <w:t>на оплату потерь</w:t>
            </w:r>
          </w:p>
        </w:tc>
        <w:tc>
          <w:tcPr>
            <w:tcW w:w="808" w:type="pct"/>
            <w:tcBorders>
              <w:top w:val="nil"/>
              <w:left w:val="nil"/>
              <w:bottom w:val="single" w:sz="8" w:space="0" w:color="auto"/>
              <w:right w:val="single" w:sz="8" w:space="0" w:color="auto"/>
            </w:tcBorders>
            <w:shd w:val="clear" w:color="auto" w:fill="auto"/>
            <w:noWrap/>
            <w:vAlign w:val="center"/>
            <w:hideMark/>
          </w:tcPr>
          <w:p w14:paraId="742492DB" w14:textId="77777777" w:rsidR="009A4C46" w:rsidRPr="009A4C46" w:rsidRDefault="009A4C46" w:rsidP="009A4C46">
            <w:pPr>
              <w:spacing w:after="0" w:line="240" w:lineRule="auto"/>
              <w:jc w:val="right"/>
              <w:rPr>
                <w:rFonts w:eastAsia="Times New Roman"/>
                <w:b/>
                <w:bCs/>
                <w:color w:val="000000"/>
                <w:lang w:eastAsia="ru-RU"/>
              </w:rPr>
            </w:pPr>
            <w:r w:rsidRPr="009A4C46">
              <w:rPr>
                <w:rFonts w:eastAsia="Times New Roman"/>
                <w:b/>
                <w:bCs/>
                <w:color w:val="000000"/>
                <w:lang w:eastAsia="ru-RU"/>
              </w:rPr>
              <w:t>13 275</w:t>
            </w:r>
          </w:p>
        </w:tc>
        <w:tc>
          <w:tcPr>
            <w:tcW w:w="808" w:type="pct"/>
            <w:tcBorders>
              <w:top w:val="nil"/>
              <w:left w:val="nil"/>
              <w:bottom w:val="single" w:sz="8" w:space="0" w:color="auto"/>
              <w:right w:val="single" w:sz="8" w:space="0" w:color="auto"/>
            </w:tcBorders>
            <w:shd w:val="clear" w:color="auto" w:fill="auto"/>
            <w:noWrap/>
            <w:vAlign w:val="center"/>
            <w:hideMark/>
          </w:tcPr>
          <w:p w14:paraId="3A22C848" w14:textId="77777777" w:rsidR="009A4C46" w:rsidRPr="009A4C46" w:rsidRDefault="009A4C46" w:rsidP="009A4C46">
            <w:pPr>
              <w:spacing w:after="0" w:line="240" w:lineRule="auto"/>
              <w:jc w:val="right"/>
              <w:rPr>
                <w:rFonts w:eastAsia="Times New Roman"/>
                <w:b/>
                <w:bCs/>
                <w:color w:val="000000"/>
                <w:lang w:eastAsia="ru-RU"/>
              </w:rPr>
            </w:pPr>
            <w:r w:rsidRPr="009A4C46">
              <w:rPr>
                <w:rFonts w:eastAsia="Times New Roman"/>
                <w:b/>
                <w:bCs/>
                <w:color w:val="000000"/>
                <w:lang w:eastAsia="ru-RU"/>
              </w:rPr>
              <w:t>20 810</w:t>
            </w:r>
          </w:p>
        </w:tc>
        <w:tc>
          <w:tcPr>
            <w:tcW w:w="856" w:type="pct"/>
            <w:tcBorders>
              <w:top w:val="nil"/>
              <w:left w:val="nil"/>
              <w:bottom w:val="single" w:sz="8" w:space="0" w:color="auto"/>
              <w:right w:val="single" w:sz="8" w:space="0" w:color="auto"/>
            </w:tcBorders>
            <w:shd w:val="clear" w:color="auto" w:fill="auto"/>
            <w:noWrap/>
            <w:vAlign w:val="center"/>
            <w:hideMark/>
          </w:tcPr>
          <w:p w14:paraId="636A3B36" w14:textId="77777777" w:rsidR="009A4C46" w:rsidRPr="009A4C46" w:rsidRDefault="009A4C46" w:rsidP="009A4C46">
            <w:pPr>
              <w:spacing w:after="0" w:line="240" w:lineRule="auto"/>
              <w:jc w:val="right"/>
              <w:rPr>
                <w:rFonts w:eastAsia="Times New Roman"/>
                <w:b/>
                <w:bCs/>
                <w:color w:val="000000"/>
                <w:lang w:eastAsia="ru-RU"/>
              </w:rPr>
            </w:pPr>
            <w:r w:rsidRPr="009A4C46">
              <w:rPr>
                <w:rFonts w:eastAsia="Times New Roman"/>
                <w:b/>
                <w:bCs/>
                <w:color w:val="000000"/>
                <w:lang w:eastAsia="ru-RU"/>
              </w:rPr>
              <w:t>34 085</w:t>
            </w:r>
          </w:p>
        </w:tc>
      </w:tr>
      <w:tr w:rsidR="009A4C46" w:rsidRPr="009A4C46" w14:paraId="3F92D1C1" w14:textId="77777777" w:rsidTr="00070F3E">
        <w:trPr>
          <w:trHeight w:val="20"/>
        </w:trPr>
        <w:tc>
          <w:tcPr>
            <w:tcW w:w="2527" w:type="pct"/>
            <w:tcBorders>
              <w:top w:val="nil"/>
              <w:left w:val="single" w:sz="8" w:space="0" w:color="auto"/>
              <w:bottom w:val="single" w:sz="8" w:space="0" w:color="auto"/>
              <w:right w:val="single" w:sz="8" w:space="0" w:color="auto"/>
            </w:tcBorders>
            <w:shd w:val="clear" w:color="auto" w:fill="auto"/>
            <w:noWrap/>
            <w:vAlign w:val="center"/>
            <w:hideMark/>
          </w:tcPr>
          <w:p w14:paraId="0F09D395" w14:textId="77777777" w:rsidR="009A4C46" w:rsidRPr="009A4C46" w:rsidRDefault="009A4C46" w:rsidP="009A4C46">
            <w:pPr>
              <w:spacing w:after="0" w:line="240" w:lineRule="auto"/>
              <w:rPr>
                <w:rFonts w:eastAsia="Times New Roman"/>
                <w:color w:val="000000"/>
                <w:lang w:eastAsia="ru-RU"/>
              </w:rPr>
            </w:pPr>
            <w:r w:rsidRPr="009A4C46">
              <w:rPr>
                <w:rFonts w:eastAsia="Times New Roman"/>
                <w:color w:val="000000"/>
                <w:lang w:eastAsia="ru-RU"/>
              </w:rPr>
              <w:t>ВН</w:t>
            </w:r>
          </w:p>
        </w:tc>
        <w:tc>
          <w:tcPr>
            <w:tcW w:w="808" w:type="pct"/>
            <w:tcBorders>
              <w:top w:val="nil"/>
              <w:left w:val="nil"/>
              <w:bottom w:val="single" w:sz="8" w:space="0" w:color="auto"/>
              <w:right w:val="single" w:sz="8" w:space="0" w:color="auto"/>
            </w:tcBorders>
            <w:shd w:val="clear" w:color="auto" w:fill="auto"/>
            <w:noWrap/>
            <w:vAlign w:val="center"/>
            <w:hideMark/>
          </w:tcPr>
          <w:p w14:paraId="0706C23D" w14:textId="77777777" w:rsidR="009A4C46" w:rsidRPr="009A4C46" w:rsidRDefault="009A4C46" w:rsidP="009A4C46">
            <w:pPr>
              <w:spacing w:after="0" w:line="240" w:lineRule="auto"/>
              <w:jc w:val="right"/>
              <w:rPr>
                <w:rFonts w:eastAsia="Times New Roman"/>
                <w:color w:val="000000"/>
                <w:lang w:eastAsia="ru-RU"/>
              </w:rPr>
            </w:pPr>
            <w:r w:rsidRPr="009A4C46">
              <w:rPr>
                <w:rFonts w:eastAsia="Times New Roman"/>
                <w:color w:val="000000"/>
                <w:lang w:eastAsia="ru-RU"/>
              </w:rPr>
              <w:t>1 280</w:t>
            </w:r>
          </w:p>
        </w:tc>
        <w:tc>
          <w:tcPr>
            <w:tcW w:w="808" w:type="pct"/>
            <w:tcBorders>
              <w:top w:val="nil"/>
              <w:left w:val="nil"/>
              <w:bottom w:val="single" w:sz="8" w:space="0" w:color="auto"/>
              <w:right w:val="single" w:sz="8" w:space="0" w:color="auto"/>
            </w:tcBorders>
            <w:shd w:val="clear" w:color="auto" w:fill="auto"/>
            <w:noWrap/>
            <w:vAlign w:val="center"/>
            <w:hideMark/>
          </w:tcPr>
          <w:p w14:paraId="29566019" w14:textId="77777777" w:rsidR="009A4C46" w:rsidRPr="009A4C46" w:rsidRDefault="009A4C46" w:rsidP="009A4C46">
            <w:pPr>
              <w:spacing w:after="0" w:line="240" w:lineRule="auto"/>
              <w:jc w:val="right"/>
              <w:rPr>
                <w:rFonts w:eastAsia="Times New Roman"/>
                <w:color w:val="000000"/>
                <w:lang w:eastAsia="ru-RU"/>
              </w:rPr>
            </w:pPr>
            <w:r w:rsidRPr="009A4C46">
              <w:rPr>
                <w:rFonts w:eastAsia="Times New Roman"/>
                <w:color w:val="000000"/>
                <w:lang w:eastAsia="ru-RU"/>
              </w:rPr>
              <w:t>1 248</w:t>
            </w:r>
          </w:p>
        </w:tc>
        <w:tc>
          <w:tcPr>
            <w:tcW w:w="856" w:type="pct"/>
            <w:tcBorders>
              <w:top w:val="nil"/>
              <w:left w:val="nil"/>
              <w:bottom w:val="single" w:sz="8" w:space="0" w:color="auto"/>
              <w:right w:val="single" w:sz="8" w:space="0" w:color="auto"/>
            </w:tcBorders>
            <w:shd w:val="clear" w:color="auto" w:fill="auto"/>
            <w:noWrap/>
            <w:vAlign w:val="center"/>
            <w:hideMark/>
          </w:tcPr>
          <w:p w14:paraId="71B172ED" w14:textId="77777777" w:rsidR="009A4C46" w:rsidRPr="009A4C46" w:rsidRDefault="009A4C46" w:rsidP="009A4C46">
            <w:pPr>
              <w:spacing w:after="0" w:line="240" w:lineRule="auto"/>
              <w:jc w:val="right"/>
              <w:rPr>
                <w:rFonts w:eastAsia="Times New Roman"/>
                <w:color w:val="000000"/>
                <w:lang w:eastAsia="ru-RU"/>
              </w:rPr>
            </w:pPr>
            <w:r w:rsidRPr="009A4C46">
              <w:rPr>
                <w:rFonts w:eastAsia="Times New Roman"/>
                <w:color w:val="000000"/>
                <w:lang w:eastAsia="ru-RU"/>
              </w:rPr>
              <w:t>2 528</w:t>
            </w:r>
          </w:p>
        </w:tc>
      </w:tr>
      <w:tr w:rsidR="009A4C46" w:rsidRPr="009A4C46" w14:paraId="4E560D74" w14:textId="77777777" w:rsidTr="00070F3E">
        <w:trPr>
          <w:trHeight w:val="20"/>
        </w:trPr>
        <w:tc>
          <w:tcPr>
            <w:tcW w:w="2527" w:type="pct"/>
            <w:tcBorders>
              <w:top w:val="nil"/>
              <w:left w:val="single" w:sz="8" w:space="0" w:color="auto"/>
              <w:bottom w:val="single" w:sz="8" w:space="0" w:color="auto"/>
              <w:right w:val="single" w:sz="8" w:space="0" w:color="auto"/>
            </w:tcBorders>
            <w:shd w:val="clear" w:color="auto" w:fill="auto"/>
            <w:noWrap/>
            <w:vAlign w:val="center"/>
            <w:hideMark/>
          </w:tcPr>
          <w:p w14:paraId="7E85A310" w14:textId="77777777" w:rsidR="009A4C46" w:rsidRPr="009A4C46" w:rsidRDefault="009A4C46" w:rsidP="009A4C46">
            <w:pPr>
              <w:spacing w:after="0" w:line="240" w:lineRule="auto"/>
              <w:rPr>
                <w:rFonts w:eastAsia="Times New Roman"/>
                <w:color w:val="000000"/>
                <w:lang w:eastAsia="ru-RU"/>
              </w:rPr>
            </w:pPr>
            <w:r w:rsidRPr="009A4C46">
              <w:rPr>
                <w:rFonts w:eastAsia="Times New Roman"/>
                <w:color w:val="000000"/>
                <w:lang w:eastAsia="ru-RU"/>
              </w:rPr>
              <w:t>СН1</w:t>
            </w:r>
          </w:p>
        </w:tc>
        <w:tc>
          <w:tcPr>
            <w:tcW w:w="808" w:type="pct"/>
            <w:tcBorders>
              <w:top w:val="nil"/>
              <w:left w:val="nil"/>
              <w:bottom w:val="single" w:sz="8" w:space="0" w:color="auto"/>
              <w:right w:val="single" w:sz="8" w:space="0" w:color="auto"/>
            </w:tcBorders>
            <w:shd w:val="clear" w:color="auto" w:fill="auto"/>
            <w:noWrap/>
            <w:vAlign w:val="center"/>
            <w:hideMark/>
          </w:tcPr>
          <w:p w14:paraId="67CDA7BA" w14:textId="77777777" w:rsidR="009A4C46" w:rsidRPr="009A4C46" w:rsidRDefault="009A4C46" w:rsidP="009A4C46">
            <w:pPr>
              <w:spacing w:after="0" w:line="240" w:lineRule="auto"/>
              <w:jc w:val="right"/>
              <w:rPr>
                <w:rFonts w:eastAsia="Times New Roman"/>
                <w:color w:val="000000"/>
                <w:lang w:eastAsia="ru-RU"/>
              </w:rPr>
            </w:pPr>
            <w:r w:rsidRPr="009A4C46">
              <w:rPr>
                <w:rFonts w:eastAsia="Times New Roman"/>
                <w:color w:val="000000"/>
                <w:lang w:eastAsia="ru-RU"/>
              </w:rPr>
              <w:t>619</w:t>
            </w:r>
          </w:p>
        </w:tc>
        <w:tc>
          <w:tcPr>
            <w:tcW w:w="808" w:type="pct"/>
            <w:tcBorders>
              <w:top w:val="nil"/>
              <w:left w:val="nil"/>
              <w:bottom w:val="single" w:sz="8" w:space="0" w:color="auto"/>
              <w:right w:val="single" w:sz="8" w:space="0" w:color="auto"/>
            </w:tcBorders>
            <w:shd w:val="clear" w:color="auto" w:fill="auto"/>
            <w:noWrap/>
            <w:vAlign w:val="center"/>
            <w:hideMark/>
          </w:tcPr>
          <w:p w14:paraId="57A881C8" w14:textId="77777777" w:rsidR="009A4C46" w:rsidRPr="009A4C46" w:rsidRDefault="009A4C46" w:rsidP="009A4C46">
            <w:pPr>
              <w:spacing w:after="0" w:line="240" w:lineRule="auto"/>
              <w:jc w:val="right"/>
              <w:rPr>
                <w:rFonts w:eastAsia="Times New Roman"/>
                <w:color w:val="000000"/>
                <w:lang w:eastAsia="ru-RU"/>
              </w:rPr>
            </w:pPr>
            <w:r w:rsidRPr="009A4C46">
              <w:rPr>
                <w:rFonts w:eastAsia="Times New Roman"/>
                <w:color w:val="000000"/>
                <w:lang w:eastAsia="ru-RU"/>
              </w:rPr>
              <w:t>106</w:t>
            </w:r>
          </w:p>
        </w:tc>
        <w:tc>
          <w:tcPr>
            <w:tcW w:w="856" w:type="pct"/>
            <w:tcBorders>
              <w:top w:val="nil"/>
              <w:left w:val="nil"/>
              <w:bottom w:val="single" w:sz="8" w:space="0" w:color="auto"/>
              <w:right w:val="single" w:sz="8" w:space="0" w:color="auto"/>
            </w:tcBorders>
            <w:shd w:val="clear" w:color="auto" w:fill="auto"/>
            <w:noWrap/>
            <w:vAlign w:val="center"/>
            <w:hideMark/>
          </w:tcPr>
          <w:p w14:paraId="7687AF1E" w14:textId="77777777" w:rsidR="009A4C46" w:rsidRPr="009A4C46" w:rsidRDefault="009A4C46" w:rsidP="009A4C46">
            <w:pPr>
              <w:spacing w:after="0" w:line="240" w:lineRule="auto"/>
              <w:jc w:val="right"/>
              <w:rPr>
                <w:rFonts w:eastAsia="Times New Roman"/>
                <w:color w:val="000000"/>
                <w:lang w:eastAsia="ru-RU"/>
              </w:rPr>
            </w:pPr>
            <w:r w:rsidRPr="009A4C46">
              <w:rPr>
                <w:rFonts w:eastAsia="Times New Roman"/>
                <w:color w:val="000000"/>
                <w:lang w:eastAsia="ru-RU"/>
              </w:rPr>
              <w:t>725</w:t>
            </w:r>
          </w:p>
        </w:tc>
      </w:tr>
      <w:tr w:rsidR="009A4C46" w:rsidRPr="009A4C46" w14:paraId="7DDE723E" w14:textId="77777777" w:rsidTr="00070F3E">
        <w:trPr>
          <w:trHeight w:val="20"/>
        </w:trPr>
        <w:tc>
          <w:tcPr>
            <w:tcW w:w="2527" w:type="pct"/>
            <w:tcBorders>
              <w:top w:val="nil"/>
              <w:left w:val="single" w:sz="8" w:space="0" w:color="auto"/>
              <w:bottom w:val="single" w:sz="8" w:space="0" w:color="auto"/>
              <w:right w:val="single" w:sz="8" w:space="0" w:color="auto"/>
            </w:tcBorders>
            <w:shd w:val="clear" w:color="auto" w:fill="auto"/>
            <w:noWrap/>
            <w:vAlign w:val="center"/>
            <w:hideMark/>
          </w:tcPr>
          <w:p w14:paraId="564F0936" w14:textId="77777777" w:rsidR="009A4C46" w:rsidRPr="009A4C46" w:rsidRDefault="009A4C46" w:rsidP="009A4C46">
            <w:pPr>
              <w:spacing w:after="0" w:line="240" w:lineRule="auto"/>
              <w:rPr>
                <w:rFonts w:eastAsia="Times New Roman"/>
                <w:color w:val="000000"/>
                <w:lang w:eastAsia="ru-RU"/>
              </w:rPr>
            </w:pPr>
            <w:r w:rsidRPr="009A4C46">
              <w:rPr>
                <w:rFonts w:eastAsia="Times New Roman"/>
                <w:color w:val="000000"/>
                <w:lang w:eastAsia="ru-RU"/>
              </w:rPr>
              <w:t>СН2</w:t>
            </w:r>
          </w:p>
        </w:tc>
        <w:tc>
          <w:tcPr>
            <w:tcW w:w="808" w:type="pct"/>
            <w:tcBorders>
              <w:top w:val="nil"/>
              <w:left w:val="nil"/>
              <w:bottom w:val="single" w:sz="8" w:space="0" w:color="auto"/>
              <w:right w:val="single" w:sz="8" w:space="0" w:color="auto"/>
            </w:tcBorders>
            <w:shd w:val="clear" w:color="auto" w:fill="auto"/>
            <w:noWrap/>
            <w:vAlign w:val="center"/>
            <w:hideMark/>
          </w:tcPr>
          <w:p w14:paraId="31212FF0" w14:textId="77777777" w:rsidR="009A4C46" w:rsidRPr="009A4C46" w:rsidRDefault="009A4C46" w:rsidP="009A4C46">
            <w:pPr>
              <w:spacing w:after="0" w:line="240" w:lineRule="auto"/>
              <w:jc w:val="right"/>
              <w:rPr>
                <w:rFonts w:eastAsia="Times New Roman"/>
                <w:color w:val="000000"/>
                <w:lang w:eastAsia="ru-RU"/>
              </w:rPr>
            </w:pPr>
            <w:r w:rsidRPr="009A4C46">
              <w:rPr>
                <w:rFonts w:eastAsia="Times New Roman"/>
                <w:color w:val="000000"/>
                <w:lang w:eastAsia="ru-RU"/>
              </w:rPr>
              <w:t>2 331</w:t>
            </w:r>
          </w:p>
        </w:tc>
        <w:tc>
          <w:tcPr>
            <w:tcW w:w="808" w:type="pct"/>
            <w:tcBorders>
              <w:top w:val="nil"/>
              <w:left w:val="nil"/>
              <w:bottom w:val="single" w:sz="8" w:space="0" w:color="auto"/>
              <w:right w:val="single" w:sz="8" w:space="0" w:color="auto"/>
            </w:tcBorders>
            <w:shd w:val="clear" w:color="auto" w:fill="auto"/>
            <w:noWrap/>
            <w:vAlign w:val="center"/>
            <w:hideMark/>
          </w:tcPr>
          <w:p w14:paraId="6138E36D" w14:textId="77777777" w:rsidR="009A4C46" w:rsidRPr="009A4C46" w:rsidRDefault="009A4C46" w:rsidP="009A4C46">
            <w:pPr>
              <w:spacing w:after="0" w:line="240" w:lineRule="auto"/>
              <w:jc w:val="right"/>
              <w:rPr>
                <w:rFonts w:eastAsia="Times New Roman"/>
                <w:color w:val="000000"/>
                <w:lang w:eastAsia="ru-RU"/>
              </w:rPr>
            </w:pPr>
            <w:r w:rsidRPr="009A4C46">
              <w:rPr>
                <w:rFonts w:eastAsia="Times New Roman"/>
                <w:color w:val="000000"/>
                <w:lang w:eastAsia="ru-RU"/>
              </w:rPr>
              <w:t>2 967</w:t>
            </w:r>
          </w:p>
        </w:tc>
        <w:tc>
          <w:tcPr>
            <w:tcW w:w="856" w:type="pct"/>
            <w:tcBorders>
              <w:top w:val="nil"/>
              <w:left w:val="nil"/>
              <w:bottom w:val="single" w:sz="8" w:space="0" w:color="auto"/>
              <w:right w:val="single" w:sz="8" w:space="0" w:color="auto"/>
            </w:tcBorders>
            <w:shd w:val="clear" w:color="auto" w:fill="auto"/>
            <w:noWrap/>
            <w:vAlign w:val="center"/>
            <w:hideMark/>
          </w:tcPr>
          <w:p w14:paraId="5E79B33F" w14:textId="77777777" w:rsidR="009A4C46" w:rsidRPr="009A4C46" w:rsidRDefault="009A4C46" w:rsidP="009A4C46">
            <w:pPr>
              <w:spacing w:after="0" w:line="240" w:lineRule="auto"/>
              <w:jc w:val="right"/>
              <w:rPr>
                <w:rFonts w:eastAsia="Times New Roman"/>
                <w:color w:val="000000"/>
                <w:lang w:eastAsia="ru-RU"/>
              </w:rPr>
            </w:pPr>
            <w:r w:rsidRPr="009A4C46">
              <w:rPr>
                <w:rFonts w:eastAsia="Times New Roman"/>
                <w:color w:val="000000"/>
                <w:lang w:eastAsia="ru-RU"/>
              </w:rPr>
              <w:t>5 297</w:t>
            </w:r>
          </w:p>
        </w:tc>
      </w:tr>
      <w:tr w:rsidR="009A4C46" w:rsidRPr="009A4C46" w14:paraId="2BFBA399" w14:textId="77777777" w:rsidTr="00070F3E">
        <w:trPr>
          <w:trHeight w:val="20"/>
        </w:trPr>
        <w:tc>
          <w:tcPr>
            <w:tcW w:w="2527" w:type="pct"/>
            <w:tcBorders>
              <w:top w:val="nil"/>
              <w:left w:val="single" w:sz="8" w:space="0" w:color="auto"/>
              <w:bottom w:val="single" w:sz="8" w:space="0" w:color="auto"/>
              <w:right w:val="single" w:sz="8" w:space="0" w:color="auto"/>
            </w:tcBorders>
            <w:shd w:val="clear" w:color="auto" w:fill="auto"/>
            <w:noWrap/>
            <w:vAlign w:val="center"/>
            <w:hideMark/>
          </w:tcPr>
          <w:p w14:paraId="59D1A61D" w14:textId="77777777" w:rsidR="009A4C46" w:rsidRPr="009A4C46" w:rsidRDefault="009A4C46" w:rsidP="009A4C46">
            <w:pPr>
              <w:spacing w:after="0" w:line="240" w:lineRule="auto"/>
              <w:rPr>
                <w:rFonts w:eastAsia="Times New Roman"/>
                <w:color w:val="000000"/>
                <w:lang w:eastAsia="ru-RU"/>
              </w:rPr>
            </w:pPr>
            <w:r w:rsidRPr="009A4C46">
              <w:rPr>
                <w:rFonts w:eastAsia="Times New Roman"/>
                <w:color w:val="000000"/>
                <w:lang w:eastAsia="ru-RU"/>
              </w:rPr>
              <w:t>НН</w:t>
            </w:r>
          </w:p>
        </w:tc>
        <w:tc>
          <w:tcPr>
            <w:tcW w:w="808" w:type="pct"/>
            <w:tcBorders>
              <w:top w:val="nil"/>
              <w:left w:val="nil"/>
              <w:bottom w:val="single" w:sz="8" w:space="0" w:color="auto"/>
              <w:right w:val="single" w:sz="8" w:space="0" w:color="auto"/>
            </w:tcBorders>
            <w:shd w:val="clear" w:color="auto" w:fill="auto"/>
            <w:noWrap/>
            <w:vAlign w:val="center"/>
            <w:hideMark/>
          </w:tcPr>
          <w:p w14:paraId="5ADE8E76" w14:textId="77777777" w:rsidR="009A4C46" w:rsidRPr="009A4C46" w:rsidRDefault="009A4C46" w:rsidP="009A4C46">
            <w:pPr>
              <w:spacing w:after="0" w:line="240" w:lineRule="auto"/>
              <w:jc w:val="right"/>
              <w:rPr>
                <w:rFonts w:eastAsia="Times New Roman"/>
                <w:color w:val="000000"/>
                <w:lang w:eastAsia="ru-RU"/>
              </w:rPr>
            </w:pPr>
            <w:r w:rsidRPr="009A4C46">
              <w:rPr>
                <w:rFonts w:eastAsia="Times New Roman"/>
                <w:color w:val="000000"/>
                <w:lang w:eastAsia="ru-RU"/>
              </w:rPr>
              <w:t>9 045</w:t>
            </w:r>
          </w:p>
        </w:tc>
        <w:tc>
          <w:tcPr>
            <w:tcW w:w="808" w:type="pct"/>
            <w:tcBorders>
              <w:top w:val="nil"/>
              <w:left w:val="nil"/>
              <w:bottom w:val="single" w:sz="8" w:space="0" w:color="auto"/>
              <w:right w:val="single" w:sz="8" w:space="0" w:color="auto"/>
            </w:tcBorders>
            <w:shd w:val="clear" w:color="auto" w:fill="auto"/>
            <w:noWrap/>
            <w:vAlign w:val="center"/>
            <w:hideMark/>
          </w:tcPr>
          <w:p w14:paraId="270C1C3C" w14:textId="77777777" w:rsidR="009A4C46" w:rsidRPr="009A4C46" w:rsidRDefault="009A4C46" w:rsidP="009A4C46">
            <w:pPr>
              <w:spacing w:after="0" w:line="240" w:lineRule="auto"/>
              <w:jc w:val="right"/>
              <w:rPr>
                <w:rFonts w:eastAsia="Times New Roman"/>
                <w:color w:val="000000"/>
                <w:lang w:eastAsia="ru-RU"/>
              </w:rPr>
            </w:pPr>
            <w:r w:rsidRPr="009A4C46">
              <w:rPr>
                <w:rFonts w:eastAsia="Times New Roman"/>
                <w:color w:val="000000"/>
                <w:lang w:eastAsia="ru-RU"/>
              </w:rPr>
              <w:t>16 490</w:t>
            </w:r>
          </w:p>
        </w:tc>
        <w:tc>
          <w:tcPr>
            <w:tcW w:w="856" w:type="pct"/>
            <w:tcBorders>
              <w:top w:val="nil"/>
              <w:left w:val="nil"/>
              <w:bottom w:val="single" w:sz="8" w:space="0" w:color="auto"/>
              <w:right w:val="single" w:sz="8" w:space="0" w:color="auto"/>
            </w:tcBorders>
            <w:shd w:val="clear" w:color="auto" w:fill="auto"/>
            <w:noWrap/>
            <w:vAlign w:val="center"/>
            <w:hideMark/>
          </w:tcPr>
          <w:p w14:paraId="16A3FBB2" w14:textId="77777777" w:rsidR="009A4C46" w:rsidRPr="009A4C46" w:rsidRDefault="009A4C46" w:rsidP="009A4C46">
            <w:pPr>
              <w:spacing w:after="0" w:line="240" w:lineRule="auto"/>
              <w:jc w:val="right"/>
              <w:rPr>
                <w:rFonts w:eastAsia="Times New Roman"/>
                <w:color w:val="000000"/>
                <w:lang w:eastAsia="ru-RU"/>
              </w:rPr>
            </w:pPr>
            <w:r w:rsidRPr="009A4C46">
              <w:rPr>
                <w:rFonts w:eastAsia="Times New Roman"/>
                <w:color w:val="000000"/>
                <w:lang w:eastAsia="ru-RU"/>
              </w:rPr>
              <w:t>25 534</w:t>
            </w:r>
          </w:p>
        </w:tc>
      </w:tr>
    </w:tbl>
    <w:p w14:paraId="2FF8704B" w14:textId="77777777" w:rsidR="009A4C46" w:rsidRPr="009A4C46" w:rsidRDefault="009A4C46" w:rsidP="009A4C46">
      <w:pPr>
        <w:tabs>
          <w:tab w:val="left" w:pos="0"/>
        </w:tabs>
        <w:autoSpaceDE w:val="0"/>
        <w:autoSpaceDN w:val="0"/>
        <w:adjustRightInd w:val="0"/>
        <w:spacing w:after="32" w:line="360" w:lineRule="auto"/>
        <w:ind w:firstLine="567"/>
        <w:jc w:val="both"/>
        <w:rPr>
          <w:rFonts w:eastAsia="Times New Roman"/>
          <w:sz w:val="28"/>
          <w:szCs w:val="28"/>
          <w:lang w:eastAsia="ru-RU"/>
        </w:rPr>
      </w:pPr>
    </w:p>
    <w:p w14:paraId="68F8AECE" w14:textId="77777777" w:rsidR="009A4C46" w:rsidRPr="009A4C46" w:rsidRDefault="009A4C46" w:rsidP="009A4C46">
      <w:pPr>
        <w:tabs>
          <w:tab w:val="left" w:pos="0"/>
        </w:tabs>
        <w:autoSpaceDE w:val="0"/>
        <w:autoSpaceDN w:val="0"/>
        <w:adjustRightInd w:val="0"/>
        <w:spacing w:after="32" w:line="360" w:lineRule="auto"/>
        <w:ind w:firstLine="567"/>
        <w:jc w:val="both"/>
        <w:rPr>
          <w:rFonts w:eastAsia="Times New Roman"/>
          <w:sz w:val="26"/>
          <w:szCs w:val="26"/>
          <w:lang w:eastAsia="ru-RU"/>
        </w:rPr>
        <w:sectPr w:rsidR="009A4C46" w:rsidRPr="009A4C46" w:rsidSect="0063188C">
          <w:pgSz w:w="16838" w:h="11906" w:orient="landscape"/>
          <w:pgMar w:top="1701" w:right="1134" w:bottom="851" w:left="1134" w:header="709" w:footer="709" w:gutter="0"/>
          <w:cols w:space="708"/>
          <w:docGrid w:linePitch="360"/>
        </w:sectPr>
      </w:pPr>
    </w:p>
    <w:p w14:paraId="27571291" w14:textId="77777777" w:rsidR="009A4C46" w:rsidRPr="00F94FED" w:rsidRDefault="009A4C46" w:rsidP="009A4C46">
      <w:pPr>
        <w:tabs>
          <w:tab w:val="left" w:pos="0"/>
        </w:tabs>
        <w:autoSpaceDE w:val="0"/>
        <w:autoSpaceDN w:val="0"/>
        <w:adjustRightInd w:val="0"/>
        <w:spacing w:after="32" w:line="360" w:lineRule="auto"/>
        <w:ind w:firstLine="567"/>
        <w:jc w:val="both"/>
        <w:rPr>
          <w:rFonts w:eastAsia="Times New Roman"/>
          <w:sz w:val="26"/>
          <w:szCs w:val="26"/>
          <w:lang w:eastAsia="ru-RU"/>
        </w:rPr>
      </w:pPr>
      <w:r w:rsidRPr="00F94FED">
        <w:rPr>
          <w:rFonts w:eastAsia="Times New Roman"/>
          <w:sz w:val="26"/>
          <w:szCs w:val="26"/>
          <w:lang w:eastAsia="ru-RU"/>
        </w:rPr>
        <w:lastRenderedPageBreak/>
        <w:t>Исполнитель отмечает, что величина планового размера выручки (1 295 403 тыс. руб.), полученного с использованием установленных на 2017 год единых (котловых) тарифов на услуги по передаче электрической энергии (по одноставочным тарифам) и балансовых показателей соответствует необходимой валовой выручке АО «Тываэнерго».</w:t>
      </w:r>
    </w:p>
    <w:p w14:paraId="52701692" w14:textId="77777777" w:rsidR="009A4C46" w:rsidRPr="00F94FED" w:rsidRDefault="009A4C46" w:rsidP="009A4C46">
      <w:pPr>
        <w:tabs>
          <w:tab w:val="left" w:pos="0"/>
        </w:tabs>
        <w:autoSpaceDE w:val="0"/>
        <w:autoSpaceDN w:val="0"/>
        <w:adjustRightInd w:val="0"/>
        <w:spacing w:after="32" w:line="360" w:lineRule="auto"/>
        <w:ind w:firstLine="567"/>
        <w:jc w:val="both"/>
        <w:rPr>
          <w:rFonts w:eastAsia="Times New Roman"/>
          <w:sz w:val="26"/>
          <w:szCs w:val="26"/>
          <w:lang w:eastAsia="ru-RU"/>
        </w:rPr>
      </w:pPr>
      <w:r w:rsidRPr="00F94FED">
        <w:rPr>
          <w:rFonts w:eastAsia="Times New Roman"/>
          <w:sz w:val="26"/>
          <w:szCs w:val="26"/>
          <w:lang w:eastAsia="ru-RU"/>
        </w:rPr>
        <w:t>Исполнитель подтверждает сходимость планового размера выручки собираемого по одноставочным и двухставочным тарифам.</w:t>
      </w:r>
    </w:p>
    <w:p w14:paraId="311ECD56" w14:textId="77777777" w:rsidR="009A4C46" w:rsidRPr="00F94FED" w:rsidRDefault="009A4C46" w:rsidP="009A4C46">
      <w:pPr>
        <w:tabs>
          <w:tab w:val="left" w:pos="0"/>
        </w:tabs>
        <w:autoSpaceDE w:val="0"/>
        <w:autoSpaceDN w:val="0"/>
        <w:adjustRightInd w:val="0"/>
        <w:spacing w:after="32" w:line="360" w:lineRule="auto"/>
        <w:ind w:firstLine="567"/>
        <w:jc w:val="both"/>
        <w:rPr>
          <w:rFonts w:eastAsia="Times New Roman"/>
          <w:sz w:val="26"/>
          <w:szCs w:val="26"/>
          <w:lang w:eastAsia="ru-RU"/>
        </w:rPr>
      </w:pPr>
      <w:r w:rsidRPr="00F94FED">
        <w:rPr>
          <w:rFonts w:eastAsia="Times New Roman"/>
          <w:sz w:val="26"/>
          <w:szCs w:val="26"/>
          <w:lang w:eastAsia="ru-RU"/>
        </w:rPr>
        <w:t>В соответствии с информацией о фактической выручке в разрезе потребителей и уровней напряжения, представленной АО «Тываэнерго» в материалах тарифной заявки на 2019 год в форме «Расшифровка среднего тарифа</w:t>
      </w:r>
      <w:r w:rsidRPr="00F94FED" w:rsidDel="009F3012">
        <w:rPr>
          <w:rFonts w:eastAsia="Times New Roman"/>
          <w:sz w:val="26"/>
          <w:szCs w:val="26"/>
          <w:lang w:eastAsia="ru-RU"/>
        </w:rPr>
        <w:t xml:space="preserve"> </w:t>
      </w:r>
      <w:r w:rsidRPr="00F94FED">
        <w:rPr>
          <w:rFonts w:eastAsia="Times New Roman"/>
          <w:sz w:val="26"/>
          <w:szCs w:val="26"/>
          <w:lang w:eastAsia="ru-RU"/>
        </w:rPr>
        <w:t>за 2017 год», Исполнителем проанализирована фактическая товарная выручка за год в разрезе полугодий, а также произведено сопоставление фактической товарной выручки и плановой (расчетной) выручки на 2017 год.</w:t>
      </w:r>
    </w:p>
    <w:p w14:paraId="658DB2C3" w14:textId="77777777" w:rsidR="009A4C46" w:rsidRPr="00F94FED" w:rsidRDefault="009A4C46" w:rsidP="009A4C46">
      <w:pPr>
        <w:tabs>
          <w:tab w:val="left" w:pos="0"/>
        </w:tabs>
        <w:autoSpaceDE w:val="0"/>
        <w:autoSpaceDN w:val="0"/>
        <w:adjustRightInd w:val="0"/>
        <w:spacing w:after="32" w:line="360" w:lineRule="auto"/>
        <w:ind w:firstLine="567"/>
        <w:jc w:val="both"/>
        <w:rPr>
          <w:rFonts w:eastAsia="Times New Roman"/>
          <w:sz w:val="26"/>
          <w:szCs w:val="26"/>
          <w:lang w:eastAsia="ru-RU"/>
        </w:rPr>
      </w:pPr>
    </w:p>
    <w:p w14:paraId="080FD064" w14:textId="77777777" w:rsidR="009A4C46" w:rsidRPr="009A4C46" w:rsidRDefault="009A4C46" w:rsidP="009A4C46">
      <w:pPr>
        <w:tabs>
          <w:tab w:val="left" w:pos="0"/>
        </w:tabs>
        <w:autoSpaceDE w:val="0"/>
        <w:autoSpaceDN w:val="0"/>
        <w:adjustRightInd w:val="0"/>
        <w:spacing w:after="32" w:line="360" w:lineRule="auto"/>
        <w:ind w:firstLine="567"/>
        <w:jc w:val="both"/>
        <w:rPr>
          <w:rFonts w:eastAsia="Times New Roman"/>
          <w:sz w:val="28"/>
          <w:szCs w:val="28"/>
          <w:lang w:eastAsia="ru-RU"/>
        </w:rPr>
      </w:pPr>
    </w:p>
    <w:p w14:paraId="61BA2EDE" w14:textId="77777777" w:rsidR="009A4C46" w:rsidRPr="009A4C46" w:rsidRDefault="009A4C46" w:rsidP="009A4C46">
      <w:pPr>
        <w:tabs>
          <w:tab w:val="left" w:pos="0"/>
        </w:tabs>
        <w:autoSpaceDE w:val="0"/>
        <w:autoSpaceDN w:val="0"/>
        <w:adjustRightInd w:val="0"/>
        <w:spacing w:after="32" w:line="360" w:lineRule="auto"/>
        <w:ind w:firstLine="567"/>
        <w:jc w:val="both"/>
        <w:rPr>
          <w:rFonts w:eastAsia="Times New Roman"/>
          <w:sz w:val="28"/>
          <w:szCs w:val="28"/>
          <w:lang w:eastAsia="ru-RU"/>
        </w:rPr>
        <w:sectPr w:rsidR="009A4C46" w:rsidRPr="009A4C46" w:rsidSect="0063188C">
          <w:pgSz w:w="11906" w:h="16838"/>
          <w:pgMar w:top="1134" w:right="850" w:bottom="1134" w:left="1701" w:header="708" w:footer="708" w:gutter="0"/>
          <w:cols w:space="708"/>
          <w:docGrid w:linePitch="360"/>
        </w:sectPr>
      </w:pPr>
    </w:p>
    <w:tbl>
      <w:tblPr>
        <w:tblW w:w="5000" w:type="pct"/>
        <w:tblLayout w:type="fixed"/>
        <w:tblLook w:val="04A0" w:firstRow="1" w:lastRow="0" w:firstColumn="1" w:lastColumn="0" w:noHBand="0" w:noVBand="1"/>
      </w:tblPr>
      <w:tblGrid>
        <w:gridCol w:w="1271"/>
        <w:gridCol w:w="851"/>
        <w:gridCol w:w="851"/>
        <w:gridCol w:w="850"/>
        <w:gridCol w:w="850"/>
        <w:gridCol w:w="708"/>
        <w:gridCol w:w="993"/>
        <w:gridCol w:w="734"/>
        <w:gridCol w:w="1086"/>
        <w:gridCol w:w="1086"/>
        <w:gridCol w:w="1040"/>
        <w:gridCol w:w="1185"/>
        <w:gridCol w:w="929"/>
        <w:gridCol w:w="1203"/>
        <w:gridCol w:w="923"/>
      </w:tblGrid>
      <w:tr w:rsidR="000A2AF3" w:rsidRPr="00BD7E1C" w14:paraId="791152AE" w14:textId="77777777" w:rsidTr="00F94FED">
        <w:trPr>
          <w:trHeight w:val="480"/>
        </w:trPr>
        <w:tc>
          <w:tcPr>
            <w:tcW w:w="43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EA4F0BC" w14:textId="77777777" w:rsidR="009A4C46" w:rsidRPr="00BD7E1C" w:rsidRDefault="009A4C46" w:rsidP="009A4C46">
            <w:pPr>
              <w:spacing w:after="0" w:line="240" w:lineRule="auto"/>
              <w:jc w:val="center"/>
              <w:rPr>
                <w:rFonts w:eastAsia="Times New Roman"/>
                <w:b/>
                <w:bCs/>
                <w:color w:val="FFFFFF" w:themeColor="background1"/>
                <w:sz w:val="18"/>
                <w:szCs w:val="18"/>
                <w:lang w:eastAsia="ru-RU"/>
              </w:rPr>
            </w:pPr>
            <w:r w:rsidRPr="00BD7E1C">
              <w:rPr>
                <w:rFonts w:eastAsia="Times New Roman"/>
                <w:b/>
                <w:bCs/>
                <w:color w:val="FFFFFF" w:themeColor="background1"/>
                <w:sz w:val="18"/>
                <w:szCs w:val="18"/>
                <w:lang w:eastAsia="ru-RU"/>
              </w:rPr>
              <w:lastRenderedPageBreak/>
              <w:t>Потребители</w:t>
            </w:r>
          </w:p>
        </w:tc>
        <w:tc>
          <w:tcPr>
            <w:tcW w:w="2004" w:type="pct"/>
            <w:gridSpan w:val="7"/>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8B44053" w14:textId="77777777" w:rsidR="009A4C46" w:rsidRPr="00BD7E1C" w:rsidRDefault="009A4C46" w:rsidP="009A4C46">
            <w:pPr>
              <w:spacing w:after="0" w:line="240" w:lineRule="auto"/>
              <w:jc w:val="center"/>
              <w:rPr>
                <w:rFonts w:eastAsia="Times New Roman"/>
                <w:b/>
                <w:bCs/>
                <w:color w:val="FFFFFF" w:themeColor="background1"/>
                <w:sz w:val="18"/>
                <w:szCs w:val="18"/>
                <w:lang w:eastAsia="ru-RU"/>
              </w:rPr>
            </w:pPr>
            <w:r w:rsidRPr="00BD7E1C">
              <w:rPr>
                <w:rFonts w:eastAsia="Times New Roman"/>
                <w:b/>
                <w:bCs/>
                <w:color w:val="FFFFFF" w:themeColor="background1"/>
                <w:sz w:val="18"/>
                <w:szCs w:val="18"/>
                <w:lang w:eastAsia="ru-RU"/>
              </w:rPr>
              <w:t>2017 год - натуральные показатели по отпуску</w:t>
            </w:r>
          </w:p>
        </w:tc>
        <w:tc>
          <w:tcPr>
            <w:tcW w:w="1103"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FD0267C" w14:textId="651BDFA4" w:rsidR="009A4C46" w:rsidRPr="00BD7E1C" w:rsidRDefault="009A4C46">
            <w:pPr>
              <w:spacing w:after="0" w:line="240" w:lineRule="auto"/>
              <w:jc w:val="center"/>
              <w:rPr>
                <w:rFonts w:eastAsia="Times New Roman"/>
                <w:b/>
                <w:bCs/>
                <w:color w:val="FFFFFF" w:themeColor="background1"/>
                <w:sz w:val="18"/>
                <w:szCs w:val="18"/>
                <w:lang w:eastAsia="ru-RU"/>
              </w:rPr>
            </w:pPr>
            <w:r w:rsidRPr="00BD7E1C">
              <w:rPr>
                <w:rFonts w:eastAsia="Times New Roman"/>
                <w:b/>
                <w:bCs/>
                <w:color w:val="FFFFFF" w:themeColor="background1"/>
                <w:sz w:val="18"/>
                <w:szCs w:val="18"/>
                <w:lang w:eastAsia="ru-RU"/>
              </w:rPr>
              <w:t>Выручка план, тыс. руб.</w:t>
            </w:r>
          </w:p>
        </w:tc>
        <w:tc>
          <w:tcPr>
            <w:tcW w:w="1139"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F613DDC" w14:textId="77777777" w:rsidR="009A4C46" w:rsidRPr="00BD7E1C" w:rsidRDefault="009A4C46" w:rsidP="009A4C46">
            <w:pPr>
              <w:spacing w:after="0" w:line="240" w:lineRule="auto"/>
              <w:jc w:val="center"/>
              <w:rPr>
                <w:rFonts w:eastAsia="Times New Roman"/>
                <w:b/>
                <w:bCs/>
                <w:color w:val="FFFFFF" w:themeColor="background1"/>
                <w:sz w:val="18"/>
                <w:szCs w:val="18"/>
                <w:lang w:eastAsia="ru-RU"/>
              </w:rPr>
            </w:pPr>
            <w:r w:rsidRPr="00BD7E1C">
              <w:rPr>
                <w:rFonts w:eastAsia="Times New Roman"/>
                <w:b/>
                <w:bCs/>
                <w:color w:val="FFFFFF" w:themeColor="background1"/>
                <w:sz w:val="18"/>
                <w:szCs w:val="18"/>
                <w:lang w:eastAsia="ru-RU"/>
              </w:rPr>
              <w:t>Выручка факт, тыс. руб.</w:t>
            </w:r>
          </w:p>
        </w:tc>
        <w:tc>
          <w:tcPr>
            <w:tcW w:w="31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08F0075" w14:textId="77777777" w:rsidR="009A4C46" w:rsidRPr="00BD7E1C" w:rsidRDefault="009A4C46" w:rsidP="009A4C46">
            <w:pPr>
              <w:spacing w:after="0" w:line="240" w:lineRule="auto"/>
              <w:jc w:val="center"/>
              <w:rPr>
                <w:rFonts w:eastAsia="Times New Roman"/>
                <w:b/>
                <w:bCs/>
                <w:color w:val="FFFFFF" w:themeColor="background1"/>
                <w:sz w:val="18"/>
                <w:szCs w:val="18"/>
                <w:lang w:eastAsia="ru-RU"/>
              </w:rPr>
            </w:pPr>
            <w:r w:rsidRPr="00BD7E1C">
              <w:rPr>
                <w:rFonts w:eastAsia="Times New Roman"/>
                <w:b/>
                <w:bCs/>
                <w:color w:val="FFFFFF" w:themeColor="background1"/>
                <w:sz w:val="18"/>
                <w:szCs w:val="18"/>
                <w:lang w:eastAsia="ru-RU"/>
              </w:rPr>
              <w:t>Откл., тыс. руб.</w:t>
            </w:r>
          </w:p>
        </w:tc>
      </w:tr>
      <w:tr w:rsidR="000A2AF3" w:rsidRPr="00BD7E1C" w14:paraId="68E6541F" w14:textId="77777777" w:rsidTr="000A2AF3">
        <w:trPr>
          <w:trHeight w:val="720"/>
        </w:trPr>
        <w:tc>
          <w:tcPr>
            <w:tcW w:w="43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89DD6AC" w14:textId="77777777" w:rsidR="009A4C46" w:rsidRPr="00BD7E1C" w:rsidRDefault="009A4C46" w:rsidP="009A4C46">
            <w:pPr>
              <w:spacing w:after="0" w:line="240" w:lineRule="auto"/>
              <w:rPr>
                <w:rFonts w:eastAsia="Times New Roman"/>
                <w:b/>
                <w:bCs/>
                <w:color w:val="FFFFFF" w:themeColor="background1"/>
                <w:sz w:val="18"/>
                <w:szCs w:val="18"/>
                <w:lang w:eastAsia="ru-RU"/>
              </w:rPr>
            </w:pPr>
          </w:p>
        </w:tc>
        <w:tc>
          <w:tcPr>
            <w:tcW w:w="876"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A4148E5" w14:textId="6056C8CA" w:rsidR="009A4C46" w:rsidRPr="00BD7E1C" w:rsidRDefault="000A2AF3" w:rsidP="009A4C46">
            <w:pPr>
              <w:spacing w:after="0" w:line="240" w:lineRule="auto"/>
              <w:jc w:val="center"/>
              <w:rPr>
                <w:rFonts w:eastAsia="Times New Roman"/>
                <w:b/>
                <w:bCs/>
                <w:color w:val="FFFFFF" w:themeColor="background1"/>
                <w:sz w:val="18"/>
                <w:szCs w:val="18"/>
                <w:lang w:eastAsia="ru-RU"/>
              </w:rPr>
            </w:pPr>
            <w:r w:rsidRPr="00BD7E1C">
              <w:rPr>
                <w:rFonts w:eastAsia="Times New Roman"/>
                <w:b/>
                <w:bCs/>
                <w:color w:val="FFFFFF" w:themeColor="background1"/>
                <w:sz w:val="18"/>
                <w:szCs w:val="18"/>
                <w:lang w:eastAsia="ru-RU"/>
              </w:rPr>
              <w:t>П</w:t>
            </w:r>
            <w:r w:rsidR="009A4C46" w:rsidRPr="00BD7E1C">
              <w:rPr>
                <w:rFonts w:eastAsia="Times New Roman"/>
                <w:b/>
                <w:bCs/>
                <w:color w:val="FFFFFF" w:themeColor="background1"/>
                <w:sz w:val="18"/>
                <w:szCs w:val="18"/>
                <w:lang w:eastAsia="ru-RU"/>
              </w:rPr>
              <w:t>лан</w:t>
            </w:r>
            <w:r w:rsidRPr="00BD7E1C">
              <w:rPr>
                <w:rFonts w:eastAsia="Times New Roman"/>
                <w:b/>
                <w:bCs/>
                <w:color w:val="FFFFFF" w:themeColor="background1"/>
                <w:sz w:val="18"/>
                <w:szCs w:val="18"/>
                <w:lang w:eastAsia="ru-RU"/>
              </w:rPr>
              <w:t xml:space="preserve">, </w:t>
            </w:r>
            <w:r w:rsidR="009A4C46" w:rsidRPr="00BD7E1C">
              <w:rPr>
                <w:rFonts w:eastAsia="Times New Roman"/>
                <w:b/>
                <w:bCs/>
                <w:color w:val="FFFFFF" w:themeColor="background1"/>
                <w:sz w:val="18"/>
                <w:szCs w:val="18"/>
                <w:lang w:eastAsia="ru-RU"/>
              </w:rPr>
              <w:t>млн. кВт</w:t>
            </w:r>
            <w:r w:rsidRPr="00BD7E1C">
              <w:rPr>
                <w:rFonts w:eastAsia="Times New Roman"/>
                <w:b/>
                <w:bCs/>
                <w:color w:val="FFFFFF" w:themeColor="background1"/>
                <w:sz w:val="18"/>
                <w:szCs w:val="18"/>
                <w:lang w:eastAsia="ru-RU"/>
              </w:rPr>
              <w:t>*</w:t>
            </w:r>
            <w:r w:rsidR="009A4C46" w:rsidRPr="00BD7E1C">
              <w:rPr>
                <w:rFonts w:eastAsia="Times New Roman"/>
                <w:b/>
                <w:bCs/>
                <w:color w:val="FFFFFF" w:themeColor="background1"/>
                <w:sz w:val="18"/>
                <w:szCs w:val="18"/>
                <w:lang w:eastAsia="ru-RU"/>
              </w:rPr>
              <w:t>ч</w:t>
            </w:r>
          </w:p>
        </w:tc>
        <w:tc>
          <w:tcPr>
            <w:tcW w:w="876"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5964CD0" w14:textId="4DDFAA7B" w:rsidR="009A4C46" w:rsidRPr="00BD7E1C" w:rsidRDefault="000A2AF3" w:rsidP="009A4C46">
            <w:pPr>
              <w:spacing w:after="0" w:line="240" w:lineRule="auto"/>
              <w:jc w:val="center"/>
              <w:rPr>
                <w:rFonts w:eastAsia="Times New Roman"/>
                <w:b/>
                <w:bCs/>
                <w:color w:val="FFFFFF" w:themeColor="background1"/>
                <w:sz w:val="18"/>
                <w:szCs w:val="18"/>
                <w:lang w:eastAsia="ru-RU"/>
              </w:rPr>
            </w:pPr>
            <w:r w:rsidRPr="00BD7E1C">
              <w:rPr>
                <w:rFonts w:eastAsia="Times New Roman"/>
                <w:b/>
                <w:bCs/>
                <w:color w:val="FFFFFF" w:themeColor="background1"/>
                <w:sz w:val="18"/>
                <w:szCs w:val="18"/>
                <w:lang w:eastAsia="ru-RU"/>
              </w:rPr>
              <w:t>Ф</w:t>
            </w:r>
            <w:r w:rsidR="009A4C46" w:rsidRPr="00BD7E1C">
              <w:rPr>
                <w:rFonts w:eastAsia="Times New Roman"/>
                <w:b/>
                <w:bCs/>
                <w:color w:val="FFFFFF" w:themeColor="background1"/>
                <w:sz w:val="18"/>
                <w:szCs w:val="18"/>
                <w:lang w:eastAsia="ru-RU"/>
              </w:rPr>
              <w:t>акт</w:t>
            </w:r>
            <w:r w:rsidRPr="00BD7E1C">
              <w:rPr>
                <w:rFonts w:eastAsia="Times New Roman"/>
                <w:b/>
                <w:bCs/>
                <w:color w:val="FFFFFF" w:themeColor="background1"/>
                <w:sz w:val="18"/>
                <w:szCs w:val="18"/>
                <w:lang w:eastAsia="ru-RU"/>
              </w:rPr>
              <w:t>,</w:t>
            </w:r>
            <w:r w:rsidR="009A4C46" w:rsidRPr="00BD7E1C">
              <w:rPr>
                <w:rFonts w:eastAsia="Times New Roman"/>
                <w:b/>
                <w:bCs/>
                <w:color w:val="FFFFFF" w:themeColor="background1"/>
                <w:sz w:val="18"/>
                <w:szCs w:val="18"/>
                <w:lang w:eastAsia="ru-RU"/>
              </w:rPr>
              <w:t xml:space="preserve"> млн. кВт</w:t>
            </w:r>
            <w:r w:rsidRPr="00BD7E1C">
              <w:rPr>
                <w:rFonts w:eastAsia="Times New Roman"/>
                <w:b/>
                <w:bCs/>
                <w:color w:val="FFFFFF" w:themeColor="background1"/>
                <w:sz w:val="18"/>
                <w:szCs w:val="18"/>
                <w:lang w:eastAsia="ru-RU"/>
              </w:rPr>
              <w:t>*</w:t>
            </w:r>
            <w:r w:rsidR="009A4C46" w:rsidRPr="00BD7E1C">
              <w:rPr>
                <w:rFonts w:eastAsia="Times New Roman"/>
                <w:b/>
                <w:bCs/>
                <w:color w:val="FFFFFF" w:themeColor="background1"/>
                <w:sz w:val="18"/>
                <w:szCs w:val="18"/>
                <w:lang w:eastAsia="ru-RU"/>
              </w:rPr>
              <w:t>ч</w:t>
            </w:r>
          </w:p>
        </w:tc>
        <w:tc>
          <w:tcPr>
            <w:tcW w:w="25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20D9650" w14:textId="189C2068" w:rsidR="009A4C46" w:rsidRPr="00BD7E1C" w:rsidRDefault="000A2AF3" w:rsidP="009A4C46">
            <w:pPr>
              <w:spacing w:after="0" w:line="240" w:lineRule="auto"/>
              <w:jc w:val="center"/>
              <w:rPr>
                <w:rFonts w:eastAsia="Times New Roman"/>
                <w:b/>
                <w:bCs/>
                <w:color w:val="FFFFFF" w:themeColor="background1"/>
                <w:sz w:val="18"/>
                <w:szCs w:val="18"/>
                <w:lang w:eastAsia="ru-RU"/>
              </w:rPr>
            </w:pPr>
            <w:r w:rsidRPr="00BD7E1C">
              <w:rPr>
                <w:rFonts w:eastAsia="Times New Roman"/>
                <w:b/>
                <w:bCs/>
                <w:color w:val="FFFFFF" w:themeColor="background1"/>
                <w:sz w:val="18"/>
                <w:szCs w:val="18"/>
                <w:lang w:eastAsia="ru-RU"/>
              </w:rPr>
              <w:t>Откл</w:t>
            </w:r>
            <w:r w:rsidR="009A4C46" w:rsidRPr="00BD7E1C">
              <w:rPr>
                <w:rFonts w:eastAsia="Times New Roman"/>
                <w:b/>
                <w:bCs/>
                <w:color w:val="FFFFFF" w:themeColor="background1"/>
                <w:sz w:val="18"/>
                <w:szCs w:val="18"/>
                <w:lang w:eastAsia="ru-RU"/>
              </w:rPr>
              <w:t xml:space="preserve">. млн. </w:t>
            </w:r>
            <w:proofErr w:type="spellStart"/>
            <w:r w:rsidR="009A4C46" w:rsidRPr="00BD7E1C">
              <w:rPr>
                <w:rFonts w:eastAsia="Times New Roman"/>
                <w:b/>
                <w:bCs/>
                <w:color w:val="FFFFFF" w:themeColor="background1"/>
                <w:sz w:val="18"/>
                <w:szCs w:val="18"/>
                <w:lang w:eastAsia="ru-RU"/>
              </w:rPr>
              <w:t>кВтч</w:t>
            </w:r>
            <w:proofErr w:type="spellEnd"/>
          </w:p>
        </w:tc>
        <w:tc>
          <w:tcPr>
            <w:tcW w:w="37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E4C513B" w14:textId="77777777" w:rsidR="009A4C46" w:rsidRPr="00BD7E1C" w:rsidRDefault="009A4C46" w:rsidP="009A4C46">
            <w:pPr>
              <w:spacing w:after="0" w:line="240" w:lineRule="auto"/>
              <w:jc w:val="center"/>
              <w:rPr>
                <w:rFonts w:eastAsia="Times New Roman"/>
                <w:b/>
                <w:bCs/>
                <w:color w:val="FFFFFF" w:themeColor="background1"/>
                <w:sz w:val="18"/>
                <w:szCs w:val="18"/>
                <w:lang w:eastAsia="ru-RU"/>
              </w:rPr>
            </w:pPr>
            <w:r w:rsidRPr="00BD7E1C">
              <w:rPr>
                <w:rFonts w:eastAsia="Times New Roman"/>
                <w:b/>
                <w:bCs/>
                <w:color w:val="FFFFFF" w:themeColor="background1"/>
                <w:sz w:val="18"/>
                <w:szCs w:val="18"/>
                <w:lang w:eastAsia="ru-RU"/>
              </w:rPr>
              <w:t>1 полугодие 2017</w:t>
            </w:r>
          </w:p>
        </w:tc>
        <w:tc>
          <w:tcPr>
            <w:tcW w:w="37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0D519ED" w14:textId="77777777" w:rsidR="009A4C46" w:rsidRPr="00BD7E1C" w:rsidRDefault="009A4C46" w:rsidP="009A4C46">
            <w:pPr>
              <w:spacing w:after="0" w:line="240" w:lineRule="auto"/>
              <w:jc w:val="center"/>
              <w:rPr>
                <w:rFonts w:eastAsia="Times New Roman"/>
                <w:b/>
                <w:bCs/>
                <w:color w:val="FFFFFF" w:themeColor="background1"/>
                <w:sz w:val="18"/>
                <w:szCs w:val="18"/>
                <w:lang w:eastAsia="ru-RU"/>
              </w:rPr>
            </w:pPr>
            <w:r w:rsidRPr="00BD7E1C">
              <w:rPr>
                <w:rFonts w:eastAsia="Times New Roman"/>
                <w:b/>
                <w:bCs/>
                <w:color w:val="FFFFFF" w:themeColor="background1"/>
                <w:sz w:val="18"/>
                <w:szCs w:val="18"/>
                <w:lang w:eastAsia="ru-RU"/>
              </w:rPr>
              <w:t>2 полугодие 2017</w:t>
            </w:r>
          </w:p>
        </w:tc>
        <w:tc>
          <w:tcPr>
            <w:tcW w:w="35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A507C9A" w14:textId="77777777" w:rsidR="009A4C46" w:rsidRPr="00BD7E1C" w:rsidRDefault="009A4C46" w:rsidP="009A4C46">
            <w:pPr>
              <w:spacing w:after="0" w:line="240" w:lineRule="auto"/>
              <w:jc w:val="center"/>
              <w:rPr>
                <w:rFonts w:eastAsia="Times New Roman"/>
                <w:b/>
                <w:bCs/>
                <w:color w:val="FFFFFF" w:themeColor="background1"/>
                <w:sz w:val="18"/>
                <w:szCs w:val="18"/>
                <w:lang w:eastAsia="ru-RU"/>
              </w:rPr>
            </w:pPr>
            <w:r w:rsidRPr="00BD7E1C">
              <w:rPr>
                <w:rFonts w:eastAsia="Times New Roman"/>
                <w:b/>
                <w:bCs/>
                <w:color w:val="FFFFFF" w:themeColor="background1"/>
                <w:sz w:val="18"/>
                <w:szCs w:val="18"/>
                <w:lang w:eastAsia="ru-RU"/>
              </w:rPr>
              <w:t>Год</w:t>
            </w:r>
          </w:p>
        </w:tc>
        <w:tc>
          <w:tcPr>
            <w:tcW w:w="40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CC9022E" w14:textId="77777777" w:rsidR="009A4C46" w:rsidRPr="00BD7E1C" w:rsidRDefault="009A4C46" w:rsidP="009A4C46">
            <w:pPr>
              <w:spacing w:after="0" w:line="240" w:lineRule="auto"/>
              <w:jc w:val="center"/>
              <w:rPr>
                <w:rFonts w:eastAsia="Times New Roman"/>
                <w:b/>
                <w:bCs/>
                <w:color w:val="FFFFFF" w:themeColor="background1"/>
                <w:sz w:val="18"/>
                <w:szCs w:val="18"/>
                <w:lang w:eastAsia="ru-RU"/>
              </w:rPr>
            </w:pPr>
            <w:r w:rsidRPr="00BD7E1C">
              <w:rPr>
                <w:rFonts w:eastAsia="Times New Roman"/>
                <w:b/>
                <w:bCs/>
                <w:color w:val="FFFFFF" w:themeColor="background1"/>
                <w:sz w:val="18"/>
                <w:szCs w:val="18"/>
                <w:lang w:eastAsia="ru-RU"/>
              </w:rPr>
              <w:t>1 полугодие 2017</w:t>
            </w:r>
          </w:p>
        </w:tc>
        <w:tc>
          <w:tcPr>
            <w:tcW w:w="31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6655735" w14:textId="77777777" w:rsidR="009A4C46" w:rsidRPr="00BD7E1C" w:rsidRDefault="009A4C46" w:rsidP="009A4C46">
            <w:pPr>
              <w:spacing w:after="0" w:line="240" w:lineRule="auto"/>
              <w:jc w:val="center"/>
              <w:rPr>
                <w:rFonts w:eastAsia="Times New Roman"/>
                <w:b/>
                <w:bCs/>
                <w:color w:val="FFFFFF" w:themeColor="background1"/>
                <w:sz w:val="18"/>
                <w:szCs w:val="18"/>
                <w:lang w:eastAsia="ru-RU"/>
              </w:rPr>
            </w:pPr>
            <w:r w:rsidRPr="00BD7E1C">
              <w:rPr>
                <w:rFonts w:eastAsia="Times New Roman"/>
                <w:b/>
                <w:bCs/>
                <w:color w:val="FFFFFF" w:themeColor="background1"/>
                <w:sz w:val="18"/>
                <w:szCs w:val="18"/>
                <w:lang w:eastAsia="ru-RU"/>
              </w:rPr>
              <w:t>2 полугодие 2017</w:t>
            </w:r>
          </w:p>
        </w:tc>
        <w:tc>
          <w:tcPr>
            <w:tcW w:w="41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8CF6471" w14:textId="77777777" w:rsidR="009A4C46" w:rsidRPr="00BD7E1C" w:rsidRDefault="009A4C46" w:rsidP="009A4C46">
            <w:pPr>
              <w:spacing w:after="0" w:line="240" w:lineRule="auto"/>
              <w:jc w:val="center"/>
              <w:rPr>
                <w:rFonts w:eastAsia="Times New Roman"/>
                <w:b/>
                <w:bCs/>
                <w:color w:val="FFFFFF" w:themeColor="background1"/>
                <w:sz w:val="18"/>
                <w:szCs w:val="18"/>
                <w:lang w:eastAsia="ru-RU"/>
              </w:rPr>
            </w:pPr>
            <w:r w:rsidRPr="00BD7E1C">
              <w:rPr>
                <w:rFonts w:eastAsia="Times New Roman"/>
                <w:b/>
                <w:bCs/>
                <w:color w:val="FFFFFF" w:themeColor="background1"/>
                <w:sz w:val="18"/>
                <w:szCs w:val="18"/>
                <w:lang w:eastAsia="ru-RU"/>
              </w:rPr>
              <w:t>Год</w:t>
            </w:r>
          </w:p>
        </w:tc>
        <w:tc>
          <w:tcPr>
            <w:tcW w:w="31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74D3B3C" w14:textId="77777777" w:rsidR="009A4C46" w:rsidRPr="00BD7E1C" w:rsidRDefault="009A4C46" w:rsidP="009A4C46">
            <w:pPr>
              <w:spacing w:after="0" w:line="240" w:lineRule="auto"/>
              <w:jc w:val="center"/>
              <w:rPr>
                <w:rFonts w:eastAsia="Times New Roman"/>
                <w:b/>
                <w:bCs/>
                <w:color w:val="FFFFFF" w:themeColor="background1"/>
                <w:sz w:val="18"/>
                <w:szCs w:val="18"/>
                <w:lang w:eastAsia="ru-RU"/>
              </w:rPr>
            </w:pPr>
          </w:p>
        </w:tc>
      </w:tr>
      <w:tr w:rsidR="000A2AF3" w:rsidRPr="00BD7E1C" w14:paraId="79BD3461" w14:textId="77777777" w:rsidTr="000A2AF3">
        <w:trPr>
          <w:trHeight w:val="300"/>
        </w:trPr>
        <w:tc>
          <w:tcPr>
            <w:tcW w:w="43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73615AE" w14:textId="77777777" w:rsidR="009A4C46" w:rsidRPr="00BD7E1C" w:rsidRDefault="009A4C46" w:rsidP="009A4C46">
            <w:pPr>
              <w:spacing w:after="0" w:line="240" w:lineRule="auto"/>
              <w:jc w:val="center"/>
              <w:rPr>
                <w:rFonts w:eastAsia="Times New Roman"/>
                <w:b/>
                <w:bCs/>
                <w:color w:val="FFFFFF" w:themeColor="background1"/>
                <w:sz w:val="18"/>
                <w:szCs w:val="18"/>
                <w:lang w:eastAsia="ru-RU"/>
              </w:rPr>
            </w:pPr>
            <w:r w:rsidRPr="00BD7E1C">
              <w:rPr>
                <w:rFonts w:eastAsia="Times New Roman"/>
                <w:b/>
                <w:bCs/>
                <w:color w:val="FFFFFF" w:themeColor="background1"/>
                <w:sz w:val="18"/>
                <w:szCs w:val="18"/>
                <w:lang w:eastAsia="ru-RU"/>
              </w:rPr>
              <w:t> </w:t>
            </w:r>
          </w:p>
        </w:tc>
        <w:tc>
          <w:tcPr>
            <w:tcW w:w="29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0EAAE0C" w14:textId="77777777" w:rsidR="009A4C46" w:rsidRPr="00BD7E1C" w:rsidRDefault="009A4C46" w:rsidP="009A4C46">
            <w:pPr>
              <w:spacing w:after="0" w:line="240" w:lineRule="auto"/>
              <w:jc w:val="center"/>
              <w:rPr>
                <w:rFonts w:eastAsia="Times New Roman"/>
                <w:b/>
                <w:bCs/>
                <w:color w:val="FFFFFF" w:themeColor="background1"/>
                <w:sz w:val="18"/>
                <w:szCs w:val="18"/>
                <w:lang w:eastAsia="ru-RU"/>
              </w:rPr>
            </w:pPr>
            <w:r w:rsidRPr="00BD7E1C">
              <w:rPr>
                <w:rFonts w:eastAsia="Times New Roman"/>
                <w:b/>
                <w:bCs/>
                <w:color w:val="FFFFFF" w:themeColor="background1"/>
                <w:sz w:val="18"/>
                <w:szCs w:val="18"/>
                <w:lang w:eastAsia="ru-RU"/>
              </w:rPr>
              <w:t>1 пол.</w:t>
            </w:r>
          </w:p>
        </w:tc>
        <w:tc>
          <w:tcPr>
            <w:tcW w:w="29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623C32C" w14:textId="77777777" w:rsidR="009A4C46" w:rsidRPr="00BD7E1C" w:rsidRDefault="009A4C46" w:rsidP="009A4C46">
            <w:pPr>
              <w:spacing w:after="0" w:line="240" w:lineRule="auto"/>
              <w:jc w:val="center"/>
              <w:rPr>
                <w:rFonts w:eastAsia="Times New Roman"/>
                <w:b/>
                <w:bCs/>
                <w:color w:val="FFFFFF" w:themeColor="background1"/>
                <w:sz w:val="18"/>
                <w:szCs w:val="18"/>
                <w:lang w:eastAsia="ru-RU"/>
              </w:rPr>
            </w:pPr>
            <w:r w:rsidRPr="00BD7E1C">
              <w:rPr>
                <w:rFonts w:eastAsia="Times New Roman"/>
                <w:b/>
                <w:bCs/>
                <w:color w:val="FFFFFF" w:themeColor="background1"/>
                <w:sz w:val="18"/>
                <w:szCs w:val="18"/>
                <w:lang w:eastAsia="ru-RU"/>
              </w:rPr>
              <w:t>2 пол.</w:t>
            </w:r>
          </w:p>
        </w:tc>
        <w:tc>
          <w:tcPr>
            <w:tcW w:w="29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5034D66" w14:textId="77777777" w:rsidR="009A4C46" w:rsidRPr="00BD7E1C" w:rsidRDefault="009A4C46" w:rsidP="009A4C46">
            <w:pPr>
              <w:spacing w:after="0" w:line="240" w:lineRule="auto"/>
              <w:jc w:val="center"/>
              <w:rPr>
                <w:rFonts w:eastAsia="Times New Roman"/>
                <w:b/>
                <w:bCs/>
                <w:color w:val="FFFFFF" w:themeColor="background1"/>
                <w:sz w:val="18"/>
                <w:szCs w:val="18"/>
                <w:lang w:eastAsia="ru-RU"/>
              </w:rPr>
            </w:pPr>
            <w:r w:rsidRPr="00BD7E1C">
              <w:rPr>
                <w:rFonts w:eastAsia="Times New Roman"/>
                <w:b/>
                <w:bCs/>
                <w:color w:val="FFFFFF" w:themeColor="background1"/>
                <w:sz w:val="18"/>
                <w:szCs w:val="18"/>
                <w:lang w:eastAsia="ru-RU"/>
              </w:rPr>
              <w:t>год</w:t>
            </w:r>
          </w:p>
        </w:tc>
        <w:tc>
          <w:tcPr>
            <w:tcW w:w="29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ABCF06F" w14:textId="77777777" w:rsidR="009A4C46" w:rsidRPr="00BD7E1C" w:rsidRDefault="009A4C46" w:rsidP="009A4C46">
            <w:pPr>
              <w:spacing w:after="0" w:line="240" w:lineRule="auto"/>
              <w:jc w:val="center"/>
              <w:rPr>
                <w:rFonts w:eastAsia="Times New Roman"/>
                <w:b/>
                <w:bCs/>
                <w:color w:val="FFFFFF" w:themeColor="background1"/>
                <w:sz w:val="18"/>
                <w:szCs w:val="18"/>
                <w:lang w:eastAsia="ru-RU"/>
              </w:rPr>
            </w:pPr>
            <w:r w:rsidRPr="00BD7E1C">
              <w:rPr>
                <w:rFonts w:eastAsia="Times New Roman"/>
                <w:b/>
                <w:bCs/>
                <w:color w:val="FFFFFF" w:themeColor="background1"/>
                <w:sz w:val="18"/>
                <w:szCs w:val="18"/>
                <w:lang w:eastAsia="ru-RU"/>
              </w:rPr>
              <w:t>1 пол.</w:t>
            </w:r>
          </w:p>
        </w:tc>
        <w:tc>
          <w:tcPr>
            <w:tcW w:w="24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D60BCDF" w14:textId="77777777" w:rsidR="009A4C46" w:rsidRPr="00BD7E1C" w:rsidRDefault="009A4C46" w:rsidP="009A4C46">
            <w:pPr>
              <w:spacing w:after="0" w:line="240" w:lineRule="auto"/>
              <w:jc w:val="center"/>
              <w:rPr>
                <w:rFonts w:eastAsia="Times New Roman"/>
                <w:b/>
                <w:bCs/>
                <w:color w:val="FFFFFF" w:themeColor="background1"/>
                <w:sz w:val="18"/>
                <w:szCs w:val="18"/>
                <w:lang w:eastAsia="ru-RU"/>
              </w:rPr>
            </w:pPr>
            <w:r w:rsidRPr="00BD7E1C">
              <w:rPr>
                <w:rFonts w:eastAsia="Times New Roman"/>
                <w:b/>
                <w:bCs/>
                <w:color w:val="FFFFFF" w:themeColor="background1"/>
                <w:sz w:val="18"/>
                <w:szCs w:val="18"/>
                <w:lang w:eastAsia="ru-RU"/>
              </w:rPr>
              <w:t>2 пол.</w:t>
            </w:r>
          </w:p>
        </w:tc>
        <w:tc>
          <w:tcPr>
            <w:tcW w:w="34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33A9C17" w14:textId="77777777" w:rsidR="009A4C46" w:rsidRPr="00BD7E1C" w:rsidRDefault="009A4C46" w:rsidP="009A4C46">
            <w:pPr>
              <w:spacing w:after="0" w:line="240" w:lineRule="auto"/>
              <w:jc w:val="center"/>
              <w:rPr>
                <w:rFonts w:eastAsia="Times New Roman"/>
                <w:b/>
                <w:bCs/>
                <w:color w:val="FFFFFF" w:themeColor="background1"/>
                <w:sz w:val="18"/>
                <w:szCs w:val="18"/>
                <w:lang w:eastAsia="ru-RU"/>
              </w:rPr>
            </w:pPr>
            <w:r w:rsidRPr="00BD7E1C">
              <w:rPr>
                <w:rFonts w:eastAsia="Times New Roman"/>
                <w:b/>
                <w:bCs/>
                <w:color w:val="FFFFFF" w:themeColor="background1"/>
                <w:sz w:val="18"/>
                <w:szCs w:val="18"/>
                <w:lang w:eastAsia="ru-RU"/>
              </w:rPr>
              <w:t>год</w:t>
            </w:r>
          </w:p>
        </w:tc>
        <w:tc>
          <w:tcPr>
            <w:tcW w:w="25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A82F98A" w14:textId="77777777" w:rsidR="009A4C46" w:rsidRPr="00BD7E1C" w:rsidRDefault="009A4C46" w:rsidP="009A4C46">
            <w:pPr>
              <w:spacing w:after="0" w:line="240" w:lineRule="auto"/>
              <w:jc w:val="center"/>
              <w:rPr>
                <w:rFonts w:eastAsia="Times New Roman"/>
                <w:b/>
                <w:bCs/>
                <w:color w:val="FFFFFF" w:themeColor="background1"/>
                <w:sz w:val="18"/>
                <w:szCs w:val="18"/>
                <w:lang w:eastAsia="ru-RU"/>
              </w:rPr>
            </w:pPr>
            <w:r w:rsidRPr="00BD7E1C">
              <w:rPr>
                <w:rFonts w:eastAsia="Times New Roman"/>
                <w:b/>
                <w:bCs/>
                <w:color w:val="FFFFFF" w:themeColor="background1"/>
                <w:sz w:val="18"/>
                <w:szCs w:val="18"/>
                <w:lang w:eastAsia="ru-RU"/>
              </w:rPr>
              <w:t>год</w:t>
            </w:r>
          </w:p>
        </w:tc>
        <w:tc>
          <w:tcPr>
            <w:tcW w:w="37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DAC2582" w14:textId="77777777" w:rsidR="009A4C46" w:rsidRPr="00BD7E1C" w:rsidRDefault="009A4C46" w:rsidP="00F94FED">
            <w:pPr>
              <w:spacing w:after="0" w:line="240" w:lineRule="auto"/>
              <w:rPr>
                <w:rFonts w:eastAsia="Times New Roman"/>
                <w:b/>
                <w:bCs/>
                <w:color w:val="FFFFFF" w:themeColor="background1"/>
                <w:sz w:val="18"/>
                <w:szCs w:val="18"/>
                <w:lang w:eastAsia="ru-RU"/>
              </w:rPr>
            </w:pPr>
          </w:p>
        </w:tc>
        <w:tc>
          <w:tcPr>
            <w:tcW w:w="37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027C82B" w14:textId="77777777" w:rsidR="009A4C46" w:rsidRPr="00BD7E1C" w:rsidRDefault="009A4C46" w:rsidP="009A4C46">
            <w:pPr>
              <w:spacing w:after="0" w:line="240" w:lineRule="auto"/>
              <w:jc w:val="center"/>
              <w:rPr>
                <w:rFonts w:eastAsia="Times New Roman"/>
                <w:b/>
                <w:bCs/>
                <w:color w:val="FFFFFF" w:themeColor="background1"/>
                <w:sz w:val="18"/>
                <w:szCs w:val="18"/>
                <w:lang w:eastAsia="ru-RU"/>
              </w:rPr>
            </w:pPr>
          </w:p>
        </w:tc>
        <w:tc>
          <w:tcPr>
            <w:tcW w:w="35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136C83A" w14:textId="77777777" w:rsidR="009A4C46" w:rsidRPr="00BD7E1C" w:rsidRDefault="009A4C46" w:rsidP="009A4C46">
            <w:pPr>
              <w:spacing w:after="0" w:line="240" w:lineRule="auto"/>
              <w:jc w:val="center"/>
              <w:rPr>
                <w:rFonts w:eastAsia="Times New Roman"/>
                <w:b/>
                <w:bCs/>
                <w:color w:val="FFFFFF" w:themeColor="background1"/>
                <w:sz w:val="18"/>
                <w:szCs w:val="18"/>
                <w:lang w:eastAsia="ru-RU"/>
              </w:rPr>
            </w:pPr>
          </w:p>
        </w:tc>
        <w:tc>
          <w:tcPr>
            <w:tcW w:w="40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DAC322A" w14:textId="77777777" w:rsidR="009A4C46" w:rsidRPr="00BD7E1C" w:rsidRDefault="009A4C46" w:rsidP="009A4C46">
            <w:pPr>
              <w:spacing w:after="0" w:line="240" w:lineRule="auto"/>
              <w:jc w:val="center"/>
              <w:rPr>
                <w:rFonts w:eastAsia="Times New Roman"/>
                <w:b/>
                <w:bCs/>
                <w:color w:val="FFFFFF" w:themeColor="background1"/>
                <w:sz w:val="18"/>
                <w:szCs w:val="18"/>
                <w:lang w:eastAsia="ru-RU"/>
              </w:rPr>
            </w:pPr>
          </w:p>
        </w:tc>
        <w:tc>
          <w:tcPr>
            <w:tcW w:w="31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20D279D" w14:textId="77777777" w:rsidR="009A4C46" w:rsidRPr="00BD7E1C" w:rsidRDefault="009A4C46" w:rsidP="009A4C46">
            <w:pPr>
              <w:spacing w:after="0" w:line="240" w:lineRule="auto"/>
              <w:jc w:val="center"/>
              <w:rPr>
                <w:rFonts w:eastAsia="Times New Roman"/>
                <w:b/>
                <w:bCs/>
                <w:color w:val="FFFFFF" w:themeColor="background1"/>
                <w:sz w:val="18"/>
                <w:szCs w:val="18"/>
                <w:lang w:eastAsia="ru-RU"/>
              </w:rPr>
            </w:pPr>
          </w:p>
        </w:tc>
        <w:tc>
          <w:tcPr>
            <w:tcW w:w="41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DB567E8" w14:textId="77777777" w:rsidR="009A4C46" w:rsidRPr="00BD7E1C" w:rsidRDefault="009A4C46" w:rsidP="009A4C46">
            <w:pPr>
              <w:spacing w:after="0" w:line="240" w:lineRule="auto"/>
              <w:jc w:val="center"/>
              <w:rPr>
                <w:rFonts w:eastAsia="Times New Roman"/>
                <w:b/>
                <w:bCs/>
                <w:color w:val="FFFFFF" w:themeColor="background1"/>
                <w:sz w:val="18"/>
                <w:szCs w:val="18"/>
                <w:lang w:eastAsia="ru-RU"/>
              </w:rPr>
            </w:pPr>
          </w:p>
        </w:tc>
        <w:tc>
          <w:tcPr>
            <w:tcW w:w="31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360201F" w14:textId="77777777" w:rsidR="009A4C46" w:rsidRPr="00BD7E1C" w:rsidRDefault="009A4C46" w:rsidP="009A4C46">
            <w:pPr>
              <w:spacing w:after="0" w:line="240" w:lineRule="auto"/>
              <w:jc w:val="center"/>
              <w:rPr>
                <w:rFonts w:eastAsia="Times New Roman"/>
                <w:b/>
                <w:bCs/>
                <w:color w:val="FFFFFF" w:themeColor="background1"/>
                <w:sz w:val="18"/>
                <w:szCs w:val="18"/>
                <w:lang w:eastAsia="ru-RU"/>
              </w:rPr>
            </w:pPr>
          </w:p>
        </w:tc>
      </w:tr>
      <w:tr w:rsidR="00B267C9" w:rsidRPr="00BD7E1C" w14:paraId="1E9E1799" w14:textId="77777777" w:rsidTr="00E3296D">
        <w:trPr>
          <w:trHeight w:val="300"/>
        </w:trPr>
        <w:tc>
          <w:tcPr>
            <w:tcW w:w="436"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6A8F5563" w14:textId="77777777" w:rsidR="00B267C9" w:rsidRPr="00BD7E1C" w:rsidRDefault="00B267C9" w:rsidP="00B267C9">
            <w:pPr>
              <w:spacing w:after="0" w:line="240" w:lineRule="auto"/>
              <w:rPr>
                <w:rFonts w:eastAsia="Times New Roman"/>
                <w:b/>
                <w:bCs/>
                <w:sz w:val="18"/>
                <w:szCs w:val="18"/>
                <w:lang w:eastAsia="ru-RU"/>
              </w:rPr>
            </w:pPr>
            <w:r w:rsidRPr="00BD7E1C">
              <w:rPr>
                <w:rFonts w:eastAsia="Times New Roman"/>
                <w:b/>
                <w:bCs/>
                <w:sz w:val="18"/>
                <w:szCs w:val="18"/>
                <w:lang w:eastAsia="ru-RU"/>
              </w:rPr>
              <w:t>Всего</w:t>
            </w:r>
          </w:p>
        </w:tc>
        <w:tc>
          <w:tcPr>
            <w:tcW w:w="292"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7CBA364" w14:textId="1881DB8C" w:rsidR="00B267C9" w:rsidRPr="00BD7E1C" w:rsidRDefault="00B267C9" w:rsidP="00B267C9">
            <w:pPr>
              <w:spacing w:after="0" w:line="240" w:lineRule="auto"/>
              <w:jc w:val="center"/>
              <w:rPr>
                <w:rFonts w:eastAsia="Times New Roman"/>
                <w:b/>
                <w:bCs/>
                <w:sz w:val="16"/>
                <w:szCs w:val="16"/>
                <w:lang w:eastAsia="ru-RU"/>
              </w:rPr>
            </w:pPr>
            <w:r w:rsidRPr="00BD7E1C">
              <w:rPr>
                <w:rFonts w:cs="Arial"/>
                <w:b/>
                <w:bCs/>
                <w:color w:val="000000"/>
                <w:sz w:val="16"/>
                <w:szCs w:val="16"/>
              </w:rPr>
              <w:t>209,38</w:t>
            </w:r>
          </w:p>
        </w:tc>
        <w:tc>
          <w:tcPr>
            <w:tcW w:w="292" w:type="pct"/>
            <w:tcBorders>
              <w:top w:val="single" w:sz="4" w:space="0" w:color="auto"/>
              <w:left w:val="nil"/>
              <w:bottom w:val="single" w:sz="4" w:space="0" w:color="auto"/>
              <w:right w:val="single" w:sz="4" w:space="0" w:color="auto"/>
            </w:tcBorders>
            <w:shd w:val="clear" w:color="000000" w:fill="FFFFFF"/>
            <w:noWrap/>
            <w:vAlign w:val="center"/>
            <w:hideMark/>
          </w:tcPr>
          <w:p w14:paraId="7A47E06F" w14:textId="78C7F2A9" w:rsidR="00B267C9" w:rsidRPr="00BD7E1C" w:rsidRDefault="00B267C9" w:rsidP="00B267C9">
            <w:pPr>
              <w:spacing w:after="0" w:line="240" w:lineRule="auto"/>
              <w:jc w:val="center"/>
              <w:rPr>
                <w:rFonts w:eastAsia="Times New Roman"/>
                <w:b/>
                <w:bCs/>
                <w:sz w:val="16"/>
                <w:szCs w:val="16"/>
                <w:lang w:eastAsia="ru-RU"/>
              </w:rPr>
            </w:pPr>
            <w:r w:rsidRPr="00BD7E1C">
              <w:rPr>
                <w:rFonts w:cs="Arial"/>
                <w:b/>
                <w:bCs/>
                <w:color w:val="000000"/>
                <w:sz w:val="16"/>
                <w:szCs w:val="16"/>
              </w:rPr>
              <w:t>240,87</w:t>
            </w:r>
          </w:p>
        </w:tc>
        <w:tc>
          <w:tcPr>
            <w:tcW w:w="292" w:type="pct"/>
            <w:tcBorders>
              <w:top w:val="single" w:sz="4" w:space="0" w:color="auto"/>
              <w:left w:val="nil"/>
              <w:bottom w:val="single" w:sz="4" w:space="0" w:color="auto"/>
              <w:right w:val="single" w:sz="4" w:space="0" w:color="auto"/>
            </w:tcBorders>
            <w:shd w:val="clear" w:color="000000" w:fill="FFFFFF"/>
            <w:noWrap/>
            <w:vAlign w:val="center"/>
            <w:hideMark/>
          </w:tcPr>
          <w:p w14:paraId="3279E980" w14:textId="26FADFEC" w:rsidR="00B267C9" w:rsidRPr="00BD7E1C" w:rsidRDefault="00B267C9" w:rsidP="00B267C9">
            <w:pPr>
              <w:spacing w:after="0" w:line="240" w:lineRule="auto"/>
              <w:jc w:val="center"/>
              <w:rPr>
                <w:rFonts w:eastAsia="Times New Roman"/>
                <w:b/>
                <w:bCs/>
                <w:sz w:val="16"/>
                <w:szCs w:val="16"/>
                <w:lang w:eastAsia="ru-RU"/>
              </w:rPr>
            </w:pPr>
            <w:r w:rsidRPr="00BD7E1C">
              <w:rPr>
                <w:rFonts w:cs="Arial"/>
                <w:b/>
                <w:bCs/>
                <w:color w:val="000000"/>
                <w:sz w:val="16"/>
                <w:szCs w:val="16"/>
              </w:rPr>
              <w:t>450,25</w:t>
            </w:r>
          </w:p>
        </w:tc>
        <w:tc>
          <w:tcPr>
            <w:tcW w:w="292" w:type="pct"/>
            <w:tcBorders>
              <w:top w:val="single" w:sz="4" w:space="0" w:color="auto"/>
              <w:left w:val="nil"/>
              <w:bottom w:val="single" w:sz="4" w:space="0" w:color="auto"/>
              <w:right w:val="single" w:sz="4" w:space="0" w:color="auto"/>
            </w:tcBorders>
            <w:shd w:val="clear" w:color="000000" w:fill="FFFFFF"/>
            <w:noWrap/>
            <w:vAlign w:val="center"/>
            <w:hideMark/>
          </w:tcPr>
          <w:p w14:paraId="09FFB1FD" w14:textId="5464A27B" w:rsidR="00B267C9" w:rsidRPr="00BD7E1C" w:rsidRDefault="00B267C9" w:rsidP="00B267C9">
            <w:pPr>
              <w:spacing w:after="0" w:line="240" w:lineRule="auto"/>
              <w:jc w:val="center"/>
              <w:rPr>
                <w:rFonts w:eastAsia="Times New Roman"/>
                <w:b/>
                <w:bCs/>
                <w:sz w:val="16"/>
                <w:szCs w:val="16"/>
                <w:lang w:eastAsia="ru-RU"/>
              </w:rPr>
            </w:pPr>
            <w:r w:rsidRPr="00BD7E1C">
              <w:rPr>
                <w:rFonts w:cs="Arial"/>
                <w:b/>
                <w:bCs/>
                <w:color w:val="000000"/>
                <w:sz w:val="16"/>
                <w:szCs w:val="16"/>
              </w:rPr>
              <w:t>226,23</w:t>
            </w:r>
          </w:p>
        </w:tc>
        <w:tc>
          <w:tcPr>
            <w:tcW w:w="243" w:type="pct"/>
            <w:tcBorders>
              <w:top w:val="single" w:sz="4" w:space="0" w:color="auto"/>
              <w:left w:val="nil"/>
              <w:bottom w:val="single" w:sz="4" w:space="0" w:color="auto"/>
              <w:right w:val="single" w:sz="4" w:space="0" w:color="auto"/>
            </w:tcBorders>
            <w:shd w:val="clear" w:color="000000" w:fill="FFFFFF"/>
            <w:noWrap/>
            <w:vAlign w:val="center"/>
            <w:hideMark/>
          </w:tcPr>
          <w:p w14:paraId="315BEC43" w14:textId="09468F3D" w:rsidR="00B267C9" w:rsidRPr="00BD7E1C" w:rsidRDefault="00B267C9" w:rsidP="00B267C9">
            <w:pPr>
              <w:spacing w:after="0" w:line="240" w:lineRule="auto"/>
              <w:jc w:val="center"/>
              <w:rPr>
                <w:rFonts w:eastAsia="Times New Roman"/>
                <w:b/>
                <w:bCs/>
                <w:sz w:val="16"/>
                <w:szCs w:val="16"/>
                <w:lang w:eastAsia="ru-RU"/>
              </w:rPr>
            </w:pPr>
            <w:r w:rsidRPr="00BD7E1C">
              <w:rPr>
                <w:rFonts w:cs="Arial"/>
                <w:b/>
                <w:bCs/>
                <w:color w:val="000000"/>
                <w:sz w:val="16"/>
                <w:szCs w:val="16"/>
              </w:rPr>
              <w:t>227,82</w:t>
            </w:r>
          </w:p>
        </w:tc>
        <w:tc>
          <w:tcPr>
            <w:tcW w:w="341" w:type="pct"/>
            <w:tcBorders>
              <w:top w:val="single" w:sz="4" w:space="0" w:color="auto"/>
              <w:left w:val="nil"/>
              <w:bottom w:val="single" w:sz="4" w:space="0" w:color="auto"/>
              <w:right w:val="single" w:sz="4" w:space="0" w:color="auto"/>
            </w:tcBorders>
            <w:shd w:val="clear" w:color="000000" w:fill="FFFFFF"/>
            <w:noWrap/>
            <w:vAlign w:val="center"/>
            <w:hideMark/>
          </w:tcPr>
          <w:p w14:paraId="2E838668" w14:textId="41311E4D" w:rsidR="00B267C9" w:rsidRPr="00BD7E1C" w:rsidRDefault="00B267C9" w:rsidP="00B267C9">
            <w:pPr>
              <w:spacing w:after="0" w:line="240" w:lineRule="auto"/>
              <w:jc w:val="center"/>
              <w:rPr>
                <w:rFonts w:eastAsia="Times New Roman"/>
                <w:b/>
                <w:bCs/>
                <w:sz w:val="16"/>
                <w:szCs w:val="16"/>
                <w:lang w:eastAsia="ru-RU"/>
              </w:rPr>
            </w:pPr>
            <w:r w:rsidRPr="00BD7E1C">
              <w:rPr>
                <w:rFonts w:cs="Arial"/>
                <w:b/>
                <w:bCs/>
                <w:color w:val="000000"/>
                <w:sz w:val="16"/>
                <w:szCs w:val="16"/>
              </w:rPr>
              <w:t>454,05</w:t>
            </w:r>
          </w:p>
        </w:tc>
        <w:tc>
          <w:tcPr>
            <w:tcW w:w="252" w:type="pct"/>
            <w:tcBorders>
              <w:top w:val="single" w:sz="4" w:space="0" w:color="auto"/>
              <w:left w:val="nil"/>
              <w:bottom w:val="single" w:sz="4" w:space="0" w:color="auto"/>
              <w:right w:val="single" w:sz="4" w:space="0" w:color="auto"/>
            </w:tcBorders>
            <w:shd w:val="clear" w:color="000000" w:fill="FFFFFF"/>
            <w:noWrap/>
            <w:vAlign w:val="center"/>
            <w:hideMark/>
          </w:tcPr>
          <w:p w14:paraId="06C802E0" w14:textId="658A8C94" w:rsidR="00B267C9" w:rsidRPr="00BD7E1C" w:rsidRDefault="00B267C9" w:rsidP="00B267C9">
            <w:pPr>
              <w:spacing w:after="0" w:line="240" w:lineRule="auto"/>
              <w:jc w:val="center"/>
              <w:rPr>
                <w:rFonts w:eastAsia="Times New Roman"/>
                <w:b/>
                <w:bCs/>
                <w:sz w:val="16"/>
                <w:szCs w:val="16"/>
                <w:lang w:eastAsia="ru-RU"/>
              </w:rPr>
            </w:pPr>
            <w:r w:rsidRPr="00BD7E1C">
              <w:rPr>
                <w:rFonts w:cs="Arial"/>
                <w:b/>
                <w:bCs/>
                <w:color w:val="000000"/>
                <w:sz w:val="16"/>
                <w:szCs w:val="16"/>
              </w:rPr>
              <w:t>3,80</w:t>
            </w:r>
          </w:p>
        </w:tc>
        <w:tc>
          <w:tcPr>
            <w:tcW w:w="373" w:type="pct"/>
            <w:tcBorders>
              <w:top w:val="single" w:sz="4" w:space="0" w:color="auto"/>
              <w:left w:val="nil"/>
              <w:bottom w:val="single" w:sz="4" w:space="0" w:color="auto"/>
              <w:right w:val="single" w:sz="4" w:space="0" w:color="auto"/>
            </w:tcBorders>
            <w:shd w:val="clear" w:color="auto" w:fill="auto"/>
            <w:noWrap/>
            <w:vAlign w:val="center"/>
            <w:hideMark/>
          </w:tcPr>
          <w:p w14:paraId="4222FC9A" w14:textId="24641C71" w:rsidR="00B267C9" w:rsidRPr="00BD7E1C" w:rsidRDefault="00B267C9" w:rsidP="00B267C9">
            <w:pPr>
              <w:spacing w:after="0" w:line="240" w:lineRule="auto"/>
              <w:jc w:val="center"/>
              <w:rPr>
                <w:rFonts w:eastAsia="Times New Roman"/>
                <w:b/>
                <w:bCs/>
                <w:sz w:val="16"/>
                <w:szCs w:val="16"/>
                <w:lang w:eastAsia="ru-RU"/>
              </w:rPr>
            </w:pPr>
            <w:r w:rsidRPr="00BD7E1C">
              <w:rPr>
                <w:rFonts w:cs="Arial"/>
                <w:b/>
                <w:bCs/>
                <w:color w:val="000000"/>
                <w:sz w:val="16"/>
                <w:szCs w:val="16"/>
              </w:rPr>
              <w:t>582 882</w:t>
            </w:r>
          </w:p>
        </w:tc>
        <w:tc>
          <w:tcPr>
            <w:tcW w:w="373" w:type="pct"/>
            <w:tcBorders>
              <w:top w:val="single" w:sz="4" w:space="0" w:color="auto"/>
              <w:left w:val="nil"/>
              <w:bottom w:val="single" w:sz="4" w:space="0" w:color="auto"/>
              <w:right w:val="single" w:sz="4" w:space="0" w:color="auto"/>
            </w:tcBorders>
            <w:shd w:val="clear" w:color="auto" w:fill="auto"/>
            <w:noWrap/>
            <w:vAlign w:val="center"/>
            <w:hideMark/>
          </w:tcPr>
          <w:p w14:paraId="534186BF" w14:textId="3FD4220D" w:rsidR="00B267C9" w:rsidRPr="00BD7E1C" w:rsidRDefault="00B267C9" w:rsidP="00B267C9">
            <w:pPr>
              <w:spacing w:after="0" w:line="240" w:lineRule="auto"/>
              <w:jc w:val="center"/>
              <w:rPr>
                <w:rFonts w:eastAsia="Times New Roman"/>
                <w:b/>
                <w:bCs/>
                <w:sz w:val="16"/>
                <w:szCs w:val="16"/>
                <w:lang w:eastAsia="ru-RU"/>
              </w:rPr>
            </w:pPr>
            <w:r w:rsidRPr="00BD7E1C">
              <w:rPr>
                <w:rFonts w:cs="Arial"/>
                <w:b/>
                <w:bCs/>
                <w:color w:val="000000"/>
                <w:sz w:val="16"/>
                <w:szCs w:val="16"/>
              </w:rPr>
              <w:t>712 521</w:t>
            </w:r>
          </w:p>
        </w:tc>
        <w:tc>
          <w:tcPr>
            <w:tcW w:w="357" w:type="pct"/>
            <w:tcBorders>
              <w:top w:val="single" w:sz="4" w:space="0" w:color="auto"/>
              <w:left w:val="nil"/>
              <w:bottom w:val="single" w:sz="4" w:space="0" w:color="auto"/>
              <w:right w:val="single" w:sz="4" w:space="0" w:color="auto"/>
            </w:tcBorders>
            <w:shd w:val="clear" w:color="auto" w:fill="auto"/>
            <w:noWrap/>
            <w:vAlign w:val="center"/>
            <w:hideMark/>
          </w:tcPr>
          <w:p w14:paraId="13DB2F52" w14:textId="3C0B619F" w:rsidR="00B267C9" w:rsidRPr="00BD7E1C" w:rsidRDefault="00B267C9" w:rsidP="00B267C9">
            <w:pPr>
              <w:spacing w:after="0" w:line="240" w:lineRule="auto"/>
              <w:jc w:val="center"/>
              <w:rPr>
                <w:rFonts w:eastAsia="Times New Roman"/>
                <w:b/>
                <w:bCs/>
                <w:sz w:val="16"/>
                <w:szCs w:val="16"/>
                <w:lang w:eastAsia="ru-RU"/>
              </w:rPr>
            </w:pPr>
            <w:r w:rsidRPr="00BD7E1C">
              <w:rPr>
                <w:rFonts w:cs="Arial"/>
                <w:b/>
                <w:bCs/>
                <w:color w:val="000000"/>
                <w:sz w:val="16"/>
                <w:szCs w:val="16"/>
              </w:rPr>
              <w:t>1 295 403</w:t>
            </w:r>
          </w:p>
        </w:tc>
        <w:tc>
          <w:tcPr>
            <w:tcW w:w="407" w:type="pct"/>
            <w:tcBorders>
              <w:top w:val="single" w:sz="4" w:space="0" w:color="auto"/>
              <w:left w:val="nil"/>
              <w:bottom w:val="single" w:sz="4" w:space="0" w:color="auto"/>
              <w:right w:val="single" w:sz="4" w:space="0" w:color="auto"/>
            </w:tcBorders>
            <w:shd w:val="clear" w:color="auto" w:fill="auto"/>
            <w:noWrap/>
            <w:vAlign w:val="center"/>
            <w:hideMark/>
          </w:tcPr>
          <w:p w14:paraId="5AB31FC6" w14:textId="5229F934" w:rsidR="00B267C9" w:rsidRPr="00BD7E1C" w:rsidRDefault="00B267C9" w:rsidP="00B267C9">
            <w:pPr>
              <w:spacing w:after="0" w:line="240" w:lineRule="auto"/>
              <w:jc w:val="center"/>
              <w:rPr>
                <w:rFonts w:eastAsia="Times New Roman"/>
                <w:b/>
                <w:bCs/>
                <w:sz w:val="16"/>
                <w:szCs w:val="16"/>
                <w:lang w:eastAsia="ru-RU"/>
              </w:rPr>
            </w:pPr>
            <w:r w:rsidRPr="00BD7E1C">
              <w:rPr>
                <w:rFonts w:cs="Arial"/>
                <w:b/>
                <w:bCs/>
                <w:color w:val="000000"/>
                <w:sz w:val="16"/>
                <w:szCs w:val="16"/>
              </w:rPr>
              <w:t>593 069</w:t>
            </w:r>
          </w:p>
        </w:tc>
        <w:tc>
          <w:tcPr>
            <w:tcW w:w="319" w:type="pct"/>
            <w:tcBorders>
              <w:top w:val="single" w:sz="4" w:space="0" w:color="auto"/>
              <w:left w:val="nil"/>
              <w:bottom w:val="single" w:sz="4" w:space="0" w:color="auto"/>
              <w:right w:val="single" w:sz="4" w:space="0" w:color="auto"/>
            </w:tcBorders>
            <w:shd w:val="clear" w:color="auto" w:fill="auto"/>
            <w:noWrap/>
            <w:vAlign w:val="center"/>
            <w:hideMark/>
          </w:tcPr>
          <w:p w14:paraId="24D6D79B" w14:textId="4C398508" w:rsidR="00B267C9" w:rsidRPr="00BD7E1C" w:rsidRDefault="00B267C9" w:rsidP="00B267C9">
            <w:pPr>
              <w:spacing w:after="0" w:line="240" w:lineRule="auto"/>
              <w:jc w:val="center"/>
              <w:rPr>
                <w:rFonts w:eastAsia="Times New Roman"/>
                <w:b/>
                <w:bCs/>
                <w:sz w:val="16"/>
                <w:szCs w:val="16"/>
                <w:lang w:eastAsia="ru-RU"/>
              </w:rPr>
            </w:pPr>
            <w:r w:rsidRPr="00BD7E1C">
              <w:rPr>
                <w:rFonts w:cs="Arial"/>
                <w:b/>
                <w:bCs/>
                <w:color w:val="000000"/>
                <w:sz w:val="16"/>
                <w:szCs w:val="16"/>
              </w:rPr>
              <w:t>610 298</w:t>
            </w:r>
          </w:p>
        </w:tc>
        <w:tc>
          <w:tcPr>
            <w:tcW w:w="413" w:type="pct"/>
            <w:tcBorders>
              <w:top w:val="single" w:sz="4" w:space="0" w:color="auto"/>
              <w:left w:val="nil"/>
              <w:bottom w:val="single" w:sz="4" w:space="0" w:color="auto"/>
              <w:right w:val="single" w:sz="4" w:space="0" w:color="auto"/>
            </w:tcBorders>
            <w:shd w:val="clear" w:color="auto" w:fill="auto"/>
            <w:noWrap/>
            <w:vAlign w:val="center"/>
            <w:hideMark/>
          </w:tcPr>
          <w:p w14:paraId="611A25A1" w14:textId="1112B24D" w:rsidR="00B267C9" w:rsidRPr="00BD7E1C" w:rsidRDefault="00B267C9" w:rsidP="00B267C9">
            <w:pPr>
              <w:spacing w:after="0" w:line="240" w:lineRule="auto"/>
              <w:jc w:val="center"/>
              <w:rPr>
                <w:rFonts w:eastAsia="Times New Roman"/>
                <w:b/>
                <w:bCs/>
                <w:sz w:val="16"/>
                <w:szCs w:val="16"/>
                <w:lang w:eastAsia="ru-RU"/>
              </w:rPr>
            </w:pPr>
            <w:r w:rsidRPr="00BD7E1C">
              <w:rPr>
                <w:rFonts w:cs="Arial"/>
                <w:b/>
                <w:bCs/>
                <w:color w:val="000000"/>
                <w:sz w:val="16"/>
                <w:szCs w:val="16"/>
              </w:rPr>
              <w:t>1 203 367</w:t>
            </w:r>
          </w:p>
        </w:tc>
        <w:tc>
          <w:tcPr>
            <w:tcW w:w="317" w:type="pct"/>
            <w:tcBorders>
              <w:top w:val="single" w:sz="4" w:space="0" w:color="auto"/>
              <w:left w:val="nil"/>
              <w:bottom w:val="single" w:sz="4" w:space="0" w:color="auto"/>
              <w:right w:val="single" w:sz="4" w:space="0" w:color="auto"/>
            </w:tcBorders>
            <w:shd w:val="clear" w:color="auto" w:fill="auto"/>
            <w:noWrap/>
            <w:vAlign w:val="center"/>
            <w:hideMark/>
          </w:tcPr>
          <w:p w14:paraId="432286E7" w14:textId="12311480" w:rsidR="00B267C9" w:rsidRPr="00BD7E1C" w:rsidRDefault="00B267C9" w:rsidP="00B267C9">
            <w:pPr>
              <w:spacing w:after="0" w:line="240" w:lineRule="auto"/>
              <w:jc w:val="center"/>
              <w:rPr>
                <w:rFonts w:eastAsia="Times New Roman"/>
                <w:b/>
                <w:bCs/>
                <w:sz w:val="16"/>
                <w:szCs w:val="16"/>
                <w:lang w:eastAsia="ru-RU"/>
              </w:rPr>
            </w:pPr>
            <w:r w:rsidRPr="00BD7E1C">
              <w:rPr>
                <w:rFonts w:cs="Arial"/>
                <w:b/>
                <w:bCs/>
                <w:color w:val="000000"/>
                <w:sz w:val="16"/>
                <w:szCs w:val="16"/>
              </w:rPr>
              <w:t>-92 036</w:t>
            </w:r>
          </w:p>
        </w:tc>
      </w:tr>
      <w:tr w:rsidR="00B267C9" w:rsidRPr="00BD7E1C" w14:paraId="134BF460" w14:textId="77777777" w:rsidTr="00E3296D">
        <w:trPr>
          <w:trHeight w:val="300"/>
        </w:trPr>
        <w:tc>
          <w:tcPr>
            <w:tcW w:w="436" w:type="pct"/>
            <w:tcBorders>
              <w:top w:val="nil"/>
              <w:left w:val="single" w:sz="4" w:space="0" w:color="auto"/>
              <w:bottom w:val="single" w:sz="4" w:space="0" w:color="auto"/>
              <w:right w:val="single" w:sz="4" w:space="0" w:color="auto"/>
            </w:tcBorders>
            <w:shd w:val="clear" w:color="auto" w:fill="auto"/>
            <w:noWrap/>
            <w:vAlign w:val="center"/>
            <w:hideMark/>
          </w:tcPr>
          <w:p w14:paraId="31FC0D98" w14:textId="3893E297" w:rsidR="00B267C9" w:rsidRPr="00BD7E1C" w:rsidRDefault="00B267C9" w:rsidP="00B267C9">
            <w:pPr>
              <w:spacing w:after="0" w:line="240" w:lineRule="auto"/>
              <w:rPr>
                <w:rFonts w:eastAsia="Times New Roman"/>
                <w:b/>
                <w:bCs/>
                <w:sz w:val="18"/>
                <w:szCs w:val="18"/>
                <w:lang w:eastAsia="ru-RU"/>
              </w:rPr>
            </w:pPr>
            <w:r w:rsidRPr="00BD7E1C">
              <w:rPr>
                <w:rFonts w:eastAsia="Times New Roman"/>
                <w:b/>
                <w:bCs/>
                <w:sz w:val="18"/>
                <w:szCs w:val="18"/>
                <w:lang w:eastAsia="ru-RU"/>
              </w:rPr>
              <w:t>Прочие потребители- всего, в т.ч.</w:t>
            </w:r>
          </w:p>
        </w:tc>
        <w:tc>
          <w:tcPr>
            <w:tcW w:w="292" w:type="pct"/>
            <w:tcBorders>
              <w:top w:val="nil"/>
              <w:left w:val="single" w:sz="4" w:space="0" w:color="auto"/>
              <w:bottom w:val="single" w:sz="4" w:space="0" w:color="auto"/>
              <w:right w:val="single" w:sz="4" w:space="0" w:color="auto"/>
            </w:tcBorders>
            <w:shd w:val="clear" w:color="000000" w:fill="FFFFFF"/>
            <w:noWrap/>
            <w:vAlign w:val="center"/>
            <w:hideMark/>
          </w:tcPr>
          <w:p w14:paraId="2DA23EDC" w14:textId="2231B138" w:rsidR="00B267C9" w:rsidRPr="00BD7E1C" w:rsidRDefault="00B267C9" w:rsidP="00B267C9">
            <w:pPr>
              <w:spacing w:after="0" w:line="240" w:lineRule="auto"/>
              <w:jc w:val="center"/>
              <w:rPr>
                <w:rFonts w:eastAsia="Times New Roman"/>
                <w:b/>
                <w:bCs/>
                <w:sz w:val="16"/>
                <w:szCs w:val="16"/>
                <w:lang w:eastAsia="ru-RU"/>
              </w:rPr>
            </w:pPr>
            <w:r w:rsidRPr="00BD7E1C">
              <w:rPr>
                <w:rFonts w:cs="Arial"/>
                <w:b/>
                <w:bCs/>
                <w:color w:val="000000"/>
                <w:sz w:val="16"/>
                <w:szCs w:val="16"/>
              </w:rPr>
              <w:t>116,14</w:t>
            </w:r>
          </w:p>
        </w:tc>
        <w:tc>
          <w:tcPr>
            <w:tcW w:w="292" w:type="pct"/>
            <w:tcBorders>
              <w:top w:val="nil"/>
              <w:left w:val="nil"/>
              <w:bottom w:val="single" w:sz="4" w:space="0" w:color="auto"/>
              <w:right w:val="single" w:sz="4" w:space="0" w:color="auto"/>
            </w:tcBorders>
            <w:shd w:val="clear" w:color="000000" w:fill="FFFFFF"/>
            <w:noWrap/>
            <w:vAlign w:val="center"/>
            <w:hideMark/>
          </w:tcPr>
          <w:p w14:paraId="44525211" w14:textId="2B9D1634" w:rsidR="00B267C9" w:rsidRPr="00BD7E1C" w:rsidRDefault="00B267C9" w:rsidP="00B267C9">
            <w:pPr>
              <w:spacing w:after="0" w:line="240" w:lineRule="auto"/>
              <w:jc w:val="center"/>
              <w:rPr>
                <w:rFonts w:eastAsia="Times New Roman"/>
                <w:b/>
                <w:bCs/>
                <w:sz w:val="16"/>
                <w:szCs w:val="16"/>
                <w:lang w:eastAsia="ru-RU"/>
              </w:rPr>
            </w:pPr>
            <w:r w:rsidRPr="00BD7E1C">
              <w:rPr>
                <w:rFonts w:cs="Arial"/>
                <w:b/>
                <w:bCs/>
                <w:color w:val="000000"/>
                <w:sz w:val="16"/>
                <w:szCs w:val="16"/>
              </w:rPr>
              <w:t>139,11</w:t>
            </w:r>
          </w:p>
        </w:tc>
        <w:tc>
          <w:tcPr>
            <w:tcW w:w="292" w:type="pct"/>
            <w:tcBorders>
              <w:top w:val="nil"/>
              <w:left w:val="nil"/>
              <w:bottom w:val="single" w:sz="4" w:space="0" w:color="auto"/>
              <w:right w:val="single" w:sz="4" w:space="0" w:color="auto"/>
            </w:tcBorders>
            <w:shd w:val="clear" w:color="000000" w:fill="FFFFFF"/>
            <w:noWrap/>
            <w:vAlign w:val="center"/>
            <w:hideMark/>
          </w:tcPr>
          <w:p w14:paraId="25232F58" w14:textId="20F40FDF" w:rsidR="00B267C9" w:rsidRPr="00BD7E1C" w:rsidRDefault="00B267C9" w:rsidP="00B267C9">
            <w:pPr>
              <w:spacing w:after="0" w:line="240" w:lineRule="auto"/>
              <w:jc w:val="center"/>
              <w:rPr>
                <w:rFonts w:eastAsia="Times New Roman"/>
                <w:b/>
                <w:bCs/>
                <w:sz w:val="16"/>
                <w:szCs w:val="16"/>
                <w:lang w:eastAsia="ru-RU"/>
              </w:rPr>
            </w:pPr>
            <w:r w:rsidRPr="00BD7E1C">
              <w:rPr>
                <w:rFonts w:cs="Arial"/>
                <w:b/>
                <w:bCs/>
                <w:color w:val="000000"/>
                <w:sz w:val="16"/>
                <w:szCs w:val="16"/>
              </w:rPr>
              <w:t>255,25</w:t>
            </w:r>
          </w:p>
        </w:tc>
        <w:tc>
          <w:tcPr>
            <w:tcW w:w="292" w:type="pct"/>
            <w:tcBorders>
              <w:top w:val="nil"/>
              <w:left w:val="nil"/>
              <w:bottom w:val="single" w:sz="4" w:space="0" w:color="auto"/>
              <w:right w:val="single" w:sz="4" w:space="0" w:color="auto"/>
            </w:tcBorders>
            <w:shd w:val="clear" w:color="000000" w:fill="FFFFFF"/>
            <w:noWrap/>
            <w:vAlign w:val="center"/>
            <w:hideMark/>
          </w:tcPr>
          <w:p w14:paraId="51DBFC4A" w14:textId="13BF31CF" w:rsidR="00B267C9" w:rsidRPr="00BD7E1C" w:rsidRDefault="00B267C9" w:rsidP="00B267C9">
            <w:pPr>
              <w:spacing w:after="0" w:line="240" w:lineRule="auto"/>
              <w:jc w:val="center"/>
              <w:rPr>
                <w:rFonts w:eastAsia="Times New Roman"/>
                <w:b/>
                <w:bCs/>
                <w:sz w:val="16"/>
                <w:szCs w:val="16"/>
                <w:lang w:eastAsia="ru-RU"/>
              </w:rPr>
            </w:pPr>
            <w:r w:rsidRPr="00BD7E1C">
              <w:rPr>
                <w:rFonts w:cs="Arial"/>
                <w:b/>
                <w:bCs/>
                <w:color w:val="000000"/>
                <w:sz w:val="16"/>
                <w:szCs w:val="16"/>
              </w:rPr>
              <w:t>110,38</w:t>
            </w:r>
          </w:p>
        </w:tc>
        <w:tc>
          <w:tcPr>
            <w:tcW w:w="243" w:type="pct"/>
            <w:tcBorders>
              <w:top w:val="nil"/>
              <w:left w:val="nil"/>
              <w:bottom w:val="single" w:sz="4" w:space="0" w:color="auto"/>
              <w:right w:val="single" w:sz="4" w:space="0" w:color="auto"/>
            </w:tcBorders>
            <w:shd w:val="clear" w:color="000000" w:fill="FFFFFF"/>
            <w:noWrap/>
            <w:vAlign w:val="center"/>
            <w:hideMark/>
          </w:tcPr>
          <w:p w14:paraId="7F6A7AFF" w14:textId="2F49C805" w:rsidR="00B267C9" w:rsidRPr="00BD7E1C" w:rsidRDefault="00B267C9" w:rsidP="00B267C9">
            <w:pPr>
              <w:spacing w:after="0" w:line="240" w:lineRule="auto"/>
              <w:jc w:val="center"/>
              <w:rPr>
                <w:rFonts w:eastAsia="Times New Roman"/>
                <w:b/>
                <w:bCs/>
                <w:sz w:val="16"/>
                <w:szCs w:val="16"/>
                <w:lang w:eastAsia="ru-RU"/>
              </w:rPr>
            </w:pPr>
            <w:r w:rsidRPr="00BD7E1C">
              <w:rPr>
                <w:rFonts w:cs="Arial"/>
                <w:b/>
                <w:bCs/>
                <w:color w:val="000000"/>
                <w:sz w:val="16"/>
                <w:szCs w:val="16"/>
              </w:rPr>
              <w:t>105,10</w:t>
            </w:r>
          </w:p>
        </w:tc>
        <w:tc>
          <w:tcPr>
            <w:tcW w:w="341" w:type="pct"/>
            <w:tcBorders>
              <w:top w:val="nil"/>
              <w:left w:val="nil"/>
              <w:bottom w:val="single" w:sz="4" w:space="0" w:color="auto"/>
              <w:right w:val="single" w:sz="4" w:space="0" w:color="auto"/>
            </w:tcBorders>
            <w:shd w:val="clear" w:color="000000" w:fill="FFFFFF"/>
            <w:noWrap/>
            <w:vAlign w:val="center"/>
            <w:hideMark/>
          </w:tcPr>
          <w:p w14:paraId="32FD79DB" w14:textId="43FE2BBD" w:rsidR="00B267C9" w:rsidRPr="00BD7E1C" w:rsidRDefault="00B267C9" w:rsidP="00B267C9">
            <w:pPr>
              <w:spacing w:after="0" w:line="240" w:lineRule="auto"/>
              <w:jc w:val="center"/>
              <w:rPr>
                <w:rFonts w:eastAsia="Times New Roman"/>
                <w:b/>
                <w:bCs/>
                <w:sz w:val="16"/>
                <w:szCs w:val="16"/>
                <w:lang w:eastAsia="ru-RU"/>
              </w:rPr>
            </w:pPr>
            <w:r w:rsidRPr="00BD7E1C">
              <w:rPr>
                <w:rFonts w:cs="Arial"/>
                <w:b/>
                <w:bCs/>
                <w:color w:val="000000"/>
                <w:sz w:val="16"/>
                <w:szCs w:val="16"/>
              </w:rPr>
              <w:t>215,48</w:t>
            </w:r>
          </w:p>
        </w:tc>
        <w:tc>
          <w:tcPr>
            <w:tcW w:w="252" w:type="pct"/>
            <w:tcBorders>
              <w:top w:val="nil"/>
              <w:left w:val="nil"/>
              <w:bottom w:val="single" w:sz="4" w:space="0" w:color="auto"/>
              <w:right w:val="single" w:sz="4" w:space="0" w:color="auto"/>
            </w:tcBorders>
            <w:shd w:val="clear" w:color="000000" w:fill="FFFFFF"/>
            <w:noWrap/>
            <w:vAlign w:val="center"/>
            <w:hideMark/>
          </w:tcPr>
          <w:p w14:paraId="41388BB8" w14:textId="34B1EABD" w:rsidR="00B267C9" w:rsidRPr="00BD7E1C" w:rsidRDefault="00B267C9" w:rsidP="00B267C9">
            <w:pPr>
              <w:spacing w:after="0" w:line="240" w:lineRule="auto"/>
              <w:jc w:val="center"/>
              <w:rPr>
                <w:rFonts w:eastAsia="Times New Roman"/>
                <w:b/>
                <w:bCs/>
                <w:sz w:val="16"/>
                <w:szCs w:val="16"/>
                <w:lang w:eastAsia="ru-RU"/>
              </w:rPr>
            </w:pPr>
            <w:r w:rsidRPr="00BD7E1C">
              <w:rPr>
                <w:rFonts w:cs="Arial"/>
                <w:b/>
                <w:bCs/>
                <w:color w:val="000000"/>
                <w:sz w:val="16"/>
                <w:szCs w:val="16"/>
              </w:rPr>
              <w:t>-39,77</w:t>
            </w:r>
          </w:p>
        </w:tc>
        <w:tc>
          <w:tcPr>
            <w:tcW w:w="373" w:type="pct"/>
            <w:tcBorders>
              <w:top w:val="nil"/>
              <w:left w:val="nil"/>
              <w:bottom w:val="single" w:sz="4" w:space="0" w:color="auto"/>
              <w:right w:val="single" w:sz="4" w:space="0" w:color="auto"/>
            </w:tcBorders>
            <w:shd w:val="clear" w:color="auto" w:fill="auto"/>
            <w:noWrap/>
            <w:vAlign w:val="center"/>
            <w:hideMark/>
          </w:tcPr>
          <w:p w14:paraId="3154DE6C" w14:textId="6526B523" w:rsidR="00B267C9" w:rsidRPr="00BD7E1C" w:rsidRDefault="00B267C9" w:rsidP="00B267C9">
            <w:pPr>
              <w:spacing w:after="0" w:line="240" w:lineRule="auto"/>
              <w:jc w:val="center"/>
              <w:rPr>
                <w:rFonts w:eastAsia="Times New Roman"/>
                <w:b/>
                <w:bCs/>
                <w:sz w:val="16"/>
                <w:szCs w:val="16"/>
                <w:lang w:eastAsia="ru-RU"/>
              </w:rPr>
            </w:pPr>
            <w:r w:rsidRPr="00BD7E1C">
              <w:rPr>
                <w:rFonts w:cs="Arial"/>
                <w:b/>
                <w:bCs/>
                <w:color w:val="000000"/>
                <w:sz w:val="16"/>
                <w:szCs w:val="16"/>
              </w:rPr>
              <w:t>377 016</w:t>
            </w:r>
          </w:p>
        </w:tc>
        <w:tc>
          <w:tcPr>
            <w:tcW w:w="373" w:type="pct"/>
            <w:tcBorders>
              <w:top w:val="nil"/>
              <w:left w:val="nil"/>
              <w:bottom w:val="single" w:sz="4" w:space="0" w:color="auto"/>
              <w:right w:val="single" w:sz="4" w:space="0" w:color="auto"/>
            </w:tcBorders>
            <w:shd w:val="clear" w:color="auto" w:fill="auto"/>
            <w:noWrap/>
            <w:vAlign w:val="center"/>
            <w:hideMark/>
          </w:tcPr>
          <w:p w14:paraId="1FE5A124" w14:textId="2B07A5B9" w:rsidR="00B267C9" w:rsidRPr="00BD7E1C" w:rsidRDefault="00B267C9" w:rsidP="00B267C9">
            <w:pPr>
              <w:spacing w:after="0" w:line="240" w:lineRule="auto"/>
              <w:jc w:val="center"/>
              <w:rPr>
                <w:rFonts w:eastAsia="Times New Roman"/>
                <w:b/>
                <w:bCs/>
                <w:sz w:val="16"/>
                <w:szCs w:val="16"/>
                <w:lang w:eastAsia="ru-RU"/>
              </w:rPr>
            </w:pPr>
            <w:r w:rsidRPr="00BD7E1C">
              <w:rPr>
                <w:rFonts w:cs="Arial"/>
                <w:b/>
                <w:bCs/>
                <w:color w:val="000000"/>
                <w:sz w:val="16"/>
                <w:szCs w:val="16"/>
              </w:rPr>
              <w:t>486 368</w:t>
            </w:r>
          </w:p>
        </w:tc>
        <w:tc>
          <w:tcPr>
            <w:tcW w:w="357" w:type="pct"/>
            <w:tcBorders>
              <w:top w:val="nil"/>
              <w:left w:val="nil"/>
              <w:bottom w:val="single" w:sz="4" w:space="0" w:color="auto"/>
              <w:right w:val="single" w:sz="4" w:space="0" w:color="auto"/>
            </w:tcBorders>
            <w:shd w:val="clear" w:color="auto" w:fill="auto"/>
            <w:noWrap/>
            <w:vAlign w:val="center"/>
            <w:hideMark/>
          </w:tcPr>
          <w:p w14:paraId="476395A1" w14:textId="06DA18C3" w:rsidR="00B267C9" w:rsidRPr="00BD7E1C" w:rsidRDefault="00B267C9" w:rsidP="00B267C9">
            <w:pPr>
              <w:spacing w:after="0" w:line="240" w:lineRule="auto"/>
              <w:jc w:val="center"/>
              <w:rPr>
                <w:rFonts w:eastAsia="Times New Roman"/>
                <w:b/>
                <w:bCs/>
                <w:sz w:val="16"/>
                <w:szCs w:val="16"/>
                <w:lang w:eastAsia="ru-RU"/>
              </w:rPr>
            </w:pPr>
            <w:r w:rsidRPr="00BD7E1C">
              <w:rPr>
                <w:rFonts w:cs="Arial"/>
                <w:b/>
                <w:bCs/>
                <w:color w:val="000000"/>
                <w:sz w:val="16"/>
                <w:szCs w:val="16"/>
              </w:rPr>
              <w:t>863 384</w:t>
            </w:r>
          </w:p>
        </w:tc>
        <w:tc>
          <w:tcPr>
            <w:tcW w:w="407" w:type="pct"/>
            <w:tcBorders>
              <w:top w:val="nil"/>
              <w:left w:val="nil"/>
              <w:bottom w:val="single" w:sz="4" w:space="0" w:color="auto"/>
              <w:right w:val="single" w:sz="4" w:space="0" w:color="auto"/>
            </w:tcBorders>
            <w:shd w:val="clear" w:color="auto" w:fill="auto"/>
            <w:noWrap/>
            <w:vAlign w:val="center"/>
            <w:hideMark/>
          </w:tcPr>
          <w:p w14:paraId="52701A21" w14:textId="7CDDE54A" w:rsidR="00B267C9" w:rsidRPr="00BD7E1C" w:rsidRDefault="00B267C9" w:rsidP="00B267C9">
            <w:pPr>
              <w:spacing w:after="0" w:line="240" w:lineRule="auto"/>
              <w:jc w:val="center"/>
              <w:rPr>
                <w:rFonts w:eastAsia="Times New Roman"/>
                <w:b/>
                <w:bCs/>
                <w:sz w:val="16"/>
                <w:szCs w:val="16"/>
                <w:lang w:eastAsia="ru-RU"/>
              </w:rPr>
            </w:pPr>
            <w:r w:rsidRPr="00BD7E1C">
              <w:rPr>
                <w:rFonts w:cs="Arial"/>
                <w:b/>
                <w:bCs/>
                <w:color w:val="000000"/>
                <w:sz w:val="16"/>
                <w:szCs w:val="16"/>
              </w:rPr>
              <w:t>394 570</w:t>
            </w:r>
          </w:p>
        </w:tc>
        <w:tc>
          <w:tcPr>
            <w:tcW w:w="319" w:type="pct"/>
            <w:tcBorders>
              <w:top w:val="nil"/>
              <w:left w:val="nil"/>
              <w:bottom w:val="single" w:sz="4" w:space="0" w:color="auto"/>
              <w:right w:val="single" w:sz="4" w:space="0" w:color="auto"/>
            </w:tcBorders>
            <w:shd w:val="clear" w:color="auto" w:fill="auto"/>
            <w:noWrap/>
            <w:vAlign w:val="center"/>
            <w:hideMark/>
          </w:tcPr>
          <w:p w14:paraId="31A73942" w14:textId="3A1A6D0E" w:rsidR="00B267C9" w:rsidRPr="00BD7E1C" w:rsidRDefault="00B267C9" w:rsidP="00B267C9">
            <w:pPr>
              <w:spacing w:after="0" w:line="240" w:lineRule="auto"/>
              <w:jc w:val="center"/>
              <w:rPr>
                <w:rFonts w:eastAsia="Times New Roman"/>
                <w:b/>
                <w:bCs/>
                <w:sz w:val="16"/>
                <w:szCs w:val="16"/>
                <w:lang w:eastAsia="ru-RU"/>
              </w:rPr>
            </w:pPr>
            <w:r w:rsidRPr="00BD7E1C">
              <w:rPr>
                <w:rFonts w:cs="Arial"/>
                <w:b/>
                <w:bCs/>
                <w:color w:val="000000"/>
                <w:sz w:val="16"/>
                <w:szCs w:val="16"/>
              </w:rPr>
              <w:t>383 274</w:t>
            </w:r>
          </w:p>
        </w:tc>
        <w:tc>
          <w:tcPr>
            <w:tcW w:w="413" w:type="pct"/>
            <w:tcBorders>
              <w:top w:val="nil"/>
              <w:left w:val="nil"/>
              <w:bottom w:val="single" w:sz="4" w:space="0" w:color="auto"/>
              <w:right w:val="single" w:sz="4" w:space="0" w:color="auto"/>
            </w:tcBorders>
            <w:shd w:val="clear" w:color="auto" w:fill="auto"/>
            <w:noWrap/>
            <w:vAlign w:val="center"/>
            <w:hideMark/>
          </w:tcPr>
          <w:p w14:paraId="774C6793" w14:textId="1AC30048" w:rsidR="00B267C9" w:rsidRPr="00BD7E1C" w:rsidRDefault="00B267C9" w:rsidP="00B267C9">
            <w:pPr>
              <w:spacing w:after="0" w:line="240" w:lineRule="auto"/>
              <w:jc w:val="center"/>
              <w:rPr>
                <w:rFonts w:eastAsia="Times New Roman"/>
                <w:b/>
                <w:bCs/>
                <w:sz w:val="16"/>
                <w:szCs w:val="16"/>
                <w:lang w:eastAsia="ru-RU"/>
              </w:rPr>
            </w:pPr>
            <w:r w:rsidRPr="00BD7E1C">
              <w:rPr>
                <w:rFonts w:cs="Arial"/>
                <w:b/>
                <w:bCs/>
                <w:color w:val="000000"/>
                <w:sz w:val="16"/>
                <w:szCs w:val="16"/>
              </w:rPr>
              <w:t>777 844</w:t>
            </w:r>
          </w:p>
        </w:tc>
        <w:tc>
          <w:tcPr>
            <w:tcW w:w="317" w:type="pct"/>
            <w:tcBorders>
              <w:top w:val="nil"/>
              <w:left w:val="nil"/>
              <w:bottom w:val="single" w:sz="4" w:space="0" w:color="auto"/>
              <w:right w:val="single" w:sz="4" w:space="0" w:color="auto"/>
            </w:tcBorders>
            <w:shd w:val="clear" w:color="auto" w:fill="auto"/>
            <w:noWrap/>
            <w:vAlign w:val="center"/>
            <w:hideMark/>
          </w:tcPr>
          <w:p w14:paraId="492E60FF" w14:textId="6C7E3D2E" w:rsidR="00B267C9" w:rsidRPr="00BD7E1C" w:rsidRDefault="00B267C9" w:rsidP="00B267C9">
            <w:pPr>
              <w:spacing w:after="0" w:line="240" w:lineRule="auto"/>
              <w:jc w:val="center"/>
              <w:rPr>
                <w:rFonts w:eastAsia="Times New Roman"/>
                <w:b/>
                <w:bCs/>
                <w:sz w:val="16"/>
                <w:szCs w:val="16"/>
                <w:lang w:eastAsia="ru-RU"/>
              </w:rPr>
            </w:pPr>
            <w:r w:rsidRPr="00BD7E1C">
              <w:rPr>
                <w:rFonts w:cs="Arial"/>
                <w:b/>
                <w:bCs/>
                <w:color w:val="000000"/>
                <w:sz w:val="16"/>
                <w:szCs w:val="16"/>
              </w:rPr>
              <w:t>-85 540</w:t>
            </w:r>
          </w:p>
        </w:tc>
      </w:tr>
      <w:tr w:rsidR="00B267C9" w:rsidRPr="00BD7E1C" w14:paraId="570198A3" w14:textId="77777777" w:rsidTr="00E3296D">
        <w:trPr>
          <w:trHeight w:val="300"/>
        </w:trPr>
        <w:tc>
          <w:tcPr>
            <w:tcW w:w="436" w:type="pct"/>
            <w:tcBorders>
              <w:top w:val="nil"/>
              <w:left w:val="single" w:sz="4" w:space="0" w:color="auto"/>
              <w:bottom w:val="single" w:sz="4" w:space="0" w:color="auto"/>
              <w:right w:val="single" w:sz="4" w:space="0" w:color="auto"/>
            </w:tcBorders>
            <w:shd w:val="clear" w:color="auto" w:fill="auto"/>
            <w:noWrap/>
            <w:vAlign w:val="center"/>
            <w:hideMark/>
          </w:tcPr>
          <w:p w14:paraId="63EAC344" w14:textId="77777777" w:rsidR="00B267C9" w:rsidRPr="00BD7E1C" w:rsidRDefault="00B267C9" w:rsidP="00B267C9">
            <w:pPr>
              <w:spacing w:after="0" w:line="240" w:lineRule="auto"/>
              <w:jc w:val="right"/>
              <w:rPr>
                <w:rFonts w:eastAsia="Times New Roman"/>
                <w:sz w:val="18"/>
                <w:szCs w:val="18"/>
                <w:lang w:eastAsia="ru-RU"/>
              </w:rPr>
            </w:pPr>
            <w:r w:rsidRPr="00BD7E1C">
              <w:rPr>
                <w:rFonts w:eastAsia="Times New Roman"/>
                <w:sz w:val="18"/>
                <w:szCs w:val="18"/>
                <w:lang w:eastAsia="ru-RU"/>
              </w:rPr>
              <w:t>ВН</w:t>
            </w:r>
          </w:p>
        </w:tc>
        <w:tc>
          <w:tcPr>
            <w:tcW w:w="292" w:type="pct"/>
            <w:tcBorders>
              <w:top w:val="nil"/>
              <w:left w:val="single" w:sz="4" w:space="0" w:color="auto"/>
              <w:bottom w:val="single" w:sz="4" w:space="0" w:color="auto"/>
              <w:right w:val="single" w:sz="4" w:space="0" w:color="auto"/>
            </w:tcBorders>
            <w:shd w:val="clear" w:color="000000" w:fill="FFFFFF"/>
            <w:noWrap/>
            <w:vAlign w:val="center"/>
            <w:hideMark/>
          </w:tcPr>
          <w:p w14:paraId="4051F0FA" w14:textId="494648E4" w:rsidR="00B267C9" w:rsidRPr="00BD7E1C" w:rsidRDefault="00B267C9" w:rsidP="00B267C9">
            <w:pPr>
              <w:spacing w:after="0" w:line="240" w:lineRule="auto"/>
              <w:jc w:val="center"/>
              <w:rPr>
                <w:rFonts w:eastAsia="Times New Roman"/>
                <w:sz w:val="16"/>
                <w:szCs w:val="16"/>
                <w:lang w:eastAsia="ru-RU"/>
              </w:rPr>
            </w:pPr>
            <w:r w:rsidRPr="00BD7E1C">
              <w:rPr>
                <w:rFonts w:cs="Arial"/>
                <w:color w:val="000000"/>
                <w:sz w:val="16"/>
                <w:szCs w:val="16"/>
              </w:rPr>
              <w:t>52,50</w:t>
            </w:r>
          </w:p>
        </w:tc>
        <w:tc>
          <w:tcPr>
            <w:tcW w:w="292" w:type="pct"/>
            <w:tcBorders>
              <w:top w:val="nil"/>
              <w:left w:val="nil"/>
              <w:bottom w:val="single" w:sz="4" w:space="0" w:color="auto"/>
              <w:right w:val="single" w:sz="4" w:space="0" w:color="auto"/>
            </w:tcBorders>
            <w:shd w:val="clear" w:color="000000" w:fill="FFFFFF"/>
            <w:noWrap/>
            <w:vAlign w:val="center"/>
            <w:hideMark/>
          </w:tcPr>
          <w:p w14:paraId="22968887" w14:textId="1A51807A" w:rsidR="00B267C9" w:rsidRPr="00BD7E1C" w:rsidRDefault="00B267C9" w:rsidP="00B267C9">
            <w:pPr>
              <w:spacing w:after="0" w:line="240" w:lineRule="auto"/>
              <w:jc w:val="center"/>
              <w:rPr>
                <w:rFonts w:eastAsia="Times New Roman"/>
                <w:sz w:val="16"/>
                <w:szCs w:val="16"/>
                <w:lang w:eastAsia="ru-RU"/>
              </w:rPr>
            </w:pPr>
            <w:r w:rsidRPr="00BD7E1C">
              <w:rPr>
                <w:rFonts w:cs="Arial"/>
                <w:color w:val="000000"/>
                <w:sz w:val="16"/>
                <w:szCs w:val="16"/>
              </w:rPr>
              <w:t>50,66</w:t>
            </w:r>
          </w:p>
        </w:tc>
        <w:tc>
          <w:tcPr>
            <w:tcW w:w="292" w:type="pct"/>
            <w:tcBorders>
              <w:top w:val="nil"/>
              <w:left w:val="nil"/>
              <w:bottom w:val="single" w:sz="4" w:space="0" w:color="auto"/>
              <w:right w:val="single" w:sz="4" w:space="0" w:color="auto"/>
            </w:tcBorders>
            <w:shd w:val="clear" w:color="000000" w:fill="FFFFFF"/>
            <w:noWrap/>
            <w:vAlign w:val="center"/>
            <w:hideMark/>
          </w:tcPr>
          <w:p w14:paraId="0400777E" w14:textId="63BBF7D3" w:rsidR="00B267C9" w:rsidRPr="00BD7E1C" w:rsidRDefault="00B267C9" w:rsidP="00B267C9">
            <w:pPr>
              <w:spacing w:after="0" w:line="240" w:lineRule="auto"/>
              <w:jc w:val="center"/>
              <w:rPr>
                <w:rFonts w:eastAsia="Times New Roman"/>
                <w:sz w:val="16"/>
                <w:szCs w:val="16"/>
                <w:lang w:eastAsia="ru-RU"/>
              </w:rPr>
            </w:pPr>
            <w:r w:rsidRPr="00BD7E1C">
              <w:rPr>
                <w:rFonts w:cs="Arial"/>
                <w:color w:val="000000"/>
                <w:sz w:val="16"/>
                <w:szCs w:val="16"/>
              </w:rPr>
              <w:t>103,16</w:t>
            </w:r>
          </w:p>
        </w:tc>
        <w:tc>
          <w:tcPr>
            <w:tcW w:w="292" w:type="pct"/>
            <w:tcBorders>
              <w:top w:val="nil"/>
              <w:left w:val="nil"/>
              <w:bottom w:val="single" w:sz="4" w:space="0" w:color="auto"/>
              <w:right w:val="single" w:sz="4" w:space="0" w:color="auto"/>
            </w:tcBorders>
            <w:shd w:val="clear" w:color="000000" w:fill="FFFFFF"/>
            <w:noWrap/>
            <w:vAlign w:val="center"/>
            <w:hideMark/>
          </w:tcPr>
          <w:p w14:paraId="20F4C516" w14:textId="720CCEAD" w:rsidR="00B267C9" w:rsidRPr="00BD7E1C" w:rsidRDefault="00B267C9" w:rsidP="00B267C9">
            <w:pPr>
              <w:spacing w:after="0" w:line="240" w:lineRule="auto"/>
              <w:jc w:val="center"/>
              <w:rPr>
                <w:rFonts w:eastAsia="Times New Roman"/>
                <w:sz w:val="16"/>
                <w:szCs w:val="16"/>
                <w:lang w:eastAsia="ru-RU"/>
              </w:rPr>
            </w:pPr>
            <w:r w:rsidRPr="00BD7E1C">
              <w:rPr>
                <w:rFonts w:cs="Arial"/>
                <w:color w:val="000000"/>
                <w:sz w:val="16"/>
                <w:szCs w:val="16"/>
              </w:rPr>
              <w:t>14,55</w:t>
            </w:r>
          </w:p>
        </w:tc>
        <w:tc>
          <w:tcPr>
            <w:tcW w:w="243" w:type="pct"/>
            <w:tcBorders>
              <w:top w:val="nil"/>
              <w:left w:val="nil"/>
              <w:bottom w:val="single" w:sz="4" w:space="0" w:color="auto"/>
              <w:right w:val="single" w:sz="4" w:space="0" w:color="auto"/>
            </w:tcBorders>
            <w:shd w:val="clear" w:color="000000" w:fill="FFFFFF"/>
            <w:noWrap/>
            <w:vAlign w:val="center"/>
            <w:hideMark/>
          </w:tcPr>
          <w:p w14:paraId="6939AC30" w14:textId="6CFE2F83" w:rsidR="00B267C9" w:rsidRPr="00BD7E1C" w:rsidRDefault="00B267C9" w:rsidP="00B267C9">
            <w:pPr>
              <w:spacing w:after="0" w:line="240" w:lineRule="auto"/>
              <w:jc w:val="center"/>
              <w:rPr>
                <w:rFonts w:eastAsia="Times New Roman"/>
                <w:sz w:val="16"/>
                <w:szCs w:val="16"/>
                <w:lang w:eastAsia="ru-RU"/>
              </w:rPr>
            </w:pPr>
            <w:r w:rsidRPr="00BD7E1C">
              <w:rPr>
                <w:rFonts w:cs="Arial"/>
                <w:color w:val="000000"/>
                <w:sz w:val="16"/>
                <w:szCs w:val="16"/>
              </w:rPr>
              <w:t>15,94</w:t>
            </w:r>
          </w:p>
        </w:tc>
        <w:tc>
          <w:tcPr>
            <w:tcW w:w="341" w:type="pct"/>
            <w:tcBorders>
              <w:top w:val="nil"/>
              <w:left w:val="nil"/>
              <w:bottom w:val="single" w:sz="4" w:space="0" w:color="auto"/>
              <w:right w:val="single" w:sz="4" w:space="0" w:color="auto"/>
            </w:tcBorders>
            <w:shd w:val="clear" w:color="000000" w:fill="FFFFFF"/>
            <w:noWrap/>
            <w:vAlign w:val="center"/>
            <w:hideMark/>
          </w:tcPr>
          <w:p w14:paraId="648FAD6A" w14:textId="170FD116" w:rsidR="00B267C9" w:rsidRPr="00BD7E1C" w:rsidRDefault="00B267C9" w:rsidP="00B267C9">
            <w:pPr>
              <w:spacing w:after="0" w:line="240" w:lineRule="auto"/>
              <w:jc w:val="center"/>
              <w:rPr>
                <w:rFonts w:eastAsia="Times New Roman"/>
                <w:sz w:val="16"/>
                <w:szCs w:val="16"/>
                <w:lang w:eastAsia="ru-RU"/>
              </w:rPr>
            </w:pPr>
            <w:r w:rsidRPr="00BD7E1C">
              <w:rPr>
                <w:rFonts w:cs="Arial"/>
                <w:color w:val="000000"/>
                <w:sz w:val="16"/>
                <w:szCs w:val="16"/>
              </w:rPr>
              <w:t>30,4831</w:t>
            </w:r>
          </w:p>
        </w:tc>
        <w:tc>
          <w:tcPr>
            <w:tcW w:w="252" w:type="pct"/>
            <w:tcBorders>
              <w:top w:val="nil"/>
              <w:left w:val="nil"/>
              <w:bottom w:val="single" w:sz="4" w:space="0" w:color="auto"/>
              <w:right w:val="single" w:sz="4" w:space="0" w:color="auto"/>
            </w:tcBorders>
            <w:shd w:val="clear" w:color="000000" w:fill="FFFFFF"/>
            <w:noWrap/>
            <w:vAlign w:val="center"/>
            <w:hideMark/>
          </w:tcPr>
          <w:p w14:paraId="76FC9EA3" w14:textId="0B8B5AB6" w:rsidR="00B267C9" w:rsidRPr="00BD7E1C" w:rsidRDefault="00B267C9" w:rsidP="00B267C9">
            <w:pPr>
              <w:spacing w:after="0" w:line="240" w:lineRule="auto"/>
              <w:jc w:val="center"/>
              <w:rPr>
                <w:rFonts w:eastAsia="Times New Roman"/>
                <w:sz w:val="16"/>
                <w:szCs w:val="16"/>
                <w:lang w:eastAsia="ru-RU"/>
              </w:rPr>
            </w:pPr>
            <w:r w:rsidRPr="00BD7E1C">
              <w:rPr>
                <w:rFonts w:cs="Arial"/>
                <w:color w:val="000000"/>
                <w:sz w:val="16"/>
                <w:szCs w:val="16"/>
              </w:rPr>
              <w:t>-72,68</w:t>
            </w:r>
          </w:p>
        </w:tc>
        <w:tc>
          <w:tcPr>
            <w:tcW w:w="373" w:type="pct"/>
            <w:tcBorders>
              <w:top w:val="nil"/>
              <w:left w:val="nil"/>
              <w:bottom w:val="single" w:sz="4" w:space="0" w:color="auto"/>
              <w:right w:val="single" w:sz="4" w:space="0" w:color="auto"/>
            </w:tcBorders>
            <w:shd w:val="clear" w:color="auto" w:fill="auto"/>
            <w:noWrap/>
            <w:vAlign w:val="center"/>
            <w:hideMark/>
          </w:tcPr>
          <w:p w14:paraId="545EB8F7" w14:textId="014C62F2" w:rsidR="00B267C9" w:rsidRPr="00BD7E1C" w:rsidRDefault="00B267C9" w:rsidP="00B267C9">
            <w:pPr>
              <w:spacing w:after="0" w:line="240" w:lineRule="auto"/>
              <w:jc w:val="center"/>
              <w:rPr>
                <w:rFonts w:eastAsia="Times New Roman"/>
                <w:sz w:val="16"/>
                <w:szCs w:val="16"/>
                <w:lang w:eastAsia="ru-RU"/>
              </w:rPr>
            </w:pPr>
            <w:r w:rsidRPr="00BD7E1C">
              <w:rPr>
                <w:rFonts w:cs="Arial"/>
                <w:color w:val="000000"/>
                <w:sz w:val="16"/>
                <w:szCs w:val="16"/>
              </w:rPr>
              <w:t>148 012</w:t>
            </w:r>
          </w:p>
        </w:tc>
        <w:tc>
          <w:tcPr>
            <w:tcW w:w="373" w:type="pct"/>
            <w:tcBorders>
              <w:top w:val="nil"/>
              <w:left w:val="nil"/>
              <w:bottom w:val="single" w:sz="4" w:space="0" w:color="auto"/>
              <w:right w:val="single" w:sz="4" w:space="0" w:color="auto"/>
            </w:tcBorders>
            <w:shd w:val="clear" w:color="auto" w:fill="auto"/>
            <w:noWrap/>
            <w:vAlign w:val="center"/>
            <w:hideMark/>
          </w:tcPr>
          <w:p w14:paraId="50EACF58" w14:textId="4581166B" w:rsidR="00B267C9" w:rsidRPr="00BD7E1C" w:rsidRDefault="00B267C9" w:rsidP="00B267C9">
            <w:pPr>
              <w:spacing w:after="0" w:line="240" w:lineRule="auto"/>
              <w:jc w:val="center"/>
              <w:rPr>
                <w:rFonts w:eastAsia="Times New Roman"/>
                <w:sz w:val="16"/>
                <w:szCs w:val="16"/>
                <w:lang w:eastAsia="ru-RU"/>
              </w:rPr>
            </w:pPr>
            <w:r w:rsidRPr="00BD7E1C">
              <w:rPr>
                <w:rFonts w:cs="Arial"/>
                <w:color w:val="000000"/>
                <w:sz w:val="16"/>
                <w:szCs w:val="16"/>
              </w:rPr>
              <w:t>149 965</w:t>
            </w:r>
          </w:p>
        </w:tc>
        <w:tc>
          <w:tcPr>
            <w:tcW w:w="357" w:type="pct"/>
            <w:tcBorders>
              <w:top w:val="nil"/>
              <w:left w:val="nil"/>
              <w:bottom w:val="single" w:sz="4" w:space="0" w:color="auto"/>
              <w:right w:val="single" w:sz="4" w:space="0" w:color="auto"/>
            </w:tcBorders>
            <w:shd w:val="clear" w:color="auto" w:fill="auto"/>
            <w:noWrap/>
            <w:vAlign w:val="center"/>
            <w:hideMark/>
          </w:tcPr>
          <w:p w14:paraId="5B214739" w14:textId="082393C9" w:rsidR="00B267C9" w:rsidRPr="00BD7E1C" w:rsidRDefault="00B267C9" w:rsidP="00B267C9">
            <w:pPr>
              <w:spacing w:after="0" w:line="240" w:lineRule="auto"/>
              <w:jc w:val="center"/>
              <w:rPr>
                <w:rFonts w:eastAsia="Times New Roman"/>
                <w:sz w:val="16"/>
                <w:szCs w:val="16"/>
                <w:lang w:eastAsia="ru-RU"/>
              </w:rPr>
            </w:pPr>
            <w:r w:rsidRPr="00BD7E1C">
              <w:rPr>
                <w:rFonts w:cs="Arial"/>
                <w:color w:val="000000"/>
                <w:sz w:val="16"/>
                <w:szCs w:val="16"/>
              </w:rPr>
              <w:t>297 977</w:t>
            </w:r>
          </w:p>
        </w:tc>
        <w:tc>
          <w:tcPr>
            <w:tcW w:w="407" w:type="pct"/>
            <w:tcBorders>
              <w:top w:val="nil"/>
              <w:left w:val="nil"/>
              <w:bottom w:val="single" w:sz="4" w:space="0" w:color="auto"/>
              <w:right w:val="single" w:sz="4" w:space="0" w:color="auto"/>
            </w:tcBorders>
            <w:shd w:val="clear" w:color="auto" w:fill="auto"/>
            <w:noWrap/>
            <w:vAlign w:val="center"/>
            <w:hideMark/>
          </w:tcPr>
          <w:p w14:paraId="26B630E6" w14:textId="27588571" w:rsidR="00B267C9" w:rsidRPr="00BD7E1C" w:rsidRDefault="00B267C9" w:rsidP="00B267C9">
            <w:pPr>
              <w:spacing w:after="0" w:line="240" w:lineRule="auto"/>
              <w:jc w:val="center"/>
              <w:rPr>
                <w:rFonts w:eastAsia="Times New Roman"/>
                <w:sz w:val="16"/>
                <w:szCs w:val="16"/>
                <w:lang w:eastAsia="ru-RU"/>
              </w:rPr>
            </w:pPr>
            <w:r w:rsidRPr="00BD7E1C">
              <w:rPr>
                <w:rFonts w:cs="Arial"/>
                <w:color w:val="000000"/>
                <w:sz w:val="16"/>
                <w:szCs w:val="16"/>
              </w:rPr>
              <w:t>41 008</w:t>
            </w:r>
          </w:p>
        </w:tc>
        <w:tc>
          <w:tcPr>
            <w:tcW w:w="319" w:type="pct"/>
            <w:tcBorders>
              <w:top w:val="nil"/>
              <w:left w:val="nil"/>
              <w:bottom w:val="single" w:sz="4" w:space="0" w:color="auto"/>
              <w:right w:val="single" w:sz="4" w:space="0" w:color="auto"/>
            </w:tcBorders>
            <w:shd w:val="clear" w:color="auto" w:fill="auto"/>
            <w:noWrap/>
            <w:vAlign w:val="center"/>
            <w:hideMark/>
          </w:tcPr>
          <w:p w14:paraId="367E9D34" w14:textId="5928BF98" w:rsidR="00B267C9" w:rsidRPr="00BD7E1C" w:rsidRDefault="00B267C9" w:rsidP="00B267C9">
            <w:pPr>
              <w:spacing w:after="0" w:line="240" w:lineRule="auto"/>
              <w:jc w:val="center"/>
              <w:rPr>
                <w:rFonts w:eastAsia="Times New Roman"/>
                <w:sz w:val="16"/>
                <w:szCs w:val="16"/>
                <w:lang w:eastAsia="ru-RU"/>
              </w:rPr>
            </w:pPr>
            <w:r w:rsidRPr="00BD7E1C">
              <w:rPr>
                <w:rFonts w:cs="Arial"/>
                <w:color w:val="000000"/>
                <w:sz w:val="16"/>
                <w:szCs w:val="16"/>
              </w:rPr>
              <w:t>47 179</w:t>
            </w:r>
          </w:p>
        </w:tc>
        <w:tc>
          <w:tcPr>
            <w:tcW w:w="413" w:type="pct"/>
            <w:tcBorders>
              <w:top w:val="nil"/>
              <w:left w:val="nil"/>
              <w:bottom w:val="single" w:sz="4" w:space="0" w:color="auto"/>
              <w:right w:val="single" w:sz="4" w:space="0" w:color="auto"/>
            </w:tcBorders>
            <w:shd w:val="clear" w:color="auto" w:fill="auto"/>
            <w:noWrap/>
            <w:vAlign w:val="center"/>
            <w:hideMark/>
          </w:tcPr>
          <w:p w14:paraId="3261AFD4" w14:textId="5BE9B6F3" w:rsidR="00B267C9" w:rsidRPr="00BD7E1C" w:rsidRDefault="00B267C9" w:rsidP="00B267C9">
            <w:pPr>
              <w:spacing w:after="0" w:line="240" w:lineRule="auto"/>
              <w:jc w:val="center"/>
              <w:rPr>
                <w:rFonts w:eastAsia="Times New Roman"/>
                <w:sz w:val="16"/>
                <w:szCs w:val="16"/>
                <w:lang w:eastAsia="ru-RU"/>
              </w:rPr>
            </w:pPr>
            <w:r w:rsidRPr="00BD7E1C">
              <w:rPr>
                <w:rFonts w:cs="Arial"/>
                <w:color w:val="000000"/>
                <w:sz w:val="16"/>
                <w:szCs w:val="16"/>
              </w:rPr>
              <w:t>88 187</w:t>
            </w:r>
          </w:p>
        </w:tc>
        <w:tc>
          <w:tcPr>
            <w:tcW w:w="317" w:type="pct"/>
            <w:tcBorders>
              <w:top w:val="nil"/>
              <w:left w:val="nil"/>
              <w:bottom w:val="single" w:sz="4" w:space="0" w:color="auto"/>
              <w:right w:val="single" w:sz="4" w:space="0" w:color="auto"/>
            </w:tcBorders>
            <w:shd w:val="clear" w:color="auto" w:fill="auto"/>
            <w:noWrap/>
            <w:vAlign w:val="center"/>
            <w:hideMark/>
          </w:tcPr>
          <w:p w14:paraId="68A32CFB" w14:textId="4F98E048" w:rsidR="00B267C9" w:rsidRPr="00BD7E1C" w:rsidRDefault="00B267C9" w:rsidP="00B267C9">
            <w:pPr>
              <w:spacing w:after="0" w:line="240" w:lineRule="auto"/>
              <w:jc w:val="center"/>
              <w:rPr>
                <w:rFonts w:eastAsia="Times New Roman"/>
                <w:sz w:val="16"/>
                <w:szCs w:val="16"/>
                <w:lang w:eastAsia="ru-RU"/>
              </w:rPr>
            </w:pPr>
            <w:r w:rsidRPr="00BD7E1C">
              <w:rPr>
                <w:rFonts w:cs="Arial"/>
                <w:color w:val="000000"/>
                <w:sz w:val="16"/>
                <w:szCs w:val="16"/>
              </w:rPr>
              <w:t>-209 790</w:t>
            </w:r>
          </w:p>
        </w:tc>
      </w:tr>
      <w:tr w:rsidR="00B267C9" w:rsidRPr="00BD7E1C" w14:paraId="0E9BCD05" w14:textId="77777777" w:rsidTr="00E3296D">
        <w:trPr>
          <w:trHeight w:val="300"/>
        </w:trPr>
        <w:tc>
          <w:tcPr>
            <w:tcW w:w="436" w:type="pct"/>
            <w:tcBorders>
              <w:top w:val="nil"/>
              <w:left w:val="single" w:sz="4" w:space="0" w:color="auto"/>
              <w:bottom w:val="single" w:sz="4" w:space="0" w:color="auto"/>
              <w:right w:val="single" w:sz="4" w:space="0" w:color="auto"/>
            </w:tcBorders>
            <w:shd w:val="clear" w:color="auto" w:fill="auto"/>
            <w:noWrap/>
            <w:vAlign w:val="center"/>
            <w:hideMark/>
          </w:tcPr>
          <w:p w14:paraId="73497DED" w14:textId="77777777" w:rsidR="00B267C9" w:rsidRPr="00BD7E1C" w:rsidRDefault="00B267C9" w:rsidP="00B267C9">
            <w:pPr>
              <w:spacing w:after="0" w:line="240" w:lineRule="auto"/>
              <w:jc w:val="right"/>
              <w:rPr>
                <w:rFonts w:eastAsia="Times New Roman"/>
                <w:sz w:val="18"/>
                <w:szCs w:val="18"/>
                <w:lang w:eastAsia="ru-RU"/>
              </w:rPr>
            </w:pPr>
            <w:r w:rsidRPr="00BD7E1C">
              <w:rPr>
                <w:rFonts w:eastAsia="Times New Roman"/>
                <w:sz w:val="18"/>
                <w:szCs w:val="18"/>
                <w:lang w:eastAsia="ru-RU"/>
              </w:rPr>
              <w:t>СН1</w:t>
            </w:r>
          </w:p>
        </w:tc>
        <w:tc>
          <w:tcPr>
            <w:tcW w:w="292" w:type="pct"/>
            <w:tcBorders>
              <w:top w:val="nil"/>
              <w:left w:val="single" w:sz="4" w:space="0" w:color="auto"/>
              <w:bottom w:val="single" w:sz="4" w:space="0" w:color="auto"/>
              <w:right w:val="single" w:sz="4" w:space="0" w:color="auto"/>
            </w:tcBorders>
            <w:shd w:val="clear" w:color="000000" w:fill="FFFFFF"/>
            <w:noWrap/>
            <w:vAlign w:val="center"/>
            <w:hideMark/>
          </w:tcPr>
          <w:p w14:paraId="6570EFB2" w14:textId="7097087D" w:rsidR="00B267C9" w:rsidRPr="00BD7E1C" w:rsidRDefault="00B267C9" w:rsidP="00B267C9">
            <w:pPr>
              <w:spacing w:after="0" w:line="240" w:lineRule="auto"/>
              <w:jc w:val="center"/>
              <w:rPr>
                <w:rFonts w:eastAsia="Times New Roman"/>
                <w:sz w:val="16"/>
                <w:szCs w:val="16"/>
                <w:lang w:eastAsia="ru-RU"/>
              </w:rPr>
            </w:pPr>
            <w:r w:rsidRPr="00BD7E1C">
              <w:rPr>
                <w:rFonts w:cs="Arial"/>
                <w:color w:val="000000"/>
                <w:sz w:val="16"/>
                <w:szCs w:val="16"/>
              </w:rPr>
              <w:t>7,86</w:t>
            </w:r>
          </w:p>
        </w:tc>
        <w:tc>
          <w:tcPr>
            <w:tcW w:w="292" w:type="pct"/>
            <w:tcBorders>
              <w:top w:val="nil"/>
              <w:left w:val="nil"/>
              <w:bottom w:val="single" w:sz="4" w:space="0" w:color="auto"/>
              <w:right w:val="single" w:sz="4" w:space="0" w:color="auto"/>
            </w:tcBorders>
            <w:shd w:val="clear" w:color="000000" w:fill="FFFFFF"/>
            <w:noWrap/>
            <w:vAlign w:val="center"/>
            <w:hideMark/>
          </w:tcPr>
          <w:p w14:paraId="38A87095" w14:textId="08B44956" w:rsidR="00B267C9" w:rsidRPr="00BD7E1C" w:rsidRDefault="00B267C9" w:rsidP="00B267C9">
            <w:pPr>
              <w:spacing w:after="0" w:line="240" w:lineRule="auto"/>
              <w:jc w:val="center"/>
              <w:rPr>
                <w:rFonts w:eastAsia="Times New Roman"/>
                <w:sz w:val="16"/>
                <w:szCs w:val="16"/>
                <w:lang w:eastAsia="ru-RU"/>
              </w:rPr>
            </w:pPr>
            <w:r w:rsidRPr="00BD7E1C">
              <w:rPr>
                <w:rFonts w:cs="Arial"/>
                <w:color w:val="000000"/>
                <w:sz w:val="16"/>
                <w:szCs w:val="16"/>
              </w:rPr>
              <w:t>1,33</w:t>
            </w:r>
          </w:p>
        </w:tc>
        <w:tc>
          <w:tcPr>
            <w:tcW w:w="292" w:type="pct"/>
            <w:tcBorders>
              <w:top w:val="nil"/>
              <w:left w:val="nil"/>
              <w:bottom w:val="single" w:sz="4" w:space="0" w:color="auto"/>
              <w:right w:val="single" w:sz="4" w:space="0" w:color="auto"/>
            </w:tcBorders>
            <w:shd w:val="clear" w:color="000000" w:fill="FFFFFF"/>
            <w:noWrap/>
            <w:vAlign w:val="center"/>
            <w:hideMark/>
          </w:tcPr>
          <w:p w14:paraId="30F3D3B4" w14:textId="29211160" w:rsidR="00B267C9" w:rsidRPr="00BD7E1C" w:rsidRDefault="00B267C9" w:rsidP="00B267C9">
            <w:pPr>
              <w:spacing w:after="0" w:line="240" w:lineRule="auto"/>
              <w:jc w:val="center"/>
              <w:rPr>
                <w:rFonts w:eastAsia="Times New Roman"/>
                <w:sz w:val="16"/>
                <w:szCs w:val="16"/>
                <w:lang w:eastAsia="ru-RU"/>
              </w:rPr>
            </w:pPr>
            <w:r w:rsidRPr="00BD7E1C">
              <w:rPr>
                <w:rFonts w:cs="Arial"/>
                <w:color w:val="000000"/>
                <w:sz w:val="16"/>
                <w:szCs w:val="16"/>
              </w:rPr>
              <w:t>9,19</w:t>
            </w:r>
          </w:p>
        </w:tc>
        <w:tc>
          <w:tcPr>
            <w:tcW w:w="292" w:type="pct"/>
            <w:tcBorders>
              <w:top w:val="nil"/>
              <w:left w:val="nil"/>
              <w:bottom w:val="single" w:sz="4" w:space="0" w:color="auto"/>
              <w:right w:val="single" w:sz="4" w:space="0" w:color="auto"/>
            </w:tcBorders>
            <w:shd w:val="clear" w:color="000000" w:fill="FFFFFF"/>
            <w:noWrap/>
            <w:vAlign w:val="center"/>
            <w:hideMark/>
          </w:tcPr>
          <w:p w14:paraId="150D767C" w14:textId="60563BB9" w:rsidR="00B267C9" w:rsidRPr="00BD7E1C" w:rsidRDefault="00B267C9" w:rsidP="00B267C9">
            <w:pPr>
              <w:spacing w:after="0" w:line="240" w:lineRule="auto"/>
              <w:jc w:val="center"/>
              <w:rPr>
                <w:rFonts w:eastAsia="Times New Roman"/>
                <w:sz w:val="16"/>
                <w:szCs w:val="16"/>
                <w:lang w:eastAsia="ru-RU"/>
              </w:rPr>
            </w:pPr>
            <w:r w:rsidRPr="00BD7E1C">
              <w:rPr>
                <w:rFonts w:cs="Arial"/>
                <w:color w:val="000000"/>
                <w:sz w:val="16"/>
                <w:szCs w:val="16"/>
              </w:rPr>
              <w:t>8,30</w:t>
            </w:r>
          </w:p>
        </w:tc>
        <w:tc>
          <w:tcPr>
            <w:tcW w:w="243" w:type="pct"/>
            <w:tcBorders>
              <w:top w:val="nil"/>
              <w:left w:val="nil"/>
              <w:bottom w:val="single" w:sz="4" w:space="0" w:color="auto"/>
              <w:right w:val="single" w:sz="4" w:space="0" w:color="auto"/>
            </w:tcBorders>
            <w:shd w:val="clear" w:color="000000" w:fill="FFFFFF"/>
            <w:noWrap/>
            <w:vAlign w:val="center"/>
            <w:hideMark/>
          </w:tcPr>
          <w:p w14:paraId="40874192" w14:textId="532BBDA6" w:rsidR="00B267C9" w:rsidRPr="00BD7E1C" w:rsidRDefault="00B267C9" w:rsidP="00B267C9">
            <w:pPr>
              <w:spacing w:after="0" w:line="240" w:lineRule="auto"/>
              <w:jc w:val="center"/>
              <w:rPr>
                <w:rFonts w:eastAsia="Times New Roman"/>
                <w:sz w:val="16"/>
                <w:szCs w:val="16"/>
                <w:lang w:eastAsia="ru-RU"/>
              </w:rPr>
            </w:pPr>
            <w:r w:rsidRPr="00BD7E1C">
              <w:rPr>
                <w:rFonts w:cs="Arial"/>
                <w:color w:val="000000"/>
                <w:sz w:val="16"/>
                <w:szCs w:val="16"/>
              </w:rPr>
              <w:t>7,02</w:t>
            </w:r>
          </w:p>
        </w:tc>
        <w:tc>
          <w:tcPr>
            <w:tcW w:w="341" w:type="pct"/>
            <w:tcBorders>
              <w:top w:val="nil"/>
              <w:left w:val="nil"/>
              <w:bottom w:val="single" w:sz="4" w:space="0" w:color="auto"/>
              <w:right w:val="single" w:sz="4" w:space="0" w:color="auto"/>
            </w:tcBorders>
            <w:shd w:val="clear" w:color="000000" w:fill="FFFFFF"/>
            <w:noWrap/>
            <w:vAlign w:val="center"/>
            <w:hideMark/>
          </w:tcPr>
          <w:p w14:paraId="1FEB65AB" w14:textId="2CB08F33" w:rsidR="00B267C9" w:rsidRPr="00BD7E1C" w:rsidRDefault="00B267C9" w:rsidP="00B267C9">
            <w:pPr>
              <w:spacing w:after="0" w:line="240" w:lineRule="auto"/>
              <w:jc w:val="center"/>
              <w:rPr>
                <w:rFonts w:eastAsia="Times New Roman"/>
                <w:sz w:val="16"/>
                <w:szCs w:val="16"/>
                <w:lang w:eastAsia="ru-RU"/>
              </w:rPr>
            </w:pPr>
            <w:r w:rsidRPr="00BD7E1C">
              <w:rPr>
                <w:rFonts w:cs="Arial"/>
                <w:color w:val="000000"/>
                <w:sz w:val="16"/>
                <w:szCs w:val="16"/>
              </w:rPr>
              <w:t>15,32101</w:t>
            </w:r>
          </w:p>
        </w:tc>
        <w:tc>
          <w:tcPr>
            <w:tcW w:w="252" w:type="pct"/>
            <w:tcBorders>
              <w:top w:val="nil"/>
              <w:left w:val="nil"/>
              <w:bottom w:val="single" w:sz="4" w:space="0" w:color="auto"/>
              <w:right w:val="single" w:sz="4" w:space="0" w:color="auto"/>
            </w:tcBorders>
            <w:shd w:val="clear" w:color="000000" w:fill="FFFFFF"/>
            <w:noWrap/>
            <w:vAlign w:val="center"/>
            <w:hideMark/>
          </w:tcPr>
          <w:p w14:paraId="24A80C9E" w14:textId="1CE9FB08" w:rsidR="00B267C9" w:rsidRPr="00BD7E1C" w:rsidRDefault="00B267C9" w:rsidP="00B267C9">
            <w:pPr>
              <w:spacing w:after="0" w:line="240" w:lineRule="auto"/>
              <w:jc w:val="center"/>
              <w:rPr>
                <w:rFonts w:eastAsia="Times New Roman"/>
                <w:sz w:val="16"/>
                <w:szCs w:val="16"/>
                <w:lang w:eastAsia="ru-RU"/>
              </w:rPr>
            </w:pPr>
            <w:r w:rsidRPr="00BD7E1C">
              <w:rPr>
                <w:rFonts w:cs="Arial"/>
                <w:color w:val="000000"/>
                <w:sz w:val="16"/>
                <w:szCs w:val="16"/>
              </w:rPr>
              <w:t>6,13</w:t>
            </w:r>
          </w:p>
        </w:tc>
        <w:tc>
          <w:tcPr>
            <w:tcW w:w="373" w:type="pct"/>
            <w:tcBorders>
              <w:top w:val="nil"/>
              <w:left w:val="nil"/>
              <w:bottom w:val="single" w:sz="4" w:space="0" w:color="auto"/>
              <w:right w:val="single" w:sz="4" w:space="0" w:color="auto"/>
            </w:tcBorders>
            <w:shd w:val="clear" w:color="auto" w:fill="auto"/>
            <w:noWrap/>
            <w:vAlign w:val="center"/>
            <w:hideMark/>
          </w:tcPr>
          <w:p w14:paraId="5DF8C56A" w14:textId="3725D8B4" w:rsidR="00B267C9" w:rsidRPr="00BD7E1C" w:rsidRDefault="00B267C9" w:rsidP="00B267C9">
            <w:pPr>
              <w:spacing w:after="0" w:line="240" w:lineRule="auto"/>
              <w:jc w:val="center"/>
              <w:rPr>
                <w:rFonts w:eastAsia="Times New Roman"/>
                <w:sz w:val="16"/>
                <w:szCs w:val="16"/>
                <w:lang w:eastAsia="ru-RU"/>
              </w:rPr>
            </w:pPr>
            <w:r w:rsidRPr="00BD7E1C">
              <w:rPr>
                <w:rFonts w:cs="Arial"/>
                <w:color w:val="000000"/>
                <w:sz w:val="16"/>
                <w:szCs w:val="16"/>
              </w:rPr>
              <w:t>26 840</w:t>
            </w:r>
          </w:p>
        </w:tc>
        <w:tc>
          <w:tcPr>
            <w:tcW w:w="373" w:type="pct"/>
            <w:tcBorders>
              <w:top w:val="nil"/>
              <w:left w:val="nil"/>
              <w:bottom w:val="single" w:sz="4" w:space="0" w:color="auto"/>
              <w:right w:val="single" w:sz="4" w:space="0" w:color="auto"/>
            </w:tcBorders>
            <w:shd w:val="clear" w:color="auto" w:fill="auto"/>
            <w:noWrap/>
            <w:vAlign w:val="center"/>
            <w:hideMark/>
          </w:tcPr>
          <w:p w14:paraId="2BBA604E" w14:textId="47476585" w:rsidR="00B267C9" w:rsidRPr="00BD7E1C" w:rsidRDefault="00B267C9" w:rsidP="00B267C9">
            <w:pPr>
              <w:spacing w:after="0" w:line="240" w:lineRule="auto"/>
              <w:jc w:val="center"/>
              <w:rPr>
                <w:rFonts w:eastAsia="Times New Roman"/>
                <w:sz w:val="16"/>
                <w:szCs w:val="16"/>
                <w:lang w:eastAsia="ru-RU"/>
              </w:rPr>
            </w:pPr>
            <w:r w:rsidRPr="00BD7E1C">
              <w:rPr>
                <w:rFonts w:cs="Arial"/>
                <w:color w:val="000000"/>
                <w:sz w:val="16"/>
                <w:szCs w:val="16"/>
              </w:rPr>
              <w:t>4 769</w:t>
            </w:r>
          </w:p>
        </w:tc>
        <w:tc>
          <w:tcPr>
            <w:tcW w:w="357" w:type="pct"/>
            <w:tcBorders>
              <w:top w:val="nil"/>
              <w:left w:val="nil"/>
              <w:bottom w:val="single" w:sz="4" w:space="0" w:color="auto"/>
              <w:right w:val="single" w:sz="4" w:space="0" w:color="auto"/>
            </w:tcBorders>
            <w:shd w:val="clear" w:color="auto" w:fill="auto"/>
            <w:noWrap/>
            <w:vAlign w:val="center"/>
            <w:hideMark/>
          </w:tcPr>
          <w:p w14:paraId="280D6049" w14:textId="5A5F0FCE" w:rsidR="00B267C9" w:rsidRPr="00BD7E1C" w:rsidRDefault="00B267C9" w:rsidP="00B267C9">
            <w:pPr>
              <w:spacing w:after="0" w:line="240" w:lineRule="auto"/>
              <w:jc w:val="center"/>
              <w:rPr>
                <w:rFonts w:eastAsia="Times New Roman"/>
                <w:sz w:val="16"/>
                <w:szCs w:val="16"/>
                <w:lang w:eastAsia="ru-RU"/>
              </w:rPr>
            </w:pPr>
            <w:r w:rsidRPr="00BD7E1C">
              <w:rPr>
                <w:rFonts w:cs="Arial"/>
                <w:color w:val="000000"/>
                <w:sz w:val="16"/>
                <w:szCs w:val="16"/>
              </w:rPr>
              <w:t>31 609</w:t>
            </w:r>
          </w:p>
        </w:tc>
        <w:tc>
          <w:tcPr>
            <w:tcW w:w="407" w:type="pct"/>
            <w:tcBorders>
              <w:top w:val="nil"/>
              <w:left w:val="nil"/>
              <w:bottom w:val="single" w:sz="4" w:space="0" w:color="auto"/>
              <w:right w:val="single" w:sz="4" w:space="0" w:color="auto"/>
            </w:tcBorders>
            <w:shd w:val="clear" w:color="auto" w:fill="auto"/>
            <w:noWrap/>
            <w:vAlign w:val="center"/>
            <w:hideMark/>
          </w:tcPr>
          <w:p w14:paraId="2433A318" w14:textId="4FA328C1" w:rsidR="00B267C9" w:rsidRPr="00BD7E1C" w:rsidRDefault="00B267C9" w:rsidP="00B267C9">
            <w:pPr>
              <w:spacing w:after="0" w:line="240" w:lineRule="auto"/>
              <w:jc w:val="center"/>
              <w:rPr>
                <w:rFonts w:eastAsia="Times New Roman"/>
                <w:sz w:val="16"/>
                <w:szCs w:val="16"/>
                <w:lang w:eastAsia="ru-RU"/>
              </w:rPr>
            </w:pPr>
            <w:r w:rsidRPr="00BD7E1C">
              <w:rPr>
                <w:rFonts w:cs="Arial"/>
                <w:color w:val="000000"/>
                <w:sz w:val="16"/>
                <w:szCs w:val="16"/>
              </w:rPr>
              <w:t>28 331</w:t>
            </w:r>
          </w:p>
        </w:tc>
        <w:tc>
          <w:tcPr>
            <w:tcW w:w="319" w:type="pct"/>
            <w:tcBorders>
              <w:top w:val="nil"/>
              <w:left w:val="nil"/>
              <w:bottom w:val="single" w:sz="4" w:space="0" w:color="auto"/>
              <w:right w:val="single" w:sz="4" w:space="0" w:color="auto"/>
            </w:tcBorders>
            <w:shd w:val="clear" w:color="auto" w:fill="auto"/>
            <w:noWrap/>
            <w:vAlign w:val="center"/>
            <w:hideMark/>
          </w:tcPr>
          <w:p w14:paraId="6C0489A3" w14:textId="012A10B6" w:rsidR="00B267C9" w:rsidRPr="00BD7E1C" w:rsidRDefault="00B267C9" w:rsidP="00B267C9">
            <w:pPr>
              <w:spacing w:after="0" w:line="240" w:lineRule="auto"/>
              <w:jc w:val="center"/>
              <w:rPr>
                <w:rFonts w:eastAsia="Times New Roman"/>
                <w:sz w:val="16"/>
                <w:szCs w:val="16"/>
                <w:lang w:eastAsia="ru-RU"/>
              </w:rPr>
            </w:pPr>
            <w:r w:rsidRPr="00BD7E1C">
              <w:rPr>
                <w:rFonts w:cs="Arial"/>
                <w:color w:val="000000"/>
                <w:sz w:val="16"/>
                <w:szCs w:val="16"/>
              </w:rPr>
              <w:t>25 186</w:t>
            </w:r>
          </w:p>
        </w:tc>
        <w:tc>
          <w:tcPr>
            <w:tcW w:w="413" w:type="pct"/>
            <w:tcBorders>
              <w:top w:val="nil"/>
              <w:left w:val="nil"/>
              <w:bottom w:val="single" w:sz="4" w:space="0" w:color="auto"/>
              <w:right w:val="single" w:sz="4" w:space="0" w:color="auto"/>
            </w:tcBorders>
            <w:shd w:val="clear" w:color="auto" w:fill="auto"/>
            <w:noWrap/>
            <w:vAlign w:val="center"/>
            <w:hideMark/>
          </w:tcPr>
          <w:p w14:paraId="05211BB8" w14:textId="507E11FE" w:rsidR="00B267C9" w:rsidRPr="00BD7E1C" w:rsidRDefault="00B267C9" w:rsidP="00B267C9">
            <w:pPr>
              <w:spacing w:after="0" w:line="240" w:lineRule="auto"/>
              <w:jc w:val="center"/>
              <w:rPr>
                <w:rFonts w:eastAsia="Times New Roman"/>
                <w:sz w:val="16"/>
                <w:szCs w:val="16"/>
                <w:lang w:eastAsia="ru-RU"/>
              </w:rPr>
            </w:pPr>
            <w:r w:rsidRPr="00BD7E1C">
              <w:rPr>
                <w:rFonts w:cs="Arial"/>
                <w:color w:val="000000"/>
                <w:sz w:val="16"/>
                <w:szCs w:val="16"/>
              </w:rPr>
              <w:t>53 517</w:t>
            </w:r>
          </w:p>
        </w:tc>
        <w:tc>
          <w:tcPr>
            <w:tcW w:w="317" w:type="pct"/>
            <w:tcBorders>
              <w:top w:val="nil"/>
              <w:left w:val="nil"/>
              <w:bottom w:val="single" w:sz="4" w:space="0" w:color="auto"/>
              <w:right w:val="single" w:sz="4" w:space="0" w:color="auto"/>
            </w:tcBorders>
            <w:shd w:val="clear" w:color="auto" w:fill="auto"/>
            <w:noWrap/>
            <w:vAlign w:val="center"/>
            <w:hideMark/>
          </w:tcPr>
          <w:p w14:paraId="62310BBA" w14:textId="02278A71" w:rsidR="00B267C9" w:rsidRPr="00BD7E1C" w:rsidRDefault="00B267C9" w:rsidP="00B267C9">
            <w:pPr>
              <w:spacing w:after="0" w:line="240" w:lineRule="auto"/>
              <w:jc w:val="center"/>
              <w:rPr>
                <w:rFonts w:eastAsia="Times New Roman"/>
                <w:sz w:val="16"/>
                <w:szCs w:val="16"/>
                <w:lang w:eastAsia="ru-RU"/>
              </w:rPr>
            </w:pPr>
            <w:r w:rsidRPr="00BD7E1C">
              <w:rPr>
                <w:rFonts w:cs="Arial"/>
                <w:color w:val="000000"/>
                <w:sz w:val="16"/>
                <w:szCs w:val="16"/>
              </w:rPr>
              <w:t>21 908</w:t>
            </w:r>
          </w:p>
        </w:tc>
      </w:tr>
      <w:tr w:rsidR="00B267C9" w:rsidRPr="00BD7E1C" w14:paraId="54295509" w14:textId="77777777" w:rsidTr="00E3296D">
        <w:trPr>
          <w:trHeight w:val="300"/>
        </w:trPr>
        <w:tc>
          <w:tcPr>
            <w:tcW w:w="436" w:type="pct"/>
            <w:tcBorders>
              <w:top w:val="nil"/>
              <w:left w:val="single" w:sz="4" w:space="0" w:color="auto"/>
              <w:bottom w:val="single" w:sz="4" w:space="0" w:color="auto"/>
              <w:right w:val="single" w:sz="4" w:space="0" w:color="auto"/>
            </w:tcBorders>
            <w:shd w:val="clear" w:color="auto" w:fill="auto"/>
            <w:noWrap/>
            <w:vAlign w:val="center"/>
            <w:hideMark/>
          </w:tcPr>
          <w:p w14:paraId="0A14E241" w14:textId="77777777" w:rsidR="00B267C9" w:rsidRPr="00BD7E1C" w:rsidRDefault="00B267C9" w:rsidP="00B267C9">
            <w:pPr>
              <w:spacing w:after="0" w:line="240" w:lineRule="auto"/>
              <w:jc w:val="right"/>
              <w:rPr>
                <w:rFonts w:eastAsia="Times New Roman"/>
                <w:sz w:val="18"/>
                <w:szCs w:val="18"/>
                <w:lang w:eastAsia="ru-RU"/>
              </w:rPr>
            </w:pPr>
            <w:r w:rsidRPr="00BD7E1C">
              <w:rPr>
                <w:rFonts w:eastAsia="Times New Roman"/>
                <w:sz w:val="18"/>
                <w:szCs w:val="18"/>
                <w:lang w:eastAsia="ru-RU"/>
              </w:rPr>
              <w:t>СН2</w:t>
            </w:r>
          </w:p>
        </w:tc>
        <w:tc>
          <w:tcPr>
            <w:tcW w:w="292" w:type="pct"/>
            <w:tcBorders>
              <w:top w:val="nil"/>
              <w:left w:val="single" w:sz="4" w:space="0" w:color="auto"/>
              <w:bottom w:val="single" w:sz="4" w:space="0" w:color="auto"/>
              <w:right w:val="single" w:sz="4" w:space="0" w:color="auto"/>
            </w:tcBorders>
            <w:shd w:val="clear" w:color="000000" w:fill="FFFFFF"/>
            <w:noWrap/>
            <w:vAlign w:val="center"/>
            <w:hideMark/>
          </w:tcPr>
          <w:p w14:paraId="5E389C3F" w14:textId="31713125" w:rsidR="00B267C9" w:rsidRPr="00BD7E1C" w:rsidRDefault="00B267C9" w:rsidP="00B267C9">
            <w:pPr>
              <w:spacing w:after="0" w:line="240" w:lineRule="auto"/>
              <w:jc w:val="center"/>
              <w:rPr>
                <w:rFonts w:eastAsia="Times New Roman"/>
                <w:sz w:val="16"/>
                <w:szCs w:val="16"/>
                <w:lang w:eastAsia="ru-RU"/>
              </w:rPr>
            </w:pPr>
            <w:r w:rsidRPr="00BD7E1C">
              <w:rPr>
                <w:rFonts w:cs="Arial"/>
                <w:color w:val="000000"/>
                <w:sz w:val="16"/>
                <w:szCs w:val="16"/>
              </w:rPr>
              <w:t>24,90</w:t>
            </w:r>
          </w:p>
        </w:tc>
        <w:tc>
          <w:tcPr>
            <w:tcW w:w="292" w:type="pct"/>
            <w:tcBorders>
              <w:top w:val="nil"/>
              <w:left w:val="nil"/>
              <w:bottom w:val="single" w:sz="4" w:space="0" w:color="auto"/>
              <w:right w:val="single" w:sz="4" w:space="0" w:color="auto"/>
            </w:tcBorders>
            <w:shd w:val="clear" w:color="000000" w:fill="FFFFFF"/>
            <w:noWrap/>
            <w:vAlign w:val="center"/>
            <w:hideMark/>
          </w:tcPr>
          <w:p w14:paraId="3CCF056A" w14:textId="196438C9" w:rsidR="00B267C9" w:rsidRPr="00BD7E1C" w:rsidRDefault="00B267C9" w:rsidP="00B267C9">
            <w:pPr>
              <w:spacing w:after="0" w:line="240" w:lineRule="auto"/>
              <w:jc w:val="center"/>
              <w:rPr>
                <w:rFonts w:eastAsia="Times New Roman"/>
                <w:sz w:val="16"/>
                <w:szCs w:val="16"/>
                <w:lang w:eastAsia="ru-RU"/>
              </w:rPr>
            </w:pPr>
            <w:r w:rsidRPr="00BD7E1C">
              <w:rPr>
                <w:rFonts w:cs="Arial"/>
                <w:color w:val="000000"/>
                <w:sz w:val="16"/>
                <w:szCs w:val="16"/>
              </w:rPr>
              <w:t>31,38</w:t>
            </w:r>
          </w:p>
        </w:tc>
        <w:tc>
          <w:tcPr>
            <w:tcW w:w="292" w:type="pct"/>
            <w:tcBorders>
              <w:top w:val="nil"/>
              <w:left w:val="nil"/>
              <w:bottom w:val="single" w:sz="4" w:space="0" w:color="auto"/>
              <w:right w:val="single" w:sz="4" w:space="0" w:color="auto"/>
            </w:tcBorders>
            <w:shd w:val="clear" w:color="000000" w:fill="FFFFFF"/>
            <w:noWrap/>
            <w:vAlign w:val="center"/>
            <w:hideMark/>
          </w:tcPr>
          <w:p w14:paraId="6D0F75E4" w14:textId="0BAE071F" w:rsidR="00B267C9" w:rsidRPr="00BD7E1C" w:rsidRDefault="00B267C9" w:rsidP="00B267C9">
            <w:pPr>
              <w:spacing w:after="0" w:line="240" w:lineRule="auto"/>
              <w:jc w:val="center"/>
              <w:rPr>
                <w:rFonts w:eastAsia="Times New Roman"/>
                <w:sz w:val="16"/>
                <w:szCs w:val="16"/>
                <w:lang w:eastAsia="ru-RU"/>
              </w:rPr>
            </w:pPr>
            <w:r w:rsidRPr="00BD7E1C">
              <w:rPr>
                <w:rFonts w:cs="Arial"/>
                <w:color w:val="000000"/>
                <w:sz w:val="16"/>
                <w:szCs w:val="16"/>
              </w:rPr>
              <w:t>56,28</w:t>
            </w:r>
          </w:p>
        </w:tc>
        <w:tc>
          <w:tcPr>
            <w:tcW w:w="292" w:type="pct"/>
            <w:tcBorders>
              <w:top w:val="nil"/>
              <w:left w:val="nil"/>
              <w:bottom w:val="single" w:sz="4" w:space="0" w:color="auto"/>
              <w:right w:val="single" w:sz="4" w:space="0" w:color="auto"/>
            </w:tcBorders>
            <w:shd w:val="clear" w:color="000000" w:fill="FFFFFF"/>
            <w:noWrap/>
            <w:vAlign w:val="center"/>
            <w:hideMark/>
          </w:tcPr>
          <w:p w14:paraId="052AA97D" w14:textId="622F6885" w:rsidR="00B267C9" w:rsidRPr="00BD7E1C" w:rsidRDefault="00B267C9" w:rsidP="00B267C9">
            <w:pPr>
              <w:spacing w:after="0" w:line="240" w:lineRule="auto"/>
              <w:jc w:val="center"/>
              <w:rPr>
                <w:rFonts w:eastAsia="Times New Roman"/>
                <w:sz w:val="16"/>
                <w:szCs w:val="16"/>
                <w:lang w:eastAsia="ru-RU"/>
              </w:rPr>
            </w:pPr>
            <w:r w:rsidRPr="00BD7E1C">
              <w:rPr>
                <w:rFonts w:cs="Arial"/>
                <w:color w:val="000000"/>
                <w:sz w:val="16"/>
                <w:szCs w:val="16"/>
              </w:rPr>
              <w:t>44,29</w:t>
            </w:r>
          </w:p>
        </w:tc>
        <w:tc>
          <w:tcPr>
            <w:tcW w:w="243" w:type="pct"/>
            <w:tcBorders>
              <w:top w:val="nil"/>
              <w:left w:val="nil"/>
              <w:bottom w:val="single" w:sz="4" w:space="0" w:color="auto"/>
              <w:right w:val="single" w:sz="4" w:space="0" w:color="auto"/>
            </w:tcBorders>
            <w:shd w:val="clear" w:color="000000" w:fill="FFFFFF"/>
            <w:noWrap/>
            <w:vAlign w:val="center"/>
            <w:hideMark/>
          </w:tcPr>
          <w:p w14:paraId="50B4C50D" w14:textId="081B619D" w:rsidR="00B267C9" w:rsidRPr="00BD7E1C" w:rsidRDefault="00B267C9" w:rsidP="00B267C9">
            <w:pPr>
              <w:spacing w:after="0" w:line="240" w:lineRule="auto"/>
              <w:jc w:val="center"/>
              <w:rPr>
                <w:rFonts w:eastAsia="Times New Roman"/>
                <w:sz w:val="16"/>
                <w:szCs w:val="16"/>
                <w:lang w:eastAsia="ru-RU"/>
              </w:rPr>
            </w:pPr>
            <w:r w:rsidRPr="00BD7E1C">
              <w:rPr>
                <w:rFonts w:cs="Arial"/>
                <w:color w:val="000000"/>
                <w:sz w:val="16"/>
                <w:szCs w:val="16"/>
              </w:rPr>
              <w:t>39,60</w:t>
            </w:r>
          </w:p>
        </w:tc>
        <w:tc>
          <w:tcPr>
            <w:tcW w:w="341" w:type="pct"/>
            <w:tcBorders>
              <w:top w:val="nil"/>
              <w:left w:val="nil"/>
              <w:bottom w:val="single" w:sz="4" w:space="0" w:color="auto"/>
              <w:right w:val="single" w:sz="4" w:space="0" w:color="auto"/>
            </w:tcBorders>
            <w:shd w:val="clear" w:color="000000" w:fill="FFFFFF"/>
            <w:noWrap/>
            <w:vAlign w:val="center"/>
            <w:hideMark/>
          </w:tcPr>
          <w:p w14:paraId="41F856BE" w14:textId="4AFBEE85" w:rsidR="00B267C9" w:rsidRPr="00BD7E1C" w:rsidRDefault="00B267C9" w:rsidP="00B267C9">
            <w:pPr>
              <w:spacing w:after="0" w:line="240" w:lineRule="auto"/>
              <w:jc w:val="center"/>
              <w:rPr>
                <w:rFonts w:eastAsia="Times New Roman"/>
                <w:sz w:val="16"/>
                <w:szCs w:val="16"/>
                <w:lang w:eastAsia="ru-RU"/>
              </w:rPr>
            </w:pPr>
            <w:r w:rsidRPr="00BD7E1C">
              <w:rPr>
                <w:rFonts w:cs="Arial"/>
                <w:color w:val="000000"/>
                <w:sz w:val="16"/>
                <w:szCs w:val="16"/>
              </w:rPr>
              <w:t>83,89009</w:t>
            </w:r>
          </w:p>
        </w:tc>
        <w:tc>
          <w:tcPr>
            <w:tcW w:w="252" w:type="pct"/>
            <w:tcBorders>
              <w:top w:val="nil"/>
              <w:left w:val="nil"/>
              <w:bottom w:val="single" w:sz="4" w:space="0" w:color="auto"/>
              <w:right w:val="single" w:sz="4" w:space="0" w:color="auto"/>
            </w:tcBorders>
            <w:shd w:val="clear" w:color="000000" w:fill="FFFFFF"/>
            <w:noWrap/>
            <w:vAlign w:val="center"/>
            <w:hideMark/>
          </w:tcPr>
          <w:p w14:paraId="6F249AC0" w14:textId="455A48C1" w:rsidR="00B267C9" w:rsidRPr="00BD7E1C" w:rsidRDefault="00B267C9" w:rsidP="00B267C9">
            <w:pPr>
              <w:spacing w:after="0" w:line="240" w:lineRule="auto"/>
              <w:jc w:val="center"/>
              <w:rPr>
                <w:rFonts w:eastAsia="Times New Roman"/>
                <w:sz w:val="16"/>
                <w:szCs w:val="16"/>
                <w:lang w:eastAsia="ru-RU"/>
              </w:rPr>
            </w:pPr>
            <w:r w:rsidRPr="00BD7E1C">
              <w:rPr>
                <w:rFonts w:cs="Arial"/>
                <w:color w:val="000000"/>
                <w:sz w:val="16"/>
                <w:szCs w:val="16"/>
              </w:rPr>
              <w:t>27,61</w:t>
            </w:r>
          </w:p>
        </w:tc>
        <w:tc>
          <w:tcPr>
            <w:tcW w:w="373" w:type="pct"/>
            <w:tcBorders>
              <w:top w:val="nil"/>
              <w:left w:val="nil"/>
              <w:bottom w:val="single" w:sz="4" w:space="0" w:color="auto"/>
              <w:right w:val="single" w:sz="4" w:space="0" w:color="auto"/>
            </w:tcBorders>
            <w:shd w:val="clear" w:color="auto" w:fill="auto"/>
            <w:noWrap/>
            <w:vAlign w:val="center"/>
            <w:hideMark/>
          </w:tcPr>
          <w:p w14:paraId="6A51AEE2" w14:textId="7E984777" w:rsidR="00B267C9" w:rsidRPr="00BD7E1C" w:rsidRDefault="00B267C9" w:rsidP="00B267C9">
            <w:pPr>
              <w:spacing w:after="0" w:line="240" w:lineRule="auto"/>
              <w:jc w:val="center"/>
              <w:rPr>
                <w:rFonts w:eastAsia="Times New Roman"/>
                <w:sz w:val="16"/>
                <w:szCs w:val="16"/>
                <w:lang w:eastAsia="ru-RU"/>
              </w:rPr>
            </w:pPr>
            <w:r w:rsidRPr="00BD7E1C">
              <w:rPr>
                <w:rFonts w:cs="Arial"/>
                <w:color w:val="000000"/>
                <w:sz w:val="16"/>
                <w:szCs w:val="16"/>
              </w:rPr>
              <w:t>90 075</w:t>
            </w:r>
          </w:p>
        </w:tc>
        <w:tc>
          <w:tcPr>
            <w:tcW w:w="373" w:type="pct"/>
            <w:tcBorders>
              <w:top w:val="nil"/>
              <w:left w:val="nil"/>
              <w:bottom w:val="single" w:sz="4" w:space="0" w:color="auto"/>
              <w:right w:val="single" w:sz="4" w:space="0" w:color="auto"/>
            </w:tcBorders>
            <w:shd w:val="clear" w:color="auto" w:fill="auto"/>
            <w:noWrap/>
            <w:vAlign w:val="center"/>
            <w:hideMark/>
          </w:tcPr>
          <w:p w14:paraId="5AAF0D1C" w14:textId="54680E61" w:rsidR="00B267C9" w:rsidRPr="00BD7E1C" w:rsidRDefault="00B267C9" w:rsidP="00B267C9">
            <w:pPr>
              <w:spacing w:after="0" w:line="240" w:lineRule="auto"/>
              <w:jc w:val="center"/>
              <w:rPr>
                <w:rFonts w:eastAsia="Times New Roman"/>
                <w:sz w:val="16"/>
                <w:szCs w:val="16"/>
                <w:lang w:eastAsia="ru-RU"/>
              </w:rPr>
            </w:pPr>
            <w:r w:rsidRPr="00BD7E1C">
              <w:rPr>
                <w:rFonts w:cs="Arial"/>
                <w:color w:val="000000"/>
                <w:sz w:val="16"/>
                <w:szCs w:val="16"/>
              </w:rPr>
              <w:t>119 191</w:t>
            </w:r>
          </w:p>
        </w:tc>
        <w:tc>
          <w:tcPr>
            <w:tcW w:w="357" w:type="pct"/>
            <w:tcBorders>
              <w:top w:val="nil"/>
              <w:left w:val="nil"/>
              <w:bottom w:val="single" w:sz="4" w:space="0" w:color="auto"/>
              <w:right w:val="single" w:sz="4" w:space="0" w:color="auto"/>
            </w:tcBorders>
            <w:shd w:val="clear" w:color="auto" w:fill="auto"/>
            <w:noWrap/>
            <w:vAlign w:val="center"/>
            <w:hideMark/>
          </w:tcPr>
          <w:p w14:paraId="0896D26D" w14:textId="114A4895" w:rsidR="00B267C9" w:rsidRPr="00BD7E1C" w:rsidRDefault="00B267C9" w:rsidP="00B267C9">
            <w:pPr>
              <w:spacing w:after="0" w:line="240" w:lineRule="auto"/>
              <w:jc w:val="center"/>
              <w:rPr>
                <w:rFonts w:eastAsia="Times New Roman"/>
                <w:sz w:val="16"/>
                <w:szCs w:val="16"/>
                <w:lang w:eastAsia="ru-RU"/>
              </w:rPr>
            </w:pPr>
            <w:r w:rsidRPr="00BD7E1C">
              <w:rPr>
                <w:rFonts w:cs="Arial"/>
                <w:color w:val="000000"/>
                <w:sz w:val="16"/>
                <w:szCs w:val="16"/>
              </w:rPr>
              <w:t>209 266</w:t>
            </w:r>
          </w:p>
        </w:tc>
        <w:tc>
          <w:tcPr>
            <w:tcW w:w="407" w:type="pct"/>
            <w:tcBorders>
              <w:top w:val="nil"/>
              <w:left w:val="nil"/>
              <w:bottom w:val="single" w:sz="4" w:space="0" w:color="auto"/>
              <w:right w:val="single" w:sz="4" w:space="0" w:color="auto"/>
            </w:tcBorders>
            <w:shd w:val="clear" w:color="auto" w:fill="auto"/>
            <w:noWrap/>
            <w:vAlign w:val="center"/>
            <w:hideMark/>
          </w:tcPr>
          <w:p w14:paraId="1D135E9D" w14:textId="4FDA5705" w:rsidR="00B267C9" w:rsidRPr="00BD7E1C" w:rsidRDefault="00B267C9" w:rsidP="00B267C9">
            <w:pPr>
              <w:spacing w:after="0" w:line="240" w:lineRule="auto"/>
              <w:jc w:val="center"/>
              <w:rPr>
                <w:rFonts w:eastAsia="Times New Roman"/>
                <w:sz w:val="16"/>
                <w:szCs w:val="16"/>
                <w:lang w:eastAsia="ru-RU"/>
              </w:rPr>
            </w:pPr>
            <w:r w:rsidRPr="00BD7E1C">
              <w:rPr>
                <w:rFonts w:cs="Arial"/>
                <w:color w:val="000000"/>
                <w:sz w:val="16"/>
                <w:szCs w:val="16"/>
              </w:rPr>
              <w:t>161 114</w:t>
            </w:r>
          </w:p>
        </w:tc>
        <w:tc>
          <w:tcPr>
            <w:tcW w:w="319" w:type="pct"/>
            <w:tcBorders>
              <w:top w:val="nil"/>
              <w:left w:val="nil"/>
              <w:bottom w:val="single" w:sz="4" w:space="0" w:color="auto"/>
              <w:right w:val="single" w:sz="4" w:space="0" w:color="auto"/>
            </w:tcBorders>
            <w:shd w:val="clear" w:color="auto" w:fill="auto"/>
            <w:noWrap/>
            <w:vAlign w:val="center"/>
            <w:hideMark/>
          </w:tcPr>
          <w:p w14:paraId="0B217DA9" w14:textId="40481048" w:rsidR="00B267C9" w:rsidRPr="00BD7E1C" w:rsidRDefault="00B267C9" w:rsidP="00B267C9">
            <w:pPr>
              <w:spacing w:after="0" w:line="240" w:lineRule="auto"/>
              <w:jc w:val="center"/>
              <w:rPr>
                <w:rFonts w:eastAsia="Times New Roman"/>
                <w:sz w:val="16"/>
                <w:szCs w:val="16"/>
                <w:lang w:eastAsia="ru-RU"/>
              </w:rPr>
            </w:pPr>
            <w:r w:rsidRPr="00BD7E1C">
              <w:rPr>
                <w:rFonts w:cs="Arial"/>
                <w:color w:val="000000"/>
                <w:sz w:val="16"/>
                <w:szCs w:val="16"/>
              </w:rPr>
              <w:t>150 111</w:t>
            </w:r>
          </w:p>
        </w:tc>
        <w:tc>
          <w:tcPr>
            <w:tcW w:w="413" w:type="pct"/>
            <w:tcBorders>
              <w:top w:val="nil"/>
              <w:left w:val="nil"/>
              <w:bottom w:val="single" w:sz="4" w:space="0" w:color="auto"/>
              <w:right w:val="single" w:sz="4" w:space="0" w:color="auto"/>
            </w:tcBorders>
            <w:shd w:val="clear" w:color="auto" w:fill="auto"/>
            <w:noWrap/>
            <w:vAlign w:val="center"/>
            <w:hideMark/>
          </w:tcPr>
          <w:p w14:paraId="1EDE80F5" w14:textId="12E99D98" w:rsidR="00B267C9" w:rsidRPr="00BD7E1C" w:rsidRDefault="00B267C9" w:rsidP="00B267C9">
            <w:pPr>
              <w:spacing w:after="0" w:line="240" w:lineRule="auto"/>
              <w:jc w:val="center"/>
              <w:rPr>
                <w:rFonts w:eastAsia="Times New Roman"/>
                <w:sz w:val="16"/>
                <w:szCs w:val="16"/>
                <w:lang w:eastAsia="ru-RU"/>
              </w:rPr>
            </w:pPr>
            <w:r w:rsidRPr="00BD7E1C">
              <w:rPr>
                <w:rFonts w:cs="Arial"/>
                <w:color w:val="000000"/>
                <w:sz w:val="16"/>
                <w:szCs w:val="16"/>
              </w:rPr>
              <w:t>311 224</w:t>
            </w:r>
          </w:p>
        </w:tc>
        <w:tc>
          <w:tcPr>
            <w:tcW w:w="317" w:type="pct"/>
            <w:tcBorders>
              <w:top w:val="nil"/>
              <w:left w:val="nil"/>
              <w:bottom w:val="single" w:sz="4" w:space="0" w:color="auto"/>
              <w:right w:val="single" w:sz="4" w:space="0" w:color="auto"/>
            </w:tcBorders>
            <w:shd w:val="clear" w:color="auto" w:fill="auto"/>
            <w:noWrap/>
            <w:vAlign w:val="center"/>
            <w:hideMark/>
          </w:tcPr>
          <w:p w14:paraId="5905F232" w14:textId="320BA35C" w:rsidR="00B267C9" w:rsidRPr="00BD7E1C" w:rsidRDefault="00B267C9" w:rsidP="00B267C9">
            <w:pPr>
              <w:spacing w:after="0" w:line="240" w:lineRule="auto"/>
              <w:jc w:val="center"/>
              <w:rPr>
                <w:rFonts w:eastAsia="Times New Roman"/>
                <w:sz w:val="16"/>
                <w:szCs w:val="16"/>
                <w:lang w:eastAsia="ru-RU"/>
              </w:rPr>
            </w:pPr>
            <w:r w:rsidRPr="00BD7E1C">
              <w:rPr>
                <w:rFonts w:cs="Arial"/>
                <w:color w:val="000000"/>
                <w:sz w:val="16"/>
                <w:szCs w:val="16"/>
              </w:rPr>
              <w:t>101 959</w:t>
            </w:r>
          </w:p>
        </w:tc>
      </w:tr>
      <w:tr w:rsidR="00B267C9" w:rsidRPr="00BD7E1C" w14:paraId="0F220F13" w14:textId="77777777" w:rsidTr="00E3296D">
        <w:trPr>
          <w:trHeight w:val="300"/>
        </w:trPr>
        <w:tc>
          <w:tcPr>
            <w:tcW w:w="436" w:type="pct"/>
            <w:tcBorders>
              <w:top w:val="nil"/>
              <w:left w:val="single" w:sz="4" w:space="0" w:color="auto"/>
              <w:bottom w:val="single" w:sz="4" w:space="0" w:color="auto"/>
              <w:right w:val="single" w:sz="4" w:space="0" w:color="auto"/>
            </w:tcBorders>
            <w:shd w:val="clear" w:color="auto" w:fill="auto"/>
            <w:noWrap/>
            <w:vAlign w:val="center"/>
            <w:hideMark/>
          </w:tcPr>
          <w:p w14:paraId="50B01130" w14:textId="77777777" w:rsidR="00B267C9" w:rsidRPr="00BD7E1C" w:rsidRDefault="00B267C9" w:rsidP="00B267C9">
            <w:pPr>
              <w:spacing w:after="0" w:line="240" w:lineRule="auto"/>
              <w:jc w:val="right"/>
              <w:rPr>
                <w:rFonts w:eastAsia="Times New Roman"/>
                <w:sz w:val="18"/>
                <w:szCs w:val="18"/>
                <w:lang w:eastAsia="ru-RU"/>
              </w:rPr>
            </w:pPr>
            <w:r w:rsidRPr="00BD7E1C">
              <w:rPr>
                <w:rFonts w:eastAsia="Times New Roman"/>
                <w:sz w:val="18"/>
                <w:szCs w:val="18"/>
                <w:lang w:eastAsia="ru-RU"/>
              </w:rPr>
              <w:t>НН</w:t>
            </w:r>
          </w:p>
        </w:tc>
        <w:tc>
          <w:tcPr>
            <w:tcW w:w="292" w:type="pct"/>
            <w:tcBorders>
              <w:top w:val="nil"/>
              <w:left w:val="single" w:sz="4" w:space="0" w:color="auto"/>
              <w:bottom w:val="single" w:sz="4" w:space="0" w:color="auto"/>
              <w:right w:val="single" w:sz="4" w:space="0" w:color="auto"/>
            </w:tcBorders>
            <w:shd w:val="clear" w:color="000000" w:fill="FFFFFF"/>
            <w:noWrap/>
            <w:vAlign w:val="center"/>
            <w:hideMark/>
          </w:tcPr>
          <w:p w14:paraId="0D902CE4" w14:textId="67C36A42" w:rsidR="00B267C9" w:rsidRPr="00BD7E1C" w:rsidRDefault="00B267C9" w:rsidP="00B267C9">
            <w:pPr>
              <w:spacing w:after="0" w:line="240" w:lineRule="auto"/>
              <w:jc w:val="center"/>
              <w:rPr>
                <w:rFonts w:eastAsia="Times New Roman"/>
                <w:sz w:val="16"/>
                <w:szCs w:val="16"/>
                <w:lang w:eastAsia="ru-RU"/>
              </w:rPr>
            </w:pPr>
            <w:r w:rsidRPr="00BD7E1C">
              <w:rPr>
                <w:rFonts w:cs="Arial"/>
                <w:color w:val="000000"/>
                <w:sz w:val="16"/>
                <w:szCs w:val="16"/>
              </w:rPr>
              <w:t>30,88</w:t>
            </w:r>
          </w:p>
        </w:tc>
        <w:tc>
          <w:tcPr>
            <w:tcW w:w="292" w:type="pct"/>
            <w:tcBorders>
              <w:top w:val="nil"/>
              <w:left w:val="nil"/>
              <w:bottom w:val="single" w:sz="4" w:space="0" w:color="auto"/>
              <w:right w:val="single" w:sz="4" w:space="0" w:color="auto"/>
            </w:tcBorders>
            <w:shd w:val="clear" w:color="000000" w:fill="FFFFFF"/>
            <w:noWrap/>
            <w:vAlign w:val="center"/>
            <w:hideMark/>
          </w:tcPr>
          <w:p w14:paraId="6F16E11F" w14:textId="2B31ECCA" w:rsidR="00B267C9" w:rsidRPr="00BD7E1C" w:rsidRDefault="00B267C9" w:rsidP="00B267C9">
            <w:pPr>
              <w:spacing w:after="0" w:line="240" w:lineRule="auto"/>
              <w:jc w:val="center"/>
              <w:rPr>
                <w:rFonts w:eastAsia="Times New Roman"/>
                <w:sz w:val="16"/>
                <w:szCs w:val="16"/>
                <w:lang w:eastAsia="ru-RU"/>
              </w:rPr>
            </w:pPr>
            <w:r w:rsidRPr="00BD7E1C">
              <w:rPr>
                <w:rFonts w:cs="Arial"/>
                <w:color w:val="000000"/>
                <w:sz w:val="16"/>
                <w:szCs w:val="16"/>
              </w:rPr>
              <w:t>55,74</w:t>
            </w:r>
          </w:p>
        </w:tc>
        <w:tc>
          <w:tcPr>
            <w:tcW w:w="292" w:type="pct"/>
            <w:tcBorders>
              <w:top w:val="nil"/>
              <w:left w:val="nil"/>
              <w:bottom w:val="single" w:sz="4" w:space="0" w:color="auto"/>
              <w:right w:val="single" w:sz="4" w:space="0" w:color="auto"/>
            </w:tcBorders>
            <w:shd w:val="clear" w:color="000000" w:fill="FFFFFF"/>
            <w:noWrap/>
            <w:vAlign w:val="center"/>
            <w:hideMark/>
          </w:tcPr>
          <w:p w14:paraId="5BC7483D" w14:textId="399CCD52" w:rsidR="00B267C9" w:rsidRPr="00BD7E1C" w:rsidRDefault="00B267C9" w:rsidP="00B267C9">
            <w:pPr>
              <w:spacing w:after="0" w:line="240" w:lineRule="auto"/>
              <w:jc w:val="center"/>
              <w:rPr>
                <w:rFonts w:eastAsia="Times New Roman"/>
                <w:sz w:val="16"/>
                <w:szCs w:val="16"/>
                <w:lang w:eastAsia="ru-RU"/>
              </w:rPr>
            </w:pPr>
            <w:r w:rsidRPr="00BD7E1C">
              <w:rPr>
                <w:rFonts w:cs="Arial"/>
                <w:color w:val="000000"/>
                <w:sz w:val="16"/>
                <w:szCs w:val="16"/>
              </w:rPr>
              <w:t>86,62</w:t>
            </w:r>
          </w:p>
        </w:tc>
        <w:tc>
          <w:tcPr>
            <w:tcW w:w="292" w:type="pct"/>
            <w:tcBorders>
              <w:top w:val="nil"/>
              <w:left w:val="nil"/>
              <w:bottom w:val="single" w:sz="4" w:space="0" w:color="auto"/>
              <w:right w:val="single" w:sz="4" w:space="0" w:color="auto"/>
            </w:tcBorders>
            <w:shd w:val="clear" w:color="000000" w:fill="FFFFFF"/>
            <w:noWrap/>
            <w:vAlign w:val="center"/>
            <w:hideMark/>
          </w:tcPr>
          <w:p w14:paraId="072B2E3F" w14:textId="1EA158AD" w:rsidR="00B267C9" w:rsidRPr="00BD7E1C" w:rsidRDefault="00B267C9" w:rsidP="00B267C9">
            <w:pPr>
              <w:spacing w:after="0" w:line="240" w:lineRule="auto"/>
              <w:jc w:val="center"/>
              <w:rPr>
                <w:rFonts w:eastAsia="Times New Roman"/>
                <w:sz w:val="16"/>
                <w:szCs w:val="16"/>
                <w:lang w:eastAsia="ru-RU"/>
              </w:rPr>
            </w:pPr>
            <w:r w:rsidRPr="00BD7E1C">
              <w:rPr>
                <w:rFonts w:cs="Arial"/>
                <w:color w:val="000000"/>
                <w:sz w:val="16"/>
                <w:szCs w:val="16"/>
              </w:rPr>
              <w:t>43,24</w:t>
            </w:r>
          </w:p>
        </w:tc>
        <w:tc>
          <w:tcPr>
            <w:tcW w:w="243" w:type="pct"/>
            <w:tcBorders>
              <w:top w:val="nil"/>
              <w:left w:val="nil"/>
              <w:bottom w:val="single" w:sz="4" w:space="0" w:color="auto"/>
              <w:right w:val="single" w:sz="4" w:space="0" w:color="auto"/>
            </w:tcBorders>
            <w:shd w:val="clear" w:color="000000" w:fill="FFFFFF"/>
            <w:noWrap/>
            <w:vAlign w:val="center"/>
            <w:hideMark/>
          </w:tcPr>
          <w:p w14:paraId="1E99D173" w14:textId="0695D92E" w:rsidR="00B267C9" w:rsidRPr="00BD7E1C" w:rsidRDefault="00B267C9" w:rsidP="00B267C9">
            <w:pPr>
              <w:spacing w:after="0" w:line="240" w:lineRule="auto"/>
              <w:jc w:val="center"/>
              <w:rPr>
                <w:rFonts w:eastAsia="Times New Roman"/>
                <w:sz w:val="16"/>
                <w:szCs w:val="16"/>
                <w:lang w:eastAsia="ru-RU"/>
              </w:rPr>
            </w:pPr>
            <w:r w:rsidRPr="00BD7E1C">
              <w:rPr>
                <w:rFonts w:cs="Arial"/>
                <w:color w:val="000000"/>
                <w:sz w:val="16"/>
                <w:szCs w:val="16"/>
              </w:rPr>
              <w:t>42,54</w:t>
            </w:r>
          </w:p>
        </w:tc>
        <w:tc>
          <w:tcPr>
            <w:tcW w:w="341" w:type="pct"/>
            <w:tcBorders>
              <w:top w:val="nil"/>
              <w:left w:val="nil"/>
              <w:bottom w:val="single" w:sz="4" w:space="0" w:color="auto"/>
              <w:right w:val="single" w:sz="4" w:space="0" w:color="auto"/>
            </w:tcBorders>
            <w:shd w:val="clear" w:color="000000" w:fill="FFFFFF"/>
            <w:noWrap/>
            <w:vAlign w:val="center"/>
            <w:hideMark/>
          </w:tcPr>
          <w:p w14:paraId="0E04E2DA" w14:textId="10369E3D" w:rsidR="00B267C9" w:rsidRPr="00BD7E1C" w:rsidRDefault="00B267C9" w:rsidP="00B267C9">
            <w:pPr>
              <w:spacing w:after="0" w:line="240" w:lineRule="auto"/>
              <w:jc w:val="center"/>
              <w:rPr>
                <w:rFonts w:eastAsia="Times New Roman"/>
                <w:sz w:val="16"/>
                <w:szCs w:val="16"/>
                <w:lang w:eastAsia="ru-RU"/>
              </w:rPr>
            </w:pPr>
            <w:r w:rsidRPr="00BD7E1C">
              <w:rPr>
                <w:rFonts w:cs="Arial"/>
                <w:color w:val="000000"/>
                <w:sz w:val="16"/>
                <w:szCs w:val="16"/>
              </w:rPr>
              <w:t>85,78516</w:t>
            </w:r>
          </w:p>
        </w:tc>
        <w:tc>
          <w:tcPr>
            <w:tcW w:w="252" w:type="pct"/>
            <w:tcBorders>
              <w:top w:val="nil"/>
              <w:left w:val="nil"/>
              <w:bottom w:val="single" w:sz="4" w:space="0" w:color="auto"/>
              <w:right w:val="single" w:sz="4" w:space="0" w:color="auto"/>
            </w:tcBorders>
            <w:shd w:val="clear" w:color="000000" w:fill="FFFFFF"/>
            <w:noWrap/>
            <w:vAlign w:val="center"/>
            <w:hideMark/>
          </w:tcPr>
          <w:p w14:paraId="6C7F6FE7" w14:textId="20863C61" w:rsidR="00B267C9" w:rsidRPr="00BD7E1C" w:rsidRDefault="00B267C9" w:rsidP="00B267C9">
            <w:pPr>
              <w:spacing w:after="0" w:line="240" w:lineRule="auto"/>
              <w:jc w:val="center"/>
              <w:rPr>
                <w:rFonts w:eastAsia="Times New Roman"/>
                <w:sz w:val="16"/>
                <w:szCs w:val="16"/>
                <w:lang w:eastAsia="ru-RU"/>
              </w:rPr>
            </w:pPr>
            <w:r w:rsidRPr="00BD7E1C">
              <w:rPr>
                <w:rFonts w:cs="Arial"/>
                <w:color w:val="000000"/>
                <w:sz w:val="16"/>
                <w:szCs w:val="16"/>
              </w:rPr>
              <w:t>-0,83</w:t>
            </w:r>
          </w:p>
        </w:tc>
        <w:tc>
          <w:tcPr>
            <w:tcW w:w="373" w:type="pct"/>
            <w:tcBorders>
              <w:top w:val="nil"/>
              <w:left w:val="nil"/>
              <w:bottom w:val="single" w:sz="4" w:space="0" w:color="auto"/>
              <w:right w:val="single" w:sz="4" w:space="0" w:color="auto"/>
            </w:tcBorders>
            <w:shd w:val="clear" w:color="auto" w:fill="auto"/>
            <w:noWrap/>
            <w:vAlign w:val="center"/>
            <w:hideMark/>
          </w:tcPr>
          <w:p w14:paraId="6FF4DF49" w14:textId="691BA9D4" w:rsidR="00B267C9" w:rsidRPr="00BD7E1C" w:rsidRDefault="00B267C9" w:rsidP="00B267C9">
            <w:pPr>
              <w:spacing w:after="0" w:line="240" w:lineRule="auto"/>
              <w:jc w:val="center"/>
              <w:rPr>
                <w:rFonts w:eastAsia="Times New Roman"/>
                <w:sz w:val="16"/>
                <w:szCs w:val="16"/>
                <w:lang w:eastAsia="ru-RU"/>
              </w:rPr>
            </w:pPr>
            <w:r w:rsidRPr="00BD7E1C">
              <w:rPr>
                <w:rFonts w:cs="Arial"/>
                <w:color w:val="000000"/>
                <w:sz w:val="16"/>
                <w:szCs w:val="16"/>
              </w:rPr>
              <w:t>112 089</w:t>
            </w:r>
          </w:p>
        </w:tc>
        <w:tc>
          <w:tcPr>
            <w:tcW w:w="373" w:type="pct"/>
            <w:tcBorders>
              <w:top w:val="nil"/>
              <w:left w:val="nil"/>
              <w:bottom w:val="single" w:sz="4" w:space="0" w:color="auto"/>
              <w:right w:val="single" w:sz="4" w:space="0" w:color="auto"/>
            </w:tcBorders>
            <w:shd w:val="clear" w:color="auto" w:fill="auto"/>
            <w:noWrap/>
            <w:vAlign w:val="center"/>
            <w:hideMark/>
          </w:tcPr>
          <w:p w14:paraId="2026E2CA" w14:textId="25FCFB95" w:rsidR="00B267C9" w:rsidRPr="00BD7E1C" w:rsidRDefault="00B267C9" w:rsidP="00B267C9">
            <w:pPr>
              <w:spacing w:after="0" w:line="240" w:lineRule="auto"/>
              <w:jc w:val="center"/>
              <w:rPr>
                <w:rFonts w:eastAsia="Times New Roman"/>
                <w:sz w:val="16"/>
                <w:szCs w:val="16"/>
                <w:lang w:eastAsia="ru-RU"/>
              </w:rPr>
            </w:pPr>
            <w:r w:rsidRPr="00BD7E1C">
              <w:rPr>
                <w:rFonts w:cs="Arial"/>
                <w:color w:val="000000"/>
                <w:sz w:val="16"/>
                <w:szCs w:val="16"/>
              </w:rPr>
              <w:t>212 443</w:t>
            </w:r>
          </w:p>
        </w:tc>
        <w:tc>
          <w:tcPr>
            <w:tcW w:w="357" w:type="pct"/>
            <w:tcBorders>
              <w:top w:val="nil"/>
              <w:left w:val="nil"/>
              <w:bottom w:val="single" w:sz="4" w:space="0" w:color="auto"/>
              <w:right w:val="single" w:sz="4" w:space="0" w:color="auto"/>
            </w:tcBorders>
            <w:shd w:val="clear" w:color="auto" w:fill="auto"/>
            <w:noWrap/>
            <w:vAlign w:val="center"/>
            <w:hideMark/>
          </w:tcPr>
          <w:p w14:paraId="0ED72F2F" w14:textId="0AE2A6F0" w:rsidR="00B267C9" w:rsidRPr="00BD7E1C" w:rsidRDefault="00B267C9" w:rsidP="00B267C9">
            <w:pPr>
              <w:spacing w:after="0" w:line="240" w:lineRule="auto"/>
              <w:jc w:val="center"/>
              <w:rPr>
                <w:rFonts w:eastAsia="Times New Roman"/>
                <w:sz w:val="16"/>
                <w:szCs w:val="16"/>
                <w:lang w:eastAsia="ru-RU"/>
              </w:rPr>
            </w:pPr>
            <w:r w:rsidRPr="00BD7E1C">
              <w:rPr>
                <w:rFonts w:cs="Arial"/>
                <w:color w:val="000000"/>
                <w:sz w:val="16"/>
                <w:szCs w:val="16"/>
              </w:rPr>
              <w:t>324 532</w:t>
            </w:r>
          </w:p>
        </w:tc>
        <w:tc>
          <w:tcPr>
            <w:tcW w:w="407" w:type="pct"/>
            <w:tcBorders>
              <w:top w:val="nil"/>
              <w:left w:val="nil"/>
              <w:bottom w:val="single" w:sz="4" w:space="0" w:color="auto"/>
              <w:right w:val="single" w:sz="4" w:space="0" w:color="auto"/>
            </w:tcBorders>
            <w:shd w:val="clear" w:color="auto" w:fill="auto"/>
            <w:noWrap/>
            <w:vAlign w:val="center"/>
            <w:hideMark/>
          </w:tcPr>
          <w:p w14:paraId="7039E2B5" w14:textId="6EE02B72" w:rsidR="00B267C9" w:rsidRPr="00BD7E1C" w:rsidRDefault="00B267C9" w:rsidP="00B267C9">
            <w:pPr>
              <w:spacing w:after="0" w:line="240" w:lineRule="auto"/>
              <w:jc w:val="center"/>
              <w:rPr>
                <w:rFonts w:eastAsia="Times New Roman"/>
                <w:sz w:val="16"/>
                <w:szCs w:val="16"/>
                <w:lang w:eastAsia="ru-RU"/>
              </w:rPr>
            </w:pPr>
            <w:r w:rsidRPr="00BD7E1C">
              <w:rPr>
                <w:rFonts w:cs="Arial"/>
                <w:color w:val="000000"/>
                <w:sz w:val="16"/>
                <w:szCs w:val="16"/>
              </w:rPr>
              <w:t>164 117</w:t>
            </w:r>
          </w:p>
        </w:tc>
        <w:tc>
          <w:tcPr>
            <w:tcW w:w="319" w:type="pct"/>
            <w:tcBorders>
              <w:top w:val="nil"/>
              <w:left w:val="nil"/>
              <w:bottom w:val="single" w:sz="4" w:space="0" w:color="auto"/>
              <w:right w:val="single" w:sz="4" w:space="0" w:color="auto"/>
            </w:tcBorders>
            <w:shd w:val="clear" w:color="auto" w:fill="auto"/>
            <w:noWrap/>
            <w:vAlign w:val="center"/>
            <w:hideMark/>
          </w:tcPr>
          <w:p w14:paraId="77BB2247" w14:textId="0CEB7A6D" w:rsidR="00B267C9" w:rsidRPr="00BD7E1C" w:rsidRDefault="00B267C9" w:rsidP="00B267C9">
            <w:pPr>
              <w:spacing w:after="0" w:line="240" w:lineRule="auto"/>
              <w:jc w:val="center"/>
              <w:rPr>
                <w:rFonts w:eastAsia="Times New Roman"/>
                <w:sz w:val="16"/>
                <w:szCs w:val="16"/>
                <w:lang w:eastAsia="ru-RU"/>
              </w:rPr>
            </w:pPr>
            <w:r w:rsidRPr="00BD7E1C">
              <w:rPr>
                <w:rFonts w:cs="Arial"/>
                <w:color w:val="000000"/>
                <w:sz w:val="16"/>
                <w:szCs w:val="16"/>
              </w:rPr>
              <w:t>160 798</w:t>
            </w:r>
          </w:p>
        </w:tc>
        <w:tc>
          <w:tcPr>
            <w:tcW w:w="413" w:type="pct"/>
            <w:tcBorders>
              <w:top w:val="nil"/>
              <w:left w:val="nil"/>
              <w:bottom w:val="single" w:sz="4" w:space="0" w:color="auto"/>
              <w:right w:val="single" w:sz="4" w:space="0" w:color="auto"/>
            </w:tcBorders>
            <w:shd w:val="clear" w:color="auto" w:fill="auto"/>
            <w:noWrap/>
            <w:vAlign w:val="center"/>
            <w:hideMark/>
          </w:tcPr>
          <w:p w14:paraId="611EE69E" w14:textId="4ACF3814" w:rsidR="00B267C9" w:rsidRPr="00BD7E1C" w:rsidRDefault="00B267C9" w:rsidP="00B267C9">
            <w:pPr>
              <w:spacing w:after="0" w:line="240" w:lineRule="auto"/>
              <w:jc w:val="center"/>
              <w:rPr>
                <w:rFonts w:eastAsia="Times New Roman"/>
                <w:sz w:val="16"/>
                <w:szCs w:val="16"/>
                <w:lang w:eastAsia="ru-RU"/>
              </w:rPr>
            </w:pPr>
            <w:r w:rsidRPr="00BD7E1C">
              <w:rPr>
                <w:rFonts w:cs="Arial"/>
                <w:color w:val="000000"/>
                <w:sz w:val="16"/>
                <w:szCs w:val="16"/>
              </w:rPr>
              <w:t>324 915</w:t>
            </w:r>
          </w:p>
        </w:tc>
        <w:tc>
          <w:tcPr>
            <w:tcW w:w="317" w:type="pct"/>
            <w:tcBorders>
              <w:top w:val="nil"/>
              <w:left w:val="nil"/>
              <w:bottom w:val="single" w:sz="4" w:space="0" w:color="auto"/>
              <w:right w:val="single" w:sz="4" w:space="0" w:color="auto"/>
            </w:tcBorders>
            <w:shd w:val="clear" w:color="auto" w:fill="auto"/>
            <w:noWrap/>
            <w:vAlign w:val="center"/>
            <w:hideMark/>
          </w:tcPr>
          <w:p w14:paraId="798219BB" w14:textId="4C07FF7D" w:rsidR="00B267C9" w:rsidRPr="00BD7E1C" w:rsidRDefault="00B267C9" w:rsidP="00B267C9">
            <w:pPr>
              <w:spacing w:after="0" w:line="240" w:lineRule="auto"/>
              <w:jc w:val="center"/>
              <w:rPr>
                <w:rFonts w:eastAsia="Times New Roman"/>
                <w:sz w:val="16"/>
                <w:szCs w:val="16"/>
                <w:lang w:eastAsia="ru-RU"/>
              </w:rPr>
            </w:pPr>
            <w:r w:rsidRPr="00BD7E1C">
              <w:rPr>
                <w:rFonts w:cs="Arial"/>
                <w:color w:val="000000"/>
                <w:sz w:val="16"/>
                <w:szCs w:val="16"/>
              </w:rPr>
              <w:t>383</w:t>
            </w:r>
          </w:p>
        </w:tc>
      </w:tr>
      <w:tr w:rsidR="00B267C9" w:rsidRPr="00BD7E1C" w14:paraId="64A47AF2" w14:textId="77777777" w:rsidTr="00E3296D">
        <w:trPr>
          <w:trHeight w:val="300"/>
        </w:trPr>
        <w:tc>
          <w:tcPr>
            <w:tcW w:w="436" w:type="pct"/>
            <w:tcBorders>
              <w:top w:val="nil"/>
              <w:left w:val="single" w:sz="4" w:space="0" w:color="auto"/>
              <w:bottom w:val="single" w:sz="4" w:space="0" w:color="auto"/>
              <w:right w:val="single" w:sz="4" w:space="0" w:color="auto"/>
            </w:tcBorders>
            <w:shd w:val="clear" w:color="auto" w:fill="auto"/>
            <w:noWrap/>
            <w:vAlign w:val="center"/>
            <w:hideMark/>
          </w:tcPr>
          <w:p w14:paraId="28A9145C" w14:textId="77777777" w:rsidR="00B267C9" w:rsidRPr="00BD7E1C" w:rsidRDefault="00B267C9" w:rsidP="00B267C9">
            <w:pPr>
              <w:spacing w:after="0" w:line="240" w:lineRule="auto"/>
              <w:rPr>
                <w:rFonts w:eastAsia="Times New Roman"/>
                <w:b/>
                <w:bCs/>
                <w:sz w:val="18"/>
                <w:szCs w:val="18"/>
                <w:lang w:eastAsia="ru-RU"/>
              </w:rPr>
            </w:pPr>
            <w:r w:rsidRPr="00BD7E1C">
              <w:rPr>
                <w:rFonts w:eastAsia="Times New Roman"/>
                <w:b/>
                <w:bCs/>
                <w:sz w:val="18"/>
                <w:szCs w:val="18"/>
                <w:lang w:eastAsia="ru-RU"/>
              </w:rPr>
              <w:t>Население</w:t>
            </w:r>
          </w:p>
        </w:tc>
        <w:tc>
          <w:tcPr>
            <w:tcW w:w="292" w:type="pct"/>
            <w:tcBorders>
              <w:top w:val="nil"/>
              <w:left w:val="single" w:sz="4" w:space="0" w:color="auto"/>
              <w:bottom w:val="single" w:sz="4" w:space="0" w:color="auto"/>
              <w:right w:val="single" w:sz="4" w:space="0" w:color="auto"/>
            </w:tcBorders>
            <w:shd w:val="clear" w:color="000000" w:fill="FFFFFF"/>
            <w:noWrap/>
            <w:vAlign w:val="center"/>
            <w:hideMark/>
          </w:tcPr>
          <w:p w14:paraId="797ED9B2" w14:textId="7F65EA5C" w:rsidR="00B267C9" w:rsidRPr="00BD7E1C" w:rsidRDefault="00B267C9" w:rsidP="00B267C9">
            <w:pPr>
              <w:spacing w:after="0" w:line="240" w:lineRule="auto"/>
              <w:jc w:val="center"/>
              <w:rPr>
                <w:rFonts w:eastAsia="Times New Roman"/>
                <w:b/>
                <w:bCs/>
                <w:sz w:val="16"/>
                <w:szCs w:val="16"/>
                <w:lang w:eastAsia="ru-RU"/>
              </w:rPr>
            </w:pPr>
            <w:r w:rsidRPr="00BD7E1C">
              <w:rPr>
                <w:rFonts w:cs="Arial"/>
                <w:b/>
                <w:bCs/>
                <w:color w:val="000000"/>
                <w:sz w:val="16"/>
                <w:szCs w:val="16"/>
              </w:rPr>
              <w:t>93,24</w:t>
            </w:r>
          </w:p>
        </w:tc>
        <w:tc>
          <w:tcPr>
            <w:tcW w:w="292" w:type="pct"/>
            <w:tcBorders>
              <w:top w:val="nil"/>
              <w:left w:val="nil"/>
              <w:bottom w:val="single" w:sz="4" w:space="0" w:color="auto"/>
              <w:right w:val="single" w:sz="4" w:space="0" w:color="auto"/>
            </w:tcBorders>
            <w:shd w:val="clear" w:color="000000" w:fill="FFFFFF"/>
            <w:noWrap/>
            <w:vAlign w:val="center"/>
            <w:hideMark/>
          </w:tcPr>
          <w:p w14:paraId="12727E6C" w14:textId="4782760C" w:rsidR="00B267C9" w:rsidRPr="00BD7E1C" w:rsidRDefault="00B267C9" w:rsidP="00B267C9">
            <w:pPr>
              <w:spacing w:after="0" w:line="240" w:lineRule="auto"/>
              <w:jc w:val="center"/>
              <w:rPr>
                <w:rFonts w:eastAsia="Times New Roman"/>
                <w:b/>
                <w:bCs/>
                <w:sz w:val="16"/>
                <w:szCs w:val="16"/>
                <w:lang w:eastAsia="ru-RU"/>
              </w:rPr>
            </w:pPr>
            <w:r w:rsidRPr="00BD7E1C">
              <w:rPr>
                <w:rFonts w:cs="Arial"/>
                <w:b/>
                <w:bCs/>
                <w:color w:val="000000"/>
                <w:sz w:val="16"/>
                <w:szCs w:val="16"/>
              </w:rPr>
              <w:t>101,76</w:t>
            </w:r>
          </w:p>
        </w:tc>
        <w:tc>
          <w:tcPr>
            <w:tcW w:w="292" w:type="pct"/>
            <w:tcBorders>
              <w:top w:val="nil"/>
              <w:left w:val="nil"/>
              <w:bottom w:val="single" w:sz="4" w:space="0" w:color="auto"/>
              <w:right w:val="single" w:sz="4" w:space="0" w:color="auto"/>
            </w:tcBorders>
            <w:shd w:val="clear" w:color="000000" w:fill="FFFFFF"/>
            <w:noWrap/>
            <w:vAlign w:val="center"/>
            <w:hideMark/>
          </w:tcPr>
          <w:p w14:paraId="4D68B958" w14:textId="1E82F416" w:rsidR="00B267C9" w:rsidRPr="00BD7E1C" w:rsidRDefault="00B267C9" w:rsidP="00B267C9">
            <w:pPr>
              <w:spacing w:after="0" w:line="240" w:lineRule="auto"/>
              <w:jc w:val="center"/>
              <w:rPr>
                <w:rFonts w:eastAsia="Times New Roman"/>
                <w:b/>
                <w:bCs/>
                <w:sz w:val="16"/>
                <w:szCs w:val="16"/>
                <w:lang w:eastAsia="ru-RU"/>
              </w:rPr>
            </w:pPr>
            <w:r w:rsidRPr="00BD7E1C">
              <w:rPr>
                <w:rFonts w:cs="Arial"/>
                <w:b/>
                <w:bCs/>
                <w:color w:val="000000"/>
                <w:sz w:val="16"/>
                <w:szCs w:val="16"/>
              </w:rPr>
              <w:t>195,00</w:t>
            </w:r>
          </w:p>
        </w:tc>
        <w:tc>
          <w:tcPr>
            <w:tcW w:w="292" w:type="pct"/>
            <w:tcBorders>
              <w:top w:val="nil"/>
              <w:left w:val="nil"/>
              <w:bottom w:val="single" w:sz="4" w:space="0" w:color="auto"/>
              <w:right w:val="single" w:sz="4" w:space="0" w:color="auto"/>
            </w:tcBorders>
            <w:shd w:val="clear" w:color="000000" w:fill="FFFFFF"/>
            <w:noWrap/>
            <w:vAlign w:val="center"/>
            <w:hideMark/>
          </w:tcPr>
          <w:p w14:paraId="459B4314" w14:textId="02501B25" w:rsidR="00B267C9" w:rsidRPr="00BD7E1C" w:rsidRDefault="00B267C9" w:rsidP="00B267C9">
            <w:pPr>
              <w:spacing w:after="0" w:line="240" w:lineRule="auto"/>
              <w:jc w:val="center"/>
              <w:rPr>
                <w:rFonts w:eastAsia="Times New Roman"/>
                <w:b/>
                <w:bCs/>
                <w:sz w:val="16"/>
                <w:szCs w:val="16"/>
                <w:lang w:eastAsia="ru-RU"/>
              </w:rPr>
            </w:pPr>
            <w:r w:rsidRPr="00BD7E1C">
              <w:rPr>
                <w:rFonts w:cs="Arial"/>
                <w:b/>
                <w:bCs/>
                <w:color w:val="000000"/>
                <w:sz w:val="16"/>
                <w:szCs w:val="16"/>
              </w:rPr>
              <w:t>115,85</w:t>
            </w:r>
          </w:p>
        </w:tc>
        <w:tc>
          <w:tcPr>
            <w:tcW w:w="243" w:type="pct"/>
            <w:tcBorders>
              <w:top w:val="nil"/>
              <w:left w:val="nil"/>
              <w:bottom w:val="single" w:sz="4" w:space="0" w:color="auto"/>
              <w:right w:val="single" w:sz="4" w:space="0" w:color="auto"/>
            </w:tcBorders>
            <w:shd w:val="clear" w:color="000000" w:fill="FFFFFF"/>
            <w:noWrap/>
            <w:vAlign w:val="center"/>
            <w:hideMark/>
          </w:tcPr>
          <w:p w14:paraId="7069357F" w14:textId="3EDBCD6D" w:rsidR="00B267C9" w:rsidRPr="00BD7E1C" w:rsidRDefault="00B267C9" w:rsidP="00B267C9">
            <w:pPr>
              <w:spacing w:after="0" w:line="240" w:lineRule="auto"/>
              <w:jc w:val="center"/>
              <w:rPr>
                <w:rFonts w:eastAsia="Times New Roman"/>
                <w:b/>
                <w:bCs/>
                <w:sz w:val="16"/>
                <w:szCs w:val="16"/>
                <w:lang w:eastAsia="ru-RU"/>
              </w:rPr>
            </w:pPr>
            <w:r w:rsidRPr="00BD7E1C">
              <w:rPr>
                <w:rFonts w:cs="Arial"/>
                <w:b/>
                <w:bCs/>
                <w:color w:val="000000"/>
                <w:sz w:val="16"/>
                <w:szCs w:val="16"/>
              </w:rPr>
              <w:t>122,72</w:t>
            </w:r>
          </w:p>
        </w:tc>
        <w:tc>
          <w:tcPr>
            <w:tcW w:w="341" w:type="pct"/>
            <w:tcBorders>
              <w:top w:val="nil"/>
              <w:left w:val="nil"/>
              <w:bottom w:val="single" w:sz="4" w:space="0" w:color="auto"/>
              <w:right w:val="single" w:sz="4" w:space="0" w:color="auto"/>
            </w:tcBorders>
            <w:shd w:val="clear" w:color="000000" w:fill="FFFFFF"/>
            <w:noWrap/>
            <w:vAlign w:val="center"/>
            <w:hideMark/>
          </w:tcPr>
          <w:p w14:paraId="0F36442C" w14:textId="5DDAFFA4" w:rsidR="00B267C9" w:rsidRPr="00BD7E1C" w:rsidRDefault="00B267C9" w:rsidP="00B267C9">
            <w:pPr>
              <w:spacing w:after="0" w:line="240" w:lineRule="auto"/>
              <w:jc w:val="center"/>
              <w:rPr>
                <w:rFonts w:eastAsia="Times New Roman"/>
                <w:b/>
                <w:bCs/>
                <w:sz w:val="16"/>
                <w:szCs w:val="16"/>
                <w:lang w:eastAsia="ru-RU"/>
              </w:rPr>
            </w:pPr>
            <w:r w:rsidRPr="00BD7E1C">
              <w:rPr>
                <w:rFonts w:cs="Arial"/>
                <w:b/>
                <w:bCs/>
                <w:color w:val="000000"/>
                <w:sz w:val="16"/>
                <w:szCs w:val="16"/>
              </w:rPr>
              <w:t>238,57</w:t>
            </w:r>
          </w:p>
        </w:tc>
        <w:tc>
          <w:tcPr>
            <w:tcW w:w="252" w:type="pct"/>
            <w:tcBorders>
              <w:top w:val="nil"/>
              <w:left w:val="nil"/>
              <w:bottom w:val="single" w:sz="4" w:space="0" w:color="auto"/>
              <w:right w:val="single" w:sz="4" w:space="0" w:color="auto"/>
            </w:tcBorders>
            <w:shd w:val="clear" w:color="000000" w:fill="FFFFFF"/>
            <w:noWrap/>
            <w:vAlign w:val="center"/>
            <w:hideMark/>
          </w:tcPr>
          <w:p w14:paraId="2FE2095A" w14:textId="2A4E9A0C" w:rsidR="00B267C9" w:rsidRPr="00BD7E1C" w:rsidRDefault="00B267C9" w:rsidP="00B267C9">
            <w:pPr>
              <w:spacing w:after="0" w:line="240" w:lineRule="auto"/>
              <w:jc w:val="center"/>
              <w:rPr>
                <w:rFonts w:eastAsia="Times New Roman"/>
                <w:b/>
                <w:bCs/>
                <w:sz w:val="16"/>
                <w:szCs w:val="16"/>
                <w:lang w:eastAsia="ru-RU"/>
              </w:rPr>
            </w:pPr>
            <w:r w:rsidRPr="00BD7E1C">
              <w:rPr>
                <w:rFonts w:cs="Arial"/>
                <w:b/>
                <w:bCs/>
                <w:color w:val="000000"/>
                <w:sz w:val="16"/>
                <w:szCs w:val="16"/>
              </w:rPr>
              <w:t>43,57</w:t>
            </w:r>
          </w:p>
        </w:tc>
        <w:tc>
          <w:tcPr>
            <w:tcW w:w="373" w:type="pct"/>
            <w:tcBorders>
              <w:top w:val="nil"/>
              <w:left w:val="nil"/>
              <w:bottom w:val="single" w:sz="4" w:space="0" w:color="auto"/>
              <w:right w:val="single" w:sz="4" w:space="0" w:color="auto"/>
            </w:tcBorders>
            <w:shd w:val="clear" w:color="auto" w:fill="auto"/>
            <w:noWrap/>
            <w:vAlign w:val="center"/>
            <w:hideMark/>
          </w:tcPr>
          <w:p w14:paraId="0D8D9279" w14:textId="3FC1A1BA" w:rsidR="00B267C9" w:rsidRPr="00BD7E1C" w:rsidRDefault="00B267C9" w:rsidP="00B267C9">
            <w:pPr>
              <w:spacing w:after="0" w:line="240" w:lineRule="auto"/>
              <w:jc w:val="center"/>
              <w:rPr>
                <w:rFonts w:eastAsia="Times New Roman"/>
                <w:b/>
                <w:bCs/>
                <w:sz w:val="16"/>
                <w:szCs w:val="16"/>
                <w:lang w:eastAsia="ru-RU"/>
              </w:rPr>
            </w:pPr>
            <w:r w:rsidRPr="00BD7E1C">
              <w:rPr>
                <w:rFonts w:cs="Arial"/>
                <w:b/>
                <w:bCs/>
                <w:color w:val="000000"/>
                <w:sz w:val="16"/>
                <w:szCs w:val="16"/>
              </w:rPr>
              <w:t>205 866</w:t>
            </w:r>
          </w:p>
        </w:tc>
        <w:tc>
          <w:tcPr>
            <w:tcW w:w="373" w:type="pct"/>
            <w:tcBorders>
              <w:top w:val="nil"/>
              <w:left w:val="nil"/>
              <w:bottom w:val="single" w:sz="4" w:space="0" w:color="auto"/>
              <w:right w:val="single" w:sz="4" w:space="0" w:color="auto"/>
            </w:tcBorders>
            <w:shd w:val="clear" w:color="auto" w:fill="auto"/>
            <w:noWrap/>
            <w:vAlign w:val="center"/>
            <w:hideMark/>
          </w:tcPr>
          <w:p w14:paraId="0B38D818" w14:textId="2775BDFB" w:rsidR="00B267C9" w:rsidRPr="00BD7E1C" w:rsidRDefault="00B267C9" w:rsidP="00B267C9">
            <w:pPr>
              <w:spacing w:after="0" w:line="240" w:lineRule="auto"/>
              <w:jc w:val="center"/>
              <w:rPr>
                <w:rFonts w:eastAsia="Times New Roman"/>
                <w:b/>
                <w:bCs/>
                <w:sz w:val="16"/>
                <w:szCs w:val="16"/>
                <w:lang w:eastAsia="ru-RU"/>
              </w:rPr>
            </w:pPr>
            <w:r w:rsidRPr="00BD7E1C">
              <w:rPr>
                <w:rFonts w:cs="Arial"/>
                <w:b/>
                <w:bCs/>
                <w:color w:val="000000"/>
                <w:sz w:val="16"/>
                <w:szCs w:val="16"/>
              </w:rPr>
              <w:t>226 153</w:t>
            </w:r>
          </w:p>
        </w:tc>
        <w:tc>
          <w:tcPr>
            <w:tcW w:w="357" w:type="pct"/>
            <w:tcBorders>
              <w:top w:val="nil"/>
              <w:left w:val="nil"/>
              <w:bottom w:val="single" w:sz="4" w:space="0" w:color="auto"/>
              <w:right w:val="single" w:sz="4" w:space="0" w:color="auto"/>
            </w:tcBorders>
            <w:shd w:val="clear" w:color="auto" w:fill="auto"/>
            <w:noWrap/>
            <w:vAlign w:val="center"/>
            <w:hideMark/>
          </w:tcPr>
          <w:p w14:paraId="1EC6C3AC" w14:textId="621EF059" w:rsidR="00B267C9" w:rsidRPr="00BD7E1C" w:rsidRDefault="00B267C9" w:rsidP="00B267C9">
            <w:pPr>
              <w:spacing w:after="0" w:line="240" w:lineRule="auto"/>
              <w:jc w:val="center"/>
              <w:rPr>
                <w:rFonts w:eastAsia="Times New Roman"/>
                <w:b/>
                <w:bCs/>
                <w:sz w:val="16"/>
                <w:szCs w:val="16"/>
                <w:lang w:eastAsia="ru-RU"/>
              </w:rPr>
            </w:pPr>
            <w:r w:rsidRPr="00BD7E1C">
              <w:rPr>
                <w:rFonts w:cs="Arial"/>
                <w:b/>
                <w:bCs/>
                <w:color w:val="000000"/>
                <w:sz w:val="16"/>
                <w:szCs w:val="16"/>
              </w:rPr>
              <w:t>432 019</w:t>
            </w:r>
          </w:p>
        </w:tc>
        <w:tc>
          <w:tcPr>
            <w:tcW w:w="407" w:type="pct"/>
            <w:tcBorders>
              <w:top w:val="nil"/>
              <w:left w:val="nil"/>
              <w:bottom w:val="single" w:sz="4" w:space="0" w:color="auto"/>
              <w:right w:val="single" w:sz="4" w:space="0" w:color="auto"/>
            </w:tcBorders>
            <w:shd w:val="clear" w:color="auto" w:fill="auto"/>
            <w:noWrap/>
            <w:vAlign w:val="center"/>
            <w:hideMark/>
          </w:tcPr>
          <w:p w14:paraId="4A4D64BE" w14:textId="4B842360" w:rsidR="00B267C9" w:rsidRPr="00BD7E1C" w:rsidRDefault="00B267C9" w:rsidP="00B267C9">
            <w:pPr>
              <w:spacing w:after="0" w:line="240" w:lineRule="auto"/>
              <w:jc w:val="center"/>
              <w:rPr>
                <w:rFonts w:eastAsia="Times New Roman"/>
                <w:b/>
                <w:bCs/>
                <w:sz w:val="16"/>
                <w:szCs w:val="16"/>
                <w:lang w:eastAsia="ru-RU"/>
              </w:rPr>
            </w:pPr>
            <w:r w:rsidRPr="00BD7E1C">
              <w:rPr>
                <w:rFonts w:cs="Arial"/>
                <w:b/>
                <w:bCs/>
                <w:color w:val="000000"/>
                <w:sz w:val="16"/>
                <w:szCs w:val="16"/>
              </w:rPr>
              <w:t>198 499</w:t>
            </w:r>
          </w:p>
        </w:tc>
        <w:tc>
          <w:tcPr>
            <w:tcW w:w="319" w:type="pct"/>
            <w:tcBorders>
              <w:top w:val="nil"/>
              <w:left w:val="nil"/>
              <w:bottom w:val="single" w:sz="4" w:space="0" w:color="auto"/>
              <w:right w:val="single" w:sz="4" w:space="0" w:color="auto"/>
            </w:tcBorders>
            <w:shd w:val="clear" w:color="auto" w:fill="auto"/>
            <w:noWrap/>
            <w:vAlign w:val="center"/>
            <w:hideMark/>
          </w:tcPr>
          <w:p w14:paraId="161E9CE6" w14:textId="75A5387A" w:rsidR="00B267C9" w:rsidRPr="00BD7E1C" w:rsidRDefault="00B267C9" w:rsidP="00B267C9">
            <w:pPr>
              <w:spacing w:after="0" w:line="240" w:lineRule="auto"/>
              <w:jc w:val="center"/>
              <w:rPr>
                <w:rFonts w:eastAsia="Times New Roman"/>
                <w:b/>
                <w:bCs/>
                <w:sz w:val="16"/>
                <w:szCs w:val="16"/>
                <w:lang w:eastAsia="ru-RU"/>
              </w:rPr>
            </w:pPr>
            <w:r w:rsidRPr="00BD7E1C">
              <w:rPr>
                <w:rFonts w:cs="Arial"/>
                <w:b/>
                <w:bCs/>
                <w:color w:val="000000"/>
                <w:sz w:val="16"/>
                <w:szCs w:val="16"/>
              </w:rPr>
              <w:t>227 024</w:t>
            </w:r>
          </w:p>
        </w:tc>
        <w:tc>
          <w:tcPr>
            <w:tcW w:w="413" w:type="pct"/>
            <w:tcBorders>
              <w:top w:val="nil"/>
              <w:left w:val="nil"/>
              <w:bottom w:val="single" w:sz="4" w:space="0" w:color="auto"/>
              <w:right w:val="single" w:sz="4" w:space="0" w:color="auto"/>
            </w:tcBorders>
            <w:shd w:val="clear" w:color="auto" w:fill="auto"/>
            <w:noWrap/>
            <w:vAlign w:val="center"/>
            <w:hideMark/>
          </w:tcPr>
          <w:p w14:paraId="2F75EF29" w14:textId="3825AA1F" w:rsidR="00B267C9" w:rsidRPr="00BD7E1C" w:rsidRDefault="00B267C9" w:rsidP="00B267C9">
            <w:pPr>
              <w:spacing w:after="0" w:line="240" w:lineRule="auto"/>
              <w:jc w:val="center"/>
              <w:rPr>
                <w:rFonts w:eastAsia="Times New Roman"/>
                <w:b/>
                <w:bCs/>
                <w:sz w:val="16"/>
                <w:szCs w:val="16"/>
                <w:lang w:eastAsia="ru-RU"/>
              </w:rPr>
            </w:pPr>
            <w:r w:rsidRPr="00BD7E1C">
              <w:rPr>
                <w:rFonts w:cs="Arial"/>
                <w:b/>
                <w:bCs/>
                <w:color w:val="000000"/>
                <w:sz w:val="16"/>
                <w:szCs w:val="16"/>
              </w:rPr>
              <w:t>425 524</w:t>
            </w:r>
          </w:p>
        </w:tc>
        <w:tc>
          <w:tcPr>
            <w:tcW w:w="317" w:type="pct"/>
            <w:tcBorders>
              <w:top w:val="nil"/>
              <w:left w:val="nil"/>
              <w:bottom w:val="single" w:sz="4" w:space="0" w:color="auto"/>
              <w:right w:val="single" w:sz="4" w:space="0" w:color="auto"/>
            </w:tcBorders>
            <w:shd w:val="clear" w:color="auto" w:fill="auto"/>
            <w:noWrap/>
            <w:vAlign w:val="center"/>
            <w:hideMark/>
          </w:tcPr>
          <w:p w14:paraId="5A64B5EF" w14:textId="424F0025" w:rsidR="00B267C9" w:rsidRPr="00BD7E1C" w:rsidRDefault="00B267C9" w:rsidP="00B267C9">
            <w:pPr>
              <w:spacing w:after="0" w:line="240" w:lineRule="auto"/>
              <w:jc w:val="center"/>
              <w:rPr>
                <w:rFonts w:eastAsia="Times New Roman"/>
                <w:b/>
                <w:bCs/>
                <w:sz w:val="16"/>
                <w:szCs w:val="16"/>
                <w:lang w:eastAsia="ru-RU"/>
              </w:rPr>
            </w:pPr>
            <w:r w:rsidRPr="00BD7E1C">
              <w:rPr>
                <w:rFonts w:cs="Arial"/>
                <w:b/>
                <w:bCs/>
                <w:color w:val="000000"/>
                <w:sz w:val="16"/>
                <w:szCs w:val="16"/>
              </w:rPr>
              <w:t>-6 495</w:t>
            </w:r>
          </w:p>
        </w:tc>
      </w:tr>
      <w:tr w:rsidR="00B267C9" w:rsidRPr="00BD7E1C" w14:paraId="0FDEF85B" w14:textId="77777777" w:rsidTr="00E3296D">
        <w:trPr>
          <w:trHeight w:val="300"/>
        </w:trPr>
        <w:tc>
          <w:tcPr>
            <w:tcW w:w="436" w:type="pct"/>
            <w:tcBorders>
              <w:top w:val="nil"/>
              <w:left w:val="single" w:sz="4" w:space="0" w:color="auto"/>
              <w:bottom w:val="single" w:sz="4" w:space="0" w:color="auto"/>
              <w:right w:val="single" w:sz="4" w:space="0" w:color="auto"/>
            </w:tcBorders>
            <w:shd w:val="clear" w:color="auto" w:fill="auto"/>
            <w:noWrap/>
            <w:vAlign w:val="center"/>
            <w:hideMark/>
          </w:tcPr>
          <w:p w14:paraId="150D900D" w14:textId="77777777" w:rsidR="00B267C9" w:rsidRPr="00BD7E1C" w:rsidRDefault="00B267C9" w:rsidP="00B267C9">
            <w:pPr>
              <w:spacing w:after="0" w:line="240" w:lineRule="auto"/>
              <w:jc w:val="right"/>
              <w:rPr>
                <w:rFonts w:eastAsia="Times New Roman"/>
                <w:sz w:val="18"/>
                <w:szCs w:val="18"/>
                <w:lang w:eastAsia="ru-RU"/>
              </w:rPr>
            </w:pPr>
            <w:r w:rsidRPr="00BD7E1C">
              <w:rPr>
                <w:rFonts w:eastAsia="Times New Roman"/>
                <w:sz w:val="18"/>
                <w:szCs w:val="18"/>
                <w:lang w:eastAsia="ru-RU"/>
              </w:rPr>
              <w:t>Категория 1, 4.2, 4.3, 4.4.</w:t>
            </w:r>
          </w:p>
        </w:tc>
        <w:tc>
          <w:tcPr>
            <w:tcW w:w="292" w:type="pct"/>
            <w:tcBorders>
              <w:top w:val="nil"/>
              <w:left w:val="single" w:sz="4" w:space="0" w:color="auto"/>
              <w:bottom w:val="single" w:sz="4" w:space="0" w:color="auto"/>
              <w:right w:val="single" w:sz="4" w:space="0" w:color="auto"/>
            </w:tcBorders>
            <w:shd w:val="clear" w:color="000000" w:fill="FFFFFF"/>
            <w:noWrap/>
            <w:vAlign w:val="center"/>
            <w:hideMark/>
          </w:tcPr>
          <w:p w14:paraId="445BF90C" w14:textId="0EABAE41" w:rsidR="00B267C9" w:rsidRPr="00BD7E1C" w:rsidRDefault="00B267C9" w:rsidP="00B267C9">
            <w:pPr>
              <w:spacing w:after="0" w:line="240" w:lineRule="auto"/>
              <w:jc w:val="center"/>
              <w:rPr>
                <w:rFonts w:eastAsia="Times New Roman"/>
                <w:sz w:val="16"/>
                <w:szCs w:val="16"/>
                <w:lang w:eastAsia="ru-RU"/>
              </w:rPr>
            </w:pPr>
            <w:r w:rsidRPr="00BD7E1C">
              <w:rPr>
                <w:rFonts w:cs="Arial"/>
                <w:color w:val="000000"/>
                <w:sz w:val="16"/>
                <w:szCs w:val="16"/>
              </w:rPr>
              <w:t>91,71</w:t>
            </w:r>
          </w:p>
        </w:tc>
        <w:tc>
          <w:tcPr>
            <w:tcW w:w="292" w:type="pct"/>
            <w:tcBorders>
              <w:top w:val="nil"/>
              <w:left w:val="nil"/>
              <w:bottom w:val="single" w:sz="4" w:space="0" w:color="auto"/>
              <w:right w:val="single" w:sz="4" w:space="0" w:color="auto"/>
            </w:tcBorders>
            <w:shd w:val="clear" w:color="000000" w:fill="FFFFFF"/>
            <w:noWrap/>
            <w:vAlign w:val="center"/>
            <w:hideMark/>
          </w:tcPr>
          <w:p w14:paraId="176E0F4A" w14:textId="5E3BE3A5" w:rsidR="00B267C9" w:rsidRPr="00BD7E1C" w:rsidRDefault="00B267C9" w:rsidP="00B267C9">
            <w:pPr>
              <w:spacing w:after="0" w:line="240" w:lineRule="auto"/>
              <w:jc w:val="center"/>
              <w:rPr>
                <w:rFonts w:eastAsia="Times New Roman"/>
                <w:sz w:val="16"/>
                <w:szCs w:val="16"/>
                <w:lang w:eastAsia="ru-RU"/>
              </w:rPr>
            </w:pPr>
            <w:r w:rsidRPr="00BD7E1C">
              <w:rPr>
                <w:rFonts w:cs="Arial"/>
                <w:color w:val="000000"/>
                <w:sz w:val="16"/>
                <w:szCs w:val="16"/>
              </w:rPr>
              <w:t>89,02</w:t>
            </w:r>
          </w:p>
        </w:tc>
        <w:tc>
          <w:tcPr>
            <w:tcW w:w="292" w:type="pct"/>
            <w:tcBorders>
              <w:top w:val="nil"/>
              <w:left w:val="nil"/>
              <w:bottom w:val="single" w:sz="4" w:space="0" w:color="auto"/>
              <w:right w:val="single" w:sz="4" w:space="0" w:color="auto"/>
            </w:tcBorders>
            <w:shd w:val="clear" w:color="000000" w:fill="FFFFFF"/>
            <w:noWrap/>
            <w:vAlign w:val="center"/>
            <w:hideMark/>
          </w:tcPr>
          <w:p w14:paraId="744D39C2" w14:textId="1F58C8A3" w:rsidR="00B267C9" w:rsidRPr="00BD7E1C" w:rsidRDefault="00B267C9" w:rsidP="00B267C9">
            <w:pPr>
              <w:spacing w:after="0" w:line="240" w:lineRule="auto"/>
              <w:jc w:val="center"/>
              <w:rPr>
                <w:rFonts w:eastAsia="Times New Roman"/>
                <w:sz w:val="16"/>
                <w:szCs w:val="16"/>
                <w:lang w:eastAsia="ru-RU"/>
              </w:rPr>
            </w:pPr>
            <w:r w:rsidRPr="00BD7E1C">
              <w:rPr>
                <w:rFonts w:cs="Arial"/>
                <w:color w:val="000000"/>
                <w:sz w:val="16"/>
                <w:szCs w:val="16"/>
              </w:rPr>
              <w:t>180,73</w:t>
            </w:r>
          </w:p>
        </w:tc>
        <w:tc>
          <w:tcPr>
            <w:tcW w:w="292" w:type="pct"/>
            <w:tcBorders>
              <w:top w:val="nil"/>
              <w:left w:val="nil"/>
              <w:bottom w:val="single" w:sz="4" w:space="0" w:color="auto"/>
              <w:right w:val="single" w:sz="4" w:space="0" w:color="auto"/>
            </w:tcBorders>
            <w:shd w:val="clear" w:color="000000" w:fill="FFFFFF"/>
            <w:noWrap/>
            <w:vAlign w:val="center"/>
            <w:hideMark/>
          </w:tcPr>
          <w:p w14:paraId="51ADCA4D" w14:textId="5CB52978" w:rsidR="00B267C9" w:rsidRPr="00BD7E1C" w:rsidRDefault="00B267C9" w:rsidP="00B267C9">
            <w:pPr>
              <w:spacing w:after="0" w:line="240" w:lineRule="auto"/>
              <w:jc w:val="center"/>
              <w:rPr>
                <w:rFonts w:eastAsia="Times New Roman"/>
                <w:sz w:val="16"/>
                <w:szCs w:val="16"/>
                <w:lang w:eastAsia="ru-RU"/>
              </w:rPr>
            </w:pPr>
            <w:r w:rsidRPr="00BD7E1C">
              <w:rPr>
                <w:rFonts w:cs="Arial"/>
                <w:color w:val="000000"/>
                <w:sz w:val="16"/>
                <w:szCs w:val="16"/>
              </w:rPr>
              <w:t>42,79</w:t>
            </w:r>
          </w:p>
        </w:tc>
        <w:tc>
          <w:tcPr>
            <w:tcW w:w="243" w:type="pct"/>
            <w:tcBorders>
              <w:top w:val="nil"/>
              <w:left w:val="nil"/>
              <w:bottom w:val="single" w:sz="4" w:space="0" w:color="auto"/>
              <w:right w:val="single" w:sz="4" w:space="0" w:color="auto"/>
            </w:tcBorders>
            <w:shd w:val="clear" w:color="000000" w:fill="FFFFFF"/>
            <w:noWrap/>
            <w:vAlign w:val="center"/>
            <w:hideMark/>
          </w:tcPr>
          <w:p w14:paraId="1336CB82" w14:textId="2B25F257" w:rsidR="00B267C9" w:rsidRPr="00BD7E1C" w:rsidRDefault="00B267C9" w:rsidP="00B267C9">
            <w:pPr>
              <w:spacing w:after="0" w:line="240" w:lineRule="auto"/>
              <w:jc w:val="center"/>
              <w:rPr>
                <w:rFonts w:eastAsia="Times New Roman"/>
                <w:sz w:val="16"/>
                <w:szCs w:val="16"/>
                <w:lang w:eastAsia="ru-RU"/>
              </w:rPr>
            </w:pPr>
            <w:r w:rsidRPr="00BD7E1C">
              <w:rPr>
                <w:rFonts w:cs="Arial"/>
                <w:color w:val="000000"/>
                <w:sz w:val="16"/>
                <w:szCs w:val="16"/>
              </w:rPr>
              <w:t>52,87</w:t>
            </w:r>
          </w:p>
        </w:tc>
        <w:tc>
          <w:tcPr>
            <w:tcW w:w="341" w:type="pct"/>
            <w:tcBorders>
              <w:top w:val="nil"/>
              <w:left w:val="nil"/>
              <w:bottom w:val="single" w:sz="4" w:space="0" w:color="auto"/>
              <w:right w:val="single" w:sz="4" w:space="0" w:color="auto"/>
            </w:tcBorders>
            <w:shd w:val="clear" w:color="000000" w:fill="FFFFFF"/>
            <w:noWrap/>
            <w:vAlign w:val="center"/>
            <w:hideMark/>
          </w:tcPr>
          <w:p w14:paraId="382A0468" w14:textId="3BB83697" w:rsidR="00B267C9" w:rsidRPr="00BD7E1C" w:rsidRDefault="00B267C9" w:rsidP="00B267C9">
            <w:pPr>
              <w:spacing w:after="0" w:line="240" w:lineRule="auto"/>
              <w:jc w:val="center"/>
              <w:rPr>
                <w:rFonts w:eastAsia="Times New Roman"/>
                <w:sz w:val="16"/>
                <w:szCs w:val="16"/>
                <w:lang w:eastAsia="ru-RU"/>
              </w:rPr>
            </w:pPr>
            <w:r w:rsidRPr="00BD7E1C">
              <w:rPr>
                <w:rFonts w:cs="Arial"/>
                <w:color w:val="000000"/>
                <w:sz w:val="16"/>
                <w:szCs w:val="16"/>
              </w:rPr>
              <w:t>95,66</w:t>
            </w:r>
          </w:p>
        </w:tc>
        <w:tc>
          <w:tcPr>
            <w:tcW w:w="252" w:type="pct"/>
            <w:tcBorders>
              <w:top w:val="nil"/>
              <w:left w:val="nil"/>
              <w:bottom w:val="single" w:sz="4" w:space="0" w:color="auto"/>
              <w:right w:val="single" w:sz="4" w:space="0" w:color="auto"/>
            </w:tcBorders>
            <w:shd w:val="clear" w:color="000000" w:fill="FFFFFF"/>
            <w:noWrap/>
            <w:vAlign w:val="center"/>
            <w:hideMark/>
          </w:tcPr>
          <w:p w14:paraId="3EF7DCE1" w14:textId="66CFCB8B" w:rsidR="00B267C9" w:rsidRPr="00BD7E1C" w:rsidRDefault="00B267C9" w:rsidP="00B267C9">
            <w:pPr>
              <w:spacing w:after="0" w:line="240" w:lineRule="auto"/>
              <w:jc w:val="center"/>
              <w:rPr>
                <w:rFonts w:eastAsia="Times New Roman"/>
                <w:sz w:val="16"/>
                <w:szCs w:val="16"/>
                <w:lang w:eastAsia="ru-RU"/>
              </w:rPr>
            </w:pPr>
            <w:r w:rsidRPr="00BD7E1C">
              <w:rPr>
                <w:rFonts w:cs="Arial"/>
                <w:color w:val="000000"/>
                <w:sz w:val="16"/>
                <w:szCs w:val="16"/>
              </w:rPr>
              <w:t>-85,07</w:t>
            </w:r>
          </w:p>
        </w:tc>
        <w:tc>
          <w:tcPr>
            <w:tcW w:w="373" w:type="pct"/>
            <w:tcBorders>
              <w:top w:val="nil"/>
              <w:left w:val="nil"/>
              <w:bottom w:val="single" w:sz="4" w:space="0" w:color="auto"/>
              <w:right w:val="single" w:sz="4" w:space="0" w:color="auto"/>
            </w:tcBorders>
            <w:shd w:val="clear" w:color="auto" w:fill="auto"/>
            <w:noWrap/>
            <w:vAlign w:val="center"/>
            <w:hideMark/>
          </w:tcPr>
          <w:p w14:paraId="45E16813" w14:textId="10AA65D4" w:rsidR="00B267C9" w:rsidRPr="00BD7E1C" w:rsidRDefault="00B267C9" w:rsidP="00B267C9">
            <w:pPr>
              <w:spacing w:after="0" w:line="240" w:lineRule="auto"/>
              <w:jc w:val="center"/>
              <w:rPr>
                <w:rFonts w:eastAsia="Times New Roman"/>
                <w:sz w:val="16"/>
                <w:szCs w:val="16"/>
                <w:lang w:eastAsia="ru-RU"/>
              </w:rPr>
            </w:pPr>
            <w:r w:rsidRPr="00BD7E1C">
              <w:rPr>
                <w:rFonts w:cs="Arial"/>
                <w:color w:val="000000"/>
                <w:sz w:val="16"/>
                <w:szCs w:val="16"/>
              </w:rPr>
              <w:t>203 700</w:t>
            </w:r>
          </w:p>
        </w:tc>
        <w:tc>
          <w:tcPr>
            <w:tcW w:w="373" w:type="pct"/>
            <w:tcBorders>
              <w:top w:val="nil"/>
              <w:left w:val="nil"/>
              <w:bottom w:val="single" w:sz="4" w:space="0" w:color="auto"/>
              <w:right w:val="single" w:sz="4" w:space="0" w:color="auto"/>
            </w:tcBorders>
            <w:shd w:val="clear" w:color="auto" w:fill="auto"/>
            <w:noWrap/>
            <w:vAlign w:val="center"/>
            <w:hideMark/>
          </w:tcPr>
          <w:p w14:paraId="73626D8D" w14:textId="4FA5AD23" w:rsidR="00B267C9" w:rsidRPr="00BD7E1C" w:rsidRDefault="00B267C9" w:rsidP="00B267C9">
            <w:pPr>
              <w:spacing w:after="0" w:line="240" w:lineRule="auto"/>
              <w:jc w:val="center"/>
              <w:rPr>
                <w:rFonts w:eastAsia="Times New Roman"/>
                <w:sz w:val="16"/>
                <w:szCs w:val="16"/>
                <w:lang w:eastAsia="ru-RU"/>
              </w:rPr>
            </w:pPr>
            <w:r w:rsidRPr="00BD7E1C">
              <w:rPr>
                <w:rFonts w:cs="Arial"/>
                <w:color w:val="000000"/>
                <w:sz w:val="16"/>
                <w:szCs w:val="16"/>
              </w:rPr>
              <w:t>207 190</w:t>
            </w:r>
          </w:p>
        </w:tc>
        <w:tc>
          <w:tcPr>
            <w:tcW w:w="357" w:type="pct"/>
            <w:tcBorders>
              <w:top w:val="nil"/>
              <w:left w:val="nil"/>
              <w:bottom w:val="single" w:sz="4" w:space="0" w:color="auto"/>
              <w:right w:val="single" w:sz="4" w:space="0" w:color="auto"/>
            </w:tcBorders>
            <w:shd w:val="clear" w:color="auto" w:fill="auto"/>
            <w:noWrap/>
            <w:vAlign w:val="center"/>
            <w:hideMark/>
          </w:tcPr>
          <w:p w14:paraId="2211B375" w14:textId="0E1B1A5D" w:rsidR="00B267C9" w:rsidRPr="00BD7E1C" w:rsidRDefault="00B267C9" w:rsidP="00B267C9">
            <w:pPr>
              <w:spacing w:after="0" w:line="240" w:lineRule="auto"/>
              <w:jc w:val="center"/>
              <w:rPr>
                <w:rFonts w:eastAsia="Times New Roman"/>
                <w:sz w:val="16"/>
                <w:szCs w:val="16"/>
                <w:lang w:eastAsia="ru-RU"/>
              </w:rPr>
            </w:pPr>
            <w:r w:rsidRPr="00BD7E1C">
              <w:rPr>
                <w:rFonts w:cs="Arial"/>
                <w:color w:val="000000"/>
                <w:sz w:val="16"/>
                <w:szCs w:val="16"/>
              </w:rPr>
              <w:t>410 889</w:t>
            </w:r>
          </w:p>
        </w:tc>
        <w:tc>
          <w:tcPr>
            <w:tcW w:w="407" w:type="pct"/>
            <w:tcBorders>
              <w:top w:val="nil"/>
              <w:left w:val="nil"/>
              <w:bottom w:val="single" w:sz="4" w:space="0" w:color="auto"/>
              <w:right w:val="single" w:sz="4" w:space="0" w:color="auto"/>
            </w:tcBorders>
            <w:shd w:val="clear" w:color="auto" w:fill="auto"/>
            <w:noWrap/>
            <w:vAlign w:val="center"/>
            <w:hideMark/>
          </w:tcPr>
          <w:p w14:paraId="1C1E6573" w14:textId="640AB607" w:rsidR="00B267C9" w:rsidRPr="00BD7E1C" w:rsidRDefault="00B267C9" w:rsidP="00B267C9">
            <w:pPr>
              <w:spacing w:after="0" w:line="240" w:lineRule="auto"/>
              <w:jc w:val="center"/>
              <w:rPr>
                <w:rFonts w:eastAsia="Times New Roman"/>
                <w:sz w:val="16"/>
                <w:szCs w:val="16"/>
                <w:lang w:eastAsia="ru-RU"/>
              </w:rPr>
            </w:pPr>
            <w:r w:rsidRPr="00BD7E1C">
              <w:rPr>
                <w:rFonts w:cs="Arial"/>
                <w:color w:val="000000"/>
                <w:sz w:val="16"/>
                <w:szCs w:val="16"/>
              </w:rPr>
              <w:t>95 042</w:t>
            </w:r>
          </w:p>
        </w:tc>
        <w:tc>
          <w:tcPr>
            <w:tcW w:w="319" w:type="pct"/>
            <w:tcBorders>
              <w:top w:val="nil"/>
              <w:left w:val="nil"/>
              <w:bottom w:val="single" w:sz="4" w:space="0" w:color="auto"/>
              <w:right w:val="single" w:sz="4" w:space="0" w:color="auto"/>
            </w:tcBorders>
            <w:shd w:val="clear" w:color="auto" w:fill="auto"/>
            <w:noWrap/>
            <w:vAlign w:val="center"/>
            <w:hideMark/>
          </w:tcPr>
          <w:p w14:paraId="5526AD5D" w14:textId="3F26E8DC" w:rsidR="00B267C9" w:rsidRPr="00BD7E1C" w:rsidRDefault="00B267C9" w:rsidP="00B267C9">
            <w:pPr>
              <w:spacing w:after="0" w:line="240" w:lineRule="auto"/>
              <w:jc w:val="center"/>
              <w:rPr>
                <w:rFonts w:eastAsia="Times New Roman"/>
                <w:sz w:val="16"/>
                <w:szCs w:val="16"/>
                <w:lang w:eastAsia="ru-RU"/>
              </w:rPr>
            </w:pPr>
            <w:r w:rsidRPr="00BD7E1C">
              <w:rPr>
                <w:rFonts w:cs="Arial"/>
                <w:color w:val="000000"/>
                <w:sz w:val="16"/>
                <w:szCs w:val="16"/>
              </w:rPr>
              <w:t>123 047</w:t>
            </w:r>
          </w:p>
        </w:tc>
        <w:tc>
          <w:tcPr>
            <w:tcW w:w="413" w:type="pct"/>
            <w:tcBorders>
              <w:top w:val="nil"/>
              <w:left w:val="nil"/>
              <w:bottom w:val="single" w:sz="4" w:space="0" w:color="auto"/>
              <w:right w:val="single" w:sz="4" w:space="0" w:color="auto"/>
            </w:tcBorders>
            <w:shd w:val="clear" w:color="auto" w:fill="auto"/>
            <w:noWrap/>
            <w:vAlign w:val="center"/>
            <w:hideMark/>
          </w:tcPr>
          <w:p w14:paraId="47D5B8A7" w14:textId="2CCBF4FB" w:rsidR="00B267C9" w:rsidRPr="00BD7E1C" w:rsidRDefault="00B267C9" w:rsidP="00B267C9">
            <w:pPr>
              <w:spacing w:after="0" w:line="240" w:lineRule="auto"/>
              <w:jc w:val="center"/>
              <w:rPr>
                <w:rFonts w:eastAsia="Times New Roman"/>
                <w:sz w:val="16"/>
                <w:szCs w:val="16"/>
                <w:lang w:eastAsia="ru-RU"/>
              </w:rPr>
            </w:pPr>
            <w:r w:rsidRPr="00BD7E1C">
              <w:rPr>
                <w:rFonts w:cs="Arial"/>
                <w:color w:val="000000"/>
                <w:sz w:val="16"/>
                <w:szCs w:val="16"/>
              </w:rPr>
              <w:t>218 090</w:t>
            </w:r>
          </w:p>
        </w:tc>
        <w:tc>
          <w:tcPr>
            <w:tcW w:w="317" w:type="pct"/>
            <w:tcBorders>
              <w:top w:val="nil"/>
              <w:left w:val="nil"/>
              <w:bottom w:val="single" w:sz="4" w:space="0" w:color="auto"/>
              <w:right w:val="single" w:sz="4" w:space="0" w:color="auto"/>
            </w:tcBorders>
            <w:shd w:val="clear" w:color="auto" w:fill="auto"/>
            <w:noWrap/>
            <w:vAlign w:val="center"/>
            <w:hideMark/>
          </w:tcPr>
          <w:p w14:paraId="6D19BFC6" w14:textId="444B12C0" w:rsidR="00B267C9" w:rsidRPr="00BD7E1C" w:rsidRDefault="00B267C9" w:rsidP="00B267C9">
            <w:pPr>
              <w:spacing w:after="0" w:line="240" w:lineRule="auto"/>
              <w:jc w:val="center"/>
              <w:rPr>
                <w:rFonts w:eastAsia="Times New Roman"/>
                <w:sz w:val="16"/>
                <w:szCs w:val="16"/>
                <w:lang w:eastAsia="ru-RU"/>
              </w:rPr>
            </w:pPr>
            <w:r w:rsidRPr="00BD7E1C">
              <w:rPr>
                <w:rFonts w:cs="Arial"/>
                <w:color w:val="000000"/>
                <w:sz w:val="16"/>
                <w:szCs w:val="16"/>
              </w:rPr>
              <w:t>-192 800</w:t>
            </w:r>
          </w:p>
        </w:tc>
      </w:tr>
      <w:tr w:rsidR="00B267C9" w:rsidRPr="00BD7E1C" w14:paraId="68B64437" w14:textId="77777777" w:rsidTr="00E3296D">
        <w:trPr>
          <w:trHeight w:val="300"/>
        </w:trPr>
        <w:tc>
          <w:tcPr>
            <w:tcW w:w="436" w:type="pct"/>
            <w:tcBorders>
              <w:top w:val="nil"/>
              <w:left w:val="single" w:sz="4" w:space="0" w:color="auto"/>
              <w:bottom w:val="single" w:sz="4" w:space="0" w:color="auto"/>
              <w:right w:val="single" w:sz="4" w:space="0" w:color="auto"/>
            </w:tcBorders>
            <w:shd w:val="clear" w:color="auto" w:fill="auto"/>
            <w:noWrap/>
            <w:vAlign w:val="center"/>
            <w:hideMark/>
          </w:tcPr>
          <w:p w14:paraId="77EA8469" w14:textId="77777777" w:rsidR="00B267C9" w:rsidRPr="00BD7E1C" w:rsidRDefault="00B267C9" w:rsidP="00B267C9">
            <w:pPr>
              <w:spacing w:after="0" w:line="240" w:lineRule="auto"/>
              <w:jc w:val="right"/>
              <w:rPr>
                <w:rFonts w:eastAsia="Times New Roman"/>
                <w:sz w:val="18"/>
                <w:szCs w:val="18"/>
                <w:lang w:eastAsia="ru-RU"/>
              </w:rPr>
            </w:pPr>
            <w:r w:rsidRPr="00BD7E1C">
              <w:rPr>
                <w:rFonts w:eastAsia="Times New Roman"/>
                <w:sz w:val="18"/>
                <w:szCs w:val="18"/>
                <w:lang w:eastAsia="ru-RU"/>
              </w:rPr>
              <w:t xml:space="preserve">Категория 2, 3, 4.1. </w:t>
            </w:r>
          </w:p>
        </w:tc>
        <w:tc>
          <w:tcPr>
            <w:tcW w:w="292" w:type="pct"/>
            <w:tcBorders>
              <w:top w:val="nil"/>
              <w:left w:val="single" w:sz="4" w:space="0" w:color="auto"/>
              <w:bottom w:val="single" w:sz="4" w:space="0" w:color="auto"/>
              <w:right w:val="single" w:sz="4" w:space="0" w:color="auto"/>
            </w:tcBorders>
            <w:shd w:val="clear" w:color="000000" w:fill="FFFFFF"/>
            <w:noWrap/>
            <w:vAlign w:val="center"/>
            <w:hideMark/>
          </w:tcPr>
          <w:p w14:paraId="7AE6A9AD" w14:textId="1F59A011" w:rsidR="00B267C9" w:rsidRPr="00BD7E1C" w:rsidRDefault="00B267C9" w:rsidP="00B267C9">
            <w:pPr>
              <w:spacing w:after="0" w:line="240" w:lineRule="auto"/>
              <w:jc w:val="center"/>
              <w:rPr>
                <w:rFonts w:eastAsia="Times New Roman"/>
                <w:sz w:val="16"/>
                <w:szCs w:val="16"/>
                <w:lang w:eastAsia="ru-RU"/>
              </w:rPr>
            </w:pPr>
            <w:r w:rsidRPr="00BD7E1C">
              <w:rPr>
                <w:rFonts w:cs="Arial"/>
                <w:color w:val="000000"/>
                <w:sz w:val="16"/>
                <w:szCs w:val="16"/>
              </w:rPr>
              <w:t>1,53</w:t>
            </w:r>
          </w:p>
        </w:tc>
        <w:tc>
          <w:tcPr>
            <w:tcW w:w="292" w:type="pct"/>
            <w:tcBorders>
              <w:top w:val="nil"/>
              <w:left w:val="nil"/>
              <w:bottom w:val="single" w:sz="4" w:space="0" w:color="auto"/>
              <w:right w:val="single" w:sz="4" w:space="0" w:color="auto"/>
            </w:tcBorders>
            <w:shd w:val="clear" w:color="000000" w:fill="FFFFFF"/>
            <w:noWrap/>
            <w:vAlign w:val="center"/>
            <w:hideMark/>
          </w:tcPr>
          <w:p w14:paraId="7E0843A9" w14:textId="5BFB562A" w:rsidR="00B267C9" w:rsidRPr="00BD7E1C" w:rsidRDefault="00B267C9" w:rsidP="00B267C9">
            <w:pPr>
              <w:spacing w:after="0" w:line="240" w:lineRule="auto"/>
              <w:jc w:val="center"/>
              <w:rPr>
                <w:rFonts w:eastAsia="Times New Roman"/>
                <w:sz w:val="16"/>
                <w:szCs w:val="16"/>
                <w:lang w:eastAsia="ru-RU"/>
              </w:rPr>
            </w:pPr>
            <w:r w:rsidRPr="00BD7E1C">
              <w:rPr>
                <w:rFonts w:cs="Arial"/>
                <w:color w:val="000000"/>
                <w:sz w:val="16"/>
                <w:szCs w:val="16"/>
              </w:rPr>
              <w:t>12,74</w:t>
            </w:r>
          </w:p>
        </w:tc>
        <w:tc>
          <w:tcPr>
            <w:tcW w:w="292" w:type="pct"/>
            <w:tcBorders>
              <w:top w:val="nil"/>
              <w:left w:val="nil"/>
              <w:bottom w:val="single" w:sz="4" w:space="0" w:color="auto"/>
              <w:right w:val="single" w:sz="4" w:space="0" w:color="auto"/>
            </w:tcBorders>
            <w:shd w:val="clear" w:color="000000" w:fill="FFFFFF"/>
            <w:noWrap/>
            <w:vAlign w:val="center"/>
            <w:hideMark/>
          </w:tcPr>
          <w:p w14:paraId="1E18A74D" w14:textId="3D5119F9" w:rsidR="00B267C9" w:rsidRPr="00BD7E1C" w:rsidRDefault="00B267C9" w:rsidP="00B267C9">
            <w:pPr>
              <w:spacing w:after="0" w:line="240" w:lineRule="auto"/>
              <w:jc w:val="center"/>
              <w:rPr>
                <w:rFonts w:eastAsia="Times New Roman"/>
                <w:sz w:val="16"/>
                <w:szCs w:val="16"/>
                <w:lang w:eastAsia="ru-RU"/>
              </w:rPr>
            </w:pPr>
            <w:r w:rsidRPr="00BD7E1C">
              <w:rPr>
                <w:rFonts w:cs="Arial"/>
                <w:color w:val="000000"/>
                <w:sz w:val="16"/>
                <w:szCs w:val="16"/>
              </w:rPr>
              <w:t>14,27</w:t>
            </w:r>
          </w:p>
        </w:tc>
        <w:tc>
          <w:tcPr>
            <w:tcW w:w="292" w:type="pct"/>
            <w:tcBorders>
              <w:top w:val="nil"/>
              <w:left w:val="nil"/>
              <w:bottom w:val="single" w:sz="4" w:space="0" w:color="auto"/>
              <w:right w:val="single" w:sz="4" w:space="0" w:color="auto"/>
            </w:tcBorders>
            <w:shd w:val="clear" w:color="000000" w:fill="FFFFFF"/>
            <w:noWrap/>
            <w:vAlign w:val="center"/>
            <w:hideMark/>
          </w:tcPr>
          <w:p w14:paraId="32D70705" w14:textId="19759ADF" w:rsidR="00B267C9" w:rsidRPr="00BD7E1C" w:rsidRDefault="00B267C9" w:rsidP="00B267C9">
            <w:pPr>
              <w:spacing w:after="0" w:line="240" w:lineRule="auto"/>
              <w:jc w:val="center"/>
              <w:rPr>
                <w:rFonts w:eastAsia="Times New Roman"/>
                <w:sz w:val="16"/>
                <w:szCs w:val="16"/>
                <w:lang w:eastAsia="ru-RU"/>
              </w:rPr>
            </w:pPr>
            <w:r w:rsidRPr="00BD7E1C">
              <w:rPr>
                <w:rFonts w:cs="Arial"/>
                <w:color w:val="000000"/>
                <w:sz w:val="16"/>
                <w:szCs w:val="16"/>
              </w:rPr>
              <w:t>73,06</w:t>
            </w:r>
          </w:p>
        </w:tc>
        <w:tc>
          <w:tcPr>
            <w:tcW w:w="243" w:type="pct"/>
            <w:tcBorders>
              <w:top w:val="nil"/>
              <w:left w:val="nil"/>
              <w:bottom w:val="single" w:sz="4" w:space="0" w:color="auto"/>
              <w:right w:val="single" w:sz="4" w:space="0" w:color="auto"/>
            </w:tcBorders>
            <w:shd w:val="clear" w:color="000000" w:fill="FFFFFF"/>
            <w:noWrap/>
            <w:vAlign w:val="center"/>
            <w:hideMark/>
          </w:tcPr>
          <w:p w14:paraId="7E3520AE" w14:textId="0A2B53C6" w:rsidR="00B267C9" w:rsidRPr="00BD7E1C" w:rsidRDefault="00B267C9" w:rsidP="00B267C9">
            <w:pPr>
              <w:spacing w:after="0" w:line="240" w:lineRule="auto"/>
              <w:jc w:val="center"/>
              <w:rPr>
                <w:rFonts w:eastAsia="Times New Roman"/>
                <w:sz w:val="16"/>
                <w:szCs w:val="16"/>
                <w:lang w:eastAsia="ru-RU"/>
              </w:rPr>
            </w:pPr>
            <w:r w:rsidRPr="00BD7E1C">
              <w:rPr>
                <w:rFonts w:cs="Arial"/>
                <w:color w:val="000000"/>
                <w:sz w:val="16"/>
                <w:szCs w:val="16"/>
              </w:rPr>
              <w:t>69,85</w:t>
            </w:r>
          </w:p>
        </w:tc>
        <w:tc>
          <w:tcPr>
            <w:tcW w:w="341" w:type="pct"/>
            <w:tcBorders>
              <w:top w:val="nil"/>
              <w:left w:val="nil"/>
              <w:bottom w:val="single" w:sz="4" w:space="0" w:color="auto"/>
              <w:right w:val="single" w:sz="4" w:space="0" w:color="auto"/>
            </w:tcBorders>
            <w:shd w:val="clear" w:color="000000" w:fill="FFFFFF"/>
            <w:noWrap/>
            <w:vAlign w:val="center"/>
            <w:hideMark/>
          </w:tcPr>
          <w:p w14:paraId="5733B98E" w14:textId="2A5BC4A4" w:rsidR="00B267C9" w:rsidRPr="00BD7E1C" w:rsidRDefault="00B267C9" w:rsidP="00B267C9">
            <w:pPr>
              <w:spacing w:after="0" w:line="240" w:lineRule="auto"/>
              <w:jc w:val="center"/>
              <w:rPr>
                <w:rFonts w:eastAsia="Times New Roman"/>
                <w:sz w:val="16"/>
                <w:szCs w:val="16"/>
                <w:lang w:eastAsia="ru-RU"/>
              </w:rPr>
            </w:pPr>
            <w:r w:rsidRPr="00BD7E1C">
              <w:rPr>
                <w:rFonts w:cs="Arial"/>
                <w:color w:val="000000"/>
                <w:sz w:val="16"/>
                <w:szCs w:val="16"/>
              </w:rPr>
              <w:t>142,92</w:t>
            </w:r>
          </w:p>
        </w:tc>
        <w:tc>
          <w:tcPr>
            <w:tcW w:w="252" w:type="pct"/>
            <w:tcBorders>
              <w:top w:val="nil"/>
              <w:left w:val="nil"/>
              <w:bottom w:val="single" w:sz="4" w:space="0" w:color="auto"/>
              <w:right w:val="single" w:sz="4" w:space="0" w:color="auto"/>
            </w:tcBorders>
            <w:shd w:val="clear" w:color="000000" w:fill="FFFFFF"/>
            <w:noWrap/>
            <w:vAlign w:val="center"/>
            <w:hideMark/>
          </w:tcPr>
          <w:p w14:paraId="766270A6" w14:textId="43C6D5FE" w:rsidR="00B267C9" w:rsidRPr="00BD7E1C" w:rsidRDefault="00B267C9" w:rsidP="00B267C9">
            <w:pPr>
              <w:spacing w:after="0" w:line="240" w:lineRule="auto"/>
              <w:jc w:val="center"/>
              <w:rPr>
                <w:rFonts w:eastAsia="Times New Roman"/>
                <w:sz w:val="16"/>
                <w:szCs w:val="16"/>
                <w:lang w:eastAsia="ru-RU"/>
              </w:rPr>
            </w:pPr>
            <w:r w:rsidRPr="00BD7E1C">
              <w:rPr>
                <w:rFonts w:cs="Arial"/>
                <w:color w:val="000000"/>
                <w:sz w:val="16"/>
                <w:szCs w:val="16"/>
              </w:rPr>
              <w:t>128,65</w:t>
            </w:r>
          </w:p>
        </w:tc>
        <w:tc>
          <w:tcPr>
            <w:tcW w:w="373" w:type="pct"/>
            <w:tcBorders>
              <w:top w:val="nil"/>
              <w:left w:val="nil"/>
              <w:bottom w:val="single" w:sz="4" w:space="0" w:color="auto"/>
              <w:right w:val="single" w:sz="4" w:space="0" w:color="auto"/>
            </w:tcBorders>
            <w:shd w:val="clear" w:color="auto" w:fill="auto"/>
            <w:noWrap/>
            <w:vAlign w:val="center"/>
            <w:hideMark/>
          </w:tcPr>
          <w:p w14:paraId="39887802" w14:textId="76EFBD1F" w:rsidR="00B267C9" w:rsidRPr="00BD7E1C" w:rsidRDefault="00B267C9" w:rsidP="00B267C9">
            <w:pPr>
              <w:spacing w:after="0" w:line="240" w:lineRule="auto"/>
              <w:jc w:val="center"/>
              <w:rPr>
                <w:rFonts w:eastAsia="Times New Roman"/>
                <w:sz w:val="16"/>
                <w:szCs w:val="16"/>
                <w:lang w:eastAsia="ru-RU"/>
              </w:rPr>
            </w:pPr>
            <w:r w:rsidRPr="00BD7E1C">
              <w:rPr>
                <w:rFonts w:cs="Arial"/>
                <w:color w:val="000000"/>
                <w:sz w:val="16"/>
                <w:szCs w:val="16"/>
              </w:rPr>
              <w:t>2 167</w:t>
            </w:r>
          </w:p>
        </w:tc>
        <w:tc>
          <w:tcPr>
            <w:tcW w:w="373" w:type="pct"/>
            <w:tcBorders>
              <w:top w:val="nil"/>
              <w:left w:val="nil"/>
              <w:bottom w:val="single" w:sz="4" w:space="0" w:color="auto"/>
              <w:right w:val="single" w:sz="4" w:space="0" w:color="auto"/>
            </w:tcBorders>
            <w:shd w:val="clear" w:color="auto" w:fill="auto"/>
            <w:noWrap/>
            <w:vAlign w:val="center"/>
            <w:hideMark/>
          </w:tcPr>
          <w:p w14:paraId="4370A730" w14:textId="70181C03" w:rsidR="00B267C9" w:rsidRPr="00BD7E1C" w:rsidRDefault="00B267C9" w:rsidP="00B267C9">
            <w:pPr>
              <w:spacing w:after="0" w:line="240" w:lineRule="auto"/>
              <w:jc w:val="center"/>
              <w:rPr>
                <w:rFonts w:eastAsia="Times New Roman"/>
                <w:sz w:val="16"/>
                <w:szCs w:val="16"/>
                <w:lang w:eastAsia="ru-RU"/>
              </w:rPr>
            </w:pPr>
            <w:r w:rsidRPr="00BD7E1C">
              <w:rPr>
                <w:rFonts w:cs="Arial"/>
                <w:color w:val="000000"/>
                <w:sz w:val="16"/>
                <w:szCs w:val="16"/>
              </w:rPr>
              <w:t>18 963</w:t>
            </w:r>
          </w:p>
        </w:tc>
        <w:tc>
          <w:tcPr>
            <w:tcW w:w="357" w:type="pct"/>
            <w:tcBorders>
              <w:top w:val="nil"/>
              <w:left w:val="nil"/>
              <w:bottom w:val="single" w:sz="4" w:space="0" w:color="auto"/>
              <w:right w:val="single" w:sz="4" w:space="0" w:color="auto"/>
            </w:tcBorders>
            <w:shd w:val="clear" w:color="auto" w:fill="auto"/>
            <w:noWrap/>
            <w:vAlign w:val="center"/>
            <w:hideMark/>
          </w:tcPr>
          <w:p w14:paraId="53CABAB2" w14:textId="215EF54E" w:rsidR="00B267C9" w:rsidRPr="00BD7E1C" w:rsidRDefault="00B267C9" w:rsidP="00B267C9">
            <w:pPr>
              <w:spacing w:after="0" w:line="240" w:lineRule="auto"/>
              <w:jc w:val="center"/>
              <w:rPr>
                <w:rFonts w:eastAsia="Times New Roman"/>
                <w:sz w:val="16"/>
                <w:szCs w:val="16"/>
                <w:lang w:eastAsia="ru-RU"/>
              </w:rPr>
            </w:pPr>
            <w:r w:rsidRPr="00BD7E1C">
              <w:rPr>
                <w:rFonts w:cs="Arial"/>
                <w:color w:val="000000"/>
                <w:sz w:val="16"/>
                <w:szCs w:val="16"/>
              </w:rPr>
              <w:t>21 130</w:t>
            </w:r>
          </w:p>
        </w:tc>
        <w:tc>
          <w:tcPr>
            <w:tcW w:w="407" w:type="pct"/>
            <w:tcBorders>
              <w:top w:val="nil"/>
              <w:left w:val="nil"/>
              <w:bottom w:val="single" w:sz="4" w:space="0" w:color="auto"/>
              <w:right w:val="single" w:sz="4" w:space="0" w:color="auto"/>
            </w:tcBorders>
            <w:shd w:val="clear" w:color="auto" w:fill="auto"/>
            <w:noWrap/>
            <w:vAlign w:val="center"/>
            <w:hideMark/>
          </w:tcPr>
          <w:p w14:paraId="23692BD6" w14:textId="2B5FEEC7" w:rsidR="00B267C9" w:rsidRPr="00BD7E1C" w:rsidRDefault="00B267C9" w:rsidP="00B267C9">
            <w:pPr>
              <w:spacing w:after="0" w:line="240" w:lineRule="auto"/>
              <w:jc w:val="center"/>
              <w:rPr>
                <w:rFonts w:eastAsia="Times New Roman"/>
                <w:sz w:val="16"/>
                <w:szCs w:val="16"/>
                <w:lang w:eastAsia="ru-RU"/>
              </w:rPr>
            </w:pPr>
            <w:r w:rsidRPr="00BD7E1C">
              <w:rPr>
                <w:rFonts w:cs="Arial"/>
                <w:color w:val="000000"/>
                <w:sz w:val="16"/>
                <w:szCs w:val="16"/>
              </w:rPr>
              <w:t>103 457</w:t>
            </w:r>
          </w:p>
        </w:tc>
        <w:tc>
          <w:tcPr>
            <w:tcW w:w="319" w:type="pct"/>
            <w:tcBorders>
              <w:top w:val="nil"/>
              <w:left w:val="nil"/>
              <w:bottom w:val="single" w:sz="4" w:space="0" w:color="auto"/>
              <w:right w:val="single" w:sz="4" w:space="0" w:color="auto"/>
            </w:tcBorders>
            <w:shd w:val="clear" w:color="auto" w:fill="auto"/>
            <w:noWrap/>
            <w:vAlign w:val="center"/>
            <w:hideMark/>
          </w:tcPr>
          <w:p w14:paraId="14C37D2C" w14:textId="41D4A784" w:rsidR="00B267C9" w:rsidRPr="00BD7E1C" w:rsidRDefault="00B267C9" w:rsidP="00B267C9">
            <w:pPr>
              <w:spacing w:after="0" w:line="240" w:lineRule="auto"/>
              <w:jc w:val="center"/>
              <w:rPr>
                <w:rFonts w:eastAsia="Times New Roman"/>
                <w:sz w:val="16"/>
                <w:szCs w:val="16"/>
                <w:lang w:eastAsia="ru-RU"/>
              </w:rPr>
            </w:pPr>
            <w:r w:rsidRPr="00BD7E1C">
              <w:rPr>
                <w:rFonts w:cs="Arial"/>
                <w:color w:val="000000"/>
                <w:sz w:val="16"/>
                <w:szCs w:val="16"/>
              </w:rPr>
              <w:t>103 977</w:t>
            </w:r>
          </w:p>
        </w:tc>
        <w:tc>
          <w:tcPr>
            <w:tcW w:w="413" w:type="pct"/>
            <w:tcBorders>
              <w:top w:val="nil"/>
              <w:left w:val="nil"/>
              <w:bottom w:val="single" w:sz="4" w:space="0" w:color="auto"/>
              <w:right w:val="single" w:sz="4" w:space="0" w:color="auto"/>
            </w:tcBorders>
            <w:shd w:val="clear" w:color="auto" w:fill="auto"/>
            <w:noWrap/>
            <w:vAlign w:val="center"/>
            <w:hideMark/>
          </w:tcPr>
          <w:p w14:paraId="2AA5BEF4" w14:textId="158A00CB" w:rsidR="00B267C9" w:rsidRPr="00BD7E1C" w:rsidRDefault="00B267C9" w:rsidP="00B267C9">
            <w:pPr>
              <w:spacing w:after="0" w:line="240" w:lineRule="auto"/>
              <w:jc w:val="center"/>
              <w:rPr>
                <w:rFonts w:eastAsia="Times New Roman"/>
                <w:sz w:val="16"/>
                <w:szCs w:val="16"/>
                <w:lang w:eastAsia="ru-RU"/>
              </w:rPr>
            </w:pPr>
            <w:r w:rsidRPr="00BD7E1C">
              <w:rPr>
                <w:rFonts w:cs="Arial"/>
                <w:color w:val="000000"/>
                <w:sz w:val="16"/>
                <w:szCs w:val="16"/>
              </w:rPr>
              <w:t>207 434</w:t>
            </w:r>
          </w:p>
        </w:tc>
        <w:tc>
          <w:tcPr>
            <w:tcW w:w="317" w:type="pct"/>
            <w:tcBorders>
              <w:top w:val="nil"/>
              <w:left w:val="nil"/>
              <w:bottom w:val="single" w:sz="4" w:space="0" w:color="auto"/>
              <w:right w:val="single" w:sz="4" w:space="0" w:color="auto"/>
            </w:tcBorders>
            <w:shd w:val="clear" w:color="auto" w:fill="auto"/>
            <w:noWrap/>
            <w:vAlign w:val="center"/>
            <w:hideMark/>
          </w:tcPr>
          <w:p w14:paraId="339B526F" w14:textId="2C577802" w:rsidR="00B267C9" w:rsidRPr="00BD7E1C" w:rsidRDefault="00B267C9" w:rsidP="00B267C9">
            <w:pPr>
              <w:spacing w:after="0" w:line="240" w:lineRule="auto"/>
              <w:jc w:val="center"/>
              <w:rPr>
                <w:rFonts w:eastAsia="Times New Roman"/>
                <w:sz w:val="16"/>
                <w:szCs w:val="16"/>
                <w:lang w:eastAsia="ru-RU"/>
              </w:rPr>
            </w:pPr>
            <w:r w:rsidRPr="00BD7E1C">
              <w:rPr>
                <w:rFonts w:cs="Arial"/>
                <w:color w:val="000000"/>
                <w:sz w:val="16"/>
                <w:szCs w:val="16"/>
              </w:rPr>
              <w:t>186 304</w:t>
            </w:r>
          </w:p>
        </w:tc>
      </w:tr>
    </w:tbl>
    <w:p w14:paraId="3363CE4B" w14:textId="77777777" w:rsidR="009A4C46" w:rsidRPr="009A4C46" w:rsidRDefault="009A4C46" w:rsidP="009A4C46">
      <w:pPr>
        <w:tabs>
          <w:tab w:val="left" w:pos="0"/>
        </w:tabs>
        <w:autoSpaceDE w:val="0"/>
        <w:autoSpaceDN w:val="0"/>
        <w:adjustRightInd w:val="0"/>
        <w:spacing w:after="32" w:line="360" w:lineRule="auto"/>
        <w:ind w:firstLine="567"/>
        <w:jc w:val="both"/>
        <w:rPr>
          <w:rFonts w:eastAsia="Times New Roman"/>
          <w:sz w:val="28"/>
          <w:szCs w:val="28"/>
          <w:lang w:eastAsia="ru-RU"/>
        </w:rPr>
      </w:pPr>
    </w:p>
    <w:p w14:paraId="16EDE4B2" w14:textId="77777777" w:rsidR="009A4C46" w:rsidRPr="009A4C46" w:rsidRDefault="009A4C46" w:rsidP="009A4C46">
      <w:pPr>
        <w:tabs>
          <w:tab w:val="left" w:pos="0"/>
        </w:tabs>
        <w:autoSpaceDE w:val="0"/>
        <w:autoSpaceDN w:val="0"/>
        <w:adjustRightInd w:val="0"/>
        <w:spacing w:after="32" w:line="360" w:lineRule="auto"/>
        <w:ind w:firstLine="567"/>
        <w:jc w:val="both"/>
        <w:rPr>
          <w:rFonts w:eastAsia="Times New Roman"/>
          <w:sz w:val="28"/>
          <w:szCs w:val="28"/>
          <w:lang w:eastAsia="ru-RU"/>
        </w:rPr>
      </w:pPr>
    </w:p>
    <w:p w14:paraId="3F6B4526" w14:textId="77777777" w:rsidR="009A4C46" w:rsidRPr="009A4C46" w:rsidRDefault="009A4C46" w:rsidP="009A4C46">
      <w:pPr>
        <w:rPr>
          <w:rFonts w:eastAsia="Times New Roman"/>
          <w:sz w:val="28"/>
          <w:szCs w:val="28"/>
          <w:lang w:eastAsia="ru-RU"/>
        </w:rPr>
        <w:sectPr w:rsidR="009A4C46" w:rsidRPr="009A4C46" w:rsidSect="0063188C">
          <w:pgSz w:w="16838" w:h="11906" w:orient="landscape"/>
          <w:pgMar w:top="1701" w:right="1134" w:bottom="851" w:left="1134" w:header="709" w:footer="709" w:gutter="0"/>
          <w:cols w:space="708"/>
          <w:docGrid w:linePitch="360"/>
        </w:sectPr>
      </w:pPr>
    </w:p>
    <w:p w14:paraId="11489D65" w14:textId="5AAA0468" w:rsidR="009A4C46" w:rsidRPr="00F94FED" w:rsidRDefault="009A4C46" w:rsidP="009A4C46">
      <w:pPr>
        <w:tabs>
          <w:tab w:val="left" w:pos="0"/>
        </w:tabs>
        <w:autoSpaceDE w:val="0"/>
        <w:autoSpaceDN w:val="0"/>
        <w:adjustRightInd w:val="0"/>
        <w:spacing w:after="32" w:line="360" w:lineRule="auto"/>
        <w:ind w:firstLine="567"/>
        <w:jc w:val="both"/>
        <w:rPr>
          <w:rFonts w:eastAsia="Times New Roman"/>
          <w:sz w:val="26"/>
          <w:szCs w:val="26"/>
          <w:lang w:eastAsia="ru-RU"/>
        </w:rPr>
      </w:pPr>
      <w:r w:rsidRPr="00F94FED">
        <w:rPr>
          <w:rFonts w:eastAsia="Times New Roman"/>
          <w:sz w:val="26"/>
          <w:szCs w:val="26"/>
          <w:lang w:eastAsia="ru-RU"/>
        </w:rPr>
        <w:lastRenderedPageBreak/>
        <w:t xml:space="preserve">Величина недополученной выручки за 2017 год, по мнению Исполнителя, составила </w:t>
      </w:r>
      <w:r w:rsidR="00B267C9">
        <w:rPr>
          <w:rFonts w:eastAsia="Times New Roman"/>
          <w:sz w:val="26"/>
          <w:szCs w:val="26"/>
          <w:lang w:eastAsia="ru-RU"/>
        </w:rPr>
        <w:t>92 036</w:t>
      </w:r>
      <w:r w:rsidR="004D58E8">
        <w:rPr>
          <w:rFonts w:eastAsia="Times New Roman"/>
          <w:sz w:val="26"/>
          <w:szCs w:val="26"/>
          <w:lang w:eastAsia="ru-RU"/>
        </w:rPr>
        <w:t xml:space="preserve"> </w:t>
      </w:r>
      <w:r w:rsidRPr="00F94FED">
        <w:rPr>
          <w:rFonts w:eastAsia="Times New Roman"/>
          <w:sz w:val="26"/>
          <w:szCs w:val="26"/>
          <w:lang w:eastAsia="ru-RU"/>
        </w:rPr>
        <w:t xml:space="preserve">тыс. руб. Данная величина определена как разница между плановой выручкой на 2017 год, рассчитанной как произведение утвержденных единых (котловых) тарифов и балансовых показателей по величине полезного отпуска, отраженных постановлении Службы по тарифам Республики Тыва от 30.12.2016 № 89. </w:t>
      </w:r>
    </w:p>
    <w:p w14:paraId="29CAF652" w14:textId="0000CE68" w:rsidR="009A4C46" w:rsidRPr="00F94FED" w:rsidRDefault="009A4C46" w:rsidP="009A4C46">
      <w:pPr>
        <w:tabs>
          <w:tab w:val="left" w:pos="0"/>
        </w:tabs>
        <w:autoSpaceDE w:val="0"/>
        <w:autoSpaceDN w:val="0"/>
        <w:adjustRightInd w:val="0"/>
        <w:spacing w:after="32" w:line="360" w:lineRule="auto"/>
        <w:ind w:firstLine="567"/>
        <w:jc w:val="both"/>
        <w:rPr>
          <w:rFonts w:eastAsia="Times New Roman"/>
          <w:sz w:val="26"/>
          <w:szCs w:val="26"/>
          <w:lang w:eastAsia="ru-RU"/>
        </w:rPr>
      </w:pPr>
      <w:r w:rsidRPr="00F94FED">
        <w:rPr>
          <w:rFonts w:eastAsia="Times New Roman"/>
          <w:sz w:val="26"/>
          <w:szCs w:val="26"/>
          <w:lang w:eastAsia="ru-RU"/>
        </w:rPr>
        <w:t xml:space="preserve">Величина недополученной выручки за 2017 год сформировалась в результате отклонения (снижения) фактических объемов передачи электрической энергии для прочих потребителей, рассчитывающихся по тарифу на передачу электрической энергии для высокого уровня напряжения, от балансовых показателей, учтенных при установлении тарифов на услуги по передаче электрической энергии. Величина отклонения от планового значения составила 72,68 млн. кВт*ч или </w:t>
      </w:r>
      <w:r w:rsidR="00B267C9">
        <w:rPr>
          <w:rFonts w:eastAsia="Times New Roman"/>
          <w:sz w:val="26"/>
          <w:szCs w:val="26"/>
          <w:lang w:eastAsia="ru-RU"/>
        </w:rPr>
        <w:t>85 540</w:t>
      </w:r>
      <w:r w:rsidRPr="00F94FED">
        <w:rPr>
          <w:rFonts w:eastAsia="Times New Roman"/>
          <w:sz w:val="26"/>
          <w:szCs w:val="26"/>
          <w:lang w:eastAsia="ru-RU"/>
        </w:rPr>
        <w:t xml:space="preserve"> тыс. руб. без НДС.</w:t>
      </w:r>
    </w:p>
    <w:p w14:paraId="6A587E54" w14:textId="1FF1285B" w:rsidR="009A4C46" w:rsidRPr="00F94FED" w:rsidRDefault="009A4C46" w:rsidP="009A4C46">
      <w:pPr>
        <w:tabs>
          <w:tab w:val="left" w:pos="0"/>
        </w:tabs>
        <w:autoSpaceDE w:val="0"/>
        <w:autoSpaceDN w:val="0"/>
        <w:adjustRightInd w:val="0"/>
        <w:spacing w:after="32" w:line="360" w:lineRule="auto"/>
        <w:ind w:firstLine="567"/>
        <w:jc w:val="both"/>
        <w:rPr>
          <w:rFonts w:eastAsia="Times New Roman"/>
          <w:sz w:val="26"/>
          <w:szCs w:val="26"/>
          <w:lang w:eastAsia="ru-RU"/>
        </w:rPr>
      </w:pPr>
      <w:r w:rsidRPr="00F94FED">
        <w:rPr>
          <w:rFonts w:eastAsia="Times New Roman"/>
          <w:sz w:val="26"/>
          <w:szCs w:val="26"/>
          <w:lang w:eastAsia="ru-RU"/>
        </w:rPr>
        <w:t>Аналогичная ситуация сложилась и по категории потребителей «Население и приравненные к нему категории потребителей»: фактические начисления за услуги по передаче электрической энергии ниже планового значения (определенное как произведение балансовых показателей и утвержденных тарифов) на 6</w:t>
      </w:r>
      <w:r w:rsidR="00AE5C11">
        <w:rPr>
          <w:rFonts w:eastAsia="Times New Roman"/>
          <w:sz w:val="26"/>
          <w:szCs w:val="26"/>
          <w:lang w:eastAsia="ru-RU"/>
        </w:rPr>
        <w:t xml:space="preserve"> </w:t>
      </w:r>
      <w:bookmarkStart w:id="62" w:name="_GoBack"/>
      <w:bookmarkEnd w:id="62"/>
      <w:r w:rsidR="00B267C9">
        <w:rPr>
          <w:rFonts w:eastAsia="Times New Roman"/>
          <w:sz w:val="26"/>
          <w:szCs w:val="26"/>
          <w:lang w:eastAsia="ru-RU"/>
        </w:rPr>
        <w:t>495</w:t>
      </w:r>
      <w:r w:rsidRPr="00F94FED">
        <w:rPr>
          <w:rFonts w:eastAsia="Times New Roman"/>
          <w:sz w:val="26"/>
          <w:szCs w:val="26"/>
          <w:lang w:eastAsia="ru-RU"/>
        </w:rPr>
        <w:t xml:space="preserve"> тыс. руб. без НДС.</w:t>
      </w:r>
    </w:p>
    <w:p w14:paraId="5FF354D9" w14:textId="563C520C" w:rsidR="009A4C46" w:rsidRPr="00F94FED" w:rsidRDefault="009A4C46" w:rsidP="009A4C46">
      <w:pPr>
        <w:tabs>
          <w:tab w:val="left" w:pos="0"/>
        </w:tabs>
        <w:autoSpaceDE w:val="0"/>
        <w:autoSpaceDN w:val="0"/>
        <w:adjustRightInd w:val="0"/>
        <w:spacing w:after="32" w:line="360" w:lineRule="auto"/>
        <w:ind w:firstLine="567"/>
        <w:jc w:val="both"/>
        <w:rPr>
          <w:rFonts w:eastAsia="Times New Roman"/>
          <w:sz w:val="26"/>
          <w:szCs w:val="26"/>
          <w:lang w:eastAsia="ru-RU"/>
        </w:rPr>
      </w:pPr>
      <w:r w:rsidRPr="00F94FED">
        <w:rPr>
          <w:rFonts w:eastAsia="Times New Roman"/>
          <w:sz w:val="26"/>
          <w:szCs w:val="26"/>
          <w:lang w:eastAsia="ru-RU"/>
        </w:rPr>
        <w:t>П</w:t>
      </w:r>
      <w:r w:rsidR="00FE2D98">
        <w:rPr>
          <w:rFonts w:eastAsia="Times New Roman"/>
          <w:sz w:val="26"/>
          <w:szCs w:val="26"/>
          <w:lang w:eastAsia="ru-RU"/>
        </w:rPr>
        <w:t xml:space="preserve">о </w:t>
      </w:r>
      <w:r w:rsidRPr="00F94FED">
        <w:rPr>
          <w:rFonts w:eastAsia="Times New Roman"/>
          <w:sz w:val="26"/>
          <w:szCs w:val="26"/>
          <w:lang w:eastAsia="ru-RU"/>
        </w:rPr>
        <w:t>прочи</w:t>
      </w:r>
      <w:r w:rsidR="00FE2D98">
        <w:rPr>
          <w:rFonts w:eastAsia="Times New Roman"/>
          <w:sz w:val="26"/>
          <w:szCs w:val="26"/>
          <w:lang w:eastAsia="ru-RU"/>
        </w:rPr>
        <w:t>м</w:t>
      </w:r>
      <w:r w:rsidRPr="00F94FED">
        <w:rPr>
          <w:rFonts w:eastAsia="Times New Roman"/>
          <w:sz w:val="26"/>
          <w:szCs w:val="26"/>
          <w:lang w:eastAsia="ru-RU"/>
        </w:rPr>
        <w:t xml:space="preserve"> потребител</w:t>
      </w:r>
      <w:r w:rsidR="00FE2D98">
        <w:rPr>
          <w:rFonts w:eastAsia="Times New Roman"/>
          <w:sz w:val="26"/>
          <w:szCs w:val="26"/>
          <w:lang w:eastAsia="ru-RU"/>
        </w:rPr>
        <w:t>ям,</w:t>
      </w:r>
      <w:r w:rsidRPr="00F94FED">
        <w:rPr>
          <w:rFonts w:eastAsia="Times New Roman"/>
          <w:sz w:val="26"/>
          <w:szCs w:val="26"/>
          <w:lang w:eastAsia="ru-RU"/>
        </w:rPr>
        <w:t xml:space="preserve"> приобретающи</w:t>
      </w:r>
      <w:r w:rsidR="00FE2D98">
        <w:rPr>
          <w:rFonts w:eastAsia="Times New Roman"/>
          <w:sz w:val="26"/>
          <w:szCs w:val="26"/>
          <w:lang w:eastAsia="ru-RU"/>
        </w:rPr>
        <w:t>м</w:t>
      </w:r>
      <w:r w:rsidRPr="00F94FED">
        <w:rPr>
          <w:rFonts w:eastAsia="Times New Roman"/>
          <w:sz w:val="26"/>
          <w:szCs w:val="26"/>
          <w:lang w:eastAsia="ru-RU"/>
        </w:rPr>
        <w:t xml:space="preserve"> электрическую энергии на среднем втором уровне напряжения</w:t>
      </w:r>
      <w:r w:rsidR="00FE2D98">
        <w:rPr>
          <w:rFonts w:eastAsia="Times New Roman"/>
          <w:sz w:val="26"/>
          <w:szCs w:val="26"/>
          <w:lang w:eastAsia="ru-RU"/>
        </w:rPr>
        <w:t>,</w:t>
      </w:r>
      <w:r w:rsidRPr="00F94FED">
        <w:rPr>
          <w:rFonts w:eastAsia="Times New Roman"/>
          <w:sz w:val="26"/>
          <w:szCs w:val="26"/>
          <w:lang w:eastAsia="ru-RU"/>
        </w:rPr>
        <w:t xml:space="preserve"> сложил</w:t>
      </w:r>
      <w:r w:rsidR="005C3ACA">
        <w:rPr>
          <w:rFonts w:eastAsia="Times New Roman"/>
          <w:sz w:val="26"/>
          <w:szCs w:val="26"/>
          <w:lang w:eastAsia="ru-RU"/>
        </w:rPr>
        <w:t>ась</w:t>
      </w:r>
      <w:r w:rsidRPr="00F94FED">
        <w:rPr>
          <w:rFonts w:eastAsia="Times New Roman"/>
          <w:sz w:val="26"/>
          <w:szCs w:val="26"/>
          <w:lang w:eastAsia="ru-RU"/>
        </w:rPr>
        <w:t xml:space="preserve"> обратная ситуация: фактические начисления за услуги по передаче электрической энергии превысили плановое значение (определенное как произведение балансовых показателей и утвержденных тарифов) на </w:t>
      </w:r>
      <w:r w:rsidR="00B267C9">
        <w:rPr>
          <w:rFonts w:eastAsia="Times New Roman"/>
          <w:sz w:val="26"/>
          <w:szCs w:val="26"/>
          <w:lang w:eastAsia="ru-RU"/>
        </w:rPr>
        <w:t>101 959</w:t>
      </w:r>
      <w:r w:rsidRPr="00F94FED">
        <w:rPr>
          <w:rFonts w:eastAsia="Times New Roman"/>
          <w:sz w:val="26"/>
          <w:szCs w:val="26"/>
          <w:lang w:eastAsia="ru-RU"/>
        </w:rPr>
        <w:t xml:space="preserve"> тыс. руб. без НДС.</w:t>
      </w:r>
    </w:p>
    <w:p w14:paraId="150AFE19" w14:textId="310829EF" w:rsidR="009A4C46" w:rsidRDefault="009A4C46" w:rsidP="009A4C46">
      <w:pPr>
        <w:tabs>
          <w:tab w:val="left" w:pos="0"/>
        </w:tabs>
        <w:autoSpaceDE w:val="0"/>
        <w:autoSpaceDN w:val="0"/>
        <w:adjustRightInd w:val="0"/>
        <w:spacing w:after="32" w:line="360" w:lineRule="auto"/>
        <w:ind w:firstLine="567"/>
        <w:jc w:val="both"/>
        <w:rPr>
          <w:rFonts w:eastAsia="Times New Roman"/>
          <w:sz w:val="26"/>
          <w:szCs w:val="26"/>
          <w:lang w:eastAsia="ru-RU"/>
        </w:rPr>
      </w:pPr>
      <w:r w:rsidRPr="00F94FED">
        <w:rPr>
          <w:rFonts w:eastAsia="Times New Roman"/>
          <w:sz w:val="26"/>
          <w:szCs w:val="26"/>
          <w:lang w:eastAsia="ru-RU"/>
        </w:rPr>
        <w:t>Сравнительный анализ фактических расходов АО «Тываэнерго» за 2018 год и расходов, учтенных при формировании НВВ 2018 года, представлен в следующей таблице.</w:t>
      </w:r>
    </w:p>
    <w:p w14:paraId="213D7B96" w14:textId="77777777" w:rsidR="000A2AF3" w:rsidRPr="00F94FED" w:rsidRDefault="000A2AF3" w:rsidP="009A4C46">
      <w:pPr>
        <w:tabs>
          <w:tab w:val="left" w:pos="0"/>
        </w:tabs>
        <w:autoSpaceDE w:val="0"/>
        <w:autoSpaceDN w:val="0"/>
        <w:adjustRightInd w:val="0"/>
        <w:spacing w:after="32" w:line="360" w:lineRule="auto"/>
        <w:ind w:firstLine="567"/>
        <w:jc w:val="both"/>
        <w:rPr>
          <w:rFonts w:eastAsia="Times New Roman"/>
          <w:sz w:val="26"/>
          <w:szCs w:val="26"/>
          <w:lang w:eastAsia="ru-RU"/>
        </w:rPr>
      </w:pPr>
    </w:p>
    <w:p w14:paraId="6BE3500C" w14:textId="77777777" w:rsidR="005C3ACA" w:rsidRDefault="005C3ACA" w:rsidP="009A4C46">
      <w:pPr>
        <w:spacing w:after="0" w:line="240" w:lineRule="auto"/>
        <w:jc w:val="center"/>
        <w:rPr>
          <w:rFonts w:eastAsia="Times New Roman"/>
          <w:b/>
          <w:color w:val="FFFFFF" w:themeColor="background1"/>
          <w:sz w:val="18"/>
          <w:szCs w:val="18"/>
          <w:lang w:eastAsia="ru-RU"/>
        </w:rPr>
        <w:sectPr w:rsidR="005C3ACA" w:rsidSect="0063188C">
          <w:pgSz w:w="11906" w:h="16838"/>
          <w:pgMar w:top="1134" w:right="850" w:bottom="1134" w:left="1701" w:header="708" w:footer="708" w:gutter="0"/>
          <w:cols w:space="708"/>
          <w:docGrid w:linePitch="360"/>
        </w:sectPr>
      </w:pPr>
    </w:p>
    <w:tbl>
      <w:tblPr>
        <w:tblW w:w="5000" w:type="pct"/>
        <w:tblLook w:val="04A0" w:firstRow="1" w:lastRow="0" w:firstColumn="1" w:lastColumn="0" w:noHBand="0" w:noVBand="1"/>
      </w:tblPr>
      <w:tblGrid>
        <w:gridCol w:w="3017"/>
        <w:gridCol w:w="1638"/>
        <w:gridCol w:w="1681"/>
        <w:gridCol w:w="1684"/>
        <w:gridCol w:w="1684"/>
        <w:gridCol w:w="1623"/>
        <w:gridCol w:w="8"/>
        <w:gridCol w:w="1488"/>
        <w:gridCol w:w="1737"/>
      </w:tblGrid>
      <w:tr w:rsidR="000A2AF3" w:rsidRPr="000A2AF3" w14:paraId="22311360" w14:textId="77777777" w:rsidTr="005C3ACA">
        <w:trPr>
          <w:trHeight w:val="20"/>
          <w:tblHeader/>
        </w:trPr>
        <w:tc>
          <w:tcPr>
            <w:tcW w:w="104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1C2C2D2" w14:textId="07DAB1CA" w:rsidR="009A4C46" w:rsidRPr="00F94FED" w:rsidRDefault="009A4C46" w:rsidP="009A4C46">
            <w:pPr>
              <w:spacing w:after="0" w:line="240" w:lineRule="auto"/>
              <w:jc w:val="center"/>
              <w:rPr>
                <w:rFonts w:eastAsia="Times New Roman"/>
                <w:b/>
                <w:color w:val="FFFFFF" w:themeColor="background1"/>
                <w:sz w:val="18"/>
                <w:szCs w:val="18"/>
                <w:lang w:eastAsia="ru-RU"/>
              </w:rPr>
            </w:pPr>
            <w:r w:rsidRPr="00F94FED">
              <w:rPr>
                <w:rFonts w:eastAsia="Times New Roman"/>
                <w:b/>
                <w:color w:val="FFFFFF" w:themeColor="background1"/>
                <w:sz w:val="18"/>
                <w:szCs w:val="18"/>
                <w:lang w:eastAsia="ru-RU"/>
              </w:rPr>
              <w:lastRenderedPageBreak/>
              <w:t>Наименование</w:t>
            </w:r>
          </w:p>
        </w:tc>
        <w:tc>
          <w:tcPr>
            <w:tcW w:w="57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7B8E5E8" w14:textId="77777777" w:rsidR="009A4C46" w:rsidRPr="00F94FED" w:rsidRDefault="009A4C46" w:rsidP="009A4C46">
            <w:pPr>
              <w:spacing w:after="0" w:line="240" w:lineRule="auto"/>
              <w:jc w:val="center"/>
              <w:rPr>
                <w:rFonts w:eastAsia="Times New Roman"/>
                <w:b/>
                <w:color w:val="FFFFFF" w:themeColor="background1"/>
                <w:sz w:val="18"/>
                <w:szCs w:val="18"/>
                <w:lang w:eastAsia="ru-RU"/>
              </w:rPr>
            </w:pPr>
            <w:proofErr w:type="spellStart"/>
            <w:r w:rsidRPr="00F94FED">
              <w:rPr>
                <w:rFonts w:eastAsia="Times New Roman"/>
                <w:b/>
                <w:color w:val="FFFFFF" w:themeColor="background1"/>
                <w:sz w:val="18"/>
                <w:szCs w:val="18"/>
                <w:lang w:eastAsia="ru-RU"/>
              </w:rPr>
              <w:t>Ед.изм</w:t>
            </w:r>
            <w:proofErr w:type="spellEnd"/>
            <w:r w:rsidRPr="00F94FED">
              <w:rPr>
                <w:rFonts w:eastAsia="Times New Roman"/>
                <w:b/>
                <w:color w:val="FFFFFF" w:themeColor="background1"/>
                <w:sz w:val="18"/>
                <w:szCs w:val="18"/>
                <w:lang w:eastAsia="ru-RU"/>
              </w:rPr>
              <w:t>.</w:t>
            </w:r>
          </w:p>
        </w:tc>
        <w:tc>
          <w:tcPr>
            <w:tcW w:w="58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B58B32C" w14:textId="77777777" w:rsidR="009A4C46" w:rsidRPr="00F94FED" w:rsidRDefault="009A4C46" w:rsidP="009A4C46">
            <w:pPr>
              <w:spacing w:after="0" w:line="240" w:lineRule="auto"/>
              <w:jc w:val="center"/>
              <w:rPr>
                <w:rFonts w:eastAsia="Times New Roman"/>
                <w:b/>
                <w:color w:val="FFFFFF" w:themeColor="background1"/>
                <w:sz w:val="18"/>
                <w:szCs w:val="18"/>
                <w:lang w:eastAsia="ru-RU"/>
              </w:rPr>
            </w:pPr>
            <w:r w:rsidRPr="00F94FED">
              <w:rPr>
                <w:rFonts w:eastAsia="Times New Roman"/>
                <w:b/>
                <w:color w:val="FFFFFF" w:themeColor="background1"/>
                <w:sz w:val="18"/>
                <w:szCs w:val="18"/>
                <w:lang w:eastAsia="ru-RU"/>
              </w:rPr>
              <w:t>Утверждено на 2018 г.</w:t>
            </w:r>
          </w:p>
        </w:tc>
        <w:tc>
          <w:tcPr>
            <w:tcW w:w="58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4DE7A2B" w14:textId="77777777" w:rsidR="009A4C46" w:rsidRPr="00F94FED" w:rsidRDefault="009A4C46" w:rsidP="009A4C46">
            <w:pPr>
              <w:spacing w:after="0" w:line="240" w:lineRule="auto"/>
              <w:jc w:val="center"/>
              <w:rPr>
                <w:rFonts w:eastAsia="Times New Roman"/>
                <w:b/>
                <w:color w:val="FFFFFF" w:themeColor="background1"/>
                <w:sz w:val="18"/>
                <w:szCs w:val="18"/>
                <w:lang w:eastAsia="ru-RU"/>
              </w:rPr>
            </w:pPr>
            <w:r w:rsidRPr="00F94FED">
              <w:rPr>
                <w:rFonts w:eastAsia="Times New Roman"/>
                <w:b/>
                <w:color w:val="FFFFFF" w:themeColor="background1"/>
                <w:sz w:val="18"/>
                <w:szCs w:val="18"/>
                <w:lang w:eastAsia="ru-RU"/>
              </w:rPr>
              <w:t>Факт 2018</w:t>
            </w:r>
          </w:p>
        </w:tc>
        <w:tc>
          <w:tcPr>
            <w:tcW w:w="1164"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601C600" w14:textId="77777777" w:rsidR="009A4C46" w:rsidRPr="00F94FED" w:rsidRDefault="009A4C46" w:rsidP="009A4C46">
            <w:pPr>
              <w:spacing w:after="0" w:line="240" w:lineRule="auto"/>
              <w:jc w:val="center"/>
              <w:rPr>
                <w:rFonts w:eastAsia="Times New Roman"/>
                <w:b/>
                <w:color w:val="FFFFFF" w:themeColor="background1"/>
                <w:sz w:val="18"/>
                <w:szCs w:val="18"/>
                <w:lang w:eastAsia="ru-RU"/>
              </w:rPr>
            </w:pPr>
            <w:r w:rsidRPr="00F94FED">
              <w:rPr>
                <w:rFonts w:eastAsia="Times New Roman"/>
                <w:b/>
                <w:color w:val="FFFFFF" w:themeColor="background1"/>
                <w:sz w:val="18"/>
                <w:szCs w:val="18"/>
                <w:lang w:eastAsia="ru-RU"/>
              </w:rPr>
              <w:t>Отклонение (факт-план)</w:t>
            </w:r>
          </w:p>
        </w:tc>
        <w:tc>
          <w:tcPr>
            <w:tcW w:w="1039"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D15A393" w14:textId="77777777" w:rsidR="009A4C46" w:rsidRPr="00F94FED" w:rsidRDefault="009A4C46" w:rsidP="009A4C46">
            <w:pPr>
              <w:spacing w:after="0" w:line="240" w:lineRule="auto"/>
              <w:jc w:val="center"/>
              <w:rPr>
                <w:rFonts w:eastAsia="Times New Roman"/>
                <w:b/>
                <w:color w:val="FFFFFF" w:themeColor="background1"/>
                <w:sz w:val="18"/>
                <w:szCs w:val="18"/>
                <w:lang w:eastAsia="ru-RU"/>
              </w:rPr>
            </w:pPr>
            <w:r w:rsidRPr="00F94FED">
              <w:rPr>
                <w:rFonts w:eastAsia="Times New Roman"/>
                <w:b/>
                <w:color w:val="FFFFFF" w:themeColor="background1"/>
                <w:sz w:val="18"/>
                <w:szCs w:val="18"/>
                <w:lang w:eastAsia="ru-RU"/>
              </w:rPr>
              <w:t>Корректировки, учтенные в 2020 году</w:t>
            </w:r>
          </w:p>
        </w:tc>
      </w:tr>
      <w:tr w:rsidR="000A2AF3" w:rsidRPr="000A2AF3" w14:paraId="72D7100B" w14:textId="77777777" w:rsidTr="005C3ACA">
        <w:trPr>
          <w:trHeight w:val="20"/>
          <w:tblHeader/>
        </w:trPr>
        <w:tc>
          <w:tcPr>
            <w:tcW w:w="104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FC0FC9A" w14:textId="77777777" w:rsidR="009A4C46" w:rsidRPr="00F94FED" w:rsidRDefault="009A4C46" w:rsidP="009A4C46">
            <w:pPr>
              <w:spacing w:after="0" w:line="240" w:lineRule="auto"/>
              <w:jc w:val="center"/>
              <w:rPr>
                <w:rFonts w:eastAsia="Times New Roman"/>
                <w:color w:val="FFFFFF" w:themeColor="background1"/>
                <w:sz w:val="18"/>
                <w:szCs w:val="18"/>
                <w:lang w:eastAsia="ru-RU"/>
              </w:rPr>
            </w:pPr>
          </w:p>
        </w:tc>
        <w:tc>
          <w:tcPr>
            <w:tcW w:w="57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9A778A9" w14:textId="77777777" w:rsidR="009A4C46" w:rsidRPr="00F94FED" w:rsidRDefault="009A4C46" w:rsidP="009A4C46">
            <w:pPr>
              <w:spacing w:after="0" w:line="240" w:lineRule="auto"/>
              <w:jc w:val="center"/>
              <w:rPr>
                <w:rFonts w:eastAsia="Times New Roman"/>
                <w:color w:val="FFFFFF" w:themeColor="background1"/>
                <w:sz w:val="18"/>
                <w:szCs w:val="18"/>
                <w:lang w:eastAsia="ru-RU"/>
              </w:rPr>
            </w:pPr>
          </w:p>
        </w:tc>
        <w:tc>
          <w:tcPr>
            <w:tcW w:w="58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8CCC7A1" w14:textId="77777777" w:rsidR="009A4C46" w:rsidRPr="00F94FED" w:rsidRDefault="009A4C46" w:rsidP="009A4C46">
            <w:pPr>
              <w:spacing w:after="0" w:line="240" w:lineRule="auto"/>
              <w:jc w:val="center"/>
              <w:rPr>
                <w:rFonts w:eastAsia="Times New Roman"/>
                <w:color w:val="FFFFFF" w:themeColor="background1"/>
                <w:sz w:val="18"/>
                <w:szCs w:val="18"/>
                <w:lang w:eastAsia="ru-RU"/>
              </w:rPr>
            </w:pPr>
          </w:p>
        </w:tc>
        <w:tc>
          <w:tcPr>
            <w:tcW w:w="58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3135C55" w14:textId="77777777" w:rsidR="009A4C46" w:rsidRPr="00F94FED" w:rsidRDefault="009A4C46" w:rsidP="009A4C46">
            <w:pPr>
              <w:spacing w:after="0" w:line="240" w:lineRule="auto"/>
              <w:jc w:val="center"/>
              <w:rPr>
                <w:rFonts w:eastAsia="Times New Roman"/>
                <w:color w:val="FFFFFF" w:themeColor="background1"/>
                <w:sz w:val="18"/>
                <w:szCs w:val="18"/>
                <w:lang w:eastAsia="ru-RU"/>
              </w:rPr>
            </w:pPr>
          </w:p>
        </w:tc>
        <w:tc>
          <w:tcPr>
            <w:tcW w:w="58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8C9F17B" w14:textId="77777777" w:rsidR="009A4C46" w:rsidRPr="00F94FED" w:rsidRDefault="009A4C46" w:rsidP="009A4C46">
            <w:pPr>
              <w:spacing w:after="0" w:line="240" w:lineRule="auto"/>
              <w:jc w:val="center"/>
              <w:rPr>
                <w:rFonts w:eastAsia="Times New Roman"/>
                <w:b/>
                <w:color w:val="FFFFFF" w:themeColor="background1"/>
                <w:sz w:val="18"/>
                <w:szCs w:val="18"/>
                <w:lang w:eastAsia="ru-RU"/>
              </w:rPr>
            </w:pPr>
            <w:r w:rsidRPr="00F94FED">
              <w:rPr>
                <w:rFonts w:eastAsia="Times New Roman"/>
                <w:b/>
                <w:color w:val="FFFFFF" w:themeColor="background1"/>
                <w:sz w:val="18"/>
                <w:szCs w:val="18"/>
                <w:lang w:eastAsia="ru-RU"/>
              </w:rPr>
              <w:t>тыс. руб.</w:t>
            </w:r>
          </w:p>
        </w:tc>
        <w:tc>
          <w:tcPr>
            <w:tcW w:w="56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641FC43" w14:textId="77777777" w:rsidR="009A4C46" w:rsidRPr="00F94FED" w:rsidRDefault="009A4C46" w:rsidP="009A4C46">
            <w:pPr>
              <w:spacing w:after="0" w:line="240" w:lineRule="auto"/>
              <w:jc w:val="center"/>
              <w:rPr>
                <w:rFonts w:eastAsia="Times New Roman"/>
                <w:b/>
                <w:color w:val="FFFFFF" w:themeColor="background1"/>
                <w:sz w:val="18"/>
                <w:szCs w:val="18"/>
                <w:lang w:eastAsia="ru-RU"/>
              </w:rPr>
            </w:pPr>
            <w:r w:rsidRPr="00F94FED">
              <w:rPr>
                <w:rFonts w:eastAsia="Times New Roman"/>
                <w:b/>
                <w:color w:val="FFFFFF" w:themeColor="background1"/>
                <w:sz w:val="18"/>
                <w:szCs w:val="18"/>
                <w:lang w:eastAsia="ru-RU"/>
              </w:rPr>
              <w:t>%</w:t>
            </w:r>
          </w:p>
        </w:tc>
        <w:tc>
          <w:tcPr>
            <w:tcW w:w="535"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C77647D" w14:textId="77777777" w:rsidR="009A4C46" w:rsidRPr="00F94FED" w:rsidRDefault="009A4C46" w:rsidP="009A4C46">
            <w:pPr>
              <w:spacing w:after="0" w:line="240" w:lineRule="auto"/>
              <w:jc w:val="center"/>
              <w:rPr>
                <w:rFonts w:eastAsia="Times New Roman"/>
                <w:b/>
                <w:color w:val="FFFFFF" w:themeColor="background1"/>
                <w:sz w:val="18"/>
                <w:szCs w:val="18"/>
                <w:lang w:eastAsia="ru-RU"/>
              </w:rPr>
            </w:pPr>
            <w:r w:rsidRPr="00F94FED">
              <w:rPr>
                <w:rFonts w:eastAsia="Times New Roman"/>
                <w:b/>
                <w:color w:val="FFFFFF" w:themeColor="background1"/>
                <w:sz w:val="18"/>
                <w:szCs w:val="18"/>
                <w:lang w:eastAsia="ru-RU"/>
              </w:rPr>
              <w:t>тыс. руб.</w:t>
            </w:r>
          </w:p>
        </w:tc>
        <w:tc>
          <w:tcPr>
            <w:tcW w:w="51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B56FA8F" w14:textId="77777777" w:rsidR="009A4C46" w:rsidRPr="00F94FED" w:rsidRDefault="009A4C46" w:rsidP="009A4C46">
            <w:pPr>
              <w:spacing w:after="0" w:line="240" w:lineRule="auto"/>
              <w:jc w:val="center"/>
              <w:rPr>
                <w:rFonts w:eastAsia="Times New Roman"/>
                <w:color w:val="FFFFFF" w:themeColor="background1"/>
                <w:sz w:val="18"/>
                <w:szCs w:val="18"/>
                <w:lang w:eastAsia="ru-RU"/>
              </w:rPr>
            </w:pPr>
          </w:p>
        </w:tc>
      </w:tr>
      <w:tr w:rsidR="000A2AF3" w:rsidRPr="000A2AF3" w14:paraId="438C7C38" w14:textId="77777777" w:rsidTr="005C3ACA">
        <w:trPr>
          <w:trHeight w:val="20"/>
          <w:tblHeader/>
        </w:trPr>
        <w:tc>
          <w:tcPr>
            <w:tcW w:w="104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86B0F95" w14:textId="7F86410A" w:rsidR="000A2AF3" w:rsidRPr="00F94FED" w:rsidRDefault="000A2AF3" w:rsidP="009A4C46">
            <w:pPr>
              <w:spacing w:after="0" w:line="240" w:lineRule="auto"/>
              <w:jc w:val="center"/>
              <w:rPr>
                <w:rFonts w:eastAsia="Times New Roman"/>
                <w:color w:val="FFFFFF" w:themeColor="background1"/>
                <w:sz w:val="18"/>
                <w:szCs w:val="18"/>
                <w:lang w:eastAsia="ru-RU"/>
              </w:rPr>
            </w:pPr>
            <w:r w:rsidRPr="00F94FED">
              <w:rPr>
                <w:rFonts w:eastAsia="Times New Roman"/>
                <w:color w:val="FFFFFF" w:themeColor="background1"/>
                <w:sz w:val="18"/>
                <w:szCs w:val="18"/>
                <w:lang w:eastAsia="ru-RU"/>
              </w:rPr>
              <w:t>1</w:t>
            </w:r>
          </w:p>
        </w:tc>
        <w:tc>
          <w:tcPr>
            <w:tcW w:w="57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E41B401" w14:textId="5C7A0E86" w:rsidR="000A2AF3" w:rsidRPr="00F94FED" w:rsidRDefault="000A2AF3" w:rsidP="009A4C46">
            <w:pPr>
              <w:spacing w:after="0" w:line="240" w:lineRule="auto"/>
              <w:jc w:val="center"/>
              <w:rPr>
                <w:rFonts w:eastAsia="Times New Roman"/>
                <w:color w:val="FFFFFF" w:themeColor="background1"/>
                <w:sz w:val="18"/>
                <w:szCs w:val="18"/>
                <w:lang w:eastAsia="ru-RU"/>
              </w:rPr>
            </w:pPr>
            <w:r w:rsidRPr="00F94FED">
              <w:rPr>
                <w:rFonts w:eastAsia="Times New Roman"/>
                <w:color w:val="FFFFFF" w:themeColor="background1"/>
                <w:sz w:val="18"/>
                <w:szCs w:val="18"/>
                <w:lang w:eastAsia="ru-RU"/>
              </w:rPr>
              <w:t>2</w:t>
            </w:r>
          </w:p>
        </w:tc>
        <w:tc>
          <w:tcPr>
            <w:tcW w:w="58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9A33AEA" w14:textId="6189250D" w:rsidR="000A2AF3" w:rsidRPr="00F94FED" w:rsidRDefault="000A2AF3" w:rsidP="009A4C46">
            <w:pPr>
              <w:spacing w:after="0" w:line="240" w:lineRule="auto"/>
              <w:jc w:val="center"/>
              <w:rPr>
                <w:rFonts w:eastAsia="Times New Roman"/>
                <w:color w:val="FFFFFF" w:themeColor="background1"/>
                <w:sz w:val="18"/>
                <w:szCs w:val="18"/>
                <w:lang w:eastAsia="ru-RU"/>
              </w:rPr>
            </w:pPr>
            <w:r w:rsidRPr="00F94FED">
              <w:rPr>
                <w:rFonts w:eastAsia="Times New Roman"/>
                <w:color w:val="FFFFFF" w:themeColor="background1"/>
                <w:sz w:val="18"/>
                <w:szCs w:val="18"/>
                <w:lang w:eastAsia="ru-RU"/>
              </w:rPr>
              <w:t>3</w:t>
            </w:r>
          </w:p>
        </w:tc>
        <w:tc>
          <w:tcPr>
            <w:tcW w:w="58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61817D2" w14:textId="655F43EE" w:rsidR="000A2AF3" w:rsidRPr="00F94FED" w:rsidRDefault="000A2AF3" w:rsidP="009A4C46">
            <w:pPr>
              <w:spacing w:after="0" w:line="240" w:lineRule="auto"/>
              <w:jc w:val="center"/>
              <w:rPr>
                <w:rFonts w:eastAsia="Times New Roman"/>
                <w:color w:val="FFFFFF" w:themeColor="background1"/>
                <w:sz w:val="18"/>
                <w:szCs w:val="18"/>
                <w:lang w:eastAsia="ru-RU"/>
              </w:rPr>
            </w:pPr>
            <w:r w:rsidRPr="00F94FED">
              <w:rPr>
                <w:rFonts w:eastAsia="Times New Roman"/>
                <w:color w:val="FFFFFF" w:themeColor="background1"/>
                <w:sz w:val="18"/>
                <w:szCs w:val="18"/>
                <w:lang w:eastAsia="ru-RU"/>
              </w:rPr>
              <w:t>4</w:t>
            </w:r>
          </w:p>
        </w:tc>
        <w:tc>
          <w:tcPr>
            <w:tcW w:w="58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556B3F2" w14:textId="12BDE3FF" w:rsidR="000A2AF3" w:rsidRPr="00F94FED" w:rsidRDefault="000A2AF3" w:rsidP="009A4C46">
            <w:pPr>
              <w:spacing w:after="0" w:line="240" w:lineRule="auto"/>
              <w:jc w:val="center"/>
              <w:rPr>
                <w:rFonts w:eastAsia="Times New Roman"/>
                <w:b/>
                <w:color w:val="FFFFFF" w:themeColor="background1"/>
                <w:sz w:val="18"/>
                <w:szCs w:val="18"/>
                <w:lang w:eastAsia="ru-RU"/>
              </w:rPr>
            </w:pPr>
            <w:r w:rsidRPr="00F94FED">
              <w:rPr>
                <w:rFonts w:eastAsia="Times New Roman"/>
                <w:b/>
                <w:color w:val="FFFFFF" w:themeColor="background1"/>
                <w:sz w:val="18"/>
                <w:szCs w:val="18"/>
                <w:lang w:eastAsia="ru-RU"/>
              </w:rPr>
              <w:t>5</w:t>
            </w:r>
          </w:p>
        </w:tc>
        <w:tc>
          <w:tcPr>
            <w:tcW w:w="56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A4230E5" w14:textId="19E05BA5" w:rsidR="000A2AF3" w:rsidRPr="00F94FED" w:rsidRDefault="000A2AF3" w:rsidP="009A4C46">
            <w:pPr>
              <w:spacing w:after="0" w:line="240" w:lineRule="auto"/>
              <w:jc w:val="center"/>
              <w:rPr>
                <w:rFonts w:eastAsia="Times New Roman"/>
                <w:b/>
                <w:color w:val="FFFFFF" w:themeColor="background1"/>
                <w:sz w:val="18"/>
                <w:szCs w:val="18"/>
                <w:lang w:eastAsia="ru-RU"/>
              </w:rPr>
            </w:pPr>
            <w:r w:rsidRPr="00F94FED">
              <w:rPr>
                <w:rFonts w:eastAsia="Times New Roman"/>
                <w:b/>
                <w:color w:val="FFFFFF" w:themeColor="background1"/>
                <w:sz w:val="18"/>
                <w:szCs w:val="18"/>
                <w:lang w:eastAsia="ru-RU"/>
              </w:rPr>
              <w:t>6</w:t>
            </w:r>
          </w:p>
        </w:tc>
        <w:tc>
          <w:tcPr>
            <w:tcW w:w="535"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85A7CD6" w14:textId="4F2890A6" w:rsidR="000A2AF3" w:rsidRPr="00F94FED" w:rsidRDefault="000A2AF3" w:rsidP="009A4C46">
            <w:pPr>
              <w:spacing w:after="0" w:line="240" w:lineRule="auto"/>
              <w:jc w:val="center"/>
              <w:rPr>
                <w:rFonts w:eastAsia="Times New Roman"/>
                <w:b/>
                <w:color w:val="FFFFFF" w:themeColor="background1"/>
                <w:sz w:val="18"/>
                <w:szCs w:val="18"/>
                <w:lang w:eastAsia="ru-RU"/>
              </w:rPr>
            </w:pPr>
            <w:r w:rsidRPr="00F94FED">
              <w:rPr>
                <w:rFonts w:eastAsia="Times New Roman"/>
                <w:b/>
                <w:color w:val="FFFFFF" w:themeColor="background1"/>
                <w:sz w:val="18"/>
                <w:szCs w:val="18"/>
                <w:lang w:eastAsia="ru-RU"/>
              </w:rPr>
              <w:t>7</w:t>
            </w:r>
          </w:p>
        </w:tc>
        <w:tc>
          <w:tcPr>
            <w:tcW w:w="51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273E7B2" w14:textId="624203A0" w:rsidR="000A2AF3" w:rsidRPr="00F94FED" w:rsidRDefault="000A2AF3" w:rsidP="009A4C46">
            <w:pPr>
              <w:spacing w:after="0" w:line="240" w:lineRule="auto"/>
              <w:jc w:val="center"/>
              <w:rPr>
                <w:rFonts w:eastAsia="Times New Roman"/>
                <w:color w:val="FFFFFF" w:themeColor="background1"/>
                <w:sz w:val="18"/>
                <w:szCs w:val="18"/>
                <w:lang w:eastAsia="ru-RU"/>
              </w:rPr>
            </w:pPr>
            <w:r w:rsidRPr="00F94FED">
              <w:rPr>
                <w:rFonts w:eastAsia="Times New Roman"/>
                <w:color w:val="FFFFFF" w:themeColor="background1"/>
                <w:sz w:val="18"/>
                <w:szCs w:val="18"/>
                <w:lang w:eastAsia="ru-RU"/>
              </w:rPr>
              <w:t>8</w:t>
            </w:r>
          </w:p>
        </w:tc>
      </w:tr>
      <w:tr w:rsidR="009A4C46" w:rsidRPr="009A4C46" w14:paraId="40D28C52" w14:textId="77777777" w:rsidTr="005C3ACA">
        <w:trPr>
          <w:trHeight w:val="20"/>
        </w:trPr>
        <w:tc>
          <w:tcPr>
            <w:tcW w:w="1047"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3F8F7CDE" w14:textId="77777777" w:rsidR="009A4C46" w:rsidRPr="009A4C46" w:rsidRDefault="009A4C46" w:rsidP="009A4C46">
            <w:pPr>
              <w:spacing w:after="0" w:line="240" w:lineRule="auto"/>
              <w:jc w:val="both"/>
              <w:rPr>
                <w:rFonts w:eastAsia="Times New Roman"/>
                <w:b/>
                <w:sz w:val="18"/>
                <w:szCs w:val="18"/>
                <w:lang w:eastAsia="ru-RU"/>
              </w:rPr>
            </w:pPr>
            <w:r w:rsidRPr="009A4C46">
              <w:rPr>
                <w:rFonts w:eastAsia="Times New Roman"/>
                <w:b/>
                <w:sz w:val="18"/>
                <w:szCs w:val="18"/>
                <w:lang w:eastAsia="ru-RU"/>
              </w:rPr>
              <w:t>Подконтрольные расходы</w:t>
            </w:r>
          </w:p>
        </w:tc>
        <w:tc>
          <w:tcPr>
            <w:tcW w:w="573" w:type="pct"/>
            <w:tcBorders>
              <w:top w:val="single" w:sz="4" w:space="0" w:color="FFFFFF" w:themeColor="background1"/>
              <w:left w:val="nil"/>
              <w:bottom w:val="single" w:sz="4" w:space="0" w:color="auto"/>
              <w:right w:val="single" w:sz="4" w:space="0" w:color="auto"/>
            </w:tcBorders>
            <w:shd w:val="clear" w:color="auto" w:fill="auto"/>
            <w:vAlign w:val="center"/>
            <w:hideMark/>
          </w:tcPr>
          <w:p w14:paraId="7EB628B0" w14:textId="77777777" w:rsidR="009A4C46" w:rsidRPr="009A4C46" w:rsidRDefault="009A4C46" w:rsidP="009A4C46">
            <w:pPr>
              <w:spacing w:after="0" w:line="240" w:lineRule="auto"/>
              <w:jc w:val="center"/>
              <w:rPr>
                <w:rFonts w:eastAsia="Times New Roman"/>
                <w:b/>
                <w:sz w:val="18"/>
                <w:szCs w:val="18"/>
                <w:lang w:eastAsia="ru-RU"/>
              </w:rPr>
            </w:pPr>
            <w:r w:rsidRPr="009A4C46">
              <w:rPr>
                <w:rFonts w:eastAsia="Times New Roman"/>
                <w:b/>
                <w:sz w:val="18"/>
                <w:szCs w:val="18"/>
                <w:lang w:eastAsia="ru-RU"/>
              </w:rPr>
              <w:t>тыс. руб.</w:t>
            </w:r>
          </w:p>
        </w:tc>
        <w:tc>
          <w:tcPr>
            <w:tcW w:w="588" w:type="pct"/>
            <w:tcBorders>
              <w:top w:val="single" w:sz="4" w:space="0" w:color="FFFFFF" w:themeColor="background1"/>
              <w:left w:val="nil"/>
              <w:bottom w:val="single" w:sz="8" w:space="0" w:color="auto"/>
              <w:right w:val="single" w:sz="8" w:space="0" w:color="auto"/>
            </w:tcBorders>
            <w:shd w:val="clear" w:color="auto" w:fill="auto"/>
            <w:noWrap/>
            <w:vAlign w:val="center"/>
            <w:hideMark/>
          </w:tcPr>
          <w:p w14:paraId="2D43D230" w14:textId="77777777" w:rsidR="009A4C46" w:rsidRPr="009A4C46" w:rsidRDefault="009A4C46" w:rsidP="009A4C46">
            <w:pPr>
              <w:spacing w:after="0" w:line="240" w:lineRule="auto"/>
              <w:jc w:val="center"/>
              <w:rPr>
                <w:rFonts w:eastAsia="Times New Roman"/>
                <w:b/>
                <w:sz w:val="18"/>
                <w:szCs w:val="18"/>
                <w:lang w:eastAsia="ru-RU"/>
              </w:rPr>
            </w:pPr>
            <w:r w:rsidRPr="009A4C46">
              <w:rPr>
                <w:rFonts w:eastAsia="Times New Roman"/>
                <w:b/>
                <w:bCs/>
                <w:color w:val="000000"/>
                <w:sz w:val="18"/>
                <w:szCs w:val="18"/>
                <w:lang w:eastAsia="ru-RU"/>
              </w:rPr>
              <w:t>581 369</w:t>
            </w:r>
          </w:p>
        </w:tc>
        <w:tc>
          <w:tcPr>
            <w:tcW w:w="589" w:type="pct"/>
            <w:tcBorders>
              <w:top w:val="single" w:sz="4" w:space="0" w:color="FFFFFF" w:themeColor="background1"/>
              <w:left w:val="nil"/>
              <w:bottom w:val="single" w:sz="8" w:space="0" w:color="auto"/>
              <w:right w:val="single" w:sz="8" w:space="0" w:color="auto"/>
            </w:tcBorders>
            <w:shd w:val="clear" w:color="auto" w:fill="auto"/>
            <w:noWrap/>
            <w:vAlign w:val="center"/>
            <w:hideMark/>
          </w:tcPr>
          <w:p w14:paraId="1DE344CB" w14:textId="77777777" w:rsidR="009A4C46" w:rsidRPr="009A4C46" w:rsidRDefault="009A4C46" w:rsidP="009A4C46">
            <w:pPr>
              <w:spacing w:after="0" w:line="240" w:lineRule="auto"/>
              <w:jc w:val="center"/>
              <w:rPr>
                <w:rFonts w:eastAsia="Times New Roman"/>
                <w:b/>
                <w:sz w:val="18"/>
                <w:szCs w:val="18"/>
                <w:lang w:eastAsia="ru-RU"/>
              </w:rPr>
            </w:pPr>
            <w:r w:rsidRPr="009A4C46">
              <w:rPr>
                <w:rFonts w:eastAsia="Times New Roman"/>
                <w:b/>
                <w:bCs/>
                <w:color w:val="000000"/>
                <w:sz w:val="18"/>
                <w:szCs w:val="18"/>
                <w:lang w:eastAsia="ru-RU"/>
              </w:rPr>
              <w:t>444 113</w:t>
            </w:r>
          </w:p>
        </w:tc>
        <w:tc>
          <w:tcPr>
            <w:tcW w:w="589" w:type="pct"/>
            <w:tcBorders>
              <w:top w:val="single" w:sz="4" w:space="0" w:color="FFFFFF" w:themeColor="background1"/>
              <w:left w:val="nil"/>
              <w:bottom w:val="single" w:sz="8" w:space="0" w:color="auto"/>
              <w:right w:val="single" w:sz="8" w:space="0" w:color="auto"/>
            </w:tcBorders>
            <w:shd w:val="clear" w:color="auto" w:fill="auto"/>
            <w:noWrap/>
            <w:vAlign w:val="center"/>
            <w:hideMark/>
          </w:tcPr>
          <w:p w14:paraId="32D2F2EB" w14:textId="77777777" w:rsidR="009A4C46" w:rsidRPr="009A4C46" w:rsidRDefault="009A4C46" w:rsidP="009A4C46">
            <w:pPr>
              <w:spacing w:after="0" w:line="240" w:lineRule="auto"/>
              <w:jc w:val="center"/>
              <w:rPr>
                <w:rFonts w:eastAsia="Times New Roman"/>
                <w:b/>
                <w:sz w:val="18"/>
                <w:szCs w:val="18"/>
                <w:lang w:eastAsia="ru-RU"/>
              </w:rPr>
            </w:pPr>
            <w:r w:rsidRPr="009A4C46">
              <w:rPr>
                <w:rFonts w:eastAsia="Times New Roman"/>
                <w:b/>
                <w:bCs/>
                <w:color w:val="000000"/>
                <w:sz w:val="18"/>
                <w:szCs w:val="18"/>
                <w:lang w:eastAsia="ru-RU"/>
              </w:rPr>
              <w:t>-137 255</w:t>
            </w:r>
          </w:p>
        </w:tc>
        <w:tc>
          <w:tcPr>
            <w:tcW w:w="568" w:type="pct"/>
            <w:tcBorders>
              <w:top w:val="single" w:sz="4" w:space="0" w:color="FFFFFF" w:themeColor="background1"/>
              <w:left w:val="nil"/>
              <w:bottom w:val="single" w:sz="8" w:space="0" w:color="auto"/>
              <w:right w:val="single" w:sz="8" w:space="0" w:color="auto"/>
            </w:tcBorders>
            <w:shd w:val="clear" w:color="auto" w:fill="auto"/>
            <w:noWrap/>
            <w:vAlign w:val="center"/>
            <w:hideMark/>
          </w:tcPr>
          <w:p w14:paraId="61BDECAC" w14:textId="77777777" w:rsidR="009A4C46" w:rsidRPr="009A4C46" w:rsidRDefault="009A4C46" w:rsidP="009A4C46">
            <w:pPr>
              <w:spacing w:after="0" w:line="240" w:lineRule="auto"/>
              <w:jc w:val="center"/>
              <w:rPr>
                <w:rFonts w:eastAsia="Times New Roman"/>
                <w:b/>
                <w:sz w:val="18"/>
                <w:szCs w:val="18"/>
                <w:lang w:eastAsia="ru-RU"/>
              </w:rPr>
            </w:pPr>
            <w:r w:rsidRPr="009A4C46">
              <w:rPr>
                <w:rFonts w:eastAsia="Times New Roman"/>
                <w:b/>
                <w:bCs/>
                <w:color w:val="000000"/>
                <w:sz w:val="18"/>
                <w:szCs w:val="18"/>
                <w:lang w:eastAsia="ru-RU"/>
              </w:rPr>
              <w:t>-24%</w:t>
            </w:r>
          </w:p>
        </w:tc>
        <w:tc>
          <w:tcPr>
            <w:tcW w:w="535" w:type="pct"/>
            <w:gridSpan w:val="2"/>
            <w:tcBorders>
              <w:top w:val="single" w:sz="4" w:space="0" w:color="FFFFFF" w:themeColor="background1"/>
              <w:left w:val="nil"/>
              <w:bottom w:val="single" w:sz="8" w:space="0" w:color="auto"/>
              <w:right w:val="single" w:sz="8" w:space="0" w:color="000000"/>
            </w:tcBorders>
            <w:shd w:val="clear" w:color="auto" w:fill="auto"/>
            <w:noWrap/>
            <w:vAlign w:val="center"/>
            <w:hideMark/>
          </w:tcPr>
          <w:p w14:paraId="4E2D7161" w14:textId="77777777" w:rsidR="009A4C46" w:rsidRPr="009A4C46" w:rsidRDefault="009A4C46" w:rsidP="009A4C46">
            <w:pPr>
              <w:spacing w:after="0" w:line="240" w:lineRule="auto"/>
              <w:jc w:val="center"/>
              <w:rPr>
                <w:rFonts w:eastAsia="Times New Roman"/>
                <w:sz w:val="18"/>
                <w:szCs w:val="18"/>
                <w:lang w:eastAsia="ru-RU"/>
              </w:rPr>
            </w:pPr>
            <w:r w:rsidRPr="009A4C46">
              <w:rPr>
                <w:rFonts w:eastAsia="Times New Roman"/>
                <w:color w:val="000000"/>
                <w:sz w:val="18"/>
                <w:szCs w:val="18"/>
                <w:lang w:eastAsia="ru-RU"/>
              </w:rPr>
              <w:t>0</w:t>
            </w:r>
          </w:p>
        </w:tc>
        <w:tc>
          <w:tcPr>
            <w:tcW w:w="511" w:type="pct"/>
            <w:tcBorders>
              <w:top w:val="single" w:sz="4" w:space="0" w:color="FFFFFF" w:themeColor="background1"/>
              <w:left w:val="nil"/>
              <w:bottom w:val="single" w:sz="8" w:space="0" w:color="auto"/>
              <w:right w:val="single" w:sz="8" w:space="0" w:color="auto"/>
            </w:tcBorders>
            <w:shd w:val="clear" w:color="auto" w:fill="auto"/>
            <w:vAlign w:val="center"/>
            <w:hideMark/>
          </w:tcPr>
          <w:p w14:paraId="4063697C" w14:textId="77777777" w:rsidR="009A4C46" w:rsidRPr="009A4C46" w:rsidRDefault="009A4C46" w:rsidP="009A4C46">
            <w:pPr>
              <w:spacing w:after="0" w:line="240" w:lineRule="auto"/>
              <w:jc w:val="center"/>
              <w:rPr>
                <w:rFonts w:eastAsia="Times New Roman"/>
                <w:sz w:val="18"/>
                <w:szCs w:val="18"/>
                <w:lang w:eastAsia="ru-RU"/>
              </w:rPr>
            </w:pPr>
            <w:r w:rsidRPr="009A4C46">
              <w:rPr>
                <w:rFonts w:eastAsia="Times New Roman"/>
                <w:color w:val="000000"/>
                <w:sz w:val="18"/>
                <w:szCs w:val="18"/>
                <w:lang w:eastAsia="ru-RU"/>
              </w:rPr>
              <w:t>корректировка подконтрольных расходов</w:t>
            </w:r>
          </w:p>
        </w:tc>
      </w:tr>
      <w:tr w:rsidR="009A4C46" w:rsidRPr="009A4C46" w14:paraId="4F6EE968" w14:textId="77777777" w:rsidTr="005C3ACA">
        <w:trPr>
          <w:trHeight w:val="20"/>
        </w:trPr>
        <w:tc>
          <w:tcPr>
            <w:tcW w:w="1047" w:type="pct"/>
            <w:tcBorders>
              <w:top w:val="nil"/>
              <w:left w:val="single" w:sz="4" w:space="0" w:color="auto"/>
              <w:bottom w:val="single" w:sz="4" w:space="0" w:color="auto"/>
              <w:right w:val="single" w:sz="4" w:space="0" w:color="auto"/>
            </w:tcBorders>
            <w:shd w:val="clear" w:color="auto" w:fill="auto"/>
            <w:vAlign w:val="center"/>
            <w:hideMark/>
          </w:tcPr>
          <w:p w14:paraId="685DEA32" w14:textId="332A77D8" w:rsidR="009A4C46" w:rsidRPr="009A4C46" w:rsidRDefault="009A4C46" w:rsidP="009A4C46">
            <w:pPr>
              <w:spacing w:after="0" w:line="240" w:lineRule="auto"/>
              <w:jc w:val="right"/>
              <w:rPr>
                <w:rFonts w:eastAsia="Times New Roman"/>
                <w:sz w:val="18"/>
                <w:szCs w:val="18"/>
                <w:lang w:eastAsia="ru-RU"/>
              </w:rPr>
            </w:pPr>
            <w:r w:rsidRPr="009A4C46">
              <w:rPr>
                <w:rFonts w:eastAsia="Times New Roman"/>
                <w:sz w:val="18"/>
                <w:szCs w:val="18"/>
                <w:lang w:eastAsia="ru-RU"/>
              </w:rPr>
              <w:t>в т.ч. ФОТ</w:t>
            </w:r>
          </w:p>
        </w:tc>
        <w:tc>
          <w:tcPr>
            <w:tcW w:w="573" w:type="pct"/>
            <w:tcBorders>
              <w:top w:val="nil"/>
              <w:left w:val="nil"/>
              <w:bottom w:val="single" w:sz="4" w:space="0" w:color="auto"/>
              <w:right w:val="single" w:sz="4" w:space="0" w:color="auto"/>
            </w:tcBorders>
            <w:shd w:val="clear" w:color="auto" w:fill="auto"/>
            <w:vAlign w:val="center"/>
            <w:hideMark/>
          </w:tcPr>
          <w:p w14:paraId="75EE7A25" w14:textId="77777777" w:rsidR="009A4C46" w:rsidRPr="009A4C46" w:rsidRDefault="009A4C46" w:rsidP="009A4C46">
            <w:pPr>
              <w:spacing w:after="0" w:line="240" w:lineRule="auto"/>
              <w:jc w:val="center"/>
              <w:rPr>
                <w:rFonts w:eastAsia="Times New Roman"/>
                <w:sz w:val="18"/>
                <w:szCs w:val="18"/>
                <w:lang w:eastAsia="ru-RU"/>
              </w:rPr>
            </w:pPr>
            <w:r w:rsidRPr="009A4C46">
              <w:rPr>
                <w:rFonts w:eastAsia="Times New Roman"/>
                <w:sz w:val="18"/>
                <w:szCs w:val="18"/>
                <w:lang w:eastAsia="ru-RU"/>
              </w:rPr>
              <w:t>тыс. руб.</w:t>
            </w:r>
          </w:p>
        </w:tc>
        <w:tc>
          <w:tcPr>
            <w:tcW w:w="588" w:type="pct"/>
            <w:tcBorders>
              <w:top w:val="nil"/>
              <w:left w:val="nil"/>
              <w:bottom w:val="single" w:sz="8" w:space="0" w:color="auto"/>
              <w:right w:val="single" w:sz="8" w:space="0" w:color="auto"/>
            </w:tcBorders>
            <w:shd w:val="clear" w:color="auto" w:fill="auto"/>
            <w:noWrap/>
            <w:vAlign w:val="center"/>
            <w:hideMark/>
          </w:tcPr>
          <w:p w14:paraId="58D0D28E" w14:textId="77777777" w:rsidR="009A4C46" w:rsidRPr="009A4C46" w:rsidRDefault="009A4C46" w:rsidP="009A4C46">
            <w:pPr>
              <w:spacing w:after="0" w:line="240" w:lineRule="auto"/>
              <w:jc w:val="center"/>
              <w:rPr>
                <w:rFonts w:eastAsia="Times New Roman"/>
                <w:sz w:val="18"/>
                <w:szCs w:val="18"/>
                <w:lang w:eastAsia="ru-RU"/>
              </w:rPr>
            </w:pPr>
            <w:r w:rsidRPr="009A4C46">
              <w:rPr>
                <w:rFonts w:eastAsia="Times New Roman"/>
                <w:color w:val="000000"/>
                <w:sz w:val="18"/>
                <w:szCs w:val="18"/>
                <w:lang w:eastAsia="ru-RU"/>
              </w:rPr>
              <w:t>357 807</w:t>
            </w:r>
          </w:p>
        </w:tc>
        <w:tc>
          <w:tcPr>
            <w:tcW w:w="589" w:type="pct"/>
            <w:tcBorders>
              <w:top w:val="nil"/>
              <w:left w:val="nil"/>
              <w:bottom w:val="single" w:sz="8" w:space="0" w:color="auto"/>
              <w:right w:val="single" w:sz="8" w:space="0" w:color="auto"/>
            </w:tcBorders>
            <w:shd w:val="clear" w:color="auto" w:fill="auto"/>
            <w:noWrap/>
            <w:vAlign w:val="center"/>
            <w:hideMark/>
          </w:tcPr>
          <w:p w14:paraId="5E2A67D4" w14:textId="77777777" w:rsidR="009A4C46" w:rsidRPr="009A4C46" w:rsidRDefault="009A4C46" w:rsidP="009A4C46">
            <w:pPr>
              <w:spacing w:after="0" w:line="240" w:lineRule="auto"/>
              <w:jc w:val="center"/>
              <w:rPr>
                <w:rFonts w:eastAsia="Times New Roman"/>
                <w:sz w:val="18"/>
                <w:szCs w:val="18"/>
                <w:lang w:eastAsia="ru-RU"/>
              </w:rPr>
            </w:pPr>
            <w:r w:rsidRPr="009A4C46">
              <w:rPr>
                <w:rFonts w:eastAsia="Times New Roman"/>
                <w:color w:val="000000"/>
                <w:sz w:val="18"/>
                <w:szCs w:val="18"/>
                <w:lang w:eastAsia="ru-RU"/>
              </w:rPr>
              <w:t>329 367</w:t>
            </w:r>
          </w:p>
        </w:tc>
        <w:tc>
          <w:tcPr>
            <w:tcW w:w="589" w:type="pct"/>
            <w:tcBorders>
              <w:top w:val="nil"/>
              <w:left w:val="nil"/>
              <w:bottom w:val="single" w:sz="8" w:space="0" w:color="auto"/>
              <w:right w:val="single" w:sz="8" w:space="0" w:color="auto"/>
            </w:tcBorders>
            <w:shd w:val="clear" w:color="auto" w:fill="auto"/>
            <w:noWrap/>
            <w:vAlign w:val="center"/>
            <w:hideMark/>
          </w:tcPr>
          <w:p w14:paraId="1BDE0C7B" w14:textId="77777777" w:rsidR="009A4C46" w:rsidRPr="009A4C46" w:rsidRDefault="009A4C46" w:rsidP="009A4C46">
            <w:pPr>
              <w:spacing w:after="0" w:line="240" w:lineRule="auto"/>
              <w:jc w:val="center"/>
              <w:rPr>
                <w:rFonts w:eastAsia="Times New Roman"/>
                <w:sz w:val="18"/>
                <w:szCs w:val="18"/>
                <w:lang w:eastAsia="ru-RU"/>
              </w:rPr>
            </w:pPr>
            <w:r w:rsidRPr="009A4C46">
              <w:rPr>
                <w:rFonts w:eastAsia="Times New Roman"/>
                <w:color w:val="000000"/>
                <w:sz w:val="18"/>
                <w:szCs w:val="18"/>
                <w:lang w:eastAsia="ru-RU"/>
              </w:rPr>
              <w:t>-28 440</w:t>
            </w:r>
          </w:p>
        </w:tc>
        <w:tc>
          <w:tcPr>
            <w:tcW w:w="568" w:type="pct"/>
            <w:tcBorders>
              <w:top w:val="nil"/>
              <w:left w:val="nil"/>
              <w:bottom w:val="single" w:sz="8" w:space="0" w:color="auto"/>
              <w:right w:val="single" w:sz="8" w:space="0" w:color="auto"/>
            </w:tcBorders>
            <w:shd w:val="clear" w:color="auto" w:fill="auto"/>
            <w:noWrap/>
            <w:vAlign w:val="center"/>
            <w:hideMark/>
          </w:tcPr>
          <w:p w14:paraId="309183B5" w14:textId="77777777" w:rsidR="009A4C46" w:rsidRPr="009A4C46" w:rsidRDefault="009A4C46" w:rsidP="009A4C46">
            <w:pPr>
              <w:spacing w:after="0" w:line="240" w:lineRule="auto"/>
              <w:jc w:val="center"/>
              <w:rPr>
                <w:rFonts w:eastAsia="Times New Roman"/>
                <w:sz w:val="18"/>
                <w:szCs w:val="18"/>
                <w:lang w:eastAsia="ru-RU"/>
              </w:rPr>
            </w:pPr>
            <w:r w:rsidRPr="009A4C46">
              <w:rPr>
                <w:rFonts w:eastAsia="Times New Roman"/>
                <w:color w:val="000000"/>
                <w:sz w:val="18"/>
                <w:szCs w:val="18"/>
                <w:lang w:eastAsia="ru-RU"/>
              </w:rPr>
              <w:t>-8%</w:t>
            </w:r>
          </w:p>
        </w:tc>
        <w:tc>
          <w:tcPr>
            <w:tcW w:w="535" w:type="pct"/>
            <w:gridSpan w:val="2"/>
            <w:tcBorders>
              <w:top w:val="single" w:sz="8" w:space="0" w:color="auto"/>
              <w:left w:val="nil"/>
              <w:bottom w:val="single" w:sz="8" w:space="0" w:color="auto"/>
              <w:right w:val="single" w:sz="8" w:space="0" w:color="000000"/>
            </w:tcBorders>
            <w:shd w:val="clear" w:color="auto" w:fill="auto"/>
            <w:noWrap/>
            <w:vAlign w:val="center"/>
            <w:hideMark/>
          </w:tcPr>
          <w:p w14:paraId="597672FF" w14:textId="77777777" w:rsidR="009A4C46" w:rsidRPr="009A4C46" w:rsidRDefault="009A4C46" w:rsidP="009A4C46">
            <w:pPr>
              <w:spacing w:after="0" w:line="240" w:lineRule="auto"/>
              <w:jc w:val="center"/>
              <w:rPr>
                <w:rFonts w:eastAsia="Times New Roman"/>
                <w:sz w:val="18"/>
                <w:szCs w:val="18"/>
                <w:lang w:eastAsia="ru-RU"/>
              </w:rPr>
            </w:pPr>
            <w:r w:rsidRPr="009A4C46">
              <w:rPr>
                <w:rFonts w:eastAsia="Times New Roman"/>
                <w:color w:val="000000"/>
                <w:sz w:val="18"/>
                <w:szCs w:val="18"/>
                <w:lang w:eastAsia="ru-RU"/>
              </w:rPr>
              <w:t> </w:t>
            </w:r>
          </w:p>
        </w:tc>
        <w:tc>
          <w:tcPr>
            <w:tcW w:w="511" w:type="pct"/>
            <w:tcBorders>
              <w:top w:val="nil"/>
              <w:left w:val="nil"/>
              <w:bottom w:val="single" w:sz="8" w:space="0" w:color="auto"/>
              <w:right w:val="single" w:sz="8" w:space="0" w:color="auto"/>
            </w:tcBorders>
            <w:shd w:val="clear" w:color="auto" w:fill="auto"/>
            <w:vAlign w:val="center"/>
            <w:hideMark/>
          </w:tcPr>
          <w:p w14:paraId="30267BFA" w14:textId="77777777" w:rsidR="009A4C46" w:rsidRPr="009A4C46" w:rsidRDefault="009A4C46" w:rsidP="009A4C46">
            <w:pPr>
              <w:spacing w:after="0" w:line="240" w:lineRule="auto"/>
              <w:jc w:val="center"/>
              <w:rPr>
                <w:rFonts w:eastAsia="Times New Roman"/>
                <w:sz w:val="18"/>
                <w:szCs w:val="18"/>
                <w:lang w:eastAsia="ru-RU"/>
              </w:rPr>
            </w:pPr>
            <w:r w:rsidRPr="009A4C46">
              <w:rPr>
                <w:rFonts w:eastAsia="Times New Roman"/>
                <w:color w:val="000000"/>
                <w:sz w:val="18"/>
                <w:szCs w:val="18"/>
                <w:lang w:eastAsia="ru-RU"/>
              </w:rPr>
              <w:t> </w:t>
            </w:r>
          </w:p>
        </w:tc>
      </w:tr>
      <w:tr w:rsidR="009A4C46" w:rsidRPr="009A4C46" w14:paraId="2E61F7BD" w14:textId="77777777" w:rsidTr="005C3ACA">
        <w:trPr>
          <w:trHeight w:val="20"/>
        </w:trPr>
        <w:tc>
          <w:tcPr>
            <w:tcW w:w="1047" w:type="pct"/>
            <w:tcBorders>
              <w:top w:val="nil"/>
              <w:left w:val="single" w:sz="4" w:space="0" w:color="auto"/>
              <w:bottom w:val="single" w:sz="4" w:space="0" w:color="auto"/>
              <w:right w:val="single" w:sz="4" w:space="0" w:color="auto"/>
            </w:tcBorders>
            <w:shd w:val="clear" w:color="auto" w:fill="auto"/>
            <w:vAlign w:val="center"/>
            <w:hideMark/>
          </w:tcPr>
          <w:p w14:paraId="6CFD0E79" w14:textId="77777777" w:rsidR="009A4C46" w:rsidRPr="009A4C46" w:rsidRDefault="009A4C46" w:rsidP="009A4C46">
            <w:pPr>
              <w:spacing w:after="0" w:line="240" w:lineRule="auto"/>
              <w:rPr>
                <w:rFonts w:eastAsia="Times New Roman"/>
                <w:b/>
                <w:sz w:val="18"/>
                <w:szCs w:val="18"/>
                <w:lang w:eastAsia="ru-RU"/>
              </w:rPr>
            </w:pPr>
            <w:r w:rsidRPr="009A4C46">
              <w:rPr>
                <w:rFonts w:eastAsia="Times New Roman"/>
                <w:b/>
                <w:sz w:val="18"/>
                <w:szCs w:val="18"/>
                <w:lang w:eastAsia="ru-RU"/>
              </w:rPr>
              <w:t>Неподконтрольные расходы</w:t>
            </w:r>
          </w:p>
        </w:tc>
        <w:tc>
          <w:tcPr>
            <w:tcW w:w="573" w:type="pct"/>
            <w:tcBorders>
              <w:top w:val="nil"/>
              <w:left w:val="nil"/>
              <w:bottom w:val="single" w:sz="4" w:space="0" w:color="auto"/>
              <w:right w:val="single" w:sz="4" w:space="0" w:color="auto"/>
            </w:tcBorders>
            <w:shd w:val="clear" w:color="auto" w:fill="auto"/>
            <w:vAlign w:val="center"/>
            <w:hideMark/>
          </w:tcPr>
          <w:p w14:paraId="4321340A" w14:textId="77777777" w:rsidR="009A4C46" w:rsidRPr="009A4C46" w:rsidRDefault="009A4C46" w:rsidP="009A4C46">
            <w:pPr>
              <w:spacing w:after="0" w:line="240" w:lineRule="auto"/>
              <w:jc w:val="center"/>
              <w:rPr>
                <w:rFonts w:eastAsia="Times New Roman"/>
                <w:b/>
                <w:sz w:val="18"/>
                <w:szCs w:val="18"/>
                <w:lang w:eastAsia="ru-RU"/>
              </w:rPr>
            </w:pPr>
            <w:r w:rsidRPr="009A4C46">
              <w:rPr>
                <w:rFonts w:eastAsia="Times New Roman"/>
                <w:b/>
                <w:sz w:val="18"/>
                <w:szCs w:val="18"/>
                <w:lang w:eastAsia="ru-RU"/>
              </w:rPr>
              <w:t>тыс. руб.</w:t>
            </w:r>
          </w:p>
        </w:tc>
        <w:tc>
          <w:tcPr>
            <w:tcW w:w="588" w:type="pct"/>
            <w:tcBorders>
              <w:top w:val="nil"/>
              <w:left w:val="nil"/>
              <w:bottom w:val="single" w:sz="8" w:space="0" w:color="auto"/>
              <w:right w:val="single" w:sz="8" w:space="0" w:color="auto"/>
            </w:tcBorders>
            <w:shd w:val="clear" w:color="auto" w:fill="auto"/>
            <w:noWrap/>
            <w:vAlign w:val="center"/>
            <w:hideMark/>
          </w:tcPr>
          <w:p w14:paraId="6BD635AD" w14:textId="77777777" w:rsidR="009A4C46" w:rsidRPr="009A4C46" w:rsidRDefault="009A4C46" w:rsidP="009A4C46">
            <w:pPr>
              <w:spacing w:after="0" w:line="240" w:lineRule="auto"/>
              <w:jc w:val="center"/>
              <w:rPr>
                <w:rFonts w:eastAsia="Times New Roman"/>
                <w:b/>
                <w:sz w:val="18"/>
                <w:szCs w:val="18"/>
                <w:lang w:eastAsia="ru-RU"/>
              </w:rPr>
            </w:pPr>
            <w:r w:rsidRPr="009A4C46">
              <w:rPr>
                <w:rFonts w:eastAsia="Times New Roman"/>
                <w:b/>
                <w:bCs/>
                <w:color w:val="000000"/>
                <w:sz w:val="18"/>
                <w:szCs w:val="18"/>
                <w:lang w:eastAsia="ru-RU"/>
              </w:rPr>
              <w:t>594 092</w:t>
            </w:r>
          </w:p>
        </w:tc>
        <w:tc>
          <w:tcPr>
            <w:tcW w:w="589" w:type="pct"/>
            <w:tcBorders>
              <w:top w:val="nil"/>
              <w:left w:val="nil"/>
              <w:bottom w:val="single" w:sz="8" w:space="0" w:color="auto"/>
              <w:right w:val="single" w:sz="8" w:space="0" w:color="auto"/>
            </w:tcBorders>
            <w:shd w:val="clear" w:color="auto" w:fill="auto"/>
            <w:noWrap/>
            <w:vAlign w:val="center"/>
            <w:hideMark/>
          </w:tcPr>
          <w:p w14:paraId="13D62A15" w14:textId="77777777" w:rsidR="009A4C46" w:rsidRPr="009A4C46" w:rsidRDefault="009A4C46" w:rsidP="009A4C46">
            <w:pPr>
              <w:spacing w:after="0" w:line="240" w:lineRule="auto"/>
              <w:jc w:val="center"/>
              <w:rPr>
                <w:rFonts w:eastAsia="Times New Roman"/>
                <w:b/>
                <w:sz w:val="18"/>
                <w:szCs w:val="18"/>
                <w:lang w:eastAsia="ru-RU"/>
              </w:rPr>
            </w:pPr>
            <w:r w:rsidRPr="009A4C46">
              <w:rPr>
                <w:rFonts w:eastAsia="Times New Roman"/>
                <w:b/>
                <w:bCs/>
                <w:color w:val="000000"/>
                <w:sz w:val="18"/>
                <w:szCs w:val="18"/>
                <w:lang w:eastAsia="ru-RU"/>
              </w:rPr>
              <w:t>1 903 506</w:t>
            </w:r>
          </w:p>
        </w:tc>
        <w:tc>
          <w:tcPr>
            <w:tcW w:w="589" w:type="pct"/>
            <w:tcBorders>
              <w:top w:val="nil"/>
              <w:left w:val="nil"/>
              <w:bottom w:val="single" w:sz="8" w:space="0" w:color="auto"/>
              <w:right w:val="single" w:sz="8" w:space="0" w:color="auto"/>
            </w:tcBorders>
            <w:shd w:val="clear" w:color="auto" w:fill="auto"/>
            <w:noWrap/>
            <w:vAlign w:val="center"/>
            <w:hideMark/>
          </w:tcPr>
          <w:p w14:paraId="1A192167" w14:textId="77777777" w:rsidR="009A4C46" w:rsidRPr="009A4C46" w:rsidRDefault="009A4C46" w:rsidP="009A4C46">
            <w:pPr>
              <w:spacing w:after="0" w:line="240" w:lineRule="auto"/>
              <w:jc w:val="center"/>
              <w:rPr>
                <w:rFonts w:eastAsia="Times New Roman"/>
                <w:b/>
                <w:sz w:val="18"/>
                <w:szCs w:val="18"/>
                <w:lang w:eastAsia="ru-RU"/>
              </w:rPr>
            </w:pPr>
            <w:r w:rsidRPr="009A4C46">
              <w:rPr>
                <w:rFonts w:eastAsia="Times New Roman"/>
                <w:b/>
                <w:bCs/>
                <w:color w:val="000000"/>
                <w:sz w:val="18"/>
                <w:szCs w:val="18"/>
                <w:lang w:eastAsia="ru-RU"/>
              </w:rPr>
              <w:t>1 309 414</w:t>
            </w:r>
          </w:p>
        </w:tc>
        <w:tc>
          <w:tcPr>
            <w:tcW w:w="568" w:type="pct"/>
            <w:tcBorders>
              <w:top w:val="nil"/>
              <w:left w:val="nil"/>
              <w:bottom w:val="single" w:sz="8" w:space="0" w:color="auto"/>
              <w:right w:val="single" w:sz="8" w:space="0" w:color="auto"/>
            </w:tcBorders>
            <w:shd w:val="clear" w:color="auto" w:fill="auto"/>
            <w:noWrap/>
            <w:vAlign w:val="center"/>
            <w:hideMark/>
          </w:tcPr>
          <w:p w14:paraId="5123219E" w14:textId="77777777" w:rsidR="009A4C46" w:rsidRPr="009A4C46" w:rsidRDefault="009A4C46" w:rsidP="009A4C46">
            <w:pPr>
              <w:spacing w:after="0" w:line="240" w:lineRule="auto"/>
              <w:jc w:val="center"/>
              <w:rPr>
                <w:rFonts w:eastAsia="Times New Roman"/>
                <w:b/>
                <w:sz w:val="18"/>
                <w:szCs w:val="18"/>
                <w:lang w:eastAsia="ru-RU"/>
              </w:rPr>
            </w:pPr>
            <w:r w:rsidRPr="009A4C46">
              <w:rPr>
                <w:rFonts w:eastAsia="Times New Roman"/>
                <w:b/>
                <w:bCs/>
                <w:color w:val="000000"/>
                <w:sz w:val="18"/>
                <w:szCs w:val="18"/>
                <w:lang w:eastAsia="ru-RU"/>
              </w:rPr>
              <w:t>220%</w:t>
            </w:r>
          </w:p>
        </w:tc>
        <w:tc>
          <w:tcPr>
            <w:tcW w:w="535" w:type="pct"/>
            <w:gridSpan w:val="2"/>
            <w:tcBorders>
              <w:top w:val="single" w:sz="8" w:space="0" w:color="auto"/>
              <w:left w:val="nil"/>
              <w:bottom w:val="single" w:sz="8" w:space="0" w:color="auto"/>
              <w:right w:val="single" w:sz="8" w:space="0" w:color="000000"/>
            </w:tcBorders>
            <w:shd w:val="clear" w:color="auto" w:fill="auto"/>
            <w:noWrap/>
            <w:vAlign w:val="center"/>
            <w:hideMark/>
          </w:tcPr>
          <w:p w14:paraId="4BCD82E3" w14:textId="77777777" w:rsidR="009A4C46" w:rsidRPr="009A4C46" w:rsidRDefault="009A4C46" w:rsidP="009A4C46">
            <w:pPr>
              <w:spacing w:after="0" w:line="240" w:lineRule="auto"/>
              <w:jc w:val="center"/>
              <w:rPr>
                <w:rFonts w:eastAsia="Times New Roman"/>
                <w:sz w:val="18"/>
                <w:szCs w:val="18"/>
                <w:lang w:eastAsia="ru-RU"/>
              </w:rPr>
            </w:pPr>
            <w:r w:rsidRPr="009A4C46">
              <w:rPr>
                <w:rFonts w:eastAsia="Times New Roman"/>
                <w:color w:val="000000"/>
                <w:sz w:val="18"/>
                <w:szCs w:val="18"/>
                <w:lang w:eastAsia="ru-RU"/>
              </w:rPr>
              <w:t>0</w:t>
            </w:r>
          </w:p>
        </w:tc>
        <w:tc>
          <w:tcPr>
            <w:tcW w:w="511" w:type="pct"/>
            <w:tcBorders>
              <w:top w:val="nil"/>
              <w:left w:val="nil"/>
              <w:bottom w:val="single" w:sz="8" w:space="0" w:color="auto"/>
              <w:right w:val="single" w:sz="8" w:space="0" w:color="auto"/>
            </w:tcBorders>
            <w:shd w:val="clear" w:color="auto" w:fill="auto"/>
            <w:vAlign w:val="center"/>
            <w:hideMark/>
          </w:tcPr>
          <w:p w14:paraId="26232C29" w14:textId="77777777" w:rsidR="009A4C46" w:rsidRPr="009A4C46" w:rsidRDefault="009A4C46" w:rsidP="009A4C46">
            <w:pPr>
              <w:spacing w:after="0" w:line="240" w:lineRule="auto"/>
              <w:jc w:val="center"/>
              <w:rPr>
                <w:rFonts w:eastAsia="Times New Roman"/>
                <w:sz w:val="18"/>
                <w:szCs w:val="18"/>
                <w:lang w:eastAsia="ru-RU"/>
              </w:rPr>
            </w:pPr>
            <w:r w:rsidRPr="009A4C46">
              <w:rPr>
                <w:rFonts w:eastAsia="Times New Roman"/>
                <w:color w:val="000000"/>
                <w:sz w:val="18"/>
                <w:szCs w:val="18"/>
                <w:lang w:eastAsia="ru-RU"/>
              </w:rPr>
              <w:t>корректировка неподконтрольных расходов</w:t>
            </w:r>
          </w:p>
        </w:tc>
      </w:tr>
      <w:tr w:rsidR="009A4C46" w:rsidRPr="009A4C46" w14:paraId="10A62F9D" w14:textId="77777777" w:rsidTr="005C3ACA">
        <w:trPr>
          <w:trHeight w:val="20"/>
        </w:trPr>
        <w:tc>
          <w:tcPr>
            <w:tcW w:w="1047" w:type="pct"/>
            <w:tcBorders>
              <w:top w:val="nil"/>
              <w:left w:val="single" w:sz="4" w:space="0" w:color="auto"/>
              <w:bottom w:val="single" w:sz="4" w:space="0" w:color="auto"/>
              <w:right w:val="single" w:sz="4" w:space="0" w:color="auto"/>
            </w:tcBorders>
            <w:shd w:val="clear" w:color="auto" w:fill="auto"/>
            <w:vAlign w:val="center"/>
            <w:hideMark/>
          </w:tcPr>
          <w:p w14:paraId="7F69D523" w14:textId="77777777" w:rsidR="009A4C46" w:rsidRPr="009A4C46" w:rsidRDefault="009A4C46" w:rsidP="009A4C46">
            <w:pPr>
              <w:spacing w:after="0" w:line="240" w:lineRule="auto"/>
              <w:jc w:val="right"/>
              <w:rPr>
                <w:rFonts w:eastAsia="Times New Roman"/>
                <w:sz w:val="18"/>
                <w:szCs w:val="18"/>
                <w:lang w:eastAsia="ru-RU"/>
              </w:rPr>
            </w:pPr>
            <w:r w:rsidRPr="009A4C46">
              <w:rPr>
                <w:rFonts w:eastAsia="Times New Roman"/>
                <w:sz w:val="18"/>
                <w:szCs w:val="18"/>
                <w:lang w:eastAsia="ru-RU"/>
              </w:rPr>
              <w:t>в т.ч. Расходы сетевой организации, связанные с осуществлением технологического присоединения к электрическим сетям, не включенные в плату за технологическое присоединение</w:t>
            </w:r>
          </w:p>
        </w:tc>
        <w:tc>
          <w:tcPr>
            <w:tcW w:w="573" w:type="pct"/>
            <w:tcBorders>
              <w:top w:val="nil"/>
              <w:left w:val="nil"/>
              <w:bottom w:val="single" w:sz="4" w:space="0" w:color="auto"/>
              <w:right w:val="single" w:sz="4" w:space="0" w:color="auto"/>
            </w:tcBorders>
            <w:shd w:val="clear" w:color="auto" w:fill="auto"/>
            <w:vAlign w:val="center"/>
            <w:hideMark/>
          </w:tcPr>
          <w:p w14:paraId="1A22AADC" w14:textId="77777777" w:rsidR="009A4C46" w:rsidRPr="009A4C46" w:rsidRDefault="009A4C46" w:rsidP="009A4C46">
            <w:pPr>
              <w:spacing w:after="0" w:line="240" w:lineRule="auto"/>
              <w:jc w:val="center"/>
              <w:rPr>
                <w:rFonts w:eastAsia="Times New Roman"/>
                <w:sz w:val="18"/>
                <w:szCs w:val="18"/>
                <w:lang w:eastAsia="ru-RU"/>
              </w:rPr>
            </w:pPr>
            <w:r w:rsidRPr="009A4C46">
              <w:rPr>
                <w:rFonts w:eastAsia="Times New Roman"/>
                <w:sz w:val="18"/>
                <w:szCs w:val="18"/>
                <w:lang w:eastAsia="ru-RU"/>
              </w:rPr>
              <w:t>тыс. руб.</w:t>
            </w:r>
          </w:p>
        </w:tc>
        <w:tc>
          <w:tcPr>
            <w:tcW w:w="588" w:type="pct"/>
            <w:tcBorders>
              <w:top w:val="nil"/>
              <w:left w:val="nil"/>
              <w:bottom w:val="single" w:sz="8" w:space="0" w:color="auto"/>
              <w:right w:val="single" w:sz="8" w:space="0" w:color="auto"/>
            </w:tcBorders>
            <w:shd w:val="clear" w:color="auto" w:fill="auto"/>
            <w:noWrap/>
            <w:vAlign w:val="center"/>
            <w:hideMark/>
          </w:tcPr>
          <w:p w14:paraId="3F01793D" w14:textId="77777777" w:rsidR="009A4C46" w:rsidRPr="009A4C46" w:rsidRDefault="009A4C46" w:rsidP="009A4C46">
            <w:pPr>
              <w:spacing w:after="0" w:line="240" w:lineRule="auto"/>
              <w:jc w:val="center"/>
              <w:rPr>
                <w:rFonts w:eastAsia="Times New Roman"/>
                <w:sz w:val="18"/>
                <w:szCs w:val="18"/>
                <w:lang w:eastAsia="ru-RU"/>
              </w:rPr>
            </w:pPr>
            <w:r w:rsidRPr="009A4C46">
              <w:rPr>
                <w:rFonts w:eastAsia="Times New Roman"/>
                <w:color w:val="000000"/>
                <w:sz w:val="18"/>
                <w:szCs w:val="18"/>
                <w:lang w:eastAsia="ru-RU"/>
              </w:rPr>
              <w:t>71 828</w:t>
            </w:r>
          </w:p>
        </w:tc>
        <w:tc>
          <w:tcPr>
            <w:tcW w:w="589" w:type="pct"/>
            <w:tcBorders>
              <w:top w:val="nil"/>
              <w:left w:val="nil"/>
              <w:bottom w:val="single" w:sz="8" w:space="0" w:color="auto"/>
              <w:right w:val="single" w:sz="8" w:space="0" w:color="auto"/>
            </w:tcBorders>
            <w:shd w:val="clear" w:color="auto" w:fill="auto"/>
            <w:noWrap/>
            <w:vAlign w:val="center"/>
            <w:hideMark/>
          </w:tcPr>
          <w:p w14:paraId="3694DF4B" w14:textId="77777777" w:rsidR="009A4C46" w:rsidRPr="009A4C46" w:rsidRDefault="009A4C46" w:rsidP="009A4C46">
            <w:pPr>
              <w:spacing w:after="0" w:line="240" w:lineRule="auto"/>
              <w:jc w:val="center"/>
              <w:rPr>
                <w:rFonts w:eastAsia="Times New Roman"/>
                <w:sz w:val="18"/>
                <w:szCs w:val="18"/>
                <w:lang w:eastAsia="ru-RU"/>
              </w:rPr>
            </w:pPr>
            <w:r w:rsidRPr="009A4C46">
              <w:rPr>
                <w:rFonts w:eastAsia="Times New Roman"/>
                <w:color w:val="000000"/>
                <w:sz w:val="18"/>
                <w:szCs w:val="18"/>
                <w:lang w:eastAsia="ru-RU"/>
              </w:rPr>
              <w:t>67 980</w:t>
            </w:r>
          </w:p>
        </w:tc>
        <w:tc>
          <w:tcPr>
            <w:tcW w:w="589" w:type="pct"/>
            <w:tcBorders>
              <w:top w:val="nil"/>
              <w:left w:val="nil"/>
              <w:bottom w:val="single" w:sz="8" w:space="0" w:color="auto"/>
              <w:right w:val="single" w:sz="8" w:space="0" w:color="auto"/>
            </w:tcBorders>
            <w:shd w:val="clear" w:color="auto" w:fill="auto"/>
            <w:noWrap/>
            <w:vAlign w:val="center"/>
            <w:hideMark/>
          </w:tcPr>
          <w:p w14:paraId="08471AB0" w14:textId="77777777" w:rsidR="009A4C46" w:rsidRPr="009A4C46" w:rsidRDefault="009A4C46" w:rsidP="009A4C46">
            <w:pPr>
              <w:spacing w:after="0" w:line="240" w:lineRule="auto"/>
              <w:jc w:val="center"/>
              <w:rPr>
                <w:rFonts w:eastAsia="Times New Roman"/>
                <w:sz w:val="18"/>
                <w:szCs w:val="18"/>
                <w:lang w:eastAsia="ru-RU"/>
              </w:rPr>
            </w:pPr>
            <w:r w:rsidRPr="009A4C46">
              <w:rPr>
                <w:rFonts w:eastAsia="Times New Roman"/>
                <w:color w:val="000000"/>
                <w:sz w:val="18"/>
                <w:szCs w:val="18"/>
                <w:lang w:eastAsia="ru-RU"/>
              </w:rPr>
              <w:t>-3 848</w:t>
            </w:r>
          </w:p>
        </w:tc>
        <w:tc>
          <w:tcPr>
            <w:tcW w:w="568" w:type="pct"/>
            <w:tcBorders>
              <w:top w:val="nil"/>
              <w:left w:val="nil"/>
              <w:bottom w:val="single" w:sz="8" w:space="0" w:color="auto"/>
              <w:right w:val="single" w:sz="8" w:space="0" w:color="auto"/>
            </w:tcBorders>
            <w:shd w:val="clear" w:color="auto" w:fill="auto"/>
            <w:noWrap/>
            <w:vAlign w:val="center"/>
            <w:hideMark/>
          </w:tcPr>
          <w:p w14:paraId="2AD78EA2" w14:textId="77777777" w:rsidR="009A4C46" w:rsidRPr="009A4C46" w:rsidRDefault="009A4C46" w:rsidP="009A4C46">
            <w:pPr>
              <w:spacing w:after="0" w:line="240" w:lineRule="auto"/>
              <w:jc w:val="center"/>
              <w:rPr>
                <w:rFonts w:eastAsia="Times New Roman"/>
                <w:sz w:val="18"/>
                <w:szCs w:val="18"/>
                <w:lang w:eastAsia="ru-RU"/>
              </w:rPr>
            </w:pPr>
            <w:r w:rsidRPr="009A4C46">
              <w:rPr>
                <w:rFonts w:eastAsia="Times New Roman"/>
                <w:color w:val="000000"/>
                <w:sz w:val="18"/>
                <w:szCs w:val="18"/>
                <w:lang w:eastAsia="ru-RU"/>
              </w:rPr>
              <w:t>-5%</w:t>
            </w:r>
          </w:p>
        </w:tc>
        <w:tc>
          <w:tcPr>
            <w:tcW w:w="535" w:type="pct"/>
            <w:gridSpan w:val="2"/>
            <w:tcBorders>
              <w:top w:val="single" w:sz="8" w:space="0" w:color="auto"/>
              <w:left w:val="nil"/>
              <w:bottom w:val="single" w:sz="8" w:space="0" w:color="auto"/>
              <w:right w:val="single" w:sz="8" w:space="0" w:color="000000"/>
            </w:tcBorders>
            <w:shd w:val="clear" w:color="auto" w:fill="auto"/>
            <w:noWrap/>
            <w:vAlign w:val="center"/>
            <w:hideMark/>
          </w:tcPr>
          <w:p w14:paraId="2A879546" w14:textId="77777777" w:rsidR="009A4C46" w:rsidRPr="009A4C46" w:rsidRDefault="009A4C46" w:rsidP="009A4C46">
            <w:pPr>
              <w:spacing w:after="0" w:line="240" w:lineRule="auto"/>
              <w:jc w:val="center"/>
              <w:rPr>
                <w:rFonts w:eastAsia="Times New Roman"/>
                <w:sz w:val="18"/>
                <w:szCs w:val="18"/>
                <w:lang w:eastAsia="ru-RU"/>
              </w:rPr>
            </w:pPr>
            <w:r w:rsidRPr="009A4C46">
              <w:rPr>
                <w:rFonts w:eastAsia="Times New Roman"/>
                <w:color w:val="000000"/>
                <w:sz w:val="18"/>
                <w:szCs w:val="18"/>
                <w:lang w:eastAsia="ru-RU"/>
              </w:rPr>
              <w:t> </w:t>
            </w:r>
          </w:p>
        </w:tc>
        <w:tc>
          <w:tcPr>
            <w:tcW w:w="511" w:type="pct"/>
            <w:tcBorders>
              <w:top w:val="nil"/>
              <w:left w:val="nil"/>
              <w:bottom w:val="single" w:sz="8" w:space="0" w:color="auto"/>
              <w:right w:val="single" w:sz="8" w:space="0" w:color="auto"/>
            </w:tcBorders>
            <w:shd w:val="clear" w:color="auto" w:fill="auto"/>
            <w:noWrap/>
            <w:vAlign w:val="center"/>
            <w:hideMark/>
          </w:tcPr>
          <w:p w14:paraId="2E766FA7" w14:textId="77777777" w:rsidR="009A4C46" w:rsidRPr="009A4C46" w:rsidRDefault="009A4C46" w:rsidP="009A4C46">
            <w:pPr>
              <w:spacing w:after="0" w:line="240" w:lineRule="auto"/>
              <w:jc w:val="center"/>
              <w:rPr>
                <w:rFonts w:eastAsia="Times New Roman"/>
                <w:sz w:val="18"/>
                <w:szCs w:val="18"/>
                <w:lang w:eastAsia="ru-RU"/>
              </w:rPr>
            </w:pPr>
            <w:r w:rsidRPr="009A4C46">
              <w:rPr>
                <w:rFonts w:eastAsia="Times New Roman"/>
                <w:color w:val="000000"/>
                <w:sz w:val="18"/>
                <w:szCs w:val="18"/>
                <w:lang w:eastAsia="ru-RU"/>
              </w:rPr>
              <w:t> </w:t>
            </w:r>
          </w:p>
        </w:tc>
      </w:tr>
      <w:tr w:rsidR="009A4C46" w:rsidRPr="009A4C46" w14:paraId="7F4B226D" w14:textId="77777777" w:rsidTr="005C3ACA">
        <w:trPr>
          <w:trHeight w:val="20"/>
        </w:trPr>
        <w:tc>
          <w:tcPr>
            <w:tcW w:w="1047" w:type="pct"/>
            <w:tcBorders>
              <w:top w:val="nil"/>
              <w:left w:val="single" w:sz="4" w:space="0" w:color="auto"/>
              <w:bottom w:val="single" w:sz="4" w:space="0" w:color="auto"/>
              <w:right w:val="single" w:sz="4" w:space="0" w:color="auto"/>
            </w:tcBorders>
            <w:shd w:val="clear" w:color="auto" w:fill="auto"/>
            <w:vAlign w:val="center"/>
            <w:hideMark/>
          </w:tcPr>
          <w:p w14:paraId="527D5A9F" w14:textId="7F446BD0" w:rsidR="009A4C46" w:rsidRPr="009A4C46" w:rsidRDefault="009A4C46" w:rsidP="00F94FED">
            <w:pPr>
              <w:spacing w:after="0" w:line="240" w:lineRule="auto"/>
              <w:jc w:val="center"/>
              <w:rPr>
                <w:rFonts w:eastAsia="Times New Roman"/>
                <w:sz w:val="18"/>
                <w:szCs w:val="18"/>
                <w:lang w:eastAsia="ru-RU"/>
              </w:rPr>
            </w:pPr>
            <w:r w:rsidRPr="009A4C46">
              <w:rPr>
                <w:rFonts w:eastAsia="Times New Roman"/>
                <w:sz w:val="18"/>
                <w:szCs w:val="18"/>
                <w:lang w:eastAsia="ru-RU"/>
              </w:rPr>
              <w:t xml:space="preserve"> в т.ч.  Амортизация</w:t>
            </w:r>
          </w:p>
        </w:tc>
        <w:tc>
          <w:tcPr>
            <w:tcW w:w="573" w:type="pct"/>
            <w:tcBorders>
              <w:top w:val="nil"/>
              <w:left w:val="nil"/>
              <w:bottom w:val="single" w:sz="4" w:space="0" w:color="auto"/>
              <w:right w:val="single" w:sz="4" w:space="0" w:color="auto"/>
            </w:tcBorders>
            <w:shd w:val="clear" w:color="auto" w:fill="auto"/>
            <w:vAlign w:val="center"/>
            <w:hideMark/>
          </w:tcPr>
          <w:p w14:paraId="2E0A75A2" w14:textId="77777777" w:rsidR="009A4C46" w:rsidRPr="009A4C46" w:rsidRDefault="009A4C46" w:rsidP="009A4C46">
            <w:pPr>
              <w:spacing w:after="0" w:line="240" w:lineRule="auto"/>
              <w:jc w:val="center"/>
              <w:rPr>
                <w:rFonts w:eastAsia="Times New Roman"/>
                <w:sz w:val="18"/>
                <w:szCs w:val="18"/>
                <w:lang w:eastAsia="ru-RU"/>
              </w:rPr>
            </w:pPr>
            <w:r w:rsidRPr="009A4C46">
              <w:rPr>
                <w:rFonts w:eastAsia="Times New Roman"/>
                <w:sz w:val="18"/>
                <w:szCs w:val="18"/>
                <w:lang w:eastAsia="ru-RU"/>
              </w:rPr>
              <w:t>тыс. руб.</w:t>
            </w:r>
          </w:p>
        </w:tc>
        <w:tc>
          <w:tcPr>
            <w:tcW w:w="588" w:type="pct"/>
            <w:tcBorders>
              <w:top w:val="nil"/>
              <w:left w:val="nil"/>
              <w:bottom w:val="single" w:sz="8" w:space="0" w:color="auto"/>
              <w:right w:val="single" w:sz="8" w:space="0" w:color="auto"/>
            </w:tcBorders>
            <w:shd w:val="clear" w:color="auto" w:fill="auto"/>
            <w:noWrap/>
            <w:vAlign w:val="center"/>
            <w:hideMark/>
          </w:tcPr>
          <w:p w14:paraId="624F8298" w14:textId="77777777" w:rsidR="009A4C46" w:rsidRPr="009A4C46" w:rsidRDefault="009A4C46" w:rsidP="009A4C46">
            <w:pPr>
              <w:spacing w:after="0" w:line="240" w:lineRule="auto"/>
              <w:jc w:val="center"/>
              <w:rPr>
                <w:rFonts w:eastAsia="Times New Roman"/>
                <w:sz w:val="18"/>
                <w:szCs w:val="18"/>
                <w:lang w:eastAsia="ru-RU"/>
              </w:rPr>
            </w:pPr>
            <w:r w:rsidRPr="009A4C46">
              <w:rPr>
                <w:rFonts w:eastAsia="Times New Roman"/>
                <w:color w:val="000000"/>
                <w:sz w:val="18"/>
                <w:szCs w:val="18"/>
                <w:lang w:eastAsia="ru-RU"/>
              </w:rPr>
              <w:t>71 848</w:t>
            </w:r>
          </w:p>
        </w:tc>
        <w:tc>
          <w:tcPr>
            <w:tcW w:w="589" w:type="pct"/>
            <w:tcBorders>
              <w:top w:val="nil"/>
              <w:left w:val="nil"/>
              <w:bottom w:val="single" w:sz="8" w:space="0" w:color="auto"/>
              <w:right w:val="single" w:sz="8" w:space="0" w:color="auto"/>
            </w:tcBorders>
            <w:shd w:val="clear" w:color="auto" w:fill="auto"/>
            <w:noWrap/>
            <w:vAlign w:val="center"/>
            <w:hideMark/>
          </w:tcPr>
          <w:p w14:paraId="1F51EAA5" w14:textId="77777777" w:rsidR="009A4C46" w:rsidRPr="009A4C46" w:rsidRDefault="009A4C46" w:rsidP="009A4C46">
            <w:pPr>
              <w:spacing w:after="0" w:line="240" w:lineRule="auto"/>
              <w:jc w:val="center"/>
              <w:rPr>
                <w:rFonts w:eastAsia="Times New Roman"/>
                <w:sz w:val="18"/>
                <w:szCs w:val="18"/>
                <w:lang w:eastAsia="ru-RU"/>
              </w:rPr>
            </w:pPr>
            <w:r w:rsidRPr="009A4C46">
              <w:rPr>
                <w:rFonts w:eastAsia="Times New Roman"/>
                <w:color w:val="000000"/>
                <w:sz w:val="18"/>
                <w:szCs w:val="18"/>
                <w:lang w:eastAsia="ru-RU"/>
              </w:rPr>
              <w:t>103 456</w:t>
            </w:r>
          </w:p>
        </w:tc>
        <w:tc>
          <w:tcPr>
            <w:tcW w:w="589" w:type="pct"/>
            <w:tcBorders>
              <w:top w:val="nil"/>
              <w:left w:val="nil"/>
              <w:bottom w:val="single" w:sz="8" w:space="0" w:color="auto"/>
              <w:right w:val="single" w:sz="8" w:space="0" w:color="auto"/>
            </w:tcBorders>
            <w:shd w:val="clear" w:color="auto" w:fill="auto"/>
            <w:noWrap/>
            <w:vAlign w:val="center"/>
            <w:hideMark/>
          </w:tcPr>
          <w:p w14:paraId="24A38539" w14:textId="77777777" w:rsidR="009A4C46" w:rsidRPr="009A4C46" w:rsidRDefault="009A4C46" w:rsidP="009A4C46">
            <w:pPr>
              <w:spacing w:after="0" w:line="240" w:lineRule="auto"/>
              <w:jc w:val="center"/>
              <w:rPr>
                <w:rFonts w:eastAsia="Times New Roman"/>
                <w:sz w:val="18"/>
                <w:szCs w:val="18"/>
                <w:lang w:eastAsia="ru-RU"/>
              </w:rPr>
            </w:pPr>
            <w:r w:rsidRPr="009A4C46">
              <w:rPr>
                <w:rFonts w:eastAsia="Times New Roman"/>
                <w:color w:val="000000"/>
                <w:sz w:val="18"/>
                <w:szCs w:val="18"/>
                <w:lang w:eastAsia="ru-RU"/>
              </w:rPr>
              <w:t>31 609</w:t>
            </w:r>
          </w:p>
        </w:tc>
        <w:tc>
          <w:tcPr>
            <w:tcW w:w="568" w:type="pct"/>
            <w:tcBorders>
              <w:top w:val="nil"/>
              <w:left w:val="nil"/>
              <w:bottom w:val="single" w:sz="8" w:space="0" w:color="auto"/>
              <w:right w:val="single" w:sz="8" w:space="0" w:color="auto"/>
            </w:tcBorders>
            <w:shd w:val="clear" w:color="auto" w:fill="auto"/>
            <w:noWrap/>
            <w:vAlign w:val="center"/>
            <w:hideMark/>
          </w:tcPr>
          <w:p w14:paraId="303AA7E9" w14:textId="77777777" w:rsidR="009A4C46" w:rsidRPr="009A4C46" w:rsidRDefault="009A4C46" w:rsidP="009A4C46">
            <w:pPr>
              <w:spacing w:after="0" w:line="240" w:lineRule="auto"/>
              <w:jc w:val="center"/>
              <w:rPr>
                <w:rFonts w:eastAsia="Times New Roman"/>
                <w:sz w:val="18"/>
                <w:szCs w:val="18"/>
                <w:lang w:eastAsia="ru-RU"/>
              </w:rPr>
            </w:pPr>
            <w:r w:rsidRPr="009A4C46">
              <w:rPr>
                <w:rFonts w:eastAsia="Times New Roman"/>
                <w:color w:val="000000"/>
                <w:sz w:val="18"/>
                <w:szCs w:val="18"/>
                <w:lang w:eastAsia="ru-RU"/>
              </w:rPr>
              <w:t>44%</w:t>
            </w:r>
          </w:p>
        </w:tc>
        <w:tc>
          <w:tcPr>
            <w:tcW w:w="535" w:type="pct"/>
            <w:gridSpan w:val="2"/>
            <w:tcBorders>
              <w:top w:val="single" w:sz="8" w:space="0" w:color="auto"/>
              <w:left w:val="nil"/>
              <w:bottom w:val="single" w:sz="8" w:space="0" w:color="auto"/>
              <w:right w:val="single" w:sz="8" w:space="0" w:color="000000"/>
            </w:tcBorders>
            <w:shd w:val="clear" w:color="auto" w:fill="auto"/>
            <w:noWrap/>
            <w:vAlign w:val="center"/>
            <w:hideMark/>
          </w:tcPr>
          <w:p w14:paraId="55486511" w14:textId="77777777" w:rsidR="009A4C46" w:rsidRPr="009A4C46" w:rsidRDefault="009A4C46" w:rsidP="009A4C46">
            <w:pPr>
              <w:spacing w:after="0" w:line="240" w:lineRule="auto"/>
              <w:jc w:val="center"/>
              <w:rPr>
                <w:rFonts w:eastAsia="Times New Roman"/>
                <w:sz w:val="18"/>
                <w:szCs w:val="18"/>
                <w:lang w:eastAsia="ru-RU"/>
              </w:rPr>
            </w:pPr>
            <w:r w:rsidRPr="009A4C46">
              <w:rPr>
                <w:rFonts w:eastAsia="Times New Roman"/>
                <w:color w:val="000000"/>
                <w:sz w:val="18"/>
                <w:szCs w:val="18"/>
                <w:lang w:eastAsia="ru-RU"/>
              </w:rPr>
              <w:t>0</w:t>
            </w:r>
          </w:p>
        </w:tc>
        <w:tc>
          <w:tcPr>
            <w:tcW w:w="511" w:type="pct"/>
            <w:tcBorders>
              <w:top w:val="nil"/>
              <w:left w:val="nil"/>
              <w:bottom w:val="single" w:sz="8" w:space="0" w:color="auto"/>
              <w:right w:val="single" w:sz="8" w:space="0" w:color="auto"/>
            </w:tcBorders>
            <w:shd w:val="clear" w:color="auto" w:fill="auto"/>
            <w:vAlign w:val="center"/>
            <w:hideMark/>
          </w:tcPr>
          <w:p w14:paraId="555A2BB2" w14:textId="77777777" w:rsidR="009A4C46" w:rsidRPr="009A4C46" w:rsidRDefault="009A4C46" w:rsidP="009A4C46">
            <w:pPr>
              <w:spacing w:after="0" w:line="240" w:lineRule="auto"/>
              <w:jc w:val="center"/>
              <w:rPr>
                <w:rFonts w:eastAsia="Times New Roman"/>
                <w:sz w:val="18"/>
                <w:szCs w:val="18"/>
                <w:lang w:eastAsia="ru-RU"/>
              </w:rPr>
            </w:pPr>
            <w:r w:rsidRPr="009A4C46">
              <w:rPr>
                <w:rFonts w:eastAsia="Times New Roman"/>
                <w:color w:val="000000"/>
                <w:sz w:val="18"/>
                <w:szCs w:val="18"/>
                <w:lang w:eastAsia="ru-RU"/>
              </w:rPr>
              <w:t>корректировка за неисполнение ИП</w:t>
            </w:r>
          </w:p>
        </w:tc>
      </w:tr>
      <w:tr w:rsidR="009A4C46" w:rsidRPr="009A4C46" w14:paraId="6A7D8B49" w14:textId="77777777" w:rsidTr="005C3ACA">
        <w:trPr>
          <w:trHeight w:val="20"/>
        </w:trPr>
        <w:tc>
          <w:tcPr>
            <w:tcW w:w="1047" w:type="pct"/>
            <w:tcBorders>
              <w:top w:val="nil"/>
              <w:left w:val="single" w:sz="4" w:space="0" w:color="auto"/>
              <w:bottom w:val="single" w:sz="4" w:space="0" w:color="auto"/>
              <w:right w:val="single" w:sz="4" w:space="0" w:color="auto"/>
            </w:tcBorders>
            <w:shd w:val="clear" w:color="auto" w:fill="auto"/>
            <w:vAlign w:val="center"/>
            <w:hideMark/>
          </w:tcPr>
          <w:p w14:paraId="0074BCD7" w14:textId="77777777" w:rsidR="009A4C46" w:rsidRPr="009A4C46" w:rsidRDefault="009A4C46" w:rsidP="009A4C46">
            <w:pPr>
              <w:spacing w:after="0" w:line="240" w:lineRule="auto"/>
              <w:rPr>
                <w:rFonts w:eastAsia="Times New Roman"/>
                <w:b/>
                <w:sz w:val="18"/>
                <w:szCs w:val="18"/>
                <w:lang w:eastAsia="ru-RU"/>
              </w:rPr>
            </w:pPr>
            <w:r w:rsidRPr="009A4C46">
              <w:rPr>
                <w:rFonts w:eastAsia="Times New Roman"/>
                <w:b/>
                <w:sz w:val="18"/>
                <w:szCs w:val="18"/>
                <w:lang w:eastAsia="ru-RU"/>
              </w:rPr>
              <w:t>Экономически обоснованные расходы, не учтенные в предыдущем периоде регулирования</w:t>
            </w:r>
          </w:p>
        </w:tc>
        <w:tc>
          <w:tcPr>
            <w:tcW w:w="573" w:type="pct"/>
            <w:tcBorders>
              <w:top w:val="nil"/>
              <w:left w:val="nil"/>
              <w:bottom w:val="single" w:sz="4" w:space="0" w:color="auto"/>
              <w:right w:val="single" w:sz="4" w:space="0" w:color="auto"/>
            </w:tcBorders>
            <w:shd w:val="clear" w:color="auto" w:fill="auto"/>
            <w:vAlign w:val="center"/>
            <w:hideMark/>
          </w:tcPr>
          <w:p w14:paraId="197D46B8" w14:textId="77777777" w:rsidR="009A4C46" w:rsidRPr="009A4C46" w:rsidRDefault="009A4C46" w:rsidP="009A4C46">
            <w:pPr>
              <w:spacing w:after="0" w:line="240" w:lineRule="auto"/>
              <w:jc w:val="center"/>
              <w:rPr>
                <w:rFonts w:eastAsia="Times New Roman"/>
                <w:b/>
                <w:sz w:val="18"/>
                <w:szCs w:val="18"/>
                <w:lang w:eastAsia="ru-RU"/>
              </w:rPr>
            </w:pPr>
            <w:r w:rsidRPr="009A4C46">
              <w:rPr>
                <w:rFonts w:eastAsia="Times New Roman"/>
                <w:b/>
                <w:sz w:val="18"/>
                <w:szCs w:val="18"/>
                <w:lang w:eastAsia="ru-RU"/>
              </w:rPr>
              <w:t>тыс. руб.</w:t>
            </w:r>
          </w:p>
        </w:tc>
        <w:tc>
          <w:tcPr>
            <w:tcW w:w="588" w:type="pct"/>
            <w:tcBorders>
              <w:top w:val="nil"/>
              <w:left w:val="nil"/>
              <w:bottom w:val="single" w:sz="8" w:space="0" w:color="auto"/>
              <w:right w:val="single" w:sz="8" w:space="0" w:color="auto"/>
            </w:tcBorders>
            <w:shd w:val="clear" w:color="auto" w:fill="auto"/>
            <w:noWrap/>
            <w:vAlign w:val="center"/>
            <w:hideMark/>
          </w:tcPr>
          <w:p w14:paraId="760EC6AD" w14:textId="77777777" w:rsidR="009A4C46" w:rsidRPr="009A4C46" w:rsidRDefault="009A4C46" w:rsidP="009A4C46">
            <w:pPr>
              <w:spacing w:after="0" w:line="240" w:lineRule="auto"/>
              <w:jc w:val="center"/>
              <w:rPr>
                <w:rFonts w:eastAsia="Times New Roman"/>
                <w:b/>
                <w:sz w:val="18"/>
                <w:szCs w:val="18"/>
                <w:lang w:eastAsia="ru-RU"/>
              </w:rPr>
            </w:pPr>
            <w:r w:rsidRPr="009A4C46">
              <w:rPr>
                <w:rFonts w:eastAsia="Times New Roman"/>
                <w:b/>
                <w:bCs/>
                <w:color w:val="000000"/>
                <w:sz w:val="18"/>
                <w:szCs w:val="18"/>
                <w:lang w:eastAsia="ru-RU"/>
              </w:rPr>
              <w:t>48 027</w:t>
            </w:r>
          </w:p>
        </w:tc>
        <w:tc>
          <w:tcPr>
            <w:tcW w:w="589" w:type="pct"/>
            <w:tcBorders>
              <w:top w:val="nil"/>
              <w:left w:val="nil"/>
              <w:bottom w:val="single" w:sz="8" w:space="0" w:color="auto"/>
              <w:right w:val="single" w:sz="8" w:space="0" w:color="auto"/>
            </w:tcBorders>
            <w:shd w:val="clear" w:color="auto" w:fill="auto"/>
            <w:noWrap/>
            <w:vAlign w:val="center"/>
            <w:hideMark/>
          </w:tcPr>
          <w:p w14:paraId="2FE8CB47" w14:textId="77777777" w:rsidR="009A4C46" w:rsidRPr="009A4C46" w:rsidRDefault="009A4C46" w:rsidP="009A4C46">
            <w:pPr>
              <w:spacing w:after="0" w:line="240" w:lineRule="auto"/>
              <w:jc w:val="center"/>
              <w:rPr>
                <w:rFonts w:eastAsia="Times New Roman"/>
                <w:b/>
                <w:sz w:val="18"/>
                <w:szCs w:val="18"/>
                <w:lang w:eastAsia="ru-RU"/>
              </w:rPr>
            </w:pPr>
            <w:r w:rsidRPr="009A4C46">
              <w:rPr>
                <w:rFonts w:eastAsia="Times New Roman"/>
                <w:color w:val="000000"/>
                <w:sz w:val="18"/>
                <w:szCs w:val="18"/>
                <w:lang w:eastAsia="ru-RU"/>
              </w:rPr>
              <w:t> </w:t>
            </w:r>
          </w:p>
        </w:tc>
        <w:tc>
          <w:tcPr>
            <w:tcW w:w="589" w:type="pct"/>
            <w:tcBorders>
              <w:top w:val="nil"/>
              <w:left w:val="nil"/>
              <w:bottom w:val="single" w:sz="8" w:space="0" w:color="auto"/>
              <w:right w:val="single" w:sz="8" w:space="0" w:color="auto"/>
            </w:tcBorders>
            <w:shd w:val="clear" w:color="auto" w:fill="auto"/>
            <w:noWrap/>
            <w:vAlign w:val="center"/>
            <w:hideMark/>
          </w:tcPr>
          <w:p w14:paraId="10CB3EBC" w14:textId="77777777" w:rsidR="009A4C46" w:rsidRPr="009A4C46" w:rsidRDefault="009A4C46" w:rsidP="009A4C46">
            <w:pPr>
              <w:spacing w:after="0" w:line="240" w:lineRule="auto"/>
              <w:jc w:val="center"/>
              <w:rPr>
                <w:rFonts w:eastAsia="Times New Roman"/>
                <w:b/>
                <w:sz w:val="18"/>
                <w:szCs w:val="18"/>
                <w:lang w:eastAsia="ru-RU"/>
              </w:rPr>
            </w:pPr>
            <w:r w:rsidRPr="009A4C46">
              <w:rPr>
                <w:rFonts w:eastAsia="Times New Roman"/>
                <w:color w:val="000000"/>
                <w:sz w:val="18"/>
                <w:szCs w:val="18"/>
                <w:lang w:eastAsia="ru-RU"/>
              </w:rPr>
              <w:t>-48 027</w:t>
            </w:r>
          </w:p>
        </w:tc>
        <w:tc>
          <w:tcPr>
            <w:tcW w:w="568" w:type="pct"/>
            <w:tcBorders>
              <w:top w:val="nil"/>
              <w:left w:val="nil"/>
              <w:bottom w:val="single" w:sz="8" w:space="0" w:color="auto"/>
              <w:right w:val="single" w:sz="8" w:space="0" w:color="auto"/>
            </w:tcBorders>
            <w:shd w:val="clear" w:color="auto" w:fill="auto"/>
            <w:noWrap/>
            <w:vAlign w:val="center"/>
            <w:hideMark/>
          </w:tcPr>
          <w:p w14:paraId="603260E7" w14:textId="77777777" w:rsidR="009A4C46" w:rsidRPr="009A4C46" w:rsidRDefault="009A4C46" w:rsidP="009A4C46">
            <w:pPr>
              <w:spacing w:after="0" w:line="240" w:lineRule="auto"/>
              <w:jc w:val="center"/>
              <w:rPr>
                <w:rFonts w:eastAsia="Times New Roman"/>
                <w:b/>
                <w:sz w:val="18"/>
                <w:szCs w:val="18"/>
                <w:lang w:eastAsia="ru-RU"/>
              </w:rPr>
            </w:pPr>
            <w:r w:rsidRPr="009A4C46">
              <w:rPr>
                <w:rFonts w:eastAsia="Times New Roman"/>
                <w:color w:val="000000"/>
                <w:sz w:val="18"/>
                <w:szCs w:val="18"/>
                <w:lang w:eastAsia="ru-RU"/>
              </w:rPr>
              <w:t> </w:t>
            </w:r>
          </w:p>
        </w:tc>
        <w:tc>
          <w:tcPr>
            <w:tcW w:w="535" w:type="pct"/>
            <w:gridSpan w:val="2"/>
            <w:tcBorders>
              <w:top w:val="single" w:sz="8" w:space="0" w:color="auto"/>
              <w:left w:val="nil"/>
              <w:bottom w:val="single" w:sz="8" w:space="0" w:color="auto"/>
              <w:right w:val="single" w:sz="8" w:space="0" w:color="000000"/>
            </w:tcBorders>
            <w:shd w:val="clear" w:color="auto" w:fill="auto"/>
            <w:noWrap/>
            <w:vAlign w:val="center"/>
            <w:hideMark/>
          </w:tcPr>
          <w:p w14:paraId="07BC5703" w14:textId="77777777" w:rsidR="009A4C46" w:rsidRPr="009A4C46" w:rsidRDefault="009A4C46" w:rsidP="009A4C46">
            <w:pPr>
              <w:spacing w:after="0" w:line="240" w:lineRule="auto"/>
              <w:jc w:val="center"/>
              <w:rPr>
                <w:rFonts w:eastAsia="Times New Roman"/>
                <w:b/>
                <w:sz w:val="18"/>
                <w:szCs w:val="18"/>
                <w:lang w:eastAsia="ru-RU"/>
              </w:rPr>
            </w:pPr>
            <w:r w:rsidRPr="009A4C46">
              <w:rPr>
                <w:rFonts w:eastAsia="Times New Roman"/>
                <w:color w:val="000000"/>
                <w:sz w:val="18"/>
                <w:szCs w:val="18"/>
                <w:lang w:eastAsia="ru-RU"/>
              </w:rPr>
              <w:t> </w:t>
            </w:r>
          </w:p>
        </w:tc>
        <w:tc>
          <w:tcPr>
            <w:tcW w:w="511" w:type="pct"/>
            <w:tcBorders>
              <w:top w:val="nil"/>
              <w:left w:val="nil"/>
              <w:bottom w:val="single" w:sz="8" w:space="0" w:color="auto"/>
              <w:right w:val="single" w:sz="8" w:space="0" w:color="auto"/>
            </w:tcBorders>
            <w:shd w:val="clear" w:color="auto" w:fill="auto"/>
            <w:vAlign w:val="center"/>
            <w:hideMark/>
          </w:tcPr>
          <w:p w14:paraId="5F62C071" w14:textId="77777777" w:rsidR="009A4C46" w:rsidRPr="009A4C46" w:rsidRDefault="009A4C46" w:rsidP="009A4C46">
            <w:pPr>
              <w:spacing w:after="0" w:line="240" w:lineRule="auto"/>
              <w:jc w:val="center"/>
              <w:rPr>
                <w:rFonts w:eastAsia="Times New Roman"/>
                <w:b/>
                <w:sz w:val="18"/>
                <w:szCs w:val="18"/>
                <w:lang w:eastAsia="ru-RU"/>
              </w:rPr>
            </w:pPr>
            <w:r w:rsidRPr="009A4C46">
              <w:rPr>
                <w:rFonts w:eastAsia="Times New Roman"/>
                <w:color w:val="000000"/>
                <w:sz w:val="18"/>
                <w:szCs w:val="18"/>
                <w:lang w:eastAsia="ru-RU"/>
              </w:rPr>
              <w:t> </w:t>
            </w:r>
          </w:p>
        </w:tc>
      </w:tr>
      <w:tr w:rsidR="009A4C46" w:rsidRPr="009A4C46" w14:paraId="4D12F5A6" w14:textId="77777777" w:rsidTr="005C3ACA">
        <w:trPr>
          <w:trHeight w:val="20"/>
        </w:trPr>
        <w:tc>
          <w:tcPr>
            <w:tcW w:w="1047" w:type="pct"/>
            <w:tcBorders>
              <w:top w:val="nil"/>
              <w:left w:val="single" w:sz="4" w:space="0" w:color="auto"/>
              <w:bottom w:val="single" w:sz="4" w:space="0" w:color="auto"/>
              <w:right w:val="single" w:sz="4" w:space="0" w:color="auto"/>
            </w:tcBorders>
            <w:shd w:val="clear" w:color="auto" w:fill="auto"/>
            <w:vAlign w:val="center"/>
            <w:hideMark/>
          </w:tcPr>
          <w:p w14:paraId="6D55605C" w14:textId="77777777" w:rsidR="009A4C46" w:rsidRPr="009A4C46" w:rsidRDefault="009A4C46" w:rsidP="009A4C46">
            <w:pPr>
              <w:spacing w:after="0" w:line="240" w:lineRule="auto"/>
              <w:jc w:val="both"/>
              <w:rPr>
                <w:rFonts w:eastAsia="Times New Roman"/>
                <w:b/>
                <w:sz w:val="18"/>
                <w:szCs w:val="18"/>
                <w:lang w:eastAsia="ru-RU"/>
              </w:rPr>
            </w:pPr>
            <w:r w:rsidRPr="009A4C46">
              <w:rPr>
                <w:rFonts w:eastAsia="Times New Roman"/>
                <w:b/>
                <w:sz w:val="18"/>
                <w:szCs w:val="18"/>
                <w:lang w:eastAsia="ru-RU"/>
              </w:rPr>
              <w:t xml:space="preserve">НВВ на содержание </w:t>
            </w:r>
          </w:p>
        </w:tc>
        <w:tc>
          <w:tcPr>
            <w:tcW w:w="573" w:type="pct"/>
            <w:tcBorders>
              <w:top w:val="nil"/>
              <w:left w:val="nil"/>
              <w:bottom w:val="single" w:sz="4" w:space="0" w:color="auto"/>
              <w:right w:val="single" w:sz="4" w:space="0" w:color="auto"/>
            </w:tcBorders>
            <w:shd w:val="clear" w:color="auto" w:fill="auto"/>
            <w:vAlign w:val="center"/>
            <w:hideMark/>
          </w:tcPr>
          <w:p w14:paraId="7F5E9863" w14:textId="77777777" w:rsidR="009A4C46" w:rsidRPr="009A4C46" w:rsidRDefault="009A4C46" w:rsidP="009A4C46">
            <w:pPr>
              <w:spacing w:after="0" w:line="240" w:lineRule="auto"/>
              <w:jc w:val="center"/>
              <w:rPr>
                <w:rFonts w:eastAsia="Times New Roman"/>
                <w:b/>
                <w:sz w:val="18"/>
                <w:szCs w:val="18"/>
                <w:lang w:eastAsia="ru-RU"/>
              </w:rPr>
            </w:pPr>
            <w:r w:rsidRPr="009A4C46">
              <w:rPr>
                <w:rFonts w:eastAsia="Times New Roman"/>
                <w:b/>
                <w:sz w:val="18"/>
                <w:szCs w:val="18"/>
                <w:lang w:eastAsia="ru-RU"/>
              </w:rPr>
              <w:t>тыс. руб.</w:t>
            </w:r>
          </w:p>
        </w:tc>
        <w:tc>
          <w:tcPr>
            <w:tcW w:w="588" w:type="pct"/>
            <w:tcBorders>
              <w:top w:val="nil"/>
              <w:left w:val="nil"/>
              <w:bottom w:val="single" w:sz="8" w:space="0" w:color="auto"/>
              <w:right w:val="single" w:sz="8" w:space="0" w:color="auto"/>
            </w:tcBorders>
            <w:shd w:val="clear" w:color="auto" w:fill="auto"/>
            <w:noWrap/>
            <w:vAlign w:val="center"/>
            <w:hideMark/>
          </w:tcPr>
          <w:p w14:paraId="6B090E9D" w14:textId="77777777" w:rsidR="009A4C46" w:rsidRPr="009A4C46" w:rsidRDefault="009A4C46" w:rsidP="009A4C46">
            <w:pPr>
              <w:spacing w:after="0" w:line="240" w:lineRule="auto"/>
              <w:jc w:val="center"/>
              <w:rPr>
                <w:rFonts w:eastAsia="Times New Roman"/>
                <w:b/>
                <w:sz w:val="18"/>
                <w:szCs w:val="18"/>
                <w:lang w:eastAsia="ru-RU"/>
              </w:rPr>
            </w:pPr>
            <w:r w:rsidRPr="009A4C46">
              <w:rPr>
                <w:rFonts w:eastAsia="Times New Roman"/>
                <w:b/>
                <w:bCs/>
                <w:color w:val="000000"/>
                <w:sz w:val="18"/>
                <w:szCs w:val="18"/>
                <w:lang w:eastAsia="ru-RU"/>
              </w:rPr>
              <w:t>1 223 487</w:t>
            </w:r>
          </w:p>
        </w:tc>
        <w:tc>
          <w:tcPr>
            <w:tcW w:w="589" w:type="pct"/>
            <w:tcBorders>
              <w:top w:val="nil"/>
              <w:left w:val="nil"/>
              <w:bottom w:val="single" w:sz="8" w:space="0" w:color="auto"/>
              <w:right w:val="single" w:sz="8" w:space="0" w:color="auto"/>
            </w:tcBorders>
            <w:shd w:val="clear" w:color="auto" w:fill="auto"/>
            <w:noWrap/>
            <w:vAlign w:val="center"/>
            <w:hideMark/>
          </w:tcPr>
          <w:p w14:paraId="55829897" w14:textId="77777777" w:rsidR="009A4C46" w:rsidRPr="009A4C46" w:rsidRDefault="009A4C46" w:rsidP="009A4C46">
            <w:pPr>
              <w:spacing w:after="0" w:line="240" w:lineRule="auto"/>
              <w:jc w:val="center"/>
              <w:rPr>
                <w:rFonts w:eastAsia="Times New Roman"/>
                <w:b/>
                <w:sz w:val="18"/>
                <w:szCs w:val="18"/>
                <w:lang w:eastAsia="ru-RU"/>
              </w:rPr>
            </w:pPr>
            <w:r w:rsidRPr="009A4C46">
              <w:rPr>
                <w:rFonts w:eastAsia="Times New Roman"/>
                <w:b/>
                <w:bCs/>
                <w:color w:val="000000"/>
                <w:sz w:val="18"/>
                <w:szCs w:val="18"/>
                <w:lang w:eastAsia="ru-RU"/>
              </w:rPr>
              <w:t>2 347 619</w:t>
            </w:r>
          </w:p>
        </w:tc>
        <w:tc>
          <w:tcPr>
            <w:tcW w:w="589" w:type="pct"/>
            <w:tcBorders>
              <w:top w:val="nil"/>
              <w:left w:val="nil"/>
              <w:bottom w:val="single" w:sz="8" w:space="0" w:color="auto"/>
              <w:right w:val="single" w:sz="8" w:space="0" w:color="auto"/>
            </w:tcBorders>
            <w:shd w:val="clear" w:color="auto" w:fill="auto"/>
            <w:noWrap/>
            <w:vAlign w:val="center"/>
            <w:hideMark/>
          </w:tcPr>
          <w:p w14:paraId="0E24C6EE" w14:textId="77777777" w:rsidR="009A4C46" w:rsidRPr="009A4C46" w:rsidRDefault="009A4C46" w:rsidP="009A4C46">
            <w:pPr>
              <w:spacing w:after="0" w:line="240" w:lineRule="auto"/>
              <w:jc w:val="center"/>
              <w:rPr>
                <w:rFonts w:eastAsia="Times New Roman"/>
                <w:b/>
                <w:sz w:val="18"/>
                <w:szCs w:val="18"/>
                <w:lang w:eastAsia="ru-RU"/>
              </w:rPr>
            </w:pPr>
            <w:r w:rsidRPr="009A4C46">
              <w:rPr>
                <w:rFonts w:eastAsia="Times New Roman"/>
                <w:b/>
                <w:bCs/>
                <w:color w:val="000000"/>
                <w:sz w:val="18"/>
                <w:szCs w:val="18"/>
                <w:lang w:eastAsia="ru-RU"/>
              </w:rPr>
              <w:t>1 124 132</w:t>
            </w:r>
          </w:p>
        </w:tc>
        <w:tc>
          <w:tcPr>
            <w:tcW w:w="568" w:type="pct"/>
            <w:tcBorders>
              <w:top w:val="nil"/>
              <w:left w:val="nil"/>
              <w:bottom w:val="single" w:sz="8" w:space="0" w:color="auto"/>
              <w:right w:val="single" w:sz="8" w:space="0" w:color="auto"/>
            </w:tcBorders>
            <w:shd w:val="clear" w:color="auto" w:fill="auto"/>
            <w:noWrap/>
            <w:vAlign w:val="center"/>
            <w:hideMark/>
          </w:tcPr>
          <w:p w14:paraId="33F0456B" w14:textId="77777777" w:rsidR="009A4C46" w:rsidRPr="009A4C46" w:rsidRDefault="009A4C46" w:rsidP="009A4C46">
            <w:pPr>
              <w:spacing w:after="0" w:line="240" w:lineRule="auto"/>
              <w:jc w:val="center"/>
              <w:rPr>
                <w:rFonts w:eastAsia="Times New Roman"/>
                <w:b/>
                <w:sz w:val="18"/>
                <w:szCs w:val="18"/>
                <w:lang w:eastAsia="ru-RU"/>
              </w:rPr>
            </w:pPr>
            <w:r w:rsidRPr="009A4C46">
              <w:rPr>
                <w:rFonts w:eastAsia="Times New Roman"/>
                <w:b/>
                <w:bCs/>
                <w:color w:val="000000"/>
                <w:sz w:val="18"/>
                <w:szCs w:val="18"/>
                <w:lang w:eastAsia="ru-RU"/>
              </w:rPr>
              <w:t>92%</w:t>
            </w:r>
          </w:p>
        </w:tc>
        <w:tc>
          <w:tcPr>
            <w:tcW w:w="535" w:type="pct"/>
            <w:gridSpan w:val="2"/>
            <w:tcBorders>
              <w:top w:val="single" w:sz="8" w:space="0" w:color="auto"/>
              <w:left w:val="nil"/>
              <w:bottom w:val="single" w:sz="8" w:space="0" w:color="auto"/>
              <w:right w:val="single" w:sz="8" w:space="0" w:color="000000"/>
            </w:tcBorders>
            <w:shd w:val="clear" w:color="auto" w:fill="auto"/>
            <w:noWrap/>
            <w:vAlign w:val="center"/>
            <w:hideMark/>
          </w:tcPr>
          <w:p w14:paraId="23A3F31D" w14:textId="77777777" w:rsidR="009A4C46" w:rsidRPr="009A4C46" w:rsidRDefault="009A4C46" w:rsidP="009A4C46">
            <w:pPr>
              <w:spacing w:after="0" w:line="240" w:lineRule="auto"/>
              <w:jc w:val="center"/>
              <w:rPr>
                <w:rFonts w:eastAsia="Times New Roman"/>
                <w:sz w:val="18"/>
                <w:szCs w:val="18"/>
                <w:lang w:eastAsia="ru-RU"/>
              </w:rPr>
            </w:pPr>
            <w:r w:rsidRPr="009A4C46">
              <w:rPr>
                <w:rFonts w:eastAsia="Times New Roman"/>
                <w:color w:val="000000"/>
                <w:sz w:val="18"/>
                <w:szCs w:val="18"/>
                <w:lang w:eastAsia="ru-RU"/>
              </w:rPr>
              <w:t>0</w:t>
            </w:r>
          </w:p>
        </w:tc>
        <w:tc>
          <w:tcPr>
            <w:tcW w:w="511" w:type="pct"/>
            <w:tcBorders>
              <w:top w:val="nil"/>
              <w:left w:val="nil"/>
              <w:bottom w:val="single" w:sz="8" w:space="0" w:color="auto"/>
              <w:right w:val="single" w:sz="8" w:space="0" w:color="auto"/>
            </w:tcBorders>
            <w:shd w:val="clear" w:color="auto" w:fill="auto"/>
            <w:vAlign w:val="center"/>
            <w:hideMark/>
          </w:tcPr>
          <w:p w14:paraId="63B25FD2" w14:textId="77777777" w:rsidR="009A4C46" w:rsidRPr="009A4C46" w:rsidRDefault="009A4C46" w:rsidP="009A4C46">
            <w:pPr>
              <w:spacing w:after="0" w:line="240" w:lineRule="auto"/>
              <w:jc w:val="center"/>
              <w:rPr>
                <w:rFonts w:eastAsia="Times New Roman"/>
                <w:sz w:val="18"/>
                <w:szCs w:val="18"/>
                <w:lang w:eastAsia="ru-RU"/>
              </w:rPr>
            </w:pPr>
            <w:r w:rsidRPr="009A4C46">
              <w:rPr>
                <w:rFonts w:eastAsia="Times New Roman"/>
                <w:color w:val="000000"/>
                <w:sz w:val="18"/>
                <w:szCs w:val="18"/>
                <w:lang w:eastAsia="ru-RU"/>
              </w:rPr>
              <w:t>корректировка по доходам</w:t>
            </w:r>
          </w:p>
        </w:tc>
      </w:tr>
      <w:tr w:rsidR="009A4C46" w:rsidRPr="009A4C46" w14:paraId="1EBC6446" w14:textId="77777777" w:rsidTr="005C3ACA">
        <w:trPr>
          <w:trHeight w:val="20"/>
        </w:trPr>
        <w:tc>
          <w:tcPr>
            <w:tcW w:w="1047" w:type="pct"/>
            <w:tcBorders>
              <w:top w:val="nil"/>
              <w:left w:val="single" w:sz="4" w:space="0" w:color="auto"/>
              <w:bottom w:val="single" w:sz="4" w:space="0" w:color="auto"/>
              <w:right w:val="single" w:sz="4" w:space="0" w:color="auto"/>
            </w:tcBorders>
            <w:shd w:val="clear" w:color="auto" w:fill="auto"/>
            <w:vAlign w:val="center"/>
            <w:hideMark/>
          </w:tcPr>
          <w:p w14:paraId="6B66AC88" w14:textId="77777777" w:rsidR="009A4C46" w:rsidRPr="009A4C46" w:rsidRDefault="009A4C46" w:rsidP="009A4C46">
            <w:pPr>
              <w:spacing w:after="0" w:line="240" w:lineRule="auto"/>
              <w:jc w:val="both"/>
              <w:rPr>
                <w:rFonts w:eastAsia="Times New Roman"/>
                <w:sz w:val="18"/>
                <w:szCs w:val="18"/>
                <w:lang w:eastAsia="ru-RU"/>
              </w:rPr>
            </w:pPr>
            <w:r w:rsidRPr="009A4C46">
              <w:rPr>
                <w:rFonts w:eastAsia="Times New Roman"/>
                <w:sz w:val="18"/>
                <w:szCs w:val="18"/>
                <w:lang w:eastAsia="ru-RU"/>
              </w:rPr>
              <w:t>Поступление в сеть</w:t>
            </w:r>
          </w:p>
        </w:tc>
        <w:tc>
          <w:tcPr>
            <w:tcW w:w="573" w:type="pct"/>
            <w:tcBorders>
              <w:top w:val="nil"/>
              <w:left w:val="nil"/>
              <w:bottom w:val="single" w:sz="4" w:space="0" w:color="auto"/>
              <w:right w:val="single" w:sz="4" w:space="0" w:color="auto"/>
            </w:tcBorders>
            <w:shd w:val="clear" w:color="auto" w:fill="auto"/>
            <w:noWrap/>
            <w:vAlign w:val="center"/>
            <w:hideMark/>
          </w:tcPr>
          <w:p w14:paraId="5CF5C555" w14:textId="77777777" w:rsidR="009A4C46" w:rsidRPr="009A4C46" w:rsidRDefault="009A4C46" w:rsidP="009A4C46">
            <w:pPr>
              <w:spacing w:after="0" w:line="240" w:lineRule="auto"/>
              <w:jc w:val="center"/>
              <w:rPr>
                <w:rFonts w:eastAsia="Times New Roman"/>
                <w:sz w:val="18"/>
                <w:szCs w:val="18"/>
                <w:lang w:eastAsia="ru-RU"/>
              </w:rPr>
            </w:pPr>
            <w:r w:rsidRPr="009A4C46">
              <w:rPr>
                <w:rFonts w:eastAsia="Times New Roman"/>
                <w:sz w:val="18"/>
                <w:szCs w:val="18"/>
                <w:lang w:eastAsia="ru-RU"/>
              </w:rPr>
              <w:t xml:space="preserve">млн. </w:t>
            </w:r>
            <w:proofErr w:type="spellStart"/>
            <w:r w:rsidRPr="009A4C46">
              <w:rPr>
                <w:rFonts w:eastAsia="Times New Roman"/>
                <w:sz w:val="18"/>
                <w:szCs w:val="18"/>
                <w:lang w:eastAsia="ru-RU"/>
              </w:rPr>
              <w:t>кВтч</w:t>
            </w:r>
            <w:proofErr w:type="spellEnd"/>
          </w:p>
        </w:tc>
        <w:tc>
          <w:tcPr>
            <w:tcW w:w="588" w:type="pct"/>
            <w:tcBorders>
              <w:top w:val="nil"/>
              <w:left w:val="nil"/>
              <w:bottom w:val="single" w:sz="8" w:space="0" w:color="auto"/>
              <w:right w:val="single" w:sz="8" w:space="0" w:color="auto"/>
            </w:tcBorders>
            <w:shd w:val="clear" w:color="auto" w:fill="auto"/>
            <w:noWrap/>
            <w:vAlign w:val="center"/>
          </w:tcPr>
          <w:p w14:paraId="5BA02552" w14:textId="77777777" w:rsidR="009A4C46" w:rsidRPr="009A4C46" w:rsidRDefault="009A4C46" w:rsidP="009A4C46">
            <w:pPr>
              <w:spacing w:after="0" w:line="240" w:lineRule="auto"/>
              <w:jc w:val="center"/>
              <w:rPr>
                <w:rFonts w:eastAsia="Times New Roman"/>
                <w:sz w:val="18"/>
                <w:szCs w:val="18"/>
                <w:lang w:eastAsia="ru-RU"/>
              </w:rPr>
            </w:pPr>
            <w:r w:rsidRPr="009A4C46">
              <w:rPr>
                <w:rFonts w:eastAsia="Times New Roman"/>
                <w:color w:val="000000"/>
                <w:lang w:eastAsia="ru-RU"/>
              </w:rPr>
              <w:t>622,39</w:t>
            </w:r>
          </w:p>
        </w:tc>
        <w:tc>
          <w:tcPr>
            <w:tcW w:w="589" w:type="pct"/>
            <w:tcBorders>
              <w:top w:val="nil"/>
              <w:left w:val="nil"/>
              <w:bottom w:val="single" w:sz="8" w:space="0" w:color="auto"/>
              <w:right w:val="single" w:sz="8" w:space="0" w:color="auto"/>
            </w:tcBorders>
            <w:shd w:val="clear" w:color="auto" w:fill="auto"/>
            <w:noWrap/>
            <w:vAlign w:val="center"/>
          </w:tcPr>
          <w:p w14:paraId="29C493A8" w14:textId="77777777" w:rsidR="009A4C46" w:rsidRPr="009A4C46" w:rsidRDefault="009A4C46" w:rsidP="009A4C46">
            <w:pPr>
              <w:spacing w:after="0" w:line="240" w:lineRule="auto"/>
              <w:jc w:val="center"/>
              <w:rPr>
                <w:rFonts w:eastAsia="Times New Roman"/>
                <w:sz w:val="18"/>
                <w:szCs w:val="18"/>
                <w:lang w:eastAsia="ru-RU"/>
              </w:rPr>
            </w:pPr>
            <w:r w:rsidRPr="009A4C46">
              <w:rPr>
                <w:rFonts w:eastAsia="Times New Roman"/>
                <w:color w:val="000000"/>
                <w:lang w:eastAsia="ru-RU"/>
              </w:rPr>
              <w:t>718,81</w:t>
            </w:r>
          </w:p>
        </w:tc>
        <w:tc>
          <w:tcPr>
            <w:tcW w:w="589" w:type="pct"/>
            <w:tcBorders>
              <w:top w:val="nil"/>
              <w:left w:val="nil"/>
              <w:bottom w:val="single" w:sz="8" w:space="0" w:color="auto"/>
              <w:right w:val="single" w:sz="8" w:space="0" w:color="auto"/>
            </w:tcBorders>
            <w:shd w:val="clear" w:color="auto" w:fill="auto"/>
            <w:noWrap/>
            <w:vAlign w:val="center"/>
            <w:hideMark/>
          </w:tcPr>
          <w:p w14:paraId="756157D7" w14:textId="77777777" w:rsidR="009A4C46" w:rsidRPr="009A4C46" w:rsidRDefault="009A4C46" w:rsidP="009A4C46">
            <w:pPr>
              <w:spacing w:after="0" w:line="240" w:lineRule="auto"/>
              <w:jc w:val="center"/>
              <w:rPr>
                <w:rFonts w:eastAsia="Times New Roman"/>
                <w:sz w:val="18"/>
                <w:szCs w:val="18"/>
                <w:lang w:eastAsia="ru-RU"/>
              </w:rPr>
            </w:pPr>
            <w:r w:rsidRPr="009A4C46">
              <w:rPr>
                <w:rFonts w:eastAsia="Times New Roman"/>
                <w:color w:val="000000"/>
                <w:lang w:eastAsia="ru-RU"/>
              </w:rPr>
              <w:t>96</w:t>
            </w:r>
          </w:p>
        </w:tc>
        <w:tc>
          <w:tcPr>
            <w:tcW w:w="568" w:type="pct"/>
            <w:tcBorders>
              <w:top w:val="nil"/>
              <w:left w:val="nil"/>
              <w:bottom w:val="single" w:sz="8" w:space="0" w:color="auto"/>
              <w:right w:val="single" w:sz="8" w:space="0" w:color="auto"/>
            </w:tcBorders>
            <w:shd w:val="clear" w:color="auto" w:fill="auto"/>
            <w:noWrap/>
            <w:vAlign w:val="center"/>
            <w:hideMark/>
          </w:tcPr>
          <w:p w14:paraId="3273BBB5" w14:textId="77777777" w:rsidR="009A4C46" w:rsidRPr="009A4C46" w:rsidRDefault="009A4C46" w:rsidP="009A4C46">
            <w:pPr>
              <w:spacing w:after="0" w:line="240" w:lineRule="auto"/>
              <w:jc w:val="center"/>
              <w:rPr>
                <w:rFonts w:eastAsia="Times New Roman"/>
                <w:sz w:val="18"/>
                <w:szCs w:val="18"/>
                <w:lang w:eastAsia="ru-RU"/>
              </w:rPr>
            </w:pPr>
            <w:r w:rsidRPr="009A4C46">
              <w:rPr>
                <w:rFonts w:eastAsia="Times New Roman"/>
                <w:color w:val="000000"/>
                <w:lang w:eastAsia="ru-RU"/>
              </w:rPr>
              <w:t>15%</w:t>
            </w:r>
          </w:p>
        </w:tc>
        <w:tc>
          <w:tcPr>
            <w:tcW w:w="535" w:type="pct"/>
            <w:gridSpan w:val="2"/>
            <w:tcBorders>
              <w:top w:val="single" w:sz="8" w:space="0" w:color="auto"/>
              <w:left w:val="nil"/>
              <w:bottom w:val="single" w:sz="8" w:space="0" w:color="auto"/>
              <w:right w:val="single" w:sz="8" w:space="0" w:color="000000"/>
            </w:tcBorders>
            <w:shd w:val="clear" w:color="auto" w:fill="auto"/>
            <w:noWrap/>
            <w:vAlign w:val="center"/>
            <w:hideMark/>
          </w:tcPr>
          <w:p w14:paraId="1CF4D81C" w14:textId="77777777" w:rsidR="009A4C46" w:rsidRPr="009A4C46" w:rsidRDefault="009A4C46" w:rsidP="009A4C46">
            <w:pPr>
              <w:spacing w:after="0" w:line="240" w:lineRule="auto"/>
              <w:jc w:val="center"/>
              <w:rPr>
                <w:rFonts w:eastAsia="Times New Roman"/>
                <w:sz w:val="18"/>
                <w:szCs w:val="18"/>
                <w:lang w:eastAsia="ru-RU"/>
              </w:rPr>
            </w:pPr>
            <w:r w:rsidRPr="009A4C46">
              <w:rPr>
                <w:rFonts w:eastAsia="Times New Roman"/>
                <w:color w:val="000000"/>
                <w:sz w:val="18"/>
                <w:szCs w:val="18"/>
                <w:lang w:eastAsia="ru-RU"/>
              </w:rPr>
              <w:t> </w:t>
            </w:r>
          </w:p>
        </w:tc>
        <w:tc>
          <w:tcPr>
            <w:tcW w:w="511" w:type="pct"/>
            <w:tcBorders>
              <w:top w:val="nil"/>
              <w:left w:val="nil"/>
              <w:bottom w:val="single" w:sz="8" w:space="0" w:color="auto"/>
              <w:right w:val="single" w:sz="8" w:space="0" w:color="auto"/>
            </w:tcBorders>
            <w:shd w:val="clear" w:color="auto" w:fill="auto"/>
            <w:noWrap/>
            <w:vAlign w:val="center"/>
            <w:hideMark/>
          </w:tcPr>
          <w:p w14:paraId="78137D57" w14:textId="77777777" w:rsidR="009A4C46" w:rsidRPr="009A4C46" w:rsidRDefault="009A4C46" w:rsidP="009A4C46">
            <w:pPr>
              <w:spacing w:after="0" w:line="240" w:lineRule="auto"/>
              <w:jc w:val="center"/>
              <w:rPr>
                <w:rFonts w:eastAsia="Times New Roman"/>
                <w:sz w:val="18"/>
                <w:szCs w:val="18"/>
                <w:lang w:eastAsia="ru-RU"/>
              </w:rPr>
            </w:pPr>
            <w:r w:rsidRPr="009A4C46">
              <w:rPr>
                <w:rFonts w:eastAsia="Times New Roman"/>
                <w:color w:val="000000"/>
                <w:sz w:val="18"/>
                <w:szCs w:val="18"/>
                <w:lang w:eastAsia="ru-RU"/>
              </w:rPr>
              <w:t> </w:t>
            </w:r>
          </w:p>
        </w:tc>
      </w:tr>
      <w:tr w:rsidR="009A4C46" w:rsidRPr="009A4C46" w14:paraId="0B0CBFD7" w14:textId="77777777" w:rsidTr="005C3ACA">
        <w:trPr>
          <w:trHeight w:val="20"/>
        </w:trPr>
        <w:tc>
          <w:tcPr>
            <w:tcW w:w="1047" w:type="pct"/>
            <w:tcBorders>
              <w:top w:val="nil"/>
              <w:left w:val="single" w:sz="4" w:space="0" w:color="auto"/>
              <w:bottom w:val="single" w:sz="4" w:space="0" w:color="auto"/>
              <w:right w:val="single" w:sz="4" w:space="0" w:color="auto"/>
            </w:tcBorders>
            <w:shd w:val="clear" w:color="auto" w:fill="auto"/>
            <w:vAlign w:val="center"/>
            <w:hideMark/>
          </w:tcPr>
          <w:p w14:paraId="3C5F9A09" w14:textId="77777777" w:rsidR="009A4C46" w:rsidRPr="009A4C46" w:rsidRDefault="009A4C46" w:rsidP="009A4C46">
            <w:pPr>
              <w:spacing w:after="0" w:line="240" w:lineRule="auto"/>
              <w:jc w:val="both"/>
              <w:rPr>
                <w:rFonts w:eastAsia="Times New Roman"/>
                <w:sz w:val="18"/>
                <w:szCs w:val="18"/>
                <w:lang w:eastAsia="ru-RU"/>
              </w:rPr>
            </w:pPr>
            <w:r w:rsidRPr="009A4C46">
              <w:rPr>
                <w:rFonts w:eastAsia="Times New Roman"/>
                <w:sz w:val="18"/>
                <w:szCs w:val="18"/>
                <w:lang w:eastAsia="ru-RU"/>
              </w:rPr>
              <w:t xml:space="preserve">Величина технологического расхода (потерь) электроэнергии </w:t>
            </w:r>
          </w:p>
        </w:tc>
        <w:tc>
          <w:tcPr>
            <w:tcW w:w="573" w:type="pct"/>
            <w:tcBorders>
              <w:top w:val="nil"/>
              <w:left w:val="nil"/>
              <w:bottom w:val="single" w:sz="4" w:space="0" w:color="auto"/>
              <w:right w:val="single" w:sz="4" w:space="0" w:color="auto"/>
            </w:tcBorders>
            <w:shd w:val="clear" w:color="auto" w:fill="auto"/>
            <w:noWrap/>
            <w:vAlign w:val="center"/>
            <w:hideMark/>
          </w:tcPr>
          <w:p w14:paraId="3AA5257C" w14:textId="77777777" w:rsidR="009A4C46" w:rsidRPr="009A4C46" w:rsidRDefault="009A4C46" w:rsidP="009A4C46">
            <w:pPr>
              <w:spacing w:after="0" w:line="240" w:lineRule="auto"/>
              <w:jc w:val="center"/>
              <w:rPr>
                <w:rFonts w:eastAsia="Times New Roman"/>
                <w:sz w:val="18"/>
                <w:szCs w:val="18"/>
                <w:lang w:eastAsia="ru-RU"/>
              </w:rPr>
            </w:pPr>
            <w:r w:rsidRPr="009A4C46">
              <w:rPr>
                <w:rFonts w:eastAsia="Times New Roman"/>
                <w:sz w:val="18"/>
                <w:szCs w:val="18"/>
                <w:lang w:eastAsia="ru-RU"/>
              </w:rPr>
              <w:t xml:space="preserve">млн. </w:t>
            </w:r>
            <w:proofErr w:type="spellStart"/>
            <w:r w:rsidRPr="009A4C46">
              <w:rPr>
                <w:rFonts w:eastAsia="Times New Roman"/>
                <w:sz w:val="18"/>
                <w:szCs w:val="18"/>
                <w:lang w:eastAsia="ru-RU"/>
              </w:rPr>
              <w:t>кВтч</w:t>
            </w:r>
            <w:proofErr w:type="spellEnd"/>
          </w:p>
        </w:tc>
        <w:tc>
          <w:tcPr>
            <w:tcW w:w="588" w:type="pct"/>
            <w:tcBorders>
              <w:top w:val="nil"/>
              <w:left w:val="nil"/>
              <w:bottom w:val="single" w:sz="8" w:space="0" w:color="auto"/>
              <w:right w:val="single" w:sz="8" w:space="0" w:color="auto"/>
            </w:tcBorders>
            <w:shd w:val="clear" w:color="auto" w:fill="auto"/>
            <w:noWrap/>
            <w:vAlign w:val="center"/>
            <w:hideMark/>
          </w:tcPr>
          <w:p w14:paraId="6C9BD432" w14:textId="77777777" w:rsidR="009A4C46" w:rsidRPr="009A4C46" w:rsidRDefault="009A4C46" w:rsidP="009A4C46">
            <w:pPr>
              <w:spacing w:after="0" w:line="240" w:lineRule="auto"/>
              <w:jc w:val="center"/>
              <w:rPr>
                <w:rFonts w:eastAsia="Times New Roman"/>
                <w:sz w:val="18"/>
                <w:szCs w:val="18"/>
                <w:lang w:eastAsia="ru-RU"/>
              </w:rPr>
            </w:pPr>
            <w:r w:rsidRPr="009A4C46">
              <w:rPr>
                <w:rFonts w:eastAsia="Times New Roman"/>
                <w:color w:val="000000"/>
                <w:sz w:val="18"/>
                <w:szCs w:val="18"/>
                <w:lang w:eastAsia="ru-RU"/>
              </w:rPr>
              <w:t>183</w:t>
            </w:r>
          </w:p>
        </w:tc>
        <w:tc>
          <w:tcPr>
            <w:tcW w:w="589" w:type="pct"/>
            <w:tcBorders>
              <w:top w:val="nil"/>
              <w:left w:val="nil"/>
              <w:bottom w:val="single" w:sz="8" w:space="0" w:color="auto"/>
              <w:right w:val="single" w:sz="8" w:space="0" w:color="auto"/>
            </w:tcBorders>
            <w:shd w:val="clear" w:color="auto" w:fill="auto"/>
            <w:noWrap/>
            <w:vAlign w:val="center"/>
            <w:hideMark/>
          </w:tcPr>
          <w:p w14:paraId="31286D50" w14:textId="77777777" w:rsidR="009A4C46" w:rsidRPr="009A4C46" w:rsidRDefault="009A4C46" w:rsidP="009A4C46">
            <w:pPr>
              <w:spacing w:after="0" w:line="240" w:lineRule="auto"/>
              <w:jc w:val="center"/>
              <w:rPr>
                <w:rFonts w:eastAsia="Times New Roman"/>
                <w:sz w:val="18"/>
                <w:szCs w:val="18"/>
                <w:lang w:eastAsia="ru-RU"/>
              </w:rPr>
            </w:pPr>
            <w:r w:rsidRPr="009A4C46">
              <w:rPr>
                <w:rFonts w:eastAsia="Times New Roman"/>
                <w:color w:val="000000"/>
                <w:sz w:val="18"/>
                <w:szCs w:val="18"/>
                <w:lang w:eastAsia="ru-RU"/>
              </w:rPr>
              <w:t>248</w:t>
            </w:r>
          </w:p>
        </w:tc>
        <w:tc>
          <w:tcPr>
            <w:tcW w:w="589" w:type="pct"/>
            <w:tcBorders>
              <w:top w:val="nil"/>
              <w:left w:val="nil"/>
              <w:bottom w:val="single" w:sz="8" w:space="0" w:color="auto"/>
              <w:right w:val="single" w:sz="8" w:space="0" w:color="auto"/>
            </w:tcBorders>
            <w:shd w:val="clear" w:color="auto" w:fill="auto"/>
            <w:noWrap/>
            <w:vAlign w:val="center"/>
            <w:hideMark/>
          </w:tcPr>
          <w:p w14:paraId="76F6664F" w14:textId="77777777" w:rsidR="009A4C46" w:rsidRPr="009A4C46" w:rsidRDefault="009A4C46" w:rsidP="009A4C46">
            <w:pPr>
              <w:spacing w:after="0" w:line="240" w:lineRule="auto"/>
              <w:jc w:val="center"/>
              <w:rPr>
                <w:rFonts w:eastAsia="Times New Roman"/>
                <w:sz w:val="18"/>
                <w:szCs w:val="18"/>
                <w:lang w:eastAsia="ru-RU"/>
              </w:rPr>
            </w:pPr>
            <w:r w:rsidRPr="009A4C46">
              <w:rPr>
                <w:rFonts w:eastAsia="Times New Roman"/>
                <w:color w:val="000000"/>
                <w:sz w:val="18"/>
                <w:szCs w:val="18"/>
                <w:lang w:eastAsia="ru-RU"/>
              </w:rPr>
              <w:t>65</w:t>
            </w:r>
          </w:p>
        </w:tc>
        <w:tc>
          <w:tcPr>
            <w:tcW w:w="568" w:type="pct"/>
            <w:tcBorders>
              <w:top w:val="nil"/>
              <w:left w:val="nil"/>
              <w:bottom w:val="single" w:sz="8" w:space="0" w:color="auto"/>
              <w:right w:val="single" w:sz="8" w:space="0" w:color="auto"/>
            </w:tcBorders>
            <w:shd w:val="clear" w:color="auto" w:fill="auto"/>
            <w:noWrap/>
            <w:vAlign w:val="center"/>
            <w:hideMark/>
          </w:tcPr>
          <w:p w14:paraId="65BFD324" w14:textId="77777777" w:rsidR="009A4C46" w:rsidRPr="009A4C46" w:rsidRDefault="009A4C46" w:rsidP="009A4C46">
            <w:pPr>
              <w:spacing w:after="0" w:line="240" w:lineRule="auto"/>
              <w:jc w:val="center"/>
              <w:rPr>
                <w:rFonts w:eastAsia="Times New Roman"/>
                <w:sz w:val="18"/>
                <w:szCs w:val="18"/>
                <w:lang w:eastAsia="ru-RU"/>
              </w:rPr>
            </w:pPr>
            <w:r w:rsidRPr="009A4C46">
              <w:rPr>
                <w:rFonts w:eastAsia="Times New Roman"/>
                <w:color w:val="000000"/>
                <w:sz w:val="18"/>
                <w:szCs w:val="18"/>
                <w:lang w:eastAsia="ru-RU"/>
              </w:rPr>
              <w:t>35%</w:t>
            </w:r>
          </w:p>
        </w:tc>
        <w:tc>
          <w:tcPr>
            <w:tcW w:w="535" w:type="pct"/>
            <w:gridSpan w:val="2"/>
            <w:tcBorders>
              <w:top w:val="single" w:sz="8" w:space="0" w:color="auto"/>
              <w:left w:val="nil"/>
              <w:bottom w:val="single" w:sz="8" w:space="0" w:color="auto"/>
              <w:right w:val="single" w:sz="8" w:space="0" w:color="000000"/>
            </w:tcBorders>
            <w:shd w:val="clear" w:color="auto" w:fill="auto"/>
            <w:noWrap/>
            <w:vAlign w:val="center"/>
            <w:hideMark/>
          </w:tcPr>
          <w:p w14:paraId="0B140265" w14:textId="77777777" w:rsidR="009A4C46" w:rsidRPr="009A4C46" w:rsidRDefault="009A4C46" w:rsidP="009A4C46">
            <w:pPr>
              <w:spacing w:after="0" w:line="240" w:lineRule="auto"/>
              <w:jc w:val="center"/>
              <w:rPr>
                <w:rFonts w:eastAsia="Times New Roman"/>
                <w:sz w:val="18"/>
                <w:szCs w:val="18"/>
                <w:lang w:eastAsia="ru-RU"/>
              </w:rPr>
            </w:pPr>
            <w:r w:rsidRPr="009A4C46">
              <w:rPr>
                <w:rFonts w:eastAsia="Times New Roman"/>
                <w:color w:val="000000"/>
                <w:sz w:val="18"/>
                <w:szCs w:val="18"/>
                <w:lang w:eastAsia="ru-RU"/>
              </w:rPr>
              <w:t> </w:t>
            </w:r>
          </w:p>
        </w:tc>
        <w:tc>
          <w:tcPr>
            <w:tcW w:w="511" w:type="pct"/>
            <w:tcBorders>
              <w:top w:val="nil"/>
              <w:left w:val="nil"/>
              <w:bottom w:val="single" w:sz="8" w:space="0" w:color="auto"/>
              <w:right w:val="single" w:sz="8" w:space="0" w:color="auto"/>
            </w:tcBorders>
            <w:shd w:val="clear" w:color="auto" w:fill="auto"/>
            <w:noWrap/>
            <w:vAlign w:val="center"/>
            <w:hideMark/>
          </w:tcPr>
          <w:p w14:paraId="19AC88E7" w14:textId="77777777" w:rsidR="009A4C46" w:rsidRPr="009A4C46" w:rsidRDefault="009A4C46" w:rsidP="009A4C46">
            <w:pPr>
              <w:spacing w:after="0" w:line="240" w:lineRule="auto"/>
              <w:jc w:val="center"/>
              <w:rPr>
                <w:rFonts w:eastAsia="Times New Roman"/>
                <w:sz w:val="18"/>
                <w:szCs w:val="18"/>
                <w:lang w:eastAsia="ru-RU"/>
              </w:rPr>
            </w:pPr>
            <w:r w:rsidRPr="009A4C46">
              <w:rPr>
                <w:rFonts w:eastAsia="Times New Roman"/>
                <w:color w:val="000000"/>
                <w:sz w:val="18"/>
                <w:szCs w:val="18"/>
                <w:lang w:eastAsia="ru-RU"/>
              </w:rPr>
              <w:t> </w:t>
            </w:r>
          </w:p>
        </w:tc>
      </w:tr>
      <w:tr w:rsidR="009A4C46" w:rsidRPr="009A4C46" w14:paraId="5C8873CE" w14:textId="77777777" w:rsidTr="005C3ACA">
        <w:trPr>
          <w:trHeight w:val="20"/>
        </w:trPr>
        <w:tc>
          <w:tcPr>
            <w:tcW w:w="1047" w:type="pct"/>
            <w:tcBorders>
              <w:top w:val="nil"/>
              <w:left w:val="single" w:sz="4" w:space="0" w:color="auto"/>
              <w:bottom w:val="single" w:sz="4" w:space="0" w:color="auto"/>
              <w:right w:val="single" w:sz="4" w:space="0" w:color="auto"/>
            </w:tcBorders>
            <w:shd w:val="clear" w:color="auto" w:fill="auto"/>
            <w:vAlign w:val="center"/>
            <w:hideMark/>
          </w:tcPr>
          <w:p w14:paraId="03285E3F" w14:textId="77777777" w:rsidR="009A4C46" w:rsidRPr="009A4C46" w:rsidRDefault="009A4C46" w:rsidP="009A4C46">
            <w:pPr>
              <w:spacing w:after="0" w:line="240" w:lineRule="auto"/>
              <w:jc w:val="both"/>
              <w:rPr>
                <w:rFonts w:eastAsia="Times New Roman"/>
                <w:sz w:val="18"/>
                <w:szCs w:val="18"/>
                <w:lang w:eastAsia="ru-RU"/>
              </w:rPr>
            </w:pPr>
            <w:r w:rsidRPr="009A4C46">
              <w:rPr>
                <w:rFonts w:eastAsia="Times New Roman"/>
                <w:sz w:val="18"/>
                <w:szCs w:val="18"/>
                <w:lang w:eastAsia="ru-RU"/>
              </w:rPr>
              <w:t>Тариф покупки потерь</w:t>
            </w:r>
          </w:p>
        </w:tc>
        <w:tc>
          <w:tcPr>
            <w:tcW w:w="573" w:type="pct"/>
            <w:tcBorders>
              <w:top w:val="nil"/>
              <w:left w:val="nil"/>
              <w:bottom w:val="single" w:sz="4" w:space="0" w:color="auto"/>
              <w:right w:val="single" w:sz="4" w:space="0" w:color="auto"/>
            </w:tcBorders>
            <w:shd w:val="clear" w:color="auto" w:fill="auto"/>
            <w:noWrap/>
            <w:vAlign w:val="center"/>
            <w:hideMark/>
          </w:tcPr>
          <w:p w14:paraId="3EB440C6" w14:textId="77777777" w:rsidR="009A4C46" w:rsidRPr="009A4C46" w:rsidRDefault="009A4C46" w:rsidP="009A4C46">
            <w:pPr>
              <w:spacing w:after="0" w:line="240" w:lineRule="auto"/>
              <w:jc w:val="center"/>
              <w:rPr>
                <w:rFonts w:eastAsia="Times New Roman"/>
                <w:sz w:val="18"/>
                <w:szCs w:val="18"/>
                <w:lang w:eastAsia="ru-RU"/>
              </w:rPr>
            </w:pPr>
            <w:r w:rsidRPr="009A4C46">
              <w:rPr>
                <w:rFonts w:eastAsia="Times New Roman"/>
                <w:sz w:val="18"/>
                <w:szCs w:val="18"/>
                <w:lang w:eastAsia="ru-RU"/>
              </w:rPr>
              <w:t>руб./</w:t>
            </w:r>
            <w:proofErr w:type="spellStart"/>
            <w:r w:rsidRPr="009A4C46">
              <w:rPr>
                <w:rFonts w:eastAsia="Times New Roman"/>
                <w:sz w:val="18"/>
                <w:szCs w:val="18"/>
                <w:lang w:eastAsia="ru-RU"/>
              </w:rPr>
              <w:t>МВтч</w:t>
            </w:r>
            <w:proofErr w:type="spellEnd"/>
          </w:p>
        </w:tc>
        <w:tc>
          <w:tcPr>
            <w:tcW w:w="588" w:type="pct"/>
            <w:tcBorders>
              <w:top w:val="nil"/>
              <w:left w:val="nil"/>
              <w:bottom w:val="single" w:sz="8" w:space="0" w:color="auto"/>
              <w:right w:val="single" w:sz="8" w:space="0" w:color="auto"/>
            </w:tcBorders>
            <w:shd w:val="clear" w:color="auto" w:fill="auto"/>
            <w:noWrap/>
            <w:vAlign w:val="center"/>
            <w:hideMark/>
          </w:tcPr>
          <w:p w14:paraId="2425B404" w14:textId="77777777" w:rsidR="009A4C46" w:rsidRPr="009A4C46" w:rsidRDefault="009A4C46" w:rsidP="009A4C46">
            <w:pPr>
              <w:spacing w:after="0" w:line="240" w:lineRule="auto"/>
              <w:jc w:val="center"/>
              <w:rPr>
                <w:rFonts w:eastAsia="Times New Roman"/>
                <w:sz w:val="18"/>
                <w:szCs w:val="18"/>
                <w:lang w:eastAsia="ru-RU"/>
              </w:rPr>
            </w:pPr>
            <w:r w:rsidRPr="009A4C46">
              <w:rPr>
                <w:rFonts w:eastAsia="Times New Roman"/>
                <w:color w:val="000000"/>
                <w:sz w:val="18"/>
                <w:szCs w:val="18"/>
                <w:lang w:eastAsia="ru-RU"/>
              </w:rPr>
              <w:t>827,27</w:t>
            </w:r>
          </w:p>
        </w:tc>
        <w:tc>
          <w:tcPr>
            <w:tcW w:w="589" w:type="pct"/>
            <w:tcBorders>
              <w:top w:val="nil"/>
              <w:left w:val="nil"/>
              <w:bottom w:val="single" w:sz="8" w:space="0" w:color="auto"/>
              <w:right w:val="single" w:sz="8" w:space="0" w:color="auto"/>
            </w:tcBorders>
            <w:shd w:val="clear" w:color="auto" w:fill="auto"/>
            <w:noWrap/>
            <w:vAlign w:val="center"/>
            <w:hideMark/>
          </w:tcPr>
          <w:p w14:paraId="5577BDE4" w14:textId="77777777" w:rsidR="009A4C46" w:rsidRPr="009A4C46" w:rsidRDefault="009A4C46" w:rsidP="009A4C46">
            <w:pPr>
              <w:spacing w:after="0" w:line="240" w:lineRule="auto"/>
              <w:jc w:val="center"/>
              <w:rPr>
                <w:rFonts w:eastAsia="Times New Roman"/>
                <w:sz w:val="18"/>
                <w:szCs w:val="18"/>
                <w:lang w:eastAsia="ru-RU"/>
              </w:rPr>
            </w:pPr>
            <w:r w:rsidRPr="009A4C46">
              <w:rPr>
                <w:rFonts w:eastAsia="Times New Roman"/>
                <w:color w:val="000000"/>
                <w:sz w:val="18"/>
                <w:szCs w:val="18"/>
                <w:lang w:eastAsia="ru-RU"/>
              </w:rPr>
              <w:t>854,11</w:t>
            </w:r>
          </w:p>
        </w:tc>
        <w:tc>
          <w:tcPr>
            <w:tcW w:w="589" w:type="pct"/>
            <w:tcBorders>
              <w:top w:val="nil"/>
              <w:left w:val="nil"/>
              <w:bottom w:val="single" w:sz="8" w:space="0" w:color="auto"/>
              <w:right w:val="single" w:sz="8" w:space="0" w:color="auto"/>
            </w:tcBorders>
            <w:shd w:val="clear" w:color="auto" w:fill="auto"/>
            <w:noWrap/>
            <w:vAlign w:val="center"/>
            <w:hideMark/>
          </w:tcPr>
          <w:p w14:paraId="6DBCB5C2" w14:textId="77777777" w:rsidR="009A4C46" w:rsidRPr="009A4C46" w:rsidRDefault="009A4C46" w:rsidP="009A4C46">
            <w:pPr>
              <w:spacing w:after="0" w:line="240" w:lineRule="auto"/>
              <w:jc w:val="center"/>
              <w:rPr>
                <w:rFonts w:eastAsia="Times New Roman"/>
                <w:sz w:val="18"/>
                <w:szCs w:val="18"/>
                <w:lang w:eastAsia="ru-RU"/>
              </w:rPr>
            </w:pPr>
            <w:r w:rsidRPr="009A4C46">
              <w:rPr>
                <w:rFonts w:eastAsia="Times New Roman"/>
                <w:color w:val="000000"/>
                <w:sz w:val="18"/>
                <w:szCs w:val="18"/>
                <w:lang w:eastAsia="ru-RU"/>
              </w:rPr>
              <w:t>27</w:t>
            </w:r>
          </w:p>
        </w:tc>
        <w:tc>
          <w:tcPr>
            <w:tcW w:w="568" w:type="pct"/>
            <w:tcBorders>
              <w:top w:val="nil"/>
              <w:left w:val="nil"/>
              <w:bottom w:val="single" w:sz="8" w:space="0" w:color="auto"/>
              <w:right w:val="single" w:sz="8" w:space="0" w:color="auto"/>
            </w:tcBorders>
            <w:shd w:val="clear" w:color="auto" w:fill="auto"/>
            <w:noWrap/>
            <w:vAlign w:val="center"/>
            <w:hideMark/>
          </w:tcPr>
          <w:p w14:paraId="7B95BCD3" w14:textId="77777777" w:rsidR="009A4C46" w:rsidRPr="009A4C46" w:rsidRDefault="009A4C46" w:rsidP="009A4C46">
            <w:pPr>
              <w:spacing w:after="0" w:line="240" w:lineRule="auto"/>
              <w:jc w:val="center"/>
              <w:rPr>
                <w:rFonts w:eastAsia="Times New Roman"/>
                <w:sz w:val="18"/>
                <w:szCs w:val="18"/>
                <w:lang w:eastAsia="ru-RU"/>
              </w:rPr>
            </w:pPr>
            <w:r w:rsidRPr="009A4C46">
              <w:rPr>
                <w:rFonts w:eastAsia="Times New Roman"/>
                <w:color w:val="000000"/>
                <w:sz w:val="18"/>
                <w:szCs w:val="18"/>
                <w:lang w:eastAsia="ru-RU"/>
              </w:rPr>
              <w:t>3%</w:t>
            </w:r>
          </w:p>
        </w:tc>
        <w:tc>
          <w:tcPr>
            <w:tcW w:w="535" w:type="pct"/>
            <w:gridSpan w:val="2"/>
            <w:tcBorders>
              <w:top w:val="single" w:sz="8" w:space="0" w:color="auto"/>
              <w:left w:val="nil"/>
              <w:bottom w:val="single" w:sz="8" w:space="0" w:color="auto"/>
              <w:right w:val="single" w:sz="8" w:space="0" w:color="000000"/>
            </w:tcBorders>
            <w:shd w:val="clear" w:color="auto" w:fill="auto"/>
            <w:noWrap/>
            <w:vAlign w:val="center"/>
            <w:hideMark/>
          </w:tcPr>
          <w:p w14:paraId="3A79D37A" w14:textId="77777777" w:rsidR="009A4C46" w:rsidRPr="009A4C46" w:rsidRDefault="009A4C46" w:rsidP="009A4C46">
            <w:pPr>
              <w:spacing w:after="0" w:line="240" w:lineRule="auto"/>
              <w:jc w:val="center"/>
              <w:rPr>
                <w:rFonts w:eastAsia="Times New Roman"/>
                <w:sz w:val="18"/>
                <w:szCs w:val="18"/>
                <w:lang w:eastAsia="ru-RU"/>
              </w:rPr>
            </w:pPr>
            <w:r w:rsidRPr="009A4C46">
              <w:rPr>
                <w:rFonts w:eastAsia="Times New Roman"/>
                <w:color w:val="000000"/>
                <w:sz w:val="18"/>
                <w:szCs w:val="18"/>
                <w:lang w:eastAsia="ru-RU"/>
              </w:rPr>
              <w:t> </w:t>
            </w:r>
          </w:p>
        </w:tc>
        <w:tc>
          <w:tcPr>
            <w:tcW w:w="511" w:type="pct"/>
            <w:tcBorders>
              <w:top w:val="nil"/>
              <w:left w:val="nil"/>
              <w:bottom w:val="single" w:sz="8" w:space="0" w:color="auto"/>
              <w:right w:val="single" w:sz="8" w:space="0" w:color="auto"/>
            </w:tcBorders>
            <w:shd w:val="clear" w:color="auto" w:fill="auto"/>
            <w:noWrap/>
            <w:vAlign w:val="center"/>
            <w:hideMark/>
          </w:tcPr>
          <w:p w14:paraId="6EB2CDA7" w14:textId="77777777" w:rsidR="009A4C46" w:rsidRPr="009A4C46" w:rsidRDefault="009A4C46" w:rsidP="009A4C46">
            <w:pPr>
              <w:spacing w:after="0" w:line="240" w:lineRule="auto"/>
              <w:jc w:val="center"/>
              <w:rPr>
                <w:rFonts w:eastAsia="Times New Roman"/>
                <w:sz w:val="18"/>
                <w:szCs w:val="18"/>
                <w:lang w:eastAsia="ru-RU"/>
              </w:rPr>
            </w:pPr>
            <w:r w:rsidRPr="009A4C46">
              <w:rPr>
                <w:rFonts w:eastAsia="Times New Roman"/>
                <w:color w:val="000000"/>
                <w:sz w:val="18"/>
                <w:szCs w:val="18"/>
                <w:lang w:eastAsia="ru-RU"/>
              </w:rPr>
              <w:t> </w:t>
            </w:r>
          </w:p>
        </w:tc>
      </w:tr>
      <w:tr w:rsidR="009A4C46" w:rsidRPr="009A4C46" w14:paraId="1C726E8A" w14:textId="77777777" w:rsidTr="005C3ACA">
        <w:trPr>
          <w:trHeight w:val="20"/>
        </w:trPr>
        <w:tc>
          <w:tcPr>
            <w:tcW w:w="1047" w:type="pct"/>
            <w:tcBorders>
              <w:top w:val="nil"/>
              <w:left w:val="single" w:sz="4" w:space="0" w:color="auto"/>
              <w:bottom w:val="single" w:sz="4" w:space="0" w:color="auto"/>
              <w:right w:val="single" w:sz="4" w:space="0" w:color="auto"/>
            </w:tcBorders>
            <w:shd w:val="clear" w:color="auto" w:fill="auto"/>
            <w:vAlign w:val="center"/>
            <w:hideMark/>
          </w:tcPr>
          <w:p w14:paraId="79CF94A7" w14:textId="77777777" w:rsidR="009A4C46" w:rsidRPr="009A4C46" w:rsidRDefault="009A4C46" w:rsidP="009A4C46">
            <w:pPr>
              <w:spacing w:after="0" w:line="240" w:lineRule="auto"/>
              <w:jc w:val="both"/>
              <w:rPr>
                <w:rFonts w:eastAsia="Times New Roman"/>
                <w:sz w:val="18"/>
                <w:szCs w:val="18"/>
                <w:lang w:eastAsia="ru-RU"/>
              </w:rPr>
            </w:pPr>
            <w:r w:rsidRPr="009A4C46">
              <w:rPr>
                <w:rFonts w:eastAsia="Times New Roman"/>
                <w:sz w:val="18"/>
                <w:szCs w:val="18"/>
                <w:lang w:eastAsia="ru-RU"/>
              </w:rPr>
              <w:t>Затраты на покупную электроэнергию, приобретаемую в целях компенсации потерь</w:t>
            </w:r>
          </w:p>
        </w:tc>
        <w:tc>
          <w:tcPr>
            <w:tcW w:w="573" w:type="pct"/>
            <w:tcBorders>
              <w:top w:val="nil"/>
              <w:left w:val="nil"/>
              <w:bottom w:val="single" w:sz="4" w:space="0" w:color="auto"/>
              <w:right w:val="single" w:sz="4" w:space="0" w:color="auto"/>
            </w:tcBorders>
            <w:shd w:val="clear" w:color="auto" w:fill="auto"/>
            <w:vAlign w:val="center"/>
            <w:hideMark/>
          </w:tcPr>
          <w:p w14:paraId="2B86BD4F" w14:textId="77777777" w:rsidR="009A4C46" w:rsidRPr="009A4C46" w:rsidRDefault="009A4C46" w:rsidP="009A4C46">
            <w:pPr>
              <w:spacing w:after="0" w:line="240" w:lineRule="auto"/>
              <w:jc w:val="center"/>
              <w:rPr>
                <w:rFonts w:eastAsia="Times New Roman"/>
                <w:sz w:val="18"/>
                <w:szCs w:val="18"/>
                <w:lang w:eastAsia="ru-RU"/>
              </w:rPr>
            </w:pPr>
            <w:r w:rsidRPr="009A4C46">
              <w:rPr>
                <w:rFonts w:eastAsia="Times New Roman"/>
                <w:sz w:val="18"/>
                <w:szCs w:val="18"/>
                <w:lang w:eastAsia="ru-RU"/>
              </w:rPr>
              <w:t>тыс. руб.</w:t>
            </w:r>
          </w:p>
        </w:tc>
        <w:tc>
          <w:tcPr>
            <w:tcW w:w="588" w:type="pct"/>
            <w:tcBorders>
              <w:top w:val="nil"/>
              <w:left w:val="nil"/>
              <w:bottom w:val="single" w:sz="8" w:space="0" w:color="auto"/>
              <w:right w:val="single" w:sz="8" w:space="0" w:color="auto"/>
            </w:tcBorders>
            <w:shd w:val="clear" w:color="auto" w:fill="auto"/>
            <w:noWrap/>
            <w:vAlign w:val="center"/>
            <w:hideMark/>
          </w:tcPr>
          <w:p w14:paraId="6B19563D" w14:textId="77777777" w:rsidR="009A4C46" w:rsidRPr="009A4C46" w:rsidRDefault="009A4C46" w:rsidP="009A4C46">
            <w:pPr>
              <w:spacing w:after="0" w:line="240" w:lineRule="auto"/>
              <w:jc w:val="center"/>
              <w:rPr>
                <w:rFonts w:eastAsia="Times New Roman"/>
                <w:sz w:val="18"/>
                <w:szCs w:val="18"/>
                <w:lang w:eastAsia="ru-RU"/>
              </w:rPr>
            </w:pPr>
            <w:r w:rsidRPr="009A4C46">
              <w:rPr>
                <w:rFonts w:eastAsia="Times New Roman"/>
                <w:color w:val="000000"/>
                <w:sz w:val="18"/>
                <w:szCs w:val="18"/>
                <w:lang w:eastAsia="ru-RU"/>
              </w:rPr>
              <w:t>151 456</w:t>
            </w:r>
          </w:p>
        </w:tc>
        <w:tc>
          <w:tcPr>
            <w:tcW w:w="589" w:type="pct"/>
            <w:tcBorders>
              <w:top w:val="nil"/>
              <w:left w:val="nil"/>
              <w:bottom w:val="single" w:sz="8" w:space="0" w:color="auto"/>
              <w:right w:val="single" w:sz="8" w:space="0" w:color="auto"/>
            </w:tcBorders>
            <w:shd w:val="clear" w:color="auto" w:fill="auto"/>
            <w:noWrap/>
            <w:vAlign w:val="center"/>
            <w:hideMark/>
          </w:tcPr>
          <w:p w14:paraId="460E5A7F" w14:textId="77777777" w:rsidR="009A4C46" w:rsidRPr="009A4C46" w:rsidRDefault="009A4C46" w:rsidP="009A4C46">
            <w:pPr>
              <w:spacing w:after="0" w:line="240" w:lineRule="auto"/>
              <w:jc w:val="center"/>
              <w:rPr>
                <w:rFonts w:eastAsia="Times New Roman"/>
                <w:sz w:val="18"/>
                <w:szCs w:val="18"/>
                <w:lang w:eastAsia="ru-RU"/>
              </w:rPr>
            </w:pPr>
            <w:r w:rsidRPr="009A4C46">
              <w:rPr>
                <w:rFonts w:eastAsia="Times New Roman"/>
                <w:color w:val="000000"/>
                <w:sz w:val="18"/>
                <w:szCs w:val="18"/>
                <w:lang w:eastAsia="ru-RU"/>
              </w:rPr>
              <w:t>211 511</w:t>
            </w:r>
          </w:p>
        </w:tc>
        <w:tc>
          <w:tcPr>
            <w:tcW w:w="589" w:type="pct"/>
            <w:tcBorders>
              <w:top w:val="nil"/>
              <w:left w:val="nil"/>
              <w:bottom w:val="single" w:sz="8" w:space="0" w:color="auto"/>
              <w:right w:val="single" w:sz="8" w:space="0" w:color="auto"/>
            </w:tcBorders>
            <w:shd w:val="clear" w:color="auto" w:fill="auto"/>
            <w:noWrap/>
            <w:vAlign w:val="center"/>
            <w:hideMark/>
          </w:tcPr>
          <w:p w14:paraId="2FB28930" w14:textId="77777777" w:rsidR="009A4C46" w:rsidRPr="009A4C46" w:rsidRDefault="009A4C46" w:rsidP="009A4C46">
            <w:pPr>
              <w:spacing w:after="0" w:line="240" w:lineRule="auto"/>
              <w:jc w:val="center"/>
              <w:rPr>
                <w:rFonts w:eastAsia="Times New Roman"/>
                <w:sz w:val="18"/>
                <w:szCs w:val="18"/>
                <w:lang w:eastAsia="ru-RU"/>
              </w:rPr>
            </w:pPr>
            <w:r w:rsidRPr="009A4C46">
              <w:rPr>
                <w:rFonts w:eastAsia="Times New Roman"/>
                <w:color w:val="000000"/>
                <w:sz w:val="18"/>
                <w:szCs w:val="18"/>
                <w:lang w:eastAsia="ru-RU"/>
              </w:rPr>
              <w:t>60 054</w:t>
            </w:r>
          </w:p>
        </w:tc>
        <w:tc>
          <w:tcPr>
            <w:tcW w:w="568" w:type="pct"/>
            <w:tcBorders>
              <w:top w:val="nil"/>
              <w:left w:val="nil"/>
              <w:bottom w:val="single" w:sz="8" w:space="0" w:color="auto"/>
              <w:right w:val="single" w:sz="8" w:space="0" w:color="auto"/>
            </w:tcBorders>
            <w:shd w:val="clear" w:color="auto" w:fill="auto"/>
            <w:noWrap/>
            <w:vAlign w:val="center"/>
            <w:hideMark/>
          </w:tcPr>
          <w:p w14:paraId="6F45C21D" w14:textId="77777777" w:rsidR="009A4C46" w:rsidRPr="009A4C46" w:rsidRDefault="009A4C46" w:rsidP="009A4C46">
            <w:pPr>
              <w:spacing w:after="0" w:line="240" w:lineRule="auto"/>
              <w:jc w:val="center"/>
              <w:rPr>
                <w:rFonts w:eastAsia="Times New Roman"/>
                <w:sz w:val="18"/>
                <w:szCs w:val="18"/>
                <w:lang w:eastAsia="ru-RU"/>
              </w:rPr>
            </w:pPr>
            <w:r w:rsidRPr="009A4C46">
              <w:rPr>
                <w:rFonts w:eastAsia="Times New Roman"/>
                <w:color w:val="000000"/>
                <w:sz w:val="18"/>
                <w:szCs w:val="18"/>
                <w:lang w:eastAsia="ru-RU"/>
              </w:rPr>
              <w:t>40%</w:t>
            </w:r>
          </w:p>
        </w:tc>
        <w:tc>
          <w:tcPr>
            <w:tcW w:w="535" w:type="pct"/>
            <w:gridSpan w:val="2"/>
            <w:tcBorders>
              <w:top w:val="single" w:sz="8" w:space="0" w:color="auto"/>
              <w:left w:val="nil"/>
              <w:bottom w:val="single" w:sz="8" w:space="0" w:color="auto"/>
              <w:right w:val="single" w:sz="8" w:space="0" w:color="000000"/>
            </w:tcBorders>
            <w:shd w:val="clear" w:color="auto" w:fill="auto"/>
            <w:noWrap/>
            <w:vAlign w:val="center"/>
            <w:hideMark/>
          </w:tcPr>
          <w:p w14:paraId="6234BDE8" w14:textId="77777777" w:rsidR="009A4C46" w:rsidRPr="009A4C46" w:rsidRDefault="009A4C46" w:rsidP="009A4C46">
            <w:pPr>
              <w:spacing w:after="0" w:line="240" w:lineRule="auto"/>
              <w:jc w:val="center"/>
              <w:rPr>
                <w:rFonts w:eastAsia="Times New Roman"/>
                <w:sz w:val="18"/>
                <w:szCs w:val="18"/>
                <w:lang w:eastAsia="ru-RU"/>
              </w:rPr>
            </w:pPr>
            <w:r w:rsidRPr="009A4C46">
              <w:rPr>
                <w:rFonts w:eastAsia="Times New Roman"/>
                <w:color w:val="000000"/>
                <w:sz w:val="18"/>
                <w:szCs w:val="18"/>
                <w:lang w:eastAsia="ru-RU"/>
              </w:rPr>
              <w:t>0</w:t>
            </w:r>
          </w:p>
        </w:tc>
        <w:tc>
          <w:tcPr>
            <w:tcW w:w="511" w:type="pct"/>
            <w:tcBorders>
              <w:top w:val="nil"/>
              <w:left w:val="nil"/>
              <w:bottom w:val="single" w:sz="8" w:space="0" w:color="auto"/>
              <w:right w:val="single" w:sz="8" w:space="0" w:color="auto"/>
            </w:tcBorders>
            <w:shd w:val="clear" w:color="auto" w:fill="auto"/>
            <w:vAlign w:val="center"/>
            <w:hideMark/>
          </w:tcPr>
          <w:p w14:paraId="1C66525D" w14:textId="77777777" w:rsidR="009A4C46" w:rsidRPr="009A4C46" w:rsidRDefault="009A4C46" w:rsidP="009A4C46">
            <w:pPr>
              <w:spacing w:after="0" w:line="240" w:lineRule="auto"/>
              <w:jc w:val="center"/>
              <w:rPr>
                <w:rFonts w:eastAsia="Times New Roman"/>
                <w:sz w:val="18"/>
                <w:szCs w:val="18"/>
                <w:lang w:eastAsia="ru-RU"/>
              </w:rPr>
            </w:pPr>
            <w:r w:rsidRPr="009A4C46">
              <w:rPr>
                <w:rFonts w:eastAsia="Times New Roman"/>
                <w:color w:val="000000"/>
                <w:sz w:val="18"/>
                <w:szCs w:val="18"/>
                <w:lang w:eastAsia="ru-RU"/>
              </w:rPr>
              <w:t>корректировка по полезному отпуску и ценам</w:t>
            </w:r>
          </w:p>
        </w:tc>
      </w:tr>
      <w:tr w:rsidR="009A4C46" w:rsidRPr="009A4C46" w14:paraId="69C08AC8" w14:textId="77777777" w:rsidTr="005C3ACA">
        <w:trPr>
          <w:trHeight w:val="20"/>
        </w:trPr>
        <w:tc>
          <w:tcPr>
            <w:tcW w:w="1047" w:type="pct"/>
            <w:tcBorders>
              <w:top w:val="nil"/>
              <w:left w:val="single" w:sz="4" w:space="0" w:color="auto"/>
              <w:bottom w:val="single" w:sz="4" w:space="0" w:color="auto"/>
              <w:right w:val="single" w:sz="4" w:space="0" w:color="auto"/>
            </w:tcBorders>
            <w:shd w:val="clear" w:color="auto" w:fill="auto"/>
            <w:vAlign w:val="center"/>
            <w:hideMark/>
          </w:tcPr>
          <w:p w14:paraId="6D0752D0" w14:textId="77777777" w:rsidR="009A4C46" w:rsidRPr="009A4C46" w:rsidRDefault="009A4C46" w:rsidP="009A4C46">
            <w:pPr>
              <w:spacing w:after="0" w:line="240" w:lineRule="auto"/>
              <w:jc w:val="both"/>
              <w:rPr>
                <w:rFonts w:eastAsia="Times New Roman"/>
                <w:b/>
                <w:sz w:val="18"/>
                <w:szCs w:val="18"/>
                <w:lang w:eastAsia="ru-RU"/>
              </w:rPr>
            </w:pPr>
            <w:r w:rsidRPr="009A4C46">
              <w:rPr>
                <w:rFonts w:eastAsia="Times New Roman"/>
                <w:b/>
                <w:sz w:val="18"/>
                <w:szCs w:val="18"/>
                <w:lang w:eastAsia="ru-RU"/>
              </w:rPr>
              <w:t>НВВ собственная (без ТСО)</w:t>
            </w:r>
          </w:p>
        </w:tc>
        <w:tc>
          <w:tcPr>
            <w:tcW w:w="573" w:type="pct"/>
            <w:tcBorders>
              <w:top w:val="nil"/>
              <w:left w:val="nil"/>
              <w:bottom w:val="single" w:sz="4" w:space="0" w:color="auto"/>
              <w:right w:val="single" w:sz="4" w:space="0" w:color="auto"/>
            </w:tcBorders>
            <w:shd w:val="clear" w:color="auto" w:fill="auto"/>
            <w:vAlign w:val="center"/>
            <w:hideMark/>
          </w:tcPr>
          <w:p w14:paraId="4D00D59F" w14:textId="77777777" w:rsidR="009A4C46" w:rsidRPr="009A4C46" w:rsidRDefault="009A4C46" w:rsidP="009A4C46">
            <w:pPr>
              <w:spacing w:after="0" w:line="240" w:lineRule="auto"/>
              <w:jc w:val="center"/>
              <w:rPr>
                <w:rFonts w:eastAsia="Times New Roman"/>
                <w:b/>
                <w:sz w:val="18"/>
                <w:szCs w:val="18"/>
                <w:lang w:eastAsia="ru-RU"/>
              </w:rPr>
            </w:pPr>
            <w:r w:rsidRPr="009A4C46">
              <w:rPr>
                <w:rFonts w:eastAsia="Times New Roman"/>
                <w:b/>
                <w:sz w:val="18"/>
                <w:szCs w:val="18"/>
                <w:lang w:eastAsia="ru-RU"/>
              </w:rPr>
              <w:t>тыс. руб.</w:t>
            </w:r>
          </w:p>
        </w:tc>
        <w:tc>
          <w:tcPr>
            <w:tcW w:w="588" w:type="pct"/>
            <w:tcBorders>
              <w:top w:val="nil"/>
              <w:left w:val="nil"/>
              <w:bottom w:val="single" w:sz="8" w:space="0" w:color="auto"/>
              <w:right w:val="single" w:sz="8" w:space="0" w:color="auto"/>
            </w:tcBorders>
            <w:shd w:val="clear" w:color="auto" w:fill="auto"/>
            <w:noWrap/>
            <w:vAlign w:val="center"/>
            <w:hideMark/>
          </w:tcPr>
          <w:p w14:paraId="34100982" w14:textId="77777777" w:rsidR="009A4C46" w:rsidRPr="009A4C46" w:rsidRDefault="009A4C46" w:rsidP="009A4C46">
            <w:pPr>
              <w:spacing w:after="0" w:line="240" w:lineRule="auto"/>
              <w:jc w:val="center"/>
              <w:rPr>
                <w:rFonts w:eastAsia="Times New Roman"/>
                <w:b/>
                <w:sz w:val="18"/>
                <w:szCs w:val="18"/>
                <w:lang w:eastAsia="ru-RU"/>
              </w:rPr>
            </w:pPr>
            <w:r w:rsidRPr="009A4C46">
              <w:rPr>
                <w:rFonts w:eastAsia="Times New Roman"/>
                <w:b/>
                <w:bCs/>
                <w:color w:val="000000"/>
                <w:sz w:val="18"/>
                <w:szCs w:val="18"/>
                <w:lang w:eastAsia="ru-RU"/>
              </w:rPr>
              <w:t>1 374 943</w:t>
            </w:r>
          </w:p>
        </w:tc>
        <w:tc>
          <w:tcPr>
            <w:tcW w:w="589" w:type="pct"/>
            <w:tcBorders>
              <w:top w:val="nil"/>
              <w:left w:val="nil"/>
              <w:bottom w:val="single" w:sz="8" w:space="0" w:color="auto"/>
              <w:right w:val="single" w:sz="8" w:space="0" w:color="auto"/>
            </w:tcBorders>
            <w:shd w:val="clear" w:color="auto" w:fill="auto"/>
            <w:noWrap/>
            <w:vAlign w:val="center"/>
            <w:hideMark/>
          </w:tcPr>
          <w:p w14:paraId="66498469" w14:textId="77777777" w:rsidR="009A4C46" w:rsidRPr="009A4C46" w:rsidRDefault="009A4C46" w:rsidP="009A4C46">
            <w:pPr>
              <w:spacing w:after="0" w:line="240" w:lineRule="auto"/>
              <w:jc w:val="center"/>
              <w:rPr>
                <w:rFonts w:eastAsia="Times New Roman"/>
                <w:b/>
                <w:sz w:val="18"/>
                <w:szCs w:val="18"/>
                <w:lang w:eastAsia="ru-RU"/>
              </w:rPr>
            </w:pPr>
            <w:r w:rsidRPr="009A4C46">
              <w:rPr>
                <w:rFonts w:eastAsia="Times New Roman"/>
                <w:b/>
                <w:bCs/>
                <w:color w:val="000000"/>
                <w:sz w:val="18"/>
                <w:szCs w:val="18"/>
                <w:lang w:eastAsia="ru-RU"/>
              </w:rPr>
              <w:t>2 559 130</w:t>
            </w:r>
          </w:p>
        </w:tc>
        <w:tc>
          <w:tcPr>
            <w:tcW w:w="589" w:type="pct"/>
            <w:tcBorders>
              <w:top w:val="nil"/>
              <w:left w:val="nil"/>
              <w:bottom w:val="single" w:sz="8" w:space="0" w:color="auto"/>
              <w:right w:val="single" w:sz="8" w:space="0" w:color="auto"/>
            </w:tcBorders>
            <w:shd w:val="clear" w:color="auto" w:fill="auto"/>
            <w:noWrap/>
            <w:vAlign w:val="center"/>
            <w:hideMark/>
          </w:tcPr>
          <w:p w14:paraId="2D699539" w14:textId="77777777" w:rsidR="009A4C46" w:rsidRPr="009A4C46" w:rsidRDefault="009A4C46" w:rsidP="009A4C46">
            <w:pPr>
              <w:spacing w:after="0" w:line="240" w:lineRule="auto"/>
              <w:jc w:val="center"/>
              <w:rPr>
                <w:rFonts w:eastAsia="Times New Roman"/>
                <w:b/>
                <w:sz w:val="18"/>
                <w:szCs w:val="18"/>
                <w:lang w:eastAsia="ru-RU"/>
              </w:rPr>
            </w:pPr>
            <w:r w:rsidRPr="009A4C46">
              <w:rPr>
                <w:rFonts w:eastAsia="Times New Roman"/>
                <w:b/>
                <w:bCs/>
                <w:color w:val="000000"/>
                <w:sz w:val="18"/>
                <w:szCs w:val="18"/>
                <w:lang w:eastAsia="ru-RU"/>
              </w:rPr>
              <w:t>1 184 186</w:t>
            </w:r>
          </w:p>
        </w:tc>
        <w:tc>
          <w:tcPr>
            <w:tcW w:w="568" w:type="pct"/>
            <w:tcBorders>
              <w:top w:val="nil"/>
              <w:left w:val="nil"/>
              <w:bottom w:val="single" w:sz="8" w:space="0" w:color="auto"/>
              <w:right w:val="single" w:sz="8" w:space="0" w:color="auto"/>
            </w:tcBorders>
            <w:shd w:val="clear" w:color="auto" w:fill="auto"/>
            <w:noWrap/>
            <w:vAlign w:val="center"/>
            <w:hideMark/>
          </w:tcPr>
          <w:p w14:paraId="468E86D2" w14:textId="77777777" w:rsidR="009A4C46" w:rsidRPr="009A4C46" w:rsidRDefault="009A4C46" w:rsidP="009A4C46">
            <w:pPr>
              <w:spacing w:after="0" w:line="240" w:lineRule="auto"/>
              <w:jc w:val="center"/>
              <w:rPr>
                <w:rFonts w:eastAsia="Times New Roman"/>
                <w:b/>
                <w:sz w:val="18"/>
                <w:szCs w:val="18"/>
                <w:lang w:eastAsia="ru-RU"/>
              </w:rPr>
            </w:pPr>
            <w:r w:rsidRPr="009A4C46">
              <w:rPr>
                <w:rFonts w:eastAsia="Times New Roman"/>
                <w:b/>
                <w:bCs/>
                <w:color w:val="000000"/>
                <w:sz w:val="18"/>
                <w:szCs w:val="18"/>
                <w:lang w:eastAsia="ru-RU"/>
              </w:rPr>
              <w:t>86%</w:t>
            </w:r>
          </w:p>
        </w:tc>
        <w:tc>
          <w:tcPr>
            <w:tcW w:w="535" w:type="pct"/>
            <w:gridSpan w:val="2"/>
            <w:tcBorders>
              <w:top w:val="single" w:sz="8" w:space="0" w:color="auto"/>
              <w:left w:val="nil"/>
              <w:bottom w:val="single" w:sz="8" w:space="0" w:color="auto"/>
              <w:right w:val="single" w:sz="8" w:space="0" w:color="000000"/>
            </w:tcBorders>
            <w:shd w:val="clear" w:color="auto" w:fill="auto"/>
            <w:noWrap/>
            <w:vAlign w:val="center"/>
            <w:hideMark/>
          </w:tcPr>
          <w:p w14:paraId="64D6FB55" w14:textId="77777777" w:rsidR="009A4C46" w:rsidRPr="009A4C46" w:rsidRDefault="009A4C46" w:rsidP="009A4C46">
            <w:pPr>
              <w:spacing w:after="0" w:line="240" w:lineRule="auto"/>
              <w:jc w:val="center"/>
              <w:rPr>
                <w:rFonts w:eastAsia="Times New Roman"/>
                <w:b/>
                <w:sz w:val="18"/>
                <w:szCs w:val="18"/>
                <w:lang w:eastAsia="ru-RU"/>
              </w:rPr>
            </w:pPr>
            <w:r w:rsidRPr="009A4C46">
              <w:rPr>
                <w:rFonts w:eastAsia="Times New Roman"/>
                <w:color w:val="000000"/>
                <w:sz w:val="18"/>
                <w:szCs w:val="18"/>
                <w:lang w:eastAsia="ru-RU"/>
              </w:rPr>
              <w:t>0</w:t>
            </w:r>
          </w:p>
        </w:tc>
        <w:tc>
          <w:tcPr>
            <w:tcW w:w="511" w:type="pct"/>
            <w:tcBorders>
              <w:top w:val="nil"/>
              <w:left w:val="nil"/>
              <w:bottom w:val="single" w:sz="8" w:space="0" w:color="auto"/>
              <w:right w:val="single" w:sz="8" w:space="0" w:color="auto"/>
            </w:tcBorders>
            <w:shd w:val="clear" w:color="auto" w:fill="auto"/>
            <w:noWrap/>
            <w:vAlign w:val="center"/>
            <w:hideMark/>
          </w:tcPr>
          <w:p w14:paraId="2674CBF0" w14:textId="77777777" w:rsidR="009A4C46" w:rsidRPr="009A4C46" w:rsidRDefault="009A4C46" w:rsidP="009A4C46">
            <w:pPr>
              <w:spacing w:after="0" w:line="240" w:lineRule="auto"/>
              <w:jc w:val="center"/>
              <w:rPr>
                <w:rFonts w:eastAsia="Times New Roman"/>
                <w:b/>
                <w:sz w:val="18"/>
                <w:szCs w:val="18"/>
                <w:lang w:eastAsia="ru-RU"/>
              </w:rPr>
            </w:pPr>
            <w:r w:rsidRPr="009A4C46">
              <w:rPr>
                <w:rFonts w:eastAsia="Times New Roman"/>
                <w:color w:val="000000"/>
                <w:sz w:val="18"/>
                <w:szCs w:val="18"/>
                <w:lang w:eastAsia="ru-RU"/>
              </w:rPr>
              <w:t> </w:t>
            </w:r>
          </w:p>
        </w:tc>
      </w:tr>
      <w:tr w:rsidR="009A4C46" w:rsidRPr="009A4C46" w14:paraId="348943FF" w14:textId="77777777" w:rsidTr="005C3ACA">
        <w:trPr>
          <w:trHeight w:val="20"/>
        </w:trPr>
        <w:tc>
          <w:tcPr>
            <w:tcW w:w="1047" w:type="pct"/>
            <w:tcBorders>
              <w:top w:val="nil"/>
              <w:left w:val="single" w:sz="4" w:space="0" w:color="auto"/>
              <w:bottom w:val="single" w:sz="4" w:space="0" w:color="auto"/>
              <w:right w:val="single" w:sz="4" w:space="0" w:color="auto"/>
            </w:tcBorders>
            <w:shd w:val="clear" w:color="auto" w:fill="auto"/>
            <w:vAlign w:val="center"/>
            <w:hideMark/>
          </w:tcPr>
          <w:p w14:paraId="1A98F745" w14:textId="77777777" w:rsidR="009A4C46" w:rsidRPr="009A4C46" w:rsidRDefault="009A4C46" w:rsidP="009A4C46">
            <w:pPr>
              <w:spacing w:after="0" w:line="240" w:lineRule="auto"/>
              <w:jc w:val="both"/>
              <w:rPr>
                <w:rFonts w:eastAsia="Times New Roman"/>
                <w:sz w:val="18"/>
                <w:szCs w:val="18"/>
                <w:lang w:eastAsia="ru-RU"/>
              </w:rPr>
            </w:pPr>
            <w:r w:rsidRPr="009A4C46">
              <w:rPr>
                <w:rFonts w:eastAsia="Times New Roman"/>
                <w:sz w:val="18"/>
                <w:szCs w:val="18"/>
                <w:lang w:eastAsia="ru-RU"/>
              </w:rPr>
              <w:t>Расходы на оплату услуг ТСО</w:t>
            </w:r>
          </w:p>
        </w:tc>
        <w:tc>
          <w:tcPr>
            <w:tcW w:w="573" w:type="pct"/>
            <w:tcBorders>
              <w:top w:val="nil"/>
              <w:left w:val="nil"/>
              <w:bottom w:val="single" w:sz="4" w:space="0" w:color="auto"/>
              <w:right w:val="single" w:sz="4" w:space="0" w:color="auto"/>
            </w:tcBorders>
            <w:shd w:val="clear" w:color="auto" w:fill="auto"/>
            <w:vAlign w:val="center"/>
            <w:hideMark/>
          </w:tcPr>
          <w:p w14:paraId="7952D905" w14:textId="77777777" w:rsidR="009A4C46" w:rsidRPr="009A4C46" w:rsidRDefault="009A4C46" w:rsidP="009A4C46">
            <w:pPr>
              <w:spacing w:after="0" w:line="240" w:lineRule="auto"/>
              <w:jc w:val="center"/>
              <w:rPr>
                <w:rFonts w:eastAsia="Times New Roman"/>
                <w:sz w:val="18"/>
                <w:szCs w:val="18"/>
                <w:lang w:eastAsia="ru-RU"/>
              </w:rPr>
            </w:pPr>
            <w:r w:rsidRPr="009A4C46">
              <w:rPr>
                <w:rFonts w:eastAsia="Times New Roman"/>
                <w:sz w:val="18"/>
                <w:szCs w:val="18"/>
                <w:lang w:eastAsia="ru-RU"/>
              </w:rPr>
              <w:t>тыс. руб.</w:t>
            </w:r>
          </w:p>
        </w:tc>
        <w:tc>
          <w:tcPr>
            <w:tcW w:w="588" w:type="pct"/>
            <w:tcBorders>
              <w:top w:val="nil"/>
              <w:left w:val="nil"/>
              <w:bottom w:val="single" w:sz="8" w:space="0" w:color="auto"/>
              <w:right w:val="single" w:sz="8" w:space="0" w:color="auto"/>
            </w:tcBorders>
            <w:shd w:val="clear" w:color="auto" w:fill="auto"/>
            <w:noWrap/>
            <w:vAlign w:val="center"/>
            <w:hideMark/>
          </w:tcPr>
          <w:p w14:paraId="7A5C958A" w14:textId="77777777" w:rsidR="009A4C46" w:rsidRPr="009A4C46" w:rsidRDefault="009A4C46" w:rsidP="009A4C46">
            <w:pPr>
              <w:spacing w:after="0" w:line="240" w:lineRule="auto"/>
              <w:jc w:val="center"/>
              <w:rPr>
                <w:rFonts w:eastAsia="Times New Roman"/>
                <w:sz w:val="18"/>
                <w:szCs w:val="18"/>
                <w:lang w:eastAsia="ru-RU"/>
              </w:rPr>
            </w:pPr>
            <w:r w:rsidRPr="009A4C46">
              <w:rPr>
                <w:rFonts w:eastAsia="Times New Roman"/>
                <w:color w:val="000000"/>
                <w:sz w:val="18"/>
                <w:szCs w:val="18"/>
                <w:lang w:eastAsia="ru-RU"/>
              </w:rPr>
              <w:t>0</w:t>
            </w:r>
          </w:p>
        </w:tc>
        <w:tc>
          <w:tcPr>
            <w:tcW w:w="589" w:type="pct"/>
            <w:tcBorders>
              <w:top w:val="nil"/>
              <w:left w:val="nil"/>
              <w:bottom w:val="single" w:sz="8" w:space="0" w:color="auto"/>
              <w:right w:val="single" w:sz="8" w:space="0" w:color="auto"/>
            </w:tcBorders>
            <w:shd w:val="clear" w:color="auto" w:fill="auto"/>
            <w:noWrap/>
            <w:vAlign w:val="center"/>
            <w:hideMark/>
          </w:tcPr>
          <w:p w14:paraId="4CE1D1BB" w14:textId="77777777" w:rsidR="009A4C46" w:rsidRPr="009A4C46" w:rsidRDefault="009A4C46" w:rsidP="009A4C46">
            <w:pPr>
              <w:spacing w:after="0" w:line="240" w:lineRule="auto"/>
              <w:jc w:val="center"/>
              <w:rPr>
                <w:rFonts w:eastAsia="Times New Roman"/>
                <w:sz w:val="18"/>
                <w:szCs w:val="18"/>
                <w:lang w:eastAsia="ru-RU"/>
              </w:rPr>
            </w:pPr>
            <w:r w:rsidRPr="009A4C46">
              <w:rPr>
                <w:rFonts w:eastAsia="Times New Roman"/>
                <w:color w:val="000000"/>
                <w:sz w:val="18"/>
                <w:szCs w:val="18"/>
                <w:lang w:eastAsia="ru-RU"/>
              </w:rPr>
              <w:t>0</w:t>
            </w:r>
          </w:p>
        </w:tc>
        <w:tc>
          <w:tcPr>
            <w:tcW w:w="589" w:type="pct"/>
            <w:tcBorders>
              <w:top w:val="nil"/>
              <w:left w:val="nil"/>
              <w:bottom w:val="single" w:sz="8" w:space="0" w:color="auto"/>
              <w:right w:val="single" w:sz="8" w:space="0" w:color="auto"/>
            </w:tcBorders>
            <w:shd w:val="clear" w:color="auto" w:fill="auto"/>
            <w:noWrap/>
            <w:vAlign w:val="center"/>
            <w:hideMark/>
          </w:tcPr>
          <w:p w14:paraId="0E37E3DB" w14:textId="77777777" w:rsidR="009A4C46" w:rsidRPr="009A4C46" w:rsidRDefault="009A4C46" w:rsidP="009A4C46">
            <w:pPr>
              <w:spacing w:after="0" w:line="240" w:lineRule="auto"/>
              <w:jc w:val="center"/>
              <w:rPr>
                <w:rFonts w:eastAsia="Times New Roman"/>
                <w:sz w:val="18"/>
                <w:szCs w:val="18"/>
                <w:lang w:eastAsia="ru-RU"/>
              </w:rPr>
            </w:pPr>
            <w:r w:rsidRPr="009A4C46">
              <w:rPr>
                <w:rFonts w:eastAsia="Times New Roman"/>
                <w:color w:val="000000"/>
                <w:sz w:val="18"/>
                <w:szCs w:val="18"/>
                <w:lang w:eastAsia="ru-RU"/>
              </w:rPr>
              <w:t> </w:t>
            </w:r>
          </w:p>
        </w:tc>
        <w:tc>
          <w:tcPr>
            <w:tcW w:w="568" w:type="pct"/>
            <w:tcBorders>
              <w:top w:val="nil"/>
              <w:left w:val="nil"/>
              <w:bottom w:val="single" w:sz="8" w:space="0" w:color="auto"/>
              <w:right w:val="single" w:sz="8" w:space="0" w:color="auto"/>
            </w:tcBorders>
            <w:shd w:val="clear" w:color="auto" w:fill="auto"/>
            <w:noWrap/>
            <w:vAlign w:val="center"/>
            <w:hideMark/>
          </w:tcPr>
          <w:p w14:paraId="112CF1C6" w14:textId="77777777" w:rsidR="009A4C46" w:rsidRPr="009A4C46" w:rsidRDefault="009A4C46" w:rsidP="009A4C46">
            <w:pPr>
              <w:spacing w:after="0" w:line="240" w:lineRule="auto"/>
              <w:jc w:val="center"/>
              <w:rPr>
                <w:rFonts w:eastAsia="Times New Roman"/>
                <w:sz w:val="18"/>
                <w:szCs w:val="18"/>
                <w:lang w:eastAsia="ru-RU"/>
              </w:rPr>
            </w:pPr>
            <w:r w:rsidRPr="009A4C46">
              <w:rPr>
                <w:rFonts w:eastAsia="Times New Roman"/>
                <w:color w:val="000000"/>
                <w:sz w:val="18"/>
                <w:szCs w:val="18"/>
                <w:lang w:eastAsia="ru-RU"/>
              </w:rPr>
              <w:t> </w:t>
            </w:r>
          </w:p>
        </w:tc>
        <w:tc>
          <w:tcPr>
            <w:tcW w:w="535" w:type="pct"/>
            <w:gridSpan w:val="2"/>
            <w:tcBorders>
              <w:top w:val="single" w:sz="8" w:space="0" w:color="auto"/>
              <w:left w:val="nil"/>
              <w:bottom w:val="single" w:sz="8" w:space="0" w:color="auto"/>
              <w:right w:val="single" w:sz="8" w:space="0" w:color="000000"/>
            </w:tcBorders>
            <w:shd w:val="clear" w:color="auto" w:fill="auto"/>
            <w:noWrap/>
            <w:vAlign w:val="center"/>
            <w:hideMark/>
          </w:tcPr>
          <w:p w14:paraId="0443E8AA" w14:textId="77777777" w:rsidR="009A4C46" w:rsidRPr="009A4C46" w:rsidRDefault="009A4C46" w:rsidP="009A4C46">
            <w:pPr>
              <w:spacing w:after="0" w:line="240" w:lineRule="auto"/>
              <w:jc w:val="center"/>
              <w:rPr>
                <w:rFonts w:eastAsia="Times New Roman"/>
                <w:sz w:val="18"/>
                <w:szCs w:val="18"/>
                <w:lang w:eastAsia="ru-RU"/>
              </w:rPr>
            </w:pPr>
            <w:r w:rsidRPr="009A4C46">
              <w:rPr>
                <w:rFonts w:eastAsia="Times New Roman"/>
                <w:color w:val="000000"/>
                <w:sz w:val="18"/>
                <w:szCs w:val="18"/>
                <w:lang w:eastAsia="ru-RU"/>
              </w:rPr>
              <w:t> </w:t>
            </w:r>
          </w:p>
        </w:tc>
        <w:tc>
          <w:tcPr>
            <w:tcW w:w="511" w:type="pct"/>
            <w:tcBorders>
              <w:top w:val="nil"/>
              <w:left w:val="nil"/>
              <w:bottom w:val="single" w:sz="8" w:space="0" w:color="auto"/>
              <w:right w:val="single" w:sz="8" w:space="0" w:color="auto"/>
            </w:tcBorders>
            <w:shd w:val="clear" w:color="auto" w:fill="auto"/>
            <w:noWrap/>
            <w:vAlign w:val="center"/>
            <w:hideMark/>
          </w:tcPr>
          <w:p w14:paraId="3C4169EC" w14:textId="77777777" w:rsidR="009A4C46" w:rsidRPr="009A4C46" w:rsidRDefault="009A4C46" w:rsidP="009A4C46">
            <w:pPr>
              <w:spacing w:after="0" w:line="240" w:lineRule="auto"/>
              <w:jc w:val="center"/>
              <w:rPr>
                <w:rFonts w:eastAsia="Times New Roman"/>
                <w:sz w:val="18"/>
                <w:szCs w:val="18"/>
                <w:lang w:eastAsia="ru-RU"/>
              </w:rPr>
            </w:pPr>
            <w:r w:rsidRPr="009A4C46">
              <w:rPr>
                <w:rFonts w:eastAsia="Times New Roman"/>
                <w:color w:val="000000"/>
                <w:sz w:val="18"/>
                <w:szCs w:val="18"/>
                <w:lang w:eastAsia="ru-RU"/>
              </w:rPr>
              <w:t> </w:t>
            </w:r>
          </w:p>
        </w:tc>
      </w:tr>
      <w:tr w:rsidR="009A4C46" w:rsidRPr="009A4C46" w14:paraId="1CB934AB" w14:textId="77777777" w:rsidTr="005C3ACA">
        <w:trPr>
          <w:trHeight w:val="20"/>
        </w:trPr>
        <w:tc>
          <w:tcPr>
            <w:tcW w:w="1047" w:type="pct"/>
            <w:tcBorders>
              <w:top w:val="nil"/>
              <w:left w:val="single" w:sz="4" w:space="0" w:color="auto"/>
              <w:bottom w:val="single" w:sz="4" w:space="0" w:color="auto"/>
              <w:right w:val="single" w:sz="4" w:space="0" w:color="auto"/>
            </w:tcBorders>
            <w:shd w:val="clear" w:color="auto" w:fill="auto"/>
            <w:vAlign w:val="center"/>
            <w:hideMark/>
          </w:tcPr>
          <w:p w14:paraId="11026F7F" w14:textId="77777777" w:rsidR="009A4C46" w:rsidRPr="009A4C46" w:rsidRDefault="009A4C46" w:rsidP="009A4C46">
            <w:pPr>
              <w:spacing w:after="0" w:line="240" w:lineRule="auto"/>
              <w:jc w:val="both"/>
              <w:rPr>
                <w:rFonts w:eastAsia="Times New Roman"/>
                <w:b/>
                <w:sz w:val="18"/>
                <w:szCs w:val="18"/>
                <w:lang w:eastAsia="ru-RU"/>
              </w:rPr>
            </w:pPr>
            <w:r w:rsidRPr="009A4C46">
              <w:rPr>
                <w:rFonts w:eastAsia="Times New Roman"/>
                <w:b/>
                <w:sz w:val="18"/>
                <w:szCs w:val="18"/>
                <w:lang w:eastAsia="ru-RU"/>
              </w:rPr>
              <w:t xml:space="preserve">НВВ котловая </w:t>
            </w:r>
          </w:p>
        </w:tc>
        <w:tc>
          <w:tcPr>
            <w:tcW w:w="573" w:type="pct"/>
            <w:tcBorders>
              <w:top w:val="nil"/>
              <w:left w:val="nil"/>
              <w:bottom w:val="single" w:sz="4" w:space="0" w:color="auto"/>
              <w:right w:val="single" w:sz="4" w:space="0" w:color="auto"/>
            </w:tcBorders>
            <w:shd w:val="clear" w:color="auto" w:fill="auto"/>
            <w:vAlign w:val="center"/>
            <w:hideMark/>
          </w:tcPr>
          <w:p w14:paraId="257C1728" w14:textId="77777777" w:rsidR="009A4C46" w:rsidRPr="009A4C46" w:rsidRDefault="009A4C46" w:rsidP="009A4C46">
            <w:pPr>
              <w:spacing w:after="0" w:line="240" w:lineRule="auto"/>
              <w:jc w:val="center"/>
              <w:rPr>
                <w:rFonts w:eastAsia="Times New Roman"/>
                <w:b/>
                <w:sz w:val="18"/>
                <w:szCs w:val="18"/>
                <w:lang w:eastAsia="ru-RU"/>
              </w:rPr>
            </w:pPr>
            <w:r w:rsidRPr="009A4C46">
              <w:rPr>
                <w:rFonts w:eastAsia="Times New Roman"/>
                <w:b/>
                <w:sz w:val="18"/>
                <w:szCs w:val="18"/>
                <w:lang w:eastAsia="ru-RU"/>
              </w:rPr>
              <w:t>тыс. руб.</w:t>
            </w:r>
          </w:p>
        </w:tc>
        <w:tc>
          <w:tcPr>
            <w:tcW w:w="588" w:type="pct"/>
            <w:tcBorders>
              <w:top w:val="nil"/>
              <w:left w:val="nil"/>
              <w:bottom w:val="single" w:sz="8" w:space="0" w:color="auto"/>
              <w:right w:val="single" w:sz="8" w:space="0" w:color="auto"/>
            </w:tcBorders>
            <w:shd w:val="clear" w:color="auto" w:fill="auto"/>
            <w:noWrap/>
            <w:vAlign w:val="center"/>
            <w:hideMark/>
          </w:tcPr>
          <w:p w14:paraId="24911FF7" w14:textId="77777777" w:rsidR="009A4C46" w:rsidRPr="009A4C46" w:rsidRDefault="009A4C46" w:rsidP="009A4C46">
            <w:pPr>
              <w:spacing w:after="0" w:line="240" w:lineRule="auto"/>
              <w:jc w:val="center"/>
              <w:rPr>
                <w:rFonts w:eastAsia="Times New Roman"/>
                <w:b/>
                <w:sz w:val="18"/>
                <w:szCs w:val="18"/>
                <w:lang w:eastAsia="ru-RU"/>
              </w:rPr>
            </w:pPr>
            <w:r w:rsidRPr="009A4C46">
              <w:rPr>
                <w:rFonts w:eastAsia="Times New Roman"/>
                <w:b/>
                <w:bCs/>
                <w:color w:val="000000"/>
                <w:sz w:val="18"/>
                <w:szCs w:val="18"/>
                <w:lang w:eastAsia="ru-RU"/>
              </w:rPr>
              <w:t>1 374 943</w:t>
            </w:r>
          </w:p>
        </w:tc>
        <w:tc>
          <w:tcPr>
            <w:tcW w:w="589" w:type="pct"/>
            <w:tcBorders>
              <w:top w:val="nil"/>
              <w:left w:val="nil"/>
              <w:bottom w:val="single" w:sz="8" w:space="0" w:color="auto"/>
              <w:right w:val="single" w:sz="8" w:space="0" w:color="auto"/>
            </w:tcBorders>
            <w:shd w:val="clear" w:color="auto" w:fill="auto"/>
            <w:noWrap/>
            <w:vAlign w:val="center"/>
            <w:hideMark/>
          </w:tcPr>
          <w:p w14:paraId="6E8416AD" w14:textId="77777777" w:rsidR="009A4C46" w:rsidRPr="009A4C46" w:rsidRDefault="009A4C46" w:rsidP="009A4C46">
            <w:pPr>
              <w:spacing w:after="0" w:line="240" w:lineRule="auto"/>
              <w:jc w:val="center"/>
              <w:rPr>
                <w:rFonts w:eastAsia="Times New Roman"/>
                <w:b/>
                <w:sz w:val="18"/>
                <w:szCs w:val="18"/>
                <w:lang w:eastAsia="ru-RU"/>
              </w:rPr>
            </w:pPr>
            <w:r w:rsidRPr="009A4C46">
              <w:rPr>
                <w:rFonts w:eastAsia="Times New Roman"/>
                <w:b/>
                <w:bCs/>
                <w:color w:val="000000"/>
                <w:sz w:val="18"/>
                <w:szCs w:val="18"/>
                <w:lang w:eastAsia="ru-RU"/>
              </w:rPr>
              <w:t>2 559 130</w:t>
            </w:r>
          </w:p>
        </w:tc>
        <w:tc>
          <w:tcPr>
            <w:tcW w:w="589" w:type="pct"/>
            <w:tcBorders>
              <w:top w:val="nil"/>
              <w:left w:val="nil"/>
              <w:bottom w:val="single" w:sz="8" w:space="0" w:color="auto"/>
              <w:right w:val="single" w:sz="8" w:space="0" w:color="auto"/>
            </w:tcBorders>
            <w:shd w:val="clear" w:color="auto" w:fill="auto"/>
            <w:noWrap/>
            <w:vAlign w:val="center"/>
            <w:hideMark/>
          </w:tcPr>
          <w:p w14:paraId="5C66E3C8" w14:textId="77777777" w:rsidR="009A4C46" w:rsidRPr="009A4C46" w:rsidRDefault="009A4C46" w:rsidP="009A4C46">
            <w:pPr>
              <w:spacing w:after="0" w:line="240" w:lineRule="auto"/>
              <w:jc w:val="center"/>
              <w:rPr>
                <w:rFonts w:eastAsia="Times New Roman"/>
                <w:b/>
                <w:sz w:val="18"/>
                <w:szCs w:val="18"/>
                <w:lang w:eastAsia="ru-RU"/>
              </w:rPr>
            </w:pPr>
            <w:r w:rsidRPr="009A4C46">
              <w:rPr>
                <w:rFonts w:eastAsia="Times New Roman"/>
                <w:b/>
                <w:bCs/>
                <w:color w:val="000000"/>
                <w:sz w:val="18"/>
                <w:szCs w:val="18"/>
                <w:lang w:eastAsia="ru-RU"/>
              </w:rPr>
              <w:t>1 184 186</w:t>
            </w:r>
          </w:p>
        </w:tc>
        <w:tc>
          <w:tcPr>
            <w:tcW w:w="568" w:type="pct"/>
            <w:tcBorders>
              <w:top w:val="nil"/>
              <w:left w:val="nil"/>
              <w:bottom w:val="single" w:sz="8" w:space="0" w:color="auto"/>
              <w:right w:val="single" w:sz="8" w:space="0" w:color="auto"/>
            </w:tcBorders>
            <w:shd w:val="clear" w:color="auto" w:fill="auto"/>
            <w:noWrap/>
            <w:vAlign w:val="center"/>
            <w:hideMark/>
          </w:tcPr>
          <w:p w14:paraId="723D5016" w14:textId="77777777" w:rsidR="009A4C46" w:rsidRPr="009A4C46" w:rsidRDefault="009A4C46" w:rsidP="009A4C46">
            <w:pPr>
              <w:spacing w:after="0" w:line="240" w:lineRule="auto"/>
              <w:jc w:val="center"/>
              <w:rPr>
                <w:rFonts w:eastAsia="Times New Roman"/>
                <w:b/>
                <w:sz w:val="18"/>
                <w:szCs w:val="18"/>
                <w:lang w:eastAsia="ru-RU"/>
              </w:rPr>
            </w:pPr>
            <w:r w:rsidRPr="009A4C46">
              <w:rPr>
                <w:rFonts w:eastAsia="Times New Roman"/>
                <w:b/>
                <w:bCs/>
                <w:color w:val="000000"/>
                <w:sz w:val="18"/>
                <w:szCs w:val="18"/>
                <w:lang w:eastAsia="ru-RU"/>
              </w:rPr>
              <w:t>86%</w:t>
            </w:r>
          </w:p>
        </w:tc>
        <w:tc>
          <w:tcPr>
            <w:tcW w:w="535" w:type="pct"/>
            <w:gridSpan w:val="2"/>
            <w:tcBorders>
              <w:top w:val="single" w:sz="8" w:space="0" w:color="auto"/>
              <w:left w:val="nil"/>
              <w:bottom w:val="single" w:sz="8" w:space="0" w:color="auto"/>
              <w:right w:val="single" w:sz="8" w:space="0" w:color="000000"/>
            </w:tcBorders>
            <w:shd w:val="clear" w:color="auto" w:fill="auto"/>
            <w:noWrap/>
            <w:vAlign w:val="center"/>
            <w:hideMark/>
          </w:tcPr>
          <w:p w14:paraId="3536536E" w14:textId="77777777" w:rsidR="009A4C46" w:rsidRPr="009A4C46" w:rsidRDefault="009A4C46" w:rsidP="009A4C46">
            <w:pPr>
              <w:spacing w:after="0" w:line="240" w:lineRule="auto"/>
              <w:jc w:val="center"/>
              <w:rPr>
                <w:rFonts w:eastAsia="Times New Roman"/>
                <w:b/>
                <w:sz w:val="18"/>
                <w:szCs w:val="18"/>
                <w:lang w:eastAsia="ru-RU"/>
              </w:rPr>
            </w:pPr>
            <w:r w:rsidRPr="009A4C46">
              <w:rPr>
                <w:rFonts w:eastAsia="Times New Roman"/>
                <w:b/>
                <w:bCs/>
                <w:color w:val="000000"/>
                <w:sz w:val="18"/>
                <w:szCs w:val="18"/>
                <w:lang w:eastAsia="ru-RU"/>
              </w:rPr>
              <w:t>0</w:t>
            </w:r>
          </w:p>
        </w:tc>
        <w:tc>
          <w:tcPr>
            <w:tcW w:w="511" w:type="pct"/>
            <w:tcBorders>
              <w:top w:val="nil"/>
              <w:left w:val="nil"/>
              <w:bottom w:val="single" w:sz="8" w:space="0" w:color="auto"/>
              <w:right w:val="single" w:sz="8" w:space="0" w:color="auto"/>
            </w:tcBorders>
            <w:shd w:val="clear" w:color="auto" w:fill="auto"/>
            <w:noWrap/>
            <w:vAlign w:val="center"/>
            <w:hideMark/>
          </w:tcPr>
          <w:p w14:paraId="002B6B1F" w14:textId="77777777" w:rsidR="009A4C46" w:rsidRPr="009A4C46" w:rsidRDefault="009A4C46" w:rsidP="009A4C46">
            <w:pPr>
              <w:spacing w:after="0" w:line="240" w:lineRule="auto"/>
              <w:jc w:val="center"/>
              <w:rPr>
                <w:rFonts w:eastAsia="Times New Roman"/>
                <w:b/>
                <w:sz w:val="18"/>
                <w:szCs w:val="18"/>
                <w:lang w:eastAsia="ru-RU"/>
              </w:rPr>
            </w:pPr>
            <w:r w:rsidRPr="009A4C46">
              <w:rPr>
                <w:rFonts w:eastAsia="Times New Roman"/>
                <w:color w:val="000000"/>
                <w:sz w:val="18"/>
                <w:szCs w:val="18"/>
                <w:lang w:eastAsia="ru-RU"/>
              </w:rPr>
              <w:t> </w:t>
            </w:r>
          </w:p>
        </w:tc>
      </w:tr>
      <w:tr w:rsidR="009A4C46" w:rsidRPr="009A4C46" w14:paraId="0313B5B6" w14:textId="77777777" w:rsidTr="005C3ACA">
        <w:trPr>
          <w:trHeight w:val="20"/>
        </w:trPr>
        <w:tc>
          <w:tcPr>
            <w:tcW w:w="1047" w:type="pct"/>
            <w:tcBorders>
              <w:top w:val="nil"/>
              <w:left w:val="single" w:sz="4" w:space="0" w:color="auto"/>
              <w:bottom w:val="single" w:sz="4" w:space="0" w:color="auto"/>
              <w:right w:val="single" w:sz="4" w:space="0" w:color="auto"/>
            </w:tcBorders>
            <w:shd w:val="clear" w:color="auto" w:fill="auto"/>
            <w:vAlign w:val="center"/>
            <w:hideMark/>
          </w:tcPr>
          <w:p w14:paraId="082644A4" w14:textId="77777777" w:rsidR="009A4C46" w:rsidRPr="009A4C46" w:rsidRDefault="009A4C46" w:rsidP="009A4C46">
            <w:pPr>
              <w:spacing w:after="0" w:line="240" w:lineRule="auto"/>
              <w:jc w:val="both"/>
              <w:rPr>
                <w:rFonts w:eastAsia="Times New Roman"/>
                <w:b/>
                <w:sz w:val="18"/>
                <w:szCs w:val="18"/>
                <w:lang w:eastAsia="ru-RU"/>
              </w:rPr>
            </w:pPr>
            <w:r w:rsidRPr="009A4C46">
              <w:rPr>
                <w:rFonts w:eastAsia="Times New Roman"/>
                <w:b/>
                <w:sz w:val="18"/>
                <w:szCs w:val="18"/>
                <w:lang w:eastAsia="ru-RU"/>
              </w:rPr>
              <w:t>Фактически начисленная выручка</w:t>
            </w:r>
          </w:p>
        </w:tc>
        <w:tc>
          <w:tcPr>
            <w:tcW w:w="573" w:type="pct"/>
            <w:tcBorders>
              <w:top w:val="nil"/>
              <w:left w:val="nil"/>
              <w:bottom w:val="single" w:sz="4" w:space="0" w:color="auto"/>
              <w:right w:val="single" w:sz="4" w:space="0" w:color="auto"/>
            </w:tcBorders>
            <w:shd w:val="clear" w:color="auto" w:fill="auto"/>
            <w:vAlign w:val="center"/>
            <w:hideMark/>
          </w:tcPr>
          <w:p w14:paraId="3F23F223" w14:textId="77777777" w:rsidR="009A4C46" w:rsidRPr="009A4C46" w:rsidRDefault="009A4C46" w:rsidP="009A4C46">
            <w:pPr>
              <w:spacing w:after="0" w:line="240" w:lineRule="auto"/>
              <w:jc w:val="center"/>
              <w:rPr>
                <w:rFonts w:eastAsia="Times New Roman"/>
                <w:b/>
                <w:sz w:val="18"/>
                <w:szCs w:val="18"/>
                <w:lang w:eastAsia="ru-RU"/>
              </w:rPr>
            </w:pPr>
            <w:r w:rsidRPr="009A4C46">
              <w:rPr>
                <w:rFonts w:eastAsia="Times New Roman"/>
                <w:b/>
                <w:sz w:val="18"/>
                <w:szCs w:val="18"/>
                <w:lang w:eastAsia="ru-RU"/>
              </w:rPr>
              <w:t>тыс. руб.</w:t>
            </w:r>
          </w:p>
        </w:tc>
        <w:tc>
          <w:tcPr>
            <w:tcW w:w="588" w:type="pct"/>
            <w:tcBorders>
              <w:top w:val="nil"/>
              <w:left w:val="nil"/>
              <w:bottom w:val="single" w:sz="8" w:space="0" w:color="auto"/>
              <w:right w:val="single" w:sz="8" w:space="0" w:color="auto"/>
            </w:tcBorders>
            <w:shd w:val="clear" w:color="auto" w:fill="auto"/>
            <w:noWrap/>
            <w:vAlign w:val="center"/>
            <w:hideMark/>
          </w:tcPr>
          <w:p w14:paraId="610D0925" w14:textId="77777777" w:rsidR="009A4C46" w:rsidRPr="009A4C46" w:rsidRDefault="009A4C46" w:rsidP="009A4C46">
            <w:pPr>
              <w:spacing w:after="0" w:line="240" w:lineRule="auto"/>
              <w:jc w:val="center"/>
              <w:rPr>
                <w:rFonts w:eastAsia="Times New Roman"/>
                <w:b/>
                <w:sz w:val="18"/>
                <w:szCs w:val="18"/>
                <w:lang w:eastAsia="ru-RU"/>
              </w:rPr>
            </w:pPr>
            <w:r w:rsidRPr="009A4C46">
              <w:rPr>
                <w:rFonts w:eastAsia="Times New Roman"/>
                <w:b/>
                <w:bCs/>
                <w:color w:val="000000"/>
                <w:sz w:val="18"/>
                <w:szCs w:val="18"/>
                <w:lang w:eastAsia="ru-RU"/>
              </w:rPr>
              <w:t>*</w:t>
            </w:r>
          </w:p>
        </w:tc>
        <w:tc>
          <w:tcPr>
            <w:tcW w:w="589" w:type="pct"/>
            <w:tcBorders>
              <w:top w:val="nil"/>
              <w:left w:val="nil"/>
              <w:bottom w:val="single" w:sz="8" w:space="0" w:color="auto"/>
              <w:right w:val="single" w:sz="8" w:space="0" w:color="auto"/>
            </w:tcBorders>
            <w:shd w:val="clear" w:color="auto" w:fill="auto"/>
            <w:noWrap/>
            <w:vAlign w:val="center"/>
            <w:hideMark/>
          </w:tcPr>
          <w:p w14:paraId="4C24C7E0" w14:textId="77777777" w:rsidR="009A4C46" w:rsidRPr="009A4C46" w:rsidRDefault="009A4C46" w:rsidP="009A4C46">
            <w:pPr>
              <w:spacing w:after="0" w:line="240" w:lineRule="auto"/>
              <w:jc w:val="center"/>
              <w:rPr>
                <w:rFonts w:eastAsia="Times New Roman"/>
                <w:b/>
                <w:sz w:val="18"/>
                <w:szCs w:val="18"/>
                <w:lang w:eastAsia="ru-RU"/>
              </w:rPr>
            </w:pPr>
            <w:r w:rsidRPr="009A4C46">
              <w:rPr>
                <w:rFonts w:eastAsia="Times New Roman"/>
                <w:b/>
                <w:bCs/>
                <w:color w:val="000000"/>
                <w:sz w:val="18"/>
                <w:szCs w:val="18"/>
                <w:lang w:eastAsia="ru-RU"/>
              </w:rPr>
              <w:t>1 323 214</w:t>
            </w:r>
          </w:p>
        </w:tc>
        <w:tc>
          <w:tcPr>
            <w:tcW w:w="589" w:type="pct"/>
            <w:tcBorders>
              <w:top w:val="nil"/>
              <w:left w:val="nil"/>
              <w:bottom w:val="single" w:sz="8" w:space="0" w:color="auto"/>
              <w:right w:val="single" w:sz="8" w:space="0" w:color="auto"/>
            </w:tcBorders>
            <w:shd w:val="clear" w:color="auto" w:fill="auto"/>
            <w:noWrap/>
            <w:vAlign w:val="center"/>
            <w:hideMark/>
          </w:tcPr>
          <w:p w14:paraId="3A14CABF" w14:textId="77777777" w:rsidR="009A4C46" w:rsidRPr="009A4C46" w:rsidRDefault="009A4C46" w:rsidP="009A4C46">
            <w:pPr>
              <w:spacing w:after="0" w:line="240" w:lineRule="auto"/>
              <w:jc w:val="center"/>
              <w:rPr>
                <w:rFonts w:eastAsia="Times New Roman"/>
                <w:b/>
                <w:sz w:val="18"/>
                <w:szCs w:val="18"/>
                <w:lang w:eastAsia="ru-RU"/>
              </w:rPr>
            </w:pPr>
            <w:r w:rsidRPr="009A4C46">
              <w:rPr>
                <w:rFonts w:eastAsia="Times New Roman"/>
                <w:b/>
                <w:bCs/>
                <w:color w:val="000000"/>
                <w:sz w:val="18"/>
                <w:szCs w:val="18"/>
                <w:lang w:eastAsia="ru-RU"/>
              </w:rPr>
              <w:t>-51 729</w:t>
            </w:r>
          </w:p>
        </w:tc>
        <w:tc>
          <w:tcPr>
            <w:tcW w:w="568" w:type="pct"/>
            <w:tcBorders>
              <w:top w:val="nil"/>
              <w:left w:val="nil"/>
              <w:bottom w:val="single" w:sz="8" w:space="0" w:color="auto"/>
              <w:right w:val="single" w:sz="8" w:space="0" w:color="auto"/>
            </w:tcBorders>
            <w:shd w:val="clear" w:color="auto" w:fill="auto"/>
            <w:noWrap/>
            <w:vAlign w:val="center"/>
            <w:hideMark/>
          </w:tcPr>
          <w:p w14:paraId="4AB2CA37" w14:textId="77777777" w:rsidR="009A4C46" w:rsidRPr="009A4C46" w:rsidRDefault="009A4C46" w:rsidP="009A4C46">
            <w:pPr>
              <w:spacing w:after="0" w:line="240" w:lineRule="auto"/>
              <w:jc w:val="center"/>
              <w:rPr>
                <w:rFonts w:eastAsia="Times New Roman"/>
                <w:b/>
                <w:sz w:val="18"/>
                <w:szCs w:val="18"/>
                <w:lang w:eastAsia="ru-RU"/>
              </w:rPr>
            </w:pPr>
            <w:r w:rsidRPr="009A4C46">
              <w:rPr>
                <w:rFonts w:eastAsia="Times New Roman"/>
                <w:b/>
                <w:bCs/>
                <w:color w:val="000000"/>
                <w:sz w:val="18"/>
                <w:szCs w:val="18"/>
                <w:lang w:eastAsia="ru-RU"/>
              </w:rPr>
              <w:t>-4%</w:t>
            </w:r>
          </w:p>
        </w:tc>
        <w:tc>
          <w:tcPr>
            <w:tcW w:w="535" w:type="pct"/>
            <w:gridSpan w:val="2"/>
            <w:tcBorders>
              <w:top w:val="single" w:sz="8" w:space="0" w:color="auto"/>
              <w:left w:val="nil"/>
              <w:bottom w:val="single" w:sz="8" w:space="0" w:color="auto"/>
              <w:right w:val="single" w:sz="8" w:space="0" w:color="000000"/>
            </w:tcBorders>
            <w:shd w:val="clear" w:color="auto" w:fill="auto"/>
            <w:noWrap/>
            <w:vAlign w:val="center"/>
            <w:hideMark/>
          </w:tcPr>
          <w:p w14:paraId="48048F19" w14:textId="77777777" w:rsidR="009A4C46" w:rsidRPr="009A4C46" w:rsidRDefault="009A4C46" w:rsidP="009A4C46">
            <w:pPr>
              <w:spacing w:after="0" w:line="240" w:lineRule="auto"/>
              <w:jc w:val="center"/>
              <w:rPr>
                <w:rFonts w:eastAsia="Times New Roman"/>
                <w:b/>
                <w:sz w:val="18"/>
                <w:szCs w:val="18"/>
                <w:lang w:eastAsia="ru-RU"/>
              </w:rPr>
            </w:pPr>
            <w:r w:rsidRPr="009A4C46">
              <w:rPr>
                <w:rFonts w:eastAsia="Times New Roman"/>
                <w:color w:val="000000"/>
                <w:sz w:val="18"/>
                <w:szCs w:val="18"/>
                <w:lang w:eastAsia="ru-RU"/>
              </w:rPr>
              <w:t> </w:t>
            </w:r>
          </w:p>
        </w:tc>
        <w:tc>
          <w:tcPr>
            <w:tcW w:w="511" w:type="pct"/>
            <w:tcBorders>
              <w:top w:val="nil"/>
              <w:left w:val="nil"/>
              <w:bottom w:val="single" w:sz="8" w:space="0" w:color="auto"/>
              <w:right w:val="single" w:sz="8" w:space="0" w:color="auto"/>
            </w:tcBorders>
            <w:shd w:val="clear" w:color="auto" w:fill="auto"/>
            <w:noWrap/>
            <w:vAlign w:val="center"/>
            <w:hideMark/>
          </w:tcPr>
          <w:p w14:paraId="71F29A3B" w14:textId="77777777" w:rsidR="009A4C46" w:rsidRPr="009A4C46" w:rsidRDefault="009A4C46" w:rsidP="009A4C46">
            <w:pPr>
              <w:spacing w:after="0" w:line="240" w:lineRule="auto"/>
              <w:jc w:val="center"/>
              <w:rPr>
                <w:rFonts w:eastAsia="Times New Roman"/>
                <w:b/>
                <w:sz w:val="18"/>
                <w:szCs w:val="18"/>
                <w:lang w:eastAsia="ru-RU"/>
              </w:rPr>
            </w:pPr>
            <w:r w:rsidRPr="009A4C46">
              <w:rPr>
                <w:rFonts w:eastAsia="Times New Roman"/>
                <w:color w:val="000000"/>
                <w:sz w:val="18"/>
                <w:szCs w:val="18"/>
                <w:lang w:eastAsia="ru-RU"/>
              </w:rPr>
              <w:t> </w:t>
            </w:r>
          </w:p>
        </w:tc>
      </w:tr>
    </w:tbl>
    <w:p w14:paraId="566613E3" w14:textId="77777777" w:rsidR="005C3ACA" w:rsidRDefault="005C3ACA" w:rsidP="009A4C46">
      <w:pPr>
        <w:spacing w:afterLines="32" w:after="76" w:line="360" w:lineRule="auto"/>
        <w:ind w:firstLine="567"/>
        <w:contextualSpacing/>
        <w:jc w:val="both"/>
        <w:rPr>
          <w:rFonts w:eastAsia="Calibri"/>
          <w:i/>
          <w:sz w:val="26"/>
          <w:szCs w:val="26"/>
          <w:lang w:eastAsia="ru-RU"/>
        </w:rPr>
        <w:sectPr w:rsidR="005C3ACA" w:rsidSect="005C3ACA">
          <w:pgSz w:w="16838" w:h="11906" w:orient="landscape"/>
          <w:pgMar w:top="1701" w:right="1134" w:bottom="851" w:left="1134" w:header="709" w:footer="709" w:gutter="0"/>
          <w:cols w:space="708"/>
          <w:docGrid w:linePitch="360"/>
        </w:sectPr>
      </w:pPr>
    </w:p>
    <w:p w14:paraId="262EA65D" w14:textId="0A82C902" w:rsidR="009A4C46" w:rsidRPr="005C3ACA" w:rsidRDefault="009A4C46" w:rsidP="009A4C46">
      <w:pPr>
        <w:spacing w:afterLines="32" w:after="76" w:line="360" w:lineRule="auto"/>
        <w:ind w:firstLine="567"/>
        <w:contextualSpacing/>
        <w:jc w:val="both"/>
        <w:rPr>
          <w:rFonts w:eastAsia="Calibri"/>
          <w:i/>
          <w:lang w:eastAsia="ru-RU"/>
        </w:rPr>
      </w:pPr>
      <w:r w:rsidRPr="005C3ACA">
        <w:rPr>
          <w:rFonts w:eastAsia="Calibri"/>
          <w:i/>
          <w:lang w:eastAsia="ru-RU"/>
        </w:rPr>
        <w:lastRenderedPageBreak/>
        <w:t xml:space="preserve">Примечание: Общая величина корректировок по итогам 2018 года принята Службой по тарифам Республики Тыва в размере 81 032 тыс. руб., корректировки, учтенные в НВВ 2020 года, составляют 0,00 тыс. руб., оставшаяся сумма корректировок перенесена на последующие годы. </w:t>
      </w:r>
    </w:p>
    <w:p w14:paraId="66B10DCF" w14:textId="77777777" w:rsidR="009A4C46" w:rsidRPr="00F94FED" w:rsidRDefault="009A4C46" w:rsidP="009A4C46">
      <w:pPr>
        <w:tabs>
          <w:tab w:val="left" w:pos="0"/>
        </w:tabs>
        <w:autoSpaceDE w:val="0"/>
        <w:autoSpaceDN w:val="0"/>
        <w:adjustRightInd w:val="0"/>
        <w:spacing w:after="32" w:line="360" w:lineRule="auto"/>
        <w:ind w:firstLine="567"/>
        <w:jc w:val="both"/>
        <w:rPr>
          <w:rFonts w:eastAsia="Times New Roman"/>
          <w:sz w:val="26"/>
          <w:szCs w:val="26"/>
          <w:lang w:eastAsia="ru-RU"/>
        </w:rPr>
      </w:pPr>
      <w:r w:rsidRPr="00F94FED">
        <w:rPr>
          <w:rFonts w:eastAsia="Times New Roman"/>
          <w:sz w:val="26"/>
          <w:szCs w:val="26"/>
          <w:lang w:eastAsia="ru-RU"/>
        </w:rPr>
        <w:t>В 2018 году, аналогично 2017 году, наблюдается экономия по подконтрольным расходам и перерасход по неподконтрольным фактическим расходам над плановыми затратами, учтенными Службой по тарифам Республики Тыва при установлении тарифов на услуги по передаче электрической энергии на 2018 год.</w:t>
      </w:r>
    </w:p>
    <w:p w14:paraId="316BAEBE" w14:textId="77777777" w:rsidR="009A4C46" w:rsidRPr="00F94FED" w:rsidRDefault="009A4C46" w:rsidP="009A4C46">
      <w:pPr>
        <w:spacing w:afterLines="32" w:after="76" w:line="360" w:lineRule="auto"/>
        <w:ind w:firstLine="567"/>
        <w:jc w:val="both"/>
        <w:rPr>
          <w:rFonts w:eastAsia="Times New Roman"/>
          <w:sz w:val="26"/>
          <w:szCs w:val="26"/>
          <w:lang w:eastAsia="ru-RU"/>
        </w:rPr>
      </w:pPr>
      <w:r w:rsidRPr="00F94FED">
        <w:rPr>
          <w:rFonts w:eastAsia="Times New Roman"/>
          <w:sz w:val="26"/>
          <w:szCs w:val="26"/>
          <w:lang w:eastAsia="ru-RU"/>
        </w:rPr>
        <w:t xml:space="preserve">Основное снижение по подконтрольным расходам формируется за счет экономии расходов с целью компенсации затрат по другим статьям неподконтрольных расходов и минимизации убытков по итогам года. </w:t>
      </w:r>
    </w:p>
    <w:p w14:paraId="0B1B821F" w14:textId="77777777" w:rsidR="009A4C46" w:rsidRPr="00F94FED" w:rsidRDefault="009A4C46" w:rsidP="009A4C46">
      <w:pPr>
        <w:tabs>
          <w:tab w:val="left" w:pos="0"/>
        </w:tabs>
        <w:autoSpaceDE w:val="0"/>
        <w:autoSpaceDN w:val="0"/>
        <w:adjustRightInd w:val="0"/>
        <w:spacing w:after="32" w:line="360" w:lineRule="auto"/>
        <w:ind w:firstLine="567"/>
        <w:jc w:val="both"/>
        <w:rPr>
          <w:rFonts w:eastAsia="Times New Roman"/>
          <w:sz w:val="26"/>
          <w:szCs w:val="26"/>
          <w:lang w:eastAsia="ru-RU"/>
        </w:rPr>
      </w:pPr>
      <w:r w:rsidRPr="00F94FED">
        <w:rPr>
          <w:rFonts w:eastAsia="Times New Roman"/>
          <w:sz w:val="26"/>
          <w:szCs w:val="26"/>
          <w:lang w:eastAsia="ru-RU"/>
        </w:rPr>
        <w:t>Превышение фактических неподконтрольных затрат над плановым значением, учтенным Службой по тарифам Республики Тыва в НВВ 2017 года, сформировалось за счет прочих неподконтрольных расходов, а также в результате увеличения фактических амортизационных отчислений.</w:t>
      </w:r>
    </w:p>
    <w:p w14:paraId="395BA399" w14:textId="77777777" w:rsidR="009A4C46" w:rsidRPr="00F94FED" w:rsidRDefault="009A4C46" w:rsidP="009A4C46">
      <w:pPr>
        <w:tabs>
          <w:tab w:val="left" w:pos="0"/>
        </w:tabs>
        <w:autoSpaceDE w:val="0"/>
        <w:autoSpaceDN w:val="0"/>
        <w:adjustRightInd w:val="0"/>
        <w:spacing w:after="32" w:line="360" w:lineRule="auto"/>
        <w:ind w:firstLine="567"/>
        <w:jc w:val="both"/>
        <w:rPr>
          <w:rFonts w:eastAsia="Times New Roman"/>
          <w:sz w:val="26"/>
          <w:szCs w:val="26"/>
          <w:lang w:eastAsia="ru-RU"/>
        </w:rPr>
      </w:pPr>
      <w:r w:rsidRPr="00F94FED">
        <w:rPr>
          <w:rFonts w:eastAsia="Times New Roman"/>
          <w:sz w:val="26"/>
          <w:szCs w:val="26"/>
          <w:lang w:eastAsia="ru-RU"/>
        </w:rPr>
        <w:t>В 2018 году в результате принятых Службой по тарифам Республики Тыва тарифно-балансовых решений у АО «Тываэнерго» сформировались недополученные доходы:</w:t>
      </w:r>
    </w:p>
    <w:p w14:paraId="0B9FF13D" w14:textId="7EE8FC4D" w:rsidR="009A4C46" w:rsidRPr="00F94FED" w:rsidRDefault="009A4C46" w:rsidP="00F94FED">
      <w:pPr>
        <w:numPr>
          <w:ilvl w:val="0"/>
          <w:numId w:val="16"/>
        </w:numPr>
        <w:tabs>
          <w:tab w:val="left" w:pos="0"/>
        </w:tabs>
        <w:autoSpaceDE w:val="0"/>
        <w:autoSpaceDN w:val="0"/>
        <w:adjustRightInd w:val="0"/>
        <w:spacing w:after="32" w:line="360" w:lineRule="auto"/>
        <w:ind w:left="1134" w:hanging="567"/>
        <w:contextualSpacing/>
        <w:jc w:val="both"/>
        <w:rPr>
          <w:rFonts w:eastAsia="Calibri"/>
          <w:sz w:val="26"/>
          <w:szCs w:val="26"/>
        </w:rPr>
      </w:pPr>
      <w:r w:rsidRPr="00F94FED">
        <w:rPr>
          <w:rFonts w:eastAsia="Calibri"/>
          <w:sz w:val="26"/>
          <w:szCs w:val="26"/>
        </w:rPr>
        <w:t>Корректировка неподконтрольных расходов принята Службой по тарифам Республики Тыва в размере 8</w:t>
      </w:r>
      <w:r w:rsidR="00D75241">
        <w:rPr>
          <w:rFonts w:eastAsia="Calibri"/>
          <w:sz w:val="26"/>
          <w:szCs w:val="26"/>
        </w:rPr>
        <w:t> </w:t>
      </w:r>
      <w:r w:rsidRPr="00F94FED">
        <w:rPr>
          <w:rFonts w:eastAsia="Calibri"/>
          <w:sz w:val="26"/>
          <w:szCs w:val="26"/>
        </w:rPr>
        <w:t>881 тыс. руб.</w:t>
      </w:r>
    </w:p>
    <w:p w14:paraId="11F65DAC" w14:textId="77777777" w:rsidR="009A4C46" w:rsidRPr="00F94FED" w:rsidRDefault="009A4C46" w:rsidP="00F94FED">
      <w:pPr>
        <w:numPr>
          <w:ilvl w:val="0"/>
          <w:numId w:val="16"/>
        </w:numPr>
        <w:tabs>
          <w:tab w:val="left" w:pos="0"/>
        </w:tabs>
        <w:autoSpaceDE w:val="0"/>
        <w:autoSpaceDN w:val="0"/>
        <w:adjustRightInd w:val="0"/>
        <w:spacing w:after="32" w:line="360" w:lineRule="auto"/>
        <w:ind w:left="1134" w:hanging="567"/>
        <w:contextualSpacing/>
        <w:jc w:val="both"/>
        <w:rPr>
          <w:rFonts w:eastAsia="Calibri"/>
          <w:sz w:val="26"/>
          <w:szCs w:val="26"/>
        </w:rPr>
      </w:pPr>
      <w:r w:rsidRPr="00F94FED">
        <w:rPr>
          <w:rFonts w:eastAsia="Calibri"/>
          <w:sz w:val="26"/>
          <w:szCs w:val="26"/>
        </w:rPr>
        <w:t>Корректировка НВВ по доходам от осуществления регулируемой деятельности принята Службой по тарифам Республики Тыва в размере 7 667 тыс. руб.</w:t>
      </w:r>
    </w:p>
    <w:p w14:paraId="33743EEA" w14:textId="4B240BFC" w:rsidR="009A4C46" w:rsidRPr="00F94FED" w:rsidRDefault="009A4C46" w:rsidP="00F94FED">
      <w:pPr>
        <w:numPr>
          <w:ilvl w:val="0"/>
          <w:numId w:val="16"/>
        </w:numPr>
        <w:tabs>
          <w:tab w:val="left" w:pos="0"/>
        </w:tabs>
        <w:autoSpaceDE w:val="0"/>
        <w:autoSpaceDN w:val="0"/>
        <w:adjustRightInd w:val="0"/>
        <w:spacing w:after="32" w:line="360" w:lineRule="auto"/>
        <w:ind w:left="1134" w:hanging="567"/>
        <w:contextualSpacing/>
        <w:jc w:val="both"/>
        <w:rPr>
          <w:rFonts w:eastAsia="Calibri"/>
          <w:sz w:val="26"/>
          <w:szCs w:val="26"/>
        </w:rPr>
      </w:pPr>
      <w:r w:rsidRPr="00F94FED">
        <w:rPr>
          <w:rFonts w:eastAsia="Calibri"/>
          <w:sz w:val="26"/>
          <w:szCs w:val="26"/>
        </w:rPr>
        <w:t>Корректировка подконтрольных расходов в связи с изменением планируемых параметров расчета тарифов в размере 22</w:t>
      </w:r>
      <w:r w:rsidR="00D75241">
        <w:rPr>
          <w:rFonts w:eastAsia="Calibri"/>
          <w:sz w:val="26"/>
          <w:szCs w:val="26"/>
        </w:rPr>
        <w:t> </w:t>
      </w:r>
      <w:r w:rsidRPr="00F94FED">
        <w:rPr>
          <w:rFonts w:eastAsia="Calibri"/>
          <w:sz w:val="26"/>
          <w:szCs w:val="26"/>
        </w:rPr>
        <w:t xml:space="preserve">561 тыс. руб.; </w:t>
      </w:r>
    </w:p>
    <w:p w14:paraId="0D9E7007" w14:textId="77777777" w:rsidR="009A4C46" w:rsidRPr="00F94FED" w:rsidRDefault="009A4C46" w:rsidP="00F94FED">
      <w:pPr>
        <w:numPr>
          <w:ilvl w:val="0"/>
          <w:numId w:val="16"/>
        </w:numPr>
        <w:tabs>
          <w:tab w:val="left" w:pos="0"/>
        </w:tabs>
        <w:autoSpaceDE w:val="0"/>
        <w:autoSpaceDN w:val="0"/>
        <w:adjustRightInd w:val="0"/>
        <w:spacing w:after="32" w:line="360" w:lineRule="auto"/>
        <w:ind w:left="1134" w:hanging="567"/>
        <w:contextualSpacing/>
        <w:jc w:val="both"/>
        <w:rPr>
          <w:rFonts w:eastAsia="Calibri"/>
          <w:sz w:val="26"/>
          <w:szCs w:val="26"/>
        </w:rPr>
      </w:pPr>
      <w:r w:rsidRPr="00F94FED">
        <w:rPr>
          <w:rFonts w:eastAsia="Calibri"/>
          <w:sz w:val="26"/>
          <w:szCs w:val="26"/>
        </w:rPr>
        <w:t>Корректировка НВВ с учетом изменения полезного отпуска электрической энергии и цены покупки потерь в размере 26 017 тыс. руб.</w:t>
      </w:r>
    </w:p>
    <w:p w14:paraId="123C67EE" w14:textId="77777777" w:rsidR="009A4C46" w:rsidRPr="00F94FED" w:rsidRDefault="009A4C46" w:rsidP="009A4C46">
      <w:pPr>
        <w:tabs>
          <w:tab w:val="left" w:pos="0"/>
        </w:tabs>
        <w:autoSpaceDE w:val="0"/>
        <w:autoSpaceDN w:val="0"/>
        <w:adjustRightInd w:val="0"/>
        <w:spacing w:after="32" w:line="360" w:lineRule="auto"/>
        <w:ind w:firstLine="567"/>
        <w:contextualSpacing/>
        <w:jc w:val="both"/>
        <w:rPr>
          <w:rFonts w:eastAsia="Calibri"/>
          <w:sz w:val="26"/>
          <w:szCs w:val="26"/>
        </w:rPr>
      </w:pPr>
      <w:r w:rsidRPr="00F94FED">
        <w:rPr>
          <w:rFonts w:eastAsia="Calibri"/>
          <w:sz w:val="26"/>
          <w:szCs w:val="26"/>
        </w:rPr>
        <w:t xml:space="preserve">С целью проведения анализа соответствия фактической товарной выручки от передачи электрической энергии выручке, утвержденной регулирующим </w:t>
      </w:r>
      <w:r w:rsidRPr="00F94FED">
        <w:rPr>
          <w:rFonts w:eastAsia="Calibri"/>
          <w:sz w:val="26"/>
          <w:szCs w:val="26"/>
        </w:rPr>
        <w:lastRenderedPageBreak/>
        <w:t>органом, Исполнителем произведен расчет плановой величины необходимой валовой выручки на 2018 год.</w:t>
      </w:r>
    </w:p>
    <w:p w14:paraId="326BCF75" w14:textId="77777777" w:rsidR="009A4C46" w:rsidRPr="00F94FED" w:rsidRDefault="009A4C46" w:rsidP="009A4C46">
      <w:pPr>
        <w:tabs>
          <w:tab w:val="left" w:pos="0"/>
        </w:tabs>
        <w:autoSpaceDE w:val="0"/>
        <w:autoSpaceDN w:val="0"/>
        <w:adjustRightInd w:val="0"/>
        <w:spacing w:after="32" w:line="360" w:lineRule="auto"/>
        <w:ind w:firstLine="567"/>
        <w:jc w:val="both"/>
        <w:rPr>
          <w:rFonts w:eastAsia="Times New Roman"/>
          <w:sz w:val="26"/>
          <w:szCs w:val="26"/>
          <w:lang w:eastAsia="ru-RU"/>
        </w:rPr>
      </w:pPr>
      <w:r w:rsidRPr="00F94FED">
        <w:rPr>
          <w:rFonts w:eastAsia="Times New Roman"/>
          <w:sz w:val="26"/>
          <w:szCs w:val="26"/>
          <w:lang w:eastAsia="ru-RU"/>
        </w:rPr>
        <w:t>Необходимая валовая выручка от передачи электрической энергии по единым (котловым) тарифам определена как произведение плановых объемов полезного отпуска электрической энергии (мощности) конечным потребителям в разрезе групп и уровней напряжения и единых (котловых) тарифов на услуги по передаче электрической энергии, утвержденных Службой по тарифам Республики Тыва на 2018 год постановлениями от 28.12.2017 № 68, от 29.06.2018 №10.</w:t>
      </w:r>
    </w:p>
    <w:p w14:paraId="6D02859B" w14:textId="40EC9FAF" w:rsidR="009A4C46" w:rsidRPr="00F94FED" w:rsidRDefault="009A4C46" w:rsidP="009A4C46">
      <w:pPr>
        <w:rPr>
          <w:rFonts w:eastAsia="Times New Roman"/>
          <w:sz w:val="26"/>
          <w:szCs w:val="26"/>
          <w:u w:val="single"/>
          <w:lang w:eastAsia="ru-RU"/>
        </w:rPr>
      </w:pPr>
    </w:p>
    <w:p w14:paraId="14CC7DCD" w14:textId="77777777" w:rsidR="009A4C46" w:rsidRPr="009A4C46" w:rsidRDefault="009A4C46" w:rsidP="009A4C46">
      <w:pPr>
        <w:tabs>
          <w:tab w:val="left" w:pos="0"/>
        </w:tabs>
        <w:autoSpaceDE w:val="0"/>
        <w:autoSpaceDN w:val="0"/>
        <w:adjustRightInd w:val="0"/>
        <w:spacing w:after="32" w:line="360" w:lineRule="auto"/>
        <w:ind w:firstLine="567"/>
        <w:jc w:val="both"/>
        <w:rPr>
          <w:rFonts w:eastAsia="Times New Roman"/>
          <w:sz w:val="28"/>
          <w:szCs w:val="28"/>
          <w:u w:val="single"/>
          <w:lang w:eastAsia="ru-RU"/>
        </w:rPr>
        <w:sectPr w:rsidR="009A4C46" w:rsidRPr="009A4C46" w:rsidSect="0063188C">
          <w:pgSz w:w="11906" w:h="16838"/>
          <w:pgMar w:top="1134" w:right="850" w:bottom="1134" w:left="1701" w:header="708" w:footer="708" w:gutter="0"/>
          <w:cols w:space="708"/>
          <w:docGrid w:linePitch="360"/>
        </w:sectPr>
      </w:pPr>
    </w:p>
    <w:p w14:paraId="0402E9EF" w14:textId="77777777" w:rsidR="009A4C46" w:rsidRPr="00F94FED" w:rsidRDefault="009A4C46" w:rsidP="009A4C46">
      <w:pPr>
        <w:spacing w:afterLines="32" w:after="76" w:line="360" w:lineRule="auto"/>
        <w:jc w:val="center"/>
        <w:rPr>
          <w:rFonts w:eastAsia="Times New Roman"/>
          <w:b/>
          <w:bCs/>
          <w:sz w:val="26"/>
          <w:szCs w:val="26"/>
          <w:lang w:eastAsia="ru-RU"/>
        </w:rPr>
      </w:pPr>
      <w:r w:rsidRPr="00F94FED">
        <w:rPr>
          <w:rFonts w:eastAsia="Times New Roman"/>
          <w:b/>
          <w:bCs/>
          <w:sz w:val="26"/>
          <w:szCs w:val="26"/>
          <w:lang w:eastAsia="ru-RU"/>
        </w:rPr>
        <w:lastRenderedPageBreak/>
        <w:t>Утвержденные единые (котловые) тарифы на услуги по передаче электрической энергии на 2018 год</w:t>
      </w:r>
    </w:p>
    <w:tbl>
      <w:tblPr>
        <w:tblW w:w="5088" w:type="pct"/>
        <w:tblLook w:val="04A0" w:firstRow="1" w:lastRow="0" w:firstColumn="1" w:lastColumn="0" w:noHBand="0" w:noVBand="1"/>
      </w:tblPr>
      <w:tblGrid>
        <w:gridCol w:w="2770"/>
        <w:gridCol w:w="2184"/>
        <w:gridCol w:w="1950"/>
        <w:gridCol w:w="2083"/>
        <w:gridCol w:w="1941"/>
        <w:gridCol w:w="2083"/>
        <w:gridCol w:w="1805"/>
      </w:tblGrid>
      <w:tr w:rsidR="009A4C46" w:rsidRPr="00D75241" w14:paraId="2459F533" w14:textId="77777777" w:rsidTr="00070F3E">
        <w:trPr>
          <w:trHeight w:val="300"/>
          <w:tblHeader/>
        </w:trPr>
        <w:tc>
          <w:tcPr>
            <w:tcW w:w="93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ED51BBC" w14:textId="77777777" w:rsidR="009A4C46" w:rsidRPr="00F94FED" w:rsidRDefault="009A4C46" w:rsidP="009A4C46">
            <w:pPr>
              <w:spacing w:after="0" w:line="240" w:lineRule="auto"/>
              <w:jc w:val="center"/>
              <w:rPr>
                <w:rFonts w:eastAsia="Times New Roman"/>
                <w:b/>
                <w:bCs/>
                <w:color w:val="FFFFFF" w:themeColor="background1"/>
                <w:lang w:eastAsia="ru-RU"/>
              </w:rPr>
            </w:pPr>
            <w:r w:rsidRPr="00F94FED">
              <w:rPr>
                <w:rFonts w:eastAsia="Times New Roman"/>
                <w:b/>
                <w:bCs/>
                <w:color w:val="FFFFFF" w:themeColor="background1"/>
                <w:lang w:eastAsia="ru-RU"/>
              </w:rPr>
              <w:t>Потребители</w:t>
            </w:r>
          </w:p>
        </w:tc>
        <w:tc>
          <w:tcPr>
            <w:tcW w:w="4065" w:type="pct"/>
            <w:gridSpan w:val="6"/>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095F80D" w14:textId="77777777" w:rsidR="009A4C46" w:rsidRPr="00F94FED" w:rsidRDefault="009A4C46" w:rsidP="009A4C46">
            <w:pPr>
              <w:spacing w:after="0" w:line="240" w:lineRule="auto"/>
              <w:jc w:val="center"/>
              <w:rPr>
                <w:rFonts w:eastAsia="Times New Roman"/>
                <w:b/>
                <w:bCs/>
                <w:color w:val="FFFFFF" w:themeColor="background1"/>
                <w:lang w:eastAsia="ru-RU"/>
              </w:rPr>
            </w:pPr>
            <w:r w:rsidRPr="00F94FED">
              <w:rPr>
                <w:rFonts w:eastAsia="Times New Roman"/>
                <w:b/>
                <w:bCs/>
                <w:color w:val="FFFFFF" w:themeColor="background1"/>
                <w:lang w:eastAsia="ru-RU"/>
              </w:rPr>
              <w:t>Утвержденные тарифы</w:t>
            </w:r>
          </w:p>
        </w:tc>
      </w:tr>
      <w:tr w:rsidR="009A4C46" w:rsidRPr="00D75241" w14:paraId="12289C2E" w14:textId="77777777" w:rsidTr="00070F3E">
        <w:trPr>
          <w:trHeight w:val="300"/>
          <w:tblHeader/>
        </w:trPr>
        <w:tc>
          <w:tcPr>
            <w:tcW w:w="93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A205D47" w14:textId="77777777" w:rsidR="009A4C46" w:rsidRPr="00F94FED" w:rsidRDefault="009A4C46" w:rsidP="009A4C46">
            <w:pPr>
              <w:spacing w:after="0" w:line="240" w:lineRule="auto"/>
              <w:rPr>
                <w:rFonts w:eastAsia="Times New Roman"/>
                <w:b/>
                <w:bCs/>
                <w:color w:val="FFFFFF" w:themeColor="background1"/>
                <w:lang w:eastAsia="ru-RU"/>
              </w:rPr>
            </w:pPr>
          </w:p>
        </w:tc>
        <w:tc>
          <w:tcPr>
            <w:tcW w:w="2098"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6A725AA" w14:textId="77777777" w:rsidR="009A4C46" w:rsidRPr="00F94FED" w:rsidRDefault="009A4C46" w:rsidP="009A4C46">
            <w:pPr>
              <w:spacing w:after="0" w:line="240" w:lineRule="auto"/>
              <w:jc w:val="center"/>
              <w:rPr>
                <w:rFonts w:eastAsia="Times New Roman"/>
                <w:b/>
                <w:bCs/>
                <w:color w:val="FFFFFF" w:themeColor="background1"/>
                <w:lang w:eastAsia="ru-RU"/>
              </w:rPr>
            </w:pPr>
            <w:r w:rsidRPr="00F94FED">
              <w:rPr>
                <w:rFonts w:eastAsia="Times New Roman"/>
                <w:b/>
                <w:bCs/>
                <w:color w:val="FFFFFF" w:themeColor="background1"/>
                <w:lang w:eastAsia="ru-RU"/>
              </w:rPr>
              <w:t>1 полугодие</w:t>
            </w:r>
          </w:p>
        </w:tc>
        <w:tc>
          <w:tcPr>
            <w:tcW w:w="1966"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55CBF6D" w14:textId="77777777" w:rsidR="009A4C46" w:rsidRPr="00F94FED" w:rsidRDefault="009A4C46" w:rsidP="009A4C46">
            <w:pPr>
              <w:spacing w:after="0" w:line="240" w:lineRule="auto"/>
              <w:jc w:val="center"/>
              <w:rPr>
                <w:rFonts w:eastAsia="Times New Roman"/>
                <w:b/>
                <w:bCs/>
                <w:color w:val="FFFFFF" w:themeColor="background1"/>
                <w:lang w:eastAsia="ru-RU"/>
              </w:rPr>
            </w:pPr>
            <w:r w:rsidRPr="00F94FED">
              <w:rPr>
                <w:rFonts w:eastAsia="Times New Roman"/>
                <w:b/>
                <w:bCs/>
                <w:color w:val="FFFFFF" w:themeColor="background1"/>
                <w:lang w:eastAsia="ru-RU"/>
              </w:rPr>
              <w:t>2 полугодие</w:t>
            </w:r>
          </w:p>
        </w:tc>
      </w:tr>
      <w:tr w:rsidR="009A4C46" w:rsidRPr="00D75241" w14:paraId="1A0AD40D" w14:textId="77777777" w:rsidTr="00070F3E">
        <w:trPr>
          <w:trHeight w:val="300"/>
          <w:tblHeader/>
        </w:trPr>
        <w:tc>
          <w:tcPr>
            <w:tcW w:w="93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AFC538C" w14:textId="77777777" w:rsidR="009A4C46" w:rsidRPr="00F94FED" w:rsidRDefault="009A4C46" w:rsidP="009A4C46">
            <w:pPr>
              <w:spacing w:after="0" w:line="240" w:lineRule="auto"/>
              <w:rPr>
                <w:rFonts w:eastAsia="Times New Roman"/>
                <w:b/>
                <w:bCs/>
                <w:color w:val="FFFFFF" w:themeColor="background1"/>
                <w:lang w:eastAsia="ru-RU"/>
              </w:rPr>
            </w:pPr>
          </w:p>
        </w:tc>
        <w:tc>
          <w:tcPr>
            <w:tcW w:w="1395"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D1DFC98" w14:textId="77777777" w:rsidR="009A4C46" w:rsidRPr="00F94FED" w:rsidRDefault="009A4C46" w:rsidP="009A4C46">
            <w:pPr>
              <w:spacing w:after="0" w:line="240" w:lineRule="auto"/>
              <w:jc w:val="center"/>
              <w:rPr>
                <w:rFonts w:eastAsia="Times New Roman"/>
                <w:b/>
                <w:bCs/>
                <w:color w:val="FFFFFF" w:themeColor="background1"/>
                <w:lang w:eastAsia="ru-RU"/>
              </w:rPr>
            </w:pPr>
            <w:r w:rsidRPr="00F94FED">
              <w:rPr>
                <w:rFonts w:eastAsia="Times New Roman"/>
                <w:b/>
                <w:bCs/>
                <w:color w:val="FFFFFF" w:themeColor="background1"/>
                <w:lang w:eastAsia="ru-RU"/>
              </w:rPr>
              <w:t>2-х ставочный тариф</w:t>
            </w:r>
          </w:p>
        </w:tc>
        <w:tc>
          <w:tcPr>
            <w:tcW w:w="70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2705227" w14:textId="77777777" w:rsidR="009A4C46" w:rsidRPr="00F94FED" w:rsidRDefault="009A4C46" w:rsidP="009A4C46">
            <w:pPr>
              <w:spacing w:after="0" w:line="240" w:lineRule="auto"/>
              <w:jc w:val="center"/>
              <w:rPr>
                <w:rFonts w:eastAsia="Times New Roman"/>
                <w:b/>
                <w:bCs/>
                <w:color w:val="FFFFFF" w:themeColor="background1"/>
                <w:lang w:eastAsia="ru-RU"/>
              </w:rPr>
            </w:pPr>
            <w:r w:rsidRPr="00F94FED">
              <w:rPr>
                <w:rFonts w:eastAsia="Times New Roman"/>
                <w:b/>
                <w:bCs/>
                <w:color w:val="FFFFFF" w:themeColor="background1"/>
                <w:lang w:eastAsia="ru-RU"/>
              </w:rPr>
              <w:t xml:space="preserve">Одноставочный тариф </w:t>
            </w:r>
          </w:p>
        </w:tc>
        <w:tc>
          <w:tcPr>
            <w:tcW w:w="1358"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A0C4A42" w14:textId="77777777" w:rsidR="009A4C46" w:rsidRPr="00F94FED" w:rsidRDefault="009A4C46" w:rsidP="009A4C46">
            <w:pPr>
              <w:spacing w:after="0" w:line="240" w:lineRule="auto"/>
              <w:jc w:val="center"/>
              <w:rPr>
                <w:rFonts w:eastAsia="Times New Roman"/>
                <w:b/>
                <w:bCs/>
                <w:color w:val="FFFFFF" w:themeColor="background1"/>
                <w:lang w:eastAsia="ru-RU"/>
              </w:rPr>
            </w:pPr>
            <w:r w:rsidRPr="00F94FED">
              <w:rPr>
                <w:rFonts w:eastAsia="Times New Roman"/>
                <w:b/>
                <w:bCs/>
                <w:color w:val="FFFFFF" w:themeColor="background1"/>
                <w:lang w:eastAsia="ru-RU"/>
              </w:rPr>
              <w:t>2-х ставочный тариф</w:t>
            </w:r>
          </w:p>
        </w:tc>
        <w:tc>
          <w:tcPr>
            <w:tcW w:w="60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4898046" w14:textId="77777777" w:rsidR="009A4C46" w:rsidRPr="00F94FED" w:rsidRDefault="009A4C46" w:rsidP="009A4C46">
            <w:pPr>
              <w:spacing w:after="0" w:line="240" w:lineRule="auto"/>
              <w:jc w:val="center"/>
              <w:rPr>
                <w:rFonts w:eastAsia="Times New Roman"/>
                <w:b/>
                <w:bCs/>
                <w:color w:val="FFFFFF" w:themeColor="background1"/>
                <w:lang w:eastAsia="ru-RU"/>
              </w:rPr>
            </w:pPr>
            <w:r w:rsidRPr="00F94FED">
              <w:rPr>
                <w:rFonts w:eastAsia="Times New Roman"/>
                <w:b/>
                <w:bCs/>
                <w:color w:val="FFFFFF" w:themeColor="background1"/>
                <w:lang w:eastAsia="ru-RU"/>
              </w:rPr>
              <w:t xml:space="preserve">Одноставочный тариф </w:t>
            </w:r>
          </w:p>
        </w:tc>
      </w:tr>
      <w:tr w:rsidR="009A4C46" w:rsidRPr="00D75241" w14:paraId="0EE0C584" w14:textId="77777777" w:rsidTr="00070F3E">
        <w:trPr>
          <w:trHeight w:val="509"/>
          <w:tblHeader/>
        </w:trPr>
        <w:tc>
          <w:tcPr>
            <w:tcW w:w="93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C75A94D" w14:textId="77777777" w:rsidR="009A4C46" w:rsidRPr="00F94FED" w:rsidRDefault="009A4C46" w:rsidP="009A4C46">
            <w:pPr>
              <w:spacing w:after="0" w:line="240" w:lineRule="auto"/>
              <w:rPr>
                <w:rFonts w:eastAsia="Times New Roman"/>
                <w:b/>
                <w:bCs/>
                <w:color w:val="FFFFFF" w:themeColor="background1"/>
                <w:lang w:eastAsia="ru-RU"/>
              </w:rPr>
            </w:pPr>
          </w:p>
        </w:tc>
        <w:tc>
          <w:tcPr>
            <w:tcW w:w="73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8ECB9C0" w14:textId="77777777" w:rsidR="009A4C46" w:rsidRPr="00F94FED" w:rsidRDefault="009A4C46" w:rsidP="009A4C46">
            <w:pPr>
              <w:spacing w:after="0" w:line="240" w:lineRule="auto"/>
              <w:jc w:val="center"/>
              <w:rPr>
                <w:rFonts w:eastAsia="Times New Roman"/>
                <w:b/>
                <w:bCs/>
                <w:color w:val="FFFFFF" w:themeColor="background1"/>
                <w:lang w:eastAsia="ru-RU"/>
              </w:rPr>
            </w:pPr>
            <w:r w:rsidRPr="00F94FED">
              <w:rPr>
                <w:rFonts w:eastAsia="Times New Roman"/>
                <w:b/>
                <w:bCs/>
                <w:color w:val="FFFFFF" w:themeColor="background1"/>
                <w:lang w:eastAsia="ru-RU"/>
              </w:rPr>
              <w:t>ставка за содержание электрических сетей</w:t>
            </w:r>
          </w:p>
        </w:tc>
        <w:tc>
          <w:tcPr>
            <w:tcW w:w="65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C9EDF3A" w14:textId="77777777" w:rsidR="009A4C46" w:rsidRPr="00F94FED" w:rsidRDefault="009A4C46" w:rsidP="009A4C46">
            <w:pPr>
              <w:spacing w:after="0" w:line="240" w:lineRule="auto"/>
              <w:jc w:val="center"/>
              <w:rPr>
                <w:rFonts w:eastAsia="Times New Roman"/>
                <w:b/>
                <w:bCs/>
                <w:color w:val="FFFFFF" w:themeColor="background1"/>
                <w:lang w:eastAsia="ru-RU"/>
              </w:rPr>
            </w:pPr>
            <w:r w:rsidRPr="00F94FED">
              <w:rPr>
                <w:rFonts w:eastAsia="Times New Roman"/>
                <w:b/>
                <w:bCs/>
                <w:color w:val="FFFFFF" w:themeColor="background1"/>
                <w:lang w:eastAsia="ru-RU"/>
              </w:rPr>
              <w:t>ставка на оплату технологического расхода (потерь)</w:t>
            </w:r>
          </w:p>
        </w:tc>
        <w:tc>
          <w:tcPr>
            <w:tcW w:w="70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5E6A42A" w14:textId="77777777" w:rsidR="009A4C46" w:rsidRPr="00F94FED" w:rsidRDefault="009A4C46" w:rsidP="009A4C46">
            <w:pPr>
              <w:spacing w:after="0" w:line="240" w:lineRule="auto"/>
              <w:rPr>
                <w:rFonts w:eastAsia="Times New Roman"/>
                <w:b/>
                <w:bCs/>
                <w:color w:val="FFFFFF" w:themeColor="background1"/>
                <w:lang w:eastAsia="ru-RU"/>
              </w:rPr>
            </w:pPr>
          </w:p>
        </w:tc>
        <w:tc>
          <w:tcPr>
            <w:tcW w:w="65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C34AEE9" w14:textId="77777777" w:rsidR="009A4C46" w:rsidRPr="00F94FED" w:rsidRDefault="009A4C46" w:rsidP="009A4C46">
            <w:pPr>
              <w:spacing w:after="0" w:line="240" w:lineRule="auto"/>
              <w:jc w:val="center"/>
              <w:rPr>
                <w:rFonts w:eastAsia="Times New Roman"/>
                <w:b/>
                <w:bCs/>
                <w:color w:val="FFFFFF" w:themeColor="background1"/>
                <w:lang w:eastAsia="ru-RU"/>
              </w:rPr>
            </w:pPr>
            <w:r w:rsidRPr="00F94FED">
              <w:rPr>
                <w:rFonts w:eastAsia="Times New Roman"/>
                <w:b/>
                <w:bCs/>
                <w:color w:val="FFFFFF" w:themeColor="background1"/>
                <w:lang w:eastAsia="ru-RU"/>
              </w:rPr>
              <w:t>ставка за содержание электрических сетей</w:t>
            </w:r>
          </w:p>
        </w:tc>
        <w:tc>
          <w:tcPr>
            <w:tcW w:w="70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C26D758" w14:textId="77777777" w:rsidR="009A4C46" w:rsidRPr="00F94FED" w:rsidRDefault="009A4C46" w:rsidP="009A4C46">
            <w:pPr>
              <w:spacing w:after="0" w:line="240" w:lineRule="auto"/>
              <w:jc w:val="center"/>
              <w:rPr>
                <w:rFonts w:eastAsia="Times New Roman"/>
                <w:b/>
                <w:bCs/>
                <w:color w:val="FFFFFF" w:themeColor="background1"/>
                <w:lang w:eastAsia="ru-RU"/>
              </w:rPr>
            </w:pPr>
            <w:r w:rsidRPr="00F94FED">
              <w:rPr>
                <w:rFonts w:eastAsia="Times New Roman"/>
                <w:b/>
                <w:bCs/>
                <w:color w:val="FFFFFF" w:themeColor="background1"/>
                <w:lang w:eastAsia="ru-RU"/>
              </w:rPr>
              <w:t>ставка на оплату технологического расхода (потерь)</w:t>
            </w:r>
          </w:p>
        </w:tc>
        <w:tc>
          <w:tcPr>
            <w:tcW w:w="60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920155F" w14:textId="77777777" w:rsidR="009A4C46" w:rsidRPr="00F94FED" w:rsidRDefault="009A4C46" w:rsidP="009A4C46">
            <w:pPr>
              <w:spacing w:after="0" w:line="240" w:lineRule="auto"/>
              <w:rPr>
                <w:rFonts w:eastAsia="Times New Roman"/>
                <w:b/>
                <w:bCs/>
                <w:color w:val="FFFFFF" w:themeColor="background1"/>
                <w:lang w:eastAsia="ru-RU"/>
              </w:rPr>
            </w:pPr>
          </w:p>
        </w:tc>
      </w:tr>
      <w:tr w:rsidR="009A4C46" w:rsidRPr="00D75241" w14:paraId="04F1ABD2" w14:textId="77777777" w:rsidTr="00070F3E">
        <w:trPr>
          <w:trHeight w:val="419"/>
          <w:tblHeader/>
        </w:trPr>
        <w:tc>
          <w:tcPr>
            <w:tcW w:w="93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00610EC" w14:textId="77777777" w:rsidR="009A4C46" w:rsidRPr="00F94FED" w:rsidRDefault="009A4C46" w:rsidP="009A4C46">
            <w:pPr>
              <w:spacing w:after="0" w:line="240" w:lineRule="auto"/>
              <w:rPr>
                <w:rFonts w:eastAsia="Times New Roman"/>
                <w:b/>
                <w:bCs/>
                <w:color w:val="FFFFFF" w:themeColor="background1"/>
                <w:lang w:eastAsia="ru-RU"/>
              </w:rPr>
            </w:pPr>
          </w:p>
        </w:tc>
        <w:tc>
          <w:tcPr>
            <w:tcW w:w="73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3C421DF" w14:textId="77777777" w:rsidR="009A4C46" w:rsidRPr="00F94FED" w:rsidRDefault="009A4C46" w:rsidP="009A4C46">
            <w:pPr>
              <w:spacing w:after="0" w:line="240" w:lineRule="auto"/>
              <w:rPr>
                <w:rFonts w:eastAsia="Times New Roman"/>
                <w:b/>
                <w:bCs/>
                <w:color w:val="FFFFFF" w:themeColor="background1"/>
                <w:lang w:eastAsia="ru-RU"/>
              </w:rPr>
            </w:pPr>
          </w:p>
        </w:tc>
        <w:tc>
          <w:tcPr>
            <w:tcW w:w="65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65456AE" w14:textId="77777777" w:rsidR="009A4C46" w:rsidRPr="00F94FED" w:rsidRDefault="009A4C46" w:rsidP="009A4C46">
            <w:pPr>
              <w:spacing w:after="0" w:line="240" w:lineRule="auto"/>
              <w:rPr>
                <w:rFonts w:eastAsia="Times New Roman"/>
                <w:b/>
                <w:bCs/>
                <w:color w:val="FFFFFF" w:themeColor="background1"/>
                <w:lang w:eastAsia="ru-RU"/>
              </w:rPr>
            </w:pPr>
          </w:p>
        </w:tc>
        <w:tc>
          <w:tcPr>
            <w:tcW w:w="70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C8E35EB" w14:textId="77777777" w:rsidR="009A4C46" w:rsidRPr="00F94FED" w:rsidRDefault="009A4C46" w:rsidP="009A4C46">
            <w:pPr>
              <w:spacing w:after="0" w:line="240" w:lineRule="auto"/>
              <w:rPr>
                <w:rFonts w:eastAsia="Times New Roman"/>
                <w:b/>
                <w:bCs/>
                <w:color w:val="FFFFFF" w:themeColor="background1"/>
                <w:lang w:eastAsia="ru-RU"/>
              </w:rPr>
            </w:pPr>
          </w:p>
        </w:tc>
        <w:tc>
          <w:tcPr>
            <w:tcW w:w="65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6B730A5" w14:textId="77777777" w:rsidR="009A4C46" w:rsidRPr="00F94FED" w:rsidRDefault="009A4C46" w:rsidP="009A4C46">
            <w:pPr>
              <w:spacing w:after="0" w:line="240" w:lineRule="auto"/>
              <w:rPr>
                <w:rFonts w:eastAsia="Times New Roman"/>
                <w:b/>
                <w:bCs/>
                <w:color w:val="FFFFFF" w:themeColor="background1"/>
                <w:lang w:eastAsia="ru-RU"/>
              </w:rPr>
            </w:pPr>
          </w:p>
        </w:tc>
        <w:tc>
          <w:tcPr>
            <w:tcW w:w="70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CD1ED3B" w14:textId="77777777" w:rsidR="009A4C46" w:rsidRPr="00F94FED" w:rsidRDefault="009A4C46" w:rsidP="009A4C46">
            <w:pPr>
              <w:spacing w:after="0" w:line="240" w:lineRule="auto"/>
              <w:rPr>
                <w:rFonts w:eastAsia="Times New Roman"/>
                <w:b/>
                <w:bCs/>
                <w:color w:val="FFFFFF" w:themeColor="background1"/>
                <w:lang w:eastAsia="ru-RU"/>
              </w:rPr>
            </w:pPr>
          </w:p>
        </w:tc>
        <w:tc>
          <w:tcPr>
            <w:tcW w:w="60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C86A841" w14:textId="77777777" w:rsidR="009A4C46" w:rsidRPr="00F94FED" w:rsidRDefault="009A4C46" w:rsidP="009A4C46">
            <w:pPr>
              <w:spacing w:after="0" w:line="240" w:lineRule="auto"/>
              <w:rPr>
                <w:rFonts w:eastAsia="Times New Roman"/>
                <w:b/>
                <w:bCs/>
                <w:color w:val="FFFFFF" w:themeColor="background1"/>
                <w:lang w:eastAsia="ru-RU"/>
              </w:rPr>
            </w:pPr>
          </w:p>
        </w:tc>
      </w:tr>
      <w:tr w:rsidR="009A4C46" w:rsidRPr="00D75241" w14:paraId="17BE0906" w14:textId="77777777" w:rsidTr="00070F3E">
        <w:trPr>
          <w:trHeight w:val="300"/>
          <w:tblHeader/>
        </w:trPr>
        <w:tc>
          <w:tcPr>
            <w:tcW w:w="93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6594179" w14:textId="77777777" w:rsidR="009A4C46" w:rsidRPr="00F94FED" w:rsidRDefault="009A4C46" w:rsidP="009A4C46">
            <w:pPr>
              <w:spacing w:after="0" w:line="240" w:lineRule="auto"/>
              <w:rPr>
                <w:rFonts w:eastAsia="Times New Roman"/>
                <w:b/>
                <w:bCs/>
                <w:color w:val="FFFFFF" w:themeColor="background1"/>
                <w:lang w:eastAsia="ru-RU"/>
              </w:rPr>
            </w:pPr>
          </w:p>
        </w:tc>
        <w:tc>
          <w:tcPr>
            <w:tcW w:w="73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931A2E9" w14:textId="77777777" w:rsidR="009A4C46" w:rsidRPr="00F94FED" w:rsidRDefault="009A4C46" w:rsidP="009A4C46">
            <w:pPr>
              <w:spacing w:after="0" w:line="240" w:lineRule="auto"/>
              <w:jc w:val="center"/>
              <w:rPr>
                <w:rFonts w:eastAsia="Times New Roman"/>
                <w:b/>
                <w:bCs/>
                <w:color w:val="FFFFFF" w:themeColor="background1"/>
                <w:lang w:eastAsia="ru-RU"/>
              </w:rPr>
            </w:pPr>
            <w:r w:rsidRPr="00F94FED">
              <w:rPr>
                <w:rFonts w:eastAsia="Times New Roman"/>
                <w:b/>
                <w:bCs/>
                <w:color w:val="FFFFFF" w:themeColor="background1"/>
                <w:lang w:eastAsia="ru-RU"/>
              </w:rPr>
              <w:t>руб./МВт. мес.</w:t>
            </w:r>
          </w:p>
        </w:tc>
        <w:tc>
          <w:tcPr>
            <w:tcW w:w="65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043AA53" w14:textId="0E7F66CE" w:rsidR="009A4C46" w:rsidRPr="00F94FED" w:rsidRDefault="009A4C46" w:rsidP="009A4C46">
            <w:pPr>
              <w:spacing w:after="0" w:line="240" w:lineRule="auto"/>
              <w:jc w:val="center"/>
              <w:rPr>
                <w:rFonts w:eastAsia="Times New Roman"/>
                <w:b/>
                <w:bCs/>
                <w:color w:val="FFFFFF" w:themeColor="background1"/>
                <w:lang w:eastAsia="ru-RU"/>
              </w:rPr>
            </w:pPr>
            <w:r w:rsidRPr="00F94FED">
              <w:rPr>
                <w:rFonts w:eastAsia="Times New Roman"/>
                <w:b/>
                <w:bCs/>
                <w:color w:val="FFFFFF" w:themeColor="background1"/>
                <w:lang w:eastAsia="ru-RU"/>
              </w:rPr>
              <w:t>руб./МВт</w:t>
            </w:r>
            <w:r w:rsidR="00D75241" w:rsidRPr="00F94FED">
              <w:rPr>
                <w:rFonts w:eastAsia="Times New Roman"/>
                <w:b/>
                <w:bCs/>
                <w:color w:val="FFFFFF" w:themeColor="background1"/>
                <w:lang w:eastAsia="ru-RU"/>
              </w:rPr>
              <w:t>*</w:t>
            </w:r>
            <w:r w:rsidRPr="00F94FED">
              <w:rPr>
                <w:rFonts w:eastAsia="Times New Roman"/>
                <w:b/>
                <w:bCs/>
                <w:color w:val="FFFFFF" w:themeColor="background1"/>
                <w:lang w:eastAsia="ru-RU"/>
              </w:rPr>
              <w:t>ч.</w:t>
            </w:r>
          </w:p>
        </w:tc>
        <w:tc>
          <w:tcPr>
            <w:tcW w:w="70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EE9F849" w14:textId="4897A615" w:rsidR="009A4C46" w:rsidRPr="00F94FED" w:rsidRDefault="009A4C46" w:rsidP="009A4C46">
            <w:pPr>
              <w:spacing w:after="0" w:line="240" w:lineRule="auto"/>
              <w:jc w:val="center"/>
              <w:rPr>
                <w:rFonts w:eastAsia="Times New Roman"/>
                <w:b/>
                <w:bCs/>
                <w:color w:val="FFFFFF" w:themeColor="background1"/>
                <w:lang w:eastAsia="ru-RU"/>
              </w:rPr>
            </w:pPr>
            <w:r w:rsidRPr="00F94FED">
              <w:rPr>
                <w:rFonts w:eastAsia="Times New Roman"/>
                <w:b/>
                <w:bCs/>
                <w:color w:val="FFFFFF" w:themeColor="background1"/>
                <w:lang w:eastAsia="ru-RU"/>
              </w:rPr>
              <w:t>руб./кВт</w:t>
            </w:r>
            <w:r w:rsidR="00D75241" w:rsidRPr="00F94FED">
              <w:rPr>
                <w:rFonts w:eastAsia="Times New Roman"/>
                <w:b/>
                <w:bCs/>
                <w:color w:val="FFFFFF" w:themeColor="background1"/>
                <w:lang w:eastAsia="ru-RU"/>
              </w:rPr>
              <w:t>*</w:t>
            </w:r>
            <w:r w:rsidRPr="00F94FED">
              <w:rPr>
                <w:rFonts w:eastAsia="Times New Roman"/>
                <w:b/>
                <w:bCs/>
                <w:color w:val="FFFFFF" w:themeColor="background1"/>
                <w:lang w:eastAsia="ru-RU"/>
              </w:rPr>
              <w:t>ч.</w:t>
            </w:r>
          </w:p>
        </w:tc>
        <w:tc>
          <w:tcPr>
            <w:tcW w:w="65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0E6E2F5" w14:textId="77777777" w:rsidR="009A4C46" w:rsidRPr="00F94FED" w:rsidRDefault="009A4C46" w:rsidP="009A4C46">
            <w:pPr>
              <w:spacing w:after="0" w:line="240" w:lineRule="auto"/>
              <w:jc w:val="center"/>
              <w:rPr>
                <w:rFonts w:eastAsia="Times New Roman"/>
                <w:b/>
                <w:bCs/>
                <w:color w:val="FFFFFF" w:themeColor="background1"/>
                <w:lang w:eastAsia="ru-RU"/>
              </w:rPr>
            </w:pPr>
            <w:r w:rsidRPr="00F94FED">
              <w:rPr>
                <w:rFonts w:eastAsia="Times New Roman"/>
                <w:b/>
                <w:bCs/>
                <w:color w:val="FFFFFF" w:themeColor="background1"/>
                <w:lang w:eastAsia="ru-RU"/>
              </w:rPr>
              <w:t>руб./МВт. мес.</w:t>
            </w:r>
          </w:p>
        </w:tc>
        <w:tc>
          <w:tcPr>
            <w:tcW w:w="70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49DB410" w14:textId="7CCB44C6" w:rsidR="009A4C46" w:rsidRPr="00F94FED" w:rsidRDefault="009A4C46" w:rsidP="009A4C46">
            <w:pPr>
              <w:spacing w:after="0" w:line="240" w:lineRule="auto"/>
              <w:jc w:val="center"/>
              <w:rPr>
                <w:rFonts w:eastAsia="Times New Roman"/>
                <w:b/>
                <w:bCs/>
                <w:color w:val="FFFFFF" w:themeColor="background1"/>
                <w:lang w:eastAsia="ru-RU"/>
              </w:rPr>
            </w:pPr>
            <w:r w:rsidRPr="00F94FED">
              <w:rPr>
                <w:rFonts w:eastAsia="Times New Roman"/>
                <w:b/>
                <w:bCs/>
                <w:color w:val="FFFFFF" w:themeColor="background1"/>
                <w:lang w:eastAsia="ru-RU"/>
              </w:rPr>
              <w:t>руб./МВт</w:t>
            </w:r>
            <w:r w:rsidR="00D75241" w:rsidRPr="00F94FED">
              <w:rPr>
                <w:rFonts w:eastAsia="Times New Roman"/>
                <w:b/>
                <w:bCs/>
                <w:color w:val="FFFFFF" w:themeColor="background1"/>
                <w:lang w:eastAsia="ru-RU"/>
              </w:rPr>
              <w:t>*</w:t>
            </w:r>
            <w:r w:rsidRPr="00F94FED">
              <w:rPr>
                <w:rFonts w:eastAsia="Times New Roman"/>
                <w:b/>
                <w:bCs/>
                <w:color w:val="FFFFFF" w:themeColor="background1"/>
                <w:lang w:eastAsia="ru-RU"/>
              </w:rPr>
              <w:t>ч.</w:t>
            </w:r>
          </w:p>
        </w:tc>
        <w:tc>
          <w:tcPr>
            <w:tcW w:w="60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111823D" w14:textId="5537BAFB" w:rsidR="009A4C46" w:rsidRPr="00F94FED" w:rsidRDefault="009A4C46" w:rsidP="009A4C46">
            <w:pPr>
              <w:spacing w:after="0" w:line="240" w:lineRule="auto"/>
              <w:jc w:val="center"/>
              <w:rPr>
                <w:rFonts w:eastAsia="Times New Roman"/>
                <w:b/>
                <w:bCs/>
                <w:color w:val="FFFFFF" w:themeColor="background1"/>
                <w:lang w:eastAsia="ru-RU"/>
              </w:rPr>
            </w:pPr>
            <w:r w:rsidRPr="00F94FED">
              <w:rPr>
                <w:rFonts w:eastAsia="Times New Roman"/>
                <w:b/>
                <w:bCs/>
                <w:color w:val="FFFFFF" w:themeColor="background1"/>
                <w:lang w:eastAsia="ru-RU"/>
              </w:rPr>
              <w:t>руб./кВт</w:t>
            </w:r>
            <w:r w:rsidR="00D75241" w:rsidRPr="00F94FED">
              <w:rPr>
                <w:rFonts w:eastAsia="Times New Roman"/>
                <w:b/>
                <w:bCs/>
                <w:color w:val="FFFFFF" w:themeColor="background1"/>
                <w:lang w:eastAsia="ru-RU"/>
              </w:rPr>
              <w:t>*</w:t>
            </w:r>
            <w:r w:rsidRPr="00F94FED">
              <w:rPr>
                <w:rFonts w:eastAsia="Times New Roman"/>
                <w:b/>
                <w:bCs/>
                <w:color w:val="FFFFFF" w:themeColor="background1"/>
                <w:lang w:eastAsia="ru-RU"/>
              </w:rPr>
              <w:t>ч.</w:t>
            </w:r>
          </w:p>
        </w:tc>
      </w:tr>
      <w:tr w:rsidR="009A4C46" w:rsidRPr="009A4C46" w14:paraId="07CFEC3E" w14:textId="77777777" w:rsidTr="00070F3E">
        <w:trPr>
          <w:trHeight w:val="300"/>
        </w:trPr>
        <w:tc>
          <w:tcPr>
            <w:tcW w:w="935"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706CDAC2" w14:textId="77777777" w:rsidR="009A4C46" w:rsidRPr="009A4C46" w:rsidRDefault="009A4C46" w:rsidP="009A4C46">
            <w:pPr>
              <w:spacing w:after="0" w:line="240" w:lineRule="auto"/>
              <w:rPr>
                <w:rFonts w:eastAsia="Times New Roman"/>
                <w:lang w:eastAsia="ru-RU"/>
              </w:rPr>
            </w:pPr>
            <w:r w:rsidRPr="009A4C46">
              <w:rPr>
                <w:rFonts w:eastAsia="Times New Roman"/>
                <w:lang w:eastAsia="ru-RU"/>
              </w:rPr>
              <w:t>Прочие потребители</w:t>
            </w:r>
          </w:p>
        </w:tc>
        <w:tc>
          <w:tcPr>
            <w:tcW w:w="737"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1B1136EF" w14:textId="77777777" w:rsidR="009A4C46" w:rsidRPr="009A4C46" w:rsidRDefault="009A4C46" w:rsidP="009A4C46">
            <w:pPr>
              <w:spacing w:after="0" w:line="276" w:lineRule="auto"/>
              <w:jc w:val="center"/>
              <w:rPr>
                <w:rFonts w:eastAsia="Times New Roman"/>
                <w:lang w:eastAsia="ru-RU"/>
              </w:rPr>
            </w:pPr>
          </w:p>
        </w:tc>
        <w:tc>
          <w:tcPr>
            <w:tcW w:w="657"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7E7520A6" w14:textId="77777777" w:rsidR="009A4C46" w:rsidRPr="009A4C46" w:rsidRDefault="009A4C46" w:rsidP="009A4C46">
            <w:pPr>
              <w:spacing w:after="0" w:line="276" w:lineRule="auto"/>
              <w:jc w:val="center"/>
              <w:rPr>
                <w:rFonts w:eastAsia="Times New Roman"/>
                <w:lang w:eastAsia="ru-RU"/>
              </w:rPr>
            </w:pPr>
          </w:p>
        </w:tc>
        <w:tc>
          <w:tcPr>
            <w:tcW w:w="703"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6E72787D" w14:textId="77777777" w:rsidR="009A4C46" w:rsidRPr="009A4C46" w:rsidRDefault="009A4C46" w:rsidP="009A4C46">
            <w:pPr>
              <w:spacing w:after="0" w:line="276" w:lineRule="auto"/>
              <w:jc w:val="center"/>
              <w:rPr>
                <w:rFonts w:eastAsia="Times New Roman"/>
                <w:lang w:eastAsia="ru-RU"/>
              </w:rPr>
            </w:pPr>
          </w:p>
        </w:tc>
        <w:tc>
          <w:tcPr>
            <w:tcW w:w="655"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38853ABD" w14:textId="77777777" w:rsidR="009A4C46" w:rsidRPr="009A4C46" w:rsidRDefault="009A4C46" w:rsidP="009A4C46">
            <w:pPr>
              <w:spacing w:after="0" w:line="276" w:lineRule="auto"/>
              <w:jc w:val="center"/>
              <w:rPr>
                <w:rFonts w:eastAsia="Times New Roman"/>
                <w:lang w:eastAsia="ru-RU"/>
              </w:rPr>
            </w:pPr>
          </w:p>
        </w:tc>
        <w:tc>
          <w:tcPr>
            <w:tcW w:w="703"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6A2B2AB7" w14:textId="77777777" w:rsidR="009A4C46" w:rsidRPr="009A4C46" w:rsidRDefault="009A4C46" w:rsidP="009A4C46">
            <w:pPr>
              <w:spacing w:after="0" w:line="276" w:lineRule="auto"/>
              <w:jc w:val="center"/>
              <w:rPr>
                <w:rFonts w:eastAsia="Times New Roman"/>
                <w:lang w:eastAsia="ru-RU"/>
              </w:rPr>
            </w:pPr>
          </w:p>
        </w:tc>
        <w:tc>
          <w:tcPr>
            <w:tcW w:w="608"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1512A851" w14:textId="77777777" w:rsidR="009A4C46" w:rsidRPr="009A4C46" w:rsidRDefault="009A4C46" w:rsidP="009A4C46">
            <w:pPr>
              <w:spacing w:after="0" w:line="276" w:lineRule="auto"/>
              <w:jc w:val="center"/>
              <w:rPr>
                <w:rFonts w:eastAsia="Times New Roman"/>
                <w:lang w:eastAsia="ru-RU"/>
              </w:rPr>
            </w:pPr>
          </w:p>
        </w:tc>
      </w:tr>
      <w:tr w:rsidR="009A4C46" w:rsidRPr="009A4C46" w14:paraId="31015274" w14:textId="77777777" w:rsidTr="00070F3E">
        <w:trPr>
          <w:trHeight w:val="300"/>
        </w:trPr>
        <w:tc>
          <w:tcPr>
            <w:tcW w:w="935" w:type="pct"/>
            <w:tcBorders>
              <w:top w:val="nil"/>
              <w:left w:val="single" w:sz="4" w:space="0" w:color="auto"/>
              <w:bottom w:val="single" w:sz="4" w:space="0" w:color="auto"/>
              <w:right w:val="single" w:sz="4" w:space="0" w:color="auto"/>
            </w:tcBorders>
            <w:shd w:val="clear" w:color="auto" w:fill="auto"/>
            <w:noWrap/>
            <w:vAlign w:val="center"/>
            <w:hideMark/>
          </w:tcPr>
          <w:p w14:paraId="4EA6BE92" w14:textId="77777777" w:rsidR="009A4C46" w:rsidRPr="009A4C46" w:rsidRDefault="009A4C46" w:rsidP="009A4C46">
            <w:pPr>
              <w:spacing w:after="0" w:line="240" w:lineRule="auto"/>
              <w:rPr>
                <w:rFonts w:eastAsia="Times New Roman"/>
                <w:lang w:eastAsia="ru-RU"/>
              </w:rPr>
            </w:pPr>
            <w:r w:rsidRPr="009A4C46">
              <w:rPr>
                <w:rFonts w:eastAsia="Times New Roman"/>
                <w:lang w:eastAsia="ru-RU"/>
              </w:rPr>
              <w:t>ВН</w:t>
            </w:r>
          </w:p>
        </w:tc>
        <w:tc>
          <w:tcPr>
            <w:tcW w:w="737" w:type="pct"/>
            <w:tcBorders>
              <w:top w:val="nil"/>
              <w:left w:val="nil"/>
              <w:bottom w:val="single" w:sz="8" w:space="0" w:color="auto"/>
              <w:right w:val="single" w:sz="8" w:space="0" w:color="auto"/>
            </w:tcBorders>
            <w:shd w:val="clear" w:color="000000" w:fill="FFFFFF"/>
            <w:noWrap/>
            <w:vAlign w:val="center"/>
            <w:hideMark/>
          </w:tcPr>
          <w:p w14:paraId="6DE9BBC8" w14:textId="77777777" w:rsidR="009A4C46" w:rsidRPr="009A4C46" w:rsidRDefault="009A4C46" w:rsidP="009A4C46">
            <w:pPr>
              <w:spacing w:after="0" w:line="240" w:lineRule="auto"/>
              <w:jc w:val="center"/>
              <w:rPr>
                <w:rFonts w:eastAsia="Times New Roman"/>
                <w:lang w:eastAsia="ru-RU"/>
              </w:rPr>
            </w:pPr>
            <w:r w:rsidRPr="009A4C46">
              <w:rPr>
                <w:rFonts w:eastAsia="Times New Roman"/>
                <w:color w:val="000000"/>
                <w:lang w:eastAsia="ru-RU"/>
              </w:rPr>
              <w:t>2 673 206,07</w:t>
            </w:r>
          </w:p>
        </w:tc>
        <w:tc>
          <w:tcPr>
            <w:tcW w:w="657" w:type="pct"/>
            <w:tcBorders>
              <w:top w:val="nil"/>
              <w:left w:val="nil"/>
              <w:bottom w:val="single" w:sz="8" w:space="0" w:color="auto"/>
              <w:right w:val="single" w:sz="8" w:space="0" w:color="auto"/>
            </w:tcBorders>
            <w:shd w:val="clear" w:color="000000" w:fill="FFFFFF"/>
            <w:noWrap/>
            <w:vAlign w:val="center"/>
            <w:hideMark/>
          </w:tcPr>
          <w:p w14:paraId="3AD5D234" w14:textId="77777777" w:rsidR="009A4C46" w:rsidRPr="009A4C46" w:rsidRDefault="009A4C46" w:rsidP="009A4C46">
            <w:pPr>
              <w:spacing w:after="0" w:line="240" w:lineRule="auto"/>
              <w:jc w:val="center"/>
              <w:rPr>
                <w:rFonts w:eastAsia="Times New Roman"/>
                <w:lang w:eastAsia="ru-RU"/>
              </w:rPr>
            </w:pPr>
            <w:r w:rsidRPr="009A4C46">
              <w:rPr>
                <w:rFonts w:eastAsia="Times New Roman"/>
                <w:color w:val="000000"/>
                <w:lang w:eastAsia="ru-RU"/>
              </w:rPr>
              <w:t>24,63</w:t>
            </w:r>
          </w:p>
        </w:tc>
        <w:tc>
          <w:tcPr>
            <w:tcW w:w="703" w:type="pct"/>
            <w:tcBorders>
              <w:top w:val="nil"/>
              <w:left w:val="nil"/>
              <w:bottom w:val="single" w:sz="8" w:space="0" w:color="auto"/>
              <w:right w:val="single" w:sz="8" w:space="0" w:color="auto"/>
            </w:tcBorders>
            <w:shd w:val="clear" w:color="000000" w:fill="FFFFFF"/>
            <w:noWrap/>
            <w:vAlign w:val="center"/>
            <w:hideMark/>
          </w:tcPr>
          <w:p w14:paraId="37EDFA1F" w14:textId="77777777" w:rsidR="009A4C46" w:rsidRPr="009A4C46" w:rsidRDefault="009A4C46" w:rsidP="009A4C46">
            <w:pPr>
              <w:spacing w:after="0" w:line="240" w:lineRule="auto"/>
              <w:jc w:val="center"/>
              <w:rPr>
                <w:rFonts w:eastAsia="Times New Roman"/>
                <w:lang w:eastAsia="ru-RU"/>
              </w:rPr>
            </w:pPr>
            <w:r w:rsidRPr="009A4C46">
              <w:rPr>
                <w:rFonts w:eastAsia="Times New Roman"/>
                <w:color w:val="000000"/>
                <w:lang w:eastAsia="ru-RU"/>
              </w:rPr>
              <w:t>2,96023</w:t>
            </w:r>
          </w:p>
        </w:tc>
        <w:tc>
          <w:tcPr>
            <w:tcW w:w="655" w:type="pct"/>
            <w:tcBorders>
              <w:top w:val="nil"/>
              <w:left w:val="nil"/>
              <w:bottom w:val="single" w:sz="8" w:space="0" w:color="auto"/>
              <w:right w:val="single" w:sz="8" w:space="0" w:color="auto"/>
            </w:tcBorders>
            <w:shd w:val="clear" w:color="000000" w:fill="FFFFFF"/>
            <w:noWrap/>
            <w:vAlign w:val="center"/>
            <w:hideMark/>
          </w:tcPr>
          <w:p w14:paraId="3FA139F3" w14:textId="77777777" w:rsidR="009A4C46" w:rsidRPr="009A4C46" w:rsidRDefault="009A4C46" w:rsidP="009A4C46">
            <w:pPr>
              <w:spacing w:after="0" w:line="240" w:lineRule="auto"/>
              <w:jc w:val="center"/>
              <w:rPr>
                <w:rFonts w:eastAsia="Times New Roman"/>
                <w:lang w:eastAsia="ru-RU"/>
              </w:rPr>
            </w:pPr>
            <w:r w:rsidRPr="009A4C46">
              <w:rPr>
                <w:rFonts w:eastAsia="Times New Roman"/>
                <w:color w:val="000000"/>
                <w:lang w:eastAsia="ru-RU"/>
              </w:rPr>
              <w:t>2 913 794,62</w:t>
            </w:r>
          </w:p>
        </w:tc>
        <w:tc>
          <w:tcPr>
            <w:tcW w:w="703" w:type="pct"/>
            <w:tcBorders>
              <w:top w:val="nil"/>
              <w:left w:val="nil"/>
              <w:bottom w:val="single" w:sz="8" w:space="0" w:color="auto"/>
              <w:right w:val="single" w:sz="8" w:space="0" w:color="auto"/>
            </w:tcBorders>
            <w:shd w:val="clear" w:color="000000" w:fill="FFFFFF"/>
            <w:noWrap/>
            <w:vAlign w:val="center"/>
            <w:hideMark/>
          </w:tcPr>
          <w:p w14:paraId="2738EC15" w14:textId="77777777" w:rsidR="009A4C46" w:rsidRPr="009A4C46" w:rsidRDefault="009A4C46" w:rsidP="009A4C46">
            <w:pPr>
              <w:spacing w:after="0" w:line="240" w:lineRule="auto"/>
              <w:jc w:val="center"/>
              <w:rPr>
                <w:rFonts w:eastAsia="Times New Roman"/>
                <w:lang w:eastAsia="ru-RU"/>
              </w:rPr>
            </w:pPr>
            <w:r w:rsidRPr="009A4C46">
              <w:rPr>
                <w:rFonts w:eastAsia="Times New Roman"/>
                <w:color w:val="000000"/>
                <w:lang w:eastAsia="ru-RU"/>
              </w:rPr>
              <w:t>26,85</w:t>
            </w:r>
          </w:p>
        </w:tc>
        <w:tc>
          <w:tcPr>
            <w:tcW w:w="608" w:type="pct"/>
            <w:tcBorders>
              <w:top w:val="nil"/>
              <w:left w:val="nil"/>
              <w:bottom w:val="single" w:sz="8" w:space="0" w:color="auto"/>
              <w:right w:val="single" w:sz="8" w:space="0" w:color="auto"/>
            </w:tcBorders>
            <w:shd w:val="clear" w:color="000000" w:fill="FFFFFF"/>
            <w:noWrap/>
            <w:vAlign w:val="center"/>
            <w:hideMark/>
          </w:tcPr>
          <w:p w14:paraId="4DC59C13" w14:textId="77777777" w:rsidR="009A4C46" w:rsidRPr="009A4C46" w:rsidRDefault="009A4C46" w:rsidP="009A4C46">
            <w:pPr>
              <w:spacing w:after="0" w:line="240" w:lineRule="auto"/>
              <w:jc w:val="center"/>
              <w:rPr>
                <w:rFonts w:eastAsia="Times New Roman"/>
                <w:lang w:eastAsia="ru-RU"/>
              </w:rPr>
            </w:pPr>
            <w:r w:rsidRPr="009A4C46">
              <w:rPr>
                <w:rFonts w:eastAsia="Times New Roman"/>
                <w:color w:val="000000"/>
                <w:lang w:eastAsia="ru-RU"/>
              </w:rPr>
              <w:t>3,22665</w:t>
            </w:r>
          </w:p>
        </w:tc>
      </w:tr>
      <w:tr w:rsidR="009A4C46" w:rsidRPr="009A4C46" w14:paraId="1AF226BA" w14:textId="77777777" w:rsidTr="00070F3E">
        <w:trPr>
          <w:trHeight w:val="300"/>
        </w:trPr>
        <w:tc>
          <w:tcPr>
            <w:tcW w:w="935" w:type="pct"/>
            <w:tcBorders>
              <w:top w:val="nil"/>
              <w:left w:val="single" w:sz="4" w:space="0" w:color="auto"/>
              <w:bottom w:val="single" w:sz="4" w:space="0" w:color="auto"/>
              <w:right w:val="single" w:sz="4" w:space="0" w:color="auto"/>
            </w:tcBorders>
            <w:shd w:val="clear" w:color="auto" w:fill="auto"/>
            <w:noWrap/>
            <w:vAlign w:val="center"/>
            <w:hideMark/>
          </w:tcPr>
          <w:p w14:paraId="1AC505E8" w14:textId="77777777" w:rsidR="009A4C46" w:rsidRPr="009A4C46" w:rsidRDefault="009A4C46" w:rsidP="009A4C46">
            <w:pPr>
              <w:spacing w:after="0" w:line="240" w:lineRule="auto"/>
              <w:rPr>
                <w:rFonts w:eastAsia="Times New Roman"/>
                <w:lang w:eastAsia="ru-RU"/>
              </w:rPr>
            </w:pPr>
            <w:r w:rsidRPr="009A4C46">
              <w:rPr>
                <w:rFonts w:eastAsia="Times New Roman"/>
                <w:lang w:eastAsia="ru-RU"/>
              </w:rPr>
              <w:t>СН1</w:t>
            </w:r>
          </w:p>
        </w:tc>
        <w:tc>
          <w:tcPr>
            <w:tcW w:w="737" w:type="pct"/>
            <w:tcBorders>
              <w:top w:val="nil"/>
              <w:left w:val="nil"/>
              <w:bottom w:val="single" w:sz="8" w:space="0" w:color="auto"/>
              <w:right w:val="single" w:sz="8" w:space="0" w:color="auto"/>
            </w:tcBorders>
            <w:shd w:val="clear" w:color="000000" w:fill="FFFFFF"/>
            <w:noWrap/>
            <w:vAlign w:val="center"/>
            <w:hideMark/>
          </w:tcPr>
          <w:p w14:paraId="13805FFD" w14:textId="77777777" w:rsidR="009A4C46" w:rsidRPr="009A4C46" w:rsidRDefault="009A4C46" w:rsidP="009A4C46">
            <w:pPr>
              <w:spacing w:after="0" w:line="240" w:lineRule="auto"/>
              <w:jc w:val="center"/>
              <w:rPr>
                <w:rFonts w:eastAsia="Times New Roman"/>
                <w:lang w:eastAsia="ru-RU"/>
              </w:rPr>
            </w:pPr>
            <w:r w:rsidRPr="009A4C46">
              <w:rPr>
                <w:rFonts w:eastAsia="Times New Roman"/>
                <w:color w:val="000000"/>
                <w:lang w:eastAsia="ru-RU"/>
              </w:rPr>
              <w:t>1 590 544,40</w:t>
            </w:r>
          </w:p>
        </w:tc>
        <w:tc>
          <w:tcPr>
            <w:tcW w:w="657" w:type="pct"/>
            <w:tcBorders>
              <w:top w:val="nil"/>
              <w:left w:val="nil"/>
              <w:bottom w:val="single" w:sz="8" w:space="0" w:color="auto"/>
              <w:right w:val="single" w:sz="8" w:space="0" w:color="auto"/>
            </w:tcBorders>
            <w:shd w:val="clear" w:color="000000" w:fill="FFFFFF"/>
            <w:noWrap/>
            <w:vAlign w:val="center"/>
            <w:hideMark/>
          </w:tcPr>
          <w:p w14:paraId="3EEF240F" w14:textId="77777777" w:rsidR="009A4C46" w:rsidRPr="009A4C46" w:rsidRDefault="009A4C46" w:rsidP="009A4C46">
            <w:pPr>
              <w:spacing w:after="0" w:line="240" w:lineRule="auto"/>
              <w:jc w:val="center"/>
              <w:rPr>
                <w:rFonts w:eastAsia="Times New Roman"/>
                <w:lang w:eastAsia="ru-RU"/>
              </w:rPr>
            </w:pPr>
            <w:r w:rsidRPr="009A4C46">
              <w:rPr>
                <w:rFonts w:eastAsia="Times New Roman"/>
                <w:color w:val="000000"/>
                <w:lang w:eastAsia="ru-RU"/>
              </w:rPr>
              <w:t>79,57</w:t>
            </w:r>
          </w:p>
        </w:tc>
        <w:tc>
          <w:tcPr>
            <w:tcW w:w="703" w:type="pct"/>
            <w:tcBorders>
              <w:top w:val="nil"/>
              <w:left w:val="nil"/>
              <w:bottom w:val="single" w:sz="8" w:space="0" w:color="auto"/>
              <w:right w:val="single" w:sz="8" w:space="0" w:color="auto"/>
            </w:tcBorders>
            <w:shd w:val="clear" w:color="000000" w:fill="FFFFFF"/>
            <w:noWrap/>
            <w:vAlign w:val="center"/>
            <w:hideMark/>
          </w:tcPr>
          <w:p w14:paraId="7747214C" w14:textId="77777777" w:rsidR="009A4C46" w:rsidRPr="009A4C46" w:rsidRDefault="009A4C46" w:rsidP="009A4C46">
            <w:pPr>
              <w:spacing w:after="0" w:line="240" w:lineRule="auto"/>
              <w:jc w:val="center"/>
              <w:rPr>
                <w:rFonts w:eastAsia="Times New Roman"/>
                <w:lang w:eastAsia="ru-RU"/>
              </w:rPr>
            </w:pPr>
            <w:r w:rsidRPr="009A4C46">
              <w:rPr>
                <w:rFonts w:eastAsia="Times New Roman"/>
                <w:color w:val="000000"/>
                <w:lang w:eastAsia="ru-RU"/>
              </w:rPr>
              <w:t>3,58552</w:t>
            </w:r>
          </w:p>
        </w:tc>
        <w:tc>
          <w:tcPr>
            <w:tcW w:w="655" w:type="pct"/>
            <w:tcBorders>
              <w:top w:val="nil"/>
              <w:left w:val="nil"/>
              <w:bottom w:val="single" w:sz="8" w:space="0" w:color="auto"/>
              <w:right w:val="single" w:sz="8" w:space="0" w:color="auto"/>
            </w:tcBorders>
            <w:shd w:val="clear" w:color="000000" w:fill="FFFFFF"/>
            <w:noWrap/>
            <w:vAlign w:val="center"/>
            <w:hideMark/>
          </w:tcPr>
          <w:p w14:paraId="7ED5563E" w14:textId="77777777" w:rsidR="009A4C46" w:rsidRPr="009A4C46" w:rsidRDefault="009A4C46" w:rsidP="009A4C46">
            <w:pPr>
              <w:spacing w:after="0" w:line="240" w:lineRule="auto"/>
              <w:jc w:val="center"/>
              <w:rPr>
                <w:rFonts w:eastAsia="Times New Roman"/>
                <w:lang w:eastAsia="ru-RU"/>
              </w:rPr>
            </w:pPr>
            <w:r w:rsidRPr="009A4C46">
              <w:rPr>
                <w:rFonts w:eastAsia="Times New Roman"/>
                <w:color w:val="000000"/>
                <w:lang w:eastAsia="ru-RU"/>
              </w:rPr>
              <w:t>1 733 704,30</w:t>
            </w:r>
          </w:p>
        </w:tc>
        <w:tc>
          <w:tcPr>
            <w:tcW w:w="703" w:type="pct"/>
            <w:tcBorders>
              <w:top w:val="nil"/>
              <w:left w:val="nil"/>
              <w:bottom w:val="single" w:sz="8" w:space="0" w:color="auto"/>
              <w:right w:val="single" w:sz="8" w:space="0" w:color="auto"/>
            </w:tcBorders>
            <w:shd w:val="clear" w:color="000000" w:fill="FFFFFF"/>
            <w:noWrap/>
            <w:vAlign w:val="center"/>
            <w:hideMark/>
          </w:tcPr>
          <w:p w14:paraId="595A8F9E" w14:textId="77777777" w:rsidR="009A4C46" w:rsidRPr="009A4C46" w:rsidRDefault="009A4C46" w:rsidP="009A4C46">
            <w:pPr>
              <w:spacing w:after="0" w:line="240" w:lineRule="auto"/>
              <w:jc w:val="center"/>
              <w:rPr>
                <w:rFonts w:eastAsia="Times New Roman"/>
                <w:lang w:eastAsia="ru-RU"/>
              </w:rPr>
            </w:pPr>
            <w:r w:rsidRPr="009A4C46">
              <w:rPr>
                <w:rFonts w:eastAsia="Times New Roman"/>
                <w:color w:val="000000"/>
                <w:lang w:eastAsia="ru-RU"/>
              </w:rPr>
              <w:t>86,73</w:t>
            </w:r>
          </w:p>
        </w:tc>
        <w:tc>
          <w:tcPr>
            <w:tcW w:w="608" w:type="pct"/>
            <w:tcBorders>
              <w:top w:val="nil"/>
              <w:left w:val="nil"/>
              <w:bottom w:val="single" w:sz="8" w:space="0" w:color="auto"/>
              <w:right w:val="single" w:sz="8" w:space="0" w:color="auto"/>
            </w:tcBorders>
            <w:shd w:val="clear" w:color="000000" w:fill="FFFFFF"/>
            <w:noWrap/>
            <w:vAlign w:val="center"/>
            <w:hideMark/>
          </w:tcPr>
          <w:p w14:paraId="02448D6C" w14:textId="77777777" w:rsidR="009A4C46" w:rsidRPr="009A4C46" w:rsidRDefault="009A4C46" w:rsidP="009A4C46">
            <w:pPr>
              <w:spacing w:after="0" w:line="240" w:lineRule="auto"/>
              <w:jc w:val="center"/>
              <w:rPr>
                <w:rFonts w:eastAsia="Times New Roman"/>
                <w:lang w:eastAsia="ru-RU"/>
              </w:rPr>
            </w:pPr>
            <w:r w:rsidRPr="009A4C46">
              <w:rPr>
                <w:rFonts w:eastAsia="Times New Roman"/>
                <w:color w:val="000000"/>
                <w:lang w:eastAsia="ru-RU"/>
              </w:rPr>
              <w:t>3,90822</w:t>
            </w:r>
          </w:p>
        </w:tc>
      </w:tr>
      <w:tr w:rsidR="009A4C46" w:rsidRPr="009A4C46" w14:paraId="6B302595" w14:textId="77777777" w:rsidTr="00070F3E">
        <w:trPr>
          <w:trHeight w:val="300"/>
        </w:trPr>
        <w:tc>
          <w:tcPr>
            <w:tcW w:w="935" w:type="pct"/>
            <w:tcBorders>
              <w:top w:val="nil"/>
              <w:left w:val="single" w:sz="4" w:space="0" w:color="auto"/>
              <w:bottom w:val="single" w:sz="4" w:space="0" w:color="auto"/>
              <w:right w:val="single" w:sz="4" w:space="0" w:color="auto"/>
            </w:tcBorders>
            <w:shd w:val="clear" w:color="auto" w:fill="auto"/>
            <w:noWrap/>
            <w:vAlign w:val="center"/>
            <w:hideMark/>
          </w:tcPr>
          <w:p w14:paraId="56C473C8" w14:textId="77777777" w:rsidR="009A4C46" w:rsidRPr="009A4C46" w:rsidRDefault="009A4C46" w:rsidP="009A4C46">
            <w:pPr>
              <w:spacing w:after="0" w:line="240" w:lineRule="auto"/>
              <w:rPr>
                <w:rFonts w:eastAsia="Times New Roman"/>
                <w:lang w:eastAsia="ru-RU"/>
              </w:rPr>
            </w:pPr>
            <w:r w:rsidRPr="009A4C46">
              <w:rPr>
                <w:rFonts w:eastAsia="Times New Roman"/>
                <w:lang w:eastAsia="ru-RU"/>
              </w:rPr>
              <w:t>СН2</w:t>
            </w:r>
          </w:p>
        </w:tc>
        <w:tc>
          <w:tcPr>
            <w:tcW w:w="737" w:type="pct"/>
            <w:tcBorders>
              <w:top w:val="nil"/>
              <w:left w:val="nil"/>
              <w:bottom w:val="single" w:sz="8" w:space="0" w:color="auto"/>
              <w:right w:val="single" w:sz="8" w:space="0" w:color="auto"/>
            </w:tcBorders>
            <w:shd w:val="clear" w:color="000000" w:fill="FFFFFF"/>
            <w:noWrap/>
            <w:vAlign w:val="center"/>
            <w:hideMark/>
          </w:tcPr>
          <w:p w14:paraId="499A91B4" w14:textId="77777777" w:rsidR="009A4C46" w:rsidRPr="009A4C46" w:rsidRDefault="009A4C46" w:rsidP="009A4C46">
            <w:pPr>
              <w:spacing w:after="0" w:line="240" w:lineRule="auto"/>
              <w:jc w:val="center"/>
              <w:rPr>
                <w:rFonts w:eastAsia="Times New Roman"/>
                <w:lang w:eastAsia="ru-RU"/>
              </w:rPr>
            </w:pPr>
            <w:r w:rsidRPr="009A4C46">
              <w:rPr>
                <w:rFonts w:eastAsia="Times New Roman"/>
                <w:color w:val="000000"/>
                <w:lang w:eastAsia="ru-RU"/>
              </w:rPr>
              <w:t>1 287 063,74</w:t>
            </w:r>
          </w:p>
        </w:tc>
        <w:tc>
          <w:tcPr>
            <w:tcW w:w="657" w:type="pct"/>
            <w:tcBorders>
              <w:top w:val="nil"/>
              <w:left w:val="nil"/>
              <w:bottom w:val="single" w:sz="8" w:space="0" w:color="auto"/>
              <w:right w:val="single" w:sz="8" w:space="0" w:color="auto"/>
            </w:tcBorders>
            <w:shd w:val="clear" w:color="000000" w:fill="FFFFFF"/>
            <w:noWrap/>
            <w:vAlign w:val="center"/>
            <w:hideMark/>
          </w:tcPr>
          <w:p w14:paraId="49D47C42" w14:textId="77777777" w:rsidR="009A4C46" w:rsidRPr="009A4C46" w:rsidRDefault="009A4C46" w:rsidP="009A4C46">
            <w:pPr>
              <w:spacing w:after="0" w:line="240" w:lineRule="auto"/>
              <w:jc w:val="center"/>
              <w:rPr>
                <w:rFonts w:eastAsia="Times New Roman"/>
                <w:lang w:eastAsia="ru-RU"/>
              </w:rPr>
            </w:pPr>
            <w:r w:rsidRPr="009A4C46">
              <w:rPr>
                <w:rFonts w:eastAsia="Times New Roman"/>
                <w:color w:val="000000"/>
                <w:lang w:eastAsia="ru-RU"/>
              </w:rPr>
              <w:t>94,54</w:t>
            </w:r>
          </w:p>
        </w:tc>
        <w:tc>
          <w:tcPr>
            <w:tcW w:w="703" w:type="pct"/>
            <w:tcBorders>
              <w:top w:val="nil"/>
              <w:left w:val="nil"/>
              <w:bottom w:val="single" w:sz="8" w:space="0" w:color="auto"/>
              <w:right w:val="single" w:sz="8" w:space="0" w:color="auto"/>
            </w:tcBorders>
            <w:shd w:val="clear" w:color="000000" w:fill="FFFFFF"/>
            <w:noWrap/>
            <w:vAlign w:val="center"/>
            <w:hideMark/>
          </w:tcPr>
          <w:p w14:paraId="77AFCFF5" w14:textId="77777777" w:rsidR="009A4C46" w:rsidRPr="009A4C46" w:rsidRDefault="009A4C46" w:rsidP="009A4C46">
            <w:pPr>
              <w:spacing w:after="0" w:line="240" w:lineRule="auto"/>
              <w:jc w:val="center"/>
              <w:rPr>
                <w:rFonts w:eastAsia="Times New Roman"/>
                <w:lang w:eastAsia="ru-RU"/>
              </w:rPr>
            </w:pPr>
            <w:r w:rsidRPr="009A4C46">
              <w:rPr>
                <w:rFonts w:eastAsia="Times New Roman"/>
                <w:color w:val="000000"/>
                <w:lang w:eastAsia="ru-RU"/>
              </w:rPr>
              <w:t>3,79832</w:t>
            </w:r>
          </w:p>
        </w:tc>
        <w:tc>
          <w:tcPr>
            <w:tcW w:w="655" w:type="pct"/>
            <w:tcBorders>
              <w:top w:val="nil"/>
              <w:left w:val="nil"/>
              <w:bottom w:val="single" w:sz="8" w:space="0" w:color="auto"/>
              <w:right w:val="single" w:sz="8" w:space="0" w:color="auto"/>
            </w:tcBorders>
            <w:shd w:val="clear" w:color="000000" w:fill="FFFFFF"/>
            <w:noWrap/>
            <w:vAlign w:val="center"/>
            <w:hideMark/>
          </w:tcPr>
          <w:p w14:paraId="2EC9DDFF" w14:textId="77777777" w:rsidR="009A4C46" w:rsidRPr="009A4C46" w:rsidRDefault="009A4C46" w:rsidP="009A4C46">
            <w:pPr>
              <w:spacing w:after="0" w:line="240" w:lineRule="auto"/>
              <w:jc w:val="center"/>
              <w:rPr>
                <w:rFonts w:eastAsia="Times New Roman"/>
                <w:lang w:eastAsia="ru-RU"/>
              </w:rPr>
            </w:pPr>
            <w:r w:rsidRPr="009A4C46">
              <w:rPr>
                <w:rFonts w:eastAsia="Times New Roman"/>
                <w:color w:val="000000"/>
                <w:lang w:eastAsia="ru-RU"/>
              </w:rPr>
              <w:t>1 402 899,48</w:t>
            </w:r>
          </w:p>
        </w:tc>
        <w:tc>
          <w:tcPr>
            <w:tcW w:w="703" w:type="pct"/>
            <w:tcBorders>
              <w:top w:val="nil"/>
              <w:left w:val="nil"/>
              <w:bottom w:val="single" w:sz="8" w:space="0" w:color="auto"/>
              <w:right w:val="single" w:sz="8" w:space="0" w:color="auto"/>
            </w:tcBorders>
            <w:shd w:val="clear" w:color="000000" w:fill="FFFFFF"/>
            <w:noWrap/>
            <w:vAlign w:val="center"/>
            <w:hideMark/>
          </w:tcPr>
          <w:p w14:paraId="11563A02" w14:textId="77777777" w:rsidR="009A4C46" w:rsidRPr="009A4C46" w:rsidRDefault="009A4C46" w:rsidP="009A4C46">
            <w:pPr>
              <w:spacing w:after="0" w:line="240" w:lineRule="auto"/>
              <w:jc w:val="center"/>
              <w:rPr>
                <w:rFonts w:eastAsia="Times New Roman"/>
                <w:lang w:eastAsia="ru-RU"/>
              </w:rPr>
            </w:pPr>
            <w:r w:rsidRPr="009A4C46">
              <w:rPr>
                <w:rFonts w:eastAsia="Times New Roman"/>
                <w:color w:val="000000"/>
                <w:lang w:eastAsia="ru-RU"/>
              </w:rPr>
              <w:t>103,05</w:t>
            </w:r>
          </w:p>
        </w:tc>
        <w:tc>
          <w:tcPr>
            <w:tcW w:w="608" w:type="pct"/>
            <w:tcBorders>
              <w:top w:val="nil"/>
              <w:left w:val="nil"/>
              <w:bottom w:val="single" w:sz="8" w:space="0" w:color="auto"/>
              <w:right w:val="single" w:sz="8" w:space="0" w:color="auto"/>
            </w:tcBorders>
            <w:shd w:val="clear" w:color="000000" w:fill="FFFFFF"/>
            <w:noWrap/>
            <w:vAlign w:val="center"/>
            <w:hideMark/>
          </w:tcPr>
          <w:p w14:paraId="33FC254F" w14:textId="77777777" w:rsidR="009A4C46" w:rsidRPr="009A4C46" w:rsidRDefault="009A4C46" w:rsidP="009A4C46">
            <w:pPr>
              <w:spacing w:after="0" w:line="240" w:lineRule="auto"/>
              <w:jc w:val="center"/>
              <w:rPr>
                <w:rFonts w:eastAsia="Times New Roman"/>
                <w:lang w:eastAsia="ru-RU"/>
              </w:rPr>
            </w:pPr>
            <w:r w:rsidRPr="009A4C46">
              <w:rPr>
                <w:rFonts w:eastAsia="Times New Roman"/>
                <w:color w:val="000000"/>
                <w:lang w:eastAsia="ru-RU"/>
              </w:rPr>
              <w:t>4,14017</w:t>
            </w:r>
          </w:p>
        </w:tc>
      </w:tr>
      <w:tr w:rsidR="009A4C46" w:rsidRPr="009A4C46" w14:paraId="6AB2F38B" w14:textId="77777777" w:rsidTr="00070F3E">
        <w:trPr>
          <w:trHeight w:val="300"/>
        </w:trPr>
        <w:tc>
          <w:tcPr>
            <w:tcW w:w="935" w:type="pct"/>
            <w:tcBorders>
              <w:top w:val="nil"/>
              <w:left w:val="single" w:sz="4" w:space="0" w:color="auto"/>
              <w:bottom w:val="single" w:sz="4" w:space="0" w:color="auto"/>
              <w:right w:val="single" w:sz="4" w:space="0" w:color="auto"/>
            </w:tcBorders>
            <w:shd w:val="clear" w:color="auto" w:fill="auto"/>
            <w:noWrap/>
            <w:vAlign w:val="center"/>
            <w:hideMark/>
          </w:tcPr>
          <w:p w14:paraId="311EB5D3" w14:textId="77777777" w:rsidR="009A4C46" w:rsidRPr="009A4C46" w:rsidRDefault="009A4C46" w:rsidP="009A4C46">
            <w:pPr>
              <w:spacing w:after="0" w:line="240" w:lineRule="auto"/>
              <w:rPr>
                <w:rFonts w:eastAsia="Times New Roman"/>
                <w:lang w:eastAsia="ru-RU"/>
              </w:rPr>
            </w:pPr>
            <w:r w:rsidRPr="009A4C46">
              <w:rPr>
                <w:rFonts w:eastAsia="Times New Roman"/>
                <w:lang w:eastAsia="ru-RU"/>
              </w:rPr>
              <w:t>НН</w:t>
            </w:r>
          </w:p>
        </w:tc>
        <w:tc>
          <w:tcPr>
            <w:tcW w:w="737" w:type="pct"/>
            <w:tcBorders>
              <w:top w:val="nil"/>
              <w:left w:val="nil"/>
              <w:bottom w:val="single" w:sz="8" w:space="0" w:color="auto"/>
              <w:right w:val="single" w:sz="8" w:space="0" w:color="auto"/>
            </w:tcBorders>
            <w:shd w:val="clear" w:color="000000" w:fill="FFFFFF"/>
            <w:noWrap/>
            <w:vAlign w:val="center"/>
            <w:hideMark/>
          </w:tcPr>
          <w:p w14:paraId="02321A53" w14:textId="77777777" w:rsidR="009A4C46" w:rsidRPr="009A4C46" w:rsidRDefault="009A4C46" w:rsidP="009A4C46">
            <w:pPr>
              <w:spacing w:after="0" w:line="240" w:lineRule="auto"/>
              <w:jc w:val="center"/>
              <w:rPr>
                <w:rFonts w:eastAsia="Times New Roman"/>
                <w:lang w:eastAsia="ru-RU"/>
              </w:rPr>
            </w:pPr>
            <w:r w:rsidRPr="009A4C46">
              <w:rPr>
                <w:rFonts w:eastAsia="Times New Roman"/>
                <w:color w:val="000000"/>
                <w:lang w:eastAsia="ru-RU"/>
              </w:rPr>
              <w:t>1 562 535,46</w:t>
            </w:r>
          </w:p>
        </w:tc>
        <w:tc>
          <w:tcPr>
            <w:tcW w:w="657" w:type="pct"/>
            <w:tcBorders>
              <w:top w:val="nil"/>
              <w:left w:val="nil"/>
              <w:bottom w:val="single" w:sz="8" w:space="0" w:color="auto"/>
              <w:right w:val="single" w:sz="8" w:space="0" w:color="auto"/>
            </w:tcBorders>
            <w:shd w:val="clear" w:color="000000" w:fill="FFFFFF"/>
            <w:noWrap/>
            <w:vAlign w:val="center"/>
            <w:hideMark/>
          </w:tcPr>
          <w:p w14:paraId="57289E3E" w14:textId="77777777" w:rsidR="009A4C46" w:rsidRPr="009A4C46" w:rsidRDefault="009A4C46" w:rsidP="009A4C46">
            <w:pPr>
              <w:spacing w:after="0" w:line="240" w:lineRule="auto"/>
              <w:jc w:val="center"/>
              <w:rPr>
                <w:rFonts w:eastAsia="Times New Roman"/>
                <w:lang w:eastAsia="ru-RU"/>
              </w:rPr>
            </w:pPr>
            <w:r w:rsidRPr="009A4C46">
              <w:rPr>
                <w:rFonts w:eastAsia="Times New Roman"/>
                <w:color w:val="000000"/>
                <w:lang w:eastAsia="ru-RU"/>
              </w:rPr>
              <w:t>295,83</w:t>
            </w:r>
          </w:p>
        </w:tc>
        <w:tc>
          <w:tcPr>
            <w:tcW w:w="703" w:type="pct"/>
            <w:tcBorders>
              <w:top w:val="nil"/>
              <w:left w:val="nil"/>
              <w:bottom w:val="single" w:sz="8" w:space="0" w:color="auto"/>
              <w:right w:val="single" w:sz="8" w:space="0" w:color="auto"/>
            </w:tcBorders>
            <w:shd w:val="clear" w:color="000000" w:fill="FFFFFF"/>
            <w:noWrap/>
            <w:vAlign w:val="center"/>
            <w:hideMark/>
          </w:tcPr>
          <w:p w14:paraId="4C4BA44A" w14:textId="77777777" w:rsidR="009A4C46" w:rsidRPr="009A4C46" w:rsidRDefault="009A4C46" w:rsidP="009A4C46">
            <w:pPr>
              <w:spacing w:after="0" w:line="240" w:lineRule="auto"/>
              <w:jc w:val="center"/>
              <w:rPr>
                <w:rFonts w:eastAsia="Times New Roman"/>
                <w:lang w:eastAsia="ru-RU"/>
              </w:rPr>
            </w:pPr>
            <w:r w:rsidRPr="009A4C46">
              <w:rPr>
                <w:rFonts w:eastAsia="Times New Roman"/>
                <w:color w:val="000000"/>
                <w:lang w:eastAsia="ru-RU"/>
              </w:rPr>
              <w:t>3,81132</w:t>
            </w:r>
          </w:p>
        </w:tc>
        <w:tc>
          <w:tcPr>
            <w:tcW w:w="655" w:type="pct"/>
            <w:tcBorders>
              <w:top w:val="nil"/>
              <w:left w:val="nil"/>
              <w:bottom w:val="single" w:sz="8" w:space="0" w:color="auto"/>
              <w:right w:val="single" w:sz="8" w:space="0" w:color="auto"/>
            </w:tcBorders>
            <w:shd w:val="clear" w:color="000000" w:fill="FFFFFF"/>
            <w:noWrap/>
            <w:vAlign w:val="center"/>
            <w:hideMark/>
          </w:tcPr>
          <w:p w14:paraId="0CEA8DB7" w14:textId="77777777" w:rsidR="009A4C46" w:rsidRPr="009A4C46" w:rsidRDefault="009A4C46" w:rsidP="009A4C46">
            <w:pPr>
              <w:spacing w:after="0" w:line="240" w:lineRule="auto"/>
              <w:jc w:val="center"/>
              <w:rPr>
                <w:rFonts w:eastAsia="Times New Roman"/>
                <w:lang w:eastAsia="ru-RU"/>
              </w:rPr>
            </w:pPr>
            <w:r w:rsidRPr="009A4C46">
              <w:rPr>
                <w:rFonts w:eastAsia="Times New Roman"/>
                <w:color w:val="000000"/>
                <w:lang w:eastAsia="ru-RU"/>
              </w:rPr>
              <w:t>1 703 163,65</w:t>
            </w:r>
          </w:p>
        </w:tc>
        <w:tc>
          <w:tcPr>
            <w:tcW w:w="703" w:type="pct"/>
            <w:tcBorders>
              <w:top w:val="nil"/>
              <w:left w:val="nil"/>
              <w:bottom w:val="single" w:sz="8" w:space="0" w:color="auto"/>
              <w:right w:val="single" w:sz="8" w:space="0" w:color="auto"/>
            </w:tcBorders>
            <w:shd w:val="clear" w:color="000000" w:fill="FFFFFF"/>
            <w:noWrap/>
            <w:vAlign w:val="center"/>
            <w:hideMark/>
          </w:tcPr>
          <w:p w14:paraId="1D4B6F5D" w14:textId="77777777" w:rsidR="009A4C46" w:rsidRPr="009A4C46" w:rsidRDefault="009A4C46" w:rsidP="009A4C46">
            <w:pPr>
              <w:spacing w:after="0" w:line="240" w:lineRule="auto"/>
              <w:jc w:val="center"/>
              <w:rPr>
                <w:rFonts w:eastAsia="Times New Roman"/>
                <w:lang w:eastAsia="ru-RU"/>
              </w:rPr>
            </w:pPr>
            <w:r w:rsidRPr="009A4C46">
              <w:rPr>
                <w:rFonts w:eastAsia="Times New Roman"/>
                <w:color w:val="000000"/>
                <w:lang w:eastAsia="ru-RU"/>
              </w:rPr>
              <w:t>322,45</w:t>
            </w:r>
          </w:p>
        </w:tc>
        <w:tc>
          <w:tcPr>
            <w:tcW w:w="608" w:type="pct"/>
            <w:tcBorders>
              <w:top w:val="nil"/>
              <w:left w:val="nil"/>
              <w:bottom w:val="single" w:sz="8" w:space="0" w:color="auto"/>
              <w:right w:val="single" w:sz="8" w:space="0" w:color="auto"/>
            </w:tcBorders>
            <w:shd w:val="clear" w:color="000000" w:fill="FFFFFF"/>
            <w:noWrap/>
            <w:vAlign w:val="center"/>
            <w:hideMark/>
          </w:tcPr>
          <w:p w14:paraId="71FBFA01" w14:textId="77777777" w:rsidR="009A4C46" w:rsidRPr="009A4C46" w:rsidRDefault="009A4C46" w:rsidP="009A4C46">
            <w:pPr>
              <w:spacing w:after="0" w:line="240" w:lineRule="auto"/>
              <w:jc w:val="center"/>
              <w:rPr>
                <w:rFonts w:eastAsia="Times New Roman"/>
                <w:lang w:eastAsia="ru-RU"/>
              </w:rPr>
            </w:pPr>
            <w:r w:rsidRPr="009A4C46">
              <w:rPr>
                <w:rFonts w:eastAsia="Times New Roman"/>
                <w:color w:val="000000"/>
                <w:lang w:eastAsia="ru-RU"/>
              </w:rPr>
              <w:t>4,15434</w:t>
            </w:r>
          </w:p>
        </w:tc>
      </w:tr>
      <w:tr w:rsidR="009A4C46" w:rsidRPr="009A4C46" w14:paraId="227F3ADE" w14:textId="77777777" w:rsidTr="00070F3E">
        <w:trPr>
          <w:trHeight w:val="300"/>
        </w:trPr>
        <w:tc>
          <w:tcPr>
            <w:tcW w:w="935" w:type="pct"/>
            <w:tcBorders>
              <w:top w:val="nil"/>
              <w:left w:val="single" w:sz="4" w:space="0" w:color="auto"/>
              <w:bottom w:val="single" w:sz="4" w:space="0" w:color="auto"/>
              <w:right w:val="single" w:sz="4" w:space="0" w:color="auto"/>
            </w:tcBorders>
            <w:shd w:val="clear" w:color="auto" w:fill="auto"/>
            <w:noWrap/>
            <w:vAlign w:val="center"/>
            <w:hideMark/>
          </w:tcPr>
          <w:p w14:paraId="6E360D03" w14:textId="77777777" w:rsidR="009A4C46" w:rsidRPr="009A4C46" w:rsidRDefault="009A4C46" w:rsidP="009A4C46">
            <w:pPr>
              <w:spacing w:after="0" w:line="240" w:lineRule="auto"/>
              <w:rPr>
                <w:rFonts w:eastAsia="Times New Roman"/>
                <w:lang w:eastAsia="ru-RU"/>
              </w:rPr>
            </w:pPr>
            <w:r w:rsidRPr="009A4C46">
              <w:rPr>
                <w:rFonts w:eastAsia="Times New Roman"/>
                <w:lang w:eastAsia="ru-RU"/>
              </w:rPr>
              <w:t xml:space="preserve">Население </w:t>
            </w:r>
          </w:p>
        </w:tc>
        <w:tc>
          <w:tcPr>
            <w:tcW w:w="737" w:type="pct"/>
            <w:tcBorders>
              <w:top w:val="nil"/>
              <w:left w:val="nil"/>
              <w:bottom w:val="single" w:sz="8" w:space="0" w:color="auto"/>
              <w:right w:val="single" w:sz="8" w:space="0" w:color="auto"/>
            </w:tcBorders>
            <w:shd w:val="clear" w:color="000000" w:fill="FFFFFF"/>
            <w:noWrap/>
            <w:vAlign w:val="center"/>
            <w:hideMark/>
          </w:tcPr>
          <w:p w14:paraId="2A9E0D0C" w14:textId="77777777" w:rsidR="009A4C46" w:rsidRPr="009A4C46" w:rsidRDefault="009A4C46" w:rsidP="009A4C46">
            <w:pPr>
              <w:spacing w:after="0" w:line="276" w:lineRule="auto"/>
              <w:jc w:val="center"/>
              <w:rPr>
                <w:rFonts w:eastAsia="Times New Roman"/>
                <w:lang w:eastAsia="ru-RU"/>
              </w:rPr>
            </w:pPr>
            <w:r w:rsidRPr="009A4C46">
              <w:rPr>
                <w:rFonts w:eastAsia="Times New Roman"/>
                <w:color w:val="000000"/>
                <w:lang w:eastAsia="ru-RU"/>
              </w:rPr>
              <w:t> </w:t>
            </w:r>
          </w:p>
        </w:tc>
        <w:tc>
          <w:tcPr>
            <w:tcW w:w="657" w:type="pct"/>
            <w:tcBorders>
              <w:top w:val="nil"/>
              <w:left w:val="nil"/>
              <w:bottom w:val="single" w:sz="8" w:space="0" w:color="auto"/>
              <w:right w:val="single" w:sz="8" w:space="0" w:color="auto"/>
            </w:tcBorders>
            <w:shd w:val="clear" w:color="000000" w:fill="FFFFFF"/>
            <w:noWrap/>
            <w:vAlign w:val="center"/>
            <w:hideMark/>
          </w:tcPr>
          <w:p w14:paraId="0C676100" w14:textId="77777777" w:rsidR="009A4C46" w:rsidRPr="009A4C46" w:rsidRDefault="009A4C46" w:rsidP="009A4C46">
            <w:pPr>
              <w:spacing w:after="0" w:line="276" w:lineRule="auto"/>
              <w:jc w:val="center"/>
              <w:rPr>
                <w:rFonts w:eastAsia="Times New Roman"/>
                <w:lang w:eastAsia="ru-RU"/>
              </w:rPr>
            </w:pPr>
            <w:r w:rsidRPr="009A4C46">
              <w:rPr>
                <w:rFonts w:eastAsia="Times New Roman"/>
                <w:color w:val="000000"/>
                <w:lang w:eastAsia="ru-RU"/>
              </w:rPr>
              <w:t> </w:t>
            </w:r>
          </w:p>
        </w:tc>
        <w:tc>
          <w:tcPr>
            <w:tcW w:w="703" w:type="pct"/>
            <w:tcBorders>
              <w:top w:val="nil"/>
              <w:left w:val="nil"/>
              <w:bottom w:val="single" w:sz="8" w:space="0" w:color="auto"/>
              <w:right w:val="single" w:sz="8" w:space="0" w:color="auto"/>
            </w:tcBorders>
            <w:shd w:val="clear" w:color="000000" w:fill="FFFFFF"/>
            <w:noWrap/>
            <w:vAlign w:val="center"/>
            <w:hideMark/>
          </w:tcPr>
          <w:p w14:paraId="7500F618" w14:textId="77777777" w:rsidR="009A4C46" w:rsidRPr="009A4C46" w:rsidRDefault="009A4C46" w:rsidP="009A4C46">
            <w:pPr>
              <w:spacing w:after="0" w:line="276" w:lineRule="auto"/>
              <w:jc w:val="center"/>
              <w:rPr>
                <w:rFonts w:eastAsia="Times New Roman"/>
                <w:lang w:eastAsia="ru-RU"/>
              </w:rPr>
            </w:pPr>
            <w:r w:rsidRPr="009A4C46">
              <w:rPr>
                <w:rFonts w:eastAsia="Times New Roman"/>
                <w:color w:val="000000"/>
                <w:lang w:eastAsia="ru-RU"/>
              </w:rPr>
              <w:t> </w:t>
            </w:r>
          </w:p>
        </w:tc>
        <w:tc>
          <w:tcPr>
            <w:tcW w:w="655" w:type="pct"/>
            <w:tcBorders>
              <w:top w:val="nil"/>
              <w:left w:val="nil"/>
              <w:bottom w:val="single" w:sz="8" w:space="0" w:color="auto"/>
              <w:right w:val="single" w:sz="8" w:space="0" w:color="auto"/>
            </w:tcBorders>
            <w:shd w:val="clear" w:color="000000" w:fill="FFFFFF"/>
            <w:noWrap/>
            <w:vAlign w:val="center"/>
            <w:hideMark/>
          </w:tcPr>
          <w:p w14:paraId="40EDE04B" w14:textId="77777777" w:rsidR="009A4C46" w:rsidRPr="009A4C46" w:rsidRDefault="009A4C46" w:rsidP="009A4C46">
            <w:pPr>
              <w:spacing w:after="0" w:line="276" w:lineRule="auto"/>
              <w:jc w:val="center"/>
              <w:rPr>
                <w:rFonts w:eastAsia="Times New Roman"/>
                <w:lang w:eastAsia="ru-RU"/>
              </w:rPr>
            </w:pPr>
            <w:r w:rsidRPr="009A4C46">
              <w:rPr>
                <w:rFonts w:eastAsia="Times New Roman"/>
                <w:color w:val="000000"/>
                <w:lang w:eastAsia="ru-RU"/>
              </w:rPr>
              <w:t> </w:t>
            </w:r>
          </w:p>
        </w:tc>
        <w:tc>
          <w:tcPr>
            <w:tcW w:w="703" w:type="pct"/>
            <w:tcBorders>
              <w:top w:val="nil"/>
              <w:left w:val="nil"/>
              <w:bottom w:val="single" w:sz="8" w:space="0" w:color="auto"/>
              <w:right w:val="single" w:sz="8" w:space="0" w:color="auto"/>
            </w:tcBorders>
            <w:shd w:val="clear" w:color="000000" w:fill="FFFFFF"/>
            <w:noWrap/>
            <w:vAlign w:val="center"/>
            <w:hideMark/>
          </w:tcPr>
          <w:p w14:paraId="00C2748B" w14:textId="77777777" w:rsidR="009A4C46" w:rsidRPr="009A4C46" w:rsidRDefault="009A4C46" w:rsidP="009A4C46">
            <w:pPr>
              <w:spacing w:after="0" w:line="276" w:lineRule="auto"/>
              <w:jc w:val="center"/>
              <w:rPr>
                <w:rFonts w:eastAsia="Times New Roman"/>
                <w:lang w:eastAsia="ru-RU"/>
              </w:rPr>
            </w:pPr>
            <w:r w:rsidRPr="009A4C46">
              <w:rPr>
                <w:rFonts w:eastAsia="Times New Roman"/>
                <w:color w:val="000000"/>
                <w:lang w:eastAsia="ru-RU"/>
              </w:rPr>
              <w:t> </w:t>
            </w:r>
          </w:p>
        </w:tc>
        <w:tc>
          <w:tcPr>
            <w:tcW w:w="608" w:type="pct"/>
            <w:tcBorders>
              <w:top w:val="nil"/>
              <w:left w:val="nil"/>
              <w:bottom w:val="single" w:sz="8" w:space="0" w:color="auto"/>
              <w:right w:val="single" w:sz="8" w:space="0" w:color="auto"/>
            </w:tcBorders>
            <w:shd w:val="clear" w:color="000000" w:fill="FFFFFF"/>
            <w:noWrap/>
            <w:vAlign w:val="center"/>
            <w:hideMark/>
          </w:tcPr>
          <w:p w14:paraId="3EFD9D10" w14:textId="77777777" w:rsidR="009A4C46" w:rsidRPr="009A4C46" w:rsidRDefault="009A4C46" w:rsidP="009A4C46">
            <w:pPr>
              <w:spacing w:after="0" w:line="276" w:lineRule="auto"/>
              <w:jc w:val="center"/>
              <w:rPr>
                <w:rFonts w:eastAsia="Times New Roman"/>
                <w:lang w:eastAsia="ru-RU"/>
              </w:rPr>
            </w:pPr>
            <w:r w:rsidRPr="009A4C46">
              <w:rPr>
                <w:rFonts w:eastAsia="Times New Roman"/>
                <w:color w:val="000000"/>
                <w:lang w:eastAsia="ru-RU"/>
              </w:rPr>
              <w:t> </w:t>
            </w:r>
          </w:p>
        </w:tc>
      </w:tr>
      <w:tr w:rsidR="009A4C46" w:rsidRPr="009A4C46" w14:paraId="5A124BA0" w14:textId="77777777" w:rsidTr="00070F3E">
        <w:trPr>
          <w:trHeight w:val="300"/>
        </w:trPr>
        <w:tc>
          <w:tcPr>
            <w:tcW w:w="935" w:type="pct"/>
            <w:tcBorders>
              <w:top w:val="nil"/>
              <w:left w:val="single" w:sz="4" w:space="0" w:color="auto"/>
              <w:bottom w:val="single" w:sz="4" w:space="0" w:color="auto"/>
              <w:right w:val="single" w:sz="4" w:space="0" w:color="auto"/>
            </w:tcBorders>
            <w:shd w:val="clear" w:color="auto" w:fill="auto"/>
            <w:noWrap/>
            <w:vAlign w:val="center"/>
            <w:hideMark/>
          </w:tcPr>
          <w:p w14:paraId="0602239B" w14:textId="77777777" w:rsidR="009A4C46" w:rsidRPr="009A4C46" w:rsidRDefault="009A4C46" w:rsidP="009A4C46">
            <w:pPr>
              <w:spacing w:after="0" w:line="240" w:lineRule="auto"/>
              <w:rPr>
                <w:rFonts w:eastAsia="Times New Roman"/>
                <w:lang w:eastAsia="ru-RU"/>
              </w:rPr>
            </w:pPr>
            <w:r w:rsidRPr="009A4C46">
              <w:rPr>
                <w:rFonts w:eastAsia="Times New Roman"/>
                <w:lang w:eastAsia="ru-RU"/>
              </w:rPr>
              <w:t>Категория 1*</w:t>
            </w:r>
          </w:p>
        </w:tc>
        <w:tc>
          <w:tcPr>
            <w:tcW w:w="737" w:type="pct"/>
            <w:tcBorders>
              <w:top w:val="nil"/>
              <w:left w:val="nil"/>
              <w:bottom w:val="single" w:sz="8" w:space="0" w:color="auto"/>
              <w:right w:val="single" w:sz="8" w:space="0" w:color="auto"/>
            </w:tcBorders>
            <w:shd w:val="clear" w:color="000000" w:fill="FFFFFF"/>
            <w:noWrap/>
            <w:vAlign w:val="center"/>
            <w:hideMark/>
          </w:tcPr>
          <w:p w14:paraId="1B1C9354" w14:textId="77777777" w:rsidR="009A4C46" w:rsidRPr="009A4C46" w:rsidRDefault="009A4C46" w:rsidP="009A4C46">
            <w:pPr>
              <w:spacing w:after="0" w:line="276" w:lineRule="auto"/>
              <w:jc w:val="center"/>
              <w:rPr>
                <w:rFonts w:eastAsia="Times New Roman"/>
                <w:lang w:eastAsia="ru-RU"/>
              </w:rPr>
            </w:pPr>
            <w:r w:rsidRPr="009A4C46">
              <w:rPr>
                <w:rFonts w:eastAsia="Times New Roman"/>
                <w:color w:val="000000"/>
                <w:lang w:eastAsia="ru-RU"/>
              </w:rPr>
              <w:t> </w:t>
            </w:r>
          </w:p>
        </w:tc>
        <w:tc>
          <w:tcPr>
            <w:tcW w:w="657" w:type="pct"/>
            <w:tcBorders>
              <w:top w:val="nil"/>
              <w:left w:val="nil"/>
              <w:bottom w:val="single" w:sz="8" w:space="0" w:color="auto"/>
              <w:right w:val="single" w:sz="8" w:space="0" w:color="auto"/>
            </w:tcBorders>
            <w:shd w:val="clear" w:color="000000" w:fill="FFFFFF"/>
            <w:noWrap/>
            <w:vAlign w:val="center"/>
            <w:hideMark/>
          </w:tcPr>
          <w:p w14:paraId="324CC2D3" w14:textId="77777777" w:rsidR="009A4C46" w:rsidRPr="009A4C46" w:rsidRDefault="009A4C46" w:rsidP="009A4C46">
            <w:pPr>
              <w:spacing w:after="0" w:line="276" w:lineRule="auto"/>
              <w:jc w:val="center"/>
              <w:rPr>
                <w:rFonts w:eastAsia="Times New Roman"/>
                <w:lang w:eastAsia="ru-RU"/>
              </w:rPr>
            </w:pPr>
            <w:r w:rsidRPr="009A4C46">
              <w:rPr>
                <w:rFonts w:eastAsia="Times New Roman"/>
                <w:color w:val="000000"/>
                <w:lang w:eastAsia="ru-RU"/>
              </w:rPr>
              <w:t> </w:t>
            </w:r>
          </w:p>
        </w:tc>
        <w:tc>
          <w:tcPr>
            <w:tcW w:w="703" w:type="pct"/>
            <w:tcBorders>
              <w:top w:val="nil"/>
              <w:left w:val="nil"/>
              <w:bottom w:val="single" w:sz="8" w:space="0" w:color="auto"/>
              <w:right w:val="single" w:sz="8" w:space="0" w:color="auto"/>
            </w:tcBorders>
            <w:shd w:val="clear" w:color="000000" w:fill="FFFFFF"/>
            <w:noWrap/>
            <w:vAlign w:val="center"/>
            <w:hideMark/>
          </w:tcPr>
          <w:p w14:paraId="45DAF32A" w14:textId="77777777" w:rsidR="009A4C46" w:rsidRPr="009A4C46" w:rsidRDefault="009A4C46" w:rsidP="009A4C46">
            <w:pPr>
              <w:spacing w:after="0" w:line="240" w:lineRule="auto"/>
              <w:jc w:val="center"/>
              <w:rPr>
                <w:rFonts w:eastAsia="Times New Roman"/>
                <w:lang w:eastAsia="ru-RU"/>
              </w:rPr>
            </w:pPr>
            <w:r w:rsidRPr="009A4C46">
              <w:rPr>
                <w:rFonts w:eastAsia="Times New Roman"/>
                <w:color w:val="000000"/>
                <w:lang w:eastAsia="ru-RU"/>
              </w:rPr>
              <w:t>2,32745</w:t>
            </w:r>
          </w:p>
        </w:tc>
        <w:tc>
          <w:tcPr>
            <w:tcW w:w="655" w:type="pct"/>
            <w:tcBorders>
              <w:top w:val="nil"/>
              <w:left w:val="nil"/>
              <w:bottom w:val="single" w:sz="8" w:space="0" w:color="auto"/>
              <w:right w:val="single" w:sz="8" w:space="0" w:color="auto"/>
            </w:tcBorders>
            <w:shd w:val="clear" w:color="000000" w:fill="FFFFFF"/>
            <w:noWrap/>
            <w:vAlign w:val="center"/>
            <w:hideMark/>
          </w:tcPr>
          <w:p w14:paraId="7BAF7C47" w14:textId="77777777" w:rsidR="009A4C46" w:rsidRPr="009A4C46" w:rsidRDefault="009A4C46" w:rsidP="009A4C46">
            <w:pPr>
              <w:spacing w:after="0" w:line="276" w:lineRule="auto"/>
              <w:jc w:val="center"/>
              <w:rPr>
                <w:rFonts w:eastAsia="Times New Roman"/>
                <w:lang w:eastAsia="ru-RU"/>
              </w:rPr>
            </w:pPr>
            <w:r w:rsidRPr="009A4C46">
              <w:rPr>
                <w:rFonts w:eastAsia="Times New Roman"/>
                <w:color w:val="000000"/>
                <w:lang w:eastAsia="ru-RU"/>
              </w:rPr>
              <w:t> </w:t>
            </w:r>
          </w:p>
        </w:tc>
        <w:tc>
          <w:tcPr>
            <w:tcW w:w="703" w:type="pct"/>
            <w:tcBorders>
              <w:top w:val="nil"/>
              <w:left w:val="nil"/>
              <w:bottom w:val="single" w:sz="8" w:space="0" w:color="auto"/>
              <w:right w:val="single" w:sz="8" w:space="0" w:color="auto"/>
            </w:tcBorders>
            <w:shd w:val="clear" w:color="000000" w:fill="FFFFFF"/>
            <w:noWrap/>
            <w:vAlign w:val="center"/>
            <w:hideMark/>
          </w:tcPr>
          <w:p w14:paraId="163FB0D3" w14:textId="77777777" w:rsidR="009A4C46" w:rsidRPr="009A4C46" w:rsidRDefault="009A4C46" w:rsidP="009A4C46">
            <w:pPr>
              <w:spacing w:after="0" w:line="276" w:lineRule="auto"/>
              <w:jc w:val="center"/>
              <w:rPr>
                <w:rFonts w:eastAsia="Times New Roman"/>
                <w:lang w:eastAsia="ru-RU"/>
              </w:rPr>
            </w:pPr>
            <w:r w:rsidRPr="009A4C46">
              <w:rPr>
                <w:rFonts w:eastAsia="Times New Roman"/>
                <w:color w:val="000000"/>
                <w:lang w:eastAsia="ru-RU"/>
              </w:rPr>
              <w:t> </w:t>
            </w:r>
          </w:p>
        </w:tc>
        <w:tc>
          <w:tcPr>
            <w:tcW w:w="608" w:type="pct"/>
            <w:tcBorders>
              <w:top w:val="nil"/>
              <w:left w:val="nil"/>
              <w:bottom w:val="single" w:sz="8" w:space="0" w:color="auto"/>
              <w:right w:val="single" w:sz="8" w:space="0" w:color="auto"/>
            </w:tcBorders>
            <w:shd w:val="clear" w:color="000000" w:fill="FFFFFF"/>
            <w:noWrap/>
            <w:vAlign w:val="center"/>
            <w:hideMark/>
          </w:tcPr>
          <w:p w14:paraId="246F3A0A" w14:textId="77777777" w:rsidR="009A4C46" w:rsidRPr="009A4C46" w:rsidRDefault="009A4C46" w:rsidP="009A4C46">
            <w:pPr>
              <w:spacing w:after="0" w:line="240" w:lineRule="auto"/>
              <w:jc w:val="center"/>
              <w:rPr>
                <w:rFonts w:eastAsia="Times New Roman"/>
                <w:lang w:eastAsia="ru-RU"/>
              </w:rPr>
            </w:pPr>
            <w:r w:rsidRPr="009A4C46">
              <w:rPr>
                <w:rFonts w:eastAsia="Times New Roman"/>
                <w:color w:val="000000"/>
                <w:lang w:eastAsia="ru-RU"/>
              </w:rPr>
              <w:t>2,44536</w:t>
            </w:r>
          </w:p>
        </w:tc>
      </w:tr>
      <w:tr w:rsidR="009A4C46" w:rsidRPr="009A4C46" w14:paraId="3025F372" w14:textId="77777777" w:rsidTr="00070F3E">
        <w:trPr>
          <w:trHeight w:val="300"/>
        </w:trPr>
        <w:tc>
          <w:tcPr>
            <w:tcW w:w="935" w:type="pct"/>
            <w:tcBorders>
              <w:top w:val="nil"/>
              <w:left w:val="single" w:sz="4" w:space="0" w:color="auto"/>
              <w:bottom w:val="single" w:sz="4" w:space="0" w:color="auto"/>
              <w:right w:val="single" w:sz="4" w:space="0" w:color="auto"/>
            </w:tcBorders>
            <w:shd w:val="clear" w:color="auto" w:fill="auto"/>
            <w:noWrap/>
            <w:vAlign w:val="center"/>
            <w:hideMark/>
          </w:tcPr>
          <w:p w14:paraId="0AEC2999" w14:textId="77777777" w:rsidR="009A4C46" w:rsidRPr="009A4C46" w:rsidRDefault="009A4C46" w:rsidP="009A4C46">
            <w:pPr>
              <w:spacing w:after="0" w:line="240" w:lineRule="auto"/>
              <w:rPr>
                <w:rFonts w:eastAsia="Times New Roman"/>
                <w:lang w:eastAsia="ru-RU"/>
              </w:rPr>
            </w:pPr>
            <w:r w:rsidRPr="009A4C46">
              <w:rPr>
                <w:rFonts w:eastAsia="Times New Roman"/>
                <w:lang w:eastAsia="ru-RU"/>
              </w:rPr>
              <w:t>Категория 2*</w:t>
            </w:r>
          </w:p>
        </w:tc>
        <w:tc>
          <w:tcPr>
            <w:tcW w:w="737" w:type="pct"/>
            <w:tcBorders>
              <w:top w:val="nil"/>
              <w:left w:val="nil"/>
              <w:bottom w:val="single" w:sz="8" w:space="0" w:color="auto"/>
              <w:right w:val="single" w:sz="8" w:space="0" w:color="auto"/>
            </w:tcBorders>
            <w:shd w:val="clear" w:color="000000" w:fill="FFFFFF"/>
            <w:noWrap/>
            <w:vAlign w:val="center"/>
            <w:hideMark/>
          </w:tcPr>
          <w:p w14:paraId="21047859" w14:textId="77777777" w:rsidR="009A4C46" w:rsidRPr="009A4C46" w:rsidRDefault="009A4C46" w:rsidP="009A4C46">
            <w:pPr>
              <w:spacing w:after="0" w:line="276" w:lineRule="auto"/>
              <w:jc w:val="center"/>
              <w:rPr>
                <w:rFonts w:eastAsia="Times New Roman"/>
                <w:lang w:eastAsia="ru-RU"/>
              </w:rPr>
            </w:pPr>
            <w:r w:rsidRPr="009A4C46">
              <w:rPr>
                <w:rFonts w:eastAsia="Times New Roman"/>
                <w:color w:val="000000"/>
                <w:lang w:eastAsia="ru-RU"/>
              </w:rPr>
              <w:t> </w:t>
            </w:r>
          </w:p>
        </w:tc>
        <w:tc>
          <w:tcPr>
            <w:tcW w:w="657" w:type="pct"/>
            <w:tcBorders>
              <w:top w:val="nil"/>
              <w:left w:val="nil"/>
              <w:bottom w:val="single" w:sz="8" w:space="0" w:color="auto"/>
              <w:right w:val="single" w:sz="8" w:space="0" w:color="auto"/>
            </w:tcBorders>
            <w:shd w:val="clear" w:color="000000" w:fill="FFFFFF"/>
            <w:noWrap/>
            <w:vAlign w:val="center"/>
            <w:hideMark/>
          </w:tcPr>
          <w:p w14:paraId="4389B6CA" w14:textId="77777777" w:rsidR="009A4C46" w:rsidRPr="009A4C46" w:rsidRDefault="009A4C46" w:rsidP="009A4C46">
            <w:pPr>
              <w:spacing w:after="0" w:line="276" w:lineRule="auto"/>
              <w:jc w:val="center"/>
              <w:rPr>
                <w:rFonts w:eastAsia="Times New Roman"/>
                <w:lang w:eastAsia="ru-RU"/>
              </w:rPr>
            </w:pPr>
            <w:r w:rsidRPr="009A4C46">
              <w:rPr>
                <w:rFonts w:eastAsia="Times New Roman"/>
                <w:color w:val="000000"/>
                <w:lang w:eastAsia="ru-RU"/>
              </w:rPr>
              <w:t> </w:t>
            </w:r>
          </w:p>
        </w:tc>
        <w:tc>
          <w:tcPr>
            <w:tcW w:w="703" w:type="pct"/>
            <w:tcBorders>
              <w:top w:val="nil"/>
              <w:left w:val="nil"/>
              <w:bottom w:val="single" w:sz="8" w:space="0" w:color="auto"/>
              <w:right w:val="single" w:sz="8" w:space="0" w:color="auto"/>
            </w:tcBorders>
            <w:shd w:val="clear" w:color="000000" w:fill="FFFFFF"/>
            <w:noWrap/>
            <w:vAlign w:val="center"/>
            <w:hideMark/>
          </w:tcPr>
          <w:p w14:paraId="15362FAA" w14:textId="77777777" w:rsidR="009A4C46" w:rsidRPr="009A4C46" w:rsidRDefault="009A4C46" w:rsidP="009A4C46">
            <w:pPr>
              <w:spacing w:after="0" w:line="240" w:lineRule="auto"/>
              <w:jc w:val="center"/>
              <w:rPr>
                <w:rFonts w:eastAsia="Times New Roman"/>
                <w:lang w:eastAsia="ru-RU"/>
              </w:rPr>
            </w:pPr>
            <w:r w:rsidRPr="009A4C46">
              <w:rPr>
                <w:rFonts w:eastAsia="Times New Roman"/>
                <w:color w:val="000000"/>
                <w:lang w:eastAsia="ru-RU"/>
              </w:rPr>
              <w:t>1,48847</w:t>
            </w:r>
          </w:p>
        </w:tc>
        <w:tc>
          <w:tcPr>
            <w:tcW w:w="655" w:type="pct"/>
            <w:tcBorders>
              <w:top w:val="nil"/>
              <w:left w:val="nil"/>
              <w:bottom w:val="single" w:sz="8" w:space="0" w:color="auto"/>
              <w:right w:val="single" w:sz="8" w:space="0" w:color="auto"/>
            </w:tcBorders>
            <w:shd w:val="clear" w:color="000000" w:fill="FFFFFF"/>
            <w:noWrap/>
            <w:vAlign w:val="center"/>
            <w:hideMark/>
          </w:tcPr>
          <w:p w14:paraId="5ACF3CC9" w14:textId="77777777" w:rsidR="009A4C46" w:rsidRPr="009A4C46" w:rsidRDefault="009A4C46" w:rsidP="009A4C46">
            <w:pPr>
              <w:spacing w:after="0" w:line="276" w:lineRule="auto"/>
              <w:jc w:val="center"/>
              <w:rPr>
                <w:rFonts w:eastAsia="Times New Roman"/>
                <w:lang w:eastAsia="ru-RU"/>
              </w:rPr>
            </w:pPr>
            <w:r w:rsidRPr="009A4C46">
              <w:rPr>
                <w:rFonts w:eastAsia="Times New Roman"/>
                <w:color w:val="000000"/>
                <w:lang w:eastAsia="ru-RU"/>
              </w:rPr>
              <w:t> </w:t>
            </w:r>
          </w:p>
        </w:tc>
        <w:tc>
          <w:tcPr>
            <w:tcW w:w="703" w:type="pct"/>
            <w:tcBorders>
              <w:top w:val="nil"/>
              <w:left w:val="nil"/>
              <w:bottom w:val="single" w:sz="8" w:space="0" w:color="auto"/>
              <w:right w:val="single" w:sz="8" w:space="0" w:color="auto"/>
            </w:tcBorders>
            <w:shd w:val="clear" w:color="000000" w:fill="FFFFFF"/>
            <w:noWrap/>
            <w:vAlign w:val="center"/>
            <w:hideMark/>
          </w:tcPr>
          <w:p w14:paraId="5B5BD56B" w14:textId="77777777" w:rsidR="009A4C46" w:rsidRPr="009A4C46" w:rsidRDefault="009A4C46" w:rsidP="009A4C46">
            <w:pPr>
              <w:spacing w:after="0" w:line="276" w:lineRule="auto"/>
              <w:jc w:val="center"/>
              <w:rPr>
                <w:rFonts w:eastAsia="Times New Roman"/>
                <w:lang w:eastAsia="ru-RU"/>
              </w:rPr>
            </w:pPr>
            <w:r w:rsidRPr="009A4C46">
              <w:rPr>
                <w:rFonts w:eastAsia="Times New Roman"/>
                <w:color w:val="000000"/>
                <w:lang w:eastAsia="ru-RU"/>
              </w:rPr>
              <w:t> </w:t>
            </w:r>
          </w:p>
        </w:tc>
        <w:tc>
          <w:tcPr>
            <w:tcW w:w="608" w:type="pct"/>
            <w:tcBorders>
              <w:top w:val="nil"/>
              <w:left w:val="nil"/>
              <w:bottom w:val="single" w:sz="8" w:space="0" w:color="auto"/>
              <w:right w:val="single" w:sz="8" w:space="0" w:color="auto"/>
            </w:tcBorders>
            <w:shd w:val="clear" w:color="000000" w:fill="FFFFFF"/>
            <w:noWrap/>
            <w:vAlign w:val="center"/>
            <w:hideMark/>
          </w:tcPr>
          <w:p w14:paraId="6D174103" w14:textId="77777777" w:rsidR="009A4C46" w:rsidRPr="009A4C46" w:rsidRDefault="009A4C46" w:rsidP="009A4C46">
            <w:pPr>
              <w:spacing w:after="0" w:line="240" w:lineRule="auto"/>
              <w:jc w:val="center"/>
              <w:rPr>
                <w:rFonts w:eastAsia="Times New Roman"/>
                <w:lang w:eastAsia="ru-RU"/>
              </w:rPr>
            </w:pPr>
            <w:r w:rsidRPr="009A4C46">
              <w:rPr>
                <w:rFonts w:eastAsia="Times New Roman"/>
                <w:color w:val="000000"/>
                <w:lang w:eastAsia="ru-RU"/>
              </w:rPr>
              <w:t>1,56400</w:t>
            </w:r>
          </w:p>
        </w:tc>
      </w:tr>
      <w:tr w:rsidR="009A4C46" w:rsidRPr="009A4C46" w14:paraId="05370D5A" w14:textId="77777777" w:rsidTr="00070F3E">
        <w:trPr>
          <w:trHeight w:val="300"/>
        </w:trPr>
        <w:tc>
          <w:tcPr>
            <w:tcW w:w="935" w:type="pct"/>
            <w:tcBorders>
              <w:top w:val="nil"/>
              <w:left w:val="single" w:sz="4" w:space="0" w:color="auto"/>
              <w:bottom w:val="single" w:sz="4" w:space="0" w:color="auto"/>
              <w:right w:val="single" w:sz="4" w:space="0" w:color="auto"/>
            </w:tcBorders>
            <w:shd w:val="clear" w:color="auto" w:fill="auto"/>
            <w:noWrap/>
            <w:vAlign w:val="center"/>
            <w:hideMark/>
          </w:tcPr>
          <w:p w14:paraId="3AF930DC" w14:textId="77777777" w:rsidR="009A4C46" w:rsidRPr="009A4C46" w:rsidRDefault="009A4C46" w:rsidP="009A4C46">
            <w:pPr>
              <w:spacing w:after="0" w:line="240" w:lineRule="auto"/>
              <w:rPr>
                <w:rFonts w:eastAsia="Times New Roman"/>
                <w:lang w:eastAsia="ru-RU"/>
              </w:rPr>
            </w:pPr>
            <w:r w:rsidRPr="009A4C46">
              <w:rPr>
                <w:rFonts w:eastAsia="Times New Roman"/>
                <w:lang w:eastAsia="ru-RU"/>
              </w:rPr>
              <w:t>Категория 3*</w:t>
            </w:r>
          </w:p>
        </w:tc>
        <w:tc>
          <w:tcPr>
            <w:tcW w:w="737" w:type="pct"/>
            <w:tcBorders>
              <w:top w:val="nil"/>
              <w:left w:val="nil"/>
              <w:bottom w:val="single" w:sz="8" w:space="0" w:color="auto"/>
              <w:right w:val="single" w:sz="8" w:space="0" w:color="auto"/>
            </w:tcBorders>
            <w:shd w:val="clear" w:color="000000" w:fill="FFFFFF"/>
            <w:noWrap/>
            <w:vAlign w:val="center"/>
            <w:hideMark/>
          </w:tcPr>
          <w:p w14:paraId="04D4369A" w14:textId="77777777" w:rsidR="009A4C46" w:rsidRPr="009A4C46" w:rsidRDefault="009A4C46" w:rsidP="009A4C46">
            <w:pPr>
              <w:spacing w:after="0" w:line="276" w:lineRule="auto"/>
              <w:jc w:val="center"/>
              <w:rPr>
                <w:rFonts w:eastAsia="Times New Roman"/>
                <w:lang w:eastAsia="ru-RU"/>
              </w:rPr>
            </w:pPr>
            <w:r w:rsidRPr="009A4C46">
              <w:rPr>
                <w:rFonts w:eastAsia="Times New Roman"/>
                <w:color w:val="000000"/>
                <w:lang w:eastAsia="ru-RU"/>
              </w:rPr>
              <w:t> </w:t>
            </w:r>
          </w:p>
        </w:tc>
        <w:tc>
          <w:tcPr>
            <w:tcW w:w="657" w:type="pct"/>
            <w:tcBorders>
              <w:top w:val="nil"/>
              <w:left w:val="nil"/>
              <w:bottom w:val="single" w:sz="8" w:space="0" w:color="auto"/>
              <w:right w:val="single" w:sz="8" w:space="0" w:color="auto"/>
            </w:tcBorders>
            <w:shd w:val="clear" w:color="000000" w:fill="FFFFFF"/>
            <w:noWrap/>
            <w:vAlign w:val="center"/>
            <w:hideMark/>
          </w:tcPr>
          <w:p w14:paraId="5C3F5AC8" w14:textId="77777777" w:rsidR="009A4C46" w:rsidRPr="009A4C46" w:rsidRDefault="009A4C46" w:rsidP="009A4C46">
            <w:pPr>
              <w:spacing w:after="0" w:line="276" w:lineRule="auto"/>
              <w:jc w:val="center"/>
              <w:rPr>
                <w:rFonts w:eastAsia="Times New Roman"/>
                <w:lang w:eastAsia="ru-RU"/>
              </w:rPr>
            </w:pPr>
            <w:r w:rsidRPr="009A4C46">
              <w:rPr>
                <w:rFonts w:eastAsia="Times New Roman"/>
                <w:color w:val="000000"/>
                <w:lang w:eastAsia="ru-RU"/>
              </w:rPr>
              <w:t> </w:t>
            </w:r>
          </w:p>
        </w:tc>
        <w:tc>
          <w:tcPr>
            <w:tcW w:w="703" w:type="pct"/>
            <w:tcBorders>
              <w:top w:val="nil"/>
              <w:left w:val="nil"/>
              <w:bottom w:val="single" w:sz="8" w:space="0" w:color="auto"/>
              <w:right w:val="single" w:sz="8" w:space="0" w:color="auto"/>
            </w:tcBorders>
            <w:shd w:val="clear" w:color="000000" w:fill="FFFFFF"/>
            <w:noWrap/>
            <w:vAlign w:val="center"/>
            <w:hideMark/>
          </w:tcPr>
          <w:p w14:paraId="058A8446" w14:textId="77777777" w:rsidR="009A4C46" w:rsidRPr="009A4C46" w:rsidRDefault="009A4C46" w:rsidP="009A4C46">
            <w:pPr>
              <w:spacing w:after="0" w:line="240" w:lineRule="auto"/>
              <w:jc w:val="center"/>
              <w:rPr>
                <w:rFonts w:eastAsia="Times New Roman"/>
                <w:lang w:eastAsia="ru-RU"/>
              </w:rPr>
            </w:pPr>
            <w:r w:rsidRPr="009A4C46">
              <w:rPr>
                <w:rFonts w:eastAsia="Times New Roman"/>
                <w:color w:val="000000"/>
                <w:lang w:eastAsia="ru-RU"/>
              </w:rPr>
              <w:t>1,48847</w:t>
            </w:r>
          </w:p>
        </w:tc>
        <w:tc>
          <w:tcPr>
            <w:tcW w:w="655" w:type="pct"/>
            <w:tcBorders>
              <w:top w:val="nil"/>
              <w:left w:val="nil"/>
              <w:bottom w:val="single" w:sz="8" w:space="0" w:color="auto"/>
              <w:right w:val="single" w:sz="8" w:space="0" w:color="auto"/>
            </w:tcBorders>
            <w:shd w:val="clear" w:color="000000" w:fill="FFFFFF"/>
            <w:noWrap/>
            <w:vAlign w:val="center"/>
            <w:hideMark/>
          </w:tcPr>
          <w:p w14:paraId="2E012E33" w14:textId="77777777" w:rsidR="009A4C46" w:rsidRPr="009A4C46" w:rsidRDefault="009A4C46" w:rsidP="009A4C46">
            <w:pPr>
              <w:spacing w:after="0" w:line="276" w:lineRule="auto"/>
              <w:jc w:val="center"/>
              <w:rPr>
                <w:rFonts w:eastAsia="Times New Roman"/>
                <w:lang w:eastAsia="ru-RU"/>
              </w:rPr>
            </w:pPr>
            <w:r w:rsidRPr="009A4C46">
              <w:rPr>
                <w:rFonts w:eastAsia="Times New Roman"/>
                <w:color w:val="000000"/>
                <w:lang w:eastAsia="ru-RU"/>
              </w:rPr>
              <w:t> </w:t>
            </w:r>
          </w:p>
        </w:tc>
        <w:tc>
          <w:tcPr>
            <w:tcW w:w="703" w:type="pct"/>
            <w:tcBorders>
              <w:top w:val="nil"/>
              <w:left w:val="nil"/>
              <w:bottom w:val="single" w:sz="8" w:space="0" w:color="auto"/>
              <w:right w:val="single" w:sz="8" w:space="0" w:color="auto"/>
            </w:tcBorders>
            <w:shd w:val="clear" w:color="000000" w:fill="FFFFFF"/>
            <w:noWrap/>
            <w:vAlign w:val="center"/>
            <w:hideMark/>
          </w:tcPr>
          <w:p w14:paraId="7E5619EA" w14:textId="77777777" w:rsidR="009A4C46" w:rsidRPr="009A4C46" w:rsidRDefault="009A4C46" w:rsidP="009A4C46">
            <w:pPr>
              <w:spacing w:after="0" w:line="276" w:lineRule="auto"/>
              <w:jc w:val="center"/>
              <w:rPr>
                <w:rFonts w:eastAsia="Times New Roman"/>
                <w:lang w:eastAsia="ru-RU"/>
              </w:rPr>
            </w:pPr>
            <w:r w:rsidRPr="009A4C46">
              <w:rPr>
                <w:rFonts w:eastAsia="Times New Roman"/>
                <w:color w:val="000000"/>
                <w:lang w:eastAsia="ru-RU"/>
              </w:rPr>
              <w:t> </w:t>
            </w:r>
          </w:p>
        </w:tc>
        <w:tc>
          <w:tcPr>
            <w:tcW w:w="608" w:type="pct"/>
            <w:tcBorders>
              <w:top w:val="nil"/>
              <w:left w:val="nil"/>
              <w:bottom w:val="single" w:sz="8" w:space="0" w:color="auto"/>
              <w:right w:val="single" w:sz="8" w:space="0" w:color="auto"/>
            </w:tcBorders>
            <w:shd w:val="clear" w:color="000000" w:fill="FFFFFF"/>
            <w:noWrap/>
            <w:vAlign w:val="center"/>
            <w:hideMark/>
          </w:tcPr>
          <w:p w14:paraId="482D1979" w14:textId="77777777" w:rsidR="009A4C46" w:rsidRPr="009A4C46" w:rsidRDefault="009A4C46" w:rsidP="009A4C46">
            <w:pPr>
              <w:spacing w:after="0" w:line="240" w:lineRule="auto"/>
              <w:jc w:val="center"/>
              <w:rPr>
                <w:rFonts w:eastAsia="Times New Roman"/>
                <w:lang w:eastAsia="ru-RU"/>
              </w:rPr>
            </w:pPr>
            <w:r w:rsidRPr="009A4C46">
              <w:rPr>
                <w:rFonts w:eastAsia="Times New Roman"/>
                <w:color w:val="000000"/>
                <w:lang w:eastAsia="ru-RU"/>
              </w:rPr>
              <w:t>1,56400</w:t>
            </w:r>
          </w:p>
        </w:tc>
      </w:tr>
      <w:tr w:rsidR="009A4C46" w:rsidRPr="009A4C46" w14:paraId="56132A05" w14:textId="77777777" w:rsidTr="00070F3E">
        <w:trPr>
          <w:trHeight w:val="300"/>
        </w:trPr>
        <w:tc>
          <w:tcPr>
            <w:tcW w:w="935" w:type="pct"/>
            <w:tcBorders>
              <w:top w:val="nil"/>
              <w:left w:val="single" w:sz="4" w:space="0" w:color="auto"/>
              <w:bottom w:val="single" w:sz="4" w:space="0" w:color="auto"/>
              <w:right w:val="single" w:sz="4" w:space="0" w:color="auto"/>
            </w:tcBorders>
            <w:shd w:val="clear" w:color="auto" w:fill="auto"/>
            <w:noWrap/>
            <w:vAlign w:val="center"/>
            <w:hideMark/>
          </w:tcPr>
          <w:p w14:paraId="2C07F9BB" w14:textId="77777777" w:rsidR="009A4C46" w:rsidRPr="009A4C46" w:rsidRDefault="009A4C46" w:rsidP="009A4C46">
            <w:pPr>
              <w:spacing w:after="0" w:line="240" w:lineRule="auto"/>
              <w:rPr>
                <w:rFonts w:eastAsia="Times New Roman"/>
                <w:lang w:eastAsia="ru-RU"/>
              </w:rPr>
            </w:pPr>
            <w:r w:rsidRPr="009A4C46">
              <w:rPr>
                <w:rFonts w:eastAsia="Times New Roman"/>
                <w:lang w:eastAsia="ru-RU"/>
              </w:rPr>
              <w:t>Категория 4.1*</w:t>
            </w:r>
          </w:p>
        </w:tc>
        <w:tc>
          <w:tcPr>
            <w:tcW w:w="737" w:type="pct"/>
            <w:tcBorders>
              <w:top w:val="nil"/>
              <w:left w:val="nil"/>
              <w:bottom w:val="single" w:sz="8" w:space="0" w:color="auto"/>
              <w:right w:val="single" w:sz="8" w:space="0" w:color="auto"/>
            </w:tcBorders>
            <w:shd w:val="clear" w:color="000000" w:fill="FFFFFF"/>
            <w:noWrap/>
            <w:vAlign w:val="center"/>
            <w:hideMark/>
          </w:tcPr>
          <w:p w14:paraId="49045213" w14:textId="77777777" w:rsidR="009A4C46" w:rsidRPr="009A4C46" w:rsidRDefault="009A4C46" w:rsidP="009A4C46">
            <w:pPr>
              <w:spacing w:after="0" w:line="276" w:lineRule="auto"/>
              <w:jc w:val="center"/>
              <w:rPr>
                <w:rFonts w:eastAsia="Times New Roman"/>
                <w:lang w:eastAsia="ru-RU"/>
              </w:rPr>
            </w:pPr>
            <w:r w:rsidRPr="009A4C46">
              <w:rPr>
                <w:rFonts w:eastAsia="Times New Roman"/>
                <w:color w:val="000000"/>
                <w:lang w:eastAsia="ru-RU"/>
              </w:rPr>
              <w:t> </w:t>
            </w:r>
          </w:p>
        </w:tc>
        <w:tc>
          <w:tcPr>
            <w:tcW w:w="657" w:type="pct"/>
            <w:tcBorders>
              <w:top w:val="nil"/>
              <w:left w:val="nil"/>
              <w:bottom w:val="single" w:sz="8" w:space="0" w:color="auto"/>
              <w:right w:val="single" w:sz="8" w:space="0" w:color="auto"/>
            </w:tcBorders>
            <w:shd w:val="clear" w:color="000000" w:fill="FFFFFF"/>
            <w:noWrap/>
            <w:vAlign w:val="center"/>
            <w:hideMark/>
          </w:tcPr>
          <w:p w14:paraId="45CD8642" w14:textId="77777777" w:rsidR="009A4C46" w:rsidRPr="009A4C46" w:rsidRDefault="009A4C46" w:rsidP="009A4C46">
            <w:pPr>
              <w:spacing w:after="0" w:line="276" w:lineRule="auto"/>
              <w:jc w:val="center"/>
              <w:rPr>
                <w:rFonts w:eastAsia="Times New Roman"/>
                <w:lang w:eastAsia="ru-RU"/>
              </w:rPr>
            </w:pPr>
            <w:r w:rsidRPr="009A4C46">
              <w:rPr>
                <w:rFonts w:eastAsia="Times New Roman"/>
                <w:color w:val="000000"/>
                <w:lang w:eastAsia="ru-RU"/>
              </w:rPr>
              <w:t> </w:t>
            </w:r>
          </w:p>
        </w:tc>
        <w:tc>
          <w:tcPr>
            <w:tcW w:w="703" w:type="pct"/>
            <w:tcBorders>
              <w:top w:val="nil"/>
              <w:left w:val="nil"/>
              <w:bottom w:val="single" w:sz="8" w:space="0" w:color="auto"/>
              <w:right w:val="single" w:sz="8" w:space="0" w:color="auto"/>
            </w:tcBorders>
            <w:shd w:val="clear" w:color="000000" w:fill="FFFFFF"/>
            <w:noWrap/>
            <w:vAlign w:val="center"/>
            <w:hideMark/>
          </w:tcPr>
          <w:p w14:paraId="78A46645" w14:textId="77777777" w:rsidR="009A4C46" w:rsidRPr="009A4C46" w:rsidRDefault="009A4C46" w:rsidP="009A4C46">
            <w:pPr>
              <w:spacing w:after="0" w:line="240" w:lineRule="auto"/>
              <w:jc w:val="center"/>
              <w:rPr>
                <w:rFonts w:eastAsia="Times New Roman"/>
                <w:lang w:eastAsia="ru-RU"/>
              </w:rPr>
            </w:pPr>
            <w:r w:rsidRPr="009A4C46">
              <w:rPr>
                <w:rFonts w:eastAsia="Times New Roman"/>
                <w:color w:val="000000"/>
                <w:lang w:eastAsia="ru-RU"/>
              </w:rPr>
              <w:t>1,48847</w:t>
            </w:r>
          </w:p>
        </w:tc>
        <w:tc>
          <w:tcPr>
            <w:tcW w:w="655" w:type="pct"/>
            <w:tcBorders>
              <w:top w:val="nil"/>
              <w:left w:val="nil"/>
              <w:bottom w:val="single" w:sz="8" w:space="0" w:color="auto"/>
              <w:right w:val="single" w:sz="8" w:space="0" w:color="auto"/>
            </w:tcBorders>
            <w:shd w:val="clear" w:color="000000" w:fill="FFFFFF"/>
            <w:noWrap/>
            <w:vAlign w:val="center"/>
            <w:hideMark/>
          </w:tcPr>
          <w:p w14:paraId="55F44C2B" w14:textId="77777777" w:rsidR="009A4C46" w:rsidRPr="009A4C46" w:rsidRDefault="009A4C46" w:rsidP="009A4C46">
            <w:pPr>
              <w:spacing w:after="0" w:line="276" w:lineRule="auto"/>
              <w:jc w:val="center"/>
              <w:rPr>
                <w:rFonts w:eastAsia="Times New Roman"/>
                <w:lang w:eastAsia="ru-RU"/>
              </w:rPr>
            </w:pPr>
            <w:r w:rsidRPr="009A4C46">
              <w:rPr>
                <w:rFonts w:eastAsia="Times New Roman"/>
                <w:color w:val="000000"/>
                <w:lang w:eastAsia="ru-RU"/>
              </w:rPr>
              <w:t> </w:t>
            </w:r>
          </w:p>
        </w:tc>
        <w:tc>
          <w:tcPr>
            <w:tcW w:w="703" w:type="pct"/>
            <w:tcBorders>
              <w:top w:val="nil"/>
              <w:left w:val="nil"/>
              <w:bottom w:val="single" w:sz="8" w:space="0" w:color="auto"/>
              <w:right w:val="single" w:sz="8" w:space="0" w:color="auto"/>
            </w:tcBorders>
            <w:shd w:val="clear" w:color="000000" w:fill="FFFFFF"/>
            <w:noWrap/>
            <w:vAlign w:val="center"/>
            <w:hideMark/>
          </w:tcPr>
          <w:p w14:paraId="181AE511" w14:textId="77777777" w:rsidR="009A4C46" w:rsidRPr="009A4C46" w:rsidRDefault="009A4C46" w:rsidP="009A4C46">
            <w:pPr>
              <w:spacing w:after="0" w:line="276" w:lineRule="auto"/>
              <w:jc w:val="center"/>
              <w:rPr>
                <w:rFonts w:eastAsia="Times New Roman"/>
                <w:lang w:eastAsia="ru-RU"/>
              </w:rPr>
            </w:pPr>
            <w:r w:rsidRPr="009A4C46">
              <w:rPr>
                <w:rFonts w:eastAsia="Times New Roman"/>
                <w:color w:val="000000"/>
                <w:lang w:eastAsia="ru-RU"/>
              </w:rPr>
              <w:t> </w:t>
            </w:r>
          </w:p>
        </w:tc>
        <w:tc>
          <w:tcPr>
            <w:tcW w:w="608" w:type="pct"/>
            <w:tcBorders>
              <w:top w:val="nil"/>
              <w:left w:val="nil"/>
              <w:bottom w:val="single" w:sz="8" w:space="0" w:color="auto"/>
              <w:right w:val="single" w:sz="8" w:space="0" w:color="auto"/>
            </w:tcBorders>
            <w:shd w:val="clear" w:color="000000" w:fill="FFFFFF"/>
            <w:noWrap/>
            <w:vAlign w:val="center"/>
            <w:hideMark/>
          </w:tcPr>
          <w:p w14:paraId="5AD26FAD" w14:textId="77777777" w:rsidR="009A4C46" w:rsidRPr="009A4C46" w:rsidRDefault="009A4C46" w:rsidP="009A4C46">
            <w:pPr>
              <w:spacing w:after="0" w:line="240" w:lineRule="auto"/>
              <w:jc w:val="center"/>
              <w:rPr>
                <w:rFonts w:eastAsia="Times New Roman"/>
                <w:lang w:eastAsia="ru-RU"/>
              </w:rPr>
            </w:pPr>
            <w:r w:rsidRPr="009A4C46">
              <w:rPr>
                <w:rFonts w:eastAsia="Times New Roman"/>
                <w:color w:val="000000"/>
                <w:lang w:eastAsia="ru-RU"/>
              </w:rPr>
              <w:t>1,56400</w:t>
            </w:r>
          </w:p>
        </w:tc>
      </w:tr>
      <w:tr w:rsidR="009A4C46" w:rsidRPr="009A4C46" w14:paraId="2B061C0B" w14:textId="77777777" w:rsidTr="00070F3E">
        <w:trPr>
          <w:trHeight w:val="300"/>
        </w:trPr>
        <w:tc>
          <w:tcPr>
            <w:tcW w:w="935" w:type="pct"/>
            <w:tcBorders>
              <w:top w:val="nil"/>
              <w:left w:val="single" w:sz="4" w:space="0" w:color="auto"/>
              <w:bottom w:val="single" w:sz="4" w:space="0" w:color="auto"/>
              <w:right w:val="single" w:sz="4" w:space="0" w:color="auto"/>
            </w:tcBorders>
            <w:shd w:val="clear" w:color="auto" w:fill="auto"/>
            <w:noWrap/>
            <w:vAlign w:val="center"/>
            <w:hideMark/>
          </w:tcPr>
          <w:p w14:paraId="383FEA6B" w14:textId="77777777" w:rsidR="009A4C46" w:rsidRPr="009A4C46" w:rsidRDefault="009A4C46" w:rsidP="009A4C46">
            <w:pPr>
              <w:spacing w:after="0" w:line="240" w:lineRule="auto"/>
              <w:rPr>
                <w:rFonts w:eastAsia="Times New Roman"/>
                <w:lang w:eastAsia="ru-RU"/>
              </w:rPr>
            </w:pPr>
            <w:r w:rsidRPr="009A4C46">
              <w:rPr>
                <w:rFonts w:eastAsia="Times New Roman"/>
                <w:lang w:eastAsia="ru-RU"/>
              </w:rPr>
              <w:t>Категория 4.2*</w:t>
            </w:r>
          </w:p>
        </w:tc>
        <w:tc>
          <w:tcPr>
            <w:tcW w:w="737" w:type="pct"/>
            <w:tcBorders>
              <w:top w:val="nil"/>
              <w:left w:val="nil"/>
              <w:bottom w:val="single" w:sz="8" w:space="0" w:color="auto"/>
              <w:right w:val="single" w:sz="8" w:space="0" w:color="auto"/>
            </w:tcBorders>
            <w:shd w:val="clear" w:color="000000" w:fill="FFFFFF"/>
            <w:noWrap/>
            <w:vAlign w:val="center"/>
            <w:hideMark/>
          </w:tcPr>
          <w:p w14:paraId="0710D43B" w14:textId="77777777" w:rsidR="009A4C46" w:rsidRPr="009A4C46" w:rsidRDefault="009A4C46" w:rsidP="009A4C46">
            <w:pPr>
              <w:spacing w:after="0" w:line="276" w:lineRule="auto"/>
              <w:jc w:val="center"/>
              <w:rPr>
                <w:rFonts w:eastAsia="Times New Roman"/>
                <w:lang w:eastAsia="ru-RU"/>
              </w:rPr>
            </w:pPr>
            <w:r w:rsidRPr="009A4C46">
              <w:rPr>
                <w:rFonts w:eastAsia="Times New Roman"/>
                <w:color w:val="000000"/>
                <w:lang w:eastAsia="ru-RU"/>
              </w:rPr>
              <w:t> </w:t>
            </w:r>
          </w:p>
        </w:tc>
        <w:tc>
          <w:tcPr>
            <w:tcW w:w="657" w:type="pct"/>
            <w:tcBorders>
              <w:top w:val="nil"/>
              <w:left w:val="nil"/>
              <w:bottom w:val="single" w:sz="8" w:space="0" w:color="auto"/>
              <w:right w:val="single" w:sz="8" w:space="0" w:color="auto"/>
            </w:tcBorders>
            <w:shd w:val="clear" w:color="000000" w:fill="FFFFFF"/>
            <w:noWrap/>
            <w:vAlign w:val="center"/>
            <w:hideMark/>
          </w:tcPr>
          <w:p w14:paraId="2BAA883E" w14:textId="77777777" w:rsidR="009A4C46" w:rsidRPr="009A4C46" w:rsidRDefault="009A4C46" w:rsidP="009A4C46">
            <w:pPr>
              <w:spacing w:after="0" w:line="276" w:lineRule="auto"/>
              <w:jc w:val="center"/>
              <w:rPr>
                <w:rFonts w:eastAsia="Times New Roman"/>
                <w:lang w:eastAsia="ru-RU"/>
              </w:rPr>
            </w:pPr>
            <w:r w:rsidRPr="009A4C46">
              <w:rPr>
                <w:rFonts w:eastAsia="Times New Roman"/>
                <w:color w:val="000000"/>
                <w:lang w:eastAsia="ru-RU"/>
              </w:rPr>
              <w:t> </w:t>
            </w:r>
          </w:p>
        </w:tc>
        <w:tc>
          <w:tcPr>
            <w:tcW w:w="703" w:type="pct"/>
            <w:tcBorders>
              <w:top w:val="nil"/>
              <w:left w:val="nil"/>
              <w:bottom w:val="single" w:sz="8" w:space="0" w:color="auto"/>
              <w:right w:val="single" w:sz="8" w:space="0" w:color="auto"/>
            </w:tcBorders>
            <w:shd w:val="clear" w:color="000000" w:fill="FFFFFF"/>
            <w:noWrap/>
            <w:vAlign w:val="center"/>
            <w:hideMark/>
          </w:tcPr>
          <w:p w14:paraId="48397DD4" w14:textId="77777777" w:rsidR="009A4C46" w:rsidRPr="009A4C46" w:rsidRDefault="009A4C46" w:rsidP="009A4C46">
            <w:pPr>
              <w:spacing w:after="0" w:line="240" w:lineRule="auto"/>
              <w:jc w:val="center"/>
              <w:rPr>
                <w:rFonts w:eastAsia="Times New Roman"/>
                <w:lang w:eastAsia="ru-RU"/>
              </w:rPr>
            </w:pPr>
            <w:r w:rsidRPr="009A4C46">
              <w:rPr>
                <w:rFonts w:eastAsia="Times New Roman"/>
                <w:color w:val="000000"/>
                <w:lang w:eastAsia="ru-RU"/>
              </w:rPr>
              <w:t>2,32745</w:t>
            </w:r>
          </w:p>
        </w:tc>
        <w:tc>
          <w:tcPr>
            <w:tcW w:w="655" w:type="pct"/>
            <w:tcBorders>
              <w:top w:val="nil"/>
              <w:left w:val="nil"/>
              <w:bottom w:val="single" w:sz="8" w:space="0" w:color="auto"/>
              <w:right w:val="single" w:sz="8" w:space="0" w:color="auto"/>
            </w:tcBorders>
            <w:shd w:val="clear" w:color="000000" w:fill="FFFFFF"/>
            <w:noWrap/>
            <w:vAlign w:val="center"/>
            <w:hideMark/>
          </w:tcPr>
          <w:p w14:paraId="609CF68B" w14:textId="77777777" w:rsidR="009A4C46" w:rsidRPr="009A4C46" w:rsidRDefault="009A4C46" w:rsidP="009A4C46">
            <w:pPr>
              <w:spacing w:after="0" w:line="276" w:lineRule="auto"/>
              <w:jc w:val="center"/>
              <w:rPr>
                <w:rFonts w:eastAsia="Times New Roman"/>
                <w:lang w:eastAsia="ru-RU"/>
              </w:rPr>
            </w:pPr>
            <w:r w:rsidRPr="009A4C46">
              <w:rPr>
                <w:rFonts w:eastAsia="Times New Roman"/>
                <w:color w:val="000000"/>
                <w:lang w:eastAsia="ru-RU"/>
              </w:rPr>
              <w:t> </w:t>
            </w:r>
          </w:p>
        </w:tc>
        <w:tc>
          <w:tcPr>
            <w:tcW w:w="703" w:type="pct"/>
            <w:tcBorders>
              <w:top w:val="nil"/>
              <w:left w:val="nil"/>
              <w:bottom w:val="single" w:sz="8" w:space="0" w:color="auto"/>
              <w:right w:val="single" w:sz="8" w:space="0" w:color="auto"/>
            </w:tcBorders>
            <w:shd w:val="clear" w:color="000000" w:fill="FFFFFF"/>
            <w:noWrap/>
            <w:vAlign w:val="center"/>
            <w:hideMark/>
          </w:tcPr>
          <w:p w14:paraId="00AB2C1C" w14:textId="77777777" w:rsidR="009A4C46" w:rsidRPr="009A4C46" w:rsidRDefault="009A4C46" w:rsidP="009A4C46">
            <w:pPr>
              <w:spacing w:after="0" w:line="276" w:lineRule="auto"/>
              <w:jc w:val="center"/>
              <w:rPr>
                <w:rFonts w:eastAsia="Times New Roman"/>
                <w:lang w:eastAsia="ru-RU"/>
              </w:rPr>
            </w:pPr>
            <w:r w:rsidRPr="009A4C46">
              <w:rPr>
                <w:rFonts w:eastAsia="Times New Roman"/>
                <w:color w:val="000000"/>
                <w:lang w:eastAsia="ru-RU"/>
              </w:rPr>
              <w:t> </w:t>
            </w:r>
          </w:p>
        </w:tc>
        <w:tc>
          <w:tcPr>
            <w:tcW w:w="608" w:type="pct"/>
            <w:tcBorders>
              <w:top w:val="nil"/>
              <w:left w:val="nil"/>
              <w:bottom w:val="single" w:sz="8" w:space="0" w:color="auto"/>
              <w:right w:val="single" w:sz="8" w:space="0" w:color="auto"/>
            </w:tcBorders>
            <w:shd w:val="clear" w:color="000000" w:fill="FFFFFF"/>
            <w:noWrap/>
            <w:vAlign w:val="center"/>
            <w:hideMark/>
          </w:tcPr>
          <w:p w14:paraId="41C7DA14" w14:textId="77777777" w:rsidR="009A4C46" w:rsidRPr="009A4C46" w:rsidRDefault="009A4C46" w:rsidP="009A4C46">
            <w:pPr>
              <w:spacing w:after="0" w:line="240" w:lineRule="auto"/>
              <w:jc w:val="center"/>
              <w:rPr>
                <w:rFonts w:eastAsia="Times New Roman"/>
                <w:lang w:eastAsia="ru-RU"/>
              </w:rPr>
            </w:pPr>
            <w:r w:rsidRPr="009A4C46">
              <w:rPr>
                <w:rFonts w:eastAsia="Times New Roman"/>
                <w:color w:val="000000"/>
                <w:lang w:eastAsia="ru-RU"/>
              </w:rPr>
              <w:t>2,44536</w:t>
            </w:r>
          </w:p>
        </w:tc>
      </w:tr>
      <w:tr w:rsidR="009A4C46" w:rsidRPr="009A4C46" w14:paraId="044129D8" w14:textId="77777777" w:rsidTr="00070F3E">
        <w:trPr>
          <w:trHeight w:val="300"/>
        </w:trPr>
        <w:tc>
          <w:tcPr>
            <w:tcW w:w="935" w:type="pct"/>
            <w:tcBorders>
              <w:top w:val="nil"/>
              <w:left w:val="single" w:sz="4" w:space="0" w:color="auto"/>
              <w:bottom w:val="single" w:sz="4" w:space="0" w:color="auto"/>
              <w:right w:val="single" w:sz="4" w:space="0" w:color="auto"/>
            </w:tcBorders>
            <w:shd w:val="clear" w:color="auto" w:fill="auto"/>
            <w:noWrap/>
            <w:vAlign w:val="center"/>
            <w:hideMark/>
          </w:tcPr>
          <w:p w14:paraId="246E8AB8" w14:textId="77777777" w:rsidR="009A4C46" w:rsidRPr="009A4C46" w:rsidRDefault="009A4C46" w:rsidP="009A4C46">
            <w:pPr>
              <w:spacing w:after="0" w:line="240" w:lineRule="auto"/>
              <w:rPr>
                <w:rFonts w:eastAsia="Times New Roman"/>
                <w:lang w:eastAsia="ru-RU"/>
              </w:rPr>
            </w:pPr>
            <w:r w:rsidRPr="009A4C46">
              <w:rPr>
                <w:rFonts w:eastAsia="Times New Roman"/>
                <w:lang w:eastAsia="ru-RU"/>
              </w:rPr>
              <w:t>Категория 4.3*</w:t>
            </w:r>
          </w:p>
        </w:tc>
        <w:tc>
          <w:tcPr>
            <w:tcW w:w="737" w:type="pct"/>
            <w:tcBorders>
              <w:top w:val="nil"/>
              <w:left w:val="nil"/>
              <w:bottom w:val="single" w:sz="8" w:space="0" w:color="auto"/>
              <w:right w:val="single" w:sz="8" w:space="0" w:color="auto"/>
            </w:tcBorders>
            <w:shd w:val="clear" w:color="000000" w:fill="FFFFFF"/>
            <w:noWrap/>
            <w:vAlign w:val="center"/>
            <w:hideMark/>
          </w:tcPr>
          <w:p w14:paraId="3FCC7B94" w14:textId="77777777" w:rsidR="009A4C46" w:rsidRPr="009A4C46" w:rsidRDefault="009A4C46" w:rsidP="009A4C46">
            <w:pPr>
              <w:spacing w:after="0" w:line="276" w:lineRule="auto"/>
              <w:jc w:val="center"/>
              <w:rPr>
                <w:rFonts w:eastAsia="Times New Roman"/>
                <w:lang w:eastAsia="ru-RU"/>
              </w:rPr>
            </w:pPr>
            <w:r w:rsidRPr="009A4C46">
              <w:rPr>
                <w:rFonts w:eastAsia="Times New Roman"/>
                <w:color w:val="000000"/>
                <w:lang w:eastAsia="ru-RU"/>
              </w:rPr>
              <w:t> </w:t>
            </w:r>
          </w:p>
        </w:tc>
        <w:tc>
          <w:tcPr>
            <w:tcW w:w="657" w:type="pct"/>
            <w:tcBorders>
              <w:top w:val="nil"/>
              <w:left w:val="nil"/>
              <w:bottom w:val="single" w:sz="8" w:space="0" w:color="auto"/>
              <w:right w:val="single" w:sz="8" w:space="0" w:color="auto"/>
            </w:tcBorders>
            <w:shd w:val="clear" w:color="000000" w:fill="FFFFFF"/>
            <w:noWrap/>
            <w:vAlign w:val="center"/>
            <w:hideMark/>
          </w:tcPr>
          <w:p w14:paraId="22ADA23A" w14:textId="77777777" w:rsidR="009A4C46" w:rsidRPr="009A4C46" w:rsidRDefault="009A4C46" w:rsidP="009A4C46">
            <w:pPr>
              <w:spacing w:after="0" w:line="276" w:lineRule="auto"/>
              <w:jc w:val="center"/>
              <w:rPr>
                <w:rFonts w:eastAsia="Times New Roman"/>
                <w:lang w:eastAsia="ru-RU"/>
              </w:rPr>
            </w:pPr>
            <w:r w:rsidRPr="009A4C46">
              <w:rPr>
                <w:rFonts w:eastAsia="Times New Roman"/>
                <w:color w:val="000000"/>
                <w:lang w:eastAsia="ru-RU"/>
              </w:rPr>
              <w:t> </w:t>
            </w:r>
          </w:p>
        </w:tc>
        <w:tc>
          <w:tcPr>
            <w:tcW w:w="703" w:type="pct"/>
            <w:tcBorders>
              <w:top w:val="nil"/>
              <w:left w:val="nil"/>
              <w:bottom w:val="single" w:sz="8" w:space="0" w:color="auto"/>
              <w:right w:val="single" w:sz="8" w:space="0" w:color="auto"/>
            </w:tcBorders>
            <w:shd w:val="clear" w:color="000000" w:fill="FFFFFF"/>
            <w:noWrap/>
            <w:vAlign w:val="center"/>
            <w:hideMark/>
          </w:tcPr>
          <w:p w14:paraId="7A354D27" w14:textId="77777777" w:rsidR="009A4C46" w:rsidRPr="009A4C46" w:rsidRDefault="009A4C46" w:rsidP="009A4C46">
            <w:pPr>
              <w:spacing w:after="0" w:line="240" w:lineRule="auto"/>
              <w:jc w:val="center"/>
              <w:rPr>
                <w:rFonts w:eastAsia="Times New Roman"/>
                <w:lang w:eastAsia="ru-RU"/>
              </w:rPr>
            </w:pPr>
            <w:r w:rsidRPr="009A4C46">
              <w:rPr>
                <w:rFonts w:eastAsia="Times New Roman"/>
                <w:color w:val="000000"/>
                <w:lang w:eastAsia="ru-RU"/>
              </w:rPr>
              <w:t>2,32745</w:t>
            </w:r>
          </w:p>
        </w:tc>
        <w:tc>
          <w:tcPr>
            <w:tcW w:w="655" w:type="pct"/>
            <w:tcBorders>
              <w:top w:val="nil"/>
              <w:left w:val="nil"/>
              <w:bottom w:val="single" w:sz="8" w:space="0" w:color="auto"/>
              <w:right w:val="single" w:sz="8" w:space="0" w:color="auto"/>
            </w:tcBorders>
            <w:shd w:val="clear" w:color="000000" w:fill="FFFFFF"/>
            <w:noWrap/>
            <w:vAlign w:val="center"/>
            <w:hideMark/>
          </w:tcPr>
          <w:p w14:paraId="69DDD94F" w14:textId="77777777" w:rsidR="009A4C46" w:rsidRPr="009A4C46" w:rsidRDefault="009A4C46" w:rsidP="009A4C46">
            <w:pPr>
              <w:spacing w:after="0" w:line="276" w:lineRule="auto"/>
              <w:jc w:val="center"/>
              <w:rPr>
                <w:rFonts w:eastAsia="Times New Roman"/>
                <w:lang w:eastAsia="ru-RU"/>
              </w:rPr>
            </w:pPr>
            <w:r w:rsidRPr="009A4C46">
              <w:rPr>
                <w:rFonts w:eastAsia="Times New Roman"/>
                <w:color w:val="000000"/>
                <w:lang w:eastAsia="ru-RU"/>
              </w:rPr>
              <w:t> </w:t>
            </w:r>
          </w:p>
        </w:tc>
        <w:tc>
          <w:tcPr>
            <w:tcW w:w="703" w:type="pct"/>
            <w:tcBorders>
              <w:top w:val="nil"/>
              <w:left w:val="nil"/>
              <w:bottom w:val="single" w:sz="8" w:space="0" w:color="auto"/>
              <w:right w:val="single" w:sz="8" w:space="0" w:color="auto"/>
            </w:tcBorders>
            <w:shd w:val="clear" w:color="000000" w:fill="FFFFFF"/>
            <w:noWrap/>
            <w:vAlign w:val="center"/>
            <w:hideMark/>
          </w:tcPr>
          <w:p w14:paraId="7EE6AD8C" w14:textId="77777777" w:rsidR="009A4C46" w:rsidRPr="009A4C46" w:rsidRDefault="009A4C46" w:rsidP="009A4C46">
            <w:pPr>
              <w:spacing w:after="0" w:line="276" w:lineRule="auto"/>
              <w:jc w:val="center"/>
              <w:rPr>
                <w:rFonts w:eastAsia="Times New Roman"/>
                <w:lang w:eastAsia="ru-RU"/>
              </w:rPr>
            </w:pPr>
            <w:r w:rsidRPr="009A4C46">
              <w:rPr>
                <w:rFonts w:eastAsia="Times New Roman"/>
                <w:color w:val="000000"/>
                <w:lang w:eastAsia="ru-RU"/>
              </w:rPr>
              <w:t> </w:t>
            </w:r>
          </w:p>
        </w:tc>
        <w:tc>
          <w:tcPr>
            <w:tcW w:w="608" w:type="pct"/>
            <w:tcBorders>
              <w:top w:val="nil"/>
              <w:left w:val="nil"/>
              <w:bottom w:val="single" w:sz="8" w:space="0" w:color="auto"/>
              <w:right w:val="single" w:sz="8" w:space="0" w:color="auto"/>
            </w:tcBorders>
            <w:shd w:val="clear" w:color="000000" w:fill="FFFFFF"/>
            <w:noWrap/>
            <w:vAlign w:val="center"/>
            <w:hideMark/>
          </w:tcPr>
          <w:p w14:paraId="729CCBBE" w14:textId="77777777" w:rsidR="009A4C46" w:rsidRPr="009A4C46" w:rsidRDefault="009A4C46" w:rsidP="009A4C46">
            <w:pPr>
              <w:spacing w:after="0" w:line="240" w:lineRule="auto"/>
              <w:jc w:val="center"/>
              <w:rPr>
                <w:rFonts w:eastAsia="Times New Roman"/>
                <w:lang w:eastAsia="ru-RU"/>
              </w:rPr>
            </w:pPr>
            <w:r w:rsidRPr="009A4C46">
              <w:rPr>
                <w:rFonts w:eastAsia="Times New Roman"/>
                <w:color w:val="000000"/>
                <w:lang w:eastAsia="ru-RU"/>
              </w:rPr>
              <w:t>2,44536</w:t>
            </w:r>
          </w:p>
        </w:tc>
      </w:tr>
      <w:tr w:rsidR="009A4C46" w:rsidRPr="009A4C46" w14:paraId="2853CEAF" w14:textId="77777777" w:rsidTr="00070F3E">
        <w:trPr>
          <w:trHeight w:val="300"/>
        </w:trPr>
        <w:tc>
          <w:tcPr>
            <w:tcW w:w="935" w:type="pct"/>
            <w:tcBorders>
              <w:top w:val="nil"/>
              <w:left w:val="single" w:sz="4" w:space="0" w:color="auto"/>
              <w:bottom w:val="single" w:sz="4" w:space="0" w:color="auto"/>
              <w:right w:val="single" w:sz="4" w:space="0" w:color="auto"/>
            </w:tcBorders>
            <w:shd w:val="clear" w:color="auto" w:fill="auto"/>
            <w:noWrap/>
            <w:vAlign w:val="center"/>
            <w:hideMark/>
          </w:tcPr>
          <w:p w14:paraId="52EEF3A6" w14:textId="77777777" w:rsidR="009A4C46" w:rsidRPr="009A4C46" w:rsidRDefault="009A4C46" w:rsidP="009A4C46">
            <w:pPr>
              <w:spacing w:after="0" w:line="240" w:lineRule="auto"/>
              <w:rPr>
                <w:rFonts w:eastAsia="Times New Roman"/>
                <w:lang w:eastAsia="ru-RU"/>
              </w:rPr>
            </w:pPr>
            <w:r w:rsidRPr="009A4C46">
              <w:rPr>
                <w:rFonts w:eastAsia="Times New Roman"/>
                <w:lang w:eastAsia="ru-RU"/>
              </w:rPr>
              <w:t>Категория 4.4*</w:t>
            </w:r>
          </w:p>
        </w:tc>
        <w:tc>
          <w:tcPr>
            <w:tcW w:w="737" w:type="pct"/>
            <w:tcBorders>
              <w:top w:val="nil"/>
              <w:left w:val="nil"/>
              <w:bottom w:val="single" w:sz="8" w:space="0" w:color="auto"/>
              <w:right w:val="single" w:sz="8" w:space="0" w:color="auto"/>
            </w:tcBorders>
            <w:shd w:val="clear" w:color="000000" w:fill="FFFFFF"/>
            <w:noWrap/>
            <w:vAlign w:val="center"/>
            <w:hideMark/>
          </w:tcPr>
          <w:p w14:paraId="3405F947" w14:textId="77777777" w:rsidR="009A4C46" w:rsidRPr="009A4C46" w:rsidRDefault="009A4C46" w:rsidP="009A4C46">
            <w:pPr>
              <w:spacing w:after="0" w:line="276" w:lineRule="auto"/>
              <w:rPr>
                <w:rFonts w:eastAsia="Times New Roman"/>
                <w:lang w:eastAsia="ru-RU"/>
              </w:rPr>
            </w:pPr>
            <w:r w:rsidRPr="009A4C46">
              <w:rPr>
                <w:rFonts w:eastAsia="Times New Roman"/>
                <w:color w:val="000000"/>
                <w:lang w:eastAsia="ru-RU"/>
              </w:rPr>
              <w:t> </w:t>
            </w:r>
          </w:p>
        </w:tc>
        <w:tc>
          <w:tcPr>
            <w:tcW w:w="657" w:type="pct"/>
            <w:tcBorders>
              <w:top w:val="nil"/>
              <w:left w:val="nil"/>
              <w:bottom w:val="single" w:sz="8" w:space="0" w:color="auto"/>
              <w:right w:val="single" w:sz="8" w:space="0" w:color="auto"/>
            </w:tcBorders>
            <w:shd w:val="clear" w:color="000000" w:fill="FFFFFF"/>
            <w:noWrap/>
            <w:vAlign w:val="center"/>
            <w:hideMark/>
          </w:tcPr>
          <w:p w14:paraId="6438E7B1" w14:textId="77777777" w:rsidR="009A4C46" w:rsidRPr="009A4C46" w:rsidRDefault="009A4C46" w:rsidP="009A4C46">
            <w:pPr>
              <w:spacing w:after="0" w:line="276" w:lineRule="auto"/>
              <w:rPr>
                <w:rFonts w:eastAsia="Times New Roman"/>
                <w:lang w:eastAsia="ru-RU"/>
              </w:rPr>
            </w:pPr>
            <w:r w:rsidRPr="009A4C46">
              <w:rPr>
                <w:rFonts w:eastAsia="Times New Roman"/>
                <w:color w:val="000000"/>
                <w:lang w:eastAsia="ru-RU"/>
              </w:rPr>
              <w:t> </w:t>
            </w:r>
          </w:p>
        </w:tc>
        <w:tc>
          <w:tcPr>
            <w:tcW w:w="703" w:type="pct"/>
            <w:tcBorders>
              <w:top w:val="nil"/>
              <w:left w:val="nil"/>
              <w:bottom w:val="single" w:sz="8" w:space="0" w:color="auto"/>
              <w:right w:val="single" w:sz="8" w:space="0" w:color="auto"/>
            </w:tcBorders>
            <w:shd w:val="clear" w:color="000000" w:fill="FFFFFF"/>
            <w:noWrap/>
            <w:vAlign w:val="center"/>
            <w:hideMark/>
          </w:tcPr>
          <w:p w14:paraId="761D5567" w14:textId="77777777" w:rsidR="009A4C46" w:rsidRPr="009A4C46" w:rsidRDefault="009A4C46" w:rsidP="009A4C46">
            <w:pPr>
              <w:spacing w:after="0" w:line="240" w:lineRule="auto"/>
              <w:jc w:val="center"/>
              <w:rPr>
                <w:rFonts w:eastAsia="Times New Roman"/>
                <w:lang w:eastAsia="ru-RU"/>
              </w:rPr>
            </w:pPr>
            <w:r w:rsidRPr="009A4C46">
              <w:rPr>
                <w:rFonts w:eastAsia="Times New Roman"/>
                <w:color w:val="000000"/>
                <w:lang w:eastAsia="ru-RU"/>
              </w:rPr>
              <w:t>2,32745</w:t>
            </w:r>
          </w:p>
        </w:tc>
        <w:tc>
          <w:tcPr>
            <w:tcW w:w="655" w:type="pct"/>
            <w:tcBorders>
              <w:top w:val="nil"/>
              <w:left w:val="nil"/>
              <w:bottom w:val="single" w:sz="8" w:space="0" w:color="auto"/>
              <w:right w:val="single" w:sz="8" w:space="0" w:color="auto"/>
            </w:tcBorders>
            <w:shd w:val="clear" w:color="000000" w:fill="FFFFFF"/>
            <w:noWrap/>
            <w:vAlign w:val="center"/>
            <w:hideMark/>
          </w:tcPr>
          <w:p w14:paraId="5E624408" w14:textId="77777777" w:rsidR="009A4C46" w:rsidRPr="009A4C46" w:rsidRDefault="009A4C46" w:rsidP="009A4C46">
            <w:pPr>
              <w:spacing w:after="0" w:line="276" w:lineRule="auto"/>
              <w:rPr>
                <w:rFonts w:eastAsia="Times New Roman"/>
                <w:lang w:eastAsia="ru-RU"/>
              </w:rPr>
            </w:pPr>
            <w:r w:rsidRPr="009A4C46">
              <w:rPr>
                <w:rFonts w:eastAsia="Times New Roman"/>
                <w:color w:val="000000"/>
                <w:lang w:eastAsia="ru-RU"/>
              </w:rPr>
              <w:t> </w:t>
            </w:r>
          </w:p>
        </w:tc>
        <w:tc>
          <w:tcPr>
            <w:tcW w:w="703" w:type="pct"/>
            <w:tcBorders>
              <w:top w:val="nil"/>
              <w:left w:val="nil"/>
              <w:bottom w:val="single" w:sz="8" w:space="0" w:color="auto"/>
              <w:right w:val="single" w:sz="8" w:space="0" w:color="auto"/>
            </w:tcBorders>
            <w:shd w:val="clear" w:color="000000" w:fill="FFFFFF"/>
            <w:noWrap/>
            <w:vAlign w:val="center"/>
            <w:hideMark/>
          </w:tcPr>
          <w:p w14:paraId="7AD8CB3B" w14:textId="77777777" w:rsidR="009A4C46" w:rsidRPr="009A4C46" w:rsidRDefault="009A4C46" w:rsidP="009A4C46">
            <w:pPr>
              <w:spacing w:after="0" w:line="276" w:lineRule="auto"/>
              <w:rPr>
                <w:rFonts w:eastAsia="Times New Roman"/>
                <w:lang w:eastAsia="ru-RU"/>
              </w:rPr>
            </w:pPr>
            <w:r w:rsidRPr="009A4C46">
              <w:rPr>
                <w:rFonts w:eastAsia="Times New Roman"/>
                <w:color w:val="000000"/>
                <w:lang w:eastAsia="ru-RU"/>
              </w:rPr>
              <w:t> </w:t>
            </w:r>
          </w:p>
        </w:tc>
        <w:tc>
          <w:tcPr>
            <w:tcW w:w="608" w:type="pct"/>
            <w:tcBorders>
              <w:top w:val="nil"/>
              <w:left w:val="nil"/>
              <w:bottom w:val="single" w:sz="8" w:space="0" w:color="auto"/>
              <w:right w:val="single" w:sz="8" w:space="0" w:color="auto"/>
            </w:tcBorders>
            <w:shd w:val="clear" w:color="000000" w:fill="FFFFFF"/>
            <w:noWrap/>
            <w:vAlign w:val="center"/>
            <w:hideMark/>
          </w:tcPr>
          <w:p w14:paraId="69F99EF3" w14:textId="77777777" w:rsidR="009A4C46" w:rsidRPr="009A4C46" w:rsidRDefault="009A4C46" w:rsidP="009A4C46">
            <w:pPr>
              <w:spacing w:after="0" w:line="240" w:lineRule="auto"/>
              <w:jc w:val="center"/>
              <w:rPr>
                <w:rFonts w:eastAsia="Times New Roman"/>
                <w:lang w:eastAsia="ru-RU"/>
              </w:rPr>
            </w:pPr>
            <w:r w:rsidRPr="009A4C46">
              <w:rPr>
                <w:rFonts w:eastAsia="Times New Roman"/>
                <w:color w:val="000000"/>
                <w:lang w:eastAsia="ru-RU"/>
              </w:rPr>
              <w:t>2,44536</w:t>
            </w:r>
          </w:p>
        </w:tc>
      </w:tr>
    </w:tbl>
    <w:p w14:paraId="322CD376" w14:textId="19C8724D" w:rsidR="00D75241" w:rsidRDefault="00D75241" w:rsidP="009A4C46">
      <w:pPr>
        <w:spacing w:after="0" w:line="276" w:lineRule="auto"/>
        <w:jc w:val="center"/>
        <w:rPr>
          <w:rFonts w:eastAsia="Times New Roman"/>
          <w:sz w:val="28"/>
          <w:szCs w:val="28"/>
          <w:lang w:eastAsia="ru-RU"/>
        </w:rPr>
      </w:pPr>
    </w:p>
    <w:p w14:paraId="39D5BEC0" w14:textId="77777777" w:rsidR="00D75241" w:rsidRDefault="00D75241">
      <w:pPr>
        <w:rPr>
          <w:rFonts w:eastAsia="Times New Roman"/>
          <w:sz w:val="28"/>
          <w:szCs w:val="28"/>
          <w:lang w:eastAsia="ru-RU"/>
        </w:rPr>
      </w:pPr>
      <w:r>
        <w:rPr>
          <w:rFonts w:eastAsia="Times New Roman"/>
          <w:sz w:val="28"/>
          <w:szCs w:val="28"/>
          <w:lang w:eastAsia="ru-RU"/>
        </w:rPr>
        <w:br w:type="page"/>
      </w:r>
    </w:p>
    <w:p w14:paraId="6512051F" w14:textId="77777777" w:rsidR="009A4C46" w:rsidRPr="00F94FED" w:rsidRDefault="009A4C46" w:rsidP="009A4C46">
      <w:pPr>
        <w:spacing w:after="0" w:line="276" w:lineRule="auto"/>
        <w:jc w:val="center"/>
        <w:rPr>
          <w:rFonts w:eastAsia="Times New Roman"/>
          <w:b/>
          <w:bCs/>
          <w:sz w:val="26"/>
          <w:szCs w:val="26"/>
          <w:lang w:eastAsia="ru-RU"/>
        </w:rPr>
      </w:pPr>
      <w:r w:rsidRPr="00F94FED">
        <w:rPr>
          <w:rFonts w:eastAsia="Times New Roman"/>
          <w:b/>
          <w:bCs/>
          <w:sz w:val="26"/>
          <w:szCs w:val="26"/>
          <w:lang w:eastAsia="ru-RU"/>
        </w:rPr>
        <w:lastRenderedPageBreak/>
        <w:t>Утвержденные балансовые показатели на 2018 год</w:t>
      </w:r>
    </w:p>
    <w:tbl>
      <w:tblPr>
        <w:tblW w:w="14601" w:type="dxa"/>
        <w:tblInd w:w="-10" w:type="dxa"/>
        <w:tblLayout w:type="fixed"/>
        <w:tblLook w:val="04A0" w:firstRow="1" w:lastRow="0" w:firstColumn="1" w:lastColumn="0" w:noHBand="0" w:noVBand="1"/>
      </w:tblPr>
      <w:tblGrid>
        <w:gridCol w:w="2268"/>
        <w:gridCol w:w="3083"/>
        <w:gridCol w:w="3013"/>
        <w:gridCol w:w="3153"/>
        <w:gridCol w:w="3084"/>
      </w:tblGrid>
      <w:tr w:rsidR="009A4C46" w:rsidRPr="009A4C46" w14:paraId="68F1989A" w14:textId="77777777" w:rsidTr="00F94FED">
        <w:trPr>
          <w:trHeight w:val="315"/>
        </w:trPr>
        <w:tc>
          <w:tcPr>
            <w:tcW w:w="226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D33C615" w14:textId="77777777" w:rsidR="009A4C46" w:rsidRPr="00F94FED" w:rsidRDefault="009A4C46" w:rsidP="009A4C46">
            <w:pPr>
              <w:spacing w:after="0" w:line="240" w:lineRule="auto"/>
              <w:jc w:val="center"/>
              <w:rPr>
                <w:rFonts w:eastAsia="Times New Roman"/>
                <w:b/>
                <w:bCs/>
                <w:color w:val="FFFFFF" w:themeColor="background1"/>
                <w:lang w:eastAsia="ru-RU"/>
              </w:rPr>
            </w:pPr>
            <w:r w:rsidRPr="00F94FED">
              <w:rPr>
                <w:rFonts w:eastAsia="Times New Roman"/>
                <w:b/>
                <w:bCs/>
                <w:color w:val="FFFFFF" w:themeColor="background1"/>
                <w:lang w:eastAsia="ru-RU"/>
              </w:rPr>
              <w:t>Потребители</w:t>
            </w:r>
          </w:p>
        </w:tc>
        <w:tc>
          <w:tcPr>
            <w:tcW w:w="6096"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642F28F" w14:textId="77777777" w:rsidR="009A4C46" w:rsidRPr="00F94FED" w:rsidRDefault="009A4C46" w:rsidP="009A4C46">
            <w:pPr>
              <w:spacing w:after="0" w:line="240" w:lineRule="auto"/>
              <w:jc w:val="center"/>
              <w:rPr>
                <w:rFonts w:eastAsia="Times New Roman"/>
                <w:b/>
                <w:bCs/>
                <w:color w:val="FFFFFF" w:themeColor="background1"/>
                <w:lang w:eastAsia="ru-RU"/>
              </w:rPr>
            </w:pPr>
            <w:r w:rsidRPr="00F94FED">
              <w:rPr>
                <w:rFonts w:eastAsia="Times New Roman"/>
                <w:b/>
                <w:bCs/>
                <w:color w:val="FFFFFF" w:themeColor="background1"/>
                <w:lang w:eastAsia="ru-RU"/>
              </w:rPr>
              <w:t>Балансовые показатели</w:t>
            </w:r>
          </w:p>
        </w:tc>
        <w:tc>
          <w:tcPr>
            <w:tcW w:w="6237"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1605D8D" w14:textId="77777777" w:rsidR="009A4C46" w:rsidRPr="00F94FED" w:rsidRDefault="009A4C46" w:rsidP="009A4C46">
            <w:pPr>
              <w:spacing w:after="0" w:line="240" w:lineRule="auto"/>
              <w:jc w:val="center"/>
              <w:rPr>
                <w:rFonts w:eastAsia="Times New Roman"/>
                <w:b/>
                <w:bCs/>
                <w:color w:val="FFFFFF" w:themeColor="background1"/>
                <w:lang w:eastAsia="ru-RU"/>
              </w:rPr>
            </w:pPr>
            <w:r w:rsidRPr="00F94FED">
              <w:rPr>
                <w:rFonts w:eastAsia="Times New Roman"/>
                <w:b/>
                <w:bCs/>
                <w:color w:val="FFFFFF" w:themeColor="background1"/>
                <w:lang w:eastAsia="ru-RU"/>
              </w:rPr>
              <w:t>Балансовые показатели</w:t>
            </w:r>
          </w:p>
        </w:tc>
      </w:tr>
      <w:tr w:rsidR="009A4C46" w:rsidRPr="009A4C46" w14:paraId="006FF593" w14:textId="77777777" w:rsidTr="00F94FED">
        <w:trPr>
          <w:trHeight w:val="495"/>
        </w:trPr>
        <w:tc>
          <w:tcPr>
            <w:tcW w:w="226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778367F" w14:textId="77777777" w:rsidR="009A4C46" w:rsidRPr="00F94FED" w:rsidRDefault="009A4C46" w:rsidP="009A4C46">
            <w:pPr>
              <w:spacing w:after="0" w:line="240" w:lineRule="auto"/>
              <w:rPr>
                <w:rFonts w:eastAsia="Times New Roman"/>
                <w:b/>
                <w:bCs/>
                <w:color w:val="FFFFFF" w:themeColor="background1"/>
                <w:lang w:eastAsia="ru-RU"/>
              </w:rPr>
            </w:pPr>
          </w:p>
        </w:tc>
        <w:tc>
          <w:tcPr>
            <w:tcW w:w="30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9CF7050" w14:textId="77777777" w:rsidR="009A4C46" w:rsidRPr="00F94FED" w:rsidRDefault="009A4C46" w:rsidP="009A4C46">
            <w:pPr>
              <w:spacing w:after="0" w:line="240" w:lineRule="auto"/>
              <w:jc w:val="center"/>
              <w:rPr>
                <w:rFonts w:eastAsia="Times New Roman"/>
                <w:b/>
                <w:bCs/>
                <w:color w:val="FFFFFF" w:themeColor="background1"/>
                <w:lang w:eastAsia="ru-RU"/>
              </w:rPr>
            </w:pPr>
            <w:r w:rsidRPr="00F94FED">
              <w:rPr>
                <w:rFonts w:eastAsia="Times New Roman"/>
                <w:b/>
                <w:bCs/>
                <w:color w:val="FFFFFF" w:themeColor="background1"/>
                <w:lang w:eastAsia="ru-RU"/>
              </w:rPr>
              <w:t>с 01.01.2018 по 30.06.2018</w:t>
            </w:r>
          </w:p>
        </w:tc>
        <w:tc>
          <w:tcPr>
            <w:tcW w:w="30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614A686" w14:textId="77777777" w:rsidR="009A4C46" w:rsidRPr="00F94FED" w:rsidRDefault="009A4C46" w:rsidP="009A4C46">
            <w:pPr>
              <w:spacing w:after="0" w:line="240" w:lineRule="auto"/>
              <w:jc w:val="center"/>
              <w:rPr>
                <w:rFonts w:eastAsia="Times New Roman"/>
                <w:b/>
                <w:bCs/>
                <w:color w:val="FFFFFF" w:themeColor="background1"/>
                <w:lang w:eastAsia="ru-RU"/>
              </w:rPr>
            </w:pPr>
            <w:r w:rsidRPr="00F94FED">
              <w:rPr>
                <w:rFonts w:eastAsia="Times New Roman"/>
                <w:b/>
                <w:bCs/>
                <w:color w:val="FFFFFF" w:themeColor="background1"/>
                <w:lang w:eastAsia="ru-RU"/>
              </w:rPr>
              <w:t>с 01.07.2018 по 31.12.2018</w:t>
            </w:r>
          </w:p>
        </w:tc>
        <w:tc>
          <w:tcPr>
            <w:tcW w:w="315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1452718" w14:textId="77777777" w:rsidR="009A4C46" w:rsidRPr="00F94FED" w:rsidRDefault="009A4C46" w:rsidP="009A4C46">
            <w:pPr>
              <w:spacing w:after="0" w:line="240" w:lineRule="auto"/>
              <w:jc w:val="center"/>
              <w:rPr>
                <w:rFonts w:eastAsia="Times New Roman"/>
                <w:b/>
                <w:bCs/>
                <w:color w:val="FFFFFF" w:themeColor="background1"/>
                <w:lang w:eastAsia="ru-RU"/>
              </w:rPr>
            </w:pPr>
            <w:r w:rsidRPr="00F94FED">
              <w:rPr>
                <w:rFonts w:eastAsia="Times New Roman"/>
                <w:b/>
                <w:bCs/>
                <w:color w:val="FFFFFF" w:themeColor="background1"/>
                <w:lang w:eastAsia="ru-RU"/>
              </w:rPr>
              <w:t>с 01.01.2018 по 30.06.2018</w:t>
            </w:r>
          </w:p>
        </w:tc>
        <w:tc>
          <w:tcPr>
            <w:tcW w:w="30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4F970F9" w14:textId="77777777" w:rsidR="009A4C46" w:rsidRPr="00F94FED" w:rsidRDefault="009A4C46" w:rsidP="009A4C46">
            <w:pPr>
              <w:spacing w:after="0" w:line="240" w:lineRule="auto"/>
              <w:jc w:val="center"/>
              <w:rPr>
                <w:rFonts w:eastAsia="Times New Roman"/>
                <w:b/>
                <w:bCs/>
                <w:color w:val="FFFFFF" w:themeColor="background1"/>
                <w:lang w:eastAsia="ru-RU"/>
              </w:rPr>
            </w:pPr>
            <w:r w:rsidRPr="00F94FED">
              <w:rPr>
                <w:rFonts w:eastAsia="Times New Roman"/>
                <w:b/>
                <w:bCs/>
                <w:color w:val="FFFFFF" w:themeColor="background1"/>
                <w:lang w:eastAsia="ru-RU"/>
              </w:rPr>
              <w:t>с 01.07.2018 по 31.12.2018</w:t>
            </w:r>
          </w:p>
        </w:tc>
      </w:tr>
      <w:tr w:rsidR="009A4C46" w:rsidRPr="009A4C46" w14:paraId="50D43D99" w14:textId="77777777" w:rsidTr="00F94FED">
        <w:trPr>
          <w:trHeight w:val="315"/>
        </w:trPr>
        <w:tc>
          <w:tcPr>
            <w:tcW w:w="226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22CC3AB" w14:textId="77777777" w:rsidR="009A4C46" w:rsidRPr="00F94FED" w:rsidRDefault="009A4C46" w:rsidP="009A4C46">
            <w:pPr>
              <w:spacing w:after="0" w:line="240" w:lineRule="auto"/>
              <w:rPr>
                <w:rFonts w:eastAsia="Times New Roman"/>
                <w:b/>
                <w:bCs/>
                <w:color w:val="FFFFFF" w:themeColor="background1"/>
                <w:lang w:eastAsia="ru-RU"/>
              </w:rPr>
            </w:pPr>
          </w:p>
        </w:tc>
        <w:tc>
          <w:tcPr>
            <w:tcW w:w="30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A5B6AF6" w14:textId="1A48B69A" w:rsidR="009A4C46" w:rsidRPr="00F94FED" w:rsidRDefault="009A4C46" w:rsidP="009A4C46">
            <w:pPr>
              <w:spacing w:after="0" w:line="240" w:lineRule="auto"/>
              <w:jc w:val="center"/>
              <w:rPr>
                <w:rFonts w:eastAsia="Times New Roman"/>
                <w:b/>
                <w:bCs/>
                <w:color w:val="FFFFFF" w:themeColor="background1"/>
                <w:lang w:eastAsia="ru-RU"/>
              </w:rPr>
            </w:pPr>
            <w:r w:rsidRPr="00F94FED">
              <w:rPr>
                <w:rFonts w:eastAsia="Times New Roman"/>
                <w:b/>
                <w:bCs/>
                <w:color w:val="FFFFFF" w:themeColor="background1"/>
                <w:lang w:eastAsia="ru-RU"/>
              </w:rPr>
              <w:t>млн. кВт</w:t>
            </w:r>
            <w:r w:rsidR="00D75241" w:rsidRPr="00F94FED">
              <w:rPr>
                <w:rFonts w:eastAsia="Times New Roman"/>
                <w:b/>
                <w:bCs/>
                <w:color w:val="FFFFFF" w:themeColor="background1"/>
                <w:lang w:eastAsia="ru-RU"/>
              </w:rPr>
              <w:t>*</w:t>
            </w:r>
            <w:r w:rsidRPr="00F94FED">
              <w:rPr>
                <w:rFonts w:eastAsia="Times New Roman"/>
                <w:b/>
                <w:bCs/>
                <w:color w:val="FFFFFF" w:themeColor="background1"/>
                <w:lang w:eastAsia="ru-RU"/>
              </w:rPr>
              <w:t>ч</w:t>
            </w:r>
          </w:p>
        </w:tc>
        <w:tc>
          <w:tcPr>
            <w:tcW w:w="30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0233DA0" w14:textId="7291F86A" w:rsidR="009A4C46" w:rsidRPr="00F94FED" w:rsidRDefault="009A4C46" w:rsidP="009A4C46">
            <w:pPr>
              <w:spacing w:after="0" w:line="240" w:lineRule="auto"/>
              <w:jc w:val="center"/>
              <w:rPr>
                <w:rFonts w:eastAsia="Times New Roman"/>
                <w:b/>
                <w:bCs/>
                <w:color w:val="FFFFFF" w:themeColor="background1"/>
                <w:lang w:eastAsia="ru-RU"/>
              </w:rPr>
            </w:pPr>
            <w:r w:rsidRPr="00F94FED">
              <w:rPr>
                <w:rFonts w:eastAsia="Times New Roman"/>
                <w:b/>
                <w:bCs/>
                <w:color w:val="FFFFFF" w:themeColor="background1"/>
                <w:lang w:eastAsia="ru-RU"/>
              </w:rPr>
              <w:t>млн. кВт</w:t>
            </w:r>
            <w:r w:rsidR="00D75241" w:rsidRPr="00F94FED">
              <w:rPr>
                <w:rFonts w:eastAsia="Times New Roman"/>
                <w:b/>
                <w:bCs/>
                <w:color w:val="FFFFFF" w:themeColor="background1"/>
                <w:lang w:eastAsia="ru-RU"/>
              </w:rPr>
              <w:t>*</w:t>
            </w:r>
            <w:r w:rsidRPr="00F94FED">
              <w:rPr>
                <w:rFonts w:eastAsia="Times New Roman"/>
                <w:b/>
                <w:bCs/>
                <w:color w:val="FFFFFF" w:themeColor="background1"/>
                <w:lang w:eastAsia="ru-RU"/>
              </w:rPr>
              <w:t>ч</w:t>
            </w:r>
          </w:p>
        </w:tc>
        <w:tc>
          <w:tcPr>
            <w:tcW w:w="315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300104B" w14:textId="77777777" w:rsidR="009A4C46" w:rsidRPr="00F94FED" w:rsidRDefault="009A4C46" w:rsidP="009A4C46">
            <w:pPr>
              <w:spacing w:after="0" w:line="240" w:lineRule="auto"/>
              <w:jc w:val="center"/>
              <w:rPr>
                <w:rFonts w:eastAsia="Times New Roman"/>
                <w:b/>
                <w:bCs/>
                <w:color w:val="FFFFFF" w:themeColor="background1"/>
                <w:lang w:eastAsia="ru-RU"/>
              </w:rPr>
            </w:pPr>
            <w:r w:rsidRPr="00F94FED">
              <w:rPr>
                <w:rFonts w:eastAsia="Times New Roman"/>
                <w:b/>
                <w:bCs/>
                <w:color w:val="FFFFFF" w:themeColor="background1"/>
                <w:lang w:eastAsia="ru-RU"/>
              </w:rPr>
              <w:t>МВт</w:t>
            </w:r>
          </w:p>
        </w:tc>
        <w:tc>
          <w:tcPr>
            <w:tcW w:w="30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47E0009" w14:textId="77777777" w:rsidR="009A4C46" w:rsidRPr="00F94FED" w:rsidRDefault="009A4C46" w:rsidP="009A4C46">
            <w:pPr>
              <w:spacing w:after="0" w:line="240" w:lineRule="auto"/>
              <w:jc w:val="center"/>
              <w:rPr>
                <w:rFonts w:eastAsia="Times New Roman"/>
                <w:b/>
                <w:bCs/>
                <w:color w:val="FFFFFF" w:themeColor="background1"/>
                <w:lang w:eastAsia="ru-RU"/>
              </w:rPr>
            </w:pPr>
            <w:r w:rsidRPr="00F94FED">
              <w:rPr>
                <w:rFonts w:eastAsia="Times New Roman"/>
                <w:b/>
                <w:bCs/>
                <w:color w:val="FFFFFF" w:themeColor="background1"/>
                <w:lang w:eastAsia="ru-RU"/>
              </w:rPr>
              <w:t>МВт</w:t>
            </w:r>
          </w:p>
        </w:tc>
      </w:tr>
      <w:tr w:rsidR="009A4C46" w:rsidRPr="009A4C46" w14:paraId="188D7592" w14:textId="77777777" w:rsidTr="00F94FED">
        <w:trPr>
          <w:trHeight w:val="315"/>
        </w:trPr>
        <w:tc>
          <w:tcPr>
            <w:tcW w:w="2268" w:type="dxa"/>
            <w:tcBorders>
              <w:top w:val="single" w:sz="4" w:space="0" w:color="FFFFFF" w:themeColor="background1"/>
              <w:left w:val="single" w:sz="8" w:space="0" w:color="auto"/>
              <w:bottom w:val="single" w:sz="8" w:space="0" w:color="auto"/>
              <w:right w:val="single" w:sz="8" w:space="0" w:color="auto"/>
            </w:tcBorders>
            <w:shd w:val="clear" w:color="auto" w:fill="auto"/>
            <w:noWrap/>
            <w:vAlign w:val="center"/>
            <w:hideMark/>
          </w:tcPr>
          <w:p w14:paraId="794BF8BC" w14:textId="77777777" w:rsidR="009A4C46" w:rsidRPr="009A4C46" w:rsidRDefault="009A4C46" w:rsidP="009A4C46">
            <w:pPr>
              <w:spacing w:after="0" w:line="240" w:lineRule="auto"/>
              <w:rPr>
                <w:rFonts w:eastAsia="Times New Roman"/>
                <w:lang w:eastAsia="ru-RU"/>
              </w:rPr>
            </w:pPr>
            <w:r w:rsidRPr="009A4C46">
              <w:rPr>
                <w:rFonts w:eastAsia="Times New Roman"/>
                <w:lang w:eastAsia="ru-RU"/>
              </w:rPr>
              <w:t>Прочие потребители</w:t>
            </w:r>
          </w:p>
        </w:tc>
        <w:tc>
          <w:tcPr>
            <w:tcW w:w="3083" w:type="dxa"/>
            <w:tcBorders>
              <w:top w:val="single" w:sz="4" w:space="0" w:color="FFFFFF" w:themeColor="background1"/>
              <w:left w:val="nil"/>
              <w:bottom w:val="single" w:sz="8" w:space="0" w:color="auto"/>
              <w:right w:val="single" w:sz="8" w:space="0" w:color="auto"/>
            </w:tcBorders>
            <w:shd w:val="clear" w:color="000000" w:fill="FFFFFF"/>
            <w:noWrap/>
            <w:vAlign w:val="center"/>
            <w:hideMark/>
          </w:tcPr>
          <w:p w14:paraId="7292428C" w14:textId="77777777" w:rsidR="009A4C46" w:rsidRPr="009A4C46" w:rsidRDefault="009A4C46" w:rsidP="009A4C46">
            <w:pPr>
              <w:spacing w:after="0" w:line="240" w:lineRule="auto"/>
              <w:jc w:val="center"/>
              <w:rPr>
                <w:rFonts w:eastAsia="Times New Roman"/>
                <w:lang w:eastAsia="ru-RU"/>
              </w:rPr>
            </w:pPr>
            <w:r w:rsidRPr="009A4C46">
              <w:rPr>
                <w:rFonts w:eastAsia="Times New Roman"/>
                <w:color w:val="000000"/>
                <w:lang w:eastAsia="ru-RU"/>
              </w:rPr>
              <w:t>93,43</w:t>
            </w:r>
          </w:p>
        </w:tc>
        <w:tc>
          <w:tcPr>
            <w:tcW w:w="3013" w:type="dxa"/>
            <w:tcBorders>
              <w:top w:val="single" w:sz="4" w:space="0" w:color="FFFFFF" w:themeColor="background1"/>
              <w:left w:val="nil"/>
              <w:bottom w:val="single" w:sz="8" w:space="0" w:color="auto"/>
              <w:right w:val="single" w:sz="8" w:space="0" w:color="auto"/>
            </w:tcBorders>
            <w:shd w:val="clear" w:color="000000" w:fill="FFFFFF"/>
            <w:noWrap/>
            <w:vAlign w:val="center"/>
            <w:hideMark/>
          </w:tcPr>
          <w:p w14:paraId="700FF79B" w14:textId="77777777" w:rsidR="009A4C46" w:rsidRPr="009A4C46" w:rsidRDefault="009A4C46" w:rsidP="009A4C46">
            <w:pPr>
              <w:spacing w:after="0" w:line="240" w:lineRule="auto"/>
              <w:jc w:val="center"/>
              <w:rPr>
                <w:rFonts w:eastAsia="Times New Roman"/>
                <w:lang w:eastAsia="ru-RU"/>
              </w:rPr>
            </w:pPr>
            <w:r w:rsidRPr="009A4C46">
              <w:rPr>
                <w:rFonts w:eastAsia="Times New Roman"/>
                <w:color w:val="000000"/>
                <w:lang w:eastAsia="ru-RU"/>
              </w:rPr>
              <w:t>141,63</w:t>
            </w:r>
          </w:p>
        </w:tc>
        <w:tc>
          <w:tcPr>
            <w:tcW w:w="3153" w:type="dxa"/>
            <w:tcBorders>
              <w:top w:val="single" w:sz="4" w:space="0" w:color="FFFFFF" w:themeColor="background1"/>
              <w:left w:val="nil"/>
              <w:bottom w:val="single" w:sz="8" w:space="0" w:color="auto"/>
              <w:right w:val="single" w:sz="8" w:space="0" w:color="auto"/>
            </w:tcBorders>
            <w:shd w:val="clear" w:color="000000" w:fill="FFFFFF"/>
            <w:noWrap/>
            <w:vAlign w:val="center"/>
            <w:hideMark/>
          </w:tcPr>
          <w:p w14:paraId="2F9AF42A" w14:textId="77777777" w:rsidR="009A4C46" w:rsidRPr="009A4C46" w:rsidRDefault="009A4C46" w:rsidP="009A4C46">
            <w:pPr>
              <w:spacing w:after="0" w:line="240" w:lineRule="auto"/>
              <w:jc w:val="center"/>
              <w:rPr>
                <w:rFonts w:eastAsia="Times New Roman"/>
                <w:lang w:eastAsia="ru-RU"/>
              </w:rPr>
            </w:pPr>
            <w:r w:rsidRPr="009A4C46">
              <w:rPr>
                <w:rFonts w:eastAsia="Times New Roman"/>
                <w:color w:val="000000"/>
                <w:lang w:eastAsia="ru-RU"/>
              </w:rPr>
              <w:t>32,58</w:t>
            </w:r>
          </w:p>
        </w:tc>
        <w:tc>
          <w:tcPr>
            <w:tcW w:w="3084" w:type="dxa"/>
            <w:tcBorders>
              <w:top w:val="single" w:sz="4" w:space="0" w:color="FFFFFF" w:themeColor="background1"/>
              <w:left w:val="nil"/>
              <w:bottom w:val="single" w:sz="8" w:space="0" w:color="auto"/>
              <w:right w:val="single" w:sz="8" w:space="0" w:color="auto"/>
            </w:tcBorders>
            <w:shd w:val="clear" w:color="000000" w:fill="FFFFFF"/>
            <w:noWrap/>
            <w:vAlign w:val="center"/>
            <w:hideMark/>
          </w:tcPr>
          <w:p w14:paraId="6695B6AA" w14:textId="77777777" w:rsidR="009A4C46" w:rsidRPr="009A4C46" w:rsidRDefault="009A4C46" w:rsidP="009A4C46">
            <w:pPr>
              <w:spacing w:after="0" w:line="240" w:lineRule="auto"/>
              <w:jc w:val="center"/>
              <w:rPr>
                <w:rFonts w:eastAsia="Times New Roman"/>
                <w:lang w:eastAsia="ru-RU"/>
              </w:rPr>
            </w:pPr>
            <w:r w:rsidRPr="009A4C46">
              <w:rPr>
                <w:rFonts w:eastAsia="Times New Roman"/>
                <w:color w:val="000000"/>
                <w:lang w:eastAsia="ru-RU"/>
              </w:rPr>
              <w:t>45,63</w:t>
            </w:r>
          </w:p>
        </w:tc>
      </w:tr>
      <w:tr w:rsidR="009A4C46" w:rsidRPr="009A4C46" w14:paraId="69B8385F" w14:textId="77777777" w:rsidTr="00F94FED">
        <w:trPr>
          <w:trHeight w:val="315"/>
        </w:trPr>
        <w:tc>
          <w:tcPr>
            <w:tcW w:w="2268" w:type="dxa"/>
            <w:tcBorders>
              <w:top w:val="nil"/>
              <w:left w:val="single" w:sz="8" w:space="0" w:color="auto"/>
              <w:bottom w:val="single" w:sz="8" w:space="0" w:color="auto"/>
              <w:right w:val="single" w:sz="8" w:space="0" w:color="auto"/>
            </w:tcBorders>
            <w:shd w:val="clear" w:color="auto" w:fill="auto"/>
            <w:noWrap/>
            <w:vAlign w:val="center"/>
            <w:hideMark/>
          </w:tcPr>
          <w:p w14:paraId="05E42567" w14:textId="77777777" w:rsidR="009A4C46" w:rsidRPr="009A4C46" w:rsidRDefault="009A4C46" w:rsidP="009A4C46">
            <w:pPr>
              <w:spacing w:after="0" w:line="240" w:lineRule="auto"/>
              <w:rPr>
                <w:rFonts w:eastAsia="Times New Roman"/>
                <w:lang w:eastAsia="ru-RU"/>
              </w:rPr>
            </w:pPr>
            <w:r w:rsidRPr="009A4C46">
              <w:rPr>
                <w:rFonts w:eastAsia="Times New Roman"/>
                <w:lang w:eastAsia="ru-RU"/>
              </w:rPr>
              <w:t>ВН</w:t>
            </w:r>
          </w:p>
        </w:tc>
        <w:tc>
          <w:tcPr>
            <w:tcW w:w="3083" w:type="dxa"/>
            <w:tcBorders>
              <w:top w:val="nil"/>
              <w:left w:val="nil"/>
              <w:bottom w:val="single" w:sz="8" w:space="0" w:color="auto"/>
              <w:right w:val="single" w:sz="8" w:space="0" w:color="auto"/>
            </w:tcBorders>
            <w:shd w:val="clear" w:color="000000" w:fill="FFFFFF"/>
            <w:noWrap/>
            <w:vAlign w:val="center"/>
            <w:hideMark/>
          </w:tcPr>
          <w:p w14:paraId="1C7B9F36" w14:textId="77777777" w:rsidR="009A4C46" w:rsidRPr="009A4C46" w:rsidRDefault="009A4C46" w:rsidP="009A4C46">
            <w:pPr>
              <w:spacing w:after="0" w:line="240" w:lineRule="auto"/>
              <w:jc w:val="center"/>
              <w:rPr>
                <w:rFonts w:eastAsia="Times New Roman"/>
                <w:lang w:eastAsia="ru-RU"/>
              </w:rPr>
            </w:pPr>
            <w:r w:rsidRPr="009A4C46">
              <w:rPr>
                <w:rFonts w:eastAsia="Times New Roman"/>
                <w:color w:val="000000"/>
                <w:lang w:eastAsia="ru-RU"/>
              </w:rPr>
              <w:t>25,85</w:t>
            </w:r>
          </w:p>
        </w:tc>
        <w:tc>
          <w:tcPr>
            <w:tcW w:w="3013" w:type="dxa"/>
            <w:tcBorders>
              <w:top w:val="nil"/>
              <w:left w:val="nil"/>
              <w:bottom w:val="single" w:sz="8" w:space="0" w:color="auto"/>
              <w:right w:val="single" w:sz="8" w:space="0" w:color="auto"/>
            </w:tcBorders>
            <w:shd w:val="clear" w:color="000000" w:fill="FFFFFF"/>
            <w:noWrap/>
            <w:vAlign w:val="center"/>
            <w:hideMark/>
          </w:tcPr>
          <w:p w14:paraId="4D979656" w14:textId="77777777" w:rsidR="009A4C46" w:rsidRPr="009A4C46" w:rsidRDefault="009A4C46" w:rsidP="009A4C46">
            <w:pPr>
              <w:spacing w:after="0" w:line="240" w:lineRule="auto"/>
              <w:jc w:val="center"/>
              <w:rPr>
                <w:rFonts w:eastAsia="Times New Roman"/>
                <w:lang w:eastAsia="ru-RU"/>
              </w:rPr>
            </w:pPr>
            <w:r w:rsidRPr="009A4C46">
              <w:rPr>
                <w:rFonts w:eastAsia="Times New Roman"/>
                <w:color w:val="000000"/>
                <w:lang w:eastAsia="ru-RU"/>
              </w:rPr>
              <w:t>51,18</w:t>
            </w:r>
          </w:p>
        </w:tc>
        <w:tc>
          <w:tcPr>
            <w:tcW w:w="3153" w:type="dxa"/>
            <w:tcBorders>
              <w:top w:val="nil"/>
              <w:left w:val="nil"/>
              <w:bottom w:val="single" w:sz="8" w:space="0" w:color="auto"/>
              <w:right w:val="single" w:sz="8" w:space="0" w:color="auto"/>
            </w:tcBorders>
            <w:shd w:val="clear" w:color="000000" w:fill="FFFFFF"/>
            <w:noWrap/>
            <w:vAlign w:val="center"/>
            <w:hideMark/>
          </w:tcPr>
          <w:p w14:paraId="4B6F322A" w14:textId="77777777" w:rsidR="009A4C46" w:rsidRPr="009A4C46" w:rsidRDefault="009A4C46" w:rsidP="009A4C46">
            <w:pPr>
              <w:spacing w:after="0" w:line="240" w:lineRule="auto"/>
              <w:jc w:val="center"/>
              <w:rPr>
                <w:rFonts w:eastAsia="Times New Roman"/>
                <w:lang w:eastAsia="ru-RU"/>
              </w:rPr>
            </w:pPr>
            <w:r w:rsidRPr="009A4C46">
              <w:rPr>
                <w:rFonts w:eastAsia="Times New Roman"/>
                <w:color w:val="000000"/>
                <w:lang w:eastAsia="ru-RU"/>
              </w:rPr>
              <w:t>4,73</w:t>
            </w:r>
          </w:p>
        </w:tc>
        <w:tc>
          <w:tcPr>
            <w:tcW w:w="3084" w:type="dxa"/>
            <w:tcBorders>
              <w:top w:val="nil"/>
              <w:left w:val="nil"/>
              <w:bottom w:val="single" w:sz="8" w:space="0" w:color="auto"/>
              <w:right w:val="single" w:sz="8" w:space="0" w:color="auto"/>
            </w:tcBorders>
            <w:shd w:val="clear" w:color="000000" w:fill="FFFFFF"/>
            <w:noWrap/>
            <w:vAlign w:val="center"/>
            <w:hideMark/>
          </w:tcPr>
          <w:p w14:paraId="03E455B2" w14:textId="77777777" w:rsidR="009A4C46" w:rsidRPr="009A4C46" w:rsidRDefault="009A4C46" w:rsidP="009A4C46">
            <w:pPr>
              <w:spacing w:after="0" w:line="240" w:lineRule="auto"/>
              <w:jc w:val="center"/>
              <w:rPr>
                <w:rFonts w:eastAsia="Times New Roman"/>
                <w:lang w:eastAsia="ru-RU"/>
              </w:rPr>
            </w:pPr>
            <w:r w:rsidRPr="009A4C46">
              <w:rPr>
                <w:rFonts w:eastAsia="Times New Roman"/>
                <w:color w:val="000000"/>
                <w:lang w:eastAsia="ru-RU"/>
              </w:rPr>
              <w:t>9,37</w:t>
            </w:r>
          </w:p>
        </w:tc>
      </w:tr>
      <w:tr w:rsidR="009A4C46" w:rsidRPr="009A4C46" w14:paraId="7AF6D2B0" w14:textId="77777777" w:rsidTr="00F94FED">
        <w:trPr>
          <w:trHeight w:val="315"/>
        </w:trPr>
        <w:tc>
          <w:tcPr>
            <w:tcW w:w="2268" w:type="dxa"/>
            <w:tcBorders>
              <w:top w:val="nil"/>
              <w:left w:val="single" w:sz="8" w:space="0" w:color="auto"/>
              <w:bottom w:val="single" w:sz="8" w:space="0" w:color="auto"/>
              <w:right w:val="single" w:sz="8" w:space="0" w:color="auto"/>
            </w:tcBorders>
            <w:shd w:val="clear" w:color="auto" w:fill="auto"/>
            <w:noWrap/>
            <w:vAlign w:val="center"/>
            <w:hideMark/>
          </w:tcPr>
          <w:p w14:paraId="5B5782E1" w14:textId="77777777" w:rsidR="009A4C46" w:rsidRPr="009A4C46" w:rsidRDefault="009A4C46" w:rsidP="009A4C46">
            <w:pPr>
              <w:spacing w:after="0" w:line="240" w:lineRule="auto"/>
              <w:rPr>
                <w:rFonts w:eastAsia="Times New Roman"/>
                <w:lang w:eastAsia="ru-RU"/>
              </w:rPr>
            </w:pPr>
            <w:r w:rsidRPr="009A4C46">
              <w:rPr>
                <w:rFonts w:eastAsia="Times New Roman"/>
                <w:lang w:eastAsia="ru-RU"/>
              </w:rPr>
              <w:t>СН1</w:t>
            </w:r>
          </w:p>
        </w:tc>
        <w:tc>
          <w:tcPr>
            <w:tcW w:w="3083" w:type="dxa"/>
            <w:tcBorders>
              <w:top w:val="nil"/>
              <w:left w:val="nil"/>
              <w:bottom w:val="single" w:sz="8" w:space="0" w:color="auto"/>
              <w:right w:val="single" w:sz="8" w:space="0" w:color="auto"/>
            </w:tcBorders>
            <w:shd w:val="clear" w:color="000000" w:fill="FFFFFF"/>
            <w:noWrap/>
            <w:vAlign w:val="center"/>
            <w:hideMark/>
          </w:tcPr>
          <w:p w14:paraId="4744E0EF" w14:textId="77777777" w:rsidR="009A4C46" w:rsidRPr="009A4C46" w:rsidRDefault="009A4C46" w:rsidP="009A4C46">
            <w:pPr>
              <w:spacing w:after="0" w:line="240" w:lineRule="auto"/>
              <w:jc w:val="center"/>
              <w:rPr>
                <w:rFonts w:eastAsia="Times New Roman"/>
                <w:lang w:eastAsia="ru-RU"/>
              </w:rPr>
            </w:pPr>
            <w:r w:rsidRPr="009A4C46">
              <w:rPr>
                <w:rFonts w:eastAsia="Times New Roman"/>
                <w:color w:val="000000"/>
                <w:lang w:eastAsia="ru-RU"/>
              </w:rPr>
              <w:t>11,80</w:t>
            </w:r>
          </w:p>
        </w:tc>
        <w:tc>
          <w:tcPr>
            <w:tcW w:w="3013" w:type="dxa"/>
            <w:tcBorders>
              <w:top w:val="nil"/>
              <w:left w:val="nil"/>
              <w:bottom w:val="single" w:sz="8" w:space="0" w:color="auto"/>
              <w:right w:val="single" w:sz="8" w:space="0" w:color="auto"/>
            </w:tcBorders>
            <w:shd w:val="clear" w:color="000000" w:fill="FFFFFF"/>
            <w:noWrap/>
            <w:vAlign w:val="center"/>
            <w:hideMark/>
          </w:tcPr>
          <w:p w14:paraId="3875F995" w14:textId="77777777" w:rsidR="009A4C46" w:rsidRPr="009A4C46" w:rsidRDefault="009A4C46" w:rsidP="009A4C46">
            <w:pPr>
              <w:spacing w:after="0" w:line="240" w:lineRule="auto"/>
              <w:jc w:val="center"/>
              <w:rPr>
                <w:rFonts w:eastAsia="Times New Roman"/>
                <w:lang w:eastAsia="ru-RU"/>
              </w:rPr>
            </w:pPr>
            <w:r w:rsidRPr="009A4C46">
              <w:rPr>
                <w:rFonts w:eastAsia="Times New Roman"/>
                <w:color w:val="000000"/>
                <w:lang w:eastAsia="ru-RU"/>
              </w:rPr>
              <w:t>11,39</w:t>
            </w:r>
          </w:p>
        </w:tc>
        <w:tc>
          <w:tcPr>
            <w:tcW w:w="3153" w:type="dxa"/>
            <w:tcBorders>
              <w:top w:val="nil"/>
              <w:left w:val="nil"/>
              <w:bottom w:val="single" w:sz="8" w:space="0" w:color="auto"/>
              <w:right w:val="single" w:sz="8" w:space="0" w:color="auto"/>
            </w:tcBorders>
            <w:shd w:val="clear" w:color="000000" w:fill="FFFFFF"/>
            <w:noWrap/>
            <w:vAlign w:val="center"/>
            <w:hideMark/>
          </w:tcPr>
          <w:p w14:paraId="20F48AEB" w14:textId="77777777" w:rsidR="009A4C46" w:rsidRPr="009A4C46" w:rsidRDefault="009A4C46" w:rsidP="009A4C46">
            <w:pPr>
              <w:spacing w:after="0" w:line="240" w:lineRule="auto"/>
              <w:jc w:val="center"/>
              <w:rPr>
                <w:rFonts w:eastAsia="Times New Roman"/>
                <w:lang w:eastAsia="ru-RU"/>
              </w:rPr>
            </w:pPr>
            <w:r w:rsidRPr="009A4C46">
              <w:rPr>
                <w:rFonts w:eastAsia="Times New Roman"/>
                <w:color w:val="000000"/>
                <w:lang w:eastAsia="ru-RU"/>
              </w:rPr>
              <w:t>4,33</w:t>
            </w:r>
          </w:p>
        </w:tc>
        <w:tc>
          <w:tcPr>
            <w:tcW w:w="3084" w:type="dxa"/>
            <w:tcBorders>
              <w:top w:val="nil"/>
              <w:left w:val="nil"/>
              <w:bottom w:val="single" w:sz="8" w:space="0" w:color="auto"/>
              <w:right w:val="single" w:sz="8" w:space="0" w:color="auto"/>
            </w:tcBorders>
            <w:shd w:val="clear" w:color="000000" w:fill="FFFFFF"/>
            <w:noWrap/>
            <w:vAlign w:val="center"/>
            <w:hideMark/>
          </w:tcPr>
          <w:p w14:paraId="60821F47" w14:textId="77777777" w:rsidR="009A4C46" w:rsidRPr="009A4C46" w:rsidRDefault="009A4C46" w:rsidP="009A4C46">
            <w:pPr>
              <w:spacing w:after="0" w:line="240" w:lineRule="auto"/>
              <w:jc w:val="center"/>
              <w:rPr>
                <w:rFonts w:eastAsia="Times New Roman"/>
                <w:lang w:eastAsia="ru-RU"/>
              </w:rPr>
            </w:pPr>
            <w:r w:rsidRPr="009A4C46">
              <w:rPr>
                <w:rFonts w:eastAsia="Times New Roman"/>
                <w:color w:val="000000"/>
                <w:lang w:eastAsia="ru-RU"/>
              </w:rPr>
              <w:t>4,18</w:t>
            </w:r>
          </w:p>
        </w:tc>
      </w:tr>
      <w:tr w:rsidR="009A4C46" w:rsidRPr="009A4C46" w14:paraId="3BC61488" w14:textId="77777777" w:rsidTr="00F94FED">
        <w:trPr>
          <w:trHeight w:val="315"/>
        </w:trPr>
        <w:tc>
          <w:tcPr>
            <w:tcW w:w="2268" w:type="dxa"/>
            <w:tcBorders>
              <w:top w:val="nil"/>
              <w:left w:val="single" w:sz="8" w:space="0" w:color="auto"/>
              <w:bottom w:val="single" w:sz="8" w:space="0" w:color="auto"/>
              <w:right w:val="single" w:sz="8" w:space="0" w:color="auto"/>
            </w:tcBorders>
            <w:shd w:val="clear" w:color="auto" w:fill="auto"/>
            <w:noWrap/>
            <w:vAlign w:val="center"/>
            <w:hideMark/>
          </w:tcPr>
          <w:p w14:paraId="69FD995B" w14:textId="77777777" w:rsidR="009A4C46" w:rsidRPr="009A4C46" w:rsidRDefault="009A4C46" w:rsidP="009A4C46">
            <w:pPr>
              <w:spacing w:after="0" w:line="240" w:lineRule="auto"/>
              <w:rPr>
                <w:rFonts w:eastAsia="Times New Roman"/>
                <w:lang w:eastAsia="ru-RU"/>
              </w:rPr>
            </w:pPr>
            <w:r w:rsidRPr="009A4C46">
              <w:rPr>
                <w:rFonts w:eastAsia="Times New Roman"/>
                <w:lang w:eastAsia="ru-RU"/>
              </w:rPr>
              <w:t>СН2</w:t>
            </w:r>
          </w:p>
        </w:tc>
        <w:tc>
          <w:tcPr>
            <w:tcW w:w="3083" w:type="dxa"/>
            <w:tcBorders>
              <w:top w:val="nil"/>
              <w:left w:val="nil"/>
              <w:bottom w:val="single" w:sz="8" w:space="0" w:color="auto"/>
              <w:right w:val="single" w:sz="8" w:space="0" w:color="auto"/>
            </w:tcBorders>
            <w:shd w:val="clear" w:color="000000" w:fill="FFFFFF"/>
            <w:noWrap/>
            <w:vAlign w:val="center"/>
            <w:hideMark/>
          </w:tcPr>
          <w:p w14:paraId="40F115CB" w14:textId="77777777" w:rsidR="009A4C46" w:rsidRPr="009A4C46" w:rsidRDefault="009A4C46" w:rsidP="009A4C46">
            <w:pPr>
              <w:spacing w:after="0" w:line="240" w:lineRule="auto"/>
              <w:jc w:val="center"/>
              <w:rPr>
                <w:rFonts w:eastAsia="Times New Roman"/>
                <w:lang w:eastAsia="ru-RU"/>
              </w:rPr>
            </w:pPr>
            <w:r w:rsidRPr="009A4C46">
              <w:rPr>
                <w:rFonts w:eastAsia="Times New Roman"/>
                <w:color w:val="000000"/>
                <w:lang w:eastAsia="ru-RU"/>
              </w:rPr>
              <w:t>24,90</w:t>
            </w:r>
          </w:p>
        </w:tc>
        <w:tc>
          <w:tcPr>
            <w:tcW w:w="3013" w:type="dxa"/>
            <w:tcBorders>
              <w:top w:val="nil"/>
              <w:left w:val="nil"/>
              <w:bottom w:val="single" w:sz="8" w:space="0" w:color="auto"/>
              <w:right w:val="single" w:sz="8" w:space="0" w:color="auto"/>
            </w:tcBorders>
            <w:shd w:val="clear" w:color="000000" w:fill="FFFFFF"/>
            <w:noWrap/>
            <w:vAlign w:val="center"/>
            <w:hideMark/>
          </w:tcPr>
          <w:p w14:paraId="7BDDEF80" w14:textId="77777777" w:rsidR="009A4C46" w:rsidRPr="009A4C46" w:rsidRDefault="009A4C46" w:rsidP="009A4C46">
            <w:pPr>
              <w:spacing w:after="0" w:line="240" w:lineRule="auto"/>
              <w:jc w:val="center"/>
              <w:rPr>
                <w:rFonts w:eastAsia="Times New Roman"/>
                <w:lang w:eastAsia="ru-RU"/>
              </w:rPr>
            </w:pPr>
            <w:r w:rsidRPr="009A4C46">
              <w:rPr>
                <w:rFonts w:eastAsia="Times New Roman"/>
                <w:color w:val="000000"/>
                <w:lang w:eastAsia="ru-RU"/>
              </w:rPr>
              <w:t>23,32</w:t>
            </w:r>
          </w:p>
        </w:tc>
        <w:tc>
          <w:tcPr>
            <w:tcW w:w="3153" w:type="dxa"/>
            <w:tcBorders>
              <w:top w:val="nil"/>
              <w:left w:val="nil"/>
              <w:bottom w:val="single" w:sz="8" w:space="0" w:color="auto"/>
              <w:right w:val="single" w:sz="8" w:space="0" w:color="auto"/>
            </w:tcBorders>
            <w:shd w:val="clear" w:color="000000" w:fill="FFFFFF"/>
            <w:noWrap/>
            <w:vAlign w:val="center"/>
            <w:hideMark/>
          </w:tcPr>
          <w:p w14:paraId="0C39EAC7" w14:textId="77777777" w:rsidR="009A4C46" w:rsidRPr="009A4C46" w:rsidRDefault="009A4C46" w:rsidP="009A4C46">
            <w:pPr>
              <w:spacing w:after="0" w:line="240" w:lineRule="auto"/>
              <w:jc w:val="center"/>
              <w:rPr>
                <w:rFonts w:eastAsia="Times New Roman"/>
                <w:lang w:eastAsia="ru-RU"/>
              </w:rPr>
            </w:pPr>
            <w:r w:rsidRPr="009A4C46">
              <w:rPr>
                <w:rFonts w:eastAsia="Times New Roman"/>
                <w:color w:val="000000"/>
                <w:lang w:eastAsia="ru-RU"/>
              </w:rPr>
              <w:t>11,94</w:t>
            </w:r>
          </w:p>
        </w:tc>
        <w:tc>
          <w:tcPr>
            <w:tcW w:w="3084" w:type="dxa"/>
            <w:tcBorders>
              <w:top w:val="nil"/>
              <w:left w:val="nil"/>
              <w:bottom w:val="single" w:sz="8" w:space="0" w:color="auto"/>
              <w:right w:val="single" w:sz="8" w:space="0" w:color="auto"/>
            </w:tcBorders>
            <w:shd w:val="clear" w:color="000000" w:fill="FFFFFF"/>
            <w:noWrap/>
            <w:vAlign w:val="center"/>
            <w:hideMark/>
          </w:tcPr>
          <w:p w14:paraId="24F08FB7" w14:textId="77777777" w:rsidR="009A4C46" w:rsidRPr="009A4C46" w:rsidRDefault="009A4C46" w:rsidP="009A4C46">
            <w:pPr>
              <w:spacing w:after="0" w:line="240" w:lineRule="auto"/>
              <w:jc w:val="center"/>
              <w:rPr>
                <w:rFonts w:eastAsia="Times New Roman"/>
                <w:lang w:eastAsia="ru-RU"/>
              </w:rPr>
            </w:pPr>
            <w:r w:rsidRPr="009A4C46">
              <w:rPr>
                <w:rFonts w:eastAsia="Times New Roman"/>
                <w:color w:val="000000"/>
                <w:lang w:eastAsia="ru-RU"/>
              </w:rPr>
              <w:t>11,18</w:t>
            </w:r>
          </w:p>
        </w:tc>
      </w:tr>
      <w:tr w:rsidR="009A4C46" w:rsidRPr="009A4C46" w14:paraId="0DD51F4F" w14:textId="77777777" w:rsidTr="00F94FED">
        <w:trPr>
          <w:trHeight w:val="315"/>
        </w:trPr>
        <w:tc>
          <w:tcPr>
            <w:tcW w:w="2268" w:type="dxa"/>
            <w:tcBorders>
              <w:top w:val="nil"/>
              <w:left w:val="single" w:sz="8" w:space="0" w:color="auto"/>
              <w:bottom w:val="single" w:sz="8" w:space="0" w:color="auto"/>
              <w:right w:val="single" w:sz="8" w:space="0" w:color="auto"/>
            </w:tcBorders>
            <w:shd w:val="clear" w:color="auto" w:fill="auto"/>
            <w:noWrap/>
            <w:vAlign w:val="center"/>
            <w:hideMark/>
          </w:tcPr>
          <w:p w14:paraId="390E6FF6" w14:textId="77777777" w:rsidR="009A4C46" w:rsidRPr="009A4C46" w:rsidRDefault="009A4C46" w:rsidP="009A4C46">
            <w:pPr>
              <w:spacing w:after="0" w:line="240" w:lineRule="auto"/>
              <w:rPr>
                <w:rFonts w:eastAsia="Times New Roman"/>
                <w:lang w:eastAsia="ru-RU"/>
              </w:rPr>
            </w:pPr>
            <w:r w:rsidRPr="009A4C46">
              <w:rPr>
                <w:rFonts w:eastAsia="Times New Roman"/>
                <w:lang w:eastAsia="ru-RU"/>
              </w:rPr>
              <w:t>НН</w:t>
            </w:r>
          </w:p>
        </w:tc>
        <w:tc>
          <w:tcPr>
            <w:tcW w:w="3083" w:type="dxa"/>
            <w:tcBorders>
              <w:top w:val="nil"/>
              <w:left w:val="nil"/>
              <w:bottom w:val="single" w:sz="8" w:space="0" w:color="auto"/>
              <w:right w:val="single" w:sz="8" w:space="0" w:color="auto"/>
            </w:tcBorders>
            <w:shd w:val="clear" w:color="000000" w:fill="FFFFFF"/>
            <w:noWrap/>
            <w:vAlign w:val="center"/>
            <w:hideMark/>
          </w:tcPr>
          <w:p w14:paraId="79E9FFF0" w14:textId="77777777" w:rsidR="009A4C46" w:rsidRPr="009A4C46" w:rsidRDefault="009A4C46" w:rsidP="009A4C46">
            <w:pPr>
              <w:spacing w:after="0" w:line="240" w:lineRule="auto"/>
              <w:jc w:val="center"/>
              <w:rPr>
                <w:rFonts w:eastAsia="Times New Roman"/>
                <w:lang w:eastAsia="ru-RU"/>
              </w:rPr>
            </w:pPr>
            <w:r w:rsidRPr="009A4C46">
              <w:rPr>
                <w:rFonts w:eastAsia="Times New Roman"/>
                <w:color w:val="000000"/>
                <w:lang w:eastAsia="ru-RU"/>
              </w:rPr>
              <w:t>30,88</w:t>
            </w:r>
          </w:p>
        </w:tc>
        <w:tc>
          <w:tcPr>
            <w:tcW w:w="3013" w:type="dxa"/>
            <w:tcBorders>
              <w:top w:val="nil"/>
              <w:left w:val="nil"/>
              <w:bottom w:val="single" w:sz="8" w:space="0" w:color="auto"/>
              <w:right w:val="single" w:sz="8" w:space="0" w:color="auto"/>
            </w:tcBorders>
            <w:shd w:val="clear" w:color="000000" w:fill="FFFFFF"/>
            <w:noWrap/>
            <w:vAlign w:val="center"/>
            <w:hideMark/>
          </w:tcPr>
          <w:p w14:paraId="210C96A5" w14:textId="77777777" w:rsidR="009A4C46" w:rsidRPr="009A4C46" w:rsidRDefault="009A4C46" w:rsidP="009A4C46">
            <w:pPr>
              <w:spacing w:after="0" w:line="240" w:lineRule="auto"/>
              <w:jc w:val="center"/>
              <w:rPr>
                <w:rFonts w:eastAsia="Times New Roman"/>
                <w:lang w:eastAsia="ru-RU"/>
              </w:rPr>
            </w:pPr>
            <w:r w:rsidRPr="009A4C46">
              <w:rPr>
                <w:rFonts w:eastAsia="Times New Roman"/>
                <w:color w:val="000000"/>
                <w:lang w:eastAsia="ru-RU"/>
              </w:rPr>
              <w:t>55,74</w:t>
            </w:r>
          </w:p>
        </w:tc>
        <w:tc>
          <w:tcPr>
            <w:tcW w:w="3153" w:type="dxa"/>
            <w:tcBorders>
              <w:top w:val="nil"/>
              <w:left w:val="nil"/>
              <w:bottom w:val="single" w:sz="8" w:space="0" w:color="auto"/>
              <w:right w:val="single" w:sz="8" w:space="0" w:color="auto"/>
            </w:tcBorders>
            <w:shd w:val="clear" w:color="000000" w:fill="FFFFFF"/>
            <w:noWrap/>
            <w:vAlign w:val="center"/>
            <w:hideMark/>
          </w:tcPr>
          <w:p w14:paraId="7AFC068A" w14:textId="77777777" w:rsidR="009A4C46" w:rsidRPr="009A4C46" w:rsidRDefault="009A4C46" w:rsidP="009A4C46">
            <w:pPr>
              <w:spacing w:after="0" w:line="240" w:lineRule="auto"/>
              <w:jc w:val="center"/>
              <w:rPr>
                <w:rFonts w:eastAsia="Times New Roman"/>
                <w:lang w:eastAsia="ru-RU"/>
              </w:rPr>
            </w:pPr>
            <w:r w:rsidRPr="009A4C46">
              <w:rPr>
                <w:rFonts w:eastAsia="Times New Roman"/>
                <w:color w:val="000000"/>
                <w:lang w:eastAsia="ru-RU"/>
              </w:rPr>
              <w:t>11,58</w:t>
            </w:r>
          </w:p>
        </w:tc>
        <w:tc>
          <w:tcPr>
            <w:tcW w:w="3084" w:type="dxa"/>
            <w:tcBorders>
              <w:top w:val="nil"/>
              <w:left w:val="nil"/>
              <w:bottom w:val="single" w:sz="8" w:space="0" w:color="auto"/>
              <w:right w:val="single" w:sz="8" w:space="0" w:color="auto"/>
            </w:tcBorders>
            <w:shd w:val="clear" w:color="000000" w:fill="FFFFFF"/>
            <w:noWrap/>
            <w:vAlign w:val="center"/>
            <w:hideMark/>
          </w:tcPr>
          <w:p w14:paraId="3193CABA" w14:textId="77777777" w:rsidR="009A4C46" w:rsidRPr="009A4C46" w:rsidRDefault="009A4C46" w:rsidP="009A4C46">
            <w:pPr>
              <w:spacing w:after="0" w:line="240" w:lineRule="auto"/>
              <w:jc w:val="center"/>
              <w:rPr>
                <w:rFonts w:eastAsia="Times New Roman"/>
                <w:lang w:eastAsia="ru-RU"/>
              </w:rPr>
            </w:pPr>
            <w:r w:rsidRPr="009A4C46">
              <w:rPr>
                <w:rFonts w:eastAsia="Times New Roman"/>
                <w:color w:val="000000"/>
                <w:lang w:eastAsia="ru-RU"/>
              </w:rPr>
              <w:t>20,90</w:t>
            </w:r>
          </w:p>
        </w:tc>
      </w:tr>
      <w:tr w:rsidR="009A4C46" w:rsidRPr="009A4C46" w14:paraId="15AC0DAF" w14:textId="77777777" w:rsidTr="00F94FED">
        <w:trPr>
          <w:trHeight w:val="315"/>
        </w:trPr>
        <w:tc>
          <w:tcPr>
            <w:tcW w:w="2268" w:type="dxa"/>
            <w:tcBorders>
              <w:top w:val="nil"/>
              <w:left w:val="single" w:sz="8" w:space="0" w:color="auto"/>
              <w:bottom w:val="single" w:sz="8" w:space="0" w:color="auto"/>
              <w:right w:val="single" w:sz="8" w:space="0" w:color="auto"/>
            </w:tcBorders>
            <w:shd w:val="clear" w:color="auto" w:fill="auto"/>
            <w:noWrap/>
            <w:vAlign w:val="center"/>
            <w:hideMark/>
          </w:tcPr>
          <w:p w14:paraId="441ED617" w14:textId="77777777" w:rsidR="009A4C46" w:rsidRPr="009A4C46" w:rsidRDefault="009A4C46" w:rsidP="009A4C46">
            <w:pPr>
              <w:spacing w:after="0" w:line="240" w:lineRule="auto"/>
              <w:rPr>
                <w:rFonts w:eastAsia="Times New Roman"/>
                <w:lang w:eastAsia="ru-RU"/>
              </w:rPr>
            </w:pPr>
            <w:r w:rsidRPr="009A4C46">
              <w:rPr>
                <w:rFonts w:eastAsia="Times New Roman"/>
                <w:lang w:eastAsia="ru-RU"/>
              </w:rPr>
              <w:t xml:space="preserve">Население </w:t>
            </w:r>
          </w:p>
        </w:tc>
        <w:tc>
          <w:tcPr>
            <w:tcW w:w="3083" w:type="dxa"/>
            <w:tcBorders>
              <w:top w:val="nil"/>
              <w:left w:val="nil"/>
              <w:bottom w:val="single" w:sz="8" w:space="0" w:color="auto"/>
              <w:right w:val="single" w:sz="8" w:space="0" w:color="auto"/>
            </w:tcBorders>
            <w:shd w:val="clear" w:color="000000" w:fill="FFFFFF"/>
            <w:noWrap/>
            <w:vAlign w:val="center"/>
            <w:hideMark/>
          </w:tcPr>
          <w:p w14:paraId="6E0819A1" w14:textId="77777777" w:rsidR="009A4C46" w:rsidRPr="009A4C46" w:rsidRDefault="009A4C46" w:rsidP="009A4C46">
            <w:pPr>
              <w:spacing w:after="0" w:line="240" w:lineRule="auto"/>
              <w:jc w:val="center"/>
              <w:rPr>
                <w:rFonts w:eastAsia="Times New Roman"/>
                <w:lang w:eastAsia="ru-RU"/>
              </w:rPr>
            </w:pPr>
            <w:r w:rsidRPr="009A4C46">
              <w:rPr>
                <w:rFonts w:eastAsia="Times New Roman"/>
                <w:color w:val="000000"/>
                <w:lang w:eastAsia="ru-RU"/>
              </w:rPr>
              <w:t>107,40</w:t>
            </w:r>
          </w:p>
        </w:tc>
        <w:tc>
          <w:tcPr>
            <w:tcW w:w="3013" w:type="dxa"/>
            <w:tcBorders>
              <w:top w:val="nil"/>
              <w:left w:val="nil"/>
              <w:bottom w:val="single" w:sz="8" w:space="0" w:color="auto"/>
              <w:right w:val="single" w:sz="8" w:space="0" w:color="auto"/>
            </w:tcBorders>
            <w:shd w:val="clear" w:color="000000" w:fill="FFFFFF"/>
            <w:noWrap/>
            <w:vAlign w:val="center"/>
            <w:hideMark/>
          </w:tcPr>
          <w:p w14:paraId="47CC1732" w14:textId="77777777" w:rsidR="009A4C46" w:rsidRPr="009A4C46" w:rsidRDefault="009A4C46" w:rsidP="009A4C46">
            <w:pPr>
              <w:spacing w:after="0" w:line="240" w:lineRule="auto"/>
              <w:jc w:val="center"/>
              <w:rPr>
                <w:rFonts w:eastAsia="Times New Roman"/>
                <w:lang w:eastAsia="ru-RU"/>
              </w:rPr>
            </w:pPr>
            <w:r w:rsidRPr="009A4C46">
              <w:rPr>
                <w:rFonts w:eastAsia="Times New Roman"/>
                <w:color w:val="000000"/>
                <w:lang w:eastAsia="ru-RU"/>
              </w:rPr>
              <w:t>107,80</w:t>
            </w:r>
          </w:p>
        </w:tc>
        <w:tc>
          <w:tcPr>
            <w:tcW w:w="3153" w:type="dxa"/>
            <w:tcBorders>
              <w:top w:val="nil"/>
              <w:left w:val="nil"/>
              <w:bottom w:val="single" w:sz="8" w:space="0" w:color="auto"/>
              <w:right w:val="single" w:sz="8" w:space="0" w:color="auto"/>
            </w:tcBorders>
            <w:shd w:val="clear" w:color="000000" w:fill="FFFFFF"/>
            <w:noWrap/>
            <w:vAlign w:val="center"/>
            <w:hideMark/>
          </w:tcPr>
          <w:p w14:paraId="7BA2AD9B" w14:textId="77777777" w:rsidR="009A4C46" w:rsidRPr="009A4C46" w:rsidRDefault="009A4C46" w:rsidP="009A4C46">
            <w:pPr>
              <w:spacing w:after="0" w:line="240" w:lineRule="auto"/>
              <w:jc w:val="center"/>
              <w:rPr>
                <w:rFonts w:eastAsia="Times New Roman"/>
                <w:lang w:eastAsia="ru-RU"/>
              </w:rPr>
            </w:pPr>
            <w:r w:rsidRPr="009A4C46">
              <w:rPr>
                <w:rFonts w:eastAsia="Times New Roman"/>
                <w:color w:val="000000"/>
                <w:lang w:eastAsia="ru-RU"/>
              </w:rPr>
              <w:t>35,67</w:t>
            </w:r>
          </w:p>
        </w:tc>
        <w:tc>
          <w:tcPr>
            <w:tcW w:w="3084" w:type="dxa"/>
            <w:tcBorders>
              <w:top w:val="nil"/>
              <w:left w:val="nil"/>
              <w:bottom w:val="single" w:sz="8" w:space="0" w:color="auto"/>
              <w:right w:val="single" w:sz="8" w:space="0" w:color="auto"/>
            </w:tcBorders>
            <w:shd w:val="clear" w:color="000000" w:fill="FFFFFF"/>
            <w:noWrap/>
            <w:vAlign w:val="center"/>
            <w:hideMark/>
          </w:tcPr>
          <w:p w14:paraId="2AEB0859" w14:textId="77777777" w:rsidR="009A4C46" w:rsidRPr="009A4C46" w:rsidRDefault="009A4C46" w:rsidP="009A4C46">
            <w:pPr>
              <w:spacing w:after="0" w:line="240" w:lineRule="auto"/>
              <w:jc w:val="center"/>
              <w:rPr>
                <w:rFonts w:eastAsia="Times New Roman"/>
                <w:lang w:eastAsia="ru-RU"/>
              </w:rPr>
            </w:pPr>
            <w:r w:rsidRPr="009A4C46">
              <w:rPr>
                <w:rFonts w:eastAsia="Times New Roman"/>
                <w:color w:val="000000"/>
                <w:lang w:eastAsia="ru-RU"/>
              </w:rPr>
              <w:t>35,87</w:t>
            </w:r>
          </w:p>
        </w:tc>
      </w:tr>
      <w:tr w:rsidR="009A4C46" w:rsidRPr="009A4C46" w14:paraId="6CC80EEB" w14:textId="77777777" w:rsidTr="00F94FED">
        <w:trPr>
          <w:trHeight w:val="315"/>
        </w:trPr>
        <w:tc>
          <w:tcPr>
            <w:tcW w:w="2268" w:type="dxa"/>
            <w:tcBorders>
              <w:top w:val="nil"/>
              <w:left w:val="single" w:sz="8" w:space="0" w:color="auto"/>
              <w:bottom w:val="single" w:sz="8" w:space="0" w:color="auto"/>
              <w:right w:val="single" w:sz="8" w:space="0" w:color="auto"/>
            </w:tcBorders>
            <w:shd w:val="clear" w:color="auto" w:fill="auto"/>
            <w:noWrap/>
            <w:vAlign w:val="center"/>
            <w:hideMark/>
          </w:tcPr>
          <w:p w14:paraId="0495B3C4" w14:textId="77777777" w:rsidR="009A4C46" w:rsidRPr="009A4C46" w:rsidRDefault="009A4C46" w:rsidP="009A4C46">
            <w:pPr>
              <w:spacing w:after="0" w:line="240" w:lineRule="auto"/>
              <w:rPr>
                <w:rFonts w:eastAsia="Times New Roman"/>
                <w:lang w:eastAsia="ru-RU"/>
              </w:rPr>
            </w:pPr>
            <w:r w:rsidRPr="009A4C46">
              <w:rPr>
                <w:rFonts w:eastAsia="Times New Roman"/>
                <w:lang w:eastAsia="ru-RU"/>
              </w:rPr>
              <w:t>Категория 1*</w:t>
            </w:r>
          </w:p>
        </w:tc>
        <w:tc>
          <w:tcPr>
            <w:tcW w:w="3083" w:type="dxa"/>
            <w:tcBorders>
              <w:top w:val="nil"/>
              <w:left w:val="nil"/>
              <w:bottom w:val="single" w:sz="8" w:space="0" w:color="auto"/>
              <w:right w:val="single" w:sz="8" w:space="0" w:color="auto"/>
            </w:tcBorders>
            <w:shd w:val="clear" w:color="000000" w:fill="FFFFFF"/>
            <w:noWrap/>
            <w:vAlign w:val="center"/>
            <w:hideMark/>
          </w:tcPr>
          <w:p w14:paraId="7E1E1AB9" w14:textId="77777777" w:rsidR="009A4C46" w:rsidRPr="009A4C46" w:rsidRDefault="009A4C46" w:rsidP="009A4C46">
            <w:pPr>
              <w:spacing w:after="0" w:line="240" w:lineRule="auto"/>
              <w:jc w:val="center"/>
              <w:rPr>
                <w:rFonts w:eastAsia="Times New Roman"/>
                <w:lang w:eastAsia="ru-RU"/>
              </w:rPr>
            </w:pPr>
            <w:r w:rsidRPr="009A4C46">
              <w:rPr>
                <w:rFonts w:eastAsia="Times New Roman"/>
                <w:color w:val="000000"/>
                <w:lang w:eastAsia="ru-RU"/>
              </w:rPr>
              <w:t>96,46</w:t>
            </w:r>
          </w:p>
        </w:tc>
        <w:tc>
          <w:tcPr>
            <w:tcW w:w="3013" w:type="dxa"/>
            <w:tcBorders>
              <w:top w:val="nil"/>
              <w:left w:val="nil"/>
              <w:bottom w:val="single" w:sz="8" w:space="0" w:color="auto"/>
              <w:right w:val="single" w:sz="8" w:space="0" w:color="auto"/>
            </w:tcBorders>
            <w:shd w:val="clear" w:color="000000" w:fill="FFFFFF"/>
            <w:noWrap/>
            <w:vAlign w:val="center"/>
            <w:hideMark/>
          </w:tcPr>
          <w:p w14:paraId="63F43812" w14:textId="77777777" w:rsidR="009A4C46" w:rsidRPr="009A4C46" w:rsidRDefault="009A4C46" w:rsidP="009A4C46">
            <w:pPr>
              <w:spacing w:after="0" w:line="240" w:lineRule="auto"/>
              <w:jc w:val="center"/>
              <w:rPr>
                <w:rFonts w:eastAsia="Times New Roman"/>
                <w:lang w:eastAsia="ru-RU"/>
              </w:rPr>
            </w:pPr>
            <w:r w:rsidRPr="009A4C46">
              <w:rPr>
                <w:rFonts w:eastAsia="Times New Roman"/>
                <w:color w:val="000000"/>
                <w:lang w:eastAsia="ru-RU"/>
              </w:rPr>
              <w:t>99,63</w:t>
            </w:r>
          </w:p>
        </w:tc>
        <w:tc>
          <w:tcPr>
            <w:tcW w:w="3153" w:type="dxa"/>
            <w:vMerge w:val="restart"/>
            <w:tcBorders>
              <w:top w:val="nil"/>
              <w:left w:val="single" w:sz="8" w:space="0" w:color="auto"/>
              <w:bottom w:val="single" w:sz="8" w:space="0" w:color="000000"/>
              <w:right w:val="single" w:sz="8" w:space="0" w:color="auto"/>
            </w:tcBorders>
            <w:shd w:val="clear" w:color="auto" w:fill="auto"/>
            <w:noWrap/>
            <w:vAlign w:val="center"/>
          </w:tcPr>
          <w:p w14:paraId="2B17F6F6" w14:textId="77777777" w:rsidR="009A4C46" w:rsidRPr="009A4C46" w:rsidRDefault="009A4C46" w:rsidP="009A4C46">
            <w:pPr>
              <w:spacing w:after="0" w:line="240" w:lineRule="auto"/>
              <w:jc w:val="center"/>
              <w:rPr>
                <w:rFonts w:eastAsia="Times New Roman"/>
                <w:lang w:eastAsia="ru-RU"/>
              </w:rPr>
            </w:pPr>
            <w:r w:rsidRPr="009A4C46">
              <w:rPr>
                <w:rFonts w:eastAsia="Times New Roman"/>
                <w:lang w:eastAsia="ru-RU"/>
              </w:rPr>
              <w:t>35,67</w:t>
            </w:r>
          </w:p>
        </w:tc>
        <w:tc>
          <w:tcPr>
            <w:tcW w:w="3084" w:type="dxa"/>
            <w:vMerge w:val="restart"/>
            <w:tcBorders>
              <w:top w:val="nil"/>
              <w:left w:val="single" w:sz="8" w:space="0" w:color="auto"/>
              <w:bottom w:val="single" w:sz="8" w:space="0" w:color="000000"/>
              <w:right w:val="single" w:sz="8" w:space="0" w:color="auto"/>
            </w:tcBorders>
            <w:shd w:val="clear" w:color="auto" w:fill="auto"/>
            <w:noWrap/>
            <w:vAlign w:val="center"/>
          </w:tcPr>
          <w:p w14:paraId="516A0ED6" w14:textId="77777777" w:rsidR="009A4C46" w:rsidRPr="009A4C46" w:rsidRDefault="009A4C46" w:rsidP="009A4C46">
            <w:pPr>
              <w:spacing w:after="0" w:line="240" w:lineRule="auto"/>
              <w:jc w:val="center"/>
              <w:rPr>
                <w:rFonts w:eastAsia="Times New Roman"/>
                <w:lang w:eastAsia="ru-RU"/>
              </w:rPr>
            </w:pPr>
            <w:r w:rsidRPr="009A4C46">
              <w:rPr>
                <w:rFonts w:eastAsia="Times New Roman"/>
                <w:lang w:eastAsia="ru-RU"/>
              </w:rPr>
              <w:t>35,87</w:t>
            </w:r>
          </w:p>
        </w:tc>
      </w:tr>
      <w:tr w:rsidR="009A4C46" w:rsidRPr="009A4C46" w14:paraId="6F7ADB4A" w14:textId="77777777" w:rsidTr="00F94FED">
        <w:trPr>
          <w:trHeight w:val="315"/>
        </w:trPr>
        <w:tc>
          <w:tcPr>
            <w:tcW w:w="2268" w:type="dxa"/>
            <w:tcBorders>
              <w:top w:val="nil"/>
              <w:left w:val="single" w:sz="8" w:space="0" w:color="auto"/>
              <w:bottom w:val="single" w:sz="8" w:space="0" w:color="auto"/>
              <w:right w:val="single" w:sz="8" w:space="0" w:color="auto"/>
            </w:tcBorders>
            <w:shd w:val="clear" w:color="auto" w:fill="auto"/>
            <w:noWrap/>
            <w:vAlign w:val="center"/>
            <w:hideMark/>
          </w:tcPr>
          <w:p w14:paraId="51F12BC8" w14:textId="77777777" w:rsidR="009A4C46" w:rsidRPr="009A4C46" w:rsidRDefault="009A4C46" w:rsidP="009A4C46">
            <w:pPr>
              <w:spacing w:after="0" w:line="240" w:lineRule="auto"/>
              <w:rPr>
                <w:rFonts w:eastAsia="Times New Roman"/>
                <w:lang w:eastAsia="ru-RU"/>
              </w:rPr>
            </w:pPr>
            <w:r w:rsidRPr="009A4C46">
              <w:rPr>
                <w:rFonts w:eastAsia="Times New Roman"/>
                <w:lang w:eastAsia="ru-RU"/>
              </w:rPr>
              <w:t>Категория 2*</w:t>
            </w:r>
          </w:p>
        </w:tc>
        <w:tc>
          <w:tcPr>
            <w:tcW w:w="3083" w:type="dxa"/>
            <w:tcBorders>
              <w:top w:val="nil"/>
              <w:left w:val="nil"/>
              <w:bottom w:val="single" w:sz="8" w:space="0" w:color="auto"/>
              <w:right w:val="single" w:sz="8" w:space="0" w:color="auto"/>
            </w:tcBorders>
            <w:shd w:val="clear" w:color="000000" w:fill="FFFFFF"/>
            <w:noWrap/>
            <w:vAlign w:val="center"/>
            <w:hideMark/>
          </w:tcPr>
          <w:p w14:paraId="2C296C67" w14:textId="77777777" w:rsidR="009A4C46" w:rsidRPr="009A4C46" w:rsidRDefault="009A4C46" w:rsidP="009A4C46">
            <w:pPr>
              <w:spacing w:after="0" w:line="240" w:lineRule="auto"/>
              <w:jc w:val="center"/>
              <w:rPr>
                <w:rFonts w:eastAsia="Times New Roman"/>
                <w:lang w:eastAsia="ru-RU"/>
              </w:rPr>
            </w:pPr>
            <w:r w:rsidRPr="009A4C46">
              <w:rPr>
                <w:rFonts w:eastAsia="Times New Roman"/>
                <w:color w:val="000000"/>
                <w:lang w:eastAsia="ru-RU"/>
              </w:rPr>
              <w:t>4,89</w:t>
            </w:r>
          </w:p>
        </w:tc>
        <w:tc>
          <w:tcPr>
            <w:tcW w:w="3013" w:type="dxa"/>
            <w:tcBorders>
              <w:top w:val="nil"/>
              <w:left w:val="nil"/>
              <w:bottom w:val="single" w:sz="8" w:space="0" w:color="auto"/>
              <w:right w:val="single" w:sz="8" w:space="0" w:color="auto"/>
            </w:tcBorders>
            <w:shd w:val="clear" w:color="000000" w:fill="FFFFFF"/>
            <w:noWrap/>
            <w:vAlign w:val="center"/>
            <w:hideMark/>
          </w:tcPr>
          <w:p w14:paraId="4C306F9A" w14:textId="77777777" w:rsidR="009A4C46" w:rsidRPr="009A4C46" w:rsidRDefault="009A4C46" w:rsidP="009A4C46">
            <w:pPr>
              <w:spacing w:after="0" w:line="240" w:lineRule="auto"/>
              <w:jc w:val="center"/>
              <w:rPr>
                <w:rFonts w:eastAsia="Times New Roman"/>
                <w:lang w:eastAsia="ru-RU"/>
              </w:rPr>
            </w:pPr>
            <w:r w:rsidRPr="009A4C46">
              <w:rPr>
                <w:rFonts w:eastAsia="Times New Roman"/>
                <w:color w:val="000000"/>
                <w:lang w:eastAsia="ru-RU"/>
              </w:rPr>
              <w:t>1,09</w:t>
            </w:r>
          </w:p>
        </w:tc>
        <w:tc>
          <w:tcPr>
            <w:tcW w:w="3153" w:type="dxa"/>
            <w:vMerge/>
            <w:tcBorders>
              <w:top w:val="nil"/>
              <w:left w:val="single" w:sz="8" w:space="0" w:color="auto"/>
              <w:bottom w:val="single" w:sz="8" w:space="0" w:color="000000"/>
              <w:right w:val="single" w:sz="8" w:space="0" w:color="auto"/>
            </w:tcBorders>
            <w:shd w:val="clear" w:color="auto" w:fill="auto"/>
            <w:vAlign w:val="center"/>
          </w:tcPr>
          <w:p w14:paraId="79364C05" w14:textId="77777777" w:rsidR="009A4C46" w:rsidRPr="009A4C46" w:rsidRDefault="009A4C46" w:rsidP="009A4C46">
            <w:pPr>
              <w:spacing w:after="0" w:line="240" w:lineRule="auto"/>
              <w:rPr>
                <w:rFonts w:eastAsia="Times New Roman"/>
                <w:lang w:eastAsia="ru-RU"/>
              </w:rPr>
            </w:pPr>
          </w:p>
        </w:tc>
        <w:tc>
          <w:tcPr>
            <w:tcW w:w="3084" w:type="dxa"/>
            <w:vMerge/>
            <w:tcBorders>
              <w:top w:val="nil"/>
              <w:left w:val="single" w:sz="8" w:space="0" w:color="auto"/>
              <w:bottom w:val="single" w:sz="8" w:space="0" w:color="000000"/>
              <w:right w:val="single" w:sz="8" w:space="0" w:color="auto"/>
            </w:tcBorders>
            <w:shd w:val="clear" w:color="auto" w:fill="auto"/>
            <w:vAlign w:val="center"/>
          </w:tcPr>
          <w:p w14:paraId="330F5D4B" w14:textId="77777777" w:rsidR="009A4C46" w:rsidRPr="009A4C46" w:rsidRDefault="009A4C46" w:rsidP="009A4C46">
            <w:pPr>
              <w:spacing w:after="0" w:line="240" w:lineRule="auto"/>
              <w:rPr>
                <w:rFonts w:eastAsia="Times New Roman"/>
                <w:lang w:eastAsia="ru-RU"/>
              </w:rPr>
            </w:pPr>
          </w:p>
        </w:tc>
      </w:tr>
      <w:tr w:rsidR="009A4C46" w:rsidRPr="009A4C46" w14:paraId="20646F40" w14:textId="77777777" w:rsidTr="00F94FED">
        <w:trPr>
          <w:trHeight w:val="315"/>
        </w:trPr>
        <w:tc>
          <w:tcPr>
            <w:tcW w:w="2268" w:type="dxa"/>
            <w:tcBorders>
              <w:top w:val="nil"/>
              <w:left w:val="single" w:sz="8" w:space="0" w:color="auto"/>
              <w:bottom w:val="single" w:sz="8" w:space="0" w:color="auto"/>
              <w:right w:val="single" w:sz="8" w:space="0" w:color="auto"/>
            </w:tcBorders>
            <w:shd w:val="clear" w:color="auto" w:fill="auto"/>
            <w:noWrap/>
            <w:vAlign w:val="center"/>
            <w:hideMark/>
          </w:tcPr>
          <w:p w14:paraId="573B85F1" w14:textId="77777777" w:rsidR="009A4C46" w:rsidRPr="009A4C46" w:rsidRDefault="009A4C46" w:rsidP="009A4C46">
            <w:pPr>
              <w:spacing w:after="0" w:line="240" w:lineRule="auto"/>
              <w:rPr>
                <w:rFonts w:eastAsia="Times New Roman"/>
                <w:lang w:eastAsia="ru-RU"/>
              </w:rPr>
            </w:pPr>
            <w:r w:rsidRPr="009A4C46">
              <w:rPr>
                <w:rFonts w:eastAsia="Times New Roman"/>
                <w:lang w:eastAsia="ru-RU"/>
              </w:rPr>
              <w:t>Категория 3*</w:t>
            </w:r>
          </w:p>
        </w:tc>
        <w:tc>
          <w:tcPr>
            <w:tcW w:w="3083" w:type="dxa"/>
            <w:tcBorders>
              <w:top w:val="nil"/>
              <w:left w:val="nil"/>
              <w:bottom w:val="single" w:sz="8" w:space="0" w:color="auto"/>
              <w:right w:val="single" w:sz="8" w:space="0" w:color="auto"/>
            </w:tcBorders>
            <w:shd w:val="clear" w:color="000000" w:fill="FFFFFF"/>
            <w:noWrap/>
            <w:vAlign w:val="center"/>
            <w:hideMark/>
          </w:tcPr>
          <w:p w14:paraId="218E434C" w14:textId="77777777" w:rsidR="009A4C46" w:rsidRPr="009A4C46" w:rsidRDefault="009A4C46" w:rsidP="009A4C46">
            <w:pPr>
              <w:spacing w:after="0" w:line="240" w:lineRule="auto"/>
              <w:jc w:val="center"/>
              <w:rPr>
                <w:rFonts w:eastAsia="Times New Roman"/>
                <w:lang w:eastAsia="ru-RU"/>
              </w:rPr>
            </w:pPr>
            <w:r w:rsidRPr="009A4C46">
              <w:rPr>
                <w:rFonts w:eastAsia="Times New Roman"/>
                <w:color w:val="000000"/>
                <w:lang w:eastAsia="ru-RU"/>
              </w:rPr>
              <w:t>0,39</w:t>
            </w:r>
          </w:p>
        </w:tc>
        <w:tc>
          <w:tcPr>
            <w:tcW w:w="3013" w:type="dxa"/>
            <w:tcBorders>
              <w:top w:val="nil"/>
              <w:left w:val="nil"/>
              <w:bottom w:val="single" w:sz="8" w:space="0" w:color="auto"/>
              <w:right w:val="single" w:sz="8" w:space="0" w:color="auto"/>
            </w:tcBorders>
            <w:shd w:val="clear" w:color="000000" w:fill="FFFFFF"/>
            <w:noWrap/>
            <w:vAlign w:val="center"/>
            <w:hideMark/>
          </w:tcPr>
          <w:p w14:paraId="69B87ECB" w14:textId="77777777" w:rsidR="009A4C46" w:rsidRPr="009A4C46" w:rsidRDefault="009A4C46" w:rsidP="009A4C46">
            <w:pPr>
              <w:spacing w:after="0" w:line="240" w:lineRule="auto"/>
              <w:jc w:val="center"/>
              <w:rPr>
                <w:rFonts w:eastAsia="Times New Roman"/>
                <w:lang w:eastAsia="ru-RU"/>
              </w:rPr>
            </w:pPr>
            <w:r w:rsidRPr="009A4C46">
              <w:rPr>
                <w:rFonts w:eastAsia="Times New Roman"/>
                <w:color w:val="000000"/>
                <w:lang w:eastAsia="ru-RU"/>
              </w:rPr>
              <w:t>0,32</w:t>
            </w:r>
          </w:p>
        </w:tc>
        <w:tc>
          <w:tcPr>
            <w:tcW w:w="3153" w:type="dxa"/>
            <w:vMerge/>
            <w:tcBorders>
              <w:top w:val="nil"/>
              <w:left w:val="single" w:sz="8" w:space="0" w:color="auto"/>
              <w:bottom w:val="single" w:sz="8" w:space="0" w:color="000000"/>
              <w:right w:val="single" w:sz="8" w:space="0" w:color="auto"/>
            </w:tcBorders>
            <w:shd w:val="clear" w:color="auto" w:fill="auto"/>
            <w:vAlign w:val="center"/>
          </w:tcPr>
          <w:p w14:paraId="65E516D3" w14:textId="77777777" w:rsidR="009A4C46" w:rsidRPr="009A4C46" w:rsidRDefault="009A4C46" w:rsidP="009A4C46">
            <w:pPr>
              <w:spacing w:after="0" w:line="240" w:lineRule="auto"/>
              <w:rPr>
                <w:rFonts w:eastAsia="Times New Roman"/>
                <w:lang w:eastAsia="ru-RU"/>
              </w:rPr>
            </w:pPr>
          </w:p>
        </w:tc>
        <w:tc>
          <w:tcPr>
            <w:tcW w:w="3084" w:type="dxa"/>
            <w:vMerge/>
            <w:tcBorders>
              <w:top w:val="nil"/>
              <w:left w:val="single" w:sz="8" w:space="0" w:color="auto"/>
              <w:bottom w:val="single" w:sz="8" w:space="0" w:color="000000"/>
              <w:right w:val="single" w:sz="8" w:space="0" w:color="auto"/>
            </w:tcBorders>
            <w:shd w:val="clear" w:color="auto" w:fill="auto"/>
            <w:vAlign w:val="center"/>
          </w:tcPr>
          <w:p w14:paraId="20A977C4" w14:textId="77777777" w:rsidR="009A4C46" w:rsidRPr="009A4C46" w:rsidRDefault="009A4C46" w:rsidP="009A4C46">
            <w:pPr>
              <w:spacing w:after="0" w:line="240" w:lineRule="auto"/>
              <w:rPr>
                <w:rFonts w:eastAsia="Times New Roman"/>
                <w:lang w:eastAsia="ru-RU"/>
              </w:rPr>
            </w:pPr>
          </w:p>
        </w:tc>
      </w:tr>
      <w:tr w:rsidR="009A4C46" w:rsidRPr="009A4C46" w14:paraId="3C72436F" w14:textId="77777777" w:rsidTr="00F94FED">
        <w:trPr>
          <w:trHeight w:val="315"/>
        </w:trPr>
        <w:tc>
          <w:tcPr>
            <w:tcW w:w="2268" w:type="dxa"/>
            <w:tcBorders>
              <w:top w:val="nil"/>
              <w:left w:val="single" w:sz="8" w:space="0" w:color="auto"/>
              <w:bottom w:val="single" w:sz="8" w:space="0" w:color="auto"/>
              <w:right w:val="single" w:sz="8" w:space="0" w:color="auto"/>
            </w:tcBorders>
            <w:shd w:val="clear" w:color="auto" w:fill="auto"/>
            <w:noWrap/>
            <w:vAlign w:val="center"/>
            <w:hideMark/>
          </w:tcPr>
          <w:p w14:paraId="480CA3F2" w14:textId="77777777" w:rsidR="009A4C46" w:rsidRPr="009A4C46" w:rsidRDefault="009A4C46" w:rsidP="009A4C46">
            <w:pPr>
              <w:spacing w:after="0" w:line="240" w:lineRule="auto"/>
              <w:rPr>
                <w:rFonts w:eastAsia="Times New Roman"/>
                <w:lang w:eastAsia="ru-RU"/>
              </w:rPr>
            </w:pPr>
            <w:r w:rsidRPr="009A4C46">
              <w:rPr>
                <w:rFonts w:eastAsia="Times New Roman"/>
                <w:lang w:eastAsia="ru-RU"/>
              </w:rPr>
              <w:t>Категория 4.1*</w:t>
            </w:r>
          </w:p>
        </w:tc>
        <w:tc>
          <w:tcPr>
            <w:tcW w:w="3083" w:type="dxa"/>
            <w:tcBorders>
              <w:top w:val="nil"/>
              <w:left w:val="nil"/>
              <w:bottom w:val="single" w:sz="8" w:space="0" w:color="auto"/>
              <w:right w:val="single" w:sz="8" w:space="0" w:color="auto"/>
            </w:tcBorders>
            <w:shd w:val="clear" w:color="000000" w:fill="FFFFFF"/>
            <w:noWrap/>
            <w:vAlign w:val="center"/>
            <w:hideMark/>
          </w:tcPr>
          <w:p w14:paraId="27FA4F83" w14:textId="77777777" w:rsidR="009A4C46" w:rsidRPr="009A4C46" w:rsidRDefault="009A4C46" w:rsidP="009A4C46">
            <w:pPr>
              <w:spacing w:after="0" w:line="240" w:lineRule="auto"/>
              <w:jc w:val="center"/>
              <w:rPr>
                <w:rFonts w:eastAsia="Times New Roman"/>
                <w:lang w:eastAsia="ru-RU"/>
              </w:rPr>
            </w:pPr>
            <w:r w:rsidRPr="009A4C46">
              <w:rPr>
                <w:rFonts w:eastAsia="Times New Roman"/>
                <w:color w:val="000000"/>
                <w:lang w:eastAsia="ru-RU"/>
              </w:rPr>
              <w:t>0,06</w:t>
            </w:r>
          </w:p>
        </w:tc>
        <w:tc>
          <w:tcPr>
            <w:tcW w:w="3013" w:type="dxa"/>
            <w:tcBorders>
              <w:top w:val="nil"/>
              <w:left w:val="nil"/>
              <w:bottom w:val="single" w:sz="8" w:space="0" w:color="auto"/>
              <w:right w:val="single" w:sz="8" w:space="0" w:color="auto"/>
            </w:tcBorders>
            <w:shd w:val="clear" w:color="000000" w:fill="FFFFFF"/>
            <w:noWrap/>
            <w:vAlign w:val="center"/>
            <w:hideMark/>
          </w:tcPr>
          <w:p w14:paraId="48C90AD6" w14:textId="77777777" w:rsidR="009A4C46" w:rsidRPr="009A4C46" w:rsidRDefault="009A4C46" w:rsidP="009A4C46">
            <w:pPr>
              <w:spacing w:after="0" w:line="240" w:lineRule="auto"/>
              <w:jc w:val="center"/>
              <w:rPr>
                <w:rFonts w:eastAsia="Times New Roman"/>
                <w:lang w:eastAsia="ru-RU"/>
              </w:rPr>
            </w:pPr>
            <w:r w:rsidRPr="009A4C46">
              <w:rPr>
                <w:rFonts w:eastAsia="Times New Roman"/>
                <w:color w:val="000000"/>
                <w:lang w:eastAsia="ru-RU"/>
              </w:rPr>
              <w:t>1,98</w:t>
            </w:r>
          </w:p>
        </w:tc>
        <w:tc>
          <w:tcPr>
            <w:tcW w:w="3153" w:type="dxa"/>
            <w:vMerge/>
            <w:tcBorders>
              <w:top w:val="nil"/>
              <w:left w:val="single" w:sz="8" w:space="0" w:color="auto"/>
              <w:bottom w:val="single" w:sz="8" w:space="0" w:color="000000"/>
              <w:right w:val="single" w:sz="8" w:space="0" w:color="auto"/>
            </w:tcBorders>
            <w:shd w:val="clear" w:color="auto" w:fill="auto"/>
            <w:vAlign w:val="center"/>
          </w:tcPr>
          <w:p w14:paraId="63B1A110" w14:textId="77777777" w:rsidR="009A4C46" w:rsidRPr="009A4C46" w:rsidRDefault="009A4C46" w:rsidP="009A4C46">
            <w:pPr>
              <w:spacing w:after="0" w:line="240" w:lineRule="auto"/>
              <w:rPr>
                <w:rFonts w:eastAsia="Times New Roman"/>
                <w:lang w:eastAsia="ru-RU"/>
              </w:rPr>
            </w:pPr>
          </w:p>
        </w:tc>
        <w:tc>
          <w:tcPr>
            <w:tcW w:w="3084" w:type="dxa"/>
            <w:vMerge/>
            <w:tcBorders>
              <w:top w:val="nil"/>
              <w:left w:val="single" w:sz="8" w:space="0" w:color="auto"/>
              <w:bottom w:val="single" w:sz="8" w:space="0" w:color="000000"/>
              <w:right w:val="single" w:sz="8" w:space="0" w:color="auto"/>
            </w:tcBorders>
            <w:shd w:val="clear" w:color="auto" w:fill="auto"/>
            <w:vAlign w:val="center"/>
          </w:tcPr>
          <w:p w14:paraId="307CBD2D" w14:textId="77777777" w:rsidR="009A4C46" w:rsidRPr="009A4C46" w:rsidRDefault="009A4C46" w:rsidP="009A4C46">
            <w:pPr>
              <w:spacing w:after="0" w:line="240" w:lineRule="auto"/>
              <w:rPr>
                <w:rFonts w:eastAsia="Times New Roman"/>
                <w:lang w:eastAsia="ru-RU"/>
              </w:rPr>
            </w:pPr>
          </w:p>
        </w:tc>
      </w:tr>
      <w:tr w:rsidR="009A4C46" w:rsidRPr="009A4C46" w14:paraId="7250EA90" w14:textId="77777777" w:rsidTr="00F94FED">
        <w:trPr>
          <w:trHeight w:val="315"/>
        </w:trPr>
        <w:tc>
          <w:tcPr>
            <w:tcW w:w="2268" w:type="dxa"/>
            <w:tcBorders>
              <w:top w:val="nil"/>
              <w:left w:val="single" w:sz="8" w:space="0" w:color="auto"/>
              <w:bottom w:val="single" w:sz="8" w:space="0" w:color="auto"/>
              <w:right w:val="single" w:sz="8" w:space="0" w:color="auto"/>
            </w:tcBorders>
            <w:shd w:val="clear" w:color="auto" w:fill="auto"/>
            <w:noWrap/>
            <w:vAlign w:val="center"/>
            <w:hideMark/>
          </w:tcPr>
          <w:p w14:paraId="0691DC3C" w14:textId="77777777" w:rsidR="009A4C46" w:rsidRPr="009A4C46" w:rsidRDefault="009A4C46" w:rsidP="009A4C46">
            <w:pPr>
              <w:spacing w:after="0" w:line="240" w:lineRule="auto"/>
              <w:rPr>
                <w:rFonts w:eastAsia="Times New Roman"/>
                <w:lang w:eastAsia="ru-RU"/>
              </w:rPr>
            </w:pPr>
            <w:r w:rsidRPr="009A4C46">
              <w:rPr>
                <w:rFonts w:eastAsia="Times New Roman"/>
                <w:lang w:eastAsia="ru-RU"/>
              </w:rPr>
              <w:t>Категория 4.2*</w:t>
            </w:r>
          </w:p>
        </w:tc>
        <w:tc>
          <w:tcPr>
            <w:tcW w:w="3083" w:type="dxa"/>
            <w:tcBorders>
              <w:top w:val="nil"/>
              <w:left w:val="nil"/>
              <w:bottom w:val="single" w:sz="8" w:space="0" w:color="auto"/>
              <w:right w:val="single" w:sz="8" w:space="0" w:color="auto"/>
            </w:tcBorders>
            <w:shd w:val="clear" w:color="000000" w:fill="FFFFFF"/>
            <w:noWrap/>
            <w:vAlign w:val="center"/>
            <w:hideMark/>
          </w:tcPr>
          <w:p w14:paraId="24BA9449" w14:textId="77777777" w:rsidR="009A4C46" w:rsidRPr="009A4C46" w:rsidRDefault="009A4C46" w:rsidP="009A4C46">
            <w:pPr>
              <w:spacing w:after="0" w:line="240" w:lineRule="auto"/>
              <w:jc w:val="center"/>
              <w:rPr>
                <w:rFonts w:eastAsia="Times New Roman"/>
                <w:lang w:eastAsia="ru-RU"/>
              </w:rPr>
            </w:pPr>
            <w:r w:rsidRPr="009A4C46">
              <w:rPr>
                <w:rFonts w:eastAsia="Times New Roman"/>
                <w:color w:val="000000"/>
                <w:lang w:eastAsia="ru-RU"/>
              </w:rPr>
              <w:t>0,70</w:t>
            </w:r>
          </w:p>
        </w:tc>
        <w:tc>
          <w:tcPr>
            <w:tcW w:w="3013" w:type="dxa"/>
            <w:tcBorders>
              <w:top w:val="nil"/>
              <w:left w:val="nil"/>
              <w:bottom w:val="single" w:sz="8" w:space="0" w:color="auto"/>
              <w:right w:val="single" w:sz="8" w:space="0" w:color="auto"/>
            </w:tcBorders>
            <w:shd w:val="clear" w:color="000000" w:fill="FFFFFF"/>
            <w:noWrap/>
            <w:vAlign w:val="center"/>
            <w:hideMark/>
          </w:tcPr>
          <w:p w14:paraId="24D7679F" w14:textId="77777777" w:rsidR="009A4C46" w:rsidRPr="009A4C46" w:rsidRDefault="009A4C46" w:rsidP="009A4C46">
            <w:pPr>
              <w:spacing w:after="0" w:line="240" w:lineRule="auto"/>
              <w:jc w:val="center"/>
              <w:rPr>
                <w:rFonts w:eastAsia="Times New Roman"/>
                <w:lang w:eastAsia="ru-RU"/>
              </w:rPr>
            </w:pPr>
            <w:r w:rsidRPr="009A4C46">
              <w:rPr>
                <w:rFonts w:eastAsia="Times New Roman"/>
                <w:color w:val="000000"/>
                <w:lang w:eastAsia="ru-RU"/>
              </w:rPr>
              <w:t>0,71</w:t>
            </w:r>
          </w:p>
        </w:tc>
        <w:tc>
          <w:tcPr>
            <w:tcW w:w="3153" w:type="dxa"/>
            <w:vMerge/>
            <w:tcBorders>
              <w:top w:val="nil"/>
              <w:left w:val="single" w:sz="8" w:space="0" w:color="auto"/>
              <w:bottom w:val="single" w:sz="8" w:space="0" w:color="000000"/>
              <w:right w:val="single" w:sz="8" w:space="0" w:color="auto"/>
            </w:tcBorders>
            <w:shd w:val="clear" w:color="auto" w:fill="auto"/>
            <w:vAlign w:val="center"/>
          </w:tcPr>
          <w:p w14:paraId="76AF13F4" w14:textId="77777777" w:rsidR="009A4C46" w:rsidRPr="009A4C46" w:rsidRDefault="009A4C46" w:rsidP="009A4C46">
            <w:pPr>
              <w:spacing w:after="0" w:line="240" w:lineRule="auto"/>
              <w:rPr>
                <w:rFonts w:eastAsia="Times New Roman"/>
                <w:lang w:eastAsia="ru-RU"/>
              </w:rPr>
            </w:pPr>
          </w:p>
        </w:tc>
        <w:tc>
          <w:tcPr>
            <w:tcW w:w="3084" w:type="dxa"/>
            <w:vMerge/>
            <w:tcBorders>
              <w:top w:val="nil"/>
              <w:left w:val="single" w:sz="8" w:space="0" w:color="auto"/>
              <w:bottom w:val="single" w:sz="8" w:space="0" w:color="000000"/>
              <w:right w:val="single" w:sz="8" w:space="0" w:color="auto"/>
            </w:tcBorders>
            <w:shd w:val="clear" w:color="auto" w:fill="auto"/>
            <w:vAlign w:val="center"/>
          </w:tcPr>
          <w:p w14:paraId="359D65A3" w14:textId="77777777" w:rsidR="009A4C46" w:rsidRPr="009A4C46" w:rsidRDefault="009A4C46" w:rsidP="009A4C46">
            <w:pPr>
              <w:spacing w:after="0" w:line="240" w:lineRule="auto"/>
              <w:rPr>
                <w:rFonts w:eastAsia="Times New Roman"/>
                <w:lang w:eastAsia="ru-RU"/>
              </w:rPr>
            </w:pPr>
          </w:p>
        </w:tc>
      </w:tr>
      <w:tr w:rsidR="009A4C46" w:rsidRPr="009A4C46" w14:paraId="2937348D" w14:textId="77777777" w:rsidTr="00F94FED">
        <w:trPr>
          <w:trHeight w:val="315"/>
        </w:trPr>
        <w:tc>
          <w:tcPr>
            <w:tcW w:w="2268" w:type="dxa"/>
            <w:tcBorders>
              <w:top w:val="nil"/>
              <w:left w:val="single" w:sz="8" w:space="0" w:color="auto"/>
              <w:bottom w:val="single" w:sz="8" w:space="0" w:color="auto"/>
              <w:right w:val="single" w:sz="8" w:space="0" w:color="auto"/>
            </w:tcBorders>
            <w:shd w:val="clear" w:color="auto" w:fill="auto"/>
            <w:noWrap/>
            <w:vAlign w:val="center"/>
            <w:hideMark/>
          </w:tcPr>
          <w:p w14:paraId="25439A0A" w14:textId="77777777" w:rsidR="009A4C46" w:rsidRPr="009A4C46" w:rsidRDefault="009A4C46" w:rsidP="009A4C46">
            <w:pPr>
              <w:spacing w:after="0" w:line="240" w:lineRule="auto"/>
              <w:rPr>
                <w:rFonts w:eastAsia="Times New Roman"/>
                <w:lang w:eastAsia="ru-RU"/>
              </w:rPr>
            </w:pPr>
            <w:r w:rsidRPr="009A4C46">
              <w:rPr>
                <w:rFonts w:eastAsia="Times New Roman"/>
                <w:lang w:eastAsia="ru-RU"/>
              </w:rPr>
              <w:t>Категория 4.3*</w:t>
            </w:r>
          </w:p>
        </w:tc>
        <w:tc>
          <w:tcPr>
            <w:tcW w:w="3083" w:type="dxa"/>
            <w:tcBorders>
              <w:top w:val="nil"/>
              <w:left w:val="nil"/>
              <w:bottom w:val="single" w:sz="8" w:space="0" w:color="auto"/>
              <w:right w:val="single" w:sz="8" w:space="0" w:color="auto"/>
            </w:tcBorders>
            <w:shd w:val="clear" w:color="000000" w:fill="FFFFFF"/>
            <w:noWrap/>
            <w:vAlign w:val="center"/>
            <w:hideMark/>
          </w:tcPr>
          <w:p w14:paraId="2D7931B3" w14:textId="77777777" w:rsidR="009A4C46" w:rsidRPr="009A4C46" w:rsidRDefault="009A4C46" w:rsidP="009A4C46">
            <w:pPr>
              <w:spacing w:after="0" w:line="240" w:lineRule="auto"/>
              <w:jc w:val="center"/>
              <w:rPr>
                <w:rFonts w:eastAsia="Times New Roman"/>
                <w:lang w:eastAsia="ru-RU"/>
              </w:rPr>
            </w:pPr>
            <w:r w:rsidRPr="009A4C46">
              <w:rPr>
                <w:rFonts w:eastAsia="Times New Roman"/>
                <w:color w:val="000000"/>
                <w:lang w:eastAsia="ru-RU"/>
              </w:rPr>
              <w:t>0,20</w:t>
            </w:r>
          </w:p>
        </w:tc>
        <w:tc>
          <w:tcPr>
            <w:tcW w:w="3013" w:type="dxa"/>
            <w:tcBorders>
              <w:top w:val="nil"/>
              <w:left w:val="nil"/>
              <w:bottom w:val="single" w:sz="8" w:space="0" w:color="auto"/>
              <w:right w:val="single" w:sz="8" w:space="0" w:color="auto"/>
            </w:tcBorders>
            <w:shd w:val="clear" w:color="000000" w:fill="FFFFFF"/>
            <w:noWrap/>
            <w:vAlign w:val="center"/>
            <w:hideMark/>
          </w:tcPr>
          <w:p w14:paraId="1D745F1F" w14:textId="77777777" w:rsidR="009A4C46" w:rsidRPr="009A4C46" w:rsidRDefault="009A4C46" w:rsidP="009A4C46">
            <w:pPr>
              <w:spacing w:after="0" w:line="240" w:lineRule="auto"/>
              <w:jc w:val="center"/>
              <w:rPr>
                <w:rFonts w:eastAsia="Times New Roman"/>
                <w:lang w:eastAsia="ru-RU"/>
              </w:rPr>
            </w:pPr>
            <w:r w:rsidRPr="009A4C46">
              <w:rPr>
                <w:rFonts w:eastAsia="Times New Roman"/>
                <w:color w:val="000000"/>
                <w:lang w:eastAsia="ru-RU"/>
              </w:rPr>
              <w:t>0,18</w:t>
            </w:r>
          </w:p>
        </w:tc>
        <w:tc>
          <w:tcPr>
            <w:tcW w:w="3153" w:type="dxa"/>
            <w:vMerge/>
            <w:tcBorders>
              <w:top w:val="nil"/>
              <w:left w:val="single" w:sz="8" w:space="0" w:color="auto"/>
              <w:bottom w:val="single" w:sz="8" w:space="0" w:color="000000"/>
              <w:right w:val="single" w:sz="8" w:space="0" w:color="auto"/>
            </w:tcBorders>
            <w:shd w:val="clear" w:color="auto" w:fill="auto"/>
            <w:vAlign w:val="center"/>
          </w:tcPr>
          <w:p w14:paraId="1471D97E" w14:textId="77777777" w:rsidR="009A4C46" w:rsidRPr="009A4C46" w:rsidRDefault="009A4C46" w:rsidP="009A4C46">
            <w:pPr>
              <w:spacing w:after="0" w:line="240" w:lineRule="auto"/>
              <w:rPr>
                <w:rFonts w:eastAsia="Times New Roman"/>
                <w:lang w:eastAsia="ru-RU"/>
              </w:rPr>
            </w:pPr>
          </w:p>
        </w:tc>
        <w:tc>
          <w:tcPr>
            <w:tcW w:w="3084" w:type="dxa"/>
            <w:vMerge/>
            <w:tcBorders>
              <w:top w:val="nil"/>
              <w:left w:val="single" w:sz="8" w:space="0" w:color="auto"/>
              <w:bottom w:val="single" w:sz="8" w:space="0" w:color="000000"/>
              <w:right w:val="single" w:sz="8" w:space="0" w:color="auto"/>
            </w:tcBorders>
            <w:shd w:val="clear" w:color="auto" w:fill="auto"/>
            <w:vAlign w:val="center"/>
          </w:tcPr>
          <w:p w14:paraId="6EB17736" w14:textId="77777777" w:rsidR="009A4C46" w:rsidRPr="009A4C46" w:rsidRDefault="009A4C46" w:rsidP="009A4C46">
            <w:pPr>
              <w:spacing w:after="0" w:line="240" w:lineRule="auto"/>
              <w:rPr>
                <w:rFonts w:eastAsia="Times New Roman"/>
                <w:lang w:eastAsia="ru-RU"/>
              </w:rPr>
            </w:pPr>
          </w:p>
        </w:tc>
      </w:tr>
      <w:tr w:rsidR="009A4C46" w:rsidRPr="009A4C46" w14:paraId="1045C343" w14:textId="77777777" w:rsidTr="00F94FED">
        <w:trPr>
          <w:trHeight w:val="315"/>
        </w:trPr>
        <w:tc>
          <w:tcPr>
            <w:tcW w:w="2268" w:type="dxa"/>
            <w:tcBorders>
              <w:top w:val="nil"/>
              <w:left w:val="single" w:sz="8" w:space="0" w:color="auto"/>
              <w:bottom w:val="single" w:sz="8" w:space="0" w:color="auto"/>
              <w:right w:val="single" w:sz="8" w:space="0" w:color="auto"/>
            </w:tcBorders>
            <w:shd w:val="clear" w:color="auto" w:fill="auto"/>
            <w:noWrap/>
            <w:vAlign w:val="center"/>
            <w:hideMark/>
          </w:tcPr>
          <w:p w14:paraId="45E7C849" w14:textId="77777777" w:rsidR="009A4C46" w:rsidRPr="009A4C46" w:rsidRDefault="009A4C46" w:rsidP="009A4C46">
            <w:pPr>
              <w:spacing w:after="0" w:line="240" w:lineRule="auto"/>
              <w:rPr>
                <w:rFonts w:eastAsia="Times New Roman"/>
                <w:lang w:eastAsia="ru-RU"/>
              </w:rPr>
            </w:pPr>
            <w:r w:rsidRPr="009A4C46">
              <w:rPr>
                <w:rFonts w:eastAsia="Times New Roman"/>
                <w:lang w:eastAsia="ru-RU"/>
              </w:rPr>
              <w:t>Категория 4.4*</w:t>
            </w:r>
          </w:p>
        </w:tc>
        <w:tc>
          <w:tcPr>
            <w:tcW w:w="3083" w:type="dxa"/>
            <w:tcBorders>
              <w:top w:val="nil"/>
              <w:left w:val="nil"/>
              <w:bottom w:val="single" w:sz="8" w:space="0" w:color="auto"/>
              <w:right w:val="single" w:sz="8" w:space="0" w:color="auto"/>
            </w:tcBorders>
            <w:shd w:val="clear" w:color="000000" w:fill="FFFFFF"/>
            <w:noWrap/>
            <w:vAlign w:val="center"/>
            <w:hideMark/>
          </w:tcPr>
          <w:p w14:paraId="67FB61CC" w14:textId="77777777" w:rsidR="009A4C46" w:rsidRPr="009A4C46" w:rsidRDefault="009A4C46" w:rsidP="009A4C46">
            <w:pPr>
              <w:spacing w:after="0" w:line="240" w:lineRule="auto"/>
              <w:jc w:val="center"/>
              <w:rPr>
                <w:rFonts w:eastAsia="Times New Roman"/>
                <w:lang w:eastAsia="ru-RU"/>
              </w:rPr>
            </w:pPr>
            <w:r w:rsidRPr="009A4C46">
              <w:rPr>
                <w:rFonts w:eastAsia="Times New Roman"/>
                <w:color w:val="000000"/>
                <w:lang w:eastAsia="ru-RU"/>
              </w:rPr>
              <w:t>4,70</w:t>
            </w:r>
          </w:p>
        </w:tc>
        <w:tc>
          <w:tcPr>
            <w:tcW w:w="3013" w:type="dxa"/>
            <w:tcBorders>
              <w:top w:val="nil"/>
              <w:left w:val="nil"/>
              <w:bottom w:val="single" w:sz="8" w:space="0" w:color="auto"/>
              <w:right w:val="single" w:sz="8" w:space="0" w:color="auto"/>
            </w:tcBorders>
            <w:shd w:val="clear" w:color="000000" w:fill="FFFFFF"/>
            <w:noWrap/>
            <w:vAlign w:val="center"/>
            <w:hideMark/>
          </w:tcPr>
          <w:p w14:paraId="31E3C1AD" w14:textId="77777777" w:rsidR="009A4C46" w:rsidRPr="009A4C46" w:rsidRDefault="009A4C46" w:rsidP="009A4C46">
            <w:pPr>
              <w:spacing w:after="0" w:line="240" w:lineRule="auto"/>
              <w:jc w:val="center"/>
              <w:rPr>
                <w:rFonts w:eastAsia="Times New Roman"/>
                <w:lang w:eastAsia="ru-RU"/>
              </w:rPr>
            </w:pPr>
            <w:r w:rsidRPr="009A4C46">
              <w:rPr>
                <w:rFonts w:eastAsia="Times New Roman"/>
                <w:color w:val="000000"/>
                <w:lang w:eastAsia="ru-RU"/>
              </w:rPr>
              <w:t>3,89</w:t>
            </w:r>
          </w:p>
        </w:tc>
        <w:tc>
          <w:tcPr>
            <w:tcW w:w="3153" w:type="dxa"/>
            <w:vMerge/>
            <w:tcBorders>
              <w:top w:val="nil"/>
              <w:left w:val="single" w:sz="8" w:space="0" w:color="auto"/>
              <w:bottom w:val="single" w:sz="8" w:space="0" w:color="000000"/>
              <w:right w:val="single" w:sz="8" w:space="0" w:color="auto"/>
            </w:tcBorders>
            <w:shd w:val="clear" w:color="auto" w:fill="auto"/>
            <w:vAlign w:val="center"/>
          </w:tcPr>
          <w:p w14:paraId="0989D946" w14:textId="77777777" w:rsidR="009A4C46" w:rsidRPr="009A4C46" w:rsidRDefault="009A4C46" w:rsidP="009A4C46">
            <w:pPr>
              <w:spacing w:after="0" w:line="240" w:lineRule="auto"/>
              <w:rPr>
                <w:rFonts w:eastAsia="Times New Roman"/>
                <w:lang w:eastAsia="ru-RU"/>
              </w:rPr>
            </w:pPr>
          </w:p>
        </w:tc>
        <w:tc>
          <w:tcPr>
            <w:tcW w:w="3084" w:type="dxa"/>
            <w:vMerge/>
            <w:tcBorders>
              <w:top w:val="nil"/>
              <w:left w:val="single" w:sz="8" w:space="0" w:color="auto"/>
              <w:bottom w:val="single" w:sz="8" w:space="0" w:color="000000"/>
              <w:right w:val="single" w:sz="8" w:space="0" w:color="auto"/>
            </w:tcBorders>
            <w:shd w:val="clear" w:color="auto" w:fill="auto"/>
            <w:vAlign w:val="center"/>
          </w:tcPr>
          <w:p w14:paraId="08611A97" w14:textId="77777777" w:rsidR="009A4C46" w:rsidRPr="009A4C46" w:rsidRDefault="009A4C46" w:rsidP="009A4C46">
            <w:pPr>
              <w:spacing w:after="0" w:line="240" w:lineRule="auto"/>
              <w:rPr>
                <w:rFonts w:eastAsia="Times New Roman"/>
                <w:lang w:eastAsia="ru-RU"/>
              </w:rPr>
            </w:pPr>
          </w:p>
        </w:tc>
      </w:tr>
    </w:tbl>
    <w:p w14:paraId="76004687" w14:textId="719C56D5" w:rsidR="00D75241" w:rsidRDefault="00D75241">
      <w:pPr>
        <w:rPr>
          <w:rFonts w:eastAsia="Times New Roman"/>
          <w:sz w:val="28"/>
          <w:szCs w:val="28"/>
          <w:lang w:eastAsia="ru-RU"/>
        </w:rPr>
      </w:pPr>
      <w:r>
        <w:rPr>
          <w:rFonts w:eastAsia="Times New Roman"/>
          <w:sz w:val="28"/>
          <w:szCs w:val="28"/>
          <w:lang w:eastAsia="ru-RU"/>
        </w:rPr>
        <w:br w:type="page"/>
      </w:r>
    </w:p>
    <w:p w14:paraId="039EB038" w14:textId="551CD3D1" w:rsidR="009A4C46" w:rsidRPr="00F94FED" w:rsidRDefault="009A4C46" w:rsidP="009A4C46">
      <w:pPr>
        <w:spacing w:after="0" w:line="240" w:lineRule="auto"/>
        <w:jc w:val="center"/>
        <w:rPr>
          <w:rFonts w:eastAsia="Times New Roman"/>
          <w:b/>
          <w:bCs/>
          <w:sz w:val="26"/>
          <w:szCs w:val="26"/>
          <w:lang w:eastAsia="ru-RU"/>
        </w:rPr>
      </w:pPr>
      <w:r w:rsidRPr="00F94FED">
        <w:rPr>
          <w:rFonts w:eastAsia="Times New Roman"/>
          <w:b/>
          <w:bCs/>
          <w:sz w:val="26"/>
          <w:szCs w:val="26"/>
          <w:lang w:eastAsia="ru-RU"/>
        </w:rPr>
        <w:lastRenderedPageBreak/>
        <w:t>Плановая выручка на 2018 год</w:t>
      </w:r>
    </w:p>
    <w:p w14:paraId="4DF6E293" w14:textId="77777777" w:rsidR="00D75241" w:rsidRPr="00F94FED" w:rsidRDefault="00D75241" w:rsidP="009A4C46">
      <w:pPr>
        <w:spacing w:after="0" w:line="240" w:lineRule="auto"/>
        <w:jc w:val="center"/>
        <w:rPr>
          <w:rFonts w:eastAsia="Times New Roman"/>
          <w:sz w:val="26"/>
          <w:szCs w:val="26"/>
          <w:lang w:eastAsia="ru-RU"/>
        </w:rPr>
      </w:pPr>
    </w:p>
    <w:tbl>
      <w:tblPr>
        <w:tblW w:w="5000" w:type="pct"/>
        <w:tblLook w:val="04A0" w:firstRow="1" w:lastRow="0" w:firstColumn="1" w:lastColumn="0" w:noHBand="0" w:noVBand="1"/>
      </w:tblPr>
      <w:tblGrid>
        <w:gridCol w:w="7211"/>
        <w:gridCol w:w="2402"/>
        <w:gridCol w:w="2402"/>
        <w:gridCol w:w="2545"/>
      </w:tblGrid>
      <w:tr w:rsidR="009A4C46" w:rsidRPr="00D75241" w14:paraId="4EB2452A" w14:textId="77777777" w:rsidTr="00F94FED">
        <w:trPr>
          <w:trHeight w:val="315"/>
          <w:tblHeader/>
        </w:trPr>
        <w:tc>
          <w:tcPr>
            <w:tcW w:w="247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0F06A2B" w14:textId="77777777" w:rsidR="009A4C46" w:rsidRPr="00F94FED" w:rsidRDefault="009A4C46" w:rsidP="009A4C46">
            <w:pPr>
              <w:spacing w:after="0" w:line="240" w:lineRule="auto"/>
              <w:jc w:val="center"/>
              <w:rPr>
                <w:rFonts w:eastAsia="Times New Roman"/>
                <w:b/>
                <w:bCs/>
                <w:color w:val="FFFFFF" w:themeColor="background1"/>
                <w:lang w:eastAsia="ru-RU"/>
              </w:rPr>
            </w:pPr>
            <w:r w:rsidRPr="00F94FED">
              <w:rPr>
                <w:rFonts w:eastAsia="Times New Roman"/>
                <w:b/>
                <w:bCs/>
                <w:color w:val="FFFFFF" w:themeColor="background1"/>
                <w:lang w:eastAsia="ru-RU"/>
              </w:rPr>
              <w:t>Наименование</w:t>
            </w:r>
          </w:p>
        </w:tc>
        <w:tc>
          <w:tcPr>
            <w:tcW w:w="82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225E4D8" w14:textId="77777777" w:rsidR="009A4C46" w:rsidRPr="00F94FED" w:rsidRDefault="009A4C46" w:rsidP="009A4C46">
            <w:pPr>
              <w:spacing w:after="0" w:line="240" w:lineRule="auto"/>
              <w:jc w:val="center"/>
              <w:rPr>
                <w:rFonts w:eastAsia="Times New Roman"/>
                <w:b/>
                <w:bCs/>
                <w:color w:val="FFFFFF" w:themeColor="background1"/>
                <w:lang w:eastAsia="ru-RU"/>
              </w:rPr>
            </w:pPr>
            <w:r w:rsidRPr="00F94FED">
              <w:rPr>
                <w:rFonts w:eastAsia="Times New Roman"/>
                <w:b/>
                <w:bCs/>
                <w:color w:val="FFFFFF" w:themeColor="background1"/>
                <w:lang w:eastAsia="ru-RU"/>
              </w:rPr>
              <w:t>1 полугодие</w:t>
            </w:r>
          </w:p>
        </w:tc>
        <w:tc>
          <w:tcPr>
            <w:tcW w:w="82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2C8D132" w14:textId="77777777" w:rsidR="009A4C46" w:rsidRPr="00F94FED" w:rsidRDefault="009A4C46" w:rsidP="009A4C46">
            <w:pPr>
              <w:spacing w:after="0" w:line="240" w:lineRule="auto"/>
              <w:jc w:val="center"/>
              <w:rPr>
                <w:rFonts w:eastAsia="Times New Roman"/>
                <w:b/>
                <w:bCs/>
                <w:color w:val="FFFFFF" w:themeColor="background1"/>
                <w:lang w:eastAsia="ru-RU"/>
              </w:rPr>
            </w:pPr>
            <w:r w:rsidRPr="00F94FED">
              <w:rPr>
                <w:rFonts w:eastAsia="Times New Roman"/>
                <w:b/>
                <w:bCs/>
                <w:color w:val="FFFFFF" w:themeColor="background1"/>
                <w:lang w:eastAsia="ru-RU"/>
              </w:rPr>
              <w:t xml:space="preserve">2 полугодие </w:t>
            </w:r>
          </w:p>
        </w:tc>
        <w:tc>
          <w:tcPr>
            <w:tcW w:w="87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D0E0A69" w14:textId="77777777" w:rsidR="009A4C46" w:rsidRPr="00F94FED" w:rsidRDefault="009A4C46" w:rsidP="009A4C46">
            <w:pPr>
              <w:spacing w:after="0" w:line="240" w:lineRule="auto"/>
              <w:jc w:val="center"/>
              <w:rPr>
                <w:rFonts w:eastAsia="Times New Roman"/>
                <w:b/>
                <w:bCs/>
                <w:color w:val="FFFFFF" w:themeColor="background1"/>
                <w:lang w:eastAsia="ru-RU"/>
              </w:rPr>
            </w:pPr>
            <w:r w:rsidRPr="00F94FED">
              <w:rPr>
                <w:rFonts w:eastAsia="Times New Roman"/>
                <w:b/>
                <w:bCs/>
                <w:color w:val="FFFFFF" w:themeColor="background1"/>
                <w:lang w:eastAsia="ru-RU"/>
              </w:rPr>
              <w:t>2018 год</w:t>
            </w:r>
          </w:p>
        </w:tc>
      </w:tr>
      <w:tr w:rsidR="009A4C46" w:rsidRPr="00D75241" w14:paraId="09E923A5" w14:textId="77777777" w:rsidTr="00F94FED">
        <w:trPr>
          <w:trHeight w:val="315"/>
          <w:tblHeader/>
        </w:trPr>
        <w:tc>
          <w:tcPr>
            <w:tcW w:w="247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8144B87" w14:textId="77777777" w:rsidR="009A4C46" w:rsidRPr="00F94FED" w:rsidRDefault="009A4C46" w:rsidP="009A4C46">
            <w:pPr>
              <w:spacing w:after="0" w:line="240" w:lineRule="auto"/>
              <w:rPr>
                <w:rFonts w:eastAsia="Times New Roman"/>
                <w:b/>
                <w:bCs/>
                <w:color w:val="FFFFFF" w:themeColor="background1"/>
                <w:lang w:eastAsia="ru-RU"/>
              </w:rPr>
            </w:pPr>
          </w:p>
        </w:tc>
        <w:tc>
          <w:tcPr>
            <w:tcW w:w="82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DA249C5" w14:textId="77777777" w:rsidR="009A4C46" w:rsidRPr="00F94FED" w:rsidRDefault="009A4C46" w:rsidP="009A4C46">
            <w:pPr>
              <w:spacing w:after="0" w:line="240" w:lineRule="auto"/>
              <w:jc w:val="center"/>
              <w:rPr>
                <w:rFonts w:eastAsia="Times New Roman"/>
                <w:b/>
                <w:bCs/>
                <w:color w:val="FFFFFF" w:themeColor="background1"/>
                <w:lang w:eastAsia="ru-RU"/>
              </w:rPr>
            </w:pPr>
            <w:r w:rsidRPr="00F94FED">
              <w:rPr>
                <w:rFonts w:eastAsia="Times New Roman"/>
                <w:b/>
                <w:bCs/>
                <w:color w:val="FFFFFF" w:themeColor="background1"/>
                <w:lang w:eastAsia="ru-RU"/>
              </w:rPr>
              <w:t>тыс. руб.</w:t>
            </w:r>
          </w:p>
        </w:tc>
        <w:tc>
          <w:tcPr>
            <w:tcW w:w="82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5F4C83B" w14:textId="77777777" w:rsidR="009A4C46" w:rsidRPr="00F94FED" w:rsidRDefault="009A4C46" w:rsidP="009A4C46">
            <w:pPr>
              <w:spacing w:after="0" w:line="240" w:lineRule="auto"/>
              <w:jc w:val="center"/>
              <w:rPr>
                <w:rFonts w:eastAsia="Times New Roman"/>
                <w:b/>
                <w:bCs/>
                <w:color w:val="FFFFFF" w:themeColor="background1"/>
                <w:lang w:eastAsia="ru-RU"/>
              </w:rPr>
            </w:pPr>
            <w:r w:rsidRPr="00F94FED">
              <w:rPr>
                <w:rFonts w:eastAsia="Times New Roman"/>
                <w:b/>
                <w:bCs/>
                <w:color w:val="FFFFFF" w:themeColor="background1"/>
                <w:lang w:eastAsia="ru-RU"/>
              </w:rPr>
              <w:t>тыс. руб.</w:t>
            </w:r>
          </w:p>
        </w:tc>
        <w:tc>
          <w:tcPr>
            <w:tcW w:w="87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AB26C14" w14:textId="77777777" w:rsidR="009A4C46" w:rsidRPr="00F94FED" w:rsidRDefault="009A4C46" w:rsidP="009A4C46">
            <w:pPr>
              <w:spacing w:after="0" w:line="240" w:lineRule="auto"/>
              <w:jc w:val="center"/>
              <w:rPr>
                <w:rFonts w:eastAsia="Times New Roman"/>
                <w:b/>
                <w:bCs/>
                <w:color w:val="FFFFFF" w:themeColor="background1"/>
                <w:lang w:eastAsia="ru-RU"/>
              </w:rPr>
            </w:pPr>
            <w:r w:rsidRPr="00F94FED">
              <w:rPr>
                <w:rFonts w:eastAsia="Times New Roman"/>
                <w:b/>
                <w:bCs/>
                <w:color w:val="FFFFFF" w:themeColor="background1"/>
                <w:lang w:eastAsia="ru-RU"/>
              </w:rPr>
              <w:t>тыс. руб.</w:t>
            </w:r>
          </w:p>
        </w:tc>
      </w:tr>
      <w:tr w:rsidR="009A4C46" w:rsidRPr="009A4C46" w14:paraId="467D06DA" w14:textId="77777777" w:rsidTr="00F94FED">
        <w:trPr>
          <w:trHeight w:val="315"/>
        </w:trPr>
        <w:tc>
          <w:tcPr>
            <w:tcW w:w="2476" w:type="pct"/>
            <w:tcBorders>
              <w:top w:val="single" w:sz="4" w:space="0" w:color="FFFFFF" w:themeColor="background1"/>
              <w:left w:val="single" w:sz="8" w:space="0" w:color="auto"/>
              <w:bottom w:val="single" w:sz="8" w:space="0" w:color="auto"/>
              <w:right w:val="single" w:sz="8" w:space="0" w:color="auto"/>
            </w:tcBorders>
            <w:shd w:val="clear" w:color="auto" w:fill="auto"/>
            <w:noWrap/>
            <w:vAlign w:val="center"/>
            <w:hideMark/>
          </w:tcPr>
          <w:p w14:paraId="50092564" w14:textId="77777777" w:rsidR="009A4C46" w:rsidRPr="009A4C46" w:rsidRDefault="009A4C46" w:rsidP="009A4C46">
            <w:pPr>
              <w:spacing w:after="0" w:line="240" w:lineRule="auto"/>
              <w:jc w:val="center"/>
              <w:rPr>
                <w:rFonts w:eastAsia="Times New Roman"/>
                <w:b/>
                <w:bCs/>
                <w:color w:val="000000"/>
                <w:lang w:eastAsia="ru-RU"/>
              </w:rPr>
            </w:pPr>
            <w:r w:rsidRPr="009A4C46">
              <w:rPr>
                <w:rFonts w:eastAsia="Times New Roman"/>
                <w:b/>
                <w:bCs/>
                <w:color w:val="000000"/>
                <w:lang w:eastAsia="ru-RU"/>
              </w:rPr>
              <w:t>Плановая выручка - всего, в т.ч.</w:t>
            </w:r>
          </w:p>
        </w:tc>
        <w:tc>
          <w:tcPr>
            <w:tcW w:w="825" w:type="pct"/>
            <w:tcBorders>
              <w:top w:val="single" w:sz="4" w:space="0" w:color="FFFFFF" w:themeColor="background1"/>
              <w:left w:val="nil"/>
              <w:bottom w:val="single" w:sz="8" w:space="0" w:color="auto"/>
              <w:right w:val="single" w:sz="8" w:space="0" w:color="auto"/>
            </w:tcBorders>
            <w:shd w:val="clear" w:color="auto" w:fill="auto"/>
            <w:noWrap/>
            <w:vAlign w:val="center"/>
            <w:hideMark/>
          </w:tcPr>
          <w:p w14:paraId="09EC4CDE" w14:textId="77777777" w:rsidR="009A4C46" w:rsidRPr="009A4C46" w:rsidRDefault="009A4C46" w:rsidP="009A4C46">
            <w:pPr>
              <w:spacing w:after="0" w:line="240" w:lineRule="auto"/>
              <w:jc w:val="right"/>
              <w:rPr>
                <w:rFonts w:eastAsia="Times New Roman"/>
                <w:b/>
                <w:bCs/>
                <w:color w:val="000000"/>
                <w:lang w:eastAsia="ru-RU"/>
              </w:rPr>
            </w:pPr>
            <w:r w:rsidRPr="009A4C46">
              <w:rPr>
                <w:rFonts w:eastAsia="Times New Roman"/>
                <w:b/>
                <w:bCs/>
                <w:color w:val="000000"/>
                <w:lang w:eastAsia="ru-RU"/>
              </w:rPr>
              <w:t>576 591</w:t>
            </w:r>
          </w:p>
        </w:tc>
        <w:tc>
          <w:tcPr>
            <w:tcW w:w="825" w:type="pct"/>
            <w:tcBorders>
              <w:top w:val="single" w:sz="4" w:space="0" w:color="FFFFFF" w:themeColor="background1"/>
              <w:left w:val="nil"/>
              <w:bottom w:val="single" w:sz="8" w:space="0" w:color="auto"/>
              <w:right w:val="single" w:sz="8" w:space="0" w:color="auto"/>
            </w:tcBorders>
            <w:shd w:val="clear" w:color="auto" w:fill="auto"/>
            <w:noWrap/>
            <w:vAlign w:val="center"/>
            <w:hideMark/>
          </w:tcPr>
          <w:p w14:paraId="494D8477" w14:textId="77777777" w:rsidR="009A4C46" w:rsidRPr="009A4C46" w:rsidRDefault="009A4C46" w:rsidP="009A4C46">
            <w:pPr>
              <w:spacing w:after="0" w:line="240" w:lineRule="auto"/>
              <w:jc w:val="right"/>
              <w:rPr>
                <w:rFonts w:eastAsia="Times New Roman"/>
                <w:b/>
                <w:bCs/>
                <w:color w:val="000000"/>
                <w:lang w:eastAsia="ru-RU"/>
              </w:rPr>
            </w:pPr>
            <w:r w:rsidRPr="009A4C46">
              <w:rPr>
                <w:rFonts w:eastAsia="Times New Roman"/>
                <w:b/>
                <w:bCs/>
                <w:color w:val="000000"/>
                <w:lang w:eastAsia="ru-RU"/>
              </w:rPr>
              <w:t>798 388</w:t>
            </w:r>
          </w:p>
        </w:tc>
        <w:tc>
          <w:tcPr>
            <w:tcW w:w="874" w:type="pct"/>
            <w:tcBorders>
              <w:top w:val="single" w:sz="4" w:space="0" w:color="FFFFFF" w:themeColor="background1"/>
              <w:left w:val="nil"/>
              <w:bottom w:val="single" w:sz="8" w:space="0" w:color="auto"/>
              <w:right w:val="single" w:sz="8" w:space="0" w:color="auto"/>
            </w:tcBorders>
            <w:shd w:val="clear" w:color="auto" w:fill="auto"/>
            <w:noWrap/>
            <w:vAlign w:val="center"/>
            <w:hideMark/>
          </w:tcPr>
          <w:p w14:paraId="3DDF9C54" w14:textId="77777777" w:rsidR="009A4C46" w:rsidRPr="009A4C46" w:rsidRDefault="009A4C46" w:rsidP="009A4C46">
            <w:pPr>
              <w:spacing w:after="0" w:line="240" w:lineRule="auto"/>
              <w:jc w:val="right"/>
              <w:rPr>
                <w:rFonts w:eastAsia="Times New Roman"/>
                <w:b/>
                <w:bCs/>
                <w:color w:val="000000"/>
                <w:lang w:eastAsia="ru-RU"/>
              </w:rPr>
            </w:pPr>
            <w:r w:rsidRPr="009A4C46">
              <w:rPr>
                <w:rFonts w:eastAsia="Times New Roman"/>
                <w:b/>
                <w:bCs/>
                <w:color w:val="000000"/>
                <w:lang w:eastAsia="ru-RU"/>
              </w:rPr>
              <w:t>1 374 979</w:t>
            </w:r>
          </w:p>
        </w:tc>
      </w:tr>
      <w:tr w:rsidR="009A4C46" w:rsidRPr="009A4C46" w14:paraId="3637071A" w14:textId="77777777" w:rsidTr="0063188C">
        <w:trPr>
          <w:trHeight w:val="549"/>
        </w:trPr>
        <w:tc>
          <w:tcPr>
            <w:tcW w:w="2476" w:type="pct"/>
            <w:tcBorders>
              <w:top w:val="nil"/>
              <w:left w:val="single" w:sz="8" w:space="0" w:color="auto"/>
              <w:bottom w:val="single" w:sz="8" w:space="0" w:color="auto"/>
              <w:right w:val="single" w:sz="8" w:space="0" w:color="auto"/>
            </w:tcBorders>
            <w:shd w:val="clear" w:color="auto" w:fill="auto"/>
            <w:vAlign w:val="center"/>
            <w:hideMark/>
          </w:tcPr>
          <w:p w14:paraId="457CA5D9" w14:textId="77777777" w:rsidR="009A4C46" w:rsidRPr="009A4C46" w:rsidRDefault="009A4C46" w:rsidP="009A4C46">
            <w:pPr>
              <w:spacing w:after="0" w:line="240" w:lineRule="auto"/>
              <w:rPr>
                <w:rFonts w:eastAsia="Times New Roman"/>
                <w:b/>
                <w:bCs/>
                <w:color w:val="000000"/>
                <w:lang w:eastAsia="ru-RU"/>
              </w:rPr>
            </w:pPr>
            <w:r w:rsidRPr="009A4C46">
              <w:rPr>
                <w:rFonts w:eastAsia="Times New Roman"/>
                <w:b/>
                <w:bCs/>
                <w:color w:val="000000"/>
                <w:lang w:eastAsia="ru-RU"/>
              </w:rPr>
              <w:t>Прочие потребители (по единым (котловым) одноставочным тарифам) – всего, в т.ч.</w:t>
            </w:r>
          </w:p>
        </w:tc>
        <w:tc>
          <w:tcPr>
            <w:tcW w:w="825" w:type="pct"/>
            <w:tcBorders>
              <w:top w:val="nil"/>
              <w:left w:val="nil"/>
              <w:bottom w:val="single" w:sz="8" w:space="0" w:color="auto"/>
              <w:right w:val="single" w:sz="8" w:space="0" w:color="auto"/>
            </w:tcBorders>
            <w:shd w:val="clear" w:color="auto" w:fill="auto"/>
            <w:noWrap/>
            <w:vAlign w:val="center"/>
            <w:hideMark/>
          </w:tcPr>
          <w:p w14:paraId="59F348B4" w14:textId="77777777" w:rsidR="009A4C46" w:rsidRPr="009A4C46" w:rsidRDefault="009A4C46" w:rsidP="009A4C46">
            <w:pPr>
              <w:spacing w:after="0" w:line="240" w:lineRule="auto"/>
              <w:jc w:val="right"/>
              <w:rPr>
                <w:rFonts w:eastAsia="Times New Roman"/>
                <w:b/>
                <w:bCs/>
                <w:color w:val="000000"/>
                <w:lang w:eastAsia="ru-RU"/>
              </w:rPr>
            </w:pPr>
            <w:r w:rsidRPr="009A4C46">
              <w:rPr>
                <w:rFonts w:eastAsia="Times New Roman"/>
                <w:b/>
                <w:bCs/>
                <w:color w:val="000000"/>
                <w:lang w:eastAsia="ru-RU"/>
              </w:rPr>
              <w:t>331 103</w:t>
            </w:r>
          </w:p>
        </w:tc>
        <w:tc>
          <w:tcPr>
            <w:tcW w:w="825" w:type="pct"/>
            <w:tcBorders>
              <w:top w:val="nil"/>
              <w:left w:val="nil"/>
              <w:bottom w:val="single" w:sz="8" w:space="0" w:color="auto"/>
              <w:right w:val="single" w:sz="8" w:space="0" w:color="auto"/>
            </w:tcBorders>
            <w:shd w:val="clear" w:color="auto" w:fill="auto"/>
            <w:noWrap/>
            <w:vAlign w:val="center"/>
            <w:hideMark/>
          </w:tcPr>
          <w:p w14:paraId="6538F72E" w14:textId="77777777" w:rsidR="009A4C46" w:rsidRPr="009A4C46" w:rsidRDefault="009A4C46" w:rsidP="009A4C46">
            <w:pPr>
              <w:spacing w:after="0" w:line="240" w:lineRule="auto"/>
              <w:jc w:val="right"/>
              <w:rPr>
                <w:rFonts w:eastAsia="Times New Roman"/>
                <w:b/>
                <w:bCs/>
                <w:color w:val="000000"/>
                <w:lang w:eastAsia="ru-RU"/>
              </w:rPr>
            </w:pPr>
            <w:r w:rsidRPr="009A4C46">
              <w:rPr>
                <w:rFonts w:eastAsia="Times New Roman"/>
                <w:b/>
                <w:bCs/>
                <w:color w:val="000000"/>
                <w:lang w:eastAsia="ru-RU"/>
              </w:rPr>
              <w:t>537 766</w:t>
            </w:r>
          </w:p>
        </w:tc>
        <w:tc>
          <w:tcPr>
            <w:tcW w:w="874" w:type="pct"/>
            <w:tcBorders>
              <w:top w:val="nil"/>
              <w:left w:val="nil"/>
              <w:bottom w:val="single" w:sz="8" w:space="0" w:color="auto"/>
              <w:right w:val="single" w:sz="8" w:space="0" w:color="auto"/>
            </w:tcBorders>
            <w:shd w:val="clear" w:color="auto" w:fill="auto"/>
            <w:noWrap/>
            <w:vAlign w:val="center"/>
            <w:hideMark/>
          </w:tcPr>
          <w:p w14:paraId="556F9F17" w14:textId="77777777" w:rsidR="009A4C46" w:rsidRPr="009A4C46" w:rsidRDefault="009A4C46" w:rsidP="009A4C46">
            <w:pPr>
              <w:spacing w:after="0" w:line="240" w:lineRule="auto"/>
              <w:jc w:val="right"/>
              <w:rPr>
                <w:rFonts w:eastAsia="Times New Roman"/>
                <w:b/>
                <w:bCs/>
                <w:color w:val="000000"/>
                <w:lang w:eastAsia="ru-RU"/>
              </w:rPr>
            </w:pPr>
            <w:r w:rsidRPr="009A4C46">
              <w:rPr>
                <w:rFonts w:eastAsia="Times New Roman"/>
                <w:b/>
                <w:bCs/>
                <w:color w:val="000000"/>
                <w:lang w:eastAsia="ru-RU"/>
              </w:rPr>
              <w:t>868 869</w:t>
            </w:r>
          </w:p>
        </w:tc>
      </w:tr>
      <w:tr w:rsidR="009A4C46" w:rsidRPr="009A4C46" w14:paraId="669BEE49" w14:textId="77777777" w:rsidTr="00070F3E">
        <w:trPr>
          <w:trHeight w:val="227"/>
        </w:trPr>
        <w:tc>
          <w:tcPr>
            <w:tcW w:w="2476" w:type="pct"/>
            <w:tcBorders>
              <w:top w:val="nil"/>
              <w:left w:val="single" w:sz="8" w:space="0" w:color="auto"/>
              <w:bottom w:val="single" w:sz="8" w:space="0" w:color="auto"/>
              <w:right w:val="single" w:sz="8" w:space="0" w:color="auto"/>
            </w:tcBorders>
            <w:shd w:val="clear" w:color="auto" w:fill="auto"/>
            <w:noWrap/>
            <w:vAlign w:val="center"/>
            <w:hideMark/>
          </w:tcPr>
          <w:p w14:paraId="781850CD" w14:textId="77777777" w:rsidR="009A4C46" w:rsidRPr="009A4C46" w:rsidRDefault="009A4C46" w:rsidP="009A4C46">
            <w:pPr>
              <w:spacing w:after="0" w:line="240" w:lineRule="auto"/>
              <w:rPr>
                <w:rFonts w:eastAsia="Times New Roman"/>
                <w:color w:val="000000"/>
                <w:lang w:eastAsia="ru-RU"/>
              </w:rPr>
            </w:pPr>
            <w:r w:rsidRPr="009A4C46">
              <w:rPr>
                <w:rFonts w:eastAsia="Times New Roman"/>
                <w:color w:val="000000"/>
                <w:lang w:eastAsia="ru-RU"/>
              </w:rPr>
              <w:t>ВН</w:t>
            </w:r>
          </w:p>
        </w:tc>
        <w:tc>
          <w:tcPr>
            <w:tcW w:w="825" w:type="pct"/>
            <w:tcBorders>
              <w:top w:val="nil"/>
              <w:left w:val="nil"/>
              <w:bottom w:val="single" w:sz="8" w:space="0" w:color="auto"/>
              <w:right w:val="single" w:sz="8" w:space="0" w:color="auto"/>
            </w:tcBorders>
            <w:shd w:val="clear" w:color="auto" w:fill="auto"/>
            <w:noWrap/>
            <w:vAlign w:val="center"/>
            <w:hideMark/>
          </w:tcPr>
          <w:p w14:paraId="57E0B8F0" w14:textId="77777777" w:rsidR="009A4C46" w:rsidRPr="009A4C46" w:rsidRDefault="009A4C46" w:rsidP="009A4C46">
            <w:pPr>
              <w:spacing w:after="0" w:line="240" w:lineRule="auto"/>
              <w:jc w:val="right"/>
              <w:rPr>
                <w:rFonts w:eastAsia="Times New Roman"/>
                <w:color w:val="000000"/>
                <w:lang w:eastAsia="ru-RU"/>
              </w:rPr>
            </w:pPr>
            <w:r w:rsidRPr="009A4C46">
              <w:rPr>
                <w:rFonts w:eastAsia="Times New Roman"/>
                <w:color w:val="000000"/>
                <w:lang w:eastAsia="ru-RU"/>
              </w:rPr>
              <w:t>76 522</w:t>
            </w:r>
          </w:p>
        </w:tc>
        <w:tc>
          <w:tcPr>
            <w:tcW w:w="825" w:type="pct"/>
            <w:tcBorders>
              <w:top w:val="nil"/>
              <w:left w:val="nil"/>
              <w:bottom w:val="single" w:sz="8" w:space="0" w:color="auto"/>
              <w:right w:val="single" w:sz="8" w:space="0" w:color="auto"/>
            </w:tcBorders>
            <w:shd w:val="clear" w:color="auto" w:fill="auto"/>
            <w:noWrap/>
            <w:vAlign w:val="center"/>
            <w:hideMark/>
          </w:tcPr>
          <w:p w14:paraId="6323C1C0" w14:textId="77777777" w:rsidR="009A4C46" w:rsidRPr="009A4C46" w:rsidRDefault="009A4C46" w:rsidP="009A4C46">
            <w:pPr>
              <w:spacing w:after="0" w:line="240" w:lineRule="auto"/>
              <w:jc w:val="right"/>
              <w:rPr>
                <w:rFonts w:eastAsia="Times New Roman"/>
                <w:color w:val="000000"/>
                <w:lang w:eastAsia="ru-RU"/>
              </w:rPr>
            </w:pPr>
            <w:r w:rsidRPr="009A4C46">
              <w:rPr>
                <w:rFonts w:eastAsia="Times New Roman"/>
                <w:color w:val="000000"/>
                <w:lang w:eastAsia="ru-RU"/>
              </w:rPr>
              <w:t>165 140</w:t>
            </w:r>
          </w:p>
        </w:tc>
        <w:tc>
          <w:tcPr>
            <w:tcW w:w="874" w:type="pct"/>
            <w:tcBorders>
              <w:top w:val="nil"/>
              <w:left w:val="nil"/>
              <w:bottom w:val="single" w:sz="8" w:space="0" w:color="auto"/>
              <w:right w:val="single" w:sz="8" w:space="0" w:color="auto"/>
            </w:tcBorders>
            <w:shd w:val="clear" w:color="auto" w:fill="auto"/>
            <w:noWrap/>
            <w:vAlign w:val="center"/>
            <w:hideMark/>
          </w:tcPr>
          <w:p w14:paraId="6DCCD889" w14:textId="77777777" w:rsidR="009A4C46" w:rsidRPr="009A4C46" w:rsidRDefault="009A4C46" w:rsidP="009A4C46">
            <w:pPr>
              <w:spacing w:after="0" w:line="240" w:lineRule="auto"/>
              <w:jc w:val="right"/>
              <w:rPr>
                <w:rFonts w:eastAsia="Times New Roman"/>
                <w:color w:val="000000"/>
                <w:lang w:eastAsia="ru-RU"/>
              </w:rPr>
            </w:pPr>
            <w:r w:rsidRPr="009A4C46">
              <w:rPr>
                <w:rFonts w:eastAsia="Times New Roman"/>
                <w:color w:val="000000"/>
                <w:lang w:eastAsia="ru-RU"/>
              </w:rPr>
              <w:t>241 662</w:t>
            </w:r>
          </w:p>
        </w:tc>
      </w:tr>
      <w:tr w:rsidR="009A4C46" w:rsidRPr="009A4C46" w14:paraId="685BF3F9" w14:textId="77777777" w:rsidTr="00070F3E">
        <w:trPr>
          <w:trHeight w:val="273"/>
        </w:trPr>
        <w:tc>
          <w:tcPr>
            <w:tcW w:w="2476" w:type="pct"/>
            <w:tcBorders>
              <w:top w:val="nil"/>
              <w:left w:val="single" w:sz="8" w:space="0" w:color="auto"/>
              <w:bottom w:val="single" w:sz="8" w:space="0" w:color="auto"/>
              <w:right w:val="single" w:sz="8" w:space="0" w:color="auto"/>
            </w:tcBorders>
            <w:shd w:val="clear" w:color="auto" w:fill="auto"/>
            <w:noWrap/>
            <w:vAlign w:val="center"/>
            <w:hideMark/>
          </w:tcPr>
          <w:p w14:paraId="071163BA" w14:textId="77777777" w:rsidR="009A4C46" w:rsidRPr="009A4C46" w:rsidRDefault="009A4C46" w:rsidP="009A4C46">
            <w:pPr>
              <w:spacing w:after="0" w:line="240" w:lineRule="auto"/>
              <w:rPr>
                <w:rFonts w:eastAsia="Times New Roman"/>
                <w:color w:val="000000"/>
                <w:lang w:eastAsia="ru-RU"/>
              </w:rPr>
            </w:pPr>
            <w:r w:rsidRPr="009A4C46">
              <w:rPr>
                <w:rFonts w:eastAsia="Times New Roman"/>
                <w:color w:val="000000"/>
                <w:lang w:eastAsia="ru-RU"/>
              </w:rPr>
              <w:t>СН1</w:t>
            </w:r>
          </w:p>
        </w:tc>
        <w:tc>
          <w:tcPr>
            <w:tcW w:w="825" w:type="pct"/>
            <w:tcBorders>
              <w:top w:val="nil"/>
              <w:left w:val="nil"/>
              <w:bottom w:val="single" w:sz="8" w:space="0" w:color="auto"/>
              <w:right w:val="single" w:sz="8" w:space="0" w:color="auto"/>
            </w:tcBorders>
            <w:shd w:val="clear" w:color="auto" w:fill="auto"/>
            <w:noWrap/>
            <w:vAlign w:val="center"/>
            <w:hideMark/>
          </w:tcPr>
          <w:p w14:paraId="412B9E0D" w14:textId="77777777" w:rsidR="009A4C46" w:rsidRPr="009A4C46" w:rsidRDefault="009A4C46" w:rsidP="009A4C46">
            <w:pPr>
              <w:spacing w:after="0" w:line="240" w:lineRule="auto"/>
              <w:jc w:val="right"/>
              <w:rPr>
                <w:rFonts w:eastAsia="Times New Roman"/>
                <w:color w:val="000000"/>
                <w:lang w:eastAsia="ru-RU"/>
              </w:rPr>
            </w:pPr>
            <w:r w:rsidRPr="009A4C46">
              <w:rPr>
                <w:rFonts w:eastAsia="Times New Roman"/>
                <w:color w:val="000000"/>
                <w:lang w:eastAsia="ru-RU"/>
              </w:rPr>
              <w:t>42 309</w:t>
            </w:r>
          </w:p>
        </w:tc>
        <w:tc>
          <w:tcPr>
            <w:tcW w:w="825" w:type="pct"/>
            <w:tcBorders>
              <w:top w:val="nil"/>
              <w:left w:val="nil"/>
              <w:bottom w:val="single" w:sz="8" w:space="0" w:color="auto"/>
              <w:right w:val="single" w:sz="8" w:space="0" w:color="auto"/>
            </w:tcBorders>
            <w:shd w:val="clear" w:color="auto" w:fill="auto"/>
            <w:noWrap/>
            <w:vAlign w:val="center"/>
            <w:hideMark/>
          </w:tcPr>
          <w:p w14:paraId="415B3D80" w14:textId="77777777" w:rsidR="009A4C46" w:rsidRPr="009A4C46" w:rsidRDefault="009A4C46" w:rsidP="009A4C46">
            <w:pPr>
              <w:spacing w:after="0" w:line="240" w:lineRule="auto"/>
              <w:jc w:val="right"/>
              <w:rPr>
                <w:rFonts w:eastAsia="Times New Roman"/>
                <w:color w:val="000000"/>
                <w:lang w:eastAsia="ru-RU"/>
              </w:rPr>
            </w:pPr>
            <w:r w:rsidRPr="009A4C46">
              <w:rPr>
                <w:rFonts w:eastAsia="Times New Roman"/>
                <w:color w:val="000000"/>
                <w:lang w:eastAsia="ru-RU"/>
              </w:rPr>
              <w:t>44 515</w:t>
            </w:r>
          </w:p>
        </w:tc>
        <w:tc>
          <w:tcPr>
            <w:tcW w:w="874" w:type="pct"/>
            <w:tcBorders>
              <w:top w:val="nil"/>
              <w:left w:val="nil"/>
              <w:bottom w:val="single" w:sz="8" w:space="0" w:color="auto"/>
              <w:right w:val="single" w:sz="8" w:space="0" w:color="auto"/>
            </w:tcBorders>
            <w:shd w:val="clear" w:color="auto" w:fill="auto"/>
            <w:noWrap/>
            <w:vAlign w:val="center"/>
            <w:hideMark/>
          </w:tcPr>
          <w:p w14:paraId="64533D1A" w14:textId="77777777" w:rsidR="009A4C46" w:rsidRPr="009A4C46" w:rsidRDefault="009A4C46" w:rsidP="009A4C46">
            <w:pPr>
              <w:spacing w:after="0" w:line="240" w:lineRule="auto"/>
              <w:jc w:val="right"/>
              <w:rPr>
                <w:rFonts w:eastAsia="Times New Roman"/>
                <w:color w:val="000000"/>
                <w:lang w:eastAsia="ru-RU"/>
              </w:rPr>
            </w:pPr>
            <w:r w:rsidRPr="009A4C46">
              <w:rPr>
                <w:rFonts w:eastAsia="Times New Roman"/>
                <w:color w:val="000000"/>
                <w:lang w:eastAsia="ru-RU"/>
              </w:rPr>
              <w:t>86 824</w:t>
            </w:r>
          </w:p>
        </w:tc>
      </w:tr>
      <w:tr w:rsidR="009A4C46" w:rsidRPr="009A4C46" w14:paraId="01F661FF" w14:textId="77777777" w:rsidTr="00070F3E">
        <w:trPr>
          <w:trHeight w:val="273"/>
        </w:trPr>
        <w:tc>
          <w:tcPr>
            <w:tcW w:w="2476" w:type="pct"/>
            <w:tcBorders>
              <w:top w:val="nil"/>
              <w:left w:val="single" w:sz="8" w:space="0" w:color="auto"/>
              <w:bottom w:val="single" w:sz="8" w:space="0" w:color="auto"/>
              <w:right w:val="single" w:sz="8" w:space="0" w:color="auto"/>
            </w:tcBorders>
            <w:shd w:val="clear" w:color="auto" w:fill="auto"/>
            <w:noWrap/>
            <w:vAlign w:val="center"/>
            <w:hideMark/>
          </w:tcPr>
          <w:p w14:paraId="2AAB7605" w14:textId="77777777" w:rsidR="009A4C46" w:rsidRPr="009A4C46" w:rsidRDefault="009A4C46" w:rsidP="009A4C46">
            <w:pPr>
              <w:spacing w:after="0" w:line="240" w:lineRule="auto"/>
              <w:rPr>
                <w:rFonts w:eastAsia="Times New Roman"/>
                <w:color w:val="000000"/>
                <w:lang w:eastAsia="ru-RU"/>
              </w:rPr>
            </w:pPr>
            <w:r w:rsidRPr="009A4C46">
              <w:rPr>
                <w:rFonts w:eastAsia="Times New Roman"/>
                <w:color w:val="000000"/>
                <w:lang w:eastAsia="ru-RU"/>
              </w:rPr>
              <w:t>СН2</w:t>
            </w:r>
          </w:p>
        </w:tc>
        <w:tc>
          <w:tcPr>
            <w:tcW w:w="825" w:type="pct"/>
            <w:tcBorders>
              <w:top w:val="nil"/>
              <w:left w:val="nil"/>
              <w:bottom w:val="single" w:sz="8" w:space="0" w:color="auto"/>
              <w:right w:val="single" w:sz="8" w:space="0" w:color="auto"/>
            </w:tcBorders>
            <w:shd w:val="clear" w:color="auto" w:fill="auto"/>
            <w:noWrap/>
            <w:vAlign w:val="center"/>
            <w:hideMark/>
          </w:tcPr>
          <w:p w14:paraId="0EDB5A23" w14:textId="77777777" w:rsidR="009A4C46" w:rsidRPr="009A4C46" w:rsidRDefault="009A4C46" w:rsidP="009A4C46">
            <w:pPr>
              <w:spacing w:after="0" w:line="240" w:lineRule="auto"/>
              <w:jc w:val="right"/>
              <w:rPr>
                <w:rFonts w:eastAsia="Times New Roman"/>
                <w:color w:val="000000"/>
                <w:lang w:eastAsia="ru-RU"/>
              </w:rPr>
            </w:pPr>
            <w:r w:rsidRPr="009A4C46">
              <w:rPr>
                <w:rFonts w:eastAsia="Times New Roman"/>
                <w:color w:val="000000"/>
                <w:lang w:eastAsia="ru-RU"/>
              </w:rPr>
              <w:t>94 578</w:t>
            </w:r>
          </w:p>
        </w:tc>
        <w:tc>
          <w:tcPr>
            <w:tcW w:w="825" w:type="pct"/>
            <w:tcBorders>
              <w:top w:val="nil"/>
              <w:left w:val="nil"/>
              <w:bottom w:val="single" w:sz="8" w:space="0" w:color="auto"/>
              <w:right w:val="single" w:sz="8" w:space="0" w:color="auto"/>
            </w:tcBorders>
            <w:shd w:val="clear" w:color="auto" w:fill="auto"/>
            <w:noWrap/>
            <w:vAlign w:val="center"/>
            <w:hideMark/>
          </w:tcPr>
          <w:p w14:paraId="101DACA9" w14:textId="77777777" w:rsidR="009A4C46" w:rsidRPr="009A4C46" w:rsidRDefault="009A4C46" w:rsidP="009A4C46">
            <w:pPr>
              <w:spacing w:after="0" w:line="240" w:lineRule="auto"/>
              <w:jc w:val="right"/>
              <w:rPr>
                <w:rFonts w:eastAsia="Times New Roman"/>
                <w:color w:val="000000"/>
                <w:lang w:eastAsia="ru-RU"/>
              </w:rPr>
            </w:pPr>
            <w:r w:rsidRPr="009A4C46">
              <w:rPr>
                <w:rFonts w:eastAsia="Times New Roman"/>
                <w:color w:val="000000"/>
                <w:lang w:eastAsia="ru-RU"/>
              </w:rPr>
              <w:t>96 549</w:t>
            </w:r>
          </w:p>
        </w:tc>
        <w:tc>
          <w:tcPr>
            <w:tcW w:w="874" w:type="pct"/>
            <w:tcBorders>
              <w:top w:val="nil"/>
              <w:left w:val="nil"/>
              <w:bottom w:val="single" w:sz="8" w:space="0" w:color="auto"/>
              <w:right w:val="single" w:sz="8" w:space="0" w:color="auto"/>
            </w:tcBorders>
            <w:shd w:val="clear" w:color="auto" w:fill="auto"/>
            <w:noWrap/>
            <w:vAlign w:val="center"/>
            <w:hideMark/>
          </w:tcPr>
          <w:p w14:paraId="5D758EDB" w14:textId="77777777" w:rsidR="009A4C46" w:rsidRPr="009A4C46" w:rsidRDefault="009A4C46" w:rsidP="009A4C46">
            <w:pPr>
              <w:spacing w:after="0" w:line="240" w:lineRule="auto"/>
              <w:jc w:val="right"/>
              <w:rPr>
                <w:rFonts w:eastAsia="Times New Roman"/>
                <w:color w:val="000000"/>
                <w:lang w:eastAsia="ru-RU"/>
              </w:rPr>
            </w:pPr>
            <w:r w:rsidRPr="009A4C46">
              <w:rPr>
                <w:rFonts w:eastAsia="Times New Roman"/>
                <w:color w:val="000000"/>
                <w:lang w:eastAsia="ru-RU"/>
              </w:rPr>
              <w:t>191 127</w:t>
            </w:r>
          </w:p>
        </w:tc>
      </w:tr>
      <w:tr w:rsidR="009A4C46" w:rsidRPr="009A4C46" w14:paraId="23E6152C" w14:textId="77777777" w:rsidTr="00070F3E">
        <w:trPr>
          <w:trHeight w:val="273"/>
        </w:trPr>
        <w:tc>
          <w:tcPr>
            <w:tcW w:w="2476" w:type="pct"/>
            <w:tcBorders>
              <w:top w:val="nil"/>
              <w:left w:val="single" w:sz="8" w:space="0" w:color="auto"/>
              <w:bottom w:val="single" w:sz="8" w:space="0" w:color="auto"/>
              <w:right w:val="single" w:sz="8" w:space="0" w:color="auto"/>
            </w:tcBorders>
            <w:shd w:val="clear" w:color="auto" w:fill="auto"/>
            <w:noWrap/>
            <w:vAlign w:val="center"/>
            <w:hideMark/>
          </w:tcPr>
          <w:p w14:paraId="641A1F78" w14:textId="77777777" w:rsidR="009A4C46" w:rsidRPr="009A4C46" w:rsidRDefault="009A4C46" w:rsidP="009A4C46">
            <w:pPr>
              <w:spacing w:after="0" w:line="240" w:lineRule="auto"/>
              <w:rPr>
                <w:rFonts w:eastAsia="Times New Roman"/>
                <w:color w:val="000000"/>
                <w:lang w:eastAsia="ru-RU"/>
              </w:rPr>
            </w:pPr>
            <w:r w:rsidRPr="009A4C46">
              <w:rPr>
                <w:rFonts w:eastAsia="Times New Roman"/>
                <w:color w:val="000000"/>
                <w:lang w:eastAsia="ru-RU"/>
              </w:rPr>
              <w:t>НН</w:t>
            </w:r>
          </w:p>
        </w:tc>
        <w:tc>
          <w:tcPr>
            <w:tcW w:w="825" w:type="pct"/>
            <w:tcBorders>
              <w:top w:val="nil"/>
              <w:left w:val="nil"/>
              <w:bottom w:val="single" w:sz="8" w:space="0" w:color="auto"/>
              <w:right w:val="single" w:sz="8" w:space="0" w:color="auto"/>
            </w:tcBorders>
            <w:shd w:val="clear" w:color="auto" w:fill="auto"/>
            <w:noWrap/>
            <w:vAlign w:val="center"/>
            <w:hideMark/>
          </w:tcPr>
          <w:p w14:paraId="59362266" w14:textId="77777777" w:rsidR="009A4C46" w:rsidRPr="009A4C46" w:rsidRDefault="009A4C46" w:rsidP="009A4C46">
            <w:pPr>
              <w:spacing w:after="0" w:line="240" w:lineRule="auto"/>
              <w:jc w:val="right"/>
              <w:rPr>
                <w:rFonts w:eastAsia="Times New Roman"/>
                <w:color w:val="000000"/>
                <w:lang w:eastAsia="ru-RU"/>
              </w:rPr>
            </w:pPr>
            <w:r w:rsidRPr="009A4C46">
              <w:rPr>
                <w:rFonts w:eastAsia="Times New Roman"/>
                <w:color w:val="000000"/>
                <w:lang w:eastAsia="ru-RU"/>
              </w:rPr>
              <w:t>117 694</w:t>
            </w:r>
          </w:p>
        </w:tc>
        <w:tc>
          <w:tcPr>
            <w:tcW w:w="825" w:type="pct"/>
            <w:tcBorders>
              <w:top w:val="nil"/>
              <w:left w:val="nil"/>
              <w:bottom w:val="single" w:sz="8" w:space="0" w:color="auto"/>
              <w:right w:val="single" w:sz="8" w:space="0" w:color="auto"/>
            </w:tcBorders>
            <w:shd w:val="clear" w:color="auto" w:fill="auto"/>
            <w:noWrap/>
            <w:vAlign w:val="center"/>
            <w:hideMark/>
          </w:tcPr>
          <w:p w14:paraId="0CD291CD" w14:textId="77777777" w:rsidR="009A4C46" w:rsidRPr="009A4C46" w:rsidRDefault="009A4C46" w:rsidP="009A4C46">
            <w:pPr>
              <w:spacing w:after="0" w:line="240" w:lineRule="auto"/>
              <w:jc w:val="right"/>
              <w:rPr>
                <w:rFonts w:eastAsia="Times New Roman"/>
                <w:color w:val="000000"/>
                <w:lang w:eastAsia="ru-RU"/>
              </w:rPr>
            </w:pPr>
            <w:r w:rsidRPr="009A4C46">
              <w:rPr>
                <w:rFonts w:eastAsia="Times New Roman"/>
                <w:color w:val="000000"/>
                <w:lang w:eastAsia="ru-RU"/>
              </w:rPr>
              <w:t>231 563</w:t>
            </w:r>
          </w:p>
        </w:tc>
        <w:tc>
          <w:tcPr>
            <w:tcW w:w="874" w:type="pct"/>
            <w:tcBorders>
              <w:top w:val="nil"/>
              <w:left w:val="nil"/>
              <w:bottom w:val="single" w:sz="8" w:space="0" w:color="auto"/>
              <w:right w:val="single" w:sz="8" w:space="0" w:color="auto"/>
            </w:tcBorders>
            <w:shd w:val="clear" w:color="auto" w:fill="auto"/>
            <w:noWrap/>
            <w:vAlign w:val="center"/>
            <w:hideMark/>
          </w:tcPr>
          <w:p w14:paraId="05302AC9" w14:textId="77777777" w:rsidR="009A4C46" w:rsidRPr="009A4C46" w:rsidRDefault="009A4C46" w:rsidP="009A4C46">
            <w:pPr>
              <w:spacing w:after="0" w:line="240" w:lineRule="auto"/>
              <w:jc w:val="right"/>
              <w:rPr>
                <w:rFonts w:eastAsia="Times New Roman"/>
                <w:color w:val="000000"/>
                <w:lang w:eastAsia="ru-RU"/>
              </w:rPr>
            </w:pPr>
            <w:r w:rsidRPr="009A4C46">
              <w:rPr>
                <w:rFonts w:eastAsia="Times New Roman"/>
                <w:color w:val="000000"/>
                <w:lang w:eastAsia="ru-RU"/>
              </w:rPr>
              <w:t>349 256</w:t>
            </w:r>
          </w:p>
        </w:tc>
      </w:tr>
      <w:tr w:rsidR="009A4C46" w:rsidRPr="009A4C46" w14:paraId="49548CBD" w14:textId="77777777" w:rsidTr="00070F3E">
        <w:trPr>
          <w:trHeight w:val="273"/>
        </w:trPr>
        <w:tc>
          <w:tcPr>
            <w:tcW w:w="2476" w:type="pct"/>
            <w:tcBorders>
              <w:top w:val="nil"/>
              <w:left w:val="single" w:sz="8" w:space="0" w:color="auto"/>
              <w:bottom w:val="single" w:sz="8" w:space="0" w:color="auto"/>
              <w:right w:val="single" w:sz="8" w:space="0" w:color="auto"/>
            </w:tcBorders>
            <w:shd w:val="clear" w:color="auto" w:fill="auto"/>
            <w:vAlign w:val="center"/>
            <w:hideMark/>
          </w:tcPr>
          <w:p w14:paraId="4CC6FCA5" w14:textId="77777777" w:rsidR="009A4C46" w:rsidRPr="009A4C46" w:rsidRDefault="009A4C46" w:rsidP="009A4C46">
            <w:pPr>
              <w:spacing w:after="0" w:line="240" w:lineRule="auto"/>
              <w:rPr>
                <w:rFonts w:eastAsia="Times New Roman"/>
                <w:b/>
                <w:bCs/>
                <w:color w:val="000000"/>
                <w:lang w:eastAsia="ru-RU"/>
              </w:rPr>
            </w:pPr>
            <w:r w:rsidRPr="009A4C46">
              <w:rPr>
                <w:rFonts w:eastAsia="Times New Roman"/>
                <w:b/>
                <w:bCs/>
                <w:color w:val="000000"/>
                <w:lang w:eastAsia="ru-RU"/>
              </w:rPr>
              <w:t>Население (по единым (котловым) тарифам) – всего, в т.ч.</w:t>
            </w:r>
          </w:p>
        </w:tc>
        <w:tc>
          <w:tcPr>
            <w:tcW w:w="825" w:type="pct"/>
            <w:tcBorders>
              <w:top w:val="nil"/>
              <w:left w:val="nil"/>
              <w:bottom w:val="single" w:sz="8" w:space="0" w:color="auto"/>
              <w:right w:val="single" w:sz="8" w:space="0" w:color="auto"/>
            </w:tcBorders>
            <w:shd w:val="clear" w:color="auto" w:fill="auto"/>
            <w:noWrap/>
            <w:vAlign w:val="center"/>
            <w:hideMark/>
          </w:tcPr>
          <w:p w14:paraId="08D7209C" w14:textId="77777777" w:rsidR="009A4C46" w:rsidRPr="009A4C46" w:rsidRDefault="009A4C46" w:rsidP="009A4C46">
            <w:pPr>
              <w:spacing w:after="0" w:line="240" w:lineRule="auto"/>
              <w:jc w:val="right"/>
              <w:rPr>
                <w:rFonts w:eastAsia="Times New Roman"/>
                <w:b/>
                <w:bCs/>
                <w:color w:val="000000"/>
                <w:lang w:eastAsia="ru-RU"/>
              </w:rPr>
            </w:pPr>
            <w:r w:rsidRPr="009A4C46">
              <w:rPr>
                <w:rFonts w:eastAsia="Times New Roman"/>
                <w:b/>
                <w:bCs/>
                <w:color w:val="000000"/>
                <w:lang w:eastAsia="ru-RU"/>
              </w:rPr>
              <w:t>245 488</w:t>
            </w:r>
          </w:p>
        </w:tc>
        <w:tc>
          <w:tcPr>
            <w:tcW w:w="825" w:type="pct"/>
            <w:tcBorders>
              <w:top w:val="nil"/>
              <w:left w:val="nil"/>
              <w:bottom w:val="single" w:sz="8" w:space="0" w:color="auto"/>
              <w:right w:val="single" w:sz="8" w:space="0" w:color="auto"/>
            </w:tcBorders>
            <w:shd w:val="clear" w:color="auto" w:fill="auto"/>
            <w:noWrap/>
            <w:vAlign w:val="center"/>
            <w:hideMark/>
          </w:tcPr>
          <w:p w14:paraId="400AABE8" w14:textId="77777777" w:rsidR="009A4C46" w:rsidRPr="009A4C46" w:rsidRDefault="009A4C46" w:rsidP="009A4C46">
            <w:pPr>
              <w:spacing w:after="0" w:line="240" w:lineRule="auto"/>
              <w:jc w:val="right"/>
              <w:rPr>
                <w:rFonts w:eastAsia="Times New Roman"/>
                <w:b/>
                <w:bCs/>
                <w:color w:val="000000"/>
                <w:lang w:eastAsia="ru-RU"/>
              </w:rPr>
            </w:pPr>
            <w:r w:rsidRPr="009A4C46">
              <w:rPr>
                <w:rFonts w:eastAsia="Times New Roman"/>
                <w:b/>
                <w:bCs/>
                <w:color w:val="000000"/>
                <w:lang w:eastAsia="ru-RU"/>
              </w:rPr>
              <w:t>260 622</w:t>
            </w:r>
          </w:p>
        </w:tc>
        <w:tc>
          <w:tcPr>
            <w:tcW w:w="874" w:type="pct"/>
            <w:tcBorders>
              <w:top w:val="nil"/>
              <w:left w:val="nil"/>
              <w:bottom w:val="single" w:sz="8" w:space="0" w:color="auto"/>
              <w:right w:val="single" w:sz="8" w:space="0" w:color="auto"/>
            </w:tcBorders>
            <w:shd w:val="clear" w:color="auto" w:fill="auto"/>
            <w:noWrap/>
            <w:vAlign w:val="center"/>
            <w:hideMark/>
          </w:tcPr>
          <w:p w14:paraId="7471B5B3" w14:textId="77777777" w:rsidR="009A4C46" w:rsidRPr="009A4C46" w:rsidRDefault="009A4C46" w:rsidP="009A4C46">
            <w:pPr>
              <w:spacing w:after="0" w:line="240" w:lineRule="auto"/>
              <w:jc w:val="right"/>
              <w:rPr>
                <w:rFonts w:eastAsia="Times New Roman"/>
                <w:b/>
                <w:bCs/>
                <w:color w:val="000000"/>
                <w:lang w:eastAsia="ru-RU"/>
              </w:rPr>
            </w:pPr>
            <w:r w:rsidRPr="009A4C46">
              <w:rPr>
                <w:rFonts w:eastAsia="Times New Roman"/>
                <w:b/>
                <w:bCs/>
                <w:color w:val="000000"/>
                <w:lang w:eastAsia="ru-RU"/>
              </w:rPr>
              <w:t>506 110</w:t>
            </w:r>
          </w:p>
        </w:tc>
      </w:tr>
      <w:tr w:rsidR="009A4C46" w:rsidRPr="009A4C46" w14:paraId="574D3859" w14:textId="77777777" w:rsidTr="00070F3E">
        <w:trPr>
          <w:trHeight w:val="273"/>
        </w:trPr>
        <w:tc>
          <w:tcPr>
            <w:tcW w:w="2476" w:type="pct"/>
            <w:tcBorders>
              <w:top w:val="nil"/>
              <w:left w:val="single" w:sz="8" w:space="0" w:color="auto"/>
              <w:bottom w:val="single" w:sz="8" w:space="0" w:color="auto"/>
              <w:right w:val="single" w:sz="8" w:space="0" w:color="auto"/>
            </w:tcBorders>
            <w:shd w:val="clear" w:color="auto" w:fill="auto"/>
            <w:noWrap/>
            <w:vAlign w:val="center"/>
            <w:hideMark/>
          </w:tcPr>
          <w:p w14:paraId="4BA7FA1D" w14:textId="77777777" w:rsidR="009A4C46" w:rsidRPr="009A4C46" w:rsidRDefault="009A4C46" w:rsidP="009A4C46">
            <w:pPr>
              <w:spacing w:after="0" w:line="240" w:lineRule="auto"/>
              <w:rPr>
                <w:rFonts w:eastAsia="Times New Roman"/>
                <w:color w:val="000000"/>
                <w:lang w:eastAsia="ru-RU"/>
              </w:rPr>
            </w:pPr>
            <w:r w:rsidRPr="009A4C46">
              <w:rPr>
                <w:rFonts w:eastAsia="Times New Roman"/>
                <w:color w:val="000000"/>
                <w:lang w:eastAsia="ru-RU"/>
              </w:rPr>
              <w:t>Категория 1</w:t>
            </w:r>
          </w:p>
        </w:tc>
        <w:tc>
          <w:tcPr>
            <w:tcW w:w="825" w:type="pct"/>
            <w:tcBorders>
              <w:top w:val="nil"/>
              <w:left w:val="nil"/>
              <w:bottom w:val="single" w:sz="8" w:space="0" w:color="auto"/>
              <w:right w:val="single" w:sz="8" w:space="0" w:color="auto"/>
            </w:tcBorders>
            <w:shd w:val="clear" w:color="auto" w:fill="auto"/>
            <w:noWrap/>
            <w:vAlign w:val="center"/>
            <w:hideMark/>
          </w:tcPr>
          <w:p w14:paraId="06330102" w14:textId="77777777" w:rsidR="009A4C46" w:rsidRPr="009A4C46" w:rsidRDefault="009A4C46" w:rsidP="009A4C46">
            <w:pPr>
              <w:spacing w:after="0" w:line="240" w:lineRule="auto"/>
              <w:jc w:val="right"/>
              <w:rPr>
                <w:rFonts w:eastAsia="Times New Roman"/>
                <w:color w:val="000000"/>
                <w:lang w:eastAsia="ru-RU"/>
              </w:rPr>
            </w:pPr>
            <w:r w:rsidRPr="009A4C46">
              <w:rPr>
                <w:rFonts w:eastAsia="Times New Roman"/>
                <w:color w:val="000000"/>
                <w:lang w:eastAsia="ru-RU"/>
              </w:rPr>
              <w:t>224 506</w:t>
            </w:r>
          </w:p>
        </w:tc>
        <w:tc>
          <w:tcPr>
            <w:tcW w:w="825" w:type="pct"/>
            <w:tcBorders>
              <w:top w:val="nil"/>
              <w:left w:val="nil"/>
              <w:bottom w:val="single" w:sz="8" w:space="0" w:color="auto"/>
              <w:right w:val="single" w:sz="8" w:space="0" w:color="auto"/>
            </w:tcBorders>
            <w:shd w:val="clear" w:color="auto" w:fill="auto"/>
            <w:noWrap/>
            <w:vAlign w:val="center"/>
            <w:hideMark/>
          </w:tcPr>
          <w:p w14:paraId="6DBA4E5D" w14:textId="77777777" w:rsidR="009A4C46" w:rsidRPr="009A4C46" w:rsidRDefault="009A4C46" w:rsidP="009A4C46">
            <w:pPr>
              <w:spacing w:after="0" w:line="240" w:lineRule="auto"/>
              <w:jc w:val="right"/>
              <w:rPr>
                <w:rFonts w:eastAsia="Times New Roman"/>
                <w:color w:val="000000"/>
                <w:lang w:eastAsia="ru-RU"/>
              </w:rPr>
            </w:pPr>
            <w:r w:rsidRPr="009A4C46">
              <w:rPr>
                <w:rFonts w:eastAsia="Times New Roman"/>
                <w:color w:val="000000"/>
                <w:lang w:eastAsia="ru-RU"/>
              </w:rPr>
              <w:t>243 631</w:t>
            </w:r>
          </w:p>
        </w:tc>
        <w:tc>
          <w:tcPr>
            <w:tcW w:w="874" w:type="pct"/>
            <w:tcBorders>
              <w:top w:val="nil"/>
              <w:left w:val="nil"/>
              <w:bottom w:val="single" w:sz="8" w:space="0" w:color="auto"/>
              <w:right w:val="single" w:sz="8" w:space="0" w:color="auto"/>
            </w:tcBorders>
            <w:shd w:val="clear" w:color="auto" w:fill="auto"/>
            <w:noWrap/>
            <w:vAlign w:val="center"/>
            <w:hideMark/>
          </w:tcPr>
          <w:p w14:paraId="1F5D3F2C" w14:textId="77777777" w:rsidR="009A4C46" w:rsidRPr="009A4C46" w:rsidRDefault="009A4C46" w:rsidP="009A4C46">
            <w:pPr>
              <w:spacing w:after="0" w:line="240" w:lineRule="auto"/>
              <w:jc w:val="right"/>
              <w:rPr>
                <w:rFonts w:eastAsia="Times New Roman"/>
                <w:color w:val="000000"/>
                <w:lang w:eastAsia="ru-RU"/>
              </w:rPr>
            </w:pPr>
            <w:r w:rsidRPr="009A4C46">
              <w:rPr>
                <w:rFonts w:eastAsia="Times New Roman"/>
                <w:color w:val="000000"/>
                <w:lang w:eastAsia="ru-RU"/>
              </w:rPr>
              <w:t>468 137</w:t>
            </w:r>
          </w:p>
        </w:tc>
      </w:tr>
      <w:tr w:rsidR="009A4C46" w:rsidRPr="009A4C46" w14:paraId="3CDD1FE6" w14:textId="77777777" w:rsidTr="00070F3E">
        <w:trPr>
          <w:trHeight w:val="273"/>
        </w:trPr>
        <w:tc>
          <w:tcPr>
            <w:tcW w:w="2476" w:type="pct"/>
            <w:tcBorders>
              <w:top w:val="nil"/>
              <w:left w:val="single" w:sz="8" w:space="0" w:color="auto"/>
              <w:bottom w:val="single" w:sz="8" w:space="0" w:color="auto"/>
              <w:right w:val="single" w:sz="8" w:space="0" w:color="auto"/>
            </w:tcBorders>
            <w:shd w:val="clear" w:color="auto" w:fill="auto"/>
            <w:noWrap/>
            <w:vAlign w:val="center"/>
            <w:hideMark/>
          </w:tcPr>
          <w:p w14:paraId="4877A578" w14:textId="77777777" w:rsidR="009A4C46" w:rsidRPr="009A4C46" w:rsidRDefault="009A4C46" w:rsidP="009A4C46">
            <w:pPr>
              <w:spacing w:after="0" w:line="240" w:lineRule="auto"/>
              <w:rPr>
                <w:rFonts w:eastAsia="Times New Roman"/>
                <w:color w:val="000000"/>
                <w:lang w:eastAsia="ru-RU"/>
              </w:rPr>
            </w:pPr>
            <w:r w:rsidRPr="009A4C46">
              <w:rPr>
                <w:rFonts w:eastAsia="Times New Roman"/>
                <w:color w:val="000000"/>
                <w:lang w:eastAsia="ru-RU"/>
              </w:rPr>
              <w:t>Категория 2</w:t>
            </w:r>
          </w:p>
        </w:tc>
        <w:tc>
          <w:tcPr>
            <w:tcW w:w="825" w:type="pct"/>
            <w:tcBorders>
              <w:top w:val="nil"/>
              <w:left w:val="nil"/>
              <w:bottom w:val="single" w:sz="8" w:space="0" w:color="auto"/>
              <w:right w:val="single" w:sz="8" w:space="0" w:color="auto"/>
            </w:tcBorders>
            <w:shd w:val="clear" w:color="auto" w:fill="auto"/>
            <w:noWrap/>
            <w:vAlign w:val="center"/>
            <w:hideMark/>
          </w:tcPr>
          <w:p w14:paraId="3113BF17" w14:textId="77777777" w:rsidR="009A4C46" w:rsidRPr="009A4C46" w:rsidRDefault="009A4C46" w:rsidP="009A4C46">
            <w:pPr>
              <w:spacing w:after="0" w:line="240" w:lineRule="auto"/>
              <w:jc w:val="right"/>
              <w:rPr>
                <w:rFonts w:eastAsia="Times New Roman"/>
                <w:color w:val="000000"/>
                <w:lang w:eastAsia="ru-RU"/>
              </w:rPr>
            </w:pPr>
            <w:r w:rsidRPr="009A4C46">
              <w:rPr>
                <w:rFonts w:eastAsia="Times New Roman"/>
                <w:color w:val="000000"/>
                <w:lang w:eastAsia="ru-RU"/>
              </w:rPr>
              <w:t>7 279</w:t>
            </w:r>
          </w:p>
        </w:tc>
        <w:tc>
          <w:tcPr>
            <w:tcW w:w="825" w:type="pct"/>
            <w:tcBorders>
              <w:top w:val="nil"/>
              <w:left w:val="nil"/>
              <w:bottom w:val="single" w:sz="8" w:space="0" w:color="auto"/>
              <w:right w:val="single" w:sz="8" w:space="0" w:color="auto"/>
            </w:tcBorders>
            <w:shd w:val="clear" w:color="auto" w:fill="auto"/>
            <w:noWrap/>
            <w:vAlign w:val="center"/>
            <w:hideMark/>
          </w:tcPr>
          <w:p w14:paraId="5D96AEAB" w14:textId="77777777" w:rsidR="009A4C46" w:rsidRPr="009A4C46" w:rsidRDefault="009A4C46" w:rsidP="009A4C46">
            <w:pPr>
              <w:spacing w:after="0" w:line="240" w:lineRule="auto"/>
              <w:jc w:val="right"/>
              <w:rPr>
                <w:rFonts w:eastAsia="Times New Roman"/>
                <w:color w:val="000000"/>
                <w:lang w:eastAsia="ru-RU"/>
              </w:rPr>
            </w:pPr>
            <w:r w:rsidRPr="009A4C46">
              <w:rPr>
                <w:rFonts w:eastAsia="Times New Roman"/>
                <w:color w:val="000000"/>
                <w:lang w:eastAsia="ru-RU"/>
              </w:rPr>
              <w:t>1 705</w:t>
            </w:r>
          </w:p>
        </w:tc>
        <w:tc>
          <w:tcPr>
            <w:tcW w:w="874" w:type="pct"/>
            <w:tcBorders>
              <w:top w:val="nil"/>
              <w:left w:val="nil"/>
              <w:bottom w:val="single" w:sz="8" w:space="0" w:color="auto"/>
              <w:right w:val="single" w:sz="8" w:space="0" w:color="auto"/>
            </w:tcBorders>
            <w:shd w:val="clear" w:color="auto" w:fill="auto"/>
            <w:noWrap/>
            <w:vAlign w:val="center"/>
            <w:hideMark/>
          </w:tcPr>
          <w:p w14:paraId="78B7C3BD" w14:textId="77777777" w:rsidR="009A4C46" w:rsidRPr="009A4C46" w:rsidRDefault="009A4C46" w:rsidP="009A4C46">
            <w:pPr>
              <w:spacing w:after="0" w:line="240" w:lineRule="auto"/>
              <w:jc w:val="right"/>
              <w:rPr>
                <w:rFonts w:eastAsia="Times New Roman"/>
                <w:color w:val="000000"/>
                <w:lang w:eastAsia="ru-RU"/>
              </w:rPr>
            </w:pPr>
            <w:r w:rsidRPr="009A4C46">
              <w:rPr>
                <w:rFonts w:eastAsia="Times New Roman"/>
                <w:color w:val="000000"/>
                <w:lang w:eastAsia="ru-RU"/>
              </w:rPr>
              <w:t>8 983</w:t>
            </w:r>
          </w:p>
        </w:tc>
      </w:tr>
      <w:tr w:rsidR="009A4C46" w:rsidRPr="009A4C46" w14:paraId="2230EEC9" w14:textId="77777777" w:rsidTr="00070F3E">
        <w:trPr>
          <w:trHeight w:val="273"/>
        </w:trPr>
        <w:tc>
          <w:tcPr>
            <w:tcW w:w="2476" w:type="pct"/>
            <w:tcBorders>
              <w:top w:val="nil"/>
              <w:left w:val="single" w:sz="8" w:space="0" w:color="auto"/>
              <w:bottom w:val="single" w:sz="8" w:space="0" w:color="auto"/>
              <w:right w:val="single" w:sz="8" w:space="0" w:color="auto"/>
            </w:tcBorders>
            <w:shd w:val="clear" w:color="auto" w:fill="auto"/>
            <w:noWrap/>
            <w:vAlign w:val="center"/>
            <w:hideMark/>
          </w:tcPr>
          <w:p w14:paraId="0A1D8650" w14:textId="77777777" w:rsidR="009A4C46" w:rsidRPr="009A4C46" w:rsidRDefault="009A4C46" w:rsidP="009A4C46">
            <w:pPr>
              <w:spacing w:after="0" w:line="240" w:lineRule="auto"/>
              <w:rPr>
                <w:rFonts w:eastAsia="Times New Roman"/>
                <w:color w:val="000000"/>
                <w:lang w:eastAsia="ru-RU"/>
              </w:rPr>
            </w:pPr>
            <w:r w:rsidRPr="009A4C46">
              <w:rPr>
                <w:rFonts w:eastAsia="Times New Roman"/>
                <w:color w:val="000000"/>
                <w:lang w:eastAsia="ru-RU"/>
              </w:rPr>
              <w:t>Категория 3</w:t>
            </w:r>
          </w:p>
        </w:tc>
        <w:tc>
          <w:tcPr>
            <w:tcW w:w="825" w:type="pct"/>
            <w:tcBorders>
              <w:top w:val="nil"/>
              <w:left w:val="nil"/>
              <w:bottom w:val="single" w:sz="8" w:space="0" w:color="auto"/>
              <w:right w:val="single" w:sz="8" w:space="0" w:color="auto"/>
            </w:tcBorders>
            <w:shd w:val="clear" w:color="auto" w:fill="auto"/>
            <w:noWrap/>
            <w:vAlign w:val="center"/>
            <w:hideMark/>
          </w:tcPr>
          <w:p w14:paraId="29B650AE" w14:textId="77777777" w:rsidR="009A4C46" w:rsidRPr="009A4C46" w:rsidRDefault="009A4C46" w:rsidP="009A4C46">
            <w:pPr>
              <w:spacing w:after="0" w:line="240" w:lineRule="auto"/>
              <w:jc w:val="right"/>
              <w:rPr>
                <w:rFonts w:eastAsia="Times New Roman"/>
                <w:color w:val="000000"/>
                <w:lang w:eastAsia="ru-RU"/>
              </w:rPr>
            </w:pPr>
            <w:r w:rsidRPr="009A4C46">
              <w:rPr>
                <w:rFonts w:eastAsia="Times New Roman"/>
                <w:color w:val="000000"/>
                <w:lang w:eastAsia="ru-RU"/>
              </w:rPr>
              <w:t>581</w:t>
            </w:r>
          </w:p>
        </w:tc>
        <w:tc>
          <w:tcPr>
            <w:tcW w:w="825" w:type="pct"/>
            <w:tcBorders>
              <w:top w:val="nil"/>
              <w:left w:val="nil"/>
              <w:bottom w:val="single" w:sz="8" w:space="0" w:color="auto"/>
              <w:right w:val="single" w:sz="8" w:space="0" w:color="auto"/>
            </w:tcBorders>
            <w:shd w:val="clear" w:color="auto" w:fill="auto"/>
            <w:noWrap/>
            <w:vAlign w:val="center"/>
            <w:hideMark/>
          </w:tcPr>
          <w:p w14:paraId="5241DDBB" w14:textId="77777777" w:rsidR="009A4C46" w:rsidRPr="009A4C46" w:rsidRDefault="009A4C46" w:rsidP="009A4C46">
            <w:pPr>
              <w:spacing w:after="0" w:line="240" w:lineRule="auto"/>
              <w:jc w:val="right"/>
              <w:rPr>
                <w:rFonts w:eastAsia="Times New Roman"/>
                <w:color w:val="000000"/>
                <w:lang w:eastAsia="ru-RU"/>
              </w:rPr>
            </w:pPr>
            <w:r w:rsidRPr="009A4C46">
              <w:rPr>
                <w:rFonts w:eastAsia="Times New Roman"/>
                <w:color w:val="000000"/>
                <w:lang w:eastAsia="ru-RU"/>
              </w:rPr>
              <w:t>500</w:t>
            </w:r>
          </w:p>
        </w:tc>
        <w:tc>
          <w:tcPr>
            <w:tcW w:w="874" w:type="pct"/>
            <w:tcBorders>
              <w:top w:val="nil"/>
              <w:left w:val="nil"/>
              <w:bottom w:val="single" w:sz="8" w:space="0" w:color="auto"/>
              <w:right w:val="single" w:sz="8" w:space="0" w:color="auto"/>
            </w:tcBorders>
            <w:shd w:val="clear" w:color="auto" w:fill="auto"/>
            <w:noWrap/>
            <w:vAlign w:val="center"/>
            <w:hideMark/>
          </w:tcPr>
          <w:p w14:paraId="43E42374" w14:textId="77777777" w:rsidR="009A4C46" w:rsidRPr="009A4C46" w:rsidRDefault="009A4C46" w:rsidP="009A4C46">
            <w:pPr>
              <w:spacing w:after="0" w:line="240" w:lineRule="auto"/>
              <w:jc w:val="right"/>
              <w:rPr>
                <w:rFonts w:eastAsia="Times New Roman"/>
                <w:color w:val="000000"/>
                <w:lang w:eastAsia="ru-RU"/>
              </w:rPr>
            </w:pPr>
            <w:r w:rsidRPr="009A4C46">
              <w:rPr>
                <w:rFonts w:eastAsia="Times New Roman"/>
                <w:color w:val="000000"/>
                <w:lang w:eastAsia="ru-RU"/>
              </w:rPr>
              <w:t>1 081</w:t>
            </w:r>
          </w:p>
        </w:tc>
      </w:tr>
      <w:tr w:rsidR="009A4C46" w:rsidRPr="009A4C46" w14:paraId="0258989E" w14:textId="77777777" w:rsidTr="00070F3E">
        <w:trPr>
          <w:trHeight w:val="273"/>
        </w:trPr>
        <w:tc>
          <w:tcPr>
            <w:tcW w:w="2476" w:type="pct"/>
            <w:tcBorders>
              <w:top w:val="nil"/>
              <w:left w:val="single" w:sz="8" w:space="0" w:color="auto"/>
              <w:bottom w:val="single" w:sz="8" w:space="0" w:color="auto"/>
              <w:right w:val="single" w:sz="8" w:space="0" w:color="auto"/>
            </w:tcBorders>
            <w:shd w:val="clear" w:color="auto" w:fill="auto"/>
            <w:noWrap/>
            <w:vAlign w:val="center"/>
            <w:hideMark/>
          </w:tcPr>
          <w:p w14:paraId="4A456019" w14:textId="77777777" w:rsidR="009A4C46" w:rsidRPr="009A4C46" w:rsidRDefault="009A4C46" w:rsidP="009A4C46">
            <w:pPr>
              <w:spacing w:after="0" w:line="240" w:lineRule="auto"/>
              <w:rPr>
                <w:rFonts w:eastAsia="Times New Roman"/>
                <w:color w:val="000000"/>
                <w:lang w:eastAsia="ru-RU"/>
              </w:rPr>
            </w:pPr>
            <w:r w:rsidRPr="009A4C46">
              <w:rPr>
                <w:rFonts w:eastAsia="Times New Roman"/>
                <w:color w:val="000000"/>
                <w:lang w:eastAsia="ru-RU"/>
              </w:rPr>
              <w:t>Категория 4.1</w:t>
            </w:r>
          </w:p>
        </w:tc>
        <w:tc>
          <w:tcPr>
            <w:tcW w:w="825" w:type="pct"/>
            <w:tcBorders>
              <w:top w:val="nil"/>
              <w:left w:val="nil"/>
              <w:bottom w:val="single" w:sz="8" w:space="0" w:color="auto"/>
              <w:right w:val="single" w:sz="8" w:space="0" w:color="auto"/>
            </w:tcBorders>
            <w:shd w:val="clear" w:color="auto" w:fill="auto"/>
            <w:noWrap/>
            <w:vAlign w:val="center"/>
            <w:hideMark/>
          </w:tcPr>
          <w:p w14:paraId="62847912" w14:textId="77777777" w:rsidR="009A4C46" w:rsidRPr="009A4C46" w:rsidRDefault="009A4C46" w:rsidP="009A4C46">
            <w:pPr>
              <w:spacing w:after="0" w:line="240" w:lineRule="auto"/>
              <w:jc w:val="right"/>
              <w:rPr>
                <w:rFonts w:eastAsia="Times New Roman"/>
                <w:color w:val="000000"/>
                <w:lang w:eastAsia="ru-RU"/>
              </w:rPr>
            </w:pPr>
            <w:r w:rsidRPr="009A4C46">
              <w:rPr>
                <w:rFonts w:eastAsia="Times New Roman"/>
                <w:color w:val="000000"/>
                <w:lang w:eastAsia="ru-RU"/>
              </w:rPr>
              <w:t>89</w:t>
            </w:r>
          </w:p>
        </w:tc>
        <w:tc>
          <w:tcPr>
            <w:tcW w:w="825" w:type="pct"/>
            <w:tcBorders>
              <w:top w:val="nil"/>
              <w:left w:val="nil"/>
              <w:bottom w:val="single" w:sz="8" w:space="0" w:color="auto"/>
              <w:right w:val="single" w:sz="8" w:space="0" w:color="auto"/>
            </w:tcBorders>
            <w:shd w:val="clear" w:color="auto" w:fill="auto"/>
            <w:noWrap/>
            <w:vAlign w:val="center"/>
            <w:hideMark/>
          </w:tcPr>
          <w:p w14:paraId="0F258727" w14:textId="77777777" w:rsidR="009A4C46" w:rsidRPr="009A4C46" w:rsidRDefault="009A4C46" w:rsidP="009A4C46">
            <w:pPr>
              <w:spacing w:after="0" w:line="240" w:lineRule="auto"/>
              <w:jc w:val="right"/>
              <w:rPr>
                <w:rFonts w:eastAsia="Times New Roman"/>
                <w:color w:val="000000"/>
                <w:lang w:eastAsia="ru-RU"/>
              </w:rPr>
            </w:pPr>
            <w:r w:rsidRPr="009A4C46">
              <w:rPr>
                <w:rFonts w:eastAsia="Times New Roman"/>
                <w:color w:val="000000"/>
                <w:lang w:eastAsia="ru-RU"/>
              </w:rPr>
              <w:t>3 097</w:t>
            </w:r>
          </w:p>
        </w:tc>
        <w:tc>
          <w:tcPr>
            <w:tcW w:w="874" w:type="pct"/>
            <w:tcBorders>
              <w:top w:val="nil"/>
              <w:left w:val="nil"/>
              <w:bottom w:val="single" w:sz="8" w:space="0" w:color="auto"/>
              <w:right w:val="single" w:sz="8" w:space="0" w:color="auto"/>
            </w:tcBorders>
            <w:shd w:val="clear" w:color="auto" w:fill="auto"/>
            <w:noWrap/>
            <w:vAlign w:val="center"/>
            <w:hideMark/>
          </w:tcPr>
          <w:p w14:paraId="2DBE8DF4" w14:textId="77777777" w:rsidR="009A4C46" w:rsidRPr="009A4C46" w:rsidRDefault="009A4C46" w:rsidP="009A4C46">
            <w:pPr>
              <w:spacing w:after="0" w:line="240" w:lineRule="auto"/>
              <w:jc w:val="right"/>
              <w:rPr>
                <w:rFonts w:eastAsia="Times New Roman"/>
                <w:color w:val="000000"/>
                <w:lang w:eastAsia="ru-RU"/>
              </w:rPr>
            </w:pPr>
            <w:r w:rsidRPr="009A4C46">
              <w:rPr>
                <w:rFonts w:eastAsia="Times New Roman"/>
                <w:color w:val="000000"/>
                <w:lang w:eastAsia="ru-RU"/>
              </w:rPr>
              <w:t>3 186</w:t>
            </w:r>
          </w:p>
        </w:tc>
      </w:tr>
      <w:tr w:rsidR="009A4C46" w:rsidRPr="009A4C46" w14:paraId="3698B8E0" w14:textId="77777777" w:rsidTr="00070F3E">
        <w:trPr>
          <w:trHeight w:val="273"/>
        </w:trPr>
        <w:tc>
          <w:tcPr>
            <w:tcW w:w="2476" w:type="pct"/>
            <w:tcBorders>
              <w:top w:val="nil"/>
              <w:left w:val="single" w:sz="8" w:space="0" w:color="auto"/>
              <w:bottom w:val="single" w:sz="8" w:space="0" w:color="auto"/>
              <w:right w:val="single" w:sz="8" w:space="0" w:color="auto"/>
            </w:tcBorders>
            <w:shd w:val="clear" w:color="auto" w:fill="auto"/>
            <w:noWrap/>
            <w:vAlign w:val="center"/>
            <w:hideMark/>
          </w:tcPr>
          <w:p w14:paraId="1BE3AA1C" w14:textId="77777777" w:rsidR="009A4C46" w:rsidRPr="009A4C46" w:rsidRDefault="009A4C46" w:rsidP="009A4C46">
            <w:pPr>
              <w:spacing w:after="0" w:line="240" w:lineRule="auto"/>
              <w:rPr>
                <w:rFonts w:eastAsia="Times New Roman"/>
                <w:color w:val="000000"/>
                <w:lang w:eastAsia="ru-RU"/>
              </w:rPr>
            </w:pPr>
            <w:r w:rsidRPr="009A4C46">
              <w:rPr>
                <w:rFonts w:eastAsia="Times New Roman"/>
                <w:color w:val="000000"/>
                <w:lang w:eastAsia="ru-RU"/>
              </w:rPr>
              <w:t>Категория 4.2</w:t>
            </w:r>
          </w:p>
        </w:tc>
        <w:tc>
          <w:tcPr>
            <w:tcW w:w="825" w:type="pct"/>
            <w:tcBorders>
              <w:top w:val="nil"/>
              <w:left w:val="nil"/>
              <w:bottom w:val="single" w:sz="8" w:space="0" w:color="auto"/>
              <w:right w:val="single" w:sz="8" w:space="0" w:color="auto"/>
            </w:tcBorders>
            <w:shd w:val="clear" w:color="auto" w:fill="auto"/>
            <w:noWrap/>
            <w:vAlign w:val="center"/>
            <w:hideMark/>
          </w:tcPr>
          <w:p w14:paraId="0801BD4F" w14:textId="77777777" w:rsidR="009A4C46" w:rsidRPr="009A4C46" w:rsidRDefault="009A4C46" w:rsidP="009A4C46">
            <w:pPr>
              <w:spacing w:after="0" w:line="240" w:lineRule="auto"/>
              <w:jc w:val="right"/>
              <w:rPr>
                <w:rFonts w:eastAsia="Times New Roman"/>
                <w:color w:val="000000"/>
                <w:lang w:eastAsia="ru-RU"/>
              </w:rPr>
            </w:pPr>
            <w:r w:rsidRPr="009A4C46">
              <w:rPr>
                <w:rFonts w:eastAsia="Times New Roman"/>
                <w:color w:val="000000"/>
                <w:lang w:eastAsia="ru-RU"/>
              </w:rPr>
              <w:t>1 629</w:t>
            </w:r>
          </w:p>
        </w:tc>
        <w:tc>
          <w:tcPr>
            <w:tcW w:w="825" w:type="pct"/>
            <w:tcBorders>
              <w:top w:val="nil"/>
              <w:left w:val="nil"/>
              <w:bottom w:val="single" w:sz="8" w:space="0" w:color="auto"/>
              <w:right w:val="single" w:sz="8" w:space="0" w:color="auto"/>
            </w:tcBorders>
            <w:shd w:val="clear" w:color="auto" w:fill="auto"/>
            <w:noWrap/>
            <w:vAlign w:val="center"/>
            <w:hideMark/>
          </w:tcPr>
          <w:p w14:paraId="45C82E9B" w14:textId="77777777" w:rsidR="009A4C46" w:rsidRPr="009A4C46" w:rsidRDefault="009A4C46" w:rsidP="009A4C46">
            <w:pPr>
              <w:spacing w:after="0" w:line="240" w:lineRule="auto"/>
              <w:jc w:val="right"/>
              <w:rPr>
                <w:rFonts w:eastAsia="Times New Roman"/>
                <w:color w:val="000000"/>
                <w:lang w:eastAsia="ru-RU"/>
              </w:rPr>
            </w:pPr>
            <w:r w:rsidRPr="009A4C46">
              <w:rPr>
                <w:rFonts w:eastAsia="Times New Roman"/>
                <w:color w:val="000000"/>
                <w:lang w:eastAsia="ru-RU"/>
              </w:rPr>
              <w:t>1 736</w:t>
            </w:r>
          </w:p>
        </w:tc>
        <w:tc>
          <w:tcPr>
            <w:tcW w:w="874" w:type="pct"/>
            <w:tcBorders>
              <w:top w:val="nil"/>
              <w:left w:val="nil"/>
              <w:bottom w:val="single" w:sz="8" w:space="0" w:color="auto"/>
              <w:right w:val="single" w:sz="8" w:space="0" w:color="auto"/>
            </w:tcBorders>
            <w:shd w:val="clear" w:color="auto" w:fill="auto"/>
            <w:noWrap/>
            <w:vAlign w:val="center"/>
            <w:hideMark/>
          </w:tcPr>
          <w:p w14:paraId="2BB0BEE9" w14:textId="77777777" w:rsidR="009A4C46" w:rsidRPr="009A4C46" w:rsidRDefault="009A4C46" w:rsidP="009A4C46">
            <w:pPr>
              <w:spacing w:after="0" w:line="240" w:lineRule="auto"/>
              <w:jc w:val="right"/>
              <w:rPr>
                <w:rFonts w:eastAsia="Times New Roman"/>
                <w:color w:val="000000"/>
                <w:lang w:eastAsia="ru-RU"/>
              </w:rPr>
            </w:pPr>
            <w:r w:rsidRPr="009A4C46">
              <w:rPr>
                <w:rFonts w:eastAsia="Times New Roman"/>
                <w:color w:val="000000"/>
                <w:lang w:eastAsia="ru-RU"/>
              </w:rPr>
              <w:t>3 365</w:t>
            </w:r>
          </w:p>
        </w:tc>
      </w:tr>
      <w:tr w:rsidR="009A4C46" w:rsidRPr="009A4C46" w14:paraId="43EB0ECA" w14:textId="77777777" w:rsidTr="00070F3E">
        <w:trPr>
          <w:trHeight w:val="273"/>
        </w:trPr>
        <w:tc>
          <w:tcPr>
            <w:tcW w:w="2476" w:type="pct"/>
            <w:tcBorders>
              <w:top w:val="nil"/>
              <w:left w:val="single" w:sz="8" w:space="0" w:color="auto"/>
              <w:bottom w:val="single" w:sz="8" w:space="0" w:color="auto"/>
              <w:right w:val="single" w:sz="8" w:space="0" w:color="auto"/>
            </w:tcBorders>
            <w:shd w:val="clear" w:color="auto" w:fill="auto"/>
            <w:noWrap/>
            <w:vAlign w:val="center"/>
            <w:hideMark/>
          </w:tcPr>
          <w:p w14:paraId="1BF9471D" w14:textId="77777777" w:rsidR="009A4C46" w:rsidRPr="009A4C46" w:rsidRDefault="009A4C46" w:rsidP="009A4C46">
            <w:pPr>
              <w:spacing w:after="0" w:line="240" w:lineRule="auto"/>
              <w:rPr>
                <w:rFonts w:eastAsia="Times New Roman"/>
                <w:color w:val="000000"/>
                <w:lang w:eastAsia="ru-RU"/>
              </w:rPr>
            </w:pPr>
            <w:r w:rsidRPr="009A4C46">
              <w:rPr>
                <w:rFonts w:eastAsia="Times New Roman"/>
                <w:color w:val="000000"/>
                <w:lang w:eastAsia="ru-RU"/>
              </w:rPr>
              <w:t>Категория 4.3</w:t>
            </w:r>
          </w:p>
        </w:tc>
        <w:tc>
          <w:tcPr>
            <w:tcW w:w="825" w:type="pct"/>
            <w:tcBorders>
              <w:top w:val="nil"/>
              <w:left w:val="nil"/>
              <w:bottom w:val="single" w:sz="8" w:space="0" w:color="auto"/>
              <w:right w:val="single" w:sz="8" w:space="0" w:color="auto"/>
            </w:tcBorders>
            <w:shd w:val="clear" w:color="auto" w:fill="auto"/>
            <w:noWrap/>
            <w:vAlign w:val="center"/>
            <w:hideMark/>
          </w:tcPr>
          <w:p w14:paraId="4529DFED" w14:textId="77777777" w:rsidR="009A4C46" w:rsidRPr="009A4C46" w:rsidRDefault="009A4C46" w:rsidP="009A4C46">
            <w:pPr>
              <w:spacing w:after="0" w:line="240" w:lineRule="auto"/>
              <w:jc w:val="right"/>
              <w:rPr>
                <w:rFonts w:eastAsia="Times New Roman"/>
                <w:color w:val="000000"/>
                <w:lang w:eastAsia="ru-RU"/>
              </w:rPr>
            </w:pPr>
            <w:r w:rsidRPr="009A4C46">
              <w:rPr>
                <w:rFonts w:eastAsia="Times New Roman"/>
                <w:color w:val="000000"/>
                <w:lang w:eastAsia="ru-RU"/>
              </w:rPr>
              <w:t>465</w:t>
            </w:r>
          </w:p>
        </w:tc>
        <w:tc>
          <w:tcPr>
            <w:tcW w:w="825" w:type="pct"/>
            <w:tcBorders>
              <w:top w:val="nil"/>
              <w:left w:val="nil"/>
              <w:bottom w:val="single" w:sz="8" w:space="0" w:color="auto"/>
              <w:right w:val="single" w:sz="8" w:space="0" w:color="auto"/>
            </w:tcBorders>
            <w:shd w:val="clear" w:color="auto" w:fill="auto"/>
            <w:noWrap/>
            <w:vAlign w:val="center"/>
            <w:hideMark/>
          </w:tcPr>
          <w:p w14:paraId="7280705F" w14:textId="77777777" w:rsidR="009A4C46" w:rsidRPr="009A4C46" w:rsidRDefault="009A4C46" w:rsidP="009A4C46">
            <w:pPr>
              <w:spacing w:after="0" w:line="240" w:lineRule="auto"/>
              <w:jc w:val="right"/>
              <w:rPr>
                <w:rFonts w:eastAsia="Times New Roman"/>
                <w:color w:val="000000"/>
                <w:lang w:eastAsia="ru-RU"/>
              </w:rPr>
            </w:pPr>
            <w:r w:rsidRPr="009A4C46">
              <w:rPr>
                <w:rFonts w:eastAsia="Times New Roman"/>
                <w:color w:val="000000"/>
                <w:lang w:eastAsia="ru-RU"/>
              </w:rPr>
              <w:t>440</w:t>
            </w:r>
          </w:p>
        </w:tc>
        <w:tc>
          <w:tcPr>
            <w:tcW w:w="874" w:type="pct"/>
            <w:tcBorders>
              <w:top w:val="nil"/>
              <w:left w:val="nil"/>
              <w:bottom w:val="single" w:sz="8" w:space="0" w:color="auto"/>
              <w:right w:val="single" w:sz="8" w:space="0" w:color="auto"/>
            </w:tcBorders>
            <w:shd w:val="clear" w:color="auto" w:fill="auto"/>
            <w:noWrap/>
            <w:vAlign w:val="center"/>
            <w:hideMark/>
          </w:tcPr>
          <w:p w14:paraId="4463CE38" w14:textId="77777777" w:rsidR="009A4C46" w:rsidRPr="009A4C46" w:rsidRDefault="009A4C46" w:rsidP="009A4C46">
            <w:pPr>
              <w:spacing w:after="0" w:line="240" w:lineRule="auto"/>
              <w:jc w:val="right"/>
              <w:rPr>
                <w:rFonts w:eastAsia="Times New Roman"/>
                <w:color w:val="000000"/>
                <w:lang w:eastAsia="ru-RU"/>
              </w:rPr>
            </w:pPr>
            <w:r w:rsidRPr="009A4C46">
              <w:rPr>
                <w:rFonts w:eastAsia="Times New Roman"/>
                <w:color w:val="000000"/>
                <w:lang w:eastAsia="ru-RU"/>
              </w:rPr>
              <w:t>906</w:t>
            </w:r>
          </w:p>
        </w:tc>
      </w:tr>
      <w:tr w:rsidR="009A4C46" w:rsidRPr="009A4C46" w14:paraId="2AFF5741" w14:textId="77777777" w:rsidTr="00070F3E">
        <w:trPr>
          <w:trHeight w:val="273"/>
        </w:trPr>
        <w:tc>
          <w:tcPr>
            <w:tcW w:w="2476" w:type="pct"/>
            <w:tcBorders>
              <w:top w:val="nil"/>
              <w:left w:val="single" w:sz="8" w:space="0" w:color="auto"/>
              <w:bottom w:val="single" w:sz="8" w:space="0" w:color="auto"/>
              <w:right w:val="single" w:sz="8" w:space="0" w:color="auto"/>
            </w:tcBorders>
            <w:shd w:val="clear" w:color="auto" w:fill="auto"/>
            <w:noWrap/>
            <w:vAlign w:val="center"/>
            <w:hideMark/>
          </w:tcPr>
          <w:p w14:paraId="2BA32A0F" w14:textId="77777777" w:rsidR="009A4C46" w:rsidRPr="009A4C46" w:rsidRDefault="009A4C46" w:rsidP="009A4C46">
            <w:pPr>
              <w:spacing w:after="0" w:line="240" w:lineRule="auto"/>
              <w:rPr>
                <w:rFonts w:eastAsia="Times New Roman"/>
                <w:color w:val="000000"/>
                <w:lang w:eastAsia="ru-RU"/>
              </w:rPr>
            </w:pPr>
            <w:r w:rsidRPr="009A4C46">
              <w:rPr>
                <w:rFonts w:eastAsia="Times New Roman"/>
                <w:color w:val="000000"/>
                <w:lang w:eastAsia="ru-RU"/>
              </w:rPr>
              <w:t>Категория 4.4</w:t>
            </w:r>
          </w:p>
        </w:tc>
        <w:tc>
          <w:tcPr>
            <w:tcW w:w="825" w:type="pct"/>
            <w:tcBorders>
              <w:top w:val="nil"/>
              <w:left w:val="nil"/>
              <w:bottom w:val="single" w:sz="8" w:space="0" w:color="auto"/>
              <w:right w:val="single" w:sz="8" w:space="0" w:color="auto"/>
            </w:tcBorders>
            <w:shd w:val="clear" w:color="auto" w:fill="auto"/>
            <w:noWrap/>
            <w:vAlign w:val="center"/>
            <w:hideMark/>
          </w:tcPr>
          <w:p w14:paraId="2D9150A6" w14:textId="77777777" w:rsidR="009A4C46" w:rsidRPr="009A4C46" w:rsidRDefault="009A4C46" w:rsidP="009A4C46">
            <w:pPr>
              <w:spacing w:after="0" w:line="240" w:lineRule="auto"/>
              <w:jc w:val="right"/>
              <w:rPr>
                <w:rFonts w:eastAsia="Times New Roman"/>
                <w:color w:val="000000"/>
                <w:lang w:eastAsia="ru-RU"/>
              </w:rPr>
            </w:pPr>
            <w:r w:rsidRPr="009A4C46">
              <w:rPr>
                <w:rFonts w:eastAsia="Times New Roman"/>
                <w:color w:val="000000"/>
                <w:lang w:eastAsia="ru-RU"/>
              </w:rPr>
              <w:t>10 939</w:t>
            </w:r>
          </w:p>
        </w:tc>
        <w:tc>
          <w:tcPr>
            <w:tcW w:w="825" w:type="pct"/>
            <w:tcBorders>
              <w:top w:val="nil"/>
              <w:left w:val="nil"/>
              <w:bottom w:val="single" w:sz="8" w:space="0" w:color="auto"/>
              <w:right w:val="single" w:sz="8" w:space="0" w:color="auto"/>
            </w:tcBorders>
            <w:shd w:val="clear" w:color="auto" w:fill="auto"/>
            <w:noWrap/>
            <w:vAlign w:val="center"/>
            <w:hideMark/>
          </w:tcPr>
          <w:p w14:paraId="3ACFC9EB" w14:textId="77777777" w:rsidR="009A4C46" w:rsidRPr="009A4C46" w:rsidRDefault="009A4C46" w:rsidP="009A4C46">
            <w:pPr>
              <w:spacing w:after="0" w:line="240" w:lineRule="auto"/>
              <w:jc w:val="right"/>
              <w:rPr>
                <w:rFonts w:eastAsia="Times New Roman"/>
                <w:color w:val="000000"/>
                <w:lang w:eastAsia="ru-RU"/>
              </w:rPr>
            </w:pPr>
            <w:r w:rsidRPr="009A4C46">
              <w:rPr>
                <w:rFonts w:eastAsia="Times New Roman"/>
                <w:color w:val="000000"/>
                <w:lang w:eastAsia="ru-RU"/>
              </w:rPr>
              <w:t>9 512</w:t>
            </w:r>
          </w:p>
        </w:tc>
        <w:tc>
          <w:tcPr>
            <w:tcW w:w="874" w:type="pct"/>
            <w:tcBorders>
              <w:top w:val="nil"/>
              <w:left w:val="nil"/>
              <w:bottom w:val="single" w:sz="8" w:space="0" w:color="auto"/>
              <w:right w:val="single" w:sz="8" w:space="0" w:color="auto"/>
            </w:tcBorders>
            <w:shd w:val="clear" w:color="auto" w:fill="auto"/>
            <w:noWrap/>
            <w:vAlign w:val="center"/>
            <w:hideMark/>
          </w:tcPr>
          <w:p w14:paraId="50821F80" w14:textId="77777777" w:rsidR="009A4C46" w:rsidRPr="009A4C46" w:rsidRDefault="009A4C46" w:rsidP="009A4C46">
            <w:pPr>
              <w:spacing w:after="0" w:line="240" w:lineRule="auto"/>
              <w:jc w:val="right"/>
              <w:rPr>
                <w:rFonts w:eastAsia="Times New Roman"/>
                <w:color w:val="000000"/>
                <w:lang w:eastAsia="ru-RU"/>
              </w:rPr>
            </w:pPr>
            <w:r w:rsidRPr="009A4C46">
              <w:rPr>
                <w:rFonts w:eastAsia="Times New Roman"/>
                <w:color w:val="000000"/>
                <w:lang w:eastAsia="ru-RU"/>
              </w:rPr>
              <w:t>20 451</w:t>
            </w:r>
          </w:p>
        </w:tc>
      </w:tr>
      <w:tr w:rsidR="009A4C46" w:rsidRPr="009A4C46" w14:paraId="6AB1068A" w14:textId="77777777" w:rsidTr="00070F3E">
        <w:trPr>
          <w:trHeight w:val="273"/>
        </w:trPr>
        <w:tc>
          <w:tcPr>
            <w:tcW w:w="2476" w:type="pct"/>
            <w:tcBorders>
              <w:top w:val="nil"/>
              <w:left w:val="single" w:sz="8" w:space="0" w:color="auto"/>
              <w:bottom w:val="single" w:sz="8" w:space="0" w:color="auto"/>
              <w:right w:val="single" w:sz="8" w:space="0" w:color="auto"/>
            </w:tcBorders>
            <w:shd w:val="clear" w:color="auto" w:fill="auto"/>
            <w:noWrap/>
            <w:vAlign w:val="center"/>
          </w:tcPr>
          <w:p w14:paraId="20C325B7" w14:textId="77777777" w:rsidR="009A4C46" w:rsidRPr="009A4C46" w:rsidRDefault="009A4C46" w:rsidP="009A4C46">
            <w:pPr>
              <w:spacing w:after="0" w:line="240" w:lineRule="auto"/>
              <w:rPr>
                <w:rFonts w:eastAsia="Times New Roman"/>
                <w:color w:val="000000"/>
                <w:lang w:val="en-US" w:eastAsia="ru-RU"/>
              </w:rPr>
            </w:pPr>
            <w:r w:rsidRPr="009A4C46">
              <w:rPr>
                <w:rFonts w:eastAsia="Times New Roman"/>
                <w:color w:val="000000"/>
                <w:lang w:eastAsia="ru-RU"/>
              </w:rPr>
              <w:t>Справочно</w:t>
            </w:r>
            <w:r w:rsidRPr="009A4C46">
              <w:rPr>
                <w:rFonts w:eastAsia="Times New Roman"/>
                <w:color w:val="000000"/>
                <w:lang w:val="en-US" w:eastAsia="ru-RU"/>
              </w:rPr>
              <w:t>:</w:t>
            </w:r>
          </w:p>
        </w:tc>
        <w:tc>
          <w:tcPr>
            <w:tcW w:w="825" w:type="pct"/>
            <w:tcBorders>
              <w:top w:val="nil"/>
              <w:left w:val="nil"/>
              <w:bottom w:val="single" w:sz="8" w:space="0" w:color="auto"/>
              <w:right w:val="single" w:sz="8" w:space="0" w:color="auto"/>
            </w:tcBorders>
            <w:shd w:val="clear" w:color="auto" w:fill="auto"/>
            <w:noWrap/>
            <w:vAlign w:val="center"/>
          </w:tcPr>
          <w:p w14:paraId="798AB3CB" w14:textId="77777777" w:rsidR="009A4C46" w:rsidRPr="009A4C46" w:rsidRDefault="009A4C46" w:rsidP="009A4C46">
            <w:pPr>
              <w:spacing w:after="0" w:line="240" w:lineRule="auto"/>
              <w:jc w:val="right"/>
              <w:rPr>
                <w:rFonts w:eastAsia="Times New Roman"/>
                <w:color w:val="000000"/>
                <w:lang w:eastAsia="ru-RU"/>
              </w:rPr>
            </w:pPr>
          </w:p>
        </w:tc>
        <w:tc>
          <w:tcPr>
            <w:tcW w:w="825" w:type="pct"/>
            <w:tcBorders>
              <w:top w:val="nil"/>
              <w:left w:val="nil"/>
              <w:bottom w:val="single" w:sz="8" w:space="0" w:color="auto"/>
              <w:right w:val="single" w:sz="8" w:space="0" w:color="auto"/>
            </w:tcBorders>
            <w:shd w:val="clear" w:color="auto" w:fill="auto"/>
            <w:noWrap/>
            <w:vAlign w:val="center"/>
          </w:tcPr>
          <w:p w14:paraId="59207C8A" w14:textId="77777777" w:rsidR="009A4C46" w:rsidRPr="009A4C46" w:rsidRDefault="009A4C46" w:rsidP="009A4C46">
            <w:pPr>
              <w:spacing w:after="0" w:line="240" w:lineRule="auto"/>
              <w:jc w:val="right"/>
              <w:rPr>
                <w:rFonts w:eastAsia="Times New Roman"/>
                <w:color w:val="000000"/>
                <w:lang w:eastAsia="ru-RU"/>
              </w:rPr>
            </w:pPr>
          </w:p>
        </w:tc>
        <w:tc>
          <w:tcPr>
            <w:tcW w:w="874" w:type="pct"/>
            <w:tcBorders>
              <w:top w:val="nil"/>
              <w:left w:val="nil"/>
              <w:bottom w:val="single" w:sz="8" w:space="0" w:color="auto"/>
              <w:right w:val="single" w:sz="8" w:space="0" w:color="auto"/>
            </w:tcBorders>
            <w:shd w:val="clear" w:color="auto" w:fill="auto"/>
            <w:noWrap/>
            <w:vAlign w:val="center"/>
          </w:tcPr>
          <w:p w14:paraId="4E569578" w14:textId="77777777" w:rsidR="009A4C46" w:rsidRPr="009A4C46" w:rsidRDefault="009A4C46" w:rsidP="009A4C46">
            <w:pPr>
              <w:spacing w:after="0" w:line="240" w:lineRule="auto"/>
              <w:jc w:val="right"/>
              <w:rPr>
                <w:rFonts w:eastAsia="Times New Roman"/>
                <w:color w:val="000000"/>
                <w:lang w:eastAsia="ru-RU"/>
              </w:rPr>
            </w:pPr>
          </w:p>
        </w:tc>
      </w:tr>
      <w:tr w:rsidR="009A4C46" w:rsidRPr="009A4C46" w14:paraId="147DCEA7" w14:textId="77777777" w:rsidTr="0063188C">
        <w:trPr>
          <w:trHeight w:val="315"/>
        </w:trPr>
        <w:tc>
          <w:tcPr>
            <w:tcW w:w="2476" w:type="pct"/>
            <w:tcBorders>
              <w:top w:val="nil"/>
              <w:left w:val="single" w:sz="8" w:space="0" w:color="auto"/>
              <w:bottom w:val="single" w:sz="8" w:space="0" w:color="auto"/>
              <w:right w:val="single" w:sz="8" w:space="0" w:color="auto"/>
            </w:tcBorders>
            <w:shd w:val="clear" w:color="auto" w:fill="auto"/>
            <w:noWrap/>
            <w:vAlign w:val="center"/>
          </w:tcPr>
          <w:p w14:paraId="2454D631" w14:textId="77777777" w:rsidR="009A4C46" w:rsidRPr="009A4C46" w:rsidRDefault="009A4C46" w:rsidP="009A4C46">
            <w:pPr>
              <w:spacing w:after="0" w:line="240" w:lineRule="auto"/>
              <w:rPr>
                <w:rFonts w:eastAsia="Times New Roman"/>
                <w:color w:val="000000"/>
                <w:lang w:eastAsia="ru-RU"/>
              </w:rPr>
            </w:pPr>
            <w:r w:rsidRPr="009A4C46">
              <w:rPr>
                <w:rFonts w:eastAsia="Times New Roman"/>
                <w:b/>
                <w:bCs/>
                <w:color w:val="000000"/>
                <w:lang w:eastAsia="ru-RU"/>
              </w:rPr>
              <w:t>Плановая выручка – всего по двухставочным тарифам, в т.ч.</w:t>
            </w:r>
          </w:p>
        </w:tc>
        <w:tc>
          <w:tcPr>
            <w:tcW w:w="825" w:type="pct"/>
            <w:tcBorders>
              <w:top w:val="nil"/>
              <w:left w:val="nil"/>
              <w:bottom w:val="single" w:sz="8" w:space="0" w:color="auto"/>
              <w:right w:val="single" w:sz="8" w:space="0" w:color="auto"/>
            </w:tcBorders>
            <w:shd w:val="clear" w:color="auto" w:fill="auto"/>
            <w:noWrap/>
            <w:vAlign w:val="center"/>
          </w:tcPr>
          <w:p w14:paraId="65A9EB84" w14:textId="77777777" w:rsidR="009A4C46" w:rsidRPr="009A4C46" w:rsidRDefault="009A4C46" w:rsidP="009A4C46">
            <w:pPr>
              <w:spacing w:after="0" w:line="240" w:lineRule="auto"/>
              <w:jc w:val="right"/>
              <w:rPr>
                <w:rFonts w:eastAsia="Times New Roman"/>
                <w:color w:val="000000"/>
                <w:lang w:eastAsia="ru-RU"/>
              </w:rPr>
            </w:pPr>
            <w:r w:rsidRPr="009A4C46">
              <w:rPr>
                <w:rFonts w:eastAsia="Times New Roman"/>
                <w:b/>
                <w:bCs/>
                <w:color w:val="000000"/>
                <w:lang w:eastAsia="ru-RU"/>
              </w:rPr>
              <w:t>331 023</w:t>
            </w:r>
          </w:p>
        </w:tc>
        <w:tc>
          <w:tcPr>
            <w:tcW w:w="825" w:type="pct"/>
            <w:tcBorders>
              <w:top w:val="nil"/>
              <w:left w:val="nil"/>
              <w:bottom w:val="single" w:sz="8" w:space="0" w:color="auto"/>
              <w:right w:val="single" w:sz="8" w:space="0" w:color="auto"/>
            </w:tcBorders>
            <w:shd w:val="clear" w:color="auto" w:fill="auto"/>
            <w:noWrap/>
            <w:vAlign w:val="center"/>
          </w:tcPr>
          <w:p w14:paraId="42BD1F5D" w14:textId="77777777" w:rsidR="009A4C46" w:rsidRPr="009A4C46" w:rsidRDefault="009A4C46" w:rsidP="009A4C46">
            <w:pPr>
              <w:spacing w:after="0" w:line="240" w:lineRule="auto"/>
              <w:jc w:val="right"/>
              <w:rPr>
                <w:rFonts w:eastAsia="Times New Roman"/>
                <w:color w:val="000000"/>
                <w:lang w:eastAsia="ru-RU"/>
              </w:rPr>
            </w:pPr>
            <w:r w:rsidRPr="009A4C46">
              <w:rPr>
                <w:rFonts w:eastAsia="Times New Roman"/>
                <w:b/>
                <w:bCs/>
                <w:color w:val="000000"/>
                <w:lang w:eastAsia="ru-RU"/>
              </w:rPr>
              <w:t>537 717</w:t>
            </w:r>
          </w:p>
        </w:tc>
        <w:tc>
          <w:tcPr>
            <w:tcW w:w="874" w:type="pct"/>
            <w:tcBorders>
              <w:top w:val="nil"/>
              <w:left w:val="nil"/>
              <w:bottom w:val="single" w:sz="8" w:space="0" w:color="auto"/>
              <w:right w:val="single" w:sz="8" w:space="0" w:color="auto"/>
            </w:tcBorders>
            <w:shd w:val="clear" w:color="auto" w:fill="auto"/>
            <w:noWrap/>
            <w:vAlign w:val="center"/>
          </w:tcPr>
          <w:p w14:paraId="6C6908A7" w14:textId="77777777" w:rsidR="009A4C46" w:rsidRPr="009A4C46" w:rsidRDefault="009A4C46" w:rsidP="009A4C46">
            <w:pPr>
              <w:spacing w:after="0" w:line="240" w:lineRule="auto"/>
              <w:jc w:val="right"/>
              <w:rPr>
                <w:rFonts w:eastAsia="Times New Roman"/>
                <w:color w:val="000000"/>
                <w:lang w:eastAsia="ru-RU"/>
              </w:rPr>
            </w:pPr>
            <w:r w:rsidRPr="009A4C46">
              <w:rPr>
                <w:rFonts w:eastAsia="Times New Roman"/>
                <w:b/>
                <w:bCs/>
                <w:color w:val="000000"/>
                <w:lang w:eastAsia="ru-RU"/>
              </w:rPr>
              <w:t>868 740</w:t>
            </w:r>
          </w:p>
        </w:tc>
      </w:tr>
      <w:tr w:rsidR="009A4C46" w:rsidRPr="009A4C46" w14:paraId="36CC530E" w14:textId="77777777" w:rsidTr="00070F3E">
        <w:trPr>
          <w:trHeight w:val="83"/>
        </w:trPr>
        <w:tc>
          <w:tcPr>
            <w:tcW w:w="2476" w:type="pct"/>
            <w:tcBorders>
              <w:top w:val="nil"/>
              <w:left w:val="single" w:sz="8" w:space="0" w:color="auto"/>
              <w:bottom w:val="single" w:sz="8" w:space="0" w:color="auto"/>
              <w:right w:val="single" w:sz="8" w:space="0" w:color="auto"/>
            </w:tcBorders>
            <w:shd w:val="clear" w:color="auto" w:fill="auto"/>
            <w:vAlign w:val="center"/>
            <w:hideMark/>
          </w:tcPr>
          <w:p w14:paraId="396DAA5F" w14:textId="77777777" w:rsidR="009A4C46" w:rsidRPr="009A4C46" w:rsidRDefault="009A4C46" w:rsidP="009A4C46">
            <w:pPr>
              <w:spacing w:after="0" w:line="240" w:lineRule="auto"/>
              <w:rPr>
                <w:rFonts w:eastAsia="Times New Roman"/>
                <w:b/>
                <w:bCs/>
                <w:color w:val="000000"/>
                <w:lang w:eastAsia="ru-RU"/>
              </w:rPr>
            </w:pPr>
            <w:r w:rsidRPr="009A4C46">
              <w:rPr>
                <w:rFonts w:eastAsia="Times New Roman"/>
                <w:b/>
                <w:bCs/>
                <w:color w:val="000000"/>
                <w:lang w:eastAsia="ru-RU"/>
              </w:rPr>
              <w:t>на содержание</w:t>
            </w:r>
          </w:p>
        </w:tc>
        <w:tc>
          <w:tcPr>
            <w:tcW w:w="825" w:type="pct"/>
            <w:tcBorders>
              <w:top w:val="nil"/>
              <w:left w:val="nil"/>
              <w:bottom w:val="single" w:sz="8" w:space="0" w:color="auto"/>
              <w:right w:val="single" w:sz="8" w:space="0" w:color="auto"/>
            </w:tcBorders>
            <w:shd w:val="clear" w:color="auto" w:fill="auto"/>
            <w:noWrap/>
            <w:vAlign w:val="center"/>
            <w:hideMark/>
          </w:tcPr>
          <w:p w14:paraId="3F2DBFD9" w14:textId="77777777" w:rsidR="009A4C46" w:rsidRPr="009A4C46" w:rsidRDefault="009A4C46" w:rsidP="009A4C46">
            <w:pPr>
              <w:spacing w:after="0" w:line="240" w:lineRule="auto"/>
              <w:jc w:val="right"/>
              <w:rPr>
                <w:rFonts w:eastAsia="Times New Roman"/>
                <w:b/>
                <w:bCs/>
                <w:color w:val="000000"/>
                <w:lang w:eastAsia="ru-RU"/>
              </w:rPr>
            </w:pPr>
            <w:r w:rsidRPr="009A4C46">
              <w:rPr>
                <w:rFonts w:eastAsia="Times New Roman"/>
                <w:b/>
                <w:bCs/>
                <w:color w:val="000000"/>
                <w:lang w:eastAsia="ru-RU"/>
              </w:rPr>
              <w:t>317 958</w:t>
            </w:r>
          </w:p>
        </w:tc>
        <w:tc>
          <w:tcPr>
            <w:tcW w:w="825" w:type="pct"/>
            <w:tcBorders>
              <w:top w:val="nil"/>
              <w:left w:val="nil"/>
              <w:bottom w:val="single" w:sz="8" w:space="0" w:color="auto"/>
              <w:right w:val="single" w:sz="8" w:space="0" w:color="auto"/>
            </w:tcBorders>
            <w:shd w:val="clear" w:color="auto" w:fill="auto"/>
            <w:noWrap/>
            <w:vAlign w:val="center"/>
            <w:hideMark/>
          </w:tcPr>
          <w:p w14:paraId="5925D0A8" w14:textId="77777777" w:rsidR="009A4C46" w:rsidRPr="009A4C46" w:rsidRDefault="009A4C46" w:rsidP="009A4C46">
            <w:pPr>
              <w:spacing w:after="0" w:line="240" w:lineRule="auto"/>
              <w:jc w:val="right"/>
              <w:rPr>
                <w:rFonts w:eastAsia="Times New Roman"/>
                <w:b/>
                <w:bCs/>
                <w:color w:val="000000"/>
                <w:lang w:eastAsia="ru-RU"/>
              </w:rPr>
            </w:pPr>
            <w:r w:rsidRPr="009A4C46">
              <w:rPr>
                <w:rFonts w:eastAsia="Times New Roman"/>
                <w:b/>
                <w:bCs/>
                <w:color w:val="000000"/>
                <w:lang w:eastAsia="ru-RU"/>
              </w:rPr>
              <w:t>514 978</w:t>
            </w:r>
          </w:p>
        </w:tc>
        <w:tc>
          <w:tcPr>
            <w:tcW w:w="874" w:type="pct"/>
            <w:tcBorders>
              <w:top w:val="nil"/>
              <w:left w:val="nil"/>
              <w:bottom w:val="single" w:sz="8" w:space="0" w:color="auto"/>
              <w:right w:val="single" w:sz="8" w:space="0" w:color="auto"/>
            </w:tcBorders>
            <w:shd w:val="clear" w:color="auto" w:fill="auto"/>
            <w:noWrap/>
            <w:vAlign w:val="center"/>
            <w:hideMark/>
          </w:tcPr>
          <w:p w14:paraId="1AC29B4B" w14:textId="77777777" w:rsidR="009A4C46" w:rsidRPr="009A4C46" w:rsidRDefault="009A4C46" w:rsidP="009A4C46">
            <w:pPr>
              <w:spacing w:after="0" w:line="240" w:lineRule="auto"/>
              <w:jc w:val="right"/>
              <w:rPr>
                <w:rFonts w:eastAsia="Times New Roman"/>
                <w:b/>
                <w:bCs/>
                <w:color w:val="000000"/>
                <w:lang w:eastAsia="ru-RU"/>
              </w:rPr>
            </w:pPr>
            <w:r w:rsidRPr="009A4C46">
              <w:rPr>
                <w:rFonts w:eastAsia="Times New Roman"/>
                <w:b/>
                <w:bCs/>
                <w:color w:val="000000"/>
                <w:lang w:eastAsia="ru-RU"/>
              </w:rPr>
              <w:t>832 936</w:t>
            </w:r>
          </w:p>
        </w:tc>
      </w:tr>
      <w:tr w:rsidR="009A4C46" w:rsidRPr="009A4C46" w14:paraId="5711FCF3" w14:textId="77777777" w:rsidTr="00070F3E">
        <w:trPr>
          <w:trHeight w:val="265"/>
        </w:trPr>
        <w:tc>
          <w:tcPr>
            <w:tcW w:w="2476" w:type="pct"/>
            <w:tcBorders>
              <w:top w:val="nil"/>
              <w:left w:val="single" w:sz="8" w:space="0" w:color="auto"/>
              <w:bottom w:val="single" w:sz="8" w:space="0" w:color="auto"/>
              <w:right w:val="single" w:sz="8" w:space="0" w:color="auto"/>
            </w:tcBorders>
            <w:shd w:val="clear" w:color="auto" w:fill="auto"/>
            <w:noWrap/>
            <w:vAlign w:val="center"/>
            <w:hideMark/>
          </w:tcPr>
          <w:p w14:paraId="579B0C83" w14:textId="77777777" w:rsidR="009A4C46" w:rsidRPr="009A4C46" w:rsidRDefault="009A4C46" w:rsidP="009A4C46">
            <w:pPr>
              <w:spacing w:after="0" w:line="240" w:lineRule="auto"/>
              <w:rPr>
                <w:rFonts w:eastAsia="Times New Roman"/>
                <w:color w:val="000000"/>
                <w:lang w:eastAsia="ru-RU"/>
              </w:rPr>
            </w:pPr>
            <w:r w:rsidRPr="009A4C46">
              <w:rPr>
                <w:rFonts w:eastAsia="Times New Roman"/>
                <w:color w:val="000000"/>
                <w:lang w:eastAsia="ru-RU"/>
              </w:rPr>
              <w:t>ВН</w:t>
            </w:r>
          </w:p>
        </w:tc>
        <w:tc>
          <w:tcPr>
            <w:tcW w:w="825" w:type="pct"/>
            <w:tcBorders>
              <w:top w:val="nil"/>
              <w:left w:val="nil"/>
              <w:bottom w:val="single" w:sz="8" w:space="0" w:color="auto"/>
              <w:right w:val="single" w:sz="8" w:space="0" w:color="auto"/>
            </w:tcBorders>
            <w:shd w:val="clear" w:color="auto" w:fill="auto"/>
            <w:noWrap/>
            <w:vAlign w:val="center"/>
            <w:hideMark/>
          </w:tcPr>
          <w:p w14:paraId="723BE1EB" w14:textId="77777777" w:rsidR="009A4C46" w:rsidRPr="009A4C46" w:rsidRDefault="009A4C46" w:rsidP="009A4C46">
            <w:pPr>
              <w:spacing w:after="0" w:line="240" w:lineRule="auto"/>
              <w:jc w:val="right"/>
              <w:rPr>
                <w:rFonts w:eastAsia="Times New Roman"/>
                <w:color w:val="000000"/>
                <w:lang w:eastAsia="ru-RU"/>
              </w:rPr>
            </w:pPr>
            <w:r w:rsidRPr="009A4C46">
              <w:rPr>
                <w:rFonts w:eastAsia="Times New Roman"/>
                <w:color w:val="000000"/>
                <w:lang w:eastAsia="ru-RU"/>
              </w:rPr>
              <w:t>75 866</w:t>
            </w:r>
          </w:p>
        </w:tc>
        <w:tc>
          <w:tcPr>
            <w:tcW w:w="825" w:type="pct"/>
            <w:tcBorders>
              <w:top w:val="nil"/>
              <w:left w:val="nil"/>
              <w:bottom w:val="single" w:sz="8" w:space="0" w:color="auto"/>
              <w:right w:val="single" w:sz="8" w:space="0" w:color="auto"/>
            </w:tcBorders>
            <w:shd w:val="clear" w:color="auto" w:fill="auto"/>
            <w:noWrap/>
            <w:vAlign w:val="center"/>
            <w:hideMark/>
          </w:tcPr>
          <w:p w14:paraId="7E56D686" w14:textId="77777777" w:rsidR="009A4C46" w:rsidRPr="009A4C46" w:rsidRDefault="009A4C46" w:rsidP="009A4C46">
            <w:pPr>
              <w:spacing w:after="0" w:line="240" w:lineRule="auto"/>
              <w:jc w:val="right"/>
              <w:rPr>
                <w:rFonts w:eastAsia="Times New Roman"/>
                <w:color w:val="000000"/>
                <w:lang w:eastAsia="ru-RU"/>
              </w:rPr>
            </w:pPr>
            <w:r w:rsidRPr="009A4C46">
              <w:rPr>
                <w:rFonts w:eastAsia="Times New Roman"/>
                <w:color w:val="000000"/>
                <w:lang w:eastAsia="ru-RU"/>
              </w:rPr>
              <w:t>163 814</w:t>
            </w:r>
          </w:p>
        </w:tc>
        <w:tc>
          <w:tcPr>
            <w:tcW w:w="874" w:type="pct"/>
            <w:tcBorders>
              <w:top w:val="nil"/>
              <w:left w:val="nil"/>
              <w:bottom w:val="single" w:sz="8" w:space="0" w:color="auto"/>
              <w:right w:val="single" w:sz="8" w:space="0" w:color="auto"/>
            </w:tcBorders>
            <w:shd w:val="clear" w:color="auto" w:fill="auto"/>
            <w:noWrap/>
            <w:vAlign w:val="center"/>
            <w:hideMark/>
          </w:tcPr>
          <w:p w14:paraId="6470D115" w14:textId="77777777" w:rsidR="009A4C46" w:rsidRPr="009A4C46" w:rsidRDefault="009A4C46" w:rsidP="009A4C46">
            <w:pPr>
              <w:spacing w:after="0" w:line="240" w:lineRule="auto"/>
              <w:jc w:val="right"/>
              <w:rPr>
                <w:rFonts w:eastAsia="Times New Roman"/>
                <w:color w:val="000000"/>
                <w:lang w:eastAsia="ru-RU"/>
              </w:rPr>
            </w:pPr>
            <w:r w:rsidRPr="009A4C46">
              <w:rPr>
                <w:rFonts w:eastAsia="Times New Roman"/>
                <w:color w:val="000000"/>
                <w:lang w:eastAsia="ru-RU"/>
              </w:rPr>
              <w:t>239 679</w:t>
            </w:r>
          </w:p>
        </w:tc>
      </w:tr>
      <w:tr w:rsidR="009A4C46" w:rsidRPr="009A4C46" w14:paraId="0C0D7F85" w14:textId="77777777" w:rsidTr="00070F3E">
        <w:trPr>
          <w:trHeight w:val="265"/>
        </w:trPr>
        <w:tc>
          <w:tcPr>
            <w:tcW w:w="2476" w:type="pct"/>
            <w:tcBorders>
              <w:top w:val="nil"/>
              <w:left w:val="single" w:sz="8" w:space="0" w:color="auto"/>
              <w:bottom w:val="single" w:sz="8" w:space="0" w:color="auto"/>
              <w:right w:val="single" w:sz="8" w:space="0" w:color="auto"/>
            </w:tcBorders>
            <w:shd w:val="clear" w:color="auto" w:fill="auto"/>
            <w:noWrap/>
            <w:vAlign w:val="center"/>
            <w:hideMark/>
          </w:tcPr>
          <w:p w14:paraId="6821ECD0" w14:textId="77777777" w:rsidR="009A4C46" w:rsidRPr="009A4C46" w:rsidRDefault="009A4C46" w:rsidP="009A4C46">
            <w:pPr>
              <w:spacing w:after="0" w:line="240" w:lineRule="auto"/>
              <w:rPr>
                <w:rFonts w:eastAsia="Times New Roman"/>
                <w:color w:val="000000"/>
                <w:lang w:eastAsia="ru-RU"/>
              </w:rPr>
            </w:pPr>
            <w:r w:rsidRPr="009A4C46">
              <w:rPr>
                <w:rFonts w:eastAsia="Times New Roman"/>
                <w:color w:val="000000"/>
                <w:lang w:eastAsia="ru-RU"/>
              </w:rPr>
              <w:t>СН1</w:t>
            </w:r>
          </w:p>
        </w:tc>
        <w:tc>
          <w:tcPr>
            <w:tcW w:w="825" w:type="pct"/>
            <w:tcBorders>
              <w:top w:val="nil"/>
              <w:left w:val="nil"/>
              <w:bottom w:val="single" w:sz="8" w:space="0" w:color="auto"/>
              <w:right w:val="single" w:sz="8" w:space="0" w:color="auto"/>
            </w:tcBorders>
            <w:shd w:val="clear" w:color="auto" w:fill="auto"/>
            <w:noWrap/>
            <w:vAlign w:val="center"/>
            <w:hideMark/>
          </w:tcPr>
          <w:p w14:paraId="7886CF09" w14:textId="77777777" w:rsidR="009A4C46" w:rsidRPr="009A4C46" w:rsidRDefault="009A4C46" w:rsidP="009A4C46">
            <w:pPr>
              <w:spacing w:after="0" w:line="240" w:lineRule="auto"/>
              <w:jc w:val="right"/>
              <w:rPr>
                <w:rFonts w:eastAsia="Times New Roman"/>
                <w:color w:val="000000"/>
                <w:lang w:eastAsia="ru-RU"/>
              </w:rPr>
            </w:pPr>
            <w:r w:rsidRPr="009A4C46">
              <w:rPr>
                <w:rFonts w:eastAsia="Times New Roman"/>
                <w:color w:val="000000"/>
                <w:lang w:eastAsia="ru-RU"/>
              </w:rPr>
              <w:t>41 322</w:t>
            </w:r>
          </w:p>
        </w:tc>
        <w:tc>
          <w:tcPr>
            <w:tcW w:w="825" w:type="pct"/>
            <w:tcBorders>
              <w:top w:val="nil"/>
              <w:left w:val="nil"/>
              <w:bottom w:val="single" w:sz="8" w:space="0" w:color="auto"/>
              <w:right w:val="single" w:sz="8" w:space="0" w:color="auto"/>
            </w:tcBorders>
            <w:shd w:val="clear" w:color="auto" w:fill="auto"/>
            <w:noWrap/>
            <w:vAlign w:val="center"/>
            <w:hideMark/>
          </w:tcPr>
          <w:p w14:paraId="66C1868D" w14:textId="77777777" w:rsidR="009A4C46" w:rsidRPr="009A4C46" w:rsidRDefault="009A4C46" w:rsidP="009A4C46">
            <w:pPr>
              <w:spacing w:after="0" w:line="240" w:lineRule="auto"/>
              <w:jc w:val="right"/>
              <w:rPr>
                <w:rFonts w:eastAsia="Times New Roman"/>
                <w:color w:val="000000"/>
                <w:lang w:eastAsia="ru-RU"/>
              </w:rPr>
            </w:pPr>
            <w:r w:rsidRPr="009A4C46">
              <w:rPr>
                <w:rFonts w:eastAsia="Times New Roman"/>
                <w:color w:val="000000"/>
                <w:lang w:eastAsia="ru-RU"/>
              </w:rPr>
              <w:t>43 481</w:t>
            </w:r>
          </w:p>
        </w:tc>
        <w:tc>
          <w:tcPr>
            <w:tcW w:w="874" w:type="pct"/>
            <w:tcBorders>
              <w:top w:val="nil"/>
              <w:left w:val="nil"/>
              <w:bottom w:val="single" w:sz="8" w:space="0" w:color="auto"/>
              <w:right w:val="single" w:sz="8" w:space="0" w:color="auto"/>
            </w:tcBorders>
            <w:shd w:val="clear" w:color="auto" w:fill="auto"/>
            <w:noWrap/>
            <w:vAlign w:val="center"/>
            <w:hideMark/>
          </w:tcPr>
          <w:p w14:paraId="2953B9D9" w14:textId="77777777" w:rsidR="009A4C46" w:rsidRPr="009A4C46" w:rsidRDefault="009A4C46" w:rsidP="009A4C46">
            <w:pPr>
              <w:spacing w:after="0" w:line="240" w:lineRule="auto"/>
              <w:jc w:val="right"/>
              <w:rPr>
                <w:rFonts w:eastAsia="Times New Roman"/>
                <w:color w:val="000000"/>
                <w:lang w:eastAsia="ru-RU"/>
              </w:rPr>
            </w:pPr>
            <w:r w:rsidRPr="009A4C46">
              <w:rPr>
                <w:rFonts w:eastAsia="Times New Roman"/>
                <w:color w:val="000000"/>
                <w:lang w:eastAsia="ru-RU"/>
              </w:rPr>
              <w:t>84 804</w:t>
            </w:r>
          </w:p>
        </w:tc>
      </w:tr>
      <w:tr w:rsidR="009A4C46" w:rsidRPr="009A4C46" w14:paraId="75D68D59" w14:textId="77777777" w:rsidTr="00070F3E">
        <w:trPr>
          <w:trHeight w:val="265"/>
        </w:trPr>
        <w:tc>
          <w:tcPr>
            <w:tcW w:w="2476" w:type="pct"/>
            <w:tcBorders>
              <w:top w:val="nil"/>
              <w:left w:val="single" w:sz="8" w:space="0" w:color="auto"/>
              <w:bottom w:val="single" w:sz="8" w:space="0" w:color="auto"/>
              <w:right w:val="single" w:sz="8" w:space="0" w:color="auto"/>
            </w:tcBorders>
            <w:shd w:val="clear" w:color="auto" w:fill="auto"/>
            <w:noWrap/>
            <w:vAlign w:val="center"/>
            <w:hideMark/>
          </w:tcPr>
          <w:p w14:paraId="7CE1C1F1" w14:textId="77777777" w:rsidR="009A4C46" w:rsidRPr="009A4C46" w:rsidRDefault="009A4C46" w:rsidP="009A4C46">
            <w:pPr>
              <w:spacing w:after="0" w:line="240" w:lineRule="auto"/>
              <w:rPr>
                <w:rFonts w:eastAsia="Times New Roman"/>
                <w:color w:val="000000"/>
                <w:lang w:eastAsia="ru-RU"/>
              </w:rPr>
            </w:pPr>
            <w:r w:rsidRPr="009A4C46">
              <w:rPr>
                <w:rFonts w:eastAsia="Times New Roman"/>
                <w:color w:val="000000"/>
                <w:lang w:eastAsia="ru-RU"/>
              </w:rPr>
              <w:t>СН2</w:t>
            </w:r>
          </w:p>
        </w:tc>
        <w:tc>
          <w:tcPr>
            <w:tcW w:w="825" w:type="pct"/>
            <w:tcBorders>
              <w:top w:val="nil"/>
              <w:left w:val="nil"/>
              <w:bottom w:val="single" w:sz="8" w:space="0" w:color="auto"/>
              <w:right w:val="single" w:sz="8" w:space="0" w:color="auto"/>
            </w:tcBorders>
            <w:shd w:val="clear" w:color="auto" w:fill="auto"/>
            <w:noWrap/>
            <w:vAlign w:val="center"/>
            <w:hideMark/>
          </w:tcPr>
          <w:p w14:paraId="7BDA3654" w14:textId="77777777" w:rsidR="009A4C46" w:rsidRPr="009A4C46" w:rsidRDefault="009A4C46" w:rsidP="009A4C46">
            <w:pPr>
              <w:spacing w:after="0" w:line="240" w:lineRule="auto"/>
              <w:jc w:val="right"/>
              <w:rPr>
                <w:rFonts w:eastAsia="Times New Roman"/>
                <w:color w:val="000000"/>
                <w:lang w:eastAsia="ru-RU"/>
              </w:rPr>
            </w:pPr>
            <w:r w:rsidRPr="009A4C46">
              <w:rPr>
                <w:rFonts w:eastAsia="Times New Roman"/>
                <w:color w:val="000000"/>
                <w:lang w:eastAsia="ru-RU"/>
              </w:rPr>
              <w:t>92 205</w:t>
            </w:r>
          </w:p>
        </w:tc>
        <w:tc>
          <w:tcPr>
            <w:tcW w:w="825" w:type="pct"/>
            <w:tcBorders>
              <w:top w:val="nil"/>
              <w:left w:val="nil"/>
              <w:bottom w:val="single" w:sz="8" w:space="0" w:color="auto"/>
              <w:right w:val="single" w:sz="8" w:space="0" w:color="auto"/>
            </w:tcBorders>
            <w:shd w:val="clear" w:color="auto" w:fill="auto"/>
            <w:noWrap/>
            <w:vAlign w:val="center"/>
            <w:hideMark/>
          </w:tcPr>
          <w:p w14:paraId="7D633769" w14:textId="77777777" w:rsidR="009A4C46" w:rsidRPr="009A4C46" w:rsidRDefault="009A4C46" w:rsidP="009A4C46">
            <w:pPr>
              <w:spacing w:after="0" w:line="240" w:lineRule="auto"/>
              <w:jc w:val="right"/>
              <w:rPr>
                <w:rFonts w:eastAsia="Times New Roman"/>
                <w:color w:val="000000"/>
                <w:lang w:eastAsia="ru-RU"/>
              </w:rPr>
            </w:pPr>
            <w:r w:rsidRPr="009A4C46">
              <w:rPr>
                <w:rFonts w:eastAsia="Times New Roman"/>
                <w:color w:val="000000"/>
                <w:lang w:eastAsia="ru-RU"/>
              </w:rPr>
              <w:t>94 106</w:t>
            </w:r>
          </w:p>
        </w:tc>
        <w:tc>
          <w:tcPr>
            <w:tcW w:w="874" w:type="pct"/>
            <w:tcBorders>
              <w:top w:val="nil"/>
              <w:left w:val="nil"/>
              <w:bottom w:val="single" w:sz="8" w:space="0" w:color="auto"/>
              <w:right w:val="single" w:sz="8" w:space="0" w:color="auto"/>
            </w:tcBorders>
            <w:shd w:val="clear" w:color="auto" w:fill="auto"/>
            <w:noWrap/>
            <w:vAlign w:val="center"/>
            <w:hideMark/>
          </w:tcPr>
          <w:p w14:paraId="6251C3EF" w14:textId="77777777" w:rsidR="009A4C46" w:rsidRPr="009A4C46" w:rsidRDefault="009A4C46" w:rsidP="009A4C46">
            <w:pPr>
              <w:spacing w:after="0" w:line="240" w:lineRule="auto"/>
              <w:jc w:val="right"/>
              <w:rPr>
                <w:rFonts w:eastAsia="Times New Roman"/>
                <w:color w:val="000000"/>
                <w:lang w:eastAsia="ru-RU"/>
              </w:rPr>
            </w:pPr>
            <w:r w:rsidRPr="009A4C46">
              <w:rPr>
                <w:rFonts w:eastAsia="Times New Roman"/>
                <w:color w:val="000000"/>
                <w:lang w:eastAsia="ru-RU"/>
              </w:rPr>
              <w:t>186 312</w:t>
            </w:r>
          </w:p>
        </w:tc>
      </w:tr>
      <w:tr w:rsidR="009A4C46" w:rsidRPr="009A4C46" w14:paraId="6CA5FCF0" w14:textId="77777777" w:rsidTr="00070F3E">
        <w:trPr>
          <w:trHeight w:val="265"/>
        </w:trPr>
        <w:tc>
          <w:tcPr>
            <w:tcW w:w="2476" w:type="pct"/>
            <w:tcBorders>
              <w:top w:val="nil"/>
              <w:left w:val="single" w:sz="8" w:space="0" w:color="auto"/>
              <w:bottom w:val="single" w:sz="8" w:space="0" w:color="auto"/>
              <w:right w:val="single" w:sz="8" w:space="0" w:color="auto"/>
            </w:tcBorders>
            <w:shd w:val="clear" w:color="auto" w:fill="auto"/>
            <w:noWrap/>
            <w:vAlign w:val="center"/>
            <w:hideMark/>
          </w:tcPr>
          <w:p w14:paraId="42F99441" w14:textId="77777777" w:rsidR="009A4C46" w:rsidRPr="009A4C46" w:rsidRDefault="009A4C46" w:rsidP="009A4C46">
            <w:pPr>
              <w:spacing w:after="0" w:line="240" w:lineRule="auto"/>
              <w:rPr>
                <w:rFonts w:eastAsia="Times New Roman"/>
                <w:color w:val="000000"/>
                <w:lang w:eastAsia="ru-RU"/>
              </w:rPr>
            </w:pPr>
            <w:r w:rsidRPr="009A4C46">
              <w:rPr>
                <w:rFonts w:eastAsia="Times New Roman"/>
                <w:color w:val="000000"/>
                <w:lang w:eastAsia="ru-RU"/>
              </w:rPr>
              <w:t>НН</w:t>
            </w:r>
          </w:p>
        </w:tc>
        <w:tc>
          <w:tcPr>
            <w:tcW w:w="825" w:type="pct"/>
            <w:tcBorders>
              <w:top w:val="nil"/>
              <w:left w:val="nil"/>
              <w:bottom w:val="single" w:sz="8" w:space="0" w:color="auto"/>
              <w:right w:val="single" w:sz="8" w:space="0" w:color="auto"/>
            </w:tcBorders>
            <w:shd w:val="clear" w:color="auto" w:fill="auto"/>
            <w:noWrap/>
            <w:vAlign w:val="center"/>
            <w:hideMark/>
          </w:tcPr>
          <w:p w14:paraId="7BB96471" w14:textId="77777777" w:rsidR="009A4C46" w:rsidRPr="009A4C46" w:rsidRDefault="009A4C46" w:rsidP="009A4C46">
            <w:pPr>
              <w:spacing w:after="0" w:line="240" w:lineRule="auto"/>
              <w:jc w:val="right"/>
              <w:rPr>
                <w:rFonts w:eastAsia="Times New Roman"/>
                <w:color w:val="000000"/>
                <w:lang w:eastAsia="ru-RU"/>
              </w:rPr>
            </w:pPr>
            <w:r w:rsidRPr="009A4C46">
              <w:rPr>
                <w:rFonts w:eastAsia="Times New Roman"/>
                <w:color w:val="000000"/>
                <w:lang w:eastAsia="ru-RU"/>
              </w:rPr>
              <w:t>108 565</w:t>
            </w:r>
          </w:p>
        </w:tc>
        <w:tc>
          <w:tcPr>
            <w:tcW w:w="825" w:type="pct"/>
            <w:tcBorders>
              <w:top w:val="nil"/>
              <w:left w:val="nil"/>
              <w:bottom w:val="single" w:sz="8" w:space="0" w:color="auto"/>
              <w:right w:val="single" w:sz="8" w:space="0" w:color="auto"/>
            </w:tcBorders>
            <w:shd w:val="clear" w:color="auto" w:fill="auto"/>
            <w:noWrap/>
            <w:vAlign w:val="center"/>
            <w:hideMark/>
          </w:tcPr>
          <w:p w14:paraId="124F334C" w14:textId="77777777" w:rsidR="009A4C46" w:rsidRPr="009A4C46" w:rsidRDefault="009A4C46" w:rsidP="009A4C46">
            <w:pPr>
              <w:spacing w:after="0" w:line="240" w:lineRule="auto"/>
              <w:jc w:val="right"/>
              <w:rPr>
                <w:rFonts w:eastAsia="Times New Roman"/>
                <w:color w:val="000000"/>
                <w:lang w:eastAsia="ru-RU"/>
              </w:rPr>
            </w:pPr>
            <w:r w:rsidRPr="009A4C46">
              <w:rPr>
                <w:rFonts w:eastAsia="Times New Roman"/>
                <w:color w:val="000000"/>
                <w:lang w:eastAsia="ru-RU"/>
              </w:rPr>
              <w:t>213 577</w:t>
            </w:r>
          </w:p>
        </w:tc>
        <w:tc>
          <w:tcPr>
            <w:tcW w:w="874" w:type="pct"/>
            <w:tcBorders>
              <w:top w:val="nil"/>
              <w:left w:val="nil"/>
              <w:bottom w:val="single" w:sz="8" w:space="0" w:color="auto"/>
              <w:right w:val="single" w:sz="8" w:space="0" w:color="auto"/>
            </w:tcBorders>
            <w:shd w:val="clear" w:color="auto" w:fill="auto"/>
            <w:noWrap/>
            <w:vAlign w:val="center"/>
            <w:hideMark/>
          </w:tcPr>
          <w:p w14:paraId="036FA1FC" w14:textId="77777777" w:rsidR="009A4C46" w:rsidRPr="009A4C46" w:rsidRDefault="009A4C46" w:rsidP="009A4C46">
            <w:pPr>
              <w:spacing w:after="0" w:line="240" w:lineRule="auto"/>
              <w:jc w:val="right"/>
              <w:rPr>
                <w:rFonts w:eastAsia="Times New Roman"/>
                <w:color w:val="000000"/>
                <w:lang w:eastAsia="ru-RU"/>
              </w:rPr>
            </w:pPr>
            <w:r w:rsidRPr="009A4C46">
              <w:rPr>
                <w:rFonts w:eastAsia="Times New Roman"/>
                <w:color w:val="000000"/>
                <w:lang w:eastAsia="ru-RU"/>
              </w:rPr>
              <w:t>322 142</w:t>
            </w:r>
          </w:p>
        </w:tc>
      </w:tr>
      <w:tr w:rsidR="009A4C46" w:rsidRPr="009A4C46" w14:paraId="5F1CB0A1" w14:textId="77777777" w:rsidTr="00070F3E">
        <w:trPr>
          <w:trHeight w:val="265"/>
        </w:trPr>
        <w:tc>
          <w:tcPr>
            <w:tcW w:w="2476" w:type="pct"/>
            <w:tcBorders>
              <w:top w:val="nil"/>
              <w:left w:val="single" w:sz="8" w:space="0" w:color="auto"/>
              <w:bottom w:val="single" w:sz="8" w:space="0" w:color="auto"/>
              <w:right w:val="single" w:sz="8" w:space="0" w:color="auto"/>
            </w:tcBorders>
            <w:shd w:val="clear" w:color="auto" w:fill="auto"/>
            <w:vAlign w:val="center"/>
            <w:hideMark/>
          </w:tcPr>
          <w:p w14:paraId="36E56C76" w14:textId="77777777" w:rsidR="009A4C46" w:rsidRPr="009A4C46" w:rsidRDefault="009A4C46" w:rsidP="009A4C46">
            <w:pPr>
              <w:spacing w:after="0" w:line="240" w:lineRule="auto"/>
              <w:rPr>
                <w:rFonts w:eastAsia="Times New Roman"/>
                <w:b/>
                <w:bCs/>
                <w:color w:val="000000"/>
                <w:lang w:eastAsia="ru-RU"/>
              </w:rPr>
            </w:pPr>
            <w:r w:rsidRPr="009A4C46">
              <w:rPr>
                <w:rFonts w:eastAsia="Times New Roman"/>
                <w:b/>
                <w:bCs/>
                <w:color w:val="000000"/>
                <w:lang w:eastAsia="ru-RU"/>
              </w:rPr>
              <w:t>на оплату потерь</w:t>
            </w:r>
          </w:p>
        </w:tc>
        <w:tc>
          <w:tcPr>
            <w:tcW w:w="825" w:type="pct"/>
            <w:tcBorders>
              <w:top w:val="nil"/>
              <w:left w:val="nil"/>
              <w:bottom w:val="single" w:sz="8" w:space="0" w:color="auto"/>
              <w:right w:val="single" w:sz="8" w:space="0" w:color="auto"/>
            </w:tcBorders>
            <w:shd w:val="clear" w:color="auto" w:fill="auto"/>
            <w:noWrap/>
            <w:vAlign w:val="center"/>
            <w:hideMark/>
          </w:tcPr>
          <w:p w14:paraId="1A7ECCA7" w14:textId="77777777" w:rsidR="009A4C46" w:rsidRPr="009A4C46" w:rsidRDefault="009A4C46" w:rsidP="009A4C46">
            <w:pPr>
              <w:spacing w:after="0" w:line="240" w:lineRule="auto"/>
              <w:jc w:val="right"/>
              <w:rPr>
                <w:rFonts w:eastAsia="Times New Roman"/>
                <w:b/>
                <w:bCs/>
                <w:color w:val="000000"/>
                <w:lang w:eastAsia="ru-RU"/>
              </w:rPr>
            </w:pPr>
            <w:r w:rsidRPr="009A4C46">
              <w:rPr>
                <w:rFonts w:eastAsia="Times New Roman"/>
                <w:b/>
                <w:bCs/>
                <w:color w:val="000000"/>
                <w:lang w:eastAsia="ru-RU"/>
              </w:rPr>
              <w:t>13 065</w:t>
            </w:r>
          </w:p>
        </w:tc>
        <w:tc>
          <w:tcPr>
            <w:tcW w:w="825" w:type="pct"/>
            <w:tcBorders>
              <w:top w:val="nil"/>
              <w:left w:val="nil"/>
              <w:bottom w:val="single" w:sz="8" w:space="0" w:color="auto"/>
              <w:right w:val="single" w:sz="8" w:space="0" w:color="auto"/>
            </w:tcBorders>
            <w:shd w:val="clear" w:color="auto" w:fill="auto"/>
            <w:noWrap/>
            <w:vAlign w:val="center"/>
            <w:hideMark/>
          </w:tcPr>
          <w:p w14:paraId="0D7DD7B8" w14:textId="77777777" w:rsidR="009A4C46" w:rsidRPr="009A4C46" w:rsidRDefault="009A4C46" w:rsidP="009A4C46">
            <w:pPr>
              <w:spacing w:after="0" w:line="240" w:lineRule="auto"/>
              <w:jc w:val="right"/>
              <w:rPr>
                <w:rFonts w:eastAsia="Times New Roman"/>
                <w:b/>
                <w:bCs/>
                <w:color w:val="000000"/>
                <w:lang w:eastAsia="ru-RU"/>
              </w:rPr>
            </w:pPr>
            <w:r w:rsidRPr="009A4C46">
              <w:rPr>
                <w:rFonts w:eastAsia="Times New Roman"/>
                <w:b/>
                <w:bCs/>
                <w:color w:val="000000"/>
                <w:lang w:eastAsia="ru-RU"/>
              </w:rPr>
              <w:t>22 739</w:t>
            </w:r>
          </w:p>
        </w:tc>
        <w:tc>
          <w:tcPr>
            <w:tcW w:w="874" w:type="pct"/>
            <w:tcBorders>
              <w:top w:val="nil"/>
              <w:left w:val="nil"/>
              <w:bottom w:val="single" w:sz="8" w:space="0" w:color="auto"/>
              <w:right w:val="single" w:sz="8" w:space="0" w:color="auto"/>
            </w:tcBorders>
            <w:shd w:val="clear" w:color="auto" w:fill="auto"/>
            <w:noWrap/>
            <w:vAlign w:val="center"/>
            <w:hideMark/>
          </w:tcPr>
          <w:p w14:paraId="2FC97866" w14:textId="77777777" w:rsidR="009A4C46" w:rsidRPr="009A4C46" w:rsidRDefault="009A4C46" w:rsidP="009A4C46">
            <w:pPr>
              <w:spacing w:after="0" w:line="240" w:lineRule="auto"/>
              <w:jc w:val="right"/>
              <w:rPr>
                <w:rFonts w:eastAsia="Times New Roman"/>
                <w:b/>
                <w:bCs/>
                <w:color w:val="000000"/>
                <w:lang w:eastAsia="ru-RU"/>
              </w:rPr>
            </w:pPr>
            <w:r w:rsidRPr="009A4C46">
              <w:rPr>
                <w:rFonts w:eastAsia="Times New Roman"/>
                <w:b/>
                <w:bCs/>
                <w:color w:val="000000"/>
                <w:lang w:eastAsia="ru-RU"/>
              </w:rPr>
              <w:t>35 803</w:t>
            </w:r>
          </w:p>
        </w:tc>
      </w:tr>
      <w:tr w:rsidR="009A4C46" w:rsidRPr="009A4C46" w14:paraId="722158D3" w14:textId="77777777" w:rsidTr="00070F3E">
        <w:trPr>
          <w:trHeight w:val="265"/>
        </w:trPr>
        <w:tc>
          <w:tcPr>
            <w:tcW w:w="2476" w:type="pct"/>
            <w:tcBorders>
              <w:top w:val="nil"/>
              <w:left w:val="single" w:sz="8" w:space="0" w:color="auto"/>
              <w:bottom w:val="single" w:sz="8" w:space="0" w:color="auto"/>
              <w:right w:val="single" w:sz="8" w:space="0" w:color="auto"/>
            </w:tcBorders>
            <w:shd w:val="clear" w:color="auto" w:fill="auto"/>
            <w:noWrap/>
            <w:vAlign w:val="center"/>
            <w:hideMark/>
          </w:tcPr>
          <w:p w14:paraId="6AB0E694" w14:textId="77777777" w:rsidR="009A4C46" w:rsidRPr="009A4C46" w:rsidRDefault="009A4C46" w:rsidP="009A4C46">
            <w:pPr>
              <w:spacing w:after="0" w:line="240" w:lineRule="auto"/>
              <w:rPr>
                <w:rFonts w:eastAsia="Times New Roman"/>
                <w:color w:val="000000"/>
                <w:lang w:eastAsia="ru-RU"/>
              </w:rPr>
            </w:pPr>
            <w:r w:rsidRPr="009A4C46">
              <w:rPr>
                <w:rFonts w:eastAsia="Times New Roman"/>
                <w:color w:val="000000"/>
                <w:lang w:eastAsia="ru-RU"/>
              </w:rPr>
              <w:t>ВН</w:t>
            </w:r>
          </w:p>
        </w:tc>
        <w:tc>
          <w:tcPr>
            <w:tcW w:w="825" w:type="pct"/>
            <w:tcBorders>
              <w:top w:val="nil"/>
              <w:left w:val="nil"/>
              <w:bottom w:val="single" w:sz="8" w:space="0" w:color="auto"/>
              <w:right w:val="single" w:sz="8" w:space="0" w:color="auto"/>
            </w:tcBorders>
            <w:shd w:val="clear" w:color="auto" w:fill="auto"/>
            <w:noWrap/>
            <w:vAlign w:val="center"/>
            <w:hideMark/>
          </w:tcPr>
          <w:p w14:paraId="1F8AB0A8" w14:textId="77777777" w:rsidR="009A4C46" w:rsidRPr="009A4C46" w:rsidRDefault="009A4C46" w:rsidP="009A4C46">
            <w:pPr>
              <w:spacing w:after="0" w:line="240" w:lineRule="auto"/>
              <w:jc w:val="right"/>
              <w:rPr>
                <w:rFonts w:eastAsia="Times New Roman"/>
                <w:color w:val="000000"/>
                <w:lang w:eastAsia="ru-RU"/>
              </w:rPr>
            </w:pPr>
            <w:r w:rsidRPr="009A4C46">
              <w:rPr>
                <w:rFonts w:eastAsia="Times New Roman"/>
                <w:color w:val="000000"/>
                <w:lang w:eastAsia="ru-RU"/>
              </w:rPr>
              <w:t>637</w:t>
            </w:r>
          </w:p>
        </w:tc>
        <w:tc>
          <w:tcPr>
            <w:tcW w:w="825" w:type="pct"/>
            <w:tcBorders>
              <w:top w:val="nil"/>
              <w:left w:val="nil"/>
              <w:bottom w:val="single" w:sz="8" w:space="0" w:color="auto"/>
              <w:right w:val="single" w:sz="8" w:space="0" w:color="auto"/>
            </w:tcBorders>
            <w:shd w:val="clear" w:color="auto" w:fill="auto"/>
            <w:noWrap/>
            <w:vAlign w:val="center"/>
            <w:hideMark/>
          </w:tcPr>
          <w:p w14:paraId="26A7DE4C" w14:textId="77777777" w:rsidR="009A4C46" w:rsidRPr="009A4C46" w:rsidRDefault="009A4C46" w:rsidP="009A4C46">
            <w:pPr>
              <w:spacing w:after="0" w:line="240" w:lineRule="auto"/>
              <w:jc w:val="right"/>
              <w:rPr>
                <w:rFonts w:eastAsia="Times New Roman"/>
                <w:color w:val="000000"/>
                <w:lang w:eastAsia="ru-RU"/>
              </w:rPr>
            </w:pPr>
            <w:r w:rsidRPr="009A4C46">
              <w:rPr>
                <w:rFonts w:eastAsia="Times New Roman"/>
                <w:color w:val="000000"/>
                <w:lang w:eastAsia="ru-RU"/>
              </w:rPr>
              <w:t>1 374</w:t>
            </w:r>
          </w:p>
        </w:tc>
        <w:tc>
          <w:tcPr>
            <w:tcW w:w="874" w:type="pct"/>
            <w:tcBorders>
              <w:top w:val="nil"/>
              <w:left w:val="nil"/>
              <w:bottom w:val="single" w:sz="8" w:space="0" w:color="auto"/>
              <w:right w:val="single" w:sz="8" w:space="0" w:color="auto"/>
            </w:tcBorders>
            <w:shd w:val="clear" w:color="auto" w:fill="auto"/>
            <w:noWrap/>
            <w:vAlign w:val="center"/>
            <w:hideMark/>
          </w:tcPr>
          <w:p w14:paraId="1107C51B" w14:textId="77777777" w:rsidR="009A4C46" w:rsidRPr="009A4C46" w:rsidRDefault="009A4C46" w:rsidP="009A4C46">
            <w:pPr>
              <w:spacing w:after="0" w:line="240" w:lineRule="auto"/>
              <w:jc w:val="right"/>
              <w:rPr>
                <w:rFonts w:eastAsia="Times New Roman"/>
                <w:color w:val="000000"/>
                <w:lang w:eastAsia="ru-RU"/>
              </w:rPr>
            </w:pPr>
            <w:r w:rsidRPr="009A4C46">
              <w:rPr>
                <w:rFonts w:eastAsia="Times New Roman"/>
                <w:color w:val="000000"/>
                <w:lang w:eastAsia="ru-RU"/>
              </w:rPr>
              <w:t>2 011</w:t>
            </w:r>
          </w:p>
        </w:tc>
      </w:tr>
      <w:tr w:rsidR="009A4C46" w:rsidRPr="009A4C46" w14:paraId="55566FA9" w14:textId="77777777" w:rsidTr="00070F3E">
        <w:trPr>
          <w:trHeight w:val="265"/>
        </w:trPr>
        <w:tc>
          <w:tcPr>
            <w:tcW w:w="2476" w:type="pct"/>
            <w:tcBorders>
              <w:top w:val="nil"/>
              <w:left w:val="single" w:sz="8" w:space="0" w:color="auto"/>
              <w:bottom w:val="single" w:sz="8" w:space="0" w:color="auto"/>
              <w:right w:val="single" w:sz="8" w:space="0" w:color="auto"/>
            </w:tcBorders>
            <w:shd w:val="clear" w:color="auto" w:fill="auto"/>
            <w:noWrap/>
            <w:vAlign w:val="center"/>
            <w:hideMark/>
          </w:tcPr>
          <w:p w14:paraId="04598374" w14:textId="77777777" w:rsidR="009A4C46" w:rsidRPr="009A4C46" w:rsidRDefault="009A4C46" w:rsidP="009A4C46">
            <w:pPr>
              <w:spacing w:after="0" w:line="240" w:lineRule="auto"/>
              <w:rPr>
                <w:rFonts w:eastAsia="Times New Roman"/>
                <w:color w:val="000000"/>
                <w:lang w:eastAsia="ru-RU"/>
              </w:rPr>
            </w:pPr>
            <w:r w:rsidRPr="009A4C46">
              <w:rPr>
                <w:rFonts w:eastAsia="Times New Roman"/>
                <w:color w:val="000000"/>
                <w:lang w:eastAsia="ru-RU"/>
              </w:rPr>
              <w:t>СН1</w:t>
            </w:r>
          </w:p>
        </w:tc>
        <w:tc>
          <w:tcPr>
            <w:tcW w:w="825" w:type="pct"/>
            <w:tcBorders>
              <w:top w:val="nil"/>
              <w:left w:val="nil"/>
              <w:bottom w:val="single" w:sz="8" w:space="0" w:color="auto"/>
              <w:right w:val="single" w:sz="8" w:space="0" w:color="auto"/>
            </w:tcBorders>
            <w:shd w:val="clear" w:color="auto" w:fill="auto"/>
            <w:noWrap/>
            <w:vAlign w:val="center"/>
            <w:hideMark/>
          </w:tcPr>
          <w:p w14:paraId="7914A2B9" w14:textId="77777777" w:rsidR="009A4C46" w:rsidRPr="009A4C46" w:rsidRDefault="009A4C46" w:rsidP="009A4C46">
            <w:pPr>
              <w:spacing w:after="0" w:line="240" w:lineRule="auto"/>
              <w:jc w:val="right"/>
              <w:rPr>
                <w:rFonts w:eastAsia="Times New Roman"/>
                <w:color w:val="000000"/>
                <w:lang w:eastAsia="ru-RU"/>
              </w:rPr>
            </w:pPr>
            <w:r w:rsidRPr="009A4C46">
              <w:rPr>
                <w:rFonts w:eastAsia="Times New Roman"/>
                <w:color w:val="000000"/>
                <w:lang w:eastAsia="ru-RU"/>
              </w:rPr>
              <w:t>939</w:t>
            </w:r>
          </w:p>
        </w:tc>
        <w:tc>
          <w:tcPr>
            <w:tcW w:w="825" w:type="pct"/>
            <w:tcBorders>
              <w:top w:val="nil"/>
              <w:left w:val="nil"/>
              <w:bottom w:val="single" w:sz="8" w:space="0" w:color="auto"/>
              <w:right w:val="single" w:sz="8" w:space="0" w:color="auto"/>
            </w:tcBorders>
            <w:shd w:val="clear" w:color="auto" w:fill="auto"/>
            <w:noWrap/>
            <w:vAlign w:val="center"/>
            <w:hideMark/>
          </w:tcPr>
          <w:p w14:paraId="27B38C25" w14:textId="77777777" w:rsidR="009A4C46" w:rsidRPr="009A4C46" w:rsidRDefault="009A4C46" w:rsidP="009A4C46">
            <w:pPr>
              <w:spacing w:after="0" w:line="240" w:lineRule="auto"/>
              <w:jc w:val="right"/>
              <w:rPr>
                <w:rFonts w:eastAsia="Times New Roman"/>
                <w:color w:val="000000"/>
                <w:lang w:eastAsia="ru-RU"/>
              </w:rPr>
            </w:pPr>
            <w:r w:rsidRPr="009A4C46">
              <w:rPr>
                <w:rFonts w:eastAsia="Times New Roman"/>
                <w:color w:val="000000"/>
                <w:lang w:eastAsia="ru-RU"/>
              </w:rPr>
              <w:t>988</w:t>
            </w:r>
          </w:p>
        </w:tc>
        <w:tc>
          <w:tcPr>
            <w:tcW w:w="874" w:type="pct"/>
            <w:tcBorders>
              <w:top w:val="nil"/>
              <w:left w:val="nil"/>
              <w:bottom w:val="single" w:sz="8" w:space="0" w:color="auto"/>
              <w:right w:val="single" w:sz="8" w:space="0" w:color="auto"/>
            </w:tcBorders>
            <w:shd w:val="clear" w:color="auto" w:fill="auto"/>
            <w:noWrap/>
            <w:vAlign w:val="center"/>
            <w:hideMark/>
          </w:tcPr>
          <w:p w14:paraId="2E142183" w14:textId="77777777" w:rsidR="009A4C46" w:rsidRPr="009A4C46" w:rsidRDefault="009A4C46" w:rsidP="009A4C46">
            <w:pPr>
              <w:spacing w:after="0" w:line="240" w:lineRule="auto"/>
              <w:jc w:val="right"/>
              <w:rPr>
                <w:rFonts w:eastAsia="Times New Roman"/>
                <w:color w:val="000000"/>
                <w:lang w:eastAsia="ru-RU"/>
              </w:rPr>
            </w:pPr>
            <w:r w:rsidRPr="009A4C46">
              <w:rPr>
                <w:rFonts w:eastAsia="Times New Roman"/>
                <w:color w:val="000000"/>
                <w:lang w:eastAsia="ru-RU"/>
              </w:rPr>
              <w:t>1 927</w:t>
            </w:r>
          </w:p>
        </w:tc>
      </w:tr>
      <w:tr w:rsidR="009A4C46" w:rsidRPr="009A4C46" w14:paraId="10E1A6F1" w14:textId="77777777" w:rsidTr="00070F3E">
        <w:trPr>
          <w:trHeight w:val="265"/>
        </w:trPr>
        <w:tc>
          <w:tcPr>
            <w:tcW w:w="2476" w:type="pct"/>
            <w:tcBorders>
              <w:top w:val="nil"/>
              <w:left w:val="single" w:sz="8" w:space="0" w:color="auto"/>
              <w:bottom w:val="single" w:sz="8" w:space="0" w:color="auto"/>
              <w:right w:val="single" w:sz="8" w:space="0" w:color="auto"/>
            </w:tcBorders>
            <w:shd w:val="clear" w:color="auto" w:fill="auto"/>
            <w:noWrap/>
            <w:vAlign w:val="center"/>
            <w:hideMark/>
          </w:tcPr>
          <w:p w14:paraId="700694C3" w14:textId="77777777" w:rsidR="009A4C46" w:rsidRPr="009A4C46" w:rsidRDefault="009A4C46" w:rsidP="009A4C46">
            <w:pPr>
              <w:spacing w:after="0" w:line="240" w:lineRule="auto"/>
              <w:rPr>
                <w:rFonts w:eastAsia="Times New Roman"/>
                <w:color w:val="000000"/>
                <w:lang w:eastAsia="ru-RU"/>
              </w:rPr>
            </w:pPr>
            <w:r w:rsidRPr="009A4C46">
              <w:rPr>
                <w:rFonts w:eastAsia="Times New Roman"/>
                <w:color w:val="000000"/>
                <w:lang w:eastAsia="ru-RU"/>
              </w:rPr>
              <w:t>СН2</w:t>
            </w:r>
          </w:p>
        </w:tc>
        <w:tc>
          <w:tcPr>
            <w:tcW w:w="825" w:type="pct"/>
            <w:tcBorders>
              <w:top w:val="nil"/>
              <w:left w:val="nil"/>
              <w:bottom w:val="single" w:sz="8" w:space="0" w:color="auto"/>
              <w:right w:val="single" w:sz="8" w:space="0" w:color="auto"/>
            </w:tcBorders>
            <w:shd w:val="clear" w:color="auto" w:fill="auto"/>
            <w:noWrap/>
            <w:vAlign w:val="center"/>
            <w:hideMark/>
          </w:tcPr>
          <w:p w14:paraId="4785EC09" w14:textId="77777777" w:rsidR="009A4C46" w:rsidRPr="009A4C46" w:rsidRDefault="009A4C46" w:rsidP="009A4C46">
            <w:pPr>
              <w:spacing w:after="0" w:line="240" w:lineRule="auto"/>
              <w:jc w:val="right"/>
              <w:rPr>
                <w:rFonts w:eastAsia="Times New Roman"/>
                <w:color w:val="000000"/>
                <w:lang w:eastAsia="ru-RU"/>
              </w:rPr>
            </w:pPr>
            <w:r w:rsidRPr="009A4C46">
              <w:rPr>
                <w:rFonts w:eastAsia="Times New Roman"/>
                <w:color w:val="000000"/>
                <w:lang w:eastAsia="ru-RU"/>
              </w:rPr>
              <w:t>2 354</w:t>
            </w:r>
          </w:p>
        </w:tc>
        <w:tc>
          <w:tcPr>
            <w:tcW w:w="825" w:type="pct"/>
            <w:tcBorders>
              <w:top w:val="nil"/>
              <w:left w:val="nil"/>
              <w:bottom w:val="single" w:sz="8" w:space="0" w:color="auto"/>
              <w:right w:val="single" w:sz="8" w:space="0" w:color="auto"/>
            </w:tcBorders>
            <w:shd w:val="clear" w:color="auto" w:fill="auto"/>
            <w:noWrap/>
            <w:vAlign w:val="center"/>
            <w:hideMark/>
          </w:tcPr>
          <w:p w14:paraId="77BCDE06" w14:textId="77777777" w:rsidR="009A4C46" w:rsidRPr="009A4C46" w:rsidRDefault="009A4C46" w:rsidP="009A4C46">
            <w:pPr>
              <w:spacing w:after="0" w:line="240" w:lineRule="auto"/>
              <w:jc w:val="right"/>
              <w:rPr>
                <w:rFonts w:eastAsia="Times New Roman"/>
                <w:color w:val="000000"/>
                <w:lang w:eastAsia="ru-RU"/>
              </w:rPr>
            </w:pPr>
            <w:r w:rsidRPr="009A4C46">
              <w:rPr>
                <w:rFonts w:eastAsia="Times New Roman"/>
                <w:color w:val="000000"/>
                <w:lang w:eastAsia="ru-RU"/>
              </w:rPr>
              <w:t>2 403</w:t>
            </w:r>
          </w:p>
        </w:tc>
        <w:tc>
          <w:tcPr>
            <w:tcW w:w="874" w:type="pct"/>
            <w:tcBorders>
              <w:top w:val="nil"/>
              <w:left w:val="nil"/>
              <w:bottom w:val="single" w:sz="8" w:space="0" w:color="auto"/>
              <w:right w:val="single" w:sz="8" w:space="0" w:color="auto"/>
            </w:tcBorders>
            <w:shd w:val="clear" w:color="auto" w:fill="auto"/>
            <w:noWrap/>
            <w:vAlign w:val="center"/>
            <w:hideMark/>
          </w:tcPr>
          <w:p w14:paraId="239E7455" w14:textId="77777777" w:rsidR="009A4C46" w:rsidRPr="009A4C46" w:rsidRDefault="009A4C46" w:rsidP="009A4C46">
            <w:pPr>
              <w:spacing w:after="0" w:line="240" w:lineRule="auto"/>
              <w:jc w:val="right"/>
              <w:rPr>
                <w:rFonts w:eastAsia="Times New Roman"/>
                <w:color w:val="000000"/>
                <w:lang w:eastAsia="ru-RU"/>
              </w:rPr>
            </w:pPr>
            <w:r w:rsidRPr="009A4C46">
              <w:rPr>
                <w:rFonts w:eastAsia="Times New Roman"/>
                <w:color w:val="000000"/>
                <w:lang w:eastAsia="ru-RU"/>
              </w:rPr>
              <w:t>4 757</w:t>
            </w:r>
          </w:p>
        </w:tc>
      </w:tr>
      <w:tr w:rsidR="009A4C46" w:rsidRPr="009A4C46" w14:paraId="3B0FF20C" w14:textId="77777777" w:rsidTr="00070F3E">
        <w:trPr>
          <w:trHeight w:val="265"/>
        </w:trPr>
        <w:tc>
          <w:tcPr>
            <w:tcW w:w="2476" w:type="pct"/>
            <w:tcBorders>
              <w:top w:val="nil"/>
              <w:left w:val="single" w:sz="8" w:space="0" w:color="auto"/>
              <w:bottom w:val="single" w:sz="8" w:space="0" w:color="auto"/>
              <w:right w:val="single" w:sz="8" w:space="0" w:color="auto"/>
            </w:tcBorders>
            <w:shd w:val="clear" w:color="auto" w:fill="auto"/>
            <w:noWrap/>
            <w:vAlign w:val="center"/>
            <w:hideMark/>
          </w:tcPr>
          <w:p w14:paraId="3BCE18A8" w14:textId="77777777" w:rsidR="009A4C46" w:rsidRPr="009A4C46" w:rsidRDefault="009A4C46" w:rsidP="009A4C46">
            <w:pPr>
              <w:spacing w:after="0" w:line="240" w:lineRule="auto"/>
              <w:rPr>
                <w:rFonts w:eastAsia="Times New Roman"/>
                <w:color w:val="000000"/>
                <w:lang w:eastAsia="ru-RU"/>
              </w:rPr>
            </w:pPr>
            <w:r w:rsidRPr="009A4C46">
              <w:rPr>
                <w:rFonts w:eastAsia="Times New Roman"/>
                <w:color w:val="000000"/>
                <w:lang w:eastAsia="ru-RU"/>
              </w:rPr>
              <w:t>НН</w:t>
            </w:r>
          </w:p>
        </w:tc>
        <w:tc>
          <w:tcPr>
            <w:tcW w:w="825" w:type="pct"/>
            <w:tcBorders>
              <w:top w:val="nil"/>
              <w:left w:val="nil"/>
              <w:bottom w:val="single" w:sz="8" w:space="0" w:color="auto"/>
              <w:right w:val="single" w:sz="8" w:space="0" w:color="auto"/>
            </w:tcBorders>
            <w:shd w:val="clear" w:color="auto" w:fill="auto"/>
            <w:noWrap/>
            <w:vAlign w:val="center"/>
            <w:hideMark/>
          </w:tcPr>
          <w:p w14:paraId="6C94CC35" w14:textId="77777777" w:rsidR="009A4C46" w:rsidRPr="009A4C46" w:rsidRDefault="009A4C46" w:rsidP="009A4C46">
            <w:pPr>
              <w:spacing w:after="0" w:line="240" w:lineRule="auto"/>
              <w:jc w:val="right"/>
              <w:rPr>
                <w:rFonts w:eastAsia="Times New Roman"/>
                <w:color w:val="000000"/>
                <w:lang w:eastAsia="ru-RU"/>
              </w:rPr>
            </w:pPr>
            <w:r w:rsidRPr="009A4C46">
              <w:rPr>
                <w:rFonts w:eastAsia="Times New Roman"/>
                <w:color w:val="000000"/>
                <w:lang w:eastAsia="ru-RU"/>
              </w:rPr>
              <w:t>9 135</w:t>
            </w:r>
          </w:p>
        </w:tc>
        <w:tc>
          <w:tcPr>
            <w:tcW w:w="825" w:type="pct"/>
            <w:tcBorders>
              <w:top w:val="nil"/>
              <w:left w:val="nil"/>
              <w:bottom w:val="single" w:sz="8" w:space="0" w:color="auto"/>
              <w:right w:val="single" w:sz="8" w:space="0" w:color="auto"/>
            </w:tcBorders>
            <w:shd w:val="clear" w:color="auto" w:fill="auto"/>
            <w:noWrap/>
            <w:vAlign w:val="center"/>
            <w:hideMark/>
          </w:tcPr>
          <w:p w14:paraId="236AEBAA" w14:textId="77777777" w:rsidR="009A4C46" w:rsidRPr="009A4C46" w:rsidRDefault="009A4C46" w:rsidP="009A4C46">
            <w:pPr>
              <w:spacing w:after="0" w:line="240" w:lineRule="auto"/>
              <w:jc w:val="right"/>
              <w:rPr>
                <w:rFonts w:eastAsia="Times New Roman"/>
                <w:color w:val="000000"/>
                <w:lang w:eastAsia="ru-RU"/>
              </w:rPr>
            </w:pPr>
            <w:r w:rsidRPr="009A4C46">
              <w:rPr>
                <w:rFonts w:eastAsia="Times New Roman"/>
                <w:color w:val="000000"/>
                <w:lang w:eastAsia="ru-RU"/>
              </w:rPr>
              <w:t>17 973</w:t>
            </w:r>
          </w:p>
        </w:tc>
        <w:tc>
          <w:tcPr>
            <w:tcW w:w="874" w:type="pct"/>
            <w:tcBorders>
              <w:top w:val="nil"/>
              <w:left w:val="nil"/>
              <w:bottom w:val="single" w:sz="8" w:space="0" w:color="auto"/>
              <w:right w:val="single" w:sz="8" w:space="0" w:color="auto"/>
            </w:tcBorders>
            <w:shd w:val="clear" w:color="auto" w:fill="auto"/>
            <w:noWrap/>
            <w:vAlign w:val="center"/>
            <w:hideMark/>
          </w:tcPr>
          <w:p w14:paraId="57DFAD80" w14:textId="77777777" w:rsidR="009A4C46" w:rsidRPr="009A4C46" w:rsidRDefault="009A4C46" w:rsidP="009A4C46">
            <w:pPr>
              <w:spacing w:after="0" w:line="240" w:lineRule="auto"/>
              <w:jc w:val="right"/>
              <w:rPr>
                <w:rFonts w:eastAsia="Times New Roman"/>
                <w:color w:val="000000"/>
                <w:lang w:eastAsia="ru-RU"/>
              </w:rPr>
            </w:pPr>
            <w:r w:rsidRPr="009A4C46">
              <w:rPr>
                <w:rFonts w:eastAsia="Times New Roman"/>
                <w:color w:val="000000"/>
                <w:lang w:eastAsia="ru-RU"/>
              </w:rPr>
              <w:t>27 109</w:t>
            </w:r>
          </w:p>
        </w:tc>
      </w:tr>
    </w:tbl>
    <w:p w14:paraId="13B77785" w14:textId="77777777" w:rsidR="009A4C46" w:rsidRPr="009A4C46" w:rsidRDefault="009A4C46" w:rsidP="009A4C46">
      <w:pPr>
        <w:tabs>
          <w:tab w:val="left" w:pos="0"/>
        </w:tabs>
        <w:autoSpaceDE w:val="0"/>
        <w:autoSpaceDN w:val="0"/>
        <w:adjustRightInd w:val="0"/>
        <w:spacing w:after="32" w:line="360" w:lineRule="auto"/>
        <w:ind w:firstLine="567"/>
        <w:jc w:val="both"/>
        <w:rPr>
          <w:rFonts w:eastAsia="Times New Roman"/>
          <w:sz w:val="28"/>
          <w:szCs w:val="28"/>
          <w:u w:val="single"/>
          <w:lang w:eastAsia="ru-RU"/>
        </w:rPr>
        <w:sectPr w:rsidR="009A4C46" w:rsidRPr="009A4C46" w:rsidSect="00070F3E">
          <w:pgSz w:w="16838" w:h="11906" w:orient="landscape"/>
          <w:pgMar w:top="1418" w:right="1134" w:bottom="851" w:left="1134" w:header="709" w:footer="709" w:gutter="0"/>
          <w:cols w:space="708"/>
          <w:docGrid w:linePitch="360"/>
        </w:sectPr>
      </w:pPr>
    </w:p>
    <w:p w14:paraId="0070E304" w14:textId="1007A0CC" w:rsidR="009A4C46" w:rsidRPr="00F94FED" w:rsidRDefault="009A4C46" w:rsidP="009A4C46">
      <w:pPr>
        <w:tabs>
          <w:tab w:val="left" w:pos="0"/>
        </w:tabs>
        <w:autoSpaceDE w:val="0"/>
        <w:autoSpaceDN w:val="0"/>
        <w:adjustRightInd w:val="0"/>
        <w:spacing w:afterLines="32" w:after="76" w:line="360" w:lineRule="auto"/>
        <w:ind w:firstLine="567"/>
        <w:jc w:val="both"/>
        <w:rPr>
          <w:rFonts w:eastAsia="Times New Roman"/>
          <w:sz w:val="26"/>
          <w:szCs w:val="26"/>
          <w:lang w:eastAsia="ru-RU"/>
        </w:rPr>
      </w:pPr>
      <w:r w:rsidRPr="00F94FED">
        <w:rPr>
          <w:rFonts w:eastAsia="Times New Roman"/>
          <w:sz w:val="26"/>
          <w:szCs w:val="26"/>
          <w:lang w:eastAsia="ru-RU"/>
        </w:rPr>
        <w:lastRenderedPageBreak/>
        <w:t>Исполнитель отмечает, что величина планового размера выручки (1</w:t>
      </w:r>
      <w:r w:rsidR="00D75241" w:rsidRPr="00F94FED">
        <w:rPr>
          <w:rFonts w:eastAsia="Times New Roman"/>
          <w:sz w:val="26"/>
          <w:szCs w:val="26"/>
          <w:lang w:eastAsia="ru-RU"/>
        </w:rPr>
        <w:t> </w:t>
      </w:r>
      <w:r w:rsidRPr="00F94FED">
        <w:rPr>
          <w:rFonts w:eastAsia="Times New Roman"/>
          <w:sz w:val="26"/>
          <w:szCs w:val="26"/>
          <w:lang w:eastAsia="ru-RU"/>
        </w:rPr>
        <w:t>374</w:t>
      </w:r>
      <w:r w:rsidR="00D75241" w:rsidRPr="00F94FED">
        <w:rPr>
          <w:rFonts w:eastAsia="Times New Roman"/>
          <w:sz w:val="26"/>
          <w:szCs w:val="26"/>
          <w:lang w:eastAsia="ru-RU"/>
        </w:rPr>
        <w:t> </w:t>
      </w:r>
      <w:r w:rsidRPr="00F94FED">
        <w:rPr>
          <w:rFonts w:eastAsia="Times New Roman"/>
          <w:sz w:val="26"/>
          <w:szCs w:val="26"/>
          <w:lang w:eastAsia="ru-RU"/>
        </w:rPr>
        <w:t>979 тыс. руб.), полученного с использованием установленных на 2018 год единых (котловых) тарифов на услуги по передаче электрической энергии (по одноставочным тарифам) и балансовых показателей соответствует необходимой валовой выручке АО «Тываэнерго».</w:t>
      </w:r>
    </w:p>
    <w:p w14:paraId="05C1BEB0" w14:textId="77777777" w:rsidR="009A4C46" w:rsidRPr="00F94FED" w:rsidRDefault="009A4C46" w:rsidP="009A4C46">
      <w:pPr>
        <w:tabs>
          <w:tab w:val="left" w:pos="0"/>
        </w:tabs>
        <w:autoSpaceDE w:val="0"/>
        <w:autoSpaceDN w:val="0"/>
        <w:adjustRightInd w:val="0"/>
        <w:spacing w:afterLines="32" w:after="76" w:line="360" w:lineRule="auto"/>
        <w:ind w:firstLine="567"/>
        <w:jc w:val="both"/>
        <w:rPr>
          <w:rFonts w:eastAsia="Times New Roman"/>
          <w:sz w:val="26"/>
          <w:szCs w:val="26"/>
          <w:lang w:eastAsia="ru-RU"/>
        </w:rPr>
      </w:pPr>
      <w:r w:rsidRPr="00F94FED">
        <w:rPr>
          <w:rFonts w:eastAsia="Times New Roman"/>
          <w:sz w:val="26"/>
          <w:szCs w:val="26"/>
          <w:lang w:eastAsia="ru-RU"/>
        </w:rPr>
        <w:t>Исполнитель подтверждает сходимость планового размера выручки собираемого по одноставочным и двухставочным тарифам.</w:t>
      </w:r>
    </w:p>
    <w:p w14:paraId="74BD1C2F" w14:textId="77777777" w:rsidR="009A4C46" w:rsidRPr="00F94FED" w:rsidRDefault="009A4C46" w:rsidP="009A4C46">
      <w:pPr>
        <w:tabs>
          <w:tab w:val="left" w:pos="0"/>
        </w:tabs>
        <w:spacing w:afterLines="32" w:after="76" w:line="360" w:lineRule="auto"/>
        <w:ind w:firstLine="567"/>
        <w:jc w:val="both"/>
        <w:rPr>
          <w:rFonts w:eastAsia="Times New Roman"/>
          <w:sz w:val="26"/>
          <w:szCs w:val="26"/>
          <w:u w:val="single"/>
          <w:lang w:eastAsia="ru-RU"/>
        </w:rPr>
      </w:pPr>
      <w:r w:rsidRPr="00F94FED">
        <w:rPr>
          <w:rFonts w:eastAsia="Times New Roman"/>
          <w:sz w:val="26"/>
          <w:szCs w:val="26"/>
          <w:lang w:eastAsia="ru-RU"/>
        </w:rPr>
        <w:t>В соответствии с информацией о фактической выручке в разрезе потребителей и уровней напряжения, представленной АО «Тываэнерго» в материалах тарифной заявки на 2020 год в форме «Расшифровка среднего тарифа</w:t>
      </w:r>
      <w:r w:rsidRPr="00F94FED" w:rsidDel="009F3012">
        <w:rPr>
          <w:rFonts w:eastAsia="Times New Roman"/>
          <w:sz w:val="26"/>
          <w:szCs w:val="26"/>
          <w:lang w:eastAsia="ru-RU"/>
        </w:rPr>
        <w:t xml:space="preserve"> </w:t>
      </w:r>
      <w:r w:rsidRPr="00F94FED">
        <w:rPr>
          <w:rFonts w:eastAsia="Times New Roman"/>
          <w:sz w:val="26"/>
          <w:szCs w:val="26"/>
          <w:lang w:eastAsia="ru-RU"/>
        </w:rPr>
        <w:t>за 2018 год», Исполнителем проанализирована фактическая товарная выручка за год в разрезе полугодий, а также произведено сопоставление фактической товарной выручки и плановой (расчетной) выручки на 2018 год.</w:t>
      </w:r>
    </w:p>
    <w:p w14:paraId="15EF2FE5" w14:textId="77777777" w:rsidR="009A4C46" w:rsidRPr="00F94FED" w:rsidRDefault="009A4C46" w:rsidP="009A4C46">
      <w:pPr>
        <w:rPr>
          <w:rFonts w:eastAsia="Times New Roman"/>
          <w:sz w:val="26"/>
          <w:szCs w:val="26"/>
          <w:u w:val="single"/>
          <w:lang w:eastAsia="ru-RU"/>
        </w:rPr>
      </w:pPr>
      <w:r w:rsidRPr="00F94FED">
        <w:rPr>
          <w:rFonts w:eastAsia="Times New Roman"/>
          <w:sz w:val="26"/>
          <w:szCs w:val="26"/>
          <w:u w:val="single"/>
          <w:lang w:eastAsia="ru-RU"/>
        </w:rPr>
        <w:br w:type="page"/>
      </w:r>
    </w:p>
    <w:p w14:paraId="140D1F50" w14:textId="77777777" w:rsidR="009A4C46" w:rsidRPr="009A4C46" w:rsidRDefault="009A4C46" w:rsidP="009A4C46">
      <w:pPr>
        <w:tabs>
          <w:tab w:val="left" w:pos="0"/>
        </w:tabs>
        <w:spacing w:afterLines="32" w:after="76" w:line="360" w:lineRule="auto"/>
        <w:ind w:firstLine="567"/>
        <w:jc w:val="both"/>
        <w:rPr>
          <w:rFonts w:eastAsia="Times New Roman"/>
          <w:sz w:val="28"/>
          <w:szCs w:val="28"/>
          <w:u w:val="single"/>
          <w:lang w:eastAsia="ru-RU"/>
        </w:rPr>
        <w:sectPr w:rsidR="009A4C46" w:rsidRPr="009A4C46" w:rsidSect="0063188C">
          <w:pgSz w:w="11906" w:h="16838"/>
          <w:pgMar w:top="1134" w:right="850" w:bottom="1134" w:left="1701" w:header="708" w:footer="708" w:gutter="0"/>
          <w:cols w:space="708"/>
          <w:docGrid w:linePitch="360"/>
        </w:sectPr>
      </w:pPr>
    </w:p>
    <w:tbl>
      <w:tblPr>
        <w:tblW w:w="5000" w:type="pct"/>
        <w:tblLayout w:type="fixed"/>
        <w:tblLook w:val="04A0" w:firstRow="1" w:lastRow="0" w:firstColumn="1" w:lastColumn="0" w:noHBand="0" w:noVBand="1"/>
      </w:tblPr>
      <w:tblGrid>
        <w:gridCol w:w="1336"/>
        <w:gridCol w:w="786"/>
        <w:gridCol w:w="716"/>
        <w:gridCol w:w="743"/>
        <w:gridCol w:w="929"/>
        <w:gridCol w:w="795"/>
        <w:gridCol w:w="926"/>
        <w:gridCol w:w="877"/>
        <w:gridCol w:w="1086"/>
        <w:gridCol w:w="1086"/>
        <w:gridCol w:w="1040"/>
        <w:gridCol w:w="1185"/>
        <w:gridCol w:w="929"/>
        <w:gridCol w:w="1203"/>
        <w:gridCol w:w="923"/>
      </w:tblGrid>
      <w:tr w:rsidR="00D75241" w:rsidRPr="00D75241" w14:paraId="5E70D7B3" w14:textId="77777777" w:rsidTr="00F94FED">
        <w:trPr>
          <w:trHeight w:val="480"/>
        </w:trPr>
        <w:tc>
          <w:tcPr>
            <w:tcW w:w="45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676FF9A" w14:textId="77777777" w:rsidR="009A4C46" w:rsidRPr="00F94FED" w:rsidRDefault="009A4C46" w:rsidP="009A4C46">
            <w:pPr>
              <w:spacing w:after="0" w:line="240" w:lineRule="auto"/>
              <w:jc w:val="center"/>
              <w:rPr>
                <w:rFonts w:eastAsia="Times New Roman"/>
                <w:b/>
                <w:bCs/>
                <w:color w:val="FFFFFF" w:themeColor="background1"/>
                <w:sz w:val="18"/>
                <w:szCs w:val="18"/>
                <w:lang w:eastAsia="ru-RU"/>
              </w:rPr>
            </w:pPr>
            <w:r w:rsidRPr="00F94FED">
              <w:rPr>
                <w:rFonts w:eastAsia="Times New Roman"/>
                <w:b/>
                <w:bCs/>
                <w:color w:val="FFFFFF" w:themeColor="background1"/>
                <w:sz w:val="18"/>
                <w:szCs w:val="18"/>
                <w:lang w:eastAsia="ru-RU"/>
              </w:rPr>
              <w:lastRenderedPageBreak/>
              <w:t>Потребители</w:t>
            </w:r>
          </w:p>
        </w:tc>
        <w:tc>
          <w:tcPr>
            <w:tcW w:w="1982" w:type="pct"/>
            <w:gridSpan w:val="7"/>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E3891FC" w14:textId="77777777" w:rsidR="009A4C46" w:rsidRPr="00F94FED" w:rsidRDefault="009A4C46" w:rsidP="009A4C46">
            <w:pPr>
              <w:spacing w:after="0" w:line="240" w:lineRule="auto"/>
              <w:jc w:val="center"/>
              <w:rPr>
                <w:rFonts w:eastAsia="Times New Roman"/>
                <w:b/>
                <w:bCs/>
                <w:color w:val="FFFFFF" w:themeColor="background1"/>
                <w:sz w:val="18"/>
                <w:szCs w:val="18"/>
                <w:lang w:eastAsia="ru-RU"/>
              </w:rPr>
            </w:pPr>
            <w:r w:rsidRPr="00F94FED">
              <w:rPr>
                <w:rFonts w:eastAsia="Times New Roman"/>
                <w:b/>
                <w:bCs/>
                <w:color w:val="FFFFFF" w:themeColor="background1"/>
                <w:sz w:val="18"/>
                <w:szCs w:val="18"/>
                <w:lang w:eastAsia="ru-RU"/>
              </w:rPr>
              <w:t>2018 год - натуральные показатели по отпуску</w:t>
            </w:r>
          </w:p>
        </w:tc>
        <w:tc>
          <w:tcPr>
            <w:tcW w:w="1103"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B453E9F" w14:textId="77777777" w:rsidR="009A4C46" w:rsidRPr="00F94FED" w:rsidRDefault="009A4C46" w:rsidP="009A4C46">
            <w:pPr>
              <w:spacing w:after="0" w:line="240" w:lineRule="auto"/>
              <w:jc w:val="center"/>
              <w:rPr>
                <w:rFonts w:eastAsia="Times New Roman"/>
                <w:b/>
                <w:bCs/>
                <w:color w:val="FFFFFF" w:themeColor="background1"/>
                <w:sz w:val="18"/>
                <w:szCs w:val="18"/>
                <w:lang w:eastAsia="ru-RU"/>
              </w:rPr>
            </w:pPr>
            <w:r w:rsidRPr="00F94FED">
              <w:rPr>
                <w:rFonts w:eastAsia="Times New Roman"/>
                <w:b/>
                <w:bCs/>
                <w:color w:val="FFFFFF" w:themeColor="background1"/>
                <w:sz w:val="18"/>
                <w:szCs w:val="18"/>
                <w:lang w:eastAsia="ru-RU"/>
              </w:rPr>
              <w:t>Выручка план, тыс. руб.</w:t>
            </w:r>
          </w:p>
        </w:tc>
        <w:tc>
          <w:tcPr>
            <w:tcW w:w="1139"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A803DF1" w14:textId="77777777" w:rsidR="009A4C46" w:rsidRPr="00F94FED" w:rsidRDefault="009A4C46" w:rsidP="009A4C46">
            <w:pPr>
              <w:spacing w:after="0" w:line="240" w:lineRule="auto"/>
              <w:jc w:val="center"/>
              <w:rPr>
                <w:rFonts w:eastAsia="Times New Roman"/>
                <w:b/>
                <w:bCs/>
                <w:color w:val="FFFFFF" w:themeColor="background1"/>
                <w:sz w:val="18"/>
                <w:szCs w:val="18"/>
                <w:lang w:eastAsia="ru-RU"/>
              </w:rPr>
            </w:pPr>
            <w:r w:rsidRPr="00F94FED">
              <w:rPr>
                <w:rFonts w:eastAsia="Times New Roman"/>
                <w:b/>
                <w:bCs/>
                <w:color w:val="FFFFFF" w:themeColor="background1"/>
                <w:sz w:val="18"/>
                <w:szCs w:val="18"/>
                <w:lang w:eastAsia="ru-RU"/>
              </w:rPr>
              <w:t>Выручка факт, тыс. руб.</w:t>
            </w:r>
          </w:p>
        </w:tc>
        <w:tc>
          <w:tcPr>
            <w:tcW w:w="31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4D51AC5" w14:textId="77777777" w:rsidR="009A4C46" w:rsidRPr="00F94FED" w:rsidRDefault="009A4C46" w:rsidP="009A4C46">
            <w:pPr>
              <w:spacing w:after="0" w:line="240" w:lineRule="auto"/>
              <w:jc w:val="center"/>
              <w:rPr>
                <w:rFonts w:eastAsia="Times New Roman"/>
                <w:b/>
                <w:bCs/>
                <w:color w:val="FFFFFF" w:themeColor="background1"/>
                <w:sz w:val="18"/>
                <w:szCs w:val="18"/>
                <w:lang w:eastAsia="ru-RU"/>
              </w:rPr>
            </w:pPr>
            <w:r w:rsidRPr="00F94FED">
              <w:rPr>
                <w:rFonts w:eastAsia="Times New Roman"/>
                <w:b/>
                <w:bCs/>
                <w:color w:val="FFFFFF" w:themeColor="background1"/>
                <w:sz w:val="18"/>
                <w:szCs w:val="18"/>
                <w:lang w:eastAsia="ru-RU"/>
              </w:rPr>
              <w:t>Откл., тыс. руб.</w:t>
            </w:r>
          </w:p>
        </w:tc>
      </w:tr>
      <w:tr w:rsidR="00F94FED" w:rsidRPr="00D75241" w14:paraId="7D87DF0A" w14:textId="77777777" w:rsidTr="00F94FED">
        <w:trPr>
          <w:trHeight w:val="720"/>
        </w:trPr>
        <w:tc>
          <w:tcPr>
            <w:tcW w:w="45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A0FC997" w14:textId="77777777" w:rsidR="009A4C46" w:rsidRPr="00F94FED" w:rsidRDefault="009A4C46" w:rsidP="009A4C46">
            <w:pPr>
              <w:spacing w:after="0" w:line="240" w:lineRule="auto"/>
              <w:rPr>
                <w:rFonts w:eastAsia="Times New Roman"/>
                <w:b/>
                <w:bCs/>
                <w:color w:val="FFFFFF" w:themeColor="background1"/>
                <w:sz w:val="18"/>
                <w:szCs w:val="18"/>
                <w:lang w:eastAsia="ru-RU"/>
              </w:rPr>
            </w:pPr>
          </w:p>
        </w:tc>
        <w:tc>
          <w:tcPr>
            <w:tcW w:w="771"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AB57E59" w14:textId="1B1EF08B" w:rsidR="009A4C46" w:rsidRPr="00F94FED" w:rsidRDefault="00D75241" w:rsidP="009A4C46">
            <w:pPr>
              <w:spacing w:after="0" w:line="240" w:lineRule="auto"/>
              <w:jc w:val="center"/>
              <w:rPr>
                <w:rFonts w:eastAsia="Times New Roman"/>
                <w:b/>
                <w:bCs/>
                <w:color w:val="FFFFFF" w:themeColor="background1"/>
                <w:sz w:val="18"/>
                <w:szCs w:val="18"/>
                <w:lang w:eastAsia="ru-RU"/>
              </w:rPr>
            </w:pPr>
            <w:r w:rsidRPr="00F94FED">
              <w:rPr>
                <w:rFonts w:eastAsia="Times New Roman"/>
                <w:b/>
                <w:bCs/>
                <w:color w:val="FFFFFF" w:themeColor="background1"/>
                <w:sz w:val="18"/>
                <w:szCs w:val="18"/>
                <w:lang w:eastAsia="ru-RU"/>
              </w:rPr>
              <w:t>П</w:t>
            </w:r>
            <w:r w:rsidR="009A4C46" w:rsidRPr="00F94FED">
              <w:rPr>
                <w:rFonts w:eastAsia="Times New Roman"/>
                <w:b/>
                <w:bCs/>
                <w:color w:val="FFFFFF" w:themeColor="background1"/>
                <w:sz w:val="18"/>
                <w:szCs w:val="18"/>
                <w:lang w:eastAsia="ru-RU"/>
              </w:rPr>
              <w:t xml:space="preserve">лан </w:t>
            </w:r>
            <w:r w:rsidRPr="00F94FED">
              <w:rPr>
                <w:rFonts w:eastAsia="Times New Roman"/>
                <w:b/>
                <w:bCs/>
                <w:color w:val="FFFFFF" w:themeColor="background1"/>
                <w:sz w:val="18"/>
                <w:szCs w:val="18"/>
                <w:lang w:eastAsia="ru-RU"/>
              </w:rPr>
              <w:t xml:space="preserve">, </w:t>
            </w:r>
            <w:r w:rsidR="009A4C46" w:rsidRPr="00F94FED">
              <w:rPr>
                <w:rFonts w:eastAsia="Times New Roman"/>
                <w:b/>
                <w:bCs/>
                <w:color w:val="FFFFFF" w:themeColor="background1"/>
                <w:sz w:val="18"/>
                <w:szCs w:val="18"/>
                <w:lang w:eastAsia="ru-RU"/>
              </w:rPr>
              <w:t>млн. кВт</w:t>
            </w:r>
            <w:r w:rsidRPr="00F94FED">
              <w:rPr>
                <w:rFonts w:eastAsia="Times New Roman"/>
                <w:b/>
                <w:bCs/>
                <w:color w:val="FFFFFF" w:themeColor="background1"/>
                <w:sz w:val="18"/>
                <w:szCs w:val="18"/>
                <w:lang w:eastAsia="ru-RU"/>
              </w:rPr>
              <w:t>*</w:t>
            </w:r>
            <w:r w:rsidR="009A4C46" w:rsidRPr="00F94FED">
              <w:rPr>
                <w:rFonts w:eastAsia="Times New Roman"/>
                <w:b/>
                <w:bCs/>
                <w:color w:val="FFFFFF" w:themeColor="background1"/>
                <w:sz w:val="18"/>
                <w:szCs w:val="18"/>
                <w:lang w:eastAsia="ru-RU"/>
              </w:rPr>
              <w:t>ч</w:t>
            </w:r>
          </w:p>
        </w:tc>
        <w:tc>
          <w:tcPr>
            <w:tcW w:w="910"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FBCE3AA" w14:textId="0CFEC4DD" w:rsidR="009A4C46" w:rsidRPr="00F94FED" w:rsidRDefault="00D75241" w:rsidP="009A4C46">
            <w:pPr>
              <w:spacing w:after="0" w:line="240" w:lineRule="auto"/>
              <w:jc w:val="center"/>
              <w:rPr>
                <w:rFonts w:eastAsia="Times New Roman"/>
                <w:b/>
                <w:bCs/>
                <w:color w:val="FFFFFF" w:themeColor="background1"/>
                <w:sz w:val="18"/>
                <w:szCs w:val="18"/>
                <w:lang w:eastAsia="ru-RU"/>
              </w:rPr>
            </w:pPr>
            <w:r w:rsidRPr="00F94FED">
              <w:rPr>
                <w:rFonts w:eastAsia="Times New Roman"/>
                <w:b/>
                <w:bCs/>
                <w:color w:val="FFFFFF" w:themeColor="background1"/>
                <w:sz w:val="18"/>
                <w:szCs w:val="18"/>
                <w:lang w:eastAsia="ru-RU"/>
              </w:rPr>
              <w:t>Ф</w:t>
            </w:r>
            <w:r w:rsidR="009A4C46" w:rsidRPr="00F94FED">
              <w:rPr>
                <w:rFonts w:eastAsia="Times New Roman"/>
                <w:b/>
                <w:bCs/>
                <w:color w:val="FFFFFF" w:themeColor="background1"/>
                <w:sz w:val="18"/>
                <w:szCs w:val="18"/>
                <w:lang w:eastAsia="ru-RU"/>
              </w:rPr>
              <w:t>акт</w:t>
            </w:r>
            <w:r w:rsidRPr="00F94FED">
              <w:rPr>
                <w:rFonts w:eastAsia="Times New Roman"/>
                <w:b/>
                <w:bCs/>
                <w:color w:val="FFFFFF" w:themeColor="background1"/>
                <w:sz w:val="18"/>
                <w:szCs w:val="18"/>
                <w:lang w:eastAsia="ru-RU"/>
              </w:rPr>
              <w:t xml:space="preserve">, </w:t>
            </w:r>
            <w:r w:rsidR="009A4C46" w:rsidRPr="00F94FED">
              <w:rPr>
                <w:rFonts w:eastAsia="Times New Roman"/>
                <w:b/>
                <w:bCs/>
                <w:color w:val="FFFFFF" w:themeColor="background1"/>
                <w:sz w:val="18"/>
                <w:szCs w:val="18"/>
                <w:lang w:eastAsia="ru-RU"/>
              </w:rPr>
              <w:t>млн. кВт</w:t>
            </w:r>
            <w:r w:rsidRPr="00F94FED">
              <w:rPr>
                <w:rFonts w:eastAsia="Times New Roman"/>
                <w:b/>
                <w:bCs/>
                <w:color w:val="FFFFFF" w:themeColor="background1"/>
                <w:sz w:val="18"/>
                <w:szCs w:val="18"/>
                <w:lang w:eastAsia="ru-RU"/>
              </w:rPr>
              <w:t>*</w:t>
            </w:r>
            <w:r w:rsidR="009A4C46" w:rsidRPr="00F94FED">
              <w:rPr>
                <w:rFonts w:eastAsia="Times New Roman"/>
                <w:b/>
                <w:bCs/>
                <w:color w:val="FFFFFF" w:themeColor="background1"/>
                <w:sz w:val="18"/>
                <w:szCs w:val="18"/>
                <w:lang w:eastAsia="ru-RU"/>
              </w:rPr>
              <w:t>ч</w:t>
            </w:r>
          </w:p>
        </w:tc>
        <w:tc>
          <w:tcPr>
            <w:tcW w:w="30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C76C799" w14:textId="24D306E3" w:rsidR="009A4C46" w:rsidRPr="00F94FED" w:rsidRDefault="00D75241" w:rsidP="009A4C46">
            <w:pPr>
              <w:spacing w:after="0" w:line="240" w:lineRule="auto"/>
              <w:jc w:val="center"/>
              <w:rPr>
                <w:rFonts w:eastAsia="Times New Roman"/>
                <w:b/>
                <w:bCs/>
                <w:color w:val="FFFFFF" w:themeColor="background1"/>
                <w:sz w:val="18"/>
                <w:szCs w:val="18"/>
                <w:lang w:eastAsia="ru-RU"/>
              </w:rPr>
            </w:pPr>
            <w:r w:rsidRPr="00F94FED">
              <w:rPr>
                <w:rFonts w:eastAsia="Times New Roman"/>
                <w:b/>
                <w:bCs/>
                <w:color w:val="FFFFFF" w:themeColor="background1"/>
                <w:sz w:val="18"/>
                <w:szCs w:val="18"/>
                <w:lang w:eastAsia="ru-RU"/>
              </w:rPr>
              <w:t>О</w:t>
            </w:r>
            <w:r w:rsidR="009A4C46" w:rsidRPr="00F94FED">
              <w:rPr>
                <w:rFonts w:eastAsia="Times New Roman"/>
                <w:b/>
                <w:bCs/>
                <w:color w:val="FFFFFF" w:themeColor="background1"/>
                <w:sz w:val="18"/>
                <w:szCs w:val="18"/>
                <w:lang w:eastAsia="ru-RU"/>
              </w:rPr>
              <w:t>ткл. млн. кВт</w:t>
            </w:r>
            <w:r w:rsidRPr="00F94FED">
              <w:rPr>
                <w:rFonts w:eastAsia="Times New Roman"/>
                <w:b/>
                <w:bCs/>
                <w:color w:val="FFFFFF" w:themeColor="background1"/>
                <w:sz w:val="18"/>
                <w:szCs w:val="18"/>
                <w:lang w:eastAsia="ru-RU"/>
              </w:rPr>
              <w:t>*</w:t>
            </w:r>
            <w:r w:rsidR="009A4C46" w:rsidRPr="00F94FED">
              <w:rPr>
                <w:rFonts w:eastAsia="Times New Roman"/>
                <w:b/>
                <w:bCs/>
                <w:color w:val="FFFFFF" w:themeColor="background1"/>
                <w:sz w:val="18"/>
                <w:szCs w:val="18"/>
                <w:lang w:eastAsia="ru-RU"/>
              </w:rPr>
              <w:t>ч</w:t>
            </w:r>
          </w:p>
        </w:tc>
        <w:tc>
          <w:tcPr>
            <w:tcW w:w="37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3D4266E" w14:textId="77777777" w:rsidR="009A4C46" w:rsidRPr="00F94FED" w:rsidRDefault="009A4C46" w:rsidP="009A4C46">
            <w:pPr>
              <w:spacing w:after="0" w:line="240" w:lineRule="auto"/>
              <w:jc w:val="center"/>
              <w:rPr>
                <w:rFonts w:eastAsia="Times New Roman"/>
                <w:b/>
                <w:bCs/>
                <w:color w:val="FFFFFF" w:themeColor="background1"/>
                <w:sz w:val="18"/>
                <w:szCs w:val="18"/>
                <w:lang w:eastAsia="ru-RU"/>
              </w:rPr>
            </w:pPr>
            <w:r w:rsidRPr="00F94FED">
              <w:rPr>
                <w:rFonts w:eastAsia="Times New Roman"/>
                <w:b/>
                <w:bCs/>
                <w:color w:val="FFFFFF" w:themeColor="background1"/>
                <w:sz w:val="18"/>
                <w:szCs w:val="18"/>
                <w:lang w:eastAsia="ru-RU"/>
              </w:rPr>
              <w:t>1 полугодие 2018</w:t>
            </w:r>
          </w:p>
        </w:tc>
        <w:tc>
          <w:tcPr>
            <w:tcW w:w="37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CD30887" w14:textId="77777777" w:rsidR="009A4C46" w:rsidRPr="00F94FED" w:rsidRDefault="009A4C46" w:rsidP="009A4C46">
            <w:pPr>
              <w:spacing w:after="0" w:line="240" w:lineRule="auto"/>
              <w:jc w:val="center"/>
              <w:rPr>
                <w:rFonts w:eastAsia="Times New Roman"/>
                <w:b/>
                <w:bCs/>
                <w:color w:val="FFFFFF" w:themeColor="background1"/>
                <w:sz w:val="18"/>
                <w:szCs w:val="18"/>
                <w:lang w:eastAsia="ru-RU"/>
              </w:rPr>
            </w:pPr>
            <w:r w:rsidRPr="00F94FED">
              <w:rPr>
                <w:rFonts w:eastAsia="Times New Roman"/>
                <w:b/>
                <w:bCs/>
                <w:color w:val="FFFFFF" w:themeColor="background1"/>
                <w:sz w:val="18"/>
                <w:szCs w:val="18"/>
                <w:lang w:eastAsia="ru-RU"/>
              </w:rPr>
              <w:t>2 полугодие 2018</w:t>
            </w:r>
          </w:p>
        </w:tc>
        <w:tc>
          <w:tcPr>
            <w:tcW w:w="35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6FAF038" w14:textId="77777777" w:rsidR="009A4C46" w:rsidRPr="00F94FED" w:rsidRDefault="009A4C46" w:rsidP="009A4C46">
            <w:pPr>
              <w:spacing w:after="0" w:line="240" w:lineRule="auto"/>
              <w:jc w:val="center"/>
              <w:rPr>
                <w:rFonts w:eastAsia="Times New Roman"/>
                <w:b/>
                <w:bCs/>
                <w:color w:val="FFFFFF" w:themeColor="background1"/>
                <w:sz w:val="18"/>
                <w:szCs w:val="18"/>
                <w:lang w:eastAsia="ru-RU"/>
              </w:rPr>
            </w:pPr>
            <w:r w:rsidRPr="00F94FED">
              <w:rPr>
                <w:rFonts w:eastAsia="Times New Roman"/>
                <w:b/>
                <w:bCs/>
                <w:color w:val="FFFFFF" w:themeColor="background1"/>
                <w:sz w:val="18"/>
                <w:szCs w:val="18"/>
                <w:lang w:eastAsia="ru-RU"/>
              </w:rPr>
              <w:t>Год</w:t>
            </w:r>
          </w:p>
        </w:tc>
        <w:tc>
          <w:tcPr>
            <w:tcW w:w="40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3DE71A1" w14:textId="77777777" w:rsidR="009A4C46" w:rsidRPr="00F94FED" w:rsidRDefault="009A4C46" w:rsidP="009A4C46">
            <w:pPr>
              <w:spacing w:after="0" w:line="240" w:lineRule="auto"/>
              <w:jc w:val="center"/>
              <w:rPr>
                <w:rFonts w:eastAsia="Times New Roman"/>
                <w:b/>
                <w:bCs/>
                <w:color w:val="FFFFFF" w:themeColor="background1"/>
                <w:sz w:val="18"/>
                <w:szCs w:val="18"/>
                <w:lang w:eastAsia="ru-RU"/>
              </w:rPr>
            </w:pPr>
            <w:r w:rsidRPr="00F94FED">
              <w:rPr>
                <w:rFonts w:eastAsia="Times New Roman"/>
                <w:b/>
                <w:bCs/>
                <w:color w:val="FFFFFF" w:themeColor="background1"/>
                <w:sz w:val="18"/>
                <w:szCs w:val="18"/>
                <w:lang w:eastAsia="ru-RU"/>
              </w:rPr>
              <w:t>1 полугодие 2018</w:t>
            </w:r>
          </w:p>
        </w:tc>
        <w:tc>
          <w:tcPr>
            <w:tcW w:w="31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7BA0CCC" w14:textId="77777777" w:rsidR="009A4C46" w:rsidRPr="00F94FED" w:rsidRDefault="009A4C46" w:rsidP="009A4C46">
            <w:pPr>
              <w:spacing w:after="0" w:line="240" w:lineRule="auto"/>
              <w:jc w:val="center"/>
              <w:rPr>
                <w:rFonts w:eastAsia="Times New Roman"/>
                <w:b/>
                <w:bCs/>
                <w:color w:val="FFFFFF" w:themeColor="background1"/>
                <w:sz w:val="18"/>
                <w:szCs w:val="18"/>
                <w:lang w:eastAsia="ru-RU"/>
              </w:rPr>
            </w:pPr>
            <w:r w:rsidRPr="00F94FED">
              <w:rPr>
                <w:rFonts w:eastAsia="Times New Roman"/>
                <w:b/>
                <w:bCs/>
                <w:color w:val="FFFFFF" w:themeColor="background1"/>
                <w:sz w:val="18"/>
                <w:szCs w:val="18"/>
                <w:lang w:eastAsia="ru-RU"/>
              </w:rPr>
              <w:t>2 полугодие 2018</w:t>
            </w:r>
          </w:p>
        </w:tc>
        <w:tc>
          <w:tcPr>
            <w:tcW w:w="41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789C9BF" w14:textId="77777777" w:rsidR="009A4C46" w:rsidRPr="00F94FED" w:rsidRDefault="009A4C46" w:rsidP="009A4C46">
            <w:pPr>
              <w:spacing w:after="0" w:line="240" w:lineRule="auto"/>
              <w:jc w:val="center"/>
              <w:rPr>
                <w:rFonts w:eastAsia="Times New Roman"/>
                <w:b/>
                <w:bCs/>
                <w:color w:val="FFFFFF" w:themeColor="background1"/>
                <w:sz w:val="18"/>
                <w:szCs w:val="18"/>
                <w:lang w:eastAsia="ru-RU"/>
              </w:rPr>
            </w:pPr>
            <w:r w:rsidRPr="00F94FED">
              <w:rPr>
                <w:rFonts w:eastAsia="Times New Roman"/>
                <w:b/>
                <w:bCs/>
                <w:color w:val="FFFFFF" w:themeColor="background1"/>
                <w:sz w:val="18"/>
                <w:szCs w:val="18"/>
                <w:lang w:eastAsia="ru-RU"/>
              </w:rPr>
              <w:t>Год</w:t>
            </w:r>
          </w:p>
        </w:tc>
        <w:tc>
          <w:tcPr>
            <w:tcW w:w="31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C0D83D9" w14:textId="77777777" w:rsidR="009A4C46" w:rsidRPr="00F94FED" w:rsidRDefault="009A4C46" w:rsidP="009A4C46">
            <w:pPr>
              <w:spacing w:after="0" w:line="240" w:lineRule="auto"/>
              <w:jc w:val="center"/>
              <w:rPr>
                <w:rFonts w:eastAsia="Times New Roman"/>
                <w:b/>
                <w:bCs/>
                <w:color w:val="FFFFFF" w:themeColor="background1"/>
                <w:sz w:val="18"/>
                <w:szCs w:val="18"/>
                <w:lang w:eastAsia="ru-RU"/>
              </w:rPr>
            </w:pPr>
          </w:p>
        </w:tc>
      </w:tr>
      <w:tr w:rsidR="00F94FED" w:rsidRPr="00D75241" w14:paraId="29C04D01" w14:textId="77777777" w:rsidTr="00F94FED">
        <w:trPr>
          <w:trHeight w:val="300"/>
        </w:trPr>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0848036" w14:textId="77777777" w:rsidR="009A4C46" w:rsidRPr="00F94FED" w:rsidRDefault="009A4C46" w:rsidP="009A4C46">
            <w:pPr>
              <w:spacing w:after="0" w:line="240" w:lineRule="auto"/>
              <w:jc w:val="center"/>
              <w:rPr>
                <w:rFonts w:eastAsia="Times New Roman"/>
                <w:b/>
                <w:bCs/>
                <w:color w:val="FFFFFF" w:themeColor="background1"/>
                <w:sz w:val="18"/>
                <w:szCs w:val="18"/>
                <w:lang w:eastAsia="ru-RU"/>
              </w:rPr>
            </w:pPr>
            <w:r w:rsidRPr="00F94FED">
              <w:rPr>
                <w:rFonts w:eastAsia="Times New Roman"/>
                <w:b/>
                <w:bCs/>
                <w:color w:val="FFFFFF" w:themeColor="background1"/>
                <w:sz w:val="18"/>
                <w:szCs w:val="18"/>
                <w:lang w:eastAsia="ru-RU"/>
              </w:rPr>
              <w:t> </w:t>
            </w:r>
          </w:p>
        </w:tc>
        <w:tc>
          <w:tcPr>
            <w:tcW w:w="27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63781F0" w14:textId="77777777" w:rsidR="009A4C46" w:rsidRPr="00F94FED" w:rsidRDefault="009A4C46" w:rsidP="009A4C46">
            <w:pPr>
              <w:spacing w:after="0" w:line="240" w:lineRule="auto"/>
              <w:jc w:val="center"/>
              <w:rPr>
                <w:rFonts w:eastAsia="Times New Roman"/>
                <w:b/>
                <w:bCs/>
                <w:color w:val="FFFFFF" w:themeColor="background1"/>
                <w:sz w:val="18"/>
                <w:szCs w:val="18"/>
                <w:lang w:eastAsia="ru-RU"/>
              </w:rPr>
            </w:pPr>
            <w:r w:rsidRPr="00F94FED">
              <w:rPr>
                <w:rFonts w:eastAsia="Times New Roman"/>
                <w:b/>
                <w:bCs/>
                <w:color w:val="FFFFFF" w:themeColor="background1"/>
                <w:sz w:val="18"/>
                <w:szCs w:val="18"/>
                <w:lang w:eastAsia="ru-RU"/>
              </w:rPr>
              <w:t>1 пол.</w:t>
            </w:r>
          </w:p>
        </w:tc>
        <w:tc>
          <w:tcPr>
            <w:tcW w:w="24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A80CABA" w14:textId="77777777" w:rsidR="009A4C46" w:rsidRPr="00F94FED" w:rsidRDefault="009A4C46" w:rsidP="009A4C46">
            <w:pPr>
              <w:spacing w:after="0" w:line="240" w:lineRule="auto"/>
              <w:jc w:val="center"/>
              <w:rPr>
                <w:rFonts w:eastAsia="Times New Roman"/>
                <w:b/>
                <w:bCs/>
                <w:color w:val="FFFFFF" w:themeColor="background1"/>
                <w:sz w:val="18"/>
                <w:szCs w:val="18"/>
                <w:lang w:eastAsia="ru-RU"/>
              </w:rPr>
            </w:pPr>
            <w:r w:rsidRPr="00F94FED">
              <w:rPr>
                <w:rFonts w:eastAsia="Times New Roman"/>
                <w:b/>
                <w:bCs/>
                <w:color w:val="FFFFFF" w:themeColor="background1"/>
                <w:sz w:val="18"/>
                <w:szCs w:val="18"/>
                <w:lang w:eastAsia="ru-RU"/>
              </w:rPr>
              <w:t>2 пол.</w:t>
            </w:r>
          </w:p>
        </w:tc>
        <w:tc>
          <w:tcPr>
            <w:tcW w:w="25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9EE02AF" w14:textId="77777777" w:rsidR="009A4C46" w:rsidRPr="00F94FED" w:rsidRDefault="009A4C46" w:rsidP="009A4C46">
            <w:pPr>
              <w:spacing w:after="0" w:line="240" w:lineRule="auto"/>
              <w:jc w:val="center"/>
              <w:rPr>
                <w:rFonts w:eastAsia="Times New Roman"/>
                <w:b/>
                <w:bCs/>
                <w:color w:val="FFFFFF" w:themeColor="background1"/>
                <w:sz w:val="18"/>
                <w:szCs w:val="18"/>
                <w:lang w:eastAsia="ru-RU"/>
              </w:rPr>
            </w:pPr>
            <w:r w:rsidRPr="00F94FED">
              <w:rPr>
                <w:rFonts w:eastAsia="Times New Roman"/>
                <w:b/>
                <w:bCs/>
                <w:color w:val="FFFFFF" w:themeColor="background1"/>
                <w:sz w:val="18"/>
                <w:szCs w:val="18"/>
                <w:lang w:eastAsia="ru-RU"/>
              </w:rPr>
              <w:t>год</w:t>
            </w:r>
          </w:p>
        </w:tc>
        <w:tc>
          <w:tcPr>
            <w:tcW w:w="31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AE9C77F" w14:textId="77777777" w:rsidR="009A4C46" w:rsidRPr="00F94FED" w:rsidRDefault="009A4C46" w:rsidP="009A4C46">
            <w:pPr>
              <w:spacing w:after="0" w:line="240" w:lineRule="auto"/>
              <w:jc w:val="center"/>
              <w:rPr>
                <w:rFonts w:eastAsia="Times New Roman"/>
                <w:b/>
                <w:bCs/>
                <w:color w:val="FFFFFF" w:themeColor="background1"/>
                <w:sz w:val="18"/>
                <w:szCs w:val="18"/>
                <w:lang w:eastAsia="ru-RU"/>
              </w:rPr>
            </w:pPr>
            <w:r w:rsidRPr="00F94FED">
              <w:rPr>
                <w:rFonts w:eastAsia="Times New Roman"/>
                <w:b/>
                <w:bCs/>
                <w:color w:val="FFFFFF" w:themeColor="background1"/>
                <w:sz w:val="18"/>
                <w:szCs w:val="18"/>
                <w:lang w:eastAsia="ru-RU"/>
              </w:rPr>
              <w:t>1 пол.</w:t>
            </w:r>
          </w:p>
        </w:tc>
        <w:tc>
          <w:tcPr>
            <w:tcW w:w="27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5971765" w14:textId="77777777" w:rsidR="009A4C46" w:rsidRPr="00F94FED" w:rsidRDefault="009A4C46" w:rsidP="009A4C46">
            <w:pPr>
              <w:spacing w:after="0" w:line="240" w:lineRule="auto"/>
              <w:jc w:val="center"/>
              <w:rPr>
                <w:rFonts w:eastAsia="Times New Roman"/>
                <w:b/>
                <w:bCs/>
                <w:color w:val="FFFFFF" w:themeColor="background1"/>
                <w:sz w:val="18"/>
                <w:szCs w:val="18"/>
                <w:lang w:eastAsia="ru-RU"/>
              </w:rPr>
            </w:pPr>
            <w:r w:rsidRPr="00F94FED">
              <w:rPr>
                <w:rFonts w:eastAsia="Times New Roman"/>
                <w:b/>
                <w:bCs/>
                <w:color w:val="FFFFFF" w:themeColor="background1"/>
                <w:sz w:val="18"/>
                <w:szCs w:val="18"/>
                <w:lang w:eastAsia="ru-RU"/>
              </w:rPr>
              <w:t>2 пол.</w:t>
            </w:r>
          </w:p>
        </w:tc>
        <w:tc>
          <w:tcPr>
            <w:tcW w:w="31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06969BC" w14:textId="77777777" w:rsidR="009A4C46" w:rsidRPr="00F94FED" w:rsidRDefault="009A4C46" w:rsidP="009A4C46">
            <w:pPr>
              <w:spacing w:after="0" w:line="240" w:lineRule="auto"/>
              <w:jc w:val="center"/>
              <w:rPr>
                <w:rFonts w:eastAsia="Times New Roman"/>
                <w:b/>
                <w:bCs/>
                <w:color w:val="FFFFFF" w:themeColor="background1"/>
                <w:sz w:val="18"/>
                <w:szCs w:val="18"/>
                <w:lang w:eastAsia="ru-RU"/>
              </w:rPr>
            </w:pPr>
            <w:r w:rsidRPr="00F94FED">
              <w:rPr>
                <w:rFonts w:eastAsia="Times New Roman"/>
                <w:b/>
                <w:bCs/>
                <w:color w:val="FFFFFF" w:themeColor="background1"/>
                <w:sz w:val="18"/>
                <w:szCs w:val="18"/>
                <w:lang w:eastAsia="ru-RU"/>
              </w:rPr>
              <w:t>год</w:t>
            </w:r>
          </w:p>
        </w:tc>
        <w:tc>
          <w:tcPr>
            <w:tcW w:w="30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70A4EA8" w14:textId="77777777" w:rsidR="009A4C46" w:rsidRPr="00F94FED" w:rsidRDefault="009A4C46" w:rsidP="009A4C46">
            <w:pPr>
              <w:spacing w:after="0" w:line="240" w:lineRule="auto"/>
              <w:jc w:val="center"/>
              <w:rPr>
                <w:rFonts w:eastAsia="Times New Roman"/>
                <w:b/>
                <w:bCs/>
                <w:color w:val="FFFFFF" w:themeColor="background1"/>
                <w:sz w:val="18"/>
                <w:szCs w:val="18"/>
                <w:lang w:eastAsia="ru-RU"/>
              </w:rPr>
            </w:pPr>
            <w:r w:rsidRPr="00F94FED">
              <w:rPr>
                <w:rFonts w:eastAsia="Times New Roman"/>
                <w:b/>
                <w:bCs/>
                <w:color w:val="FFFFFF" w:themeColor="background1"/>
                <w:sz w:val="18"/>
                <w:szCs w:val="18"/>
                <w:lang w:eastAsia="ru-RU"/>
              </w:rPr>
              <w:t>год</w:t>
            </w:r>
          </w:p>
        </w:tc>
        <w:tc>
          <w:tcPr>
            <w:tcW w:w="37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178322A" w14:textId="77777777" w:rsidR="009A4C46" w:rsidRPr="00F94FED" w:rsidRDefault="009A4C46" w:rsidP="009A4C46">
            <w:pPr>
              <w:spacing w:after="0" w:line="240" w:lineRule="auto"/>
              <w:jc w:val="center"/>
              <w:rPr>
                <w:rFonts w:eastAsia="Times New Roman"/>
                <w:b/>
                <w:bCs/>
                <w:color w:val="FFFFFF" w:themeColor="background1"/>
                <w:sz w:val="18"/>
                <w:szCs w:val="18"/>
                <w:lang w:eastAsia="ru-RU"/>
              </w:rPr>
            </w:pPr>
          </w:p>
        </w:tc>
        <w:tc>
          <w:tcPr>
            <w:tcW w:w="37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B293265" w14:textId="77777777" w:rsidR="009A4C46" w:rsidRPr="00F94FED" w:rsidRDefault="009A4C46" w:rsidP="009A4C46">
            <w:pPr>
              <w:spacing w:after="0" w:line="240" w:lineRule="auto"/>
              <w:jc w:val="center"/>
              <w:rPr>
                <w:rFonts w:eastAsia="Times New Roman"/>
                <w:b/>
                <w:bCs/>
                <w:color w:val="FFFFFF" w:themeColor="background1"/>
                <w:sz w:val="18"/>
                <w:szCs w:val="18"/>
                <w:lang w:eastAsia="ru-RU"/>
              </w:rPr>
            </w:pPr>
          </w:p>
        </w:tc>
        <w:tc>
          <w:tcPr>
            <w:tcW w:w="35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67F5549" w14:textId="77777777" w:rsidR="009A4C46" w:rsidRPr="00F94FED" w:rsidRDefault="009A4C46" w:rsidP="009A4C46">
            <w:pPr>
              <w:spacing w:after="0" w:line="240" w:lineRule="auto"/>
              <w:jc w:val="center"/>
              <w:rPr>
                <w:rFonts w:eastAsia="Times New Roman"/>
                <w:b/>
                <w:bCs/>
                <w:color w:val="FFFFFF" w:themeColor="background1"/>
                <w:sz w:val="18"/>
                <w:szCs w:val="18"/>
                <w:lang w:eastAsia="ru-RU"/>
              </w:rPr>
            </w:pPr>
          </w:p>
        </w:tc>
        <w:tc>
          <w:tcPr>
            <w:tcW w:w="40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DF7BBFF" w14:textId="77777777" w:rsidR="009A4C46" w:rsidRPr="00F94FED" w:rsidRDefault="009A4C46" w:rsidP="009A4C46">
            <w:pPr>
              <w:spacing w:after="0" w:line="240" w:lineRule="auto"/>
              <w:jc w:val="center"/>
              <w:rPr>
                <w:rFonts w:eastAsia="Times New Roman"/>
                <w:b/>
                <w:bCs/>
                <w:color w:val="FFFFFF" w:themeColor="background1"/>
                <w:sz w:val="18"/>
                <w:szCs w:val="18"/>
                <w:lang w:eastAsia="ru-RU"/>
              </w:rPr>
            </w:pPr>
          </w:p>
        </w:tc>
        <w:tc>
          <w:tcPr>
            <w:tcW w:w="31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3F3DD75" w14:textId="77777777" w:rsidR="009A4C46" w:rsidRPr="00F94FED" w:rsidRDefault="009A4C46" w:rsidP="009A4C46">
            <w:pPr>
              <w:spacing w:after="0" w:line="240" w:lineRule="auto"/>
              <w:jc w:val="center"/>
              <w:rPr>
                <w:rFonts w:eastAsia="Times New Roman"/>
                <w:b/>
                <w:bCs/>
                <w:color w:val="FFFFFF" w:themeColor="background1"/>
                <w:sz w:val="18"/>
                <w:szCs w:val="18"/>
                <w:lang w:eastAsia="ru-RU"/>
              </w:rPr>
            </w:pPr>
          </w:p>
        </w:tc>
        <w:tc>
          <w:tcPr>
            <w:tcW w:w="41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D83B7B4" w14:textId="77777777" w:rsidR="009A4C46" w:rsidRPr="00F94FED" w:rsidRDefault="009A4C46" w:rsidP="009A4C46">
            <w:pPr>
              <w:spacing w:after="0" w:line="240" w:lineRule="auto"/>
              <w:jc w:val="center"/>
              <w:rPr>
                <w:rFonts w:eastAsia="Times New Roman"/>
                <w:b/>
                <w:bCs/>
                <w:color w:val="FFFFFF" w:themeColor="background1"/>
                <w:sz w:val="18"/>
                <w:szCs w:val="18"/>
                <w:lang w:eastAsia="ru-RU"/>
              </w:rPr>
            </w:pPr>
          </w:p>
        </w:tc>
        <w:tc>
          <w:tcPr>
            <w:tcW w:w="31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12B6B4D" w14:textId="77777777" w:rsidR="009A4C46" w:rsidRPr="00F94FED" w:rsidRDefault="009A4C46" w:rsidP="009A4C46">
            <w:pPr>
              <w:spacing w:after="0" w:line="240" w:lineRule="auto"/>
              <w:jc w:val="center"/>
              <w:rPr>
                <w:rFonts w:eastAsia="Times New Roman"/>
                <w:b/>
                <w:bCs/>
                <w:color w:val="FFFFFF" w:themeColor="background1"/>
                <w:sz w:val="18"/>
                <w:szCs w:val="18"/>
                <w:lang w:eastAsia="ru-RU"/>
              </w:rPr>
            </w:pPr>
          </w:p>
        </w:tc>
      </w:tr>
      <w:tr w:rsidR="00F94FED" w:rsidRPr="00D75241" w14:paraId="378711AE" w14:textId="77777777" w:rsidTr="00F94FED">
        <w:trPr>
          <w:trHeight w:val="300"/>
        </w:trPr>
        <w:tc>
          <w:tcPr>
            <w:tcW w:w="459"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5156E5B8" w14:textId="77777777" w:rsidR="009A4C46" w:rsidRPr="00F94FED" w:rsidRDefault="009A4C46" w:rsidP="009A4C46">
            <w:pPr>
              <w:spacing w:after="0" w:line="240" w:lineRule="auto"/>
              <w:rPr>
                <w:rFonts w:eastAsia="Times New Roman"/>
                <w:b/>
                <w:bCs/>
                <w:sz w:val="18"/>
                <w:szCs w:val="18"/>
                <w:lang w:eastAsia="ru-RU"/>
              </w:rPr>
            </w:pPr>
            <w:r w:rsidRPr="00F94FED">
              <w:rPr>
                <w:rFonts w:eastAsia="Times New Roman"/>
                <w:b/>
                <w:bCs/>
                <w:sz w:val="18"/>
                <w:szCs w:val="18"/>
                <w:lang w:eastAsia="ru-RU"/>
              </w:rPr>
              <w:t>Всего</w:t>
            </w:r>
          </w:p>
        </w:tc>
        <w:tc>
          <w:tcPr>
            <w:tcW w:w="270" w:type="pct"/>
            <w:tcBorders>
              <w:top w:val="single" w:sz="4" w:space="0" w:color="FFFFFF" w:themeColor="background1"/>
              <w:left w:val="single" w:sz="4" w:space="0" w:color="auto"/>
              <w:bottom w:val="single" w:sz="4" w:space="0" w:color="auto"/>
              <w:right w:val="single" w:sz="4" w:space="0" w:color="auto"/>
            </w:tcBorders>
            <w:shd w:val="clear" w:color="000000" w:fill="FFFFFF"/>
            <w:noWrap/>
            <w:vAlign w:val="center"/>
            <w:hideMark/>
          </w:tcPr>
          <w:p w14:paraId="0DB7B331" w14:textId="77777777" w:rsidR="009A4C46" w:rsidRPr="00F94FED" w:rsidRDefault="009A4C46" w:rsidP="009A4C46">
            <w:pPr>
              <w:spacing w:after="0" w:line="240" w:lineRule="auto"/>
              <w:jc w:val="center"/>
              <w:rPr>
                <w:rFonts w:eastAsia="Times New Roman"/>
                <w:b/>
                <w:bCs/>
                <w:sz w:val="18"/>
                <w:szCs w:val="18"/>
                <w:lang w:eastAsia="ru-RU"/>
              </w:rPr>
            </w:pPr>
            <w:r w:rsidRPr="00F94FED">
              <w:rPr>
                <w:rFonts w:eastAsia="Times New Roman"/>
                <w:b/>
                <w:bCs/>
                <w:color w:val="000000"/>
                <w:sz w:val="18"/>
                <w:szCs w:val="18"/>
                <w:lang w:eastAsia="ru-RU"/>
              </w:rPr>
              <w:t>200,83</w:t>
            </w:r>
          </w:p>
        </w:tc>
        <w:tc>
          <w:tcPr>
            <w:tcW w:w="246" w:type="pct"/>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5B620F21" w14:textId="77777777" w:rsidR="009A4C46" w:rsidRPr="00F94FED" w:rsidRDefault="009A4C46" w:rsidP="009A4C46">
            <w:pPr>
              <w:spacing w:after="0" w:line="240" w:lineRule="auto"/>
              <w:jc w:val="center"/>
              <w:rPr>
                <w:rFonts w:eastAsia="Times New Roman"/>
                <w:b/>
                <w:bCs/>
                <w:sz w:val="18"/>
                <w:szCs w:val="18"/>
                <w:lang w:eastAsia="ru-RU"/>
              </w:rPr>
            </w:pPr>
            <w:r w:rsidRPr="00F94FED">
              <w:rPr>
                <w:rFonts w:eastAsia="Times New Roman"/>
                <w:b/>
                <w:bCs/>
                <w:color w:val="000000"/>
                <w:sz w:val="18"/>
                <w:szCs w:val="18"/>
                <w:lang w:eastAsia="ru-RU"/>
              </w:rPr>
              <w:t>249,43</w:t>
            </w:r>
          </w:p>
        </w:tc>
        <w:tc>
          <w:tcPr>
            <w:tcW w:w="255" w:type="pct"/>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5BEB44E5" w14:textId="77777777" w:rsidR="009A4C46" w:rsidRPr="00F94FED" w:rsidRDefault="009A4C46" w:rsidP="009A4C46">
            <w:pPr>
              <w:spacing w:after="0" w:line="240" w:lineRule="auto"/>
              <w:jc w:val="center"/>
              <w:rPr>
                <w:rFonts w:eastAsia="Times New Roman"/>
                <w:b/>
                <w:bCs/>
                <w:sz w:val="18"/>
                <w:szCs w:val="18"/>
                <w:lang w:eastAsia="ru-RU"/>
              </w:rPr>
            </w:pPr>
            <w:r w:rsidRPr="00F94FED">
              <w:rPr>
                <w:rFonts w:eastAsia="Times New Roman"/>
                <w:b/>
                <w:bCs/>
                <w:color w:val="000000"/>
                <w:sz w:val="18"/>
                <w:szCs w:val="18"/>
                <w:lang w:eastAsia="ru-RU"/>
              </w:rPr>
              <w:t>450,26</w:t>
            </w:r>
          </w:p>
        </w:tc>
        <w:tc>
          <w:tcPr>
            <w:tcW w:w="319" w:type="pct"/>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6BBEF236" w14:textId="77777777" w:rsidR="009A4C46" w:rsidRPr="00F94FED" w:rsidRDefault="009A4C46" w:rsidP="009A4C46">
            <w:pPr>
              <w:spacing w:after="0" w:line="240" w:lineRule="auto"/>
              <w:jc w:val="center"/>
              <w:rPr>
                <w:rFonts w:eastAsia="Times New Roman"/>
                <w:b/>
                <w:bCs/>
                <w:sz w:val="18"/>
                <w:szCs w:val="18"/>
                <w:lang w:eastAsia="ru-RU"/>
              </w:rPr>
            </w:pPr>
            <w:r w:rsidRPr="00F94FED">
              <w:rPr>
                <w:rFonts w:eastAsia="Times New Roman"/>
                <w:b/>
                <w:bCs/>
                <w:color w:val="000000"/>
                <w:sz w:val="18"/>
                <w:szCs w:val="18"/>
                <w:lang w:eastAsia="ru-RU"/>
              </w:rPr>
              <w:t>243,52</w:t>
            </w:r>
          </w:p>
        </w:tc>
        <w:tc>
          <w:tcPr>
            <w:tcW w:w="273" w:type="pct"/>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175EE679" w14:textId="77777777" w:rsidR="009A4C46" w:rsidRPr="00F94FED" w:rsidRDefault="009A4C46" w:rsidP="009A4C46">
            <w:pPr>
              <w:spacing w:after="0" w:line="240" w:lineRule="auto"/>
              <w:jc w:val="center"/>
              <w:rPr>
                <w:rFonts w:eastAsia="Times New Roman"/>
                <w:b/>
                <w:bCs/>
                <w:sz w:val="18"/>
                <w:szCs w:val="18"/>
                <w:lang w:eastAsia="ru-RU"/>
              </w:rPr>
            </w:pPr>
            <w:r w:rsidRPr="00F94FED">
              <w:rPr>
                <w:rFonts w:eastAsia="Times New Roman"/>
                <w:b/>
                <w:bCs/>
                <w:color w:val="000000"/>
                <w:sz w:val="18"/>
                <w:szCs w:val="18"/>
                <w:lang w:eastAsia="ru-RU"/>
              </w:rPr>
              <w:t>227,65</w:t>
            </w:r>
          </w:p>
        </w:tc>
        <w:tc>
          <w:tcPr>
            <w:tcW w:w="318" w:type="pct"/>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2EBC7651" w14:textId="77777777" w:rsidR="009A4C46" w:rsidRPr="00F94FED" w:rsidRDefault="009A4C46" w:rsidP="009A4C46">
            <w:pPr>
              <w:spacing w:after="0" w:line="240" w:lineRule="auto"/>
              <w:jc w:val="center"/>
              <w:rPr>
                <w:rFonts w:eastAsia="Times New Roman"/>
                <w:b/>
                <w:bCs/>
                <w:sz w:val="18"/>
                <w:szCs w:val="18"/>
                <w:lang w:eastAsia="ru-RU"/>
              </w:rPr>
            </w:pPr>
            <w:r w:rsidRPr="00F94FED">
              <w:rPr>
                <w:rFonts w:eastAsia="Times New Roman"/>
                <w:b/>
                <w:bCs/>
                <w:color w:val="000000"/>
                <w:sz w:val="18"/>
                <w:szCs w:val="18"/>
                <w:lang w:eastAsia="ru-RU"/>
              </w:rPr>
              <w:t>471,17</w:t>
            </w:r>
          </w:p>
        </w:tc>
        <w:tc>
          <w:tcPr>
            <w:tcW w:w="301" w:type="pct"/>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0F13CA69" w14:textId="77777777" w:rsidR="009A4C46" w:rsidRPr="00F94FED" w:rsidRDefault="009A4C46" w:rsidP="009A4C46">
            <w:pPr>
              <w:spacing w:after="0" w:line="240" w:lineRule="auto"/>
              <w:jc w:val="center"/>
              <w:rPr>
                <w:rFonts w:eastAsia="Times New Roman"/>
                <w:b/>
                <w:bCs/>
                <w:sz w:val="18"/>
                <w:szCs w:val="18"/>
                <w:lang w:eastAsia="ru-RU"/>
              </w:rPr>
            </w:pPr>
            <w:r w:rsidRPr="00F94FED">
              <w:rPr>
                <w:rFonts w:eastAsia="Times New Roman"/>
                <w:b/>
                <w:bCs/>
                <w:color w:val="000000"/>
                <w:sz w:val="18"/>
                <w:szCs w:val="18"/>
                <w:lang w:eastAsia="ru-RU"/>
              </w:rPr>
              <w:t>20,91</w:t>
            </w:r>
          </w:p>
        </w:tc>
        <w:tc>
          <w:tcPr>
            <w:tcW w:w="373"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0548CE7A" w14:textId="77777777" w:rsidR="009A4C46" w:rsidRPr="00F94FED" w:rsidRDefault="009A4C46" w:rsidP="009A4C46">
            <w:pPr>
              <w:spacing w:after="0" w:line="240" w:lineRule="auto"/>
              <w:jc w:val="center"/>
              <w:rPr>
                <w:rFonts w:eastAsia="Times New Roman"/>
                <w:b/>
                <w:bCs/>
                <w:sz w:val="18"/>
                <w:szCs w:val="18"/>
                <w:lang w:eastAsia="ru-RU"/>
              </w:rPr>
            </w:pPr>
            <w:r w:rsidRPr="00F94FED">
              <w:rPr>
                <w:rFonts w:eastAsia="Times New Roman"/>
                <w:b/>
                <w:bCs/>
                <w:color w:val="000000"/>
                <w:sz w:val="18"/>
                <w:szCs w:val="18"/>
                <w:lang w:eastAsia="ru-RU"/>
              </w:rPr>
              <w:t>576 591</w:t>
            </w:r>
          </w:p>
        </w:tc>
        <w:tc>
          <w:tcPr>
            <w:tcW w:w="373"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5525D7DD" w14:textId="77777777" w:rsidR="009A4C46" w:rsidRPr="00F94FED" w:rsidRDefault="009A4C46" w:rsidP="009A4C46">
            <w:pPr>
              <w:spacing w:after="0" w:line="240" w:lineRule="auto"/>
              <w:jc w:val="center"/>
              <w:rPr>
                <w:rFonts w:eastAsia="Times New Roman"/>
                <w:b/>
                <w:bCs/>
                <w:sz w:val="18"/>
                <w:szCs w:val="18"/>
                <w:lang w:eastAsia="ru-RU"/>
              </w:rPr>
            </w:pPr>
            <w:r w:rsidRPr="00F94FED">
              <w:rPr>
                <w:rFonts w:eastAsia="Times New Roman"/>
                <w:b/>
                <w:bCs/>
                <w:color w:val="000000"/>
                <w:sz w:val="18"/>
                <w:szCs w:val="18"/>
                <w:lang w:eastAsia="ru-RU"/>
              </w:rPr>
              <w:t>798 388</w:t>
            </w:r>
          </w:p>
        </w:tc>
        <w:tc>
          <w:tcPr>
            <w:tcW w:w="357"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27D7264F" w14:textId="77777777" w:rsidR="009A4C46" w:rsidRPr="00F94FED" w:rsidRDefault="009A4C46" w:rsidP="009A4C46">
            <w:pPr>
              <w:spacing w:after="0" w:line="240" w:lineRule="auto"/>
              <w:jc w:val="center"/>
              <w:rPr>
                <w:rFonts w:eastAsia="Times New Roman"/>
                <w:b/>
                <w:bCs/>
                <w:sz w:val="18"/>
                <w:szCs w:val="18"/>
                <w:lang w:eastAsia="ru-RU"/>
              </w:rPr>
            </w:pPr>
            <w:r w:rsidRPr="00F94FED">
              <w:rPr>
                <w:rFonts w:eastAsia="Times New Roman"/>
                <w:b/>
                <w:bCs/>
                <w:color w:val="000000"/>
                <w:sz w:val="18"/>
                <w:szCs w:val="18"/>
                <w:lang w:eastAsia="ru-RU"/>
              </w:rPr>
              <w:t>1 374 979</w:t>
            </w:r>
          </w:p>
        </w:tc>
        <w:tc>
          <w:tcPr>
            <w:tcW w:w="407"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03E56332" w14:textId="77777777" w:rsidR="009A4C46" w:rsidRPr="00F94FED" w:rsidRDefault="009A4C46" w:rsidP="009A4C46">
            <w:pPr>
              <w:spacing w:after="0" w:line="240" w:lineRule="auto"/>
              <w:jc w:val="center"/>
              <w:rPr>
                <w:rFonts w:eastAsia="Times New Roman"/>
                <w:b/>
                <w:bCs/>
                <w:sz w:val="18"/>
                <w:szCs w:val="18"/>
                <w:lang w:eastAsia="ru-RU"/>
              </w:rPr>
            </w:pPr>
            <w:r w:rsidRPr="00F94FED">
              <w:rPr>
                <w:rFonts w:eastAsia="Times New Roman"/>
                <w:b/>
                <w:bCs/>
                <w:color w:val="000000"/>
                <w:sz w:val="18"/>
                <w:szCs w:val="18"/>
                <w:lang w:eastAsia="ru-RU"/>
              </w:rPr>
              <w:t>658 842</w:t>
            </w:r>
          </w:p>
        </w:tc>
        <w:tc>
          <w:tcPr>
            <w:tcW w:w="319"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121B1503" w14:textId="77777777" w:rsidR="009A4C46" w:rsidRPr="00F94FED" w:rsidRDefault="009A4C46" w:rsidP="009A4C46">
            <w:pPr>
              <w:spacing w:after="0" w:line="240" w:lineRule="auto"/>
              <w:jc w:val="center"/>
              <w:rPr>
                <w:rFonts w:eastAsia="Times New Roman"/>
                <w:b/>
                <w:bCs/>
                <w:sz w:val="18"/>
                <w:szCs w:val="18"/>
                <w:lang w:eastAsia="ru-RU"/>
              </w:rPr>
            </w:pPr>
            <w:r w:rsidRPr="00F94FED">
              <w:rPr>
                <w:rFonts w:eastAsia="Times New Roman"/>
                <w:b/>
                <w:bCs/>
                <w:color w:val="000000"/>
                <w:sz w:val="18"/>
                <w:szCs w:val="18"/>
                <w:lang w:eastAsia="ru-RU"/>
              </w:rPr>
              <w:t>664 372</w:t>
            </w:r>
          </w:p>
        </w:tc>
        <w:tc>
          <w:tcPr>
            <w:tcW w:w="413"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3401CF22" w14:textId="77777777" w:rsidR="009A4C46" w:rsidRPr="00F94FED" w:rsidRDefault="009A4C46" w:rsidP="009A4C46">
            <w:pPr>
              <w:spacing w:after="0" w:line="240" w:lineRule="auto"/>
              <w:jc w:val="center"/>
              <w:rPr>
                <w:rFonts w:eastAsia="Times New Roman"/>
                <w:b/>
                <w:bCs/>
                <w:sz w:val="18"/>
                <w:szCs w:val="18"/>
                <w:lang w:eastAsia="ru-RU"/>
              </w:rPr>
            </w:pPr>
            <w:r w:rsidRPr="00F94FED">
              <w:rPr>
                <w:rFonts w:eastAsia="Times New Roman"/>
                <w:b/>
                <w:bCs/>
                <w:color w:val="000000"/>
                <w:sz w:val="18"/>
                <w:szCs w:val="18"/>
                <w:lang w:eastAsia="ru-RU"/>
              </w:rPr>
              <w:t>1 323 214</w:t>
            </w:r>
          </w:p>
        </w:tc>
        <w:tc>
          <w:tcPr>
            <w:tcW w:w="317"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44742A49" w14:textId="77777777" w:rsidR="009A4C46" w:rsidRPr="00F94FED" w:rsidRDefault="009A4C46" w:rsidP="009A4C46">
            <w:pPr>
              <w:spacing w:after="0" w:line="240" w:lineRule="auto"/>
              <w:jc w:val="center"/>
              <w:rPr>
                <w:rFonts w:eastAsia="Times New Roman"/>
                <w:b/>
                <w:bCs/>
                <w:sz w:val="18"/>
                <w:szCs w:val="18"/>
                <w:lang w:eastAsia="ru-RU"/>
              </w:rPr>
            </w:pPr>
            <w:r w:rsidRPr="00F94FED">
              <w:rPr>
                <w:rFonts w:eastAsia="Times New Roman"/>
                <w:b/>
                <w:bCs/>
                <w:color w:val="000000"/>
                <w:sz w:val="18"/>
                <w:szCs w:val="18"/>
                <w:lang w:eastAsia="ru-RU"/>
              </w:rPr>
              <w:t>-51 765</w:t>
            </w:r>
          </w:p>
        </w:tc>
      </w:tr>
      <w:tr w:rsidR="00F94FED" w:rsidRPr="00D75241" w14:paraId="4BB21909" w14:textId="77777777" w:rsidTr="00F94FED">
        <w:trPr>
          <w:trHeight w:val="300"/>
        </w:trPr>
        <w:tc>
          <w:tcPr>
            <w:tcW w:w="459" w:type="pct"/>
            <w:tcBorders>
              <w:top w:val="nil"/>
              <w:left w:val="single" w:sz="4" w:space="0" w:color="auto"/>
              <w:bottom w:val="single" w:sz="4" w:space="0" w:color="auto"/>
              <w:right w:val="single" w:sz="4" w:space="0" w:color="auto"/>
            </w:tcBorders>
            <w:shd w:val="clear" w:color="auto" w:fill="auto"/>
            <w:noWrap/>
            <w:vAlign w:val="center"/>
            <w:hideMark/>
          </w:tcPr>
          <w:p w14:paraId="53BE0DE9" w14:textId="77777777" w:rsidR="009A4C46" w:rsidRPr="00F94FED" w:rsidRDefault="009A4C46" w:rsidP="009A4C46">
            <w:pPr>
              <w:spacing w:after="0" w:line="240" w:lineRule="auto"/>
              <w:rPr>
                <w:rFonts w:eastAsia="Times New Roman"/>
                <w:b/>
                <w:bCs/>
                <w:sz w:val="18"/>
                <w:szCs w:val="18"/>
                <w:lang w:eastAsia="ru-RU"/>
              </w:rPr>
            </w:pPr>
            <w:r w:rsidRPr="00F94FED">
              <w:rPr>
                <w:rFonts w:eastAsia="Times New Roman"/>
                <w:b/>
                <w:bCs/>
                <w:sz w:val="18"/>
                <w:szCs w:val="18"/>
                <w:lang w:eastAsia="ru-RU"/>
              </w:rPr>
              <w:t>Прочие потребители- всего, в  т.ч.</w:t>
            </w:r>
          </w:p>
        </w:tc>
        <w:tc>
          <w:tcPr>
            <w:tcW w:w="270" w:type="pct"/>
            <w:tcBorders>
              <w:top w:val="nil"/>
              <w:left w:val="single" w:sz="4" w:space="0" w:color="auto"/>
              <w:bottom w:val="single" w:sz="4" w:space="0" w:color="auto"/>
              <w:right w:val="single" w:sz="4" w:space="0" w:color="auto"/>
            </w:tcBorders>
            <w:shd w:val="clear" w:color="000000" w:fill="FFFFFF"/>
            <w:noWrap/>
            <w:vAlign w:val="center"/>
            <w:hideMark/>
          </w:tcPr>
          <w:p w14:paraId="3D288B59" w14:textId="77777777" w:rsidR="009A4C46" w:rsidRPr="00F94FED" w:rsidRDefault="009A4C46" w:rsidP="009A4C46">
            <w:pPr>
              <w:spacing w:after="0" w:line="240" w:lineRule="auto"/>
              <w:jc w:val="center"/>
              <w:rPr>
                <w:rFonts w:eastAsia="Times New Roman"/>
                <w:b/>
                <w:bCs/>
                <w:sz w:val="18"/>
                <w:szCs w:val="18"/>
                <w:lang w:eastAsia="ru-RU"/>
              </w:rPr>
            </w:pPr>
            <w:r w:rsidRPr="00F94FED">
              <w:rPr>
                <w:rFonts w:eastAsia="Times New Roman"/>
                <w:b/>
                <w:bCs/>
                <w:color w:val="000000"/>
                <w:sz w:val="18"/>
                <w:szCs w:val="18"/>
                <w:lang w:eastAsia="ru-RU"/>
              </w:rPr>
              <w:t>93,43</w:t>
            </w:r>
          </w:p>
        </w:tc>
        <w:tc>
          <w:tcPr>
            <w:tcW w:w="246" w:type="pct"/>
            <w:tcBorders>
              <w:top w:val="nil"/>
              <w:left w:val="nil"/>
              <w:bottom w:val="single" w:sz="4" w:space="0" w:color="auto"/>
              <w:right w:val="single" w:sz="4" w:space="0" w:color="auto"/>
            </w:tcBorders>
            <w:shd w:val="clear" w:color="000000" w:fill="FFFFFF"/>
            <w:noWrap/>
            <w:vAlign w:val="center"/>
            <w:hideMark/>
          </w:tcPr>
          <w:p w14:paraId="577697CB" w14:textId="77777777" w:rsidR="009A4C46" w:rsidRPr="00F94FED" w:rsidRDefault="009A4C46" w:rsidP="009A4C46">
            <w:pPr>
              <w:spacing w:after="0" w:line="240" w:lineRule="auto"/>
              <w:jc w:val="center"/>
              <w:rPr>
                <w:rFonts w:eastAsia="Times New Roman"/>
                <w:b/>
                <w:bCs/>
                <w:sz w:val="18"/>
                <w:szCs w:val="18"/>
                <w:lang w:eastAsia="ru-RU"/>
              </w:rPr>
            </w:pPr>
            <w:r w:rsidRPr="00F94FED">
              <w:rPr>
                <w:rFonts w:eastAsia="Times New Roman"/>
                <w:b/>
                <w:bCs/>
                <w:color w:val="000000"/>
                <w:sz w:val="18"/>
                <w:szCs w:val="18"/>
                <w:lang w:eastAsia="ru-RU"/>
              </w:rPr>
              <w:t>141,63</w:t>
            </w:r>
          </w:p>
        </w:tc>
        <w:tc>
          <w:tcPr>
            <w:tcW w:w="255" w:type="pct"/>
            <w:tcBorders>
              <w:top w:val="nil"/>
              <w:left w:val="nil"/>
              <w:bottom w:val="single" w:sz="4" w:space="0" w:color="auto"/>
              <w:right w:val="single" w:sz="4" w:space="0" w:color="auto"/>
            </w:tcBorders>
            <w:shd w:val="clear" w:color="000000" w:fill="FFFFFF"/>
            <w:noWrap/>
            <w:vAlign w:val="center"/>
            <w:hideMark/>
          </w:tcPr>
          <w:p w14:paraId="7BAA2501" w14:textId="77777777" w:rsidR="009A4C46" w:rsidRPr="00F94FED" w:rsidRDefault="009A4C46" w:rsidP="009A4C46">
            <w:pPr>
              <w:spacing w:after="0" w:line="240" w:lineRule="auto"/>
              <w:jc w:val="center"/>
              <w:rPr>
                <w:rFonts w:eastAsia="Times New Roman"/>
                <w:b/>
                <w:bCs/>
                <w:sz w:val="18"/>
                <w:szCs w:val="18"/>
                <w:lang w:eastAsia="ru-RU"/>
              </w:rPr>
            </w:pPr>
            <w:r w:rsidRPr="00F94FED">
              <w:rPr>
                <w:rFonts w:eastAsia="Times New Roman"/>
                <w:b/>
                <w:bCs/>
                <w:color w:val="000000"/>
                <w:sz w:val="18"/>
                <w:szCs w:val="18"/>
                <w:lang w:eastAsia="ru-RU"/>
              </w:rPr>
              <w:t>235,06</w:t>
            </w:r>
          </w:p>
        </w:tc>
        <w:tc>
          <w:tcPr>
            <w:tcW w:w="319" w:type="pct"/>
            <w:tcBorders>
              <w:top w:val="nil"/>
              <w:left w:val="nil"/>
              <w:bottom w:val="single" w:sz="4" w:space="0" w:color="auto"/>
              <w:right w:val="single" w:sz="4" w:space="0" w:color="auto"/>
            </w:tcBorders>
            <w:shd w:val="clear" w:color="000000" w:fill="FFFFFF"/>
            <w:noWrap/>
            <w:vAlign w:val="center"/>
            <w:hideMark/>
          </w:tcPr>
          <w:p w14:paraId="495A8489" w14:textId="77777777" w:rsidR="009A4C46" w:rsidRPr="00F94FED" w:rsidRDefault="009A4C46" w:rsidP="009A4C46">
            <w:pPr>
              <w:spacing w:after="0" w:line="240" w:lineRule="auto"/>
              <w:jc w:val="center"/>
              <w:rPr>
                <w:rFonts w:eastAsia="Times New Roman"/>
                <w:b/>
                <w:bCs/>
                <w:sz w:val="18"/>
                <w:szCs w:val="18"/>
                <w:lang w:eastAsia="ru-RU"/>
              </w:rPr>
            </w:pPr>
            <w:r w:rsidRPr="00F94FED">
              <w:rPr>
                <w:rFonts w:eastAsia="Times New Roman"/>
                <w:b/>
                <w:bCs/>
                <w:color w:val="000000"/>
                <w:sz w:val="18"/>
                <w:szCs w:val="18"/>
                <w:lang w:eastAsia="ru-RU"/>
              </w:rPr>
              <w:t>117,36</w:t>
            </w:r>
          </w:p>
        </w:tc>
        <w:tc>
          <w:tcPr>
            <w:tcW w:w="273" w:type="pct"/>
            <w:tcBorders>
              <w:top w:val="nil"/>
              <w:left w:val="nil"/>
              <w:bottom w:val="single" w:sz="4" w:space="0" w:color="auto"/>
              <w:right w:val="single" w:sz="4" w:space="0" w:color="auto"/>
            </w:tcBorders>
            <w:shd w:val="clear" w:color="000000" w:fill="FFFFFF"/>
            <w:noWrap/>
            <w:vAlign w:val="center"/>
            <w:hideMark/>
          </w:tcPr>
          <w:p w14:paraId="309B4846" w14:textId="77777777" w:rsidR="009A4C46" w:rsidRPr="00F94FED" w:rsidRDefault="009A4C46" w:rsidP="009A4C46">
            <w:pPr>
              <w:spacing w:after="0" w:line="240" w:lineRule="auto"/>
              <w:jc w:val="center"/>
              <w:rPr>
                <w:rFonts w:eastAsia="Times New Roman"/>
                <w:b/>
                <w:bCs/>
                <w:sz w:val="18"/>
                <w:szCs w:val="18"/>
                <w:lang w:eastAsia="ru-RU"/>
              </w:rPr>
            </w:pPr>
            <w:r w:rsidRPr="00F94FED">
              <w:rPr>
                <w:rFonts w:eastAsia="Times New Roman"/>
                <w:b/>
                <w:bCs/>
                <w:color w:val="000000"/>
                <w:sz w:val="18"/>
                <w:szCs w:val="18"/>
                <w:lang w:eastAsia="ru-RU"/>
              </w:rPr>
              <w:t>115,27</w:t>
            </w:r>
          </w:p>
        </w:tc>
        <w:tc>
          <w:tcPr>
            <w:tcW w:w="318" w:type="pct"/>
            <w:tcBorders>
              <w:top w:val="nil"/>
              <w:left w:val="nil"/>
              <w:bottom w:val="single" w:sz="4" w:space="0" w:color="auto"/>
              <w:right w:val="single" w:sz="4" w:space="0" w:color="auto"/>
            </w:tcBorders>
            <w:shd w:val="clear" w:color="000000" w:fill="FFFFFF"/>
            <w:noWrap/>
            <w:vAlign w:val="center"/>
            <w:hideMark/>
          </w:tcPr>
          <w:p w14:paraId="50306A5D" w14:textId="77777777" w:rsidR="009A4C46" w:rsidRPr="00F94FED" w:rsidRDefault="009A4C46" w:rsidP="009A4C46">
            <w:pPr>
              <w:spacing w:after="0" w:line="240" w:lineRule="auto"/>
              <w:jc w:val="center"/>
              <w:rPr>
                <w:rFonts w:eastAsia="Times New Roman"/>
                <w:b/>
                <w:bCs/>
                <w:sz w:val="18"/>
                <w:szCs w:val="18"/>
                <w:lang w:eastAsia="ru-RU"/>
              </w:rPr>
            </w:pPr>
            <w:r w:rsidRPr="00F94FED">
              <w:rPr>
                <w:rFonts w:eastAsia="Times New Roman"/>
                <w:b/>
                <w:bCs/>
                <w:color w:val="000000"/>
                <w:sz w:val="18"/>
                <w:szCs w:val="18"/>
                <w:lang w:eastAsia="ru-RU"/>
              </w:rPr>
              <w:t>232,63</w:t>
            </w:r>
          </w:p>
        </w:tc>
        <w:tc>
          <w:tcPr>
            <w:tcW w:w="301" w:type="pct"/>
            <w:tcBorders>
              <w:top w:val="nil"/>
              <w:left w:val="nil"/>
              <w:bottom w:val="single" w:sz="4" w:space="0" w:color="auto"/>
              <w:right w:val="single" w:sz="4" w:space="0" w:color="auto"/>
            </w:tcBorders>
            <w:shd w:val="clear" w:color="000000" w:fill="FFFFFF"/>
            <w:noWrap/>
            <w:vAlign w:val="center"/>
            <w:hideMark/>
          </w:tcPr>
          <w:p w14:paraId="6C6D4FD1" w14:textId="77777777" w:rsidR="009A4C46" w:rsidRPr="00F94FED" w:rsidRDefault="009A4C46" w:rsidP="009A4C46">
            <w:pPr>
              <w:spacing w:after="0" w:line="240" w:lineRule="auto"/>
              <w:jc w:val="center"/>
              <w:rPr>
                <w:rFonts w:eastAsia="Times New Roman"/>
                <w:b/>
                <w:bCs/>
                <w:sz w:val="18"/>
                <w:szCs w:val="18"/>
                <w:lang w:eastAsia="ru-RU"/>
              </w:rPr>
            </w:pPr>
            <w:r w:rsidRPr="00F94FED">
              <w:rPr>
                <w:rFonts w:eastAsia="Times New Roman"/>
                <w:b/>
                <w:bCs/>
                <w:color w:val="000000"/>
                <w:sz w:val="18"/>
                <w:szCs w:val="18"/>
                <w:lang w:eastAsia="ru-RU"/>
              </w:rPr>
              <w:t>-2,43</w:t>
            </w:r>
          </w:p>
        </w:tc>
        <w:tc>
          <w:tcPr>
            <w:tcW w:w="373" w:type="pct"/>
            <w:tcBorders>
              <w:top w:val="nil"/>
              <w:left w:val="nil"/>
              <w:bottom w:val="single" w:sz="4" w:space="0" w:color="auto"/>
              <w:right w:val="single" w:sz="4" w:space="0" w:color="auto"/>
            </w:tcBorders>
            <w:shd w:val="clear" w:color="auto" w:fill="auto"/>
            <w:noWrap/>
            <w:vAlign w:val="center"/>
            <w:hideMark/>
          </w:tcPr>
          <w:p w14:paraId="389C038E" w14:textId="77777777" w:rsidR="009A4C46" w:rsidRPr="00F94FED" w:rsidRDefault="009A4C46" w:rsidP="009A4C46">
            <w:pPr>
              <w:spacing w:after="0" w:line="240" w:lineRule="auto"/>
              <w:jc w:val="center"/>
              <w:rPr>
                <w:rFonts w:eastAsia="Times New Roman"/>
                <w:b/>
                <w:bCs/>
                <w:sz w:val="18"/>
                <w:szCs w:val="18"/>
                <w:lang w:eastAsia="ru-RU"/>
              </w:rPr>
            </w:pPr>
            <w:r w:rsidRPr="00F94FED">
              <w:rPr>
                <w:rFonts w:eastAsia="Times New Roman"/>
                <w:b/>
                <w:bCs/>
                <w:color w:val="000000"/>
                <w:sz w:val="18"/>
                <w:szCs w:val="18"/>
                <w:lang w:eastAsia="ru-RU"/>
              </w:rPr>
              <w:t>331 103</w:t>
            </w:r>
          </w:p>
        </w:tc>
        <w:tc>
          <w:tcPr>
            <w:tcW w:w="373" w:type="pct"/>
            <w:tcBorders>
              <w:top w:val="nil"/>
              <w:left w:val="nil"/>
              <w:bottom w:val="single" w:sz="4" w:space="0" w:color="auto"/>
              <w:right w:val="single" w:sz="4" w:space="0" w:color="auto"/>
            </w:tcBorders>
            <w:shd w:val="clear" w:color="auto" w:fill="auto"/>
            <w:noWrap/>
            <w:vAlign w:val="center"/>
            <w:hideMark/>
          </w:tcPr>
          <w:p w14:paraId="54413786" w14:textId="77777777" w:rsidR="009A4C46" w:rsidRPr="00F94FED" w:rsidRDefault="009A4C46" w:rsidP="009A4C46">
            <w:pPr>
              <w:spacing w:after="0" w:line="240" w:lineRule="auto"/>
              <w:jc w:val="center"/>
              <w:rPr>
                <w:rFonts w:eastAsia="Times New Roman"/>
                <w:b/>
                <w:bCs/>
                <w:sz w:val="18"/>
                <w:szCs w:val="18"/>
                <w:lang w:eastAsia="ru-RU"/>
              </w:rPr>
            </w:pPr>
            <w:r w:rsidRPr="00F94FED">
              <w:rPr>
                <w:rFonts w:eastAsia="Times New Roman"/>
                <w:b/>
                <w:bCs/>
                <w:color w:val="000000"/>
                <w:sz w:val="18"/>
                <w:szCs w:val="18"/>
                <w:lang w:eastAsia="ru-RU"/>
              </w:rPr>
              <w:t>537 766</w:t>
            </w:r>
          </w:p>
        </w:tc>
        <w:tc>
          <w:tcPr>
            <w:tcW w:w="357" w:type="pct"/>
            <w:tcBorders>
              <w:top w:val="nil"/>
              <w:left w:val="nil"/>
              <w:bottom w:val="single" w:sz="4" w:space="0" w:color="auto"/>
              <w:right w:val="single" w:sz="4" w:space="0" w:color="auto"/>
            </w:tcBorders>
            <w:shd w:val="clear" w:color="auto" w:fill="auto"/>
            <w:noWrap/>
            <w:vAlign w:val="center"/>
            <w:hideMark/>
          </w:tcPr>
          <w:p w14:paraId="64FC00D2" w14:textId="77777777" w:rsidR="009A4C46" w:rsidRPr="00F94FED" w:rsidRDefault="009A4C46" w:rsidP="009A4C46">
            <w:pPr>
              <w:spacing w:after="0" w:line="240" w:lineRule="auto"/>
              <w:jc w:val="center"/>
              <w:rPr>
                <w:rFonts w:eastAsia="Times New Roman"/>
                <w:b/>
                <w:bCs/>
                <w:sz w:val="18"/>
                <w:szCs w:val="18"/>
                <w:lang w:eastAsia="ru-RU"/>
              </w:rPr>
            </w:pPr>
            <w:r w:rsidRPr="00F94FED">
              <w:rPr>
                <w:rFonts w:eastAsia="Times New Roman"/>
                <w:b/>
                <w:bCs/>
                <w:color w:val="000000"/>
                <w:sz w:val="18"/>
                <w:szCs w:val="18"/>
                <w:lang w:eastAsia="ru-RU"/>
              </w:rPr>
              <w:t>868 869</w:t>
            </w:r>
          </w:p>
        </w:tc>
        <w:tc>
          <w:tcPr>
            <w:tcW w:w="407" w:type="pct"/>
            <w:tcBorders>
              <w:top w:val="nil"/>
              <w:left w:val="nil"/>
              <w:bottom w:val="single" w:sz="4" w:space="0" w:color="auto"/>
              <w:right w:val="single" w:sz="4" w:space="0" w:color="auto"/>
            </w:tcBorders>
            <w:shd w:val="clear" w:color="auto" w:fill="auto"/>
            <w:noWrap/>
            <w:vAlign w:val="center"/>
            <w:hideMark/>
          </w:tcPr>
          <w:p w14:paraId="32B85CC5" w14:textId="77777777" w:rsidR="009A4C46" w:rsidRPr="00F94FED" w:rsidRDefault="009A4C46" w:rsidP="009A4C46">
            <w:pPr>
              <w:spacing w:after="0" w:line="240" w:lineRule="auto"/>
              <w:jc w:val="center"/>
              <w:rPr>
                <w:rFonts w:eastAsia="Times New Roman"/>
                <w:b/>
                <w:bCs/>
                <w:sz w:val="18"/>
                <w:szCs w:val="18"/>
                <w:lang w:eastAsia="ru-RU"/>
              </w:rPr>
            </w:pPr>
            <w:r w:rsidRPr="00F94FED">
              <w:rPr>
                <w:rFonts w:eastAsia="Times New Roman"/>
                <w:b/>
                <w:bCs/>
                <w:color w:val="000000"/>
                <w:sz w:val="18"/>
                <w:szCs w:val="18"/>
                <w:lang w:eastAsia="ru-RU"/>
              </w:rPr>
              <w:t>433 044</w:t>
            </w:r>
          </w:p>
        </w:tc>
        <w:tc>
          <w:tcPr>
            <w:tcW w:w="319" w:type="pct"/>
            <w:tcBorders>
              <w:top w:val="nil"/>
              <w:left w:val="nil"/>
              <w:bottom w:val="single" w:sz="4" w:space="0" w:color="auto"/>
              <w:right w:val="single" w:sz="4" w:space="0" w:color="auto"/>
            </w:tcBorders>
            <w:shd w:val="clear" w:color="auto" w:fill="auto"/>
            <w:noWrap/>
            <w:vAlign w:val="center"/>
            <w:hideMark/>
          </w:tcPr>
          <w:p w14:paraId="65CBBB4B" w14:textId="77777777" w:rsidR="009A4C46" w:rsidRPr="00F94FED" w:rsidRDefault="009A4C46" w:rsidP="009A4C46">
            <w:pPr>
              <w:spacing w:after="0" w:line="240" w:lineRule="auto"/>
              <w:jc w:val="center"/>
              <w:rPr>
                <w:rFonts w:eastAsia="Times New Roman"/>
                <w:b/>
                <w:bCs/>
                <w:sz w:val="18"/>
                <w:szCs w:val="18"/>
                <w:lang w:eastAsia="ru-RU"/>
              </w:rPr>
            </w:pPr>
            <w:r w:rsidRPr="00F94FED">
              <w:rPr>
                <w:rFonts w:eastAsia="Times New Roman"/>
                <w:b/>
                <w:bCs/>
                <w:color w:val="000000"/>
                <w:sz w:val="18"/>
                <w:szCs w:val="18"/>
                <w:lang w:eastAsia="ru-RU"/>
              </w:rPr>
              <w:t>451 137</w:t>
            </w:r>
          </w:p>
        </w:tc>
        <w:tc>
          <w:tcPr>
            <w:tcW w:w="413" w:type="pct"/>
            <w:tcBorders>
              <w:top w:val="nil"/>
              <w:left w:val="nil"/>
              <w:bottom w:val="single" w:sz="4" w:space="0" w:color="auto"/>
              <w:right w:val="single" w:sz="4" w:space="0" w:color="auto"/>
            </w:tcBorders>
            <w:shd w:val="clear" w:color="auto" w:fill="auto"/>
            <w:noWrap/>
            <w:vAlign w:val="center"/>
            <w:hideMark/>
          </w:tcPr>
          <w:p w14:paraId="53DD2242" w14:textId="77777777" w:rsidR="009A4C46" w:rsidRPr="00F94FED" w:rsidRDefault="009A4C46" w:rsidP="009A4C46">
            <w:pPr>
              <w:spacing w:after="0" w:line="240" w:lineRule="auto"/>
              <w:jc w:val="center"/>
              <w:rPr>
                <w:rFonts w:eastAsia="Times New Roman"/>
                <w:b/>
                <w:bCs/>
                <w:sz w:val="18"/>
                <w:szCs w:val="18"/>
                <w:lang w:eastAsia="ru-RU"/>
              </w:rPr>
            </w:pPr>
            <w:r w:rsidRPr="00F94FED">
              <w:rPr>
                <w:rFonts w:eastAsia="Times New Roman"/>
                <w:b/>
                <w:bCs/>
                <w:color w:val="000000"/>
                <w:sz w:val="18"/>
                <w:szCs w:val="18"/>
                <w:lang w:eastAsia="ru-RU"/>
              </w:rPr>
              <w:t>884 181</w:t>
            </w:r>
          </w:p>
        </w:tc>
        <w:tc>
          <w:tcPr>
            <w:tcW w:w="317" w:type="pct"/>
            <w:tcBorders>
              <w:top w:val="nil"/>
              <w:left w:val="nil"/>
              <w:bottom w:val="single" w:sz="4" w:space="0" w:color="auto"/>
              <w:right w:val="single" w:sz="4" w:space="0" w:color="auto"/>
            </w:tcBorders>
            <w:shd w:val="clear" w:color="auto" w:fill="auto"/>
            <w:noWrap/>
            <w:vAlign w:val="center"/>
            <w:hideMark/>
          </w:tcPr>
          <w:p w14:paraId="65781B09" w14:textId="77777777" w:rsidR="009A4C46" w:rsidRPr="00F94FED" w:rsidRDefault="009A4C46" w:rsidP="009A4C46">
            <w:pPr>
              <w:spacing w:after="0" w:line="240" w:lineRule="auto"/>
              <w:jc w:val="center"/>
              <w:rPr>
                <w:rFonts w:eastAsia="Times New Roman"/>
                <w:b/>
                <w:bCs/>
                <w:sz w:val="18"/>
                <w:szCs w:val="18"/>
                <w:lang w:eastAsia="ru-RU"/>
              </w:rPr>
            </w:pPr>
            <w:r w:rsidRPr="00F94FED">
              <w:rPr>
                <w:rFonts w:eastAsia="Times New Roman"/>
                <w:b/>
                <w:bCs/>
                <w:color w:val="000000"/>
                <w:sz w:val="18"/>
                <w:szCs w:val="18"/>
                <w:lang w:eastAsia="ru-RU"/>
              </w:rPr>
              <w:t>15 312</w:t>
            </w:r>
          </w:p>
        </w:tc>
      </w:tr>
      <w:tr w:rsidR="00F94FED" w:rsidRPr="00D75241" w14:paraId="696A0464" w14:textId="77777777" w:rsidTr="00F94FED">
        <w:trPr>
          <w:trHeight w:val="300"/>
        </w:trPr>
        <w:tc>
          <w:tcPr>
            <w:tcW w:w="459" w:type="pct"/>
            <w:tcBorders>
              <w:top w:val="nil"/>
              <w:left w:val="single" w:sz="4" w:space="0" w:color="auto"/>
              <w:bottom w:val="single" w:sz="4" w:space="0" w:color="auto"/>
              <w:right w:val="single" w:sz="4" w:space="0" w:color="auto"/>
            </w:tcBorders>
            <w:shd w:val="clear" w:color="auto" w:fill="auto"/>
            <w:noWrap/>
            <w:vAlign w:val="center"/>
            <w:hideMark/>
          </w:tcPr>
          <w:p w14:paraId="0A775646" w14:textId="77777777" w:rsidR="009A4C46" w:rsidRPr="00F94FED" w:rsidRDefault="009A4C46" w:rsidP="009A4C46">
            <w:pPr>
              <w:spacing w:after="0" w:line="240" w:lineRule="auto"/>
              <w:jc w:val="right"/>
              <w:rPr>
                <w:rFonts w:eastAsia="Times New Roman"/>
                <w:sz w:val="18"/>
                <w:szCs w:val="18"/>
                <w:lang w:eastAsia="ru-RU"/>
              </w:rPr>
            </w:pPr>
            <w:r w:rsidRPr="00F94FED">
              <w:rPr>
                <w:rFonts w:eastAsia="Times New Roman"/>
                <w:sz w:val="18"/>
                <w:szCs w:val="18"/>
                <w:lang w:eastAsia="ru-RU"/>
              </w:rPr>
              <w:t>ВН</w:t>
            </w:r>
          </w:p>
        </w:tc>
        <w:tc>
          <w:tcPr>
            <w:tcW w:w="270" w:type="pct"/>
            <w:tcBorders>
              <w:top w:val="nil"/>
              <w:left w:val="single" w:sz="4" w:space="0" w:color="auto"/>
              <w:bottom w:val="single" w:sz="4" w:space="0" w:color="auto"/>
              <w:right w:val="single" w:sz="4" w:space="0" w:color="auto"/>
            </w:tcBorders>
            <w:shd w:val="clear" w:color="000000" w:fill="FFFFFF"/>
            <w:noWrap/>
            <w:vAlign w:val="center"/>
            <w:hideMark/>
          </w:tcPr>
          <w:p w14:paraId="1F357367" w14:textId="77777777" w:rsidR="009A4C46" w:rsidRPr="00F94FED" w:rsidRDefault="009A4C46" w:rsidP="009A4C46">
            <w:pPr>
              <w:spacing w:after="0" w:line="240" w:lineRule="auto"/>
              <w:jc w:val="center"/>
              <w:rPr>
                <w:rFonts w:eastAsia="Times New Roman"/>
                <w:sz w:val="18"/>
                <w:szCs w:val="18"/>
                <w:lang w:eastAsia="ru-RU"/>
              </w:rPr>
            </w:pPr>
            <w:r w:rsidRPr="00F94FED">
              <w:rPr>
                <w:rFonts w:eastAsia="Times New Roman"/>
                <w:color w:val="000000"/>
                <w:sz w:val="18"/>
                <w:szCs w:val="18"/>
                <w:lang w:eastAsia="ru-RU"/>
              </w:rPr>
              <w:t>25,85</w:t>
            </w:r>
          </w:p>
        </w:tc>
        <w:tc>
          <w:tcPr>
            <w:tcW w:w="246" w:type="pct"/>
            <w:tcBorders>
              <w:top w:val="nil"/>
              <w:left w:val="nil"/>
              <w:bottom w:val="single" w:sz="4" w:space="0" w:color="auto"/>
              <w:right w:val="single" w:sz="4" w:space="0" w:color="auto"/>
            </w:tcBorders>
            <w:shd w:val="clear" w:color="000000" w:fill="FFFFFF"/>
            <w:noWrap/>
            <w:vAlign w:val="center"/>
            <w:hideMark/>
          </w:tcPr>
          <w:p w14:paraId="60990431" w14:textId="77777777" w:rsidR="009A4C46" w:rsidRPr="00F94FED" w:rsidRDefault="009A4C46" w:rsidP="009A4C46">
            <w:pPr>
              <w:spacing w:after="0" w:line="240" w:lineRule="auto"/>
              <w:jc w:val="center"/>
              <w:rPr>
                <w:rFonts w:eastAsia="Times New Roman"/>
                <w:sz w:val="18"/>
                <w:szCs w:val="18"/>
                <w:lang w:eastAsia="ru-RU"/>
              </w:rPr>
            </w:pPr>
            <w:r w:rsidRPr="00F94FED">
              <w:rPr>
                <w:rFonts w:eastAsia="Times New Roman"/>
                <w:color w:val="000000"/>
                <w:sz w:val="18"/>
                <w:szCs w:val="18"/>
                <w:lang w:eastAsia="ru-RU"/>
              </w:rPr>
              <w:t>51,18</w:t>
            </w:r>
          </w:p>
        </w:tc>
        <w:tc>
          <w:tcPr>
            <w:tcW w:w="255" w:type="pct"/>
            <w:tcBorders>
              <w:top w:val="nil"/>
              <w:left w:val="nil"/>
              <w:bottom w:val="single" w:sz="4" w:space="0" w:color="auto"/>
              <w:right w:val="single" w:sz="4" w:space="0" w:color="auto"/>
            </w:tcBorders>
            <w:shd w:val="clear" w:color="000000" w:fill="FFFFFF"/>
            <w:noWrap/>
            <w:vAlign w:val="center"/>
            <w:hideMark/>
          </w:tcPr>
          <w:p w14:paraId="6942BA78" w14:textId="77777777" w:rsidR="009A4C46" w:rsidRPr="00F94FED" w:rsidRDefault="009A4C46" w:rsidP="009A4C46">
            <w:pPr>
              <w:spacing w:after="0" w:line="240" w:lineRule="auto"/>
              <w:jc w:val="center"/>
              <w:rPr>
                <w:rFonts w:eastAsia="Times New Roman"/>
                <w:sz w:val="18"/>
                <w:szCs w:val="18"/>
                <w:lang w:eastAsia="ru-RU"/>
              </w:rPr>
            </w:pPr>
            <w:r w:rsidRPr="00F94FED">
              <w:rPr>
                <w:rFonts w:eastAsia="Times New Roman"/>
                <w:color w:val="000000"/>
                <w:sz w:val="18"/>
                <w:szCs w:val="18"/>
                <w:lang w:eastAsia="ru-RU"/>
              </w:rPr>
              <w:t>77,03</w:t>
            </w:r>
          </w:p>
        </w:tc>
        <w:tc>
          <w:tcPr>
            <w:tcW w:w="319" w:type="pct"/>
            <w:tcBorders>
              <w:top w:val="nil"/>
              <w:left w:val="nil"/>
              <w:bottom w:val="single" w:sz="4" w:space="0" w:color="auto"/>
              <w:right w:val="single" w:sz="4" w:space="0" w:color="auto"/>
            </w:tcBorders>
            <w:shd w:val="clear" w:color="000000" w:fill="FFFFFF"/>
            <w:noWrap/>
            <w:vAlign w:val="center"/>
            <w:hideMark/>
          </w:tcPr>
          <w:p w14:paraId="3FF8724C" w14:textId="77777777" w:rsidR="009A4C46" w:rsidRPr="00F94FED" w:rsidRDefault="009A4C46" w:rsidP="009A4C46">
            <w:pPr>
              <w:spacing w:after="0" w:line="240" w:lineRule="auto"/>
              <w:jc w:val="center"/>
              <w:rPr>
                <w:rFonts w:eastAsia="Times New Roman"/>
                <w:sz w:val="18"/>
                <w:szCs w:val="18"/>
                <w:lang w:eastAsia="ru-RU"/>
              </w:rPr>
            </w:pPr>
            <w:r w:rsidRPr="00F94FED">
              <w:rPr>
                <w:rFonts w:eastAsia="Times New Roman"/>
                <w:color w:val="000000"/>
                <w:sz w:val="18"/>
                <w:szCs w:val="18"/>
                <w:lang w:eastAsia="ru-RU"/>
              </w:rPr>
              <w:t>18,20</w:t>
            </w:r>
          </w:p>
        </w:tc>
        <w:tc>
          <w:tcPr>
            <w:tcW w:w="273" w:type="pct"/>
            <w:tcBorders>
              <w:top w:val="nil"/>
              <w:left w:val="nil"/>
              <w:bottom w:val="single" w:sz="4" w:space="0" w:color="auto"/>
              <w:right w:val="single" w:sz="4" w:space="0" w:color="auto"/>
            </w:tcBorders>
            <w:shd w:val="clear" w:color="000000" w:fill="FFFFFF"/>
            <w:noWrap/>
            <w:vAlign w:val="center"/>
            <w:hideMark/>
          </w:tcPr>
          <w:p w14:paraId="3945AC3F" w14:textId="77777777" w:rsidR="009A4C46" w:rsidRPr="00F94FED" w:rsidRDefault="009A4C46" w:rsidP="009A4C46">
            <w:pPr>
              <w:spacing w:after="0" w:line="240" w:lineRule="auto"/>
              <w:jc w:val="center"/>
              <w:rPr>
                <w:rFonts w:eastAsia="Times New Roman"/>
                <w:sz w:val="18"/>
                <w:szCs w:val="18"/>
                <w:lang w:eastAsia="ru-RU"/>
              </w:rPr>
            </w:pPr>
            <w:r w:rsidRPr="00F94FED">
              <w:rPr>
                <w:rFonts w:eastAsia="Times New Roman"/>
                <w:color w:val="000000"/>
                <w:sz w:val="18"/>
                <w:szCs w:val="18"/>
                <w:lang w:eastAsia="ru-RU"/>
              </w:rPr>
              <w:t>19,07</w:t>
            </w:r>
          </w:p>
        </w:tc>
        <w:tc>
          <w:tcPr>
            <w:tcW w:w="318" w:type="pct"/>
            <w:tcBorders>
              <w:top w:val="nil"/>
              <w:left w:val="nil"/>
              <w:bottom w:val="single" w:sz="4" w:space="0" w:color="auto"/>
              <w:right w:val="single" w:sz="4" w:space="0" w:color="auto"/>
            </w:tcBorders>
            <w:shd w:val="clear" w:color="000000" w:fill="FFFFFF"/>
            <w:noWrap/>
            <w:vAlign w:val="center"/>
            <w:hideMark/>
          </w:tcPr>
          <w:p w14:paraId="40EDB02C" w14:textId="77777777" w:rsidR="009A4C46" w:rsidRPr="00F94FED" w:rsidRDefault="009A4C46" w:rsidP="009A4C46">
            <w:pPr>
              <w:spacing w:after="0" w:line="240" w:lineRule="auto"/>
              <w:jc w:val="center"/>
              <w:rPr>
                <w:rFonts w:eastAsia="Times New Roman"/>
                <w:sz w:val="18"/>
                <w:szCs w:val="18"/>
                <w:lang w:eastAsia="ru-RU"/>
              </w:rPr>
            </w:pPr>
            <w:r w:rsidRPr="00F94FED">
              <w:rPr>
                <w:rFonts w:eastAsia="Times New Roman"/>
                <w:color w:val="000000"/>
                <w:sz w:val="18"/>
                <w:szCs w:val="18"/>
                <w:lang w:eastAsia="ru-RU"/>
              </w:rPr>
              <w:t>37,26849</w:t>
            </w:r>
          </w:p>
        </w:tc>
        <w:tc>
          <w:tcPr>
            <w:tcW w:w="301" w:type="pct"/>
            <w:tcBorders>
              <w:top w:val="nil"/>
              <w:left w:val="nil"/>
              <w:bottom w:val="single" w:sz="4" w:space="0" w:color="auto"/>
              <w:right w:val="single" w:sz="4" w:space="0" w:color="auto"/>
            </w:tcBorders>
            <w:shd w:val="clear" w:color="000000" w:fill="FFFFFF"/>
            <w:noWrap/>
            <w:vAlign w:val="center"/>
            <w:hideMark/>
          </w:tcPr>
          <w:p w14:paraId="798C662B" w14:textId="77777777" w:rsidR="009A4C46" w:rsidRPr="00F94FED" w:rsidRDefault="009A4C46" w:rsidP="009A4C46">
            <w:pPr>
              <w:spacing w:after="0" w:line="240" w:lineRule="auto"/>
              <w:jc w:val="center"/>
              <w:rPr>
                <w:rFonts w:eastAsia="Times New Roman"/>
                <w:sz w:val="18"/>
                <w:szCs w:val="18"/>
                <w:lang w:eastAsia="ru-RU"/>
              </w:rPr>
            </w:pPr>
            <w:r w:rsidRPr="00F94FED">
              <w:rPr>
                <w:rFonts w:eastAsia="Times New Roman"/>
                <w:color w:val="000000"/>
                <w:sz w:val="18"/>
                <w:szCs w:val="18"/>
                <w:lang w:eastAsia="ru-RU"/>
              </w:rPr>
              <w:t>-39,76</w:t>
            </w:r>
          </w:p>
        </w:tc>
        <w:tc>
          <w:tcPr>
            <w:tcW w:w="373" w:type="pct"/>
            <w:tcBorders>
              <w:top w:val="nil"/>
              <w:left w:val="nil"/>
              <w:bottom w:val="single" w:sz="4" w:space="0" w:color="auto"/>
              <w:right w:val="single" w:sz="4" w:space="0" w:color="auto"/>
            </w:tcBorders>
            <w:shd w:val="clear" w:color="auto" w:fill="auto"/>
            <w:noWrap/>
            <w:vAlign w:val="center"/>
            <w:hideMark/>
          </w:tcPr>
          <w:p w14:paraId="1A3865D3" w14:textId="77777777" w:rsidR="009A4C46" w:rsidRPr="00F94FED" w:rsidRDefault="009A4C46" w:rsidP="009A4C46">
            <w:pPr>
              <w:spacing w:after="0" w:line="240" w:lineRule="auto"/>
              <w:jc w:val="center"/>
              <w:rPr>
                <w:rFonts w:eastAsia="Times New Roman"/>
                <w:sz w:val="18"/>
                <w:szCs w:val="18"/>
                <w:lang w:eastAsia="ru-RU"/>
              </w:rPr>
            </w:pPr>
            <w:r w:rsidRPr="00F94FED">
              <w:rPr>
                <w:rFonts w:eastAsia="Times New Roman"/>
                <w:color w:val="000000"/>
                <w:sz w:val="18"/>
                <w:szCs w:val="18"/>
                <w:lang w:eastAsia="ru-RU"/>
              </w:rPr>
              <w:t>76 522</w:t>
            </w:r>
          </w:p>
        </w:tc>
        <w:tc>
          <w:tcPr>
            <w:tcW w:w="373" w:type="pct"/>
            <w:tcBorders>
              <w:top w:val="nil"/>
              <w:left w:val="nil"/>
              <w:bottom w:val="single" w:sz="4" w:space="0" w:color="auto"/>
              <w:right w:val="single" w:sz="4" w:space="0" w:color="auto"/>
            </w:tcBorders>
            <w:shd w:val="clear" w:color="auto" w:fill="auto"/>
            <w:noWrap/>
            <w:vAlign w:val="center"/>
            <w:hideMark/>
          </w:tcPr>
          <w:p w14:paraId="00A72034" w14:textId="77777777" w:rsidR="009A4C46" w:rsidRPr="00F94FED" w:rsidRDefault="009A4C46" w:rsidP="009A4C46">
            <w:pPr>
              <w:spacing w:after="0" w:line="240" w:lineRule="auto"/>
              <w:jc w:val="center"/>
              <w:rPr>
                <w:rFonts w:eastAsia="Times New Roman"/>
                <w:sz w:val="18"/>
                <w:szCs w:val="18"/>
                <w:lang w:eastAsia="ru-RU"/>
              </w:rPr>
            </w:pPr>
            <w:r w:rsidRPr="00F94FED">
              <w:rPr>
                <w:rFonts w:eastAsia="Times New Roman"/>
                <w:color w:val="000000"/>
                <w:sz w:val="18"/>
                <w:szCs w:val="18"/>
                <w:lang w:eastAsia="ru-RU"/>
              </w:rPr>
              <w:t>165 140</w:t>
            </w:r>
          </w:p>
        </w:tc>
        <w:tc>
          <w:tcPr>
            <w:tcW w:w="357" w:type="pct"/>
            <w:tcBorders>
              <w:top w:val="nil"/>
              <w:left w:val="nil"/>
              <w:bottom w:val="single" w:sz="4" w:space="0" w:color="auto"/>
              <w:right w:val="single" w:sz="4" w:space="0" w:color="auto"/>
            </w:tcBorders>
            <w:shd w:val="clear" w:color="auto" w:fill="auto"/>
            <w:noWrap/>
            <w:vAlign w:val="center"/>
            <w:hideMark/>
          </w:tcPr>
          <w:p w14:paraId="268B287C" w14:textId="77777777" w:rsidR="009A4C46" w:rsidRPr="00F94FED" w:rsidRDefault="009A4C46" w:rsidP="009A4C46">
            <w:pPr>
              <w:spacing w:after="0" w:line="240" w:lineRule="auto"/>
              <w:jc w:val="center"/>
              <w:rPr>
                <w:rFonts w:eastAsia="Times New Roman"/>
                <w:sz w:val="18"/>
                <w:szCs w:val="18"/>
                <w:lang w:eastAsia="ru-RU"/>
              </w:rPr>
            </w:pPr>
            <w:r w:rsidRPr="00F94FED">
              <w:rPr>
                <w:rFonts w:eastAsia="Times New Roman"/>
                <w:color w:val="000000"/>
                <w:sz w:val="18"/>
                <w:szCs w:val="18"/>
                <w:lang w:eastAsia="ru-RU"/>
              </w:rPr>
              <w:t>241 662</w:t>
            </w:r>
          </w:p>
        </w:tc>
        <w:tc>
          <w:tcPr>
            <w:tcW w:w="407" w:type="pct"/>
            <w:tcBorders>
              <w:top w:val="nil"/>
              <w:left w:val="nil"/>
              <w:bottom w:val="single" w:sz="4" w:space="0" w:color="auto"/>
              <w:right w:val="single" w:sz="4" w:space="0" w:color="auto"/>
            </w:tcBorders>
            <w:shd w:val="clear" w:color="auto" w:fill="auto"/>
            <w:noWrap/>
            <w:vAlign w:val="center"/>
            <w:hideMark/>
          </w:tcPr>
          <w:p w14:paraId="439CDC5D" w14:textId="77777777" w:rsidR="009A4C46" w:rsidRPr="00F94FED" w:rsidRDefault="009A4C46" w:rsidP="009A4C46">
            <w:pPr>
              <w:spacing w:after="0" w:line="240" w:lineRule="auto"/>
              <w:jc w:val="center"/>
              <w:rPr>
                <w:rFonts w:eastAsia="Times New Roman"/>
                <w:sz w:val="18"/>
                <w:szCs w:val="18"/>
                <w:lang w:eastAsia="ru-RU"/>
              </w:rPr>
            </w:pPr>
            <w:r w:rsidRPr="00F94FED">
              <w:rPr>
                <w:rFonts w:eastAsia="Times New Roman"/>
                <w:color w:val="000000"/>
                <w:sz w:val="18"/>
                <w:szCs w:val="18"/>
                <w:lang w:eastAsia="ru-RU"/>
              </w:rPr>
              <w:t>53 882</w:t>
            </w:r>
          </w:p>
        </w:tc>
        <w:tc>
          <w:tcPr>
            <w:tcW w:w="319" w:type="pct"/>
            <w:tcBorders>
              <w:top w:val="nil"/>
              <w:left w:val="nil"/>
              <w:bottom w:val="single" w:sz="4" w:space="0" w:color="auto"/>
              <w:right w:val="single" w:sz="4" w:space="0" w:color="auto"/>
            </w:tcBorders>
            <w:shd w:val="clear" w:color="auto" w:fill="auto"/>
            <w:noWrap/>
            <w:vAlign w:val="center"/>
            <w:hideMark/>
          </w:tcPr>
          <w:p w14:paraId="73BEAD6B" w14:textId="77777777" w:rsidR="009A4C46" w:rsidRPr="00F94FED" w:rsidRDefault="009A4C46" w:rsidP="009A4C46">
            <w:pPr>
              <w:spacing w:after="0" w:line="240" w:lineRule="auto"/>
              <w:jc w:val="center"/>
              <w:rPr>
                <w:rFonts w:eastAsia="Times New Roman"/>
                <w:sz w:val="18"/>
                <w:szCs w:val="18"/>
                <w:lang w:eastAsia="ru-RU"/>
              </w:rPr>
            </w:pPr>
            <w:r w:rsidRPr="00F94FED">
              <w:rPr>
                <w:rFonts w:eastAsia="Times New Roman"/>
                <w:color w:val="000000"/>
                <w:sz w:val="18"/>
                <w:szCs w:val="18"/>
                <w:lang w:eastAsia="ru-RU"/>
              </w:rPr>
              <w:t>61 521</w:t>
            </w:r>
          </w:p>
        </w:tc>
        <w:tc>
          <w:tcPr>
            <w:tcW w:w="413" w:type="pct"/>
            <w:tcBorders>
              <w:top w:val="nil"/>
              <w:left w:val="nil"/>
              <w:bottom w:val="single" w:sz="4" w:space="0" w:color="auto"/>
              <w:right w:val="single" w:sz="4" w:space="0" w:color="auto"/>
            </w:tcBorders>
            <w:shd w:val="clear" w:color="auto" w:fill="auto"/>
            <w:noWrap/>
            <w:vAlign w:val="center"/>
            <w:hideMark/>
          </w:tcPr>
          <w:p w14:paraId="750FCAEB" w14:textId="77777777" w:rsidR="009A4C46" w:rsidRPr="00F94FED" w:rsidRDefault="009A4C46" w:rsidP="009A4C46">
            <w:pPr>
              <w:spacing w:after="0" w:line="240" w:lineRule="auto"/>
              <w:jc w:val="center"/>
              <w:rPr>
                <w:rFonts w:eastAsia="Times New Roman"/>
                <w:sz w:val="18"/>
                <w:szCs w:val="18"/>
                <w:lang w:eastAsia="ru-RU"/>
              </w:rPr>
            </w:pPr>
            <w:r w:rsidRPr="00F94FED">
              <w:rPr>
                <w:rFonts w:eastAsia="Times New Roman"/>
                <w:color w:val="000000"/>
                <w:sz w:val="18"/>
                <w:szCs w:val="18"/>
                <w:lang w:eastAsia="ru-RU"/>
              </w:rPr>
              <w:t>115 403</w:t>
            </w:r>
          </w:p>
        </w:tc>
        <w:tc>
          <w:tcPr>
            <w:tcW w:w="317" w:type="pct"/>
            <w:tcBorders>
              <w:top w:val="nil"/>
              <w:left w:val="nil"/>
              <w:bottom w:val="single" w:sz="4" w:space="0" w:color="auto"/>
              <w:right w:val="single" w:sz="4" w:space="0" w:color="auto"/>
            </w:tcBorders>
            <w:shd w:val="clear" w:color="auto" w:fill="auto"/>
            <w:noWrap/>
            <w:vAlign w:val="center"/>
            <w:hideMark/>
          </w:tcPr>
          <w:p w14:paraId="79E88CAF" w14:textId="77777777" w:rsidR="009A4C46" w:rsidRPr="00F94FED" w:rsidRDefault="009A4C46" w:rsidP="009A4C46">
            <w:pPr>
              <w:spacing w:after="0" w:line="240" w:lineRule="auto"/>
              <w:jc w:val="center"/>
              <w:rPr>
                <w:rFonts w:eastAsia="Times New Roman"/>
                <w:sz w:val="18"/>
                <w:szCs w:val="18"/>
                <w:lang w:eastAsia="ru-RU"/>
              </w:rPr>
            </w:pPr>
            <w:r w:rsidRPr="00F94FED">
              <w:rPr>
                <w:rFonts w:eastAsia="Times New Roman"/>
                <w:color w:val="000000"/>
                <w:sz w:val="18"/>
                <w:szCs w:val="18"/>
                <w:lang w:eastAsia="ru-RU"/>
              </w:rPr>
              <w:t>-126 259</w:t>
            </w:r>
          </w:p>
        </w:tc>
      </w:tr>
      <w:tr w:rsidR="00F94FED" w:rsidRPr="00D75241" w14:paraId="470C9070" w14:textId="77777777" w:rsidTr="00F94FED">
        <w:trPr>
          <w:trHeight w:val="300"/>
        </w:trPr>
        <w:tc>
          <w:tcPr>
            <w:tcW w:w="459" w:type="pct"/>
            <w:tcBorders>
              <w:top w:val="nil"/>
              <w:left w:val="single" w:sz="4" w:space="0" w:color="auto"/>
              <w:bottom w:val="single" w:sz="4" w:space="0" w:color="auto"/>
              <w:right w:val="single" w:sz="4" w:space="0" w:color="auto"/>
            </w:tcBorders>
            <w:shd w:val="clear" w:color="auto" w:fill="auto"/>
            <w:noWrap/>
            <w:vAlign w:val="center"/>
            <w:hideMark/>
          </w:tcPr>
          <w:p w14:paraId="2337630C" w14:textId="77777777" w:rsidR="009A4C46" w:rsidRPr="00F94FED" w:rsidRDefault="009A4C46" w:rsidP="009A4C46">
            <w:pPr>
              <w:spacing w:after="0" w:line="240" w:lineRule="auto"/>
              <w:jc w:val="right"/>
              <w:rPr>
                <w:rFonts w:eastAsia="Times New Roman"/>
                <w:sz w:val="18"/>
                <w:szCs w:val="18"/>
                <w:lang w:eastAsia="ru-RU"/>
              </w:rPr>
            </w:pPr>
            <w:r w:rsidRPr="00F94FED">
              <w:rPr>
                <w:rFonts w:eastAsia="Times New Roman"/>
                <w:sz w:val="18"/>
                <w:szCs w:val="18"/>
                <w:lang w:eastAsia="ru-RU"/>
              </w:rPr>
              <w:t>СН1</w:t>
            </w:r>
          </w:p>
        </w:tc>
        <w:tc>
          <w:tcPr>
            <w:tcW w:w="270" w:type="pct"/>
            <w:tcBorders>
              <w:top w:val="nil"/>
              <w:left w:val="single" w:sz="4" w:space="0" w:color="auto"/>
              <w:bottom w:val="single" w:sz="4" w:space="0" w:color="auto"/>
              <w:right w:val="single" w:sz="4" w:space="0" w:color="auto"/>
            </w:tcBorders>
            <w:shd w:val="clear" w:color="000000" w:fill="FFFFFF"/>
            <w:noWrap/>
            <w:vAlign w:val="center"/>
            <w:hideMark/>
          </w:tcPr>
          <w:p w14:paraId="1EDF7A5C" w14:textId="77777777" w:rsidR="009A4C46" w:rsidRPr="00F94FED" w:rsidRDefault="009A4C46" w:rsidP="009A4C46">
            <w:pPr>
              <w:spacing w:after="0" w:line="240" w:lineRule="auto"/>
              <w:jc w:val="center"/>
              <w:rPr>
                <w:rFonts w:eastAsia="Times New Roman"/>
                <w:sz w:val="18"/>
                <w:szCs w:val="18"/>
                <w:lang w:eastAsia="ru-RU"/>
              </w:rPr>
            </w:pPr>
            <w:r w:rsidRPr="00F94FED">
              <w:rPr>
                <w:rFonts w:eastAsia="Times New Roman"/>
                <w:color w:val="000000"/>
                <w:sz w:val="18"/>
                <w:szCs w:val="18"/>
                <w:lang w:eastAsia="ru-RU"/>
              </w:rPr>
              <w:t>11,80</w:t>
            </w:r>
          </w:p>
        </w:tc>
        <w:tc>
          <w:tcPr>
            <w:tcW w:w="246" w:type="pct"/>
            <w:tcBorders>
              <w:top w:val="nil"/>
              <w:left w:val="nil"/>
              <w:bottom w:val="single" w:sz="4" w:space="0" w:color="auto"/>
              <w:right w:val="single" w:sz="4" w:space="0" w:color="auto"/>
            </w:tcBorders>
            <w:shd w:val="clear" w:color="000000" w:fill="FFFFFF"/>
            <w:noWrap/>
            <w:vAlign w:val="center"/>
            <w:hideMark/>
          </w:tcPr>
          <w:p w14:paraId="7E65DB55" w14:textId="77777777" w:rsidR="009A4C46" w:rsidRPr="00F94FED" w:rsidRDefault="009A4C46" w:rsidP="009A4C46">
            <w:pPr>
              <w:spacing w:after="0" w:line="240" w:lineRule="auto"/>
              <w:jc w:val="center"/>
              <w:rPr>
                <w:rFonts w:eastAsia="Times New Roman"/>
                <w:sz w:val="18"/>
                <w:szCs w:val="18"/>
                <w:lang w:eastAsia="ru-RU"/>
              </w:rPr>
            </w:pPr>
            <w:r w:rsidRPr="00F94FED">
              <w:rPr>
                <w:rFonts w:eastAsia="Times New Roman"/>
                <w:color w:val="000000"/>
                <w:sz w:val="18"/>
                <w:szCs w:val="18"/>
                <w:lang w:eastAsia="ru-RU"/>
              </w:rPr>
              <w:t>11,39</w:t>
            </w:r>
          </w:p>
        </w:tc>
        <w:tc>
          <w:tcPr>
            <w:tcW w:w="255" w:type="pct"/>
            <w:tcBorders>
              <w:top w:val="nil"/>
              <w:left w:val="nil"/>
              <w:bottom w:val="single" w:sz="4" w:space="0" w:color="auto"/>
              <w:right w:val="single" w:sz="4" w:space="0" w:color="auto"/>
            </w:tcBorders>
            <w:shd w:val="clear" w:color="000000" w:fill="FFFFFF"/>
            <w:noWrap/>
            <w:vAlign w:val="center"/>
            <w:hideMark/>
          </w:tcPr>
          <w:p w14:paraId="249C49C3" w14:textId="77777777" w:rsidR="009A4C46" w:rsidRPr="00F94FED" w:rsidRDefault="009A4C46" w:rsidP="009A4C46">
            <w:pPr>
              <w:spacing w:after="0" w:line="240" w:lineRule="auto"/>
              <w:jc w:val="center"/>
              <w:rPr>
                <w:rFonts w:eastAsia="Times New Roman"/>
                <w:sz w:val="18"/>
                <w:szCs w:val="18"/>
                <w:lang w:eastAsia="ru-RU"/>
              </w:rPr>
            </w:pPr>
            <w:r w:rsidRPr="00F94FED">
              <w:rPr>
                <w:rFonts w:eastAsia="Times New Roman"/>
                <w:color w:val="000000"/>
                <w:sz w:val="18"/>
                <w:szCs w:val="18"/>
                <w:lang w:eastAsia="ru-RU"/>
              </w:rPr>
              <w:t>23,19</w:t>
            </w:r>
          </w:p>
        </w:tc>
        <w:tc>
          <w:tcPr>
            <w:tcW w:w="319" w:type="pct"/>
            <w:tcBorders>
              <w:top w:val="nil"/>
              <w:left w:val="nil"/>
              <w:bottom w:val="single" w:sz="4" w:space="0" w:color="auto"/>
              <w:right w:val="single" w:sz="4" w:space="0" w:color="auto"/>
            </w:tcBorders>
            <w:shd w:val="clear" w:color="000000" w:fill="FFFFFF"/>
            <w:noWrap/>
            <w:vAlign w:val="center"/>
            <w:hideMark/>
          </w:tcPr>
          <w:p w14:paraId="1AC67750" w14:textId="77777777" w:rsidR="009A4C46" w:rsidRPr="00F94FED" w:rsidRDefault="009A4C46" w:rsidP="009A4C46">
            <w:pPr>
              <w:spacing w:after="0" w:line="240" w:lineRule="auto"/>
              <w:jc w:val="center"/>
              <w:rPr>
                <w:rFonts w:eastAsia="Times New Roman"/>
                <w:sz w:val="18"/>
                <w:szCs w:val="18"/>
                <w:lang w:eastAsia="ru-RU"/>
              </w:rPr>
            </w:pPr>
            <w:r w:rsidRPr="00F94FED">
              <w:rPr>
                <w:rFonts w:eastAsia="Times New Roman"/>
                <w:color w:val="000000"/>
                <w:sz w:val="18"/>
                <w:szCs w:val="18"/>
                <w:lang w:eastAsia="ru-RU"/>
              </w:rPr>
              <w:t>6,61</w:t>
            </w:r>
          </w:p>
        </w:tc>
        <w:tc>
          <w:tcPr>
            <w:tcW w:w="273" w:type="pct"/>
            <w:tcBorders>
              <w:top w:val="nil"/>
              <w:left w:val="nil"/>
              <w:bottom w:val="single" w:sz="4" w:space="0" w:color="auto"/>
              <w:right w:val="single" w:sz="4" w:space="0" w:color="auto"/>
            </w:tcBorders>
            <w:shd w:val="clear" w:color="000000" w:fill="FFFFFF"/>
            <w:noWrap/>
            <w:vAlign w:val="center"/>
            <w:hideMark/>
          </w:tcPr>
          <w:p w14:paraId="4ADBF7C0" w14:textId="77777777" w:rsidR="009A4C46" w:rsidRPr="00F94FED" w:rsidRDefault="009A4C46" w:rsidP="009A4C46">
            <w:pPr>
              <w:spacing w:after="0" w:line="240" w:lineRule="auto"/>
              <w:jc w:val="center"/>
              <w:rPr>
                <w:rFonts w:eastAsia="Times New Roman"/>
                <w:sz w:val="18"/>
                <w:szCs w:val="18"/>
                <w:lang w:eastAsia="ru-RU"/>
              </w:rPr>
            </w:pPr>
            <w:r w:rsidRPr="00F94FED">
              <w:rPr>
                <w:rFonts w:eastAsia="Times New Roman"/>
                <w:color w:val="000000"/>
                <w:sz w:val="18"/>
                <w:szCs w:val="18"/>
                <w:lang w:eastAsia="ru-RU"/>
              </w:rPr>
              <w:t>6,61</w:t>
            </w:r>
          </w:p>
        </w:tc>
        <w:tc>
          <w:tcPr>
            <w:tcW w:w="318" w:type="pct"/>
            <w:tcBorders>
              <w:top w:val="nil"/>
              <w:left w:val="nil"/>
              <w:bottom w:val="single" w:sz="4" w:space="0" w:color="auto"/>
              <w:right w:val="single" w:sz="4" w:space="0" w:color="auto"/>
            </w:tcBorders>
            <w:shd w:val="clear" w:color="000000" w:fill="FFFFFF"/>
            <w:noWrap/>
            <w:vAlign w:val="center"/>
            <w:hideMark/>
          </w:tcPr>
          <w:p w14:paraId="73BC69B9" w14:textId="77777777" w:rsidR="009A4C46" w:rsidRPr="00F94FED" w:rsidRDefault="009A4C46" w:rsidP="009A4C46">
            <w:pPr>
              <w:spacing w:after="0" w:line="240" w:lineRule="auto"/>
              <w:jc w:val="center"/>
              <w:rPr>
                <w:rFonts w:eastAsia="Times New Roman"/>
                <w:sz w:val="18"/>
                <w:szCs w:val="18"/>
                <w:lang w:eastAsia="ru-RU"/>
              </w:rPr>
            </w:pPr>
            <w:r w:rsidRPr="00F94FED">
              <w:rPr>
                <w:rFonts w:eastAsia="Times New Roman"/>
                <w:color w:val="000000"/>
                <w:sz w:val="18"/>
                <w:szCs w:val="18"/>
                <w:lang w:eastAsia="ru-RU"/>
              </w:rPr>
              <w:t>13,22314</w:t>
            </w:r>
          </w:p>
        </w:tc>
        <w:tc>
          <w:tcPr>
            <w:tcW w:w="301" w:type="pct"/>
            <w:tcBorders>
              <w:top w:val="nil"/>
              <w:left w:val="nil"/>
              <w:bottom w:val="single" w:sz="4" w:space="0" w:color="auto"/>
              <w:right w:val="single" w:sz="4" w:space="0" w:color="auto"/>
            </w:tcBorders>
            <w:shd w:val="clear" w:color="000000" w:fill="FFFFFF"/>
            <w:noWrap/>
            <w:vAlign w:val="center"/>
            <w:hideMark/>
          </w:tcPr>
          <w:p w14:paraId="1E30CA68" w14:textId="77777777" w:rsidR="009A4C46" w:rsidRPr="00F94FED" w:rsidRDefault="009A4C46" w:rsidP="009A4C46">
            <w:pPr>
              <w:spacing w:after="0" w:line="240" w:lineRule="auto"/>
              <w:jc w:val="center"/>
              <w:rPr>
                <w:rFonts w:eastAsia="Times New Roman"/>
                <w:sz w:val="18"/>
                <w:szCs w:val="18"/>
                <w:lang w:eastAsia="ru-RU"/>
              </w:rPr>
            </w:pPr>
            <w:r w:rsidRPr="00F94FED">
              <w:rPr>
                <w:rFonts w:eastAsia="Times New Roman"/>
                <w:color w:val="000000"/>
                <w:sz w:val="18"/>
                <w:szCs w:val="18"/>
                <w:lang w:eastAsia="ru-RU"/>
              </w:rPr>
              <w:t>-9,97</w:t>
            </w:r>
          </w:p>
        </w:tc>
        <w:tc>
          <w:tcPr>
            <w:tcW w:w="373" w:type="pct"/>
            <w:tcBorders>
              <w:top w:val="nil"/>
              <w:left w:val="nil"/>
              <w:bottom w:val="single" w:sz="4" w:space="0" w:color="auto"/>
              <w:right w:val="single" w:sz="4" w:space="0" w:color="auto"/>
            </w:tcBorders>
            <w:shd w:val="clear" w:color="auto" w:fill="auto"/>
            <w:noWrap/>
            <w:vAlign w:val="center"/>
            <w:hideMark/>
          </w:tcPr>
          <w:p w14:paraId="50D1B658" w14:textId="77777777" w:rsidR="009A4C46" w:rsidRPr="00F94FED" w:rsidRDefault="009A4C46" w:rsidP="009A4C46">
            <w:pPr>
              <w:spacing w:after="0" w:line="240" w:lineRule="auto"/>
              <w:jc w:val="center"/>
              <w:rPr>
                <w:rFonts w:eastAsia="Times New Roman"/>
                <w:sz w:val="18"/>
                <w:szCs w:val="18"/>
                <w:lang w:eastAsia="ru-RU"/>
              </w:rPr>
            </w:pPr>
            <w:r w:rsidRPr="00F94FED">
              <w:rPr>
                <w:rFonts w:eastAsia="Times New Roman"/>
                <w:color w:val="000000"/>
                <w:sz w:val="18"/>
                <w:szCs w:val="18"/>
                <w:lang w:eastAsia="ru-RU"/>
              </w:rPr>
              <w:t>42 309</w:t>
            </w:r>
          </w:p>
        </w:tc>
        <w:tc>
          <w:tcPr>
            <w:tcW w:w="373" w:type="pct"/>
            <w:tcBorders>
              <w:top w:val="nil"/>
              <w:left w:val="nil"/>
              <w:bottom w:val="single" w:sz="4" w:space="0" w:color="auto"/>
              <w:right w:val="single" w:sz="4" w:space="0" w:color="auto"/>
            </w:tcBorders>
            <w:shd w:val="clear" w:color="auto" w:fill="auto"/>
            <w:noWrap/>
            <w:vAlign w:val="center"/>
            <w:hideMark/>
          </w:tcPr>
          <w:p w14:paraId="184D4183" w14:textId="77777777" w:rsidR="009A4C46" w:rsidRPr="00F94FED" w:rsidRDefault="009A4C46" w:rsidP="009A4C46">
            <w:pPr>
              <w:spacing w:after="0" w:line="240" w:lineRule="auto"/>
              <w:jc w:val="center"/>
              <w:rPr>
                <w:rFonts w:eastAsia="Times New Roman"/>
                <w:sz w:val="18"/>
                <w:szCs w:val="18"/>
                <w:lang w:eastAsia="ru-RU"/>
              </w:rPr>
            </w:pPr>
            <w:r w:rsidRPr="00F94FED">
              <w:rPr>
                <w:rFonts w:eastAsia="Times New Roman"/>
                <w:color w:val="000000"/>
                <w:sz w:val="18"/>
                <w:szCs w:val="18"/>
                <w:lang w:eastAsia="ru-RU"/>
              </w:rPr>
              <w:t>44 515</w:t>
            </w:r>
          </w:p>
        </w:tc>
        <w:tc>
          <w:tcPr>
            <w:tcW w:w="357" w:type="pct"/>
            <w:tcBorders>
              <w:top w:val="nil"/>
              <w:left w:val="nil"/>
              <w:bottom w:val="single" w:sz="4" w:space="0" w:color="auto"/>
              <w:right w:val="single" w:sz="4" w:space="0" w:color="auto"/>
            </w:tcBorders>
            <w:shd w:val="clear" w:color="auto" w:fill="auto"/>
            <w:noWrap/>
            <w:vAlign w:val="center"/>
            <w:hideMark/>
          </w:tcPr>
          <w:p w14:paraId="66D6F583" w14:textId="77777777" w:rsidR="009A4C46" w:rsidRPr="00F94FED" w:rsidRDefault="009A4C46" w:rsidP="009A4C46">
            <w:pPr>
              <w:spacing w:after="0" w:line="240" w:lineRule="auto"/>
              <w:jc w:val="center"/>
              <w:rPr>
                <w:rFonts w:eastAsia="Times New Roman"/>
                <w:sz w:val="18"/>
                <w:szCs w:val="18"/>
                <w:lang w:eastAsia="ru-RU"/>
              </w:rPr>
            </w:pPr>
            <w:r w:rsidRPr="00F94FED">
              <w:rPr>
                <w:rFonts w:eastAsia="Times New Roman"/>
                <w:color w:val="000000"/>
                <w:sz w:val="18"/>
                <w:szCs w:val="18"/>
                <w:lang w:eastAsia="ru-RU"/>
              </w:rPr>
              <w:t>86 824</w:t>
            </w:r>
          </w:p>
        </w:tc>
        <w:tc>
          <w:tcPr>
            <w:tcW w:w="407" w:type="pct"/>
            <w:tcBorders>
              <w:top w:val="nil"/>
              <w:left w:val="nil"/>
              <w:bottom w:val="single" w:sz="4" w:space="0" w:color="auto"/>
              <w:right w:val="single" w:sz="4" w:space="0" w:color="auto"/>
            </w:tcBorders>
            <w:shd w:val="clear" w:color="auto" w:fill="auto"/>
            <w:noWrap/>
            <w:vAlign w:val="center"/>
            <w:hideMark/>
          </w:tcPr>
          <w:p w14:paraId="5F9581E6" w14:textId="77777777" w:rsidR="009A4C46" w:rsidRPr="00F94FED" w:rsidRDefault="009A4C46" w:rsidP="009A4C46">
            <w:pPr>
              <w:spacing w:after="0" w:line="240" w:lineRule="auto"/>
              <w:jc w:val="center"/>
              <w:rPr>
                <w:rFonts w:eastAsia="Times New Roman"/>
                <w:sz w:val="18"/>
                <w:szCs w:val="18"/>
                <w:lang w:eastAsia="ru-RU"/>
              </w:rPr>
            </w:pPr>
            <w:r w:rsidRPr="00F94FED">
              <w:rPr>
                <w:rFonts w:eastAsia="Times New Roman"/>
                <w:color w:val="000000"/>
                <w:sz w:val="18"/>
                <w:szCs w:val="18"/>
                <w:lang w:eastAsia="ru-RU"/>
              </w:rPr>
              <w:t>23 716</w:t>
            </w:r>
          </w:p>
        </w:tc>
        <w:tc>
          <w:tcPr>
            <w:tcW w:w="319" w:type="pct"/>
            <w:tcBorders>
              <w:top w:val="nil"/>
              <w:left w:val="nil"/>
              <w:bottom w:val="single" w:sz="4" w:space="0" w:color="auto"/>
              <w:right w:val="single" w:sz="4" w:space="0" w:color="auto"/>
            </w:tcBorders>
            <w:shd w:val="clear" w:color="auto" w:fill="auto"/>
            <w:noWrap/>
            <w:vAlign w:val="center"/>
            <w:hideMark/>
          </w:tcPr>
          <w:p w14:paraId="05A53032" w14:textId="77777777" w:rsidR="009A4C46" w:rsidRPr="00F94FED" w:rsidRDefault="009A4C46" w:rsidP="009A4C46">
            <w:pPr>
              <w:spacing w:after="0" w:line="240" w:lineRule="auto"/>
              <w:jc w:val="center"/>
              <w:rPr>
                <w:rFonts w:eastAsia="Times New Roman"/>
                <w:sz w:val="18"/>
                <w:szCs w:val="18"/>
                <w:lang w:eastAsia="ru-RU"/>
              </w:rPr>
            </w:pPr>
            <w:r w:rsidRPr="00F94FED">
              <w:rPr>
                <w:rFonts w:eastAsia="Times New Roman"/>
                <w:color w:val="000000"/>
                <w:sz w:val="18"/>
                <w:szCs w:val="18"/>
                <w:lang w:eastAsia="ru-RU"/>
              </w:rPr>
              <w:t>25 828</w:t>
            </w:r>
          </w:p>
        </w:tc>
        <w:tc>
          <w:tcPr>
            <w:tcW w:w="413" w:type="pct"/>
            <w:tcBorders>
              <w:top w:val="nil"/>
              <w:left w:val="nil"/>
              <w:bottom w:val="single" w:sz="4" w:space="0" w:color="auto"/>
              <w:right w:val="single" w:sz="4" w:space="0" w:color="auto"/>
            </w:tcBorders>
            <w:shd w:val="clear" w:color="auto" w:fill="auto"/>
            <w:noWrap/>
            <w:vAlign w:val="center"/>
            <w:hideMark/>
          </w:tcPr>
          <w:p w14:paraId="2D36A743" w14:textId="77777777" w:rsidR="009A4C46" w:rsidRPr="00F94FED" w:rsidRDefault="009A4C46" w:rsidP="009A4C46">
            <w:pPr>
              <w:spacing w:after="0" w:line="240" w:lineRule="auto"/>
              <w:jc w:val="center"/>
              <w:rPr>
                <w:rFonts w:eastAsia="Times New Roman"/>
                <w:sz w:val="18"/>
                <w:szCs w:val="18"/>
                <w:lang w:eastAsia="ru-RU"/>
              </w:rPr>
            </w:pPr>
            <w:r w:rsidRPr="00F94FED">
              <w:rPr>
                <w:rFonts w:eastAsia="Times New Roman"/>
                <w:color w:val="000000"/>
                <w:sz w:val="18"/>
                <w:szCs w:val="18"/>
                <w:lang w:eastAsia="ru-RU"/>
              </w:rPr>
              <w:t>49 544</w:t>
            </w:r>
          </w:p>
        </w:tc>
        <w:tc>
          <w:tcPr>
            <w:tcW w:w="317" w:type="pct"/>
            <w:tcBorders>
              <w:top w:val="nil"/>
              <w:left w:val="nil"/>
              <w:bottom w:val="single" w:sz="4" w:space="0" w:color="auto"/>
              <w:right w:val="single" w:sz="4" w:space="0" w:color="auto"/>
            </w:tcBorders>
            <w:shd w:val="clear" w:color="auto" w:fill="auto"/>
            <w:noWrap/>
            <w:vAlign w:val="center"/>
            <w:hideMark/>
          </w:tcPr>
          <w:p w14:paraId="24BB788D" w14:textId="77777777" w:rsidR="009A4C46" w:rsidRPr="00F94FED" w:rsidRDefault="009A4C46" w:rsidP="009A4C46">
            <w:pPr>
              <w:spacing w:after="0" w:line="240" w:lineRule="auto"/>
              <w:jc w:val="center"/>
              <w:rPr>
                <w:rFonts w:eastAsia="Times New Roman"/>
                <w:sz w:val="18"/>
                <w:szCs w:val="18"/>
                <w:lang w:eastAsia="ru-RU"/>
              </w:rPr>
            </w:pPr>
            <w:r w:rsidRPr="00F94FED">
              <w:rPr>
                <w:rFonts w:eastAsia="Times New Roman"/>
                <w:color w:val="000000"/>
                <w:sz w:val="18"/>
                <w:szCs w:val="18"/>
                <w:lang w:eastAsia="ru-RU"/>
              </w:rPr>
              <w:t>-37 279</w:t>
            </w:r>
          </w:p>
        </w:tc>
      </w:tr>
      <w:tr w:rsidR="00F94FED" w:rsidRPr="00D75241" w14:paraId="0A7342DA" w14:textId="77777777" w:rsidTr="00F94FED">
        <w:trPr>
          <w:trHeight w:val="300"/>
        </w:trPr>
        <w:tc>
          <w:tcPr>
            <w:tcW w:w="459" w:type="pct"/>
            <w:tcBorders>
              <w:top w:val="nil"/>
              <w:left w:val="single" w:sz="4" w:space="0" w:color="auto"/>
              <w:bottom w:val="single" w:sz="4" w:space="0" w:color="auto"/>
              <w:right w:val="single" w:sz="4" w:space="0" w:color="auto"/>
            </w:tcBorders>
            <w:shd w:val="clear" w:color="auto" w:fill="auto"/>
            <w:noWrap/>
            <w:vAlign w:val="center"/>
            <w:hideMark/>
          </w:tcPr>
          <w:p w14:paraId="480E0303" w14:textId="77777777" w:rsidR="009A4C46" w:rsidRPr="00F94FED" w:rsidRDefault="009A4C46" w:rsidP="009A4C46">
            <w:pPr>
              <w:spacing w:after="0" w:line="240" w:lineRule="auto"/>
              <w:jc w:val="right"/>
              <w:rPr>
                <w:rFonts w:eastAsia="Times New Roman"/>
                <w:sz w:val="18"/>
                <w:szCs w:val="18"/>
                <w:lang w:eastAsia="ru-RU"/>
              </w:rPr>
            </w:pPr>
            <w:r w:rsidRPr="00F94FED">
              <w:rPr>
                <w:rFonts w:eastAsia="Times New Roman"/>
                <w:sz w:val="18"/>
                <w:szCs w:val="18"/>
                <w:lang w:eastAsia="ru-RU"/>
              </w:rPr>
              <w:t>СН2</w:t>
            </w:r>
          </w:p>
        </w:tc>
        <w:tc>
          <w:tcPr>
            <w:tcW w:w="270" w:type="pct"/>
            <w:tcBorders>
              <w:top w:val="nil"/>
              <w:left w:val="single" w:sz="4" w:space="0" w:color="auto"/>
              <w:bottom w:val="single" w:sz="4" w:space="0" w:color="auto"/>
              <w:right w:val="single" w:sz="4" w:space="0" w:color="auto"/>
            </w:tcBorders>
            <w:shd w:val="clear" w:color="000000" w:fill="FFFFFF"/>
            <w:noWrap/>
            <w:vAlign w:val="center"/>
            <w:hideMark/>
          </w:tcPr>
          <w:p w14:paraId="5C965A43" w14:textId="77777777" w:rsidR="009A4C46" w:rsidRPr="00F94FED" w:rsidRDefault="009A4C46" w:rsidP="009A4C46">
            <w:pPr>
              <w:spacing w:after="0" w:line="240" w:lineRule="auto"/>
              <w:jc w:val="center"/>
              <w:rPr>
                <w:rFonts w:eastAsia="Times New Roman"/>
                <w:sz w:val="18"/>
                <w:szCs w:val="18"/>
                <w:lang w:eastAsia="ru-RU"/>
              </w:rPr>
            </w:pPr>
            <w:r w:rsidRPr="00F94FED">
              <w:rPr>
                <w:rFonts w:eastAsia="Times New Roman"/>
                <w:color w:val="000000"/>
                <w:sz w:val="18"/>
                <w:szCs w:val="18"/>
                <w:lang w:eastAsia="ru-RU"/>
              </w:rPr>
              <w:t>24,90</w:t>
            </w:r>
          </w:p>
        </w:tc>
        <w:tc>
          <w:tcPr>
            <w:tcW w:w="246" w:type="pct"/>
            <w:tcBorders>
              <w:top w:val="nil"/>
              <w:left w:val="nil"/>
              <w:bottom w:val="single" w:sz="4" w:space="0" w:color="auto"/>
              <w:right w:val="single" w:sz="4" w:space="0" w:color="auto"/>
            </w:tcBorders>
            <w:shd w:val="clear" w:color="000000" w:fill="FFFFFF"/>
            <w:noWrap/>
            <w:vAlign w:val="center"/>
            <w:hideMark/>
          </w:tcPr>
          <w:p w14:paraId="0F11A3D2" w14:textId="77777777" w:rsidR="009A4C46" w:rsidRPr="00F94FED" w:rsidRDefault="009A4C46" w:rsidP="009A4C46">
            <w:pPr>
              <w:spacing w:after="0" w:line="240" w:lineRule="auto"/>
              <w:jc w:val="center"/>
              <w:rPr>
                <w:rFonts w:eastAsia="Times New Roman"/>
                <w:sz w:val="18"/>
                <w:szCs w:val="18"/>
                <w:lang w:eastAsia="ru-RU"/>
              </w:rPr>
            </w:pPr>
            <w:r w:rsidRPr="00F94FED">
              <w:rPr>
                <w:rFonts w:eastAsia="Times New Roman"/>
                <w:color w:val="000000"/>
                <w:sz w:val="18"/>
                <w:szCs w:val="18"/>
                <w:lang w:eastAsia="ru-RU"/>
              </w:rPr>
              <w:t>23,32</w:t>
            </w:r>
          </w:p>
        </w:tc>
        <w:tc>
          <w:tcPr>
            <w:tcW w:w="255" w:type="pct"/>
            <w:tcBorders>
              <w:top w:val="nil"/>
              <w:left w:val="nil"/>
              <w:bottom w:val="single" w:sz="4" w:space="0" w:color="auto"/>
              <w:right w:val="single" w:sz="4" w:space="0" w:color="auto"/>
            </w:tcBorders>
            <w:shd w:val="clear" w:color="000000" w:fill="FFFFFF"/>
            <w:noWrap/>
            <w:vAlign w:val="center"/>
            <w:hideMark/>
          </w:tcPr>
          <w:p w14:paraId="32C65CD9" w14:textId="77777777" w:rsidR="009A4C46" w:rsidRPr="00F94FED" w:rsidRDefault="009A4C46" w:rsidP="009A4C46">
            <w:pPr>
              <w:spacing w:after="0" w:line="240" w:lineRule="auto"/>
              <w:jc w:val="center"/>
              <w:rPr>
                <w:rFonts w:eastAsia="Times New Roman"/>
                <w:sz w:val="18"/>
                <w:szCs w:val="18"/>
                <w:lang w:eastAsia="ru-RU"/>
              </w:rPr>
            </w:pPr>
            <w:r w:rsidRPr="00F94FED">
              <w:rPr>
                <w:rFonts w:eastAsia="Times New Roman"/>
                <w:color w:val="000000"/>
                <w:sz w:val="18"/>
                <w:szCs w:val="18"/>
                <w:lang w:eastAsia="ru-RU"/>
              </w:rPr>
              <w:t>48,22</w:t>
            </w:r>
          </w:p>
        </w:tc>
        <w:tc>
          <w:tcPr>
            <w:tcW w:w="319" w:type="pct"/>
            <w:tcBorders>
              <w:top w:val="nil"/>
              <w:left w:val="nil"/>
              <w:bottom w:val="single" w:sz="4" w:space="0" w:color="auto"/>
              <w:right w:val="single" w:sz="4" w:space="0" w:color="auto"/>
            </w:tcBorders>
            <w:shd w:val="clear" w:color="000000" w:fill="FFFFFF"/>
            <w:noWrap/>
            <w:vAlign w:val="center"/>
            <w:hideMark/>
          </w:tcPr>
          <w:p w14:paraId="7EE4B517" w14:textId="77777777" w:rsidR="009A4C46" w:rsidRPr="00F94FED" w:rsidRDefault="009A4C46" w:rsidP="009A4C46">
            <w:pPr>
              <w:spacing w:after="0" w:line="240" w:lineRule="auto"/>
              <w:jc w:val="center"/>
              <w:rPr>
                <w:rFonts w:eastAsia="Times New Roman"/>
                <w:sz w:val="18"/>
                <w:szCs w:val="18"/>
                <w:lang w:eastAsia="ru-RU"/>
              </w:rPr>
            </w:pPr>
            <w:r w:rsidRPr="00F94FED">
              <w:rPr>
                <w:rFonts w:eastAsia="Times New Roman"/>
                <w:color w:val="000000"/>
                <w:sz w:val="18"/>
                <w:szCs w:val="18"/>
                <w:lang w:eastAsia="ru-RU"/>
              </w:rPr>
              <w:t>48,83</w:t>
            </w:r>
          </w:p>
        </w:tc>
        <w:tc>
          <w:tcPr>
            <w:tcW w:w="273" w:type="pct"/>
            <w:tcBorders>
              <w:top w:val="nil"/>
              <w:left w:val="nil"/>
              <w:bottom w:val="single" w:sz="4" w:space="0" w:color="auto"/>
              <w:right w:val="single" w:sz="4" w:space="0" w:color="auto"/>
            </w:tcBorders>
            <w:shd w:val="clear" w:color="000000" w:fill="FFFFFF"/>
            <w:noWrap/>
            <w:vAlign w:val="center"/>
            <w:hideMark/>
          </w:tcPr>
          <w:p w14:paraId="27041F67" w14:textId="77777777" w:rsidR="009A4C46" w:rsidRPr="00F94FED" w:rsidRDefault="009A4C46" w:rsidP="009A4C46">
            <w:pPr>
              <w:spacing w:after="0" w:line="240" w:lineRule="auto"/>
              <w:jc w:val="center"/>
              <w:rPr>
                <w:rFonts w:eastAsia="Times New Roman"/>
                <w:sz w:val="18"/>
                <w:szCs w:val="18"/>
                <w:lang w:eastAsia="ru-RU"/>
              </w:rPr>
            </w:pPr>
            <w:r w:rsidRPr="00F94FED">
              <w:rPr>
                <w:rFonts w:eastAsia="Times New Roman"/>
                <w:color w:val="000000"/>
                <w:sz w:val="18"/>
                <w:szCs w:val="18"/>
                <w:lang w:eastAsia="ru-RU"/>
              </w:rPr>
              <w:t>49,05</w:t>
            </w:r>
          </w:p>
        </w:tc>
        <w:tc>
          <w:tcPr>
            <w:tcW w:w="318" w:type="pct"/>
            <w:tcBorders>
              <w:top w:val="nil"/>
              <w:left w:val="nil"/>
              <w:bottom w:val="single" w:sz="4" w:space="0" w:color="auto"/>
              <w:right w:val="single" w:sz="4" w:space="0" w:color="auto"/>
            </w:tcBorders>
            <w:shd w:val="clear" w:color="000000" w:fill="FFFFFF"/>
            <w:noWrap/>
            <w:vAlign w:val="center"/>
            <w:hideMark/>
          </w:tcPr>
          <w:p w14:paraId="6435898F" w14:textId="77777777" w:rsidR="009A4C46" w:rsidRPr="00F94FED" w:rsidRDefault="009A4C46" w:rsidP="009A4C46">
            <w:pPr>
              <w:spacing w:after="0" w:line="240" w:lineRule="auto"/>
              <w:jc w:val="center"/>
              <w:rPr>
                <w:rFonts w:eastAsia="Times New Roman"/>
                <w:sz w:val="18"/>
                <w:szCs w:val="18"/>
                <w:lang w:eastAsia="ru-RU"/>
              </w:rPr>
            </w:pPr>
            <w:r w:rsidRPr="00F94FED">
              <w:rPr>
                <w:rFonts w:eastAsia="Times New Roman"/>
                <w:color w:val="000000"/>
                <w:sz w:val="18"/>
                <w:szCs w:val="18"/>
                <w:lang w:eastAsia="ru-RU"/>
              </w:rPr>
              <w:t>97,88761</w:t>
            </w:r>
          </w:p>
        </w:tc>
        <w:tc>
          <w:tcPr>
            <w:tcW w:w="301" w:type="pct"/>
            <w:tcBorders>
              <w:top w:val="nil"/>
              <w:left w:val="nil"/>
              <w:bottom w:val="single" w:sz="4" w:space="0" w:color="auto"/>
              <w:right w:val="single" w:sz="4" w:space="0" w:color="auto"/>
            </w:tcBorders>
            <w:shd w:val="clear" w:color="000000" w:fill="FFFFFF"/>
            <w:noWrap/>
            <w:vAlign w:val="center"/>
            <w:hideMark/>
          </w:tcPr>
          <w:p w14:paraId="74EB164D" w14:textId="77777777" w:rsidR="009A4C46" w:rsidRPr="00F94FED" w:rsidRDefault="009A4C46" w:rsidP="009A4C46">
            <w:pPr>
              <w:spacing w:after="0" w:line="240" w:lineRule="auto"/>
              <w:jc w:val="center"/>
              <w:rPr>
                <w:rFonts w:eastAsia="Times New Roman"/>
                <w:sz w:val="18"/>
                <w:szCs w:val="18"/>
                <w:lang w:eastAsia="ru-RU"/>
              </w:rPr>
            </w:pPr>
            <w:r w:rsidRPr="00F94FED">
              <w:rPr>
                <w:rFonts w:eastAsia="Times New Roman"/>
                <w:color w:val="000000"/>
                <w:sz w:val="18"/>
                <w:szCs w:val="18"/>
                <w:lang w:eastAsia="ru-RU"/>
              </w:rPr>
              <w:t>49,67</w:t>
            </w:r>
          </w:p>
        </w:tc>
        <w:tc>
          <w:tcPr>
            <w:tcW w:w="373" w:type="pct"/>
            <w:tcBorders>
              <w:top w:val="nil"/>
              <w:left w:val="nil"/>
              <w:bottom w:val="single" w:sz="4" w:space="0" w:color="auto"/>
              <w:right w:val="single" w:sz="4" w:space="0" w:color="auto"/>
            </w:tcBorders>
            <w:shd w:val="clear" w:color="auto" w:fill="auto"/>
            <w:noWrap/>
            <w:vAlign w:val="center"/>
            <w:hideMark/>
          </w:tcPr>
          <w:p w14:paraId="79C382A1" w14:textId="77777777" w:rsidR="009A4C46" w:rsidRPr="00F94FED" w:rsidRDefault="009A4C46" w:rsidP="009A4C46">
            <w:pPr>
              <w:spacing w:after="0" w:line="240" w:lineRule="auto"/>
              <w:jc w:val="center"/>
              <w:rPr>
                <w:rFonts w:eastAsia="Times New Roman"/>
                <w:sz w:val="18"/>
                <w:szCs w:val="18"/>
                <w:lang w:eastAsia="ru-RU"/>
              </w:rPr>
            </w:pPr>
            <w:r w:rsidRPr="00F94FED">
              <w:rPr>
                <w:rFonts w:eastAsia="Times New Roman"/>
                <w:color w:val="000000"/>
                <w:sz w:val="18"/>
                <w:szCs w:val="18"/>
                <w:lang w:eastAsia="ru-RU"/>
              </w:rPr>
              <w:t>94 578</w:t>
            </w:r>
          </w:p>
        </w:tc>
        <w:tc>
          <w:tcPr>
            <w:tcW w:w="373" w:type="pct"/>
            <w:tcBorders>
              <w:top w:val="nil"/>
              <w:left w:val="nil"/>
              <w:bottom w:val="single" w:sz="4" w:space="0" w:color="auto"/>
              <w:right w:val="single" w:sz="4" w:space="0" w:color="auto"/>
            </w:tcBorders>
            <w:shd w:val="clear" w:color="auto" w:fill="auto"/>
            <w:noWrap/>
            <w:vAlign w:val="center"/>
            <w:hideMark/>
          </w:tcPr>
          <w:p w14:paraId="5C7741AA" w14:textId="77777777" w:rsidR="009A4C46" w:rsidRPr="00F94FED" w:rsidRDefault="009A4C46" w:rsidP="009A4C46">
            <w:pPr>
              <w:spacing w:after="0" w:line="240" w:lineRule="auto"/>
              <w:jc w:val="center"/>
              <w:rPr>
                <w:rFonts w:eastAsia="Times New Roman"/>
                <w:sz w:val="18"/>
                <w:szCs w:val="18"/>
                <w:lang w:eastAsia="ru-RU"/>
              </w:rPr>
            </w:pPr>
            <w:r w:rsidRPr="00F94FED">
              <w:rPr>
                <w:rFonts w:eastAsia="Times New Roman"/>
                <w:color w:val="000000"/>
                <w:sz w:val="18"/>
                <w:szCs w:val="18"/>
                <w:lang w:eastAsia="ru-RU"/>
              </w:rPr>
              <w:t>96 549</w:t>
            </w:r>
          </w:p>
        </w:tc>
        <w:tc>
          <w:tcPr>
            <w:tcW w:w="357" w:type="pct"/>
            <w:tcBorders>
              <w:top w:val="nil"/>
              <w:left w:val="nil"/>
              <w:bottom w:val="single" w:sz="4" w:space="0" w:color="auto"/>
              <w:right w:val="single" w:sz="4" w:space="0" w:color="auto"/>
            </w:tcBorders>
            <w:shd w:val="clear" w:color="auto" w:fill="auto"/>
            <w:noWrap/>
            <w:vAlign w:val="center"/>
            <w:hideMark/>
          </w:tcPr>
          <w:p w14:paraId="661EF53E" w14:textId="77777777" w:rsidR="009A4C46" w:rsidRPr="00F94FED" w:rsidRDefault="009A4C46" w:rsidP="009A4C46">
            <w:pPr>
              <w:spacing w:after="0" w:line="240" w:lineRule="auto"/>
              <w:jc w:val="center"/>
              <w:rPr>
                <w:rFonts w:eastAsia="Times New Roman"/>
                <w:sz w:val="18"/>
                <w:szCs w:val="18"/>
                <w:lang w:eastAsia="ru-RU"/>
              </w:rPr>
            </w:pPr>
            <w:r w:rsidRPr="00F94FED">
              <w:rPr>
                <w:rFonts w:eastAsia="Times New Roman"/>
                <w:color w:val="000000"/>
                <w:sz w:val="18"/>
                <w:szCs w:val="18"/>
                <w:lang w:eastAsia="ru-RU"/>
              </w:rPr>
              <w:t>191 127</w:t>
            </w:r>
          </w:p>
        </w:tc>
        <w:tc>
          <w:tcPr>
            <w:tcW w:w="407" w:type="pct"/>
            <w:tcBorders>
              <w:top w:val="nil"/>
              <w:left w:val="nil"/>
              <w:bottom w:val="single" w:sz="4" w:space="0" w:color="auto"/>
              <w:right w:val="single" w:sz="4" w:space="0" w:color="auto"/>
            </w:tcBorders>
            <w:shd w:val="clear" w:color="auto" w:fill="auto"/>
            <w:noWrap/>
            <w:vAlign w:val="center"/>
            <w:hideMark/>
          </w:tcPr>
          <w:p w14:paraId="4CB3273C" w14:textId="77777777" w:rsidR="009A4C46" w:rsidRPr="00F94FED" w:rsidRDefault="009A4C46" w:rsidP="009A4C46">
            <w:pPr>
              <w:spacing w:after="0" w:line="240" w:lineRule="auto"/>
              <w:jc w:val="center"/>
              <w:rPr>
                <w:rFonts w:eastAsia="Times New Roman"/>
                <w:sz w:val="18"/>
                <w:szCs w:val="18"/>
                <w:lang w:eastAsia="ru-RU"/>
              </w:rPr>
            </w:pPr>
            <w:r w:rsidRPr="00F94FED">
              <w:rPr>
                <w:rFonts w:eastAsia="Times New Roman"/>
                <w:color w:val="000000"/>
                <w:sz w:val="18"/>
                <w:szCs w:val="18"/>
                <w:lang w:eastAsia="ru-RU"/>
              </w:rPr>
              <w:t>185 684</w:t>
            </w:r>
          </w:p>
        </w:tc>
        <w:tc>
          <w:tcPr>
            <w:tcW w:w="319" w:type="pct"/>
            <w:tcBorders>
              <w:top w:val="nil"/>
              <w:left w:val="nil"/>
              <w:bottom w:val="single" w:sz="4" w:space="0" w:color="auto"/>
              <w:right w:val="single" w:sz="4" w:space="0" w:color="auto"/>
            </w:tcBorders>
            <w:shd w:val="clear" w:color="auto" w:fill="auto"/>
            <w:noWrap/>
            <w:vAlign w:val="center"/>
            <w:hideMark/>
          </w:tcPr>
          <w:p w14:paraId="0FF50F3A" w14:textId="77777777" w:rsidR="009A4C46" w:rsidRPr="00F94FED" w:rsidRDefault="009A4C46" w:rsidP="009A4C46">
            <w:pPr>
              <w:spacing w:after="0" w:line="240" w:lineRule="auto"/>
              <w:jc w:val="center"/>
              <w:rPr>
                <w:rFonts w:eastAsia="Times New Roman"/>
                <w:sz w:val="18"/>
                <w:szCs w:val="18"/>
                <w:lang w:eastAsia="ru-RU"/>
              </w:rPr>
            </w:pPr>
            <w:r w:rsidRPr="00F94FED">
              <w:rPr>
                <w:rFonts w:eastAsia="Times New Roman"/>
                <w:color w:val="000000"/>
                <w:sz w:val="18"/>
                <w:szCs w:val="18"/>
                <w:lang w:eastAsia="ru-RU"/>
              </w:rPr>
              <w:t>202 447</w:t>
            </w:r>
          </w:p>
        </w:tc>
        <w:tc>
          <w:tcPr>
            <w:tcW w:w="413" w:type="pct"/>
            <w:tcBorders>
              <w:top w:val="nil"/>
              <w:left w:val="nil"/>
              <w:bottom w:val="single" w:sz="4" w:space="0" w:color="auto"/>
              <w:right w:val="single" w:sz="4" w:space="0" w:color="auto"/>
            </w:tcBorders>
            <w:shd w:val="clear" w:color="auto" w:fill="auto"/>
            <w:noWrap/>
            <w:vAlign w:val="center"/>
            <w:hideMark/>
          </w:tcPr>
          <w:p w14:paraId="4755E329" w14:textId="77777777" w:rsidR="009A4C46" w:rsidRPr="00F94FED" w:rsidRDefault="009A4C46" w:rsidP="009A4C46">
            <w:pPr>
              <w:spacing w:after="0" w:line="240" w:lineRule="auto"/>
              <w:jc w:val="center"/>
              <w:rPr>
                <w:rFonts w:eastAsia="Times New Roman"/>
                <w:sz w:val="18"/>
                <w:szCs w:val="18"/>
                <w:lang w:eastAsia="ru-RU"/>
              </w:rPr>
            </w:pPr>
            <w:r w:rsidRPr="00F94FED">
              <w:rPr>
                <w:rFonts w:eastAsia="Times New Roman"/>
                <w:color w:val="000000"/>
                <w:sz w:val="18"/>
                <w:szCs w:val="18"/>
                <w:lang w:eastAsia="ru-RU"/>
              </w:rPr>
              <w:t>388 131</w:t>
            </w:r>
          </w:p>
        </w:tc>
        <w:tc>
          <w:tcPr>
            <w:tcW w:w="317" w:type="pct"/>
            <w:tcBorders>
              <w:top w:val="nil"/>
              <w:left w:val="nil"/>
              <w:bottom w:val="single" w:sz="4" w:space="0" w:color="auto"/>
              <w:right w:val="single" w:sz="4" w:space="0" w:color="auto"/>
            </w:tcBorders>
            <w:shd w:val="clear" w:color="auto" w:fill="auto"/>
            <w:noWrap/>
            <w:vAlign w:val="center"/>
            <w:hideMark/>
          </w:tcPr>
          <w:p w14:paraId="44F8737C" w14:textId="77777777" w:rsidR="009A4C46" w:rsidRPr="00F94FED" w:rsidRDefault="009A4C46" w:rsidP="009A4C46">
            <w:pPr>
              <w:spacing w:after="0" w:line="240" w:lineRule="auto"/>
              <w:jc w:val="center"/>
              <w:rPr>
                <w:rFonts w:eastAsia="Times New Roman"/>
                <w:sz w:val="18"/>
                <w:szCs w:val="18"/>
                <w:lang w:eastAsia="ru-RU"/>
              </w:rPr>
            </w:pPr>
            <w:r w:rsidRPr="00F94FED">
              <w:rPr>
                <w:rFonts w:eastAsia="Times New Roman"/>
                <w:color w:val="000000"/>
                <w:sz w:val="18"/>
                <w:szCs w:val="18"/>
                <w:lang w:eastAsia="ru-RU"/>
              </w:rPr>
              <w:t>197 004</w:t>
            </w:r>
          </w:p>
        </w:tc>
      </w:tr>
      <w:tr w:rsidR="00F94FED" w:rsidRPr="00D75241" w14:paraId="2BC9E7EA" w14:textId="77777777" w:rsidTr="00F94FED">
        <w:trPr>
          <w:trHeight w:val="300"/>
        </w:trPr>
        <w:tc>
          <w:tcPr>
            <w:tcW w:w="459" w:type="pct"/>
            <w:tcBorders>
              <w:top w:val="nil"/>
              <w:left w:val="single" w:sz="4" w:space="0" w:color="auto"/>
              <w:bottom w:val="single" w:sz="4" w:space="0" w:color="auto"/>
              <w:right w:val="single" w:sz="4" w:space="0" w:color="auto"/>
            </w:tcBorders>
            <w:shd w:val="clear" w:color="auto" w:fill="auto"/>
            <w:noWrap/>
            <w:vAlign w:val="center"/>
            <w:hideMark/>
          </w:tcPr>
          <w:p w14:paraId="02D860C4" w14:textId="77777777" w:rsidR="009A4C46" w:rsidRPr="00F94FED" w:rsidRDefault="009A4C46" w:rsidP="009A4C46">
            <w:pPr>
              <w:spacing w:after="0" w:line="240" w:lineRule="auto"/>
              <w:jc w:val="right"/>
              <w:rPr>
                <w:rFonts w:eastAsia="Times New Roman"/>
                <w:sz w:val="18"/>
                <w:szCs w:val="18"/>
                <w:lang w:eastAsia="ru-RU"/>
              </w:rPr>
            </w:pPr>
            <w:r w:rsidRPr="00F94FED">
              <w:rPr>
                <w:rFonts w:eastAsia="Times New Roman"/>
                <w:sz w:val="18"/>
                <w:szCs w:val="18"/>
                <w:lang w:eastAsia="ru-RU"/>
              </w:rPr>
              <w:t>НН</w:t>
            </w:r>
          </w:p>
        </w:tc>
        <w:tc>
          <w:tcPr>
            <w:tcW w:w="270" w:type="pct"/>
            <w:tcBorders>
              <w:top w:val="nil"/>
              <w:left w:val="single" w:sz="4" w:space="0" w:color="auto"/>
              <w:bottom w:val="single" w:sz="4" w:space="0" w:color="auto"/>
              <w:right w:val="single" w:sz="4" w:space="0" w:color="auto"/>
            </w:tcBorders>
            <w:shd w:val="clear" w:color="000000" w:fill="FFFFFF"/>
            <w:noWrap/>
            <w:vAlign w:val="center"/>
            <w:hideMark/>
          </w:tcPr>
          <w:p w14:paraId="42050230" w14:textId="77777777" w:rsidR="009A4C46" w:rsidRPr="00F94FED" w:rsidRDefault="009A4C46" w:rsidP="009A4C46">
            <w:pPr>
              <w:spacing w:after="0" w:line="240" w:lineRule="auto"/>
              <w:jc w:val="center"/>
              <w:rPr>
                <w:rFonts w:eastAsia="Times New Roman"/>
                <w:sz w:val="18"/>
                <w:szCs w:val="18"/>
                <w:lang w:eastAsia="ru-RU"/>
              </w:rPr>
            </w:pPr>
            <w:r w:rsidRPr="00F94FED">
              <w:rPr>
                <w:rFonts w:eastAsia="Times New Roman"/>
                <w:color w:val="000000"/>
                <w:sz w:val="18"/>
                <w:szCs w:val="18"/>
                <w:lang w:eastAsia="ru-RU"/>
              </w:rPr>
              <w:t>30,88</w:t>
            </w:r>
          </w:p>
        </w:tc>
        <w:tc>
          <w:tcPr>
            <w:tcW w:w="246" w:type="pct"/>
            <w:tcBorders>
              <w:top w:val="nil"/>
              <w:left w:val="nil"/>
              <w:bottom w:val="single" w:sz="4" w:space="0" w:color="auto"/>
              <w:right w:val="single" w:sz="4" w:space="0" w:color="auto"/>
            </w:tcBorders>
            <w:shd w:val="clear" w:color="000000" w:fill="FFFFFF"/>
            <w:noWrap/>
            <w:vAlign w:val="center"/>
            <w:hideMark/>
          </w:tcPr>
          <w:p w14:paraId="5531D41D" w14:textId="77777777" w:rsidR="009A4C46" w:rsidRPr="00F94FED" w:rsidRDefault="009A4C46" w:rsidP="009A4C46">
            <w:pPr>
              <w:spacing w:after="0" w:line="240" w:lineRule="auto"/>
              <w:jc w:val="center"/>
              <w:rPr>
                <w:rFonts w:eastAsia="Times New Roman"/>
                <w:sz w:val="18"/>
                <w:szCs w:val="18"/>
                <w:lang w:eastAsia="ru-RU"/>
              </w:rPr>
            </w:pPr>
            <w:r w:rsidRPr="00F94FED">
              <w:rPr>
                <w:rFonts w:eastAsia="Times New Roman"/>
                <w:color w:val="000000"/>
                <w:sz w:val="18"/>
                <w:szCs w:val="18"/>
                <w:lang w:eastAsia="ru-RU"/>
              </w:rPr>
              <w:t>55,74</w:t>
            </w:r>
          </w:p>
        </w:tc>
        <w:tc>
          <w:tcPr>
            <w:tcW w:w="255" w:type="pct"/>
            <w:tcBorders>
              <w:top w:val="nil"/>
              <w:left w:val="nil"/>
              <w:bottom w:val="single" w:sz="4" w:space="0" w:color="auto"/>
              <w:right w:val="single" w:sz="4" w:space="0" w:color="auto"/>
            </w:tcBorders>
            <w:shd w:val="clear" w:color="000000" w:fill="FFFFFF"/>
            <w:noWrap/>
            <w:vAlign w:val="center"/>
            <w:hideMark/>
          </w:tcPr>
          <w:p w14:paraId="73A343DC" w14:textId="77777777" w:rsidR="009A4C46" w:rsidRPr="00F94FED" w:rsidRDefault="009A4C46" w:rsidP="009A4C46">
            <w:pPr>
              <w:spacing w:after="0" w:line="240" w:lineRule="auto"/>
              <w:jc w:val="center"/>
              <w:rPr>
                <w:rFonts w:eastAsia="Times New Roman"/>
                <w:sz w:val="18"/>
                <w:szCs w:val="18"/>
                <w:lang w:eastAsia="ru-RU"/>
              </w:rPr>
            </w:pPr>
            <w:r w:rsidRPr="00F94FED">
              <w:rPr>
                <w:rFonts w:eastAsia="Times New Roman"/>
                <w:color w:val="000000"/>
                <w:sz w:val="18"/>
                <w:szCs w:val="18"/>
                <w:lang w:eastAsia="ru-RU"/>
              </w:rPr>
              <w:t>86,62</w:t>
            </w:r>
          </w:p>
        </w:tc>
        <w:tc>
          <w:tcPr>
            <w:tcW w:w="319" w:type="pct"/>
            <w:tcBorders>
              <w:top w:val="nil"/>
              <w:left w:val="nil"/>
              <w:bottom w:val="single" w:sz="4" w:space="0" w:color="auto"/>
              <w:right w:val="single" w:sz="4" w:space="0" w:color="auto"/>
            </w:tcBorders>
            <w:shd w:val="clear" w:color="000000" w:fill="FFFFFF"/>
            <w:noWrap/>
            <w:vAlign w:val="center"/>
            <w:hideMark/>
          </w:tcPr>
          <w:p w14:paraId="596F3B44" w14:textId="77777777" w:rsidR="009A4C46" w:rsidRPr="00F94FED" w:rsidRDefault="009A4C46" w:rsidP="009A4C46">
            <w:pPr>
              <w:spacing w:after="0" w:line="240" w:lineRule="auto"/>
              <w:jc w:val="center"/>
              <w:rPr>
                <w:rFonts w:eastAsia="Times New Roman"/>
                <w:sz w:val="18"/>
                <w:szCs w:val="18"/>
                <w:lang w:eastAsia="ru-RU"/>
              </w:rPr>
            </w:pPr>
            <w:r w:rsidRPr="00F94FED">
              <w:rPr>
                <w:rFonts w:eastAsia="Times New Roman"/>
                <w:color w:val="000000"/>
                <w:sz w:val="18"/>
                <w:szCs w:val="18"/>
                <w:lang w:eastAsia="ru-RU"/>
              </w:rPr>
              <w:t>43,71</w:t>
            </w:r>
          </w:p>
        </w:tc>
        <w:tc>
          <w:tcPr>
            <w:tcW w:w="273" w:type="pct"/>
            <w:tcBorders>
              <w:top w:val="nil"/>
              <w:left w:val="nil"/>
              <w:bottom w:val="single" w:sz="4" w:space="0" w:color="auto"/>
              <w:right w:val="single" w:sz="4" w:space="0" w:color="auto"/>
            </w:tcBorders>
            <w:shd w:val="clear" w:color="000000" w:fill="FFFFFF"/>
            <w:noWrap/>
            <w:vAlign w:val="center"/>
            <w:hideMark/>
          </w:tcPr>
          <w:p w14:paraId="1B4192B8" w14:textId="77777777" w:rsidR="009A4C46" w:rsidRPr="00F94FED" w:rsidRDefault="009A4C46" w:rsidP="009A4C46">
            <w:pPr>
              <w:spacing w:after="0" w:line="240" w:lineRule="auto"/>
              <w:jc w:val="center"/>
              <w:rPr>
                <w:rFonts w:eastAsia="Times New Roman"/>
                <w:sz w:val="18"/>
                <w:szCs w:val="18"/>
                <w:lang w:eastAsia="ru-RU"/>
              </w:rPr>
            </w:pPr>
            <w:r w:rsidRPr="00F94FED">
              <w:rPr>
                <w:rFonts w:eastAsia="Times New Roman"/>
                <w:color w:val="000000"/>
                <w:sz w:val="18"/>
                <w:szCs w:val="18"/>
                <w:lang w:eastAsia="ru-RU"/>
              </w:rPr>
              <w:t>40,54</w:t>
            </w:r>
          </w:p>
        </w:tc>
        <w:tc>
          <w:tcPr>
            <w:tcW w:w="318" w:type="pct"/>
            <w:tcBorders>
              <w:top w:val="nil"/>
              <w:left w:val="nil"/>
              <w:bottom w:val="single" w:sz="4" w:space="0" w:color="auto"/>
              <w:right w:val="single" w:sz="4" w:space="0" w:color="auto"/>
            </w:tcBorders>
            <w:shd w:val="clear" w:color="000000" w:fill="FFFFFF"/>
            <w:noWrap/>
            <w:vAlign w:val="center"/>
            <w:hideMark/>
          </w:tcPr>
          <w:p w14:paraId="3DA66FB7" w14:textId="77777777" w:rsidR="009A4C46" w:rsidRPr="00F94FED" w:rsidRDefault="009A4C46" w:rsidP="009A4C46">
            <w:pPr>
              <w:spacing w:after="0" w:line="240" w:lineRule="auto"/>
              <w:jc w:val="center"/>
              <w:rPr>
                <w:rFonts w:eastAsia="Times New Roman"/>
                <w:sz w:val="18"/>
                <w:szCs w:val="18"/>
                <w:lang w:eastAsia="ru-RU"/>
              </w:rPr>
            </w:pPr>
            <w:r w:rsidRPr="00F94FED">
              <w:rPr>
                <w:rFonts w:eastAsia="Times New Roman"/>
                <w:color w:val="000000"/>
                <w:sz w:val="18"/>
                <w:szCs w:val="18"/>
                <w:lang w:eastAsia="ru-RU"/>
              </w:rPr>
              <w:t>84,25012</w:t>
            </w:r>
          </w:p>
        </w:tc>
        <w:tc>
          <w:tcPr>
            <w:tcW w:w="301" w:type="pct"/>
            <w:tcBorders>
              <w:top w:val="nil"/>
              <w:left w:val="nil"/>
              <w:bottom w:val="single" w:sz="4" w:space="0" w:color="auto"/>
              <w:right w:val="single" w:sz="4" w:space="0" w:color="auto"/>
            </w:tcBorders>
            <w:shd w:val="clear" w:color="000000" w:fill="FFFFFF"/>
            <w:noWrap/>
            <w:vAlign w:val="center"/>
            <w:hideMark/>
          </w:tcPr>
          <w:p w14:paraId="35189546" w14:textId="77777777" w:rsidR="009A4C46" w:rsidRPr="00F94FED" w:rsidRDefault="009A4C46" w:rsidP="009A4C46">
            <w:pPr>
              <w:spacing w:after="0" w:line="240" w:lineRule="auto"/>
              <w:jc w:val="center"/>
              <w:rPr>
                <w:rFonts w:eastAsia="Times New Roman"/>
                <w:sz w:val="18"/>
                <w:szCs w:val="18"/>
                <w:lang w:eastAsia="ru-RU"/>
              </w:rPr>
            </w:pPr>
            <w:r w:rsidRPr="00F94FED">
              <w:rPr>
                <w:rFonts w:eastAsia="Times New Roman"/>
                <w:color w:val="000000"/>
                <w:sz w:val="18"/>
                <w:szCs w:val="18"/>
                <w:lang w:eastAsia="ru-RU"/>
              </w:rPr>
              <w:t>-2,37</w:t>
            </w:r>
          </w:p>
        </w:tc>
        <w:tc>
          <w:tcPr>
            <w:tcW w:w="373" w:type="pct"/>
            <w:tcBorders>
              <w:top w:val="nil"/>
              <w:left w:val="nil"/>
              <w:bottom w:val="single" w:sz="4" w:space="0" w:color="auto"/>
              <w:right w:val="single" w:sz="4" w:space="0" w:color="auto"/>
            </w:tcBorders>
            <w:shd w:val="clear" w:color="auto" w:fill="auto"/>
            <w:noWrap/>
            <w:vAlign w:val="center"/>
            <w:hideMark/>
          </w:tcPr>
          <w:p w14:paraId="0B237773" w14:textId="77777777" w:rsidR="009A4C46" w:rsidRPr="00F94FED" w:rsidRDefault="009A4C46" w:rsidP="009A4C46">
            <w:pPr>
              <w:spacing w:after="0" w:line="240" w:lineRule="auto"/>
              <w:jc w:val="center"/>
              <w:rPr>
                <w:rFonts w:eastAsia="Times New Roman"/>
                <w:sz w:val="18"/>
                <w:szCs w:val="18"/>
                <w:lang w:eastAsia="ru-RU"/>
              </w:rPr>
            </w:pPr>
            <w:r w:rsidRPr="00F94FED">
              <w:rPr>
                <w:rFonts w:eastAsia="Times New Roman"/>
                <w:color w:val="000000"/>
                <w:sz w:val="18"/>
                <w:szCs w:val="18"/>
                <w:lang w:eastAsia="ru-RU"/>
              </w:rPr>
              <w:t>117 694</w:t>
            </w:r>
          </w:p>
        </w:tc>
        <w:tc>
          <w:tcPr>
            <w:tcW w:w="373" w:type="pct"/>
            <w:tcBorders>
              <w:top w:val="nil"/>
              <w:left w:val="nil"/>
              <w:bottom w:val="single" w:sz="4" w:space="0" w:color="auto"/>
              <w:right w:val="single" w:sz="4" w:space="0" w:color="auto"/>
            </w:tcBorders>
            <w:shd w:val="clear" w:color="auto" w:fill="auto"/>
            <w:noWrap/>
            <w:vAlign w:val="center"/>
            <w:hideMark/>
          </w:tcPr>
          <w:p w14:paraId="6AAA2229" w14:textId="77777777" w:rsidR="009A4C46" w:rsidRPr="00F94FED" w:rsidRDefault="009A4C46" w:rsidP="009A4C46">
            <w:pPr>
              <w:spacing w:after="0" w:line="240" w:lineRule="auto"/>
              <w:jc w:val="center"/>
              <w:rPr>
                <w:rFonts w:eastAsia="Times New Roman"/>
                <w:sz w:val="18"/>
                <w:szCs w:val="18"/>
                <w:lang w:eastAsia="ru-RU"/>
              </w:rPr>
            </w:pPr>
            <w:r w:rsidRPr="00F94FED">
              <w:rPr>
                <w:rFonts w:eastAsia="Times New Roman"/>
                <w:color w:val="000000"/>
                <w:sz w:val="18"/>
                <w:szCs w:val="18"/>
                <w:lang w:eastAsia="ru-RU"/>
              </w:rPr>
              <w:t>231 563</w:t>
            </w:r>
          </w:p>
        </w:tc>
        <w:tc>
          <w:tcPr>
            <w:tcW w:w="357" w:type="pct"/>
            <w:tcBorders>
              <w:top w:val="nil"/>
              <w:left w:val="nil"/>
              <w:bottom w:val="single" w:sz="4" w:space="0" w:color="auto"/>
              <w:right w:val="single" w:sz="4" w:space="0" w:color="auto"/>
            </w:tcBorders>
            <w:shd w:val="clear" w:color="auto" w:fill="auto"/>
            <w:noWrap/>
            <w:vAlign w:val="center"/>
            <w:hideMark/>
          </w:tcPr>
          <w:p w14:paraId="1BED5F41" w14:textId="77777777" w:rsidR="009A4C46" w:rsidRPr="00F94FED" w:rsidRDefault="009A4C46" w:rsidP="009A4C46">
            <w:pPr>
              <w:spacing w:after="0" w:line="240" w:lineRule="auto"/>
              <w:jc w:val="center"/>
              <w:rPr>
                <w:rFonts w:eastAsia="Times New Roman"/>
                <w:sz w:val="18"/>
                <w:szCs w:val="18"/>
                <w:lang w:eastAsia="ru-RU"/>
              </w:rPr>
            </w:pPr>
            <w:r w:rsidRPr="00F94FED">
              <w:rPr>
                <w:rFonts w:eastAsia="Times New Roman"/>
                <w:color w:val="000000"/>
                <w:sz w:val="18"/>
                <w:szCs w:val="18"/>
                <w:lang w:eastAsia="ru-RU"/>
              </w:rPr>
              <w:t>349 256</w:t>
            </w:r>
          </w:p>
        </w:tc>
        <w:tc>
          <w:tcPr>
            <w:tcW w:w="407" w:type="pct"/>
            <w:tcBorders>
              <w:top w:val="nil"/>
              <w:left w:val="nil"/>
              <w:bottom w:val="single" w:sz="4" w:space="0" w:color="auto"/>
              <w:right w:val="single" w:sz="4" w:space="0" w:color="auto"/>
            </w:tcBorders>
            <w:shd w:val="clear" w:color="auto" w:fill="auto"/>
            <w:noWrap/>
            <w:vAlign w:val="center"/>
            <w:hideMark/>
          </w:tcPr>
          <w:p w14:paraId="7C6C0AB7" w14:textId="77777777" w:rsidR="009A4C46" w:rsidRPr="00F94FED" w:rsidRDefault="009A4C46" w:rsidP="009A4C46">
            <w:pPr>
              <w:spacing w:after="0" w:line="240" w:lineRule="auto"/>
              <w:jc w:val="center"/>
              <w:rPr>
                <w:rFonts w:eastAsia="Times New Roman"/>
                <w:sz w:val="18"/>
                <w:szCs w:val="18"/>
                <w:lang w:eastAsia="ru-RU"/>
              </w:rPr>
            </w:pPr>
            <w:r w:rsidRPr="00F94FED">
              <w:rPr>
                <w:rFonts w:eastAsia="Times New Roman"/>
                <w:color w:val="000000"/>
                <w:sz w:val="18"/>
                <w:szCs w:val="18"/>
                <w:lang w:eastAsia="ru-RU"/>
              </w:rPr>
              <w:t>169 762</w:t>
            </w:r>
          </w:p>
        </w:tc>
        <w:tc>
          <w:tcPr>
            <w:tcW w:w="319" w:type="pct"/>
            <w:tcBorders>
              <w:top w:val="nil"/>
              <w:left w:val="nil"/>
              <w:bottom w:val="single" w:sz="4" w:space="0" w:color="auto"/>
              <w:right w:val="single" w:sz="4" w:space="0" w:color="auto"/>
            </w:tcBorders>
            <w:shd w:val="clear" w:color="auto" w:fill="auto"/>
            <w:noWrap/>
            <w:vAlign w:val="center"/>
            <w:hideMark/>
          </w:tcPr>
          <w:p w14:paraId="57E400F8" w14:textId="77777777" w:rsidR="009A4C46" w:rsidRPr="00F94FED" w:rsidRDefault="009A4C46" w:rsidP="009A4C46">
            <w:pPr>
              <w:spacing w:after="0" w:line="240" w:lineRule="auto"/>
              <w:jc w:val="center"/>
              <w:rPr>
                <w:rFonts w:eastAsia="Times New Roman"/>
                <w:sz w:val="18"/>
                <w:szCs w:val="18"/>
                <w:lang w:eastAsia="ru-RU"/>
              </w:rPr>
            </w:pPr>
            <w:r w:rsidRPr="00F94FED">
              <w:rPr>
                <w:rFonts w:eastAsia="Times New Roman"/>
                <w:color w:val="000000"/>
                <w:sz w:val="18"/>
                <w:szCs w:val="18"/>
                <w:lang w:eastAsia="ru-RU"/>
              </w:rPr>
              <w:t>161 341</w:t>
            </w:r>
          </w:p>
        </w:tc>
        <w:tc>
          <w:tcPr>
            <w:tcW w:w="413" w:type="pct"/>
            <w:tcBorders>
              <w:top w:val="nil"/>
              <w:left w:val="nil"/>
              <w:bottom w:val="single" w:sz="4" w:space="0" w:color="auto"/>
              <w:right w:val="single" w:sz="4" w:space="0" w:color="auto"/>
            </w:tcBorders>
            <w:shd w:val="clear" w:color="auto" w:fill="auto"/>
            <w:noWrap/>
            <w:vAlign w:val="center"/>
            <w:hideMark/>
          </w:tcPr>
          <w:p w14:paraId="610618E9" w14:textId="77777777" w:rsidR="009A4C46" w:rsidRPr="00F94FED" w:rsidRDefault="009A4C46" w:rsidP="009A4C46">
            <w:pPr>
              <w:spacing w:after="0" w:line="240" w:lineRule="auto"/>
              <w:jc w:val="center"/>
              <w:rPr>
                <w:rFonts w:eastAsia="Times New Roman"/>
                <w:sz w:val="18"/>
                <w:szCs w:val="18"/>
                <w:lang w:eastAsia="ru-RU"/>
              </w:rPr>
            </w:pPr>
            <w:r w:rsidRPr="00F94FED">
              <w:rPr>
                <w:rFonts w:eastAsia="Times New Roman"/>
                <w:color w:val="000000"/>
                <w:sz w:val="18"/>
                <w:szCs w:val="18"/>
                <w:lang w:eastAsia="ru-RU"/>
              </w:rPr>
              <w:t>331 103</w:t>
            </w:r>
          </w:p>
        </w:tc>
        <w:tc>
          <w:tcPr>
            <w:tcW w:w="317" w:type="pct"/>
            <w:tcBorders>
              <w:top w:val="nil"/>
              <w:left w:val="nil"/>
              <w:bottom w:val="single" w:sz="4" w:space="0" w:color="auto"/>
              <w:right w:val="single" w:sz="4" w:space="0" w:color="auto"/>
            </w:tcBorders>
            <w:shd w:val="clear" w:color="auto" w:fill="auto"/>
            <w:noWrap/>
            <w:vAlign w:val="center"/>
            <w:hideMark/>
          </w:tcPr>
          <w:p w14:paraId="41F69549" w14:textId="77777777" w:rsidR="009A4C46" w:rsidRPr="00F94FED" w:rsidRDefault="009A4C46" w:rsidP="009A4C46">
            <w:pPr>
              <w:spacing w:after="0" w:line="240" w:lineRule="auto"/>
              <w:jc w:val="center"/>
              <w:rPr>
                <w:rFonts w:eastAsia="Times New Roman"/>
                <w:sz w:val="18"/>
                <w:szCs w:val="18"/>
                <w:lang w:eastAsia="ru-RU"/>
              </w:rPr>
            </w:pPr>
            <w:r w:rsidRPr="00F94FED">
              <w:rPr>
                <w:rFonts w:eastAsia="Times New Roman"/>
                <w:color w:val="000000"/>
                <w:sz w:val="18"/>
                <w:szCs w:val="18"/>
                <w:lang w:eastAsia="ru-RU"/>
              </w:rPr>
              <w:t>-18 153</w:t>
            </w:r>
          </w:p>
        </w:tc>
      </w:tr>
      <w:tr w:rsidR="00F94FED" w:rsidRPr="00D75241" w14:paraId="46FA5796" w14:textId="77777777" w:rsidTr="00F94FED">
        <w:trPr>
          <w:trHeight w:val="300"/>
        </w:trPr>
        <w:tc>
          <w:tcPr>
            <w:tcW w:w="459" w:type="pct"/>
            <w:tcBorders>
              <w:top w:val="nil"/>
              <w:left w:val="single" w:sz="4" w:space="0" w:color="auto"/>
              <w:bottom w:val="single" w:sz="4" w:space="0" w:color="auto"/>
              <w:right w:val="single" w:sz="4" w:space="0" w:color="auto"/>
            </w:tcBorders>
            <w:shd w:val="clear" w:color="auto" w:fill="auto"/>
            <w:noWrap/>
            <w:vAlign w:val="center"/>
            <w:hideMark/>
          </w:tcPr>
          <w:p w14:paraId="7BD2C00A" w14:textId="77777777" w:rsidR="009A4C46" w:rsidRPr="00F94FED" w:rsidRDefault="009A4C46" w:rsidP="009A4C46">
            <w:pPr>
              <w:spacing w:after="0" w:line="240" w:lineRule="auto"/>
              <w:rPr>
                <w:rFonts w:eastAsia="Times New Roman"/>
                <w:b/>
                <w:bCs/>
                <w:sz w:val="18"/>
                <w:szCs w:val="18"/>
                <w:lang w:eastAsia="ru-RU"/>
              </w:rPr>
            </w:pPr>
            <w:r w:rsidRPr="00F94FED">
              <w:rPr>
                <w:rFonts w:eastAsia="Times New Roman"/>
                <w:b/>
                <w:bCs/>
                <w:sz w:val="18"/>
                <w:szCs w:val="18"/>
                <w:lang w:eastAsia="ru-RU"/>
              </w:rPr>
              <w:t>Население</w:t>
            </w:r>
          </w:p>
        </w:tc>
        <w:tc>
          <w:tcPr>
            <w:tcW w:w="270" w:type="pct"/>
            <w:tcBorders>
              <w:top w:val="nil"/>
              <w:left w:val="single" w:sz="4" w:space="0" w:color="auto"/>
              <w:bottom w:val="single" w:sz="4" w:space="0" w:color="auto"/>
              <w:right w:val="single" w:sz="4" w:space="0" w:color="auto"/>
            </w:tcBorders>
            <w:shd w:val="clear" w:color="000000" w:fill="FFFFFF"/>
            <w:noWrap/>
            <w:vAlign w:val="center"/>
            <w:hideMark/>
          </w:tcPr>
          <w:p w14:paraId="5F1E3D23" w14:textId="77777777" w:rsidR="009A4C46" w:rsidRPr="00F94FED" w:rsidRDefault="009A4C46" w:rsidP="009A4C46">
            <w:pPr>
              <w:spacing w:after="0" w:line="240" w:lineRule="auto"/>
              <w:jc w:val="center"/>
              <w:rPr>
                <w:rFonts w:eastAsia="Times New Roman"/>
                <w:b/>
                <w:bCs/>
                <w:sz w:val="18"/>
                <w:szCs w:val="18"/>
                <w:lang w:eastAsia="ru-RU"/>
              </w:rPr>
            </w:pPr>
            <w:r w:rsidRPr="00F94FED">
              <w:rPr>
                <w:rFonts w:eastAsia="Times New Roman"/>
                <w:b/>
                <w:bCs/>
                <w:color w:val="000000"/>
                <w:sz w:val="18"/>
                <w:szCs w:val="18"/>
                <w:lang w:eastAsia="ru-RU"/>
              </w:rPr>
              <w:t>107,40</w:t>
            </w:r>
          </w:p>
        </w:tc>
        <w:tc>
          <w:tcPr>
            <w:tcW w:w="246" w:type="pct"/>
            <w:tcBorders>
              <w:top w:val="nil"/>
              <w:left w:val="nil"/>
              <w:bottom w:val="single" w:sz="4" w:space="0" w:color="auto"/>
              <w:right w:val="single" w:sz="4" w:space="0" w:color="auto"/>
            </w:tcBorders>
            <w:shd w:val="clear" w:color="000000" w:fill="FFFFFF"/>
            <w:noWrap/>
            <w:vAlign w:val="center"/>
            <w:hideMark/>
          </w:tcPr>
          <w:p w14:paraId="261C4B26" w14:textId="77777777" w:rsidR="009A4C46" w:rsidRPr="00F94FED" w:rsidRDefault="009A4C46" w:rsidP="009A4C46">
            <w:pPr>
              <w:spacing w:after="0" w:line="240" w:lineRule="auto"/>
              <w:jc w:val="center"/>
              <w:rPr>
                <w:rFonts w:eastAsia="Times New Roman"/>
                <w:b/>
                <w:bCs/>
                <w:sz w:val="18"/>
                <w:szCs w:val="18"/>
                <w:lang w:eastAsia="ru-RU"/>
              </w:rPr>
            </w:pPr>
            <w:r w:rsidRPr="00F94FED">
              <w:rPr>
                <w:rFonts w:eastAsia="Times New Roman"/>
                <w:b/>
                <w:bCs/>
                <w:color w:val="000000"/>
                <w:sz w:val="18"/>
                <w:szCs w:val="18"/>
                <w:lang w:eastAsia="ru-RU"/>
              </w:rPr>
              <w:t>107,80</w:t>
            </w:r>
          </w:p>
        </w:tc>
        <w:tc>
          <w:tcPr>
            <w:tcW w:w="255" w:type="pct"/>
            <w:tcBorders>
              <w:top w:val="nil"/>
              <w:left w:val="nil"/>
              <w:bottom w:val="single" w:sz="4" w:space="0" w:color="auto"/>
              <w:right w:val="single" w:sz="4" w:space="0" w:color="auto"/>
            </w:tcBorders>
            <w:shd w:val="clear" w:color="000000" w:fill="FFFFFF"/>
            <w:noWrap/>
            <w:vAlign w:val="center"/>
            <w:hideMark/>
          </w:tcPr>
          <w:p w14:paraId="267BA5B5" w14:textId="77777777" w:rsidR="009A4C46" w:rsidRPr="00F94FED" w:rsidRDefault="009A4C46" w:rsidP="009A4C46">
            <w:pPr>
              <w:spacing w:after="0" w:line="240" w:lineRule="auto"/>
              <w:jc w:val="center"/>
              <w:rPr>
                <w:rFonts w:eastAsia="Times New Roman"/>
                <w:b/>
                <w:bCs/>
                <w:sz w:val="18"/>
                <w:szCs w:val="18"/>
                <w:lang w:eastAsia="ru-RU"/>
              </w:rPr>
            </w:pPr>
            <w:r w:rsidRPr="00F94FED">
              <w:rPr>
                <w:rFonts w:eastAsia="Times New Roman"/>
                <w:b/>
                <w:bCs/>
                <w:color w:val="000000"/>
                <w:sz w:val="18"/>
                <w:szCs w:val="18"/>
                <w:lang w:eastAsia="ru-RU"/>
              </w:rPr>
              <w:t>215,20</w:t>
            </w:r>
          </w:p>
        </w:tc>
        <w:tc>
          <w:tcPr>
            <w:tcW w:w="319" w:type="pct"/>
            <w:tcBorders>
              <w:top w:val="nil"/>
              <w:left w:val="nil"/>
              <w:bottom w:val="single" w:sz="4" w:space="0" w:color="auto"/>
              <w:right w:val="single" w:sz="4" w:space="0" w:color="auto"/>
            </w:tcBorders>
            <w:shd w:val="clear" w:color="000000" w:fill="FFFFFF"/>
            <w:noWrap/>
            <w:vAlign w:val="center"/>
            <w:hideMark/>
          </w:tcPr>
          <w:p w14:paraId="7090CD5E" w14:textId="77777777" w:rsidR="009A4C46" w:rsidRPr="00F94FED" w:rsidRDefault="009A4C46" w:rsidP="009A4C46">
            <w:pPr>
              <w:spacing w:after="0" w:line="240" w:lineRule="auto"/>
              <w:jc w:val="center"/>
              <w:rPr>
                <w:rFonts w:eastAsia="Times New Roman"/>
                <w:b/>
                <w:bCs/>
                <w:sz w:val="18"/>
                <w:szCs w:val="18"/>
                <w:lang w:eastAsia="ru-RU"/>
              </w:rPr>
            </w:pPr>
            <w:r w:rsidRPr="00F94FED">
              <w:rPr>
                <w:rFonts w:eastAsia="Times New Roman"/>
                <w:b/>
                <w:bCs/>
                <w:color w:val="000000"/>
                <w:sz w:val="18"/>
                <w:szCs w:val="18"/>
                <w:lang w:eastAsia="ru-RU"/>
              </w:rPr>
              <w:t>126,16</w:t>
            </w:r>
          </w:p>
        </w:tc>
        <w:tc>
          <w:tcPr>
            <w:tcW w:w="273" w:type="pct"/>
            <w:tcBorders>
              <w:top w:val="nil"/>
              <w:left w:val="nil"/>
              <w:bottom w:val="single" w:sz="4" w:space="0" w:color="auto"/>
              <w:right w:val="single" w:sz="4" w:space="0" w:color="auto"/>
            </w:tcBorders>
            <w:shd w:val="clear" w:color="000000" w:fill="FFFFFF"/>
            <w:noWrap/>
            <w:vAlign w:val="center"/>
            <w:hideMark/>
          </w:tcPr>
          <w:p w14:paraId="7E238D53" w14:textId="77777777" w:rsidR="009A4C46" w:rsidRPr="00F94FED" w:rsidRDefault="009A4C46" w:rsidP="009A4C46">
            <w:pPr>
              <w:spacing w:after="0" w:line="240" w:lineRule="auto"/>
              <w:jc w:val="center"/>
              <w:rPr>
                <w:rFonts w:eastAsia="Times New Roman"/>
                <w:b/>
                <w:bCs/>
                <w:sz w:val="18"/>
                <w:szCs w:val="18"/>
                <w:lang w:eastAsia="ru-RU"/>
              </w:rPr>
            </w:pPr>
            <w:r w:rsidRPr="00F94FED">
              <w:rPr>
                <w:rFonts w:eastAsia="Times New Roman"/>
                <w:b/>
                <w:bCs/>
                <w:color w:val="000000"/>
                <w:sz w:val="18"/>
                <w:szCs w:val="18"/>
                <w:lang w:eastAsia="ru-RU"/>
              </w:rPr>
              <w:t>112,38</w:t>
            </w:r>
          </w:p>
        </w:tc>
        <w:tc>
          <w:tcPr>
            <w:tcW w:w="318" w:type="pct"/>
            <w:tcBorders>
              <w:top w:val="nil"/>
              <w:left w:val="nil"/>
              <w:bottom w:val="single" w:sz="4" w:space="0" w:color="auto"/>
              <w:right w:val="single" w:sz="4" w:space="0" w:color="auto"/>
            </w:tcBorders>
            <w:shd w:val="clear" w:color="000000" w:fill="FFFFFF"/>
            <w:noWrap/>
            <w:vAlign w:val="center"/>
            <w:hideMark/>
          </w:tcPr>
          <w:p w14:paraId="34F1A4DC" w14:textId="77777777" w:rsidR="009A4C46" w:rsidRPr="00F94FED" w:rsidRDefault="009A4C46" w:rsidP="009A4C46">
            <w:pPr>
              <w:spacing w:after="0" w:line="240" w:lineRule="auto"/>
              <w:jc w:val="center"/>
              <w:rPr>
                <w:rFonts w:eastAsia="Times New Roman"/>
                <w:b/>
                <w:bCs/>
                <w:sz w:val="18"/>
                <w:szCs w:val="18"/>
                <w:lang w:eastAsia="ru-RU"/>
              </w:rPr>
            </w:pPr>
            <w:r w:rsidRPr="00F94FED">
              <w:rPr>
                <w:rFonts w:eastAsia="Times New Roman"/>
                <w:b/>
                <w:bCs/>
                <w:color w:val="000000"/>
                <w:sz w:val="18"/>
                <w:szCs w:val="18"/>
                <w:lang w:eastAsia="ru-RU"/>
              </w:rPr>
              <w:t>238,54</w:t>
            </w:r>
          </w:p>
        </w:tc>
        <w:tc>
          <w:tcPr>
            <w:tcW w:w="301" w:type="pct"/>
            <w:tcBorders>
              <w:top w:val="nil"/>
              <w:left w:val="nil"/>
              <w:bottom w:val="single" w:sz="4" w:space="0" w:color="auto"/>
              <w:right w:val="single" w:sz="4" w:space="0" w:color="auto"/>
            </w:tcBorders>
            <w:shd w:val="clear" w:color="000000" w:fill="FFFFFF"/>
            <w:noWrap/>
            <w:vAlign w:val="center"/>
            <w:hideMark/>
          </w:tcPr>
          <w:p w14:paraId="354E6191" w14:textId="77777777" w:rsidR="009A4C46" w:rsidRPr="00F94FED" w:rsidRDefault="009A4C46" w:rsidP="009A4C46">
            <w:pPr>
              <w:spacing w:after="0" w:line="240" w:lineRule="auto"/>
              <w:jc w:val="center"/>
              <w:rPr>
                <w:rFonts w:eastAsia="Times New Roman"/>
                <w:b/>
                <w:bCs/>
                <w:sz w:val="18"/>
                <w:szCs w:val="18"/>
                <w:lang w:eastAsia="ru-RU"/>
              </w:rPr>
            </w:pPr>
            <w:r w:rsidRPr="00F94FED">
              <w:rPr>
                <w:rFonts w:eastAsia="Times New Roman"/>
                <w:b/>
                <w:bCs/>
                <w:color w:val="000000"/>
                <w:sz w:val="18"/>
                <w:szCs w:val="18"/>
                <w:lang w:eastAsia="ru-RU"/>
              </w:rPr>
              <w:t>23,34</w:t>
            </w:r>
          </w:p>
        </w:tc>
        <w:tc>
          <w:tcPr>
            <w:tcW w:w="373" w:type="pct"/>
            <w:tcBorders>
              <w:top w:val="nil"/>
              <w:left w:val="nil"/>
              <w:bottom w:val="single" w:sz="4" w:space="0" w:color="auto"/>
              <w:right w:val="single" w:sz="4" w:space="0" w:color="auto"/>
            </w:tcBorders>
            <w:shd w:val="clear" w:color="auto" w:fill="auto"/>
            <w:noWrap/>
            <w:vAlign w:val="center"/>
            <w:hideMark/>
          </w:tcPr>
          <w:p w14:paraId="1B01C2C2" w14:textId="77777777" w:rsidR="009A4C46" w:rsidRPr="00F94FED" w:rsidRDefault="009A4C46" w:rsidP="009A4C46">
            <w:pPr>
              <w:spacing w:after="0" w:line="240" w:lineRule="auto"/>
              <w:jc w:val="center"/>
              <w:rPr>
                <w:rFonts w:eastAsia="Times New Roman"/>
                <w:b/>
                <w:bCs/>
                <w:sz w:val="18"/>
                <w:szCs w:val="18"/>
                <w:lang w:eastAsia="ru-RU"/>
              </w:rPr>
            </w:pPr>
            <w:r w:rsidRPr="00F94FED">
              <w:rPr>
                <w:rFonts w:eastAsia="Times New Roman"/>
                <w:b/>
                <w:bCs/>
                <w:color w:val="000000"/>
                <w:sz w:val="18"/>
                <w:szCs w:val="18"/>
                <w:lang w:eastAsia="ru-RU"/>
              </w:rPr>
              <w:t>245 488</w:t>
            </w:r>
          </w:p>
        </w:tc>
        <w:tc>
          <w:tcPr>
            <w:tcW w:w="373" w:type="pct"/>
            <w:tcBorders>
              <w:top w:val="nil"/>
              <w:left w:val="nil"/>
              <w:bottom w:val="single" w:sz="4" w:space="0" w:color="auto"/>
              <w:right w:val="single" w:sz="4" w:space="0" w:color="auto"/>
            </w:tcBorders>
            <w:shd w:val="clear" w:color="auto" w:fill="auto"/>
            <w:noWrap/>
            <w:vAlign w:val="center"/>
            <w:hideMark/>
          </w:tcPr>
          <w:p w14:paraId="2D99401B" w14:textId="77777777" w:rsidR="009A4C46" w:rsidRPr="00F94FED" w:rsidRDefault="009A4C46" w:rsidP="009A4C46">
            <w:pPr>
              <w:spacing w:after="0" w:line="240" w:lineRule="auto"/>
              <w:jc w:val="center"/>
              <w:rPr>
                <w:rFonts w:eastAsia="Times New Roman"/>
                <w:b/>
                <w:bCs/>
                <w:sz w:val="18"/>
                <w:szCs w:val="18"/>
                <w:lang w:eastAsia="ru-RU"/>
              </w:rPr>
            </w:pPr>
            <w:r w:rsidRPr="00F94FED">
              <w:rPr>
                <w:rFonts w:eastAsia="Times New Roman"/>
                <w:b/>
                <w:bCs/>
                <w:color w:val="000000"/>
                <w:sz w:val="18"/>
                <w:szCs w:val="18"/>
                <w:lang w:eastAsia="ru-RU"/>
              </w:rPr>
              <w:t>260 622</w:t>
            </w:r>
          </w:p>
        </w:tc>
        <w:tc>
          <w:tcPr>
            <w:tcW w:w="357" w:type="pct"/>
            <w:tcBorders>
              <w:top w:val="nil"/>
              <w:left w:val="nil"/>
              <w:bottom w:val="single" w:sz="4" w:space="0" w:color="auto"/>
              <w:right w:val="single" w:sz="4" w:space="0" w:color="auto"/>
            </w:tcBorders>
            <w:shd w:val="clear" w:color="auto" w:fill="auto"/>
            <w:noWrap/>
            <w:vAlign w:val="center"/>
            <w:hideMark/>
          </w:tcPr>
          <w:p w14:paraId="6B3D050D" w14:textId="77777777" w:rsidR="009A4C46" w:rsidRPr="00F94FED" w:rsidRDefault="009A4C46" w:rsidP="009A4C46">
            <w:pPr>
              <w:spacing w:after="0" w:line="240" w:lineRule="auto"/>
              <w:jc w:val="center"/>
              <w:rPr>
                <w:rFonts w:eastAsia="Times New Roman"/>
                <w:b/>
                <w:bCs/>
                <w:sz w:val="18"/>
                <w:szCs w:val="18"/>
                <w:lang w:eastAsia="ru-RU"/>
              </w:rPr>
            </w:pPr>
            <w:r w:rsidRPr="00F94FED">
              <w:rPr>
                <w:rFonts w:eastAsia="Times New Roman"/>
                <w:b/>
                <w:bCs/>
                <w:color w:val="000000"/>
                <w:sz w:val="18"/>
                <w:szCs w:val="18"/>
                <w:lang w:eastAsia="ru-RU"/>
              </w:rPr>
              <w:t>506 110</w:t>
            </w:r>
          </w:p>
        </w:tc>
        <w:tc>
          <w:tcPr>
            <w:tcW w:w="407" w:type="pct"/>
            <w:tcBorders>
              <w:top w:val="nil"/>
              <w:left w:val="nil"/>
              <w:bottom w:val="single" w:sz="4" w:space="0" w:color="auto"/>
              <w:right w:val="single" w:sz="4" w:space="0" w:color="auto"/>
            </w:tcBorders>
            <w:shd w:val="clear" w:color="auto" w:fill="auto"/>
            <w:noWrap/>
            <w:vAlign w:val="center"/>
            <w:hideMark/>
          </w:tcPr>
          <w:p w14:paraId="1EF7BB3C" w14:textId="77777777" w:rsidR="009A4C46" w:rsidRPr="00F94FED" w:rsidRDefault="009A4C46" w:rsidP="009A4C46">
            <w:pPr>
              <w:spacing w:after="0" w:line="240" w:lineRule="auto"/>
              <w:jc w:val="center"/>
              <w:rPr>
                <w:rFonts w:eastAsia="Times New Roman"/>
                <w:b/>
                <w:bCs/>
                <w:sz w:val="18"/>
                <w:szCs w:val="18"/>
                <w:lang w:eastAsia="ru-RU"/>
              </w:rPr>
            </w:pPr>
            <w:r w:rsidRPr="00F94FED">
              <w:rPr>
                <w:rFonts w:eastAsia="Times New Roman"/>
                <w:b/>
                <w:bCs/>
                <w:color w:val="000000"/>
                <w:sz w:val="18"/>
                <w:szCs w:val="18"/>
                <w:lang w:eastAsia="ru-RU"/>
              </w:rPr>
              <w:t>225 798</w:t>
            </w:r>
          </w:p>
        </w:tc>
        <w:tc>
          <w:tcPr>
            <w:tcW w:w="319" w:type="pct"/>
            <w:tcBorders>
              <w:top w:val="nil"/>
              <w:left w:val="nil"/>
              <w:bottom w:val="single" w:sz="4" w:space="0" w:color="auto"/>
              <w:right w:val="single" w:sz="4" w:space="0" w:color="auto"/>
            </w:tcBorders>
            <w:shd w:val="clear" w:color="auto" w:fill="auto"/>
            <w:noWrap/>
            <w:vAlign w:val="center"/>
            <w:hideMark/>
          </w:tcPr>
          <w:p w14:paraId="20D6BBD9" w14:textId="77777777" w:rsidR="009A4C46" w:rsidRPr="00F94FED" w:rsidRDefault="009A4C46" w:rsidP="009A4C46">
            <w:pPr>
              <w:spacing w:after="0" w:line="240" w:lineRule="auto"/>
              <w:jc w:val="center"/>
              <w:rPr>
                <w:rFonts w:eastAsia="Times New Roman"/>
                <w:b/>
                <w:bCs/>
                <w:sz w:val="18"/>
                <w:szCs w:val="18"/>
                <w:lang w:eastAsia="ru-RU"/>
              </w:rPr>
            </w:pPr>
            <w:r w:rsidRPr="00F94FED">
              <w:rPr>
                <w:rFonts w:eastAsia="Times New Roman"/>
                <w:b/>
                <w:bCs/>
                <w:color w:val="000000"/>
                <w:sz w:val="18"/>
                <w:szCs w:val="18"/>
                <w:lang w:eastAsia="ru-RU"/>
              </w:rPr>
              <w:t>213 235</w:t>
            </w:r>
          </w:p>
        </w:tc>
        <w:tc>
          <w:tcPr>
            <w:tcW w:w="413" w:type="pct"/>
            <w:tcBorders>
              <w:top w:val="nil"/>
              <w:left w:val="nil"/>
              <w:bottom w:val="single" w:sz="4" w:space="0" w:color="auto"/>
              <w:right w:val="single" w:sz="4" w:space="0" w:color="auto"/>
            </w:tcBorders>
            <w:shd w:val="clear" w:color="auto" w:fill="auto"/>
            <w:noWrap/>
            <w:vAlign w:val="center"/>
            <w:hideMark/>
          </w:tcPr>
          <w:p w14:paraId="68F13F82" w14:textId="77777777" w:rsidR="009A4C46" w:rsidRPr="00F94FED" w:rsidRDefault="009A4C46" w:rsidP="009A4C46">
            <w:pPr>
              <w:spacing w:after="0" w:line="240" w:lineRule="auto"/>
              <w:jc w:val="center"/>
              <w:rPr>
                <w:rFonts w:eastAsia="Times New Roman"/>
                <w:b/>
                <w:bCs/>
                <w:sz w:val="18"/>
                <w:szCs w:val="18"/>
                <w:lang w:eastAsia="ru-RU"/>
              </w:rPr>
            </w:pPr>
            <w:r w:rsidRPr="00F94FED">
              <w:rPr>
                <w:rFonts w:eastAsia="Times New Roman"/>
                <w:b/>
                <w:bCs/>
                <w:color w:val="000000"/>
                <w:sz w:val="18"/>
                <w:szCs w:val="18"/>
                <w:lang w:eastAsia="ru-RU"/>
              </w:rPr>
              <w:t>439 033</w:t>
            </w:r>
          </w:p>
        </w:tc>
        <w:tc>
          <w:tcPr>
            <w:tcW w:w="317" w:type="pct"/>
            <w:tcBorders>
              <w:top w:val="nil"/>
              <w:left w:val="nil"/>
              <w:bottom w:val="single" w:sz="4" w:space="0" w:color="auto"/>
              <w:right w:val="single" w:sz="4" w:space="0" w:color="auto"/>
            </w:tcBorders>
            <w:shd w:val="clear" w:color="auto" w:fill="auto"/>
            <w:noWrap/>
            <w:vAlign w:val="center"/>
            <w:hideMark/>
          </w:tcPr>
          <w:p w14:paraId="0A1E499A" w14:textId="77777777" w:rsidR="009A4C46" w:rsidRPr="00F94FED" w:rsidRDefault="009A4C46" w:rsidP="009A4C46">
            <w:pPr>
              <w:spacing w:after="0" w:line="240" w:lineRule="auto"/>
              <w:jc w:val="center"/>
              <w:rPr>
                <w:rFonts w:eastAsia="Times New Roman"/>
                <w:b/>
                <w:bCs/>
                <w:sz w:val="18"/>
                <w:szCs w:val="18"/>
                <w:lang w:eastAsia="ru-RU"/>
              </w:rPr>
            </w:pPr>
            <w:r w:rsidRPr="00F94FED">
              <w:rPr>
                <w:rFonts w:eastAsia="Times New Roman"/>
                <w:b/>
                <w:bCs/>
                <w:color w:val="000000"/>
                <w:sz w:val="18"/>
                <w:szCs w:val="18"/>
                <w:lang w:eastAsia="ru-RU"/>
              </w:rPr>
              <w:t>-67 077</w:t>
            </w:r>
          </w:p>
        </w:tc>
      </w:tr>
      <w:tr w:rsidR="00F94FED" w:rsidRPr="00D75241" w14:paraId="7BE85E3F" w14:textId="77777777" w:rsidTr="00F94FED">
        <w:trPr>
          <w:trHeight w:val="300"/>
        </w:trPr>
        <w:tc>
          <w:tcPr>
            <w:tcW w:w="459" w:type="pct"/>
            <w:tcBorders>
              <w:top w:val="nil"/>
              <w:left w:val="single" w:sz="4" w:space="0" w:color="auto"/>
              <w:bottom w:val="single" w:sz="4" w:space="0" w:color="auto"/>
              <w:right w:val="single" w:sz="4" w:space="0" w:color="auto"/>
            </w:tcBorders>
            <w:shd w:val="clear" w:color="auto" w:fill="auto"/>
            <w:noWrap/>
            <w:vAlign w:val="center"/>
            <w:hideMark/>
          </w:tcPr>
          <w:p w14:paraId="0CFEE9A4" w14:textId="77777777" w:rsidR="009A4C46" w:rsidRPr="00F94FED" w:rsidRDefault="009A4C46" w:rsidP="009A4C46">
            <w:pPr>
              <w:spacing w:after="0" w:line="240" w:lineRule="auto"/>
              <w:jc w:val="right"/>
              <w:rPr>
                <w:rFonts w:eastAsia="Times New Roman"/>
                <w:sz w:val="18"/>
                <w:szCs w:val="18"/>
                <w:lang w:eastAsia="ru-RU"/>
              </w:rPr>
            </w:pPr>
            <w:r w:rsidRPr="00F94FED">
              <w:rPr>
                <w:rFonts w:eastAsia="Times New Roman"/>
                <w:sz w:val="18"/>
                <w:szCs w:val="18"/>
                <w:lang w:eastAsia="ru-RU"/>
              </w:rPr>
              <w:t>Категория 1, 4.2, 4.3, 4.4.</w:t>
            </w:r>
          </w:p>
        </w:tc>
        <w:tc>
          <w:tcPr>
            <w:tcW w:w="270" w:type="pct"/>
            <w:tcBorders>
              <w:top w:val="nil"/>
              <w:left w:val="single" w:sz="4" w:space="0" w:color="auto"/>
              <w:bottom w:val="single" w:sz="4" w:space="0" w:color="auto"/>
              <w:right w:val="single" w:sz="4" w:space="0" w:color="auto"/>
            </w:tcBorders>
            <w:shd w:val="clear" w:color="000000" w:fill="FFFFFF"/>
            <w:noWrap/>
            <w:vAlign w:val="center"/>
            <w:hideMark/>
          </w:tcPr>
          <w:p w14:paraId="2A55EB62" w14:textId="77777777" w:rsidR="009A4C46" w:rsidRPr="00F94FED" w:rsidRDefault="009A4C46" w:rsidP="009A4C46">
            <w:pPr>
              <w:spacing w:after="0" w:line="240" w:lineRule="auto"/>
              <w:jc w:val="center"/>
              <w:rPr>
                <w:rFonts w:eastAsia="Times New Roman"/>
                <w:sz w:val="18"/>
                <w:szCs w:val="18"/>
                <w:lang w:eastAsia="ru-RU"/>
              </w:rPr>
            </w:pPr>
            <w:r w:rsidRPr="00F94FED">
              <w:rPr>
                <w:rFonts w:eastAsia="Times New Roman"/>
                <w:color w:val="000000"/>
                <w:sz w:val="18"/>
                <w:szCs w:val="18"/>
                <w:lang w:eastAsia="ru-RU"/>
              </w:rPr>
              <w:t>102,06</w:t>
            </w:r>
          </w:p>
        </w:tc>
        <w:tc>
          <w:tcPr>
            <w:tcW w:w="246" w:type="pct"/>
            <w:tcBorders>
              <w:top w:val="nil"/>
              <w:left w:val="nil"/>
              <w:bottom w:val="single" w:sz="4" w:space="0" w:color="auto"/>
              <w:right w:val="single" w:sz="4" w:space="0" w:color="auto"/>
            </w:tcBorders>
            <w:shd w:val="clear" w:color="000000" w:fill="FFFFFF"/>
            <w:noWrap/>
            <w:vAlign w:val="center"/>
            <w:hideMark/>
          </w:tcPr>
          <w:p w14:paraId="3D33C7EC" w14:textId="77777777" w:rsidR="009A4C46" w:rsidRPr="00F94FED" w:rsidRDefault="009A4C46" w:rsidP="009A4C46">
            <w:pPr>
              <w:spacing w:after="0" w:line="240" w:lineRule="auto"/>
              <w:jc w:val="center"/>
              <w:rPr>
                <w:rFonts w:eastAsia="Times New Roman"/>
                <w:sz w:val="18"/>
                <w:szCs w:val="18"/>
                <w:lang w:eastAsia="ru-RU"/>
              </w:rPr>
            </w:pPr>
            <w:r w:rsidRPr="00F94FED">
              <w:rPr>
                <w:rFonts w:eastAsia="Times New Roman"/>
                <w:color w:val="000000"/>
                <w:sz w:val="18"/>
                <w:szCs w:val="18"/>
                <w:lang w:eastAsia="ru-RU"/>
              </w:rPr>
              <w:t>104,41</w:t>
            </w:r>
          </w:p>
        </w:tc>
        <w:tc>
          <w:tcPr>
            <w:tcW w:w="255" w:type="pct"/>
            <w:tcBorders>
              <w:top w:val="nil"/>
              <w:left w:val="nil"/>
              <w:bottom w:val="single" w:sz="4" w:space="0" w:color="auto"/>
              <w:right w:val="single" w:sz="4" w:space="0" w:color="auto"/>
            </w:tcBorders>
            <w:shd w:val="clear" w:color="000000" w:fill="FFFFFF"/>
            <w:noWrap/>
            <w:vAlign w:val="center"/>
            <w:hideMark/>
          </w:tcPr>
          <w:p w14:paraId="068980DB" w14:textId="77777777" w:rsidR="009A4C46" w:rsidRPr="00F94FED" w:rsidRDefault="009A4C46" w:rsidP="009A4C46">
            <w:pPr>
              <w:spacing w:after="0" w:line="240" w:lineRule="auto"/>
              <w:jc w:val="center"/>
              <w:rPr>
                <w:rFonts w:eastAsia="Times New Roman"/>
                <w:sz w:val="18"/>
                <w:szCs w:val="18"/>
                <w:lang w:eastAsia="ru-RU"/>
              </w:rPr>
            </w:pPr>
            <w:r w:rsidRPr="00F94FED">
              <w:rPr>
                <w:rFonts w:eastAsia="Times New Roman"/>
                <w:color w:val="000000"/>
                <w:sz w:val="18"/>
                <w:szCs w:val="18"/>
                <w:lang w:eastAsia="ru-RU"/>
              </w:rPr>
              <w:t>206,47</w:t>
            </w:r>
          </w:p>
        </w:tc>
        <w:tc>
          <w:tcPr>
            <w:tcW w:w="319" w:type="pct"/>
            <w:tcBorders>
              <w:top w:val="nil"/>
              <w:left w:val="nil"/>
              <w:bottom w:val="single" w:sz="4" w:space="0" w:color="auto"/>
              <w:right w:val="single" w:sz="4" w:space="0" w:color="auto"/>
            </w:tcBorders>
            <w:shd w:val="clear" w:color="000000" w:fill="FFFFFF"/>
            <w:noWrap/>
            <w:vAlign w:val="center"/>
            <w:hideMark/>
          </w:tcPr>
          <w:p w14:paraId="6420F60C" w14:textId="77777777" w:rsidR="009A4C46" w:rsidRPr="00F94FED" w:rsidRDefault="009A4C46" w:rsidP="009A4C46">
            <w:pPr>
              <w:spacing w:after="0" w:line="240" w:lineRule="auto"/>
              <w:jc w:val="center"/>
              <w:rPr>
                <w:rFonts w:eastAsia="Times New Roman"/>
                <w:sz w:val="18"/>
                <w:szCs w:val="18"/>
                <w:lang w:eastAsia="ru-RU"/>
              </w:rPr>
            </w:pPr>
            <w:r w:rsidRPr="00F94FED">
              <w:rPr>
                <w:rFonts w:eastAsia="Times New Roman"/>
                <w:color w:val="000000"/>
                <w:sz w:val="18"/>
                <w:szCs w:val="18"/>
                <w:lang w:eastAsia="ru-RU"/>
              </w:rPr>
              <w:t>45,30</w:t>
            </w:r>
          </w:p>
        </w:tc>
        <w:tc>
          <w:tcPr>
            <w:tcW w:w="273" w:type="pct"/>
            <w:tcBorders>
              <w:top w:val="nil"/>
              <w:left w:val="nil"/>
              <w:bottom w:val="single" w:sz="4" w:space="0" w:color="auto"/>
              <w:right w:val="single" w:sz="4" w:space="0" w:color="auto"/>
            </w:tcBorders>
            <w:shd w:val="clear" w:color="000000" w:fill="FFFFFF"/>
            <w:noWrap/>
            <w:vAlign w:val="center"/>
            <w:hideMark/>
          </w:tcPr>
          <w:p w14:paraId="5F8C15CE" w14:textId="77777777" w:rsidR="009A4C46" w:rsidRPr="00F94FED" w:rsidRDefault="009A4C46" w:rsidP="009A4C46">
            <w:pPr>
              <w:spacing w:after="0" w:line="240" w:lineRule="auto"/>
              <w:jc w:val="center"/>
              <w:rPr>
                <w:rFonts w:eastAsia="Times New Roman"/>
                <w:sz w:val="18"/>
                <w:szCs w:val="18"/>
                <w:lang w:eastAsia="ru-RU"/>
              </w:rPr>
            </w:pPr>
            <w:r w:rsidRPr="00F94FED">
              <w:rPr>
                <w:rFonts w:eastAsia="Times New Roman"/>
                <w:color w:val="000000"/>
                <w:sz w:val="18"/>
                <w:szCs w:val="18"/>
                <w:lang w:eastAsia="ru-RU"/>
              </w:rPr>
              <w:t>42,52</w:t>
            </w:r>
          </w:p>
        </w:tc>
        <w:tc>
          <w:tcPr>
            <w:tcW w:w="318" w:type="pct"/>
            <w:tcBorders>
              <w:top w:val="nil"/>
              <w:left w:val="nil"/>
              <w:bottom w:val="single" w:sz="4" w:space="0" w:color="auto"/>
              <w:right w:val="single" w:sz="4" w:space="0" w:color="auto"/>
            </w:tcBorders>
            <w:shd w:val="clear" w:color="000000" w:fill="FFFFFF"/>
            <w:noWrap/>
            <w:vAlign w:val="center"/>
            <w:hideMark/>
          </w:tcPr>
          <w:p w14:paraId="1C2D6BCF" w14:textId="77777777" w:rsidR="009A4C46" w:rsidRPr="00F94FED" w:rsidRDefault="009A4C46" w:rsidP="009A4C46">
            <w:pPr>
              <w:spacing w:after="0" w:line="240" w:lineRule="auto"/>
              <w:jc w:val="center"/>
              <w:rPr>
                <w:rFonts w:eastAsia="Times New Roman"/>
                <w:sz w:val="18"/>
                <w:szCs w:val="18"/>
                <w:lang w:eastAsia="ru-RU"/>
              </w:rPr>
            </w:pPr>
            <w:r w:rsidRPr="00F94FED">
              <w:rPr>
                <w:rFonts w:eastAsia="Times New Roman"/>
                <w:color w:val="000000"/>
                <w:sz w:val="18"/>
                <w:szCs w:val="18"/>
                <w:lang w:eastAsia="ru-RU"/>
              </w:rPr>
              <w:t>87,82</w:t>
            </w:r>
          </w:p>
        </w:tc>
        <w:tc>
          <w:tcPr>
            <w:tcW w:w="301" w:type="pct"/>
            <w:tcBorders>
              <w:top w:val="nil"/>
              <w:left w:val="nil"/>
              <w:bottom w:val="single" w:sz="4" w:space="0" w:color="auto"/>
              <w:right w:val="single" w:sz="4" w:space="0" w:color="auto"/>
            </w:tcBorders>
            <w:shd w:val="clear" w:color="000000" w:fill="FFFFFF"/>
            <w:noWrap/>
            <w:vAlign w:val="center"/>
            <w:hideMark/>
          </w:tcPr>
          <w:p w14:paraId="158DB43A" w14:textId="77777777" w:rsidR="009A4C46" w:rsidRPr="00F94FED" w:rsidRDefault="009A4C46" w:rsidP="009A4C46">
            <w:pPr>
              <w:spacing w:after="0" w:line="240" w:lineRule="auto"/>
              <w:jc w:val="center"/>
              <w:rPr>
                <w:rFonts w:eastAsia="Times New Roman"/>
                <w:sz w:val="18"/>
                <w:szCs w:val="18"/>
                <w:lang w:eastAsia="ru-RU"/>
              </w:rPr>
            </w:pPr>
            <w:r w:rsidRPr="00F94FED">
              <w:rPr>
                <w:rFonts w:eastAsia="Times New Roman"/>
                <w:color w:val="000000"/>
                <w:sz w:val="18"/>
                <w:szCs w:val="18"/>
                <w:lang w:eastAsia="ru-RU"/>
              </w:rPr>
              <w:t>-118,65</w:t>
            </w:r>
          </w:p>
        </w:tc>
        <w:tc>
          <w:tcPr>
            <w:tcW w:w="373" w:type="pct"/>
            <w:tcBorders>
              <w:top w:val="nil"/>
              <w:left w:val="nil"/>
              <w:bottom w:val="single" w:sz="4" w:space="0" w:color="auto"/>
              <w:right w:val="single" w:sz="4" w:space="0" w:color="auto"/>
            </w:tcBorders>
            <w:shd w:val="clear" w:color="auto" w:fill="auto"/>
            <w:noWrap/>
            <w:vAlign w:val="center"/>
            <w:hideMark/>
          </w:tcPr>
          <w:p w14:paraId="7847C83E" w14:textId="77777777" w:rsidR="009A4C46" w:rsidRPr="00F94FED" w:rsidRDefault="009A4C46" w:rsidP="009A4C46">
            <w:pPr>
              <w:spacing w:after="0" w:line="240" w:lineRule="auto"/>
              <w:jc w:val="center"/>
              <w:rPr>
                <w:rFonts w:eastAsia="Times New Roman"/>
                <w:sz w:val="18"/>
                <w:szCs w:val="18"/>
                <w:lang w:eastAsia="ru-RU"/>
              </w:rPr>
            </w:pPr>
            <w:r w:rsidRPr="00F94FED">
              <w:rPr>
                <w:rFonts w:eastAsia="Times New Roman"/>
                <w:color w:val="000000"/>
                <w:sz w:val="18"/>
                <w:szCs w:val="18"/>
                <w:lang w:eastAsia="ru-RU"/>
              </w:rPr>
              <w:t>237 540</w:t>
            </w:r>
          </w:p>
        </w:tc>
        <w:tc>
          <w:tcPr>
            <w:tcW w:w="373" w:type="pct"/>
            <w:tcBorders>
              <w:top w:val="nil"/>
              <w:left w:val="nil"/>
              <w:bottom w:val="single" w:sz="4" w:space="0" w:color="auto"/>
              <w:right w:val="single" w:sz="4" w:space="0" w:color="auto"/>
            </w:tcBorders>
            <w:shd w:val="clear" w:color="auto" w:fill="auto"/>
            <w:noWrap/>
            <w:vAlign w:val="center"/>
            <w:hideMark/>
          </w:tcPr>
          <w:p w14:paraId="74D9F50C" w14:textId="77777777" w:rsidR="009A4C46" w:rsidRPr="00F94FED" w:rsidRDefault="009A4C46" w:rsidP="009A4C46">
            <w:pPr>
              <w:spacing w:after="0" w:line="240" w:lineRule="auto"/>
              <w:jc w:val="center"/>
              <w:rPr>
                <w:rFonts w:eastAsia="Times New Roman"/>
                <w:sz w:val="18"/>
                <w:szCs w:val="18"/>
                <w:lang w:eastAsia="ru-RU"/>
              </w:rPr>
            </w:pPr>
            <w:r w:rsidRPr="00F94FED">
              <w:rPr>
                <w:rFonts w:eastAsia="Times New Roman"/>
                <w:color w:val="000000"/>
                <w:sz w:val="18"/>
                <w:szCs w:val="18"/>
                <w:lang w:eastAsia="ru-RU"/>
              </w:rPr>
              <w:t>255 320</w:t>
            </w:r>
          </w:p>
        </w:tc>
        <w:tc>
          <w:tcPr>
            <w:tcW w:w="357" w:type="pct"/>
            <w:tcBorders>
              <w:top w:val="nil"/>
              <w:left w:val="nil"/>
              <w:bottom w:val="single" w:sz="4" w:space="0" w:color="auto"/>
              <w:right w:val="single" w:sz="4" w:space="0" w:color="auto"/>
            </w:tcBorders>
            <w:shd w:val="clear" w:color="auto" w:fill="auto"/>
            <w:noWrap/>
            <w:vAlign w:val="center"/>
            <w:hideMark/>
          </w:tcPr>
          <w:p w14:paraId="689AB761" w14:textId="77777777" w:rsidR="009A4C46" w:rsidRPr="00F94FED" w:rsidRDefault="009A4C46" w:rsidP="009A4C46">
            <w:pPr>
              <w:spacing w:after="0" w:line="240" w:lineRule="auto"/>
              <w:jc w:val="center"/>
              <w:rPr>
                <w:rFonts w:eastAsia="Times New Roman"/>
                <w:sz w:val="18"/>
                <w:szCs w:val="18"/>
                <w:lang w:eastAsia="ru-RU"/>
              </w:rPr>
            </w:pPr>
            <w:r w:rsidRPr="00F94FED">
              <w:rPr>
                <w:rFonts w:eastAsia="Times New Roman"/>
                <w:color w:val="000000"/>
                <w:sz w:val="18"/>
                <w:szCs w:val="18"/>
                <w:lang w:eastAsia="ru-RU"/>
              </w:rPr>
              <w:t>492 860</w:t>
            </w:r>
          </w:p>
        </w:tc>
        <w:tc>
          <w:tcPr>
            <w:tcW w:w="407" w:type="pct"/>
            <w:tcBorders>
              <w:top w:val="nil"/>
              <w:left w:val="nil"/>
              <w:bottom w:val="single" w:sz="4" w:space="0" w:color="auto"/>
              <w:right w:val="single" w:sz="4" w:space="0" w:color="auto"/>
            </w:tcBorders>
            <w:shd w:val="clear" w:color="auto" w:fill="auto"/>
            <w:noWrap/>
            <w:vAlign w:val="center"/>
            <w:hideMark/>
          </w:tcPr>
          <w:p w14:paraId="127A0558" w14:textId="77777777" w:rsidR="009A4C46" w:rsidRPr="00F94FED" w:rsidRDefault="009A4C46" w:rsidP="009A4C46">
            <w:pPr>
              <w:spacing w:after="0" w:line="240" w:lineRule="auto"/>
              <w:jc w:val="center"/>
              <w:rPr>
                <w:rFonts w:eastAsia="Times New Roman"/>
                <w:sz w:val="18"/>
                <w:szCs w:val="18"/>
                <w:lang w:eastAsia="ru-RU"/>
              </w:rPr>
            </w:pPr>
            <w:r w:rsidRPr="00F94FED">
              <w:rPr>
                <w:rFonts w:eastAsia="Times New Roman"/>
                <w:color w:val="000000"/>
                <w:sz w:val="18"/>
                <w:szCs w:val="18"/>
                <w:lang w:eastAsia="ru-RU"/>
              </w:rPr>
              <w:t>105 438</w:t>
            </w:r>
          </w:p>
        </w:tc>
        <w:tc>
          <w:tcPr>
            <w:tcW w:w="319" w:type="pct"/>
            <w:tcBorders>
              <w:top w:val="nil"/>
              <w:left w:val="nil"/>
              <w:bottom w:val="single" w:sz="4" w:space="0" w:color="auto"/>
              <w:right w:val="single" w:sz="4" w:space="0" w:color="auto"/>
            </w:tcBorders>
            <w:shd w:val="clear" w:color="auto" w:fill="auto"/>
            <w:noWrap/>
            <w:vAlign w:val="center"/>
            <w:hideMark/>
          </w:tcPr>
          <w:p w14:paraId="6E2BB32B" w14:textId="77777777" w:rsidR="009A4C46" w:rsidRPr="00F94FED" w:rsidRDefault="009A4C46" w:rsidP="009A4C46">
            <w:pPr>
              <w:spacing w:after="0" w:line="240" w:lineRule="auto"/>
              <w:jc w:val="center"/>
              <w:rPr>
                <w:rFonts w:eastAsia="Times New Roman"/>
                <w:sz w:val="18"/>
                <w:szCs w:val="18"/>
                <w:lang w:eastAsia="ru-RU"/>
              </w:rPr>
            </w:pPr>
            <w:r w:rsidRPr="00F94FED">
              <w:rPr>
                <w:rFonts w:eastAsia="Times New Roman"/>
                <w:color w:val="000000"/>
                <w:sz w:val="18"/>
                <w:szCs w:val="18"/>
                <w:lang w:eastAsia="ru-RU"/>
              </w:rPr>
              <w:t>103 983</w:t>
            </w:r>
          </w:p>
        </w:tc>
        <w:tc>
          <w:tcPr>
            <w:tcW w:w="413" w:type="pct"/>
            <w:tcBorders>
              <w:top w:val="nil"/>
              <w:left w:val="nil"/>
              <w:bottom w:val="single" w:sz="4" w:space="0" w:color="auto"/>
              <w:right w:val="single" w:sz="4" w:space="0" w:color="auto"/>
            </w:tcBorders>
            <w:shd w:val="clear" w:color="auto" w:fill="auto"/>
            <w:noWrap/>
            <w:vAlign w:val="center"/>
            <w:hideMark/>
          </w:tcPr>
          <w:p w14:paraId="1D856D49" w14:textId="77777777" w:rsidR="009A4C46" w:rsidRPr="00F94FED" w:rsidRDefault="009A4C46" w:rsidP="009A4C46">
            <w:pPr>
              <w:spacing w:after="0" w:line="240" w:lineRule="auto"/>
              <w:jc w:val="center"/>
              <w:rPr>
                <w:rFonts w:eastAsia="Times New Roman"/>
                <w:sz w:val="18"/>
                <w:szCs w:val="18"/>
                <w:lang w:eastAsia="ru-RU"/>
              </w:rPr>
            </w:pPr>
            <w:r w:rsidRPr="00F94FED">
              <w:rPr>
                <w:rFonts w:eastAsia="Times New Roman"/>
                <w:color w:val="000000"/>
                <w:sz w:val="18"/>
                <w:szCs w:val="18"/>
                <w:lang w:eastAsia="ru-RU"/>
              </w:rPr>
              <w:t>209 421</w:t>
            </w:r>
          </w:p>
        </w:tc>
        <w:tc>
          <w:tcPr>
            <w:tcW w:w="317" w:type="pct"/>
            <w:tcBorders>
              <w:top w:val="nil"/>
              <w:left w:val="nil"/>
              <w:bottom w:val="single" w:sz="4" w:space="0" w:color="auto"/>
              <w:right w:val="single" w:sz="4" w:space="0" w:color="auto"/>
            </w:tcBorders>
            <w:shd w:val="clear" w:color="auto" w:fill="auto"/>
            <w:noWrap/>
            <w:vAlign w:val="center"/>
            <w:hideMark/>
          </w:tcPr>
          <w:p w14:paraId="22BE5C51" w14:textId="77777777" w:rsidR="009A4C46" w:rsidRPr="00F94FED" w:rsidRDefault="009A4C46" w:rsidP="009A4C46">
            <w:pPr>
              <w:spacing w:after="0" w:line="240" w:lineRule="auto"/>
              <w:jc w:val="center"/>
              <w:rPr>
                <w:rFonts w:eastAsia="Times New Roman"/>
                <w:sz w:val="18"/>
                <w:szCs w:val="18"/>
                <w:lang w:eastAsia="ru-RU"/>
              </w:rPr>
            </w:pPr>
            <w:r w:rsidRPr="00F94FED">
              <w:rPr>
                <w:rFonts w:eastAsia="Times New Roman"/>
                <w:color w:val="000000"/>
                <w:sz w:val="18"/>
                <w:szCs w:val="18"/>
                <w:lang w:eastAsia="ru-RU"/>
              </w:rPr>
              <w:t>-283 438</w:t>
            </w:r>
          </w:p>
        </w:tc>
      </w:tr>
      <w:tr w:rsidR="00F94FED" w:rsidRPr="00D75241" w14:paraId="0C67544D" w14:textId="77777777" w:rsidTr="00F94FED">
        <w:trPr>
          <w:trHeight w:val="300"/>
        </w:trPr>
        <w:tc>
          <w:tcPr>
            <w:tcW w:w="459" w:type="pct"/>
            <w:tcBorders>
              <w:top w:val="nil"/>
              <w:left w:val="single" w:sz="4" w:space="0" w:color="auto"/>
              <w:bottom w:val="single" w:sz="4" w:space="0" w:color="auto"/>
              <w:right w:val="single" w:sz="4" w:space="0" w:color="auto"/>
            </w:tcBorders>
            <w:shd w:val="clear" w:color="auto" w:fill="auto"/>
            <w:noWrap/>
            <w:vAlign w:val="center"/>
            <w:hideMark/>
          </w:tcPr>
          <w:p w14:paraId="1C749A63" w14:textId="77777777" w:rsidR="009A4C46" w:rsidRPr="00F94FED" w:rsidRDefault="009A4C46" w:rsidP="009A4C46">
            <w:pPr>
              <w:spacing w:after="0" w:line="240" w:lineRule="auto"/>
              <w:jc w:val="right"/>
              <w:rPr>
                <w:rFonts w:eastAsia="Times New Roman"/>
                <w:sz w:val="18"/>
                <w:szCs w:val="18"/>
                <w:lang w:eastAsia="ru-RU"/>
              </w:rPr>
            </w:pPr>
            <w:r w:rsidRPr="00F94FED">
              <w:rPr>
                <w:rFonts w:eastAsia="Times New Roman"/>
                <w:sz w:val="18"/>
                <w:szCs w:val="18"/>
                <w:lang w:eastAsia="ru-RU"/>
              </w:rPr>
              <w:t xml:space="preserve">Категория 2, 3, 4.1. </w:t>
            </w:r>
          </w:p>
        </w:tc>
        <w:tc>
          <w:tcPr>
            <w:tcW w:w="270" w:type="pct"/>
            <w:tcBorders>
              <w:top w:val="nil"/>
              <w:left w:val="single" w:sz="4" w:space="0" w:color="auto"/>
              <w:bottom w:val="single" w:sz="4" w:space="0" w:color="auto"/>
              <w:right w:val="single" w:sz="4" w:space="0" w:color="auto"/>
            </w:tcBorders>
            <w:shd w:val="clear" w:color="000000" w:fill="FFFFFF"/>
            <w:noWrap/>
            <w:vAlign w:val="center"/>
            <w:hideMark/>
          </w:tcPr>
          <w:p w14:paraId="4053996A" w14:textId="77777777" w:rsidR="009A4C46" w:rsidRPr="00F94FED" w:rsidRDefault="009A4C46" w:rsidP="009A4C46">
            <w:pPr>
              <w:spacing w:after="0" w:line="240" w:lineRule="auto"/>
              <w:jc w:val="center"/>
              <w:rPr>
                <w:rFonts w:eastAsia="Times New Roman"/>
                <w:sz w:val="18"/>
                <w:szCs w:val="18"/>
                <w:lang w:eastAsia="ru-RU"/>
              </w:rPr>
            </w:pPr>
            <w:r w:rsidRPr="00F94FED">
              <w:rPr>
                <w:rFonts w:eastAsia="Times New Roman"/>
                <w:color w:val="000000"/>
                <w:sz w:val="18"/>
                <w:szCs w:val="18"/>
                <w:lang w:eastAsia="ru-RU"/>
              </w:rPr>
              <w:t>5,34</w:t>
            </w:r>
          </w:p>
        </w:tc>
        <w:tc>
          <w:tcPr>
            <w:tcW w:w="246" w:type="pct"/>
            <w:tcBorders>
              <w:top w:val="nil"/>
              <w:left w:val="nil"/>
              <w:bottom w:val="single" w:sz="4" w:space="0" w:color="auto"/>
              <w:right w:val="single" w:sz="4" w:space="0" w:color="auto"/>
            </w:tcBorders>
            <w:shd w:val="clear" w:color="000000" w:fill="FFFFFF"/>
            <w:noWrap/>
            <w:vAlign w:val="center"/>
            <w:hideMark/>
          </w:tcPr>
          <w:p w14:paraId="62313BFE" w14:textId="77777777" w:rsidR="009A4C46" w:rsidRPr="00F94FED" w:rsidRDefault="009A4C46" w:rsidP="009A4C46">
            <w:pPr>
              <w:spacing w:after="0" w:line="240" w:lineRule="auto"/>
              <w:jc w:val="center"/>
              <w:rPr>
                <w:rFonts w:eastAsia="Times New Roman"/>
                <w:sz w:val="18"/>
                <w:szCs w:val="18"/>
                <w:lang w:eastAsia="ru-RU"/>
              </w:rPr>
            </w:pPr>
            <w:r w:rsidRPr="00F94FED">
              <w:rPr>
                <w:rFonts w:eastAsia="Times New Roman"/>
                <w:color w:val="000000"/>
                <w:sz w:val="18"/>
                <w:szCs w:val="18"/>
                <w:lang w:eastAsia="ru-RU"/>
              </w:rPr>
              <w:t>3,39</w:t>
            </w:r>
          </w:p>
        </w:tc>
        <w:tc>
          <w:tcPr>
            <w:tcW w:w="255" w:type="pct"/>
            <w:tcBorders>
              <w:top w:val="nil"/>
              <w:left w:val="nil"/>
              <w:bottom w:val="single" w:sz="4" w:space="0" w:color="auto"/>
              <w:right w:val="single" w:sz="4" w:space="0" w:color="auto"/>
            </w:tcBorders>
            <w:shd w:val="clear" w:color="000000" w:fill="FFFFFF"/>
            <w:noWrap/>
            <w:vAlign w:val="center"/>
            <w:hideMark/>
          </w:tcPr>
          <w:p w14:paraId="15D759DD" w14:textId="77777777" w:rsidR="009A4C46" w:rsidRPr="00F94FED" w:rsidRDefault="009A4C46" w:rsidP="009A4C46">
            <w:pPr>
              <w:spacing w:after="0" w:line="240" w:lineRule="auto"/>
              <w:jc w:val="center"/>
              <w:rPr>
                <w:rFonts w:eastAsia="Times New Roman"/>
                <w:sz w:val="18"/>
                <w:szCs w:val="18"/>
                <w:lang w:eastAsia="ru-RU"/>
              </w:rPr>
            </w:pPr>
            <w:r w:rsidRPr="00F94FED">
              <w:rPr>
                <w:rFonts w:eastAsia="Times New Roman"/>
                <w:color w:val="000000"/>
                <w:sz w:val="18"/>
                <w:szCs w:val="18"/>
                <w:lang w:eastAsia="ru-RU"/>
              </w:rPr>
              <w:t>8,73</w:t>
            </w:r>
          </w:p>
        </w:tc>
        <w:tc>
          <w:tcPr>
            <w:tcW w:w="319" w:type="pct"/>
            <w:tcBorders>
              <w:top w:val="nil"/>
              <w:left w:val="nil"/>
              <w:bottom w:val="single" w:sz="4" w:space="0" w:color="auto"/>
              <w:right w:val="single" w:sz="4" w:space="0" w:color="auto"/>
            </w:tcBorders>
            <w:shd w:val="clear" w:color="000000" w:fill="FFFFFF"/>
            <w:noWrap/>
            <w:vAlign w:val="center"/>
            <w:hideMark/>
          </w:tcPr>
          <w:p w14:paraId="019F3DEB" w14:textId="77777777" w:rsidR="009A4C46" w:rsidRPr="00F94FED" w:rsidRDefault="009A4C46" w:rsidP="009A4C46">
            <w:pPr>
              <w:spacing w:after="0" w:line="240" w:lineRule="auto"/>
              <w:jc w:val="center"/>
              <w:rPr>
                <w:rFonts w:eastAsia="Times New Roman"/>
                <w:sz w:val="18"/>
                <w:szCs w:val="18"/>
                <w:lang w:eastAsia="ru-RU"/>
              </w:rPr>
            </w:pPr>
            <w:r w:rsidRPr="00F94FED">
              <w:rPr>
                <w:rFonts w:eastAsia="Times New Roman"/>
                <w:color w:val="000000"/>
                <w:sz w:val="18"/>
                <w:szCs w:val="18"/>
                <w:lang w:eastAsia="ru-RU"/>
              </w:rPr>
              <w:t>80,86</w:t>
            </w:r>
          </w:p>
        </w:tc>
        <w:tc>
          <w:tcPr>
            <w:tcW w:w="273" w:type="pct"/>
            <w:tcBorders>
              <w:top w:val="nil"/>
              <w:left w:val="nil"/>
              <w:bottom w:val="single" w:sz="4" w:space="0" w:color="auto"/>
              <w:right w:val="single" w:sz="4" w:space="0" w:color="auto"/>
            </w:tcBorders>
            <w:shd w:val="clear" w:color="000000" w:fill="FFFFFF"/>
            <w:noWrap/>
            <w:vAlign w:val="center"/>
            <w:hideMark/>
          </w:tcPr>
          <w:p w14:paraId="5517108D" w14:textId="77777777" w:rsidR="009A4C46" w:rsidRPr="00F94FED" w:rsidRDefault="009A4C46" w:rsidP="009A4C46">
            <w:pPr>
              <w:spacing w:after="0" w:line="240" w:lineRule="auto"/>
              <w:jc w:val="center"/>
              <w:rPr>
                <w:rFonts w:eastAsia="Times New Roman"/>
                <w:sz w:val="18"/>
                <w:szCs w:val="18"/>
                <w:lang w:eastAsia="ru-RU"/>
              </w:rPr>
            </w:pPr>
            <w:r w:rsidRPr="00F94FED">
              <w:rPr>
                <w:rFonts w:eastAsia="Times New Roman"/>
                <w:color w:val="000000"/>
                <w:sz w:val="18"/>
                <w:szCs w:val="18"/>
                <w:lang w:eastAsia="ru-RU"/>
              </w:rPr>
              <w:t>69,85</w:t>
            </w:r>
          </w:p>
        </w:tc>
        <w:tc>
          <w:tcPr>
            <w:tcW w:w="318" w:type="pct"/>
            <w:tcBorders>
              <w:top w:val="nil"/>
              <w:left w:val="nil"/>
              <w:bottom w:val="single" w:sz="4" w:space="0" w:color="auto"/>
              <w:right w:val="single" w:sz="4" w:space="0" w:color="auto"/>
            </w:tcBorders>
            <w:shd w:val="clear" w:color="000000" w:fill="FFFFFF"/>
            <w:noWrap/>
            <w:vAlign w:val="center"/>
            <w:hideMark/>
          </w:tcPr>
          <w:p w14:paraId="70E2C331" w14:textId="77777777" w:rsidR="009A4C46" w:rsidRPr="00F94FED" w:rsidRDefault="009A4C46" w:rsidP="009A4C46">
            <w:pPr>
              <w:spacing w:after="0" w:line="240" w:lineRule="auto"/>
              <w:jc w:val="center"/>
              <w:rPr>
                <w:rFonts w:eastAsia="Times New Roman"/>
                <w:sz w:val="18"/>
                <w:szCs w:val="18"/>
                <w:lang w:eastAsia="ru-RU"/>
              </w:rPr>
            </w:pPr>
            <w:r w:rsidRPr="00F94FED">
              <w:rPr>
                <w:rFonts w:eastAsia="Times New Roman"/>
                <w:color w:val="000000"/>
                <w:sz w:val="18"/>
                <w:szCs w:val="18"/>
                <w:lang w:eastAsia="ru-RU"/>
              </w:rPr>
              <w:t>150,72</w:t>
            </w:r>
          </w:p>
        </w:tc>
        <w:tc>
          <w:tcPr>
            <w:tcW w:w="301" w:type="pct"/>
            <w:tcBorders>
              <w:top w:val="nil"/>
              <w:left w:val="nil"/>
              <w:bottom w:val="single" w:sz="4" w:space="0" w:color="auto"/>
              <w:right w:val="single" w:sz="4" w:space="0" w:color="auto"/>
            </w:tcBorders>
            <w:shd w:val="clear" w:color="000000" w:fill="FFFFFF"/>
            <w:noWrap/>
            <w:vAlign w:val="center"/>
            <w:hideMark/>
          </w:tcPr>
          <w:p w14:paraId="46672F87" w14:textId="77777777" w:rsidR="009A4C46" w:rsidRPr="00F94FED" w:rsidRDefault="009A4C46" w:rsidP="009A4C46">
            <w:pPr>
              <w:spacing w:after="0" w:line="240" w:lineRule="auto"/>
              <w:jc w:val="center"/>
              <w:rPr>
                <w:rFonts w:eastAsia="Times New Roman"/>
                <w:sz w:val="18"/>
                <w:szCs w:val="18"/>
                <w:lang w:eastAsia="ru-RU"/>
              </w:rPr>
            </w:pPr>
            <w:r w:rsidRPr="00F94FED">
              <w:rPr>
                <w:rFonts w:eastAsia="Times New Roman"/>
                <w:color w:val="000000"/>
                <w:sz w:val="18"/>
                <w:szCs w:val="18"/>
                <w:lang w:eastAsia="ru-RU"/>
              </w:rPr>
              <w:t>141,99</w:t>
            </w:r>
          </w:p>
        </w:tc>
        <w:tc>
          <w:tcPr>
            <w:tcW w:w="373" w:type="pct"/>
            <w:tcBorders>
              <w:top w:val="nil"/>
              <w:left w:val="nil"/>
              <w:bottom w:val="single" w:sz="4" w:space="0" w:color="auto"/>
              <w:right w:val="single" w:sz="4" w:space="0" w:color="auto"/>
            </w:tcBorders>
            <w:shd w:val="clear" w:color="auto" w:fill="auto"/>
            <w:noWrap/>
            <w:vAlign w:val="center"/>
            <w:hideMark/>
          </w:tcPr>
          <w:p w14:paraId="7F972A47" w14:textId="77777777" w:rsidR="009A4C46" w:rsidRPr="00F94FED" w:rsidRDefault="009A4C46" w:rsidP="009A4C46">
            <w:pPr>
              <w:spacing w:after="0" w:line="240" w:lineRule="auto"/>
              <w:jc w:val="center"/>
              <w:rPr>
                <w:rFonts w:eastAsia="Times New Roman"/>
                <w:sz w:val="18"/>
                <w:szCs w:val="18"/>
                <w:lang w:eastAsia="ru-RU"/>
              </w:rPr>
            </w:pPr>
            <w:r w:rsidRPr="00F94FED">
              <w:rPr>
                <w:rFonts w:eastAsia="Times New Roman"/>
                <w:color w:val="000000"/>
                <w:sz w:val="18"/>
                <w:szCs w:val="18"/>
                <w:lang w:eastAsia="ru-RU"/>
              </w:rPr>
              <w:t>7 948</w:t>
            </w:r>
          </w:p>
        </w:tc>
        <w:tc>
          <w:tcPr>
            <w:tcW w:w="373" w:type="pct"/>
            <w:tcBorders>
              <w:top w:val="nil"/>
              <w:left w:val="nil"/>
              <w:bottom w:val="single" w:sz="4" w:space="0" w:color="auto"/>
              <w:right w:val="single" w:sz="4" w:space="0" w:color="auto"/>
            </w:tcBorders>
            <w:shd w:val="clear" w:color="auto" w:fill="auto"/>
            <w:noWrap/>
            <w:vAlign w:val="center"/>
            <w:hideMark/>
          </w:tcPr>
          <w:p w14:paraId="653DD6A2" w14:textId="77777777" w:rsidR="009A4C46" w:rsidRPr="00F94FED" w:rsidRDefault="009A4C46" w:rsidP="009A4C46">
            <w:pPr>
              <w:spacing w:after="0" w:line="240" w:lineRule="auto"/>
              <w:jc w:val="center"/>
              <w:rPr>
                <w:rFonts w:eastAsia="Times New Roman"/>
                <w:sz w:val="18"/>
                <w:szCs w:val="18"/>
                <w:lang w:eastAsia="ru-RU"/>
              </w:rPr>
            </w:pPr>
            <w:r w:rsidRPr="00F94FED">
              <w:rPr>
                <w:rFonts w:eastAsia="Times New Roman"/>
                <w:color w:val="000000"/>
                <w:sz w:val="18"/>
                <w:szCs w:val="18"/>
                <w:lang w:eastAsia="ru-RU"/>
              </w:rPr>
              <w:t>5 302</w:t>
            </w:r>
          </w:p>
        </w:tc>
        <w:tc>
          <w:tcPr>
            <w:tcW w:w="357" w:type="pct"/>
            <w:tcBorders>
              <w:top w:val="nil"/>
              <w:left w:val="nil"/>
              <w:bottom w:val="single" w:sz="4" w:space="0" w:color="auto"/>
              <w:right w:val="single" w:sz="4" w:space="0" w:color="auto"/>
            </w:tcBorders>
            <w:shd w:val="clear" w:color="auto" w:fill="auto"/>
            <w:noWrap/>
            <w:vAlign w:val="center"/>
            <w:hideMark/>
          </w:tcPr>
          <w:p w14:paraId="105FF3F9" w14:textId="77777777" w:rsidR="009A4C46" w:rsidRPr="00F94FED" w:rsidRDefault="009A4C46" w:rsidP="009A4C46">
            <w:pPr>
              <w:spacing w:after="0" w:line="240" w:lineRule="auto"/>
              <w:jc w:val="center"/>
              <w:rPr>
                <w:rFonts w:eastAsia="Times New Roman"/>
                <w:sz w:val="18"/>
                <w:szCs w:val="18"/>
                <w:lang w:eastAsia="ru-RU"/>
              </w:rPr>
            </w:pPr>
            <w:r w:rsidRPr="00F94FED">
              <w:rPr>
                <w:rFonts w:eastAsia="Times New Roman"/>
                <w:color w:val="000000"/>
                <w:sz w:val="18"/>
                <w:szCs w:val="18"/>
                <w:lang w:eastAsia="ru-RU"/>
              </w:rPr>
              <w:t>13 250</w:t>
            </w:r>
          </w:p>
        </w:tc>
        <w:tc>
          <w:tcPr>
            <w:tcW w:w="407" w:type="pct"/>
            <w:tcBorders>
              <w:top w:val="nil"/>
              <w:left w:val="nil"/>
              <w:bottom w:val="single" w:sz="4" w:space="0" w:color="auto"/>
              <w:right w:val="single" w:sz="4" w:space="0" w:color="auto"/>
            </w:tcBorders>
            <w:shd w:val="clear" w:color="auto" w:fill="auto"/>
            <w:noWrap/>
            <w:vAlign w:val="center"/>
            <w:hideMark/>
          </w:tcPr>
          <w:p w14:paraId="4C1F593E" w14:textId="77777777" w:rsidR="009A4C46" w:rsidRPr="00F94FED" w:rsidRDefault="009A4C46" w:rsidP="009A4C46">
            <w:pPr>
              <w:spacing w:after="0" w:line="240" w:lineRule="auto"/>
              <w:jc w:val="center"/>
              <w:rPr>
                <w:rFonts w:eastAsia="Times New Roman"/>
                <w:sz w:val="18"/>
                <w:szCs w:val="18"/>
                <w:lang w:eastAsia="ru-RU"/>
              </w:rPr>
            </w:pPr>
            <w:r w:rsidRPr="00F94FED">
              <w:rPr>
                <w:rFonts w:eastAsia="Times New Roman"/>
                <w:color w:val="000000"/>
                <w:sz w:val="18"/>
                <w:szCs w:val="18"/>
                <w:lang w:eastAsia="ru-RU"/>
              </w:rPr>
              <w:t>120 360</w:t>
            </w:r>
          </w:p>
        </w:tc>
        <w:tc>
          <w:tcPr>
            <w:tcW w:w="319" w:type="pct"/>
            <w:tcBorders>
              <w:top w:val="nil"/>
              <w:left w:val="nil"/>
              <w:bottom w:val="single" w:sz="4" w:space="0" w:color="auto"/>
              <w:right w:val="single" w:sz="4" w:space="0" w:color="auto"/>
            </w:tcBorders>
            <w:shd w:val="clear" w:color="auto" w:fill="auto"/>
            <w:noWrap/>
            <w:vAlign w:val="center"/>
            <w:hideMark/>
          </w:tcPr>
          <w:p w14:paraId="69AF8BCB" w14:textId="77777777" w:rsidR="009A4C46" w:rsidRPr="00F94FED" w:rsidRDefault="009A4C46" w:rsidP="009A4C46">
            <w:pPr>
              <w:spacing w:after="0" w:line="240" w:lineRule="auto"/>
              <w:jc w:val="center"/>
              <w:rPr>
                <w:rFonts w:eastAsia="Times New Roman"/>
                <w:sz w:val="18"/>
                <w:szCs w:val="18"/>
                <w:lang w:eastAsia="ru-RU"/>
              </w:rPr>
            </w:pPr>
            <w:r w:rsidRPr="00F94FED">
              <w:rPr>
                <w:rFonts w:eastAsia="Times New Roman"/>
                <w:color w:val="000000"/>
                <w:sz w:val="18"/>
                <w:szCs w:val="18"/>
                <w:lang w:eastAsia="ru-RU"/>
              </w:rPr>
              <w:t>109 251</w:t>
            </w:r>
          </w:p>
        </w:tc>
        <w:tc>
          <w:tcPr>
            <w:tcW w:w="413" w:type="pct"/>
            <w:tcBorders>
              <w:top w:val="nil"/>
              <w:left w:val="nil"/>
              <w:bottom w:val="single" w:sz="4" w:space="0" w:color="auto"/>
              <w:right w:val="single" w:sz="4" w:space="0" w:color="auto"/>
            </w:tcBorders>
            <w:shd w:val="clear" w:color="auto" w:fill="auto"/>
            <w:noWrap/>
            <w:vAlign w:val="center"/>
            <w:hideMark/>
          </w:tcPr>
          <w:p w14:paraId="0E92D6A5" w14:textId="77777777" w:rsidR="009A4C46" w:rsidRPr="00F94FED" w:rsidRDefault="009A4C46" w:rsidP="009A4C46">
            <w:pPr>
              <w:spacing w:after="0" w:line="240" w:lineRule="auto"/>
              <w:jc w:val="center"/>
              <w:rPr>
                <w:rFonts w:eastAsia="Times New Roman"/>
                <w:sz w:val="18"/>
                <w:szCs w:val="18"/>
                <w:lang w:eastAsia="ru-RU"/>
              </w:rPr>
            </w:pPr>
            <w:r w:rsidRPr="00F94FED">
              <w:rPr>
                <w:rFonts w:eastAsia="Times New Roman"/>
                <w:color w:val="000000"/>
                <w:sz w:val="18"/>
                <w:szCs w:val="18"/>
                <w:lang w:eastAsia="ru-RU"/>
              </w:rPr>
              <w:t>229 612</w:t>
            </w:r>
          </w:p>
        </w:tc>
        <w:tc>
          <w:tcPr>
            <w:tcW w:w="317" w:type="pct"/>
            <w:tcBorders>
              <w:top w:val="nil"/>
              <w:left w:val="nil"/>
              <w:bottom w:val="single" w:sz="4" w:space="0" w:color="auto"/>
              <w:right w:val="single" w:sz="4" w:space="0" w:color="auto"/>
            </w:tcBorders>
            <w:shd w:val="clear" w:color="auto" w:fill="auto"/>
            <w:noWrap/>
            <w:vAlign w:val="center"/>
            <w:hideMark/>
          </w:tcPr>
          <w:p w14:paraId="324140FF" w14:textId="77777777" w:rsidR="009A4C46" w:rsidRPr="00F94FED" w:rsidRDefault="009A4C46" w:rsidP="009A4C46">
            <w:pPr>
              <w:spacing w:after="0" w:line="240" w:lineRule="auto"/>
              <w:jc w:val="center"/>
              <w:rPr>
                <w:rFonts w:eastAsia="Times New Roman"/>
                <w:sz w:val="18"/>
                <w:szCs w:val="18"/>
                <w:lang w:eastAsia="ru-RU"/>
              </w:rPr>
            </w:pPr>
            <w:r w:rsidRPr="00F94FED">
              <w:rPr>
                <w:rFonts w:eastAsia="Times New Roman"/>
                <w:color w:val="000000"/>
                <w:sz w:val="18"/>
                <w:szCs w:val="18"/>
                <w:lang w:eastAsia="ru-RU"/>
              </w:rPr>
              <w:t>216 361</w:t>
            </w:r>
          </w:p>
        </w:tc>
      </w:tr>
    </w:tbl>
    <w:p w14:paraId="7319C365" w14:textId="77777777" w:rsidR="009A4C46" w:rsidRPr="009A4C46" w:rsidRDefault="009A4C46" w:rsidP="009A4C46">
      <w:pPr>
        <w:rPr>
          <w:rFonts w:eastAsia="Times New Roman"/>
          <w:sz w:val="28"/>
          <w:szCs w:val="28"/>
          <w:u w:val="single"/>
          <w:lang w:eastAsia="ru-RU"/>
        </w:rPr>
      </w:pPr>
    </w:p>
    <w:p w14:paraId="3E69E716" w14:textId="77777777" w:rsidR="009A4C46" w:rsidRPr="009A4C46" w:rsidRDefault="009A4C46" w:rsidP="009A4C46">
      <w:pPr>
        <w:tabs>
          <w:tab w:val="left" w:pos="0"/>
        </w:tabs>
        <w:autoSpaceDE w:val="0"/>
        <w:autoSpaceDN w:val="0"/>
        <w:adjustRightInd w:val="0"/>
        <w:spacing w:after="32" w:line="360" w:lineRule="auto"/>
        <w:ind w:firstLine="567"/>
        <w:jc w:val="both"/>
        <w:rPr>
          <w:rFonts w:eastAsia="Times New Roman"/>
          <w:sz w:val="28"/>
          <w:szCs w:val="28"/>
          <w:u w:val="single"/>
          <w:lang w:eastAsia="ru-RU"/>
        </w:rPr>
      </w:pPr>
    </w:p>
    <w:p w14:paraId="7FD31852" w14:textId="77777777" w:rsidR="009A4C46" w:rsidRPr="009A4C46" w:rsidRDefault="009A4C46" w:rsidP="009A4C46">
      <w:pPr>
        <w:tabs>
          <w:tab w:val="left" w:pos="0"/>
        </w:tabs>
        <w:autoSpaceDE w:val="0"/>
        <w:autoSpaceDN w:val="0"/>
        <w:adjustRightInd w:val="0"/>
        <w:spacing w:after="32" w:line="360" w:lineRule="auto"/>
        <w:ind w:firstLine="567"/>
        <w:jc w:val="both"/>
        <w:rPr>
          <w:rFonts w:eastAsia="Times New Roman"/>
          <w:sz w:val="28"/>
          <w:szCs w:val="28"/>
          <w:u w:val="single"/>
          <w:lang w:eastAsia="ru-RU"/>
        </w:rPr>
        <w:sectPr w:rsidR="009A4C46" w:rsidRPr="009A4C46" w:rsidSect="0063188C">
          <w:pgSz w:w="16838" w:h="11906" w:orient="landscape"/>
          <w:pgMar w:top="1701" w:right="1134" w:bottom="851" w:left="1134" w:header="709" w:footer="709" w:gutter="0"/>
          <w:cols w:space="708"/>
          <w:docGrid w:linePitch="360"/>
        </w:sectPr>
      </w:pPr>
    </w:p>
    <w:p w14:paraId="6059001E" w14:textId="4EBBF992" w:rsidR="009A4C46" w:rsidRPr="00F94FED" w:rsidRDefault="009A4C46" w:rsidP="009A4C46">
      <w:pPr>
        <w:tabs>
          <w:tab w:val="left" w:pos="0"/>
        </w:tabs>
        <w:autoSpaceDE w:val="0"/>
        <w:autoSpaceDN w:val="0"/>
        <w:adjustRightInd w:val="0"/>
        <w:spacing w:after="32" w:line="360" w:lineRule="auto"/>
        <w:ind w:firstLine="567"/>
        <w:jc w:val="both"/>
        <w:rPr>
          <w:rFonts w:eastAsia="Times New Roman"/>
          <w:sz w:val="26"/>
          <w:szCs w:val="26"/>
          <w:lang w:eastAsia="ru-RU"/>
        </w:rPr>
      </w:pPr>
      <w:r w:rsidRPr="00F94FED">
        <w:rPr>
          <w:rFonts w:eastAsia="Times New Roman"/>
          <w:sz w:val="26"/>
          <w:szCs w:val="26"/>
          <w:lang w:eastAsia="ru-RU"/>
        </w:rPr>
        <w:lastRenderedPageBreak/>
        <w:t>Величина недополученной выручки за 2018 год, по мнению Исполнителя, составила 51</w:t>
      </w:r>
      <w:r w:rsidR="00D75241" w:rsidRPr="00F94FED">
        <w:rPr>
          <w:sz w:val="26"/>
          <w:szCs w:val="26"/>
        </w:rPr>
        <w:t> </w:t>
      </w:r>
      <w:r w:rsidRPr="00F94FED">
        <w:rPr>
          <w:rFonts w:eastAsia="Times New Roman"/>
          <w:sz w:val="26"/>
          <w:szCs w:val="26"/>
          <w:lang w:eastAsia="ru-RU"/>
        </w:rPr>
        <w:t xml:space="preserve">765 тыс. руб. Данная величина определена как разница между плановой выручкой на 2018 год, рассчитанной как произведение утвержденных единых (котловых) тарифов и балансовых показателей по величине полезного отпуска, отраженных постановлении Службы по тарифам Республики Тыва от 28.12.2017 № 68, от 29.06.2018 №10. </w:t>
      </w:r>
    </w:p>
    <w:p w14:paraId="51666254" w14:textId="77777777" w:rsidR="009A4C46" w:rsidRPr="00F94FED" w:rsidRDefault="009A4C46" w:rsidP="009A4C46">
      <w:pPr>
        <w:tabs>
          <w:tab w:val="left" w:pos="0"/>
        </w:tabs>
        <w:autoSpaceDE w:val="0"/>
        <w:autoSpaceDN w:val="0"/>
        <w:adjustRightInd w:val="0"/>
        <w:spacing w:after="32" w:line="360" w:lineRule="auto"/>
        <w:ind w:firstLine="567"/>
        <w:jc w:val="both"/>
        <w:rPr>
          <w:rFonts w:eastAsia="Times New Roman"/>
          <w:sz w:val="26"/>
          <w:szCs w:val="26"/>
          <w:lang w:eastAsia="ru-RU"/>
        </w:rPr>
      </w:pPr>
      <w:r w:rsidRPr="00F94FED">
        <w:rPr>
          <w:rFonts w:eastAsia="Times New Roman"/>
          <w:sz w:val="26"/>
          <w:szCs w:val="26"/>
          <w:lang w:eastAsia="ru-RU"/>
        </w:rPr>
        <w:t>Величина недополученной выручки за 2018 год сформировалась в результате отклонения (снижения) фактических объемов передачи электрической энергии для прочих потребителей, рассчитывающихся по тарифу на передачу электрической энергии для высокого уровня напряжения, от балансовых показателей, учтенных при установлении тарифов на услуги по передаче электрической энергии. Величина отклонения от планового значения составила 39,76 млн. кВт*ч или 126 259 тыс. руб. без НДС.</w:t>
      </w:r>
    </w:p>
    <w:p w14:paraId="5FD70BC7" w14:textId="77777777" w:rsidR="009A4C46" w:rsidRPr="00F94FED" w:rsidRDefault="009A4C46" w:rsidP="009A4C46">
      <w:pPr>
        <w:tabs>
          <w:tab w:val="left" w:pos="0"/>
        </w:tabs>
        <w:autoSpaceDE w:val="0"/>
        <w:autoSpaceDN w:val="0"/>
        <w:adjustRightInd w:val="0"/>
        <w:spacing w:after="32" w:line="360" w:lineRule="auto"/>
        <w:ind w:firstLine="567"/>
        <w:jc w:val="both"/>
        <w:rPr>
          <w:rFonts w:eastAsia="Times New Roman"/>
          <w:sz w:val="26"/>
          <w:szCs w:val="26"/>
          <w:lang w:eastAsia="ru-RU"/>
        </w:rPr>
      </w:pPr>
      <w:r w:rsidRPr="00F94FED">
        <w:rPr>
          <w:rFonts w:eastAsia="Times New Roman"/>
          <w:sz w:val="26"/>
          <w:szCs w:val="26"/>
          <w:lang w:eastAsia="ru-RU"/>
        </w:rPr>
        <w:t>Аналогичная ситуация сложилась и по категории потребителей «Население и приравненные к нему категории потребителей»: фактические начисления за услуги по передаче электрической энергии ниже планового значения (определенное как произведение балансовых показателей и утвержденных тарифов) на 67 077 тыс. руб. без НДС.</w:t>
      </w:r>
    </w:p>
    <w:p w14:paraId="57EBB446" w14:textId="389AD1AE" w:rsidR="009A4C46" w:rsidRPr="00F94FED" w:rsidRDefault="009A4C46" w:rsidP="009A4C46">
      <w:pPr>
        <w:tabs>
          <w:tab w:val="left" w:pos="0"/>
        </w:tabs>
        <w:autoSpaceDE w:val="0"/>
        <w:autoSpaceDN w:val="0"/>
        <w:adjustRightInd w:val="0"/>
        <w:spacing w:after="32" w:line="360" w:lineRule="auto"/>
        <w:ind w:firstLine="567"/>
        <w:jc w:val="both"/>
        <w:rPr>
          <w:rFonts w:eastAsia="Times New Roman"/>
          <w:sz w:val="26"/>
          <w:szCs w:val="26"/>
          <w:lang w:eastAsia="ru-RU"/>
        </w:rPr>
      </w:pPr>
      <w:r w:rsidRPr="00F94FED">
        <w:rPr>
          <w:rFonts w:eastAsia="Times New Roman"/>
          <w:sz w:val="26"/>
          <w:szCs w:val="26"/>
          <w:lang w:eastAsia="ru-RU"/>
        </w:rPr>
        <w:t>По прочи</w:t>
      </w:r>
      <w:r w:rsidR="005C3ACA">
        <w:rPr>
          <w:rFonts w:eastAsia="Times New Roman"/>
          <w:sz w:val="26"/>
          <w:szCs w:val="26"/>
          <w:lang w:eastAsia="ru-RU"/>
        </w:rPr>
        <w:t>м</w:t>
      </w:r>
      <w:r w:rsidRPr="00F94FED">
        <w:rPr>
          <w:rFonts w:eastAsia="Times New Roman"/>
          <w:sz w:val="26"/>
          <w:szCs w:val="26"/>
          <w:lang w:eastAsia="ru-RU"/>
        </w:rPr>
        <w:t xml:space="preserve"> потребител</w:t>
      </w:r>
      <w:r w:rsidR="005C3ACA">
        <w:rPr>
          <w:rFonts w:eastAsia="Times New Roman"/>
          <w:sz w:val="26"/>
          <w:szCs w:val="26"/>
          <w:lang w:eastAsia="ru-RU"/>
        </w:rPr>
        <w:t>ям,</w:t>
      </w:r>
      <w:r w:rsidRPr="00F94FED">
        <w:rPr>
          <w:rFonts w:eastAsia="Times New Roman"/>
          <w:sz w:val="26"/>
          <w:szCs w:val="26"/>
          <w:lang w:eastAsia="ru-RU"/>
        </w:rPr>
        <w:t xml:space="preserve"> приобретающи</w:t>
      </w:r>
      <w:r w:rsidR="005C3ACA">
        <w:rPr>
          <w:rFonts w:eastAsia="Times New Roman"/>
          <w:sz w:val="26"/>
          <w:szCs w:val="26"/>
          <w:lang w:eastAsia="ru-RU"/>
        </w:rPr>
        <w:t>м</w:t>
      </w:r>
      <w:r w:rsidRPr="00F94FED">
        <w:rPr>
          <w:rFonts w:eastAsia="Times New Roman"/>
          <w:sz w:val="26"/>
          <w:szCs w:val="26"/>
          <w:lang w:eastAsia="ru-RU"/>
        </w:rPr>
        <w:t xml:space="preserve"> электрическую энергии на среднем втором уровне напряжения</w:t>
      </w:r>
      <w:r w:rsidR="005C3ACA">
        <w:rPr>
          <w:rFonts w:eastAsia="Times New Roman"/>
          <w:sz w:val="26"/>
          <w:szCs w:val="26"/>
          <w:lang w:eastAsia="ru-RU"/>
        </w:rPr>
        <w:t>,</w:t>
      </w:r>
      <w:r w:rsidRPr="00F94FED">
        <w:rPr>
          <w:rFonts w:eastAsia="Times New Roman"/>
          <w:sz w:val="26"/>
          <w:szCs w:val="26"/>
          <w:lang w:eastAsia="ru-RU"/>
        </w:rPr>
        <w:t xml:space="preserve"> сложилась обратная ситуация: фактические начисления за услуги по передаче электрической энергии превысили плановое значение (определенное как произведение балансовых показателей и утвержденных тарифов) на 197 004 тыс. руб. без НДС.</w:t>
      </w:r>
    </w:p>
    <w:p w14:paraId="41227B3B" w14:textId="266AE0F2" w:rsidR="009A4C46" w:rsidRDefault="009A4C46" w:rsidP="00F94FED">
      <w:pPr>
        <w:spacing w:after="0" w:line="360" w:lineRule="auto"/>
        <w:ind w:firstLine="567"/>
        <w:jc w:val="both"/>
        <w:rPr>
          <w:rFonts w:eastAsia="Times New Roman"/>
          <w:sz w:val="26"/>
          <w:szCs w:val="26"/>
          <w:lang w:eastAsia="ru-RU"/>
        </w:rPr>
      </w:pPr>
      <w:r w:rsidRPr="00F94FED">
        <w:rPr>
          <w:rFonts w:eastAsia="Times New Roman"/>
          <w:sz w:val="26"/>
          <w:szCs w:val="26"/>
          <w:lang w:eastAsia="ru-RU"/>
        </w:rPr>
        <w:t>На основании изложенного выше:</w:t>
      </w:r>
    </w:p>
    <w:p w14:paraId="6D446A7E" w14:textId="77777777" w:rsidR="005C3ACA" w:rsidRPr="00F94FED" w:rsidRDefault="005C3ACA" w:rsidP="00F94FED">
      <w:pPr>
        <w:spacing w:after="0" w:line="360" w:lineRule="auto"/>
        <w:ind w:firstLine="567"/>
        <w:jc w:val="both"/>
        <w:rPr>
          <w:rFonts w:eastAsia="Times New Roman"/>
          <w:sz w:val="26"/>
          <w:szCs w:val="26"/>
          <w:lang w:eastAsia="ru-RU"/>
        </w:rPr>
      </w:pPr>
    </w:p>
    <w:p w14:paraId="62DE5C00" w14:textId="77777777" w:rsidR="009A4C46" w:rsidRPr="00F94FED" w:rsidRDefault="009A4C46" w:rsidP="00F94FED">
      <w:pPr>
        <w:numPr>
          <w:ilvl w:val="0"/>
          <w:numId w:val="17"/>
        </w:numPr>
        <w:spacing w:after="0" w:line="360" w:lineRule="auto"/>
        <w:ind w:left="1134" w:hanging="567"/>
        <w:contextualSpacing/>
        <w:jc w:val="both"/>
        <w:rPr>
          <w:rFonts w:eastAsia="Times New Roman"/>
          <w:sz w:val="26"/>
          <w:szCs w:val="26"/>
          <w:lang w:eastAsia="ru-RU"/>
        </w:rPr>
      </w:pPr>
      <w:r w:rsidRPr="00F94FED">
        <w:rPr>
          <w:rFonts w:eastAsia="Times New Roman"/>
          <w:sz w:val="26"/>
          <w:szCs w:val="26"/>
          <w:lang w:eastAsia="ru-RU"/>
        </w:rPr>
        <w:t>Общая величина расходов АО «Тываэнерго» за период 2017-2018 гг. на оказание услуг по передаче электрической энергии (НВВ котловая):</w:t>
      </w:r>
    </w:p>
    <w:tbl>
      <w:tblPr>
        <w:tblStyle w:val="af8"/>
        <w:tblW w:w="5000" w:type="pct"/>
        <w:tblLook w:val="04A0" w:firstRow="1" w:lastRow="0" w:firstColumn="1" w:lastColumn="0" w:noHBand="0" w:noVBand="1"/>
      </w:tblPr>
      <w:tblGrid>
        <w:gridCol w:w="2969"/>
        <w:gridCol w:w="2316"/>
        <w:gridCol w:w="2045"/>
        <w:gridCol w:w="2015"/>
      </w:tblGrid>
      <w:tr w:rsidR="00C1709C" w:rsidRPr="00C1709C" w14:paraId="4ABD9824" w14:textId="77777777" w:rsidTr="00F94FED">
        <w:trPr>
          <w:trHeight w:val="197"/>
        </w:trPr>
        <w:tc>
          <w:tcPr>
            <w:tcW w:w="158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77C567A" w14:textId="77777777" w:rsidR="009A4C46" w:rsidRPr="00F94FED" w:rsidRDefault="009A4C46">
            <w:pPr>
              <w:jc w:val="center"/>
              <w:rPr>
                <w:rFonts w:eastAsia="Calibri"/>
                <w:b/>
                <w:color w:val="FFFFFF" w:themeColor="background1"/>
                <w:sz w:val="22"/>
                <w:szCs w:val="22"/>
                <w:lang w:eastAsia="ru-RU"/>
              </w:rPr>
            </w:pPr>
          </w:p>
        </w:tc>
        <w:tc>
          <w:tcPr>
            <w:tcW w:w="123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80E3E11" w14:textId="77777777" w:rsidR="009A4C46" w:rsidRPr="00F94FED" w:rsidRDefault="009A4C46">
            <w:pPr>
              <w:jc w:val="center"/>
              <w:rPr>
                <w:rFonts w:eastAsia="Calibri"/>
                <w:b/>
                <w:color w:val="FFFFFF" w:themeColor="background1"/>
                <w:sz w:val="22"/>
                <w:szCs w:val="22"/>
                <w:lang w:eastAsia="ru-RU"/>
              </w:rPr>
            </w:pPr>
            <w:r w:rsidRPr="00F94FED">
              <w:rPr>
                <w:rFonts w:eastAsia="Calibri"/>
                <w:b/>
                <w:color w:val="FFFFFF" w:themeColor="background1"/>
                <w:sz w:val="22"/>
                <w:szCs w:val="22"/>
                <w:lang w:eastAsia="ru-RU"/>
              </w:rPr>
              <w:t>Всего, тыс. руб.</w:t>
            </w:r>
          </w:p>
        </w:tc>
        <w:tc>
          <w:tcPr>
            <w:tcW w:w="109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56FF168" w14:textId="77777777" w:rsidR="009A4C46" w:rsidRPr="00F94FED" w:rsidRDefault="009A4C46">
            <w:pPr>
              <w:jc w:val="center"/>
              <w:rPr>
                <w:rFonts w:eastAsia="Calibri"/>
                <w:b/>
                <w:color w:val="FFFFFF" w:themeColor="background1"/>
                <w:sz w:val="22"/>
                <w:szCs w:val="22"/>
                <w:lang w:eastAsia="ru-RU"/>
              </w:rPr>
            </w:pPr>
            <w:r w:rsidRPr="00F94FED">
              <w:rPr>
                <w:rFonts w:eastAsia="Calibri"/>
                <w:b/>
                <w:color w:val="FFFFFF" w:themeColor="background1"/>
                <w:sz w:val="22"/>
                <w:szCs w:val="22"/>
                <w:lang w:eastAsia="ru-RU"/>
              </w:rPr>
              <w:t>в т.ч. 2017 год</w:t>
            </w:r>
          </w:p>
        </w:tc>
        <w:tc>
          <w:tcPr>
            <w:tcW w:w="107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28D1DD1" w14:textId="77777777" w:rsidR="009A4C46" w:rsidRPr="00F94FED" w:rsidRDefault="009A4C46">
            <w:pPr>
              <w:jc w:val="center"/>
              <w:rPr>
                <w:rFonts w:eastAsia="Calibri"/>
                <w:b/>
                <w:color w:val="FFFFFF" w:themeColor="background1"/>
                <w:sz w:val="22"/>
                <w:szCs w:val="22"/>
                <w:lang w:eastAsia="ru-RU"/>
              </w:rPr>
            </w:pPr>
            <w:r w:rsidRPr="00F94FED">
              <w:rPr>
                <w:rFonts w:eastAsia="Calibri"/>
                <w:b/>
                <w:color w:val="FFFFFF" w:themeColor="background1"/>
                <w:sz w:val="22"/>
                <w:szCs w:val="22"/>
                <w:lang w:eastAsia="ru-RU"/>
              </w:rPr>
              <w:t>в т.ч. 2018 год</w:t>
            </w:r>
          </w:p>
        </w:tc>
      </w:tr>
      <w:tr w:rsidR="009A4C46" w:rsidRPr="009A4C46" w14:paraId="785C6832" w14:textId="77777777" w:rsidTr="00F94FED">
        <w:trPr>
          <w:trHeight w:val="145"/>
        </w:trPr>
        <w:tc>
          <w:tcPr>
            <w:tcW w:w="1589" w:type="pct"/>
            <w:tcBorders>
              <w:top w:val="single" w:sz="4" w:space="0" w:color="FFFFFF" w:themeColor="background1"/>
            </w:tcBorders>
            <w:shd w:val="clear" w:color="auto" w:fill="auto"/>
          </w:tcPr>
          <w:p w14:paraId="66828647" w14:textId="77777777" w:rsidR="009A4C46" w:rsidRPr="00F94FED" w:rsidRDefault="009A4C46" w:rsidP="009A4C46">
            <w:pPr>
              <w:rPr>
                <w:rFonts w:eastAsia="Calibri"/>
                <w:sz w:val="22"/>
                <w:szCs w:val="22"/>
                <w:lang w:eastAsia="ru-RU"/>
              </w:rPr>
            </w:pPr>
            <w:r w:rsidRPr="00F94FED">
              <w:rPr>
                <w:rFonts w:eastAsia="Calibri"/>
                <w:sz w:val="22"/>
                <w:szCs w:val="22"/>
                <w:lang w:eastAsia="ru-RU"/>
              </w:rPr>
              <w:t>Расходы всего</w:t>
            </w:r>
          </w:p>
        </w:tc>
        <w:tc>
          <w:tcPr>
            <w:tcW w:w="1239" w:type="pct"/>
            <w:tcBorders>
              <w:top w:val="single" w:sz="4" w:space="0" w:color="FFFFFF" w:themeColor="background1"/>
            </w:tcBorders>
            <w:shd w:val="clear" w:color="auto" w:fill="auto"/>
            <w:vAlign w:val="center"/>
          </w:tcPr>
          <w:p w14:paraId="38662C88" w14:textId="77777777" w:rsidR="009A4C46" w:rsidRPr="00F94FED" w:rsidRDefault="009A4C46" w:rsidP="009A4C46">
            <w:pPr>
              <w:jc w:val="center"/>
              <w:rPr>
                <w:rFonts w:eastAsia="Calibri"/>
                <w:sz w:val="22"/>
                <w:szCs w:val="22"/>
                <w:lang w:eastAsia="ru-RU"/>
              </w:rPr>
            </w:pPr>
            <w:r w:rsidRPr="00F94FED">
              <w:rPr>
                <w:rFonts w:eastAsia="Calibri"/>
                <w:sz w:val="22"/>
                <w:szCs w:val="22"/>
                <w:lang w:eastAsia="ru-RU"/>
              </w:rPr>
              <w:t>3 932 571</w:t>
            </w:r>
          </w:p>
        </w:tc>
        <w:tc>
          <w:tcPr>
            <w:tcW w:w="1094" w:type="pct"/>
            <w:tcBorders>
              <w:top w:val="single" w:sz="4" w:space="0" w:color="FFFFFF" w:themeColor="background1"/>
            </w:tcBorders>
            <w:shd w:val="clear" w:color="auto" w:fill="auto"/>
            <w:vAlign w:val="center"/>
          </w:tcPr>
          <w:p w14:paraId="42C735F9" w14:textId="77777777" w:rsidR="009A4C46" w:rsidRPr="00F94FED" w:rsidRDefault="009A4C46" w:rsidP="009A4C46">
            <w:pPr>
              <w:jc w:val="center"/>
              <w:rPr>
                <w:rFonts w:eastAsia="Calibri"/>
                <w:sz w:val="22"/>
                <w:szCs w:val="22"/>
                <w:lang w:eastAsia="ru-RU"/>
              </w:rPr>
            </w:pPr>
            <w:r w:rsidRPr="00F94FED">
              <w:rPr>
                <w:rFonts w:eastAsia="Calibri"/>
                <w:sz w:val="22"/>
                <w:szCs w:val="22"/>
                <w:lang w:eastAsia="ru-RU"/>
              </w:rPr>
              <w:t>1 373 441</w:t>
            </w:r>
          </w:p>
        </w:tc>
        <w:tc>
          <w:tcPr>
            <w:tcW w:w="1078" w:type="pct"/>
            <w:tcBorders>
              <w:top w:val="single" w:sz="4" w:space="0" w:color="FFFFFF" w:themeColor="background1"/>
            </w:tcBorders>
            <w:shd w:val="clear" w:color="auto" w:fill="auto"/>
            <w:vAlign w:val="center"/>
          </w:tcPr>
          <w:p w14:paraId="6F6E5FC1" w14:textId="77777777" w:rsidR="009A4C46" w:rsidRPr="00F94FED" w:rsidRDefault="009A4C46" w:rsidP="009A4C46">
            <w:pPr>
              <w:jc w:val="center"/>
              <w:rPr>
                <w:rFonts w:eastAsia="Calibri"/>
                <w:sz w:val="22"/>
                <w:szCs w:val="22"/>
                <w:lang w:eastAsia="ru-RU"/>
              </w:rPr>
            </w:pPr>
            <w:r w:rsidRPr="00F94FED">
              <w:rPr>
                <w:rFonts w:eastAsia="Calibri"/>
                <w:sz w:val="22"/>
                <w:szCs w:val="22"/>
                <w:lang w:eastAsia="ru-RU"/>
              </w:rPr>
              <w:t>2 559 130</w:t>
            </w:r>
          </w:p>
        </w:tc>
      </w:tr>
    </w:tbl>
    <w:p w14:paraId="5ECB51EC" w14:textId="74B66805" w:rsidR="00C1709C" w:rsidRDefault="00C1709C" w:rsidP="009A4C46">
      <w:pPr>
        <w:spacing w:after="0" w:line="360" w:lineRule="auto"/>
        <w:ind w:left="284"/>
        <w:contextualSpacing/>
        <w:jc w:val="both"/>
        <w:rPr>
          <w:rFonts w:eastAsia="Times New Roman"/>
          <w:sz w:val="28"/>
          <w:szCs w:val="28"/>
          <w:lang w:eastAsia="ru-RU"/>
        </w:rPr>
      </w:pPr>
    </w:p>
    <w:p w14:paraId="14C17896" w14:textId="77777777" w:rsidR="005C3ACA" w:rsidRPr="009A4C46" w:rsidRDefault="005C3ACA" w:rsidP="009A4C46">
      <w:pPr>
        <w:spacing w:after="0" w:line="360" w:lineRule="auto"/>
        <w:ind w:left="284"/>
        <w:contextualSpacing/>
        <w:jc w:val="both"/>
        <w:rPr>
          <w:rFonts w:eastAsia="Times New Roman"/>
          <w:sz w:val="28"/>
          <w:szCs w:val="28"/>
          <w:lang w:eastAsia="ru-RU"/>
        </w:rPr>
      </w:pPr>
    </w:p>
    <w:p w14:paraId="4AE474EF" w14:textId="77777777" w:rsidR="009A4C46" w:rsidRPr="00F94FED" w:rsidRDefault="009A4C46" w:rsidP="00F94FED">
      <w:pPr>
        <w:numPr>
          <w:ilvl w:val="0"/>
          <w:numId w:val="17"/>
        </w:numPr>
        <w:spacing w:after="0" w:line="360" w:lineRule="auto"/>
        <w:ind w:left="1134" w:hanging="567"/>
        <w:contextualSpacing/>
        <w:jc w:val="both"/>
        <w:rPr>
          <w:rFonts w:eastAsia="Times New Roman"/>
          <w:sz w:val="26"/>
          <w:szCs w:val="26"/>
          <w:lang w:eastAsia="ru-RU"/>
        </w:rPr>
      </w:pPr>
      <w:r w:rsidRPr="00F94FED">
        <w:rPr>
          <w:rFonts w:eastAsia="Times New Roman"/>
          <w:sz w:val="26"/>
          <w:szCs w:val="26"/>
          <w:lang w:eastAsia="ru-RU"/>
        </w:rPr>
        <w:lastRenderedPageBreak/>
        <w:t>Величина фактически начисленной выручки за период 2017 -2018 гг.:</w:t>
      </w:r>
    </w:p>
    <w:tbl>
      <w:tblPr>
        <w:tblStyle w:val="af8"/>
        <w:tblW w:w="5000" w:type="pct"/>
        <w:tblLook w:val="04A0" w:firstRow="1" w:lastRow="0" w:firstColumn="1" w:lastColumn="0" w:noHBand="0" w:noVBand="1"/>
      </w:tblPr>
      <w:tblGrid>
        <w:gridCol w:w="2983"/>
        <w:gridCol w:w="2314"/>
        <w:gridCol w:w="2039"/>
        <w:gridCol w:w="2009"/>
      </w:tblGrid>
      <w:tr w:rsidR="00C1709C" w:rsidRPr="00C1709C" w14:paraId="4EF46543" w14:textId="77777777" w:rsidTr="00F94FED">
        <w:tc>
          <w:tcPr>
            <w:tcW w:w="159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3966CCCA" w14:textId="77777777" w:rsidR="009A4C46" w:rsidRPr="00F94FED" w:rsidRDefault="009A4C46" w:rsidP="009A4C46">
            <w:pPr>
              <w:jc w:val="center"/>
              <w:rPr>
                <w:rFonts w:eastAsia="Calibri"/>
                <w:b/>
                <w:color w:val="FFFFFF" w:themeColor="background1"/>
                <w:sz w:val="22"/>
                <w:szCs w:val="22"/>
                <w:lang w:eastAsia="ru-RU"/>
              </w:rPr>
            </w:pPr>
          </w:p>
        </w:tc>
        <w:tc>
          <w:tcPr>
            <w:tcW w:w="123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37CB44AA" w14:textId="77777777" w:rsidR="009A4C46" w:rsidRPr="00F94FED" w:rsidRDefault="009A4C46" w:rsidP="009A4C46">
            <w:pPr>
              <w:jc w:val="center"/>
              <w:rPr>
                <w:rFonts w:eastAsia="Calibri"/>
                <w:b/>
                <w:color w:val="FFFFFF" w:themeColor="background1"/>
                <w:sz w:val="22"/>
                <w:szCs w:val="22"/>
                <w:lang w:eastAsia="ru-RU"/>
              </w:rPr>
            </w:pPr>
            <w:r w:rsidRPr="00F94FED">
              <w:rPr>
                <w:rFonts w:eastAsia="Calibri"/>
                <w:b/>
                <w:color w:val="FFFFFF" w:themeColor="background1"/>
                <w:sz w:val="22"/>
                <w:szCs w:val="22"/>
                <w:lang w:eastAsia="ru-RU"/>
              </w:rPr>
              <w:t>Всего, тыс. руб.</w:t>
            </w:r>
          </w:p>
        </w:tc>
        <w:tc>
          <w:tcPr>
            <w:tcW w:w="109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0C15FB16" w14:textId="77777777" w:rsidR="009A4C46" w:rsidRPr="00F94FED" w:rsidRDefault="009A4C46" w:rsidP="009A4C46">
            <w:pPr>
              <w:jc w:val="center"/>
              <w:rPr>
                <w:rFonts w:eastAsia="Calibri"/>
                <w:b/>
                <w:color w:val="FFFFFF" w:themeColor="background1"/>
                <w:sz w:val="22"/>
                <w:szCs w:val="22"/>
                <w:lang w:eastAsia="ru-RU"/>
              </w:rPr>
            </w:pPr>
            <w:r w:rsidRPr="00F94FED">
              <w:rPr>
                <w:rFonts w:eastAsia="Calibri"/>
                <w:b/>
                <w:color w:val="FFFFFF" w:themeColor="background1"/>
                <w:sz w:val="22"/>
                <w:szCs w:val="22"/>
                <w:lang w:eastAsia="ru-RU"/>
              </w:rPr>
              <w:t>в т.ч. 2017 год</w:t>
            </w:r>
          </w:p>
        </w:tc>
        <w:tc>
          <w:tcPr>
            <w:tcW w:w="107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424E3FDA" w14:textId="77777777" w:rsidR="009A4C46" w:rsidRPr="00F94FED" w:rsidRDefault="009A4C46" w:rsidP="009A4C46">
            <w:pPr>
              <w:jc w:val="center"/>
              <w:rPr>
                <w:rFonts w:eastAsia="Calibri"/>
                <w:b/>
                <w:color w:val="FFFFFF" w:themeColor="background1"/>
                <w:sz w:val="22"/>
                <w:szCs w:val="22"/>
                <w:lang w:eastAsia="ru-RU"/>
              </w:rPr>
            </w:pPr>
            <w:r w:rsidRPr="00F94FED">
              <w:rPr>
                <w:rFonts w:eastAsia="Calibri"/>
                <w:b/>
                <w:color w:val="FFFFFF" w:themeColor="background1"/>
                <w:sz w:val="22"/>
                <w:szCs w:val="22"/>
                <w:lang w:eastAsia="ru-RU"/>
              </w:rPr>
              <w:t>в т.ч. 2018 год</w:t>
            </w:r>
          </w:p>
        </w:tc>
      </w:tr>
      <w:tr w:rsidR="009A4C46" w:rsidRPr="009A4C46" w14:paraId="7A5D35CC" w14:textId="77777777" w:rsidTr="00F94FED">
        <w:tc>
          <w:tcPr>
            <w:tcW w:w="1596" w:type="pct"/>
            <w:tcBorders>
              <w:top w:val="single" w:sz="4" w:space="0" w:color="FFFFFF" w:themeColor="background1"/>
            </w:tcBorders>
            <w:shd w:val="clear" w:color="auto" w:fill="auto"/>
          </w:tcPr>
          <w:p w14:paraId="10DD97BB" w14:textId="77777777" w:rsidR="009A4C46" w:rsidRPr="00F94FED" w:rsidRDefault="009A4C46" w:rsidP="009A4C46">
            <w:pPr>
              <w:rPr>
                <w:rFonts w:eastAsia="Calibri"/>
                <w:sz w:val="22"/>
                <w:szCs w:val="22"/>
                <w:lang w:eastAsia="ru-RU"/>
              </w:rPr>
            </w:pPr>
            <w:r w:rsidRPr="00F94FED">
              <w:rPr>
                <w:rFonts w:eastAsia="Calibri"/>
                <w:sz w:val="22"/>
                <w:szCs w:val="22"/>
                <w:lang w:eastAsia="ru-RU"/>
              </w:rPr>
              <w:t>Фактическая выручка</w:t>
            </w:r>
          </w:p>
        </w:tc>
        <w:tc>
          <w:tcPr>
            <w:tcW w:w="1238" w:type="pct"/>
            <w:tcBorders>
              <w:top w:val="single" w:sz="4" w:space="0" w:color="FFFFFF" w:themeColor="background1"/>
            </w:tcBorders>
            <w:shd w:val="clear" w:color="auto" w:fill="auto"/>
            <w:vAlign w:val="center"/>
          </w:tcPr>
          <w:p w14:paraId="201292FD" w14:textId="77777777" w:rsidR="009A4C46" w:rsidRPr="00F94FED" w:rsidRDefault="009A4C46" w:rsidP="009A4C46">
            <w:pPr>
              <w:spacing w:line="360" w:lineRule="auto"/>
              <w:jc w:val="center"/>
              <w:rPr>
                <w:rFonts w:eastAsia="Calibri"/>
                <w:sz w:val="22"/>
                <w:szCs w:val="22"/>
                <w:lang w:eastAsia="ru-RU"/>
              </w:rPr>
            </w:pPr>
            <w:r w:rsidRPr="00F94FED">
              <w:rPr>
                <w:rFonts w:eastAsia="Calibri"/>
                <w:sz w:val="22"/>
                <w:szCs w:val="22"/>
                <w:lang w:eastAsia="ru-RU"/>
              </w:rPr>
              <w:t>2 517 284</w:t>
            </w:r>
          </w:p>
        </w:tc>
        <w:tc>
          <w:tcPr>
            <w:tcW w:w="1091" w:type="pct"/>
            <w:tcBorders>
              <w:top w:val="single" w:sz="4" w:space="0" w:color="FFFFFF" w:themeColor="background1"/>
            </w:tcBorders>
            <w:shd w:val="clear" w:color="auto" w:fill="auto"/>
            <w:vAlign w:val="center"/>
          </w:tcPr>
          <w:p w14:paraId="039DB447" w14:textId="77777777" w:rsidR="009A4C46" w:rsidRPr="00F94FED" w:rsidRDefault="009A4C46" w:rsidP="009A4C46">
            <w:pPr>
              <w:spacing w:line="360" w:lineRule="auto"/>
              <w:jc w:val="center"/>
              <w:rPr>
                <w:rFonts w:eastAsia="Calibri"/>
                <w:sz w:val="22"/>
                <w:szCs w:val="22"/>
                <w:lang w:eastAsia="ru-RU"/>
              </w:rPr>
            </w:pPr>
            <w:r w:rsidRPr="00F94FED">
              <w:rPr>
                <w:rFonts w:eastAsia="Calibri"/>
                <w:sz w:val="22"/>
                <w:szCs w:val="22"/>
                <w:lang w:eastAsia="ru-RU"/>
              </w:rPr>
              <w:t>1 194 070</w:t>
            </w:r>
          </w:p>
        </w:tc>
        <w:tc>
          <w:tcPr>
            <w:tcW w:w="1075" w:type="pct"/>
            <w:tcBorders>
              <w:top w:val="single" w:sz="4" w:space="0" w:color="FFFFFF" w:themeColor="background1"/>
            </w:tcBorders>
            <w:shd w:val="clear" w:color="auto" w:fill="auto"/>
            <w:vAlign w:val="center"/>
          </w:tcPr>
          <w:p w14:paraId="5419BC64" w14:textId="77777777" w:rsidR="009A4C46" w:rsidRPr="00F94FED" w:rsidRDefault="009A4C46" w:rsidP="009A4C46">
            <w:pPr>
              <w:spacing w:line="360" w:lineRule="auto"/>
              <w:jc w:val="center"/>
              <w:rPr>
                <w:rFonts w:eastAsia="Calibri"/>
                <w:sz w:val="22"/>
                <w:szCs w:val="22"/>
                <w:lang w:eastAsia="ru-RU"/>
              </w:rPr>
            </w:pPr>
            <w:r w:rsidRPr="00F94FED">
              <w:rPr>
                <w:rFonts w:eastAsia="Calibri"/>
                <w:sz w:val="22"/>
                <w:szCs w:val="22"/>
                <w:lang w:eastAsia="ru-RU"/>
              </w:rPr>
              <w:t>1 323 214</w:t>
            </w:r>
          </w:p>
        </w:tc>
      </w:tr>
    </w:tbl>
    <w:p w14:paraId="1A12FE48" w14:textId="77777777" w:rsidR="00070F3E" w:rsidRDefault="00070F3E" w:rsidP="00070F3E">
      <w:pPr>
        <w:spacing w:after="0" w:line="360" w:lineRule="auto"/>
        <w:ind w:left="1134"/>
        <w:contextualSpacing/>
        <w:jc w:val="both"/>
        <w:rPr>
          <w:rFonts w:eastAsia="Times New Roman"/>
          <w:sz w:val="26"/>
          <w:szCs w:val="26"/>
          <w:lang w:eastAsia="ru-RU"/>
        </w:rPr>
      </w:pPr>
    </w:p>
    <w:p w14:paraId="64E5BB68" w14:textId="2380AA53" w:rsidR="009A4C46" w:rsidRPr="00F94FED" w:rsidRDefault="009A4C46" w:rsidP="00F94FED">
      <w:pPr>
        <w:numPr>
          <w:ilvl w:val="0"/>
          <w:numId w:val="17"/>
        </w:numPr>
        <w:spacing w:after="0" w:line="360" w:lineRule="auto"/>
        <w:ind w:left="1134" w:hanging="567"/>
        <w:contextualSpacing/>
        <w:jc w:val="both"/>
        <w:rPr>
          <w:rFonts w:eastAsia="Times New Roman"/>
          <w:sz w:val="26"/>
          <w:szCs w:val="26"/>
          <w:lang w:eastAsia="ru-RU"/>
        </w:rPr>
      </w:pPr>
      <w:r w:rsidRPr="00F94FED">
        <w:rPr>
          <w:rFonts w:eastAsia="Times New Roman"/>
          <w:sz w:val="26"/>
          <w:szCs w:val="26"/>
          <w:lang w:eastAsia="ru-RU"/>
        </w:rPr>
        <w:t>Величина фактических расходов, не скомпенсированных величиной фактической выручки, за 2017 -2018 гг.:</w:t>
      </w:r>
    </w:p>
    <w:tbl>
      <w:tblPr>
        <w:tblStyle w:val="af8"/>
        <w:tblW w:w="5000" w:type="pct"/>
        <w:tblLook w:val="04A0" w:firstRow="1" w:lastRow="0" w:firstColumn="1" w:lastColumn="0" w:noHBand="0" w:noVBand="1"/>
      </w:tblPr>
      <w:tblGrid>
        <w:gridCol w:w="3000"/>
        <w:gridCol w:w="2304"/>
        <w:gridCol w:w="2043"/>
        <w:gridCol w:w="1998"/>
      </w:tblGrid>
      <w:tr w:rsidR="00C1709C" w:rsidRPr="00C1709C" w14:paraId="4641F6EA" w14:textId="77777777" w:rsidTr="00C1709C">
        <w:tc>
          <w:tcPr>
            <w:tcW w:w="160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5C537EFD" w14:textId="77777777" w:rsidR="009A4C46" w:rsidRPr="00F94FED" w:rsidRDefault="009A4C46" w:rsidP="009A4C46">
            <w:pPr>
              <w:jc w:val="center"/>
              <w:rPr>
                <w:rFonts w:eastAsia="Calibri"/>
                <w:b/>
                <w:color w:val="FFFFFF" w:themeColor="background1"/>
                <w:sz w:val="22"/>
                <w:szCs w:val="22"/>
                <w:lang w:eastAsia="ru-RU"/>
              </w:rPr>
            </w:pPr>
          </w:p>
        </w:tc>
        <w:tc>
          <w:tcPr>
            <w:tcW w:w="123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0A3B9392" w14:textId="77777777" w:rsidR="009A4C46" w:rsidRPr="00F94FED" w:rsidRDefault="009A4C46" w:rsidP="009A4C46">
            <w:pPr>
              <w:jc w:val="center"/>
              <w:rPr>
                <w:rFonts w:eastAsia="Calibri"/>
                <w:b/>
                <w:color w:val="FFFFFF" w:themeColor="background1"/>
                <w:sz w:val="22"/>
                <w:szCs w:val="22"/>
                <w:lang w:eastAsia="ru-RU"/>
              </w:rPr>
            </w:pPr>
            <w:r w:rsidRPr="00F94FED">
              <w:rPr>
                <w:rFonts w:eastAsia="Calibri"/>
                <w:b/>
                <w:color w:val="FFFFFF" w:themeColor="background1"/>
                <w:sz w:val="22"/>
                <w:szCs w:val="22"/>
                <w:lang w:eastAsia="ru-RU"/>
              </w:rPr>
              <w:t>Всего, тыс. руб.</w:t>
            </w:r>
          </w:p>
        </w:tc>
        <w:tc>
          <w:tcPr>
            <w:tcW w:w="109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2A98EB7B" w14:textId="77777777" w:rsidR="009A4C46" w:rsidRPr="00F94FED" w:rsidRDefault="009A4C46" w:rsidP="009A4C46">
            <w:pPr>
              <w:jc w:val="center"/>
              <w:rPr>
                <w:rFonts w:eastAsia="Calibri"/>
                <w:b/>
                <w:color w:val="FFFFFF" w:themeColor="background1"/>
                <w:sz w:val="22"/>
                <w:szCs w:val="22"/>
                <w:lang w:eastAsia="ru-RU"/>
              </w:rPr>
            </w:pPr>
            <w:r w:rsidRPr="00F94FED">
              <w:rPr>
                <w:rFonts w:eastAsia="Calibri"/>
                <w:b/>
                <w:color w:val="FFFFFF" w:themeColor="background1"/>
                <w:sz w:val="22"/>
                <w:szCs w:val="22"/>
                <w:lang w:eastAsia="ru-RU"/>
              </w:rPr>
              <w:t>в т.ч. 2017 год</w:t>
            </w:r>
          </w:p>
        </w:tc>
        <w:tc>
          <w:tcPr>
            <w:tcW w:w="107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478EA44D" w14:textId="77777777" w:rsidR="009A4C46" w:rsidRPr="00F94FED" w:rsidRDefault="009A4C46" w:rsidP="009A4C46">
            <w:pPr>
              <w:jc w:val="center"/>
              <w:rPr>
                <w:rFonts w:eastAsia="Calibri"/>
                <w:b/>
                <w:color w:val="FFFFFF" w:themeColor="background1"/>
                <w:sz w:val="22"/>
                <w:szCs w:val="22"/>
                <w:lang w:eastAsia="ru-RU"/>
              </w:rPr>
            </w:pPr>
            <w:r w:rsidRPr="00F94FED">
              <w:rPr>
                <w:rFonts w:eastAsia="Calibri"/>
                <w:b/>
                <w:color w:val="FFFFFF" w:themeColor="background1"/>
                <w:sz w:val="22"/>
                <w:szCs w:val="22"/>
                <w:lang w:eastAsia="ru-RU"/>
              </w:rPr>
              <w:t>в т.ч. 2018 год</w:t>
            </w:r>
          </w:p>
        </w:tc>
      </w:tr>
      <w:tr w:rsidR="009A4C46" w:rsidRPr="009A4C46" w14:paraId="23494774" w14:textId="77777777" w:rsidTr="00F94FED">
        <w:tc>
          <w:tcPr>
            <w:tcW w:w="1605" w:type="pct"/>
            <w:tcBorders>
              <w:top w:val="single" w:sz="4" w:space="0" w:color="FFFFFF" w:themeColor="background1"/>
            </w:tcBorders>
            <w:shd w:val="clear" w:color="auto" w:fill="auto"/>
          </w:tcPr>
          <w:p w14:paraId="6BAA39C9" w14:textId="77777777" w:rsidR="009A4C46" w:rsidRPr="00F94FED" w:rsidRDefault="009A4C46" w:rsidP="009A4C46">
            <w:pPr>
              <w:rPr>
                <w:rFonts w:eastAsia="Calibri"/>
                <w:sz w:val="22"/>
                <w:szCs w:val="22"/>
                <w:lang w:eastAsia="ru-RU"/>
              </w:rPr>
            </w:pPr>
            <w:r w:rsidRPr="00F94FED">
              <w:rPr>
                <w:rFonts w:eastAsia="Calibri"/>
                <w:sz w:val="22"/>
                <w:szCs w:val="22"/>
                <w:lang w:eastAsia="ru-RU"/>
              </w:rPr>
              <w:t xml:space="preserve">Величина расходов, не скомпенсированных фактической выручкой - всего </w:t>
            </w:r>
          </w:p>
        </w:tc>
        <w:tc>
          <w:tcPr>
            <w:tcW w:w="1233" w:type="pct"/>
            <w:tcBorders>
              <w:top w:val="single" w:sz="4" w:space="0" w:color="FFFFFF" w:themeColor="background1"/>
            </w:tcBorders>
            <w:shd w:val="clear" w:color="auto" w:fill="auto"/>
            <w:vAlign w:val="center"/>
          </w:tcPr>
          <w:p w14:paraId="7C77B87F" w14:textId="77777777" w:rsidR="009A4C46" w:rsidRPr="00F94FED" w:rsidRDefault="009A4C46" w:rsidP="009A4C46">
            <w:pPr>
              <w:jc w:val="center"/>
              <w:rPr>
                <w:rFonts w:eastAsia="Calibri"/>
                <w:sz w:val="22"/>
                <w:szCs w:val="22"/>
                <w:lang w:eastAsia="ru-RU"/>
              </w:rPr>
            </w:pPr>
            <w:r w:rsidRPr="00F94FED">
              <w:rPr>
                <w:rFonts w:eastAsia="Calibri"/>
                <w:sz w:val="22"/>
                <w:szCs w:val="22"/>
                <w:lang w:eastAsia="ru-RU"/>
              </w:rPr>
              <w:t>1 415 287</w:t>
            </w:r>
          </w:p>
        </w:tc>
        <w:tc>
          <w:tcPr>
            <w:tcW w:w="1093" w:type="pct"/>
            <w:tcBorders>
              <w:top w:val="single" w:sz="4" w:space="0" w:color="FFFFFF" w:themeColor="background1"/>
            </w:tcBorders>
            <w:shd w:val="clear" w:color="auto" w:fill="auto"/>
            <w:vAlign w:val="center"/>
          </w:tcPr>
          <w:p w14:paraId="17EDD04F" w14:textId="77777777" w:rsidR="009A4C46" w:rsidRPr="00F94FED" w:rsidRDefault="009A4C46" w:rsidP="009A4C46">
            <w:pPr>
              <w:jc w:val="center"/>
              <w:rPr>
                <w:rFonts w:eastAsia="Calibri"/>
                <w:sz w:val="22"/>
                <w:szCs w:val="22"/>
                <w:lang w:eastAsia="ru-RU"/>
              </w:rPr>
            </w:pPr>
            <w:r w:rsidRPr="00F94FED">
              <w:rPr>
                <w:rFonts w:eastAsia="Calibri"/>
                <w:sz w:val="22"/>
                <w:szCs w:val="22"/>
                <w:lang w:eastAsia="ru-RU"/>
              </w:rPr>
              <w:t>179 371</w:t>
            </w:r>
          </w:p>
        </w:tc>
        <w:tc>
          <w:tcPr>
            <w:tcW w:w="1070" w:type="pct"/>
            <w:tcBorders>
              <w:top w:val="single" w:sz="4" w:space="0" w:color="FFFFFF" w:themeColor="background1"/>
            </w:tcBorders>
            <w:shd w:val="clear" w:color="auto" w:fill="auto"/>
            <w:vAlign w:val="center"/>
          </w:tcPr>
          <w:p w14:paraId="195D1708" w14:textId="77777777" w:rsidR="009A4C46" w:rsidRPr="00F94FED" w:rsidRDefault="009A4C46" w:rsidP="009A4C46">
            <w:pPr>
              <w:jc w:val="center"/>
              <w:rPr>
                <w:rFonts w:eastAsia="Calibri"/>
                <w:sz w:val="22"/>
                <w:szCs w:val="22"/>
                <w:lang w:eastAsia="ru-RU"/>
              </w:rPr>
            </w:pPr>
            <w:r w:rsidRPr="00F94FED">
              <w:rPr>
                <w:rFonts w:eastAsia="Calibri"/>
                <w:sz w:val="22"/>
                <w:szCs w:val="22"/>
                <w:lang w:eastAsia="ru-RU"/>
              </w:rPr>
              <w:t>1 235 916</w:t>
            </w:r>
          </w:p>
        </w:tc>
      </w:tr>
    </w:tbl>
    <w:p w14:paraId="72CFCB4F" w14:textId="77777777" w:rsidR="00070F3E" w:rsidRDefault="00070F3E" w:rsidP="00070F3E">
      <w:pPr>
        <w:spacing w:after="0" w:line="360" w:lineRule="auto"/>
        <w:ind w:left="1134"/>
        <w:contextualSpacing/>
        <w:jc w:val="both"/>
        <w:rPr>
          <w:rFonts w:eastAsia="Times New Roman"/>
          <w:sz w:val="26"/>
          <w:szCs w:val="26"/>
          <w:lang w:eastAsia="ru-RU"/>
        </w:rPr>
      </w:pPr>
    </w:p>
    <w:p w14:paraId="4D46F3CC" w14:textId="65B1D89C" w:rsidR="009A4C46" w:rsidRPr="00F94FED" w:rsidRDefault="009A4C46" w:rsidP="00F94FED">
      <w:pPr>
        <w:numPr>
          <w:ilvl w:val="0"/>
          <w:numId w:val="17"/>
        </w:numPr>
        <w:spacing w:after="0" w:line="360" w:lineRule="auto"/>
        <w:ind w:left="1134" w:hanging="567"/>
        <w:contextualSpacing/>
        <w:jc w:val="both"/>
        <w:rPr>
          <w:rFonts w:eastAsia="Times New Roman"/>
          <w:sz w:val="26"/>
          <w:szCs w:val="26"/>
          <w:lang w:eastAsia="ru-RU"/>
        </w:rPr>
      </w:pPr>
      <w:r w:rsidRPr="00F94FED">
        <w:rPr>
          <w:rFonts w:eastAsia="Times New Roman"/>
          <w:sz w:val="26"/>
          <w:szCs w:val="26"/>
          <w:lang w:eastAsia="ru-RU"/>
        </w:rPr>
        <w:t>Величина корректировок, учтенная регулирующим органом в 2019 году по итогам 2017 года, а также в 2020 году по итогам 2018 года:</w:t>
      </w:r>
    </w:p>
    <w:tbl>
      <w:tblPr>
        <w:tblStyle w:val="af8"/>
        <w:tblW w:w="0" w:type="auto"/>
        <w:tblLook w:val="04A0" w:firstRow="1" w:lastRow="0" w:firstColumn="1" w:lastColumn="0" w:noHBand="0" w:noVBand="1"/>
      </w:tblPr>
      <w:tblGrid>
        <w:gridCol w:w="2989"/>
        <w:gridCol w:w="2303"/>
        <w:gridCol w:w="2042"/>
        <w:gridCol w:w="2011"/>
      </w:tblGrid>
      <w:tr w:rsidR="009A4C46" w:rsidRPr="009A4C46" w14:paraId="2494D754" w14:textId="77777777" w:rsidTr="00F94FED">
        <w:tc>
          <w:tcPr>
            <w:tcW w:w="30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603BDF7" w14:textId="77777777" w:rsidR="009A4C46" w:rsidRPr="00F94FED" w:rsidRDefault="009A4C46" w:rsidP="009A4C46">
            <w:pPr>
              <w:jc w:val="center"/>
              <w:rPr>
                <w:rFonts w:eastAsia="Calibri"/>
                <w:b/>
                <w:color w:val="FFFFFF" w:themeColor="background1"/>
                <w:lang w:eastAsia="ru-RU"/>
              </w:rPr>
            </w:pPr>
          </w:p>
        </w:tc>
        <w:tc>
          <w:tcPr>
            <w:tcW w:w="24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89B72F0" w14:textId="77777777" w:rsidR="009A4C46" w:rsidRPr="00F94FED" w:rsidRDefault="009A4C46" w:rsidP="009A4C46">
            <w:pPr>
              <w:jc w:val="center"/>
              <w:rPr>
                <w:rFonts w:eastAsia="Calibri"/>
                <w:b/>
                <w:color w:val="FFFFFF" w:themeColor="background1"/>
                <w:lang w:eastAsia="ru-RU"/>
              </w:rPr>
            </w:pPr>
            <w:r w:rsidRPr="00F94FED">
              <w:rPr>
                <w:rFonts w:eastAsia="Calibri"/>
                <w:b/>
                <w:color w:val="FFFFFF" w:themeColor="background1"/>
                <w:lang w:eastAsia="ru-RU"/>
              </w:rPr>
              <w:t>Всего, тыс. руб.</w:t>
            </w:r>
          </w:p>
        </w:tc>
        <w:tc>
          <w:tcPr>
            <w:tcW w:w="212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E954299" w14:textId="77777777" w:rsidR="009A4C46" w:rsidRPr="00F94FED" w:rsidRDefault="009A4C46" w:rsidP="009A4C46">
            <w:pPr>
              <w:jc w:val="center"/>
              <w:rPr>
                <w:rFonts w:eastAsia="Calibri"/>
                <w:b/>
                <w:color w:val="FFFFFF" w:themeColor="background1"/>
                <w:lang w:eastAsia="ru-RU"/>
              </w:rPr>
            </w:pPr>
            <w:r w:rsidRPr="00F94FED">
              <w:rPr>
                <w:rFonts w:eastAsia="Calibri"/>
                <w:b/>
                <w:color w:val="FFFFFF" w:themeColor="background1"/>
                <w:lang w:eastAsia="ru-RU"/>
              </w:rPr>
              <w:t>в т.ч. в 2019 году по итогам 2017 года</w:t>
            </w:r>
          </w:p>
        </w:tc>
        <w:tc>
          <w:tcPr>
            <w:tcW w:w="20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F28A028" w14:textId="77777777" w:rsidR="009A4C46" w:rsidRPr="00F94FED" w:rsidRDefault="009A4C46" w:rsidP="009A4C46">
            <w:pPr>
              <w:jc w:val="center"/>
              <w:rPr>
                <w:rFonts w:eastAsia="Calibri"/>
                <w:b/>
                <w:color w:val="FFFFFF" w:themeColor="background1"/>
                <w:lang w:eastAsia="ru-RU"/>
              </w:rPr>
            </w:pPr>
            <w:r w:rsidRPr="00F94FED">
              <w:rPr>
                <w:rFonts w:eastAsia="Calibri"/>
                <w:b/>
                <w:color w:val="FFFFFF" w:themeColor="background1"/>
                <w:lang w:eastAsia="ru-RU"/>
              </w:rPr>
              <w:t>в т.ч. в 2020 году по итогам 2018 года</w:t>
            </w:r>
          </w:p>
        </w:tc>
      </w:tr>
      <w:tr w:rsidR="009A4C46" w:rsidRPr="009A4C46" w14:paraId="5914675D" w14:textId="77777777" w:rsidTr="00F94FED">
        <w:tc>
          <w:tcPr>
            <w:tcW w:w="3085" w:type="dxa"/>
            <w:tcBorders>
              <w:top w:val="single" w:sz="4" w:space="0" w:color="FFFFFF" w:themeColor="background1"/>
            </w:tcBorders>
            <w:shd w:val="clear" w:color="auto" w:fill="auto"/>
          </w:tcPr>
          <w:p w14:paraId="7D157F36" w14:textId="77777777" w:rsidR="009A4C46" w:rsidRPr="00C1709C" w:rsidRDefault="009A4C46" w:rsidP="009A4C46">
            <w:pPr>
              <w:rPr>
                <w:rFonts w:eastAsia="Calibri"/>
                <w:lang w:eastAsia="ru-RU"/>
              </w:rPr>
            </w:pPr>
            <w:r w:rsidRPr="00C1709C">
              <w:rPr>
                <w:rFonts w:eastAsia="Calibri"/>
                <w:lang w:eastAsia="ru-RU"/>
              </w:rPr>
              <w:t xml:space="preserve">Величина корректировок, учтенных в НВВ </w:t>
            </w:r>
          </w:p>
        </w:tc>
        <w:tc>
          <w:tcPr>
            <w:tcW w:w="2410" w:type="dxa"/>
            <w:tcBorders>
              <w:top w:val="single" w:sz="4" w:space="0" w:color="FFFFFF" w:themeColor="background1"/>
            </w:tcBorders>
            <w:shd w:val="clear" w:color="auto" w:fill="auto"/>
            <w:vAlign w:val="center"/>
          </w:tcPr>
          <w:p w14:paraId="3CBE48AF" w14:textId="77777777" w:rsidR="009A4C46" w:rsidRPr="00C1709C" w:rsidRDefault="009A4C46" w:rsidP="009A4C46">
            <w:pPr>
              <w:jc w:val="center"/>
              <w:rPr>
                <w:rFonts w:eastAsia="Calibri"/>
                <w:lang w:eastAsia="ru-RU"/>
              </w:rPr>
            </w:pPr>
            <w:r w:rsidRPr="00C1709C">
              <w:rPr>
                <w:rFonts w:eastAsia="Calibri"/>
                <w:lang w:eastAsia="ru-RU"/>
              </w:rPr>
              <w:t>52 349</w:t>
            </w:r>
          </w:p>
        </w:tc>
        <w:tc>
          <w:tcPr>
            <w:tcW w:w="2126" w:type="dxa"/>
            <w:tcBorders>
              <w:top w:val="single" w:sz="4" w:space="0" w:color="FFFFFF" w:themeColor="background1"/>
            </w:tcBorders>
            <w:shd w:val="clear" w:color="auto" w:fill="auto"/>
            <w:vAlign w:val="center"/>
          </w:tcPr>
          <w:p w14:paraId="6AF72409" w14:textId="77777777" w:rsidR="009A4C46" w:rsidRPr="00C1709C" w:rsidRDefault="009A4C46" w:rsidP="009A4C46">
            <w:pPr>
              <w:jc w:val="center"/>
              <w:rPr>
                <w:rFonts w:eastAsia="Calibri"/>
                <w:lang w:eastAsia="ru-RU"/>
              </w:rPr>
            </w:pPr>
            <w:r w:rsidRPr="00C1709C">
              <w:rPr>
                <w:rFonts w:eastAsia="Calibri"/>
                <w:lang w:eastAsia="ru-RU"/>
              </w:rPr>
              <w:t>52 349</w:t>
            </w:r>
          </w:p>
        </w:tc>
        <w:tc>
          <w:tcPr>
            <w:tcW w:w="2093" w:type="dxa"/>
            <w:tcBorders>
              <w:top w:val="single" w:sz="4" w:space="0" w:color="FFFFFF" w:themeColor="background1"/>
            </w:tcBorders>
            <w:shd w:val="clear" w:color="auto" w:fill="auto"/>
            <w:vAlign w:val="center"/>
          </w:tcPr>
          <w:p w14:paraId="262E4B88" w14:textId="77777777" w:rsidR="009A4C46" w:rsidRPr="00C1709C" w:rsidRDefault="009A4C46" w:rsidP="009A4C46">
            <w:pPr>
              <w:jc w:val="center"/>
              <w:rPr>
                <w:rFonts w:eastAsia="Calibri"/>
                <w:lang w:eastAsia="ru-RU"/>
              </w:rPr>
            </w:pPr>
            <w:r w:rsidRPr="00C1709C">
              <w:rPr>
                <w:rFonts w:eastAsia="Calibri"/>
                <w:lang w:eastAsia="ru-RU"/>
              </w:rPr>
              <w:t>0</w:t>
            </w:r>
          </w:p>
        </w:tc>
      </w:tr>
    </w:tbl>
    <w:p w14:paraId="257A569E" w14:textId="77777777" w:rsidR="00070F3E" w:rsidRDefault="00070F3E" w:rsidP="00070F3E">
      <w:pPr>
        <w:spacing w:after="0" w:line="360" w:lineRule="auto"/>
        <w:ind w:left="1134"/>
        <w:contextualSpacing/>
        <w:jc w:val="both"/>
        <w:rPr>
          <w:rFonts w:eastAsia="Times New Roman"/>
          <w:sz w:val="26"/>
          <w:szCs w:val="26"/>
          <w:lang w:eastAsia="ru-RU"/>
        </w:rPr>
      </w:pPr>
    </w:p>
    <w:p w14:paraId="7ECE3525" w14:textId="28B79275" w:rsidR="009A4C46" w:rsidRPr="00F94FED" w:rsidRDefault="009A4C46" w:rsidP="00F94FED">
      <w:pPr>
        <w:numPr>
          <w:ilvl w:val="0"/>
          <w:numId w:val="17"/>
        </w:numPr>
        <w:spacing w:after="0" w:line="360" w:lineRule="auto"/>
        <w:ind w:left="1134" w:hanging="567"/>
        <w:contextualSpacing/>
        <w:jc w:val="both"/>
        <w:rPr>
          <w:rFonts w:eastAsia="Times New Roman"/>
          <w:sz w:val="26"/>
          <w:szCs w:val="26"/>
          <w:lang w:eastAsia="ru-RU"/>
        </w:rPr>
      </w:pPr>
      <w:r w:rsidRPr="00F94FED">
        <w:rPr>
          <w:rFonts w:eastAsia="Times New Roman"/>
          <w:sz w:val="26"/>
          <w:szCs w:val="26"/>
          <w:lang w:eastAsia="ru-RU"/>
        </w:rPr>
        <w:t xml:space="preserve">Величина отклонения фактических подконтрольных расходов от учтенных регулирующим органом значений, не подлежащая компенсации в силу действующего законодательства компенсации в НВВ последующих периодов регулирования: </w:t>
      </w:r>
    </w:p>
    <w:tbl>
      <w:tblPr>
        <w:tblStyle w:val="af8"/>
        <w:tblW w:w="0" w:type="auto"/>
        <w:tblLook w:val="04A0" w:firstRow="1" w:lastRow="0" w:firstColumn="1" w:lastColumn="0" w:noHBand="0" w:noVBand="1"/>
      </w:tblPr>
      <w:tblGrid>
        <w:gridCol w:w="3006"/>
        <w:gridCol w:w="2234"/>
        <w:gridCol w:w="62"/>
        <w:gridCol w:w="1975"/>
        <w:gridCol w:w="62"/>
        <w:gridCol w:w="1944"/>
        <w:gridCol w:w="62"/>
      </w:tblGrid>
      <w:tr w:rsidR="009A4C46" w:rsidRPr="009A4C46" w14:paraId="13C051AE" w14:textId="77777777" w:rsidTr="005C3ACA">
        <w:tc>
          <w:tcPr>
            <w:tcW w:w="300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7D9CEE4" w14:textId="77777777" w:rsidR="009A4C46" w:rsidRPr="00F94FED" w:rsidRDefault="009A4C46" w:rsidP="00F94FED">
            <w:pPr>
              <w:jc w:val="center"/>
              <w:rPr>
                <w:rFonts w:eastAsia="Calibri"/>
                <w:b/>
                <w:color w:val="FFFFFF" w:themeColor="background1"/>
                <w:lang w:eastAsia="ru-RU"/>
              </w:rPr>
            </w:pPr>
          </w:p>
        </w:tc>
        <w:tc>
          <w:tcPr>
            <w:tcW w:w="2296"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9E2E3D0" w14:textId="77777777" w:rsidR="009A4C46" w:rsidRPr="00F94FED" w:rsidRDefault="009A4C46" w:rsidP="00F94FED">
            <w:pPr>
              <w:jc w:val="center"/>
              <w:rPr>
                <w:rFonts w:eastAsia="Calibri"/>
                <w:b/>
                <w:color w:val="FFFFFF" w:themeColor="background1"/>
                <w:lang w:eastAsia="ru-RU"/>
              </w:rPr>
            </w:pPr>
            <w:r w:rsidRPr="00F94FED">
              <w:rPr>
                <w:rFonts w:eastAsia="Calibri"/>
                <w:b/>
                <w:color w:val="FFFFFF" w:themeColor="background1"/>
                <w:lang w:eastAsia="ru-RU"/>
              </w:rPr>
              <w:t>Всего, тыс. руб.</w:t>
            </w:r>
          </w:p>
        </w:tc>
        <w:tc>
          <w:tcPr>
            <w:tcW w:w="2037"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04A5403" w14:textId="77777777" w:rsidR="009A4C46" w:rsidRPr="00F94FED" w:rsidRDefault="009A4C46">
            <w:pPr>
              <w:jc w:val="center"/>
              <w:rPr>
                <w:rFonts w:eastAsia="Calibri"/>
                <w:b/>
                <w:color w:val="FFFFFF" w:themeColor="background1"/>
                <w:lang w:eastAsia="ru-RU"/>
              </w:rPr>
            </w:pPr>
            <w:r w:rsidRPr="00F94FED">
              <w:rPr>
                <w:rFonts w:eastAsia="Calibri"/>
                <w:b/>
                <w:color w:val="FFFFFF" w:themeColor="background1"/>
                <w:lang w:eastAsia="ru-RU"/>
              </w:rPr>
              <w:t>в т.ч. в 2019 году по итогам 2017 года</w:t>
            </w:r>
          </w:p>
        </w:tc>
        <w:tc>
          <w:tcPr>
            <w:tcW w:w="2006"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E85F2CC" w14:textId="77777777" w:rsidR="009A4C46" w:rsidRPr="00F94FED" w:rsidRDefault="009A4C46">
            <w:pPr>
              <w:jc w:val="center"/>
              <w:rPr>
                <w:rFonts w:eastAsia="Calibri"/>
                <w:b/>
                <w:color w:val="FFFFFF" w:themeColor="background1"/>
                <w:lang w:eastAsia="ru-RU"/>
              </w:rPr>
            </w:pPr>
            <w:r w:rsidRPr="00F94FED">
              <w:rPr>
                <w:rFonts w:eastAsia="Calibri"/>
                <w:b/>
                <w:color w:val="FFFFFF" w:themeColor="background1"/>
                <w:lang w:eastAsia="ru-RU"/>
              </w:rPr>
              <w:t>в т.ч. в 2020 году по итогам 2018 года</w:t>
            </w:r>
          </w:p>
        </w:tc>
      </w:tr>
      <w:tr w:rsidR="009A4C46" w:rsidRPr="009A4C46" w14:paraId="64EF1573" w14:textId="77777777" w:rsidTr="005C3ACA">
        <w:trPr>
          <w:gridAfter w:val="1"/>
          <w:wAfter w:w="62" w:type="dxa"/>
        </w:trPr>
        <w:tc>
          <w:tcPr>
            <w:tcW w:w="3006" w:type="dxa"/>
            <w:tcBorders>
              <w:top w:val="single" w:sz="4" w:space="0" w:color="FFFFFF" w:themeColor="background1"/>
            </w:tcBorders>
            <w:shd w:val="clear" w:color="auto" w:fill="auto"/>
          </w:tcPr>
          <w:p w14:paraId="540A4452" w14:textId="3DB44EF5" w:rsidR="009A4C46" w:rsidRPr="00C1709C" w:rsidRDefault="009A4C46" w:rsidP="009A4C46">
            <w:pPr>
              <w:rPr>
                <w:rFonts w:eastAsia="Calibri"/>
                <w:lang w:eastAsia="ru-RU"/>
              </w:rPr>
            </w:pPr>
            <w:r w:rsidRPr="00C1709C">
              <w:rPr>
                <w:rFonts w:eastAsia="Calibri"/>
                <w:lang w:eastAsia="ru-RU"/>
              </w:rPr>
              <w:t>Величина отклонения подконтрольных расходов</w:t>
            </w:r>
            <w:r w:rsidR="005C3ACA">
              <w:rPr>
                <w:rFonts w:eastAsia="Calibri"/>
                <w:lang w:eastAsia="ru-RU"/>
              </w:rPr>
              <w:t>,</w:t>
            </w:r>
            <w:r w:rsidRPr="00C1709C">
              <w:rPr>
                <w:rFonts w:eastAsia="Calibri"/>
                <w:lang w:eastAsia="ru-RU"/>
              </w:rPr>
              <w:t xml:space="preserve"> не </w:t>
            </w:r>
            <w:r w:rsidR="005C3ACA">
              <w:rPr>
                <w:rFonts w:eastAsia="Calibri"/>
                <w:lang w:eastAsia="ru-RU"/>
              </w:rPr>
              <w:t>компенсированных</w:t>
            </w:r>
            <w:r w:rsidRPr="00C1709C">
              <w:rPr>
                <w:rFonts w:eastAsia="Calibri"/>
                <w:lang w:eastAsia="ru-RU"/>
              </w:rPr>
              <w:t xml:space="preserve"> </w:t>
            </w:r>
          </w:p>
        </w:tc>
        <w:tc>
          <w:tcPr>
            <w:tcW w:w="2234" w:type="dxa"/>
            <w:tcBorders>
              <w:top w:val="single" w:sz="4" w:space="0" w:color="FFFFFF" w:themeColor="background1"/>
            </w:tcBorders>
            <w:shd w:val="clear" w:color="auto" w:fill="auto"/>
            <w:vAlign w:val="center"/>
          </w:tcPr>
          <w:p w14:paraId="28EBDBE7" w14:textId="77777777" w:rsidR="009A4C46" w:rsidRPr="00C1709C" w:rsidRDefault="009A4C46" w:rsidP="005C3ACA">
            <w:pPr>
              <w:spacing w:line="360" w:lineRule="auto"/>
              <w:jc w:val="center"/>
              <w:rPr>
                <w:rFonts w:eastAsia="Calibri"/>
                <w:lang w:eastAsia="ru-RU"/>
              </w:rPr>
            </w:pPr>
            <w:r w:rsidRPr="00C1709C">
              <w:rPr>
                <w:rFonts w:eastAsia="Calibri"/>
                <w:lang w:eastAsia="ru-RU"/>
              </w:rPr>
              <w:t>278 852</w:t>
            </w:r>
          </w:p>
        </w:tc>
        <w:tc>
          <w:tcPr>
            <w:tcW w:w="2037" w:type="dxa"/>
            <w:gridSpan w:val="2"/>
            <w:tcBorders>
              <w:top w:val="single" w:sz="4" w:space="0" w:color="FFFFFF" w:themeColor="background1"/>
            </w:tcBorders>
            <w:shd w:val="clear" w:color="auto" w:fill="auto"/>
            <w:vAlign w:val="center"/>
          </w:tcPr>
          <w:p w14:paraId="7B5FE5C9" w14:textId="77777777" w:rsidR="009A4C46" w:rsidRPr="00C1709C" w:rsidRDefault="009A4C46" w:rsidP="005C3ACA">
            <w:pPr>
              <w:jc w:val="center"/>
              <w:rPr>
                <w:rFonts w:eastAsia="Calibri"/>
                <w:lang w:eastAsia="ru-RU"/>
              </w:rPr>
            </w:pPr>
            <w:r w:rsidRPr="00C1709C">
              <w:rPr>
                <w:rFonts w:eastAsia="Calibri"/>
                <w:lang w:eastAsia="ru-RU"/>
              </w:rPr>
              <w:t>141 597</w:t>
            </w:r>
          </w:p>
        </w:tc>
        <w:tc>
          <w:tcPr>
            <w:tcW w:w="2006" w:type="dxa"/>
            <w:gridSpan w:val="2"/>
            <w:tcBorders>
              <w:top w:val="single" w:sz="4" w:space="0" w:color="FFFFFF" w:themeColor="background1"/>
            </w:tcBorders>
            <w:shd w:val="clear" w:color="auto" w:fill="auto"/>
            <w:vAlign w:val="center"/>
          </w:tcPr>
          <w:p w14:paraId="28FF4B0E" w14:textId="77777777" w:rsidR="009A4C46" w:rsidRPr="00C1709C" w:rsidRDefault="009A4C46" w:rsidP="005C3ACA">
            <w:pPr>
              <w:jc w:val="center"/>
              <w:rPr>
                <w:rFonts w:eastAsia="Calibri"/>
                <w:lang w:eastAsia="ru-RU"/>
              </w:rPr>
            </w:pPr>
            <w:r w:rsidRPr="00C1709C">
              <w:rPr>
                <w:rFonts w:eastAsia="Calibri"/>
                <w:lang w:eastAsia="ru-RU"/>
              </w:rPr>
              <w:t>137 255</w:t>
            </w:r>
          </w:p>
        </w:tc>
      </w:tr>
    </w:tbl>
    <w:p w14:paraId="46D4A1AD" w14:textId="77777777" w:rsidR="00070F3E" w:rsidRDefault="00070F3E" w:rsidP="00070F3E">
      <w:pPr>
        <w:spacing w:after="0" w:line="360" w:lineRule="auto"/>
        <w:ind w:left="1134"/>
        <w:contextualSpacing/>
        <w:jc w:val="both"/>
        <w:rPr>
          <w:rFonts w:eastAsia="Times New Roman"/>
          <w:sz w:val="26"/>
          <w:szCs w:val="26"/>
          <w:lang w:eastAsia="ru-RU"/>
        </w:rPr>
      </w:pPr>
    </w:p>
    <w:p w14:paraId="4316D3EA" w14:textId="6159A325" w:rsidR="009A4C46" w:rsidRPr="00F94FED" w:rsidRDefault="009A4C46" w:rsidP="00F94FED">
      <w:pPr>
        <w:numPr>
          <w:ilvl w:val="0"/>
          <w:numId w:val="17"/>
        </w:numPr>
        <w:spacing w:after="0" w:line="360" w:lineRule="auto"/>
        <w:ind w:left="1134" w:hanging="567"/>
        <w:contextualSpacing/>
        <w:jc w:val="both"/>
        <w:rPr>
          <w:rFonts w:eastAsia="Times New Roman"/>
          <w:sz w:val="26"/>
          <w:szCs w:val="26"/>
          <w:lang w:eastAsia="ru-RU"/>
        </w:rPr>
      </w:pPr>
      <w:r w:rsidRPr="00F94FED">
        <w:rPr>
          <w:rFonts w:eastAsia="Times New Roman"/>
          <w:sz w:val="26"/>
          <w:szCs w:val="26"/>
          <w:lang w:eastAsia="ru-RU"/>
        </w:rPr>
        <w:t xml:space="preserve">Величина недополученных доходов в результате отклонения фактических объемов передачи электрической энергии от балансовых показателей, принятых регулирующим органом при установлении тарифов на услуги по передаче электрической энергии на 2017-2018 гг., составила 153 097 тыс. руб. </w:t>
      </w:r>
    </w:p>
    <w:p w14:paraId="5DCC8A81" w14:textId="77777777" w:rsidR="009A4C46" w:rsidRPr="009A4C46" w:rsidRDefault="009A4C46" w:rsidP="009A4C46">
      <w:pPr>
        <w:spacing w:after="0" w:line="240" w:lineRule="auto"/>
        <w:contextualSpacing/>
        <w:jc w:val="both"/>
        <w:rPr>
          <w:rFonts w:eastAsia="Calibri"/>
          <w:i/>
          <w:color w:val="000000"/>
          <w:sz w:val="28"/>
          <w:szCs w:val="28"/>
          <w:u w:val="single"/>
          <w:lang w:eastAsia="ru-RU"/>
        </w:rPr>
      </w:pPr>
      <w:r w:rsidRPr="009A4C46">
        <w:rPr>
          <w:rFonts w:eastAsia="Calibri"/>
          <w:i/>
          <w:color w:val="000000"/>
          <w:sz w:val="28"/>
          <w:szCs w:val="28"/>
          <w:u w:val="single"/>
          <w:lang w:eastAsia="ru-RU"/>
        </w:rPr>
        <w:br w:type="page"/>
      </w:r>
    </w:p>
    <w:p w14:paraId="0AEA502E" w14:textId="77777777" w:rsidR="009A4C46" w:rsidRPr="00F94FED" w:rsidRDefault="009A4C46" w:rsidP="00F94FED">
      <w:pPr>
        <w:pStyle w:val="3"/>
        <w:numPr>
          <w:ilvl w:val="0"/>
          <w:numId w:val="1"/>
        </w:numPr>
        <w:spacing w:line="360" w:lineRule="auto"/>
        <w:jc w:val="both"/>
        <w:rPr>
          <w:b/>
          <w:color w:val="4F6228" w:themeColor="accent3" w:themeShade="80"/>
          <w:sz w:val="28"/>
          <w:szCs w:val="28"/>
        </w:rPr>
      </w:pPr>
      <w:bookmarkStart w:id="63" w:name="_Toc40554859"/>
      <w:bookmarkStart w:id="64" w:name="_Toc40733194"/>
      <w:r w:rsidRPr="00F94FED">
        <w:rPr>
          <w:rFonts w:ascii="Myriad Pro" w:hAnsi="Myriad Pro"/>
          <w:b/>
          <w:color w:val="4F6228" w:themeColor="accent3" w:themeShade="80"/>
          <w:sz w:val="28"/>
          <w:szCs w:val="28"/>
        </w:rPr>
        <w:lastRenderedPageBreak/>
        <w:t xml:space="preserve">Экономическая оценка результатов деятельности </w:t>
      </w:r>
      <w:r w:rsidRPr="00F94FED">
        <w:rPr>
          <w:rFonts w:ascii="Myriad Pro" w:hAnsi="Myriad Pro"/>
          <w:b/>
          <w:color w:val="4F6228" w:themeColor="accent3" w:themeShade="80"/>
          <w:sz w:val="28"/>
          <w:szCs w:val="28"/>
        </w:rPr>
        <w:br/>
        <w:t>АО «Тываэнерго» за 2017-2018 годы по оказанию услуг по передаче электрической энергии</w:t>
      </w:r>
      <w:bookmarkEnd w:id="63"/>
      <w:bookmarkEnd w:id="64"/>
    </w:p>
    <w:p w14:paraId="5A12BBF7" w14:textId="77777777" w:rsidR="009A4C46" w:rsidRPr="00F94FED" w:rsidRDefault="009A4C46" w:rsidP="009A4C46">
      <w:pPr>
        <w:tabs>
          <w:tab w:val="left" w:pos="0"/>
        </w:tabs>
        <w:autoSpaceDE w:val="0"/>
        <w:autoSpaceDN w:val="0"/>
        <w:adjustRightInd w:val="0"/>
        <w:spacing w:afterLines="32" w:after="76" w:line="360" w:lineRule="auto"/>
        <w:ind w:firstLine="567"/>
        <w:jc w:val="both"/>
        <w:rPr>
          <w:rFonts w:eastAsia="Times New Roman"/>
          <w:sz w:val="26"/>
          <w:szCs w:val="26"/>
          <w:lang w:eastAsia="ru-RU"/>
        </w:rPr>
      </w:pPr>
      <w:r w:rsidRPr="00F94FED">
        <w:rPr>
          <w:rFonts w:eastAsia="Times New Roman"/>
          <w:sz w:val="26"/>
          <w:szCs w:val="26"/>
          <w:lang w:eastAsia="ru-RU"/>
        </w:rPr>
        <w:t>Оценка результатов деятельности АО «Тываэнерго» за 2017-2018 гг. проведена на основании представленной Обществом бухгалтерской и статистической отчетности за период с 01.01.2017 по 31.12.2018.</w:t>
      </w:r>
    </w:p>
    <w:p w14:paraId="1BC1E8F8" w14:textId="77777777" w:rsidR="009A4C46" w:rsidRPr="00F94FED" w:rsidRDefault="009A4C46" w:rsidP="009A4C46">
      <w:pPr>
        <w:tabs>
          <w:tab w:val="left" w:pos="0"/>
        </w:tabs>
        <w:autoSpaceDE w:val="0"/>
        <w:autoSpaceDN w:val="0"/>
        <w:adjustRightInd w:val="0"/>
        <w:spacing w:afterLines="32" w:after="76" w:line="360" w:lineRule="auto"/>
        <w:ind w:firstLine="567"/>
        <w:jc w:val="both"/>
        <w:rPr>
          <w:rFonts w:eastAsia="Times New Roman"/>
          <w:sz w:val="26"/>
          <w:szCs w:val="26"/>
          <w:lang w:eastAsia="ru-RU"/>
        </w:rPr>
      </w:pPr>
      <w:r w:rsidRPr="00F94FED">
        <w:rPr>
          <w:rFonts w:eastAsia="Times New Roman"/>
          <w:sz w:val="26"/>
          <w:szCs w:val="26"/>
          <w:lang w:eastAsia="ru-RU"/>
        </w:rPr>
        <w:t>Анализ произведен на основании следующих данных:</w:t>
      </w:r>
    </w:p>
    <w:p w14:paraId="79133DB1" w14:textId="77777777" w:rsidR="009A4C46" w:rsidRPr="00F94FED" w:rsidRDefault="009A4C46" w:rsidP="00F94FED">
      <w:pPr>
        <w:numPr>
          <w:ilvl w:val="0"/>
          <w:numId w:val="18"/>
        </w:numPr>
        <w:tabs>
          <w:tab w:val="left" w:pos="0"/>
        </w:tabs>
        <w:autoSpaceDE w:val="0"/>
        <w:autoSpaceDN w:val="0"/>
        <w:adjustRightInd w:val="0"/>
        <w:spacing w:afterLines="32" w:after="76" w:line="360" w:lineRule="auto"/>
        <w:ind w:left="1134" w:hanging="567"/>
        <w:contextualSpacing/>
        <w:jc w:val="both"/>
        <w:rPr>
          <w:rFonts w:eastAsia="Times New Roman"/>
          <w:sz w:val="26"/>
          <w:szCs w:val="26"/>
        </w:rPr>
      </w:pPr>
      <w:r w:rsidRPr="00F94FED">
        <w:rPr>
          <w:rFonts w:eastAsia="Times New Roman"/>
          <w:sz w:val="26"/>
          <w:szCs w:val="26"/>
        </w:rPr>
        <w:t>Бухгалтерский баланс АО «Тываэнерго» за 12 месяцев 2017 года (форма №1);</w:t>
      </w:r>
    </w:p>
    <w:p w14:paraId="7232BA11" w14:textId="77777777" w:rsidR="009A4C46" w:rsidRPr="00F94FED" w:rsidRDefault="009A4C46" w:rsidP="00F94FED">
      <w:pPr>
        <w:numPr>
          <w:ilvl w:val="0"/>
          <w:numId w:val="18"/>
        </w:numPr>
        <w:tabs>
          <w:tab w:val="left" w:pos="0"/>
        </w:tabs>
        <w:autoSpaceDE w:val="0"/>
        <w:autoSpaceDN w:val="0"/>
        <w:adjustRightInd w:val="0"/>
        <w:spacing w:afterLines="32" w:after="76" w:line="360" w:lineRule="auto"/>
        <w:ind w:left="1134" w:hanging="567"/>
        <w:contextualSpacing/>
        <w:jc w:val="both"/>
        <w:rPr>
          <w:rFonts w:eastAsia="Times New Roman"/>
          <w:sz w:val="26"/>
          <w:szCs w:val="26"/>
        </w:rPr>
      </w:pPr>
      <w:r w:rsidRPr="00F94FED">
        <w:rPr>
          <w:rFonts w:eastAsia="Times New Roman"/>
          <w:sz w:val="26"/>
          <w:szCs w:val="26"/>
        </w:rPr>
        <w:t>Отчет о финансовых результатах АО «Тываэнерго» за 12 месяцев 2017 года (форма№2);</w:t>
      </w:r>
    </w:p>
    <w:p w14:paraId="1F19074D" w14:textId="77777777" w:rsidR="009A4C46" w:rsidRPr="00F94FED" w:rsidRDefault="009A4C46" w:rsidP="00F94FED">
      <w:pPr>
        <w:numPr>
          <w:ilvl w:val="0"/>
          <w:numId w:val="18"/>
        </w:numPr>
        <w:tabs>
          <w:tab w:val="left" w:pos="0"/>
        </w:tabs>
        <w:autoSpaceDE w:val="0"/>
        <w:autoSpaceDN w:val="0"/>
        <w:adjustRightInd w:val="0"/>
        <w:spacing w:afterLines="32" w:after="76" w:line="360" w:lineRule="auto"/>
        <w:ind w:left="1134" w:hanging="567"/>
        <w:contextualSpacing/>
        <w:jc w:val="both"/>
        <w:rPr>
          <w:rFonts w:eastAsia="Times New Roman"/>
          <w:sz w:val="26"/>
          <w:szCs w:val="26"/>
        </w:rPr>
      </w:pPr>
      <w:r w:rsidRPr="00F94FED">
        <w:rPr>
          <w:rFonts w:eastAsia="Times New Roman"/>
          <w:sz w:val="26"/>
          <w:szCs w:val="26"/>
        </w:rPr>
        <w:t>Бухгалтерский баланс АО «Тываэнерго» за 12 месяцев 2018 года (форма №1);</w:t>
      </w:r>
    </w:p>
    <w:p w14:paraId="1E39E8D2" w14:textId="77777777" w:rsidR="009A4C46" w:rsidRPr="00F94FED" w:rsidRDefault="009A4C46" w:rsidP="00F94FED">
      <w:pPr>
        <w:numPr>
          <w:ilvl w:val="0"/>
          <w:numId w:val="18"/>
        </w:numPr>
        <w:tabs>
          <w:tab w:val="left" w:pos="0"/>
        </w:tabs>
        <w:autoSpaceDE w:val="0"/>
        <w:autoSpaceDN w:val="0"/>
        <w:adjustRightInd w:val="0"/>
        <w:spacing w:afterLines="32" w:after="76" w:line="360" w:lineRule="auto"/>
        <w:ind w:left="1134" w:hanging="567"/>
        <w:contextualSpacing/>
        <w:jc w:val="both"/>
        <w:rPr>
          <w:rFonts w:eastAsia="Times New Roman"/>
          <w:sz w:val="26"/>
          <w:szCs w:val="26"/>
        </w:rPr>
      </w:pPr>
      <w:r w:rsidRPr="00F94FED">
        <w:rPr>
          <w:rFonts w:eastAsia="Times New Roman"/>
          <w:sz w:val="26"/>
          <w:szCs w:val="26"/>
        </w:rPr>
        <w:t>Отчет о финансовых результатах АО «Тываэнерго» за 12 месяцев 2018 года (форма№2).</w:t>
      </w:r>
    </w:p>
    <w:p w14:paraId="2EA57D95" w14:textId="1C623E57" w:rsidR="009A4C46" w:rsidRPr="00F94FED" w:rsidRDefault="009A4C46" w:rsidP="00F94FED">
      <w:pPr>
        <w:numPr>
          <w:ilvl w:val="0"/>
          <w:numId w:val="18"/>
        </w:numPr>
        <w:tabs>
          <w:tab w:val="left" w:pos="0"/>
        </w:tabs>
        <w:autoSpaceDE w:val="0"/>
        <w:autoSpaceDN w:val="0"/>
        <w:adjustRightInd w:val="0"/>
        <w:spacing w:afterLines="32" w:after="76" w:line="360" w:lineRule="auto"/>
        <w:ind w:left="1134" w:hanging="567"/>
        <w:contextualSpacing/>
        <w:jc w:val="both"/>
        <w:rPr>
          <w:rFonts w:eastAsia="Times New Roman"/>
          <w:sz w:val="26"/>
          <w:szCs w:val="26"/>
        </w:rPr>
      </w:pPr>
      <w:r w:rsidRPr="00F94FED">
        <w:rPr>
          <w:rFonts w:eastAsia="Times New Roman"/>
          <w:sz w:val="26"/>
          <w:szCs w:val="26"/>
        </w:rPr>
        <w:t>Таблица 1.3. - Показатели раздельного учета доходов и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согласно форме «Отчет о прибылях и убытках» за 2017, 2018 г</w:t>
      </w:r>
      <w:r w:rsidR="00C1709C">
        <w:rPr>
          <w:rFonts w:eastAsia="Times New Roman"/>
          <w:sz w:val="26"/>
          <w:szCs w:val="26"/>
        </w:rPr>
        <w:t>оды.</w:t>
      </w:r>
    </w:p>
    <w:p w14:paraId="1DCF86F0" w14:textId="7FFE6372" w:rsidR="009A4C46" w:rsidRPr="00F94FED" w:rsidRDefault="009A4C46" w:rsidP="00F94FED">
      <w:pPr>
        <w:numPr>
          <w:ilvl w:val="0"/>
          <w:numId w:val="18"/>
        </w:numPr>
        <w:tabs>
          <w:tab w:val="left" w:pos="0"/>
        </w:tabs>
        <w:autoSpaceDE w:val="0"/>
        <w:autoSpaceDN w:val="0"/>
        <w:adjustRightInd w:val="0"/>
        <w:spacing w:afterLines="32" w:after="76" w:line="360" w:lineRule="auto"/>
        <w:ind w:left="1134" w:hanging="567"/>
        <w:contextualSpacing/>
        <w:jc w:val="both"/>
        <w:rPr>
          <w:rFonts w:eastAsia="Times New Roman"/>
          <w:sz w:val="26"/>
          <w:szCs w:val="26"/>
        </w:rPr>
      </w:pPr>
      <w:r w:rsidRPr="00F94FED">
        <w:rPr>
          <w:rFonts w:eastAsia="Times New Roman"/>
          <w:sz w:val="26"/>
          <w:szCs w:val="26"/>
        </w:rPr>
        <w:t>Таблица 1.6. Расшифровка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за 2017, 2018 г</w:t>
      </w:r>
      <w:r w:rsidR="00C1709C">
        <w:rPr>
          <w:rFonts w:eastAsia="Times New Roman"/>
          <w:sz w:val="26"/>
          <w:szCs w:val="26"/>
        </w:rPr>
        <w:t>оды</w:t>
      </w:r>
    </w:p>
    <w:p w14:paraId="3D785571" w14:textId="77777777" w:rsidR="009A4C46" w:rsidRPr="00F94FED" w:rsidRDefault="009A4C46" w:rsidP="009A4C46">
      <w:pPr>
        <w:tabs>
          <w:tab w:val="left" w:pos="0"/>
        </w:tabs>
        <w:autoSpaceDE w:val="0"/>
        <w:autoSpaceDN w:val="0"/>
        <w:adjustRightInd w:val="0"/>
        <w:spacing w:afterLines="32" w:after="76" w:line="360" w:lineRule="auto"/>
        <w:ind w:firstLine="567"/>
        <w:jc w:val="both"/>
        <w:rPr>
          <w:rFonts w:eastAsia="Times New Roman"/>
          <w:color w:val="000000"/>
          <w:sz w:val="26"/>
          <w:szCs w:val="26"/>
          <w:lang w:eastAsia="ru-RU"/>
        </w:rPr>
      </w:pPr>
      <w:r w:rsidRPr="00F94FED">
        <w:rPr>
          <w:rFonts w:eastAsia="Times New Roman"/>
          <w:color w:val="000000"/>
          <w:sz w:val="26"/>
          <w:szCs w:val="26"/>
          <w:lang w:eastAsia="ru-RU"/>
        </w:rPr>
        <w:t xml:space="preserve">В рамках проводимого анализа Исполнителем осуществлено укрупнение (агрегирование) информации, содержащейся в бухгалтерском балансе, путем сложения показателей по некоторым строкам баланса. Свертка баланса произведена для повышения наглядности при проведении временных </w:t>
      </w:r>
      <w:r w:rsidRPr="00F94FED">
        <w:rPr>
          <w:rFonts w:eastAsia="Times New Roman"/>
          <w:color w:val="000000"/>
          <w:sz w:val="26"/>
          <w:szCs w:val="26"/>
          <w:lang w:eastAsia="ru-RU"/>
        </w:rPr>
        <w:lastRenderedPageBreak/>
        <w:t>сопоставлений. Анализ осуществлялся среди ограниченного числа соответствующих агрегированных итогов и в необходимых аналитических разрезах.</w:t>
      </w:r>
    </w:p>
    <w:tbl>
      <w:tblPr>
        <w:tblW w:w="5000" w:type="pct"/>
        <w:tblLayout w:type="fixed"/>
        <w:tblLook w:val="04A0" w:firstRow="1" w:lastRow="0" w:firstColumn="1" w:lastColumn="0" w:noHBand="0" w:noVBand="1"/>
      </w:tblPr>
      <w:tblGrid>
        <w:gridCol w:w="3940"/>
        <w:gridCol w:w="1609"/>
        <w:gridCol w:w="1899"/>
        <w:gridCol w:w="1897"/>
      </w:tblGrid>
      <w:tr w:rsidR="009A4C46" w:rsidRPr="00C1709C" w14:paraId="6B41A568" w14:textId="77777777" w:rsidTr="00F94FED">
        <w:trPr>
          <w:trHeight w:val="581"/>
        </w:trPr>
        <w:tc>
          <w:tcPr>
            <w:tcW w:w="210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C72A8FD" w14:textId="77777777" w:rsidR="009A4C46" w:rsidRPr="00F94FED" w:rsidRDefault="009A4C46" w:rsidP="009A4C46">
            <w:pPr>
              <w:autoSpaceDE w:val="0"/>
              <w:autoSpaceDN w:val="0"/>
              <w:adjustRightInd w:val="0"/>
              <w:spacing w:after="0" w:line="240" w:lineRule="auto"/>
              <w:jc w:val="center"/>
              <w:rPr>
                <w:rFonts w:eastAsia="Times New Roman"/>
                <w:b/>
                <w:bCs/>
                <w:color w:val="FFFFFF" w:themeColor="background1"/>
                <w:sz w:val="18"/>
                <w:szCs w:val="18"/>
                <w:lang w:eastAsia="ru-RU"/>
              </w:rPr>
            </w:pPr>
            <w:r w:rsidRPr="00F94FED">
              <w:rPr>
                <w:rFonts w:eastAsia="Times New Roman"/>
                <w:b/>
                <w:bCs/>
                <w:color w:val="FFFFFF" w:themeColor="background1"/>
                <w:sz w:val="18"/>
                <w:szCs w:val="18"/>
                <w:lang w:eastAsia="ru-RU"/>
              </w:rPr>
              <w:t>Наименование</w:t>
            </w:r>
          </w:p>
        </w:tc>
        <w:tc>
          <w:tcPr>
            <w:tcW w:w="86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5C9E30D" w14:textId="77777777" w:rsidR="009A4C46" w:rsidRPr="00F94FED" w:rsidRDefault="009A4C46" w:rsidP="009A4C46">
            <w:pPr>
              <w:autoSpaceDE w:val="0"/>
              <w:autoSpaceDN w:val="0"/>
              <w:adjustRightInd w:val="0"/>
              <w:spacing w:after="0" w:line="240" w:lineRule="auto"/>
              <w:jc w:val="center"/>
              <w:rPr>
                <w:rFonts w:eastAsia="Times New Roman"/>
                <w:b/>
                <w:bCs/>
                <w:color w:val="FFFFFF" w:themeColor="background1"/>
                <w:sz w:val="18"/>
                <w:szCs w:val="18"/>
                <w:lang w:eastAsia="ru-RU"/>
              </w:rPr>
            </w:pPr>
            <w:r w:rsidRPr="00F94FED">
              <w:rPr>
                <w:rFonts w:eastAsia="Times New Roman"/>
                <w:b/>
                <w:bCs/>
                <w:color w:val="FFFFFF" w:themeColor="background1"/>
                <w:sz w:val="18"/>
                <w:szCs w:val="18"/>
                <w:lang w:eastAsia="ru-RU"/>
              </w:rPr>
              <w:t>на 31.12.2016</w:t>
            </w:r>
          </w:p>
        </w:tc>
        <w:tc>
          <w:tcPr>
            <w:tcW w:w="101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D184E34" w14:textId="77777777" w:rsidR="009A4C46" w:rsidRPr="00F94FED" w:rsidRDefault="009A4C46" w:rsidP="009A4C46">
            <w:pPr>
              <w:autoSpaceDE w:val="0"/>
              <w:autoSpaceDN w:val="0"/>
              <w:adjustRightInd w:val="0"/>
              <w:spacing w:after="0" w:line="240" w:lineRule="auto"/>
              <w:jc w:val="center"/>
              <w:rPr>
                <w:rFonts w:eastAsia="Times New Roman"/>
                <w:b/>
                <w:bCs/>
                <w:color w:val="FFFFFF" w:themeColor="background1"/>
                <w:sz w:val="18"/>
                <w:szCs w:val="18"/>
                <w:lang w:eastAsia="ru-RU"/>
              </w:rPr>
            </w:pPr>
            <w:r w:rsidRPr="00F94FED">
              <w:rPr>
                <w:rFonts w:eastAsia="Times New Roman"/>
                <w:b/>
                <w:bCs/>
                <w:color w:val="FFFFFF" w:themeColor="background1"/>
                <w:sz w:val="18"/>
                <w:szCs w:val="18"/>
                <w:lang w:eastAsia="ru-RU"/>
              </w:rPr>
              <w:t>На 31.12.2017</w:t>
            </w:r>
          </w:p>
        </w:tc>
        <w:tc>
          <w:tcPr>
            <w:tcW w:w="101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87CEA9E" w14:textId="77777777" w:rsidR="009A4C46" w:rsidRPr="00F94FED" w:rsidRDefault="009A4C46" w:rsidP="009A4C46">
            <w:pPr>
              <w:autoSpaceDE w:val="0"/>
              <w:autoSpaceDN w:val="0"/>
              <w:adjustRightInd w:val="0"/>
              <w:spacing w:after="0" w:line="240" w:lineRule="auto"/>
              <w:jc w:val="center"/>
              <w:rPr>
                <w:rFonts w:eastAsia="Times New Roman"/>
                <w:b/>
                <w:bCs/>
                <w:color w:val="FFFFFF" w:themeColor="background1"/>
                <w:sz w:val="18"/>
                <w:szCs w:val="18"/>
                <w:lang w:eastAsia="ru-RU"/>
              </w:rPr>
            </w:pPr>
            <w:r w:rsidRPr="00F94FED">
              <w:rPr>
                <w:rFonts w:eastAsia="Times New Roman"/>
                <w:b/>
                <w:bCs/>
                <w:color w:val="FFFFFF" w:themeColor="background1"/>
                <w:sz w:val="18"/>
                <w:szCs w:val="18"/>
                <w:lang w:eastAsia="ru-RU"/>
              </w:rPr>
              <w:t>На 31.12.2018</w:t>
            </w:r>
          </w:p>
        </w:tc>
      </w:tr>
      <w:tr w:rsidR="009A4C46" w:rsidRPr="005C3ACA" w14:paraId="7B8CBD9A" w14:textId="77777777" w:rsidTr="005C3ACA">
        <w:trPr>
          <w:trHeight w:val="248"/>
        </w:trPr>
        <w:tc>
          <w:tcPr>
            <w:tcW w:w="5000" w:type="pct"/>
            <w:gridSpan w:val="4"/>
            <w:tcBorders>
              <w:top w:val="single" w:sz="4" w:space="0" w:color="FFFFFF" w:themeColor="background1"/>
              <w:left w:val="single" w:sz="8" w:space="0" w:color="auto"/>
              <w:bottom w:val="single" w:sz="4" w:space="0" w:color="auto"/>
              <w:right w:val="single" w:sz="8" w:space="0" w:color="000000"/>
            </w:tcBorders>
            <w:shd w:val="clear" w:color="auto" w:fill="D6E3BC" w:themeFill="accent3" w:themeFillTint="66"/>
            <w:vAlign w:val="center"/>
            <w:hideMark/>
          </w:tcPr>
          <w:p w14:paraId="50738A48" w14:textId="77777777" w:rsidR="009A4C46" w:rsidRPr="005C3ACA" w:rsidRDefault="009A4C46" w:rsidP="009A4C46">
            <w:pPr>
              <w:spacing w:after="0" w:line="240" w:lineRule="auto"/>
              <w:jc w:val="center"/>
              <w:rPr>
                <w:rFonts w:eastAsia="Times New Roman"/>
                <w:b/>
                <w:bCs/>
                <w:sz w:val="18"/>
                <w:szCs w:val="18"/>
                <w:lang w:eastAsia="ru-RU"/>
              </w:rPr>
            </w:pPr>
            <w:r w:rsidRPr="005C3ACA">
              <w:rPr>
                <w:rFonts w:eastAsia="Times New Roman"/>
                <w:b/>
                <w:bCs/>
                <w:sz w:val="18"/>
                <w:szCs w:val="18"/>
                <w:lang w:eastAsia="ru-RU"/>
              </w:rPr>
              <w:t>Показатели по форме №1, таблице 1.6., а также  приложение к аудиторским заключениям № 30</w:t>
            </w:r>
          </w:p>
        </w:tc>
      </w:tr>
      <w:tr w:rsidR="009A4C46" w:rsidRPr="00C1709C" w14:paraId="4C43E10A" w14:textId="77777777" w:rsidTr="00F94FED">
        <w:trPr>
          <w:trHeight w:val="167"/>
        </w:trPr>
        <w:tc>
          <w:tcPr>
            <w:tcW w:w="2108" w:type="pct"/>
            <w:tcBorders>
              <w:top w:val="nil"/>
              <w:left w:val="single" w:sz="8" w:space="0" w:color="auto"/>
              <w:bottom w:val="single" w:sz="4" w:space="0" w:color="auto"/>
              <w:right w:val="single" w:sz="4" w:space="0" w:color="auto"/>
            </w:tcBorders>
            <w:shd w:val="clear" w:color="auto" w:fill="auto"/>
            <w:noWrap/>
            <w:vAlign w:val="center"/>
            <w:hideMark/>
          </w:tcPr>
          <w:p w14:paraId="6152A7CB" w14:textId="77777777" w:rsidR="009A4C46" w:rsidRPr="00C1709C" w:rsidRDefault="009A4C46" w:rsidP="009A4C46">
            <w:pPr>
              <w:spacing w:after="0" w:line="240" w:lineRule="auto"/>
              <w:rPr>
                <w:rFonts w:eastAsia="Times New Roman"/>
                <w:sz w:val="18"/>
                <w:szCs w:val="18"/>
                <w:lang w:eastAsia="ru-RU"/>
              </w:rPr>
            </w:pPr>
            <w:r w:rsidRPr="00C1709C">
              <w:rPr>
                <w:rFonts w:eastAsia="Times New Roman"/>
                <w:sz w:val="18"/>
                <w:szCs w:val="18"/>
                <w:lang w:eastAsia="ru-RU"/>
              </w:rPr>
              <w:t>I  Внеоборотные активы</w:t>
            </w:r>
          </w:p>
        </w:tc>
        <w:tc>
          <w:tcPr>
            <w:tcW w:w="861" w:type="pct"/>
            <w:tcBorders>
              <w:top w:val="nil"/>
              <w:left w:val="nil"/>
              <w:bottom w:val="single" w:sz="8" w:space="0" w:color="auto"/>
              <w:right w:val="single" w:sz="8" w:space="0" w:color="auto"/>
            </w:tcBorders>
            <w:shd w:val="clear" w:color="auto" w:fill="auto"/>
            <w:noWrap/>
            <w:vAlign w:val="center"/>
            <w:hideMark/>
          </w:tcPr>
          <w:p w14:paraId="3AFBF17C" w14:textId="77777777" w:rsidR="009A4C46" w:rsidRPr="00C1709C" w:rsidRDefault="009A4C46" w:rsidP="009A4C46">
            <w:pPr>
              <w:spacing w:after="0" w:line="240" w:lineRule="auto"/>
              <w:jc w:val="center"/>
              <w:rPr>
                <w:rFonts w:eastAsia="Times New Roman"/>
                <w:sz w:val="18"/>
                <w:szCs w:val="18"/>
                <w:lang w:eastAsia="ru-RU"/>
              </w:rPr>
            </w:pPr>
            <w:r w:rsidRPr="00C1709C">
              <w:rPr>
                <w:rFonts w:eastAsia="Times New Roman"/>
                <w:color w:val="000000"/>
                <w:sz w:val="18"/>
                <w:szCs w:val="18"/>
                <w:lang w:eastAsia="ru-RU"/>
              </w:rPr>
              <w:t>1 012 180</w:t>
            </w:r>
          </w:p>
        </w:tc>
        <w:tc>
          <w:tcPr>
            <w:tcW w:w="1016" w:type="pct"/>
            <w:tcBorders>
              <w:top w:val="nil"/>
              <w:left w:val="nil"/>
              <w:bottom w:val="single" w:sz="8" w:space="0" w:color="auto"/>
              <w:right w:val="single" w:sz="8" w:space="0" w:color="auto"/>
            </w:tcBorders>
            <w:shd w:val="clear" w:color="auto" w:fill="auto"/>
            <w:noWrap/>
            <w:vAlign w:val="center"/>
            <w:hideMark/>
          </w:tcPr>
          <w:p w14:paraId="6E6BFA9C" w14:textId="77777777" w:rsidR="009A4C46" w:rsidRPr="00C1709C" w:rsidRDefault="009A4C46" w:rsidP="009A4C46">
            <w:pPr>
              <w:spacing w:after="0" w:line="240" w:lineRule="auto"/>
              <w:jc w:val="center"/>
              <w:rPr>
                <w:rFonts w:eastAsia="Times New Roman"/>
                <w:sz w:val="18"/>
                <w:szCs w:val="18"/>
                <w:lang w:eastAsia="ru-RU"/>
              </w:rPr>
            </w:pPr>
            <w:r w:rsidRPr="00C1709C">
              <w:rPr>
                <w:rFonts w:eastAsia="Times New Roman"/>
                <w:color w:val="000000"/>
                <w:sz w:val="18"/>
                <w:szCs w:val="18"/>
                <w:lang w:eastAsia="ru-RU"/>
              </w:rPr>
              <w:t>1 170 839</w:t>
            </w:r>
          </w:p>
        </w:tc>
        <w:tc>
          <w:tcPr>
            <w:tcW w:w="1015" w:type="pct"/>
            <w:tcBorders>
              <w:top w:val="nil"/>
              <w:left w:val="nil"/>
              <w:bottom w:val="single" w:sz="8" w:space="0" w:color="auto"/>
              <w:right w:val="single" w:sz="8" w:space="0" w:color="auto"/>
            </w:tcBorders>
            <w:shd w:val="clear" w:color="auto" w:fill="auto"/>
            <w:noWrap/>
            <w:vAlign w:val="center"/>
            <w:hideMark/>
          </w:tcPr>
          <w:p w14:paraId="3F7A2756" w14:textId="77777777" w:rsidR="009A4C46" w:rsidRPr="00C1709C" w:rsidRDefault="009A4C46" w:rsidP="009A4C46">
            <w:pPr>
              <w:spacing w:after="0" w:line="240" w:lineRule="auto"/>
              <w:jc w:val="center"/>
              <w:rPr>
                <w:rFonts w:eastAsia="Times New Roman"/>
                <w:sz w:val="18"/>
                <w:szCs w:val="18"/>
                <w:lang w:eastAsia="ru-RU"/>
              </w:rPr>
            </w:pPr>
            <w:r w:rsidRPr="00C1709C">
              <w:rPr>
                <w:rFonts w:eastAsia="Times New Roman"/>
                <w:color w:val="000000"/>
                <w:sz w:val="18"/>
                <w:szCs w:val="18"/>
                <w:lang w:eastAsia="ru-RU"/>
              </w:rPr>
              <w:t>1 519 571</w:t>
            </w:r>
          </w:p>
        </w:tc>
      </w:tr>
      <w:tr w:rsidR="009A4C46" w:rsidRPr="00C1709C" w14:paraId="54686B0E" w14:textId="77777777" w:rsidTr="00F94FED">
        <w:trPr>
          <w:trHeight w:val="300"/>
        </w:trPr>
        <w:tc>
          <w:tcPr>
            <w:tcW w:w="2108" w:type="pct"/>
            <w:tcBorders>
              <w:top w:val="nil"/>
              <w:left w:val="single" w:sz="8" w:space="0" w:color="auto"/>
              <w:bottom w:val="single" w:sz="4" w:space="0" w:color="auto"/>
              <w:right w:val="single" w:sz="4" w:space="0" w:color="auto"/>
            </w:tcBorders>
            <w:shd w:val="clear" w:color="auto" w:fill="auto"/>
            <w:noWrap/>
            <w:vAlign w:val="center"/>
            <w:hideMark/>
          </w:tcPr>
          <w:p w14:paraId="631D0B75" w14:textId="77777777" w:rsidR="009A4C46" w:rsidRPr="00C1709C" w:rsidRDefault="009A4C46" w:rsidP="009A4C46">
            <w:pPr>
              <w:spacing w:after="0" w:line="240" w:lineRule="auto"/>
              <w:rPr>
                <w:rFonts w:eastAsia="Times New Roman"/>
                <w:sz w:val="18"/>
                <w:szCs w:val="18"/>
                <w:lang w:eastAsia="ru-RU"/>
              </w:rPr>
            </w:pPr>
            <w:r w:rsidRPr="00C1709C">
              <w:rPr>
                <w:rFonts w:eastAsia="Times New Roman"/>
                <w:sz w:val="18"/>
                <w:szCs w:val="18"/>
                <w:lang w:eastAsia="ru-RU"/>
              </w:rPr>
              <w:t>в т.ч. основные средства</w:t>
            </w:r>
          </w:p>
        </w:tc>
        <w:tc>
          <w:tcPr>
            <w:tcW w:w="861" w:type="pct"/>
            <w:tcBorders>
              <w:top w:val="nil"/>
              <w:left w:val="nil"/>
              <w:bottom w:val="single" w:sz="8" w:space="0" w:color="auto"/>
              <w:right w:val="single" w:sz="8" w:space="0" w:color="auto"/>
            </w:tcBorders>
            <w:shd w:val="clear" w:color="auto" w:fill="auto"/>
            <w:noWrap/>
            <w:vAlign w:val="center"/>
            <w:hideMark/>
          </w:tcPr>
          <w:p w14:paraId="6C4D64A3" w14:textId="77777777" w:rsidR="009A4C46" w:rsidRPr="00C1709C" w:rsidRDefault="009A4C46" w:rsidP="009A4C46">
            <w:pPr>
              <w:spacing w:after="0" w:line="240" w:lineRule="auto"/>
              <w:jc w:val="center"/>
              <w:rPr>
                <w:rFonts w:eastAsia="Times New Roman"/>
                <w:sz w:val="18"/>
                <w:szCs w:val="18"/>
                <w:lang w:eastAsia="ru-RU"/>
              </w:rPr>
            </w:pPr>
            <w:r w:rsidRPr="00C1709C">
              <w:rPr>
                <w:rFonts w:eastAsia="Times New Roman"/>
                <w:color w:val="000000"/>
                <w:sz w:val="18"/>
                <w:szCs w:val="18"/>
                <w:lang w:eastAsia="ru-RU"/>
              </w:rPr>
              <w:t>1 001 299</w:t>
            </w:r>
          </w:p>
        </w:tc>
        <w:tc>
          <w:tcPr>
            <w:tcW w:w="1016" w:type="pct"/>
            <w:tcBorders>
              <w:top w:val="nil"/>
              <w:left w:val="nil"/>
              <w:bottom w:val="single" w:sz="8" w:space="0" w:color="auto"/>
              <w:right w:val="single" w:sz="8" w:space="0" w:color="auto"/>
            </w:tcBorders>
            <w:shd w:val="clear" w:color="auto" w:fill="auto"/>
            <w:noWrap/>
            <w:vAlign w:val="center"/>
            <w:hideMark/>
          </w:tcPr>
          <w:p w14:paraId="701AB8F3" w14:textId="77777777" w:rsidR="009A4C46" w:rsidRPr="00C1709C" w:rsidRDefault="009A4C46" w:rsidP="009A4C46">
            <w:pPr>
              <w:spacing w:after="0" w:line="240" w:lineRule="auto"/>
              <w:jc w:val="center"/>
              <w:rPr>
                <w:rFonts w:eastAsia="Times New Roman"/>
                <w:sz w:val="18"/>
                <w:szCs w:val="18"/>
                <w:lang w:eastAsia="ru-RU"/>
              </w:rPr>
            </w:pPr>
            <w:r w:rsidRPr="00C1709C">
              <w:rPr>
                <w:rFonts w:eastAsia="Times New Roman"/>
                <w:color w:val="000000"/>
                <w:sz w:val="18"/>
                <w:szCs w:val="18"/>
                <w:lang w:eastAsia="ru-RU"/>
              </w:rPr>
              <w:t>1 159 627</w:t>
            </w:r>
          </w:p>
        </w:tc>
        <w:tc>
          <w:tcPr>
            <w:tcW w:w="1015" w:type="pct"/>
            <w:tcBorders>
              <w:top w:val="nil"/>
              <w:left w:val="nil"/>
              <w:bottom w:val="single" w:sz="8" w:space="0" w:color="auto"/>
              <w:right w:val="single" w:sz="8" w:space="0" w:color="auto"/>
            </w:tcBorders>
            <w:shd w:val="clear" w:color="auto" w:fill="auto"/>
            <w:noWrap/>
            <w:vAlign w:val="center"/>
            <w:hideMark/>
          </w:tcPr>
          <w:p w14:paraId="4C36264E" w14:textId="77777777" w:rsidR="009A4C46" w:rsidRPr="00C1709C" w:rsidRDefault="009A4C46" w:rsidP="009A4C46">
            <w:pPr>
              <w:spacing w:after="0" w:line="240" w:lineRule="auto"/>
              <w:jc w:val="center"/>
              <w:rPr>
                <w:rFonts w:eastAsia="Times New Roman"/>
                <w:sz w:val="18"/>
                <w:szCs w:val="18"/>
                <w:lang w:eastAsia="ru-RU"/>
              </w:rPr>
            </w:pPr>
            <w:r w:rsidRPr="00C1709C">
              <w:rPr>
                <w:rFonts w:eastAsia="Times New Roman"/>
                <w:color w:val="000000"/>
                <w:sz w:val="18"/>
                <w:szCs w:val="18"/>
                <w:lang w:eastAsia="ru-RU"/>
              </w:rPr>
              <w:t>1 267 998</w:t>
            </w:r>
          </w:p>
        </w:tc>
      </w:tr>
      <w:tr w:rsidR="009A4C46" w:rsidRPr="00C1709C" w14:paraId="42F67F17" w14:textId="77777777" w:rsidTr="00F94FED">
        <w:trPr>
          <w:trHeight w:val="418"/>
        </w:trPr>
        <w:tc>
          <w:tcPr>
            <w:tcW w:w="2108" w:type="pct"/>
            <w:tcBorders>
              <w:top w:val="nil"/>
              <w:left w:val="single" w:sz="8" w:space="0" w:color="auto"/>
              <w:bottom w:val="single" w:sz="4" w:space="0" w:color="auto"/>
              <w:right w:val="single" w:sz="4" w:space="0" w:color="auto"/>
            </w:tcBorders>
            <w:shd w:val="clear" w:color="auto" w:fill="auto"/>
            <w:vAlign w:val="center"/>
            <w:hideMark/>
          </w:tcPr>
          <w:p w14:paraId="44DFE76E" w14:textId="77777777" w:rsidR="009A4C46" w:rsidRPr="00C1709C" w:rsidRDefault="009A4C46" w:rsidP="009A4C46">
            <w:pPr>
              <w:spacing w:after="0" w:line="240" w:lineRule="auto"/>
              <w:rPr>
                <w:rFonts w:eastAsia="Times New Roman"/>
                <w:sz w:val="18"/>
                <w:szCs w:val="18"/>
                <w:lang w:eastAsia="ru-RU"/>
              </w:rPr>
            </w:pPr>
            <w:r w:rsidRPr="00C1709C">
              <w:rPr>
                <w:rFonts w:eastAsia="Times New Roman"/>
                <w:sz w:val="18"/>
                <w:szCs w:val="18"/>
                <w:lang w:eastAsia="ru-RU"/>
              </w:rPr>
              <w:t>в т.ч. незавершенное строительство</w:t>
            </w:r>
          </w:p>
        </w:tc>
        <w:tc>
          <w:tcPr>
            <w:tcW w:w="861" w:type="pct"/>
            <w:tcBorders>
              <w:top w:val="nil"/>
              <w:left w:val="nil"/>
              <w:bottom w:val="single" w:sz="8" w:space="0" w:color="auto"/>
              <w:right w:val="single" w:sz="8" w:space="0" w:color="auto"/>
            </w:tcBorders>
            <w:shd w:val="clear" w:color="auto" w:fill="auto"/>
            <w:vAlign w:val="center"/>
            <w:hideMark/>
          </w:tcPr>
          <w:p w14:paraId="5CBE3DA7" w14:textId="77777777" w:rsidR="009A4C46" w:rsidRPr="00C1709C" w:rsidRDefault="009A4C46" w:rsidP="009A4C46">
            <w:pPr>
              <w:spacing w:after="0" w:line="240" w:lineRule="auto"/>
              <w:jc w:val="center"/>
              <w:rPr>
                <w:rFonts w:eastAsia="Times New Roman"/>
                <w:sz w:val="18"/>
                <w:szCs w:val="18"/>
                <w:lang w:eastAsia="ru-RU"/>
              </w:rPr>
            </w:pPr>
            <w:r w:rsidRPr="00C1709C">
              <w:rPr>
                <w:rFonts w:eastAsia="Times New Roman"/>
                <w:color w:val="000000"/>
                <w:sz w:val="18"/>
                <w:szCs w:val="18"/>
                <w:lang w:eastAsia="ru-RU"/>
              </w:rPr>
              <w:t>347 079</w:t>
            </w:r>
          </w:p>
        </w:tc>
        <w:tc>
          <w:tcPr>
            <w:tcW w:w="1016" w:type="pct"/>
            <w:tcBorders>
              <w:top w:val="nil"/>
              <w:left w:val="nil"/>
              <w:bottom w:val="single" w:sz="8" w:space="0" w:color="auto"/>
              <w:right w:val="single" w:sz="8" w:space="0" w:color="auto"/>
            </w:tcBorders>
            <w:shd w:val="clear" w:color="auto" w:fill="auto"/>
            <w:noWrap/>
            <w:vAlign w:val="center"/>
            <w:hideMark/>
          </w:tcPr>
          <w:p w14:paraId="09500F94" w14:textId="77777777" w:rsidR="009A4C46" w:rsidRPr="00C1709C" w:rsidRDefault="009A4C46" w:rsidP="009A4C46">
            <w:pPr>
              <w:spacing w:after="0" w:line="240" w:lineRule="auto"/>
              <w:jc w:val="center"/>
              <w:rPr>
                <w:rFonts w:eastAsia="Times New Roman"/>
                <w:sz w:val="18"/>
                <w:szCs w:val="18"/>
                <w:lang w:eastAsia="ru-RU"/>
              </w:rPr>
            </w:pPr>
            <w:r w:rsidRPr="00C1709C">
              <w:rPr>
                <w:rFonts w:eastAsia="Times New Roman"/>
                <w:color w:val="000000"/>
                <w:sz w:val="18"/>
                <w:szCs w:val="18"/>
                <w:lang w:eastAsia="ru-RU"/>
              </w:rPr>
              <w:t>477 833</w:t>
            </w:r>
          </w:p>
        </w:tc>
        <w:tc>
          <w:tcPr>
            <w:tcW w:w="1015" w:type="pct"/>
            <w:tcBorders>
              <w:top w:val="nil"/>
              <w:left w:val="nil"/>
              <w:bottom w:val="single" w:sz="8" w:space="0" w:color="auto"/>
              <w:right w:val="single" w:sz="8" w:space="0" w:color="auto"/>
            </w:tcBorders>
            <w:shd w:val="clear" w:color="auto" w:fill="auto"/>
            <w:noWrap/>
            <w:vAlign w:val="center"/>
            <w:hideMark/>
          </w:tcPr>
          <w:p w14:paraId="5F72676C" w14:textId="77777777" w:rsidR="009A4C46" w:rsidRPr="00C1709C" w:rsidRDefault="009A4C46" w:rsidP="009A4C46">
            <w:pPr>
              <w:spacing w:after="0" w:line="240" w:lineRule="auto"/>
              <w:jc w:val="center"/>
              <w:rPr>
                <w:rFonts w:eastAsia="Times New Roman"/>
                <w:sz w:val="18"/>
                <w:szCs w:val="18"/>
                <w:lang w:eastAsia="ru-RU"/>
              </w:rPr>
            </w:pPr>
            <w:r w:rsidRPr="00C1709C">
              <w:rPr>
                <w:rFonts w:eastAsia="Times New Roman"/>
                <w:color w:val="000000"/>
                <w:sz w:val="18"/>
                <w:szCs w:val="18"/>
                <w:lang w:eastAsia="ru-RU"/>
              </w:rPr>
              <w:t>н/д</w:t>
            </w:r>
          </w:p>
        </w:tc>
      </w:tr>
      <w:tr w:rsidR="009A4C46" w:rsidRPr="00C1709C" w14:paraId="2365C9D8" w14:textId="77777777" w:rsidTr="00F94FED">
        <w:trPr>
          <w:trHeight w:val="300"/>
        </w:trPr>
        <w:tc>
          <w:tcPr>
            <w:tcW w:w="2108" w:type="pct"/>
            <w:tcBorders>
              <w:top w:val="nil"/>
              <w:left w:val="single" w:sz="8" w:space="0" w:color="auto"/>
              <w:bottom w:val="single" w:sz="4" w:space="0" w:color="auto"/>
              <w:right w:val="single" w:sz="4" w:space="0" w:color="auto"/>
            </w:tcBorders>
            <w:shd w:val="clear" w:color="auto" w:fill="auto"/>
            <w:noWrap/>
            <w:vAlign w:val="center"/>
            <w:hideMark/>
          </w:tcPr>
          <w:p w14:paraId="05765B91" w14:textId="77777777" w:rsidR="009A4C46" w:rsidRPr="00C1709C" w:rsidRDefault="009A4C46" w:rsidP="009A4C46">
            <w:pPr>
              <w:spacing w:after="0" w:line="240" w:lineRule="auto"/>
              <w:rPr>
                <w:rFonts w:eastAsia="Times New Roman"/>
                <w:sz w:val="18"/>
                <w:szCs w:val="18"/>
                <w:lang w:eastAsia="ru-RU"/>
              </w:rPr>
            </w:pPr>
            <w:r w:rsidRPr="00C1709C">
              <w:rPr>
                <w:rFonts w:eastAsia="Times New Roman"/>
                <w:sz w:val="18"/>
                <w:szCs w:val="18"/>
                <w:lang w:eastAsia="ru-RU"/>
              </w:rPr>
              <w:t>II  Оборотные активы</w:t>
            </w:r>
          </w:p>
        </w:tc>
        <w:tc>
          <w:tcPr>
            <w:tcW w:w="861" w:type="pct"/>
            <w:tcBorders>
              <w:top w:val="nil"/>
              <w:left w:val="nil"/>
              <w:bottom w:val="single" w:sz="8" w:space="0" w:color="auto"/>
              <w:right w:val="single" w:sz="8" w:space="0" w:color="auto"/>
            </w:tcBorders>
            <w:shd w:val="clear" w:color="auto" w:fill="auto"/>
            <w:noWrap/>
            <w:vAlign w:val="center"/>
            <w:hideMark/>
          </w:tcPr>
          <w:p w14:paraId="28A384B9" w14:textId="77777777" w:rsidR="009A4C46" w:rsidRPr="00C1709C" w:rsidRDefault="009A4C46" w:rsidP="009A4C46">
            <w:pPr>
              <w:spacing w:after="0" w:line="240" w:lineRule="auto"/>
              <w:jc w:val="center"/>
              <w:rPr>
                <w:rFonts w:eastAsia="Times New Roman"/>
                <w:sz w:val="18"/>
                <w:szCs w:val="18"/>
                <w:lang w:eastAsia="ru-RU"/>
              </w:rPr>
            </w:pPr>
            <w:r w:rsidRPr="00C1709C">
              <w:rPr>
                <w:rFonts w:eastAsia="Times New Roman"/>
                <w:color w:val="000000"/>
                <w:sz w:val="18"/>
                <w:szCs w:val="18"/>
                <w:lang w:eastAsia="ru-RU"/>
              </w:rPr>
              <w:t>1 681 054</w:t>
            </w:r>
          </w:p>
        </w:tc>
        <w:tc>
          <w:tcPr>
            <w:tcW w:w="1016" w:type="pct"/>
            <w:tcBorders>
              <w:top w:val="nil"/>
              <w:left w:val="nil"/>
              <w:bottom w:val="single" w:sz="8" w:space="0" w:color="auto"/>
              <w:right w:val="single" w:sz="8" w:space="0" w:color="auto"/>
            </w:tcBorders>
            <w:shd w:val="clear" w:color="auto" w:fill="auto"/>
            <w:noWrap/>
            <w:vAlign w:val="center"/>
            <w:hideMark/>
          </w:tcPr>
          <w:p w14:paraId="242765C8" w14:textId="77777777" w:rsidR="009A4C46" w:rsidRPr="00C1709C" w:rsidRDefault="009A4C46" w:rsidP="009A4C46">
            <w:pPr>
              <w:spacing w:after="0" w:line="240" w:lineRule="auto"/>
              <w:jc w:val="center"/>
              <w:rPr>
                <w:rFonts w:eastAsia="Times New Roman"/>
                <w:sz w:val="18"/>
                <w:szCs w:val="18"/>
                <w:lang w:eastAsia="ru-RU"/>
              </w:rPr>
            </w:pPr>
            <w:r w:rsidRPr="00C1709C">
              <w:rPr>
                <w:rFonts w:eastAsia="Times New Roman"/>
                <w:color w:val="000000"/>
                <w:sz w:val="18"/>
                <w:szCs w:val="18"/>
                <w:lang w:eastAsia="ru-RU"/>
              </w:rPr>
              <w:t>1 592 792</w:t>
            </w:r>
          </w:p>
        </w:tc>
        <w:tc>
          <w:tcPr>
            <w:tcW w:w="1015" w:type="pct"/>
            <w:tcBorders>
              <w:top w:val="nil"/>
              <w:left w:val="nil"/>
              <w:bottom w:val="single" w:sz="8" w:space="0" w:color="auto"/>
              <w:right w:val="single" w:sz="8" w:space="0" w:color="auto"/>
            </w:tcBorders>
            <w:shd w:val="clear" w:color="auto" w:fill="auto"/>
            <w:noWrap/>
            <w:vAlign w:val="center"/>
            <w:hideMark/>
          </w:tcPr>
          <w:p w14:paraId="16786274" w14:textId="77777777" w:rsidR="009A4C46" w:rsidRPr="00C1709C" w:rsidRDefault="009A4C46" w:rsidP="009A4C46">
            <w:pPr>
              <w:spacing w:after="0" w:line="240" w:lineRule="auto"/>
              <w:jc w:val="center"/>
              <w:rPr>
                <w:rFonts w:eastAsia="Times New Roman"/>
                <w:sz w:val="18"/>
                <w:szCs w:val="18"/>
                <w:lang w:eastAsia="ru-RU"/>
              </w:rPr>
            </w:pPr>
            <w:r w:rsidRPr="00C1709C">
              <w:rPr>
                <w:rFonts w:eastAsia="Times New Roman"/>
                <w:color w:val="000000"/>
                <w:sz w:val="18"/>
                <w:szCs w:val="18"/>
                <w:lang w:eastAsia="ru-RU"/>
              </w:rPr>
              <w:t>400 052</w:t>
            </w:r>
          </w:p>
        </w:tc>
      </w:tr>
      <w:tr w:rsidR="009A4C46" w:rsidRPr="00C1709C" w14:paraId="46AB0B88" w14:textId="77777777" w:rsidTr="00F94FED">
        <w:trPr>
          <w:trHeight w:val="600"/>
        </w:trPr>
        <w:tc>
          <w:tcPr>
            <w:tcW w:w="2108" w:type="pct"/>
            <w:tcBorders>
              <w:top w:val="nil"/>
              <w:left w:val="single" w:sz="8" w:space="0" w:color="auto"/>
              <w:bottom w:val="single" w:sz="4" w:space="0" w:color="auto"/>
              <w:right w:val="single" w:sz="4" w:space="0" w:color="auto"/>
            </w:tcBorders>
            <w:shd w:val="clear" w:color="auto" w:fill="auto"/>
            <w:vAlign w:val="center"/>
            <w:hideMark/>
          </w:tcPr>
          <w:p w14:paraId="12FD24CF" w14:textId="77777777" w:rsidR="009A4C46" w:rsidRPr="00C1709C" w:rsidRDefault="009A4C46" w:rsidP="009A4C46">
            <w:pPr>
              <w:spacing w:after="0" w:line="240" w:lineRule="auto"/>
              <w:rPr>
                <w:rFonts w:eastAsia="Times New Roman"/>
                <w:sz w:val="18"/>
                <w:szCs w:val="18"/>
                <w:lang w:eastAsia="ru-RU"/>
              </w:rPr>
            </w:pPr>
            <w:r w:rsidRPr="00C1709C">
              <w:rPr>
                <w:rFonts w:eastAsia="Times New Roman"/>
                <w:sz w:val="18"/>
                <w:szCs w:val="18"/>
                <w:lang w:eastAsia="ru-RU"/>
              </w:rPr>
              <w:t>в т.ч. Дебиторская задолженность</w:t>
            </w:r>
          </w:p>
        </w:tc>
        <w:tc>
          <w:tcPr>
            <w:tcW w:w="861" w:type="pct"/>
            <w:tcBorders>
              <w:top w:val="nil"/>
              <w:left w:val="nil"/>
              <w:bottom w:val="single" w:sz="8" w:space="0" w:color="auto"/>
              <w:right w:val="single" w:sz="8" w:space="0" w:color="auto"/>
            </w:tcBorders>
            <w:shd w:val="clear" w:color="auto" w:fill="auto"/>
            <w:noWrap/>
            <w:vAlign w:val="center"/>
            <w:hideMark/>
          </w:tcPr>
          <w:p w14:paraId="1479DBAA" w14:textId="77777777" w:rsidR="009A4C46" w:rsidRPr="00C1709C" w:rsidRDefault="009A4C46" w:rsidP="009A4C46">
            <w:pPr>
              <w:spacing w:after="0" w:line="240" w:lineRule="auto"/>
              <w:jc w:val="center"/>
              <w:rPr>
                <w:rFonts w:eastAsia="Times New Roman"/>
                <w:sz w:val="18"/>
                <w:szCs w:val="18"/>
                <w:lang w:eastAsia="ru-RU"/>
              </w:rPr>
            </w:pPr>
            <w:r w:rsidRPr="00C1709C">
              <w:rPr>
                <w:rFonts w:eastAsia="Times New Roman"/>
                <w:color w:val="000000"/>
                <w:sz w:val="18"/>
                <w:szCs w:val="18"/>
                <w:lang w:eastAsia="ru-RU"/>
              </w:rPr>
              <w:t>1 193 553</w:t>
            </w:r>
          </w:p>
        </w:tc>
        <w:tc>
          <w:tcPr>
            <w:tcW w:w="1016" w:type="pct"/>
            <w:tcBorders>
              <w:top w:val="nil"/>
              <w:left w:val="nil"/>
              <w:bottom w:val="single" w:sz="8" w:space="0" w:color="auto"/>
              <w:right w:val="single" w:sz="8" w:space="0" w:color="auto"/>
            </w:tcBorders>
            <w:shd w:val="clear" w:color="auto" w:fill="auto"/>
            <w:noWrap/>
            <w:vAlign w:val="center"/>
            <w:hideMark/>
          </w:tcPr>
          <w:p w14:paraId="21ECC0A8" w14:textId="77777777" w:rsidR="009A4C46" w:rsidRPr="00C1709C" w:rsidRDefault="009A4C46" w:rsidP="009A4C46">
            <w:pPr>
              <w:spacing w:after="0" w:line="240" w:lineRule="auto"/>
              <w:jc w:val="center"/>
              <w:rPr>
                <w:rFonts w:eastAsia="Times New Roman"/>
                <w:sz w:val="18"/>
                <w:szCs w:val="18"/>
                <w:lang w:eastAsia="ru-RU"/>
              </w:rPr>
            </w:pPr>
            <w:r w:rsidRPr="00C1709C">
              <w:rPr>
                <w:rFonts w:eastAsia="Times New Roman"/>
                <w:color w:val="000000"/>
                <w:sz w:val="18"/>
                <w:szCs w:val="18"/>
                <w:lang w:eastAsia="ru-RU"/>
              </w:rPr>
              <w:t>1 251 010</w:t>
            </w:r>
          </w:p>
        </w:tc>
        <w:tc>
          <w:tcPr>
            <w:tcW w:w="1015" w:type="pct"/>
            <w:tcBorders>
              <w:top w:val="nil"/>
              <w:left w:val="nil"/>
              <w:bottom w:val="single" w:sz="8" w:space="0" w:color="auto"/>
              <w:right w:val="single" w:sz="8" w:space="0" w:color="auto"/>
            </w:tcBorders>
            <w:shd w:val="clear" w:color="auto" w:fill="auto"/>
            <w:noWrap/>
            <w:vAlign w:val="center"/>
            <w:hideMark/>
          </w:tcPr>
          <w:p w14:paraId="12A7B3D7" w14:textId="77777777" w:rsidR="009A4C46" w:rsidRPr="00C1709C" w:rsidRDefault="009A4C46" w:rsidP="009A4C46">
            <w:pPr>
              <w:spacing w:after="0" w:line="240" w:lineRule="auto"/>
              <w:jc w:val="center"/>
              <w:rPr>
                <w:rFonts w:eastAsia="Times New Roman"/>
                <w:sz w:val="18"/>
                <w:szCs w:val="18"/>
                <w:lang w:eastAsia="ru-RU"/>
              </w:rPr>
            </w:pPr>
            <w:r w:rsidRPr="00C1709C">
              <w:rPr>
                <w:rFonts w:eastAsia="Times New Roman"/>
                <w:color w:val="000000"/>
                <w:sz w:val="18"/>
                <w:szCs w:val="18"/>
                <w:lang w:eastAsia="ru-RU"/>
              </w:rPr>
              <w:t>183 784</w:t>
            </w:r>
          </w:p>
        </w:tc>
      </w:tr>
      <w:tr w:rsidR="009A4C46" w:rsidRPr="00C1709C" w14:paraId="370EFCCB" w14:textId="77777777" w:rsidTr="00F94FED">
        <w:trPr>
          <w:trHeight w:val="300"/>
        </w:trPr>
        <w:tc>
          <w:tcPr>
            <w:tcW w:w="2108" w:type="pct"/>
            <w:tcBorders>
              <w:top w:val="nil"/>
              <w:left w:val="single" w:sz="8" w:space="0" w:color="auto"/>
              <w:bottom w:val="single" w:sz="4" w:space="0" w:color="auto"/>
              <w:right w:val="single" w:sz="4" w:space="0" w:color="auto"/>
            </w:tcBorders>
            <w:shd w:val="clear" w:color="auto" w:fill="auto"/>
            <w:noWrap/>
            <w:vAlign w:val="center"/>
            <w:hideMark/>
          </w:tcPr>
          <w:p w14:paraId="2AE644BD" w14:textId="77777777" w:rsidR="009A4C46" w:rsidRPr="00C1709C" w:rsidRDefault="009A4C46" w:rsidP="009A4C46">
            <w:pPr>
              <w:spacing w:after="0" w:line="240" w:lineRule="auto"/>
              <w:rPr>
                <w:rFonts w:eastAsia="Times New Roman"/>
                <w:sz w:val="18"/>
                <w:szCs w:val="18"/>
                <w:lang w:eastAsia="ru-RU"/>
              </w:rPr>
            </w:pPr>
            <w:r w:rsidRPr="00C1709C">
              <w:rPr>
                <w:rFonts w:eastAsia="Times New Roman"/>
                <w:sz w:val="18"/>
                <w:szCs w:val="18"/>
                <w:lang w:eastAsia="ru-RU"/>
              </w:rPr>
              <w:t>Итого Валюта Баланса:</w:t>
            </w:r>
          </w:p>
        </w:tc>
        <w:tc>
          <w:tcPr>
            <w:tcW w:w="861" w:type="pct"/>
            <w:tcBorders>
              <w:top w:val="nil"/>
              <w:left w:val="nil"/>
              <w:bottom w:val="single" w:sz="8" w:space="0" w:color="auto"/>
              <w:right w:val="single" w:sz="8" w:space="0" w:color="auto"/>
            </w:tcBorders>
            <w:shd w:val="clear" w:color="auto" w:fill="auto"/>
            <w:noWrap/>
            <w:vAlign w:val="center"/>
            <w:hideMark/>
          </w:tcPr>
          <w:p w14:paraId="5EE7C274" w14:textId="77777777" w:rsidR="009A4C46" w:rsidRPr="00C1709C" w:rsidRDefault="009A4C46" w:rsidP="009A4C46">
            <w:pPr>
              <w:spacing w:after="0" w:line="240" w:lineRule="auto"/>
              <w:jc w:val="center"/>
              <w:rPr>
                <w:rFonts w:eastAsia="Times New Roman"/>
                <w:sz w:val="18"/>
                <w:szCs w:val="18"/>
                <w:lang w:eastAsia="ru-RU"/>
              </w:rPr>
            </w:pPr>
            <w:r w:rsidRPr="00C1709C">
              <w:rPr>
                <w:rFonts w:eastAsia="Times New Roman"/>
                <w:color w:val="000000"/>
                <w:sz w:val="18"/>
                <w:szCs w:val="18"/>
                <w:lang w:eastAsia="ru-RU"/>
              </w:rPr>
              <w:t>2 693 234</w:t>
            </w:r>
          </w:p>
        </w:tc>
        <w:tc>
          <w:tcPr>
            <w:tcW w:w="1016" w:type="pct"/>
            <w:tcBorders>
              <w:top w:val="nil"/>
              <w:left w:val="nil"/>
              <w:bottom w:val="single" w:sz="8" w:space="0" w:color="auto"/>
              <w:right w:val="single" w:sz="8" w:space="0" w:color="auto"/>
            </w:tcBorders>
            <w:shd w:val="clear" w:color="auto" w:fill="auto"/>
            <w:noWrap/>
            <w:vAlign w:val="center"/>
            <w:hideMark/>
          </w:tcPr>
          <w:p w14:paraId="7C1BB407" w14:textId="77777777" w:rsidR="009A4C46" w:rsidRPr="00C1709C" w:rsidRDefault="009A4C46" w:rsidP="009A4C46">
            <w:pPr>
              <w:spacing w:after="0" w:line="240" w:lineRule="auto"/>
              <w:jc w:val="center"/>
              <w:rPr>
                <w:rFonts w:eastAsia="Times New Roman"/>
                <w:sz w:val="18"/>
                <w:szCs w:val="18"/>
                <w:lang w:eastAsia="ru-RU"/>
              </w:rPr>
            </w:pPr>
            <w:r w:rsidRPr="00C1709C">
              <w:rPr>
                <w:rFonts w:eastAsia="Times New Roman"/>
                <w:color w:val="000000"/>
                <w:sz w:val="18"/>
                <w:szCs w:val="18"/>
                <w:lang w:eastAsia="ru-RU"/>
              </w:rPr>
              <w:t>2 763 631</w:t>
            </w:r>
          </w:p>
        </w:tc>
        <w:tc>
          <w:tcPr>
            <w:tcW w:w="1015" w:type="pct"/>
            <w:tcBorders>
              <w:top w:val="nil"/>
              <w:left w:val="nil"/>
              <w:bottom w:val="single" w:sz="8" w:space="0" w:color="auto"/>
              <w:right w:val="single" w:sz="8" w:space="0" w:color="auto"/>
            </w:tcBorders>
            <w:shd w:val="clear" w:color="auto" w:fill="auto"/>
            <w:noWrap/>
            <w:vAlign w:val="center"/>
            <w:hideMark/>
          </w:tcPr>
          <w:p w14:paraId="4DD67338" w14:textId="77777777" w:rsidR="009A4C46" w:rsidRPr="00C1709C" w:rsidRDefault="009A4C46" w:rsidP="009A4C46">
            <w:pPr>
              <w:spacing w:after="0" w:line="240" w:lineRule="auto"/>
              <w:jc w:val="center"/>
              <w:rPr>
                <w:rFonts w:eastAsia="Times New Roman"/>
                <w:sz w:val="18"/>
                <w:szCs w:val="18"/>
                <w:lang w:eastAsia="ru-RU"/>
              </w:rPr>
            </w:pPr>
            <w:r w:rsidRPr="00C1709C">
              <w:rPr>
                <w:rFonts w:eastAsia="Times New Roman"/>
                <w:color w:val="000000"/>
                <w:sz w:val="18"/>
                <w:szCs w:val="18"/>
                <w:lang w:eastAsia="ru-RU"/>
              </w:rPr>
              <w:t>1 919 623</w:t>
            </w:r>
          </w:p>
        </w:tc>
      </w:tr>
      <w:tr w:rsidR="009A4C46" w:rsidRPr="00C1709C" w14:paraId="2646FFFF" w14:textId="77777777" w:rsidTr="00F94FED">
        <w:trPr>
          <w:trHeight w:val="300"/>
        </w:trPr>
        <w:tc>
          <w:tcPr>
            <w:tcW w:w="2108" w:type="pct"/>
            <w:tcBorders>
              <w:top w:val="nil"/>
              <w:left w:val="single" w:sz="8" w:space="0" w:color="auto"/>
              <w:bottom w:val="single" w:sz="4" w:space="0" w:color="auto"/>
              <w:right w:val="single" w:sz="4" w:space="0" w:color="auto"/>
            </w:tcBorders>
            <w:shd w:val="clear" w:color="auto" w:fill="auto"/>
            <w:noWrap/>
            <w:vAlign w:val="center"/>
            <w:hideMark/>
          </w:tcPr>
          <w:p w14:paraId="5504BC3B" w14:textId="77777777" w:rsidR="009A4C46" w:rsidRPr="00C1709C" w:rsidRDefault="009A4C46" w:rsidP="009A4C46">
            <w:pPr>
              <w:spacing w:after="0" w:line="240" w:lineRule="auto"/>
              <w:rPr>
                <w:rFonts w:eastAsia="Times New Roman"/>
                <w:sz w:val="18"/>
                <w:szCs w:val="18"/>
                <w:lang w:eastAsia="ru-RU"/>
              </w:rPr>
            </w:pPr>
            <w:r w:rsidRPr="00C1709C">
              <w:rPr>
                <w:rFonts w:eastAsia="Times New Roman"/>
                <w:sz w:val="18"/>
                <w:szCs w:val="18"/>
                <w:lang w:eastAsia="ru-RU"/>
              </w:rPr>
              <w:t>III  Капитал и Резервы</w:t>
            </w:r>
          </w:p>
        </w:tc>
        <w:tc>
          <w:tcPr>
            <w:tcW w:w="861" w:type="pct"/>
            <w:tcBorders>
              <w:top w:val="nil"/>
              <w:left w:val="nil"/>
              <w:bottom w:val="single" w:sz="8" w:space="0" w:color="auto"/>
              <w:right w:val="single" w:sz="8" w:space="0" w:color="auto"/>
            </w:tcBorders>
            <w:shd w:val="clear" w:color="auto" w:fill="auto"/>
            <w:noWrap/>
            <w:vAlign w:val="center"/>
            <w:hideMark/>
          </w:tcPr>
          <w:p w14:paraId="31B5FE06" w14:textId="77777777" w:rsidR="009A4C46" w:rsidRPr="00C1709C" w:rsidRDefault="009A4C46" w:rsidP="009A4C46">
            <w:pPr>
              <w:spacing w:after="0" w:line="240" w:lineRule="auto"/>
              <w:jc w:val="center"/>
              <w:rPr>
                <w:rFonts w:eastAsia="Times New Roman"/>
                <w:sz w:val="18"/>
                <w:szCs w:val="18"/>
                <w:lang w:eastAsia="ru-RU"/>
              </w:rPr>
            </w:pPr>
            <w:r w:rsidRPr="00C1709C">
              <w:rPr>
                <w:rFonts w:eastAsia="Times New Roman"/>
                <w:color w:val="000000"/>
                <w:sz w:val="18"/>
                <w:szCs w:val="18"/>
                <w:lang w:eastAsia="ru-RU"/>
              </w:rPr>
              <w:t>76 061</w:t>
            </w:r>
          </w:p>
        </w:tc>
        <w:tc>
          <w:tcPr>
            <w:tcW w:w="1016" w:type="pct"/>
            <w:tcBorders>
              <w:top w:val="nil"/>
              <w:left w:val="nil"/>
              <w:bottom w:val="single" w:sz="8" w:space="0" w:color="auto"/>
              <w:right w:val="single" w:sz="8" w:space="0" w:color="auto"/>
            </w:tcBorders>
            <w:shd w:val="clear" w:color="auto" w:fill="auto"/>
            <w:noWrap/>
            <w:vAlign w:val="center"/>
            <w:hideMark/>
          </w:tcPr>
          <w:p w14:paraId="2DDEF6CF" w14:textId="77777777" w:rsidR="009A4C46" w:rsidRPr="00C1709C" w:rsidRDefault="009A4C46" w:rsidP="009A4C46">
            <w:pPr>
              <w:spacing w:after="0" w:line="240" w:lineRule="auto"/>
              <w:jc w:val="center"/>
              <w:rPr>
                <w:rFonts w:eastAsia="Times New Roman"/>
                <w:sz w:val="18"/>
                <w:szCs w:val="18"/>
                <w:lang w:eastAsia="ru-RU"/>
              </w:rPr>
            </w:pPr>
            <w:r w:rsidRPr="00C1709C">
              <w:rPr>
                <w:rFonts w:eastAsia="Times New Roman"/>
                <w:color w:val="000000"/>
                <w:sz w:val="18"/>
                <w:szCs w:val="18"/>
                <w:lang w:eastAsia="ru-RU"/>
              </w:rPr>
              <w:t>493 664</w:t>
            </w:r>
          </w:p>
        </w:tc>
        <w:tc>
          <w:tcPr>
            <w:tcW w:w="1015" w:type="pct"/>
            <w:tcBorders>
              <w:top w:val="nil"/>
              <w:left w:val="nil"/>
              <w:bottom w:val="single" w:sz="8" w:space="0" w:color="auto"/>
              <w:right w:val="single" w:sz="8" w:space="0" w:color="auto"/>
            </w:tcBorders>
            <w:shd w:val="clear" w:color="auto" w:fill="auto"/>
            <w:noWrap/>
            <w:vAlign w:val="center"/>
            <w:hideMark/>
          </w:tcPr>
          <w:p w14:paraId="5DAF39BD" w14:textId="77777777" w:rsidR="009A4C46" w:rsidRPr="00C1709C" w:rsidRDefault="009A4C46" w:rsidP="009A4C46">
            <w:pPr>
              <w:spacing w:after="0" w:line="240" w:lineRule="auto"/>
              <w:jc w:val="center"/>
              <w:rPr>
                <w:rFonts w:eastAsia="Times New Roman"/>
                <w:sz w:val="18"/>
                <w:szCs w:val="18"/>
                <w:lang w:eastAsia="ru-RU"/>
              </w:rPr>
            </w:pPr>
            <w:r w:rsidRPr="00C1709C">
              <w:rPr>
                <w:rFonts w:eastAsia="Times New Roman"/>
                <w:color w:val="000000"/>
                <w:sz w:val="18"/>
                <w:szCs w:val="18"/>
                <w:lang w:eastAsia="ru-RU"/>
              </w:rPr>
              <w:t>-2 592</w:t>
            </w:r>
          </w:p>
        </w:tc>
      </w:tr>
      <w:tr w:rsidR="009A4C46" w:rsidRPr="00C1709C" w14:paraId="3A29176D" w14:textId="77777777" w:rsidTr="00F94FED">
        <w:trPr>
          <w:trHeight w:val="300"/>
        </w:trPr>
        <w:tc>
          <w:tcPr>
            <w:tcW w:w="2108" w:type="pct"/>
            <w:tcBorders>
              <w:top w:val="nil"/>
              <w:left w:val="single" w:sz="8" w:space="0" w:color="auto"/>
              <w:bottom w:val="single" w:sz="4" w:space="0" w:color="auto"/>
              <w:right w:val="single" w:sz="4" w:space="0" w:color="auto"/>
            </w:tcBorders>
            <w:shd w:val="clear" w:color="auto" w:fill="auto"/>
            <w:noWrap/>
            <w:vAlign w:val="center"/>
            <w:hideMark/>
          </w:tcPr>
          <w:p w14:paraId="0CD7A88A" w14:textId="77777777" w:rsidR="009A4C46" w:rsidRPr="00C1709C" w:rsidRDefault="009A4C46" w:rsidP="009A4C46">
            <w:pPr>
              <w:spacing w:after="0" w:line="240" w:lineRule="auto"/>
              <w:rPr>
                <w:rFonts w:eastAsia="Times New Roman"/>
                <w:sz w:val="18"/>
                <w:szCs w:val="18"/>
                <w:lang w:eastAsia="ru-RU"/>
              </w:rPr>
            </w:pPr>
            <w:r w:rsidRPr="00C1709C">
              <w:rPr>
                <w:rFonts w:eastAsia="Times New Roman"/>
                <w:sz w:val="18"/>
                <w:szCs w:val="18"/>
                <w:lang w:eastAsia="ru-RU"/>
              </w:rPr>
              <w:t>IV  Обязательства</w:t>
            </w:r>
          </w:p>
        </w:tc>
        <w:tc>
          <w:tcPr>
            <w:tcW w:w="861" w:type="pct"/>
            <w:tcBorders>
              <w:top w:val="nil"/>
              <w:left w:val="nil"/>
              <w:bottom w:val="single" w:sz="8" w:space="0" w:color="auto"/>
              <w:right w:val="single" w:sz="8" w:space="0" w:color="auto"/>
            </w:tcBorders>
            <w:shd w:val="clear" w:color="auto" w:fill="auto"/>
            <w:noWrap/>
            <w:vAlign w:val="center"/>
            <w:hideMark/>
          </w:tcPr>
          <w:p w14:paraId="486973E0" w14:textId="77777777" w:rsidR="009A4C46" w:rsidRPr="00C1709C" w:rsidRDefault="009A4C46" w:rsidP="009A4C46">
            <w:pPr>
              <w:spacing w:after="0" w:line="240" w:lineRule="auto"/>
              <w:jc w:val="center"/>
              <w:rPr>
                <w:rFonts w:eastAsia="Times New Roman"/>
                <w:sz w:val="18"/>
                <w:szCs w:val="18"/>
                <w:lang w:eastAsia="ru-RU"/>
              </w:rPr>
            </w:pPr>
            <w:r w:rsidRPr="00C1709C">
              <w:rPr>
                <w:rFonts w:eastAsia="Times New Roman"/>
                <w:color w:val="000000"/>
                <w:sz w:val="18"/>
                <w:szCs w:val="18"/>
                <w:lang w:eastAsia="ru-RU"/>
              </w:rPr>
              <w:t>5 014</w:t>
            </w:r>
          </w:p>
        </w:tc>
        <w:tc>
          <w:tcPr>
            <w:tcW w:w="1016" w:type="pct"/>
            <w:tcBorders>
              <w:top w:val="nil"/>
              <w:left w:val="nil"/>
              <w:bottom w:val="single" w:sz="8" w:space="0" w:color="auto"/>
              <w:right w:val="single" w:sz="8" w:space="0" w:color="auto"/>
            </w:tcBorders>
            <w:shd w:val="clear" w:color="auto" w:fill="auto"/>
            <w:noWrap/>
            <w:vAlign w:val="center"/>
            <w:hideMark/>
          </w:tcPr>
          <w:p w14:paraId="108F25A1" w14:textId="77777777" w:rsidR="009A4C46" w:rsidRPr="00C1709C" w:rsidRDefault="009A4C46" w:rsidP="009A4C46">
            <w:pPr>
              <w:spacing w:after="0" w:line="240" w:lineRule="auto"/>
              <w:jc w:val="center"/>
              <w:rPr>
                <w:rFonts w:eastAsia="Times New Roman"/>
                <w:sz w:val="18"/>
                <w:szCs w:val="18"/>
                <w:lang w:eastAsia="ru-RU"/>
              </w:rPr>
            </w:pPr>
            <w:r w:rsidRPr="00C1709C">
              <w:rPr>
                <w:rFonts w:eastAsia="Times New Roman"/>
                <w:color w:val="000000"/>
                <w:sz w:val="18"/>
                <w:szCs w:val="18"/>
                <w:lang w:eastAsia="ru-RU"/>
              </w:rPr>
              <w:t>10 102</w:t>
            </w:r>
          </w:p>
        </w:tc>
        <w:tc>
          <w:tcPr>
            <w:tcW w:w="1015" w:type="pct"/>
            <w:tcBorders>
              <w:top w:val="nil"/>
              <w:left w:val="nil"/>
              <w:bottom w:val="single" w:sz="8" w:space="0" w:color="auto"/>
              <w:right w:val="single" w:sz="8" w:space="0" w:color="auto"/>
            </w:tcBorders>
            <w:shd w:val="clear" w:color="auto" w:fill="auto"/>
            <w:noWrap/>
            <w:vAlign w:val="center"/>
            <w:hideMark/>
          </w:tcPr>
          <w:p w14:paraId="5EA34F61" w14:textId="77777777" w:rsidR="009A4C46" w:rsidRPr="00C1709C" w:rsidRDefault="009A4C46" w:rsidP="009A4C46">
            <w:pPr>
              <w:spacing w:after="0" w:line="240" w:lineRule="auto"/>
              <w:jc w:val="center"/>
              <w:rPr>
                <w:rFonts w:eastAsia="Times New Roman"/>
                <w:sz w:val="18"/>
                <w:szCs w:val="18"/>
                <w:lang w:eastAsia="ru-RU"/>
              </w:rPr>
            </w:pPr>
            <w:r w:rsidRPr="00C1709C">
              <w:rPr>
                <w:rFonts w:eastAsia="Times New Roman"/>
                <w:color w:val="000000"/>
                <w:sz w:val="18"/>
                <w:szCs w:val="18"/>
                <w:lang w:eastAsia="ru-RU"/>
              </w:rPr>
              <w:t>1 553 621</w:t>
            </w:r>
          </w:p>
        </w:tc>
      </w:tr>
      <w:tr w:rsidR="009A4C46" w:rsidRPr="00C1709C" w14:paraId="0E6A89A8" w14:textId="77777777" w:rsidTr="00F94FED">
        <w:trPr>
          <w:trHeight w:val="300"/>
        </w:trPr>
        <w:tc>
          <w:tcPr>
            <w:tcW w:w="2108" w:type="pct"/>
            <w:tcBorders>
              <w:top w:val="nil"/>
              <w:left w:val="single" w:sz="8" w:space="0" w:color="auto"/>
              <w:bottom w:val="single" w:sz="4" w:space="0" w:color="auto"/>
              <w:right w:val="single" w:sz="4" w:space="0" w:color="auto"/>
            </w:tcBorders>
            <w:shd w:val="clear" w:color="auto" w:fill="auto"/>
            <w:noWrap/>
            <w:vAlign w:val="center"/>
            <w:hideMark/>
          </w:tcPr>
          <w:p w14:paraId="55748C9C" w14:textId="77777777" w:rsidR="009A4C46" w:rsidRPr="00C1709C" w:rsidRDefault="009A4C46" w:rsidP="009A4C46">
            <w:pPr>
              <w:spacing w:after="0" w:line="240" w:lineRule="auto"/>
              <w:rPr>
                <w:rFonts w:eastAsia="Times New Roman"/>
                <w:sz w:val="18"/>
                <w:szCs w:val="18"/>
                <w:lang w:eastAsia="ru-RU"/>
              </w:rPr>
            </w:pPr>
            <w:r w:rsidRPr="00C1709C">
              <w:rPr>
                <w:rFonts w:eastAsia="Times New Roman"/>
                <w:sz w:val="18"/>
                <w:szCs w:val="18"/>
                <w:lang w:eastAsia="ru-RU"/>
              </w:rPr>
              <w:t>в т.ч.</w:t>
            </w:r>
          </w:p>
        </w:tc>
        <w:tc>
          <w:tcPr>
            <w:tcW w:w="861" w:type="pct"/>
            <w:tcBorders>
              <w:top w:val="nil"/>
              <w:left w:val="nil"/>
              <w:bottom w:val="single" w:sz="8" w:space="0" w:color="auto"/>
              <w:right w:val="single" w:sz="8" w:space="0" w:color="auto"/>
            </w:tcBorders>
            <w:shd w:val="clear" w:color="auto" w:fill="auto"/>
            <w:noWrap/>
            <w:vAlign w:val="center"/>
            <w:hideMark/>
          </w:tcPr>
          <w:p w14:paraId="7343189B" w14:textId="77777777" w:rsidR="009A4C46" w:rsidRPr="00C1709C" w:rsidRDefault="009A4C46" w:rsidP="009A4C46">
            <w:pPr>
              <w:spacing w:after="0" w:line="240" w:lineRule="auto"/>
              <w:rPr>
                <w:rFonts w:eastAsia="Times New Roman"/>
                <w:sz w:val="18"/>
                <w:szCs w:val="18"/>
                <w:lang w:eastAsia="ru-RU"/>
              </w:rPr>
            </w:pPr>
            <w:r w:rsidRPr="00C1709C">
              <w:rPr>
                <w:rFonts w:eastAsia="Times New Roman" w:cs="Calibri"/>
                <w:color w:val="000000"/>
                <w:lang w:eastAsia="ru-RU"/>
              </w:rPr>
              <w:t> </w:t>
            </w:r>
          </w:p>
        </w:tc>
        <w:tc>
          <w:tcPr>
            <w:tcW w:w="1016" w:type="pct"/>
            <w:tcBorders>
              <w:top w:val="nil"/>
              <w:left w:val="nil"/>
              <w:bottom w:val="single" w:sz="8" w:space="0" w:color="auto"/>
              <w:right w:val="single" w:sz="8" w:space="0" w:color="auto"/>
            </w:tcBorders>
            <w:shd w:val="clear" w:color="auto" w:fill="auto"/>
            <w:noWrap/>
            <w:vAlign w:val="center"/>
            <w:hideMark/>
          </w:tcPr>
          <w:p w14:paraId="7013EDA3" w14:textId="77777777" w:rsidR="009A4C46" w:rsidRPr="00C1709C" w:rsidRDefault="009A4C46" w:rsidP="009A4C46">
            <w:pPr>
              <w:spacing w:after="0" w:line="240" w:lineRule="auto"/>
              <w:rPr>
                <w:rFonts w:eastAsia="Times New Roman"/>
                <w:sz w:val="18"/>
                <w:szCs w:val="18"/>
                <w:lang w:eastAsia="ru-RU"/>
              </w:rPr>
            </w:pPr>
            <w:r w:rsidRPr="00C1709C">
              <w:rPr>
                <w:rFonts w:eastAsia="Times New Roman" w:cs="Calibri"/>
                <w:color w:val="000000"/>
                <w:lang w:eastAsia="ru-RU"/>
              </w:rPr>
              <w:t> </w:t>
            </w:r>
          </w:p>
        </w:tc>
        <w:tc>
          <w:tcPr>
            <w:tcW w:w="1015" w:type="pct"/>
            <w:tcBorders>
              <w:top w:val="nil"/>
              <w:left w:val="nil"/>
              <w:bottom w:val="single" w:sz="8" w:space="0" w:color="auto"/>
              <w:right w:val="single" w:sz="8" w:space="0" w:color="auto"/>
            </w:tcBorders>
            <w:shd w:val="clear" w:color="auto" w:fill="auto"/>
            <w:noWrap/>
            <w:vAlign w:val="center"/>
            <w:hideMark/>
          </w:tcPr>
          <w:p w14:paraId="479085D1" w14:textId="77777777" w:rsidR="009A4C46" w:rsidRPr="00C1709C" w:rsidRDefault="009A4C46" w:rsidP="009A4C46">
            <w:pPr>
              <w:spacing w:after="0" w:line="240" w:lineRule="auto"/>
              <w:rPr>
                <w:rFonts w:eastAsia="Times New Roman"/>
                <w:sz w:val="18"/>
                <w:szCs w:val="18"/>
                <w:lang w:eastAsia="ru-RU"/>
              </w:rPr>
            </w:pPr>
            <w:r w:rsidRPr="00C1709C">
              <w:rPr>
                <w:rFonts w:eastAsia="Times New Roman" w:cs="Calibri"/>
                <w:color w:val="000000"/>
                <w:lang w:eastAsia="ru-RU"/>
              </w:rPr>
              <w:t> </w:t>
            </w:r>
          </w:p>
        </w:tc>
      </w:tr>
      <w:tr w:rsidR="009A4C46" w:rsidRPr="00C1709C" w14:paraId="1F7E5A5E" w14:textId="77777777" w:rsidTr="00F94FED">
        <w:trPr>
          <w:trHeight w:val="300"/>
        </w:trPr>
        <w:tc>
          <w:tcPr>
            <w:tcW w:w="2108" w:type="pct"/>
            <w:tcBorders>
              <w:top w:val="nil"/>
              <w:left w:val="single" w:sz="8" w:space="0" w:color="auto"/>
              <w:bottom w:val="single" w:sz="4" w:space="0" w:color="auto"/>
              <w:right w:val="single" w:sz="4" w:space="0" w:color="auto"/>
            </w:tcBorders>
            <w:shd w:val="clear" w:color="auto" w:fill="auto"/>
            <w:noWrap/>
            <w:vAlign w:val="center"/>
            <w:hideMark/>
          </w:tcPr>
          <w:p w14:paraId="282FA6A2" w14:textId="77777777" w:rsidR="009A4C46" w:rsidRPr="00C1709C" w:rsidRDefault="009A4C46" w:rsidP="009A4C46">
            <w:pPr>
              <w:spacing w:after="0" w:line="240" w:lineRule="auto"/>
              <w:rPr>
                <w:rFonts w:eastAsia="Times New Roman"/>
                <w:sz w:val="18"/>
                <w:szCs w:val="18"/>
                <w:lang w:eastAsia="ru-RU"/>
              </w:rPr>
            </w:pPr>
            <w:r w:rsidRPr="00C1709C">
              <w:rPr>
                <w:rFonts w:eastAsia="Times New Roman"/>
                <w:sz w:val="18"/>
                <w:szCs w:val="18"/>
                <w:lang w:eastAsia="ru-RU"/>
              </w:rPr>
              <w:t>Заемные средства</w:t>
            </w:r>
          </w:p>
        </w:tc>
        <w:tc>
          <w:tcPr>
            <w:tcW w:w="861" w:type="pct"/>
            <w:tcBorders>
              <w:top w:val="nil"/>
              <w:left w:val="nil"/>
              <w:bottom w:val="single" w:sz="8" w:space="0" w:color="auto"/>
              <w:right w:val="single" w:sz="8" w:space="0" w:color="auto"/>
            </w:tcBorders>
            <w:shd w:val="clear" w:color="auto" w:fill="auto"/>
            <w:noWrap/>
            <w:vAlign w:val="center"/>
            <w:hideMark/>
          </w:tcPr>
          <w:p w14:paraId="47185BF5" w14:textId="77777777" w:rsidR="009A4C46" w:rsidRPr="00C1709C" w:rsidRDefault="009A4C46" w:rsidP="009A4C46">
            <w:pPr>
              <w:spacing w:after="0" w:line="240" w:lineRule="auto"/>
              <w:jc w:val="center"/>
              <w:rPr>
                <w:rFonts w:eastAsia="Times New Roman"/>
                <w:sz w:val="18"/>
                <w:szCs w:val="18"/>
                <w:lang w:eastAsia="ru-RU"/>
              </w:rPr>
            </w:pPr>
            <w:r w:rsidRPr="00C1709C">
              <w:rPr>
                <w:rFonts w:eastAsia="Times New Roman"/>
                <w:color w:val="000000"/>
                <w:sz w:val="18"/>
                <w:szCs w:val="18"/>
                <w:lang w:eastAsia="ru-RU"/>
              </w:rPr>
              <w:t>0</w:t>
            </w:r>
          </w:p>
        </w:tc>
        <w:tc>
          <w:tcPr>
            <w:tcW w:w="1016" w:type="pct"/>
            <w:tcBorders>
              <w:top w:val="nil"/>
              <w:left w:val="nil"/>
              <w:bottom w:val="single" w:sz="8" w:space="0" w:color="auto"/>
              <w:right w:val="single" w:sz="8" w:space="0" w:color="auto"/>
            </w:tcBorders>
            <w:shd w:val="clear" w:color="auto" w:fill="auto"/>
            <w:noWrap/>
            <w:vAlign w:val="center"/>
            <w:hideMark/>
          </w:tcPr>
          <w:p w14:paraId="0C8CAE4F" w14:textId="77777777" w:rsidR="009A4C46" w:rsidRPr="00C1709C" w:rsidRDefault="009A4C46" w:rsidP="009A4C46">
            <w:pPr>
              <w:spacing w:after="0" w:line="240" w:lineRule="auto"/>
              <w:jc w:val="center"/>
              <w:rPr>
                <w:rFonts w:eastAsia="Times New Roman"/>
                <w:sz w:val="18"/>
                <w:szCs w:val="18"/>
                <w:lang w:eastAsia="ru-RU"/>
              </w:rPr>
            </w:pPr>
            <w:r w:rsidRPr="00C1709C">
              <w:rPr>
                <w:rFonts w:eastAsia="Times New Roman"/>
                <w:color w:val="000000"/>
                <w:sz w:val="18"/>
                <w:szCs w:val="18"/>
                <w:lang w:eastAsia="ru-RU"/>
              </w:rPr>
              <w:t>0</w:t>
            </w:r>
          </w:p>
        </w:tc>
        <w:tc>
          <w:tcPr>
            <w:tcW w:w="1015" w:type="pct"/>
            <w:tcBorders>
              <w:top w:val="nil"/>
              <w:left w:val="nil"/>
              <w:bottom w:val="single" w:sz="8" w:space="0" w:color="auto"/>
              <w:right w:val="single" w:sz="8" w:space="0" w:color="auto"/>
            </w:tcBorders>
            <w:shd w:val="clear" w:color="auto" w:fill="auto"/>
            <w:vAlign w:val="center"/>
            <w:hideMark/>
          </w:tcPr>
          <w:p w14:paraId="0C07BA2F" w14:textId="77777777" w:rsidR="009A4C46" w:rsidRPr="00C1709C" w:rsidRDefault="009A4C46" w:rsidP="009A4C46">
            <w:pPr>
              <w:spacing w:after="0" w:line="240" w:lineRule="auto"/>
              <w:jc w:val="center"/>
              <w:rPr>
                <w:rFonts w:eastAsia="Times New Roman"/>
                <w:sz w:val="18"/>
                <w:szCs w:val="18"/>
                <w:lang w:eastAsia="ru-RU"/>
              </w:rPr>
            </w:pPr>
            <w:r w:rsidRPr="00C1709C">
              <w:rPr>
                <w:rFonts w:eastAsia="Times New Roman"/>
                <w:color w:val="000000"/>
                <w:sz w:val="18"/>
                <w:szCs w:val="18"/>
                <w:lang w:eastAsia="ru-RU"/>
              </w:rPr>
              <w:t> </w:t>
            </w:r>
          </w:p>
        </w:tc>
      </w:tr>
      <w:tr w:rsidR="009A4C46" w:rsidRPr="00C1709C" w14:paraId="619E5048" w14:textId="77777777" w:rsidTr="00F94FED">
        <w:trPr>
          <w:trHeight w:val="300"/>
        </w:trPr>
        <w:tc>
          <w:tcPr>
            <w:tcW w:w="2108" w:type="pct"/>
            <w:tcBorders>
              <w:top w:val="nil"/>
              <w:left w:val="single" w:sz="8" w:space="0" w:color="auto"/>
              <w:bottom w:val="single" w:sz="4" w:space="0" w:color="auto"/>
              <w:right w:val="single" w:sz="4" w:space="0" w:color="auto"/>
            </w:tcBorders>
            <w:shd w:val="clear" w:color="auto" w:fill="auto"/>
            <w:vAlign w:val="center"/>
            <w:hideMark/>
          </w:tcPr>
          <w:p w14:paraId="4D5D91F4" w14:textId="77777777" w:rsidR="009A4C46" w:rsidRPr="00C1709C" w:rsidRDefault="009A4C46" w:rsidP="009A4C46">
            <w:pPr>
              <w:spacing w:after="0" w:line="240" w:lineRule="auto"/>
              <w:rPr>
                <w:rFonts w:eastAsia="Times New Roman"/>
                <w:sz w:val="18"/>
                <w:szCs w:val="18"/>
                <w:lang w:eastAsia="ru-RU"/>
              </w:rPr>
            </w:pPr>
            <w:r w:rsidRPr="00C1709C">
              <w:rPr>
                <w:rFonts w:eastAsia="Times New Roman"/>
                <w:sz w:val="18"/>
                <w:szCs w:val="18"/>
                <w:lang w:eastAsia="ru-RU"/>
              </w:rPr>
              <w:t>Кредиторская задолженность</w:t>
            </w:r>
          </w:p>
        </w:tc>
        <w:tc>
          <w:tcPr>
            <w:tcW w:w="861" w:type="pct"/>
            <w:tcBorders>
              <w:top w:val="nil"/>
              <w:left w:val="nil"/>
              <w:bottom w:val="single" w:sz="8" w:space="0" w:color="auto"/>
              <w:right w:val="single" w:sz="8" w:space="0" w:color="auto"/>
            </w:tcBorders>
            <w:shd w:val="clear" w:color="auto" w:fill="auto"/>
            <w:vAlign w:val="center"/>
            <w:hideMark/>
          </w:tcPr>
          <w:p w14:paraId="19B51443" w14:textId="77777777" w:rsidR="009A4C46" w:rsidRPr="00C1709C" w:rsidRDefault="009A4C46" w:rsidP="009A4C46">
            <w:pPr>
              <w:spacing w:after="0" w:line="240" w:lineRule="auto"/>
              <w:jc w:val="center"/>
              <w:rPr>
                <w:rFonts w:eastAsia="Times New Roman"/>
                <w:sz w:val="18"/>
                <w:szCs w:val="18"/>
                <w:lang w:eastAsia="ru-RU"/>
              </w:rPr>
            </w:pPr>
            <w:r w:rsidRPr="00C1709C">
              <w:rPr>
                <w:rFonts w:eastAsia="Times New Roman"/>
                <w:color w:val="000000"/>
                <w:sz w:val="18"/>
                <w:szCs w:val="18"/>
                <w:lang w:eastAsia="ru-RU"/>
              </w:rPr>
              <w:t>2 465 388</w:t>
            </w:r>
          </w:p>
        </w:tc>
        <w:tc>
          <w:tcPr>
            <w:tcW w:w="1016" w:type="pct"/>
            <w:tcBorders>
              <w:top w:val="nil"/>
              <w:left w:val="nil"/>
              <w:bottom w:val="single" w:sz="8" w:space="0" w:color="auto"/>
              <w:right w:val="single" w:sz="8" w:space="0" w:color="auto"/>
            </w:tcBorders>
            <w:shd w:val="clear" w:color="auto" w:fill="auto"/>
            <w:noWrap/>
            <w:vAlign w:val="center"/>
            <w:hideMark/>
          </w:tcPr>
          <w:p w14:paraId="52D700EA" w14:textId="77777777" w:rsidR="009A4C46" w:rsidRPr="00C1709C" w:rsidRDefault="009A4C46" w:rsidP="009A4C46">
            <w:pPr>
              <w:spacing w:after="0" w:line="240" w:lineRule="auto"/>
              <w:jc w:val="center"/>
              <w:rPr>
                <w:rFonts w:eastAsia="Times New Roman"/>
                <w:sz w:val="18"/>
                <w:szCs w:val="18"/>
                <w:lang w:eastAsia="ru-RU"/>
              </w:rPr>
            </w:pPr>
            <w:r w:rsidRPr="00C1709C">
              <w:rPr>
                <w:rFonts w:eastAsia="Times New Roman"/>
                <w:color w:val="000000"/>
                <w:sz w:val="18"/>
                <w:szCs w:val="18"/>
                <w:lang w:eastAsia="ru-RU"/>
              </w:rPr>
              <w:t>2 126 683</w:t>
            </w:r>
          </w:p>
        </w:tc>
        <w:tc>
          <w:tcPr>
            <w:tcW w:w="1015" w:type="pct"/>
            <w:tcBorders>
              <w:top w:val="nil"/>
              <w:left w:val="nil"/>
              <w:bottom w:val="single" w:sz="8" w:space="0" w:color="auto"/>
              <w:right w:val="single" w:sz="8" w:space="0" w:color="auto"/>
            </w:tcBorders>
            <w:shd w:val="clear" w:color="auto" w:fill="auto"/>
            <w:noWrap/>
            <w:vAlign w:val="center"/>
            <w:hideMark/>
          </w:tcPr>
          <w:p w14:paraId="1D4B0227" w14:textId="77777777" w:rsidR="009A4C46" w:rsidRPr="00C1709C" w:rsidRDefault="009A4C46" w:rsidP="009A4C46">
            <w:pPr>
              <w:spacing w:after="0" w:line="240" w:lineRule="auto"/>
              <w:jc w:val="center"/>
              <w:rPr>
                <w:rFonts w:eastAsia="Times New Roman"/>
                <w:sz w:val="18"/>
                <w:szCs w:val="18"/>
                <w:lang w:eastAsia="ru-RU"/>
              </w:rPr>
            </w:pPr>
            <w:r w:rsidRPr="00C1709C">
              <w:rPr>
                <w:rFonts w:eastAsia="Times New Roman"/>
                <w:color w:val="000000"/>
                <w:sz w:val="18"/>
                <w:szCs w:val="18"/>
                <w:lang w:eastAsia="ru-RU"/>
              </w:rPr>
              <w:t>288 311</w:t>
            </w:r>
          </w:p>
        </w:tc>
      </w:tr>
      <w:tr w:rsidR="009A4C46" w:rsidRPr="00C1709C" w14:paraId="5BE6B779" w14:textId="77777777" w:rsidTr="00F94FED">
        <w:trPr>
          <w:trHeight w:val="675"/>
        </w:trPr>
        <w:tc>
          <w:tcPr>
            <w:tcW w:w="2108" w:type="pct"/>
            <w:tcBorders>
              <w:top w:val="nil"/>
              <w:left w:val="single" w:sz="8" w:space="0" w:color="auto"/>
              <w:bottom w:val="single" w:sz="4" w:space="0" w:color="auto"/>
              <w:right w:val="single" w:sz="4" w:space="0" w:color="auto"/>
            </w:tcBorders>
            <w:shd w:val="clear" w:color="auto" w:fill="auto"/>
            <w:vAlign w:val="center"/>
            <w:hideMark/>
          </w:tcPr>
          <w:p w14:paraId="117ACA41" w14:textId="77777777" w:rsidR="009A4C46" w:rsidRPr="00C1709C" w:rsidRDefault="009A4C46" w:rsidP="009A4C46">
            <w:pPr>
              <w:spacing w:after="0" w:line="240" w:lineRule="auto"/>
              <w:rPr>
                <w:rFonts w:eastAsia="Times New Roman"/>
                <w:sz w:val="18"/>
                <w:szCs w:val="18"/>
                <w:lang w:eastAsia="ru-RU"/>
              </w:rPr>
            </w:pPr>
            <w:r w:rsidRPr="00C1709C">
              <w:rPr>
                <w:rFonts w:eastAsia="Times New Roman"/>
                <w:sz w:val="18"/>
                <w:szCs w:val="18"/>
                <w:lang w:eastAsia="ru-RU"/>
              </w:rPr>
              <w:t>Отложенные налоговые обязательства, оценочные обязательства, прочее</w:t>
            </w:r>
          </w:p>
        </w:tc>
        <w:tc>
          <w:tcPr>
            <w:tcW w:w="861" w:type="pct"/>
            <w:tcBorders>
              <w:top w:val="nil"/>
              <w:left w:val="nil"/>
              <w:bottom w:val="single" w:sz="8" w:space="0" w:color="auto"/>
              <w:right w:val="single" w:sz="8" w:space="0" w:color="auto"/>
            </w:tcBorders>
            <w:shd w:val="clear" w:color="auto" w:fill="auto"/>
            <w:vAlign w:val="center"/>
            <w:hideMark/>
          </w:tcPr>
          <w:p w14:paraId="2EADC8E6" w14:textId="77777777" w:rsidR="009A4C46" w:rsidRPr="00C1709C" w:rsidRDefault="009A4C46" w:rsidP="009A4C46">
            <w:pPr>
              <w:spacing w:after="0" w:line="240" w:lineRule="auto"/>
              <w:jc w:val="center"/>
              <w:rPr>
                <w:rFonts w:eastAsia="Times New Roman"/>
                <w:sz w:val="18"/>
                <w:szCs w:val="18"/>
                <w:lang w:eastAsia="ru-RU"/>
              </w:rPr>
            </w:pPr>
            <w:r w:rsidRPr="00C1709C">
              <w:rPr>
                <w:rFonts w:eastAsia="Times New Roman"/>
                <w:color w:val="000000"/>
                <w:sz w:val="18"/>
                <w:szCs w:val="18"/>
                <w:lang w:eastAsia="ru-RU"/>
              </w:rPr>
              <w:t>60 197</w:t>
            </w:r>
          </w:p>
        </w:tc>
        <w:tc>
          <w:tcPr>
            <w:tcW w:w="1016" w:type="pct"/>
            <w:tcBorders>
              <w:top w:val="nil"/>
              <w:left w:val="nil"/>
              <w:bottom w:val="single" w:sz="8" w:space="0" w:color="auto"/>
              <w:right w:val="single" w:sz="8" w:space="0" w:color="auto"/>
            </w:tcBorders>
            <w:shd w:val="clear" w:color="auto" w:fill="auto"/>
            <w:noWrap/>
            <w:vAlign w:val="center"/>
            <w:hideMark/>
          </w:tcPr>
          <w:p w14:paraId="5C00FC9D" w14:textId="77777777" w:rsidR="009A4C46" w:rsidRPr="00C1709C" w:rsidRDefault="009A4C46" w:rsidP="009A4C46">
            <w:pPr>
              <w:spacing w:after="0" w:line="240" w:lineRule="auto"/>
              <w:jc w:val="center"/>
              <w:rPr>
                <w:rFonts w:eastAsia="Times New Roman"/>
                <w:sz w:val="18"/>
                <w:szCs w:val="18"/>
                <w:lang w:eastAsia="ru-RU"/>
              </w:rPr>
            </w:pPr>
            <w:r w:rsidRPr="00C1709C">
              <w:rPr>
                <w:rFonts w:eastAsia="Times New Roman"/>
                <w:color w:val="000000"/>
                <w:sz w:val="18"/>
                <w:szCs w:val="18"/>
                <w:lang w:eastAsia="ru-RU"/>
              </w:rPr>
              <w:t>87 292</w:t>
            </w:r>
          </w:p>
        </w:tc>
        <w:tc>
          <w:tcPr>
            <w:tcW w:w="1015" w:type="pct"/>
            <w:tcBorders>
              <w:top w:val="nil"/>
              <w:left w:val="nil"/>
              <w:bottom w:val="single" w:sz="8" w:space="0" w:color="auto"/>
              <w:right w:val="single" w:sz="8" w:space="0" w:color="auto"/>
            </w:tcBorders>
            <w:shd w:val="clear" w:color="auto" w:fill="auto"/>
            <w:noWrap/>
            <w:vAlign w:val="center"/>
            <w:hideMark/>
          </w:tcPr>
          <w:p w14:paraId="2CE803CE" w14:textId="77777777" w:rsidR="009A4C46" w:rsidRPr="00C1709C" w:rsidRDefault="009A4C46" w:rsidP="009A4C46">
            <w:pPr>
              <w:spacing w:after="0" w:line="240" w:lineRule="auto"/>
              <w:jc w:val="center"/>
              <w:rPr>
                <w:rFonts w:eastAsia="Times New Roman"/>
                <w:sz w:val="18"/>
                <w:szCs w:val="18"/>
                <w:lang w:eastAsia="ru-RU"/>
              </w:rPr>
            </w:pPr>
            <w:r w:rsidRPr="00C1709C">
              <w:rPr>
                <w:rFonts w:eastAsia="Times New Roman"/>
                <w:color w:val="000000"/>
                <w:sz w:val="18"/>
                <w:szCs w:val="18"/>
                <w:lang w:eastAsia="ru-RU"/>
              </w:rPr>
              <w:t>80 283</w:t>
            </w:r>
          </w:p>
        </w:tc>
      </w:tr>
    </w:tbl>
    <w:p w14:paraId="3D197B4B" w14:textId="77777777" w:rsidR="009A4C46" w:rsidRPr="009A4C46" w:rsidRDefault="009A4C46" w:rsidP="009A4C46">
      <w:pPr>
        <w:spacing w:after="32" w:line="360" w:lineRule="auto"/>
        <w:rPr>
          <w:rFonts w:eastAsia="Times New Roman"/>
          <w:sz w:val="28"/>
          <w:szCs w:val="28"/>
          <w:lang w:eastAsia="ru-RU"/>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46"/>
        <w:gridCol w:w="1605"/>
        <w:gridCol w:w="1897"/>
        <w:gridCol w:w="1897"/>
      </w:tblGrid>
      <w:tr w:rsidR="00C1709C" w:rsidRPr="00C1709C" w14:paraId="23CC6E41" w14:textId="77777777" w:rsidTr="00C1709C">
        <w:trPr>
          <w:trHeight w:val="1215"/>
        </w:trPr>
        <w:tc>
          <w:tcPr>
            <w:tcW w:w="211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59BBA06" w14:textId="77777777" w:rsidR="009A4C46" w:rsidRPr="00F94FED" w:rsidRDefault="009A4C46" w:rsidP="009A4C46">
            <w:pPr>
              <w:spacing w:after="0" w:line="240" w:lineRule="auto"/>
              <w:jc w:val="center"/>
              <w:rPr>
                <w:rFonts w:eastAsia="Times New Roman"/>
                <w:b/>
                <w:bCs/>
                <w:color w:val="FFFFFF" w:themeColor="background1"/>
                <w:sz w:val="18"/>
                <w:szCs w:val="18"/>
                <w:lang w:eastAsia="ru-RU"/>
              </w:rPr>
            </w:pPr>
            <w:r w:rsidRPr="00F94FED">
              <w:rPr>
                <w:rFonts w:eastAsia="Times New Roman"/>
                <w:b/>
                <w:bCs/>
                <w:color w:val="FFFFFF" w:themeColor="background1"/>
                <w:sz w:val="18"/>
                <w:szCs w:val="18"/>
                <w:lang w:eastAsia="ru-RU"/>
              </w:rPr>
              <w:t>Наименование</w:t>
            </w:r>
          </w:p>
        </w:tc>
        <w:tc>
          <w:tcPr>
            <w:tcW w:w="8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23C407D" w14:textId="77777777" w:rsidR="009A4C46" w:rsidRPr="00F94FED" w:rsidRDefault="009A4C46" w:rsidP="009A4C46">
            <w:pPr>
              <w:spacing w:after="0" w:line="240" w:lineRule="auto"/>
              <w:jc w:val="center"/>
              <w:rPr>
                <w:rFonts w:eastAsia="Times New Roman"/>
                <w:b/>
                <w:bCs/>
                <w:color w:val="FFFFFF" w:themeColor="background1"/>
                <w:sz w:val="18"/>
                <w:szCs w:val="18"/>
                <w:lang w:eastAsia="ru-RU"/>
              </w:rPr>
            </w:pPr>
            <w:r w:rsidRPr="00F94FED">
              <w:rPr>
                <w:rFonts w:eastAsia="Times New Roman"/>
                <w:b/>
                <w:bCs/>
                <w:color w:val="FFFFFF" w:themeColor="background1"/>
                <w:sz w:val="18"/>
                <w:szCs w:val="18"/>
                <w:lang w:eastAsia="ru-RU"/>
              </w:rPr>
              <w:t>на 31.12.2016</w:t>
            </w:r>
          </w:p>
        </w:tc>
        <w:tc>
          <w:tcPr>
            <w:tcW w:w="101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C82B9C1" w14:textId="77777777" w:rsidR="009A4C46" w:rsidRPr="00F94FED" w:rsidRDefault="009A4C46" w:rsidP="009A4C46">
            <w:pPr>
              <w:spacing w:after="0" w:line="240" w:lineRule="auto"/>
              <w:jc w:val="center"/>
              <w:rPr>
                <w:rFonts w:eastAsia="Times New Roman"/>
                <w:b/>
                <w:bCs/>
                <w:color w:val="FFFFFF" w:themeColor="background1"/>
                <w:sz w:val="18"/>
                <w:szCs w:val="18"/>
                <w:lang w:eastAsia="ru-RU"/>
              </w:rPr>
            </w:pPr>
            <w:r w:rsidRPr="00F94FED">
              <w:rPr>
                <w:rFonts w:eastAsia="Times New Roman"/>
                <w:b/>
                <w:bCs/>
                <w:color w:val="FFFFFF" w:themeColor="background1"/>
                <w:sz w:val="18"/>
                <w:szCs w:val="18"/>
                <w:lang w:eastAsia="ru-RU"/>
              </w:rPr>
              <w:t>На 31.12.2017</w:t>
            </w:r>
          </w:p>
        </w:tc>
        <w:tc>
          <w:tcPr>
            <w:tcW w:w="101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E1CD963" w14:textId="77777777" w:rsidR="009A4C46" w:rsidRPr="00F94FED" w:rsidRDefault="009A4C46" w:rsidP="009A4C46">
            <w:pPr>
              <w:spacing w:after="0" w:line="240" w:lineRule="auto"/>
              <w:jc w:val="center"/>
              <w:rPr>
                <w:rFonts w:eastAsia="Times New Roman"/>
                <w:b/>
                <w:bCs/>
                <w:color w:val="FFFFFF" w:themeColor="background1"/>
                <w:sz w:val="18"/>
                <w:szCs w:val="18"/>
                <w:lang w:eastAsia="ru-RU"/>
              </w:rPr>
            </w:pPr>
            <w:r w:rsidRPr="00F94FED">
              <w:rPr>
                <w:rFonts w:eastAsia="Times New Roman"/>
                <w:b/>
                <w:bCs/>
                <w:color w:val="FFFFFF" w:themeColor="background1"/>
                <w:sz w:val="18"/>
                <w:szCs w:val="18"/>
                <w:lang w:eastAsia="ru-RU"/>
              </w:rPr>
              <w:t>На 31.12.2018</w:t>
            </w:r>
          </w:p>
        </w:tc>
      </w:tr>
      <w:tr w:rsidR="009A4C46" w:rsidRPr="005C3ACA" w14:paraId="625C6786" w14:textId="77777777" w:rsidTr="005C3ACA">
        <w:trPr>
          <w:trHeight w:val="315"/>
        </w:trPr>
        <w:tc>
          <w:tcPr>
            <w:tcW w:w="5000" w:type="pct"/>
            <w:gridSpan w:val="4"/>
            <w:tcBorders>
              <w:top w:val="single" w:sz="4" w:space="0" w:color="FFFFFF" w:themeColor="background1"/>
            </w:tcBorders>
            <w:shd w:val="clear" w:color="auto" w:fill="D6E3BC" w:themeFill="accent3" w:themeFillTint="66"/>
            <w:vAlign w:val="center"/>
            <w:hideMark/>
          </w:tcPr>
          <w:p w14:paraId="74AE6B6F" w14:textId="77777777" w:rsidR="009A4C46" w:rsidRPr="005C3ACA" w:rsidRDefault="009A4C46" w:rsidP="009A4C46">
            <w:pPr>
              <w:spacing w:after="0" w:line="240" w:lineRule="auto"/>
              <w:jc w:val="center"/>
              <w:rPr>
                <w:rFonts w:eastAsia="Times New Roman"/>
                <w:b/>
                <w:bCs/>
                <w:sz w:val="18"/>
                <w:szCs w:val="18"/>
                <w:lang w:eastAsia="ru-RU"/>
              </w:rPr>
            </w:pPr>
            <w:r w:rsidRPr="005C3ACA">
              <w:rPr>
                <w:rFonts w:eastAsia="Times New Roman"/>
                <w:b/>
                <w:bCs/>
                <w:sz w:val="18"/>
                <w:szCs w:val="18"/>
                <w:lang w:eastAsia="ru-RU"/>
              </w:rPr>
              <w:t>Показатели по форме №2, таблице 1.3.</w:t>
            </w:r>
          </w:p>
        </w:tc>
      </w:tr>
      <w:tr w:rsidR="009A4C46" w:rsidRPr="009A4C46" w14:paraId="0A445274" w14:textId="77777777" w:rsidTr="00F94FED">
        <w:trPr>
          <w:trHeight w:val="360"/>
        </w:trPr>
        <w:tc>
          <w:tcPr>
            <w:tcW w:w="2111" w:type="pct"/>
            <w:shd w:val="clear" w:color="auto" w:fill="auto"/>
            <w:noWrap/>
            <w:vAlign w:val="center"/>
            <w:hideMark/>
          </w:tcPr>
          <w:p w14:paraId="0DFC7698" w14:textId="77777777" w:rsidR="009A4C46" w:rsidRPr="009A4C46" w:rsidRDefault="009A4C46" w:rsidP="009A4C46">
            <w:pPr>
              <w:spacing w:after="0" w:line="240" w:lineRule="auto"/>
              <w:rPr>
                <w:rFonts w:eastAsia="Times New Roman"/>
                <w:sz w:val="18"/>
                <w:szCs w:val="18"/>
                <w:lang w:eastAsia="ru-RU"/>
              </w:rPr>
            </w:pPr>
            <w:r w:rsidRPr="009A4C46">
              <w:rPr>
                <w:rFonts w:eastAsia="Times New Roman"/>
                <w:sz w:val="18"/>
                <w:szCs w:val="18"/>
                <w:lang w:eastAsia="ru-RU"/>
              </w:rPr>
              <w:t>Выручка</w:t>
            </w:r>
          </w:p>
        </w:tc>
        <w:tc>
          <w:tcPr>
            <w:tcW w:w="859" w:type="pct"/>
            <w:shd w:val="clear" w:color="auto" w:fill="auto"/>
            <w:noWrap/>
            <w:vAlign w:val="center"/>
            <w:hideMark/>
          </w:tcPr>
          <w:p w14:paraId="295E62D0" w14:textId="77777777" w:rsidR="009A4C46" w:rsidRPr="009A4C46" w:rsidRDefault="009A4C46" w:rsidP="009A4C46">
            <w:pPr>
              <w:spacing w:after="0" w:line="240" w:lineRule="auto"/>
              <w:jc w:val="center"/>
              <w:rPr>
                <w:rFonts w:eastAsia="Times New Roman"/>
                <w:sz w:val="18"/>
                <w:szCs w:val="18"/>
                <w:lang w:eastAsia="ru-RU"/>
              </w:rPr>
            </w:pPr>
            <w:r w:rsidRPr="009A4C46">
              <w:rPr>
                <w:rFonts w:eastAsia="Times New Roman"/>
                <w:sz w:val="18"/>
                <w:szCs w:val="18"/>
                <w:lang w:eastAsia="ru-RU"/>
              </w:rPr>
              <w:t>1 085 222</w:t>
            </w:r>
          </w:p>
        </w:tc>
        <w:tc>
          <w:tcPr>
            <w:tcW w:w="1015" w:type="pct"/>
            <w:shd w:val="clear" w:color="auto" w:fill="auto"/>
            <w:noWrap/>
            <w:vAlign w:val="center"/>
            <w:hideMark/>
          </w:tcPr>
          <w:p w14:paraId="250184E1" w14:textId="77777777" w:rsidR="009A4C46" w:rsidRPr="009A4C46" w:rsidRDefault="009A4C46" w:rsidP="009A4C46">
            <w:pPr>
              <w:spacing w:after="0" w:line="240" w:lineRule="auto"/>
              <w:jc w:val="center"/>
              <w:rPr>
                <w:rFonts w:eastAsia="Times New Roman"/>
                <w:sz w:val="18"/>
                <w:szCs w:val="18"/>
                <w:lang w:eastAsia="ru-RU"/>
              </w:rPr>
            </w:pPr>
            <w:r w:rsidRPr="009A4C46">
              <w:rPr>
                <w:rFonts w:eastAsia="Times New Roman"/>
                <w:sz w:val="18"/>
                <w:szCs w:val="18"/>
                <w:lang w:eastAsia="ru-RU"/>
              </w:rPr>
              <w:t>1 818 964</w:t>
            </w:r>
          </w:p>
        </w:tc>
        <w:tc>
          <w:tcPr>
            <w:tcW w:w="1015" w:type="pct"/>
            <w:shd w:val="clear" w:color="auto" w:fill="auto"/>
            <w:noWrap/>
            <w:vAlign w:val="center"/>
            <w:hideMark/>
          </w:tcPr>
          <w:p w14:paraId="465371DF" w14:textId="77777777" w:rsidR="009A4C46" w:rsidRPr="009A4C46" w:rsidRDefault="009A4C46" w:rsidP="009A4C46">
            <w:pPr>
              <w:spacing w:after="0" w:line="240" w:lineRule="auto"/>
              <w:jc w:val="center"/>
              <w:rPr>
                <w:rFonts w:eastAsia="Times New Roman"/>
                <w:sz w:val="18"/>
                <w:szCs w:val="18"/>
                <w:lang w:eastAsia="ru-RU"/>
              </w:rPr>
            </w:pPr>
            <w:r w:rsidRPr="009A4C46">
              <w:rPr>
                <w:rFonts w:eastAsia="Times New Roman"/>
                <w:sz w:val="18"/>
                <w:szCs w:val="18"/>
                <w:lang w:eastAsia="ru-RU"/>
              </w:rPr>
              <w:t>1 371 727</w:t>
            </w:r>
          </w:p>
        </w:tc>
      </w:tr>
      <w:tr w:rsidR="009A4C46" w:rsidRPr="009A4C46" w14:paraId="385C54F8" w14:textId="77777777" w:rsidTr="00F94FED">
        <w:trPr>
          <w:trHeight w:val="315"/>
        </w:trPr>
        <w:tc>
          <w:tcPr>
            <w:tcW w:w="2111" w:type="pct"/>
            <w:shd w:val="clear" w:color="auto" w:fill="auto"/>
            <w:noWrap/>
            <w:vAlign w:val="center"/>
            <w:hideMark/>
          </w:tcPr>
          <w:p w14:paraId="7A1BE8D4" w14:textId="77777777" w:rsidR="009A4C46" w:rsidRPr="009A4C46" w:rsidRDefault="009A4C46" w:rsidP="009A4C46">
            <w:pPr>
              <w:spacing w:after="0" w:line="240" w:lineRule="auto"/>
              <w:rPr>
                <w:rFonts w:eastAsia="Times New Roman"/>
                <w:sz w:val="18"/>
                <w:szCs w:val="18"/>
                <w:lang w:eastAsia="ru-RU"/>
              </w:rPr>
            </w:pPr>
            <w:r w:rsidRPr="009A4C46">
              <w:rPr>
                <w:rFonts w:eastAsia="Times New Roman"/>
                <w:sz w:val="18"/>
                <w:szCs w:val="18"/>
                <w:lang w:eastAsia="ru-RU"/>
              </w:rPr>
              <w:t>в т.ч. передача электроэнергии</w:t>
            </w:r>
          </w:p>
        </w:tc>
        <w:tc>
          <w:tcPr>
            <w:tcW w:w="859" w:type="pct"/>
            <w:shd w:val="clear" w:color="auto" w:fill="auto"/>
            <w:noWrap/>
            <w:vAlign w:val="center"/>
            <w:hideMark/>
          </w:tcPr>
          <w:p w14:paraId="1BC0122A" w14:textId="77777777" w:rsidR="009A4C46" w:rsidRPr="009A4C46" w:rsidRDefault="009A4C46" w:rsidP="009A4C46">
            <w:pPr>
              <w:spacing w:after="0" w:line="240" w:lineRule="auto"/>
              <w:jc w:val="center"/>
              <w:rPr>
                <w:rFonts w:eastAsia="Times New Roman"/>
                <w:sz w:val="18"/>
                <w:szCs w:val="18"/>
                <w:lang w:eastAsia="ru-RU"/>
              </w:rPr>
            </w:pPr>
            <w:r w:rsidRPr="009A4C46">
              <w:rPr>
                <w:rFonts w:eastAsia="Times New Roman"/>
                <w:sz w:val="18"/>
                <w:szCs w:val="18"/>
                <w:lang w:eastAsia="ru-RU"/>
              </w:rPr>
              <w:t>1 052 443</w:t>
            </w:r>
          </w:p>
        </w:tc>
        <w:tc>
          <w:tcPr>
            <w:tcW w:w="1015" w:type="pct"/>
            <w:shd w:val="clear" w:color="auto" w:fill="auto"/>
            <w:noWrap/>
            <w:vAlign w:val="center"/>
            <w:hideMark/>
          </w:tcPr>
          <w:p w14:paraId="3285A68E" w14:textId="77777777" w:rsidR="009A4C46" w:rsidRPr="009A4C46" w:rsidRDefault="009A4C46" w:rsidP="009A4C46">
            <w:pPr>
              <w:spacing w:after="0" w:line="240" w:lineRule="auto"/>
              <w:jc w:val="center"/>
              <w:rPr>
                <w:rFonts w:eastAsia="Times New Roman"/>
                <w:sz w:val="18"/>
                <w:szCs w:val="18"/>
                <w:lang w:eastAsia="ru-RU"/>
              </w:rPr>
            </w:pPr>
            <w:r w:rsidRPr="009A4C46">
              <w:rPr>
                <w:rFonts w:eastAsia="Times New Roman"/>
                <w:sz w:val="18"/>
                <w:szCs w:val="18"/>
                <w:lang w:eastAsia="ru-RU"/>
              </w:rPr>
              <w:t>1 172 166</w:t>
            </w:r>
          </w:p>
        </w:tc>
        <w:tc>
          <w:tcPr>
            <w:tcW w:w="1015" w:type="pct"/>
            <w:shd w:val="clear" w:color="auto" w:fill="auto"/>
            <w:noWrap/>
            <w:vAlign w:val="center"/>
            <w:hideMark/>
          </w:tcPr>
          <w:p w14:paraId="4C53727F" w14:textId="77777777" w:rsidR="009A4C46" w:rsidRPr="009A4C46" w:rsidRDefault="009A4C46" w:rsidP="009A4C46">
            <w:pPr>
              <w:spacing w:after="0" w:line="240" w:lineRule="auto"/>
              <w:jc w:val="center"/>
              <w:rPr>
                <w:rFonts w:eastAsia="Times New Roman"/>
                <w:sz w:val="18"/>
                <w:szCs w:val="18"/>
                <w:lang w:eastAsia="ru-RU"/>
              </w:rPr>
            </w:pPr>
            <w:r w:rsidRPr="009A4C46">
              <w:rPr>
                <w:rFonts w:eastAsia="Times New Roman"/>
                <w:sz w:val="18"/>
                <w:szCs w:val="18"/>
                <w:lang w:eastAsia="ru-RU"/>
              </w:rPr>
              <w:t>1 323 178</w:t>
            </w:r>
          </w:p>
        </w:tc>
      </w:tr>
      <w:tr w:rsidR="009A4C46" w:rsidRPr="009A4C46" w14:paraId="6075404C" w14:textId="77777777" w:rsidTr="00F94FED">
        <w:trPr>
          <w:trHeight w:val="321"/>
        </w:trPr>
        <w:tc>
          <w:tcPr>
            <w:tcW w:w="2111" w:type="pct"/>
            <w:shd w:val="clear" w:color="auto" w:fill="auto"/>
            <w:noWrap/>
            <w:vAlign w:val="center"/>
            <w:hideMark/>
          </w:tcPr>
          <w:p w14:paraId="493477F9" w14:textId="77777777" w:rsidR="009A4C46" w:rsidRPr="009A4C46" w:rsidRDefault="009A4C46" w:rsidP="009A4C46">
            <w:pPr>
              <w:spacing w:after="0" w:line="240" w:lineRule="auto"/>
              <w:rPr>
                <w:rFonts w:eastAsia="Times New Roman"/>
                <w:sz w:val="18"/>
                <w:szCs w:val="18"/>
                <w:lang w:eastAsia="ru-RU"/>
              </w:rPr>
            </w:pPr>
            <w:r w:rsidRPr="009A4C46">
              <w:rPr>
                <w:rFonts w:eastAsia="Times New Roman"/>
                <w:sz w:val="18"/>
                <w:szCs w:val="18"/>
                <w:lang w:eastAsia="ru-RU"/>
              </w:rPr>
              <w:t>Себестоимость</w:t>
            </w:r>
          </w:p>
        </w:tc>
        <w:tc>
          <w:tcPr>
            <w:tcW w:w="859" w:type="pct"/>
            <w:shd w:val="clear" w:color="auto" w:fill="auto"/>
            <w:noWrap/>
            <w:vAlign w:val="center"/>
            <w:hideMark/>
          </w:tcPr>
          <w:p w14:paraId="7CEB690A" w14:textId="77777777" w:rsidR="009A4C46" w:rsidRPr="009A4C46" w:rsidRDefault="009A4C46" w:rsidP="009A4C46">
            <w:pPr>
              <w:spacing w:after="0" w:line="240" w:lineRule="auto"/>
              <w:jc w:val="center"/>
              <w:rPr>
                <w:rFonts w:eastAsia="Times New Roman"/>
                <w:sz w:val="18"/>
                <w:szCs w:val="18"/>
                <w:lang w:eastAsia="ru-RU"/>
              </w:rPr>
            </w:pPr>
            <w:r w:rsidRPr="009A4C46">
              <w:rPr>
                <w:rFonts w:eastAsia="Times New Roman"/>
                <w:sz w:val="18"/>
                <w:szCs w:val="18"/>
                <w:lang w:eastAsia="ru-RU"/>
              </w:rPr>
              <w:t>817 965</w:t>
            </w:r>
          </w:p>
        </w:tc>
        <w:tc>
          <w:tcPr>
            <w:tcW w:w="1015" w:type="pct"/>
            <w:shd w:val="clear" w:color="auto" w:fill="auto"/>
            <w:noWrap/>
            <w:vAlign w:val="center"/>
            <w:hideMark/>
          </w:tcPr>
          <w:p w14:paraId="6E299FD0" w14:textId="77777777" w:rsidR="009A4C46" w:rsidRPr="009A4C46" w:rsidRDefault="009A4C46" w:rsidP="009A4C46">
            <w:pPr>
              <w:spacing w:after="0" w:line="240" w:lineRule="auto"/>
              <w:jc w:val="center"/>
              <w:rPr>
                <w:rFonts w:eastAsia="Times New Roman"/>
                <w:sz w:val="18"/>
                <w:szCs w:val="18"/>
                <w:lang w:eastAsia="ru-RU"/>
              </w:rPr>
            </w:pPr>
            <w:r w:rsidRPr="009A4C46">
              <w:rPr>
                <w:rFonts w:eastAsia="Times New Roman"/>
                <w:sz w:val="18"/>
                <w:szCs w:val="18"/>
                <w:lang w:eastAsia="ru-RU"/>
              </w:rPr>
              <w:t>860 132</w:t>
            </w:r>
          </w:p>
        </w:tc>
        <w:tc>
          <w:tcPr>
            <w:tcW w:w="1015" w:type="pct"/>
            <w:shd w:val="clear" w:color="auto" w:fill="auto"/>
            <w:noWrap/>
            <w:vAlign w:val="center"/>
            <w:hideMark/>
          </w:tcPr>
          <w:p w14:paraId="4DE4E014" w14:textId="77777777" w:rsidR="009A4C46" w:rsidRPr="009A4C46" w:rsidRDefault="009A4C46" w:rsidP="009A4C46">
            <w:pPr>
              <w:spacing w:after="0" w:line="240" w:lineRule="auto"/>
              <w:jc w:val="center"/>
              <w:rPr>
                <w:rFonts w:eastAsia="Times New Roman"/>
                <w:sz w:val="18"/>
                <w:szCs w:val="18"/>
                <w:lang w:eastAsia="ru-RU"/>
              </w:rPr>
            </w:pPr>
            <w:r w:rsidRPr="009A4C46">
              <w:rPr>
                <w:rFonts w:eastAsia="Times New Roman"/>
                <w:sz w:val="18"/>
                <w:szCs w:val="18"/>
                <w:lang w:eastAsia="ru-RU"/>
              </w:rPr>
              <w:t>976 430</w:t>
            </w:r>
          </w:p>
        </w:tc>
      </w:tr>
      <w:tr w:rsidR="009A4C46" w:rsidRPr="009A4C46" w14:paraId="1184BE06" w14:textId="77777777" w:rsidTr="00F94FED">
        <w:trPr>
          <w:trHeight w:val="315"/>
        </w:trPr>
        <w:tc>
          <w:tcPr>
            <w:tcW w:w="2111" w:type="pct"/>
            <w:shd w:val="clear" w:color="auto" w:fill="auto"/>
            <w:noWrap/>
            <w:vAlign w:val="center"/>
            <w:hideMark/>
          </w:tcPr>
          <w:p w14:paraId="0D308612" w14:textId="77777777" w:rsidR="009A4C46" w:rsidRPr="009A4C46" w:rsidRDefault="009A4C46" w:rsidP="009A4C46">
            <w:pPr>
              <w:spacing w:after="0" w:line="240" w:lineRule="auto"/>
              <w:rPr>
                <w:rFonts w:eastAsia="Times New Roman"/>
                <w:sz w:val="18"/>
                <w:szCs w:val="18"/>
                <w:lang w:eastAsia="ru-RU"/>
              </w:rPr>
            </w:pPr>
            <w:r w:rsidRPr="009A4C46">
              <w:rPr>
                <w:rFonts w:eastAsia="Times New Roman"/>
                <w:sz w:val="18"/>
                <w:szCs w:val="18"/>
                <w:lang w:eastAsia="ru-RU"/>
              </w:rPr>
              <w:t>в т.ч. передача электроэнергии</w:t>
            </w:r>
          </w:p>
        </w:tc>
        <w:tc>
          <w:tcPr>
            <w:tcW w:w="859" w:type="pct"/>
            <w:shd w:val="clear" w:color="auto" w:fill="auto"/>
            <w:noWrap/>
            <w:vAlign w:val="center"/>
            <w:hideMark/>
          </w:tcPr>
          <w:p w14:paraId="19940794" w14:textId="77777777" w:rsidR="009A4C46" w:rsidRPr="009A4C46" w:rsidRDefault="009A4C46" w:rsidP="009A4C46">
            <w:pPr>
              <w:spacing w:after="0" w:line="240" w:lineRule="auto"/>
              <w:jc w:val="center"/>
              <w:rPr>
                <w:rFonts w:eastAsia="Times New Roman"/>
                <w:sz w:val="18"/>
                <w:szCs w:val="18"/>
                <w:lang w:eastAsia="ru-RU"/>
              </w:rPr>
            </w:pPr>
            <w:r w:rsidRPr="009A4C46">
              <w:rPr>
                <w:rFonts w:eastAsia="Times New Roman"/>
                <w:sz w:val="18"/>
                <w:szCs w:val="18"/>
                <w:lang w:eastAsia="ru-RU"/>
              </w:rPr>
              <w:t>814 288</w:t>
            </w:r>
          </w:p>
        </w:tc>
        <w:tc>
          <w:tcPr>
            <w:tcW w:w="1015" w:type="pct"/>
            <w:shd w:val="clear" w:color="auto" w:fill="auto"/>
            <w:noWrap/>
            <w:vAlign w:val="center"/>
            <w:hideMark/>
          </w:tcPr>
          <w:p w14:paraId="5EF38497" w14:textId="77777777" w:rsidR="009A4C46" w:rsidRPr="009A4C46" w:rsidRDefault="009A4C46" w:rsidP="009A4C46">
            <w:pPr>
              <w:spacing w:after="0" w:line="240" w:lineRule="auto"/>
              <w:jc w:val="center"/>
              <w:rPr>
                <w:rFonts w:eastAsia="Times New Roman"/>
                <w:sz w:val="18"/>
                <w:szCs w:val="18"/>
                <w:lang w:eastAsia="ru-RU"/>
              </w:rPr>
            </w:pPr>
            <w:r w:rsidRPr="009A4C46">
              <w:rPr>
                <w:rFonts w:eastAsia="Times New Roman"/>
                <w:sz w:val="18"/>
                <w:szCs w:val="18"/>
                <w:lang w:eastAsia="ru-RU"/>
              </w:rPr>
              <w:t>851 008</w:t>
            </w:r>
          </w:p>
        </w:tc>
        <w:tc>
          <w:tcPr>
            <w:tcW w:w="1015" w:type="pct"/>
            <w:shd w:val="clear" w:color="auto" w:fill="auto"/>
            <w:noWrap/>
            <w:vAlign w:val="center"/>
            <w:hideMark/>
          </w:tcPr>
          <w:p w14:paraId="3F328E2A" w14:textId="77777777" w:rsidR="009A4C46" w:rsidRPr="009A4C46" w:rsidRDefault="009A4C46" w:rsidP="009A4C46">
            <w:pPr>
              <w:spacing w:after="0" w:line="240" w:lineRule="auto"/>
              <w:jc w:val="center"/>
              <w:rPr>
                <w:rFonts w:eastAsia="Times New Roman"/>
                <w:sz w:val="18"/>
                <w:szCs w:val="18"/>
                <w:lang w:eastAsia="ru-RU"/>
              </w:rPr>
            </w:pPr>
            <w:r w:rsidRPr="009A4C46">
              <w:rPr>
                <w:rFonts w:eastAsia="Times New Roman"/>
                <w:sz w:val="18"/>
                <w:szCs w:val="18"/>
                <w:lang w:eastAsia="ru-RU"/>
              </w:rPr>
              <w:t>968 147</w:t>
            </w:r>
          </w:p>
        </w:tc>
      </w:tr>
      <w:tr w:rsidR="009A4C46" w:rsidRPr="009A4C46" w14:paraId="1A389860" w14:textId="77777777" w:rsidTr="00F94FED">
        <w:trPr>
          <w:trHeight w:val="495"/>
        </w:trPr>
        <w:tc>
          <w:tcPr>
            <w:tcW w:w="2111" w:type="pct"/>
            <w:shd w:val="clear" w:color="auto" w:fill="auto"/>
            <w:vAlign w:val="center"/>
            <w:hideMark/>
          </w:tcPr>
          <w:p w14:paraId="2C7A9AB6" w14:textId="77777777" w:rsidR="009A4C46" w:rsidRPr="009A4C46" w:rsidRDefault="009A4C46" w:rsidP="009A4C46">
            <w:pPr>
              <w:spacing w:after="0" w:line="240" w:lineRule="auto"/>
              <w:rPr>
                <w:rFonts w:eastAsia="Times New Roman"/>
                <w:sz w:val="18"/>
                <w:szCs w:val="18"/>
                <w:lang w:eastAsia="ru-RU"/>
              </w:rPr>
            </w:pPr>
            <w:r w:rsidRPr="009A4C46">
              <w:rPr>
                <w:rFonts w:eastAsia="Times New Roman"/>
                <w:sz w:val="18"/>
                <w:szCs w:val="18"/>
                <w:lang w:eastAsia="ru-RU"/>
              </w:rPr>
              <w:t>Коммерческие и управленческие расходы</w:t>
            </w:r>
          </w:p>
        </w:tc>
        <w:tc>
          <w:tcPr>
            <w:tcW w:w="859" w:type="pct"/>
            <w:shd w:val="clear" w:color="auto" w:fill="auto"/>
            <w:vAlign w:val="center"/>
            <w:hideMark/>
          </w:tcPr>
          <w:p w14:paraId="768E0A3C" w14:textId="77777777" w:rsidR="009A4C46" w:rsidRPr="009A4C46" w:rsidRDefault="009A4C46" w:rsidP="009A4C46">
            <w:pPr>
              <w:spacing w:after="0" w:line="240" w:lineRule="auto"/>
              <w:jc w:val="center"/>
              <w:rPr>
                <w:rFonts w:eastAsia="Times New Roman"/>
                <w:sz w:val="18"/>
                <w:szCs w:val="18"/>
                <w:lang w:eastAsia="ru-RU"/>
              </w:rPr>
            </w:pPr>
            <w:r w:rsidRPr="009A4C46">
              <w:rPr>
                <w:rFonts w:eastAsia="Times New Roman"/>
                <w:sz w:val="18"/>
                <w:szCs w:val="18"/>
                <w:lang w:eastAsia="ru-RU"/>
              </w:rPr>
              <w:t>137 594</w:t>
            </w:r>
          </w:p>
        </w:tc>
        <w:tc>
          <w:tcPr>
            <w:tcW w:w="1015" w:type="pct"/>
            <w:shd w:val="clear" w:color="auto" w:fill="auto"/>
            <w:noWrap/>
            <w:vAlign w:val="center"/>
            <w:hideMark/>
          </w:tcPr>
          <w:p w14:paraId="422BA2FF" w14:textId="77777777" w:rsidR="009A4C46" w:rsidRPr="009A4C46" w:rsidRDefault="009A4C46" w:rsidP="009A4C46">
            <w:pPr>
              <w:spacing w:after="0" w:line="240" w:lineRule="auto"/>
              <w:jc w:val="center"/>
              <w:rPr>
                <w:rFonts w:eastAsia="Times New Roman"/>
                <w:sz w:val="18"/>
                <w:szCs w:val="18"/>
                <w:lang w:eastAsia="ru-RU"/>
              </w:rPr>
            </w:pPr>
            <w:r w:rsidRPr="009A4C46">
              <w:rPr>
                <w:rFonts w:eastAsia="Times New Roman"/>
                <w:sz w:val="18"/>
                <w:szCs w:val="18"/>
                <w:lang w:eastAsia="ru-RU"/>
              </w:rPr>
              <w:t>155 819</w:t>
            </w:r>
          </w:p>
        </w:tc>
        <w:tc>
          <w:tcPr>
            <w:tcW w:w="1015" w:type="pct"/>
            <w:shd w:val="clear" w:color="auto" w:fill="auto"/>
            <w:noWrap/>
            <w:vAlign w:val="center"/>
            <w:hideMark/>
          </w:tcPr>
          <w:p w14:paraId="1F18EC93" w14:textId="77777777" w:rsidR="009A4C46" w:rsidRPr="009A4C46" w:rsidRDefault="009A4C46" w:rsidP="009A4C46">
            <w:pPr>
              <w:spacing w:after="0" w:line="240" w:lineRule="auto"/>
              <w:jc w:val="center"/>
              <w:rPr>
                <w:rFonts w:eastAsia="Times New Roman"/>
                <w:sz w:val="18"/>
                <w:szCs w:val="18"/>
                <w:lang w:eastAsia="ru-RU"/>
              </w:rPr>
            </w:pPr>
            <w:r w:rsidRPr="009A4C46">
              <w:rPr>
                <w:rFonts w:eastAsia="Times New Roman"/>
                <w:sz w:val="18"/>
                <w:szCs w:val="18"/>
                <w:lang w:eastAsia="ru-RU"/>
              </w:rPr>
              <w:t>166 140</w:t>
            </w:r>
          </w:p>
        </w:tc>
      </w:tr>
      <w:tr w:rsidR="009A4C46" w:rsidRPr="009A4C46" w14:paraId="736C127B" w14:textId="77777777" w:rsidTr="00F94FED">
        <w:trPr>
          <w:trHeight w:val="315"/>
        </w:trPr>
        <w:tc>
          <w:tcPr>
            <w:tcW w:w="2111" w:type="pct"/>
            <w:shd w:val="clear" w:color="auto" w:fill="auto"/>
            <w:noWrap/>
            <w:vAlign w:val="center"/>
            <w:hideMark/>
          </w:tcPr>
          <w:p w14:paraId="083A4D9B" w14:textId="77777777" w:rsidR="009A4C46" w:rsidRPr="009A4C46" w:rsidRDefault="009A4C46" w:rsidP="009A4C46">
            <w:pPr>
              <w:spacing w:after="0" w:line="240" w:lineRule="auto"/>
              <w:rPr>
                <w:rFonts w:eastAsia="Times New Roman"/>
                <w:sz w:val="18"/>
                <w:szCs w:val="18"/>
                <w:lang w:eastAsia="ru-RU"/>
              </w:rPr>
            </w:pPr>
            <w:r w:rsidRPr="009A4C46">
              <w:rPr>
                <w:rFonts w:eastAsia="Times New Roman"/>
                <w:sz w:val="18"/>
                <w:szCs w:val="18"/>
                <w:lang w:eastAsia="ru-RU"/>
              </w:rPr>
              <w:t>Проценты к получению</w:t>
            </w:r>
          </w:p>
        </w:tc>
        <w:tc>
          <w:tcPr>
            <w:tcW w:w="859" w:type="pct"/>
            <w:shd w:val="clear" w:color="auto" w:fill="auto"/>
            <w:noWrap/>
            <w:vAlign w:val="center"/>
            <w:hideMark/>
          </w:tcPr>
          <w:p w14:paraId="3FBFE5A9" w14:textId="77777777" w:rsidR="009A4C46" w:rsidRPr="009A4C46" w:rsidRDefault="009A4C46" w:rsidP="009A4C46">
            <w:pPr>
              <w:spacing w:after="0" w:line="240" w:lineRule="auto"/>
              <w:jc w:val="center"/>
              <w:rPr>
                <w:rFonts w:eastAsia="Times New Roman"/>
                <w:sz w:val="18"/>
                <w:szCs w:val="18"/>
                <w:lang w:eastAsia="ru-RU"/>
              </w:rPr>
            </w:pPr>
            <w:r w:rsidRPr="009A4C46">
              <w:rPr>
                <w:rFonts w:eastAsia="Times New Roman"/>
                <w:sz w:val="18"/>
                <w:szCs w:val="18"/>
                <w:lang w:eastAsia="ru-RU"/>
              </w:rPr>
              <w:t>48 458</w:t>
            </w:r>
          </w:p>
        </w:tc>
        <w:tc>
          <w:tcPr>
            <w:tcW w:w="1015" w:type="pct"/>
            <w:shd w:val="clear" w:color="auto" w:fill="auto"/>
            <w:noWrap/>
            <w:vAlign w:val="center"/>
            <w:hideMark/>
          </w:tcPr>
          <w:p w14:paraId="3FDA60A2" w14:textId="77777777" w:rsidR="009A4C46" w:rsidRPr="009A4C46" w:rsidRDefault="009A4C46" w:rsidP="009A4C46">
            <w:pPr>
              <w:spacing w:after="0" w:line="240" w:lineRule="auto"/>
              <w:jc w:val="center"/>
              <w:rPr>
                <w:rFonts w:eastAsia="Times New Roman"/>
                <w:sz w:val="18"/>
                <w:szCs w:val="18"/>
                <w:lang w:eastAsia="ru-RU"/>
              </w:rPr>
            </w:pPr>
            <w:r w:rsidRPr="009A4C46">
              <w:rPr>
                <w:rFonts w:eastAsia="Times New Roman"/>
                <w:sz w:val="18"/>
                <w:szCs w:val="18"/>
                <w:lang w:eastAsia="ru-RU"/>
              </w:rPr>
              <w:t>18 865</w:t>
            </w:r>
          </w:p>
        </w:tc>
        <w:tc>
          <w:tcPr>
            <w:tcW w:w="1015" w:type="pct"/>
            <w:shd w:val="clear" w:color="auto" w:fill="auto"/>
            <w:noWrap/>
            <w:vAlign w:val="center"/>
            <w:hideMark/>
          </w:tcPr>
          <w:p w14:paraId="37B9F155" w14:textId="77777777" w:rsidR="009A4C46" w:rsidRPr="009A4C46" w:rsidRDefault="009A4C46" w:rsidP="009A4C46">
            <w:pPr>
              <w:spacing w:after="0" w:line="240" w:lineRule="auto"/>
              <w:jc w:val="center"/>
              <w:rPr>
                <w:rFonts w:eastAsia="Times New Roman"/>
                <w:sz w:val="18"/>
                <w:szCs w:val="18"/>
                <w:lang w:eastAsia="ru-RU"/>
              </w:rPr>
            </w:pPr>
            <w:r w:rsidRPr="009A4C46">
              <w:rPr>
                <w:rFonts w:eastAsia="Times New Roman"/>
                <w:sz w:val="18"/>
                <w:szCs w:val="18"/>
                <w:lang w:eastAsia="ru-RU"/>
              </w:rPr>
              <w:t>7 506</w:t>
            </w:r>
          </w:p>
        </w:tc>
      </w:tr>
      <w:tr w:rsidR="009A4C46" w:rsidRPr="009A4C46" w14:paraId="15E9C99C" w14:textId="77777777" w:rsidTr="00F94FED">
        <w:trPr>
          <w:trHeight w:val="315"/>
        </w:trPr>
        <w:tc>
          <w:tcPr>
            <w:tcW w:w="2111" w:type="pct"/>
            <w:shd w:val="clear" w:color="auto" w:fill="auto"/>
            <w:noWrap/>
            <w:vAlign w:val="center"/>
            <w:hideMark/>
          </w:tcPr>
          <w:p w14:paraId="140DF943" w14:textId="77777777" w:rsidR="009A4C46" w:rsidRPr="009A4C46" w:rsidRDefault="009A4C46" w:rsidP="009A4C46">
            <w:pPr>
              <w:spacing w:after="0" w:line="240" w:lineRule="auto"/>
              <w:rPr>
                <w:rFonts w:eastAsia="Times New Roman"/>
                <w:sz w:val="18"/>
                <w:szCs w:val="18"/>
                <w:lang w:eastAsia="ru-RU"/>
              </w:rPr>
            </w:pPr>
            <w:r w:rsidRPr="009A4C46">
              <w:rPr>
                <w:rFonts w:eastAsia="Times New Roman"/>
                <w:sz w:val="18"/>
                <w:szCs w:val="18"/>
                <w:lang w:eastAsia="ru-RU"/>
              </w:rPr>
              <w:t>Проценты к уплате</w:t>
            </w:r>
          </w:p>
        </w:tc>
        <w:tc>
          <w:tcPr>
            <w:tcW w:w="859" w:type="pct"/>
            <w:shd w:val="clear" w:color="auto" w:fill="auto"/>
            <w:noWrap/>
            <w:vAlign w:val="center"/>
            <w:hideMark/>
          </w:tcPr>
          <w:p w14:paraId="77204D7D" w14:textId="77777777" w:rsidR="009A4C46" w:rsidRPr="009A4C46" w:rsidRDefault="009A4C46" w:rsidP="009A4C46">
            <w:pPr>
              <w:spacing w:after="0" w:line="240" w:lineRule="auto"/>
              <w:jc w:val="center"/>
              <w:rPr>
                <w:rFonts w:eastAsia="Times New Roman"/>
                <w:sz w:val="18"/>
                <w:szCs w:val="18"/>
                <w:lang w:eastAsia="ru-RU"/>
              </w:rPr>
            </w:pPr>
            <w:r w:rsidRPr="009A4C46">
              <w:rPr>
                <w:rFonts w:eastAsia="Times New Roman"/>
                <w:sz w:val="18"/>
                <w:szCs w:val="18"/>
                <w:lang w:eastAsia="ru-RU"/>
              </w:rPr>
              <w:t>5 436</w:t>
            </w:r>
          </w:p>
        </w:tc>
        <w:tc>
          <w:tcPr>
            <w:tcW w:w="1015" w:type="pct"/>
            <w:shd w:val="clear" w:color="auto" w:fill="auto"/>
            <w:noWrap/>
            <w:vAlign w:val="center"/>
            <w:hideMark/>
          </w:tcPr>
          <w:p w14:paraId="2D499F8F" w14:textId="77777777" w:rsidR="009A4C46" w:rsidRPr="009A4C46" w:rsidRDefault="009A4C46" w:rsidP="009A4C46">
            <w:pPr>
              <w:spacing w:after="0" w:line="240" w:lineRule="auto"/>
              <w:jc w:val="center"/>
              <w:rPr>
                <w:rFonts w:eastAsia="Times New Roman"/>
                <w:sz w:val="18"/>
                <w:szCs w:val="18"/>
                <w:lang w:eastAsia="ru-RU"/>
              </w:rPr>
            </w:pPr>
            <w:r w:rsidRPr="009A4C46">
              <w:rPr>
                <w:rFonts w:eastAsia="Times New Roman"/>
                <w:sz w:val="18"/>
                <w:szCs w:val="18"/>
                <w:lang w:eastAsia="ru-RU"/>
              </w:rPr>
              <w:t>5 131</w:t>
            </w:r>
          </w:p>
        </w:tc>
        <w:tc>
          <w:tcPr>
            <w:tcW w:w="1015" w:type="pct"/>
            <w:shd w:val="clear" w:color="auto" w:fill="auto"/>
            <w:noWrap/>
            <w:vAlign w:val="center"/>
            <w:hideMark/>
          </w:tcPr>
          <w:p w14:paraId="7C7B0132" w14:textId="77777777" w:rsidR="009A4C46" w:rsidRPr="009A4C46" w:rsidRDefault="009A4C46" w:rsidP="009A4C46">
            <w:pPr>
              <w:spacing w:after="0" w:line="240" w:lineRule="auto"/>
              <w:jc w:val="center"/>
              <w:rPr>
                <w:rFonts w:eastAsia="Times New Roman"/>
                <w:sz w:val="18"/>
                <w:szCs w:val="18"/>
                <w:lang w:eastAsia="ru-RU"/>
              </w:rPr>
            </w:pPr>
            <w:r w:rsidRPr="009A4C46">
              <w:rPr>
                <w:rFonts w:eastAsia="Times New Roman"/>
                <w:sz w:val="18"/>
                <w:szCs w:val="18"/>
                <w:lang w:eastAsia="ru-RU"/>
              </w:rPr>
              <w:t>0</w:t>
            </w:r>
          </w:p>
        </w:tc>
      </w:tr>
      <w:tr w:rsidR="009A4C46" w:rsidRPr="009A4C46" w14:paraId="626ED0F0" w14:textId="77777777" w:rsidTr="00F94FED">
        <w:trPr>
          <w:trHeight w:val="315"/>
        </w:trPr>
        <w:tc>
          <w:tcPr>
            <w:tcW w:w="2111" w:type="pct"/>
            <w:shd w:val="clear" w:color="auto" w:fill="auto"/>
            <w:vAlign w:val="center"/>
            <w:hideMark/>
          </w:tcPr>
          <w:p w14:paraId="44E8359F" w14:textId="77777777" w:rsidR="009A4C46" w:rsidRPr="009A4C46" w:rsidRDefault="009A4C46" w:rsidP="009A4C46">
            <w:pPr>
              <w:spacing w:after="0" w:line="240" w:lineRule="auto"/>
              <w:rPr>
                <w:rFonts w:eastAsia="Times New Roman"/>
                <w:sz w:val="18"/>
                <w:szCs w:val="18"/>
                <w:lang w:eastAsia="ru-RU"/>
              </w:rPr>
            </w:pPr>
            <w:r w:rsidRPr="009A4C46">
              <w:rPr>
                <w:rFonts w:eastAsia="Times New Roman"/>
                <w:sz w:val="18"/>
                <w:szCs w:val="18"/>
                <w:lang w:eastAsia="ru-RU"/>
              </w:rPr>
              <w:t>Прочие доходы</w:t>
            </w:r>
          </w:p>
        </w:tc>
        <w:tc>
          <w:tcPr>
            <w:tcW w:w="859" w:type="pct"/>
            <w:shd w:val="clear" w:color="auto" w:fill="auto"/>
            <w:vAlign w:val="center"/>
            <w:hideMark/>
          </w:tcPr>
          <w:p w14:paraId="1B5DE756" w14:textId="77777777" w:rsidR="009A4C46" w:rsidRPr="009A4C46" w:rsidRDefault="009A4C46" w:rsidP="009A4C46">
            <w:pPr>
              <w:spacing w:after="0" w:line="240" w:lineRule="auto"/>
              <w:jc w:val="center"/>
              <w:rPr>
                <w:rFonts w:eastAsia="Times New Roman"/>
                <w:sz w:val="18"/>
                <w:szCs w:val="18"/>
                <w:lang w:eastAsia="ru-RU"/>
              </w:rPr>
            </w:pPr>
            <w:r w:rsidRPr="009A4C46">
              <w:rPr>
                <w:rFonts w:eastAsia="Times New Roman"/>
                <w:sz w:val="18"/>
                <w:szCs w:val="18"/>
                <w:lang w:eastAsia="ru-RU"/>
              </w:rPr>
              <w:t>121 678</w:t>
            </w:r>
          </w:p>
        </w:tc>
        <w:tc>
          <w:tcPr>
            <w:tcW w:w="1015" w:type="pct"/>
            <w:shd w:val="clear" w:color="auto" w:fill="auto"/>
            <w:noWrap/>
            <w:vAlign w:val="center"/>
            <w:hideMark/>
          </w:tcPr>
          <w:p w14:paraId="7C808829" w14:textId="77777777" w:rsidR="009A4C46" w:rsidRPr="009A4C46" w:rsidRDefault="009A4C46" w:rsidP="009A4C46">
            <w:pPr>
              <w:spacing w:after="0" w:line="240" w:lineRule="auto"/>
              <w:jc w:val="center"/>
              <w:rPr>
                <w:rFonts w:eastAsia="Times New Roman"/>
                <w:sz w:val="18"/>
                <w:szCs w:val="18"/>
                <w:lang w:eastAsia="ru-RU"/>
              </w:rPr>
            </w:pPr>
            <w:r w:rsidRPr="009A4C46">
              <w:rPr>
                <w:rFonts w:eastAsia="Times New Roman"/>
                <w:sz w:val="18"/>
                <w:szCs w:val="18"/>
                <w:lang w:eastAsia="ru-RU"/>
              </w:rPr>
              <w:t>94 295</w:t>
            </w:r>
          </w:p>
        </w:tc>
        <w:tc>
          <w:tcPr>
            <w:tcW w:w="1015" w:type="pct"/>
            <w:shd w:val="clear" w:color="auto" w:fill="auto"/>
            <w:noWrap/>
            <w:vAlign w:val="center"/>
            <w:hideMark/>
          </w:tcPr>
          <w:p w14:paraId="69F47664" w14:textId="77777777" w:rsidR="009A4C46" w:rsidRPr="009A4C46" w:rsidRDefault="009A4C46" w:rsidP="009A4C46">
            <w:pPr>
              <w:spacing w:after="0" w:line="240" w:lineRule="auto"/>
              <w:jc w:val="center"/>
              <w:rPr>
                <w:rFonts w:eastAsia="Times New Roman"/>
                <w:sz w:val="18"/>
                <w:szCs w:val="18"/>
                <w:lang w:eastAsia="ru-RU"/>
              </w:rPr>
            </w:pPr>
            <w:r w:rsidRPr="009A4C46">
              <w:rPr>
                <w:rFonts w:eastAsia="Times New Roman"/>
                <w:sz w:val="18"/>
                <w:szCs w:val="18"/>
                <w:lang w:eastAsia="ru-RU"/>
              </w:rPr>
              <w:t>224 053</w:t>
            </w:r>
          </w:p>
        </w:tc>
      </w:tr>
      <w:tr w:rsidR="009A4C46" w:rsidRPr="009A4C46" w14:paraId="43C6B0E3" w14:textId="77777777" w:rsidTr="00F94FED">
        <w:trPr>
          <w:trHeight w:val="315"/>
        </w:trPr>
        <w:tc>
          <w:tcPr>
            <w:tcW w:w="2111" w:type="pct"/>
            <w:shd w:val="clear" w:color="auto" w:fill="auto"/>
            <w:vAlign w:val="center"/>
            <w:hideMark/>
          </w:tcPr>
          <w:p w14:paraId="505275A2" w14:textId="77777777" w:rsidR="009A4C46" w:rsidRPr="009A4C46" w:rsidRDefault="009A4C46" w:rsidP="009A4C46">
            <w:pPr>
              <w:spacing w:after="0" w:line="240" w:lineRule="auto"/>
              <w:rPr>
                <w:rFonts w:eastAsia="Times New Roman"/>
                <w:sz w:val="18"/>
                <w:szCs w:val="18"/>
                <w:lang w:eastAsia="ru-RU"/>
              </w:rPr>
            </w:pPr>
            <w:r w:rsidRPr="009A4C46">
              <w:rPr>
                <w:rFonts w:eastAsia="Times New Roman"/>
                <w:sz w:val="18"/>
                <w:szCs w:val="18"/>
                <w:lang w:eastAsia="ru-RU"/>
              </w:rPr>
              <w:t>Прочие расходы</w:t>
            </w:r>
          </w:p>
        </w:tc>
        <w:tc>
          <w:tcPr>
            <w:tcW w:w="859" w:type="pct"/>
            <w:shd w:val="clear" w:color="auto" w:fill="auto"/>
            <w:vAlign w:val="center"/>
            <w:hideMark/>
          </w:tcPr>
          <w:p w14:paraId="067797A7" w14:textId="77777777" w:rsidR="009A4C46" w:rsidRPr="009A4C46" w:rsidRDefault="009A4C46" w:rsidP="009A4C46">
            <w:pPr>
              <w:spacing w:after="0" w:line="240" w:lineRule="auto"/>
              <w:jc w:val="center"/>
              <w:rPr>
                <w:rFonts w:eastAsia="Times New Roman"/>
                <w:sz w:val="18"/>
                <w:szCs w:val="18"/>
                <w:lang w:eastAsia="ru-RU"/>
              </w:rPr>
            </w:pPr>
            <w:r w:rsidRPr="009A4C46">
              <w:rPr>
                <w:rFonts w:eastAsia="Times New Roman"/>
                <w:sz w:val="18"/>
                <w:szCs w:val="18"/>
                <w:lang w:eastAsia="ru-RU"/>
              </w:rPr>
              <w:t>389 782</w:t>
            </w:r>
          </w:p>
        </w:tc>
        <w:tc>
          <w:tcPr>
            <w:tcW w:w="1015" w:type="pct"/>
            <w:shd w:val="clear" w:color="auto" w:fill="auto"/>
            <w:noWrap/>
            <w:vAlign w:val="center"/>
            <w:hideMark/>
          </w:tcPr>
          <w:p w14:paraId="3501A64E" w14:textId="77777777" w:rsidR="009A4C46" w:rsidRPr="009A4C46" w:rsidRDefault="009A4C46" w:rsidP="009A4C46">
            <w:pPr>
              <w:spacing w:after="0" w:line="240" w:lineRule="auto"/>
              <w:jc w:val="center"/>
              <w:rPr>
                <w:rFonts w:eastAsia="Times New Roman"/>
                <w:sz w:val="18"/>
                <w:szCs w:val="18"/>
                <w:lang w:eastAsia="ru-RU"/>
              </w:rPr>
            </w:pPr>
            <w:r w:rsidRPr="009A4C46">
              <w:rPr>
                <w:rFonts w:eastAsia="Times New Roman"/>
                <w:sz w:val="18"/>
                <w:szCs w:val="18"/>
                <w:lang w:eastAsia="ru-RU"/>
              </w:rPr>
              <w:t>401 599</w:t>
            </w:r>
          </w:p>
        </w:tc>
        <w:tc>
          <w:tcPr>
            <w:tcW w:w="1015" w:type="pct"/>
            <w:shd w:val="clear" w:color="auto" w:fill="auto"/>
            <w:noWrap/>
            <w:vAlign w:val="center"/>
            <w:hideMark/>
          </w:tcPr>
          <w:p w14:paraId="1B55C080" w14:textId="77777777" w:rsidR="009A4C46" w:rsidRPr="009A4C46" w:rsidRDefault="009A4C46" w:rsidP="009A4C46">
            <w:pPr>
              <w:spacing w:after="0" w:line="240" w:lineRule="auto"/>
              <w:jc w:val="center"/>
              <w:rPr>
                <w:rFonts w:eastAsia="Times New Roman"/>
                <w:sz w:val="18"/>
                <w:szCs w:val="18"/>
                <w:lang w:eastAsia="ru-RU"/>
              </w:rPr>
            </w:pPr>
            <w:r w:rsidRPr="009A4C46">
              <w:rPr>
                <w:rFonts w:eastAsia="Times New Roman"/>
                <w:sz w:val="18"/>
                <w:szCs w:val="18"/>
                <w:lang w:eastAsia="ru-RU"/>
              </w:rPr>
              <w:t>1 592 112</w:t>
            </w:r>
          </w:p>
        </w:tc>
      </w:tr>
      <w:tr w:rsidR="009A4C46" w:rsidRPr="009A4C46" w14:paraId="549D83D5" w14:textId="77777777" w:rsidTr="00F94FED">
        <w:trPr>
          <w:trHeight w:val="542"/>
        </w:trPr>
        <w:tc>
          <w:tcPr>
            <w:tcW w:w="2111" w:type="pct"/>
            <w:shd w:val="clear" w:color="auto" w:fill="auto"/>
            <w:vAlign w:val="center"/>
            <w:hideMark/>
          </w:tcPr>
          <w:p w14:paraId="387CCBC2" w14:textId="77777777" w:rsidR="009A4C46" w:rsidRPr="009A4C46" w:rsidRDefault="009A4C46" w:rsidP="009A4C46">
            <w:pPr>
              <w:spacing w:after="0" w:line="240" w:lineRule="auto"/>
              <w:rPr>
                <w:rFonts w:eastAsia="Times New Roman"/>
                <w:sz w:val="18"/>
                <w:szCs w:val="18"/>
                <w:lang w:eastAsia="ru-RU"/>
              </w:rPr>
            </w:pPr>
            <w:r w:rsidRPr="009A4C46">
              <w:rPr>
                <w:rFonts w:eastAsia="Times New Roman"/>
                <w:sz w:val="18"/>
                <w:szCs w:val="18"/>
                <w:lang w:eastAsia="ru-RU"/>
              </w:rPr>
              <w:t>Текущий налог на прибыль, прочие налоговые активы и обязательства</w:t>
            </w:r>
          </w:p>
        </w:tc>
        <w:tc>
          <w:tcPr>
            <w:tcW w:w="859" w:type="pct"/>
            <w:shd w:val="clear" w:color="auto" w:fill="auto"/>
            <w:vAlign w:val="center"/>
            <w:hideMark/>
          </w:tcPr>
          <w:p w14:paraId="26A19C68" w14:textId="77777777" w:rsidR="009A4C46" w:rsidRPr="009A4C46" w:rsidRDefault="009A4C46" w:rsidP="009A4C46">
            <w:pPr>
              <w:spacing w:after="0" w:line="240" w:lineRule="auto"/>
              <w:jc w:val="center"/>
              <w:rPr>
                <w:rFonts w:eastAsia="Times New Roman"/>
                <w:sz w:val="18"/>
                <w:szCs w:val="18"/>
                <w:lang w:eastAsia="ru-RU"/>
              </w:rPr>
            </w:pPr>
            <w:r w:rsidRPr="009A4C46">
              <w:rPr>
                <w:rFonts w:eastAsia="Times New Roman"/>
                <w:sz w:val="18"/>
                <w:szCs w:val="18"/>
                <w:lang w:eastAsia="ru-RU"/>
              </w:rPr>
              <w:t>2 071</w:t>
            </w:r>
          </w:p>
        </w:tc>
        <w:tc>
          <w:tcPr>
            <w:tcW w:w="1015" w:type="pct"/>
            <w:shd w:val="clear" w:color="auto" w:fill="auto"/>
            <w:noWrap/>
            <w:vAlign w:val="center"/>
            <w:hideMark/>
          </w:tcPr>
          <w:p w14:paraId="20FA0DD6" w14:textId="77777777" w:rsidR="009A4C46" w:rsidRPr="009A4C46" w:rsidRDefault="009A4C46" w:rsidP="009A4C46">
            <w:pPr>
              <w:spacing w:after="0" w:line="240" w:lineRule="auto"/>
              <w:jc w:val="center"/>
              <w:rPr>
                <w:rFonts w:eastAsia="Times New Roman"/>
                <w:sz w:val="18"/>
                <w:szCs w:val="18"/>
                <w:lang w:eastAsia="ru-RU"/>
              </w:rPr>
            </w:pPr>
            <w:r w:rsidRPr="009A4C46">
              <w:rPr>
                <w:rFonts w:eastAsia="Times New Roman"/>
                <w:sz w:val="18"/>
                <w:szCs w:val="18"/>
                <w:lang w:eastAsia="ru-RU"/>
              </w:rPr>
              <w:t>112 229</w:t>
            </w:r>
          </w:p>
        </w:tc>
        <w:tc>
          <w:tcPr>
            <w:tcW w:w="1015" w:type="pct"/>
            <w:shd w:val="clear" w:color="auto" w:fill="auto"/>
            <w:noWrap/>
            <w:vAlign w:val="center"/>
            <w:hideMark/>
          </w:tcPr>
          <w:p w14:paraId="33F18C3B" w14:textId="77777777" w:rsidR="009A4C46" w:rsidRPr="009A4C46" w:rsidRDefault="009A4C46" w:rsidP="009A4C46">
            <w:pPr>
              <w:spacing w:after="0" w:line="240" w:lineRule="auto"/>
              <w:jc w:val="center"/>
              <w:rPr>
                <w:rFonts w:eastAsia="Times New Roman"/>
                <w:sz w:val="18"/>
                <w:szCs w:val="18"/>
                <w:lang w:eastAsia="ru-RU"/>
              </w:rPr>
            </w:pPr>
            <w:r w:rsidRPr="009A4C46">
              <w:rPr>
                <w:rFonts w:eastAsia="Times New Roman"/>
                <w:sz w:val="18"/>
                <w:szCs w:val="18"/>
                <w:lang w:eastAsia="ru-RU"/>
              </w:rPr>
              <w:t>14 263</w:t>
            </w:r>
          </w:p>
        </w:tc>
      </w:tr>
      <w:tr w:rsidR="009A4C46" w:rsidRPr="009A4C46" w14:paraId="1036389A" w14:textId="77777777" w:rsidTr="00F94FED">
        <w:trPr>
          <w:trHeight w:val="315"/>
        </w:trPr>
        <w:tc>
          <w:tcPr>
            <w:tcW w:w="2111" w:type="pct"/>
            <w:shd w:val="clear" w:color="auto" w:fill="auto"/>
            <w:noWrap/>
            <w:vAlign w:val="center"/>
            <w:hideMark/>
          </w:tcPr>
          <w:p w14:paraId="39D75866" w14:textId="77777777" w:rsidR="009A4C46" w:rsidRPr="009A4C46" w:rsidRDefault="009A4C46" w:rsidP="009A4C46">
            <w:pPr>
              <w:spacing w:after="0" w:line="240" w:lineRule="auto"/>
              <w:rPr>
                <w:rFonts w:eastAsia="Times New Roman"/>
                <w:sz w:val="18"/>
                <w:szCs w:val="18"/>
                <w:lang w:eastAsia="ru-RU"/>
              </w:rPr>
            </w:pPr>
            <w:r w:rsidRPr="009A4C46">
              <w:rPr>
                <w:rFonts w:eastAsia="Times New Roman"/>
                <w:sz w:val="18"/>
                <w:szCs w:val="18"/>
                <w:lang w:eastAsia="ru-RU"/>
              </w:rPr>
              <w:t>Чистая прибыль / убыток</w:t>
            </w:r>
          </w:p>
        </w:tc>
        <w:tc>
          <w:tcPr>
            <w:tcW w:w="859" w:type="pct"/>
            <w:shd w:val="clear" w:color="auto" w:fill="auto"/>
            <w:noWrap/>
            <w:vAlign w:val="center"/>
            <w:hideMark/>
          </w:tcPr>
          <w:p w14:paraId="1567089D" w14:textId="77777777" w:rsidR="009A4C46" w:rsidRPr="009A4C46" w:rsidRDefault="009A4C46" w:rsidP="009A4C46">
            <w:pPr>
              <w:spacing w:after="0" w:line="240" w:lineRule="auto"/>
              <w:jc w:val="center"/>
              <w:rPr>
                <w:rFonts w:eastAsia="Times New Roman"/>
                <w:sz w:val="18"/>
                <w:szCs w:val="18"/>
                <w:lang w:eastAsia="ru-RU"/>
              </w:rPr>
            </w:pPr>
            <w:r w:rsidRPr="009A4C46">
              <w:rPr>
                <w:rFonts w:eastAsia="Times New Roman"/>
                <w:sz w:val="18"/>
                <w:szCs w:val="18"/>
                <w:lang w:eastAsia="ru-RU"/>
              </w:rPr>
              <w:t>-106 296</w:t>
            </w:r>
          </w:p>
        </w:tc>
        <w:tc>
          <w:tcPr>
            <w:tcW w:w="1015" w:type="pct"/>
            <w:shd w:val="clear" w:color="auto" w:fill="auto"/>
            <w:noWrap/>
            <w:vAlign w:val="center"/>
            <w:hideMark/>
          </w:tcPr>
          <w:p w14:paraId="2CC2346C" w14:textId="77777777" w:rsidR="009A4C46" w:rsidRPr="009A4C46" w:rsidRDefault="009A4C46" w:rsidP="009A4C46">
            <w:pPr>
              <w:spacing w:after="0" w:line="240" w:lineRule="auto"/>
              <w:jc w:val="center"/>
              <w:rPr>
                <w:rFonts w:eastAsia="Times New Roman"/>
                <w:sz w:val="18"/>
                <w:szCs w:val="18"/>
                <w:lang w:eastAsia="ru-RU"/>
              </w:rPr>
            </w:pPr>
            <w:r w:rsidRPr="009A4C46">
              <w:rPr>
                <w:rFonts w:eastAsia="Times New Roman"/>
                <w:sz w:val="18"/>
                <w:szCs w:val="18"/>
                <w:lang w:eastAsia="ru-RU"/>
              </w:rPr>
              <w:t>392 362</w:t>
            </w:r>
          </w:p>
        </w:tc>
        <w:tc>
          <w:tcPr>
            <w:tcW w:w="1015" w:type="pct"/>
            <w:shd w:val="clear" w:color="auto" w:fill="auto"/>
            <w:noWrap/>
            <w:vAlign w:val="center"/>
            <w:hideMark/>
          </w:tcPr>
          <w:p w14:paraId="3161CE5B" w14:textId="77777777" w:rsidR="009A4C46" w:rsidRPr="009A4C46" w:rsidRDefault="009A4C46" w:rsidP="009A4C46">
            <w:pPr>
              <w:spacing w:after="0" w:line="240" w:lineRule="auto"/>
              <w:jc w:val="center"/>
              <w:rPr>
                <w:rFonts w:eastAsia="Times New Roman"/>
                <w:sz w:val="18"/>
                <w:szCs w:val="18"/>
                <w:lang w:eastAsia="ru-RU"/>
              </w:rPr>
            </w:pPr>
            <w:r w:rsidRPr="009A4C46">
              <w:rPr>
                <w:rFonts w:eastAsia="Times New Roman"/>
                <w:sz w:val="18"/>
                <w:szCs w:val="18"/>
                <w:lang w:eastAsia="ru-RU"/>
              </w:rPr>
              <w:t>-895 197</w:t>
            </w:r>
          </w:p>
        </w:tc>
      </w:tr>
    </w:tbl>
    <w:p w14:paraId="0B2620A0" w14:textId="77777777" w:rsidR="009A4C46" w:rsidRPr="00F94FED" w:rsidRDefault="009A4C46" w:rsidP="009A4C46">
      <w:pPr>
        <w:spacing w:after="32" w:line="360" w:lineRule="auto"/>
        <w:rPr>
          <w:rFonts w:eastAsia="Times New Roman"/>
          <w:sz w:val="26"/>
          <w:szCs w:val="26"/>
          <w:lang w:eastAsia="ru-RU"/>
        </w:rPr>
      </w:pPr>
    </w:p>
    <w:p w14:paraId="50BE41D6" w14:textId="42830401" w:rsidR="009A4C46" w:rsidRDefault="009A4C46" w:rsidP="009A4C46">
      <w:pPr>
        <w:spacing w:after="32" w:line="360" w:lineRule="auto"/>
        <w:rPr>
          <w:rFonts w:eastAsia="Times New Roman"/>
          <w:sz w:val="26"/>
          <w:szCs w:val="26"/>
          <w:lang w:eastAsia="ru-RU"/>
        </w:rPr>
      </w:pPr>
    </w:p>
    <w:p w14:paraId="373D6751" w14:textId="77777777" w:rsidR="00C1709C" w:rsidRPr="00F94FED" w:rsidRDefault="00C1709C" w:rsidP="009A4C46">
      <w:pPr>
        <w:spacing w:after="32" w:line="360" w:lineRule="auto"/>
        <w:rPr>
          <w:rFonts w:eastAsia="Times New Roman"/>
          <w:sz w:val="26"/>
          <w:szCs w:val="26"/>
          <w:lang w:eastAsia="ru-RU"/>
        </w:rPr>
      </w:pPr>
    </w:p>
    <w:p w14:paraId="2DF092EC" w14:textId="77777777" w:rsidR="009A4C46" w:rsidRPr="00F94FED" w:rsidRDefault="009A4C46" w:rsidP="009A4C46">
      <w:pPr>
        <w:spacing w:after="32" w:line="360" w:lineRule="auto"/>
        <w:ind w:firstLine="567"/>
        <w:rPr>
          <w:rFonts w:eastAsia="Times New Roman"/>
          <w:sz w:val="26"/>
          <w:szCs w:val="26"/>
          <w:lang w:eastAsia="ru-RU"/>
        </w:rPr>
      </w:pPr>
      <w:r w:rsidRPr="00F94FED">
        <w:rPr>
          <w:rFonts w:eastAsia="Times New Roman"/>
          <w:sz w:val="26"/>
          <w:szCs w:val="26"/>
          <w:lang w:eastAsia="ru-RU"/>
        </w:rPr>
        <w:lastRenderedPageBreak/>
        <w:t>Анализ структуры «Внеоборотных активов»:</w:t>
      </w:r>
    </w:p>
    <w:tbl>
      <w:tblPr>
        <w:tblW w:w="5000" w:type="pct"/>
        <w:tblLook w:val="04A0" w:firstRow="1" w:lastRow="0" w:firstColumn="1" w:lastColumn="0" w:noHBand="0" w:noVBand="1"/>
      </w:tblPr>
      <w:tblGrid>
        <w:gridCol w:w="2208"/>
        <w:gridCol w:w="1066"/>
        <w:gridCol w:w="1066"/>
        <w:gridCol w:w="1066"/>
        <w:gridCol w:w="1341"/>
        <w:gridCol w:w="1247"/>
        <w:gridCol w:w="1351"/>
      </w:tblGrid>
      <w:tr w:rsidR="009A4C46" w:rsidRPr="00C1709C" w14:paraId="507BE7BA" w14:textId="77777777" w:rsidTr="00F94FED">
        <w:trPr>
          <w:trHeight w:val="300"/>
          <w:tblHeader/>
        </w:trPr>
        <w:tc>
          <w:tcPr>
            <w:tcW w:w="120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1413BF5" w14:textId="49B156CE" w:rsidR="009A4C46" w:rsidRPr="00F94FED" w:rsidRDefault="009A4C46" w:rsidP="009A4C46">
            <w:pPr>
              <w:spacing w:after="0" w:line="240" w:lineRule="auto"/>
              <w:jc w:val="center"/>
              <w:rPr>
                <w:rFonts w:eastAsia="Times New Roman"/>
                <w:b/>
                <w:bCs/>
                <w:color w:val="FFFFFF"/>
                <w:sz w:val="18"/>
                <w:szCs w:val="18"/>
                <w:lang w:eastAsia="ru-RU"/>
              </w:rPr>
            </w:pPr>
            <w:r w:rsidRPr="00F94FED">
              <w:rPr>
                <w:rFonts w:eastAsia="Times New Roman"/>
                <w:b/>
                <w:bCs/>
                <w:color w:val="FFFFFF"/>
                <w:sz w:val="18"/>
                <w:szCs w:val="18"/>
                <w:lang w:eastAsia="ru-RU"/>
              </w:rPr>
              <w:t xml:space="preserve">Показатели </w:t>
            </w:r>
            <w:r w:rsidR="00C1709C">
              <w:rPr>
                <w:rFonts w:eastAsia="Times New Roman"/>
                <w:b/>
                <w:bCs/>
                <w:color w:val="FFFFFF"/>
                <w:sz w:val="18"/>
                <w:szCs w:val="18"/>
                <w:lang w:eastAsia="ru-RU"/>
              </w:rPr>
              <w:br/>
            </w:r>
            <w:r w:rsidRPr="00F94FED">
              <w:rPr>
                <w:rFonts w:eastAsia="Times New Roman"/>
                <w:b/>
                <w:bCs/>
                <w:color w:val="FFFFFF"/>
                <w:sz w:val="18"/>
                <w:szCs w:val="18"/>
                <w:lang w:eastAsia="ru-RU"/>
              </w:rPr>
              <w:t>АО «Тываэнерго»</w:t>
            </w:r>
          </w:p>
        </w:tc>
        <w:tc>
          <w:tcPr>
            <w:tcW w:w="1618"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3EA5DFC6" w14:textId="77777777" w:rsidR="009A4C46" w:rsidRPr="00F94FED" w:rsidRDefault="009A4C46" w:rsidP="009A4C46">
            <w:pPr>
              <w:spacing w:after="0" w:line="240" w:lineRule="auto"/>
              <w:jc w:val="center"/>
              <w:rPr>
                <w:rFonts w:eastAsia="Times New Roman"/>
                <w:b/>
                <w:bCs/>
                <w:color w:val="FFFFFF"/>
                <w:sz w:val="18"/>
                <w:szCs w:val="18"/>
                <w:lang w:eastAsia="ru-RU"/>
              </w:rPr>
            </w:pPr>
            <w:r w:rsidRPr="00F94FED">
              <w:rPr>
                <w:rFonts w:eastAsia="Times New Roman"/>
                <w:b/>
                <w:bCs/>
                <w:color w:val="FFFFFF"/>
                <w:sz w:val="18"/>
                <w:szCs w:val="18"/>
                <w:lang w:eastAsia="ru-RU"/>
              </w:rPr>
              <w:t>Абсолютное значение, тыс. руб.</w:t>
            </w:r>
          </w:p>
        </w:tc>
        <w:tc>
          <w:tcPr>
            <w:tcW w:w="2177"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7C868A7D" w14:textId="77777777" w:rsidR="009A4C46" w:rsidRPr="00F94FED" w:rsidRDefault="009A4C46" w:rsidP="009A4C46">
            <w:pPr>
              <w:spacing w:after="0" w:line="240" w:lineRule="auto"/>
              <w:jc w:val="center"/>
              <w:rPr>
                <w:rFonts w:eastAsia="Times New Roman"/>
                <w:b/>
                <w:bCs/>
                <w:color w:val="FFFFFF"/>
                <w:sz w:val="18"/>
                <w:szCs w:val="18"/>
                <w:lang w:eastAsia="ru-RU"/>
              </w:rPr>
            </w:pPr>
            <w:r w:rsidRPr="00F94FED">
              <w:rPr>
                <w:rFonts w:eastAsia="Times New Roman"/>
                <w:b/>
                <w:bCs/>
                <w:color w:val="FFFFFF"/>
                <w:sz w:val="18"/>
                <w:szCs w:val="18"/>
                <w:lang w:eastAsia="ru-RU"/>
              </w:rPr>
              <w:t>Удельный вес(%)</w:t>
            </w:r>
          </w:p>
        </w:tc>
      </w:tr>
      <w:tr w:rsidR="009A4C46" w:rsidRPr="00C1709C" w14:paraId="7AE58E9A" w14:textId="77777777" w:rsidTr="00F94FED">
        <w:trPr>
          <w:trHeight w:val="509"/>
          <w:tblHeader/>
        </w:trPr>
        <w:tc>
          <w:tcPr>
            <w:tcW w:w="120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C75B066" w14:textId="77777777" w:rsidR="009A4C46" w:rsidRPr="00F94FED" w:rsidRDefault="009A4C46" w:rsidP="009A4C46">
            <w:pPr>
              <w:spacing w:after="0" w:line="240" w:lineRule="auto"/>
              <w:rPr>
                <w:rFonts w:eastAsia="Times New Roman"/>
                <w:b/>
                <w:bCs/>
                <w:color w:val="FFFFFF"/>
                <w:sz w:val="18"/>
                <w:szCs w:val="18"/>
                <w:lang w:eastAsia="ru-RU"/>
              </w:rPr>
            </w:pPr>
          </w:p>
        </w:tc>
        <w:tc>
          <w:tcPr>
            <w:tcW w:w="53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9FD0D21" w14:textId="77777777" w:rsidR="009A4C46" w:rsidRPr="00F94FED" w:rsidRDefault="009A4C46" w:rsidP="009A4C46">
            <w:pPr>
              <w:spacing w:after="0" w:line="240" w:lineRule="auto"/>
              <w:jc w:val="center"/>
              <w:rPr>
                <w:rFonts w:eastAsia="Times New Roman"/>
                <w:b/>
                <w:bCs/>
                <w:color w:val="FFFFFF"/>
                <w:sz w:val="18"/>
                <w:szCs w:val="18"/>
                <w:lang w:eastAsia="ru-RU"/>
              </w:rPr>
            </w:pPr>
            <w:r w:rsidRPr="00F94FED">
              <w:rPr>
                <w:rFonts w:eastAsia="Times New Roman"/>
                <w:b/>
                <w:bCs/>
                <w:color w:val="FFFFFF"/>
                <w:sz w:val="18"/>
                <w:szCs w:val="18"/>
                <w:lang w:eastAsia="ru-RU"/>
              </w:rPr>
              <w:t>На 31.12.2016</w:t>
            </w:r>
          </w:p>
        </w:tc>
        <w:tc>
          <w:tcPr>
            <w:tcW w:w="53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BED56D2" w14:textId="77777777" w:rsidR="009A4C46" w:rsidRPr="00F94FED" w:rsidRDefault="009A4C46" w:rsidP="009A4C46">
            <w:pPr>
              <w:spacing w:after="0" w:line="240" w:lineRule="auto"/>
              <w:jc w:val="center"/>
              <w:rPr>
                <w:rFonts w:eastAsia="Times New Roman"/>
                <w:b/>
                <w:bCs/>
                <w:color w:val="FFFFFF"/>
                <w:sz w:val="18"/>
                <w:szCs w:val="18"/>
                <w:lang w:eastAsia="ru-RU"/>
              </w:rPr>
            </w:pPr>
            <w:r w:rsidRPr="00F94FED">
              <w:rPr>
                <w:rFonts w:eastAsia="Times New Roman"/>
                <w:b/>
                <w:bCs/>
                <w:color w:val="FFFFFF"/>
                <w:sz w:val="18"/>
                <w:szCs w:val="18"/>
                <w:lang w:eastAsia="ru-RU"/>
              </w:rPr>
              <w:t>На 31.12.2017</w:t>
            </w:r>
          </w:p>
        </w:tc>
        <w:tc>
          <w:tcPr>
            <w:tcW w:w="53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B289A17" w14:textId="77777777" w:rsidR="009A4C46" w:rsidRPr="00F94FED" w:rsidRDefault="009A4C46" w:rsidP="009A4C46">
            <w:pPr>
              <w:spacing w:after="0" w:line="240" w:lineRule="auto"/>
              <w:jc w:val="center"/>
              <w:rPr>
                <w:rFonts w:eastAsia="Times New Roman"/>
                <w:b/>
                <w:bCs/>
                <w:color w:val="FFFFFF"/>
                <w:sz w:val="18"/>
                <w:szCs w:val="18"/>
                <w:lang w:eastAsia="ru-RU"/>
              </w:rPr>
            </w:pPr>
            <w:r w:rsidRPr="00F94FED">
              <w:rPr>
                <w:rFonts w:eastAsia="Times New Roman"/>
                <w:b/>
                <w:bCs/>
                <w:color w:val="FFFFFF"/>
                <w:sz w:val="18"/>
                <w:szCs w:val="18"/>
                <w:lang w:eastAsia="ru-RU"/>
              </w:rPr>
              <w:t>На 31.12.2018</w:t>
            </w:r>
          </w:p>
        </w:tc>
        <w:tc>
          <w:tcPr>
            <w:tcW w:w="74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FAC6277" w14:textId="77777777" w:rsidR="009A4C46" w:rsidRPr="00F94FED" w:rsidRDefault="009A4C46" w:rsidP="009A4C46">
            <w:pPr>
              <w:spacing w:after="0" w:line="240" w:lineRule="auto"/>
              <w:jc w:val="center"/>
              <w:rPr>
                <w:rFonts w:eastAsia="Times New Roman"/>
                <w:b/>
                <w:bCs/>
                <w:color w:val="FFFFFF"/>
                <w:sz w:val="18"/>
                <w:szCs w:val="18"/>
                <w:lang w:eastAsia="ru-RU"/>
              </w:rPr>
            </w:pPr>
            <w:r w:rsidRPr="00F94FED">
              <w:rPr>
                <w:rFonts w:eastAsia="Times New Roman"/>
                <w:b/>
                <w:bCs/>
                <w:color w:val="FFFFFF"/>
                <w:sz w:val="18"/>
                <w:szCs w:val="18"/>
                <w:lang w:eastAsia="ru-RU"/>
              </w:rPr>
              <w:t>На 31.12.2016</w:t>
            </w:r>
          </w:p>
        </w:tc>
        <w:tc>
          <w:tcPr>
            <w:tcW w:w="69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34A1751" w14:textId="77777777" w:rsidR="009A4C46" w:rsidRPr="00F94FED" w:rsidRDefault="009A4C46" w:rsidP="009A4C46">
            <w:pPr>
              <w:spacing w:after="0" w:line="240" w:lineRule="auto"/>
              <w:jc w:val="center"/>
              <w:rPr>
                <w:rFonts w:eastAsia="Times New Roman"/>
                <w:b/>
                <w:bCs/>
                <w:color w:val="FFFFFF"/>
                <w:sz w:val="18"/>
                <w:szCs w:val="18"/>
                <w:lang w:eastAsia="ru-RU"/>
              </w:rPr>
            </w:pPr>
            <w:r w:rsidRPr="00F94FED">
              <w:rPr>
                <w:rFonts w:eastAsia="Times New Roman"/>
                <w:b/>
                <w:bCs/>
                <w:color w:val="FFFFFF"/>
                <w:sz w:val="18"/>
                <w:szCs w:val="18"/>
                <w:lang w:eastAsia="ru-RU"/>
              </w:rPr>
              <w:t>На 31.12.2017</w:t>
            </w:r>
          </w:p>
        </w:tc>
        <w:tc>
          <w:tcPr>
            <w:tcW w:w="74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C6D5F16" w14:textId="77777777" w:rsidR="009A4C46" w:rsidRPr="00F94FED" w:rsidRDefault="009A4C46" w:rsidP="009A4C46">
            <w:pPr>
              <w:spacing w:after="0" w:line="240" w:lineRule="auto"/>
              <w:jc w:val="center"/>
              <w:rPr>
                <w:rFonts w:eastAsia="Times New Roman"/>
                <w:b/>
                <w:bCs/>
                <w:color w:val="FFFFFF"/>
                <w:sz w:val="18"/>
                <w:szCs w:val="18"/>
                <w:lang w:eastAsia="ru-RU"/>
              </w:rPr>
            </w:pPr>
            <w:r w:rsidRPr="00F94FED">
              <w:rPr>
                <w:rFonts w:eastAsia="Times New Roman"/>
                <w:b/>
                <w:bCs/>
                <w:color w:val="FFFFFF"/>
                <w:sz w:val="18"/>
                <w:szCs w:val="18"/>
                <w:lang w:eastAsia="ru-RU"/>
              </w:rPr>
              <w:t>На 31.12.2018</w:t>
            </w:r>
          </w:p>
        </w:tc>
      </w:tr>
      <w:tr w:rsidR="009A4C46" w:rsidRPr="009A4C46" w14:paraId="2CF87D4B" w14:textId="77777777" w:rsidTr="00F94FED">
        <w:trPr>
          <w:trHeight w:val="509"/>
        </w:trPr>
        <w:tc>
          <w:tcPr>
            <w:tcW w:w="120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39CB250" w14:textId="77777777" w:rsidR="009A4C46" w:rsidRPr="009A4C46" w:rsidRDefault="009A4C46" w:rsidP="009A4C46">
            <w:pPr>
              <w:spacing w:after="0" w:line="240" w:lineRule="auto"/>
              <w:rPr>
                <w:rFonts w:eastAsia="Times New Roman"/>
                <w:color w:val="FFFFFF"/>
                <w:sz w:val="18"/>
                <w:szCs w:val="18"/>
                <w:lang w:eastAsia="ru-RU"/>
              </w:rPr>
            </w:pPr>
          </w:p>
        </w:tc>
        <w:tc>
          <w:tcPr>
            <w:tcW w:w="53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D719761" w14:textId="77777777" w:rsidR="009A4C46" w:rsidRPr="009A4C46" w:rsidRDefault="009A4C46" w:rsidP="009A4C46">
            <w:pPr>
              <w:spacing w:after="0" w:line="240" w:lineRule="auto"/>
              <w:rPr>
                <w:rFonts w:eastAsia="Times New Roman"/>
                <w:color w:val="FFFFFF"/>
                <w:sz w:val="18"/>
                <w:szCs w:val="18"/>
                <w:lang w:eastAsia="ru-RU"/>
              </w:rPr>
            </w:pPr>
          </w:p>
        </w:tc>
        <w:tc>
          <w:tcPr>
            <w:tcW w:w="53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9C948CB" w14:textId="77777777" w:rsidR="009A4C46" w:rsidRPr="009A4C46" w:rsidRDefault="009A4C46" w:rsidP="009A4C46">
            <w:pPr>
              <w:spacing w:after="0" w:line="240" w:lineRule="auto"/>
              <w:rPr>
                <w:rFonts w:eastAsia="Times New Roman"/>
                <w:color w:val="FFFFFF"/>
                <w:sz w:val="18"/>
                <w:szCs w:val="18"/>
                <w:lang w:eastAsia="ru-RU"/>
              </w:rPr>
            </w:pPr>
          </w:p>
        </w:tc>
        <w:tc>
          <w:tcPr>
            <w:tcW w:w="53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9FA6472" w14:textId="77777777" w:rsidR="009A4C46" w:rsidRPr="009A4C46" w:rsidRDefault="009A4C46" w:rsidP="009A4C46">
            <w:pPr>
              <w:spacing w:after="0" w:line="240" w:lineRule="auto"/>
              <w:rPr>
                <w:rFonts w:eastAsia="Times New Roman"/>
                <w:color w:val="FFFFFF"/>
                <w:sz w:val="18"/>
                <w:szCs w:val="18"/>
                <w:lang w:eastAsia="ru-RU"/>
              </w:rPr>
            </w:pPr>
          </w:p>
        </w:tc>
        <w:tc>
          <w:tcPr>
            <w:tcW w:w="74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5EC34F2" w14:textId="77777777" w:rsidR="009A4C46" w:rsidRPr="009A4C46" w:rsidRDefault="009A4C46" w:rsidP="009A4C46">
            <w:pPr>
              <w:spacing w:after="0" w:line="240" w:lineRule="auto"/>
              <w:rPr>
                <w:rFonts w:eastAsia="Times New Roman"/>
                <w:color w:val="FFFFFF"/>
                <w:sz w:val="18"/>
                <w:szCs w:val="18"/>
                <w:lang w:eastAsia="ru-RU"/>
              </w:rPr>
            </w:pPr>
          </w:p>
        </w:tc>
        <w:tc>
          <w:tcPr>
            <w:tcW w:w="69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1B7DEFC" w14:textId="77777777" w:rsidR="009A4C46" w:rsidRPr="009A4C46" w:rsidRDefault="009A4C46" w:rsidP="009A4C46">
            <w:pPr>
              <w:spacing w:after="0" w:line="240" w:lineRule="auto"/>
              <w:rPr>
                <w:rFonts w:eastAsia="Times New Roman"/>
                <w:color w:val="FFFFFF"/>
                <w:sz w:val="18"/>
                <w:szCs w:val="18"/>
                <w:lang w:eastAsia="ru-RU"/>
              </w:rPr>
            </w:pPr>
          </w:p>
        </w:tc>
        <w:tc>
          <w:tcPr>
            <w:tcW w:w="74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5F256CB" w14:textId="77777777" w:rsidR="009A4C46" w:rsidRPr="009A4C46" w:rsidRDefault="009A4C46" w:rsidP="009A4C46">
            <w:pPr>
              <w:spacing w:after="0" w:line="240" w:lineRule="auto"/>
              <w:rPr>
                <w:rFonts w:eastAsia="Times New Roman"/>
                <w:color w:val="FFFFFF"/>
                <w:sz w:val="18"/>
                <w:szCs w:val="18"/>
                <w:lang w:eastAsia="ru-RU"/>
              </w:rPr>
            </w:pPr>
          </w:p>
        </w:tc>
      </w:tr>
      <w:tr w:rsidR="009A4C46" w:rsidRPr="005C3ACA" w14:paraId="2C9382AD" w14:textId="77777777" w:rsidTr="005C3ACA">
        <w:trPr>
          <w:trHeight w:val="300"/>
        </w:trPr>
        <w:tc>
          <w:tcPr>
            <w:tcW w:w="1205" w:type="pct"/>
            <w:tcBorders>
              <w:top w:val="single" w:sz="4" w:space="0" w:color="FFFFFF" w:themeColor="background1"/>
              <w:left w:val="single" w:sz="4" w:space="0" w:color="auto"/>
              <w:bottom w:val="single" w:sz="4" w:space="0" w:color="auto"/>
              <w:right w:val="single" w:sz="4" w:space="0" w:color="auto"/>
            </w:tcBorders>
            <w:shd w:val="clear" w:color="auto" w:fill="D6E3BC" w:themeFill="accent3" w:themeFillTint="66"/>
            <w:noWrap/>
            <w:vAlign w:val="bottom"/>
            <w:hideMark/>
          </w:tcPr>
          <w:p w14:paraId="53EB6E07" w14:textId="77777777" w:rsidR="009A4C46" w:rsidRPr="005C3ACA" w:rsidRDefault="009A4C46" w:rsidP="009A4C46">
            <w:pPr>
              <w:spacing w:after="0" w:line="240" w:lineRule="auto"/>
              <w:rPr>
                <w:rFonts w:eastAsia="Times New Roman"/>
                <w:b/>
                <w:bCs/>
                <w:color w:val="000000"/>
                <w:sz w:val="18"/>
                <w:szCs w:val="18"/>
                <w:lang w:eastAsia="ru-RU"/>
              </w:rPr>
            </w:pPr>
            <w:r w:rsidRPr="005C3ACA">
              <w:rPr>
                <w:rFonts w:eastAsia="Times New Roman"/>
                <w:b/>
                <w:bCs/>
                <w:color w:val="000000"/>
                <w:sz w:val="18"/>
                <w:szCs w:val="18"/>
                <w:lang w:eastAsia="ru-RU"/>
              </w:rPr>
              <w:t>ИТОГО:</w:t>
            </w:r>
          </w:p>
        </w:tc>
        <w:tc>
          <w:tcPr>
            <w:tcW w:w="539" w:type="pct"/>
            <w:tcBorders>
              <w:top w:val="single" w:sz="4" w:space="0" w:color="FFFFFF" w:themeColor="background1"/>
              <w:left w:val="nil"/>
              <w:bottom w:val="single" w:sz="8" w:space="0" w:color="auto"/>
              <w:right w:val="single" w:sz="8" w:space="0" w:color="auto"/>
            </w:tcBorders>
            <w:shd w:val="clear" w:color="auto" w:fill="D6E3BC" w:themeFill="accent3" w:themeFillTint="66"/>
            <w:vAlign w:val="center"/>
            <w:hideMark/>
          </w:tcPr>
          <w:p w14:paraId="09E8DCD6" w14:textId="77777777" w:rsidR="009A4C46" w:rsidRPr="005C3ACA" w:rsidRDefault="009A4C46" w:rsidP="009A4C46">
            <w:pPr>
              <w:spacing w:after="0" w:line="240" w:lineRule="auto"/>
              <w:jc w:val="center"/>
              <w:rPr>
                <w:rFonts w:eastAsia="Times New Roman"/>
                <w:b/>
                <w:bCs/>
                <w:color w:val="000000"/>
                <w:sz w:val="18"/>
                <w:szCs w:val="18"/>
                <w:lang w:eastAsia="ru-RU"/>
              </w:rPr>
            </w:pPr>
            <w:r w:rsidRPr="005C3ACA">
              <w:rPr>
                <w:rFonts w:eastAsia="Times New Roman"/>
                <w:b/>
                <w:bCs/>
                <w:color w:val="000000"/>
                <w:sz w:val="18"/>
                <w:szCs w:val="18"/>
                <w:lang w:eastAsia="ru-RU"/>
              </w:rPr>
              <w:t>1 012 180</w:t>
            </w:r>
          </w:p>
        </w:tc>
        <w:tc>
          <w:tcPr>
            <w:tcW w:w="539" w:type="pct"/>
            <w:tcBorders>
              <w:top w:val="single" w:sz="4" w:space="0" w:color="FFFFFF" w:themeColor="background1"/>
              <w:left w:val="nil"/>
              <w:bottom w:val="single" w:sz="8" w:space="0" w:color="auto"/>
              <w:right w:val="single" w:sz="8" w:space="0" w:color="auto"/>
            </w:tcBorders>
            <w:shd w:val="clear" w:color="auto" w:fill="D6E3BC" w:themeFill="accent3" w:themeFillTint="66"/>
            <w:vAlign w:val="center"/>
            <w:hideMark/>
          </w:tcPr>
          <w:p w14:paraId="456CAC7F" w14:textId="77777777" w:rsidR="009A4C46" w:rsidRPr="005C3ACA" w:rsidRDefault="009A4C46" w:rsidP="009A4C46">
            <w:pPr>
              <w:spacing w:after="0" w:line="240" w:lineRule="auto"/>
              <w:jc w:val="center"/>
              <w:rPr>
                <w:rFonts w:eastAsia="Times New Roman"/>
                <w:b/>
                <w:bCs/>
                <w:color w:val="000000"/>
                <w:sz w:val="18"/>
                <w:szCs w:val="18"/>
                <w:lang w:eastAsia="ru-RU"/>
              </w:rPr>
            </w:pPr>
            <w:r w:rsidRPr="005C3ACA">
              <w:rPr>
                <w:rFonts w:eastAsia="Times New Roman"/>
                <w:b/>
                <w:bCs/>
                <w:color w:val="000000"/>
                <w:sz w:val="18"/>
                <w:szCs w:val="18"/>
                <w:lang w:eastAsia="ru-RU"/>
              </w:rPr>
              <w:t>1 170 839</w:t>
            </w:r>
          </w:p>
        </w:tc>
        <w:tc>
          <w:tcPr>
            <w:tcW w:w="539" w:type="pct"/>
            <w:tcBorders>
              <w:top w:val="single" w:sz="4" w:space="0" w:color="FFFFFF" w:themeColor="background1"/>
              <w:left w:val="nil"/>
              <w:bottom w:val="single" w:sz="8" w:space="0" w:color="auto"/>
              <w:right w:val="single" w:sz="8" w:space="0" w:color="auto"/>
            </w:tcBorders>
            <w:shd w:val="clear" w:color="auto" w:fill="D6E3BC" w:themeFill="accent3" w:themeFillTint="66"/>
            <w:vAlign w:val="center"/>
            <w:hideMark/>
          </w:tcPr>
          <w:p w14:paraId="75226B29" w14:textId="77777777" w:rsidR="009A4C46" w:rsidRPr="005C3ACA" w:rsidRDefault="009A4C46" w:rsidP="009A4C46">
            <w:pPr>
              <w:spacing w:after="0" w:line="240" w:lineRule="auto"/>
              <w:jc w:val="center"/>
              <w:rPr>
                <w:rFonts w:eastAsia="Times New Roman"/>
                <w:b/>
                <w:bCs/>
                <w:color w:val="000000"/>
                <w:sz w:val="18"/>
                <w:szCs w:val="18"/>
                <w:lang w:eastAsia="ru-RU"/>
              </w:rPr>
            </w:pPr>
            <w:r w:rsidRPr="005C3ACA">
              <w:rPr>
                <w:rFonts w:eastAsia="Times New Roman"/>
                <w:b/>
                <w:bCs/>
                <w:color w:val="000000"/>
                <w:sz w:val="18"/>
                <w:szCs w:val="18"/>
                <w:lang w:eastAsia="ru-RU"/>
              </w:rPr>
              <w:t>1 519 571</w:t>
            </w:r>
          </w:p>
        </w:tc>
        <w:tc>
          <w:tcPr>
            <w:tcW w:w="741" w:type="pct"/>
            <w:tcBorders>
              <w:top w:val="single" w:sz="4" w:space="0" w:color="FFFFFF" w:themeColor="background1"/>
              <w:left w:val="nil"/>
              <w:bottom w:val="single" w:sz="8" w:space="0" w:color="auto"/>
              <w:right w:val="single" w:sz="8" w:space="0" w:color="auto"/>
            </w:tcBorders>
            <w:shd w:val="clear" w:color="auto" w:fill="D6E3BC" w:themeFill="accent3" w:themeFillTint="66"/>
            <w:noWrap/>
            <w:vAlign w:val="center"/>
            <w:hideMark/>
          </w:tcPr>
          <w:p w14:paraId="4475FABB" w14:textId="77777777" w:rsidR="009A4C46" w:rsidRPr="005C3ACA" w:rsidRDefault="009A4C46" w:rsidP="009A4C46">
            <w:pPr>
              <w:spacing w:after="0" w:line="240" w:lineRule="auto"/>
              <w:jc w:val="center"/>
              <w:rPr>
                <w:rFonts w:eastAsia="Times New Roman"/>
                <w:b/>
                <w:bCs/>
                <w:color w:val="000000"/>
                <w:sz w:val="18"/>
                <w:szCs w:val="18"/>
                <w:lang w:eastAsia="ru-RU"/>
              </w:rPr>
            </w:pPr>
            <w:r w:rsidRPr="005C3ACA">
              <w:rPr>
                <w:rFonts w:eastAsia="Times New Roman"/>
                <w:b/>
                <w:bCs/>
                <w:color w:val="000000"/>
                <w:sz w:val="18"/>
                <w:szCs w:val="18"/>
                <w:lang w:eastAsia="ru-RU"/>
              </w:rPr>
              <w:t>100,00%</w:t>
            </w:r>
          </w:p>
        </w:tc>
        <w:tc>
          <w:tcPr>
            <w:tcW w:w="690" w:type="pct"/>
            <w:tcBorders>
              <w:top w:val="single" w:sz="4" w:space="0" w:color="FFFFFF" w:themeColor="background1"/>
              <w:left w:val="nil"/>
              <w:bottom w:val="single" w:sz="8" w:space="0" w:color="auto"/>
              <w:right w:val="single" w:sz="8" w:space="0" w:color="auto"/>
            </w:tcBorders>
            <w:shd w:val="clear" w:color="auto" w:fill="D6E3BC" w:themeFill="accent3" w:themeFillTint="66"/>
            <w:noWrap/>
            <w:vAlign w:val="center"/>
            <w:hideMark/>
          </w:tcPr>
          <w:p w14:paraId="7D20B511" w14:textId="77777777" w:rsidR="009A4C46" w:rsidRPr="005C3ACA" w:rsidRDefault="009A4C46" w:rsidP="009A4C46">
            <w:pPr>
              <w:spacing w:after="0" w:line="240" w:lineRule="auto"/>
              <w:jc w:val="center"/>
              <w:rPr>
                <w:rFonts w:eastAsia="Times New Roman"/>
                <w:b/>
                <w:bCs/>
                <w:color w:val="000000"/>
                <w:sz w:val="18"/>
                <w:szCs w:val="18"/>
                <w:lang w:eastAsia="ru-RU"/>
              </w:rPr>
            </w:pPr>
            <w:r w:rsidRPr="005C3ACA">
              <w:rPr>
                <w:rFonts w:eastAsia="Times New Roman"/>
                <w:b/>
                <w:bCs/>
                <w:color w:val="000000"/>
                <w:sz w:val="18"/>
                <w:szCs w:val="18"/>
                <w:lang w:eastAsia="ru-RU"/>
              </w:rPr>
              <w:t>100,00%</w:t>
            </w:r>
          </w:p>
        </w:tc>
        <w:tc>
          <w:tcPr>
            <w:tcW w:w="746" w:type="pct"/>
            <w:tcBorders>
              <w:top w:val="single" w:sz="4" w:space="0" w:color="FFFFFF" w:themeColor="background1"/>
              <w:left w:val="nil"/>
              <w:bottom w:val="single" w:sz="8" w:space="0" w:color="auto"/>
              <w:right w:val="single" w:sz="8" w:space="0" w:color="auto"/>
            </w:tcBorders>
            <w:shd w:val="clear" w:color="auto" w:fill="D6E3BC" w:themeFill="accent3" w:themeFillTint="66"/>
            <w:noWrap/>
            <w:vAlign w:val="center"/>
            <w:hideMark/>
          </w:tcPr>
          <w:p w14:paraId="6ACF44E9" w14:textId="77777777" w:rsidR="009A4C46" w:rsidRPr="005C3ACA" w:rsidRDefault="009A4C46" w:rsidP="009A4C46">
            <w:pPr>
              <w:spacing w:after="0" w:line="240" w:lineRule="auto"/>
              <w:jc w:val="center"/>
              <w:rPr>
                <w:rFonts w:eastAsia="Times New Roman"/>
                <w:b/>
                <w:bCs/>
                <w:color w:val="000000"/>
                <w:sz w:val="18"/>
                <w:szCs w:val="18"/>
                <w:lang w:eastAsia="ru-RU"/>
              </w:rPr>
            </w:pPr>
            <w:r w:rsidRPr="005C3ACA">
              <w:rPr>
                <w:rFonts w:eastAsia="Times New Roman"/>
                <w:b/>
                <w:bCs/>
                <w:color w:val="000000"/>
                <w:sz w:val="18"/>
                <w:szCs w:val="18"/>
                <w:lang w:eastAsia="ru-RU"/>
              </w:rPr>
              <w:t>100,00%</w:t>
            </w:r>
          </w:p>
        </w:tc>
      </w:tr>
      <w:tr w:rsidR="009A4C46" w:rsidRPr="009A4C46" w14:paraId="07F7EBEA" w14:textId="77777777" w:rsidTr="00F94FED">
        <w:trPr>
          <w:trHeight w:val="525"/>
        </w:trPr>
        <w:tc>
          <w:tcPr>
            <w:tcW w:w="1205" w:type="pct"/>
            <w:tcBorders>
              <w:top w:val="nil"/>
              <w:left w:val="single" w:sz="4" w:space="0" w:color="auto"/>
              <w:bottom w:val="single" w:sz="4" w:space="0" w:color="auto"/>
              <w:right w:val="single" w:sz="4" w:space="0" w:color="auto"/>
            </w:tcBorders>
            <w:vAlign w:val="center"/>
            <w:hideMark/>
          </w:tcPr>
          <w:p w14:paraId="3208ED35" w14:textId="77777777" w:rsidR="009A4C46" w:rsidRPr="009A4C46" w:rsidRDefault="009A4C46" w:rsidP="009A4C46">
            <w:pPr>
              <w:spacing w:after="0" w:line="240" w:lineRule="auto"/>
              <w:rPr>
                <w:rFonts w:eastAsia="Times New Roman"/>
                <w:color w:val="000000"/>
                <w:sz w:val="18"/>
                <w:szCs w:val="18"/>
                <w:lang w:eastAsia="ru-RU"/>
              </w:rPr>
            </w:pPr>
            <w:r w:rsidRPr="009A4C46">
              <w:rPr>
                <w:rFonts w:eastAsia="Times New Roman"/>
                <w:color w:val="000000"/>
                <w:sz w:val="18"/>
                <w:szCs w:val="18"/>
                <w:lang w:eastAsia="ru-RU"/>
              </w:rPr>
              <w:t>Нематериальные активы и рез-ты исследований и разработок</w:t>
            </w:r>
          </w:p>
        </w:tc>
        <w:tc>
          <w:tcPr>
            <w:tcW w:w="539" w:type="pct"/>
            <w:tcBorders>
              <w:top w:val="nil"/>
              <w:left w:val="nil"/>
              <w:bottom w:val="single" w:sz="8" w:space="0" w:color="auto"/>
              <w:right w:val="single" w:sz="8" w:space="0" w:color="auto"/>
            </w:tcBorders>
            <w:shd w:val="clear" w:color="auto" w:fill="auto"/>
            <w:noWrap/>
            <w:vAlign w:val="center"/>
            <w:hideMark/>
          </w:tcPr>
          <w:p w14:paraId="1B80D33D" w14:textId="77777777" w:rsidR="009A4C46" w:rsidRPr="009A4C46" w:rsidRDefault="009A4C46" w:rsidP="009A4C46">
            <w:pPr>
              <w:spacing w:after="0" w:line="240" w:lineRule="auto"/>
              <w:jc w:val="center"/>
              <w:rPr>
                <w:rFonts w:eastAsia="Times New Roman"/>
                <w:color w:val="000000"/>
                <w:sz w:val="18"/>
                <w:szCs w:val="18"/>
                <w:lang w:eastAsia="ru-RU"/>
              </w:rPr>
            </w:pPr>
            <w:r w:rsidRPr="009A4C46">
              <w:rPr>
                <w:rFonts w:eastAsia="Times New Roman"/>
                <w:color w:val="000000"/>
                <w:sz w:val="18"/>
                <w:szCs w:val="18"/>
                <w:lang w:eastAsia="ru-RU"/>
              </w:rPr>
              <w:t>0</w:t>
            </w:r>
          </w:p>
        </w:tc>
        <w:tc>
          <w:tcPr>
            <w:tcW w:w="539" w:type="pct"/>
            <w:tcBorders>
              <w:top w:val="nil"/>
              <w:left w:val="nil"/>
              <w:bottom w:val="single" w:sz="8" w:space="0" w:color="auto"/>
              <w:right w:val="single" w:sz="8" w:space="0" w:color="auto"/>
            </w:tcBorders>
            <w:shd w:val="clear" w:color="auto" w:fill="auto"/>
            <w:noWrap/>
            <w:vAlign w:val="center"/>
            <w:hideMark/>
          </w:tcPr>
          <w:p w14:paraId="38347B7D" w14:textId="77777777" w:rsidR="009A4C46" w:rsidRPr="009A4C46" w:rsidRDefault="009A4C46" w:rsidP="009A4C46">
            <w:pPr>
              <w:spacing w:after="0" w:line="240" w:lineRule="auto"/>
              <w:jc w:val="center"/>
              <w:rPr>
                <w:rFonts w:eastAsia="Times New Roman"/>
                <w:color w:val="000000"/>
                <w:sz w:val="18"/>
                <w:szCs w:val="18"/>
                <w:lang w:eastAsia="ru-RU"/>
              </w:rPr>
            </w:pPr>
            <w:r w:rsidRPr="009A4C46">
              <w:rPr>
                <w:rFonts w:eastAsia="Times New Roman"/>
                <w:color w:val="000000"/>
                <w:sz w:val="18"/>
                <w:szCs w:val="18"/>
                <w:lang w:eastAsia="ru-RU"/>
              </w:rPr>
              <w:t>0</w:t>
            </w:r>
          </w:p>
        </w:tc>
        <w:tc>
          <w:tcPr>
            <w:tcW w:w="539" w:type="pct"/>
            <w:tcBorders>
              <w:top w:val="nil"/>
              <w:left w:val="nil"/>
              <w:bottom w:val="single" w:sz="8" w:space="0" w:color="auto"/>
              <w:right w:val="single" w:sz="8" w:space="0" w:color="auto"/>
            </w:tcBorders>
            <w:shd w:val="clear" w:color="auto" w:fill="auto"/>
            <w:noWrap/>
            <w:vAlign w:val="center"/>
            <w:hideMark/>
          </w:tcPr>
          <w:p w14:paraId="50724A51" w14:textId="77777777" w:rsidR="009A4C46" w:rsidRPr="009A4C46" w:rsidRDefault="009A4C46" w:rsidP="009A4C46">
            <w:pPr>
              <w:spacing w:after="0" w:line="240" w:lineRule="auto"/>
              <w:jc w:val="center"/>
              <w:rPr>
                <w:rFonts w:eastAsia="Times New Roman"/>
                <w:color w:val="000000"/>
                <w:sz w:val="18"/>
                <w:szCs w:val="18"/>
                <w:lang w:eastAsia="ru-RU"/>
              </w:rPr>
            </w:pPr>
            <w:r w:rsidRPr="009A4C46">
              <w:rPr>
                <w:rFonts w:eastAsia="Times New Roman"/>
                <w:color w:val="000000"/>
                <w:sz w:val="18"/>
                <w:szCs w:val="18"/>
                <w:lang w:eastAsia="ru-RU"/>
              </w:rPr>
              <w:t>0</w:t>
            </w:r>
          </w:p>
        </w:tc>
        <w:tc>
          <w:tcPr>
            <w:tcW w:w="741" w:type="pct"/>
            <w:tcBorders>
              <w:top w:val="nil"/>
              <w:left w:val="nil"/>
              <w:bottom w:val="single" w:sz="8" w:space="0" w:color="auto"/>
              <w:right w:val="single" w:sz="8" w:space="0" w:color="auto"/>
            </w:tcBorders>
            <w:shd w:val="clear" w:color="auto" w:fill="auto"/>
            <w:noWrap/>
            <w:vAlign w:val="center"/>
            <w:hideMark/>
          </w:tcPr>
          <w:p w14:paraId="4B99F272" w14:textId="77777777" w:rsidR="009A4C46" w:rsidRPr="009A4C46" w:rsidRDefault="009A4C46" w:rsidP="009A4C46">
            <w:pPr>
              <w:spacing w:after="0" w:line="240" w:lineRule="auto"/>
              <w:jc w:val="center"/>
              <w:rPr>
                <w:rFonts w:eastAsia="Times New Roman"/>
                <w:color w:val="000000"/>
                <w:sz w:val="18"/>
                <w:szCs w:val="18"/>
                <w:lang w:eastAsia="ru-RU"/>
              </w:rPr>
            </w:pPr>
            <w:r w:rsidRPr="009A4C46">
              <w:rPr>
                <w:rFonts w:eastAsia="Times New Roman"/>
                <w:color w:val="000000"/>
                <w:sz w:val="18"/>
                <w:szCs w:val="18"/>
                <w:lang w:eastAsia="ru-RU"/>
              </w:rPr>
              <w:t>0,00%</w:t>
            </w:r>
          </w:p>
        </w:tc>
        <w:tc>
          <w:tcPr>
            <w:tcW w:w="690" w:type="pct"/>
            <w:tcBorders>
              <w:top w:val="nil"/>
              <w:left w:val="nil"/>
              <w:bottom w:val="single" w:sz="8" w:space="0" w:color="auto"/>
              <w:right w:val="single" w:sz="8" w:space="0" w:color="auto"/>
            </w:tcBorders>
            <w:shd w:val="clear" w:color="auto" w:fill="auto"/>
            <w:noWrap/>
            <w:vAlign w:val="center"/>
            <w:hideMark/>
          </w:tcPr>
          <w:p w14:paraId="6BF6E444" w14:textId="77777777" w:rsidR="009A4C46" w:rsidRPr="009A4C46" w:rsidRDefault="009A4C46" w:rsidP="009A4C46">
            <w:pPr>
              <w:spacing w:after="0" w:line="240" w:lineRule="auto"/>
              <w:jc w:val="center"/>
              <w:rPr>
                <w:rFonts w:eastAsia="Times New Roman"/>
                <w:color w:val="000000"/>
                <w:sz w:val="18"/>
                <w:szCs w:val="18"/>
                <w:lang w:eastAsia="ru-RU"/>
              </w:rPr>
            </w:pPr>
            <w:r w:rsidRPr="009A4C46">
              <w:rPr>
                <w:rFonts w:eastAsia="Times New Roman"/>
                <w:color w:val="000000"/>
                <w:sz w:val="18"/>
                <w:szCs w:val="18"/>
                <w:lang w:eastAsia="ru-RU"/>
              </w:rPr>
              <w:t>0,00%</w:t>
            </w:r>
          </w:p>
        </w:tc>
        <w:tc>
          <w:tcPr>
            <w:tcW w:w="746" w:type="pct"/>
            <w:tcBorders>
              <w:top w:val="nil"/>
              <w:left w:val="nil"/>
              <w:bottom w:val="single" w:sz="8" w:space="0" w:color="auto"/>
              <w:right w:val="single" w:sz="8" w:space="0" w:color="auto"/>
            </w:tcBorders>
            <w:shd w:val="clear" w:color="auto" w:fill="auto"/>
            <w:noWrap/>
            <w:vAlign w:val="center"/>
            <w:hideMark/>
          </w:tcPr>
          <w:p w14:paraId="799FF145" w14:textId="77777777" w:rsidR="009A4C46" w:rsidRPr="009A4C46" w:rsidRDefault="009A4C46" w:rsidP="009A4C46">
            <w:pPr>
              <w:spacing w:after="0" w:line="240" w:lineRule="auto"/>
              <w:jc w:val="center"/>
              <w:rPr>
                <w:rFonts w:eastAsia="Times New Roman"/>
                <w:color w:val="000000"/>
                <w:sz w:val="18"/>
                <w:szCs w:val="18"/>
                <w:lang w:eastAsia="ru-RU"/>
              </w:rPr>
            </w:pPr>
            <w:r w:rsidRPr="009A4C46">
              <w:rPr>
                <w:rFonts w:eastAsia="Times New Roman"/>
                <w:color w:val="000000"/>
                <w:sz w:val="18"/>
                <w:szCs w:val="18"/>
                <w:lang w:eastAsia="ru-RU"/>
              </w:rPr>
              <w:t>0,00%</w:t>
            </w:r>
          </w:p>
        </w:tc>
      </w:tr>
      <w:tr w:rsidR="009A4C46" w:rsidRPr="009A4C46" w14:paraId="509BC81F" w14:textId="77777777" w:rsidTr="00F94FED">
        <w:trPr>
          <w:trHeight w:val="116"/>
        </w:trPr>
        <w:tc>
          <w:tcPr>
            <w:tcW w:w="1205" w:type="pct"/>
            <w:tcBorders>
              <w:top w:val="nil"/>
              <w:left w:val="single" w:sz="4" w:space="0" w:color="auto"/>
              <w:bottom w:val="single" w:sz="4" w:space="0" w:color="auto"/>
              <w:right w:val="single" w:sz="4" w:space="0" w:color="auto"/>
            </w:tcBorders>
            <w:vAlign w:val="center"/>
            <w:hideMark/>
          </w:tcPr>
          <w:p w14:paraId="4D222F9F" w14:textId="77777777" w:rsidR="009A4C46" w:rsidRPr="009A4C46" w:rsidRDefault="009A4C46" w:rsidP="009A4C46">
            <w:pPr>
              <w:spacing w:after="0" w:line="240" w:lineRule="auto"/>
              <w:rPr>
                <w:rFonts w:eastAsia="Times New Roman"/>
                <w:color w:val="000000"/>
                <w:sz w:val="18"/>
                <w:szCs w:val="18"/>
                <w:lang w:eastAsia="ru-RU"/>
              </w:rPr>
            </w:pPr>
            <w:r w:rsidRPr="009A4C46">
              <w:rPr>
                <w:rFonts w:eastAsia="Times New Roman"/>
                <w:color w:val="000000"/>
                <w:sz w:val="18"/>
                <w:szCs w:val="18"/>
                <w:lang w:eastAsia="ru-RU"/>
              </w:rPr>
              <w:t>Основные средства</w:t>
            </w:r>
          </w:p>
        </w:tc>
        <w:tc>
          <w:tcPr>
            <w:tcW w:w="539" w:type="pct"/>
            <w:tcBorders>
              <w:top w:val="nil"/>
              <w:left w:val="nil"/>
              <w:bottom w:val="single" w:sz="8" w:space="0" w:color="auto"/>
              <w:right w:val="single" w:sz="8" w:space="0" w:color="auto"/>
            </w:tcBorders>
            <w:shd w:val="clear" w:color="auto" w:fill="auto"/>
            <w:noWrap/>
            <w:vAlign w:val="center"/>
            <w:hideMark/>
          </w:tcPr>
          <w:p w14:paraId="3389C8C5" w14:textId="77777777" w:rsidR="009A4C46" w:rsidRPr="009A4C46" w:rsidRDefault="009A4C46" w:rsidP="009A4C46">
            <w:pPr>
              <w:spacing w:after="0" w:line="240" w:lineRule="auto"/>
              <w:jc w:val="center"/>
              <w:rPr>
                <w:rFonts w:eastAsia="Times New Roman"/>
                <w:color w:val="000000"/>
                <w:sz w:val="18"/>
                <w:szCs w:val="18"/>
                <w:lang w:eastAsia="ru-RU"/>
              </w:rPr>
            </w:pPr>
            <w:r w:rsidRPr="009A4C46">
              <w:rPr>
                <w:rFonts w:eastAsia="Times New Roman"/>
                <w:color w:val="000000"/>
                <w:sz w:val="18"/>
                <w:szCs w:val="18"/>
                <w:lang w:eastAsia="ru-RU"/>
              </w:rPr>
              <w:t>1 001 299</w:t>
            </w:r>
          </w:p>
        </w:tc>
        <w:tc>
          <w:tcPr>
            <w:tcW w:w="539" w:type="pct"/>
            <w:tcBorders>
              <w:top w:val="nil"/>
              <w:left w:val="nil"/>
              <w:bottom w:val="single" w:sz="8" w:space="0" w:color="auto"/>
              <w:right w:val="single" w:sz="8" w:space="0" w:color="auto"/>
            </w:tcBorders>
            <w:shd w:val="clear" w:color="auto" w:fill="auto"/>
            <w:noWrap/>
            <w:vAlign w:val="center"/>
            <w:hideMark/>
          </w:tcPr>
          <w:p w14:paraId="47E7F785" w14:textId="77777777" w:rsidR="009A4C46" w:rsidRPr="009A4C46" w:rsidRDefault="009A4C46" w:rsidP="009A4C46">
            <w:pPr>
              <w:spacing w:after="0" w:line="240" w:lineRule="auto"/>
              <w:jc w:val="center"/>
              <w:rPr>
                <w:rFonts w:eastAsia="Times New Roman"/>
                <w:color w:val="000000"/>
                <w:sz w:val="18"/>
                <w:szCs w:val="18"/>
                <w:lang w:eastAsia="ru-RU"/>
              </w:rPr>
            </w:pPr>
            <w:r w:rsidRPr="009A4C46">
              <w:rPr>
                <w:rFonts w:eastAsia="Times New Roman"/>
                <w:color w:val="000000"/>
                <w:sz w:val="18"/>
                <w:szCs w:val="18"/>
                <w:lang w:eastAsia="ru-RU"/>
              </w:rPr>
              <w:t>1 159 627</w:t>
            </w:r>
          </w:p>
        </w:tc>
        <w:tc>
          <w:tcPr>
            <w:tcW w:w="539" w:type="pct"/>
            <w:tcBorders>
              <w:top w:val="nil"/>
              <w:left w:val="nil"/>
              <w:bottom w:val="single" w:sz="8" w:space="0" w:color="auto"/>
              <w:right w:val="single" w:sz="8" w:space="0" w:color="auto"/>
            </w:tcBorders>
            <w:shd w:val="clear" w:color="auto" w:fill="auto"/>
            <w:noWrap/>
            <w:vAlign w:val="center"/>
            <w:hideMark/>
          </w:tcPr>
          <w:p w14:paraId="290F8DDF" w14:textId="77777777" w:rsidR="009A4C46" w:rsidRPr="009A4C46" w:rsidRDefault="009A4C46" w:rsidP="009A4C46">
            <w:pPr>
              <w:spacing w:after="0" w:line="240" w:lineRule="auto"/>
              <w:jc w:val="center"/>
              <w:rPr>
                <w:rFonts w:eastAsia="Times New Roman"/>
                <w:color w:val="000000"/>
                <w:sz w:val="18"/>
                <w:szCs w:val="18"/>
                <w:lang w:eastAsia="ru-RU"/>
              </w:rPr>
            </w:pPr>
            <w:r w:rsidRPr="009A4C46">
              <w:rPr>
                <w:rFonts w:eastAsia="Times New Roman"/>
                <w:color w:val="000000"/>
                <w:sz w:val="18"/>
                <w:szCs w:val="18"/>
                <w:lang w:eastAsia="ru-RU"/>
              </w:rPr>
              <w:t>1 267 998</w:t>
            </w:r>
          </w:p>
        </w:tc>
        <w:tc>
          <w:tcPr>
            <w:tcW w:w="741" w:type="pct"/>
            <w:tcBorders>
              <w:top w:val="nil"/>
              <w:left w:val="nil"/>
              <w:bottom w:val="single" w:sz="8" w:space="0" w:color="auto"/>
              <w:right w:val="single" w:sz="8" w:space="0" w:color="auto"/>
            </w:tcBorders>
            <w:shd w:val="clear" w:color="auto" w:fill="auto"/>
            <w:noWrap/>
            <w:vAlign w:val="center"/>
            <w:hideMark/>
          </w:tcPr>
          <w:p w14:paraId="54C274B5" w14:textId="77777777" w:rsidR="009A4C46" w:rsidRPr="009A4C46" w:rsidRDefault="009A4C46" w:rsidP="009A4C46">
            <w:pPr>
              <w:spacing w:after="0" w:line="240" w:lineRule="auto"/>
              <w:jc w:val="center"/>
              <w:rPr>
                <w:rFonts w:eastAsia="Times New Roman"/>
                <w:color w:val="000000"/>
                <w:sz w:val="18"/>
                <w:szCs w:val="18"/>
                <w:lang w:eastAsia="ru-RU"/>
              </w:rPr>
            </w:pPr>
            <w:r w:rsidRPr="009A4C46">
              <w:rPr>
                <w:rFonts w:eastAsia="Times New Roman"/>
                <w:color w:val="000000"/>
                <w:sz w:val="18"/>
                <w:szCs w:val="18"/>
                <w:lang w:eastAsia="ru-RU"/>
              </w:rPr>
              <w:t>98,92%</w:t>
            </w:r>
          </w:p>
        </w:tc>
        <w:tc>
          <w:tcPr>
            <w:tcW w:w="690" w:type="pct"/>
            <w:tcBorders>
              <w:top w:val="nil"/>
              <w:left w:val="nil"/>
              <w:bottom w:val="single" w:sz="8" w:space="0" w:color="auto"/>
              <w:right w:val="single" w:sz="8" w:space="0" w:color="auto"/>
            </w:tcBorders>
            <w:shd w:val="clear" w:color="auto" w:fill="auto"/>
            <w:noWrap/>
            <w:vAlign w:val="center"/>
            <w:hideMark/>
          </w:tcPr>
          <w:p w14:paraId="430435A5" w14:textId="77777777" w:rsidR="009A4C46" w:rsidRPr="009A4C46" w:rsidRDefault="009A4C46" w:rsidP="009A4C46">
            <w:pPr>
              <w:spacing w:after="0" w:line="240" w:lineRule="auto"/>
              <w:jc w:val="center"/>
              <w:rPr>
                <w:rFonts w:eastAsia="Times New Roman"/>
                <w:color w:val="000000"/>
                <w:sz w:val="18"/>
                <w:szCs w:val="18"/>
                <w:lang w:eastAsia="ru-RU"/>
              </w:rPr>
            </w:pPr>
            <w:r w:rsidRPr="009A4C46">
              <w:rPr>
                <w:rFonts w:eastAsia="Times New Roman"/>
                <w:color w:val="000000"/>
                <w:sz w:val="18"/>
                <w:szCs w:val="18"/>
                <w:lang w:eastAsia="ru-RU"/>
              </w:rPr>
              <w:t>99,04%</w:t>
            </w:r>
          </w:p>
        </w:tc>
        <w:tc>
          <w:tcPr>
            <w:tcW w:w="746" w:type="pct"/>
            <w:tcBorders>
              <w:top w:val="nil"/>
              <w:left w:val="nil"/>
              <w:bottom w:val="single" w:sz="8" w:space="0" w:color="auto"/>
              <w:right w:val="single" w:sz="8" w:space="0" w:color="auto"/>
            </w:tcBorders>
            <w:shd w:val="clear" w:color="auto" w:fill="auto"/>
            <w:noWrap/>
            <w:vAlign w:val="center"/>
            <w:hideMark/>
          </w:tcPr>
          <w:p w14:paraId="138AD861" w14:textId="77777777" w:rsidR="009A4C46" w:rsidRPr="009A4C46" w:rsidRDefault="009A4C46" w:rsidP="009A4C46">
            <w:pPr>
              <w:spacing w:after="0" w:line="240" w:lineRule="auto"/>
              <w:jc w:val="center"/>
              <w:rPr>
                <w:rFonts w:eastAsia="Times New Roman"/>
                <w:color w:val="000000"/>
                <w:sz w:val="18"/>
                <w:szCs w:val="18"/>
                <w:lang w:eastAsia="ru-RU"/>
              </w:rPr>
            </w:pPr>
            <w:r w:rsidRPr="009A4C46">
              <w:rPr>
                <w:rFonts w:eastAsia="Times New Roman"/>
                <w:color w:val="000000"/>
                <w:sz w:val="18"/>
                <w:szCs w:val="18"/>
                <w:lang w:eastAsia="ru-RU"/>
              </w:rPr>
              <w:t>83,44%</w:t>
            </w:r>
          </w:p>
        </w:tc>
      </w:tr>
      <w:tr w:rsidR="009A4C46" w:rsidRPr="009A4C46" w14:paraId="29A5F18F" w14:textId="77777777" w:rsidTr="00F94FED">
        <w:trPr>
          <w:trHeight w:val="525"/>
        </w:trPr>
        <w:tc>
          <w:tcPr>
            <w:tcW w:w="1205" w:type="pct"/>
            <w:tcBorders>
              <w:top w:val="nil"/>
              <w:left w:val="single" w:sz="4" w:space="0" w:color="auto"/>
              <w:bottom w:val="single" w:sz="4" w:space="0" w:color="auto"/>
              <w:right w:val="single" w:sz="4" w:space="0" w:color="auto"/>
            </w:tcBorders>
            <w:vAlign w:val="center"/>
            <w:hideMark/>
          </w:tcPr>
          <w:p w14:paraId="035920A9" w14:textId="77777777" w:rsidR="009A4C46" w:rsidRPr="009A4C46" w:rsidRDefault="009A4C46" w:rsidP="009A4C46">
            <w:pPr>
              <w:spacing w:after="0" w:line="240" w:lineRule="auto"/>
              <w:rPr>
                <w:rFonts w:eastAsia="Times New Roman"/>
                <w:color w:val="000000"/>
                <w:sz w:val="18"/>
                <w:szCs w:val="18"/>
                <w:lang w:eastAsia="ru-RU"/>
              </w:rPr>
            </w:pPr>
            <w:r w:rsidRPr="009A4C46">
              <w:rPr>
                <w:rFonts w:eastAsia="Times New Roman"/>
                <w:color w:val="000000"/>
                <w:sz w:val="18"/>
                <w:szCs w:val="18"/>
                <w:lang w:eastAsia="ru-RU"/>
              </w:rPr>
              <w:t>земельные участки и объекты природопользования</w:t>
            </w:r>
          </w:p>
        </w:tc>
        <w:tc>
          <w:tcPr>
            <w:tcW w:w="539" w:type="pct"/>
            <w:tcBorders>
              <w:top w:val="nil"/>
              <w:left w:val="nil"/>
              <w:bottom w:val="single" w:sz="8" w:space="0" w:color="auto"/>
              <w:right w:val="single" w:sz="8" w:space="0" w:color="auto"/>
            </w:tcBorders>
            <w:shd w:val="clear" w:color="auto" w:fill="auto"/>
            <w:noWrap/>
            <w:vAlign w:val="center"/>
            <w:hideMark/>
          </w:tcPr>
          <w:p w14:paraId="0D46AD3E" w14:textId="77777777" w:rsidR="009A4C46" w:rsidRPr="009A4C46" w:rsidRDefault="009A4C46" w:rsidP="009A4C46">
            <w:pPr>
              <w:spacing w:after="0" w:line="240" w:lineRule="auto"/>
              <w:jc w:val="center"/>
              <w:rPr>
                <w:rFonts w:eastAsia="Times New Roman"/>
                <w:color w:val="000000"/>
                <w:sz w:val="18"/>
                <w:szCs w:val="18"/>
                <w:lang w:eastAsia="ru-RU"/>
              </w:rPr>
            </w:pPr>
            <w:r w:rsidRPr="009A4C46">
              <w:rPr>
                <w:rFonts w:eastAsia="Times New Roman"/>
                <w:color w:val="000000"/>
                <w:sz w:val="18"/>
                <w:szCs w:val="18"/>
                <w:lang w:eastAsia="ru-RU"/>
              </w:rPr>
              <w:t>935</w:t>
            </w:r>
          </w:p>
        </w:tc>
        <w:tc>
          <w:tcPr>
            <w:tcW w:w="539" w:type="pct"/>
            <w:tcBorders>
              <w:top w:val="nil"/>
              <w:left w:val="nil"/>
              <w:bottom w:val="single" w:sz="8" w:space="0" w:color="auto"/>
              <w:right w:val="single" w:sz="8" w:space="0" w:color="auto"/>
            </w:tcBorders>
            <w:shd w:val="clear" w:color="auto" w:fill="auto"/>
            <w:noWrap/>
            <w:vAlign w:val="center"/>
            <w:hideMark/>
          </w:tcPr>
          <w:p w14:paraId="6B70DFB0" w14:textId="77777777" w:rsidR="009A4C46" w:rsidRPr="009A4C46" w:rsidRDefault="009A4C46" w:rsidP="009A4C46">
            <w:pPr>
              <w:spacing w:after="0" w:line="240" w:lineRule="auto"/>
              <w:jc w:val="center"/>
              <w:rPr>
                <w:rFonts w:eastAsia="Times New Roman"/>
                <w:color w:val="000000"/>
                <w:sz w:val="18"/>
                <w:szCs w:val="18"/>
                <w:lang w:eastAsia="ru-RU"/>
              </w:rPr>
            </w:pPr>
            <w:r w:rsidRPr="009A4C46">
              <w:rPr>
                <w:rFonts w:eastAsia="Times New Roman"/>
                <w:color w:val="000000"/>
                <w:sz w:val="18"/>
                <w:szCs w:val="18"/>
                <w:lang w:eastAsia="ru-RU"/>
              </w:rPr>
              <w:t>935</w:t>
            </w:r>
          </w:p>
        </w:tc>
        <w:tc>
          <w:tcPr>
            <w:tcW w:w="539" w:type="pct"/>
            <w:tcBorders>
              <w:top w:val="nil"/>
              <w:left w:val="nil"/>
              <w:bottom w:val="single" w:sz="8" w:space="0" w:color="auto"/>
              <w:right w:val="single" w:sz="8" w:space="0" w:color="auto"/>
            </w:tcBorders>
            <w:shd w:val="clear" w:color="auto" w:fill="auto"/>
            <w:noWrap/>
            <w:vAlign w:val="center"/>
            <w:hideMark/>
          </w:tcPr>
          <w:p w14:paraId="64425DAB" w14:textId="77777777" w:rsidR="009A4C46" w:rsidRPr="009A4C46" w:rsidRDefault="009A4C46" w:rsidP="009A4C46">
            <w:pPr>
              <w:spacing w:after="0" w:line="240" w:lineRule="auto"/>
              <w:jc w:val="center"/>
              <w:rPr>
                <w:rFonts w:eastAsia="Times New Roman"/>
                <w:color w:val="000000"/>
                <w:sz w:val="18"/>
                <w:szCs w:val="18"/>
                <w:lang w:eastAsia="ru-RU"/>
              </w:rPr>
            </w:pPr>
            <w:r w:rsidRPr="009A4C46">
              <w:rPr>
                <w:rFonts w:eastAsia="Times New Roman"/>
                <w:color w:val="000000"/>
                <w:sz w:val="18"/>
                <w:szCs w:val="18"/>
                <w:lang w:eastAsia="ru-RU"/>
              </w:rPr>
              <w:t>н/д</w:t>
            </w:r>
          </w:p>
        </w:tc>
        <w:tc>
          <w:tcPr>
            <w:tcW w:w="741" w:type="pct"/>
            <w:tcBorders>
              <w:top w:val="nil"/>
              <w:left w:val="nil"/>
              <w:bottom w:val="single" w:sz="8" w:space="0" w:color="auto"/>
              <w:right w:val="single" w:sz="8" w:space="0" w:color="auto"/>
            </w:tcBorders>
            <w:shd w:val="clear" w:color="auto" w:fill="auto"/>
            <w:noWrap/>
            <w:vAlign w:val="center"/>
            <w:hideMark/>
          </w:tcPr>
          <w:p w14:paraId="61105757" w14:textId="77777777" w:rsidR="009A4C46" w:rsidRPr="009A4C46" w:rsidRDefault="009A4C46" w:rsidP="009A4C46">
            <w:pPr>
              <w:spacing w:after="0" w:line="240" w:lineRule="auto"/>
              <w:jc w:val="center"/>
              <w:rPr>
                <w:rFonts w:eastAsia="Times New Roman"/>
                <w:color w:val="000000"/>
                <w:sz w:val="18"/>
                <w:szCs w:val="18"/>
                <w:lang w:eastAsia="ru-RU"/>
              </w:rPr>
            </w:pPr>
            <w:r w:rsidRPr="009A4C46">
              <w:rPr>
                <w:rFonts w:eastAsia="Times New Roman"/>
                <w:color w:val="000000"/>
                <w:sz w:val="18"/>
                <w:szCs w:val="18"/>
                <w:lang w:eastAsia="ru-RU"/>
              </w:rPr>
              <w:t>0,09%</w:t>
            </w:r>
          </w:p>
        </w:tc>
        <w:tc>
          <w:tcPr>
            <w:tcW w:w="690" w:type="pct"/>
            <w:tcBorders>
              <w:top w:val="nil"/>
              <w:left w:val="nil"/>
              <w:bottom w:val="single" w:sz="8" w:space="0" w:color="auto"/>
              <w:right w:val="single" w:sz="8" w:space="0" w:color="auto"/>
            </w:tcBorders>
            <w:shd w:val="clear" w:color="auto" w:fill="auto"/>
            <w:noWrap/>
            <w:vAlign w:val="center"/>
            <w:hideMark/>
          </w:tcPr>
          <w:p w14:paraId="4AF385DD" w14:textId="77777777" w:rsidR="009A4C46" w:rsidRPr="009A4C46" w:rsidRDefault="009A4C46" w:rsidP="009A4C46">
            <w:pPr>
              <w:spacing w:after="0" w:line="240" w:lineRule="auto"/>
              <w:jc w:val="center"/>
              <w:rPr>
                <w:rFonts w:eastAsia="Times New Roman"/>
                <w:color w:val="000000"/>
                <w:sz w:val="18"/>
                <w:szCs w:val="18"/>
                <w:lang w:eastAsia="ru-RU"/>
              </w:rPr>
            </w:pPr>
            <w:r w:rsidRPr="009A4C46">
              <w:rPr>
                <w:rFonts w:eastAsia="Times New Roman"/>
                <w:color w:val="000000"/>
                <w:sz w:val="18"/>
                <w:szCs w:val="18"/>
                <w:lang w:eastAsia="ru-RU"/>
              </w:rPr>
              <w:t>0,08%</w:t>
            </w:r>
          </w:p>
        </w:tc>
        <w:tc>
          <w:tcPr>
            <w:tcW w:w="746" w:type="pct"/>
            <w:tcBorders>
              <w:top w:val="nil"/>
              <w:left w:val="nil"/>
              <w:bottom w:val="single" w:sz="8" w:space="0" w:color="auto"/>
              <w:right w:val="single" w:sz="8" w:space="0" w:color="auto"/>
            </w:tcBorders>
            <w:shd w:val="clear" w:color="auto" w:fill="auto"/>
            <w:noWrap/>
            <w:vAlign w:val="center"/>
            <w:hideMark/>
          </w:tcPr>
          <w:p w14:paraId="7B634048" w14:textId="77777777" w:rsidR="009A4C46" w:rsidRPr="009A4C46" w:rsidRDefault="009A4C46" w:rsidP="009A4C46">
            <w:pPr>
              <w:spacing w:after="0" w:line="240" w:lineRule="auto"/>
              <w:jc w:val="center"/>
              <w:rPr>
                <w:rFonts w:eastAsia="Times New Roman"/>
                <w:color w:val="000000"/>
                <w:sz w:val="18"/>
                <w:szCs w:val="18"/>
                <w:lang w:eastAsia="ru-RU"/>
              </w:rPr>
            </w:pPr>
            <w:r w:rsidRPr="009A4C46">
              <w:rPr>
                <w:rFonts w:eastAsia="Times New Roman"/>
                <w:color w:val="000000"/>
                <w:sz w:val="18"/>
                <w:szCs w:val="18"/>
                <w:lang w:eastAsia="ru-RU"/>
              </w:rPr>
              <w:t> </w:t>
            </w:r>
          </w:p>
        </w:tc>
      </w:tr>
      <w:tr w:rsidR="009A4C46" w:rsidRPr="009A4C46" w14:paraId="645A3317" w14:textId="77777777" w:rsidTr="00F94FED">
        <w:trPr>
          <w:trHeight w:val="369"/>
        </w:trPr>
        <w:tc>
          <w:tcPr>
            <w:tcW w:w="1205" w:type="pct"/>
            <w:tcBorders>
              <w:top w:val="nil"/>
              <w:left w:val="single" w:sz="4" w:space="0" w:color="auto"/>
              <w:bottom w:val="single" w:sz="4" w:space="0" w:color="auto"/>
              <w:right w:val="single" w:sz="4" w:space="0" w:color="auto"/>
            </w:tcBorders>
            <w:vAlign w:val="center"/>
            <w:hideMark/>
          </w:tcPr>
          <w:p w14:paraId="5E30C7E6" w14:textId="77777777" w:rsidR="009A4C46" w:rsidRPr="009A4C46" w:rsidRDefault="009A4C46" w:rsidP="009A4C46">
            <w:pPr>
              <w:spacing w:after="0" w:line="240" w:lineRule="auto"/>
              <w:rPr>
                <w:rFonts w:eastAsia="Times New Roman"/>
                <w:color w:val="000000"/>
                <w:sz w:val="18"/>
                <w:szCs w:val="18"/>
                <w:lang w:eastAsia="ru-RU"/>
              </w:rPr>
            </w:pPr>
            <w:r w:rsidRPr="009A4C46">
              <w:rPr>
                <w:rFonts w:eastAsia="Times New Roman"/>
                <w:color w:val="000000"/>
                <w:sz w:val="18"/>
                <w:szCs w:val="18"/>
                <w:lang w:eastAsia="ru-RU"/>
              </w:rPr>
              <w:t>здания, машины, оборудование</w:t>
            </w:r>
          </w:p>
        </w:tc>
        <w:tc>
          <w:tcPr>
            <w:tcW w:w="539" w:type="pct"/>
            <w:tcBorders>
              <w:top w:val="nil"/>
              <w:left w:val="nil"/>
              <w:bottom w:val="single" w:sz="8" w:space="0" w:color="auto"/>
              <w:right w:val="single" w:sz="8" w:space="0" w:color="auto"/>
            </w:tcBorders>
            <w:shd w:val="clear" w:color="auto" w:fill="auto"/>
            <w:noWrap/>
            <w:vAlign w:val="center"/>
            <w:hideMark/>
          </w:tcPr>
          <w:p w14:paraId="1071B14D" w14:textId="77777777" w:rsidR="009A4C46" w:rsidRPr="009A4C46" w:rsidRDefault="009A4C46" w:rsidP="009A4C46">
            <w:pPr>
              <w:spacing w:after="0" w:line="240" w:lineRule="auto"/>
              <w:jc w:val="center"/>
              <w:rPr>
                <w:rFonts w:eastAsia="Times New Roman"/>
                <w:color w:val="000000"/>
                <w:sz w:val="18"/>
                <w:szCs w:val="18"/>
                <w:lang w:eastAsia="ru-RU"/>
              </w:rPr>
            </w:pPr>
            <w:r w:rsidRPr="009A4C46">
              <w:rPr>
                <w:rFonts w:eastAsia="Times New Roman"/>
                <w:color w:val="000000"/>
                <w:sz w:val="18"/>
                <w:szCs w:val="18"/>
                <w:lang w:eastAsia="ru-RU"/>
              </w:rPr>
              <w:t>593 692</w:t>
            </w:r>
          </w:p>
        </w:tc>
        <w:tc>
          <w:tcPr>
            <w:tcW w:w="539" w:type="pct"/>
            <w:tcBorders>
              <w:top w:val="nil"/>
              <w:left w:val="nil"/>
              <w:bottom w:val="single" w:sz="8" w:space="0" w:color="auto"/>
              <w:right w:val="single" w:sz="8" w:space="0" w:color="auto"/>
            </w:tcBorders>
            <w:shd w:val="clear" w:color="auto" w:fill="auto"/>
            <w:noWrap/>
            <w:vAlign w:val="center"/>
            <w:hideMark/>
          </w:tcPr>
          <w:p w14:paraId="74AB9C47" w14:textId="77777777" w:rsidR="009A4C46" w:rsidRPr="009A4C46" w:rsidRDefault="009A4C46" w:rsidP="009A4C46">
            <w:pPr>
              <w:spacing w:after="0" w:line="240" w:lineRule="auto"/>
              <w:jc w:val="center"/>
              <w:rPr>
                <w:rFonts w:eastAsia="Times New Roman"/>
                <w:color w:val="000000"/>
                <w:sz w:val="18"/>
                <w:szCs w:val="18"/>
                <w:lang w:eastAsia="ru-RU"/>
              </w:rPr>
            </w:pPr>
            <w:r w:rsidRPr="009A4C46">
              <w:rPr>
                <w:rFonts w:eastAsia="Times New Roman"/>
                <w:color w:val="000000"/>
                <w:sz w:val="18"/>
                <w:szCs w:val="18"/>
                <w:lang w:eastAsia="ru-RU"/>
              </w:rPr>
              <w:t>641 119</w:t>
            </w:r>
          </w:p>
        </w:tc>
        <w:tc>
          <w:tcPr>
            <w:tcW w:w="539" w:type="pct"/>
            <w:tcBorders>
              <w:top w:val="nil"/>
              <w:left w:val="nil"/>
              <w:bottom w:val="single" w:sz="8" w:space="0" w:color="auto"/>
              <w:right w:val="single" w:sz="8" w:space="0" w:color="auto"/>
            </w:tcBorders>
            <w:shd w:val="clear" w:color="auto" w:fill="auto"/>
            <w:noWrap/>
            <w:vAlign w:val="center"/>
            <w:hideMark/>
          </w:tcPr>
          <w:p w14:paraId="769750AB" w14:textId="77777777" w:rsidR="009A4C46" w:rsidRPr="009A4C46" w:rsidRDefault="009A4C46" w:rsidP="009A4C46">
            <w:pPr>
              <w:spacing w:after="0" w:line="240" w:lineRule="auto"/>
              <w:jc w:val="center"/>
              <w:rPr>
                <w:rFonts w:eastAsia="Times New Roman"/>
                <w:color w:val="000000"/>
                <w:sz w:val="18"/>
                <w:szCs w:val="18"/>
                <w:lang w:eastAsia="ru-RU"/>
              </w:rPr>
            </w:pPr>
            <w:r w:rsidRPr="009A4C46">
              <w:rPr>
                <w:rFonts w:eastAsia="Times New Roman"/>
                <w:color w:val="000000"/>
                <w:sz w:val="18"/>
                <w:szCs w:val="18"/>
                <w:lang w:eastAsia="ru-RU"/>
              </w:rPr>
              <w:t>н/д</w:t>
            </w:r>
          </w:p>
        </w:tc>
        <w:tc>
          <w:tcPr>
            <w:tcW w:w="741" w:type="pct"/>
            <w:tcBorders>
              <w:top w:val="nil"/>
              <w:left w:val="nil"/>
              <w:bottom w:val="single" w:sz="8" w:space="0" w:color="auto"/>
              <w:right w:val="single" w:sz="8" w:space="0" w:color="auto"/>
            </w:tcBorders>
            <w:shd w:val="clear" w:color="auto" w:fill="auto"/>
            <w:noWrap/>
            <w:vAlign w:val="center"/>
            <w:hideMark/>
          </w:tcPr>
          <w:p w14:paraId="25FE9A26" w14:textId="77777777" w:rsidR="009A4C46" w:rsidRPr="009A4C46" w:rsidRDefault="009A4C46" w:rsidP="009A4C46">
            <w:pPr>
              <w:spacing w:after="0" w:line="240" w:lineRule="auto"/>
              <w:jc w:val="center"/>
              <w:rPr>
                <w:rFonts w:eastAsia="Times New Roman"/>
                <w:color w:val="000000"/>
                <w:sz w:val="18"/>
                <w:szCs w:val="18"/>
                <w:lang w:eastAsia="ru-RU"/>
              </w:rPr>
            </w:pPr>
            <w:r w:rsidRPr="009A4C46">
              <w:rPr>
                <w:rFonts w:eastAsia="Times New Roman"/>
                <w:color w:val="000000"/>
                <w:sz w:val="18"/>
                <w:szCs w:val="18"/>
                <w:lang w:eastAsia="ru-RU"/>
              </w:rPr>
              <w:t>58,65%</w:t>
            </w:r>
          </w:p>
        </w:tc>
        <w:tc>
          <w:tcPr>
            <w:tcW w:w="690" w:type="pct"/>
            <w:tcBorders>
              <w:top w:val="nil"/>
              <w:left w:val="nil"/>
              <w:bottom w:val="single" w:sz="8" w:space="0" w:color="auto"/>
              <w:right w:val="single" w:sz="8" w:space="0" w:color="auto"/>
            </w:tcBorders>
            <w:shd w:val="clear" w:color="auto" w:fill="auto"/>
            <w:noWrap/>
            <w:vAlign w:val="center"/>
            <w:hideMark/>
          </w:tcPr>
          <w:p w14:paraId="336C582E" w14:textId="77777777" w:rsidR="009A4C46" w:rsidRPr="009A4C46" w:rsidRDefault="009A4C46" w:rsidP="009A4C46">
            <w:pPr>
              <w:spacing w:after="0" w:line="240" w:lineRule="auto"/>
              <w:jc w:val="center"/>
              <w:rPr>
                <w:rFonts w:eastAsia="Times New Roman"/>
                <w:color w:val="000000"/>
                <w:sz w:val="18"/>
                <w:szCs w:val="18"/>
                <w:lang w:eastAsia="ru-RU"/>
              </w:rPr>
            </w:pPr>
            <w:r w:rsidRPr="009A4C46">
              <w:rPr>
                <w:rFonts w:eastAsia="Times New Roman"/>
                <w:color w:val="000000"/>
                <w:sz w:val="18"/>
                <w:szCs w:val="18"/>
                <w:lang w:eastAsia="ru-RU"/>
              </w:rPr>
              <w:t>54,76%</w:t>
            </w:r>
          </w:p>
        </w:tc>
        <w:tc>
          <w:tcPr>
            <w:tcW w:w="746" w:type="pct"/>
            <w:tcBorders>
              <w:top w:val="nil"/>
              <w:left w:val="nil"/>
              <w:bottom w:val="single" w:sz="8" w:space="0" w:color="auto"/>
              <w:right w:val="single" w:sz="8" w:space="0" w:color="auto"/>
            </w:tcBorders>
            <w:shd w:val="clear" w:color="auto" w:fill="auto"/>
            <w:noWrap/>
            <w:vAlign w:val="center"/>
            <w:hideMark/>
          </w:tcPr>
          <w:p w14:paraId="5E7FB546" w14:textId="77777777" w:rsidR="009A4C46" w:rsidRPr="009A4C46" w:rsidRDefault="009A4C46" w:rsidP="009A4C46">
            <w:pPr>
              <w:spacing w:after="0" w:line="240" w:lineRule="auto"/>
              <w:jc w:val="center"/>
              <w:rPr>
                <w:rFonts w:eastAsia="Times New Roman"/>
                <w:color w:val="000000"/>
                <w:sz w:val="18"/>
                <w:szCs w:val="18"/>
                <w:lang w:eastAsia="ru-RU"/>
              </w:rPr>
            </w:pPr>
            <w:r w:rsidRPr="009A4C46">
              <w:rPr>
                <w:rFonts w:eastAsia="Times New Roman"/>
                <w:color w:val="000000"/>
                <w:sz w:val="18"/>
                <w:szCs w:val="18"/>
                <w:lang w:eastAsia="ru-RU"/>
              </w:rPr>
              <w:t> </w:t>
            </w:r>
          </w:p>
        </w:tc>
      </w:tr>
      <w:tr w:rsidR="009A4C46" w:rsidRPr="009A4C46" w14:paraId="347ADE59" w14:textId="77777777" w:rsidTr="00F94FED">
        <w:trPr>
          <w:trHeight w:val="405"/>
        </w:trPr>
        <w:tc>
          <w:tcPr>
            <w:tcW w:w="1205" w:type="pct"/>
            <w:tcBorders>
              <w:top w:val="nil"/>
              <w:left w:val="single" w:sz="4" w:space="0" w:color="auto"/>
              <w:bottom w:val="single" w:sz="4" w:space="0" w:color="auto"/>
              <w:right w:val="single" w:sz="4" w:space="0" w:color="auto"/>
            </w:tcBorders>
            <w:vAlign w:val="center"/>
            <w:hideMark/>
          </w:tcPr>
          <w:p w14:paraId="7366F270" w14:textId="77777777" w:rsidR="009A4C46" w:rsidRPr="009A4C46" w:rsidRDefault="009A4C46" w:rsidP="009A4C46">
            <w:pPr>
              <w:spacing w:after="0" w:line="240" w:lineRule="auto"/>
              <w:rPr>
                <w:rFonts w:eastAsia="Times New Roman"/>
                <w:color w:val="000000"/>
                <w:sz w:val="18"/>
                <w:szCs w:val="18"/>
                <w:lang w:eastAsia="ru-RU"/>
              </w:rPr>
            </w:pPr>
            <w:r w:rsidRPr="009A4C46">
              <w:rPr>
                <w:rFonts w:eastAsia="Times New Roman"/>
                <w:color w:val="000000"/>
                <w:sz w:val="18"/>
                <w:szCs w:val="18"/>
                <w:lang w:eastAsia="ru-RU"/>
              </w:rPr>
              <w:t>другие виды основных средств</w:t>
            </w:r>
          </w:p>
        </w:tc>
        <w:tc>
          <w:tcPr>
            <w:tcW w:w="539" w:type="pct"/>
            <w:tcBorders>
              <w:top w:val="nil"/>
              <w:left w:val="nil"/>
              <w:bottom w:val="single" w:sz="8" w:space="0" w:color="auto"/>
              <w:right w:val="single" w:sz="8" w:space="0" w:color="auto"/>
            </w:tcBorders>
            <w:shd w:val="clear" w:color="auto" w:fill="auto"/>
            <w:noWrap/>
            <w:vAlign w:val="center"/>
            <w:hideMark/>
          </w:tcPr>
          <w:p w14:paraId="4F6FA0E8" w14:textId="77777777" w:rsidR="009A4C46" w:rsidRPr="009A4C46" w:rsidRDefault="009A4C46" w:rsidP="009A4C46">
            <w:pPr>
              <w:spacing w:after="0" w:line="240" w:lineRule="auto"/>
              <w:jc w:val="center"/>
              <w:rPr>
                <w:rFonts w:eastAsia="Times New Roman"/>
                <w:color w:val="000000"/>
                <w:sz w:val="18"/>
                <w:szCs w:val="18"/>
                <w:lang w:eastAsia="ru-RU"/>
              </w:rPr>
            </w:pPr>
            <w:r w:rsidRPr="009A4C46">
              <w:rPr>
                <w:rFonts w:eastAsia="Times New Roman"/>
                <w:color w:val="000000"/>
                <w:sz w:val="18"/>
                <w:szCs w:val="18"/>
                <w:lang w:eastAsia="ru-RU"/>
              </w:rPr>
              <w:t>38 128</w:t>
            </w:r>
          </w:p>
        </w:tc>
        <w:tc>
          <w:tcPr>
            <w:tcW w:w="539" w:type="pct"/>
            <w:tcBorders>
              <w:top w:val="nil"/>
              <w:left w:val="nil"/>
              <w:bottom w:val="single" w:sz="8" w:space="0" w:color="auto"/>
              <w:right w:val="single" w:sz="8" w:space="0" w:color="auto"/>
            </w:tcBorders>
            <w:shd w:val="clear" w:color="auto" w:fill="auto"/>
            <w:noWrap/>
            <w:vAlign w:val="center"/>
            <w:hideMark/>
          </w:tcPr>
          <w:p w14:paraId="087CC59E" w14:textId="77777777" w:rsidR="009A4C46" w:rsidRPr="009A4C46" w:rsidRDefault="009A4C46" w:rsidP="009A4C46">
            <w:pPr>
              <w:spacing w:after="0" w:line="240" w:lineRule="auto"/>
              <w:jc w:val="center"/>
              <w:rPr>
                <w:rFonts w:eastAsia="Times New Roman"/>
                <w:color w:val="000000"/>
                <w:sz w:val="18"/>
                <w:szCs w:val="18"/>
                <w:lang w:eastAsia="ru-RU"/>
              </w:rPr>
            </w:pPr>
            <w:r w:rsidRPr="009A4C46">
              <w:rPr>
                <w:rFonts w:eastAsia="Times New Roman"/>
                <w:color w:val="000000"/>
                <w:sz w:val="18"/>
                <w:szCs w:val="18"/>
                <w:lang w:eastAsia="ru-RU"/>
              </w:rPr>
              <w:t>23 445</w:t>
            </w:r>
          </w:p>
        </w:tc>
        <w:tc>
          <w:tcPr>
            <w:tcW w:w="539" w:type="pct"/>
            <w:tcBorders>
              <w:top w:val="nil"/>
              <w:left w:val="nil"/>
              <w:bottom w:val="single" w:sz="8" w:space="0" w:color="auto"/>
              <w:right w:val="single" w:sz="8" w:space="0" w:color="auto"/>
            </w:tcBorders>
            <w:shd w:val="clear" w:color="auto" w:fill="auto"/>
            <w:noWrap/>
            <w:vAlign w:val="center"/>
            <w:hideMark/>
          </w:tcPr>
          <w:p w14:paraId="35B5F000" w14:textId="77777777" w:rsidR="009A4C46" w:rsidRPr="009A4C46" w:rsidRDefault="009A4C46" w:rsidP="009A4C46">
            <w:pPr>
              <w:spacing w:after="0" w:line="240" w:lineRule="auto"/>
              <w:jc w:val="center"/>
              <w:rPr>
                <w:rFonts w:eastAsia="Times New Roman"/>
                <w:color w:val="000000"/>
                <w:sz w:val="18"/>
                <w:szCs w:val="18"/>
                <w:lang w:eastAsia="ru-RU"/>
              </w:rPr>
            </w:pPr>
            <w:r w:rsidRPr="009A4C46">
              <w:rPr>
                <w:rFonts w:eastAsia="Times New Roman"/>
                <w:color w:val="000000"/>
                <w:sz w:val="18"/>
                <w:szCs w:val="18"/>
                <w:lang w:eastAsia="ru-RU"/>
              </w:rPr>
              <w:t>н/д</w:t>
            </w:r>
          </w:p>
        </w:tc>
        <w:tc>
          <w:tcPr>
            <w:tcW w:w="741" w:type="pct"/>
            <w:tcBorders>
              <w:top w:val="nil"/>
              <w:left w:val="nil"/>
              <w:bottom w:val="single" w:sz="8" w:space="0" w:color="auto"/>
              <w:right w:val="single" w:sz="8" w:space="0" w:color="auto"/>
            </w:tcBorders>
            <w:shd w:val="clear" w:color="auto" w:fill="auto"/>
            <w:noWrap/>
            <w:vAlign w:val="center"/>
            <w:hideMark/>
          </w:tcPr>
          <w:p w14:paraId="1FC51348" w14:textId="77777777" w:rsidR="009A4C46" w:rsidRPr="009A4C46" w:rsidRDefault="009A4C46" w:rsidP="009A4C46">
            <w:pPr>
              <w:spacing w:after="0" w:line="240" w:lineRule="auto"/>
              <w:jc w:val="center"/>
              <w:rPr>
                <w:rFonts w:eastAsia="Times New Roman"/>
                <w:color w:val="000000"/>
                <w:sz w:val="18"/>
                <w:szCs w:val="18"/>
                <w:lang w:eastAsia="ru-RU"/>
              </w:rPr>
            </w:pPr>
            <w:r w:rsidRPr="009A4C46">
              <w:rPr>
                <w:rFonts w:eastAsia="Times New Roman"/>
                <w:color w:val="000000"/>
                <w:sz w:val="18"/>
                <w:szCs w:val="18"/>
                <w:lang w:eastAsia="ru-RU"/>
              </w:rPr>
              <w:t>3,77%</w:t>
            </w:r>
          </w:p>
        </w:tc>
        <w:tc>
          <w:tcPr>
            <w:tcW w:w="690" w:type="pct"/>
            <w:tcBorders>
              <w:top w:val="nil"/>
              <w:left w:val="nil"/>
              <w:bottom w:val="single" w:sz="8" w:space="0" w:color="auto"/>
              <w:right w:val="single" w:sz="8" w:space="0" w:color="auto"/>
            </w:tcBorders>
            <w:shd w:val="clear" w:color="auto" w:fill="auto"/>
            <w:noWrap/>
            <w:vAlign w:val="center"/>
            <w:hideMark/>
          </w:tcPr>
          <w:p w14:paraId="66817E7B" w14:textId="77777777" w:rsidR="009A4C46" w:rsidRPr="009A4C46" w:rsidRDefault="009A4C46" w:rsidP="009A4C46">
            <w:pPr>
              <w:spacing w:after="0" w:line="240" w:lineRule="auto"/>
              <w:jc w:val="center"/>
              <w:rPr>
                <w:rFonts w:eastAsia="Times New Roman"/>
                <w:color w:val="000000"/>
                <w:sz w:val="18"/>
                <w:szCs w:val="18"/>
                <w:lang w:eastAsia="ru-RU"/>
              </w:rPr>
            </w:pPr>
            <w:r w:rsidRPr="009A4C46">
              <w:rPr>
                <w:rFonts w:eastAsia="Times New Roman"/>
                <w:color w:val="000000"/>
                <w:sz w:val="18"/>
                <w:szCs w:val="18"/>
                <w:lang w:eastAsia="ru-RU"/>
              </w:rPr>
              <w:t>2,00%</w:t>
            </w:r>
          </w:p>
        </w:tc>
        <w:tc>
          <w:tcPr>
            <w:tcW w:w="746" w:type="pct"/>
            <w:tcBorders>
              <w:top w:val="nil"/>
              <w:left w:val="nil"/>
              <w:bottom w:val="single" w:sz="8" w:space="0" w:color="auto"/>
              <w:right w:val="single" w:sz="8" w:space="0" w:color="auto"/>
            </w:tcBorders>
            <w:shd w:val="clear" w:color="auto" w:fill="auto"/>
            <w:noWrap/>
            <w:vAlign w:val="center"/>
            <w:hideMark/>
          </w:tcPr>
          <w:p w14:paraId="10DE1FE9" w14:textId="77777777" w:rsidR="009A4C46" w:rsidRPr="009A4C46" w:rsidRDefault="009A4C46" w:rsidP="009A4C46">
            <w:pPr>
              <w:spacing w:after="0" w:line="240" w:lineRule="auto"/>
              <w:jc w:val="center"/>
              <w:rPr>
                <w:rFonts w:eastAsia="Times New Roman"/>
                <w:color w:val="000000"/>
                <w:sz w:val="18"/>
                <w:szCs w:val="18"/>
                <w:lang w:eastAsia="ru-RU"/>
              </w:rPr>
            </w:pPr>
            <w:r w:rsidRPr="009A4C46">
              <w:rPr>
                <w:rFonts w:eastAsia="Times New Roman"/>
                <w:color w:val="000000"/>
                <w:sz w:val="18"/>
                <w:szCs w:val="18"/>
                <w:lang w:eastAsia="ru-RU"/>
              </w:rPr>
              <w:t> </w:t>
            </w:r>
          </w:p>
        </w:tc>
      </w:tr>
      <w:tr w:rsidR="009A4C46" w:rsidRPr="009A4C46" w14:paraId="1C9E4A68" w14:textId="77777777" w:rsidTr="00F94FED">
        <w:trPr>
          <w:trHeight w:val="525"/>
        </w:trPr>
        <w:tc>
          <w:tcPr>
            <w:tcW w:w="1205" w:type="pct"/>
            <w:tcBorders>
              <w:top w:val="nil"/>
              <w:left w:val="single" w:sz="4" w:space="0" w:color="auto"/>
              <w:bottom w:val="single" w:sz="4" w:space="0" w:color="auto"/>
              <w:right w:val="single" w:sz="4" w:space="0" w:color="auto"/>
            </w:tcBorders>
            <w:vAlign w:val="center"/>
            <w:hideMark/>
          </w:tcPr>
          <w:p w14:paraId="68B0D8B7" w14:textId="77777777" w:rsidR="009A4C46" w:rsidRPr="009A4C46" w:rsidRDefault="009A4C46" w:rsidP="009A4C46">
            <w:pPr>
              <w:spacing w:after="0" w:line="240" w:lineRule="auto"/>
              <w:rPr>
                <w:rFonts w:eastAsia="Times New Roman"/>
                <w:color w:val="000000"/>
                <w:sz w:val="18"/>
                <w:szCs w:val="18"/>
                <w:lang w:eastAsia="ru-RU"/>
              </w:rPr>
            </w:pPr>
            <w:r w:rsidRPr="009A4C46">
              <w:rPr>
                <w:rFonts w:eastAsia="Times New Roman"/>
                <w:color w:val="000000"/>
                <w:sz w:val="18"/>
                <w:szCs w:val="18"/>
                <w:lang w:eastAsia="ru-RU"/>
              </w:rPr>
              <w:t>незавершенное строительство</w:t>
            </w:r>
          </w:p>
        </w:tc>
        <w:tc>
          <w:tcPr>
            <w:tcW w:w="539" w:type="pct"/>
            <w:tcBorders>
              <w:top w:val="nil"/>
              <w:left w:val="nil"/>
              <w:bottom w:val="single" w:sz="8" w:space="0" w:color="auto"/>
              <w:right w:val="single" w:sz="8" w:space="0" w:color="auto"/>
            </w:tcBorders>
            <w:shd w:val="clear" w:color="auto" w:fill="auto"/>
            <w:noWrap/>
            <w:vAlign w:val="center"/>
            <w:hideMark/>
          </w:tcPr>
          <w:p w14:paraId="6376E342" w14:textId="77777777" w:rsidR="009A4C46" w:rsidRPr="009A4C46" w:rsidRDefault="009A4C46" w:rsidP="009A4C46">
            <w:pPr>
              <w:spacing w:after="0" w:line="240" w:lineRule="auto"/>
              <w:jc w:val="center"/>
              <w:rPr>
                <w:rFonts w:eastAsia="Times New Roman"/>
                <w:color w:val="000000"/>
                <w:sz w:val="18"/>
                <w:szCs w:val="18"/>
                <w:lang w:eastAsia="ru-RU"/>
              </w:rPr>
            </w:pPr>
            <w:r w:rsidRPr="009A4C46">
              <w:rPr>
                <w:rFonts w:eastAsia="Times New Roman"/>
                <w:color w:val="000000"/>
                <w:sz w:val="18"/>
                <w:szCs w:val="18"/>
                <w:lang w:eastAsia="ru-RU"/>
              </w:rPr>
              <w:t>347 079</w:t>
            </w:r>
          </w:p>
        </w:tc>
        <w:tc>
          <w:tcPr>
            <w:tcW w:w="539" w:type="pct"/>
            <w:tcBorders>
              <w:top w:val="nil"/>
              <w:left w:val="nil"/>
              <w:bottom w:val="single" w:sz="8" w:space="0" w:color="auto"/>
              <w:right w:val="single" w:sz="8" w:space="0" w:color="auto"/>
            </w:tcBorders>
            <w:shd w:val="clear" w:color="auto" w:fill="auto"/>
            <w:noWrap/>
            <w:vAlign w:val="center"/>
            <w:hideMark/>
          </w:tcPr>
          <w:p w14:paraId="62F941B4" w14:textId="77777777" w:rsidR="009A4C46" w:rsidRPr="009A4C46" w:rsidRDefault="009A4C46" w:rsidP="009A4C46">
            <w:pPr>
              <w:spacing w:after="0" w:line="240" w:lineRule="auto"/>
              <w:jc w:val="center"/>
              <w:rPr>
                <w:rFonts w:eastAsia="Times New Roman"/>
                <w:color w:val="000000"/>
                <w:sz w:val="18"/>
                <w:szCs w:val="18"/>
                <w:lang w:eastAsia="ru-RU"/>
              </w:rPr>
            </w:pPr>
            <w:r w:rsidRPr="009A4C46">
              <w:rPr>
                <w:rFonts w:eastAsia="Times New Roman"/>
                <w:color w:val="000000"/>
                <w:sz w:val="18"/>
                <w:szCs w:val="18"/>
                <w:lang w:eastAsia="ru-RU"/>
              </w:rPr>
              <w:t>477 833</w:t>
            </w:r>
          </w:p>
        </w:tc>
        <w:tc>
          <w:tcPr>
            <w:tcW w:w="539" w:type="pct"/>
            <w:tcBorders>
              <w:top w:val="nil"/>
              <w:left w:val="nil"/>
              <w:bottom w:val="single" w:sz="8" w:space="0" w:color="auto"/>
              <w:right w:val="single" w:sz="8" w:space="0" w:color="auto"/>
            </w:tcBorders>
            <w:shd w:val="clear" w:color="auto" w:fill="auto"/>
            <w:noWrap/>
            <w:vAlign w:val="center"/>
            <w:hideMark/>
          </w:tcPr>
          <w:p w14:paraId="0F5A715B" w14:textId="77777777" w:rsidR="009A4C46" w:rsidRPr="009A4C46" w:rsidRDefault="009A4C46" w:rsidP="009A4C46">
            <w:pPr>
              <w:spacing w:after="0" w:line="240" w:lineRule="auto"/>
              <w:jc w:val="center"/>
              <w:rPr>
                <w:rFonts w:eastAsia="Times New Roman"/>
                <w:color w:val="000000"/>
                <w:sz w:val="18"/>
                <w:szCs w:val="18"/>
                <w:lang w:eastAsia="ru-RU"/>
              </w:rPr>
            </w:pPr>
            <w:r w:rsidRPr="009A4C46">
              <w:rPr>
                <w:rFonts w:eastAsia="Times New Roman"/>
                <w:color w:val="000000"/>
                <w:sz w:val="18"/>
                <w:szCs w:val="18"/>
                <w:lang w:eastAsia="ru-RU"/>
              </w:rPr>
              <w:t>н/д</w:t>
            </w:r>
          </w:p>
        </w:tc>
        <w:tc>
          <w:tcPr>
            <w:tcW w:w="741" w:type="pct"/>
            <w:tcBorders>
              <w:top w:val="nil"/>
              <w:left w:val="nil"/>
              <w:bottom w:val="single" w:sz="8" w:space="0" w:color="auto"/>
              <w:right w:val="single" w:sz="8" w:space="0" w:color="auto"/>
            </w:tcBorders>
            <w:shd w:val="clear" w:color="auto" w:fill="auto"/>
            <w:noWrap/>
            <w:vAlign w:val="center"/>
            <w:hideMark/>
          </w:tcPr>
          <w:p w14:paraId="1BBB772B" w14:textId="77777777" w:rsidR="009A4C46" w:rsidRPr="009A4C46" w:rsidRDefault="009A4C46" w:rsidP="009A4C46">
            <w:pPr>
              <w:spacing w:after="0" w:line="240" w:lineRule="auto"/>
              <w:jc w:val="center"/>
              <w:rPr>
                <w:rFonts w:eastAsia="Times New Roman"/>
                <w:color w:val="000000"/>
                <w:sz w:val="18"/>
                <w:szCs w:val="18"/>
                <w:lang w:eastAsia="ru-RU"/>
              </w:rPr>
            </w:pPr>
            <w:r w:rsidRPr="009A4C46">
              <w:rPr>
                <w:rFonts w:eastAsia="Times New Roman"/>
                <w:color w:val="000000"/>
                <w:sz w:val="18"/>
                <w:szCs w:val="18"/>
                <w:lang w:eastAsia="ru-RU"/>
              </w:rPr>
              <w:t>34,29%</w:t>
            </w:r>
          </w:p>
        </w:tc>
        <w:tc>
          <w:tcPr>
            <w:tcW w:w="690" w:type="pct"/>
            <w:tcBorders>
              <w:top w:val="nil"/>
              <w:left w:val="nil"/>
              <w:bottom w:val="single" w:sz="8" w:space="0" w:color="auto"/>
              <w:right w:val="single" w:sz="8" w:space="0" w:color="auto"/>
            </w:tcBorders>
            <w:shd w:val="clear" w:color="auto" w:fill="auto"/>
            <w:noWrap/>
            <w:vAlign w:val="center"/>
            <w:hideMark/>
          </w:tcPr>
          <w:p w14:paraId="01D76E90" w14:textId="77777777" w:rsidR="009A4C46" w:rsidRPr="009A4C46" w:rsidRDefault="009A4C46" w:rsidP="009A4C46">
            <w:pPr>
              <w:spacing w:after="0" w:line="240" w:lineRule="auto"/>
              <w:jc w:val="center"/>
              <w:rPr>
                <w:rFonts w:eastAsia="Times New Roman"/>
                <w:color w:val="000000"/>
                <w:sz w:val="18"/>
                <w:szCs w:val="18"/>
                <w:lang w:eastAsia="ru-RU"/>
              </w:rPr>
            </w:pPr>
            <w:r w:rsidRPr="009A4C46">
              <w:rPr>
                <w:rFonts w:eastAsia="Times New Roman"/>
                <w:color w:val="000000"/>
                <w:sz w:val="18"/>
                <w:szCs w:val="18"/>
                <w:lang w:eastAsia="ru-RU"/>
              </w:rPr>
              <w:t>40,81%</w:t>
            </w:r>
          </w:p>
        </w:tc>
        <w:tc>
          <w:tcPr>
            <w:tcW w:w="746" w:type="pct"/>
            <w:tcBorders>
              <w:top w:val="nil"/>
              <w:left w:val="nil"/>
              <w:bottom w:val="single" w:sz="8" w:space="0" w:color="auto"/>
              <w:right w:val="single" w:sz="8" w:space="0" w:color="auto"/>
            </w:tcBorders>
            <w:shd w:val="clear" w:color="auto" w:fill="auto"/>
            <w:noWrap/>
            <w:vAlign w:val="center"/>
            <w:hideMark/>
          </w:tcPr>
          <w:p w14:paraId="40B937CB" w14:textId="77777777" w:rsidR="009A4C46" w:rsidRPr="009A4C46" w:rsidRDefault="009A4C46" w:rsidP="009A4C46">
            <w:pPr>
              <w:spacing w:after="0" w:line="240" w:lineRule="auto"/>
              <w:jc w:val="center"/>
              <w:rPr>
                <w:rFonts w:eastAsia="Times New Roman"/>
                <w:color w:val="000000"/>
                <w:sz w:val="18"/>
                <w:szCs w:val="18"/>
                <w:lang w:eastAsia="ru-RU"/>
              </w:rPr>
            </w:pPr>
            <w:r w:rsidRPr="009A4C46">
              <w:rPr>
                <w:rFonts w:eastAsia="Times New Roman"/>
                <w:color w:val="000000"/>
                <w:sz w:val="18"/>
                <w:szCs w:val="18"/>
                <w:lang w:eastAsia="ru-RU"/>
              </w:rPr>
              <w:t> </w:t>
            </w:r>
          </w:p>
        </w:tc>
      </w:tr>
      <w:tr w:rsidR="009A4C46" w:rsidRPr="009A4C46" w14:paraId="443B7669" w14:textId="77777777" w:rsidTr="00F94FED">
        <w:trPr>
          <w:trHeight w:val="631"/>
        </w:trPr>
        <w:tc>
          <w:tcPr>
            <w:tcW w:w="1205" w:type="pct"/>
            <w:tcBorders>
              <w:top w:val="nil"/>
              <w:left w:val="single" w:sz="4" w:space="0" w:color="auto"/>
              <w:bottom w:val="single" w:sz="4" w:space="0" w:color="auto"/>
              <w:right w:val="single" w:sz="4" w:space="0" w:color="auto"/>
            </w:tcBorders>
            <w:vAlign w:val="center"/>
            <w:hideMark/>
          </w:tcPr>
          <w:p w14:paraId="7F993239" w14:textId="77777777" w:rsidR="009A4C46" w:rsidRPr="009A4C46" w:rsidRDefault="009A4C46" w:rsidP="009A4C46">
            <w:pPr>
              <w:spacing w:after="0" w:line="240" w:lineRule="auto"/>
              <w:rPr>
                <w:rFonts w:eastAsia="Times New Roman"/>
                <w:color w:val="000000"/>
                <w:sz w:val="18"/>
                <w:szCs w:val="18"/>
                <w:lang w:eastAsia="ru-RU"/>
              </w:rPr>
            </w:pPr>
            <w:r w:rsidRPr="009A4C46">
              <w:rPr>
                <w:rFonts w:eastAsia="Times New Roman"/>
                <w:color w:val="000000"/>
                <w:sz w:val="18"/>
                <w:szCs w:val="18"/>
                <w:lang w:eastAsia="ru-RU"/>
              </w:rPr>
              <w:t>авансы, выданные под капитальное строительство и приобретение основных средств</w:t>
            </w:r>
          </w:p>
        </w:tc>
        <w:tc>
          <w:tcPr>
            <w:tcW w:w="539" w:type="pct"/>
            <w:tcBorders>
              <w:top w:val="nil"/>
              <w:left w:val="nil"/>
              <w:bottom w:val="single" w:sz="8" w:space="0" w:color="auto"/>
              <w:right w:val="single" w:sz="8" w:space="0" w:color="auto"/>
            </w:tcBorders>
            <w:shd w:val="clear" w:color="auto" w:fill="auto"/>
            <w:noWrap/>
            <w:vAlign w:val="center"/>
            <w:hideMark/>
          </w:tcPr>
          <w:p w14:paraId="3328A89F" w14:textId="77777777" w:rsidR="009A4C46" w:rsidRPr="009A4C46" w:rsidRDefault="009A4C46" w:rsidP="009A4C46">
            <w:pPr>
              <w:spacing w:after="0" w:line="240" w:lineRule="auto"/>
              <w:jc w:val="center"/>
              <w:rPr>
                <w:rFonts w:eastAsia="Times New Roman"/>
                <w:color w:val="000000"/>
                <w:sz w:val="18"/>
                <w:szCs w:val="18"/>
                <w:lang w:eastAsia="ru-RU"/>
              </w:rPr>
            </w:pPr>
            <w:r w:rsidRPr="009A4C46">
              <w:rPr>
                <w:rFonts w:eastAsia="Times New Roman"/>
                <w:color w:val="000000"/>
                <w:sz w:val="18"/>
                <w:szCs w:val="18"/>
                <w:lang w:eastAsia="ru-RU"/>
              </w:rPr>
              <w:t>6 053</w:t>
            </w:r>
          </w:p>
        </w:tc>
        <w:tc>
          <w:tcPr>
            <w:tcW w:w="539" w:type="pct"/>
            <w:tcBorders>
              <w:top w:val="nil"/>
              <w:left w:val="nil"/>
              <w:bottom w:val="single" w:sz="8" w:space="0" w:color="auto"/>
              <w:right w:val="single" w:sz="8" w:space="0" w:color="auto"/>
            </w:tcBorders>
            <w:shd w:val="clear" w:color="auto" w:fill="auto"/>
            <w:noWrap/>
            <w:vAlign w:val="center"/>
            <w:hideMark/>
          </w:tcPr>
          <w:p w14:paraId="39D9B59A" w14:textId="77777777" w:rsidR="009A4C46" w:rsidRPr="009A4C46" w:rsidRDefault="009A4C46" w:rsidP="009A4C46">
            <w:pPr>
              <w:spacing w:after="0" w:line="240" w:lineRule="auto"/>
              <w:jc w:val="center"/>
              <w:rPr>
                <w:rFonts w:eastAsia="Times New Roman"/>
                <w:color w:val="000000"/>
                <w:sz w:val="18"/>
                <w:szCs w:val="18"/>
                <w:lang w:eastAsia="ru-RU"/>
              </w:rPr>
            </w:pPr>
            <w:r w:rsidRPr="009A4C46">
              <w:rPr>
                <w:rFonts w:eastAsia="Times New Roman"/>
                <w:color w:val="000000"/>
                <w:sz w:val="18"/>
                <w:szCs w:val="18"/>
                <w:lang w:eastAsia="ru-RU"/>
              </w:rPr>
              <w:t> </w:t>
            </w:r>
          </w:p>
        </w:tc>
        <w:tc>
          <w:tcPr>
            <w:tcW w:w="539" w:type="pct"/>
            <w:tcBorders>
              <w:top w:val="nil"/>
              <w:left w:val="nil"/>
              <w:bottom w:val="single" w:sz="8" w:space="0" w:color="auto"/>
              <w:right w:val="single" w:sz="8" w:space="0" w:color="auto"/>
            </w:tcBorders>
            <w:shd w:val="clear" w:color="auto" w:fill="auto"/>
            <w:noWrap/>
            <w:vAlign w:val="center"/>
            <w:hideMark/>
          </w:tcPr>
          <w:p w14:paraId="7018A69D" w14:textId="77777777" w:rsidR="009A4C46" w:rsidRPr="009A4C46" w:rsidRDefault="009A4C46" w:rsidP="009A4C46">
            <w:pPr>
              <w:spacing w:after="0" w:line="240" w:lineRule="auto"/>
              <w:jc w:val="center"/>
              <w:rPr>
                <w:rFonts w:eastAsia="Times New Roman"/>
                <w:color w:val="000000"/>
                <w:sz w:val="18"/>
                <w:szCs w:val="18"/>
                <w:lang w:eastAsia="ru-RU"/>
              </w:rPr>
            </w:pPr>
            <w:r w:rsidRPr="009A4C46">
              <w:rPr>
                <w:rFonts w:eastAsia="Times New Roman"/>
                <w:color w:val="000000"/>
                <w:sz w:val="18"/>
                <w:szCs w:val="18"/>
                <w:lang w:eastAsia="ru-RU"/>
              </w:rPr>
              <w:t>н/д</w:t>
            </w:r>
          </w:p>
        </w:tc>
        <w:tc>
          <w:tcPr>
            <w:tcW w:w="741" w:type="pct"/>
            <w:tcBorders>
              <w:top w:val="nil"/>
              <w:left w:val="nil"/>
              <w:bottom w:val="single" w:sz="8" w:space="0" w:color="auto"/>
              <w:right w:val="single" w:sz="8" w:space="0" w:color="auto"/>
            </w:tcBorders>
            <w:shd w:val="clear" w:color="auto" w:fill="auto"/>
            <w:noWrap/>
            <w:vAlign w:val="center"/>
            <w:hideMark/>
          </w:tcPr>
          <w:p w14:paraId="7CBCD4C9" w14:textId="77777777" w:rsidR="009A4C46" w:rsidRPr="009A4C46" w:rsidRDefault="009A4C46" w:rsidP="009A4C46">
            <w:pPr>
              <w:spacing w:after="0" w:line="240" w:lineRule="auto"/>
              <w:jc w:val="center"/>
              <w:rPr>
                <w:rFonts w:eastAsia="Times New Roman"/>
                <w:color w:val="000000"/>
                <w:sz w:val="18"/>
                <w:szCs w:val="18"/>
                <w:lang w:eastAsia="ru-RU"/>
              </w:rPr>
            </w:pPr>
            <w:r w:rsidRPr="009A4C46">
              <w:rPr>
                <w:rFonts w:eastAsia="Times New Roman"/>
                <w:color w:val="000000"/>
                <w:sz w:val="18"/>
                <w:szCs w:val="18"/>
                <w:lang w:eastAsia="ru-RU"/>
              </w:rPr>
              <w:t>0,60%</w:t>
            </w:r>
          </w:p>
        </w:tc>
        <w:tc>
          <w:tcPr>
            <w:tcW w:w="690" w:type="pct"/>
            <w:tcBorders>
              <w:top w:val="nil"/>
              <w:left w:val="nil"/>
              <w:bottom w:val="single" w:sz="8" w:space="0" w:color="auto"/>
              <w:right w:val="single" w:sz="8" w:space="0" w:color="auto"/>
            </w:tcBorders>
            <w:shd w:val="clear" w:color="auto" w:fill="auto"/>
            <w:noWrap/>
            <w:vAlign w:val="center"/>
            <w:hideMark/>
          </w:tcPr>
          <w:p w14:paraId="733C17AE" w14:textId="77777777" w:rsidR="009A4C46" w:rsidRPr="009A4C46" w:rsidRDefault="009A4C46" w:rsidP="009A4C46">
            <w:pPr>
              <w:spacing w:after="0" w:line="240" w:lineRule="auto"/>
              <w:jc w:val="center"/>
              <w:rPr>
                <w:rFonts w:eastAsia="Times New Roman"/>
                <w:color w:val="000000"/>
                <w:sz w:val="18"/>
                <w:szCs w:val="18"/>
                <w:lang w:eastAsia="ru-RU"/>
              </w:rPr>
            </w:pPr>
            <w:r w:rsidRPr="009A4C46">
              <w:rPr>
                <w:rFonts w:eastAsia="Times New Roman"/>
                <w:color w:val="000000"/>
                <w:sz w:val="18"/>
                <w:szCs w:val="18"/>
                <w:lang w:eastAsia="ru-RU"/>
              </w:rPr>
              <w:t>0,00%</w:t>
            </w:r>
          </w:p>
        </w:tc>
        <w:tc>
          <w:tcPr>
            <w:tcW w:w="746" w:type="pct"/>
            <w:tcBorders>
              <w:top w:val="nil"/>
              <w:left w:val="nil"/>
              <w:bottom w:val="single" w:sz="8" w:space="0" w:color="auto"/>
              <w:right w:val="single" w:sz="8" w:space="0" w:color="auto"/>
            </w:tcBorders>
            <w:shd w:val="clear" w:color="auto" w:fill="auto"/>
            <w:noWrap/>
            <w:vAlign w:val="center"/>
            <w:hideMark/>
          </w:tcPr>
          <w:p w14:paraId="6365675E" w14:textId="77777777" w:rsidR="009A4C46" w:rsidRPr="009A4C46" w:rsidRDefault="009A4C46" w:rsidP="009A4C46">
            <w:pPr>
              <w:spacing w:after="0" w:line="240" w:lineRule="auto"/>
              <w:jc w:val="center"/>
              <w:rPr>
                <w:rFonts w:eastAsia="Times New Roman"/>
                <w:color w:val="000000"/>
                <w:sz w:val="18"/>
                <w:szCs w:val="18"/>
                <w:lang w:eastAsia="ru-RU"/>
              </w:rPr>
            </w:pPr>
            <w:r w:rsidRPr="009A4C46">
              <w:rPr>
                <w:rFonts w:eastAsia="Times New Roman"/>
                <w:color w:val="000000"/>
                <w:sz w:val="18"/>
                <w:szCs w:val="18"/>
                <w:lang w:eastAsia="ru-RU"/>
              </w:rPr>
              <w:t> </w:t>
            </w:r>
          </w:p>
        </w:tc>
      </w:tr>
      <w:tr w:rsidR="009A4C46" w:rsidRPr="009A4C46" w14:paraId="05E9FF8C" w14:textId="77777777" w:rsidTr="00F94FED">
        <w:trPr>
          <w:trHeight w:val="1110"/>
        </w:trPr>
        <w:tc>
          <w:tcPr>
            <w:tcW w:w="1205" w:type="pct"/>
            <w:tcBorders>
              <w:top w:val="nil"/>
              <w:left w:val="single" w:sz="4" w:space="0" w:color="auto"/>
              <w:bottom w:val="single" w:sz="4" w:space="0" w:color="auto"/>
              <w:right w:val="single" w:sz="4" w:space="0" w:color="auto"/>
            </w:tcBorders>
            <w:vAlign w:val="center"/>
            <w:hideMark/>
          </w:tcPr>
          <w:p w14:paraId="383A7E40" w14:textId="77777777" w:rsidR="009A4C46" w:rsidRPr="009A4C46" w:rsidRDefault="009A4C46" w:rsidP="009A4C46">
            <w:pPr>
              <w:spacing w:after="0" w:line="240" w:lineRule="auto"/>
              <w:rPr>
                <w:rFonts w:eastAsia="Times New Roman"/>
                <w:color w:val="000000"/>
                <w:sz w:val="18"/>
                <w:szCs w:val="18"/>
                <w:lang w:eastAsia="ru-RU"/>
              </w:rPr>
            </w:pPr>
            <w:r w:rsidRPr="009A4C46">
              <w:rPr>
                <w:rFonts w:eastAsia="Times New Roman"/>
                <w:color w:val="000000"/>
                <w:sz w:val="18"/>
                <w:szCs w:val="18"/>
                <w:lang w:eastAsia="ru-RU"/>
              </w:rPr>
              <w:t>сырье и материалы, предназначенные для использования при создании основных средств</w:t>
            </w:r>
          </w:p>
        </w:tc>
        <w:tc>
          <w:tcPr>
            <w:tcW w:w="539" w:type="pct"/>
            <w:tcBorders>
              <w:top w:val="nil"/>
              <w:left w:val="nil"/>
              <w:bottom w:val="single" w:sz="8" w:space="0" w:color="auto"/>
              <w:right w:val="single" w:sz="8" w:space="0" w:color="auto"/>
            </w:tcBorders>
            <w:shd w:val="clear" w:color="auto" w:fill="auto"/>
            <w:noWrap/>
            <w:vAlign w:val="center"/>
            <w:hideMark/>
          </w:tcPr>
          <w:p w14:paraId="370A2A80" w14:textId="77777777" w:rsidR="009A4C46" w:rsidRPr="009A4C46" w:rsidRDefault="009A4C46" w:rsidP="009A4C46">
            <w:pPr>
              <w:spacing w:after="0" w:line="240" w:lineRule="auto"/>
              <w:rPr>
                <w:rFonts w:eastAsia="Times New Roman"/>
                <w:sz w:val="18"/>
                <w:szCs w:val="18"/>
                <w:lang w:eastAsia="ru-RU"/>
              </w:rPr>
            </w:pPr>
            <w:r w:rsidRPr="009A4C46">
              <w:rPr>
                <w:rFonts w:eastAsia="Times New Roman"/>
                <w:color w:val="000000"/>
                <w:sz w:val="18"/>
                <w:szCs w:val="18"/>
                <w:lang w:eastAsia="ru-RU"/>
              </w:rPr>
              <w:t>15 412</w:t>
            </w:r>
          </w:p>
        </w:tc>
        <w:tc>
          <w:tcPr>
            <w:tcW w:w="539" w:type="pct"/>
            <w:tcBorders>
              <w:top w:val="nil"/>
              <w:left w:val="nil"/>
              <w:bottom w:val="single" w:sz="8" w:space="0" w:color="auto"/>
              <w:right w:val="single" w:sz="8" w:space="0" w:color="auto"/>
            </w:tcBorders>
            <w:shd w:val="clear" w:color="auto" w:fill="auto"/>
            <w:noWrap/>
            <w:vAlign w:val="center"/>
            <w:hideMark/>
          </w:tcPr>
          <w:p w14:paraId="1C0D54C2" w14:textId="77777777" w:rsidR="009A4C46" w:rsidRPr="009A4C46" w:rsidRDefault="009A4C46" w:rsidP="009A4C46">
            <w:pPr>
              <w:spacing w:after="0" w:line="240" w:lineRule="auto"/>
              <w:rPr>
                <w:rFonts w:eastAsia="Times New Roman"/>
                <w:sz w:val="18"/>
                <w:szCs w:val="18"/>
                <w:lang w:eastAsia="ru-RU"/>
              </w:rPr>
            </w:pPr>
            <w:r w:rsidRPr="009A4C46">
              <w:rPr>
                <w:rFonts w:eastAsia="Times New Roman"/>
                <w:color w:val="000000"/>
                <w:sz w:val="18"/>
                <w:szCs w:val="18"/>
                <w:lang w:eastAsia="ru-RU"/>
              </w:rPr>
              <w:t>16 295</w:t>
            </w:r>
          </w:p>
        </w:tc>
        <w:tc>
          <w:tcPr>
            <w:tcW w:w="539" w:type="pct"/>
            <w:tcBorders>
              <w:top w:val="nil"/>
              <w:left w:val="nil"/>
              <w:bottom w:val="single" w:sz="8" w:space="0" w:color="auto"/>
              <w:right w:val="single" w:sz="8" w:space="0" w:color="auto"/>
            </w:tcBorders>
            <w:shd w:val="clear" w:color="auto" w:fill="auto"/>
            <w:noWrap/>
            <w:vAlign w:val="center"/>
            <w:hideMark/>
          </w:tcPr>
          <w:p w14:paraId="46794B4D" w14:textId="77777777" w:rsidR="009A4C46" w:rsidRPr="009A4C46" w:rsidRDefault="009A4C46" w:rsidP="009A4C46">
            <w:pPr>
              <w:spacing w:after="0" w:line="240" w:lineRule="auto"/>
              <w:rPr>
                <w:rFonts w:eastAsia="Times New Roman"/>
                <w:sz w:val="18"/>
                <w:szCs w:val="18"/>
                <w:lang w:eastAsia="ru-RU"/>
              </w:rPr>
            </w:pPr>
            <w:r w:rsidRPr="009A4C46">
              <w:rPr>
                <w:rFonts w:eastAsia="Times New Roman"/>
                <w:color w:val="000000"/>
                <w:sz w:val="18"/>
                <w:szCs w:val="18"/>
                <w:lang w:eastAsia="ru-RU"/>
              </w:rPr>
              <w:t>н/д</w:t>
            </w:r>
          </w:p>
        </w:tc>
        <w:tc>
          <w:tcPr>
            <w:tcW w:w="741" w:type="pct"/>
            <w:tcBorders>
              <w:top w:val="nil"/>
              <w:left w:val="nil"/>
              <w:bottom w:val="single" w:sz="8" w:space="0" w:color="auto"/>
              <w:right w:val="single" w:sz="8" w:space="0" w:color="auto"/>
            </w:tcBorders>
            <w:shd w:val="clear" w:color="auto" w:fill="auto"/>
            <w:noWrap/>
            <w:vAlign w:val="center"/>
            <w:hideMark/>
          </w:tcPr>
          <w:p w14:paraId="364AA4FC" w14:textId="77777777" w:rsidR="009A4C46" w:rsidRPr="009A4C46" w:rsidRDefault="009A4C46" w:rsidP="009A4C46">
            <w:pPr>
              <w:spacing w:after="0" w:line="240" w:lineRule="auto"/>
              <w:jc w:val="center"/>
              <w:rPr>
                <w:rFonts w:eastAsia="Times New Roman"/>
                <w:color w:val="000000"/>
                <w:sz w:val="18"/>
                <w:szCs w:val="18"/>
                <w:lang w:eastAsia="ru-RU"/>
              </w:rPr>
            </w:pPr>
            <w:r w:rsidRPr="009A4C46">
              <w:rPr>
                <w:rFonts w:eastAsia="Times New Roman"/>
                <w:color w:val="000000"/>
                <w:sz w:val="18"/>
                <w:szCs w:val="18"/>
                <w:lang w:eastAsia="ru-RU"/>
              </w:rPr>
              <w:t>1,52%</w:t>
            </w:r>
          </w:p>
        </w:tc>
        <w:tc>
          <w:tcPr>
            <w:tcW w:w="690" w:type="pct"/>
            <w:tcBorders>
              <w:top w:val="nil"/>
              <w:left w:val="nil"/>
              <w:bottom w:val="single" w:sz="8" w:space="0" w:color="auto"/>
              <w:right w:val="single" w:sz="8" w:space="0" w:color="auto"/>
            </w:tcBorders>
            <w:shd w:val="clear" w:color="auto" w:fill="auto"/>
            <w:noWrap/>
            <w:vAlign w:val="center"/>
            <w:hideMark/>
          </w:tcPr>
          <w:p w14:paraId="68A8337B" w14:textId="77777777" w:rsidR="009A4C46" w:rsidRPr="009A4C46" w:rsidRDefault="009A4C46" w:rsidP="009A4C46">
            <w:pPr>
              <w:spacing w:after="0" w:line="240" w:lineRule="auto"/>
              <w:jc w:val="center"/>
              <w:rPr>
                <w:rFonts w:eastAsia="Times New Roman"/>
                <w:color w:val="000000"/>
                <w:sz w:val="18"/>
                <w:szCs w:val="18"/>
                <w:lang w:eastAsia="ru-RU"/>
              </w:rPr>
            </w:pPr>
            <w:r w:rsidRPr="009A4C46">
              <w:rPr>
                <w:rFonts w:eastAsia="Times New Roman"/>
                <w:color w:val="000000"/>
                <w:sz w:val="18"/>
                <w:szCs w:val="18"/>
                <w:lang w:eastAsia="ru-RU"/>
              </w:rPr>
              <w:t>1,39%</w:t>
            </w:r>
          </w:p>
        </w:tc>
        <w:tc>
          <w:tcPr>
            <w:tcW w:w="746" w:type="pct"/>
            <w:tcBorders>
              <w:top w:val="nil"/>
              <w:left w:val="nil"/>
              <w:bottom w:val="single" w:sz="8" w:space="0" w:color="auto"/>
              <w:right w:val="single" w:sz="8" w:space="0" w:color="auto"/>
            </w:tcBorders>
            <w:shd w:val="clear" w:color="auto" w:fill="auto"/>
            <w:noWrap/>
            <w:vAlign w:val="center"/>
            <w:hideMark/>
          </w:tcPr>
          <w:p w14:paraId="17CBF105" w14:textId="77777777" w:rsidR="009A4C46" w:rsidRPr="009A4C46" w:rsidRDefault="009A4C46" w:rsidP="009A4C46">
            <w:pPr>
              <w:spacing w:after="0" w:line="240" w:lineRule="auto"/>
              <w:jc w:val="center"/>
              <w:rPr>
                <w:rFonts w:eastAsia="Times New Roman"/>
                <w:color w:val="000000"/>
                <w:sz w:val="18"/>
                <w:szCs w:val="18"/>
                <w:lang w:eastAsia="ru-RU"/>
              </w:rPr>
            </w:pPr>
            <w:r w:rsidRPr="009A4C46">
              <w:rPr>
                <w:rFonts w:eastAsia="Times New Roman"/>
                <w:color w:val="000000"/>
                <w:sz w:val="18"/>
                <w:szCs w:val="18"/>
                <w:lang w:eastAsia="ru-RU"/>
              </w:rPr>
              <w:t> </w:t>
            </w:r>
          </w:p>
        </w:tc>
      </w:tr>
      <w:tr w:rsidR="009A4C46" w:rsidRPr="009A4C46" w14:paraId="1A4C8499" w14:textId="77777777" w:rsidTr="00F94FED">
        <w:trPr>
          <w:trHeight w:val="525"/>
        </w:trPr>
        <w:tc>
          <w:tcPr>
            <w:tcW w:w="1205" w:type="pct"/>
            <w:tcBorders>
              <w:top w:val="nil"/>
              <w:left w:val="single" w:sz="4" w:space="0" w:color="auto"/>
              <w:bottom w:val="single" w:sz="4" w:space="0" w:color="auto"/>
              <w:right w:val="single" w:sz="4" w:space="0" w:color="auto"/>
            </w:tcBorders>
            <w:vAlign w:val="center"/>
            <w:hideMark/>
          </w:tcPr>
          <w:p w14:paraId="7CFD5035" w14:textId="77777777" w:rsidR="009A4C46" w:rsidRPr="009A4C46" w:rsidRDefault="009A4C46" w:rsidP="009A4C46">
            <w:pPr>
              <w:spacing w:after="0" w:line="240" w:lineRule="auto"/>
              <w:rPr>
                <w:rFonts w:eastAsia="Times New Roman"/>
                <w:color w:val="000000"/>
                <w:sz w:val="18"/>
                <w:szCs w:val="18"/>
                <w:lang w:eastAsia="ru-RU"/>
              </w:rPr>
            </w:pPr>
            <w:r w:rsidRPr="009A4C46">
              <w:rPr>
                <w:rFonts w:eastAsia="Times New Roman"/>
                <w:color w:val="000000"/>
                <w:sz w:val="18"/>
                <w:szCs w:val="18"/>
                <w:lang w:eastAsia="ru-RU"/>
              </w:rPr>
              <w:t>Долгосрочные финансовые вложения</w:t>
            </w:r>
          </w:p>
        </w:tc>
        <w:tc>
          <w:tcPr>
            <w:tcW w:w="539" w:type="pct"/>
            <w:tcBorders>
              <w:top w:val="nil"/>
              <w:left w:val="nil"/>
              <w:bottom w:val="single" w:sz="8" w:space="0" w:color="auto"/>
              <w:right w:val="single" w:sz="8" w:space="0" w:color="auto"/>
            </w:tcBorders>
            <w:shd w:val="clear" w:color="auto" w:fill="auto"/>
            <w:noWrap/>
            <w:vAlign w:val="center"/>
            <w:hideMark/>
          </w:tcPr>
          <w:p w14:paraId="1CFB03DB" w14:textId="77777777" w:rsidR="009A4C46" w:rsidRPr="009A4C46" w:rsidRDefault="009A4C46" w:rsidP="009A4C46">
            <w:pPr>
              <w:spacing w:after="0" w:line="240" w:lineRule="auto"/>
              <w:jc w:val="center"/>
              <w:rPr>
                <w:rFonts w:eastAsia="Times New Roman"/>
                <w:color w:val="000000"/>
                <w:sz w:val="18"/>
                <w:szCs w:val="18"/>
                <w:lang w:eastAsia="ru-RU"/>
              </w:rPr>
            </w:pPr>
            <w:r w:rsidRPr="009A4C46">
              <w:rPr>
                <w:rFonts w:eastAsia="Times New Roman"/>
                <w:color w:val="000000"/>
                <w:sz w:val="18"/>
                <w:szCs w:val="18"/>
                <w:lang w:eastAsia="ru-RU"/>
              </w:rPr>
              <w:t> </w:t>
            </w:r>
          </w:p>
        </w:tc>
        <w:tc>
          <w:tcPr>
            <w:tcW w:w="539" w:type="pct"/>
            <w:tcBorders>
              <w:top w:val="nil"/>
              <w:left w:val="nil"/>
              <w:bottom w:val="single" w:sz="8" w:space="0" w:color="auto"/>
              <w:right w:val="single" w:sz="8" w:space="0" w:color="auto"/>
            </w:tcBorders>
            <w:shd w:val="clear" w:color="auto" w:fill="auto"/>
            <w:noWrap/>
            <w:vAlign w:val="center"/>
            <w:hideMark/>
          </w:tcPr>
          <w:p w14:paraId="64CFB31C" w14:textId="77777777" w:rsidR="009A4C46" w:rsidRPr="009A4C46" w:rsidRDefault="009A4C46" w:rsidP="009A4C46">
            <w:pPr>
              <w:spacing w:after="0" w:line="240" w:lineRule="auto"/>
              <w:jc w:val="center"/>
              <w:rPr>
                <w:rFonts w:eastAsia="Times New Roman"/>
                <w:color w:val="000000"/>
                <w:sz w:val="18"/>
                <w:szCs w:val="18"/>
                <w:lang w:eastAsia="ru-RU"/>
              </w:rPr>
            </w:pPr>
            <w:r w:rsidRPr="009A4C46">
              <w:rPr>
                <w:rFonts w:eastAsia="Times New Roman"/>
                <w:color w:val="000000"/>
                <w:sz w:val="18"/>
                <w:szCs w:val="18"/>
                <w:lang w:eastAsia="ru-RU"/>
              </w:rPr>
              <w:t> </w:t>
            </w:r>
          </w:p>
        </w:tc>
        <w:tc>
          <w:tcPr>
            <w:tcW w:w="539" w:type="pct"/>
            <w:tcBorders>
              <w:top w:val="nil"/>
              <w:left w:val="nil"/>
              <w:bottom w:val="single" w:sz="8" w:space="0" w:color="auto"/>
              <w:right w:val="single" w:sz="8" w:space="0" w:color="auto"/>
            </w:tcBorders>
            <w:shd w:val="clear" w:color="auto" w:fill="auto"/>
            <w:noWrap/>
            <w:vAlign w:val="center"/>
            <w:hideMark/>
          </w:tcPr>
          <w:p w14:paraId="0F172F1D" w14:textId="77777777" w:rsidR="009A4C46" w:rsidRPr="009A4C46" w:rsidRDefault="009A4C46" w:rsidP="009A4C46">
            <w:pPr>
              <w:spacing w:after="0" w:line="240" w:lineRule="auto"/>
              <w:jc w:val="center"/>
              <w:rPr>
                <w:rFonts w:eastAsia="Times New Roman"/>
                <w:color w:val="000000"/>
                <w:sz w:val="18"/>
                <w:szCs w:val="18"/>
                <w:lang w:eastAsia="ru-RU"/>
              </w:rPr>
            </w:pPr>
            <w:r w:rsidRPr="009A4C46">
              <w:rPr>
                <w:rFonts w:eastAsia="Times New Roman"/>
                <w:color w:val="000000"/>
                <w:sz w:val="18"/>
                <w:szCs w:val="18"/>
                <w:lang w:eastAsia="ru-RU"/>
              </w:rPr>
              <w:t> </w:t>
            </w:r>
          </w:p>
        </w:tc>
        <w:tc>
          <w:tcPr>
            <w:tcW w:w="741" w:type="pct"/>
            <w:tcBorders>
              <w:top w:val="nil"/>
              <w:left w:val="nil"/>
              <w:bottom w:val="single" w:sz="8" w:space="0" w:color="auto"/>
              <w:right w:val="single" w:sz="8" w:space="0" w:color="auto"/>
            </w:tcBorders>
            <w:shd w:val="clear" w:color="auto" w:fill="auto"/>
            <w:noWrap/>
            <w:vAlign w:val="center"/>
            <w:hideMark/>
          </w:tcPr>
          <w:p w14:paraId="07771B45" w14:textId="77777777" w:rsidR="009A4C46" w:rsidRPr="009A4C46" w:rsidRDefault="009A4C46" w:rsidP="009A4C46">
            <w:pPr>
              <w:spacing w:after="0" w:line="240" w:lineRule="auto"/>
              <w:jc w:val="center"/>
              <w:rPr>
                <w:rFonts w:eastAsia="Times New Roman"/>
                <w:color w:val="000000"/>
                <w:sz w:val="18"/>
                <w:szCs w:val="18"/>
                <w:lang w:eastAsia="ru-RU"/>
              </w:rPr>
            </w:pPr>
            <w:r w:rsidRPr="009A4C46">
              <w:rPr>
                <w:rFonts w:eastAsia="Times New Roman"/>
                <w:color w:val="000000"/>
                <w:sz w:val="18"/>
                <w:szCs w:val="18"/>
                <w:lang w:eastAsia="ru-RU"/>
              </w:rPr>
              <w:t>0,00%</w:t>
            </w:r>
          </w:p>
        </w:tc>
        <w:tc>
          <w:tcPr>
            <w:tcW w:w="690" w:type="pct"/>
            <w:tcBorders>
              <w:top w:val="nil"/>
              <w:left w:val="nil"/>
              <w:bottom w:val="single" w:sz="8" w:space="0" w:color="auto"/>
              <w:right w:val="single" w:sz="8" w:space="0" w:color="auto"/>
            </w:tcBorders>
            <w:shd w:val="clear" w:color="auto" w:fill="auto"/>
            <w:noWrap/>
            <w:vAlign w:val="center"/>
            <w:hideMark/>
          </w:tcPr>
          <w:p w14:paraId="7F5DCE39" w14:textId="77777777" w:rsidR="009A4C46" w:rsidRPr="009A4C46" w:rsidRDefault="009A4C46" w:rsidP="009A4C46">
            <w:pPr>
              <w:spacing w:after="0" w:line="240" w:lineRule="auto"/>
              <w:jc w:val="center"/>
              <w:rPr>
                <w:rFonts w:eastAsia="Times New Roman"/>
                <w:color w:val="000000"/>
                <w:sz w:val="18"/>
                <w:szCs w:val="18"/>
                <w:lang w:eastAsia="ru-RU"/>
              </w:rPr>
            </w:pPr>
            <w:r w:rsidRPr="009A4C46">
              <w:rPr>
                <w:rFonts w:eastAsia="Times New Roman"/>
                <w:color w:val="000000"/>
                <w:sz w:val="18"/>
                <w:szCs w:val="18"/>
                <w:lang w:eastAsia="ru-RU"/>
              </w:rPr>
              <w:t>0,00%</w:t>
            </w:r>
          </w:p>
        </w:tc>
        <w:tc>
          <w:tcPr>
            <w:tcW w:w="746" w:type="pct"/>
            <w:tcBorders>
              <w:top w:val="nil"/>
              <w:left w:val="nil"/>
              <w:bottom w:val="single" w:sz="8" w:space="0" w:color="auto"/>
              <w:right w:val="single" w:sz="8" w:space="0" w:color="auto"/>
            </w:tcBorders>
            <w:shd w:val="clear" w:color="auto" w:fill="auto"/>
            <w:noWrap/>
            <w:vAlign w:val="center"/>
            <w:hideMark/>
          </w:tcPr>
          <w:p w14:paraId="4CBD6EB2" w14:textId="77777777" w:rsidR="009A4C46" w:rsidRPr="009A4C46" w:rsidRDefault="009A4C46" w:rsidP="009A4C46">
            <w:pPr>
              <w:spacing w:after="0" w:line="240" w:lineRule="auto"/>
              <w:jc w:val="center"/>
              <w:rPr>
                <w:rFonts w:eastAsia="Times New Roman"/>
                <w:color w:val="000000"/>
                <w:sz w:val="18"/>
                <w:szCs w:val="18"/>
                <w:lang w:eastAsia="ru-RU"/>
              </w:rPr>
            </w:pPr>
            <w:r w:rsidRPr="009A4C46">
              <w:rPr>
                <w:rFonts w:eastAsia="Times New Roman"/>
                <w:color w:val="000000"/>
                <w:sz w:val="18"/>
                <w:szCs w:val="18"/>
                <w:lang w:eastAsia="ru-RU"/>
              </w:rPr>
              <w:t>0,00%</w:t>
            </w:r>
          </w:p>
        </w:tc>
      </w:tr>
      <w:tr w:rsidR="009A4C46" w:rsidRPr="009A4C46" w14:paraId="303BDBB8" w14:textId="77777777" w:rsidTr="00F94FED">
        <w:trPr>
          <w:trHeight w:val="295"/>
        </w:trPr>
        <w:tc>
          <w:tcPr>
            <w:tcW w:w="1205" w:type="pct"/>
            <w:tcBorders>
              <w:top w:val="nil"/>
              <w:left w:val="single" w:sz="4" w:space="0" w:color="auto"/>
              <w:bottom w:val="single" w:sz="4" w:space="0" w:color="auto"/>
              <w:right w:val="single" w:sz="4" w:space="0" w:color="auto"/>
            </w:tcBorders>
            <w:vAlign w:val="center"/>
            <w:hideMark/>
          </w:tcPr>
          <w:p w14:paraId="0487A492" w14:textId="77777777" w:rsidR="009A4C46" w:rsidRPr="009A4C46" w:rsidRDefault="009A4C46" w:rsidP="009A4C46">
            <w:pPr>
              <w:spacing w:after="0" w:line="240" w:lineRule="auto"/>
              <w:rPr>
                <w:rFonts w:eastAsia="Times New Roman"/>
                <w:color w:val="000000"/>
                <w:sz w:val="18"/>
                <w:szCs w:val="18"/>
                <w:lang w:eastAsia="ru-RU"/>
              </w:rPr>
            </w:pPr>
            <w:r w:rsidRPr="009A4C46">
              <w:rPr>
                <w:rFonts w:eastAsia="Times New Roman"/>
                <w:color w:val="000000"/>
                <w:sz w:val="18"/>
                <w:szCs w:val="18"/>
                <w:lang w:eastAsia="ru-RU"/>
              </w:rPr>
              <w:t>Отложенные налоговые активы</w:t>
            </w:r>
          </w:p>
        </w:tc>
        <w:tc>
          <w:tcPr>
            <w:tcW w:w="539" w:type="pct"/>
            <w:tcBorders>
              <w:top w:val="nil"/>
              <w:left w:val="nil"/>
              <w:bottom w:val="single" w:sz="8" w:space="0" w:color="auto"/>
              <w:right w:val="single" w:sz="8" w:space="0" w:color="auto"/>
            </w:tcBorders>
            <w:shd w:val="clear" w:color="auto" w:fill="auto"/>
            <w:noWrap/>
            <w:vAlign w:val="center"/>
            <w:hideMark/>
          </w:tcPr>
          <w:p w14:paraId="62C13759" w14:textId="77777777" w:rsidR="009A4C46" w:rsidRPr="009A4C46" w:rsidRDefault="009A4C46" w:rsidP="009A4C46">
            <w:pPr>
              <w:spacing w:after="0" w:line="240" w:lineRule="auto"/>
              <w:jc w:val="center"/>
              <w:rPr>
                <w:rFonts w:eastAsia="Times New Roman"/>
                <w:color w:val="000000"/>
                <w:sz w:val="18"/>
                <w:szCs w:val="18"/>
                <w:lang w:eastAsia="ru-RU"/>
              </w:rPr>
            </w:pPr>
            <w:r w:rsidRPr="009A4C46">
              <w:rPr>
                <w:rFonts w:eastAsia="Times New Roman"/>
                <w:color w:val="000000"/>
                <w:sz w:val="18"/>
                <w:szCs w:val="18"/>
                <w:lang w:eastAsia="ru-RU"/>
              </w:rPr>
              <w:t>10 881</w:t>
            </w:r>
          </w:p>
        </w:tc>
        <w:tc>
          <w:tcPr>
            <w:tcW w:w="539" w:type="pct"/>
            <w:tcBorders>
              <w:top w:val="nil"/>
              <w:left w:val="nil"/>
              <w:bottom w:val="single" w:sz="8" w:space="0" w:color="auto"/>
              <w:right w:val="single" w:sz="8" w:space="0" w:color="auto"/>
            </w:tcBorders>
            <w:shd w:val="clear" w:color="auto" w:fill="auto"/>
            <w:noWrap/>
            <w:vAlign w:val="center"/>
            <w:hideMark/>
          </w:tcPr>
          <w:p w14:paraId="29754805" w14:textId="77777777" w:rsidR="009A4C46" w:rsidRPr="009A4C46" w:rsidRDefault="009A4C46" w:rsidP="009A4C46">
            <w:pPr>
              <w:spacing w:after="0" w:line="240" w:lineRule="auto"/>
              <w:jc w:val="center"/>
              <w:rPr>
                <w:rFonts w:eastAsia="Times New Roman"/>
                <w:color w:val="000000"/>
                <w:sz w:val="18"/>
                <w:szCs w:val="18"/>
                <w:lang w:eastAsia="ru-RU"/>
              </w:rPr>
            </w:pPr>
            <w:r w:rsidRPr="009A4C46">
              <w:rPr>
                <w:rFonts w:eastAsia="Times New Roman"/>
                <w:color w:val="000000"/>
                <w:sz w:val="18"/>
                <w:szCs w:val="18"/>
                <w:lang w:eastAsia="ru-RU"/>
              </w:rPr>
              <w:t>11 212</w:t>
            </w:r>
          </w:p>
        </w:tc>
        <w:tc>
          <w:tcPr>
            <w:tcW w:w="539" w:type="pct"/>
            <w:tcBorders>
              <w:top w:val="nil"/>
              <w:left w:val="nil"/>
              <w:bottom w:val="single" w:sz="8" w:space="0" w:color="auto"/>
              <w:right w:val="single" w:sz="8" w:space="0" w:color="auto"/>
            </w:tcBorders>
            <w:shd w:val="clear" w:color="auto" w:fill="auto"/>
            <w:noWrap/>
            <w:vAlign w:val="center"/>
            <w:hideMark/>
          </w:tcPr>
          <w:p w14:paraId="1358B6DE" w14:textId="77777777" w:rsidR="009A4C46" w:rsidRPr="009A4C46" w:rsidRDefault="009A4C46" w:rsidP="009A4C46">
            <w:pPr>
              <w:spacing w:after="0" w:line="240" w:lineRule="auto"/>
              <w:jc w:val="center"/>
              <w:rPr>
                <w:rFonts w:eastAsia="Times New Roman"/>
                <w:color w:val="000000"/>
                <w:sz w:val="18"/>
                <w:szCs w:val="18"/>
                <w:lang w:eastAsia="ru-RU"/>
              </w:rPr>
            </w:pPr>
            <w:r w:rsidRPr="009A4C46">
              <w:rPr>
                <w:rFonts w:eastAsia="Times New Roman"/>
                <w:color w:val="000000"/>
                <w:sz w:val="18"/>
                <w:szCs w:val="18"/>
                <w:lang w:eastAsia="ru-RU"/>
              </w:rPr>
              <w:t>251 573</w:t>
            </w:r>
          </w:p>
        </w:tc>
        <w:tc>
          <w:tcPr>
            <w:tcW w:w="741" w:type="pct"/>
            <w:tcBorders>
              <w:top w:val="nil"/>
              <w:left w:val="nil"/>
              <w:bottom w:val="single" w:sz="8" w:space="0" w:color="auto"/>
              <w:right w:val="single" w:sz="8" w:space="0" w:color="auto"/>
            </w:tcBorders>
            <w:shd w:val="clear" w:color="auto" w:fill="auto"/>
            <w:noWrap/>
            <w:vAlign w:val="center"/>
            <w:hideMark/>
          </w:tcPr>
          <w:p w14:paraId="4D6C2E53" w14:textId="77777777" w:rsidR="009A4C46" w:rsidRPr="009A4C46" w:rsidRDefault="009A4C46" w:rsidP="009A4C46">
            <w:pPr>
              <w:spacing w:after="0" w:line="240" w:lineRule="auto"/>
              <w:jc w:val="center"/>
              <w:rPr>
                <w:rFonts w:eastAsia="Times New Roman"/>
                <w:color w:val="000000"/>
                <w:sz w:val="18"/>
                <w:szCs w:val="18"/>
                <w:lang w:eastAsia="ru-RU"/>
              </w:rPr>
            </w:pPr>
            <w:r w:rsidRPr="009A4C46">
              <w:rPr>
                <w:rFonts w:eastAsia="Times New Roman"/>
                <w:color w:val="000000"/>
                <w:sz w:val="18"/>
                <w:szCs w:val="18"/>
                <w:lang w:eastAsia="ru-RU"/>
              </w:rPr>
              <w:t>1,08%</w:t>
            </w:r>
          </w:p>
        </w:tc>
        <w:tc>
          <w:tcPr>
            <w:tcW w:w="690" w:type="pct"/>
            <w:tcBorders>
              <w:top w:val="nil"/>
              <w:left w:val="nil"/>
              <w:bottom w:val="single" w:sz="8" w:space="0" w:color="auto"/>
              <w:right w:val="single" w:sz="8" w:space="0" w:color="auto"/>
            </w:tcBorders>
            <w:shd w:val="clear" w:color="auto" w:fill="auto"/>
            <w:noWrap/>
            <w:vAlign w:val="center"/>
            <w:hideMark/>
          </w:tcPr>
          <w:p w14:paraId="4A3A1186" w14:textId="77777777" w:rsidR="009A4C46" w:rsidRPr="009A4C46" w:rsidRDefault="009A4C46" w:rsidP="009A4C46">
            <w:pPr>
              <w:spacing w:after="0" w:line="240" w:lineRule="auto"/>
              <w:jc w:val="center"/>
              <w:rPr>
                <w:rFonts w:eastAsia="Times New Roman"/>
                <w:color w:val="000000"/>
                <w:sz w:val="18"/>
                <w:szCs w:val="18"/>
                <w:lang w:eastAsia="ru-RU"/>
              </w:rPr>
            </w:pPr>
            <w:r w:rsidRPr="009A4C46">
              <w:rPr>
                <w:rFonts w:eastAsia="Times New Roman"/>
                <w:color w:val="000000"/>
                <w:sz w:val="18"/>
                <w:szCs w:val="18"/>
                <w:lang w:eastAsia="ru-RU"/>
              </w:rPr>
              <w:t>0,96%</w:t>
            </w:r>
          </w:p>
        </w:tc>
        <w:tc>
          <w:tcPr>
            <w:tcW w:w="746" w:type="pct"/>
            <w:tcBorders>
              <w:top w:val="nil"/>
              <w:left w:val="nil"/>
              <w:bottom w:val="single" w:sz="8" w:space="0" w:color="auto"/>
              <w:right w:val="single" w:sz="8" w:space="0" w:color="auto"/>
            </w:tcBorders>
            <w:shd w:val="clear" w:color="auto" w:fill="auto"/>
            <w:noWrap/>
            <w:vAlign w:val="center"/>
            <w:hideMark/>
          </w:tcPr>
          <w:p w14:paraId="30BF26AF" w14:textId="77777777" w:rsidR="009A4C46" w:rsidRPr="009A4C46" w:rsidRDefault="009A4C46" w:rsidP="009A4C46">
            <w:pPr>
              <w:spacing w:after="0" w:line="240" w:lineRule="auto"/>
              <w:jc w:val="center"/>
              <w:rPr>
                <w:rFonts w:eastAsia="Times New Roman"/>
                <w:color w:val="000000"/>
                <w:sz w:val="18"/>
                <w:szCs w:val="18"/>
                <w:lang w:eastAsia="ru-RU"/>
              </w:rPr>
            </w:pPr>
            <w:r w:rsidRPr="009A4C46">
              <w:rPr>
                <w:rFonts w:eastAsia="Times New Roman"/>
                <w:color w:val="000000"/>
                <w:sz w:val="18"/>
                <w:szCs w:val="18"/>
                <w:lang w:eastAsia="ru-RU"/>
              </w:rPr>
              <w:t>16,56%</w:t>
            </w:r>
          </w:p>
        </w:tc>
      </w:tr>
      <w:tr w:rsidR="009A4C46" w:rsidRPr="009A4C46" w14:paraId="1EB7933D" w14:textId="77777777" w:rsidTr="00F94FED">
        <w:trPr>
          <w:trHeight w:val="443"/>
        </w:trPr>
        <w:tc>
          <w:tcPr>
            <w:tcW w:w="1205" w:type="pct"/>
            <w:tcBorders>
              <w:top w:val="nil"/>
              <w:left w:val="single" w:sz="4" w:space="0" w:color="auto"/>
              <w:bottom w:val="single" w:sz="4" w:space="0" w:color="auto"/>
              <w:right w:val="single" w:sz="4" w:space="0" w:color="auto"/>
            </w:tcBorders>
            <w:vAlign w:val="center"/>
            <w:hideMark/>
          </w:tcPr>
          <w:p w14:paraId="0368FB03" w14:textId="77777777" w:rsidR="009A4C46" w:rsidRPr="009A4C46" w:rsidRDefault="009A4C46" w:rsidP="009A4C46">
            <w:pPr>
              <w:spacing w:after="0" w:line="240" w:lineRule="auto"/>
              <w:rPr>
                <w:rFonts w:eastAsia="Times New Roman"/>
                <w:color w:val="000000"/>
                <w:sz w:val="18"/>
                <w:szCs w:val="18"/>
                <w:lang w:eastAsia="ru-RU"/>
              </w:rPr>
            </w:pPr>
            <w:r w:rsidRPr="009A4C46">
              <w:rPr>
                <w:rFonts w:eastAsia="Times New Roman"/>
                <w:color w:val="000000"/>
                <w:sz w:val="18"/>
                <w:szCs w:val="18"/>
                <w:lang w:eastAsia="ru-RU"/>
              </w:rPr>
              <w:t>Прочие внеоборотные активы</w:t>
            </w:r>
          </w:p>
        </w:tc>
        <w:tc>
          <w:tcPr>
            <w:tcW w:w="539" w:type="pct"/>
            <w:tcBorders>
              <w:top w:val="nil"/>
              <w:left w:val="nil"/>
              <w:bottom w:val="single" w:sz="8" w:space="0" w:color="auto"/>
              <w:right w:val="single" w:sz="8" w:space="0" w:color="auto"/>
            </w:tcBorders>
            <w:shd w:val="clear" w:color="auto" w:fill="auto"/>
            <w:noWrap/>
            <w:vAlign w:val="center"/>
            <w:hideMark/>
          </w:tcPr>
          <w:p w14:paraId="6D725B68" w14:textId="77777777" w:rsidR="009A4C46" w:rsidRPr="009A4C46" w:rsidRDefault="009A4C46" w:rsidP="009A4C46">
            <w:pPr>
              <w:spacing w:after="0" w:line="240" w:lineRule="auto"/>
              <w:jc w:val="center"/>
              <w:rPr>
                <w:rFonts w:eastAsia="Times New Roman"/>
                <w:color w:val="000000"/>
                <w:sz w:val="18"/>
                <w:szCs w:val="18"/>
                <w:lang w:eastAsia="ru-RU"/>
              </w:rPr>
            </w:pPr>
            <w:r w:rsidRPr="009A4C46">
              <w:rPr>
                <w:rFonts w:eastAsia="Times New Roman"/>
                <w:color w:val="000000"/>
                <w:sz w:val="18"/>
                <w:szCs w:val="18"/>
                <w:lang w:eastAsia="ru-RU"/>
              </w:rPr>
              <w:t> </w:t>
            </w:r>
          </w:p>
        </w:tc>
        <w:tc>
          <w:tcPr>
            <w:tcW w:w="539" w:type="pct"/>
            <w:tcBorders>
              <w:top w:val="nil"/>
              <w:left w:val="nil"/>
              <w:bottom w:val="single" w:sz="8" w:space="0" w:color="auto"/>
              <w:right w:val="single" w:sz="8" w:space="0" w:color="auto"/>
            </w:tcBorders>
            <w:shd w:val="clear" w:color="auto" w:fill="auto"/>
            <w:noWrap/>
            <w:vAlign w:val="center"/>
            <w:hideMark/>
          </w:tcPr>
          <w:p w14:paraId="5729A342" w14:textId="77777777" w:rsidR="009A4C46" w:rsidRPr="009A4C46" w:rsidRDefault="009A4C46" w:rsidP="009A4C46">
            <w:pPr>
              <w:spacing w:after="0" w:line="240" w:lineRule="auto"/>
              <w:jc w:val="center"/>
              <w:rPr>
                <w:rFonts w:eastAsia="Times New Roman"/>
                <w:color w:val="000000"/>
                <w:sz w:val="18"/>
                <w:szCs w:val="18"/>
                <w:lang w:eastAsia="ru-RU"/>
              </w:rPr>
            </w:pPr>
            <w:r w:rsidRPr="009A4C46">
              <w:rPr>
                <w:rFonts w:eastAsia="Times New Roman"/>
                <w:color w:val="000000"/>
                <w:sz w:val="18"/>
                <w:szCs w:val="18"/>
                <w:lang w:eastAsia="ru-RU"/>
              </w:rPr>
              <w:t> </w:t>
            </w:r>
          </w:p>
        </w:tc>
        <w:tc>
          <w:tcPr>
            <w:tcW w:w="539" w:type="pct"/>
            <w:tcBorders>
              <w:top w:val="nil"/>
              <w:left w:val="nil"/>
              <w:bottom w:val="single" w:sz="8" w:space="0" w:color="auto"/>
              <w:right w:val="single" w:sz="8" w:space="0" w:color="auto"/>
            </w:tcBorders>
            <w:shd w:val="clear" w:color="auto" w:fill="auto"/>
            <w:noWrap/>
            <w:vAlign w:val="center"/>
            <w:hideMark/>
          </w:tcPr>
          <w:p w14:paraId="73690C31" w14:textId="77777777" w:rsidR="009A4C46" w:rsidRPr="009A4C46" w:rsidRDefault="009A4C46" w:rsidP="009A4C46">
            <w:pPr>
              <w:spacing w:after="0" w:line="240" w:lineRule="auto"/>
              <w:jc w:val="center"/>
              <w:rPr>
                <w:rFonts w:eastAsia="Times New Roman"/>
                <w:color w:val="000000"/>
                <w:sz w:val="18"/>
                <w:szCs w:val="18"/>
                <w:lang w:eastAsia="ru-RU"/>
              </w:rPr>
            </w:pPr>
            <w:r w:rsidRPr="009A4C46">
              <w:rPr>
                <w:rFonts w:eastAsia="Times New Roman"/>
                <w:color w:val="000000"/>
                <w:sz w:val="18"/>
                <w:szCs w:val="18"/>
                <w:lang w:eastAsia="ru-RU"/>
              </w:rPr>
              <w:t> </w:t>
            </w:r>
          </w:p>
        </w:tc>
        <w:tc>
          <w:tcPr>
            <w:tcW w:w="741" w:type="pct"/>
            <w:tcBorders>
              <w:top w:val="nil"/>
              <w:left w:val="nil"/>
              <w:bottom w:val="single" w:sz="8" w:space="0" w:color="auto"/>
              <w:right w:val="single" w:sz="8" w:space="0" w:color="auto"/>
            </w:tcBorders>
            <w:shd w:val="clear" w:color="auto" w:fill="auto"/>
            <w:noWrap/>
            <w:vAlign w:val="center"/>
            <w:hideMark/>
          </w:tcPr>
          <w:p w14:paraId="20059F40" w14:textId="77777777" w:rsidR="009A4C46" w:rsidRPr="009A4C46" w:rsidRDefault="009A4C46" w:rsidP="009A4C46">
            <w:pPr>
              <w:spacing w:after="0" w:line="240" w:lineRule="auto"/>
              <w:jc w:val="center"/>
              <w:rPr>
                <w:rFonts w:eastAsia="Times New Roman"/>
                <w:color w:val="000000"/>
                <w:sz w:val="18"/>
                <w:szCs w:val="18"/>
                <w:lang w:eastAsia="ru-RU"/>
              </w:rPr>
            </w:pPr>
            <w:r w:rsidRPr="009A4C46">
              <w:rPr>
                <w:rFonts w:eastAsia="Times New Roman"/>
                <w:color w:val="000000"/>
                <w:sz w:val="18"/>
                <w:szCs w:val="18"/>
                <w:lang w:eastAsia="ru-RU"/>
              </w:rPr>
              <w:t>0,00%</w:t>
            </w:r>
          </w:p>
        </w:tc>
        <w:tc>
          <w:tcPr>
            <w:tcW w:w="690" w:type="pct"/>
            <w:tcBorders>
              <w:top w:val="nil"/>
              <w:left w:val="nil"/>
              <w:bottom w:val="single" w:sz="8" w:space="0" w:color="auto"/>
              <w:right w:val="single" w:sz="8" w:space="0" w:color="auto"/>
            </w:tcBorders>
            <w:shd w:val="clear" w:color="auto" w:fill="auto"/>
            <w:noWrap/>
            <w:vAlign w:val="center"/>
            <w:hideMark/>
          </w:tcPr>
          <w:p w14:paraId="12BB2003" w14:textId="77777777" w:rsidR="009A4C46" w:rsidRPr="009A4C46" w:rsidRDefault="009A4C46" w:rsidP="009A4C46">
            <w:pPr>
              <w:spacing w:after="0" w:line="240" w:lineRule="auto"/>
              <w:jc w:val="center"/>
              <w:rPr>
                <w:rFonts w:eastAsia="Times New Roman"/>
                <w:color w:val="000000"/>
                <w:sz w:val="18"/>
                <w:szCs w:val="18"/>
                <w:lang w:eastAsia="ru-RU"/>
              </w:rPr>
            </w:pPr>
            <w:r w:rsidRPr="009A4C46">
              <w:rPr>
                <w:rFonts w:eastAsia="Times New Roman"/>
                <w:color w:val="000000"/>
                <w:sz w:val="18"/>
                <w:szCs w:val="18"/>
                <w:lang w:eastAsia="ru-RU"/>
              </w:rPr>
              <w:t>0,00%</w:t>
            </w:r>
          </w:p>
        </w:tc>
        <w:tc>
          <w:tcPr>
            <w:tcW w:w="746" w:type="pct"/>
            <w:tcBorders>
              <w:top w:val="nil"/>
              <w:left w:val="nil"/>
              <w:bottom w:val="single" w:sz="8" w:space="0" w:color="auto"/>
              <w:right w:val="single" w:sz="8" w:space="0" w:color="auto"/>
            </w:tcBorders>
            <w:shd w:val="clear" w:color="auto" w:fill="auto"/>
            <w:noWrap/>
            <w:vAlign w:val="center"/>
            <w:hideMark/>
          </w:tcPr>
          <w:p w14:paraId="2FC7CAB0" w14:textId="77777777" w:rsidR="009A4C46" w:rsidRPr="009A4C46" w:rsidRDefault="009A4C46" w:rsidP="009A4C46">
            <w:pPr>
              <w:spacing w:after="0" w:line="240" w:lineRule="auto"/>
              <w:jc w:val="center"/>
              <w:rPr>
                <w:rFonts w:eastAsia="Times New Roman"/>
                <w:color w:val="000000"/>
                <w:sz w:val="18"/>
                <w:szCs w:val="18"/>
                <w:lang w:eastAsia="ru-RU"/>
              </w:rPr>
            </w:pPr>
            <w:r w:rsidRPr="009A4C46">
              <w:rPr>
                <w:rFonts w:eastAsia="Times New Roman"/>
                <w:color w:val="000000"/>
                <w:sz w:val="18"/>
                <w:szCs w:val="18"/>
                <w:lang w:eastAsia="ru-RU"/>
              </w:rPr>
              <w:t>0,00%</w:t>
            </w:r>
          </w:p>
        </w:tc>
      </w:tr>
    </w:tbl>
    <w:p w14:paraId="039841B6" w14:textId="77777777" w:rsidR="009A4C46" w:rsidRPr="00F94FED" w:rsidRDefault="009A4C46" w:rsidP="009A4C46">
      <w:pPr>
        <w:spacing w:after="32" w:line="360" w:lineRule="auto"/>
        <w:ind w:firstLine="567"/>
        <w:jc w:val="both"/>
        <w:rPr>
          <w:rFonts w:eastAsia="Times New Roman"/>
          <w:sz w:val="26"/>
          <w:szCs w:val="26"/>
          <w:lang w:eastAsia="ru-RU"/>
        </w:rPr>
      </w:pPr>
      <w:r w:rsidRPr="00F94FED">
        <w:rPr>
          <w:rFonts w:eastAsia="Times New Roman"/>
          <w:sz w:val="26"/>
          <w:szCs w:val="26"/>
          <w:lang w:eastAsia="ru-RU"/>
        </w:rPr>
        <w:t>Основной удельный вес в составе внеоборотных активов АО «Тываэнерго» приходится на основные средства. Анализ структуры «Оборотных активов»:</w:t>
      </w:r>
    </w:p>
    <w:p w14:paraId="031D9F97" w14:textId="77777777" w:rsidR="009A4C46" w:rsidRPr="00F94FED" w:rsidRDefault="009A4C46" w:rsidP="009A4C46">
      <w:pPr>
        <w:spacing w:after="32" w:line="360" w:lineRule="auto"/>
        <w:ind w:firstLine="567"/>
        <w:jc w:val="both"/>
        <w:rPr>
          <w:rFonts w:eastAsia="Times New Roman"/>
          <w:sz w:val="26"/>
          <w:szCs w:val="26"/>
          <w:lang w:eastAsia="ru-RU"/>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71"/>
        <w:gridCol w:w="1212"/>
        <w:gridCol w:w="1198"/>
        <w:gridCol w:w="1066"/>
        <w:gridCol w:w="1066"/>
        <w:gridCol w:w="1066"/>
        <w:gridCol w:w="1066"/>
      </w:tblGrid>
      <w:tr w:rsidR="009A4C46" w:rsidRPr="009A4C46" w14:paraId="10EAD55F" w14:textId="77777777" w:rsidTr="00F94FED">
        <w:trPr>
          <w:trHeight w:val="315"/>
          <w:tblHeader/>
        </w:trPr>
        <w:tc>
          <w:tcPr>
            <w:tcW w:w="144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2800760" w14:textId="77777777" w:rsidR="009A4C46" w:rsidRPr="00F94FED" w:rsidRDefault="009A4C46" w:rsidP="009A4C46">
            <w:pPr>
              <w:spacing w:after="0" w:line="240" w:lineRule="auto"/>
              <w:jc w:val="center"/>
              <w:rPr>
                <w:rFonts w:eastAsia="Times New Roman"/>
                <w:b/>
                <w:bCs/>
                <w:color w:val="FFFFFF" w:themeColor="background1"/>
                <w:sz w:val="18"/>
                <w:szCs w:val="18"/>
                <w:lang w:eastAsia="ru-RU"/>
              </w:rPr>
            </w:pPr>
            <w:r w:rsidRPr="00F94FED">
              <w:rPr>
                <w:rFonts w:eastAsia="Times New Roman"/>
                <w:b/>
                <w:bCs/>
                <w:color w:val="FFFFFF" w:themeColor="background1"/>
                <w:sz w:val="18"/>
                <w:szCs w:val="18"/>
                <w:lang w:eastAsia="ru-RU"/>
              </w:rPr>
              <w:t>Показатели АО «Тываэнерго»</w:t>
            </w:r>
          </w:p>
        </w:tc>
        <w:tc>
          <w:tcPr>
            <w:tcW w:w="1891"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4A7A51A" w14:textId="77777777" w:rsidR="009A4C46" w:rsidRPr="00F94FED" w:rsidRDefault="009A4C46" w:rsidP="009A4C46">
            <w:pPr>
              <w:spacing w:after="0" w:line="240" w:lineRule="auto"/>
              <w:jc w:val="center"/>
              <w:rPr>
                <w:rFonts w:eastAsia="Times New Roman"/>
                <w:b/>
                <w:bCs/>
                <w:color w:val="FFFFFF" w:themeColor="background1"/>
                <w:sz w:val="18"/>
                <w:szCs w:val="18"/>
                <w:lang w:eastAsia="ru-RU"/>
              </w:rPr>
            </w:pPr>
            <w:r w:rsidRPr="00F94FED">
              <w:rPr>
                <w:rFonts w:eastAsia="Times New Roman"/>
                <w:b/>
                <w:bCs/>
                <w:color w:val="FFFFFF" w:themeColor="background1"/>
                <w:sz w:val="18"/>
                <w:szCs w:val="18"/>
                <w:lang w:eastAsia="ru-RU"/>
              </w:rPr>
              <w:t>Абсолютное значение, тыс. руб.</w:t>
            </w:r>
          </w:p>
        </w:tc>
        <w:tc>
          <w:tcPr>
            <w:tcW w:w="1669"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E759BE7" w14:textId="77777777" w:rsidR="009A4C46" w:rsidRPr="00F94FED" w:rsidRDefault="009A4C46" w:rsidP="009A4C46">
            <w:pPr>
              <w:spacing w:after="0" w:line="240" w:lineRule="auto"/>
              <w:jc w:val="center"/>
              <w:rPr>
                <w:rFonts w:eastAsia="Times New Roman"/>
                <w:b/>
                <w:bCs/>
                <w:color w:val="FFFFFF" w:themeColor="background1"/>
                <w:sz w:val="18"/>
                <w:szCs w:val="18"/>
                <w:lang w:eastAsia="ru-RU"/>
              </w:rPr>
            </w:pPr>
            <w:r w:rsidRPr="00F94FED">
              <w:rPr>
                <w:rFonts w:eastAsia="Times New Roman"/>
                <w:b/>
                <w:bCs/>
                <w:color w:val="FFFFFF" w:themeColor="background1"/>
                <w:sz w:val="18"/>
                <w:szCs w:val="18"/>
                <w:lang w:eastAsia="ru-RU"/>
              </w:rPr>
              <w:t>Удельный вес(%)</w:t>
            </w:r>
          </w:p>
        </w:tc>
      </w:tr>
      <w:tr w:rsidR="00F94FED" w:rsidRPr="009A4C46" w14:paraId="0E0E5B51" w14:textId="77777777" w:rsidTr="00F94FED">
        <w:trPr>
          <w:trHeight w:val="471"/>
          <w:tblHeader/>
        </w:trPr>
        <w:tc>
          <w:tcPr>
            <w:tcW w:w="144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C0858EF" w14:textId="77777777" w:rsidR="009A4C46" w:rsidRPr="00F94FED" w:rsidRDefault="009A4C46" w:rsidP="009A4C46">
            <w:pPr>
              <w:spacing w:after="0" w:line="240" w:lineRule="auto"/>
              <w:rPr>
                <w:rFonts w:eastAsia="Times New Roman"/>
                <w:b/>
                <w:bCs/>
                <w:color w:val="FFFFFF" w:themeColor="background1"/>
                <w:sz w:val="18"/>
                <w:szCs w:val="18"/>
                <w:lang w:eastAsia="ru-RU"/>
              </w:rPr>
            </w:pPr>
          </w:p>
        </w:tc>
        <w:tc>
          <w:tcPr>
            <w:tcW w:w="66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7487DE1" w14:textId="77777777" w:rsidR="009A4C46" w:rsidRPr="00F94FED" w:rsidRDefault="009A4C46" w:rsidP="009A4C46">
            <w:pPr>
              <w:spacing w:after="0" w:line="240" w:lineRule="auto"/>
              <w:jc w:val="center"/>
              <w:rPr>
                <w:rFonts w:eastAsia="Times New Roman"/>
                <w:b/>
                <w:bCs/>
                <w:color w:val="FFFFFF" w:themeColor="background1"/>
                <w:sz w:val="18"/>
                <w:szCs w:val="18"/>
                <w:lang w:eastAsia="ru-RU"/>
              </w:rPr>
            </w:pPr>
            <w:r w:rsidRPr="00F94FED">
              <w:rPr>
                <w:rFonts w:eastAsia="Times New Roman"/>
                <w:b/>
                <w:bCs/>
                <w:color w:val="FFFFFF" w:themeColor="background1"/>
                <w:sz w:val="18"/>
                <w:szCs w:val="18"/>
                <w:lang w:eastAsia="ru-RU"/>
              </w:rPr>
              <w:t>На 31.12.2016</w:t>
            </w:r>
          </w:p>
        </w:tc>
        <w:tc>
          <w:tcPr>
            <w:tcW w:w="65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311C4EF" w14:textId="77777777" w:rsidR="009A4C46" w:rsidRPr="00F94FED" w:rsidRDefault="009A4C46" w:rsidP="009A4C46">
            <w:pPr>
              <w:spacing w:after="0" w:line="240" w:lineRule="auto"/>
              <w:jc w:val="center"/>
              <w:rPr>
                <w:rFonts w:eastAsia="Times New Roman"/>
                <w:b/>
                <w:bCs/>
                <w:color w:val="FFFFFF" w:themeColor="background1"/>
                <w:sz w:val="18"/>
                <w:szCs w:val="18"/>
                <w:lang w:eastAsia="ru-RU"/>
              </w:rPr>
            </w:pPr>
            <w:r w:rsidRPr="00F94FED">
              <w:rPr>
                <w:rFonts w:eastAsia="Times New Roman"/>
                <w:b/>
                <w:bCs/>
                <w:color w:val="FFFFFF" w:themeColor="background1"/>
                <w:sz w:val="18"/>
                <w:szCs w:val="18"/>
                <w:lang w:eastAsia="ru-RU"/>
              </w:rPr>
              <w:t>На 31.12.2017</w:t>
            </w:r>
          </w:p>
        </w:tc>
        <w:tc>
          <w:tcPr>
            <w:tcW w:w="57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BBCAE09" w14:textId="77777777" w:rsidR="009A4C46" w:rsidRPr="00F94FED" w:rsidRDefault="009A4C46" w:rsidP="009A4C46">
            <w:pPr>
              <w:spacing w:after="0" w:line="240" w:lineRule="auto"/>
              <w:jc w:val="center"/>
              <w:rPr>
                <w:rFonts w:eastAsia="Times New Roman"/>
                <w:b/>
                <w:bCs/>
                <w:color w:val="FFFFFF" w:themeColor="background1"/>
                <w:sz w:val="18"/>
                <w:szCs w:val="18"/>
                <w:lang w:eastAsia="ru-RU"/>
              </w:rPr>
            </w:pPr>
            <w:r w:rsidRPr="00F94FED">
              <w:rPr>
                <w:rFonts w:eastAsia="Times New Roman"/>
                <w:b/>
                <w:bCs/>
                <w:color w:val="FFFFFF" w:themeColor="background1"/>
                <w:sz w:val="18"/>
                <w:szCs w:val="18"/>
                <w:lang w:eastAsia="ru-RU"/>
              </w:rPr>
              <w:t>На 31.12.2018</w:t>
            </w:r>
          </w:p>
        </w:tc>
        <w:tc>
          <w:tcPr>
            <w:tcW w:w="57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06D655D" w14:textId="77777777" w:rsidR="009A4C46" w:rsidRPr="00F94FED" w:rsidRDefault="009A4C46" w:rsidP="009A4C46">
            <w:pPr>
              <w:spacing w:after="0" w:line="240" w:lineRule="auto"/>
              <w:jc w:val="center"/>
              <w:rPr>
                <w:rFonts w:eastAsia="Times New Roman"/>
                <w:b/>
                <w:bCs/>
                <w:color w:val="FFFFFF" w:themeColor="background1"/>
                <w:sz w:val="18"/>
                <w:szCs w:val="18"/>
                <w:lang w:eastAsia="ru-RU"/>
              </w:rPr>
            </w:pPr>
            <w:r w:rsidRPr="00F94FED">
              <w:rPr>
                <w:rFonts w:eastAsia="Times New Roman"/>
                <w:b/>
                <w:bCs/>
                <w:color w:val="FFFFFF" w:themeColor="background1"/>
                <w:sz w:val="18"/>
                <w:szCs w:val="18"/>
                <w:lang w:eastAsia="ru-RU"/>
              </w:rPr>
              <w:t>На 31.12.2016</w:t>
            </w:r>
          </w:p>
        </w:tc>
        <w:tc>
          <w:tcPr>
            <w:tcW w:w="54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FD68650" w14:textId="77777777" w:rsidR="009A4C46" w:rsidRPr="00F94FED" w:rsidRDefault="009A4C46" w:rsidP="009A4C46">
            <w:pPr>
              <w:spacing w:after="0" w:line="240" w:lineRule="auto"/>
              <w:jc w:val="center"/>
              <w:rPr>
                <w:rFonts w:eastAsia="Times New Roman"/>
                <w:b/>
                <w:bCs/>
                <w:color w:val="FFFFFF" w:themeColor="background1"/>
                <w:sz w:val="18"/>
                <w:szCs w:val="18"/>
                <w:lang w:eastAsia="ru-RU"/>
              </w:rPr>
            </w:pPr>
            <w:r w:rsidRPr="00F94FED">
              <w:rPr>
                <w:rFonts w:eastAsia="Times New Roman"/>
                <w:b/>
                <w:bCs/>
                <w:color w:val="FFFFFF" w:themeColor="background1"/>
                <w:sz w:val="18"/>
                <w:szCs w:val="18"/>
                <w:lang w:eastAsia="ru-RU"/>
              </w:rPr>
              <w:t>На 31.12.2017</w:t>
            </w:r>
          </w:p>
        </w:tc>
        <w:tc>
          <w:tcPr>
            <w:tcW w:w="54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3EB89B2" w14:textId="77777777" w:rsidR="009A4C46" w:rsidRPr="00F94FED" w:rsidRDefault="009A4C46" w:rsidP="009A4C46">
            <w:pPr>
              <w:spacing w:after="0" w:line="240" w:lineRule="auto"/>
              <w:jc w:val="center"/>
              <w:rPr>
                <w:rFonts w:eastAsia="Times New Roman"/>
                <w:b/>
                <w:bCs/>
                <w:color w:val="FFFFFF" w:themeColor="background1"/>
                <w:sz w:val="18"/>
                <w:szCs w:val="18"/>
                <w:lang w:eastAsia="ru-RU"/>
              </w:rPr>
            </w:pPr>
            <w:r w:rsidRPr="00F94FED">
              <w:rPr>
                <w:rFonts w:eastAsia="Times New Roman"/>
                <w:b/>
                <w:bCs/>
                <w:color w:val="FFFFFF" w:themeColor="background1"/>
                <w:sz w:val="18"/>
                <w:szCs w:val="18"/>
                <w:lang w:eastAsia="ru-RU"/>
              </w:rPr>
              <w:t>На 31.12.2018</w:t>
            </w:r>
          </w:p>
        </w:tc>
      </w:tr>
      <w:tr w:rsidR="00F94FED" w:rsidRPr="009A4C46" w14:paraId="48277FE5" w14:textId="77777777" w:rsidTr="00F94FED">
        <w:trPr>
          <w:trHeight w:val="471"/>
        </w:trPr>
        <w:tc>
          <w:tcPr>
            <w:tcW w:w="144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7D1EA3F" w14:textId="77777777" w:rsidR="009A4C46" w:rsidRPr="009A4C46" w:rsidRDefault="009A4C46" w:rsidP="009A4C46">
            <w:pPr>
              <w:spacing w:after="0" w:line="240" w:lineRule="auto"/>
              <w:rPr>
                <w:rFonts w:eastAsia="Times New Roman"/>
                <w:sz w:val="18"/>
                <w:szCs w:val="18"/>
                <w:lang w:eastAsia="ru-RU"/>
              </w:rPr>
            </w:pPr>
          </w:p>
        </w:tc>
        <w:tc>
          <w:tcPr>
            <w:tcW w:w="66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B145917" w14:textId="77777777" w:rsidR="009A4C46" w:rsidRPr="009A4C46" w:rsidRDefault="009A4C46" w:rsidP="009A4C46">
            <w:pPr>
              <w:spacing w:after="0" w:line="240" w:lineRule="auto"/>
              <w:rPr>
                <w:rFonts w:eastAsia="Times New Roman"/>
                <w:sz w:val="18"/>
                <w:szCs w:val="18"/>
                <w:lang w:eastAsia="ru-RU"/>
              </w:rPr>
            </w:pPr>
          </w:p>
        </w:tc>
        <w:tc>
          <w:tcPr>
            <w:tcW w:w="65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6AA97E7" w14:textId="77777777" w:rsidR="009A4C46" w:rsidRPr="009A4C46" w:rsidRDefault="009A4C46" w:rsidP="009A4C46">
            <w:pPr>
              <w:spacing w:after="0" w:line="240" w:lineRule="auto"/>
              <w:rPr>
                <w:rFonts w:eastAsia="Times New Roman"/>
                <w:sz w:val="18"/>
                <w:szCs w:val="18"/>
                <w:lang w:eastAsia="ru-RU"/>
              </w:rPr>
            </w:pPr>
          </w:p>
        </w:tc>
        <w:tc>
          <w:tcPr>
            <w:tcW w:w="57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9925CE0" w14:textId="77777777" w:rsidR="009A4C46" w:rsidRPr="009A4C46" w:rsidRDefault="009A4C46" w:rsidP="009A4C46">
            <w:pPr>
              <w:spacing w:after="0" w:line="240" w:lineRule="auto"/>
              <w:rPr>
                <w:rFonts w:eastAsia="Times New Roman"/>
                <w:sz w:val="18"/>
                <w:szCs w:val="18"/>
                <w:lang w:eastAsia="ru-RU"/>
              </w:rPr>
            </w:pPr>
          </w:p>
        </w:tc>
        <w:tc>
          <w:tcPr>
            <w:tcW w:w="57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F01BCB1" w14:textId="77777777" w:rsidR="009A4C46" w:rsidRPr="009A4C46" w:rsidRDefault="009A4C46" w:rsidP="009A4C46">
            <w:pPr>
              <w:spacing w:after="0" w:line="240" w:lineRule="auto"/>
              <w:rPr>
                <w:rFonts w:eastAsia="Times New Roman"/>
                <w:sz w:val="18"/>
                <w:szCs w:val="18"/>
                <w:lang w:eastAsia="ru-RU"/>
              </w:rPr>
            </w:pPr>
          </w:p>
        </w:tc>
        <w:tc>
          <w:tcPr>
            <w:tcW w:w="54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0B09870" w14:textId="77777777" w:rsidR="009A4C46" w:rsidRPr="009A4C46" w:rsidRDefault="009A4C46" w:rsidP="009A4C46">
            <w:pPr>
              <w:spacing w:after="0" w:line="240" w:lineRule="auto"/>
              <w:rPr>
                <w:rFonts w:eastAsia="Times New Roman"/>
                <w:sz w:val="18"/>
                <w:szCs w:val="18"/>
                <w:lang w:eastAsia="ru-RU"/>
              </w:rPr>
            </w:pPr>
          </w:p>
        </w:tc>
        <w:tc>
          <w:tcPr>
            <w:tcW w:w="54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1D4B4C4" w14:textId="77777777" w:rsidR="009A4C46" w:rsidRPr="009A4C46" w:rsidRDefault="009A4C46" w:rsidP="009A4C46">
            <w:pPr>
              <w:spacing w:after="0" w:line="240" w:lineRule="auto"/>
              <w:rPr>
                <w:rFonts w:eastAsia="Times New Roman"/>
                <w:sz w:val="18"/>
                <w:szCs w:val="18"/>
                <w:lang w:eastAsia="ru-RU"/>
              </w:rPr>
            </w:pPr>
          </w:p>
        </w:tc>
      </w:tr>
      <w:tr w:rsidR="009A4C46" w:rsidRPr="005C3ACA" w14:paraId="241FA0FD" w14:textId="77777777" w:rsidTr="005C3ACA">
        <w:trPr>
          <w:trHeight w:val="315"/>
        </w:trPr>
        <w:tc>
          <w:tcPr>
            <w:tcW w:w="1441" w:type="pct"/>
            <w:tcBorders>
              <w:top w:val="single" w:sz="4" w:space="0" w:color="FFFFFF" w:themeColor="background1"/>
            </w:tcBorders>
            <w:shd w:val="clear" w:color="auto" w:fill="D6E3BC" w:themeFill="accent3" w:themeFillTint="66"/>
            <w:noWrap/>
            <w:vAlign w:val="center"/>
            <w:hideMark/>
          </w:tcPr>
          <w:p w14:paraId="2E6252FA" w14:textId="77777777" w:rsidR="009A4C46" w:rsidRPr="005C3ACA" w:rsidRDefault="009A4C46" w:rsidP="009A4C46">
            <w:pPr>
              <w:spacing w:after="0" w:line="240" w:lineRule="auto"/>
              <w:rPr>
                <w:rFonts w:eastAsia="Times New Roman"/>
                <w:b/>
                <w:bCs/>
                <w:sz w:val="18"/>
                <w:szCs w:val="18"/>
                <w:lang w:eastAsia="ru-RU"/>
              </w:rPr>
            </w:pPr>
            <w:r w:rsidRPr="005C3ACA">
              <w:rPr>
                <w:rFonts w:eastAsia="Times New Roman"/>
                <w:b/>
                <w:bCs/>
                <w:sz w:val="18"/>
                <w:szCs w:val="18"/>
                <w:lang w:eastAsia="ru-RU"/>
              </w:rPr>
              <w:t>ИТОГО:</w:t>
            </w:r>
          </w:p>
        </w:tc>
        <w:tc>
          <w:tcPr>
            <w:tcW w:w="660" w:type="pct"/>
            <w:tcBorders>
              <w:top w:val="single" w:sz="4" w:space="0" w:color="FFFFFF" w:themeColor="background1"/>
            </w:tcBorders>
            <w:shd w:val="clear" w:color="auto" w:fill="D6E3BC" w:themeFill="accent3" w:themeFillTint="66"/>
            <w:vAlign w:val="center"/>
            <w:hideMark/>
          </w:tcPr>
          <w:p w14:paraId="0D16120C" w14:textId="77777777" w:rsidR="009A4C46" w:rsidRPr="005C3ACA" w:rsidRDefault="009A4C46" w:rsidP="009A4C46">
            <w:pPr>
              <w:spacing w:after="0" w:line="240" w:lineRule="auto"/>
              <w:jc w:val="center"/>
              <w:rPr>
                <w:rFonts w:eastAsia="Times New Roman"/>
                <w:b/>
                <w:bCs/>
                <w:sz w:val="18"/>
                <w:szCs w:val="18"/>
                <w:lang w:eastAsia="ru-RU"/>
              </w:rPr>
            </w:pPr>
            <w:r w:rsidRPr="005C3ACA">
              <w:rPr>
                <w:rFonts w:eastAsia="Times New Roman"/>
                <w:b/>
                <w:bCs/>
                <w:sz w:val="18"/>
                <w:szCs w:val="18"/>
                <w:lang w:eastAsia="ru-RU"/>
              </w:rPr>
              <w:t>1 681 054</w:t>
            </w:r>
          </w:p>
        </w:tc>
        <w:tc>
          <w:tcPr>
            <w:tcW w:w="652" w:type="pct"/>
            <w:tcBorders>
              <w:top w:val="single" w:sz="4" w:space="0" w:color="FFFFFF" w:themeColor="background1"/>
            </w:tcBorders>
            <w:shd w:val="clear" w:color="auto" w:fill="D6E3BC" w:themeFill="accent3" w:themeFillTint="66"/>
            <w:vAlign w:val="center"/>
            <w:hideMark/>
          </w:tcPr>
          <w:p w14:paraId="22BF05F1" w14:textId="77777777" w:rsidR="009A4C46" w:rsidRPr="005C3ACA" w:rsidRDefault="009A4C46" w:rsidP="009A4C46">
            <w:pPr>
              <w:spacing w:after="0" w:line="240" w:lineRule="auto"/>
              <w:jc w:val="center"/>
              <w:rPr>
                <w:rFonts w:eastAsia="Times New Roman"/>
                <w:b/>
                <w:bCs/>
                <w:sz w:val="18"/>
                <w:szCs w:val="18"/>
                <w:lang w:eastAsia="ru-RU"/>
              </w:rPr>
            </w:pPr>
            <w:r w:rsidRPr="005C3ACA">
              <w:rPr>
                <w:rFonts w:eastAsia="Times New Roman"/>
                <w:b/>
                <w:bCs/>
                <w:sz w:val="18"/>
                <w:szCs w:val="18"/>
                <w:lang w:eastAsia="ru-RU"/>
              </w:rPr>
              <w:t>1 592 792</w:t>
            </w:r>
          </w:p>
        </w:tc>
        <w:tc>
          <w:tcPr>
            <w:tcW w:w="579" w:type="pct"/>
            <w:tcBorders>
              <w:top w:val="single" w:sz="4" w:space="0" w:color="FFFFFF" w:themeColor="background1"/>
            </w:tcBorders>
            <w:shd w:val="clear" w:color="auto" w:fill="D6E3BC" w:themeFill="accent3" w:themeFillTint="66"/>
            <w:vAlign w:val="center"/>
            <w:hideMark/>
          </w:tcPr>
          <w:p w14:paraId="1553AF24" w14:textId="77777777" w:rsidR="009A4C46" w:rsidRPr="005C3ACA" w:rsidRDefault="009A4C46" w:rsidP="009A4C46">
            <w:pPr>
              <w:spacing w:after="0" w:line="240" w:lineRule="auto"/>
              <w:jc w:val="center"/>
              <w:rPr>
                <w:rFonts w:eastAsia="Times New Roman"/>
                <w:b/>
                <w:bCs/>
                <w:sz w:val="18"/>
                <w:szCs w:val="18"/>
                <w:lang w:eastAsia="ru-RU"/>
              </w:rPr>
            </w:pPr>
            <w:r w:rsidRPr="005C3ACA">
              <w:rPr>
                <w:rFonts w:eastAsia="Times New Roman"/>
                <w:b/>
                <w:bCs/>
                <w:sz w:val="18"/>
                <w:szCs w:val="18"/>
                <w:lang w:eastAsia="ru-RU"/>
              </w:rPr>
              <w:t>400 052</w:t>
            </w:r>
          </w:p>
        </w:tc>
        <w:tc>
          <w:tcPr>
            <w:tcW w:w="579" w:type="pct"/>
            <w:tcBorders>
              <w:top w:val="single" w:sz="4" w:space="0" w:color="FFFFFF" w:themeColor="background1"/>
            </w:tcBorders>
            <w:shd w:val="clear" w:color="auto" w:fill="D6E3BC" w:themeFill="accent3" w:themeFillTint="66"/>
            <w:noWrap/>
            <w:vAlign w:val="center"/>
            <w:hideMark/>
          </w:tcPr>
          <w:p w14:paraId="4672C195" w14:textId="77777777" w:rsidR="009A4C46" w:rsidRPr="005C3ACA" w:rsidRDefault="009A4C46" w:rsidP="009A4C46">
            <w:pPr>
              <w:spacing w:after="0" w:line="240" w:lineRule="auto"/>
              <w:jc w:val="center"/>
              <w:rPr>
                <w:rFonts w:eastAsia="Times New Roman"/>
                <w:b/>
                <w:bCs/>
                <w:sz w:val="18"/>
                <w:szCs w:val="18"/>
                <w:lang w:eastAsia="ru-RU"/>
              </w:rPr>
            </w:pPr>
            <w:r w:rsidRPr="005C3ACA">
              <w:rPr>
                <w:rFonts w:eastAsia="Times New Roman"/>
                <w:b/>
                <w:bCs/>
                <w:sz w:val="18"/>
                <w:szCs w:val="18"/>
                <w:lang w:eastAsia="ru-RU"/>
              </w:rPr>
              <w:t>100,00%</w:t>
            </w:r>
          </w:p>
        </w:tc>
        <w:tc>
          <w:tcPr>
            <w:tcW w:w="545" w:type="pct"/>
            <w:tcBorders>
              <w:top w:val="single" w:sz="4" w:space="0" w:color="FFFFFF" w:themeColor="background1"/>
            </w:tcBorders>
            <w:shd w:val="clear" w:color="auto" w:fill="D6E3BC" w:themeFill="accent3" w:themeFillTint="66"/>
            <w:noWrap/>
            <w:vAlign w:val="center"/>
            <w:hideMark/>
          </w:tcPr>
          <w:p w14:paraId="3B79523D" w14:textId="77777777" w:rsidR="009A4C46" w:rsidRPr="005C3ACA" w:rsidRDefault="009A4C46" w:rsidP="009A4C46">
            <w:pPr>
              <w:spacing w:after="0" w:line="240" w:lineRule="auto"/>
              <w:jc w:val="center"/>
              <w:rPr>
                <w:rFonts w:eastAsia="Times New Roman"/>
                <w:b/>
                <w:bCs/>
                <w:sz w:val="18"/>
                <w:szCs w:val="18"/>
                <w:lang w:eastAsia="ru-RU"/>
              </w:rPr>
            </w:pPr>
            <w:r w:rsidRPr="005C3ACA">
              <w:rPr>
                <w:rFonts w:eastAsia="Times New Roman"/>
                <w:b/>
                <w:bCs/>
                <w:sz w:val="18"/>
                <w:szCs w:val="18"/>
                <w:lang w:eastAsia="ru-RU"/>
              </w:rPr>
              <w:t>100,00%</w:t>
            </w:r>
          </w:p>
        </w:tc>
        <w:tc>
          <w:tcPr>
            <w:tcW w:w="545" w:type="pct"/>
            <w:tcBorders>
              <w:top w:val="single" w:sz="4" w:space="0" w:color="FFFFFF" w:themeColor="background1"/>
            </w:tcBorders>
            <w:shd w:val="clear" w:color="auto" w:fill="D6E3BC" w:themeFill="accent3" w:themeFillTint="66"/>
            <w:noWrap/>
            <w:vAlign w:val="center"/>
            <w:hideMark/>
          </w:tcPr>
          <w:p w14:paraId="3854B139" w14:textId="77777777" w:rsidR="009A4C46" w:rsidRPr="005C3ACA" w:rsidRDefault="009A4C46" w:rsidP="009A4C46">
            <w:pPr>
              <w:spacing w:after="0" w:line="240" w:lineRule="auto"/>
              <w:jc w:val="center"/>
              <w:rPr>
                <w:rFonts w:eastAsia="Times New Roman"/>
                <w:b/>
                <w:bCs/>
                <w:sz w:val="18"/>
                <w:szCs w:val="18"/>
                <w:lang w:eastAsia="ru-RU"/>
              </w:rPr>
            </w:pPr>
            <w:r w:rsidRPr="005C3ACA">
              <w:rPr>
                <w:rFonts w:eastAsia="Times New Roman"/>
                <w:b/>
                <w:bCs/>
                <w:sz w:val="18"/>
                <w:szCs w:val="18"/>
                <w:lang w:eastAsia="ru-RU"/>
              </w:rPr>
              <w:t>100,00%</w:t>
            </w:r>
          </w:p>
        </w:tc>
      </w:tr>
      <w:tr w:rsidR="009A4C46" w:rsidRPr="009A4C46" w14:paraId="09412C3B" w14:textId="77777777" w:rsidTr="00F94FED">
        <w:trPr>
          <w:trHeight w:val="332"/>
        </w:trPr>
        <w:tc>
          <w:tcPr>
            <w:tcW w:w="1441" w:type="pct"/>
            <w:shd w:val="clear" w:color="auto" w:fill="auto"/>
            <w:vAlign w:val="center"/>
            <w:hideMark/>
          </w:tcPr>
          <w:p w14:paraId="6C6FD61C" w14:textId="77777777" w:rsidR="009A4C46" w:rsidRPr="009A4C46" w:rsidRDefault="009A4C46" w:rsidP="009A4C46">
            <w:pPr>
              <w:spacing w:after="0" w:line="240" w:lineRule="auto"/>
              <w:rPr>
                <w:rFonts w:eastAsia="Times New Roman"/>
                <w:sz w:val="18"/>
                <w:szCs w:val="18"/>
                <w:lang w:eastAsia="ru-RU"/>
              </w:rPr>
            </w:pPr>
            <w:r w:rsidRPr="009A4C46">
              <w:rPr>
                <w:rFonts w:eastAsia="Times New Roman"/>
                <w:sz w:val="18"/>
                <w:szCs w:val="18"/>
                <w:lang w:eastAsia="ru-RU"/>
              </w:rPr>
              <w:t>Запасы</w:t>
            </w:r>
          </w:p>
        </w:tc>
        <w:tc>
          <w:tcPr>
            <w:tcW w:w="660" w:type="pct"/>
            <w:shd w:val="clear" w:color="auto" w:fill="auto"/>
            <w:noWrap/>
            <w:vAlign w:val="center"/>
            <w:hideMark/>
          </w:tcPr>
          <w:p w14:paraId="1975E5F6" w14:textId="77777777" w:rsidR="009A4C46" w:rsidRPr="009A4C46" w:rsidRDefault="009A4C46" w:rsidP="009A4C46">
            <w:pPr>
              <w:spacing w:after="0" w:line="240" w:lineRule="auto"/>
              <w:jc w:val="center"/>
              <w:rPr>
                <w:rFonts w:eastAsia="Times New Roman"/>
                <w:sz w:val="18"/>
                <w:szCs w:val="18"/>
                <w:lang w:eastAsia="ru-RU"/>
              </w:rPr>
            </w:pPr>
            <w:r w:rsidRPr="009A4C46">
              <w:rPr>
                <w:rFonts w:eastAsia="Times New Roman"/>
                <w:sz w:val="18"/>
                <w:szCs w:val="18"/>
                <w:lang w:eastAsia="ru-RU"/>
              </w:rPr>
              <w:t>38 022</w:t>
            </w:r>
          </w:p>
        </w:tc>
        <w:tc>
          <w:tcPr>
            <w:tcW w:w="652" w:type="pct"/>
            <w:shd w:val="clear" w:color="auto" w:fill="auto"/>
            <w:noWrap/>
            <w:vAlign w:val="center"/>
            <w:hideMark/>
          </w:tcPr>
          <w:p w14:paraId="5B03D686" w14:textId="77777777" w:rsidR="009A4C46" w:rsidRPr="009A4C46" w:rsidRDefault="009A4C46" w:rsidP="009A4C46">
            <w:pPr>
              <w:spacing w:after="0" w:line="240" w:lineRule="auto"/>
              <w:jc w:val="center"/>
              <w:rPr>
                <w:rFonts w:eastAsia="Times New Roman"/>
                <w:sz w:val="18"/>
                <w:szCs w:val="18"/>
                <w:lang w:eastAsia="ru-RU"/>
              </w:rPr>
            </w:pPr>
            <w:r w:rsidRPr="009A4C46">
              <w:rPr>
                <w:rFonts w:eastAsia="Times New Roman"/>
                <w:sz w:val="18"/>
                <w:szCs w:val="18"/>
                <w:lang w:eastAsia="ru-RU"/>
              </w:rPr>
              <w:t>45 411</w:t>
            </w:r>
          </w:p>
        </w:tc>
        <w:tc>
          <w:tcPr>
            <w:tcW w:w="579" w:type="pct"/>
            <w:shd w:val="clear" w:color="auto" w:fill="auto"/>
            <w:noWrap/>
            <w:vAlign w:val="center"/>
            <w:hideMark/>
          </w:tcPr>
          <w:p w14:paraId="3D49A972" w14:textId="77777777" w:rsidR="009A4C46" w:rsidRPr="009A4C46" w:rsidRDefault="009A4C46" w:rsidP="009A4C46">
            <w:pPr>
              <w:spacing w:after="0" w:line="240" w:lineRule="auto"/>
              <w:jc w:val="center"/>
              <w:rPr>
                <w:rFonts w:eastAsia="Times New Roman"/>
                <w:sz w:val="18"/>
                <w:szCs w:val="18"/>
                <w:lang w:eastAsia="ru-RU"/>
              </w:rPr>
            </w:pPr>
            <w:r w:rsidRPr="009A4C46">
              <w:rPr>
                <w:rFonts w:eastAsia="Times New Roman"/>
                <w:sz w:val="18"/>
                <w:szCs w:val="18"/>
                <w:lang w:eastAsia="ru-RU"/>
              </w:rPr>
              <w:t>38 453</w:t>
            </w:r>
          </w:p>
        </w:tc>
        <w:tc>
          <w:tcPr>
            <w:tcW w:w="579" w:type="pct"/>
            <w:shd w:val="clear" w:color="auto" w:fill="auto"/>
            <w:noWrap/>
            <w:vAlign w:val="center"/>
            <w:hideMark/>
          </w:tcPr>
          <w:p w14:paraId="4DF6614A" w14:textId="77777777" w:rsidR="009A4C46" w:rsidRPr="009A4C46" w:rsidRDefault="009A4C46" w:rsidP="009A4C46">
            <w:pPr>
              <w:spacing w:after="0" w:line="240" w:lineRule="auto"/>
              <w:jc w:val="center"/>
              <w:rPr>
                <w:rFonts w:eastAsia="Times New Roman"/>
                <w:sz w:val="18"/>
                <w:szCs w:val="18"/>
                <w:lang w:eastAsia="ru-RU"/>
              </w:rPr>
            </w:pPr>
            <w:r w:rsidRPr="009A4C46">
              <w:rPr>
                <w:rFonts w:eastAsia="Times New Roman"/>
                <w:sz w:val="18"/>
                <w:szCs w:val="18"/>
                <w:lang w:eastAsia="ru-RU"/>
              </w:rPr>
              <w:t>2,26%</w:t>
            </w:r>
          </w:p>
        </w:tc>
        <w:tc>
          <w:tcPr>
            <w:tcW w:w="545" w:type="pct"/>
            <w:shd w:val="clear" w:color="auto" w:fill="auto"/>
            <w:noWrap/>
            <w:vAlign w:val="center"/>
            <w:hideMark/>
          </w:tcPr>
          <w:p w14:paraId="7FFF3CC7" w14:textId="77777777" w:rsidR="009A4C46" w:rsidRPr="009A4C46" w:rsidRDefault="009A4C46" w:rsidP="009A4C46">
            <w:pPr>
              <w:spacing w:after="0" w:line="240" w:lineRule="auto"/>
              <w:jc w:val="center"/>
              <w:rPr>
                <w:rFonts w:eastAsia="Times New Roman"/>
                <w:sz w:val="18"/>
                <w:szCs w:val="18"/>
                <w:lang w:eastAsia="ru-RU"/>
              </w:rPr>
            </w:pPr>
            <w:r w:rsidRPr="009A4C46">
              <w:rPr>
                <w:rFonts w:eastAsia="Times New Roman"/>
                <w:sz w:val="18"/>
                <w:szCs w:val="18"/>
                <w:lang w:eastAsia="ru-RU"/>
              </w:rPr>
              <w:t>2,85%</w:t>
            </w:r>
          </w:p>
        </w:tc>
        <w:tc>
          <w:tcPr>
            <w:tcW w:w="545" w:type="pct"/>
            <w:shd w:val="clear" w:color="auto" w:fill="auto"/>
            <w:noWrap/>
            <w:vAlign w:val="center"/>
            <w:hideMark/>
          </w:tcPr>
          <w:p w14:paraId="7DCBA9E2" w14:textId="77777777" w:rsidR="009A4C46" w:rsidRPr="009A4C46" w:rsidRDefault="009A4C46" w:rsidP="009A4C46">
            <w:pPr>
              <w:spacing w:after="0" w:line="240" w:lineRule="auto"/>
              <w:jc w:val="center"/>
              <w:rPr>
                <w:rFonts w:eastAsia="Times New Roman"/>
                <w:sz w:val="18"/>
                <w:szCs w:val="18"/>
                <w:lang w:eastAsia="ru-RU"/>
              </w:rPr>
            </w:pPr>
            <w:r w:rsidRPr="009A4C46">
              <w:rPr>
                <w:rFonts w:eastAsia="Times New Roman"/>
                <w:sz w:val="18"/>
                <w:szCs w:val="18"/>
                <w:lang w:eastAsia="ru-RU"/>
              </w:rPr>
              <w:t>9,61%</w:t>
            </w:r>
          </w:p>
        </w:tc>
      </w:tr>
      <w:tr w:rsidR="009A4C46" w:rsidRPr="009A4C46" w14:paraId="24491BBF" w14:textId="77777777" w:rsidTr="00F94FED">
        <w:trPr>
          <w:trHeight w:val="495"/>
        </w:trPr>
        <w:tc>
          <w:tcPr>
            <w:tcW w:w="1441" w:type="pct"/>
            <w:shd w:val="clear" w:color="auto" w:fill="auto"/>
            <w:vAlign w:val="center"/>
            <w:hideMark/>
          </w:tcPr>
          <w:p w14:paraId="244A80EB" w14:textId="77777777" w:rsidR="009A4C46" w:rsidRPr="009A4C46" w:rsidRDefault="009A4C46" w:rsidP="009A4C46">
            <w:pPr>
              <w:spacing w:after="0" w:line="240" w:lineRule="auto"/>
              <w:rPr>
                <w:rFonts w:eastAsia="Times New Roman"/>
                <w:sz w:val="18"/>
                <w:szCs w:val="18"/>
                <w:lang w:eastAsia="ru-RU"/>
              </w:rPr>
            </w:pPr>
            <w:r w:rsidRPr="009A4C46">
              <w:rPr>
                <w:rFonts w:eastAsia="Times New Roman"/>
                <w:sz w:val="18"/>
                <w:szCs w:val="18"/>
                <w:lang w:eastAsia="ru-RU"/>
              </w:rPr>
              <w:t>НДС по приобретенным ценностям</w:t>
            </w:r>
          </w:p>
        </w:tc>
        <w:tc>
          <w:tcPr>
            <w:tcW w:w="660" w:type="pct"/>
            <w:shd w:val="clear" w:color="auto" w:fill="auto"/>
            <w:noWrap/>
            <w:vAlign w:val="center"/>
            <w:hideMark/>
          </w:tcPr>
          <w:p w14:paraId="594074A9" w14:textId="77777777" w:rsidR="009A4C46" w:rsidRPr="009A4C46" w:rsidRDefault="009A4C46" w:rsidP="009A4C46">
            <w:pPr>
              <w:spacing w:after="0" w:line="240" w:lineRule="auto"/>
              <w:jc w:val="center"/>
              <w:rPr>
                <w:rFonts w:eastAsia="Times New Roman"/>
                <w:sz w:val="18"/>
                <w:szCs w:val="18"/>
                <w:lang w:eastAsia="ru-RU"/>
              </w:rPr>
            </w:pPr>
            <w:r w:rsidRPr="009A4C46">
              <w:rPr>
                <w:rFonts w:eastAsia="Times New Roman"/>
                <w:sz w:val="18"/>
                <w:szCs w:val="18"/>
                <w:lang w:eastAsia="ru-RU"/>
              </w:rPr>
              <w:t>25</w:t>
            </w:r>
          </w:p>
        </w:tc>
        <w:tc>
          <w:tcPr>
            <w:tcW w:w="652" w:type="pct"/>
            <w:shd w:val="clear" w:color="auto" w:fill="auto"/>
            <w:noWrap/>
            <w:vAlign w:val="center"/>
            <w:hideMark/>
          </w:tcPr>
          <w:p w14:paraId="18C86791" w14:textId="77777777" w:rsidR="009A4C46" w:rsidRPr="009A4C46" w:rsidRDefault="009A4C46" w:rsidP="009A4C46">
            <w:pPr>
              <w:spacing w:after="0" w:line="240" w:lineRule="auto"/>
              <w:jc w:val="center"/>
              <w:rPr>
                <w:rFonts w:eastAsia="Times New Roman"/>
                <w:sz w:val="18"/>
                <w:szCs w:val="18"/>
                <w:lang w:eastAsia="ru-RU"/>
              </w:rPr>
            </w:pPr>
            <w:r w:rsidRPr="009A4C46">
              <w:rPr>
                <w:rFonts w:eastAsia="Times New Roman"/>
                <w:sz w:val="18"/>
                <w:szCs w:val="18"/>
                <w:lang w:eastAsia="ru-RU"/>
              </w:rPr>
              <w:t>0</w:t>
            </w:r>
          </w:p>
        </w:tc>
        <w:tc>
          <w:tcPr>
            <w:tcW w:w="579" w:type="pct"/>
            <w:shd w:val="clear" w:color="auto" w:fill="auto"/>
            <w:noWrap/>
            <w:vAlign w:val="center"/>
            <w:hideMark/>
          </w:tcPr>
          <w:p w14:paraId="5B39D5EE" w14:textId="77777777" w:rsidR="009A4C46" w:rsidRPr="009A4C46" w:rsidRDefault="009A4C46" w:rsidP="009A4C46">
            <w:pPr>
              <w:spacing w:after="0" w:line="240" w:lineRule="auto"/>
              <w:jc w:val="center"/>
              <w:rPr>
                <w:rFonts w:eastAsia="Times New Roman"/>
                <w:sz w:val="18"/>
                <w:szCs w:val="18"/>
                <w:lang w:eastAsia="ru-RU"/>
              </w:rPr>
            </w:pPr>
            <w:r w:rsidRPr="009A4C46">
              <w:rPr>
                <w:rFonts w:eastAsia="Times New Roman"/>
                <w:sz w:val="18"/>
                <w:szCs w:val="18"/>
                <w:lang w:eastAsia="ru-RU"/>
              </w:rPr>
              <w:t>0</w:t>
            </w:r>
          </w:p>
        </w:tc>
        <w:tc>
          <w:tcPr>
            <w:tcW w:w="579" w:type="pct"/>
            <w:shd w:val="clear" w:color="auto" w:fill="auto"/>
            <w:noWrap/>
            <w:vAlign w:val="center"/>
            <w:hideMark/>
          </w:tcPr>
          <w:p w14:paraId="54D0E466" w14:textId="77777777" w:rsidR="009A4C46" w:rsidRPr="009A4C46" w:rsidRDefault="009A4C46" w:rsidP="009A4C46">
            <w:pPr>
              <w:spacing w:after="0" w:line="240" w:lineRule="auto"/>
              <w:jc w:val="center"/>
              <w:rPr>
                <w:rFonts w:eastAsia="Times New Roman"/>
                <w:sz w:val="18"/>
                <w:szCs w:val="18"/>
                <w:lang w:eastAsia="ru-RU"/>
              </w:rPr>
            </w:pPr>
            <w:r w:rsidRPr="009A4C46">
              <w:rPr>
                <w:rFonts w:eastAsia="Times New Roman"/>
                <w:sz w:val="18"/>
                <w:szCs w:val="18"/>
                <w:lang w:eastAsia="ru-RU"/>
              </w:rPr>
              <w:t>0,00%</w:t>
            </w:r>
          </w:p>
        </w:tc>
        <w:tc>
          <w:tcPr>
            <w:tcW w:w="545" w:type="pct"/>
            <w:shd w:val="clear" w:color="auto" w:fill="auto"/>
            <w:noWrap/>
            <w:vAlign w:val="center"/>
            <w:hideMark/>
          </w:tcPr>
          <w:p w14:paraId="6CD70E32" w14:textId="77777777" w:rsidR="009A4C46" w:rsidRPr="009A4C46" w:rsidRDefault="009A4C46" w:rsidP="009A4C46">
            <w:pPr>
              <w:spacing w:after="0" w:line="240" w:lineRule="auto"/>
              <w:jc w:val="center"/>
              <w:rPr>
                <w:rFonts w:eastAsia="Times New Roman"/>
                <w:sz w:val="18"/>
                <w:szCs w:val="18"/>
                <w:lang w:eastAsia="ru-RU"/>
              </w:rPr>
            </w:pPr>
            <w:r w:rsidRPr="009A4C46">
              <w:rPr>
                <w:rFonts w:eastAsia="Times New Roman"/>
                <w:sz w:val="18"/>
                <w:szCs w:val="18"/>
                <w:lang w:eastAsia="ru-RU"/>
              </w:rPr>
              <w:t>0,00%</w:t>
            </w:r>
          </w:p>
        </w:tc>
        <w:tc>
          <w:tcPr>
            <w:tcW w:w="545" w:type="pct"/>
            <w:shd w:val="clear" w:color="auto" w:fill="auto"/>
            <w:noWrap/>
            <w:vAlign w:val="center"/>
            <w:hideMark/>
          </w:tcPr>
          <w:p w14:paraId="114878A5" w14:textId="77777777" w:rsidR="009A4C46" w:rsidRPr="009A4C46" w:rsidRDefault="009A4C46" w:rsidP="009A4C46">
            <w:pPr>
              <w:spacing w:after="0" w:line="240" w:lineRule="auto"/>
              <w:jc w:val="center"/>
              <w:rPr>
                <w:rFonts w:eastAsia="Times New Roman"/>
                <w:sz w:val="18"/>
                <w:szCs w:val="18"/>
                <w:lang w:eastAsia="ru-RU"/>
              </w:rPr>
            </w:pPr>
            <w:r w:rsidRPr="009A4C46">
              <w:rPr>
                <w:rFonts w:eastAsia="Times New Roman"/>
                <w:sz w:val="18"/>
                <w:szCs w:val="18"/>
                <w:lang w:eastAsia="ru-RU"/>
              </w:rPr>
              <w:t>0,00%</w:t>
            </w:r>
          </w:p>
        </w:tc>
      </w:tr>
      <w:tr w:rsidR="009A4C46" w:rsidRPr="009A4C46" w14:paraId="0FDFF479" w14:textId="77777777" w:rsidTr="00F94FED">
        <w:trPr>
          <w:trHeight w:val="201"/>
        </w:trPr>
        <w:tc>
          <w:tcPr>
            <w:tcW w:w="1441" w:type="pct"/>
            <w:shd w:val="clear" w:color="auto" w:fill="auto"/>
            <w:vAlign w:val="center"/>
            <w:hideMark/>
          </w:tcPr>
          <w:p w14:paraId="23BA4502" w14:textId="77777777" w:rsidR="009A4C46" w:rsidRPr="009A4C46" w:rsidRDefault="009A4C46" w:rsidP="009A4C46">
            <w:pPr>
              <w:spacing w:after="0" w:line="240" w:lineRule="auto"/>
              <w:rPr>
                <w:rFonts w:eastAsia="Times New Roman"/>
                <w:sz w:val="18"/>
                <w:szCs w:val="18"/>
                <w:lang w:eastAsia="ru-RU"/>
              </w:rPr>
            </w:pPr>
            <w:r w:rsidRPr="009A4C46">
              <w:rPr>
                <w:rFonts w:eastAsia="Times New Roman"/>
                <w:sz w:val="18"/>
                <w:szCs w:val="18"/>
                <w:lang w:eastAsia="ru-RU"/>
              </w:rPr>
              <w:t>Дебиторская задолженность</w:t>
            </w:r>
          </w:p>
        </w:tc>
        <w:tc>
          <w:tcPr>
            <w:tcW w:w="660" w:type="pct"/>
            <w:shd w:val="clear" w:color="auto" w:fill="auto"/>
            <w:noWrap/>
            <w:vAlign w:val="center"/>
            <w:hideMark/>
          </w:tcPr>
          <w:p w14:paraId="3BF6104E" w14:textId="77777777" w:rsidR="009A4C46" w:rsidRPr="009A4C46" w:rsidRDefault="009A4C46" w:rsidP="009A4C46">
            <w:pPr>
              <w:spacing w:after="0" w:line="240" w:lineRule="auto"/>
              <w:jc w:val="center"/>
              <w:rPr>
                <w:rFonts w:eastAsia="Times New Roman"/>
                <w:sz w:val="18"/>
                <w:szCs w:val="18"/>
                <w:lang w:eastAsia="ru-RU"/>
              </w:rPr>
            </w:pPr>
            <w:r w:rsidRPr="009A4C46">
              <w:rPr>
                <w:rFonts w:eastAsia="Times New Roman"/>
                <w:sz w:val="18"/>
                <w:szCs w:val="18"/>
                <w:lang w:eastAsia="ru-RU"/>
              </w:rPr>
              <w:t>1 193 553</w:t>
            </w:r>
          </w:p>
        </w:tc>
        <w:tc>
          <w:tcPr>
            <w:tcW w:w="652" w:type="pct"/>
            <w:shd w:val="clear" w:color="auto" w:fill="auto"/>
            <w:noWrap/>
            <w:vAlign w:val="center"/>
            <w:hideMark/>
          </w:tcPr>
          <w:p w14:paraId="69DC4B1D" w14:textId="77777777" w:rsidR="009A4C46" w:rsidRPr="009A4C46" w:rsidRDefault="009A4C46" w:rsidP="009A4C46">
            <w:pPr>
              <w:spacing w:after="0" w:line="240" w:lineRule="auto"/>
              <w:jc w:val="center"/>
              <w:rPr>
                <w:rFonts w:eastAsia="Times New Roman"/>
                <w:sz w:val="18"/>
                <w:szCs w:val="18"/>
                <w:lang w:eastAsia="ru-RU"/>
              </w:rPr>
            </w:pPr>
            <w:r w:rsidRPr="009A4C46">
              <w:rPr>
                <w:rFonts w:eastAsia="Times New Roman"/>
                <w:sz w:val="18"/>
                <w:szCs w:val="18"/>
                <w:lang w:eastAsia="ru-RU"/>
              </w:rPr>
              <w:t>1 251 010</w:t>
            </w:r>
          </w:p>
        </w:tc>
        <w:tc>
          <w:tcPr>
            <w:tcW w:w="579" w:type="pct"/>
            <w:shd w:val="clear" w:color="auto" w:fill="auto"/>
            <w:noWrap/>
            <w:vAlign w:val="center"/>
            <w:hideMark/>
          </w:tcPr>
          <w:p w14:paraId="433A7C04" w14:textId="77777777" w:rsidR="009A4C46" w:rsidRPr="009A4C46" w:rsidRDefault="009A4C46" w:rsidP="009A4C46">
            <w:pPr>
              <w:spacing w:after="0" w:line="240" w:lineRule="auto"/>
              <w:jc w:val="center"/>
              <w:rPr>
                <w:rFonts w:eastAsia="Times New Roman"/>
                <w:sz w:val="18"/>
                <w:szCs w:val="18"/>
                <w:lang w:eastAsia="ru-RU"/>
              </w:rPr>
            </w:pPr>
            <w:r w:rsidRPr="009A4C46">
              <w:rPr>
                <w:rFonts w:eastAsia="Times New Roman"/>
                <w:sz w:val="18"/>
                <w:szCs w:val="18"/>
                <w:lang w:eastAsia="ru-RU"/>
              </w:rPr>
              <w:t>183 784</w:t>
            </w:r>
          </w:p>
        </w:tc>
        <w:tc>
          <w:tcPr>
            <w:tcW w:w="579" w:type="pct"/>
            <w:shd w:val="clear" w:color="auto" w:fill="auto"/>
            <w:noWrap/>
            <w:vAlign w:val="center"/>
            <w:hideMark/>
          </w:tcPr>
          <w:p w14:paraId="35B46F2F" w14:textId="77777777" w:rsidR="009A4C46" w:rsidRPr="009A4C46" w:rsidRDefault="009A4C46" w:rsidP="009A4C46">
            <w:pPr>
              <w:spacing w:after="0" w:line="240" w:lineRule="auto"/>
              <w:jc w:val="center"/>
              <w:rPr>
                <w:rFonts w:eastAsia="Times New Roman"/>
                <w:sz w:val="18"/>
                <w:szCs w:val="18"/>
                <w:lang w:eastAsia="ru-RU"/>
              </w:rPr>
            </w:pPr>
            <w:r w:rsidRPr="009A4C46">
              <w:rPr>
                <w:rFonts w:eastAsia="Times New Roman"/>
                <w:sz w:val="18"/>
                <w:szCs w:val="18"/>
                <w:lang w:eastAsia="ru-RU"/>
              </w:rPr>
              <w:t>71,00%</w:t>
            </w:r>
          </w:p>
        </w:tc>
        <w:tc>
          <w:tcPr>
            <w:tcW w:w="545" w:type="pct"/>
            <w:shd w:val="clear" w:color="auto" w:fill="auto"/>
            <w:noWrap/>
            <w:vAlign w:val="center"/>
            <w:hideMark/>
          </w:tcPr>
          <w:p w14:paraId="661A2DB9" w14:textId="77777777" w:rsidR="009A4C46" w:rsidRPr="009A4C46" w:rsidRDefault="009A4C46" w:rsidP="009A4C46">
            <w:pPr>
              <w:spacing w:after="0" w:line="240" w:lineRule="auto"/>
              <w:jc w:val="center"/>
              <w:rPr>
                <w:rFonts w:eastAsia="Times New Roman"/>
                <w:sz w:val="18"/>
                <w:szCs w:val="18"/>
                <w:lang w:eastAsia="ru-RU"/>
              </w:rPr>
            </w:pPr>
            <w:r w:rsidRPr="009A4C46">
              <w:rPr>
                <w:rFonts w:eastAsia="Times New Roman"/>
                <w:sz w:val="18"/>
                <w:szCs w:val="18"/>
                <w:lang w:eastAsia="ru-RU"/>
              </w:rPr>
              <w:t>78,54%</w:t>
            </w:r>
          </w:p>
        </w:tc>
        <w:tc>
          <w:tcPr>
            <w:tcW w:w="545" w:type="pct"/>
            <w:shd w:val="clear" w:color="auto" w:fill="auto"/>
            <w:noWrap/>
            <w:vAlign w:val="center"/>
            <w:hideMark/>
          </w:tcPr>
          <w:p w14:paraId="1558EF45" w14:textId="77777777" w:rsidR="009A4C46" w:rsidRPr="009A4C46" w:rsidRDefault="009A4C46" w:rsidP="009A4C46">
            <w:pPr>
              <w:spacing w:after="0" w:line="240" w:lineRule="auto"/>
              <w:jc w:val="center"/>
              <w:rPr>
                <w:rFonts w:eastAsia="Times New Roman"/>
                <w:sz w:val="18"/>
                <w:szCs w:val="18"/>
                <w:lang w:eastAsia="ru-RU"/>
              </w:rPr>
            </w:pPr>
            <w:r w:rsidRPr="009A4C46">
              <w:rPr>
                <w:rFonts w:eastAsia="Times New Roman"/>
                <w:sz w:val="18"/>
                <w:szCs w:val="18"/>
                <w:lang w:eastAsia="ru-RU"/>
              </w:rPr>
              <w:t>45,94%</w:t>
            </w:r>
          </w:p>
        </w:tc>
      </w:tr>
      <w:tr w:rsidR="009A4C46" w:rsidRPr="009A4C46" w14:paraId="46200EFA" w14:textId="77777777" w:rsidTr="00F94FED">
        <w:trPr>
          <w:trHeight w:val="735"/>
        </w:trPr>
        <w:tc>
          <w:tcPr>
            <w:tcW w:w="1441" w:type="pct"/>
            <w:shd w:val="clear" w:color="auto" w:fill="auto"/>
            <w:vAlign w:val="center"/>
            <w:hideMark/>
          </w:tcPr>
          <w:p w14:paraId="1DB28799" w14:textId="77777777" w:rsidR="009A4C46" w:rsidRPr="009A4C46" w:rsidRDefault="009A4C46" w:rsidP="009A4C46">
            <w:pPr>
              <w:spacing w:after="0" w:line="240" w:lineRule="auto"/>
              <w:jc w:val="right"/>
              <w:rPr>
                <w:rFonts w:eastAsia="Times New Roman"/>
                <w:sz w:val="18"/>
                <w:szCs w:val="18"/>
                <w:lang w:eastAsia="ru-RU"/>
              </w:rPr>
            </w:pPr>
            <w:r w:rsidRPr="009A4C46">
              <w:rPr>
                <w:rFonts w:eastAsia="Times New Roman"/>
                <w:sz w:val="18"/>
                <w:szCs w:val="18"/>
                <w:lang w:eastAsia="ru-RU"/>
              </w:rPr>
              <w:t>платежи по которой ожидаются более чем через 12 мес. после отчетной даты</w:t>
            </w:r>
          </w:p>
        </w:tc>
        <w:tc>
          <w:tcPr>
            <w:tcW w:w="660" w:type="pct"/>
            <w:shd w:val="clear" w:color="auto" w:fill="auto"/>
            <w:noWrap/>
            <w:vAlign w:val="center"/>
            <w:hideMark/>
          </w:tcPr>
          <w:p w14:paraId="6508B08D" w14:textId="77777777" w:rsidR="009A4C46" w:rsidRPr="009A4C46" w:rsidRDefault="009A4C46" w:rsidP="009A4C46">
            <w:pPr>
              <w:spacing w:after="0" w:line="240" w:lineRule="auto"/>
              <w:jc w:val="center"/>
              <w:rPr>
                <w:rFonts w:eastAsia="Times New Roman"/>
                <w:sz w:val="18"/>
                <w:szCs w:val="18"/>
                <w:lang w:eastAsia="ru-RU"/>
              </w:rPr>
            </w:pPr>
            <w:r w:rsidRPr="009A4C46">
              <w:rPr>
                <w:rFonts w:eastAsia="Times New Roman"/>
                <w:sz w:val="18"/>
                <w:szCs w:val="18"/>
                <w:lang w:eastAsia="ru-RU"/>
              </w:rPr>
              <w:t>0</w:t>
            </w:r>
          </w:p>
        </w:tc>
        <w:tc>
          <w:tcPr>
            <w:tcW w:w="652" w:type="pct"/>
            <w:shd w:val="clear" w:color="auto" w:fill="auto"/>
            <w:noWrap/>
            <w:vAlign w:val="center"/>
            <w:hideMark/>
          </w:tcPr>
          <w:p w14:paraId="196A055D" w14:textId="77777777" w:rsidR="009A4C46" w:rsidRPr="009A4C46" w:rsidRDefault="009A4C46" w:rsidP="009A4C46">
            <w:pPr>
              <w:spacing w:after="0" w:line="240" w:lineRule="auto"/>
              <w:jc w:val="center"/>
              <w:rPr>
                <w:rFonts w:eastAsia="Times New Roman"/>
                <w:sz w:val="18"/>
                <w:szCs w:val="18"/>
                <w:lang w:eastAsia="ru-RU"/>
              </w:rPr>
            </w:pPr>
            <w:r w:rsidRPr="009A4C46">
              <w:rPr>
                <w:rFonts w:eastAsia="Times New Roman"/>
                <w:sz w:val="18"/>
                <w:szCs w:val="18"/>
                <w:lang w:eastAsia="ru-RU"/>
              </w:rPr>
              <w:t>0</w:t>
            </w:r>
          </w:p>
        </w:tc>
        <w:tc>
          <w:tcPr>
            <w:tcW w:w="579" w:type="pct"/>
            <w:shd w:val="clear" w:color="auto" w:fill="auto"/>
            <w:noWrap/>
            <w:vAlign w:val="center"/>
            <w:hideMark/>
          </w:tcPr>
          <w:p w14:paraId="135C8918" w14:textId="77777777" w:rsidR="009A4C46" w:rsidRPr="009A4C46" w:rsidRDefault="009A4C46" w:rsidP="009A4C46">
            <w:pPr>
              <w:spacing w:after="0" w:line="240" w:lineRule="auto"/>
              <w:jc w:val="center"/>
              <w:rPr>
                <w:rFonts w:eastAsia="Times New Roman"/>
                <w:sz w:val="18"/>
                <w:szCs w:val="18"/>
                <w:lang w:eastAsia="ru-RU"/>
              </w:rPr>
            </w:pPr>
            <w:r w:rsidRPr="009A4C46">
              <w:rPr>
                <w:rFonts w:eastAsia="Times New Roman"/>
                <w:sz w:val="18"/>
                <w:szCs w:val="18"/>
                <w:lang w:eastAsia="ru-RU"/>
              </w:rPr>
              <w:t>0</w:t>
            </w:r>
          </w:p>
        </w:tc>
        <w:tc>
          <w:tcPr>
            <w:tcW w:w="579" w:type="pct"/>
            <w:shd w:val="clear" w:color="auto" w:fill="auto"/>
            <w:noWrap/>
            <w:vAlign w:val="center"/>
            <w:hideMark/>
          </w:tcPr>
          <w:p w14:paraId="60041C0F" w14:textId="77777777" w:rsidR="009A4C46" w:rsidRPr="009A4C46" w:rsidRDefault="009A4C46" w:rsidP="009A4C46">
            <w:pPr>
              <w:spacing w:after="0" w:line="240" w:lineRule="auto"/>
              <w:jc w:val="center"/>
              <w:rPr>
                <w:rFonts w:eastAsia="Times New Roman"/>
                <w:sz w:val="18"/>
                <w:szCs w:val="18"/>
                <w:lang w:eastAsia="ru-RU"/>
              </w:rPr>
            </w:pPr>
            <w:r w:rsidRPr="009A4C46">
              <w:rPr>
                <w:rFonts w:eastAsia="Times New Roman"/>
                <w:sz w:val="18"/>
                <w:szCs w:val="18"/>
                <w:lang w:eastAsia="ru-RU"/>
              </w:rPr>
              <w:t>0,00%</w:t>
            </w:r>
          </w:p>
        </w:tc>
        <w:tc>
          <w:tcPr>
            <w:tcW w:w="545" w:type="pct"/>
            <w:shd w:val="clear" w:color="auto" w:fill="auto"/>
            <w:noWrap/>
            <w:vAlign w:val="center"/>
            <w:hideMark/>
          </w:tcPr>
          <w:p w14:paraId="18B54A16" w14:textId="77777777" w:rsidR="009A4C46" w:rsidRPr="009A4C46" w:rsidRDefault="009A4C46" w:rsidP="009A4C46">
            <w:pPr>
              <w:spacing w:after="0" w:line="240" w:lineRule="auto"/>
              <w:jc w:val="center"/>
              <w:rPr>
                <w:rFonts w:eastAsia="Times New Roman"/>
                <w:sz w:val="18"/>
                <w:szCs w:val="18"/>
                <w:lang w:eastAsia="ru-RU"/>
              </w:rPr>
            </w:pPr>
            <w:r w:rsidRPr="009A4C46">
              <w:rPr>
                <w:rFonts w:eastAsia="Times New Roman"/>
                <w:sz w:val="18"/>
                <w:szCs w:val="18"/>
                <w:lang w:eastAsia="ru-RU"/>
              </w:rPr>
              <w:t>0,00%</w:t>
            </w:r>
          </w:p>
        </w:tc>
        <w:tc>
          <w:tcPr>
            <w:tcW w:w="545" w:type="pct"/>
            <w:shd w:val="clear" w:color="auto" w:fill="auto"/>
            <w:noWrap/>
            <w:vAlign w:val="center"/>
            <w:hideMark/>
          </w:tcPr>
          <w:p w14:paraId="7DE7F146" w14:textId="77777777" w:rsidR="009A4C46" w:rsidRPr="009A4C46" w:rsidRDefault="009A4C46" w:rsidP="009A4C46">
            <w:pPr>
              <w:spacing w:after="0" w:line="240" w:lineRule="auto"/>
              <w:jc w:val="center"/>
              <w:rPr>
                <w:rFonts w:eastAsia="Times New Roman"/>
                <w:sz w:val="18"/>
                <w:szCs w:val="18"/>
                <w:lang w:eastAsia="ru-RU"/>
              </w:rPr>
            </w:pPr>
            <w:r w:rsidRPr="009A4C46">
              <w:rPr>
                <w:rFonts w:eastAsia="Times New Roman"/>
                <w:sz w:val="18"/>
                <w:szCs w:val="18"/>
                <w:lang w:eastAsia="ru-RU"/>
              </w:rPr>
              <w:t>0,00%</w:t>
            </w:r>
          </w:p>
        </w:tc>
      </w:tr>
      <w:tr w:rsidR="009A4C46" w:rsidRPr="009A4C46" w14:paraId="3197E181" w14:textId="77777777" w:rsidTr="00F94FED">
        <w:trPr>
          <w:trHeight w:val="735"/>
        </w:trPr>
        <w:tc>
          <w:tcPr>
            <w:tcW w:w="1441" w:type="pct"/>
            <w:shd w:val="clear" w:color="auto" w:fill="auto"/>
            <w:vAlign w:val="center"/>
            <w:hideMark/>
          </w:tcPr>
          <w:p w14:paraId="56EB7319" w14:textId="77777777" w:rsidR="009A4C46" w:rsidRPr="009A4C46" w:rsidRDefault="009A4C46" w:rsidP="009A4C46">
            <w:pPr>
              <w:spacing w:after="0" w:line="240" w:lineRule="auto"/>
              <w:jc w:val="right"/>
              <w:rPr>
                <w:rFonts w:eastAsia="Times New Roman"/>
                <w:sz w:val="18"/>
                <w:szCs w:val="18"/>
                <w:lang w:eastAsia="ru-RU"/>
              </w:rPr>
            </w:pPr>
            <w:r w:rsidRPr="009A4C46">
              <w:rPr>
                <w:rFonts w:eastAsia="Times New Roman"/>
                <w:sz w:val="18"/>
                <w:szCs w:val="18"/>
                <w:lang w:eastAsia="ru-RU"/>
              </w:rPr>
              <w:lastRenderedPageBreak/>
              <w:t>платежи по которой ожидаются в течение 12 мес. после отчетной даты</w:t>
            </w:r>
          </w:p>
        </w:tc>
        <w:tc>
          <w:tcPr>
            <w:tcW w:w="660" w:type="pct"/>
            <w:shd w:val="clear" w:color="auto" w:fill="auto"/>
            <w:noWrap/>
            <w:vAlign w:val="center"/>
            <w:hideMark/>
          </w:tcPr>
          <w:p w14:paraId="21AB5D9A" w14:textId="77777777" w:rsidR="009A4C46" w:rsidRPr="009A4C46" w:rsidRDefault="009A4C46" w:rsidP="009A4C46">
            <w:pPr>
              <w:spacing w:after="0" w:line="240" w:lineRule="auto"/>
              <w:jc w:val="center"/>
              <w:rPr>
                <w:rFonts w:eastAsia="Times New Roman"/>
                <w:sz w:val="18"/>
                <w:szCs w:val="18"/>
                <w:lang w:eastAsia="ru-RU"/>
              </w:rPr>
            </w:pPr>
            <w:r w:rsidRPr="009A4C46">
              <w:rPr>
                <w:rFonts w:eastAsia="Times New Roman"/>
                <w:sz w:val="18"/>
                <w:szCs w:val="18"/>
                <w:lang w:eastAsia="ru-RU"/>
              </w:rPr>
              <w:t>1 193 553</w:t>
            </w:r>
          </w:p>
        </w:tc>
        <w:tc>
          <w:tcPr>
            <w:tcW w:w="652" w:type="pct"/>
            <w:shd w:val="clear" w:color="auto" w:fill="auto"/>
            <w:noWrap/>
            <w:vAlign w:val="center"/>
            <w:hideMark/>
          </w:tcPr>
          <w:p w14:paraId="4632966A" w14:textId="77777777" w:rsidR="009A4C46" w:rsidRPr="009A4C46" w:rsidRDefault="009A4C46" w:rsidP="009A4C46">
            <w:pPr>
              <w:spacing w:after="0" w:line="240" w:lineRule="auto"/>
              <w:jc w:val="center"/>
              <w:rPr>
                <w:rFonts w:eastAsia="Times New Roman"/>
                <w:sz w:val="18"/>
                <w:szCs w:val="18"/>
                <w:lang w:eastAsia="ru-RU"/>
              </w:rPr>
            </w:pPr>
            <w:r w:rsidRPr="009A4C46">
              <w:rPr>
                <w:rFonts w:eastAsia="Times New Roman"/>
                <w:sz w:val="18"/>
                <w:szCs w:val="18"/>
                <w:lang w:eastAsia="ru-RU"/>
              </w:rPr>
              <w:t>1 251 010</w:t>
            </w:r>
          </w:p>
        </w:tc>
        <w:tc>
          <w:tcPr>
            <w:tcW w:w="579" w:type="pct"/>
            <w:shd w:val="clear" w:color="auto" w:fill="auto"/>
            <w:noWrap/>
            <w:vAlign w:val="center"/>
            <w:hideMark/>
          </w:tcPr>
          <w:p w14:paraId="1DC14690" w14:textId="77777777" w:rsidR="009A4C46" w:rsidRPr="009A4C46" w:rsidRDefault="009A4C46" w:rsidP="009A4C46">
            <w:pPr>
              <w:spacing w:after="0" w:line="240" w:lineRule="auto"/>
              <w:jc w:val="center"/>
              <w:rPr>
                <w:rFonts w:eastAsia="Times New Roman"/>
                <w:sz w:val="18"/>
                <w:szCs w:val="18"/>
                <w:lang w:eastAsia="ru-RU"/>
              </w:rPr>
            </w:pPr>
            <w:r w:rsidRPr="009A4C46">
              <w:rPr>
                <w:rFonts w:eastAsia="Times New Roman"/>
                <w:sz w:val="18"/>
                <w:szCs w:val="18"/>
                <w:lang w:eastAsia="ru-RU"/>
              </w:rPr>
              <w:t>183 784</w:t>
            </w:r>
          </w:p>
        </w:tc>
        <w:tc>
          <w:tcPr>
            <w:tcW w:w="579" w:type="pct"/>
            <w:shd w:val="clear" w:color="auto" w:fill="auto"/>
            <w:noWrap/>
            <w:vAlign w:val="center"/>
            <w:hideMark/>
          </w:tcPr>
          <w:p w14:paraId="1ABCC4ED" w14:textId="77777777" w:rsidR="009A4C46" w:rsidRPr="009A4C46" w:rsidRDefault="009A4C46" w:rsidP="009A4C46">
            <w:pPr>
              <w:spacing w:after="0" w:line="240" w:lineRule="auto"/>
              <w:jc w:val="center"/>
              <w:rPr>
                <w:rFonts w:eastAsia="Times New Roman"/>
                <w:sz w:val="18"/>
                <w:szCs w:val="18"/>
                <w:lang w:eastAsia="ru-RU"/>
              </w:rPr>
            </w:pPr>
            <w:r w:rsidRPr="009A4C46">
              <w:rPr>
                <w:rFonts w:eastAsia="Times New Roman"/>
                <w:sz w:val="18"/>
                <w:szCs w:val="18"/>
                <w:lang w:eastAsia="ru-RU"/>
              </w:rPr>
              <w:t>71,00%</w:t>
            </w:r>
          </w:p>
        </w:tc>
        <w:tc>
          <w:tcPr>
            <w:tcW w:w="545" w:type="pct"/>
            <w:shd w:val="clear" w:color="auto" w:fill="auto"/>
            <w:noWrap/>
            <w:vAlign w:val="center"/>
            <w:hideMark/>
          </w:tcPr>
          <w:p w14:paraId="56DB7DEE" w14:textId="77777777" w:rsidR="009A4C46" w:rsidRPr="009A4C46" w:rsidRDefault="009A4C46" w:rsidP="009A4C46">
            <w:pPr>
              <w:spacing w:after="0" w:line="240" w:lineRule="auto"/>
              <w:jc w:val="center"/>
              <w:rPr>
                <w:rFonts w:eastAsia="Times New Roman"/>
                <w:sz w:val="18"/>
                <w:szCs w:val="18"/>
                <w:lang w:eastAsia="ru-RU"/>
              </w:rPr>
            </w:pPr>
            <w:r w:rsidRPr="009A4C46">
              <w:rPr>
                <w:rFonts w:eastAsia="Times New Roman"/>
                <w:sz w:val="18"/>
                <w:szCs w:val="18"/>
                <w:lang w:eastAsia="ru-RU"/>
              </w:rPr>
              <w:t>78,54%</w:t>
            </w:r>
          </w:p>
        </w:tc>
        <w:tc>
          <w:tcPr>
            <w:tcW w:w="545" w:type="pct"/>
            <w:shd w:val="clear" w:color="auto" w:fill="auto"/>
            <w:noWrap/>
            <w:vAlign w:val="center"/>
            <w:hideMark/>
          </w:tcPr>
          <w:p w14:paraId="3D7AF864" w14:textId="77777777" w:rsidR="009A4C46" w:rsidRPr="009A4C46" w:rsidRDefault="009A4C46" w:rsidP="009A4C46">
            <w:pPr>
              <w:spacing w:after="0" w:line="240" w:lineRule="auto"/>
              <w:jc w:val="center"/>
              <w:rPr>
                <w:rFonts w:eastAsia="Times New Roman"/>
                <w:sz w:val="18"/>
                <w:szCs w:val="18"/>
                <w:lang w:eastAsia="ru-RU"/>
              </w:rPr>
            </w:pPr>
            <w:r w:rsidRPr="009A4C46">
              <w:rPr>
                <w:rFonts w:eastAsia="Times New Roman"/>
                <w:sz w:val="18"/>
                <w:szCs w:val="18"/>
                <w:lang w:eastAsia="ru-RU"/>
              </w:rPr>
              <w:t>45,94%</w:t>
            </w:r>
          </w:p>
        </w:tc>
      </w:tr>
      <w:tr w:rsidR="009A4C46" w:rsidRPr="009A4C46" w14:paraId="3C2B21A3" w14:textId="77777777" w:rsidTr="00F94FED">
        <w:trPr>
          <w:trHeight w:val="315"/>
        </w:trPr>
        <w:tc>
          <w:tcPr>
            <w:tcW w:w="1441" w:type="pct"/>
            <w:shd w:val="clear" w:color="auto" w:fill="auto"/>
            <w:vAlign w:val="center"/>
            <w:hideMark/>
          </w:tcPr>
          <w:p w14:paraId="2AB2EF27" w14:textId="77777777" w:rsidR="009A4C46" w:rsidRPr="009A4C46" w:rsidRDefault="009A4C46" w:rsidP="009A4C46">
            <w:pPr>
              <w:spacing w:after="0" w:line="240" w:lineRule="auto"/>
              <w:jc w:val="right"/>
              <w:rPr>
                <w:rFonts w:eastAsia="Times New Roman"/>
                <w:sz w:val="18"/>
                <w:szCs w:val="18"/>
                <w:lang w:eastAsia="ru-RU"/>
              </w:rPr>
            </w:pPr>
            <w:r w:rsidRPr="009A4C46">
              <w:rPr>
                <w:rFonts w:eastAsia="Times New Roman"/>
                <w:sz w:val="18"/>
                <w:szCs w:val="18"/>
                <w:lang w:eastAsia="ru-RU"/>
              </w:rPr>
              <w:t>покупатели и заказчики</w:t>
            </w:r>
          </w:p>
        </w:tc>
        <w:tc>
          <w:tcPr>
            <w:tcW w:w="660" w:type="pct"/>
            <w:shd w:val="clear" w:color="auto" w:fill="auto"/>
            <w:noWrap/>
            <w:vAlign w:val="center"/>
            <w:hideMark/>
          </w:tcPr>
          <w:p w14:paraId="2D8D641D" w14:textId="77777777" w:rsidR="009A4C46" w:rsidRPr="009A4C46" w:rsidRDefault="009A4C46" w:rsidP="009A4C46">
            <w:pPr>
              <w:spacing w:after="0" w:line="240" w:lineRule="auto"/>
              <w:jc w:val="center"/>
              <w:rPr>
                <w:rFonts w:eastAsia="Times New Roman"/>
                <w:sz w:val="18"/>
                <w:szCs w:val="18"/>
                <w:lang w:eastAsia="ru-RU"/>
              </w:rPr>
            </w:pPr>
            <w:r w:rsidRPr="009A4C46">
              <w:rPr>
                <w:rFonts w:eastAsia="Times New Roman"/>
                <w:sz w:val="18"/>
                <w:szCs w:val="18"/>
                <w:lang w:eastAsia="ru-RU"/>
              </w:rPr>
              <w:t>1 123 499</w:t>
            </w:r>
          </w:p>
        </w:tc>
        <w:tc>
          <w:tcPr>
            <w:tcW w:w="652" w:type="pct"/>
            <w:shd w:val="clear" w:color="auto" w:fill="auto"/>
            <w:noWrap/>
            <w:vAlign w:val="center"/>
            <w:hideMark/>
          </w:tcPr>
          <w:p w14:paraId="2446882D" w14:textId="77777777" w:rsidR="009A4C46" w:rsidRPr="009A4C46" w:rsidRDefault="009A4C46" w:rsidP="009A4C46">
            <w:pPr>
              <w:spacing w:after="0" w:line="240" w:lineRule="auto"/>
              <w:jc w:val="center"/>
              <w:rPr>
                <w:rFonts w:eastAsia="Times New Roman"/>
                <w:sz w:val="18"/>
                <w:szCs w:val="18"/>
                <w:lang w:eastAsia="ru-RU"/>
              </w:rPr>
            </w:pPr>
            <w:r w:rsidRPr="009A4C46">
              <w:rPr>
                <w:rFonts w:eastAsia="Times New Roman"/>
                <w:sz w:val="18"/>
                <w:szCs w:val="18"/>
                <w:lang w:eastAsia="ru-RU"/>
              </w:rPr>
              <w:t>1 202 550</w:t>
            </w:r>
          </w:p>
        </w:tc>
        <w:tc>
          <w:tcPr>
            <w:tcW w:w="579" w:type="pct"/>
            <w:shd w:val="clear" w:color="auto" w:fill="auto"/>
            <w:noWrap/>
            <w:vAlign w:val="center"/>
            <w:hideMark/>
          </w:tcPr>
          <w:p w14:paraId="40E2DF71" w14:textId="77777777" w:rsidR="009A4C46" w:rsidRPr="009A4C46" w:rsidRDefault="009A4C46" w:rsidP="009A4C46">
            <w:pPr>
              <w:spacing w:after="0" w:line="240" w:lineRule="auto"/>
              <w:jc w:val="center"/>
              <w:rPr>
                <w:rFonts w:eastAsia="Times New Roman"/>
                <w:sz w:val="18"/>
                <w:szCs w:val="18"/>
                <w:lang w:eastAsia="ru-RU"/>
              </w:rPr>
            </w:pPr>
            <w:r w:rsidRPr="009A4C46">
              <w:rPr>
                <w:rFonts w:eastAsia="Times New Roman"/>
                <w:sz w:val="18"/>
                <w:szCs w:val="18"/>
                <w:lang w:eastAsia="ru-RU"/>
              </w:rPr>
              <w:t>н/д </w:t>
            </w:r>
          </w:p>
        </w:tc>
        <w:tc>
          <w:tcPr>
            <w:tcW w:w="579" w:type="pct"/>
            <w:shd w:val="clear" w:color="auto" w:fill="auto"/>
            <w:noWrap/>
            <w:vAlign w:val="center"/>
            <w:hideMark/>
          </w:tcPr>
          <w:p w14:paraId="5AA2DBA0" w14:textId="77777777" w:rsidR="009A4C46" w:rsidRPr="009A4C46" w:rsidRDefault="009A4C46" w:rsidP="009A4C46">
            <w:pPr>
              <w:spacing w:after="0" w:line="240" w:lineRule="auto"/>
              <w:jc w:val="center"/>
              <w:rPr>
                <w:rFonts w:eastAsia="Times New Roman"/>
                <w:sz w:val="18"/>
                <w:szCs w:val="18"/>
                <w:lang w:eastAsia="ru-RU"/>
              </w:rPr>
            </w:pPr>
            <w:r w:rsidRPr="009A4C46">
              <w:rPr>
                <w:rFonts w:eastAsia="Times New Roman"/>
                <w:sz w:val="18"/>
                <w:szCs w:val="18"/>
                <w:lang w:eastAsia="ru-RU"/>
              </w:rPr>
              <w:t>66,83%</w:t>
            </w:r>
          </w:p>
        </w:tc>
        <w:tc>
          <w:tcPr>
            <w:tcW w:w="545" w:type="pct"/>
            <w:shd w:val="clear" w:color="auto" w:fill="auto"/>
            <w:noWrap/>
            <w:vAlign w:val="center"/>
            <w:hideMark/>
          </w:tcPr>
          <w:p w14:paraId="34D06058" w14:textId="77777777" w:rsidR="009A4C46" w:rsidRPr="009A4C46" w:rsidRDefault="009A4C46" w:rsidP="009A4C46">
            <w:pPr>
              <w:spacing w:after="0" w:line="240" w:lineRule="auto"/>
              <w:jc w:val="center"/>
              <w:rPr>
                <w:rFonts w:eastAsia="Times New Roman"/>
                <w:sz w:val="18"/>
                <w:szCs w:val="18"/>
                <w:lang w:eastAsia="ru-RU"/>
              </w:rPr>
            </w:pPr>
            <w:r w:rsidRPr="009A4C46">
              <w:rPr>
                <w:rFonts w:eastAsia="Times New Roman"/>
                <w:sz w:val="18"/>
                <w:szCs w:val="18"/>
                <w:lang w:eastAsia="ru-RU"/>
              </w:rPr>
              <w:t>75,50%</w:t>
            </w:r>
          </w:p>
        </w:tc>
        <w:tc>
          <w:tcPr>
            <w:tcW w:w="545" w:type="pct"/>
            <w:shd w:val="clear" w:color="auto" w:fill="auto"/>
            <w:noWrap/>
            <w:vAlign w:val="center"/>
          </w:tcPr>
          <w:p w14:paraId="390CD3EE" w14:textId="77777777" w:rsidR="009A4C46" w:rsidRPr="009A4C46" w:rsidRDefault="009A4C46" w:rsidP="009A4C46">
            <w:pPr>
              <w:spacing w:after="0" w:line="240" w:lineRule="auto"/>
              <w:jc w:val="center"/>
              <w:rPr>
                <w:rFonts w:eastAsia="Times New Roman"/>
                <w:sz w:val="18"/>
                <w:szCs w:val="18"/>
                <w:lang w:eastAsia="ru-RU"/>
              </w:rPr>
            </w:pPr>
          </w:p>
        </w:tc>
      </w:tr>
      <w:tr w:rsidR="009A4C46" w:rsidRPr="009A4C46" w14:paraId="4BAF2C01" w14:textId="77777777" w:rsidTr="00F94FED">
        <w:trPr>
          <w:trHeight w:val="315"/>
        </w:trPr>
        <w:tc>
          <w:tcPr>
            <w:tcW w:w="1441" w:type="pct"/>
            <w:shd w:val="clear" w:color="auto" w:fill="auto"/>
            <w:vAlign w:val="center"/>
            <w:hideMark/>
          </w:tcPr>
          <w:p w14:paraId="5DB62B53" w14:textId="77777777" w:rsidR="009A4C46" w:rsidRPr="009A4C46" w:rsidRDefault="009A4C46" w:rsidP="009A4C46">
            <w:pPr>
              <w:spacing w:after="0" w:line="240" w:lineRule="auto"/>
              <w:jc w:val="right"/>
              <w:rPr>
                <w:rFonts w:eastAsia="Times New Roman"/>
                <w:sz w:val="18"/>
                <w:szCs w:val="18"/>
                <w:lang w:eastAsia="ru-RU"/>
              </w:rPr>
            </w:pPr>
            <w:r w:rsidRPr="009A4C46">
              <w:rPr>
                <w:rFonts w:eastAsia="Times New Roman"/>
                <w:sz w:val="18"/>
                <w:szCs w:val="18"/>
                <w:lang w:eastAsia="ru-RU"/>
              </w:rPr>
              <w:t xml:space="preserve">авансы выданные </w:t>
            </w:r>
          </w:p>
        </w:tc>
        <w:tc>
          <w:tcPr>
            <w:tcW w:w="660" w:type="pct"/>
            <w:shd w:val="clear" w:color="auto" w:fill="auto"/>
            <w:noWrap/>
            <w:vAlign w:val="center"/>
            <w:hideMark/>
          </w:tcPr>
          <w:p w14:paraId="30A90970" w14:textId="77777777" w:rsidR="009A4C46" w:rsidRPr="009A4C46" w:rsidRDefault="009A4C46" w:rsidP="009A4C46">
            <w:pPr>
              <w:spacing w:after="0" w:line="240" w:lineRule="auto"/>
              <w:jc w:val="center"/>
              <w:rPr>
                <w:rFonts w:eastAsia="Times New Roman"/>
                <w:sz w:val="18"/>
                <w:szCs w:val="18"/>
                <w:lang w:eastAsia="ru-RU"/>
              </w:rPr>
            </w:pPr>
            <w:r w:rsidRPr="009A4C46">
              <w:rPr>
                <w:rFonts w:eastAsia="Times New Roman"/>
                <w:sz w:val="18"/>
                <w:szCs w:val="18"/>
                <w:lang w:eastAsia="ru-RU"/>
              </w:rPr>
              <w:t>1 940</w:t>
            </w:r>
          </w:p>
        </w:tc>
        <w:tc>
          <w:tcPr>
            <w:tcW w:w="652" w:type="pct"/>
            <w:shd w:val="clear" w:color="auto" w:fill="auto"/>
            <w:noWrap/>
            <w:vAlign w:val="center"/>
            <w:hideMark/>
          </w:tcPr>
          <w:p w14:paraId="5FDBD1F2" w14:textId="77777777" w:rsidR="009A4C46" w:rsidRPr="009A4C46" w:rsidRDefault="009A4C46" w:rsidP="009A4C46">
            <w:pPr>
              <w:spacing w:after="0" w:line="240" w:lineRule="auto"/>
              <w:jc w:val="center"/>
              <w:rPr>
                <w:rFonts w:eastAsia="Times New Roman"/>
                <w:sz w:val="18"/>
                <w:szCs w:val="18"/>
                <w:lang w:eastAsia="ru-RU"/>
              </w:rPr>
            </w:pPr>
            <w:r w:rsidRPr="009A4C46">
              <w:rPr>
                <w:rFonts w:eastAsia="Times New Roman"/>
                <w:sz w:val="18"/>
                <w:szCs w:val="18"/>
                <w:lang w:eastAsia="ru-RU"/>
              </w:rPr>
              <w:t>420</w:t>
            </w:r>
          </w:p>
        </w:tc>
        <w:tc>
          <w:tcPr>
            <w:tcW w:w="579" w:type="pct"/>
            <w:shd w:val="clear" w:color="auto" w:fill="auto"/>
            <w:noWrap/>
            <w:vAlign w:val="center"/>
            <w:hideMark/>
          </w:tcPr>
          <w:p w14:paraId="0F121CF7" w14:textId="77777777" w:rsidR="009A4C46" w:rsidRPr="009A4C46" w:rsidRDefault="009A4C46" w:rsidP="009A4C46">
            <w:pPr>
              <w:spacing w:after="0" w:line="240" w:lineRule="auto"/>
              <w:jc w:val="center"/>
              <w:rPr>
                <w:rFonts w:eastAsia="Times New Roman"/>
                <w:sz w:val="18"/>
                <w:szCs w:val="18"/>
                <w:lang w:eastAsia="ru-RU"/>
              </w:rPr>
            </w:pPr>
            <w:r w:rsidRPr="009A4C46">
              <w:rPr>
                <w:rFonts w:eastAsia="Times New Roman"/>
                <w:sz w:val="18"/>
                <w:szCs w:val="18"/>
                <w:lang w:eastAsia="ru-RU"/>
              </w:rPr>
              <w:t>н/д</w:t>
            </w:r>
          </w:p>
        </w:tc>
        <w:tc>
          <w:tcPr>
            <w:tcW w:w="579" w:type="pct"/>
            <w:shd w:val="clear" w:color="auto" w:fill="auto"/>
            <w:noWrap/>
            <w:vAlign w:val="center"/>
            <w:hideMark/>
          </w:tcPr>
          <w:p w14:paraId="44EDE05C" w14:textId="77777777" w:rsidR="009A4C46" w:rsidRPr="009A4C46" w:rsidRDefault="009A4C46" w:rsidP="009A4C46">
            <w:pPr>
              <w:spacing w:after="0" w:line="240" w:lineRule="auto"/>
              <w:jc w:val="center"/>
              <w:rPr>
                <w:rFonts w:eastAsia="Times New Roman"/>
                <w:sz w:val="18"/>
                <w:szCs w:val="18"/>
                <w:lang w:eastAsia="ru-RU"/>
              </w:rPr>
            </w:pPr>
            <w:r w:rsidRPr="009A4C46">
              <w:rPr>
                <w:rFonts w:eastAsia="Times New Roman"/>
                <w:sz w:val="18"/>
                <w:szCs w:val="18"/>
                <w:lang w:eastAsia="ru-RU"/>
              </w:rPr>
              <w:t>0,12%</w:t>
            </w:r>
          </w:p>
        </w:tc>
        <w:tc>
          <w:tcPr>
            <w:tcW w:w="545" w:type="pct"/>
            <w:shd w:val="clear" w:color="auto" w:fill="auto"/>
            <w:noWrap/>
            <w:vAlign w:val="center"/>
            <w:hideMark/>
          </w:tcPr>
          <w:p w14:paraId="74C4FED6" w14:textId="77777777" w:rsidR="009A4C46" w:rsidRPr="009A4C46" w:rsidRDefault="009A4C46" w:rsidP="009A4C46">
            <w:pPr>
              <w:spacing w:after="0" w:line="240" w:lineRule="auto"/>
              <w:jc w:val="center"/>
              <w:rPr>
                <w:rFonts w:eastAsia="Times New Roman"/>
                <w:sz w:val="18"/>
                <w:szCs w:val="18"/>
                <w:lang w:eastAsia="ru-RU"/>
              </w:rPr>
            </w:pPr>
            <w:r w:rsidRPr="009A4C46">
              <w:rPr>
                <w:rFonts w:eastAsia="Times New Roman"/>
                <w:sz w:val="18"/>
                <w:szCs w:val="18"/>
                <w:lang w:eastAsia="ru-RU"/>
              </w:rPr>
              <w:t>0,03%</w:t>
            </w:r>
          </w:p>
        </w:tc>
        <w:tc>
          <w:tcPr>
            <w:tcW w:w="545" w:type="pct"/>
            <w:shd w:val="clear" w:color="auto" w:fill="auto"/>
            <w:noWrap/>
            <w:vAlign w:val="center"/>
          </w:tcPr>
          <w:p w14:paraId="44715AA4" w14:textId="77777777" w:rsidR="009A4C46" w:rsidRPr="009A4C46" w:rsidRDefault="009A4C46" w:rsidP="009A4C46">
            <w:pPr>
              <w:spacing w:after="0" w:line="240" w:lineRule="auto"/>
              <w:jc w:val="center"/>
              <w:rPr>
                <w:rFonts w:eastAsia="Times New Roman"/>
                <w:sz w:val="18"/>
                <w:szCs w:val="18"/>
                <w:lang w:eastAsia="ru-RU"/>
              </w:rPr>
            </w:pPr>
          </w:p>
        </w:tc>
      </w:tr>
      <w:tr w:rsidR="009A4C46" w:rsidRPr="009A4C46" w14:paraId="27D99CC1" w14:textId="77777777" w:rsidTr="00F94FED">
        <w:trPr>
          <w:trHeight w:val="495"/>
        </w:trPr>
        <w:tc>
          <w:tcPr>
            <w:tcW w:w="1441" w:type="pct"/>
            <w:shd w:val="clear" w:color="auto" w:fill="auto"/>
            <w:vAlign w:val="center"/>
            <w:hideMark/>
          </w:tcPr>
          <w:p w14:paraId="1A3807D2" w14:textId="77777777" w:rsidR="009A4C46" w:rsidRPr="009A4C46" w:rsidRDefault="009A4C46" w:rsidP="009A4C46">
            <w:pPr>
              <w:spacing w:after="0" w:line="240" w:lineRule="auto"/>
              <w:jc w:val="right"/>
              <w:rPr>
                <w:rFonts w:eastAsia="Times New Roman"/>
                <w:sz w:val="18"/>
                <w:szCs w:val="18"/>
                <w:lang w:eastAsia="ru-RU"/>
              </w:rPr>
            </w:pPr>
            <w:r w:rsidRPr="009A4C46">
              <w:rPr>
                <w:rFonts w:eastAsia="Times New Roman"/>
                <w:sz w:val="18"/>
                <w:szCs w:val="18"/>
                <w:lang w:eastAsia="ru-RU"/>
              </w:rPr>
              <w:t>прочая дебиторская задолженность</w:t>
            </w:r>
          </w:p>
        </w:tc>
        <w:tc>
          <w:tcPr>
            <w:tcW w:w="660" w:type="pct"/>
            <w:shd w:val="clear" w:color="auto" w:fill="auto"/>
            <w:noWrap/>
            <w:vAlign w:val="center"/>
            <w:hideMark/>
          </w:tcPr>
          <w:p w14:paraId="7290B484" w14:textId="77777777" w:rsidR="009A4C46" w:rsidRPr="009A4C46" w:rsidRDefault="009A4C46" w:rsidP="009A4C46">
            <w:pPr>
              <w:spacing w:after="0" w:line="240" w:lineRule="auto"/>
              <w:jc w:val="center"/>
              <w:rPr>
                <w:rFonts w:eastAsia="Times New Roman"/>
                <w:sz w:val="18"/>
                <w:szCs w:val="18"/>
                <w:lang w:eastAsia="ru-RU"/>
              </w:rPr>
            </w:pPr>
            <w:r w:rsidRPr="009A4C46">
              <w:rPr>
                <w:rFonts w:eastAsia="Times New Roman"/>
                <w:sz w:val="18"/>
                <w:szCs w:val="18"/>
                <w:lang w:eastAsia="ru-RU"/>
              </w:rPr>
              <w:t>68 114</w:t>
            </w:r>
          </w:p>
        </w:tc>
        <w:tc>
          <w:tcPr>
            <w:tcW w:w="652" w:type="pct"/>
            <w:shd w:val="clear" w:color="auto" w:fill="auto"/>
            <w:noWrap/>
            <w:vAlign w:val="center"/>
            <w:hideMark/>
          </w:tcPr>
          <w:p w14:paraId="346A12C1" w14:textId="77777777" w:rsidR="009A4C46" w:rsidRPr="009A4C46" w:rsidRDefault="009A4C46" w:rsidP="009A4C46">
            <w:pPr>
              <w:spacing w:after="0" w:line="240" w:lineRule="auto"/>
              <w:jc w:val="center"/>
              <w:rPr>
                <w:rFonts w:eastAsia="Times New Roman"/>
                <w:sz w:val="18"/>
                <w:szCs w:val="18"/>
                <w:lang w:eastAsia="ru-RU"/>
              </w:rPr>
            </w:pPr>
            <w:r w:rsidRPr="009A4C46">
              <w:rPr>
                <w:rFonts w:eastAsia="Times New Roman"/>
                <w:sz w:val="18"/>
                <w:szCs w:val="18"/>
                <w:lang w:eastAsia="ru-RU"/>
              </w:rPr>
              <w:t>48 040</w:t>
            </w:r>
          </w:p>
        </w:tc>
        <w:tc>
          <w:tcPr>
            <w:tcW w:w="579" w:type="pct"/>
            <w:shd w:val="clear" w:color="auto" w:fill="auto"/>
            <w:noWrap/>
            <w:vAlign w:val="center"/>
            <w:hideMark/>
          </w:tcPr>
          <w:p w14:paraId="645E580B" w14:textId="77777777" w:rsidR="009A4C46" w:rsidRPr="009A4C46" w:rsidRDefault="009A4C46" w:rsidP="009A4C46">
            <w:pPr>
              <w:spacing w:after="0" w:line="240" w:lineRule="auto"/>
              <w:jc w:val="center"/>
              <w:rPr>
                <w:rFonts w:eastAsia="Times New Roman"/>
                <w:sz w:val="18"/>
                <w:szCs w:val="18"/>
                <w:lang w:eastAsia="ru-RU"/>
              </w:rPr>
            </w:pPr>
            <w:r w:rsidRPr="009A4C46">
              <w:rPr>
                <w:rFonts w:eastAsia="Times New Roman"/>
                <w:sz w:val="18"/>
                <w:szCs w:val="18"/>
                <w:lang w:eastAsia="ru-RU"/>
              </w:rPr>
              <w:t>н/д</w:t>
            </w:r>
          </w:p>
        </w:tc>
        <w:tc>
          <w:tcPr>
            <w:tcW w:w="579" w:type="pct"/>
            <w:shd w:val="clear" w:color="auto" w:fill="auto"/>
            <w:noWrap/>
            <w:vAlign w:val="center"/>
            <w:hideMark/>
          </w:tcPr>
          <w:p w14:paraId="12648759" w14:textId="77777777" w:rsidR="009A4C46" w:rsidRPr="009A4C46" w:rsidRDefault="009A4C46" w:rsidP="009A4C46">
            <w:pPr>
              <w:spacing w:after="0" w:line="240" w:lineRule="auto"/>
              <w:jc w:val="center"/>
              <w:rPr>
                <w:rFonts w:eastAsia="Times New Roman"/>
                <w:sz w:val="18"/>
                <w:szCs w:val="18"/>
                <w:lang w:eastAsia="ru-RU"/>
              </w:rPr>
            </w:pPr>
            <w:r w:rsidRPr="009A4C46">
              <w:rPr>
                <w:rFonts w:eastAsia="Times New Roman"/>
                <w:sz w:val="18"/>
                <w:szCs w:val="18"/>
                <w:lang w:eastAsia="ru-RU"/>
              </w:rPr>
              <w:t>4,05%</w:t>
            </w:r>
          </w:p>
        </w:tc>
        <w:tc>
          <w:tcPr>
            <w:tcW w:w="545" w:type="pct"/>
            <w:shd w:val="clear" w:color="auto" w:fill="auto"/>
            <w:noWrap/>
            <w:vAlign w:val="center"/>
            <w:hideMark/>
          </w:tcPr>
          <w:p w14:paraId="35A923A5" w14:textId="77777777" w:rsidR="009A4C46" w:rsidRPr="009A4C46" w:rsidRDefault="009A4C46" w:rsidP="009A4C46">
            <w:pPr>
              <w:spacing w:after="0" w:line="240" w:lineRule="auto"/>
              <w:jc w:val="center"/>
              <w:rPr>
                <w:rFonts w:eastAsia="Times New Roman"/>
                <w:sz w:val="18"/>
                <w:szCs w:val="18"/>
                <w:lang w:eastAsia="ru-RU"/>
              </w:rPr>
            </w:pPr>
            <w:r w:rsidRPr="009A4C46">
              <w:rPr>
                <w:rFonts w:eastAsia="Times New Roman"/>
                <w:sz w:val="18"/>
                <w:szCs w:val="18"/>
                <w:lang w:eastAsia="ru-RU"/>
              </w:rPr>
              <w:t>3,02%</w:t>
            </w:r>
          </w:p>
        </w:tc>
        <w:tc>
          <w:tcPr>
            <w:tcW w:w="545" w:type="pct"/>
            <w:shd w:val="clear" w:color="auto" w:fill="auto"/>
            <w:noWrap/>
            <w:vAlign w:val="center"/>
          </w:tcPr>
          <w:p w14:paraId="34C94144" w14:textId="77777777" w:rsidR="009A4C46" w:rsidRPr="009A4C46" w:rsidRDefault="009A4C46" w:rsidP="009A4C46">
            <w:pPr>
              <w:spacing w:after="0" w:line="240" w:lineRule="auto"/>
              <w:jc w:val="center"/>
              <w:rPr>
                <w:rFonts w:eastAsia="Times New Roman"/>
                <w:sz w:val="18"/>
                <w:szCs w:val="18"/>
                <w:lang w:eastAsia="ru-RU"/>
              </w:rPr>
            </w:pPr>
          </w:p>
        </w:tc>
      </w:tr>
      <w:tr w:rsidR="009A4C46" w:rsidRPr="009A4C46" w14:paraId="7BF8170D" w14:textId="77777777" w:rsidTr="00F94FED">
        <w:trPr>
          <w:trHeight w:val="495"/>
        </w:trPr>
        <w:tc>
          <w:tcPr>
            <w:tcW w:w="1441" w:type="pct"/>
            <w:shd w:val="clear" w:color="auto" w:fill="auto"/>
            <w:vAlign w:val="center"/>
            <w:hideMark/>
          </w:tcPr>
          <w:p w14:paraId="625F63CA" w14:textId="77777777" w:rsidR="009A4C46" w:rsidRPr="009A4C46" w:rsidRDefault="009A4C46" w:rsidP="009A4C46">
            <w:pPr>
              <w:spacing w:after="0" w:line="240" w:lineRule="auto"/>
              <w:rPr>
                <w:rFonts w:eastAsia="Times New Roman"/>
                <w:sz w:val="18"/>
                <w:szCs w:val="18"/>
                <w:lang w:eastAsia="ru-RU"/>
              </w:rPr>
            </w:pPr>
            <w:r w:rsidRPr="009A4C46">
              <w:rPr>
                <w:rFonts w:eastAsia="Times New Roman"/>
                <w:sz w:val="18"/>
                <w:szCs w:val="18"/>
                <w:lang w:eastAsia="ru-RU"/>
              </w:rPr>
              <w:t>Краткосрочные финансовые вложения</w:t>
            </w:r>
          </w:p>
        </w:tc>
        <w:tc>
          <w:tcPr>
            <w:tcW w:w="660" w:type="pct"/>
            <w:shd w:val="clear" w:color="auto" w:fill="auto"/>
            <w:noWrap/>
            <w:vAlign w:val="center"/>
            <w:hideMark/>
          </w:tcPr>
          <w:p w14:paraId="008427C2" w14:textId="77777777" w:rsidR="009A4C46" w:rsidRPr="009A4C46" w:rsidRDefault="009A4C46" w:rsidP="009A4C46">
            <w:pPr>
              <w:spacing w:after="0" w:line="240" w:lineRule="auto"/>
              <w:jc w:val="center"/>
              <w:rPr>
                <w:rFonts w:eastAsia="Times New Roman"/>
                <w:sz w:val="18"/>
                <w:szCs w:val="18"/>
                <w:lang w:eastAsia="ru-RU"/>
              </w:rPr>
            </w:pPr>
            <w:r w:rsidRPr="009A4C46">
              <w:rPr>
                <w:rFonts w:eastAsia="Times New Roman"/>
                <w:sz w:val="18"/>
                <w:szCs w:val="18"/>
                <w:lang w:eastAsia="ru-RU"/>
              </w:rPr>
              <w:t>324 479</w:t>
            </w:r>
          </w:p>
        </w:tc>
        <w:tc>
          <w:tcPr>
            <w:tcW w:w="652" w:type="pct"/>
            <w:shd w:val="clear" w:color="auto" w:fill="auto"/>
            <w:noWrap/>
            <w:vAlign w:val="center"/>
            <w:hideMark/>
          </w:tcPr>
          <w:p w14:paraId="68F5FC1D" w14:textId="77777777" w:rsidR="009A4C46" w:rsidRPr="009A4C46" w:rsidRDefault="009A4C46" w:rsidP="009A4C46">
            <w:pPr>
              <w:spacing w:after="0" w:line="240" w:lineRule="auto"/>
              <w:jc w:val="center"/>
              <w:rPr>
                <w:rFonts w:eastAsia="Times New Roman"/>
                <w:sz w:val="18"/>
                <w:szCs w:val="18"/>
                <w:lang w:eastAsia="ru-RU"/>
              </w:rPr>
            </w:pPr>
            <w:r w:rsidRPr="009A4C46">
              <w:rPr>
                <w:rFonts w:eastAsia="Times New Roman"/>
                <w:sz w:val="18"/>
                <w:szCs w:val="18"/>
                <w:lang w:eastAsia="ru-RU"/>
              </w:rPr>
              <w:t>0</w:t>
            </w:r>
          </w:p>
        </w:tc>
        <w:tc>
          <w:tcPr>
            <w:tcW w:w="579" w:type="pct"/>
            <w:shd w:val="clear" w:color="auto" w:fill="auto"/>
            <w:noWrap/>
            <w:vAlign w:val="center"/>
            <w:hideMark/>
          </w:tcPr>
          <w:p w14:paraId="3FD5DF0B" w14:textId="77777777" w:rsidR="009A4C46" w:rsidRPr="009A4C46" w:rsidRDefault="009A4C46" w:rsidP="009A4C46">
            <w:pPr>
              <w:spacing w:after="0" w:line="240" w:lineRule="auto"/>
              <w:jc w:val="center"/>
              <w:rPr>
                <w:rFonts w:eastAsia="Times New Roman"/>
                <w:sz w:val="18"/>
                <w:szCs w:val="18"/>
                <w:lang w:eastAsia="ru-RU"/>
              </w:rPr>
            </w:pPr>
            <w:r w:rsidRPr="009A4C46">
              <w:rPr>
                <w:rFonts w:eastAsia="Times New Roman"/>
                <w:sz w:val="18"/>
                <w:szCs w:val="18"/>
                <w:lang w:eastAsia="ru-RU"/>
              </w:rPr>
              <w:t>0 </w:t>
            </w:r>
          </w:p>
        </w:tc>
        <w:tc>
          <w:tcPr>
            <w:tcW w:w="579" w:type="pct"/>
            <w:shd w:val="clear" w:color="auto" w:fill="auto"/>
            <w:noWrap/>
            <w:vAlign w:val="center"/>
            <w:hideMark/>
          </w:tcPr>
          <w:p w14:paraId="0ADA8DA1" w14:textId="77777777" w:rsidR="009A4C46" w:rsidRPr="009A4C46" w:rsidRDefault="009A4C46" w:rsidP="009A4C46">
            <w:pPr>
              <w:spacing w:after="0" w:line="240" w:lineRule="auto"/>
              <w:jc w:val="center"/>
              <w:rPr>
                <w:rFonts w:eastAsia="Times New Roman"/>
                <w:sz w:val="18"/>
                <w:szCs w:val="18"/>
                <w:lang w:eastAsia="ru-RU"/>
              </w:rPr>
            </w:pPr>
            <w:r w:rsidRPr="009A4C46">
              <w:rPr>
                <w:rFonts w:eastAsia="Times New Roman"/>
                <w:sz w:val="18"/>
                <w:szCs w:val="18"/>
                <w:lang w:eastAsia="ru-RU"/>
              </w:rPr>
              <w:t>19,30%</w:t>
            </w:r>
          </w:p>
        </w:tc>
        <w:tc>
          <w:tcPr>
            <w:tcW w:w="545" w:type="pct"/>
            <w:shd w:val="clear" w:color="auto" w:fill="auto"/>
            <w:noWrap/>
            <w:vAlign w:val="center"/>
            <w:hideMark/>
          </w:tcPr>
          <w:p w14:paraId="7D780ACA" w14:textId="77777777" w:rsidR="009A4C46" w:rsidRPr="009A4C46" w:rsidRDefault="009A4C46" w:rsidP="009A4C46">
            <w:pPr>
              <w:spacing w:after="0" w:line="240" w:lineRule="auto"/>
              <w:jc w:val="center"/>
              <w:rPr>
                <w:rFonts w:eastAsia="Times New Roman"/>
                <w:sz w:val="18"/>
                <w:szCs w:val="18"/>
                <w:lang w:eastAsia="ru-RU"/>
              </w:rPr>
            </w:pPr>
            <w:r w:rsidRPr="009A4C46">
              <w:rPr>
                <w:rFonts w:eastAsia="Times New Roman"/>
                <w:sz w:val="18"/>
                <w:szCs w:val="18"/>
                <w:lang w:eastAsia="ru-RU"/>
              </w:rPr>
              <w:t>0,00%</w:t>
            </w:r>
          </w:p>
        </w:tc>
        <w:tc>
          <w:tcPr>
            <w:tcW w:w="545" w:type="pct"/>
            <w:shd w:val="clear" w:color="auto" w:fill="auto"/>
            <w:noWrap/>
            <w:vAlign w:val="center"/>
          </w:tcPr>
          <w:p w14:paraId="0142D528" w14:textId="77777777" w:rsidR="009A4C46" w:rsidRPr="009A4C46" w:rsidRDefault="009A4C46" w:rsidP="009A4C46">
            <w:pPr>
              <w:spacing w:after="0" w:line="240" w:lineRule="auto"/>
              <w:jc w:val="center"/>
              <w:rPr>
                <w:rFonts w:eastAsia="Times New Roman"/>
                <w:sz w:val="18"/>
                <w:szCs w:val="18"/>
                <w:lang w:eastAsia="ru-RU"/>
              </w:rPr>
            </w:pPr>
            <w:r w:rsidRPr="009A4C46">
              <w:rPr>
                <w:rFonts w:eastAsia="Times New Roman"/>
                <w:sz w:val="18"/>
                <w:szCs w:val="18"/>
                <w:lang w:eastAsia="ru-RU"/>
              </w:rPr>
              <w:t>0,00%</w:t>
            </w:r>
          </w:p>
        </w:tc>
      </w:tr>
      <w:tr w:rsidR="009A4C46" w:rsidRPr="009A4C46" w14:paraId="738E0637" w14:textId="77777777" w:rsidTr="00F94FED">
        <w:trPr>
          <w:trHeight w:val="315"/>
        </w:trPr>
        <w:tc>
          <w:tcPr>
            <w:tcW w:w="1441" w:type="pct"/>
            <w:shd w:val="clear" w:color="auto" w:fill="auto"/>
            <w:noWrap/>
            <w:vAlign w:val="center"/>
            <w:hideMark/>
          </w:tcPr>
          <w:p w14:paraId="77993E6A" w14:textId="77777777" w:rsidR="009A4C46" w:rsidRPr="009A4C46" w:rsidRDefault="009A4C46" w:rsidP="009A4C46">
            <w:pPr>
              <w:spacing w:after="0" w:line="240" w:lineRule="auto"/>
              <w:rPr>
                <w:rFonts w:eastAsia="Times New Roman"/>
                <w:sz w:val="18"/>
                <w:szCs w:val="18"/>
                <w:lang w:eastAsia="ru-RU"/>
              </w:rPr>
            </w:pPr>
            <w:r w:rsidRPr="009A4C46">
              <w:rPr>
                <w:rFonts w:eastAsia="Times New Roman"/>
                <w:sz w:val="18"/>
                <w:szCs w:val="18"/>
                <w:lang w:eastAsia="ru-RU"/>
              </w:rPr>
              <w:t>Денежные средства</w:t>
            </w:r>
          </w:p>
        </w:tc>
        <w:tc>
          <w:tcPr>
            <w:tcW w:w="660" w:type="pct"/>
            <w:shd w:val="clear" w:color="auto" w:fill="auto"/>
            <w:noWrap/>
            <w:vAlign w:val="center"/>
            <w:hideMark/>
          </w:tcPr>
          <w:p w14:paraId="4CFC5514" w14:textId="77777777" w:rsidR="009A4C46" w:rsidRPr="009A4C46" w:rsidRDefault="009A4C46" w:rsidP="009A4C46">
            <w:pPr>
              <w:spacing w:after="0" w:line="240" w:lineRule="auto"/>
              <w:jc w:val="center"/>
              <w:rPr>
                <w:rFonts w:eastAsia="Times New Roman"/>
                <w:sz w:val="18"/>
                <w:szCs w:val="18"/>
                <w:lang w:eastAsia="ru-RU"/>
              </w:rPr>
            </w:pPr>
            <w:r w:rsidRPr="009A4C46">
              <w:rPr>
                <w:rFonts w:eastAsia="Times New Roman"/>
                <w:sz w:val="18"/>
                <w:szCs w:val="18"/>
                <w:lang w:eastAsia="ru-RU"/>
              </w:rPr>
              <w:t>14 228</w:t>
            </w:r>
          </w:p>
        </w:tc>
        <w:tc>
          <w:tcPr>
            <w:tcW w:w="652" w:type="pct"/>
            <w:shd w:val="clear" w:color="auto" w:fill="auto"/>
            <w:noWrap/>
            <w:vAlign w:val="center"/>
            <w:hideMark/>
          </w:tcPr>
          <w:p w14:paraId="0758C1C0" w14:textId="77777777" w:rsidR="009A4C46" w:rsidRPr="009A4C46" w:rsidRDefault="009A4C46" w:rsidP="009A4C46">
            <w:pPr>
              <w:spacing w:after="0" w:line="240" w:lineRule="auto"/>
              <w:jc w:val="center"/>
              <w:rPr>
                <w:rFonts w:eastAsia="Times New Roman"/>
                <w:sz w:val="18"/>
                <w:szCs w:val="18"/>
                <w:lang w:eastAsia="ru-RU"/>
              </w:rPr>
            </w:pPr>
            <w:r w:rsidRPr="009A4C46">
              <w:rPr>
                <w:rFonts w:eastAsia="Times New Roman"/>
                <w:sz w:val="18"/>
                <w:szCs w:val="18"/>
                <w:lang w:eastAsia="ru-RU"/>
              </w:rPr>
              <w:t>278 393</w:t>
            </w:r>
          </w:p>
        </w:tc>
        <w:tc>
          <w:tcPr>
            <w:tcW w:w="579" w:type="pct"/>
            <w:shd w:val="clear" w:color="auto" w:fill="auto"/>
            <w:noWrap/>
            <w:vAlign w:val="center"/>
            <w:hideMark/>
          </w:tcPr>
          <w:p w14:paraId="730DA249" w14:textId="77777777" w:rsidR="009A4C46" w:rsidRPr="009A4C46" w:rsidRDefault="009A4C46" w:rsidP="009A4C46">
            <w:pPr>
              <w:spacing w:after="0" w:line="240" w:lineRule="auto"/>
              <w:jc w:val="center"/>
              <w:rPr>
                <w:rFonts w:eastAsia="Times New Roman"/>
                <w:sz w:val="18"/>
                <w:szCs w:val="18"/>
                <w:lang w:eastAsia="ru-RU"/>
              </w:rPr>
            </w:pPr>
            <w:r w:rsidRPr="009A4C46">
              <w:rPr>
                <w:rFonts w:eastAsia="Times New Roman"/>
                <w:sz w:val="18"/>
                <w:szCs w:val="18"/>
                <w:lang w:eastAsia="ru-RU"/>
              </w:rPr>
              <w:t>160 146</w:t>
            </w:r>
          </w:p>
        </w:tc>
        <w:tc>
          <w:tcPr>
            <w:tcW w:w="579" w:type="pct"/>
            <w:shd w:val="clear" w:color="auto" w:fill="auto"/>
            <w:noWrap/>
            <w:vAlign w:val="center"/>
            <w:hideMark/>
          </w:tcPr>
          <w:p w14:paraId="6D17CBEB" w14:textId="77777777" w:rsidR="009A4C46" w:rsidRPr="009A4C46" w:rsidRDefault="009A4C46" w:rsidP="009A4C46">
            <w:pPr>
              <w:spacing w:after="0" w:line="240" w:lineRule="auto"/>
              <w:jc w:val="center"/>
              <w:rPr>
                <w:rFonts w:eastAsia="Times New Roman"/>
                <w:sz w:val="18"/>
                <w:szCs w:val="18"/>
                <w:lang w:eastAsia="ru-RU"/>
              </w:rPr>
            </w:pPr>
            <w:r w:rsidRPr="009A4C46">
              <w:rPr>
                <w:rFonts w:eastAsia="Times New Roman"/>
                <w:sz w:val="18"/>
                <w:szCs w:val="18"/>
                <w:lang w:eastAsia="ru-RU"/>
              </w:rPr>
              <w:t>0,85%</w:t>
            </w:r>
          </w:p>
        </w:tc>
        <w:tc>
          <w:tcPr>
            <w:tcW w:w="545" w:type="pct"/>
            <w:shd w:val="clear" w:color="auto" w:fill="auto"/>
            <w:noWrap/>
            <w:vAlign w:val="center"/>
            <w:hideMark/>
          </w:tcPr>
          <w:p w14:paraId="44F6EAE2" w14:textId="77777777" w:rsidR="009A4C46" w:rsidRPr="009A4C46" w:rsidRDefault="009A4C46" w:rsidP="009A4C46">
            <w:pPr>
              <w:spacing w:after="0" w:line="240" w:lineRule="auto"/>
              <w:jc w:val="center"/>
              <w:rPr>
                <w:rFonts w:eastAsia="Times New Roman"/>
                <w:sz w:val="18"/>
                <w:szCs w:val="18"/>
                <w:lang w:eastAsia="ru-RU"/>
              </w:rPr>
            </w:pPr>
            <w:r w:rsidRPr="009A4C46">
              <w:rPr>
                <w:rFonts w:eastAsia="Times New Roman"/>
                <w:sz w:val="18"/>
                <w:szCs w:val="18"/>
                <w:lang w:eastAsia="ru-RU"/>
              </w:rPr>
              <w:t>17,48%</w:t>
            </w:r>
          </w:p>
        </w:tc>
        <w:tc>
          <w:tcPr>
            <w:tcW w:w="545" w:type="pct"/>
            <w:shd w:val="clear" w:color="auto" w:fill="auto"/>
            <w:noWrap/>
            <w:vAlign w:val="center"/>
            <w:hideMark/>
          </w:tcPr>
          <w:p w14:paraId="4F9DCB53" w14:textId="77777777" w:rsidR="009A4C46" w:rsidRPr="009A4C46" w:rsidRDefault="009A4C46" w:rsidP="009A4C46">
            <w:pPr>
              <w:spacing w:after="0" w:line="240" w:lineRule="auto"/>
              <w:jc w:val="center"/>
              <w:rPr>
                <w:rFonts w:eastAsia="Times New Roman"/>
                <w:sz w:val="18"/>
                <w:szCs w:val="18"/>
                <w:lang w:eastAsia="ru-RU"/>
              </w:rPr>
            </w:pPr>
            <w:r w:rsidRPr="009A4C46">
              <w:rPr>
                <w:rFonts w:eastAsia="Times New Roman"/>
                <w:sz w:val="18"/>
                <w:szCs w:val="18"/>
                <w:lang w:eastAsia="ru-RU"/>
              </w:rPr>
              <w:t>40,03%</w:t>
            </w:r>
          </w:p>
        </w:tc>
      </w:tr>
      <w:tr w:rsidR="009A4C46" w:rsidRPr="009A4C46" w14:paraId="49EA45CD" w14:textId="77777777" w:rsidTr="00F94FED">
        <w:trPr>
          <w:trHeight w:val="315"/>
        </w:trPr>
        <w:tc>
          <w:tcPr>
            <w:tcW w:w="1441" w:type="pct"/>
            <w:shd w:val="clear" w:color="auto" w:fill="auto"/>
            <w:noWrap/>
            <w:vAlign w:val="center"/>
            <w:hideMark/>
          </w:tcPr>
          <w:p w14:paraId="2A916EBB" w14:textId="77777777" w:rsidR="009A4C46" w:rsidRPr="009A4C46" w:rsidRDefault="009A4C46" w:rsidP="009A4C46">
            <w:pPr>
              <w:spacing w:after="0" w:line="240" w:lineRule="auto"/>
              <w:rPr>
                <w:rFonts w:eastAsia="Times New Roman"/>
                <w:sz w:val="18"/>
                <w:szCs w:val="18"/>
                <w:lang w:eastAsia="ru-RU"/>
              </w:rPr>
            </w:pPr>
            <w:r w:rsidRPr="009A4C46">
              <w:rPr>
                <w:rFonts w:eastAsia="Times New Roman"/>
                <w:sz w:val="18"/>
                <w:szCs w:val="18"/>
                <w:lang w:eastAsia="ru-RU"/>
              </w:rPr>
              <w:t>Прочие оборотные активы</w:t>
            </w:r>
          </w:p>
        </w:tc>
        <w:tc>
          <w:tcPr>
            <w:tcW w:w="660" w:type="pct"/>
            <w:shd w:val="clear" w:color="auto" w:fill="auto"/>
            <w:noWrap/>
            <w:vAlign w:val="center"/>
            <w:hideMark/>
          </w:tcPr>
          <w:p w14:paraId="2851D46D" w14:textId="77777777" w:rsidR="009A4C46" w:rsidRPr="009A4C46" w:rsidRDefault="009A4C46" w:rsidP="009A4C46">
            <w:pPr>
              <w:spacing w:after="0" w:line="240" w:lineRule="auto"/>
              <w:jc w:val="center"/>
              <w:rPr>
                <w:rFonts w:eastAsia="Times New Roman"/>
                <w:sz w:val="18"/>
                <w:szCs w:val="18"/>
                <w:lang w:eastAsia="ru-RU"/>
              </w:rPr>
            </w:pPr>
            <w:r w:rsidRPr="009A4C46">
              <w:rPr>
                <w:rFonts w:eastAsia="Times New Roman"/>
                <w:sz w:val="18"/>
                <w:szCs w:val="18"/>
                <w:lang w:eastAsia="ru-RU"/>
              </w:rPr>
              <w:t>110 747</w:t>
            </w:r>
          </w:p>
        </w:tc>
        <w:tc>
          <w:tcPr>
            <w:tcW w:w="652" w:type="pct"/>
            <w:shd w:val="clear" w:color="auto" w:fill="auto"/>
            <w:noWrap/>
            <w:vAlign w:val="center"/>
            <w:hideMark/>
          </w:tcPr>
          <w:p w14:paraId="664F20ED" w14:textId="77777777" w:rsidR="009A4C46" w:rsidRPr="009A4C46" w:rsidRDefault="009A4C46" w:rsidP="009A4C46">
            <w:pPr>
              <w:spacing w:after="0" w:line="240" w:lineRule="auto"/>
              <w:jc w:val="center"/>
              <w:rPr>
                <w:rFonts w:eastAsia="Times New Roman"/>
                <w:sz w:val="18"/>
                <w:szCs w:val="18"/>
                <w:lang w:eastAsia="ru-RU"/>
              </w:rPr>
            </w:pPr>
            <w:r w:rsidRPr="009A4C46">
              <w:rPr>
                <w:rFonts w:eastAsia="Times New Roman"/>
                <w:sz w:val="18"/>
                <w:szCs w:val="18"/>
                <w:lang w:eastAsia="ru-RU"/>
              </w:rPr>
              <w:t>17 978</w:t>
            </w:r>
          </w:p>
        </w:tc>
        <w:tc>
          <w:tcPr>
            <w:tcW w:w="579" w:type="pct"/>
            <w:shd w:val="clear" w:color="auto" w:fill="auto"/>
            <w:noWrap/>
            <w:vAlign w:val="center"/>
            <w:hideMark/>
          </w:tcPr>
          <w:p w14:paraId="04AF214F" w14:textId="77777777" w:rsidR="009A4C46" w:rsidRPr="009A4C46" w:rsidRDefault="009A4C46" w:rsidP="009A4C46">
            <w:pPr>
              <w:spacing w:after="0" w:line="240" w:lineRule="auto"/>
              <w:jc w:val="center"/>
              <w:rPr>
                <w:rFonts w:eastAsia="Times New Roman"/>
                <w:sz w:val="18"/>
                <w:szCs w:val="18"/>
                <w:lang w:eastAsia="ru-RU"/>
              </w:rPr>
            </w:pPr>
            <w:r w:rsidRPr="009A4C46">
              <w:rPr>
                <w:rFonts w:eastAsia="Times New Roman"/>
                <w:sz w:val="18"/>
                <w:szCs w:val="18"/>
                <w:lang w:eastAsia="ru-RU"/>
              </w:rPr>
              <w:t>17 669</w:t>
            </w:r>
          </w:p>
        </w:tc>
        <w:tc>
          <w:tcPr>
            <w:tcW w:w="579" w:type="pct"/>
            <w:shd w:val="clear" w:color="auto" w:fill="auto"/>
            <w:noWrap/>
            <w:vAlign w:val="center"/>
            <w:hideMark/>
          </w:tcPr>
          <w:p w14:paraId="4D9D74D1" w14:textId="77777777" w:rsidR="009A4C46" w:rsidRPr="009A4C46" w:rsidRDefault="009A4C46" w:rsidP="009A4C46">
            <w:pPr>
              <w:spacing w:after="0" w:line="240" w:lineRule="auto"/>
              <w:jc w:val="center"/>
              <w:rPr>
                <w:rFonts w:eastAsia="Times New Roman"/>
                <w:sz w:val="18"/>
                <w:szCs w:val="18"/>
                <w:lang w:eastAsia="ru-RU"/>
              </w:rPr>
            </w:pPr>
            <w:r w:rsidRPr="009A4C46">
              <w:rPr>
                <w:rFonts w:eastAsia="Times New Roman"/>
                <w:sz w:val="18"/>
                <w:szCs w:val="18"/>
                <w:lang w:eastAsia="ru-RU"/>
              </w:rPr>
              <w:t>6,59%</w:t>
            </w:r>
          </w:p>
        </w:tc>
        <w:tc>
          <w:tcPr>
            <w:tcW w:w="545" w:type="pct"/>
            <w:shd w:val="clear" w:color="auto" w:fill="auto"/>
            <w:noWrap/>
            <w:vAlign w:val="center"/>
            <w:hideMark/>
          </w:tcPr>
          <w:p w14:paraId="2C975AB5" w14:textId="77777777" w:rsidR="009A4C46" w:rsidRPr="009A4C46" w:rsidRDefault="009A4C46" w:rsidP="009A4C46">
            <w:pPr>
              <w:spacing w:after="0" w:line="240" w:lineRule="auto"/>
              <w:jc w:val="center"/>
              <w:rPr>
                <w:rFonts w:eastAsia="Times New Roman"/>
                <w:sz w:val="18"/>
                <w:szCs w:val="18"/>
                <w:lang w:eastAsia="ru-RU"/>
              </w:rPr>
            </w:pPr>
            <w:r w:rsidRPr="009A4C46">
              <w:rPr>
                <w:rFonts w:eastAsia="Times New Roman"/>
                <w:sz w:val="18"/>
                <w:szCs w:val="18"/>
                <w:lang w:eastAsia="ru-RU"/>
              </w:rPr>
              <w:t>1,13%</w:t>
            </w:r>
          </w:p>
        </w:tc>
        <w:tc>
          <w:tcPr>
            <w:tcW w:w="545" w:type="pct"/>
            <w:shd w:val="clear" w:color="auto" w:fill="auto"/>
            <w:noWrap/>
            <w:vAlign w:val="center"/>
            <w:hideMark/>
          </w:tcPr>
          <w:p w14:paraId="457F90FE" w14:textId="77777777" w:rsidR="009A4C46" w:rsidRPr="009A4C46" w:rsidRDefault="009A4C46" w:rsidP="009A4C46">
            <w:pPr>
              <w:spacing w:after="0" w:line="240" w:lineRule="auto"/>
              <w:jc w:val="center"/>
              <w:rPr>
                <w:rFonts w:eastAsia="Times New Roman"/>
                <w:sz w:val="18"/>
                <w:szCs w:val="18"/>
                <w:lang w:eastAsia="ru-RU"/>
              </w:rPr>
            </w:pPr>
            <w:r w:rsidRPr="009A4C46">
              <w:rPr>
                <w:rFonts w:eastAsia="Times New Roman"/>
                <w:sz w:val="18"/>
                <w:szCs w:val="18"/>
                <w:lang w:eastAsia="ru-RU"/>
              </w:rPr>
              <w:t>4,42%</w:t>
            </w:r>
          </w:p>
        </w:tc>
      </w:tr>
    </w:tbl>
    <w:p w14:paraId="3B84A808" w14:textId="77777777" w:rsidR="009A4C46" w:rsidRPr="00F94FED" w:rsidRDefault="009A4C46" w:rsidP="00F94FED">
      <w:pPr>
        <w:spacing w:after="0" w:line="360" w:lineRule="auto"/>
        <w:ind w:firstLine="567"/>
        <w:jc w:val="both"/>
        <w:rPr>
          <w:rFonts w:eastAsia="Times New Roman"/>
          <w:sz w:val="26"/>
          <w:szCs w:val="26"/>
          <w:lang w:eastAsia="ru-RU"/>
        </w:rPr>
      </w:pPr>
    </w:p>
    <w:p w14:paraId="6B2F1D96" w14:textId="77777777" w:rsidR="009A4C46" w:rsidRPr="00F94FED" w:rsidRDefault="009A4C46" w:rsidP="00F94FED">
      <w:pPr>
        <w:autoSpaceDE w:val="0"/>
        <w:autoSpaceDN w:val="0"/>
        <w:adjustRightInd w:val="0"/>
        <w:spacing w:after="0" w:line="360" w:lineRule="auto"/>
        <w:jc w:val="both"/>
        <w:rPr>
          <w:rFonts w:eastAsia="Times New Roman"/>
          <w:b/>
          <w:bCs/>
          <w:color w:val="000000"/>
          <w:sz w:val="26"/>
          <w:szCs w:val="26"/>
          <w:lang w:eastAsia="ru-RU"/>
        </w:rPr>
      </w:pPr>
      <w:r w:rsidRPr="00F94FED">
        <w:rPr>
          <w:rFonts w:eastAsia="Times New Roman"/>
          <w:b/>
          <w:bCs/>
          <w:color w:val="000000"/>
          <w:sz w:val="26"/>
          <w:szCs w:val="26"/>
          <w:lang w:eastAsia="ru-RU"/>
        </w:rPr>
        <w:t>За 2017 год:</w:t>
      </w:r>
    </w:p>
    <w:p w14:paraId="098EE5CD" w14:textId="77777777" w:rsidR="009A4C46" w:rsidRPr="00F94FED" w:rsidRDefault="009A4C46" w:rsidP="00F94FED">
      <w:pPr>
        <w:autoSpaceDE w:val="0"/>
        <w:autoSpaceDN w:val="0"/>
        <w:adjustRightInd w:val="0"/>
        <w:spacing w:after="0" w:line="360" w:lineRule="auto"/>
        <w:ind w:firstLine="567"/>
        <w:jc w:val="both"/>
        <w:rPr>
          <w:rFonts w:eastAsia="Times New Roman"/>
          <w:b/>
          <w:bCs/>
          <w:color w:val="000000"/>
          <w:sz w:val="26"/>
          <w:szCs w:val="26"/>
          <w:lang w:eastAsia="ru-RU"/>
        </w:rPr>
      </w:pPr>
      <w:r w:rsidRPr="00F94FED">
        <w:rPr>
          <w:rFonts w:eastAsia="Times New Roman"/>
          <w:color w:val="000000"/>
          <w:sz w:val="26"/>
          <w:szCs w:val="26"/>
          <w:lang w:eastAsia="ru-RU"/>
        </w:rPr>
        <w:t>Исполнитель отмечает рост удельного веса дебиторской задолженности с 71,0% до 78,5% от общей величины оборотных активов.  В абсолютном выражении увеличение составило 57 457 тыс. руб.</w:t>
      </w:r>
    </w:p>
    <w:p w14:paraId="4A12A8F0" w14:textId="77777777" w:rsidR="009A4C46" w:rsidRPr="00F94FED" w:rsidRDefault="009A4C46" w:rsidP="00F94FED">
      <w:pPr>
        <w:autoSpaceDE w:val="0"/>
        <w:autoSpaceDN w:val="0"/>
        <w:adjustRightInd w:val="0"/>
        <w:spacing w:after="0" w:line="360" w:lineRule="auto"/>
        <w:jc w:val="both"/>
        <w:rPr>
          <w:rFonts w:eastAsia="Times New Roman"/>
          <w:b/>
          <w:bCs/>
          <w:color w:val="000000"/>
          <w:sz w:val="26"/>
          <w:szCs w:val="26"/>
          <w:lang w:eastAsia="ru-RU"/>
        </w:rPr>
      </w:pPr>
      <w:r w:rsidRPr="00F94FED">
        <w:rPr>
          <w:rFonts w:eastAsia="Times New Roman"/>
          <w:b/>
          <w:bCs/>
          <w:color w:val="000000"/>
          <w:sz w:val="26"/>
          <w:szCs w:val="26"/>
          <w:lang w:eastAsia="ru-RU"/>
        </w:rPr>
        <w:t>За 2018 год:</w:t>
      </w:r>
    </w:p>
    <w:p w14:paraId="48E7D342" w14:textId="77777777" w:rsidR="009A4C46" w:rsidRPr="00F94FED" w:rsidRDefault="009A4C46" w:rsidP="00F94FED">
      <w:pPr>
        <w:autoSpaceDE w:val="0"/>
        <w:autoSpaceDN w:val="0"/>
        <w:adjustRightInd w:val="0"/>
        <w:spacing w:after="0" w:line="360" w:lineRule="auto"/>
        <w:ind w:firstLine="567"/>
        <w:jc w:val="both"/>
        <w:rPr>
          <w:rFonts w:eastAsia="Times New Roman"/>
          <w:color w:val="000000"/>
          <w:sz w:val="26"/>
          <w:szCs w:val="26"/>
          <w:lang w:eastAsia="ru-RU"/>
        </w:rPr>
      </w:pPr>
      <w:r w:rsidRPr="00F94FED">
        <w:rPr>
          <w:rFonts w:eastAsia="Times New Roman"/>
          <w:color w:val="000000"/>
          <w:sz w:val="26"/>
          <w:szCs w:val="26"/>
          <w:lang w:eastAsia="ru-RU"/>
        </w:rPr>
        <w:t>Исполнитель отмечает положительную динамику по снижению дебиторской задолженности за 2018 год на 32,6%.</w:t>
      </w:r>
    </w:p>
    <w:p w14:paraId="00A05D2D" w14:textId="77777777" w:rsidR="009A4C46" w:rsidRPr="00F94FED" w:rsidRDefault="009A4C46" w:rsidP="00F94FED">
      <w:pPr>
        <w:autoSpaceDE w:val="0"/>
        <w:autoSpaceDN w:val="0"/>
        <w:adjustRightInd w:val="0"/>
        <w:spacing w:after="0" w:line="360" w:lineRule="auto"/>
        <w:ind w:firstLine="567"/>
        <w:jc w:val="center"/>
        <w:rPr>
          <w:rFonts w:eastAsia="Times New Roman"/>
          <w:b/>
          <w:color w:val="000000"/>
          <w:sz w:val="26"/>
          <w:szCs w:val="26"/>
          <w:lang w:eastAsia="ru-RU"/>
        </w:rPr>
      </w:pPr>
      <w:r w:rsidRPr="00F94FED">
        <w:rPr>
          <w:rFonts w:eastAsia="Times New Roman"/>
          <w:b/>
          <w:color w:val="000000"/>
          <w:sz w:val="26"/>
          <w:szCs w:val="26"/>
          <w:lang w:eastAsia="ru-RU"/>
        </w:rPr>
        <w:t>Анализ структуры Пассивов:</w:t>
      </w:r>
    </w:p>
    <w:tbl>
      <w:tblPr>
        <w:tblW w:w="5000" w:type="pct"/>
        <w:tblLook w:val="04A0" w:firstRow="1" w:lastRow="0" w:firstColumn="1" w:lastColumn="0" w:noHBand="0" w:noVBand="1"/>
      </w:tblPr>
      <w:tblGrid>
        <w:gridCol w:w="2765"/>
        <w:gridCol w:w="1097"/>
        <w:gridCol w:w="1106"/>
        <w:gridCol w:w="1106"/>
        <w:gridCol w:w="1090"/>
        <w:gridCol w:w="1090"/>
        <w:gridCol w:w="1091"/>
      </w:tblGrid>
      <w:tr w:rsidR="009A4C46" w:rsidRPr="009A4C46" w14:paraId="241A20D7" w14:textId="77777777" w:rsidTr="00F94FED">
        <w:trPr>
          <w:trHeight w:val="315"/>
          <w:tblHeader/>
        </w:trPr>
        <w:tc>
          <w:tcPr>
            <w:tcW w:w="147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32344CA" w14:textId="77777777" w:rsidR="009A4C46" w:rsidRPr="00F94FED" w:rsidRDefault="009A4C46" w:rsidP="009A4C46">
            <w:pPr>
              <w:spacing w:after="0" w:line="240" w:lineRule="auto"/>
              <w:jc w:val="center"/>
              <w:rPr>
                <w:rFonts w:eastAsia="Times New Roman"/>
                <w:b/>
                <w:bCs/>
                <w:color w:val="FFFFFF" w:themeColor="background1"/>
                <w:sz w:val="18"/>
                <w:szCs w:val="18"/>
                <w:lang w:eastAsia="ru-RU"/>
              </w:rPr>
            </w:pPr>
            <w:r w:rsidRPr="00F94FED">
              <w:rPr>
                <w:rFonts w:eastAsia="Times New Roman"/>
                <w:b/>
                <w:bCs/>
                <w:color w:val="FFFFFF" w:themeColor="background1"/>
                <w:sz w:val="18"/>
                <w:szCs w:val="18"/>
                <w:lang w:eastAsia="ru-RU"/>
              </w:rPr>
              <w:t>Показатели АО «Тываэнерго»</w:t>
            </w:r>
          </w:p>
        </w:tc>
        <w:tc>
          <w:tcPr>
            <w:tcW w:w="1770"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B12D121" w14:textId="77777777" w:rsidR="009A4C46" w:rsidRPr="00F94FED" w:rsidRDefault="009A4C46" w:rsidP="009A4C46">
            <w:pPr>
              <w:spacing w:after="0" w:line="240" w:lineRule="auto"/>
              <w:jc w:val="center"/>
              <w:rPr>
                <w:rFonts w:eastAsia="Times New Roman"/>
                <w:b/>
                <w:bCs/>
                <w:color w:val="FFFFFF" w:themeColor="background1"/>
                <w:sz w:val="18"/>
                <w:szCs w:val="18"/>
                <w:lang w:eastAsia="ru-RU"/>
              </w:rPr>
            </w:pPr>
            <w:r w:rsidRPr="00F94FED">
              <w:rPr>
                <w:rFonts w:eastAsia="Times New Roman"/>
                <w:b/>
                <w:bCs/>
                <w:color w:val="FFFFFF" w:themeColor="background1"/>
                <w:sz w:val="18"/>
                <w:szCs w:val="18"/>
                <w:lang w:eastAsia="ru-RU"/>
              </w:rPr>
              <w:t>Абсолютное значение, тыс. руб.</w:t>
            </w:r>
          </w:p>
        </w:tc>
        <w:tc>
          <w:tcPr>
            <w:tcW w:w="1751"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BED9281" w14:textId="1F15A4AD" w:rsidR="009A4C46" w:rsidRPr="00F94FED" w:rsidRDefault="009A4C46" w:rsidP="009A4C46">
            <w:pPr>
              <w:spacing w:after="0" w:line="240" w:lineRule="auto"/>
              <w:jc w:val="center"/>
              <w:rPr>
                <w:rFonts w:eastAsia="Times New Roman"/>
                <w:b/>
                <w:bCs/>
                <w:color w:val="FFFFFF" w:themeColor="background1"/>
                <w:sz w:val="18"/>
                <w:szCs w:val="18"/>
                <w:lang w:eastAsia="ru-RU"/>
              </w:rPr>
            </w:pPr>
            <w:r w:rsidRPr="00F94FED">
              <w:rPr>
                <w:rFonts w:eastAsia="Times New Roman"/>
                <w:b/>
                <w:bCs/>
                <w:color w:val="FFFFFF" w:themeColor="background1"/>
                <w:sz w:val="18"/>
                <w:szCs w:val="18"/>
                <w:lang w:eastAsia="ru-RU"/>
              </w:rPr>
              <w:t>Удельный вес</w:t>
            </w:r>
            <w:r w:rsidR="00A4365C">
              <w:rPr>
                <w:rFonts w:eastAsia="Times New Roman"/>
                <w:b/>
                <w:bCs/>
                <w:color w:val="FFFFFF" w:themeColor="background1"/>
                <w:sz w:val="18"/>
                <w:szCs w:val="18"/>
                <w:lang w:eastAsia="ru-RU"/>
              </w:rPr>
              <w:t xml:space="preserve"> </w:t>
            </w:r>
            <w:r w:rsidRPr="00F94FED">
              <w:rPr>
                <w:rFonts w:eastAsia="Times New Roman"/>
                <w:b/>
                <w:bCs/>
                <w:color w:val="FFFFFF" w:themeColor="background1"/>
                <w:sz w:val="18"/>
                <w:szCs w:val="18"/>
                <w:lang w:eastAsia="ru-RU"/>
              </w:rPr>
              <w:t>(%)</w:t>
            </w:r>
          </w:p>
        </w:tc>
      </w:tr>
      <w:tr w:rsidR="009A4C46" w:rsidRPr="009A4C46" w14:paraId="37751143" w14:textId="77777777" w:rsidTr="00F94FED">
        <w:trPr>
          <w:trHeight w:val="471"/>
          <w:tblHeader/>
        </w:trPr>
        <w:tc>
          <w:tcPr>
            <w:tcW w:w="147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96A9C4B" w14:textId="77777777" w:rsidR="009A4C46" w:rsidRPr="00F94FED" w:rsidRDefault="009A4C46" w:rsidP="009A4C46">
            <w:pPr>
              <w:spacing w:after="0" w:line="240" w:lineRule="auto"/>
              <w:rPr>
                <w:rFonts w:eastAsia="Times New Roman"/>
                <w:b/>
                <w:bCs/>
                <w:color w:val="FFFFFF" w:themeColor="background1"/>
                <w:sz w:val="18"/>
                <w:szCs w:val="18"/>
                <w:lang w:eastAsia="ru-RU"/>
              </w:rPr>
            </w:pPr>
          </w:p>
        </w:tc>
        <w:tc>
          <w:tcPr>
            <w:tcW w:w="58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9FAA7F6" w14:textId="77777777" w:rsidR="009A4C46" w:rsidRPr="00F94FED" w:rsidRDefault="009A4C46" w:rsidP="009A4C46">
            <w:pPr>
              <w:spacing w:after="0" w:line="240" w:lineRule="auto"/>
              <w:jc w:val="center"/>
              <w:rPr>
                <w:rFonts w:eastAsia="Times New Roman"/>
                <w:b/>
                <w:bCs/>
                <w:color w:val="FFFFFF" w:themeColor="background1"/>
                <w:sz w:val="18"/>
                <w:szCs w:val="18"/>
                <w:lang w:eastAsia="ru-RU"/>
              </w:rPr>
            </w:pPr>
            <w:r w:rsidRPr="00F94FED">
              <w:rPr>
                <w:rFonts w:eastAsia="Times New Roman"/>
                <w:b/>
                <w:bCs/>
                <w:color w:val="FFFFFF" w:themeColor="background1"/>
                <w:sz w:val="18"/>
                <w:szCs w:val="18"/>
                <w:lang w:eastAsia="ru-RU"/>
              </w:rPr>
              <w:t xml:space="preserve">на 31.12.2016 </w:t>
            </w:r>
          </w:p>
        </w:tc>
        <w:tc>
          <w:tcPr>
            <w:tcW w:w="59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00A637C" w14:textId="77777777" w:rsidR="009A4C46" w:rsidRPr="00F94FED" w:rsidRDefault="009A4C46" w:rsidP="009A4C46">
            <w:pPr>
              <w:spacing w:after="0" w:line="240" w:lineRule="auto"/>
              <w:jc w:val="center"/>
              <w:rPr>
                <w:rFonts w:eastAsia="Times New Roman"/>
                <w:b/>
                <w:bCs/>
                <w:color w:val="FFFFFF" w:themeColor="background1"/>
                <w:sz w:val="18"/>
                <w:szCs w:val="18"/>
                <w:lang w:eastAsia="ru-RU"/>
              </w:rPr>
            </w:pPr>
            <w:r w:rsidRPr="00F94FED">
              <w:rPr>
                <w:rFonts w:eastAsia="Times New Roman"/>
                <w:b/>
                <w:bCs/>
                <w:color w:val="FFFFFF" w:themeColor="background1"/>
                <w:sz w:val="18"/>
                <w:szCs w:val="18"/>
                <w:lang w:eastAsia="ru-RU"/>
              </w:rPr>
              <w:t>на 31.12.2017</w:t>
            </w:r>
          </w:p>
        </w:tc>
        <w:tc>
          <w:tcPr>
            <w:tcW w:w="59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9973AB9" w14:textId="77777777" w:rsidR="009A4C46" w:rsidRPr="00F94FED" w:rsidRDefault="009A4C46" w:rsidP="009A4C46">
            <w:pPr>
              <w:spacing w:after="0" w:line="240" w:lineRule="auto"/>
              <w:jc w:val="center"/>
              <w:rPr>
                <w:rFonts w:eastAsia="Times New Roman"/>
                <w:b/>
                <w:bCs/>
                <w:color w:val="FFFFFF" w:themeColor="background1"/>
                <w:sz w:val="18"/>
                <w:szCs w:val="18"/>
                <w:lang w:eastAsia="ru-RU"/>
              </w:rPr>
            </w:pPr>
            <w:r w:rsidRPr="00F94FED">
              <w:rPr>
                <w:rFonts w:eastAsia="Times New Roman"/>
                <w:b/>
                <w:bCs/>
                <w:color w:val="FFFFFF" w:themeColor="background1"/>
                <w:sz w:val="18"/>
                <w:szCs w:val="18"/>
                <w:lang w:eastAsia="ru-RU"/>
              </w:rPr>
              <w:t>на 31.12.2018</w:t>
            </w:r>
          </w:p>
        </w:tc>
        <w:tc>
          <w:tcPr>
            <w:tcW w:w="58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9B4D1A1" w14:textId="77777777" w:rsidR="009A4C46" w:rsidRPr="00F94FED" w:rsidRDefault="009A4C46" w:rsidP="009A4C46">
            <w:pPr>
              <w:spacing w:after="0" w:line="240" w:lineRule="auto"/>
              <w:jc w:val="center"/>
              <w:rPr>
                <w:rFonts w:eastAsia="Times New Roman"/>
                <w:b/>
                <w:bCs/>
                <w:color w:val="FFFFFF" w:themeColor="background1"/>
                <w:sz w:val="18"/>
                <w:szCs w:val="18"/>
                <w:lang w:eastAsia="ru-RU"/>
              </w:rPr>
            </w:pPr>
            <w:r w:rsidRPr="00F94FED">
              <w:rPr>
                <w:rFonts w:eastAsia="Times New Roman"/>
                <w:b/>
                <w:bCs/>
                <w:color w:val="FFFFFF" w:themeColor="background1"/>
                <w:sz w:val="18"/>
                <w:szCs w:val="18"/>
                <w:lang w:eastAsia="ru-RU"/>
              </w:rPr>
              <w:t>на 31.12.2016</w:t>
            </w:r>
          </w:p>
        </w:tc>
        <w:tc>
          <w:tcPr>
            <w:tcW w:w="58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8DAE23B" w14:textId="77777777" w:rsidR="009A4C46" w:rsidRPr="00F94FED" w:rsidRDefault="009A4C46" w:rsidP="009A4C46">
            <w:pPr>
              <w:spacing w:after="0" w:line="240" w:lineRule="auto"/>
              <w:jc w:val="center"/>
              <w:rPr>
                <w:rFonts w:eastAsia="Times New Roman"/>
                <w:b/>
                <w:bCs/>
                <w:color w:val="FFFFFF" w:themeColor="background1"/>
                <w:sz w:val="18"/>
                <w:szCs w:val="18"/>
                <w:lang w:eastAsia="ru-RU"/>
              </w:rPr>
            </w:pPr>
            <w:r w:rsidRPr="00F94FED">
              <w:rPr>
                <w:rFonts w:eastAsia="Times New Roman"/>
                <w:b/>
                <w:bCs/>
                <w:color w:val="FFFFFF" w:themeColor="background1"/>
                <w:sz w:val="18"/>
                <w:szCs w:val="18"/>
                <w:lang w:eastAsia="ru-RU"/>
              </w:rPr>
              <w:t>на 31.12.2017</w:t>
            </w:r>
          </w:p>
        </w:tc>
        <w:tc>
          <w:tcPr>
            <w:tcW w:w="58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025DBFC" w14:textId="77777777" w:rsidR="009A4C46" w:rsidRPr="00F94FED" w:rsidRDefault="009A4C46" w:rsidP="009A4C46">
            <w:pPr>
              <w:spacing w:after="0" w:line="240" w:lineRule="auto"/>
              <w:jc w:val="center"/>
              <w:rPr>
                <w:rFonts w:eastAsia="Times New Roman"/>
                <w:b/>
                <w:bCs/>
                <w:color w:val="FFFFFF" w:themeColor="background1"/>
                <w:sz w:val="18"/>
                <w:szCs w:val="18"/>
                <w:lang w:eastAsia="ru-RU"/>
              </w:rPr>
            </w:pPr>
            <w:r w:rsidRPr="00F94FED">
              <w:rPr>
                <w:rFonts w:eastAsia="Times New Roman"/>
                <w:b/>
                <w:bCs/>
                <w:color w:val="FFFFFF" w:themeColor="background1"/>
                <w:sz w:val="18"/>
                <w:szCs w:val="18"/>
                <w:lang w:eastAsia="ru-RU"/>
              </w:rPr>
              <w:t>на 31.12.2018</w:t>
            </w:r>
          </w:p>
        </w:tc>
      </w:tr>
      <w:tr w:rsidR="009A4C46" w:rsidRPr="009A4C46" w14:paraId="317EF29C" w14:textId="77777777" w:rsidTr="00F94FED">
        <w:trPr>
          <w:trHeight w:val="471"/>
        </w:trPr>
        <w:tc>
          <w:tcPr>
            <w:tcW w:w="147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1241274" w14:textId="77777777" w:rsidR="009A4C46" w:rsidRPr="009A4C46" w:rsidRDefault="009A4C46" w:rsidP="009A4C46">
            <w:pPr>
              <w:spacing w:after="0" w:line="240" w:lineRule="auto"/>
              <w:rPr>
                <w:rFonts w:eastAsia="Times New Roman"/>
                <w:sz w:val="18"/>
                <w:szCs w:val="18"/>
                <w:lang w:eastAsia="ru-RU"/>
              </w:rPr>
            </w:pPr>
          </w:p>
        </w:tc>
        <w:tc>
          <w:tcPr>
            <w:tcW w:w="58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FE4C12E" w14:textId="77777777" w:rsidR="009A4C46" w:rsidRPr="009A4C46" w:rsidRDefault="009A4C46" w:rsidP="009A4C46">
            <w:pPr>
              <w:spacing w:after="0" w:line="240" w:lineRule="auto"/>
              <w:rPr>
                <w:rFonts w:eastAsia="Times New Roman"/>
                <w:sz w:val="18"/>
                <w:szCs w:val="18"/>
                <w:lang w:eastAsia="ru-RU"/>
              </w:rPr>
            </w:pPr>
          </w:p>
        </w:tc>
        <w:tc>
          <w:tcPr>
            <w:tcW w:w="59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5D40823" w14:textId="77777777" w:rsidR="009A4C46" w:rsidRPr="009A4C46" w:rsidRDefault="009A4C46" w:rsidP="009A4C46">
            <w:pPr>
              <w:spacing w:after="0" w:line="240" w:lineRule="auto"/>
              <w:rPr>
                <w:rFonts w:eastAsia="Times New Roman"/>
                <w:sz w:val="18"/>
                <w:szCs w:val="18"/>
                <w:lang w:eastAsia="ru-RU"/>
              </w:rPr>
            </w:pPr>
          </w:p>
        </w:tc>
        <w:tc>
          <w:tcPr>
            <w:tcW w:w="59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248D519" w14:textId="77777777" w:rsidR="009A4C46" w:rsidRPr="009A4C46" w:rsidRDefault="009A4C46" w:rsidP="009A4C46">
            <w:pPr>
              <w:spacing w:after="0" w:line="240" w:lineRule="auto"/>
              <w:rPr>
                <w:rFonts w:eastAsia="Times New Roman"/>
                <w:sz w:val="18"/>
                <w:szCs w:val="18"/>
                <w:lang w:eastAsia="ru-RU"/>
              </w:rPr>
            </w:pPr>
          </w:p>
        </w:tc>
        <w:tc>
          <w:tcPr>
            <w:tcW w:w="58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F23E445" w14:textId="77777777" w:rsidR="009A4C46" w:rsidRPr="009A4C46" w:rsidRDefault="009A4C46" w:rsidP="009A4C46">
            <w:pPr>
              <w:spacing w:after="0" w:line="240" w:lineRule="auto"/>
              <w:rPr>
                <w:rFonts w:eastAsia="Times New Roman"/>
                <w:sz w:val="18"/>
                <w:szCs w:val="18"/>
                <w:lang w:eastAsia="ru-RU"/>
              </w:rPr>
            </w:pPr>
          </w:p>
        </w:tc>
        <w:tc>
          <w:tcPr>
            <w:tcW w:w="58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EF8E9C9" w14:textId="77777777" w:rsidR="009A4C46" w:rsidRPr="009A4C46" w:rsidRDefault="009A4C46" w:rsidP="009A4C46">
            <w:pPr>
              <w:spacing w:after="0" w:line="240" w:lineRule="auto"/>
              <w:rPr>
                <w:rFonts w:eastAsia="Times New Roman"/>
                <w:sz w:val="18"/>
                <w:szCs w:val="18"/>
                <w:lang w:eastAsia="ru-RU"/>
              </w:rPr>
            </w:pPr>
          </w:p>
        </w:tc>
        <w:tc>
          <w:tcPr>
            <w:tcW w:w="58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E2D78C4" w14:textId="77777777" w:rsidR="009A4C46" w:rsidRPr="009A4C46" w:rsidRDefault="009A4C46" w:rsidP="009A4C46">
            <w:pPr>
              <w:spacing w:after="0" w:line="240" w:lineRule="auto"/>
              <w:rPr>
                <w:rFonts w:eastAsia="Times New Roman"/>
                <w:sz w:val="18"/>
                <w:szCs w:val="18"/>
                <w:lang w:eastAsia="ru-RU"/>
              </w:rPr>
            </w:pPr>
          </w:p>
        </w:tc>
      </w:tr>
      <w:tr w:rsidR="009A4C46" w:rsidRPr="005C3ACA" w14:paraId="160FB3E1" w14:textId="77777777" w:rsidTr="005C3ACA">
        <w:trPr>
          <w:trHeight w:val="315"/>
        </w:trPr>
        <w:tc>
          <w:tcPr>
            <w:tcW w:w="1479" w:type="pct"/>
            <w:tcBorders>
              <w:top w:val="single" w:sz="4" w:space="0" w:color="FFFFFF" w:themeColor="background1"/>
              <w:left w:val="single" w:sz="8" w:space="0" w:color="auto"/>
              <w:bottom w:val="single" w:sz="8" w:space="0" w:color="auto"/>
              <w:right w:val="single" w:sz="8" w:space="0" w:color="auto"/>
            </w:tcBorders>
            <w:shd w:val="clear" w:color="auto" w:fill="D6E3BC" w:themeFill="accent3" w:themeFillTint="66"/>
            <w:noWrap/>
            <w:vAlign w:val="center"/>
            <w:hideMark/>
          </w:tcPr>
          <w:p w14:paraId="6E2E2ACD" w14:textId="77777777" w:rsidR="009A4C46" w:rsidRPr="005C3ACA" w:rsidRDefault="009A4C46" w:rsidP="009A4C46">
            <w:pPr>
              <w:spacing w:after="0" w:line="240" w:lineRule="auto"/>
              <w:rPr>
                <w:rFonts w:eastAsia="Times New Roman"/>
                <w:b/>
                <w:bCs/>
                <w:sz w:val="18"/>
                <w:szCs w:val="18"/>
                <w:lang w:eastAsia="ru-RU"/>
              </w:rPr>
            </w:pPr>
            <w:r w:rsidRPr="005C3ACA">
              <w:rPr>
                <w:rFonts w:eastAsia="Times New Roman"/>
                <w:b/>
                <w:bCs/>
                <w:sz w:val="18"/>
                <w:szCs w:val="18"/>
                <w:lang w:eastAsia="ru-RU"/>
              </w:rPr>
              <w:t>ИТОГО:</w:t>
            </w:r>
          </w:p>
        </w:tc>
        <w:tc>
          <w:tcPr>
            <w:tcW w:w="587" w:type="pct"/>
            <w:tcBorders>
              <w:top w:val="single" w:sz="4" w:space="0" w:color="FFFFFF" w:themeColor="background1"/>
              <w:left w:val="nil"/>
              <w:bottom w:val="single" w:sz="8" w:space="0" w:color="auto"/>
              <w:right w:val="single" w:sz="8" w:space="0" w:color="auto"/>
            </w:tcBorders>
            <w:shd w:val="clear" w:color="auto" w:fill="D6E3BC" w:themeFill="accent3" w:themeFillTint="66"/>
            <w:vAlign w:val="center"/>
            <w:hideMark/>
          </w:tcPr>
          <w:p w14:paraId="7C2CFC65" w14:textId="77777777" w:rsidR="009A4C46" w:rsidRPr="005C3ACA" w:rsidRDefault="009A4C46" w:rsidP="009A4C46">
            <w:pPr>
              <w:spacing w:after="0" w:line="240" w:lineRule="auto"/>
              <w:jc w:val="center"/>
              <w:rPr>
                <w:rFonts w:eastAsia="Times New Roman"/>
                <w:b/>
                <w:bCs/>
                <w:sz w:val="18"/>
                <w:szCs w:val="18"/>
                <w:lang w:eastAsia="ru-RU"/>
              </w:rPr>
            </w:pPr>
            <w:r w:rsidRPr="005C3ACA">
              <w:rPr>
                <w:rFonts w:eastAsia="Times New Roman"/>
                <w:b/>
                <w:bCs/>
                <w:sz w:val="18"/>
                <w:szCs w:val="18"/>
                <w:lang w:eastAsia="ru-RU"/>
              </w:rPr>
              <w:t>2 693 234</w:t>
            </w:r>
          </w:p>
        </w:tc>
        <w:tc>
          <w:tcPr>
            <w:tcW w:w="592" w:type="pct"/>
            <w:tcBorders>
              <w:top w:val="single" w:sz="4" w:space="0" w:color="FFFFFF" w:themeColor="background1"/>
              <w:left w:val="nil"/>
              <w:bottom w:val="single" w:sz="8" w:space="0" w:color="auto"/>
              <w:right w:val="single" w:sz="8" w:space="0" w:color="auto"/>
            </w:tcBorders>
            <w:shd w:val="clear" w:color="auto" w:fill="D6E3BC" w:themeFill="accent3" w:themeFillTint="66"/>
            <w:vAlign w:val="center"/>
            <w:hideMark/>
          </w:tcPr>
          <w:p w14:paraId="64DBADB1" w14:textId="77777777" w:rsidR="009A4C46" w:rsidRPr="005C3ACA" w:rsidRDefault="009A4C46" w:rsidP="009A4C46">
            <w:pPr>
              <w:spacing w:after="0" w:line="240" w:lineRule="auto"/>
              <w:jc w:val="center"/>
              <w:rPr>
                <w:rFonts w:eastAsia="Times New Roman"/>
                <w:b/>
                <w:bCs/>
                <w:sz w:val="18"/>
                <w:szCs w:val="18"/>
                <w:lang w:eastAsia="ru-RU"/>
              </w:rPr>
            </w:pPr>
            <w:r w:rsidRPr="005C3ACA">
              <w:rPr>
                <w:rFonts w:eastAsia="Times New Roman"/>
                <w:b/>
                <w:bCs/>
                <w:sz w:val="18"/>
                <w:szCs w:val="18"/>
                <w:lang w:eastAsia="ru-RU"/>
              </w:rPr>
              <w:t>2 763 631</w:t>
            </w:r>
          </w:p>
        </w:tc>
        <w:tc>
          <w:tcPr>
            <w:tcW w:w="592" w:type="pct"/>
            <w:tcBorders>
              <w:top w:val="single" w:sz="4" w:space="0" w:color="FFFFFF" w:themeColor="background1"/>
              <w:left w:val="nil"/>
              <w:bottom w:val="single" w:sz="8" w:space="0" w:color="auto"/>
              <w:right w:val="single" w:sz="8" w:space="0" w:color="auto"/>
            </w:tcBorders>
            <w:shd w:val="clear" w:color="auto" w:fill="D6E3BC" w:themeFill="accent3" w:themeFillTint="66"/>
            <w:vAlign w:val="center"/>
            <w:hideMark/>
          </w:tcPr>
          <w:p w14:paraId="5AA35B02" w14:textId="77777777" w:rsidR="009A4C46" w:rsidRPr="005C3ACA" w:rsidRDefault="009A4C46" w:rsidP="009A4C46">
            <w:pPr>
              <w:spacing w:after="0" w:line="240" w:lineRule="auto"/>
              <w:jc w:val="center"/>
              <w:rPr>
                <w:rFonts w:eastAsia="Times New Roman"/>
                <w:b/>
                <w:bCs/>
                <w:sz w:val="18"/>
                <w:szCs w:val="18"/>
                <w:lang w:eastAsia="ru-RU"/>
              </w:rPr>
            </w:pPr>
            <w:r w:rsidRPr="005C3ACA">
              <w:rPr>
                <w:rFonts w:eastAsia="Times New Roman"/>
                <w:b/>
                <w:bCs/>
                <w:sz w:val="18"/>
                <w:szCs w:val="18"/>
                <w:lang w:eastAsia="ru-RU"/>
              </w:rPr>
              <w:t>1 919 623</w:t>
            </w:r>
          </w:p>
        </w:tc>
        <w:tc>
          <w:tcPr>
            <w:tcW w:w="583" w:type="pct"/>
            <w:tcBorders>
              <w:top w:val="single" w:sz="4" w:space="0" w:color="FFFFFF" w:themeColor="background1"/>
              <w:left w:val="nil"/>
              <w:bottom w:val="single" w:sz="8" w:space="0" w:color="auto"/>
              <w:right w:val="single" w:sz="8" w:space="0" w:color="auto"/>
            </w:tcBorders>
            <w:shd w:val="clear" w:color="auto" w:fill="D6E3BC" w:themeFill="accent3" w:themeFillTint="66"/>
            <w:noWrap/>
            <w:vAlign w:val="center"/>
            <w:hideMark/>
          </w:tcPr>
          <w:p w14:paraId="47E7314B" w14:textId="77777777" w:rsidR="009A4C46" w:rsidRPr="005C3ACA" w:rsidRDefault="009A4C46" w:rsidP="009A4C46">
            <w:pPr>
              <w:spacing w:after="0" w:line="240" w:lineRule="auto"/>
              <w:jc w:val="center"/>
              <w:rPr>
                <w:rFonts w:eastAsia="Times New Roman"/>
                <w:b/>
                <w:bCs/>
                <w:sz w:val="18"/>
                <w:szCs w:val="18"/>
                <w:lang w:eastAsia="ru-RU"/>
              </w:rPr>
            </w:pPr>
            <w:r w:rsidRPr="005C3ACA">
              <w:rPr>
                <w:rFonts w:eastAsia="Times New Roman"/>
                <w:b/>
                <w:bCs/>
                <w:color w:val="000000"/>
                <w:sz w:val="18"/>
                <w:szCs w:val="18"/>
                <w:lang w:eastAsia="ru-RU"/>
              </w:rPr>
              <w:t>100,00%</w:t>
            </w:r>
          </w:p>
        </w:tc>
        <w:tc>
          <w:tcPr>
            <w:tcW w:w="583" w:type="pct"/>
            <w:tcBorders>
              <w:top w:val="single" w:sz="4" w:space="0" w:color="FFFFFF" w:themeColor="background1"/>
              <w:left w:val="nil"/>
              <w:bottom w:val="single" w:sz="8" w:space="0" w:color="auto"/>
              <w:right w:val="single" w:sz="8" w:space="0" w:color="auto"/>
            </w:tcBorders>
            <w:shd w:val="clear" w:color="auto" w:fill="D6E3BC" w:themeFill="accent3" w:themeFillTint="66"/>
            <w:noWrap/>
            <w:vAlign w:val="center"/>
            <w:hideMark/>
          </w:tcPr>
          <w:p w14:paraId="0B5AF4B9" w14:textId="77777777" w:rsidR="009A4C46" w:rsidRPr="005C3ACA" w:rsidRDefault="009A4C46" w:rsidP="009A4C46">
            <w:pPr>
              <w:spacing w:after="0" w:line="240" w:lineRule="auto"/>
              <w:jc w:val="center"/>
              <w:rPr>
                <w:rFonts w:eastAsia="Times New Roman"/>
                <w:b/>
                <w:bCs/>
                <w:sz w:val="18"/>
                <w:szCs w:val="18"/>
                <w:lang w:eastAsia="ru-RU"/>
              </w:rPr>
            </w:pPr>
            <w:r w:rsidRPr="005C3ACA">
              <w:rPr>
                <w:rFonts w:eastAsia="Times New Roman"/>
                <w:b/>
                <w:bCs/>
                <w:color w:val="000000"/>
                <w:sz w:val="18"/>
                <w:szCs w:val="18"/>
                <w:lang w:eastAsia="ru-RU"/>
              </w:rPr>
              <w:t>100,00%</w:t>
            </w:r>
          </w:p>
        </w:tc>
        <w:tc>
          <w:tcPr>
            <w:tcW w:w="585" w:type="pct"/>
            <w:tcBorders>
              <w:top w:val="single" w:sz="4" w:space="0" w:color="FFFFFF" w:themeColor="background1"/>
              <w:left w:val="nil"/>
              <w:bottom w:val="single" w:sz="8" w:space="0" w:color="auto"/>
              <w:right w:val="single" w:sz="8" w:space="0" w:color="auto"/>
            </w:tcBorders>
            <w:shd w:val="clear" w:color="auto" w:fill="D6E3BC" w:themeFill="accent3" w:themeFillTint="66"/>
            <w:noWrap/>
            <w:vAlign w:val="center"/>
            <w:hideMark/>
          </w:tcPr>
          <w:p w14:paraId="3B6B14F4" w14:textId="77777777" w:rsidR="009A4C46" w:rsidRPr="005C3ACA" w:rsidRDefault="009A4C46" w:rsidP="009A4C46">
            <w:pPr>
              <w:spacing w:after="0" w:line="240" w:lineRule="auto"/>
              <w:jc w:val="center"/>
              <w:rPr>
                <w:rFonts w:eastAsia="Times New Roman"/>
                <w:b/>
                <w:bCs/>
                <w:sz w:val="18"/>
                <w:szCs w:val="18"/>
                <w:lang w:eastAsia="ru-RU"/>
              </w:rPr>
            </w:pPr>
            <w:r w:rsidRPr="005C3ACA">
              <w:rPr>
                <w:rFonts w:eastAsia="Times New Roman"/>
                <w:b/>
                <w:bCs/>
                <w:color w:val="000000"/>
                <w:sz w:val="18"/>
                <w:szCs w:val="18"/>
                <w:lang w:eastAsia="ru-RU"/>
              </w:rPr>
              <w:t>100,00%</w:t>
            </w:r>
          </w:p>
        </w:tc>
      </w:tr>
      <w:tr w:rsidR="009A4C46" w:rsidRPr="009A4C46" w14:paraId="396EEBDF" w14:textId="77777777" w:rsidTr="00F94FED">
        <w:trPr>
          <w:trHeight w:val="315"/>
        </w:trPr>
        <w:tc>
          <w:tcPr>
            <w:tcW w:w="1479" w:type="pct"/>
            <w:tcBorders>
              <w:top w:val="nil"/>
              <w:left w:val="single" w:sz="8" w:space="0" w:color="auto"/>
              <w:bottom w:val="single" w:sz="8" w:space="0" w:color="auto"/>
              <w:right w:val="single" w:sz="8" w:space="0" w:color="auto"/>
            </w:tcBorders>
            <w:shd w:val="clear" w:color="auto" w:fill="auto"/>
            <w:vAlign w:val="center"/>
            <w:hideMark/>
          </w:tcPr>
          <w:p w14:paraId="73746D0B" w14:textId="77777777" w:rsidR="009A4C46" w:rsidRPr="009A4C46" w:rsidRDefault="009A4C46" w:rsidP="009A4C46">
            <w:pPr>
              <w:spacing w:after="0" w:line="240" w:lineRule="auto"/>
              <w:rPr>
                <w:rFonts w:eastAsia="Times New Roman"/>
                <w:sz w:val="18"/>
                <w:szCs w:val="18"/>
                <w:lang w:eastAsia="ru-RU"/>
              </w:rPr>
            </w:pPr>
            <w:r w:rsidRPr="009A4C46">
              <w:rPr>
                <w:rFonts w:eastAsia="Times New Roman"/>
                <w:sz w:val="18"/>
                <w:szCs w:val="18"/>
                <w:lang w:eastAsia="ru-RU"/>
              </w:rPr>
              <w:t>КАПИТАЛ И РЕЗЕРВЫ</w:t>
            </w:r>
          </w:p>
        </w:tc>
        <w:tc>
          <w:tcPr>
            <w:tcW w:w="587" w:type="pct"/>
            <w:tcBorders>
              <w:top w:val="nil"/>
              <w:left w:val="nil"/>
              <w:bottom w:val="single" w:sz="8" w:space="0" w:color="auto"/>
              <w:right w:val="single" w:sz="8" w:space="0" w:color="auto"/>
            </w:tcBorders>
            <w:shd w:val="clear" w:color="auto" w:fill="auto"/>
            <w:noWrap/>
            <w:vAlign w:val="center"/>
            <w:hideMark/>
          </w:tcPr>
          <w:p w14:paraId="54882293" w14:textId="77777777" w:rsidR="009A4C46" w:rsidRPr="009A4C46" w:rsidRDefault="009A4C46" w:rsidP="009A4C46">
            <w:pPr>
              <w:spacing w:after="0" w:line="240" w:lineRule="auto"/>
              <w:jc w:val="center"/>
              <w:rPr>
                <w:rFonts w:eastAsia="Times New Roman"/>
                <w:sz w:val="18"/>
                <w:szCs w:val="18"/>
                <w:lang w:eastAsia="ru-RU"/>
              </w:rPr>
            </w:pPr>
            <w:r w:rsidRPr="009A4C46">
              <w:rPr>
                <w:rFonts w:eastAsia="Times New Roman"/>
                <w:sz w:val="18"/>
                <w:szCs w:val="18"/>
                <w:lang w:eastAsia="ru-RU"/>
              </w:rPr>
              <w:t>76 061</w:t>
            </w:r>
          </w:p>
        </w:tc>
        <w:tc>
          <w:tcPr>
            <w:tcW w:w="592" w:type="pct"/>
            <w:tcBorders>
              <w:top w:val="nil"/>
              <w:left w:val="nil"/>
              <w:bottom w:val="single" w:sz="8" w:space="0" w:color="auto"/>
              <w:right w:val="single" w:sz="8" w:space="0" w:color="auto"/>
            </w:tcBorders>
            <w:shd w:val="clear" w:color="auto" w:fill="auto"/>
            <w:noWrap/>
            <w:vAlign w:val="center"/>
            <w:hideMark/>
          </w:tcPr>
          <w:p w14:paraId="05A34AAE" w14:textId="77777777" w:rsidR="009A4C46" w:rsidRPr="009A4C46" w:rsidRDefault="009A4C46" w:rsidP="009A4C46">
            <w:pPr>
              <w:spacing w:after="0" w:line="240" w:lineRule="auto"/>
              <w:jc w:val="center"/>
              <w:rPr>
                <w:rFonts w:eastAsia="Times New Roman"/>
                <w:sz w:val="18"/>
                <w:szCs w:val="18"/>
                <w:lang w:eastAsia="ru-RU"/>
              </w:rPr>
            </w:pPr>
            <w:r w:rsidRPr="009A4C46">
              <w:rPr>
                <w:rFonts w:eastAsia="Times New Roman"/>
                <w:sz w:val="18"/>
                <w:szCs w:val="18"/>
                <w:lang w:eastAsia="ru-RU"/>
              </w:rPr>
              <w:t>493 664</w:t>
            </w:r>
          </w:p>
        </w:tc>
        <w:tc>
          <w:tcPr>
            <w:tcW w:w="592" w:type="pct"/>
            <w:tcBorders>
              <w:top w:val="nil"/>
              <w:left w:val="nil"/>
              <w:bottom w:val="single" w:sz="8" w:space="0" w:color="auto"/>
              <w:right w:val="single" w:sz="8" w:space="0" w:color="auto"/>
            </w:tcBorders>
            <w:shd w:val="clear" w:color="auto" w:fill="auto"/>
            <w:noWrap/>
            <w:vAlign w:val="center"/>
            <w:hideMark/>
          </w:tcPr>
          <w:p w14:paraId="6474B08D" w14:textId="77777777" w:rsidR="009A4C46" w:rsidRPr="009A4C46" w:rsidRDefault="009A4C46" w:rsidP="009A4C46">
            <w:pPr>
              <w:spacing w:after="0" w:line="240" w:lineRule="auto"/>
              <w:jc w:val="center"/>
              <w:rPr>
                <w:rFonts w:eastAsia="Times New Roman"/>
                <w:sz w:val="18"/>
                <w:szCs w:val="18"/>
                <w:lang w:eastAsia="ru-RU"/>
              </w:rPr>
            </w:pPr>
            <w:r w:rsidRPr="009A4C46">
              <w:rPr>
                <w:rFonts w:eastAsia="Times New Roman"/>
                <w:sz w:val="18"/>
                <w:szCs w:val="18"/>
                <w:lang w:eastAsia="ru-RU"/>
              </w:rPr>
              <w:t>-2 592</w:t>
            </w:r>
          </w:p>
        </w:tc>
        <w:tc>
          <w:tcPr>
            <w:tcW w:w="583" w:type="pct"/>
            <w:tcBorders>
              <w:top w:val="nil"/>
              <w:left w:val="nil"/>
              <w:bottom w:val="single" w:sz="8" w:space="0" w:color="auto"/>
              <w:right w:val="single" w:sz="8" w:space="0" w:color="auto"/>
            </w:tcBorders>
            <w:shd w:val="clear" w:color="auto" w:fill="auto"/>
            <w:noWrap/>
            <w:vAlign w:val="center"/>
            <w:hideMark/>
          </w:tcPr>
          <w:p w14:paraId="6BA60C07" w14:textId="77777777" w:rsidR="009A4C46" w:rsidRPr="009A4C46" w:rsidRDefault="009A4C46" w:rsidP="009A4C46">
            <w:pPr>
              <w:spacing w:after="0" w:line="240" w:lineRule="auto"/>
              <w:jc w:val="center"/>
              <w:rPr>
                <w:rFonts w:eastAsia="Times New Roman"/>
                <w:sz w:val="18"/>
                <w:szCs w:val="18"/>
                <w:lang w:eastAsia="ru-RU"/>
              </w:rPr>
            </w:pPr>
            <w:r w:rsidRPr="009A4C46">
              <w:rPr>
                <w:rFonts w:eastAsia="Times New Roman"/>
                <w:color w:val="000000"/>
                <w:sz w:val="18"/>
                <w:szCs w:val="18"/>
                <w:lang w:eastAsia="ru-RU"/>
              </w:rPr>
              <w:t>2,82%</w:t>
            </w:r>
          </w:p>
        </w:tc>
        <w:tc>
          <w:tcPr>
            <w:tcW w:w="583" w:type="pct"/>
            <w:tcBorders>
              <w:top w:val="nil"/>
              <w:left w:val="nil"/>
              <w:bottom w:val="single" w:sz="8" w:space="0" w:color="auto"/>
              <w:right w:val="single" w:sz="8" w:space="0" w:color="auto"/>
            </w:tcBorders>
            <w:shd w:val="clear" w:color="auto" w:fill="auto"/>
            <w:noWrap/>
            <w:vAlign w:val="center"/>
            <w:hideMark/>
          </w:tcPr>
          <w:p w14:paraId="5C285D94" w14:textId="77777777" w:rsidR="009A4C46" w:rsidRPr="009A4C46" w:rsidRDefault="009A4C46" w:rsidP="009A4C46">
            <w:pPr>
              <w:spacing w:after="0" w:line="240" w:lineRule="auto"/>
              <w:jc w:val="center"/>
              <w:rPr>
                <w:rFonts w:eastAsia="Times New Roman"/>
                <w:sz w:val="18"/>
                <w:szCs w:val="18"/>
                <w:lang w:eastAsia="ru-RU"/>
              </w:rPr>
            </w:pPr>
            <w:r w:rsidRPr="009A4C46">
              <w:rPr>
                <w:rFonts w:eastAsia="Times New Roman"/>
                <w:color w:val="000000"/>
                <w:sz w:val="18"/>
                <w:szCs w:val="18"/>
                <w:lang w:eastAsia="ru-RU"/>
              </w:rPr>
              <w:t>17,86%</w:t>
            </w:r>
          </w:p>
        </w:tc>
        <w:tc>
          <w:tcPr>
            <w:tcW w:w="585" w:type="pct"/>
            <w:tcBorders>
              <w:top w:val="nil"/>
              <w:left w:val="nil"/>
              <w:bottom w:val="single" w:sz="8" w:space="0" w:color="auto"/>
              <w:right w:val="single" w:sz="8" w:space="0" w:color="auto"/>
            </w:tcBorders>
            <w:shd w:val="clear" w:color="auto" w:fill="auto"/>
            <w:noWrap/>
            <w:vAlign w:val="center"/>
            <w:hideMark/>
          </w:tcPr>
          <w:p w14:paraId="139AEC7B" w14:textId="77777777" w:rsidR="009A4C46" w:rsidRPr="009A4C46" w:rsidRDefault="009A4C46" w:rsidP="009A4C46">
            <w:pPr>
              <w:spacing w:after="0" w:line="240" w:lineRule="auto"/>
              <w:jc w:val="center"/>
              <w:rPr>
                <w:rFonts w:eastAsia="Times New Roman"/>
                <w:sz w:val="18"/>
                <w:szCs w:val="18"/>
                <w:lang w:eastAsia="ru-RU"/>
              </w:rPr>
            </w:pPr>
            <w:r w:rsidRPr="009A4C46">
              <w:rPr>
                <w:rFonts w:eastAsia="Times New Roman"/>
                <w:color w:val="000000"/>
                <w:sz w:val="18"/>
                <w:szCs w:val="18"/>
                <w:lang w:eastAsia="ru-RU"/>
              </w:rPr>
              <w:t>-0,14%</w:t>
            </w:r>
          </w:p>
        </w:tc>
      </w:tr>
      <w:tr w:rsidR="009A4C46" w:rsidRPr="009A4C46" w14:paraId="3C78F9B1" w14:textId="77777777" w:rsidTr="00F94FED">
        <w:trPr>
          <w:trHeight w:val="315"/>
        </w:trPr>
        <w:tc>
          <w:tcPr>
            <w:tcW w:w="1479" w:type="pct"/>
            <w:tcBorders>
              <w:top w:val="nil"/>
              <w:left w:val="single" w:sz="8" w:space="0" w:color="auto"/>
              <w:bottom w:val="single" w:sz="8" w:space="0" w:color="auto"/>
              <w:right w:val="single" w:sz="8" w:space="0" w:color="auto"/>
            </w:tcBorders>
            <w:shd w:val="clear" w:color="auto" w:fill="auto"/>
            <w:vAlign w:val="center"/>
            <w:hideMark/>
          </w:tcPr>
          <w:p w14:paraId="6F5BA4E6" w14:textId="77777777" w:rsidR="009A4C46" w:rsidRPr="009A4C46" w:rsidRDefault="009A4C46" w:rsidP="009A4C46">
            <w:pPr>
              <w:spacing w:after="0" w:line="240" w:lineRule="auto"/>
              <w:jc w:val="right"/>
              <w:rPr>
                <w:rFonts w:eastAsia="Times New Roman"/>
                <w:sz w:val="18"/>
                <w:szCs w:val="18"/>
                <w:lang w:eastAsia="ru-RU"/>
              </w:rPr>
            </w:pPr>
            <w:r w:rsidRPr="009A4C46">
              <w:rPr>
                <w:rFonts w:eastAsia="Times New Roman"/>
                <w:sz w:val="18"/>
                <w:szCs w:val="18"/>
                <w:lang w:eastAsia="ru-RU"/>
              </w:rPr>
              <w:t>Уставной капитал</w:t>
            </w:r>
          </w:p>
        </w:tc>
        <w:tc>
          <w:tcPr>
            <w:tcW w:w="587" w:type="pct"/>
            <w:tcBorders>
              <w:top w:val="nil"/>
              <w:left w:val="nil"/>
              <w:bottom w:val="single" w:sz="8" w:space="0" w:color="auto"/>
              <w:right w:val="single" w:sz="8" w:space="0" w:color="auto"/>
            </w:tcBorders>
            <w:shd w:val="clear" w:color="auto" w:fill="auto"/>
            <w:noWrap/>
            <w:vAlign w:val="center"/>
            <w:hideMark/>
          </w:tcPr>
          <w:p w14:paraId="29D1F20F" w14:textId="77777777" w:rsidR="009A4C46" w:rsidRPr="009A4C46" w:rsidRDefault="009A4C46" w:rsidP="009A4C46">
            <w:pPr>
              <w:spacing w:after="0" w:line="240" w:lineRule="auto"/>
              <w:jc w:val="center"/>
              <w:rPr>
                <w:rFonts w:eastAsia="Times New Roman"/>
                <w:sz w:val="18"/>
                <w:szCs w:val="18"/>
                <w:lang w:eastAsia="ru-RU"/>
              </w:rPr>
            </w:pPr>
            <w:r w:rsidRPr="009A4C46">
              <w:rPr>
                <w:rFonts w:eastAsia="Times New Roman"/>
                <w:sz w:val="18"/>
                <w:szCs w:val="18"/>
                <w:lang w:eastAsia="ru-RU"/>
              </w:rPr>
              <w:t>107 579</w:t>
            </w:r>
          </w:p>
        </w:tc>
        <w:tc>
          <w:tcPr>
            <w:tcW w:w="592" w:type="pct"/>
            <w:tcBorders>
              <w:top w:val="nil"/>
              <w:left w:val="nil"/>
              <w:bottom w:val="single" w:sz="8" w:space="0" w:color="auto"/>
              <w:right w:val="single" w:sz="8" w:space="0" w:color="auto"/>
            </w:tcBorders>
            <w:shd w:val="clear" w:color="auto" w:fill="auto"/>
            <w:noWrap/>
            <w:vAlign w:val="center"/>
            <w:hideMark/>
          </w:tcPr>
          <w:p w14:paraId="763FEF81" w14:textId="77777777" w:rsidR="009A4C46" w:rsidRPr="009A4C46" w:rsidRDefault="009A4C46" w:rsidP="009A4C46">
            <w:pPr>
              <w:spacing w:after="0" w:line="240" w:lineRule="auto"/>
              <w:jc w:val="center"/>
              <w:rPr>
                <w:rFonts w:eastAsia="Times New Roman"/>
                <w:sz w:val="18"/>
                <w:szCs w:val="18"/>
                <w:lang w:eastAsia="ru-RU"/>
              </w:rPr>
            </w:pPr>
            <w:r w:rsidRPr="009A4C46">
              <w:rPr>
                <w:rFonts w:eastAsia="Times New Roman"/>
                <w:sz w:val="18"/>
                <w:szCs w:val="18"/>
                <w:lang w:eastAsia="ru-RU"/>
              </w:rPr>
              <w:t>107 579</w:t>
            </w:r>
          </w:p>
        </w:tc>
        <w:tc>
          <w:tcPr>
            <w:tcW w:w="592" w:type="pct"/>
            <w:tcBorders>
              <w:top w:val="nil"/>
              <w:left w:val="nil"/>
              <w:bottom w:val="single" w:sz="8" w:space="0" w:color="auto"/>
              <w:right w:val="single" w:sz="8" w:space="0" w:color="auto"/>
            </w:tcBorders>
            <w:shd w:val="clear" w:color="auto" w:fill="auto"/>
            <w:noWrap/>
            <w:vAlign w:val="center"/>
            <w:hideMark/>
          </w:tcPr>
          <w:p w14:paraId="0DD421B3" w14:textId="77777777" w:rsidR="009A4C46" w:rsidRPr="009A4C46" w:rsidRDefault="009A4C46" w:rsidP="009A4C46">
            <w:pPr>
              <w:spacing w:after="0" w:line="240" w:lineRule="auto"/>
              <w:jc w:val="center"/>
              <w:rPr>
                <w:rFonts w:eastAsia="Times New Roman"/>
                <w:sz w:val="18"/>
                <w:szCs w:val="18"/>
                <w:lang w:eastAsia="ru-RU"/>
              </w:rPr>
            </w:pPr>
            <w:r w:rsidRPr="009A4C46">
              <w:rPr>
                <w:rFonts w:eastAsia="Times New Roman"/>
                <w:sz w:val="18"/>
                <w:szCs w:val="18"/>
                <w:lang w:eastAsia="ru-RU"/>
              </w:rPr>
              <w:t>107 579</w:t>
            </w:r>
          </w:p>
        </w:tc>
        <w:tc>
          <w:tcPr>
            <w:tcW w:w="583" w:type="pct"/>
            <w:tcBorders>
              <w:top w:val="nil"/>
              <w:left w:val="nil"/>
              <w:bottom w:val="single" w:sz="8" w:space="0" w:color="auto"/>
              <w:right w:val="single" w:sz="8" w:space="0" w:color="auto"/>
            </w:tcBorders>
            <w:shd w:val="clear" w:color="auto" w:fill="auto"/>
            <w:noWrap/>
            <w:vAlign w:val="center"/>
            <w:hideMark/>
          </w:tcPr>
          <w:p w14:paraId="1E1D90FE" w14:textId="77777777" w:rsidR="009A4C46" w:rsidRPr="009A4C46" w:rsidRDefault="009A4C46" w:rsidP="009A4C46">
            <w:pPr>
              <w:spacing w:after="0" w:line="240" w:lineRule="auto"/>
              <w:jc w:val="center"/>
              <w:rPr>
                <w:rFonts w:eastAsia="Times New Roman"/>
                <w:sz w:val="18"/>
                <w:szCs w:val="18"/>
                <w:lang w:eastAsia="ru-RU"/>
              </w:rPr>
            </w:pPr>
            <w:r w:rsidRPr="009A4C46">
              <w:rPr>
                <w:rFonts w:eastAsia="Times New Roman"/>
                <w:color w:val="000000"/>
                <w:sz w:val="18"/>
                <w:szCs w:val="18"/>
                <w:lang w:eastAsia="ru-RU"/>
              </w:rPr>
              <w:t>3,99%</w:t>
            </w:r>
          </w:p>
        </w:tc>
        <w:tc>
          <w:tcPr>
            <w:tcW w:w="583" w:type="pct"/>
            <w:tcBorders>
              <w:top w:val="nil"/>
              <w:left w:val="nil"/>
              <w:bottom w:val="single" w:sz="8" w:space="0" w:color="auto"/>
              <w:right w:val="single" w:sz="8" w:space="0" w:color="auto"/>
            </w:tcBorders>
            <w:shd w:val="clear" w:color="auto" w:fill="auto"/>
            <w:noWrap/>
            <w:vAlign w:val="center"/>
            <w:hideMark/>
          </w:tcPr>
          <w:p w14:paraId="6F502641" w14:textId="77777777" w:rsidR="009A4C46" w:rsidRPr="009A4C46" w:rsidRDefault="009A4C46" w:rsidP="009A4C46">
            <w:pPr>
              <w:spacing w:after="0" w:line="240" w:lineRule="auto"/>
              <w:jc w:val="center"/>
              <w:rPr>
                <w:rFonts w:eastAsia="Times New Roman"/>
                <w:sz w:val="18"/>
                <w:szCs w:val="18"/>
                <w:lang w:eastAsia="ru-RU"/>
              </w:rPr>
            </w:pPr>
            <w:r w:rsidRPr="009A4C46">
              <w:rPr>
                <w:rFonts w:eastAsia="Times New Roman"/>
                <w:color w:val="000000"/>
                <w:sz w:val="18"/>
                <w:szCs w:val="18"/>
                <w:lang w:eastAsia="ru-RU"/>
              </w:rPr>
              <w:t>3,89%</w:t>
            </w:r>
          </w:p>
        </w:tc>
        <w:tc>
          <w:tcPr>
            <w:tcW w:w="585" w:type="pct"/>
            <w:tcBorders>
              <w:top w:val="nil"/>
              <w:left w:val="nil"/>
              <w:bottom w:val="single" w:sz="8" w:space="0" w:color="auto"/>
              <w:right w:val="single" w:sz="8" w:space="0" w:color="auto"/>
            </w:tcBorders>
            <w:shd w:val="clear" w:color="auto" w:fill="auto"/>
            <w:noWrap/>
            <w:vAlign w:val="center"/>
            <w:hideMark/>
          </w:tcPr>
          <w:p w14:paraId="70D87E7A" w14:textId="77777777" w:rsidR="009A4C46" w:rsidRPr="009A4C46" w:rsidRDefault="009A4C46" w:rsidP="009A4C46">
            <w:pPr>
              <w:spacing w:after="0" w:line="240" w:lineRule="auto"/>
              <w:jc w:val="center"/>
              <w:rPr>
                <w:rFonts w:eastAsia="Times New Roman"/>
                <w:sz w:val="18"/>
                <w:szCs w:val="18"/>
                <w:lang w:eastAsia="ru-RU"/>
              </w:rPr>
            </w:pPr>
            <w:r w:rsidRPr="009A4C46">
              <w:rPr>
                <w:rFonts w:eastAsia="Times New Roman"/>
                <w:color w:val="000000"/>
                <w:sz w:val="18"/>
                <w:szCs w:val="18"/>
                <w:lang w:eastAsia="ru-RU"/>
              </w:rPr>
              <w:t>5,60%</w:t>
            </w:r>
          </w:p>
        </w:tc>
      </w:tr>
      <w:tr w:rsidR="009A4C46" w:rsidRPr="009A4C46" w14:paraId="373217D3" w14:textId="77777777" w:rsidTr="00F94FED">
        <w:trPr>
          <w:trHeight w:val="315"/>
        </w:trPr>
        <w:tc>
          <w:tcPr>
            <w:tcW w:w="1479" w:type="pct"/>
            <w:tcBorders>
              <w:top w:val="nil"/>
              <w:left w:val="single" w:sz="8" w:space="0" w:color="auto"/>
              <w:bottom w:val="single" w:sz="8" w:space="0" w:color="auto"/>
              <w:right w:val="single" w:sz="8" w:space="0" w:color="auto"/>
            </w:tcBorders>
            <w:shd w:val="clear" w:color="auto" w:fill="auto"/>
            <w:vAlign w:val="center"/>
            <w:hideMark/>
          </w:tcPr>
          <w:p w14:paraId="080FE062" w14:textId="77777777" w:rsidR="009A4C46" w:rsidRPr="009A4C46" w:rsidRDefault="009A4C46" w:rsidP="009A4C46">
            <w:pPr>
              <w:spacing w:after="0" w:line="240" w:lineRule="auto"/>
              <w:jc w:val="right"/>
              <w:rPr>
                <w:rFonts w:eastAsia="Times New Roman"/>
                <w:sz w:val="18"/>
                <w:szCs w:val="18"/>
                <w:lang w:eastAsia="ru-RU"/>
              </w:rPr>
            </w:pPr>
            <w:r w:rsidRPr="009A4C46">
              <w:rPr>
                <w:rFonts w:eastAsia="Times New Roman"/>
                <w:sz w:val="18"/>
                <w:szCs w:val="18"/>
                <w:lang w:eastAsia="ru-RU"/>
              </w:rPr>
              <w:t>Капитал (до регистрации имущества)</w:t>
            </w:r>
          </w:p>
        </w:tc>
        <w:tc>
          <w:tcPr>
            <w:tcW w:w="587" w:type="pct"/>
            <w:tcBorders>
              <w:top w:val="nil"/>
              <w:left w:val="nil"/>
              <w:bottom w:val="single" w:sz="8" w:space="0" w:color="auto"/>
              <w:right w:val="single" w:sz="8" w:space="0" w:color="auto"/>
            </w:tcBorders>
            <w:shd w:val="clear" w:color="auto" w:fill="auto"/>
            <w:noWrap/>
            <w:vAlign w:val="center"/>
            <w:hideMark/>
          </w:tcPr>
          <w:p w14:paraId="641FC459" w14:textId="77777777" w:rsidR="009A4C46" w:rsidRPr="009A4C46" w:rsidRDefault="009A4C46" w:rsidP="009A4C46">
            <w:pPr>
              <w:spacing w:after="0" w:line="240" w:lineRule="auto"/>
              <w:jc w:val="center"/>
              <w:rPr>
                <w:rFonts w:eastAsia="Times New Roman"/>
                <w:sz w:val="18"/>
                <w:szCs w:val="18"/>
                <w:lang w:eastAsia="ru-RU"/>
              </w:rPr>
            </w:pPr>
            <w:r w:rsidRPr="009A4C46">
              <w:rPr>
                <w:rFonts w:eastAsia="Times New Roman"/>
                <w:sz w:val="18"/>
                <w:szCs w:val="18"/>
                <w:lang w:eastAsia="ru-RU"/>
              </w:rPr>
              <w:t> </w:t>
            </w:r>
          </w:p>
        </w:tc>
        <w:tc>
          <w:tcPr>
            <w:tcW w:w="592" w:type="pct"/>
            <w:tcBorders>
              <w:top w:val="nil"/>
              <w:left w:val="nil"/>
              <w:bottom w:val="single" w:sz="8" w:space="0" w:color="auto"/>
              <w:right w:val="single" w:sz="8" w:space="0" w:color="auto"/>
            </w:tcBorders>
            <w:shd w:val="clear" w:color="auto" w:fill="auto"/>
            <w:noWrap/>
            <w:vAlign w:val="center"/>
            <w:hideMark/>
          </w:tcPr>
          <w:p w14:paraId="31BC85BD" w14:textId="77777777" w:rsidR="009A4C46" w:rsidRPr="009A4C46" w:rsidRDefault="009A4C46" w:rsidP="009A4C46">
            <w:pPr>
              <w:spacing w:after="0" w:line="240" w:lineRule="auto"/>
              <w:jc w:val="center"/>
              <w:rPr>
                <w:rFonts w:eastAsia="Times New Roman"/>
                <w:sz w:val="18"/>
                <w:szCs w:val="18"/>
                <w:lang w:eastAsia="ru-RU"/>
              </w:rPr>
            </w:pPr>
            <w:r w:rsidRPr="009A4C46">
              <w:rPr>
                <w:rFonts w:eastAsia="Times New Roman"/>
                <w:sz w:val="18"/>
                <w:szCs w:val="18"/>
                <w:lang w:eastAsia="ru-RU"/>
              </w:rPr>
              <w:t> </w:t>
            </w:r>
          </w:p>
        </w:tc>
        <w:tc>
          <w:tcPr>
            <w:tcW w:w="592" w:type="pct"/>
            <w:tcBorders>
              <w:top w:val="nil"/>
              <w:left w:val="nil"/>
              <w:bottom w:val="single" w:sz="8" w:space="0" w:color="auto"/>
              <w:right w:val="single" w:sz="8" w:space="0" w:color="auto"/>
            </w:tcBorders>
            <w:shd w:val="clear" w:color="auto" w:fill="auto"/>
            <w:noWrap/>
            <w:vAlign w:val="center"/>
            <w:hideMark/>
          </w:tcPr>
          <w:p w14:paraId="286383B8" w14:textId="77777777" w:rsidR="009A4C46" w:rsidRPr="009A4C46" w:rsidRDefault="009A4C46" w:rsidP="009A4C46">
            <w:pPr>
              <w:spacing w:after="0" w:line="240" w:lineRule="auto"/>
              <w:jc w:val="center"/>
              <w:rPr>
                <w:rFonts w:eastAsia="Times New Roman"/>
                <w:sz w:val="18"/>
                <w:szCs w:val="18"/>
                <w:lang w:eastAsia="ru-RU"/>
              </w:rPr>
            </w:pPr>
            <w:r w:rsidRPr="009A4C46">
              <w:rPr>
                <w:rFonts w:eastAsia="Times New Roman"/>
                <w:sz w:val="18"/>
                <w:szCs w:val="18"/>
                <w:lang w:eastAsia="ru-RU"/>
              </w:rPr>
              <w:t>381 943</w:t>
            </w:r>
          </w:p>
        </w:tc>
        <w:tc>
          <w:tcPr>
            <w:tcW w:w="583" w:type="pct"/>
            <w:tcBorders>
              <w:top w:val="nil"/>
              <w:left w:val="nil"/>
              <w:bottom w:val="single" w:sz="8" w:space="0" w:color="auto"/>
              <w:right w:val="single" w:sz="8" w:space="0" w:color="auto"/>
            </w:tcBorders>
            <w:shd w:val="clear" w:color="auto" w:fill="auto"/>
            <w:noWrap/>
            <w:vAlign w:val="center"/>
            <w:hideMark/>
          </w:tcPr>
          <w:p w14:paraId="0CC0FE71" w14:textId="77777777" w:rsidR="009A4C46" w:rsidRPr="009A4C46" w:rsidRDefault="009A4C46" w:rsidP="009A4C46">
            <w:pPr>
              <w:spacing w:after="0" w:line="240" w:lineRule="auto"/>
              <w:jc w:val="center"/>
              <w:rPr>
                <w:rFonts w:eastAsia="Times New Roman"/>
                <w:sz w:val="18"/>
                <w:szCs w:val="18"/>
                <w:lang w:eastAsia="ru-RU"/>
              </w:rPr>
            </w:pPr>
            <w:r w:rsidRPr="009A4C46">
              <w:rPr>
                <w:rFonts w:eastAsia="Times New Roman"/>
                <w:color w:val="000000"/>
                <w:sz w:val="18"/>
                <w:szCs w:val="18"/>
                <w:lang w:eastAsia="ru-RU"/>
              </w:rPr>
              <w:t>0,00%</w:t>
            </w:r>
          </w:p>
        </w:tc>
        <w:tc>
          <w:tcPr>
            <w:tcW w:w="583" w:type="pct"/>
            <w:tcBorders>
              <w:top w:val="nil"/>
              <w:left w:val="nil"/>
              <w:bottom w:val="single" w:sz="8" w:space="0" w:color="auto"/>
              <w:right w:val="single" w:sz="8" w:space="0" w:color="auto"/>
            </w:tcBorders>
            <w:shd w:val="clear" w:color="auto" w:fill="auto"/>
            <w:noWrap/>
            <w:vAlign w:val="center"/>
            <w:hideMark/>
          </w:tcPr>
          <w:p w14:paraId="62EDEB4C" w14:textId="77777777" w:rsidR="009A4C46" w:rsidRPr="009A4C46" w:rsidRDefault="009A4C46" w:rsidP="009A4C46">
            <w:pPr>
              <w:spacing w:after="0" w:line="240" w:lineRule="auto"/>
              <w:jc w:val="center"/>
              <w:rPr>
                <w:rFonts w:eastAsia="Times New Roman"/>
                <w:sz w:val="18"/>
                <w:szCs w:val="18"/>
                <w:lang w:eastAsia="ru-RU"/>
              </w:rPr>
            </w:pPr>
            <w:r w:rsidRPr="009A4C46">
              <w:rPr>
                <w:rFonts w:eastAsia="Times New Roman"/>
                <w:color w:val="000000"/>
                <w:sz w:val="18"/>
                <w:szCs w:val="18"/>
                <w:lang w:eastAsia="ru-RU"/>
              </w:rPr>
              <w:t>0,00%</w:t>
            </w:r>
          </w:p>
        </w:tc>
        <w:tc>
          <w:tcPr>
            <w:tcW w:w="585" w:type="pct"/>
            <w:tcBorders>
              <w:top w:val="nil"/>
              <w:left w:val="nil"/>
              <w:bottom w:val="single" w:sz="8" w:space="0" w:color="auto"/>
              <w:right w:val="single" w:sz="8" w:space="0" w:color="auto"/>
            </w:tcBorders>
            <w:shd w:val="clear" w:color="auto" w:fill="auto"/>
            <w:noWrap/>
            <w:vAlign w:val="center"/>
            <w:hideMark/>
          </w:tcPr>
          <w:p w14:paraId="5C68AFEE" w14:textId="77777777" w:rsidR="009A4C46" w:rsidRPr="009A4C46" w:rsidRDefault="009A4C46" w:rsidP="009A4C46">
            <w:pPr>
              <w:spacing w:after="0" w:line="240" w:lineRule="auto"/>
              <w:jc w:val="center"/>
              <w:rPr>
                <w:rFonts w:eastAsia="Times New Roman"/>
                <w:sz w:val="18"/>
                <w:szCs w:val="18"/>
                <w:lang w:eastAsia="ru-RU"/>
              </w:rPr>
            </w:pPr>
            <w:r w:rsidRPr="009A4C46">
              <w:rPr>
                <w:rFonts w:eastAsia="Times New Roman"/>
                <w:color w:val="000000"/>
                <w:sz w:val="18"/>
                <w:szCs w:val="18"/>
                <w:lang w:eastAsia="ru-RU"/>
              </w:rPr>
              <w:t>19,90%</w:t>
            </w:r>
          </w:p>
        </w:tc>
      </w:tr>
      <w:tr w:rsidR="009A4C46" w:rsidRPr="009A4C46" w14:paraId="061C4CD8" w14:textId="77777777" w:rsidTr="00F94FED">
        <w:trPr>
          <w:trHeight w:val="315"/>
        </w:trPr>
        <w:tc>
          <w:tcPr>
            <w:tcW w:w="1479" w:type="pct"/>
            <w:tcBorders>
              <w:top w:val="nil"/>
              <w:left w:val="single" w:sz="8" w:space="0" w:color="auto"/>
              <w:bottom w:val="single" w:sz="8" w:space="0" w:color="auto"/>
              <w:right w:val="single" w:sz="8" w:space="0" w:color="auto"/>
            </w:tcBorders>
            <w:shd w:val="clear" w:color="auto" w:fill="auto"/>
            <w:vAlign w:val="center"/>
            <w:hideMark/>
          </w:tcPr>
          <w:p w14:paraId="17C8D5BE" w14:textId="77777777" w:rsidR="009A4C46" w:rsidRPr="009A4C46" w:rsidRDefault="009A4C46" w:rsidP="009A4C46">
            <w:pPr>
              <w:spacing w:after="0" w:line="240" w:lineRule="auto"/>
              <w:jc w:val="right"/>
              <w:rPr>
                <w:rFonts w:eastAsia="Times New Roman"/>
                <w:sz w:val="18"/>
                <w:szCs w:val="18"/>
                <w:lang w:eastAsia="ru-RU"/>
              </w:rPr>
            </w:pPr>
            <w:r w:rsidRPr="009A4C46">
              <w:rPr>
                <w:rFonts w:eastAsia="Times New Roman"/>
                <w:sz w:val="18"/>
                <w:szCs w:val="18"/>
                <w:lang w:eastAsia="ru-RU"/>
              </w:rPr>
              <w:t>Переоценка внеоборотных активов</w:t>
            </w:r>
          </w:p>
        </w:tc>
        <w:tc>
          <w:tcPr>
            <w:tcW w:w="587" w:type="pct"/>
            <w:tcBorders>
              <w:top w:val="nil"/>
              <w:left w:val="nil"/>
              <w:bottom w:val="single" w:sz="8" w:space="0" w:color="auto"/>
              <w:right w:val="single" w:sz="8" w:space="0" w:color="auto"/>
            </w:tcBorders>
            <w:shd w:val="clear" w:color="auto" w:fill="auto"/>
            <w:noWrap/>
            <w:vAlign w:val="center"/>
            <w:hideMark/>
          </w:tcPr>
          <w:p w14:paraId="0EBC9692" w14:textId="77777777" w:rsidR="009A4C46" w:rsidRPr="009A4C46" w:rsidRDefault="009A4C46" w:rsidP="009A4C46">
            <w:pPr>
              <w:spacing w:after="0" w:line="240" w:lineRule="auto"/>
              <w:jc w:val="center"/>
              <w:rPr>
                <w:rFonts w:eastAsia="Times New Roman"/>
                <w:sz w:val="18"/>
                <w:szCs w:val="18"/>
                <w:lang w:eastAsia="ru-RU"/>
              </w:rPr>
            </w:pPr>
            <w:r w:rsidRPr="009A4C46">
              <w:rPr>
                <w:rFonts w:eastAsia="Times New Roman"/>
                <w:sz w:val="18"/>
                <w:szCs w:val="18"/>
                <w:lang w:eastAsia="ru-RU"/>
              </w:rPr>
              <w:t>327 779</w:t>
            </w:r>
          </w:p>
        </w:tc>
        <w:tc>
          <w:tcPr>
            <w:tcW w:w="592" w:type="pct"/>
            <w:tcBorders>
              <w:top w:val="nil"/>
              <w:left w:val="nil"/>
              <w:bottom w:val="single" w:sz="8" w:space="0" w:color="auto"/>
              <w:right w:val="single" w:sz="8" w:space="0" w:color="auto"/>
            </w:tcBorders>
            <w:shd w:val="clear" w:color="auto" w:fill="auto"/>
            <w:noWrap/>
            <w:vAlign w:val="center"/>
            <w:hideMark/>
          </w:tcPr>
          <w:p w14:paraId="73E90985" w14:textId="77777777" w:rsidR="009A4C46" w:rsidRPr="009A4C46" w:rsidRDefault="009A4C46" w:rsidP="009A4C46">
            <w:pPr>
              <w:spacing w:after="0" w:line="240" w:lineRule="auto"/>
              <w:jc w:val="center"/>
              <w:rPr>
                <w:rFonts w:eastAsia="Times New Roman"/>
                <w:sz w:val="18"/>
                <w:szCs w:val="18"/>
                <w:lang w:eastAsia="ru-RU"/>
              </w:rPr>
            </w:pPr>
            <w:r w:rsidRPr="009A4C46">
              <w:rPr>
                <w:rFonts w:eastAsia="Times New Roman"/>
                <w:sz w:val="18"/>
                <w:szCs w:val="18"/>
                <w:lang w:eastAsia="ru-RU"/>
              </w:rPr>
              <w:t>353 020</w:t>
            </w:r>
          </w:p>
        </w:tc>
        <w:tc>
          <w:tcPr>
            <w:tcW w:w="592" w:type="pct"/>
            <w:tcBorders>
              <w:top w:val="nil"/>
              <w:left w:val="nil"/>
              <w:bottom w:val="single" w:sz="8" w:space="0" w:color="auto"/>
              <w:right w:val="single" w:sz="8" w:space="0" w:color="auto"/>
            </w:tcBorders>
            <w:shd w:val="clear" w:color="auto" w:fill="auto"/>
            <w:noWrap/>
            <w:vAlign w:val="center"/>
            <w:hideMark/>
          </w:tcPr>
          <w:p w14:paraId="4E1F3325" w14:textId="77777777" w:rsidR="009A4C46" w:rsidRPr="009A4C46" w:rsidRDefault="009A4C46" w:rsidP="009A4C46">
            <w:pPr>
              <w:spacing w:after="0" w:line="240" w:lineRule="auto"/>
              <w:jc w:val="center"/>
              <w:rPr>
                <w:rFonts w:eastAsia="Times New Roman"/>
                <w:sz w:val="18"/>
                <w:szCs w:val="18"/>
                <w:lang w:eastAsia="ru-RU"/>
              </w:rPr>
            </w:pPr>
            <w:r w:rsidRPr="009A4C46">
              <w:rPr>
                <w:rFonts w:eastAsia="Times New Roman"/>
                <w:sz w:val="18"/>
                <w:szCs w:val="18"/>
                <w:lang w:eastAsia="ru-RU"/>
              </w:rPr>
              <w:t>370 018</w:t>
            </w:r>
          </w:p>
        </w:tc>
        <w:tc>
          <w:tcPr>
            <w:tcW w:w="583" w:type="pct"/>
            <w:tcBorders>
              <w:top w:val="nil"/>
              <w:left w:val="nil"/>
              <w:bottom w:val="single" w:sz="8" w:space="0" w:color="auto"/>
              <w:right w:val="single" w:sz="8" w:space="0" w:color="auto"/>
            </w:tcBorders>
            <w:shd w:val="clear" w:color="auto" w:fill="auto"/>
            <w:noWrap/>
            <w:vAlign w:val="center"/>
            <w:hideMark/>
          </w:tcPr>
          <w:p w14:paraId="1DF9E7CA" w14:textId="77777777" w:rsidR="009A4C46" w:rsidRPr="009A4C46" w:rsidRDefault="009A4C46" w:rsidP="009A4C46">
            <w:pPr>
              <w:spacing w:after="0" w:line="240" w:lineRule="auto"/>
              <w:jc w:val="center"/>
              <w:rPr>
                <w:rFonts w:eastAsia="Times New Roman"/>
                <w:sz w:val="18"/>
                <w:szCs w:val="18"/>
                <w:lang w:eastAsia="ru-RU"/>
              </w:rPr>
            </w:pPr>
            <w:r w:rsidRPr="009A4C46">
              <w:rPr>
                <w:rFonts w:eastAsia="Times New Roman"/>
                <w:color w:val="000000"/>
                <w:sz w:val="18"/>
                <w:szCs w:val="18"/>
                <w:lang w:eastAsia="ru-RU"/>
              </w:rPr>
              <w:t>12,17%</w:t>
            </w:r>
          </w:p>
        </w:tc>
        <w:tc>
          <w:tcPr>
            <w:tcW w:w="583" w:type="pct"/>
            <w:tcBorders>
              <w:top w:val="nil"/>
              <w:left w:val="nil"/>
              <w:bottom w:val="single" w:sz="8" w:space="0" w:color="auto"/>
              <w:right w:val="single" w:sz="8" w:space="0" w:color="auto"/>
            </w:tcBorders>
            <w:shd w:val="clear" w:color="auto" w:fill="auto"/>
            <w:noWrap/>
            <w:vAlign w:val="center"/>
            <w:hideMark/>
          </w:tcPr>
          <w:p w14:paraId="173DDF97" w14:textId="77777777" w:rsidR="009A4C46" w:rsidRPr="009A4C46" w:rsidRDefault="009A4C46" w:rsidP="009A4C46">
            <w:pPr>
              <w:spacing w:after="0" w:line="240" w:lineRule="auto"/>
              <w:jc w:val="center"/>
              <w:rPr>
                <w:rFonts w:eastAsia="Times New Roman"/>
                <w:sz w:val="18"/>
                <w:szCs w:val="18"/>
                <w:lang w:eastAsia="ru-RU"/>
              </w:rPr>
            </w:pPr>
            <w:r w:rsidRPr="009A4C46">
              <w:rPr>
                <w:rFonts w:eastAsia="Times New Roman"/>
                <w:color w:val="000000"/>
                <w:sz w:val="18"/>
                <w:szCs w:val="18"/>
                <w:lang w:eastAsia="ru-RU"/>
              </w:rPr>
              <w:t>12,77%</w:t>
            </w:r>
          </w:p>
        </w:tc>
        <w:tc>
          <w:tcPr>
            <w:tcW w:w="585" w:type="pct"/>
            <w:tcBorders>
              <w:top w:val="nil"/>
              <w:left w:val="nil"/>
              <w:bottom w:val="single" w:sz="8" w:space="0" w:color="auto"/>
              <w:right w:val="single" w:sz="8" w:space="0" w:color="auto"/>
            </w:tcBorders>
            <w:shd w:val="clear" w:color="auto" w:fill="auto"/>
            <w:noWrap/>
            <w:vAlign w:val="center"/>
            <w:hideMark/>
          </w:tcPr>
          <w:p w14:paraId="3BB767F7" w14:textId="77777777" w:rsidR="009A4C46" w:rsidRPr="009A4C46" w:rsidRDefault="009A4C46" w:rsidP="009A4C46">
            <w:pPr>
              <w:spacing w:after="0" w:line="240" w:lineRule="auto"/>
              <w:jc w:val="center"/>
              <w:rPr>
                <w:rFonts w:eastAsia="Times New Roman"/>
                <w:sz w:val="18"/>
                <w:szCs w:val="18"/>
                <w:lang w:eastAsia="ru-RU"/>
              </w:rPr>
            </w:pPr>
            <w:r w:rsidRPr="009A4C46">
              <w:rPr>
                <w:rFonts w:eastAsia="Times New Roman"/>
                <w:color w:val="000000"/>
                <w:sz w:val="18"/>
                <w:szCs w:val="18"/>
                <w:lang w:eastAsia="ru-RU"/>
              </w:rPr>
              <w:t>19,28%</w:t>
            </w:r>
          </w:p>
        </w:tc>
      </w:tr>
      <w:tr w:rsidR="009A4C46" w:rsidRPr="009A4C46" w14:paraId="7880C2B8" w14:textId="77777777" w:rsidTr="00F94FED">
        <w:trPr>
          <w:trHeight w:val="315"/>
        </w:trPr>
        <w:tc>
          <w:tcPr>
            <w:tcW w:w="1479" w:type="pct"/>
            <w:tcBorders>
              <w:top w:val="nil"/>
              <w:left w:val="single" w:sz="8" w:space="0" w:color="auto"/>
              <w:bottom w:val="single" w:sz="8" w:space="0" w:color="auto"/>
              <w:right w:val="single" w:sz="8" w:space="0" w:color="auto"/>
            </w:tcBorders>
            <w:shd w:val="clear" w:color="auto" w:fill="auto"/>
            <w:vAlign w:val="center"/>
            <w:hideMark/>
          </w:tcPr>
          <w:p w14:paraId="06BCB358" w14:textId="77777777" w:rsidR="009A4C46" w:rsidRPr="009A4C46" w:rsidRDefault="009A4C46" w:rsidP="009A4C46">
            <w:pPr>
              <w:spacing w:after="0" w:line="240" w:lineRule="auto"/>
              <w:jc w:val="right"/>
              <w:rPr>
                <w:rFonts w:eastAsia="Times New Roman"/>
                <w:sz w:val="18"/>
                <w:szCs w:val="18"/>
                <w:lang w:eastAsia="ru-RU"/>
              </w:rPr>
            </w:pPr>
            <w:r w:rsidRPr="009A4C46">
              <w:rPr>
                <w:rFonts w:eastAsia="Times New Roman"/>
                <w:sz w:val="18"/>
                <w:szCs w:val="18"/>
                <w:lang w:eastAsia="ru-RU"/>
              </w:rPr>
              <w:t>Добавочный капитал без переоценки</w:t>
            </w:r>
          </w:p>
        </w:tc>
        <w:tc>
          <w:tcPr>
            <w:tcW w:w="587" w:type="pct"/>
            <w:tcBorders>
              <w:top w:val="nil"/>
              <w:left w:val="nil"/>
              <w:bottom w:val="single" w:sz="8" w:space="0" w:color="auto"/>
              <w:right w:val="single" w:sz="8" w:space="0" w:color="auto"/>
            </w:tcBorders>
            <w:shd w:val="clear" w:color="auto" w:fill="auto"/>
            <w:noWrap/>
            <w:vAlign w:val="center"/>
            <w:hideMark/>
          </w:tcPr>
          <w:p w14:paraId="1038E547" w14:textId="77777777" w:rsidR="009A4C46" w:rsidRPr="009A4C46" w:rsidRDefault="009A4C46" w:rsidP="009A4C46">
            <w:pPr>
              <w:spacing w:after="0" w:line="240" w:lineRule="auto"/>
              <w:jc w:val="center"/>
              <w:rPr>
                <w:rFonts w:eastAsia="Times New Roman"/>
                <w:sz w:val="18"/>
                <w:szCs w:val="18"/>
                <w:lang w:eastAsia="ru-RU"/>
              </w:rPr>
            </w:pPr>
            <w:r w:rsidRPr="009A4C46">
              <w:rPr>
                <w:rFonts w:eastAsia="Times New Roman"/>
                <w:sz w:val="18"/>
                <w:szCs w:val="18"/>
                <w:lang w:eastAsia="ru-RU"/>
              </w:rPr>
              <w:t> </w:t>
            </w:r>
          </w:p>
        </w:tc>
        <w:tc>
          <w:tcPr>
            <w:tcW w:w="592" w:type="pct"/>
            <w:tcBorders>
              <w:top w:val="nil"/>
              <w:left w:val="nil"/>
              <w:bottom w:val="single" w:sz="8" w:space="0" w:color="auto"/>
              <w:right w:val="single" w:sz="8" w:space="0" w:color="auto"/>
            </w:tcBorders>
            <w:shd w:val="clear" w:color="auto" w:fill="auto"/>
            <w:noWrap/>
            <w:vAlign w:val="center"/>
            <w:hideMark/>
          </w:tcPr>
          <w:p w14:paraId="71C09202" w14:textId="77777777" w:rsidR="009A4C46" w:rsidRPr="009A4C46" w:rsidRDefault="009A4C46" w:rsidP="009A4C46">
            <w:pPr>
              <w:spacing w:after="0" w:line="240" w:lineRule="auto"/>
              <w:jc w:val="center"/>
              <w:rPr>
                <w:rFonts w:eastAsia="Times New Roman"/>
                <w:sz w:val="18"/>
                <w:szCs w:val="18"/>
                <w:lang w:eastAsia="ru-RU"/>
              </w:rPr>
            </w:pPr>
            <w:r w:rsidRPr="009A4C46">
              <w:rPr>
                <w:rFonts w:eastAsia="Times New Roman"/>
                <w:sz w:val="18"/>
                <w:szCs w:val="18"/>
                <w:lang w:eastAsia="ru-RU"/>
              </w:rPr>
              <w:t> </w:t>
            </w:r>
          </w:p>
        </w:tc>
        <w:tc>
          <w:tcPr>
            <w:tcW w:w="592" w:type="pct"/>
            <w:tcBorders>
              <w:top w:val="nil"/>
              <w:left w:val="nil"/>
              <w:bottom w:val="single" w:sz="8" w:space="0" w:color="auto"/>
              <w:right w:val="single" w:sz="8" w:space="0" w:color="auto"/>
            </w:tcBorders>
            <w:shd w:val="clear" w:color="auto" w:fill="auto"/>
            <w:noWrap/>
            <w:vAlign w:val="center"/>
            <w:hideMark/>
          </w:tcPr>
          <w:p w14:paraId="03AE3FEE" w14:textId="77777777" w:rsidR="009A4C46" w:rsidRPr="009A4C46" w:rsidRDefault="009A4C46" w:rsidP="009A4C46">
            <w:pPr>
              <w:spacing w:after="0" w:line="240" w:lineRule="auto"/>
              <w:jc w:val="center"/>
              <w:rPr>
                <w:rFonts w:eastAsia="Times New Roman"/>
                <w:sz w:val="18"/>
                <w:szCs w:val="18"/>
                <w:lang w:eastAsia="ru-RU"/>
              </w:rPr>
            </w:pPr>
            <w:r w:rsidRPr="009A4C46">
              <w:rPr>
                <w:rFonts w:eastAsia="Times New Roman"/>
                <w:sz w:val="18"/>
                <w:szCs w:val="18"/>
                <w:lang w:eastAsia="ru-RU"/>
              </w:rPr>
              <w:t> </w:t>
            </w:r>
          </w:p>
        </w:tc>
        <w:tc>
          <w:tcPr>
            <w:tcW w:w="583" w:type="pct"/>
            <w:tcBorders>
              <w:top w:val="nil"/>
              <w:left w:val="nil"/>
              <w:bottom w:val="single" w:sz="8" w:space="0" w:color="auto"/>
              <w:right w:val="single" w:sz="8" w:space="0" w:color="auto"/>
            </w:tcBorders>
            <w:shd w:val="clear" w:color="auto" w:fill="auto"/>
            <w:noWrap/>
            <w:vAlign w:val="center"/>
            <w:hideMark/>
          </w:tcPr>
          <w:p w14:paraId="4ED741D6" w14:textId="77777777" w:rsidR="009A4C46" w:rsidRPr="009A4C46" w:rsidRDefault="009A4C46" w:rsidP="009A4C46">
            <w:pPr>
              <w:spacing w:after="0" w:line="240" w:lineRule="auto"/>
              <w:jc w:val="center"/>
              <w:rPr>
                <w:rFonts w:eastAsia="Times New Roman"/>
                <w:sz w:val="18"/>
                <w:szCs w:val="18"/>
                <w:lang w:eastAsia="ru-RU"/>
              </w:rPr>
            </w:pPr>
            <w:r w:rsidRPr="009A4C46">
              <w:rPr>
                <w:rFonts w:eastAsia="Times New Roman"/>
                <w:color w:val="000000"/>
                <w:sz w:val="18"/>
                <w:szCs w:val="18"/>
                <w:lang w:eastAsia="ru-RU"/>
              </w:rPr>
              <w:t>0,00%</w:t>
            </w:r>
          </w:p>
        </w:tc>
        <w:tc>
          <w:tcPr>
            <w:tcW w:w="583" w:type="pct"/>
            <w:tcBorders>
              <w:top w:val="nil"/>
              <w:left w:val="nil"/>
              <w:bottom w:val="single" w:sz="8" w:space="0" w:color="auto"/>
              <w:right w:val="single" w:sz="8" w:space="0" w:color="auto"/>
            </w:tcBorders>
            <w:shd w:val="clear" w:color="auto" w:fill="auto"/>
            <w:noWrap/>
            <w:vAlign w:val="center"/>
            <w:hideMark/>
          </w:tcPr>
          <w:p w14:paraId="3305874F" w14:textId="77777777" w:rsidR="009A4C46" w:rsidRPr="009A4C46" w:rsidRDefault="009A4C46" w:rsidP="009A4C46">
            <w:pPr>
              <w:spacing w:after="0" w:line="240" w:lineRule="auto"/>
              <w:jc w:val="center"/>
              <w:rPr>
                <w:rFonts w:eastAsia="Times New Roman"/>
                <w:sz w:val="18"/>
                <w:szCs w:val="18"/>
                <w:lang w:eastAsia="ru-RU"/>
              </w:rPr>
            </w:pPr>
            <w:r w:rsidRPr="009A4C46">
              <w:rPr>
                <w:rFonts w:eastAsia="Times New Roman"/>
                <w:color w:val="000000"/>
                <w:sz w:val="18"/>
                <w:szCs w:val="18"/>
                <w:lang w:eastAsia="ru-RU"/>
              </w:rPr>
              <w:t>0,00%</w:t>
            </w:r>
          </w:p>
        </w:tc>
        <w:tc>
          <w:tcPr>
            <w:tcW w:w="585" w:type="pct"/>
            <w:tcBorders>
              <w:top w:val="nil"/>
              <w:left w:val="nil"/>
              <w:bottom w:val="single" w:sz="8" w:space="0" w:color="auto"/>
              <w:right w:val="single" w:sz="8" w:space="0" w:color="auto"/>
            </w:tcBorders>
            <w:shd w:val="clear" w:color="auto" w:fill="auto"/>
            <w:noWrap/>
            <w:vAlign w:val="center"/>
            <w:hideMark/>
          </w:tcPr>
          <w:p w14:paraId="7624AFFF" w14:textId="77777777" w:rsidR="009A4C46" w:rsidRPr="009A4C46" w:rsidRDefault="009A4C46" w:rsidP="009A4C46">
            <w:pPr>
              <w:spacing w:after="0" w:line="240" w:lineRule="auto"/>
              <w:jc w:val="center"/>
              <w:rPr>
                <w:rFonts w:eastAsia="Times New Roman"/>
                <w:sz w:val="18"/>
                <w:szCs w:val="18"/>
                <w:lang w:eastAsia="ru-RU"/>
              </w:rPr>
            </w:pPr>
            <w:r w:rsidRPr="009A4C46">
              <w:rPr>
                <w:rFonts w:eastAsia="Times New Roman"/>
                <w:color w:val="000000"/>
                <w:sz w:val="18"/>
                <w:szCs w:val="18"/>
                <w:lang w:eastAsia="ru-RU"/>
              </w:rPr>
              <w:t>0,00%</w:t>
            </w:r>
          </w:p>
        </w:tc>
      </w:tr>
      <w:tr w:rsidR="009A4C46" w:rsidRPr="009A4C46" w14:paraId="4F17D8E8" w14:textId="77777777" w:rsidTr="00F94FED">
        <w:trPr>
          <w:trHeight w:val="315"/>
        </w:trPr>
        <w:tc>
          <w:tcPr>
            <w:tcW w:w="1479" w:type="pct"/>
            <w:tcBorders>
              <w:top w:val="nil"/>
              <w:left w:val="single" w:sz="8" w:space="0" w:color="auto"/>
              <w:bottom w:val="single" w:sz="8" w:space="0" w:color="auto"/>
              <w:right w:val="single" w:sz="8" w:space="0" w:color="auto"/>
            </w:tcBorders>
            <w:shd w:val="clear" w:color="auto" w:fill="auto"/>
            <w:vAlign w:val="center"/>
            <w:hideMark/>
          </w:tcPr>
          <w:p w14:paraId="7EBAFB0F" w14:textId="77777777" w:rsidR="009A4C46" w:rsidRPr="009A4C46" w:rsidRDefault="009A4C46" w:rsidP="009A4C46">
            <w:pPr>
              <w:spacing w:after="0" w:line="240" w:lineRule="auto"/>
              <w:jc w:val="right"/>
              <w:rPr>
                <w:rFonts w:eastAsia="Times New Roman"/>
                <w:sz w:val="18"/>
                <w:szCs w:val="18"/>
                <w:lang w:eastAsia="ru-RU"/>
              </w:rPr>
            </w:pPr>
            <w:r w:rsidRPr="009A4C46">
              <w:rPr>
                <w:rFonts w:eastAsia="Times New Roman"/>
                <w:sz w:val="18"/>
                <w:szCs w:val="18"/>
                <w:lang w:eastAsia="ru-RU"/>
              </w:rPr>
              <w:t>Резервный капитал</w:t>
            </w:r>
          </w:p>
        </w:tc>
        <w:tc>
          <w:tcPr>
            <w:tcW w:w="587" w:type="pct"/>
            <w:tcBorders>
              <w:top w:val="nil"/>
              <w:left w:val="nil"/>
              <w:bottom w:val="single" w:sz="8" w:space="0" w:color="auto"/>
              <w:right w:val="single" w:sz="8" w:space="0" w:color="auto"/>
            </w:tcBorders>
            <w:shd w:val="clear" w:color="auto" w:fill="auto"/>
            <w:noWrap/>
            <w:vAlign w:val="center"/>
            <w:hideMark/>
          </w:tcPr>
          <w:p w14:paraId="663E7624" w14:textId="77777777" w:rsidR="009A4C46" w:rsidRPr="009A4C46" w:rsidRDefault="009A4C46" w:rsidP="009A4C46">
            <w:pPr>
              <w:spacing w:after="0" w:line="240" w:lineRule="auto"/>
              <w:jc w:val="center"/>
              <w:rPr>
                <w:rFonts w:eastAsia="Times New Roman"/>
                <w:sz w:val="18"/>
                <w:szCs w:val="18"/>
                <w:lang w:eastAsia="ru-RU"/>
              </w:rPr>
            </w:pPr>
            <w:r w:rsidRPr="009A4C46">
              <w:rPr>
                <w:rFonts w:eastAsia="Times New Roman"/>
                <w:sz w:val="18"/>
                <w:szCs w:val="18"/>
                <w:lang w:eastAsia="ru-RU"/>
              </w:rPr>
              <w:t>5 379</w:t>
            </w:r>
          </w:p>
        </w:tc>
        <w:tc>
          <w:tcPr>
            <w:tcW w:w="592" w:type="pct"/>
            <w:tcBorders>
              <w:top w:val="nil"/>
              <w:left w:val="nil"/>
              <w:bottom w:val="single" w:sz="8" w:space="0" w:color="auto"/>
              <w:right w:val="single" w:sz="8" w:space="0" w:color="auto"/>
            </w:tcBorders>
            <w:shd w:val="clear" w:color="auto" w:fill="auto"/>
            <w:noWrap/>
            <w:vAlign w:val="center"/>
            <w:hideMark/>
          </w:tcPr>
          <w:p w14:paraId="0547417C" w14:textId="77777777" w:rsidR="009A4C46" w:rsidRPr="009A4C46" w:rsidRDefault="009A4C46" w:rsidP="009A4C46">
            <w:pPr>
              <w:spacing w:after="0" w:line="240" w:lineRule="auto"/>
              <w:jc w:val="center"/>
              <w:rPr>
                <w:rFonts w:eastAsia="Times New Roman"/>
                <w:sz w:val="18"/>
                <w:szCs w:val="18"/>
                <w:lang w:eastAsia="ru-RU"/>
              </w:rPr>
            </w:pPr>
            <w:r w:rsidRPr="009A4C46">
              <w:rPr>
                <w:rFonts w:eastAsia="Times New Roman"/>
                <w:sz w:val="18"/>
                <w:szCs w:val="18"/>
                <w:lang w:eastAsia="ru-RU"/>
              </w:rPr>
              <w:t>5 379</w:t>
            </w:r>
          </w:p>
        </w:tc>
        <w:tc>
          <w:tcPr>
            <w:tcW w:w="592" w:type="pct"/>
            <w:tcBorders>
              <w:top w:val="nil"/>
              <w:left w:val="nil"/>
              <w:bottom w:val="single" w:sz="8" w:space="0" w:color="auto"/>
              <w:right w:val="single" w:sz="8" w:space="0" w:color="auto"/>
            </w:tcBorders>
            <w:shd w:val="clear" w:color="auto" w:fill="auto"/>
            <w:noWrap/>
            <w:vAlign w:val="center"/>
            <w:hideMark/>
          </w:tcPr>
          <w:p w14:paraId="19A7F5EF" w14:textId="77777777" w:rsidR="009A4C46" w:rsidRPr="009A4C46" w:rsidRDefault="009A4C46" w:rsidP="009A4C46">
            <w:pPr>
              <w:spacing w:after="0" w:line="240" w:lineRule="auto"/>
              <w:jc w:val="center"/>
              <w:rPr>
                <w:rFonts w:eastAsia="Times New Roman"/>
                <w:sz w:val="18"/>
                <w:szCs w:val="18"/>
                <w:lang w:eastAsia="ru-RU"/>
              </w:rPr>
            </w:pPr>
            <w:r w:rsidRPr="009A4C46">
              <w:rPr>
                <w:rFonts w:eastAsia="Times New Roman"/>
                <w:sz w:val="18"/>
                <w:szCs w:val="18"/>
                <w:lang w:eastAsia="ru-RU"/>
              </w:rPr>
              <w:t>5 379</w:t>
            </w:r>
          </w:p>
        </w:tc>
        <w:tc>
          <w:tcPr>
            <w:tcW w:w="583" w:type="pct"/>
            <w:tcBorders>
              <w:top w:val="nil"/>
              <w:left w:val="nil"/>
              <w:bottom w:val="single" w:sz="8" w:space="0" w:color="auto"/>
              <w:right w:val="single" w:sz="8" w:space="0" w:color="auto"/>
            </w:tcBorders>
            <w:shd w:val="clear" w:color="auto" w:fill="auto"/>
            <w:noWrap/>
            <w:vAlign w:val="center"/>
            <w:hideMark/>
          </w:tcPr>
          <w:p w14:paraId="5B929B07" w14:textId="77777777" w:rsidR="009A4C46" w:rsidRPr="009A4C46" w:rsidRDefault="009A4C46" w:rsidP="009A4C46">
            <w:pPr>
              <w:spacing w:after="0" w:line="240" w:lineRule="auto"/>
              <w:jc w:val="center"/>
              <w:rPr>
                <w:rFonts w:eastAsia="Times New Roman"/>
                <w:sz w:val="18"/>
                <w:szCs w:val="18"/>
                <w:lang w:eastAsia="ru-RU"/>
              </w:rPr>
            </w:pPr>
            <w:r w:rsidRPr="009A4C46">
              <w:rPr>
                <w:rFonts w:eastAsia="Times New Roman"/>
                <w:color w:val="000000"/>
                <w:sz w:val="18"/>
                <w:szCs w:val="18"/>
                <w:lang w:eastAsia="ru-RU"/>
              </w:rPr>
              <w:t>0,20%</w:t>
            </w:r>
          </w:p>
        </w:tc>
        <w:tc>
          <w:tcPr>
            <w:tcW w:w="583" w:type="pct"/>
            <w:tcBorders>
              <w:top w:val="nil"/>
              <w:left w:val="nil"/>
              <w:bottom w:val="single" w:sz="8" w:space="0" w:color="auto"/>
              <w:right w:val="single" w:sz="8" w:space="0" w:color="auto"/>
            </w:tcBorders>
            <w:shd w:val="clear" w:color="auto" w:fill="auto"/>
            <w:noWrap/>
            <w:vAlign w:val="center"/>
            <w:hideMark/>
          </w:tcPr>
          <w:p w14:paraId="22524724" w14:textId="77777777" w:rsidR="009A4C46" w:rsidRPr="009A4C46" w:rsidRDefault="009A4C46" w:rsidP="009A4C46">
            <w:pPr>
              <w:spacing w:after="0" w:line="240" w:lineRule="auto"/>
              <w:jc w:val="center"/>
              <w:rPr>
                <w:rFonts w:eastAsia="Times New Roman"/>
                <w:sz w:val="18"/>
                <w:szCs w:val="18"/>
                <w:lang w:eastAsia="ru-RU"/>
              </w:rPr>
            </w:pPr>
            <w:r w:rsidRPr="009A4C46">
              <w:rPr>
                <w:rFonts w:eastAsia="Times New Roman"/>
                <w:color w:val="000000"/>
                <w:sz w:val="18"/>
                <w:szCs w:val="18"/>
                <w:lang w:eastAsia="ru-RU"/>
              </w:rPr>
              <w:t>0,19%</w:t>
            </w:r>
          </w:p>
        </w:tc>
        <w:tc>
          <w:tcPr>
            <w:tcW w:w="585" w:type="pct"/>
            <w:tcBorders>
              <w:top w:val="nil"/>
              <w:left w:val="nil"/>
              <w:bottom w:val="single" w:sz="8" w:space="0" w:color="auto"/>
              <w:right w:val="single" w:sz="8" w:space="0" w:color="auto"/>
            </w:tcBorders>
            <w:shd w:val="clear" w:color="auto" w:fill="auto"/>
            <w:noWrap/>
            <w:vAlign w:val="center"/>
            <w:hideMark/>
          </w:tcPr>
          <w:p w14:paraId="4980039F" w14:textId="77777777" w:rsidR="009A4C46" w:rsidRPr="009A4C46" w:rsidRDefault="009A4C46" w:rsidP="009A4C46">
            <w:pPr>
              <w:spacing w:after="0" w:line="240" w:lineRule="auto"/>
              <w:jc w:val="center"/>
              <w:rPr>
                <w:rFonts w:eastAsia="Times New Roman"/>
                <w:sz w:val="18"/>
                <w:szCs w:val="18"/>
                <w:lang w:eastAsia="ru-RU"/>
              </w:rPr>
            </w:pPr>
            <w:r w:rsidRPr="009A4C46">
              <w:rPr>
                <w:rFonts w:eastAsia="Times New Roman"/>
                <w:color w:val="000000"/>
                <w:sz w:val="18"/>
                <w:szCs w:val="18"/>
                <w:lang w:eastAsia="ru-RU"/>
              </w:rPr>
              <w:t>0,28%</w:t>
            </w:r>
          </w:p>
        </w:tc>
      </w:tr>
      <w:tr w:rsidR="009A4C46" w:rsidRPr="009A4C46" w14:paraId="03C09C7E" w14:textId="77777777" w:rsidTr="00F94FED">
        <w:trPr>
          <w:trHeight w:val="495"/>
        </w:trPr>
        <w:tc>
          <w:tcPr>
            <w:tcW w:w="1479" w:type="pct"/>
            <w:tcBorders>
              <w:top w:val="nil"/>
              <w:left w:val="single" w:sz="8" w:space="0" w:color="auto"/>
              <w:bottom w:val="single" w:sz="8" w:space="0" w:color="auto"/>
              <w:right w:val="single" w:sz="8" w:space="0" w:color="auto"/>
            </w:tcBorders>
            <w:shd w:val="clear" w:color="auto" w:fill="auto"/>
            <w:vAlign w:val="center"/>
            <w:hideMark/>
          </w:tcPr>
          <w:p w14:paraId="60E91691" w14:textId="77777777" w:rsidR="009A4C46" w:rsidRPr="009A4C46" w:rsidRDefault="009A4C46" w:rsidP="009A4C46">
            <w:pPr>
              <w:spacing w:after="0" w:line="240" w:lineRule="auto"/>
              <w:jc w:val="right"/>
              <w:rPr>
                <w:rFonts w:eastAsia="Times New Roman"/>
                <w:sz w:val="18"/>
                <w:szCs w:val="18"/>
                <w:lang w:eastAsia="ru-RU"/>
              </w:rPr>
            </w:pPr>
            <w:r w:rsidRPr="009A4C46">
              <w:rPr>
                <w:rFonts w:eastAsia="Times New Roman"/>
                <w:sz w:val="18"/>
                <w:szCs w:val="18"/>
                <w:lang w:eastAsia="ru-RU"/>
              </w:rPr>
              <w:t>Нераспределенная прибыль (непокрытый убыток)</w:t>
            </w:r>
          </w:p>
        </w:tc>
        <w:tc>
          <w:tcPr>
            <w:tcW w:w="587" w:type="pct"/>
            <w:tcBorders>
              <w:top w:val="nil"/>
              <w:left w:val="nil"/>
              <w:bottom w:val="single" w:sz="8" w:space="0" w:color="auto"/>
              <w:right w:val="single" w:sz="8" w:space="0" w:color="auto"/>
            </w:tcBorders>
            <w:shd w:val="clear" w:color="auto" w:fill="auto"/>
            <w:noWrap/>
            <w:vAlign w:val="center"/>
            <w:hideMark/>
          </w:tcPr>
          <w:p w14:paraId="6913B428" w14:textId="77777777" w:rsidR="009A4C46" w:rsidRPr="009A4C46" w:rsidRDefault="009A4C46" w:rsidP="009A4C46">
            <w:pPr>
              <w:spacing w:after="0" w:line="240" w:lineRule="auto"/>
              <w:jc w:val="center"/>
              <w:rPr>
                <w:rFonts w:eastAsia="Times New Roman"/>
                <w:sz w:val="18"/>
                <w:szCs w:val="18"/>
                <w:lang w:eastAsia="ru-RU"/>
              </w:rPr>
            </w:pPr>
            <w:r w:rsidRPr="009A4C46">
              <w:rPr>
                <w:rFonts w:eastAsia="Times New Roman"/>
                <w:sz w:val="18"/>
                <w:szCs w:val="18"/>
                <w:lang w:eastAsia="ru-RU"/>
              </w:rPr>
              <w:t>-364 676</w:t>
            </w:r>
          </w:p>
        </w:tc>
        <w:tc>
          <w:tcPr>
            <w:tcW w:w="592" w:type="pct"/>
            <w:tcBorders>
              <w:top w:val="nil"/>
              <w:left w:val="nil"/>
              <w:bottom w:val="single" w:sz="8" w:space="0" w:color="auto"/>
              <w:right w:val="single" w:sz="8" w:space="0" w:color="auto"/>
            </w:tcBorders>
            <w:shd w:val="clear" w:color="auto" w:fill="auto"/>
            <w:noWrap/>
            <w:vAlign w:val="center"/>
            <w:hideMark/>
          </w:tcPr>
          <w:p w14:paraId="33F3498F" w14:textId="77777777" w:rsidR="009A4C46" w:rsidRPr="009A4C46" w:rsidRDefault="009A4C46" w:rsidP="009A4C46">
            <w:pPr>
              <w:spacing w:after="0" w:line="240" w:lineRule="auto"/>
              <w:jc w:val="center"/>
              <w:rPr>
                <w:rFonts w:eastAsia="Times New Roman"/>
                <w:sz w:val="18"/>
                <w:szCs w:val="18"/>
                <w:lang w:eastAsia="ru-RU"/>
              </w:rPr>
            </w:pPr>
            <w:r w:rsidRPr="009A4C46">
              <w:rPr>
                <w:rFonts w:eastAsia="Times New Roman"/>
                <w:sz w:val="18"/>
                <w:szCs w:val="18"/>
                <w:lang w:eastAsia="ru-RU"/>
              </w:rPr>
              <w:t>27 686</w:t>
            </w:r>
          </w:p>
        </w:tc>
        <w:tc>
          <w:tcPr>
            <w:tcW w:w="592" w:type="pct"/>
            <w:tcBorders>
              <w:top w:val="nil"/>
              <w:left w:val="nil"/>
              <w:bottom w:val="single" w:sz="8" w:space="0" w:color="auto"/>
              <w:right w:val="single" w:sz="8" w:space="0" w:color="auto"/>
            </w:tcBorders>
            <w:shd w:val="clear" w:color="auto" w:fill="auto"/>
            <w:noWrap/>
            <w:vAlign w:val="center"/>
            <w:hideMark/>
          </w:tcPr>
          <w:p w14:paraId="1759C36D" w14:textId="77777777" w:rsidR="009A4C46" w:rsidRPr="009A4C46" w:rsidRDefault="009A4C46" w:rsidP="009A4C46">
            <w:pPr>
              <w:spacing w:after="0" w:line="240" w:lineRule="auto"/>
              <w:jc w:val="center"/>
              <w:rPr>
                <w:rFonts w:eastAsia="Times New Roman"/>
                <w:sz w:val="18"/>
                <w:szCs w:val="18"/>
                <w:lang w:eastAsia="ru-RU"/>
              </w:rPr>
            </w:pPr>
            <w:r w:rsidRPr="009A4C46">
              <w:rPr>
                <w:rFonts w:eastAsia="Times New Roman"/>
                <w:sz w:val="18"/>
                <w:szCs w:val="18"/>
                <w:lang w:eastAsia="ru-RU"/>
              </w:rPr>
              <w:t>-867 511</w:t>
            </w:r>
          </w:p>
        </w:tc>
        <w:tc>
          <w:tcPr>
            <w:tcW w:w="583" w:type="pct"/>
            <w:tcBorders>
              <w:top w:val="nil"/>
              <w:left w:val="nil"/>
              <w:bottom w:val="single" w:sz="8" w:space="0" w:color="auto"/>
              <w:right w:val="single" w:sz="8" w:space="0" w:color="auto"/>
            </w:tcBorders>
            <w:shd w:val="clear" w:color="auto" w:fill="auto"/>
            <w:noWrap/>
            <w:vAlign w:val="center"/>
            <w:hideMark/>
          </w:tcPr>
          <w:p w14:paraId="69AAE338" w14:textId="77777777" w:rsidR="009A4C46" w:rsidRPr="009A4C46" w:rsidRDefault="009A4C46" w:rsidP="009A4C46">
            <w:pPr>
              <w:spacing w:after="0" w:line="240" w:lineRule="auto"/>
              <w:jc w:val="center"/>
              <w:rPr>
                <w:rFonts w:eastAsia="Times New Roman"/>
                <w:sz w:val="18"/>
                <w:szCs w:val="18"/>
                <w:lang w:eastAsia="ru-RU"/>
              </w:rPr>
            </w:pPr>
            <w:r w:rsidRPr="009A4C46">
              <w:rPr>
                <w:rFonts w:eastAsia="Times New Roman"/>
                <w:color w:val="000000"/>
                <w:sz w:val="18"/>
                <w:szCs w:val="18"/>
                <w:lang w:eastAsia="ru-RU"/>
              </w:rPr>
              <w:t>-13,54%</w:t>
            </w:r>
          </w:p>
        </w:tc>
        <w:tc>
          <w:tcPr>
            <w:tcW w:w="583" w:type="pct"/>
            <w:tcBorders>
              <w:top w:val="nil"/>
              <w:left w:val="nil"/>
              <w:bottom w:val="single" w:sz="8" w:space="0" w:color="auto"/>
              <w:right w:val="single" w:sz="8" w:space="0" w:color="auto"/>
            </w:tcBorders>
            <w:shd w:val="clear" w:color="auto" w:fill="auto"/>
            <w:noWrap/>
            <w:vAlign w:val="center"/>
            <w:hideMark/>
          </w:tcPr>
          <w:p w14:paraId="5BDBC524" w14:textId="77777777" w:rsidR="009A4C46" w:rsidRPr="009A4C46" w:rsidRDefault="009A4C46" w:rsidP="009A4C46">
            <w:pPr>
              <w:spacing w:after="0" w:line="240" w:lineRule="auto"/>
              <w:jc w:val="center"/>
              <w:rPr>
                <w:rFonts w:eastAsia="Times New Roman"/>
                <w:sz w:val="18"/>
                <w:szCs w:val="18"/>
                <w:lang w:eastAsia="ru-RU"/>
              </w:rPr>
            </w:pPr>
            <w:r w:rsidRPr="009A4C46">
              <w:rPr>
                <w:rFonts w:eastAsia="Times New Roman"/>
                <w:color w:val="000000"/>
                <w:sz w:val="18"/>
                <w:szCs w:val="18"/>
                <w:lang w:eastAsia="ru-RU"/>
              </w:rPr>
              <w:t>1,00%</w:t>
            </w:r>
          </w:p>
        </w:tc>
        <w:tc>
          <w:tcPr>
            <w:tcW w:w="585" w:type="pct"/>
            <w:tcBorders>
              <w:top w:val="nil"/>
              <w:left w:val="nil"/>
              <w:bottom w:val="single" w:sz="8" w:space="0" w:color="auto"/>
              <w:right w:val="single" w:sz="8" w:space="0" w:color="auto"/>
            </w:tcBorders>
            <w:shd w:val="clear" w:color="auto" w:fill="auto"/>
            <w:noWrap/>
            <w:vAlign w:val="center"/>
            <w:hideMark/>
          </w:tcPr>
          <w:p w14:paraId="1926E234" w14:textId="77777777" w:rsidR="009A4C46" w:rsidRPr="009A4C46" w:rsidRDefault="009A4C46" w:rsidP="009A4C46">
            <w:pPr>
              <w:spacing w:after="0" w:line="240" w:lineRule="auto"/>
              <w:jc w:val="center"/>
              <w:rPr>
                <w:rFonts w:eastAsia="Times New Roman"/>
                <w:sz w:val="18"/>
                <w:szCs w:val="18"/>
                <w:lang w:eastAsia="ru-RU"/>
              </w:rPr>
            </w:pPr>
            <w:r w:rsidRPr="009A4C46">
              <w:rPr>
                <w:rFonts w:eastAsia="Times New Roman"/>
                <w:color w:val="000000"/>
                <w:sz w:val="18"/>
                <w:szCs w:val="18"/>
                <w:lang w:eastAsia="ru-RU"/>
              </w:rPr>
              <w:t>-45,19%</w:t>
            </w:r>
          </w:p>
        </w:tc>
      </w:tr>
      <w:tr w:rsidR="009A4C46" w:rsidRPr="005C3ACA" w14:paraId="615D466C" w14:textId="77777777" w:rsidTr="005C3ACA">
        <w:trPr>
          <w:trHeight w:val="315"/>
        </w:trPr>
        <w:tc>
          <w:tcPr>
            <w:tcW w:w="1479" w:type="pct"/>
            <w:tcBorders>
              <w:top w:val="nil"/>
              <w:left w:val="single" w:sz="8" w:space="0" w:color="auto"/>
              <w:bottom w:val="single" w:sz="8" w:space="0" w:color="auto"/>
              <w:right w:val="single" w:sz="8" w:space="0" w:color="auto"/>
            </w:tcBorders>
            <w:shd w:val="clear" w:color="auto" w:fill="D6E3BC" w:themeFill="accent3" w:themeFillTint="66"/>
            <w:vAlign w:val="center"/>
            <w:hideMark/>
          </w:tcPr>
          <w:p w14:paraId="0F4038B6" w14:textId="77777777" w:rsidR="009A4C46" w:rsidRPr="005C3ACA" w:rsidRDefault="009A4C46" w:rsidP="009A4C46">
            <w:pPr>
              <w:spacing w:after="0" w:line="240" w:lineRule="auto"/>
              <w:rPr>
                <w:rFonts w:eastAsia="Times New Roman"/>
                <w:b/>
                <w:bCs/>
                <w:sz w:val="18"/>
                <w:szCs w:val="18"/>
                <w:lang w:eastAsia="ru-RU"/>
              </w:rPr>
            </w:pPr>
            <w:r w:rsidRPr="005C3ACA">
              <w:rPr>
                <w:rFonts w:eastAsia="Times New Roman"/>
                <w:b/>
                <w:bCs/>
                <w:sz w:val="18"/>
                <w:szCs w:val="18"/>
                <w:lang w:eastAsia="ru-RU"/>
              </w:rPr>
              <w:t>ДОЛГОСРОЧНЫЕ ОБЯЗАТЕЛЬСТВА</w:t>
            </w:r>
          </w:p>
        </w:tc>
        <w:tc>
          <w:tcPr>
            <w:tcW w:w="587" w:type="pct"/>
            <w:tcBorders>
              <w:top w:val="nil"/>
              <w:left w:val="nil"/>
              <w:bottom w:val="single" w:sz="8" w:space="0" w:color="auto"/>
              <w:right w:val="single" w:sz="8" w:space="0" w:color="auto"/>
            </w:tcBorders>
            <w:shd w:val="clear" w:color="auto" w:fill="D6E3BC" w:themeFill="accent3" w:themeFillTint="66"/>
            <w:noWrap/>
            <w:vAlign w:val="center"/>
            <w:hideMark/>
          </w:tcPr>
          <w:p w14:paraId="2DCC54AB" w14:textId="77777777" w:rsidR="009A4C46" w:rsidRPr="005C3ACA" w:rsidRDefault="009A4C46" w:rsidP="009A4C46">
            <w:pPr>
              <w:spacing w:after="0" w:line="240" w:lineRule="auto"/>
              <w:jc w:val="center"/>
              <w:rPr>
                <w:rFonts w:eastAsia="Times New Roman"/>
                <w:b/>
                <w:bCs/>
                <w:sz w:val="18"/>
                <w:szCs w:val="18"/>
                <w:lang w:eastAsia="ru-RU"/>
              </w:rPr>
            </w:pPr>
            <w:r w:rsidRPr="005C3ACA">
              <w:rPr>
                <w:rFonts w:eastAsia="Times New Roman"/>
                <w:b/>
                <w:bCs/>
                <w:sz w:val="18"/>
                <w:szCs w:val="18"/>
                <w:lang w:eastAsia="ru-RU"/>
              </w:rPr>
              <w:t>5 014</w:t>
            </w:r>
          </w:p>
        </w:tc>
        <w:tc>
          <w:tcPr>
            <w:tcW w:w="592" w:type="pct"/>
            <w:tcBorders>
              <w:top w:val="nil"/>
              <w:left w:val="nil"/>
              <w:bottom w:val="single" w:sz="8" w:space="0" w:color="auto"/>
              <w:right w:val="single" w:sz="8" w:space="0" w:color="auto"/>
            </w:tcBorders>
            <w:shd w:val="clear" w:color="auto" w:fill="D6E3BC" w:themeFill="accent3" w:themeFillTint="66"/>
            <w:noWrap/>
            <w:vAlign w:val="center"/>
            <w:hideMark/>
          </w:tcPr>
          <w:p w14:paraId="12D8E097" w14:textId="77777777" w:rsidR="009A4C46" w:rsidRPr="005C3ACA" w:rsidRDefault="009A4C46" w:rsidP="009A4C46">
            <w:pPr>
              <w:spacing w:after="0" w:line="240" w:lineRule="auto"/>
              <w:jc w:val="center"/>
              <w:rPr>
                <w:rFonts w:eastAsia="Times New Roman"/>
                <w:b/>
                <w:bCs/>
                <w:sz w:val="18"/>
                <w:szCs w:val="18"/>
                <w:lang w:eastAsia="ru-RU"/>
              </w:rPr>
            </w:pPr>
            <w:r w:rsidRPr="005C3ACA">
              <w:rPr>
                <w:rFonts w:eastAsia="Times New Roman"/>
                <w:b/>
                <w:bCs/>
                <w:sz w:val="18"/>
                <w:szCs w:val="18"/>
                <w:lang w:eastAsia="ru-RU"/>
              </w:rPr>
              <w:t>10 102</w:t>
            </w:r>
          </w:p>
        </w:tc>
        <w:tc>
          <w:tcPr>
            <w:tcW w:w="592" w:type="pct"/>
            <w:tcBorders>
              <w:top w:val="nil"/>
              <w:left w:val="nil"/>
              <w:bottom w:val="single" w:sz="8" w:space="0" w:color="auto"/>
              <w:right w:val="single" w:sz="8" w:space="0" w:color="auto"/>
            </w:tcBorders>
            <w:shd w:val="clear" w:color="auto" w:fill="D6E3BC" w:themeFill="accent3" w:themeFillTint="66"/>
            <w:noWrap/>
            <w:vAlign w:val="center"/>
            <w:hideMark/>
          </w:tcPr>
          <w:p w14:paraId="252CCABD" w14:textId="77777777" w:rsidR="009A4C46" w:rsidRPr="005C3ACA" w:rsidRDefault="009A4C46" w:rsidP="009A4C46">
            <w:pPr>
              <w:spacing w:after="0" w:line="240" w:lineRule="auto"/>
              <w:jc w:val="center"/>
              <w:rPr>
                <w:rFonts w:eastAsia="Times New Roman"/>
                <w:b/>
                <w:bCs/>
                <w:sz w:val="18"/>
                <w:szCs w:val="18"/>
                <w:lang w:eastAsia="ru-RU"/>
              </w:rPr>
            </w:pPr>
            <w:r w:rsidRPr="005C3ACA">
              <w:rPr>
                <w:rFonts w:eastAsia="Times New Roman"/>
                <w:b/>
                <w:bCs/>
                <w:sz w:val="18"/>
                <w:szCs w:val="18"/>
                <w:lang w:eastAsia="ru-RU"/>
              </w:rPr>
              <w:t>1 553 621</w:t>
            </w:r>
          </w:p>
        </w:tc>
        <w:tc>
          <w:tcPr>
            <w:tcW w:w="583" w:type="pct"/>
            <w:tcBorders>
              <w:top w:val="nil"/>
              <w:left w:val="nil"/>
              <w:bottom w:val="single" w:sz="8" w:space="0" w:color="auto"/>
              <w:right w:val="single" w:sz="8" w:space="0" w:color="auto"/>
            </w:tcBorders>
            <w:shd w:val="clear" w:color="auto" w:fill="D6E3BC" w:themeFill="accent3" w:themeFillTint="66"/>
            <w:noWrap/>
            <w:vAlign w:val="center"/>
            <w:hideMark/>
          </w:tcPr>
          <w:p w14:paraId="426A6BE2" w14:textId="77777777" w:rsidR="009A4C46" w:rsidRPr="005C3ACA" w:rsidRDefault="009A4C46" w:rsidP="009A4C46">
            <w:pPr>
              <w:spacing w:after="0" w:line="240" w:lineRule="auto"/>
              <w:jc w:val="center"/>
              <w:rPr>
                <w:rFonts w:eastAsia="Times New Roman"/>
                <w:b/>
                <w:bCs/>
                <w:sz w:val="18"/>
                <w:szCs w:val="18"/>
                <w:lang w:eastAsia="ru-RU"/>
              </w:rPr>
            </w:pPr>
            <w:r w:rsidRPr="005C3ACA">
              <w:rPr>
                <w:rFonts w:eastAsia="Times New Roman"/>
                <w:b/>
                <w:bCs/>
                <w:color w:val="000000"/>
                <w:sz w:val="18"/>
                <w:szCs w:val="18"/>
                <w:lang w:eastAsia="ru-RU"/>
              </w:rPr>
              <w:t>0,19%</w:t>
            </w:r>
          </w:p>
        </w:tc>
        <w:tc>
          <w:tcPr>
            <w:tcW w:w="583" w:type="pct"/>
            <w:tcBorders>
              <w:top w:val="nil"/>
              <w:left w:val="nil"/>
              <w:bottom w:val="single" w:sz="8" w:space="0" w:color="auto"/>
              <w:right w:val="single" w:sz="8" w:space="0" w:color="auto"/>
            </w:tcBorders>
            <w:shd w:val="clear" w:color="auto" w:fill="D6E3BC" w:themeFill="accent3" w:themeFillTint="66"/>
            <w:noWrap/>
            <w:vAlign w:val="center"/>
            <w:hideMark/>
          </w:tcPr>
          <w:p w14:paraId="07B991ED" w14:textId="77777777" w:rsidR="009A4C46" w:rsidRPr="005C3ACA" w:rsidRDefault="009A4C46" w:rsidP="009A4C46">
            <w:pPr>
              <w:spacing w:after="0" w:line="240" w:lineRule="auto"/>
              <w:jc w:val="center"/>
              <w:rPr>
                <w:rFonts w:eastAsia="Times New Roman"/>
                <w:b/>
                <w:bCs/>
                <w:sz w:val="18"/>
                <w:szCs w:val="18"/>
                <w:lang w:eastAsia="ru-RU"/>
              </w:rPr>
            </w:pPr>
            <w:r w:rsidRPr="005C3ACA">
              <w:rPr>
                <w:rFonts w:eastAsia="Times New Roman"/>
                <w:b/>
                <w:bCs/>
                <w:color w:val="000000"/>
                <w:sz w:val="18"/>
                <w:szCs w:val="18"/>
                <w:lang w:eastAsia="ru-RU"/>
              </w:rPr>
              <w:t>0,37%</w:t>
            </w:r>
          </w:p>
        </w:tc>
        <w:tc>
          <w:tcPr>
            <w:tcW w:w="585" w:type="pct"/>
            <w:tcBorders>
              <w:top w:val="nil"/>
              <w:left w:val="nil"/>
              <w:bottom w:val="single" w:sz="8" w:space="0" w:color="auto"/>
              <w:right w:val="single" w:sz="8" w:space="0" w:color="auto"/>
            </w:tcBorders>
            <w:shd w:val="clear" w:color="auto" w:fill="D6E3BC" w:themeFill="accent3" w:themeFillTint="66"/>
            <w:noWrap/>
            <w:vAlign w:val="center"/>
            <w:hideMark/>
          </w:tcPr>
          <w:p w14:paraId="751FD5E2" w14:textId="77777777" w:rsidR="009A4C46" w:rsidRPr="005C3ACA" w:rsidRDefault="009A4C46" w:rsidP="009A4C46">
            <w:pPr>
              <w:spacing w:after="0" w:line="240" w:lineRule="auto"/>
              <w:jc w:val="center"/>
              <w:rPr>
                <w:rFonts w:eastAsia="Times New Roman"/>
                <w:b/>
                <w:bCs/>
                <w:sz w:val="18"/>
                <w:szCs w:val="18"/>
                <w:lang w:eastAsia="ru-RU"/>
              </w:rPr>
            </w:pPr>
            <w:r w:rsidRPr="005C3ACA">
              <w:rPr>
                <w:rFonts w:eastAsia="Times New Roman"/>
                <w:b/>
                <w:bCs/>
                <w:color w:val="000000"/>
                <w:sz w:val="18"/>
                <w:szCs w:val="18"/>
                <w:lang w:eastAsia="ru-RU"/>
              </w:rPr>
              <w:t>80,93%</w:t>
            </w:r>
          </w:p>
        </w:tc>
      </w:tr>
      <w:tr w:rsidR="009A4C46" w:rsidRPr="009A4C46" w14:paraId="3072222C" w14:textId="77777777" w:rsidTr="00F94FED">
        <w:trPr>
          <w:trHeight w:val="315"/>
        </w:trPr>
        <w:tc>
          <w:tcPr>
            <w:tcW w:w="1479" w:type="pct"/>
            <w:tcBorders>
              <w:top w:val="nil"/>
              <w:left w:val="single" w:sz="8" w:space="0" w:color="auto"/>
              <w:bottom w:val="single" w:sz="8" w:space="0" w:color="auto"/>
              <w:right w:val="single" w:sz="8" w:space="0" w:color="auto"/>
            </w:tcBorders>
            <w:shd w:val="clear" w:color="auto" w:fill="auto"/>
            <w:vAlign w:val="center"/>
            <w:hideMark/>
          </w:tcPr>
          <w:p w14:paraId="526378DF" w14:textId="77777777" w:rsidR="009A4C46" w:rsidRPr="009A4C46" w:rsidRDefault="009A4C46" w:rsidP="009A4C46">
            <w:pPr>
              <w:spacing w:after="0" w:line="240" w:lineRule="auto"/>
              <w:jc w:val="right"/>
              <w:rPr>
                <w:rFonts w:eastAsia="Times New Roman"/>
                <w:sz w:val="18"/>
                <w:szCs w:val="18"/>
                <w:lang w:eastAsia="ru-RU"/>
              </w:rPr>
            </w:pPr>
            <w:r w:rsidRPr="009A4C46">
              <w:rPr>
                <w:rFonts w:eastAsia="Times New Roman"/>
                <w:sz w:val="18"/>
                <w:szCs w:val="18"/>
                <w:lang w:eastAsia="ru-RU"/>
              </w:rPr>
              <w:t>Займы и кредиты</w:t>
            </w:r>
          </w:p>
        </w:tc>
        <w:tc>
          <w:tcPr>
            <w:tcW w:w="587" w:type="pct"/>
            <w:tcBorders>
              <w:top w:val="nil"/>
              <w:left w:val="nil"/>
              <w:bottom w:val="single" w:sz="8" w:space="0" w:color="auto"/>
              <w:right w:val="single" w:sz="8" w:space="0" w:color="auto"/>
            </w:tcBorders>
            <w:shd w:val="clear" w:color="auto" w:fill="auto"/>
            <w:noWrap/>
            <w:vAlign w:val="center"/>
            <w:hideMark/>
          </w:tcPr>
          <w:p w14:paraId="4D20E278" w14:textId="77777777" w:rsidR="009A4C46" w:rsidRPr="009A4C46" w:rsidRDefault="009A4C46" w:rsidP="009A4C46">
            <w:pPr>
              <w:spacing w:after="0" w:line="240" w:lineRule="auto"/>
              <w:jc w:val="center"/>
              <w:rPr>
                <w:rFonts w:eastAsia="Times New Roman"/>
                <w:sz w:val="18"/>
                <w:szCs w:val="18"/>
                <w:lang w:eastAsia="ru-RU"/>
              </w:rPr>
            </w:pPr>
            <w:r w:rsidRPr="009A4C46">
              <w:rPr>
                <w:rFonts w:eastAsia="Times New Roman"/>
                <w:sz w:val="18"/>
                <w:szCs w:val="18"/>
                <w:lang w:eastAsia="ru-RU"/>
              </w:rPr>
              <w:t> </w:t>
            </w:r>
          </w:p>
        </w:tc>
        <w:tc>
          <w:tcPr>
            <w:tcW w:w="592" w:type="pct"/>
            <w:tcBorders>
              <w:top w:val="nil"/>
              <w:left w:val="nil"/>
              <w:bottom w:val="single" w:sz="8" w:space="0" w:color="auto"/>
              <w:right w:val="single" w:sz="8" w:space="0" w:color="auto"/>
            </w:tcBorders>
            <w:shd w:val="clear" w:color="auto" w:fill="auto"/>
            <w:noWrap/>
            <w:vAlign w:val="center"/>
            <w:hideMark/>
          </w:tcPr>
          <w:p w14:paraId="019CFF2C" w14:textId="77777777" w:rsidR="009A4C46" w:rsidRPr="009A4C46" w:rsidRDefault="009A4C46" w:rsidP="009A4C46">
            <w:pPr>
              <w:spacing w:after="0" w:line="240" w:lineRule="auto"/>
              <w:jc w:val="center"/>
              <w:rPr>
                <w:rFonts w:eastAsia="Times New Roman"/>
                <w:sz w:val="18"/>
                <w:szCs w:val="18"/>
                <w:lang w:eastAsia="ru-RU"/>
              </w:rPr>
            </w:pPr>
            <w:r w:rsidRPr="009A4C46">
              <w:rPr>
                <w:rFonts w:eastAsia="Times New Roman"/>
                <w:sz w:val="18"/>
                <w:szCs w:val="18"/>
                <w:lang w:eastAsia="ru-RU"/>
              </w:rPr>
              <w:t> </w:t>
            </w:r>
          </w:p>
        </w:tc>
        <w:tc>
          <w:tcPr>
            <w:tcW w:w="592" w:type="pct"/>
            <w:tcBorders>
              <w:top w:val="nil"/>
              <w:left w:val="nil"/>
              <w:bottom w:val="single" w:sz="8" w:space="0" w:color="auto"/>
              <w:right w:val="single" w:sz="8" w:space="0" w:color="auto"/>
            </w:tcBorders>
            <w:shd w:val="clear" w:color="auto" w:fill="auto"/>
            <w:noWrap/>
            <w:vAlign w:val="center"/>
            <w:hideMark/>
          </w:tcPr>
          <w:p w14:paraId="7EF5EBD6" w14:textId="77777777" w:rsidR="009A4C46" w:rsidRPr="009A4C46" w:rsidRDefault="009A4C46" w:rsidP="009A4C46">
            <w:pPr>
              <w:spacing w:after="0" w:line="240" w:lineRule="auto"/>
              <w:jc w:val="center"/>
              <w:rPr>
                <w:rFonts w:eastAsia="Times New Roman"/>
                <w:sz w:val="18"/>
                <w:szCs w:val="18"/>
                <w:lang w:eastAsia="ru-RU"/>
              </w:rPr>
            </w:pPr>
            <w:r w:rsidRPr="009A4C46">
              <w:rPr>
                <w:rFonts w:eastAsia="Times New Roman"/>
                <w:sz w:val="18"/>
                <w:szCs w:val="18"/>
                <w:lang w:eastAsia="ru-RU"/>
              </w:rPr>
              <w:t> </w:t>
            </w:r>
          </w:p>
        </w:tc>
        <w:tc>
          <w:tcPr>
            <w:tcW w:w="583" w:type="pct"/>
            <w:tcBorders>
              <w:top w:val="nil"/>
              <w:left w:val="nil"/>
              <w:bottom w:val="single" w:sz="8" w:space="0" w:color="auto"/>
              <w:right w:val="single" w:sz="8" w:space="0" w:color="auto"/>
            </w:tcBorders>
            <w:shd w:val="clear" w:color="auto" w:fill="auto"/>
            <w:noWrap/>
            <w:vAlign w:val="center"/>
            <w:hideMark/>
          </w:tcPr>
          <w:p w14:paraId="3B655B11" w14:textId="77777777" w:rsidR="009A4C46" w:rsidRPr="009A4C46" w:rsidRDefault="009A4C46" w:rsidP="009A4C46">
            <w:pPr>
              <w:spacing w:after="0" w:line="240" w:lineRule="auto"/>
              <w:jc w:val="center"/>
              <w:rPr>
                <w:rFonts w:eastAsia="Times New Roman"/>
                <w:sz w:val="18"/>
                <w:szCs w:val="18"/>
                <w:lang w:eastAsia="ru-RU"/>
              </w:rPr>
            </w:pPr>
            <w:r w:rsidRPr="009A4C46">
              <w:rPr>
                <w:rFonts w:eastAsia="Times New Roman"/>
                <w:color w:val="000000"/>
                <w:sz w:val="18"/>
                <w:szCs w:val="18"/>
                <w:lang w:eastAsia="ru-RU"/>
              </w:rPr>
              <w:t>0,00%</w:t>
            </w:r>
          </w:p>
        </w:tc>
        <w:tc>
          <w:tcPr>
            <w:tcW w:w="583" w:type="pct"/>
            <w:tcBorders>
              <w:top w:val="nil"/>
              <w:left w:val="nil"/>
              <w:bottom w:val="single" w:sz="8" w:space="0" w:color="auto"/>
              <w:right w:val="single" w:sz="8" w:space="0" w:color="auto"/>
            </w:tcBorders>
            <w:shd w:val="clear" w:color="auto" w:fill="auto"/>
            <w:noWrap/>
            <w:vAlign w:val="center"/>
            <w:hideMark/>
          </w:tcPr>
          <w:p w14:paraId="3A6376F7" w14:textId="77777777" w:rsidR="009A4C46" w:rsidRPr="009A4C46" w:rsidRDefault="009A4C46" w:rsidP="009A4C46">
            <w:pPr>
              <w:spacing w:after="0" w:line="240" w:lineRule="auto"/>
              <w:jc w:val="center"/>
              <w:rPr>
                <w:rFonts w:eastAsia="Times New Roman"/>
                <w:sz w:val="18"/>
                <w:szCs w:val="18"/>
                <w:lang w:eastAsia="ru-RU"/>
              </w:rPr>
            </w:pPr>
            <w:r w:rsidRPr="009A4C46">
              <w:rPr>
                <w:rFonts w:eastAsia="Times New Roman"/>
                <w:color w:val="000000"/>
                <w:sz w:val="18"/>
                <w:szCs w:val="18"/>
                <w:lang w:eastAsia="ru-RU"/>
              </w:rPr>
              <w:t>0,00%</w:t>
            </w:r>
          </w:p>
        </w:tc>
        <w:tc>
          <w:tcPr>
            <w:tcW w:w="585" w:type="pct"/>
            <w:tcBorders>
              <w:top w:val="nil"/>
              <w:left w:val="nil"/>
              <w:bottom w:val="single" w:sz="8" w:space="0" w:color="auto"/>
              <w:right w:val="single" w:sz="8" w:space="0" w:color="auto"/>
            </w:tcBorders>
            <w:shd w:val="clear" w:color="auto" w:fill="auto"/>
            <w:noWrap/>
            <w:vAlign w:val="center"/>
            <w:hideMark/>
          </w:tcPr>
          <w:p w14:paraId="14D7A8C4" w14:textId="77777777" w:rsidR="009A4C46" w:rsidRPr="009A4C46" w:rsidRDefault="009A4C46" w:rsidP="009A4C46">
            <w:pPr>
              <w:spacing w:after="0" w:line="240" w:lineRule="auto"/>
              <w:jc w:val="center"/>
              <w:rPr>
                <w:rFonts w:eastAsia="Times New Roman"/>
                <w:sz w:val="18"/>
                <w:szCs w:val="18"/>
                <w:lang w:eastAsia="ru-RU"/>
              </w:rPr>
            </w:pPr>
            <w:r w:rsidRPr="009A4C46">
              <w:rPr>
                <w:rFonts w:eastAsia="Times New Roman"/>
                <w:color w:val="000000"/>
                <w:sz w:val="18"/>
                <w:szCs w:val="18"/>
                <w:lang w:eastAsia="ru-RU"/>
              </w:rPr>
              <w:t>0,00%</w:t>
            </w:r>
          </w:p>
        </w:tc>
      </w:tr>
      <w:tr w:rsidR="009A4C46" w:rsidRPr="009A4C46" w14:paraId="09181FA4" w14:textId="77777777" w:rsidTr="00F94FED">
        <w:trPr>
          <w:trHeight w:val="315"/>
        </w:trPr>
        <w:tc>
          <w:tcPr>
            <w:tcW w:w="1479" w:type="pct"/>
            <w:tcBorders>
              <w:top w:val="nil"/>
              <w:left w:val="single" w:sz="8" w:space="0" w:color="auto"/>
              <w:bottom w:val="single" w:sz="8" w:space="0" w:color="auto"/>
              <w:right w:val="single" w:sz="8" w:space="0" w:color="auto"/>
            </w:tcBorders>
            <w:shd w:val="clear" w:color="auto" w:fill="auto"/>
            <w:vAlign w:val="center"/>
            <w:hideMark/>
          </w:tcPr>
          <w:p w14:paraId="2595C9F4" w14:textId="77777777" w:rsidR="009A4C46" w:rsidRPr="009A4C46" w:rsidRDefault="009A4C46" w:rsidP="009A4C46">
            <w:pPr>
              <w:spacing w:after="0" w:line="240" w:lineRule="auto"/>
              <w:jc w:val="right"/>
              <w:rPr>
                <w:rFonts w:eastAsia="Times New Roman"/>
                <w:sz w:val="18"/>
                <w:szCs w:val="18"/>
                <w:lang w:eastAsia="ru-RU"/>
              </w:rPr>
            </w:pPr>
            <w:r w:rsidRPr="009A4C46">
              <w:rPr>
                <w:rFonts w:eastAsia="Times New Roman"/>
                <w:sz w:val="18"/>
                <w:szCs w:val="18"/>
                <w:lang w:eastAsia="ru-RU"/>
              </w:rPr>
              <w:t>Отложенные налоговые обязательства</w:t>
            </w:r>
          </w:p>
        </w:tc>
        <w:tc>
          <w:tcPr>
            <w:tcW w:w="587" w:type="pct"/>
            <w:tcBorders>
              <w:top w:val="nil"/>
              <w:left w:val="nil"/>
              <w:bottom w:val="single" w:sz="8" w:space="0" w:color="auto"/>
              <w:right w:val="single" w:sz="8" w:space="0" w:color="auto"/>
            </w:tcBorders>
            <w:shd w:val="clear" w:color="auto" w:fill="auto"/>
            <w:noWrap/>
            <w:vAlign w:val="center"/>
            <w:hideMark/>
          </w:tcPr>
          <w:p w14:paraId="7E71528E" w14:textId="77777777" w:rsidR="009A4C46" w:rsidRPr="009A4C46" w:rsidRDefault="009A4C46" w:rsidP="009A4C46">
            <w:pPr>
              <w:spacing w:after="0" w:line="240" w:lineRule="auto"/>
              <w:jc w:val="center"/>
              <w:rPr>
                <w:rFonts w:eastAsia="Times New Roman"/>
                <w:sz w:val="18"/>
                <w:szCs w:val="18"/>
                <w:lang w:eastAsia="ru-RU"/>
              </w:rPr>
            </w:pPr>
            <w:r w:rsidRPr="009A4C46">
              <w:rPr>
                <w:rFonts w:eastAsia="Times New Roman"/>
                <w:sz w:val="18"/>
                <w:szCs w:val="18"/>
                <w:lang w:eastAsia="ru-RU"/>
              </w:rPr>
              <w:t>5 014</w:t>
            </w:r>
          </w:p>
        </w:tc>
        <w:tc>
          <w:tcPr>
            <w:tcW w:w="592" w:type="pct"/>
            <w:tcBorders>
              <w:top w:val="nil"/>
              <w:left w:val="nil"/>
              <w:bottom w:val="single" w:sz="8" w:space="0" w:color="auto"/>
              <w:right w:val="single" w:sz="8" w:space="0" w:color="auto"/>
            </w:tcBorders>
            <w:shd w:val="clear" w:color="auto" w:fill="auto"/>
            <w:noWrap/>
            <w:vAlign w:val="center"/>
            <w:hideMark/>
          </w:tcPr>
          <w:p w14:paraId="5C790546" w14:textId="77777777" w:rsidR="009A4C46" w:rsidRPr="009A4C46" w:rsidRDefault="009A4C46" w:rsidP="009A4C46">
            <w:pPr>
              <w:spacing w:after="0" w:line="240" w:lineRule="auto"/>
              <w:jc w:val="center"/>
              <w:rPr>
                <w:rFonts w:eastAsia="Times New Roman"/>
                <w:sz w:val="18"/>
                <w:szCs w:val="18"/>
                <w:lang w:eastAsia="ru-RU"/>
              </w:rPr>
            </w:pPr>
            <w:r w:rsidRPr="009A4C46">
              <w:rPr>
                <w:rFonts w:eastAsia="Times New Roman"/>
                <w:sz w:val="18"/>
                <w:szCs w:val="18"/>
                <w:lang w:eastAsia="ru-RU"/>
              </w:rPr>
              <w:t>10 102</w:t>
            </w:r>
          </w:p>
        </w:tc>
        <w:tc>
          <w:tcPr>
            <w:tcW w:w="592" w:type="pct"/>
            <w:tcBorders>
              <w:top w:val="nil"/>
              <w:left w:val="nil"/>
              <w:bottom w:val="single" w:sz="8" w:space="0" w:color="auto"/>
              <w:right w:val="single" w:sz="8" w:space="0" w:color="auto"/>
            </w:tcBorders>
            <w:shd w:val="clear" w:color="auto" w:fill="auto"/>
            <w:noWrap/>
            <w:vAlign w:val="center"/>
            <w:hideMark/>
          </w:tcPr>
          <w:p w14:paraId="29CC39A7" w14:textId="77777777" w:rsidR="009A4C46" w:rsidRPr="009A4C46" w:rsidRDefault="009A4C46" w:rsidP="009A4C46">
            <w:pPr>
              <w:spacing w:after="0" w:line="240" w:lineRule="auto"/>
              <w:jc w:val="center"/>
              <w:rPr>
                <w:rFonts w:eastAsia="Times New Roman"/>
                <w:sz w:val="18"/>
                <w:szCs w:val="18"/>
                <w:lang w:eastAsia="ru-RU"/>
              </w:rPr>
            </w:pPr>
            <w:r w:rsidRPr="009A4C46">
              <w:rPr>
                <w:rFonts w:eastAsia="Times New Roman"/>
                <w:sz w:val="18"/>
                <w:szCs w:val="18"/>
                <w:lang w:eastAsia="ru-RU"/>
              </w:rPr>
              <w:t> </w:t>
            </w:r>
          </w:p>
        </w:tc>
        <w:tc>
          <w:tcPr>
            <w:tcW w:w="583" w:type="pct"/>
            <w:tcBorders>
              <w:top w:val="nil"/>
              <w:left w:val="nil"/>
              <w:bottom w:val="single" w:sz="8" w:space="0" w:color="auto"/>
              <w:right w:val="single" w:sz="8" w:space="0" w:color="auto"/>
            </w:tcBorders>
            <w:shd w:val="clear" w:color="auto" w:fill="auto"/>
            <w:noWrap/>
            <w:vAlign w:val="center"/>
            <w:hideMark/>
          </w:tcPr>
          <w:p w14:paraId="1ACC92BD" w14:textId="77777777" w:rsidR="009A4C46" w:rsidRPr="009A4C46" w:rsidRDefault="009A4C46" w:rsidP="009A4C46">
            <w:pPr>
              <w:spacing w:after="0" w:line="240" w:lineRule="auto"/>
              <w:jc w:val="center"/>
              <w:rPr>
                <w:rFonts w:eastAsia="Times New Roman"/>
                <w:sz w:val="18"/>
                <w:szCs w:val="18"/>
                <w:lang w:eastAsia="ru-RU"/>
              </w:rPr>
            </w:pPr>
            <w:r w:rsidRPr="009A4C46">
              <w:rPr>
                <w:rFonts w:eastAsia="Times New Roman"/>
                <w:color w:val="000000"/>
                <w:sz w:val="18"/>
                <w:szCs w:val="18"/>
                <w:lang w:eastAsia="ru-RU"/>
              </w:rPr>
              <w:t>0,19%</w:t>
            </w:r>
          </w:p>
        </w:tc>
        <w:tc>
          <w:tcPr>
            <w:tcW w:w="583" w:type="pct"/>
            <w:tcBorders>
              <w:top w:val="nil"/>
              <w:left w:val="nil"/>
              <w:bottom w:val="single" w:sz="8" w:space="0" w:color="auto"/>
              <w:right w:val="single" w:sz="8" w:space="0" w:color="auto"/>
            </w:tcBorders>
            <w:shd w:val="clear" w:color="auto" w:fill="auto"/>
            <w:noWrap/>
            <w:vAlign w:val="center"/>
            <w:hideMark/>
          </w:tcPr>
          <w:p w14:paraId="352612AF" w14:textId="77777777" w:rsidR="009A4C46" w:rsidRPr="009A4C46" w:rsidRDefault="009A4C46" w:rsidP="009A4C46">
            <w:pPr>
              <w:spacing w:after="0" w:line="240" w:lineRule="auto"/>
              <w:jc w:val="center"/>
              <w:rPr>
                <w:rFonts w:eastAsia="Times New Roman"/>
                <w:sz w:val="18"/>
                <w:szCs w:val="18"/>
                <w:lang w:eastAsia="ru-RU"/>
              </w:rPr>
            </w:pPr>
            <w:r w:rsidRPr="009A4C46">
              <w:rPr>
                <w:rFonts w:eastAsia="Times New Roman"/>
                <w:color w:val="000000"/>
                <w:sz w:val="18"/>
                <w:szCs w:val="18"/>
                <w:lang w:eastAsia="ru-RU"/>
              </w:rPr>
              <w:t>0,37%</w:t>
            </w:r>
          </w:p>
        </w:tc>
        <w:tc>
          <w:tcPr>
            <w:tcW w:w="585" w:type="pct"/>
            <w:tcBorders>
              <w:top w:val="nil"/>
              <w:left w:val="nil"/>
              <w:bottom w:val="single" w:sz="8" w:space="0" w:color="auto"/>
              <w:right w:val="single" w:sz="8" w:space="0" w:color="auto"/>
            </w:tcBorders>
            <w:shd w:val="clear" w:color="auto" w:fill="auto"/>
            <w:noWrap/>
            <w:vAlign w:val="center"/>
            <w:hideMark/>
          </w:tcPr>
          <w:p w14:paraId="10A79BFE" w14:textId="77777777" w:rsidR="009A4C46" w:rsidRPr="009A4C46" w:rsidRDefault="009A4C46" w:rsidP="009A4C46">
            <w:pPr>
              <w:spacing w:after="0" w:line="240" w:lineRule="auto"/>
              <w:jc w:val="center"/>
              <w:rPr>
                <w:rFonts w:eastAsia="Times New Roman"/>
                <w:sz w:val="18"/>
                <w:szCs w:val="18"/>
                <w:lang w:eastAsia="ru-RU"/>
              </w:rPr>
            </w:pPr>
            <w:r w:rsidRPr="009A4C46">
              <w:rPr>
                <w:rFonts w:eastAsia="Times New Roman"/>
                <w:color w:val="000000"/>
                <w:sz w:val="18"/>
                <w:szCs w:val="18"/>
                <w:lang w:eastAsia="ru-RU"/>
              </w:rPr>
              <w:t>0,00%</w:t>
            </w:r>
          </w:p>
        </w:tc>
      </w:tr>
      <w:tr w:rsidR="009A4C46" w:rsidRPr="009A4C46" w14:paraId="6191374E" w14:textId="77777777" w:rsidTr="00F94FED">
        <w:trPr>
          <w:trHeight w:val="315"/>
        </w:trPr>
        <w:tc>
          <w:tcPr>
            <w:tcW w:w="1479" w:type="pct"/>
            <w:tcBorders>
              <w:top w:val="nil"/>
              <w:left w:val="single" w:sz="8" w:space="0" w:color="auto"/>
              <w:bottom w:val="single" w:sz="8" w:space="0" w:color="auto"/>
              <w:right w:val="single" w:sz="8" w:space="0" w:color="auto"/>
            </w:tcBorders>
            <w:shd w:val="clear" w:color="auto" w:fill="auto"/>
            <w:vAlign w:val="center"/>
            <w:hideMark/>
          </w:tcPr>
          <w:p w14:paraId="7D828B2D" w14:textId="77777777" w:rsidR="009A4C46" w:rsidRPr="009A4C46" w:rsidRDefault="009A4C46" w:rsidP="009A4C46">
            <w:pPr>
              <w:spacing w:after="0" w:line="240" w:lineRule="auto"/>
              <w:jc w:val="right"/>
              <w:rPr>
                <w:rFonts w:eastAsia="Times New Roman"/>
                <w:sz w:val="18"/>
                <w:szCs w:val="18"/>
                <w:lang w:eastAsia="ru-RU"/>
              </w:rPr>
            </w:pPr>
            <w:r w:rsidRPr="009A4C46">
              <w:rPr>
                <w:rFonts w:eastAsia="Times New Roman"/>
                <w:sz w:val="18"/>
                <w:szCs w:val="18"/>
                <w:lang w:eastAsia="ru-RU"/>
              </w:rPr>
              <w:lastRenderedPageBreak/>
              <w:t>Прочие долгосрочные обязательства</w:t>
            </w:r>
          </w:p>
        </w:tc>
        <w:tc>
          <w:tcPr>
            <w:tcW w:w="587" w:type="pct"/>
            <w:tcBorders>
              <w:top w:val="nil"/>
              <w:left w:val="nil"/>
              <w:bottom w:val="single" w:sz="8" w:space="0" w:color="auto"/>
              <w:right w:val="single" w:sz="8" w:space="0" w:color="auto"/>
            </w:tcBorders>
            <w:shd w:val="clear" w:color="auto" w:fill="auto"/>
            <w:noWrap/>
            <w:vAlign w:val="center"/>
            <w:hideMark/>
          </w:tcPr>
          <w:p w14:paraId="14222AD2" w14:textId="77777777" w:rsidR="009A4C46" w:rsidRPr="009A4C46" w:rsidRDefault="009A4C46" w:rsidP="009A4C46">
            <w:pPr>
              <w:spacing w:after="0" w:line="240" w:lineRule="auto"/>
              <w:jc w:val="center"/>
              <w:rPr>
                <w:rFonts w:eastAsia="Times New Roman"/>
                <w:sz w:val="18"/>
                <w:szCs w:val="18"/>
                <w:lang w:eastAsia="ru-RU"/>
              </w:rPr>
            </w:pPr>
            <w:r w:rsidRPr="009A4C46">
              <w:rPr>
                <w:rFonts w:eastAsia="Times New Roman"/>
                <w:sz w:val="18"/>
                <w:szCs w:val="18"/>
                <w:lang w:eastAsia="ru-RU"/>
              </w:rPr>
              <w:t> </w:t>
            </w:r>
          </w:p>
        </w:tc>
        <w:tc>
          <w:tcPr>
            <w:tcW w:w="592" w:type="pct"/>
            <w:tcBorders>
              <w:top w:val="nil"/>
              <w:left w:val="nil"/>
              <w:bottom w:val="single" w:sz="8" w:space="0" w:color="auto"/>
              <w:right w:val="single" w:sz="8" w:space="0" w:color="auto"/>
            </w:tcBorders>
            <w:shd w:val="clear" w:color="auto" w:fill="auto"/>
            <w:noWrap/>
            <w:vAlign w:val="center"/>
            <w:hideMark/>
          </w:tcPr>
          <w:p w14:paraId="7DD17C4C" w14:textId="77777777" w:rsidR="009A4C46" w:rsidRPr="009A4C46" w:rsidRDefault="009A4C46" w:rsidP="009A4C46">
            <w:pPr>
              <w:spacing w:after="0" w:line="240" w:lineRule="auto"/>
              <w:jc w:val="center"/>
              <w:rPr>
                <w:rFonts w:eastAsia="Times New Roman"/>
                <w:sz w:val="18"/>
                <w:szCs w:val="18"/>
                <w:lang w:eastAsia="ru-RU"/>
              </w:rPr>
            </w:pPr>
            <w:r w:rsidRPr="009A4C46">
              <w:rPr>
                <w:rFonts w:eastAsia="Times New Roman"/>
                <w:sz w:val="18"/>
                <w:szCs w:val="18"/>
                <w:lang w:eastAsia="ru-RU"/>
              </w:rPr>
              <w:t> </w:t>
            </w:r>
          </w:p>
        </w:tc>
        <w:tc>
          <w:tcPr>
            <w:tcW w:w="592" w:type="pct"/>
            <w:tcBorders>
              <w:top w:val="nil"/>
              <w:left w:val="nil"/>
              <w:bottom w:val="single" w:sz="8" w:space="0" w:color="auto"/>
              <w:right w:val="single" w:sz="8" w:space="0" w:color="auto"/>
            </w:tcBorders>
            <w:shd w:val="clear" w:color="auto" w:fill="auto"/>
            <w:noWrap/>
            <w:vAlign w:val="center"/>
            <w:hideMark/>
          </w:tcPr>
          <w:p w14:paraId="689A70C9" w14:textId="77777777" w:rsidR="009A4C46" w:rsidRPr="009A4C46" w:rsidRDefault="009A4C46" w:rsidP="009A4C46">
            <w:pPr>
              <w:spacing w:after="0" w:line="240" w:lineRule="auto"/>
              <w:jc w:val="center"/>
              <w:rPr>
                <w:rFonts w:eastAsia="Times New Roman"/>
                <w:sz w:val="18"/>
                <w:szCs w:val="18"/>
                <w:lang w:eastAsia="ru-RU"/>
              </w:rPr>
            </w:pPr>
            <w:r w:rsidRPr="009A4C46">
              <w:rPr>
                <w:rFonts w:eastAsia="Times New Roman"/>
                <w:sz w:val="18"/>
                <w:szCs w:val="18"/>
                <w:lang w:eastAsia="ru-RU"/>
              </w:rPr>
              <w:t>1 553 621</w:t>
            </w:r>
          </w:p>
        </w:tc>
        <w:tc>
          <w:tcPr>
            <w:tcW w:w="583" w:type="pct"/>
            <w:tcBorders>
              <w:top w:val="nil"/>
              <w:left w:val="nil"/>
              <w:bottom w:val="single" w:sz="8" w:space="0" w:color="auto"/>
              <w:right w:val="single" w:sz="8" w:space="0" w:color="auto"/>
            </w:tcBorders>
            <w:shd w:val="clear" w:color="auto" w:fill="auto"/>
            <w:noWrap/>
            <w:vAlign w:val="center"/>
            <w:hideMark/>
          </w:tcPr>
          <w:p w14:paraId="07E5AE8F" w14:textId="77777777" w:rsidR="009A4C46" w:rsidRPr="009A4C46" w:rsidRDefault="009A4C46" w:rsidP="009A4C46">
            <w:pPr>
              <w:spacing w:after="0" w:line="240" w:lineRule="auto"/>
              <w:jc w:val="center"/>
              <w:rPr>
                <w:rFonts w:eastAsia="Times New Roman"/>
                <w:sz w:val="18"/>
                <w:szCs w:val="18"/>
                <w:lang w:eastAsia="ru-RU"/>
              </w:rPr>
            </w:pPr>
            <w:r w:rsidRPr="009A4C46">
              <w:rPr>
                <w:rFonts w:eastAsia="Times New Roman"/>
                <w:color w:val="000000"/>
                <w:sz w:val="18"/>
                <w:szCs w:val="18"/>
                <w:lang w:eastAsia="ru-RU"/>
              </w:rPr>
              <w:t>0,00%</w:t>
            </w:r>
          </w:p>
        </w:tc>
        <w:tc>
          <w:tcPr>
            <w:tcW w:w="583" w:type="pct"/>
            <w:tcBorders>
              <w:top w:val="nil"/>
              <w:left w:val="nil"/>
              <w:bottom w:val="single" w:sz="8" w:space="0" w:color="auto"/>
              <w:right w:val="single" w:sz="8" w:space="0" w:color="auto"/>
            </w:tcBorders>
            <w:shd w:val="clear" w:color="auto" w:fill="auto"/>
            <w:noWrap/>
            <w:vAlign w:val="center"/>
            <w:hideMark/>
          </w:tcPr>
          <w:p w14:paraId="116647C5" w14:textId="77777777" w:rsidR="009A4C46" w:rsidRPr="009A4C46" w:rsidRDefault="009A4C46" w:rsidP="009A4C46">
            <w:pPr>
              <w:spacing w:after="0" w:line="240" w:lineRule="auto"/>
              <w:jc w:val="center"/>
              <w:rPr>
                <w:rFonts w:eastAsia="Times New Roman"/>
                <w:sz w:val="18"/>
                <w:szCs w:val="18"/>
                <w:lang w:eastAsia="ru-RU"/>
              </w:rPr>
            </w:pPr>
            <w:r w:rsidRPr="009A4C46">
              <w:rPr>
                <w:rFonts w:eastAsia="Times New Roman"/>
                <w:color w:val="000000"/>
                <w:sz w:val="18"/>
                <w:szCs w:val="18"/>
                <w:lang w:eastAsia="ru-RU"/>
              </w:rPr>
              <w:t>0,00%</w:t>
            </w:r>
          </w:p>
        </w:tc>
        <w:tc>
          <w:tcPr>
            <w:tcW w:w="585" w:type="pct"/>
            <w:tcBorders>
              <w:top w:val="nil"/>
              <w:left w:val="nil"/>
              <w:bottom w:val="single" w:sz="8" w:space="0" w:color="auto"/>
              <w:right w:val="single" w:sz="8" w:space="0" w:color="auto"/>
            </w:tcBorders>
            <w:shd w:val="clear" w:color="auto" w:fill="auto"/>
            <w:noWrap/>
            <w:vAlign w:val="center"/>
            <w:hideMark/>
          </w:tcPr>
          <w:p w14:paraId="1BDBFD4D" w14:textId="77777777" w:rsidR="009A4C46" w:rsidRPr="009A4C46" w:rsidRDefault="009A4C46" w:rsidP="009A4C46">
            <w:pPr>
              <w:spacing w:after="0" w:line="240" w:lineRule="auto"/>
              <w:jc w:val="center"/>
              <w:rPr>
                <w:rFonts w:eastAsia="Times New Roman"/>
                <w:sz w:val="18"/>
                <w:szCs w:val="18"/>
                <w:lang w:eastAsia="ru-RU"/>
              </w:rPr>
            </w:pPr>
            <w:r w:rsidRPr="009A4C46">
              <w:rPr>
                <w:rFonts w:eastAsia="Times New Roman"/>
                <w:color w:val="000000"/>
                <w:sz w:val="18"/>
                <w:szCs w:val="18"/>
                <w:lang w:eastAsia="ru-RU"/>
              </w:rPr>
              <w:t>80,93%</w:t>
            </w:r>
          </w:p>
        </w:tc>
      </w:tr>
      <w:tr w:rsidR="009A4C46" w:rsidRPr="005C3ACA" w14:paraId="7E06CAA0" w14:textId="77777777" w:rsidTr="005C3ACA">
        <w:trPr>
          <w:trHeight w:val="315"/>
        </w:trPr>
        <w:tc>
          <w:tcPr>
            <w:tcW w:w="1479" w:type="pct"/>
            <w:tcBorders>
              <w:top w:val="nil"/>
              <w:left w:val="single" w:sz="8" w:space="0" w:color="auto"/>
              <w:bottom w:val="single" w:sz="8" w:space="0" w:color="auto"/>
              <w:right w:val="single" w:sz="8" w:space="0" w:color="auto"/>
            </w:tcBorders>
            <w:shd w:val="clear" w:color="auto" w:fill="D6E3BC" w:themeFill="accent3" w:themeFillTint="66"/>
            <w:vAlign w:val="center"/>
            <w:hideMark/>
          </w:tcPr>
          <w:p w14:paraId="1B039E5A" w14:textId="77777777" w:rsidR="009A4C46" w:rsidRPr="005C3ACA" w:rsidRDefault="009A4C46" w:rsidP="009A4C46">
            <w:pPr>
              <w:spacing w:after="0" w:line="240" w:lineRule="auto"/>
              <w:rPr>
                <w:rFonts w:eastAsia="Times New Roman"/>
                <w:b/>
                <w:bCs/>
                <w:sz w:val="18"/>
                <w:szCs w:val="18"/>
                <w:lang w:eastAsia="ru-RU"/>
              </w:rPr>
            </w:pPr>
            <w:r w:rsidRPr="005C3ACA">
              <w:rPr>
                <w:rFonts w:eastAsia="Times New Roman"/>
                <w:b/>
                <w:bCs/>
                <w:sz w:val="18"/>
                <w:szCs w:val="18"/>
                <w:lang w:eastAsia="ru-RU"/>
              </w:rPr>
              <w:t>КРАТКОСРОЧНЫЕ ОБЯЗАТЕЛЬСТВА</w:t>
            </w:r>
          </w:p>
        </w:tc>
        <w:tc>
          <w:tcPr>
            <w:tcW w:w="587" w:type="pct"/>
            <w:tcBorders>
              <w:top w:val="nil"/>
              <w:left w:val="nil"/>
              <w:bottom w:val="single" w:sz="8" w:space="0" w:color="auto"/>
              <w:right w:val="single" w:sz="8" w:space="0" w:color="auto"/>
            </w:tcBorders>
            <w:shd w:val="clear" w:color="auto" w:fill="D6E3BC" w:themeFill="accent3" w:themeFillTint="66"/>
            <w:noWrap/>
            <w:vAlign w:val="center"/>
            <w:hideMark/>
          </w:tcPr>
          <w:p w14:paraId="74DEB590" w14:textId="77777777" w:rsidR="009A4C46" w:rsidRPr="005C3ACA" w:rsidRDefault="009A4C46" w:rsidP="009A4C46">
            <w:pPr>
              <w:spacing w:after="0" w:line="240" w:lineRule="auto"/>
              <w:jc w:val="center"/>
              <w:rPr>
                <w:rFonts w:eastAsia="Times New Roman"/>
                <w:b/>
                <w:bCs/>
                <w:sz w:val="18"/>
                <w:szCs w:val="18"/>
                <w:lang w:eastAsia="ru-RU"/>
              </w:rPr>
            </w:pPr>
            <w:r w:rsidRPr="005C3ACA">
              <w:rPr>
                <w:rFonts w:eastAsia="Times New Roman"/>
                <w:b/>
                <w:bCs/>
                <w:sz w:val="18"/>
                <w:szCs w:val="18"/>
                <w:lang w:eastAsia="ru-RU"/>
              </w:rPr>
              <w:t>2 612 159</w:t>
            </w:r>
          </w:p>
        </w:tc>
        <w:tc>
          <w:tcPr>
            <w:tcW w:w="592" w:type="pct"/>
            <w:tcBorders>
              <w:top w:val="nil"/>
              <w:left w:val="nil"/>
              <w:bottom w:val="single" w:sz="8" w:space="0" w:color="auto"/>
              <w:right w:val="single" w:sz="8" w:space="0" w:color="auto"/>
            </w:tcBorders>
            <w:shd w:val="clear" w:color="auto" w:fill="D6E3BC" w:themeFill="accent3" w:themeFillTint="66"/>
            <w:noWrap/>
            <w:vAlign w:val="center"/>
            <w:hideMark/>
          </w:tcPr>
          <w:p w14:paraId="1EE85179" w14:textId="77777777" w:rsidR="009A4C46" w:rsidRPr="005C3ACA" w:rsidRDefault="009A4C46" w:rsidP="009A4C46">
            <w:pPr>
              <w:spacing w:after="0" w:line="240" w:lineRule="auto"/>
              <w:jc w:val="center"/>
              <w:rPr>
                <w:rFonts w:eastAsia="Times New Roman"/>
                <w:b/>
                <w:bCs/>
                <w:sz w:val="18"/>
                <w:szCs w:val="18"/>
                <w:lang w:eastAsia="ru-RU"/>
              </w:rPr>
            </w:pPr>
            <w:r w:rsidRPr="005C3ACA">
              <w:rPr>
                <w:rFonts w:eastAsia="Times New Roman"/>
                <w:b/>
                <w:bCs/>
                <w:sz w:val="18"/>
                <w:szCs w:val="18"/>
                <w:lang w:eastAsia="ru-RU"/>
              </w:rPr>
              <w:t>2 259 865</w:t>
            </w:r>
          </w:p>
        </w:tc>
        <w:tc>
          <w:tcPr>
            <w:tcW w:w="592" w:type="pct"/>
            <w:tcBorders>
              <w:top w:val="nil"/>
              <w:left w:val="nil"/>
              <w:bottom w:val="single" w:sz="8" w:space="0" w:color="auto"/>
              <w:right w:val="single" w:sz="8" w:space="0" w:color="auto"/>
            </w:tcBorders>
            <w:shd w:val="clear" w:color="auto" w:fill="D6E3BC" w:themeFill="accent3" w:themeFillTint="66"/>
            <w:noWrap/>
            <w:vAlign w:val="center"/>
            <w:hideMark/>
          </w:tcPr>
          <w:p w14:paraId="518A41AF" w14:textId="77777777" w:rsidR="009A4C46" w:rsidRPr="005C3ACA" w:rsidRDefault="009A4C46" w:rsidP="009A4C46">
            <w:pPr>
              <w:spacing w:after="0" w:line="240" w:lineRule="auto"/>
              <w:jc w:val="center"/>
              <w:rPr>
                <w:rFonts w:eastAsia="Times New Roman"/>
                <w:b/>
                <w:bCs/>
                <w:sz w:val="18"/>
                <w:szCs w:val="18"/>
                <w:lang w:eastAsia="ru-RU"/>
              </w:rPr>
            </w:pPr>
            <w:r w:rsidRPr="005C3ACA">
              <w:rPr>
                <w:rFonts w:eastAsia="Times New Roman"/>
                <w:b/>
                <w:bCs/>
                <w:sz w:val="18"/>
                <w:szCs w:val="18"/>
                <w:lang w:eastAsia="ru-RU"/>
              </w:rPr>
              <w:t>368 594</w:t>
            </w:r>
          </w:p>
        </w:tc>
        <w:tc>
          <w:tcPr>
            <w:tcW w:w="583" w:type="pct"/>
            <w:tcBorders>
              <w:top w:val="nil"/>
              <w:left w:val="nil"/>
              <w:bottom w:val="single" w:sz="8" w:space="0" w:color="auto"/>
              <w:right w:val="single" w:sz="8" w:space="0" w:color="auto"/>
            </w:tcBorders>
            <w:shd w:val="clear" w:color="auto" w:fill="D6E3BC" w:themeFill="accent3" w:themeFillTint="66"/>
            <w:noWrap/>
            <w:vAlign w:val="center"/>
            <w:hideMark/>
          </w:tcPr>
          <w:p w14:paraId="4006AF4A" w14:textId="77777777" w:rsidR="009A4C46" w:rsidRPr="005C3ACA" w:rsidRDefault="009A4C46" w:rsidP="009A4C46">
            <w:pPr>
              <w:spacing w:after="0" w:line="240" w:lineRule="auto"/>
              <w:jc w:val="center"/>
              <w:rPr>
                <w:rFonts w:eastAsia="Times New Roman"/>
                <w:b/>
                <w:bCs/>
                <w:sz w:val="18"/>
                <w:szCs w:val="18"/>
                <w:lang w:eastAsia="ru-RU"/>
              </w:rPr>
            </w:pPr>
            <w:r w:rsidRPr="005C3ACA">
              <w:rPr>
                <w:rFonts w:eastAsia="Times New Roman"/>
                <w:b/>
                <w:bCs/>
                <w:color w:val="000000"/>
                <w:sz w:val="18"/>
                <w:szCs w:val="18"/>
                <w:lang w:eastAsia="ru-RU"/>
              </w:rPr>
              <w:t>96,99%</w:t>
            </w:r>
          </w:p>
        </w:tc>
        <w:tc>
          <w:tcPr>
            <w:tcW w:w="583" w:type="pct"/>
            <w:tcBorders>
              <w:top w:val="nil"/>
              <w:left w:val="nil"/>
              <w:bottom w:val="single" w:sz="8" w:space="0" w:color="auto"/>
              <w:right w:val="single" w:sz="8" w:space="0" w:color="auto"/>
            </w:tcBorders>
            <w:shd w:val="clear" w:color="auto" w:fill="D6E3BC" w:themeFill="accent3" w:themeFillTint="66"/>
            <w:noWrap/>
            <w:vAlign w:val="center"/>
            <w:hideMark/>
          </w:tcPr>
          <w:p w14:paraId="5B7F861E" w14:textId="77777777" w:rsidR="009A4C46" w:rsidRPr="005C3ACA" w:rsidRDefault="009A4C46" w:rsidP="009A4C46">
            <w:pPr>
              <w:spacing w:after="0" w:line="240" w:lineRule="auto"/>
              <w:jc w:val="center"/>
              <w:rPr>
                <w:rFonts w:eastAsia="Times New Roman"/>
                <w:b/>
                <w:bCs/>
                <w:sz w:val="18"/>
                <w:szCs w:val="18"/>
                <w:lang w:eastAsia="ru-RU"/>
              </w:rPr>
            </w:pPr>
            <w:r w:rsidRPr="005C3ACA">
              <w:rPr>
                <w:rFonts w:eastAsia="Times New Roman"/>
                <w:b/>
                <w:bCs/>
                <w:color w:val="000000"/>
                <w:sz w:val="18"/>
                <w:szCs w:val="18"/>
                <w:lang w:eastAsia="ru-RU"/>
              </w:rPr>
              <w:t>81,77%</w:t>
            </w:r>
          </w:p>
        </w:tc>
        <w:tc>
          <w:tcPr>
            <w:tcW w:w="585" w:type="pct"/>
            <w:tcBorders>
              <w:top w:val="nil"/>
              <w:left w:val="nil"/>
              <w:bottom w:val="single" w:sz="8" w:space="0" w:color="auto"/>
              <w:right w:val="single" w:sz="8" w:space="0" w:color="auto"/>
            </w:tcBorders>
            <w:shd w:val="clear" w:color="auto" w:fill="D6E3BC" w:themeFill="accent3" w:themeFillTint="66"/>
            <w:noWrap/>
            <w:vAlign w:val="center"/>
            <w:hideMark/>
          </w:tcPr>
          <w:p w14:paraId="46491DBE" w14:textId="77777777" w:rsidR="009A4C46" w:rsidRPr="005C3ACA" w:rsidRDefault="009A4C46" w:rsidP="009A4C46">
            <w:pPr>
              <w:spacing w:after="0" w:line="240" w:lineRule="auto"/>
              <w:jc w:val="center"/>
              <w:rPr>
                <w:rFonts w:eastAsia="Times New Roman"/>
                <w:b/>
                <w:bCs/>
                <w:sz w:val="18"/>
                <w:szCs w:val="18"/>
                <w:lang w:eastAsia="ru-RU"/>
              </w:rPr>
            </w:pPr>
            <w:r w:rsidRPr="005C3ACA">
              <w:rPr>
                <w:rFonts w:eastAsia="Times New Roman"/>
                <w:b/>
                <w:bCs/>
                <w:color w:val="000000"/>
                <w:sz w:val="18"/>
                <w:szCs w:val="18"/>
                <w:lang w:eastAsia="ru-RU"/>
              </w:rPr>
              <w:t>19,20%</w:t>
            </w:r>
          </w:p>
        </w:tc>
      </w:tr>
      <w:tr w:rsidR="009A4C46" w:rsidRPr="009A4C46" w14:paraId="493C0CE9" w14:textId="77777777" w:rsidTr="00F94FED">
        <w:trPr>
          <w:trHeight w:val="315"/>
        </w:trPr>
        <w:tc>
          <w:tcPr>
            <w:tcW w:w="1479" w:type="pct"/>
            <w:tcBorders>
              <w:top w:val="nil"/>
              <w:left w:val="single" w:sz="8" w:space="0" w:color="auto"/>
              <w:bottom w:val="single" w:sz="8" w:space="0" w:color="auto"/>
              <w:right w:val="single" w:sz="8" w:space="0" w:color="auto"/>
            </w:tcBorders>
            <w:shd w:val="clear" w:color="auto" w:fill="auto"/>
            <w:vAlign w:val="center"/>
            <w:hideMark/>
          </w:tcPr>
          <w:p w14:paraId="65985CB3" w14:textId="77777777" w:rsidR="009A4C46" w:rsidRPr="009A4C46" w:rsidRDefault="009A4C46" w:rsidP="009A4C46">
            <w:pPr>
              <w:spacing w:after="0" w:line="240" w:lineRule="auto"/>
              <w:jc w:val="right"/>
              <w:rPr>
                <w:rFonts w:eastAsia="Times New Roman"/>
                <w:sz w:val="18"/>
                <w:szCs w:val="18"/>
                <w:lang w:eastAsia="ru-RU"/>
              </w:rPr>
            </w:pPr>
            <w:r w:rsidRPr="009A4C46">
              <w:rPr>
                <w:rFonts w:eastAsia="Times New Roman"/>
                <w:sz w:val="18"/>
                <w:szCs w:val="18"/>
                <w:lang w:eastAsia="ru-RU"/>
              </w:rPr>
              <w:t>Займы и кредиты</w:t>
            </w:r>
          </w:p>
        </w:tc>
        <w:tc>
          <w:tcPr>
            <w:tcW w:w="587" w:type="pct"/>
            <w:tcBorders>
              <w:top w:val="nil"/>
              <w:left w:val="nil"/>
              <w:bottom w:val="single" w:sz="8" w:space="0" w:color="auto"/>
              <w:right w:val="single" w:sz="8" w:space="0" w:color="auto"/>
            </w:tcBorders>
            <w:shd w:val="clear" w:color="auto" w:fill="auto"/>
            <w:noWrap/>
            <w:vAlign w:val="center"/>
            <w:hideMark/>
          </w:tcPr>
          <w:p w14:paraId="2129338B" w14:textId="77777777" w:rsidR="009A4C46" w:rsidRPr="009A4C46" w:rsidRDefault="009A4C46" w:rsidP="009A4C46">
            <w:pPr>
              <w:spacing w:after="0" w:line="240" w:lineRule="auto"/>
              <w:jc w:val="center"/>
              <w:rPr>
                <w:rFonts w:eastAsia="Times New Roman"/>
                <w:sz w:val="18"/>
                <w:szCs w:val="18"/>
                <w:lang w:eastAsia="ru-RU"/>
              </w:rPr>
            </w:pPr>
            <w:r w:rsidRPr="009A4C46">
              <w:rPr>
                <w:rFonts w:eastAsia="Times New Roman"/>
                <w:sz w:val="18"/>
                <w:szCs w:val="18"/>
                <w:lang w:eastAsia="ru-RU"/>
              </w:rPr>
              <w:t>86 574</w:t>
            </w:r>
          </w:p>
        </w:tc>
        <w:tc>
          <w:tcPr>
            <w:tcW w:w="592" w:type="pct"/>
            <w:tcBorders>
              <w:top w:val="nil"/>
              <w:left w:val="nil"/>
              <w:bottom w:val="single" w:sz="8" w:space="0" w:color="auto"/>
              <w:right w:val="single" w:sz="8" w:space="0" w:color="auto"/>
            </w:tcBorders>
            <w:shd w:val="clear" w:color="auto" w:fill="auto"/>
            <w:noWrap/>
            <w:vAlign w:val="center"/>
            <w:hideMark/>
          </w:tcPr>
          <w:p w14:paraId="44AB2048" w14:textId="77777777" w:rsidR="009A4C46" w:rsidRPr="009A4C46" w:rsidRDefault="009A4C46" w:rsidP="009A4C46">
            <w:pPr>
              <w:spacing w:after="0" w:line="240" w:lineRule="auto"/>
              <w:jc w:val="center"/>
              <w:rPr>
                <w:rFonts w:eastAsia="Times New Roman"/>
                <w:sz w:val="18"/>
                <w:szCs w:val="18"/>
                <w:lang w:eastAsia="ru-RU"/>
              </w:rPr>
            </w:pPr>
            <w:r w:rsidRPr="009A4C46">
              <w:rPr>
                <w:rFonts w:eastAsia="Times New Roman"/>
                <w:sz w:val="18"/>
                <w:szCs w:val="18"/>
                <w:lang w:eastAsia="ru-RU"/>
              </w:rPr>
              <w:t>45 890</w:t>
            </w:r>
          </w:p>
        </w:tc>
        <w:tc>
          <w:tcPr>
            <w:tcW w:w="592" w:type="pct"/>
            <w:tcBorders>
              <w:top w:val="nil"/>
              <w:left w:val="nil"/>
              <w:bottom w:val="single" w:sz="8" w:space="0" w:color="auto"/>
              <w:right w:val="single" w:sz="8" w:space="0" w:color="auto"/>
            </w:tcBorders>
            <w:shd w:val="clear" w:color="auto" w:fill="auto"/>
            <w:noWrap/>
            <w:vAlign w:val="center"/>
            <w:hideMark/>
          </w:tcPr>
          <w:p w14:paraId="74023A40" w14:textId="77777777" w:rsidR="009A4C46" w:rsidRPr="009A4C46" w:rsidRDefault="009A4C46" w:rsidP="009A4C46">
            <w:pPr>
              <w:spacing w:after="0" w:line="240" w:lineRule="auto"/>
              <w:jc w:val="center"/>
              <w:rPr>
                <w:rFonts w:eastAsia="Times New Roman"/>
                <w:sz w:val="18"/>
                <w:szCs w:val="18"/>
                <w:lang w:eastAsia="ru-RU"/>
              </w:rPr>
            </w:pPr>
            <w:r w:rsidRPr="009A4C46">
              <w:rPr>
                <w:rFonts w:eastAsia="Times New Roman"/>
                <w:sz w:val="18"/>
                <w:szCs w:val="18"/>
                <w:lang w:eastAsia="ru-RU"/>
              </w:rPr>
              <w:t> </w:t>
            </w:r>
          </w:p>
        </w:tc>
        <w:tc>
          <w:tcPr>
            <w:tcW w:w="583" w:type="pct"/>
            <w:tcBorders>
              <w:top w:val="nil"/>
              <w:left w:val="nil"/>
              <w:bottom w:val="single" w:sz="8" w:space="0" w:color="auto"/>
              <w:right w:val="single" w:sz="8" w:space="0" w:color="auto"/>
            </w:tcBorders>
            <w:shd w:val="clear" w:color="auto" w:fill="auto"/>
            <w:noWrap/>
            <w:vAlign w:val="center"/>
            <w:hideMark/>
          </w:tcPr>
          <w:p w14:paraId="1481B020" w14:textId="77777777" w:rsidR="009A4C46" w:rsidRPr="009A4C46" w:rsidRDefault="009A4C46" w:rsidP="009A4C46">
            <w:pPr>
              <w:spacing w:after="0" w:line="240" w:lineRule="auto"/>
              <w:jc w:val="center"/>
              <w:rPr>
                <w:rFonts w:eastAsia="Times New Roman"/>
                <w:sz w:val="18"/>
                <w:szCs w:val="18"/>
                <w:lang w:eastAsia="ru-RU"/>
              </w:rPr>
            </w:pPr>
            <w:r w:rsidRPr="009A4C46">
              <w:rPr>
                <w:rFonts w:eastAsia="Times New Roman"/>
                <w:color w:val="000000"/>
                <w:sz w:val="18"/>
                <w:szCs w:val="18"/>
                <w:lang w:eastAsia="ru-RU"/>
              </w:rPr>
              <w:t>3,21%</w:t>
            </w:r>
          </w:p>
        </w:tc>
        <w:tc>
          <w:tcPr>
            <w:tcW w:w="583" w:type="pct"/>
            <w:tcBorders>
              <w:top w:val="nil"/>
              <w:left w:val="nil"/>
              <w:bottom w:val="single" w:sz="8" w:space="0" w:color="auto"/>
              <w:right w:val="single" w:sz="8" w:space="0" w:color="auto"/>
            </w:tcBorders>
            <w:shd w:val="clear" w:color="auto" w:fill="auto"/>
            <w:noWrap/>
            <w:vAlign w:val="center"/>
            <w:hideMark/>
          </w:tcPr>
          <w:p w14:paraId="4E4E6D4D" w14:textId="77777777" w:rsidR="009A4C46" w:rsidRPr="009A4C46" w:rsidRDefault="009A4C46" w:rsidP="009A4C46">
            <w:pPr>
              <w:spacing w:after="0" w:line="240" w:lineRule="auto"/>
              <w:jc w:val="center"/>
              <w:rPr>
                <w:rFonts w:eastAsia="Times New Roman"/>
                <w:sz w:val="18"/>
                <w:szCs w:val="18"/>
                <w:lang w:eastAsia="ru-RU"/>
              </w:rPr>
            </w:pPr>
            <w:r w:rsidRPr="009A4C46">
              <w:rPr>
                <w:rFonts w:eastAsia="Times New Roman"/>
                <w:color w:val="000000"/>
                <w:sz w:val="18"/>
                <w:szCs w:val="18"/>
                <w:lang w:eastAsia="ru-RU"/>
              </w:rPr>
              <w:t>1,66%</w:t>
            </w:r>
          </w:p>
        </w:tc>
        <w:tc>
          <w:tcPr>
            <w:tcW w:w="585" w:type="pct"/>
            <w:tcBorders>
              <w:top w:val="nil"/>
              <w:left w:val="nil"/>
              <w:bottom w:val="single" w:sz="8" w:space="0" w:color="auto"/>
              <w:right w:val="single" w:sz="8" w:space="0" w:color="auto"/>
            </w:tcBorders>
            <w:shd w:val="clear" w:color="auto" w:fill="auto"/>
            <w:noWrap/>
            <w:vAlign w:val="center"/>
            <w:hideMark/>
          </w:tcPr>
          <w:p w14:paraId="31C40D39" w14:textId="77777777" w:rsidR="009A4C46" w:rsidRPr="009A4C46" w:rsidRDefault="009A4C46" w:rsidP="009A4C46">
            <w:pPr>
              <w:spacing w:after="0" w:line="240" w:lineRule="auto"/>
              <w:jc w:val="center"/>
              <w:rPr>
                <w:rFonts w:eastAsia="Times New Roman"/>
                <w:sz w:val="18"/>
                <w:szCs w:val="18"/>
                <w:lang w:eastAsia="ru-RU"/>
              </w:rPr>
            </w:pPr>
            <w:r w:rsidRPr="009A4C46">
              <w:rPr>
                <w:rFonts w:eastAsia="Times New Roman"/>
                <w:color w:val="000000"/>
                <w:sz w:val="18"/>
                <w:szCs w:val="18"/>
                <w:lang w:eastAsia="ru-RU"/>
              </w:rPr>
              <w:t>0,00%</w:t>
            </w:r>
          </w:p>
        </w:tc>
      </w:tr>
      <w:tr w:rsidR="009A4C46" w:rsidRPr="009A4C46" w14:paraId="4EE4325A" w14:textId="77777777" w:rsidTr="00F94FED">
        <w:trPr>
          <w:trHeight w:val="315"/>
        </w:trPr>
        <w:tc>
          <w:tcPr>
            <w:tcW w:w="1479" w:type="pct"/>
            <w:tcBorders>
              <w:top w:val="nil"/>
              <w:left w:val="single" w:sz="8" w:space="0" w:color="auto"/>
              <w:bottom w:val="single" w:sz="8" w:space="0" w:color="auto"/>
              <w:right w:val="single" w:sz="8" w:space="0" w:color="auto"/>
            </w:tcBorders>
            <w:shd w:val="clear" w:color="auto" w:fill="auto"/>
            <w:vAlign w:val="center"/>
            <w:hideMark/>
          </w:tcPr>
          <w:p w14:paraId="1FC8323E" w14:textId="77777777" w:rsidR="009A4C46" w:rsidRPr="009A4C46" w:rsidRDefault="009A4C46" w:rsidP="009A4C46">
            <w:pPr>
              <w:spacing w:after="0" w:line="240" w:lineRule="auto"/>
              <w:jc w:val="right"/>
              <w:rPr>
                <w:rFonts w:eastAsia="Times New Roman"/>
                <w:sz w:val="18"/>
                <w:szCs w:val="18"/>
                <w:lang w:eastAsia="ru-RU"/>
              </w:rPr>
            </w:pPr>
            <w:r w:rsidRPr="009A4C46">
              <w:rPr>
                <w:rFonts w:eastAsia="Times New Roman"/>
                <w:sz w:val="18"/>
                <w:szCs w:val="18"/>
                <w:lang w:eastAsia="ru-RU"/>
              </w:rPr>
              <w:t>Кредиторская задолженность</w:t>
            </w:r>
          </w:p>
        </w:tc>
        <w:tc>
          <w:tcPr>
            <w:tcW w:w="587" w:type="pct"/>
            <w:tcBorders>
              <w:top w:val="nil"/>
              <w:left w:val="nil"/>
              <w:bottom w:val="single" w:sz="8" w:space="0" w:color="auto"/>
              <w:right w:val="single" w:sz="8" w:space="0" w:color="auto"/>
            </w:tcBorders>
            <w:shd w:val="clear" w:color="auto" w:fill="auto"/>
            <w:noWrap/>
            <w:vAlign w:val="center"/>
            <w:hideMark/>
          </w:tcPr>
          <w:p w14:paraId="5E3C4811" w14:textId="77777777" w:rsidR="009A4C46" w:rsidRPr="009A4C46" w:rsidRDefault="009A4C46" w:rsidP="009A4C46">
            <w:pPr>
              <w:spacing w:after="0" w:line="240" w:lineRule="auto"/>
              <w:jc w:val="center"/>
              <w:rPr>
                <w:rFonts w:eastAsia="Times New Roman"/>
                <w:sz w:val="18"/>
                <w:szCs w:val="18"/>
                <w:lang w:eastAsia="ru-RU"/>
              </w:rPr>
            </w:pPr>
            <w:r w:rsidRPr="009A4C46">
              <w:rPr>
                <w:rFonts w:eastAsia="Times New Roman"/>
                <w:sz w:val="18"/>
                <w:szCs w:val="18"/>
                <w:lang w:eastAsia="ru-RU"/>
              </w:rPr>
              <w:t>2 465 388</w:t>
            </w:r>
          </w:p>
        </w:tc>
        <w:tc>
          <w:tcPr>
            <w:tcW w:w="592" w:type="pct"/>
            <w:tcBorders>
              <w:top w:val="nil"/>
              <w:left w:val="nil"/>
              <w:bottom w:val="single" w:sz="8" w:space="0" w:color="auto"/>
              <w:right w:val="single" w:sz="8" w:space="0" w:color="auto"/>
            </w:tcBorders>
            <w:shd w:val="clear" w:color="auto" w:fill="auto"/>
            <w:noWrap/>
            <w:vAlign w:val="center"/>
            <w:hideMark/>
          </w:tcPr>
          <w:p w14:paraId="49A5A252" w14:textId="77777777" w:rsidR="009A4C46" w:rsidRPr="009A4C46" w:rsidRDefault="009A4C46" w:rsidP="009A4C46">
            <w:pPr>
              <w:spacing w:after="0" w:line="240" w:lineRule="auto"/>
              <w:jc w:val="center"/>
              <w:rPr>
                <w:rFonts w:eastAsia="Times New Roman"/>
                <w:sz w:val="18"/>
                <w:szCs w:val="18"/>
                <w:lang w:eastAsia="ru-RU"/>
              </w:rPr>
            </w:pPr>
            <w:r w:rsidRPr="009A4C46">
              <w:rPr>
                <w:rFonts w:eastAsia="Times New Roman"/>
                <w:sz w:val="18"/>
                <w:szCs w:val="18"/>
                <w:lang w:eastAsia="ru-RU"/>
              </w:rPr>
              <w:t>2 126 683</w:t>
            </w:r>
          </w:p>
        </w:tc>
        <w:tc>
          <w:tcPr>
            <w:tcW w:w="592" w:type="pct"/>
            <w:tcBorders>
              <w:top w:val="nil"/>
              <w:left w:val="nil"/>
              <w:bottom w:val="single" w:sz="8" w:space="0" w:color="auto"/>
              <w:right w:val="single" w:sz="8" w:space="0" w:color="auto"/>
            </w:tcBorders>
            <w:shd w:val="clear" w:color="auto" w:fill="auto"/>
            <w:noWrap/>
            <w:vAlign w:val="center"/>
            <w:hideMark/>
          </w:tcPr>
          <w:p w14:paraId="7250FE13" w14:textId="77777777" w:rsidR="009A4C46" w:rsidRPr="009A4C46" w:rsidRDefault="009A4C46" w:rsidP="009A4C46">
            <w:pPr>
              <w:spacing w:after="0" w:line="240" w:lineRule="auto"/>
              <w:jc w:val="center"/>
              <w:rPr>
                <w:rFonts w:eastAsia="Times New Roman"/>
                <w:sz w:val="18"/>
                <w:szCs w:val="18"/>
                <w:lang w:eastAsia="ru-RU"/>
              </w:rPr>
            </w:pPr>
            <w:r w:rsidRPr="009A4C46">
              <w:rPr>
                <w:rFonts w:eastAsia="Times New Roman"/>
                <w:sz w:val="18"/>
                <w:szCs w:val="18"/>
                <w:lang w:eastAsia="ru-RU"/>
              </w:rPr>
              <w:t>288 311</w:t>
            </w:r>
          </w:p>
        </w:tc>
        <w:tc>
          <w:tcPr>
            <w:tcW w:w="583" w:type="pct"/>
            <w:tcBorders>
              <w:top w:val="nil"/>
              <w:left w:val="nil"/>
              <w:bottom w:val="single" w:sz="8" w:space="0" w:color="auto"/>
              <w:right w:val="single" w:sz="8" w:space="0" w:color="auto"/>
            </w:tcBorders>
            <w:shd w:val="clear" w:color="auto" w:fill="auto"/>
            <w:noWrap/>
            <w:vAlign w:val="center"/>
            <w:hideMark/>
          </w:tcPr>
          <w:p w14:paraId="28301A63" w14:textId="77777777" w:rsidR="009A4C46" w:rsidRPr="009A4C46" w:rsidRDefault="009A4C46" w:rsidP="009A4C46">
            <w:pPr>
              <w:spacing w:after="0" w:line="240" w:lineRule="auto"/>
              <w:jc w:val="center"/>
              <w:rPr>
                <w:rFonts w:eastAsia="Times New Roman"/>
                <w:sz w:val="18"/>
                <w:szCs w:val="18"/>
                <w:lang w:eastAsia="ru-RU"/>
              </w:rPr>
            </w:pPr>
            <w:r w:rsidRPr="009A4C46">
              <w:rPr>
                <w:rFonts w:eastAsia="Times New Roman"/>
                <w:color w:val="000000"/>
                <w:sz w:val="18"/>
                <w:szCs w:val="18"/>
                <w:lang w:eastAsia="ru-RU"/>
              </w:rPr>
              <w:t>91,54%</w:t>
            </w:r>
          </w:p>
        </w:tc>
        <w:tc>
          <w:tcPr>
            <w:tcW w:w="583" w:type="pct"/>
            <w:tcBorders>
              <w:top w:val="nil"/>
              <w:left w:val="nil"/>
              <w:bottom w:val="single" w:sz="8" w:space="0" w:color="auto"/>
              <w:right w:val="single" w:sz="8" w:space="0" w:color="auto"/>
            </w:tcBorders>
            <w:shd w:val="clear" w:color="auto" w:fill="auto"/>
            <w:noWrap/>
            <w:vAlign w:val="center"/>
            <w:hideMark/>
          </w:tcPr>
          <w:p w14:paraId="587108A0" w14:textId="77777777" w:rsidR="009A4C46" w:rsidRPr="009A4C46" w:rsidRDefault="009A4C46" w:rsidP="009A4C46">
            <w:pPr>
              <w:spacing w:after="0" w:line="240" w:lineRule="auto"/>
              <w:jc w:val="center"/>
              <w:rPr>
                <w:rFonts w:eastAsia="Times New Roman"/>
                <w:sz w:val="18"/>
                <w:szCs w:val="18"/>
                <w:lang w:eastAsia="ru-RU"/>
              </w:rPr>
            </w:pPr>
            <w:r w:rsidRPr="009A4C46">
              <w:rPr>
                <w:rFonts w:eastAsia="Times New Roman"/>
                <w:color w:val="000000"/>
                <w:sz w:val="18"/>
                <w:szCs w:val="18"/>
                <w:lang w:eastAsia="ru-RU"/>
              </w:rPr>
              <w:t>76,95%</w:t>
            </w:r>
          </w:p>
        </w:tc>
        <w:tc>
          <w:tcPr>
            <w:tcW w:w="585" w:type="pct"/>
            <w:tcBorders>
              <w:top w:val="nil"/>
              <w:left w:val="nil"/>
              <w:bottom w:val="single" w:sz="8" w:space="0" w:color="auto"/>
              <w:right w:val="single" w:sz="8" w:space="0" w:color="auto"/>
            </w:tcBorders>
            <w:shd w:val="clear" w:color="auto" w:fill="auto"/>
            <w:noWrap/>
            <w:vAlign w:val="center"/>
            <w:hideMark/>
          </w:tcPr>
          <w:p w14:paraId="0364D8F7" w14:textId="77777777" w:rsidR="009A4C46" w:rsidRPr="009A4C46" w:rsidRDefault="009A4C46" w:rsidP="009A4C46">
            <w:pPr>
              <w:spacing w:after="0" w:line="240" w:lineRule="auto"/>
              <w:jc w:val="center"/>
              <w:rPr>
                <w:rFonts w:eastAsia="Times New Roman"/>
                <w:sz w:val="18"/>
                <w:szCs w:val="18"/>
                <w:lang w:eastAsia="ru-RU"/>
              </w:rPr>
            </w:pPr>
            <w:r w:rsidRPr="009A4C46">
              <w:rPr>
                <w:rFonts w:eastAsia="Times New Roman"/>
                <w:color w:val="000000"/>
                <w:sz w:val="18"/>
                <w:szCs w:val="18"/>
                <w:lang w:eastAsia="ru-RU"/>
              </w:rPr>
              <w:t>15,02%</w:t>
            </w:r>
          </w:p>
        </w:tc>
      </w:tr>
      <w:tr w:rsidR="009A4C46" w:rsidRPr="009A4C46" w14:paraId="670BE043" w14:textId="77777777" w:rsidTr="00F94FED">
        <w:trPr>
          <w:trHeight w:val="315"/>
        </w:trPr>
        <w:tc>
          <w:tcPr>
            <w:tcW w:w="1479" w:type="pct"/>
            <w:tcBorders>
              <w:top w:val="nil"/>
              <w:left w:val="single" w:sz="8" w:space="0" w:color="auto"/>
              <w:bottom w:val="single" w:sz="8" w:space="0" w:color="auto"/>
              <w:right w:val="single" w:sz="8" w:space="0" w:color="auto"/>
            </w:tcBorders>
            <w:shd w:val="clear" w:color="auto" w:fill="auto"/>
            <w:vAlign w:val="center"/>
            <w:hideMark/>
          </w:tcPr>
          <w:p w14:paraId="236C907F" w14:textId="77777777" w:rsidR="009A4C46" w:rsidRPr="009A4C46" w:rsidRDefault="009A4C46" w:rsidP="009A4C46">
            <w:pPr>
              <w:spacing w:after="0" w:line="240" w:lineRule="auto"/>
              <w:jc w:val="right"/>
              <w:rPr>
                <w:rFonts w:eastAsia="Times New Roman"/>
                <w:sz w:val="18"/>
                <w:szCs w:val="18"/>
                <w:lang w:eastAsia="ru-RU"/>
              </w:rPr>
            </w:pPr>
            <w:r w:rsidRPr="009A4C46">
              <w:rPr>
                <w:rFonts w:eastAsia="Times New Roman"/>
                <w:sz w:val="18"/>
                <w:szCs w:val="18"/>
                <w:lang w:eastAsia="ru-RU"/>
              </w:rPr>
              <w:t>Доходы будущих периодов</w:t>
            </w:r>
          </w:p>
        </w:tc>
        <w:tc>
          <w:tcPr>
            <w:tcW w:w="587" w:type="pct"/>
            <w:tcBorders>
              <w:top w:val="nil"/>
              <w:left w:val="nil"/>
              <w:bottom w:val="single" w:sz="8" w:space="0" w:color="auto"/>
              <w:right w:val="single" w:sz="8" w:space="0" w:color="auto"/>
            </w:tcBorders>
            <w:shd w:val="clear" w:color="auto" w:fill="auto"/>
            <w:noWrap/>
            <w:vAlign w:val="center"/>
            <w:hideMark/>
          </w:tcPr>
          <w:p w14:paraId="16F01DE6" w14:textId="77777777" w:rsidR="009A4C46" w:rsidRPr="009A4C46" w:rsidRDefault="009A4C46" w:rsidP="009A4C46">
            <w:pPr>
              <w:spacing w:after="0" w:line="240" w:lineRule="auto"/>
              <w:jc w:val="center"/>
              <w:rPr>
                <w:rFonts w:eastAsia="Times New Roman"/>
                <w:sz w:val="18"/>
                <w:szCs w:val="18"/>
                <w:lang w:eastAsia="ru-RU"/>
              </w:rPr>
            </w:pPr>
            <w:r w:rsidRPr="009A4C46">
              <w:rPr>
                <w:rFonts w:eastAsia="Times New Roman"/>
                <w:sz w:val="18"/>
                <w:szCs w:val="18"/>
                <w:lang w:eastAsia="ru-RU"/>
              </w:rPr>
              <w:t> </w:t>
            </w:r>
          </w:p>
        </w:tc>
        <w:tc>
          <w:tcPr>
            <w:tcW w:w="592" w:type="pct"/>
            <w:tcBorders>
              <w:top w:val="nil"/>
              <w:left w:val="nil"/>
              <w:bottom w:val="single" w:sz="8" w:space="0" w:color="auto"/>
              <w:right w:val="single" w:sz="8" w:space="0" w:color="auto"/>
            </w:tcBorders>
            <w:shd w:val="clear" w:color="auto" w:fill="auto"/>
            <w:noWrap/>
            <w:vAlign w:val="center"/>
            <w:hideMark/>
          </w:tcPr>
          <w:p w14:paraId="14B7B828" w14:textId="77777777" w:rsidR="009A4C46" w:rsidRPr="009A4C46" w:rsidRDefault="009A4C46" w:rsidP="009A4C46">
            <w:pPr>
              <w:spacing w:after="0" w:line="240" w:lineRule="auto"/>
              <w:jc w:val="center"/>
              <w:rPr>
                <w:rFonts w:eastAsia="Times New Roman"/>
                <w:sz w:val="18"/>
                <w:szCs w:val="18"/>
                <w:lang w:eastAsia="ru-RU"/>
              </w:rPr>
            </w:pPr>
            <w:r w:rsidRPr="009A4C46">
              <w:rPr>
                <w:rFonts w:eastAsia="Times New Roman"/>
                <w:sz w:val="18"/>
                <w:szCs w:val="18"/>
                <w:lang w:eastAsia="ru-RU"/>
              </w:rPr>
              <w:t> </w:t>
            </w:r>
          </w:p>
        </w:tc>
        <w:tc>
          <w:tcPr>
            <w:tcW w:w="592" w:type="pct"/>
            <w:tcBorders>
              <w:top w:val="nil"/>
              <w:left w:val="nil"/>
              <w:bottom w:val="single" w:sz="8" w:space="0" w:color="auto"/>
              <w:right w:val="single" w:sz="8" w:space="0" w:color="auto"/>
            </w:tcBorders>
            <w:shd w:val="clear" w:color="auto" w:fill="auto"/>
            <w:noWrap/>
            <w:vAlign w:val="center"/>
            <w:hideMark/>
          </w:tcPr>
          <w:p w14:paraId="67208177" w14:textId="77777777" w:rsidR="009A4C46" w:rsidRPr="009A4C46" w:rsidRDefault="009A4C46" w:rsidP="009A4C46">
            <w:pPr>
              <w:spacing w:after="0" w:line="240" w:lineRule="auto"/>
              <w:jc w:val="center"/>
              <w:rPr>
                <w:rFonts w:eastAsia="Times New Roman"/>
                <w:sz w:val="18"/>
                <w:szCs w:val="18"/>
                <w:lang w:eastAsia="ru-RU"/>
              </w:rPr>
            </w:pPr>
            <w:r w:rsidRPr="009A4C46">
              <w:rPr>
                <w:rFonts w:eastAsia="Times New Roman"/>
                <w:sz w:val="18"/>
                <w:szCs w:val="18"/>
                <w:lang w:eastAsia="ru-RU"/>
              </w:rPr>
              <w:t> </w:t>
            </w:r>
          </w:p>
        </w:tc>
        <w:tc>
          <w:tcPr>
            <w:tcW w:w="583" w:type="pct"/>
            <w:tcBorders>
              <w:top w:val="nil"/>
              <w:left w:val="nil"/>
              <w:bottom w:val="single" w:sz="8" w:space="0" w:color="auto"/>
              <w:right w:val="single" w:sz="8" w:space="0" w:color="auto"/>
            </w:tcBorders>
            <w:shd w:val="clear" w:color="auto" w:fill="auto"/>
            <w:noWrap/>
            <w:vAlign w:val="center"/>
            <w:hideMark/>
          </w:tcPr>
          <w:p w14:paraId="65138F24" w14:textId="77777777" w:rsidR="009A4C46" w:rsidRPr="009A4C46" w:rsidRDefault="009A4C46" w:rsidP="009A4C46">
            <w:pPr>
              <w:spacing w:after="0" w:line="240" w:lineRule="auto"/>
              <w:jc w:val="center"/>
              <w:rPr>
                <w:rFonts w:eastAsia="Times New Roman"/>
                <w:sz w:val="18"/>
                <w:szCs w:val="18"/>
                <w:lang w:eastAsia="ru-RU"/>
              </w:rPr>
            </w:pPr>
            <w:r w:rsidRPr="009A4C46">
              <w:rPr>
                <w:rFonts w:eastAsia="Times New Roman"/>
                <w:color w:val="000000"/>
                <w:sz w:val="18"/>
                <w:szCs w:val="18"/>
                <w:lang w:eastAsia="ru-RU"/>
              </w:rPr>
              <w:t>0,00%</w:t>
            </w:r>
          </w:p>
        </w:tc>
        <w:tc>
          <w:tcPr>
            <w:tcW w:w="583" w:type="pct"/>
            <w:tcBorders>
              <w:top w:val="nil"/>
              <w:left w:val="nil"/>
              <w:bottom w:val="single" w:sz="8" w:space="0" w:color="auto"/>
              <w:right w:val="single" w:sz="8" w:space="0" w:color="auto"/>
            </w:tcBorders>
            <w:shd w:val="clear" w:color="auto" w:fill="auto"/>
            <w:noWrap/>
            <w:vAlign w:val="center"/>
            <w:hideMark/>
          </w:tcPr>
          <w:p w14:paraId="3A673AE9" w14:textId="77777777" w:rsidR="009A4C46" w:rsidRPr="009A4C46" w:rsidRDefault="009A4C46" w:rsidP="009A4C46">
            <w:pPr>
              <w:spacing w:after="0" w:line="240" w:lineRule="auto"/>
              <w:jc w:val="center"/>
              <w:rPr>
                <w:rFonts w:eastAsia="Times New Roman"/>
                <w:sz w:val="18"/>
                <w:szCs w:val="18"/>
                <w:lang w:eastAsia="ru-RU"/>
              </w:rPr>
            </w:pPr>
            <w:r w:rsidRPr="009A4C46">
              <w:rPr>
                <w:rFonts w:eastAsia="Times New Roman"/>
                <w:color w:val="000000"/>
                <w:sz w:val="18"/>
                <w:szCs w:val="18"/>
                <w:lang w:eastAsia="ru-RU"/>
              </w:rPr>
              <w:t>0,00%</w:t>
            </w:r>
          </w:p>
        </w:tc>
        <w:tc>
          <w:tcPr>
            <w:tcW w:w="585" w:type="pct"/>
            <w:tcBorders>
              <w:top w:val="nil"/>
              <w:left w:val="nil"/>
              <w:bottom w:val="single" w:sz="8" w:space="0" w:color="auto"/>
              <w:right w:val="single" w:sz="8" w:space="0" w:color="auto"/>
            </w:tcBorders>
            <w:shd w:val="clear" w:color="auto" w:fill="auto"/>
            <w:noWrap/>
            <w:vAlign w:val="center"/>
            <w:hideMark/>
          </w:tcPr>
          <w:p w14:paraId="254BC687" w14:textId="77777777" w:rsidR="009A4C46" w:rsidRPr="009A4C46" w:rsidRDefault="009A4C46" w:rsidP="009A4C46">
            <w:pPr>
              <w:spacing w:after="0" w:line="240" w:lineRule="auto"/>
              <w:jc w:val="center"/>
              <w:rPr>
                <w:rFonts w:eastAsia="Times New Roman"/>
                <w:sz w:val="18"/>
                <w:szCs w:val="18"/>
                <w:lang w:eastAsia="ru-RU"/>
              </w:rPr>
            </w:pPr>
            <w:r w:rsidRPr="009A4C46">
              <w:rPr>
                <w:rFonts w:eastAsia="Times New Roman"/>
                <w:color w:val="000000"/>
                <w:sz w:val="18"/>
                <w:szCs w:val="18"/>
                <w:lang w:eastAsia="ru-RU"/>
              </w:rPr>
              <w:t>0,00%</w:t>
            </w:r>
          </w:p>
        </w:tc>
      </w:tr>
      <w:tr w:rsidR="009A4C46" w:rsidRPr="009A4C46" w14:paraId="45F28E1C" w14:textId="77777777" w:rsidTr="00F94FED">
        <w:trPr>
          <w:trHeight w:val="315"/>
        </w:trPr>
        <w:tc>
          <w:tcPr>
            <w:tcW w:w="1479" w:type="pct"/>
            <w:tcBorders>
              <w:top w:val="nil"/>
              <w:left w:val="single" w:sz="8" w:space="0" w:color="auto"/>
              <w:bottom w:val="single" w:sz="8" w:space="0" w:color="auto"/>
              <w:right w:val="single" w:sz="8" w:space="0" w:color="auto"/>
            </w:tcBorders>
            <w:shd w:val="clear" w:color="auto" w:fill="auto"/>
            <w:vAlign w:val="center"/>
            <w:hideMark/>
          </w:tcPr>
          <w:p w14:paraId="4DA76585" w14:textId="77777777" w:rsidR="009A4C46" w:rsidRPr="009A4C46" w:rsidRDefault="009A4C46" w:rsidP="009A4C46">
            <w:pPr>
              <w:spacing w:after="0" w:line="240" w:lineRule="auto"/>
              <w:jc w:val="right"/>
              <w:rPr>
                <w:rFonts w:eastAsia="Times New Roman"/>
                <w:sz w:val="18"/>
                <w:szCs w:val="18"/>
                <w:lang w:eastAsia="ru-RU"/>
              </w:rPr>
            </w:pPr>
            <w:r w:rsidRPr="009A4C46">
              <w:rPr>
                <w:rFonts w:eastAsia="Times New Roman"/>
                <w:sz w:val="18"/>
                <w:szCs w:val="18"/>
                <w:lang w:eastAsia="ru-RU"/>
              </w:rPr>
              <w:t>Оценочные обязательства</w:t>
            </w:r>
          </w:p>
        </w:tc>
        <w:tc>
          <w:tcPr>
            <w:tcW w:w="587" w:type="pct"/>
            <w:tcBorders>
              <w:top w:val="nil"/>
              <w:left w:val="nil"/>
              <w:bottom w:val="single" w:sz="8" w:space="0" w:color="auto"/>
              <w:right w:val="single" w:sz="8" w:space="0" w:color="auto"/>
            </w:tcBorders>
            <w:shd w:val="clear" w:color="auto" w:fill="auto"/>
            <w:noWrap/>
            <w:vAlign w:val="center"/>
            <w:hideMark/>
          </w:tcPr>
          <w:p w14:paraId="29EE90D6" w14:textId="77777777" w:rsidR="009A4C46" w:rsidRPr="009A4C46" w:rsidRDefault="009A4C46" w:rsidP="009A4C46">
            <w:pPr>
              <w:spacing w:after="0" w:line="240" w:lineRule="auto"/>
              <w:jc w:val="center"/>
              <w:rPr>
                <w:rFonts w:eastAsia="Times New Roman"/>
                <w:sz w:val="18"/>
                <w:szCs w:val="18"/>
                <w:lang w:eastAsia="ru-RU"/>
              </w:rPr>
            </w:pPr>
            <w:r w:rsidRPr="009A4C46">
              <w:rPr>
                <w:rFonts w:eastAsia="Times New Roman"/>
                <w:sz w:val="18"/>
                <w:szCs w:val="18"/>
                <w:lang w:eastAsia="ru-RU"/>
              </w:rPr>
              <w:t>60 197</w:t>
            </w:r>
          </w:p>
        </w:tc>
        <w:tc>
          <w:tcPr>
            <w:tcW w:w="592" w:type="pct"/>
            <w:tcBorders>
              <w:top w:val="nil"/>
              <w:left w:val="nil"/>
              <w:bottom w:val="single" w:sz="8" w:space="0" w:color="auto"/>
              <w:right w:val="single" w:sz="8" w:space="0" w:color="auto"/>
            </w:tcBorders>
            <w:shd w:val="clear" w:color="auto" w:fill="auto"/>
            <w:noWrap/>
            <w:vAlign w:val="center"/>
            <w:hideMark/>
          </w:tcPr>
          <w:p w14:paraId="40371C56" w14:textId="77777777" w:rsidR="009A4C46" w:rsidRPr="009A4C46" w:rsidRDefault="009A4C46" w:rsidP="009A4C46">
            <w:pPr>
              <w:spacing w:after="0" w:line="240" w:lineRule="auto"/>
              <w:jc w:val="center"/>
              <w:rPr>
                <w:rFonts w:eastAsia="Times New Roman"/>
                <w:sz w:val="18"/>
                <w:szCs w:val="18"/>
                <w:lang w:eastAsia="ru-RU"/>
              </w:rPr>
            </w:pPr>
            <w:r w:rsidRPr="009A4C46">
              <w:rPr>
                <w:rFonts w:eastAsia="Times New Roman"/>
                <w:sz w:val="18"/>
                <w:szCs w:val="18"/>
                <w:lang w:eastAsia="ru-RU"/>
              </w:rPr>
              <w:t>87 292</w:t>
            </w:r>
          </w:p>
        </w:tc>
        <w:tc>
          <w:tcPr>
            <w:tcW w:w="592" w:type="pct"/>
            <w:tcBorders>
              <w:top w:val="nil"/>
              <w:left w:val="nil"/>
              <w:bottom w:val="single" w:sz="8" w:space="0" w:color="auto"/>
              <w:right w:val="single" w:sz="8" w:space="0" w:color="auto"/>
            </w:tcBorders>
            <w:shd w:val="clear" w:color="auto" w:fill="auto"/>
            <w:noWrap/>
            <w:vAlign w:val="center"/>
            <w:hideMark/>
          </w:tcPr>
          <w:p w14:paraId="1D46EABB" w14:textId="77777777" w:rsidR="009A4C46" w:rsidRPr="009A4C46" w:rsidRDefault="009A4C46" w:rsidP="009A4C46">
            <w:pPr>
              <w:spacing w:after="0" w:line="240" w:lineRule="auto"/>
              <w:jc w:val="center"/>
              <w:rPr>
                <w:rFonts w:eastAsia="Times New Roman"/>
                <w:sz w:val="18"/>
                <w:szCs w:val="18"/>
                <w:lang w:eastAsia="ru-RU"/>
              </w:rPr>
            </w:pPr>
            <w:r w:rsidRPr="009A4C46">
              <w:rPr>
                <w:rFonts w:eastAsia="Times New Roman"/>
                <w:sz w:val="18"/>
                <w:szCs w:val="18"/>
                <w:lang w:eastAsia="ru-RU"/>
              </w:rPr>
              <w:t>80 283</w:t>
            </w:r>
          </w:p>
        </w:tc>
        <w:tc>
          <w:tcPr>
            <w:tcW w:w="583" w:type="pct"/>
            <w:tcBorders>
              <w:top w:val="nil"/>
              <w:left w:val="nil"/>
              <w:bottom w:val="single" w:sz="8" w:space="0" w:color="auto"/>
              <w:right w:val="single" w:sz="8" w:space="0" w:color="auto"/>
            </w:tcBorders>
            <w:shd w:val="clear" w:color="auto" w:fill="auto"/>
            <w:noWrap/>
            <w:vAlign w:val="center"/>
            <w:hideMark/>
          </w:tcPr>
          <w:p w14:paraId="44A7D975" w14:textId="77777777" w:rsidR="009A4C46" w:rsidRPr="009A4C46" w:rsidRDefault="009A4C46" w:rsidP="009A4C46">
            <w:pPr>
              <w:spacing w:after="0" w:line="240" w:lineRule="auto"/>
              <w:jc w:val="center"/>
              <w:rPr>
                <w:rFonts w:eastAsia="Times New Roman"/>
                <w:sz w:val="18"/>
                <w:szCs w:val="18"/>
                <w:lang w:eastAsia="ru-RU"/>
              </w:rPr>
            </w:pPr>
            <w:r w:rsidRPr="009A4C46">
              <w:rPr>
                <w:rFonts w:eastAsia="Times New Roman"/>
                <w:color w:val="000000"/>
                <w:sz w:val="18"/>
                <w:szCs w:val="18"/>
                <w:lang w:eastAsia="ru-RU"/>
              </w:rPr>
              <w:t>2,24%</w:t>
            </w:r>
          </w:p>
        </w:tc>
        <w:tc>
          <w:tcPr>
            <w:tcW w:w="583" w:type="pct"/>
            <w:tcBorders>
              <w:top w:val="nil"/>
              <w:left w:val="nil"/>
              <w:bottom w:val="single" w:sz="8" w:space="0" w:color="auto"/>
              <w:right w:val="single" w:sz="8" w:space="0" w:color="auto"/>
            </w:tcBorders>
            <w:shd w:val="clear" w:color="auto" w:fill="auto"/>
            <w:noWrap/>
            <w:vAlign w:val="center"/>
            <w:hideMark/>
          </w:tcPr>
          <w:p w14:paraId="764E28F4" w14:textId="77777777" w:rsidR="009A4C46" w:rsidRPr="009A4C46" w:rsidRDefault="009A4C46" w:rsidP="009A4C46">
            <w:pPr>
              <w:spacing w:after="0" w:line="240" w:lineRule="auto"/>
              <w:jc w:val="center"/>
              <w:rPr>
                <w:rFonts w:eastAsia="Times New Roman"/>
                <w:sz w:val="18"/>
                <w:szCs w:val="18"/>
                <w:lang w:eastAsia="ru-RU"/>
              </w:rPr>
            </w:pPr>
            <w:r w:rsidRPr="009A4C46">
              <w:rPr>
                <w:rFonts w:eastAsia="Times New Roman"/>
                <w:color w:val="000000"/>
                <w:sz w:val="18"/>
                <w:szCs w:val="18"/>
                <w:lang w:eastAsia="ru-RU"/>
              </w:rPr>
              <w:t>3,16%</w:t>
            </w:r>
          </w:p>
        </w:tc>
        <w:tc>
          <w:tcPr>
            <w:tcW w:w="585" w:type="pct"/>
            <w:tcBorders>
              <w:top w:val="nil"/>
              <w:left w:val="nil"/>
              <w:bottom w:val="single" w:sz="8" w:space="0" w:color="auto"/>
              <w:right w:val="single" w:sz="8" w:space="0" w:color="auto"/>
            </w:tcBorders>
            <w:shd w:val="clear" w:color="auto" w:fill="auto"/>
            <w:noWrap/>
            <w:vAlign w:val="center"/>
            <w:hideMark/>
          </w:tcPr>
          <w:p w14:paraId="2F861579" w14:textId="77777777" w:rsidR="009A4C46" w:rsidRPr="009A4C46" w:rsidRDefault="009A4C46" w:rsidP="009A4C46">
            <w:pPr>
              <w:spacing w:after="0" w:line="240" w:lineRule="auto"/>
              <w:jc w:val="center"/>
              <w:rPr>
                <w:rFonts w:eastAsia="Times New Roman"/>
                <w:sz w:val="18"/>
                <w:szCs w:val="18"/>
                <w:lang w:eastAsia="ru-RU"/>
              </w:rPr>
            </w:pPr>
            <w:r w:rsidRPr="009A4C46">
              <w:rPr>
                <w:rFonts w:eastAsia="Times New Roman"/>
                <w:color w:val="000000"/>
                <w:sz w:val="18"/>
                <w:szCs w:val="18"/>
                <w:lang w:eastAsia="ru-RU"/>
              </w:rPr>
              <w:t>4,18%</w:t>
            </w:r>
          </w:p>
        </w:tc>
      </w:tr>
    </w:tbl>
    <w:p w14:paraId="0542A922" w14:textId="77777777" w:rsidR="009A4C46" w:rsidRPr="00F94FED" w:rsidRDefault="009A4C46" w:rsidP="009A4C46">
      <w:pPr>
        <w:autoSpaceDE w:val="0"/>
        <w:autoSpaceDN w:val="0"/>
        <w:adjustRightInd w:val="0"/>
        <w:spacing w:afterLines="32" w:after="76" w:line="360" w:lineRule="auto"/>
        <w:ind w:firstLine="567"/>
        <w:jc w:val="both"/>
        <w:rPr>
          <w:rFonts w:eastAsia="Times New Roman"/>
          <w:color w:val="000000"/>
          <w:sz w:val="26"/>
          <w:szCs w:val="26"/>
          <w:lang w:eastAsia="ru-RU"/>
        </w:rPr>
      </w:pPr>
    </w:p>
    <w:p w14:paraId="695F3279" w14:textId="77777777" w:rsidR="009A4C46" w:rsidRPr="00F94FED" w:rsidRDefault="009A4C46" w:rsidP="009A4C46">
      <w:pPr>
        <w:autoSpaceDE w:val="0"/>
        <w:autoSpaceDN w:val="0"/>
        <w:adjustRightInd w:val="0"/>
        <w:spacing w:afterLines="32" w:after="76" w:line="360" w:lineRule="auto"/>
        <w:ind w:firstLine="567"/>
        <w:jc w:val="both"/>
        <w:rPr>
          <w:rFonts w:eastAsia="Times New Roman"/>
          <w:b/>
          <w:bCs/>
          <w:color w:val="000000"/>
          <w:sz w:val="26"/>
          <w:szCs w:val="26"/>
          <w:lang w:val="en-US" w:eastAsia="ru-RU"/>
        </w:rPr>
      </w:pPr>
      <w:r w:rsidRPr="00F94FED">
        <w:rPr>
          <w:rFonts w:eastAsia="Times New Roman"/>
          <w:b/>
          <w:bCs/>
          <w:color w:val="000000"/>
          <w:sz w:val="26"/>
          <w:szCs w:val="26"/>
          <w:lang w:eastAsia="ru-RU"/>
        </w:rPr>
        <w:t>За</w:t>
      </w:r>
      <w:r w:rsidRPr="00F94FED">
        <w:rPr>
          <w:rFonts w:eastAsia="Times New Roman"/>
          <w:b/>
          <w:bCs/>
          <w:color w:val="000000"/>
          <w:sz w:val="26"/>
          <w:szCs w:val="26"/>
          <w:lang w:val="en-US" w:eastAsia="ru-RU"/>
        </w:rPr>
        <w:t xml:space="preserve"> 2017 </w:t>
      </w:r>
      <w:r w:rsidRPr="00F94FED">
        <w:rPr>
          <w:rFonts w:eastAsia="Times New Roman"/>
          <w:b/>
          <w:bCs/>
          <w:color w:val="000000"/>
          <w:sz w:val="26"/>
          <w:szCs w:val="26"/>
          <w:lang w:eastAsia="ru-RU"/>
        </w:rPr>
        <w:t>год</w:t>
      </w:r>
      <w:r w:rsidRPr="00F94FED">
        <w:rPr>
          <w:rFonts w:eastAsia="Times New Roman"/>
          <w:b/>
          <w:bCs/>
          <w:color w:val="000000"/>
          <w:sz w:val="26"/>
          <w:szCs w:val="26"/>
          <w:lang w:val="en-US" w:eastAsia="ru-RU"/>
        </w:rPr>
        <w:t>:</w:t>
      </w:r>
    </w:p>
    <w:p w14:paraId="042043D9" w14:textId="34DB46C2" w:rsidR="009A4C46" w:rsidRPr="00F94FED" w:rsidRDefault="009A4C46" w:rsidP="00F94FED">
      <w:pPr>
        <w:numPr>
          <w:ilvl w:val="0"/>
          <w:numId w:val="19"/>
        </w:numPr>
        <w:autoSpaceDE w:val="0"/>
        <w:autoSpaceDN w:val="0"/>
        <w:adjustRightInd w:val="0"/>
        <w:spacing w:afterLines="32" w:after="76" w:line="360" w:lineRule="auto"/>
        <w:ind w:left="1134" w:hanging="567"/>
        <w:contextualSpacing/>
        <w:jc w:val="both"/>
        <w:rPr>
          <w:rFonts w:eastAsia="Calibri"/>
          <w:color w:val="000000"/>
          <w:sz w:val="26"/>
          <w:szCs w:val="26"/>
        </w:rPr>
      </w:pPr>
      <w:r w:rsidRPr="00F94FED">
        <w:rPr>
          <w:rFonts w:eastAsia="Calibri"/>
          <w:color w:val="000000"/>
          <w:sz w:val="26"/>
          <w:szCs w:val="26"/>
        </w:rPr>
        <w:t xml:space="preserve">За 2017 год нераспределенная прибыль (непокрытый убыток) </w:t>
      </w:r>
      <w:r w:rsidR="005C3ACA">
        <w:rPr>
          <w:rFonts w:eastAsia="Calibri"/>
          <w:color w:val="000000"/>
          <w:sz w:val="26"/>
          <w:szCs w:val="26"/>
        </w:rPr>
        <w:br/>
      </w:r>
      <w:r w:rsidRPr="00F94FED">
        <w:rPr>
          <w:rFonts w:eastAsia="Calibri"/>
          <w:color w:val="000000"/>
          <w:sz w:val="26"/>
          <w:szCs w:val="26"/>
        </w:rPr>
        <w:t>АО «Тываэнерго» вырос в абсолютном выражении на 392 362 тыс. руб., что говорит о прибыльности деятельности организации за 2017 год;</w:t>
      </w:r>
    </w:p>
    <w:p w14:paraId="64D780EB" w14:textId="77777777" w:rsidR="009A4C46" w:rsidRPr="00F94FED" w:rsidRDefault="009A4C46" w:rsidP="00F94FED">
      <w:pPr>
        <w:numPr>
          <w:ilvl w:val="0"/>
          <w:numId w:val="19"/>
        </w:numPr>
        <w:autoSpaceDE w:val="0"/>
        <w:autoSpaceDN w:val="0"/>
        <w:adjustRightInd w:val="0"/>
        <w:spacing w:afterLines="32" w:after="76" w:line="360" w:lineRule="auto"/>
        <w:ind w:left="1134" w:hanging="567"/>
        <w:contextualSpacing/>
        <w:jc w:val="both"/>
        <w:rPr>
          <w:rFonts w:eastAsia="Calibri"/>
          <w:color w:val="000000"/>
          <w:sz w:val="26"/>
          <w:szCs w:val="26"/>
        </w:rPr>
      </w:pPr>
      <w:r w:rsidRPr="00F94FED">
        <w:rPr>
          <w:rFonts w:eastAsia="Calibri"/>
          <w:color w:val="000000"/>
          <w:sz w:val="26"/>
          <w:szCs w:val="26"/>
        </w:rPr>
        <w:t>Исполнитель отмечает перераспределение между долгосрочными и краткосрочными обязательствами. В 2017 году наблюдается рост удельного веса долгосрочных обязательств с 0,19% до 0,37% от общей величины пассивов на конец отчетного периода с одновременным снижением краткосрочных обязательств с 96,99% до 81,77% от общей величины пассивов на конец отчетного периода;</w:t>
      </w:r>
    </w:p>
    <w:p w14:paraId="3A79B434" w14:textId="77777777" w:rsidR="009A4C46" w:rsidRPr="00F94FED" w:rsidRDefault="009A4C46" w:rsidP="00F94FED">
      <w:pPr>
        <w:numPr>
          <w:ilvl w:val="0"/>
          <w:numId w:val="19"/>
        </w:numPr>
        <w:autoSpaceDE w:val="0"/>
        <w:autoSpaceDN w:val="0"/>
        <w:adjustRightInd w:val="0"/>
        <w:spacing w:afterLines="32" w:after="76" w:line="360" w:lineRule="auto"/>
        <w:ind w:left="1134" w:hanging="567"/>
        <w:jc w:val="both"/>
        <w:rPr>
          <w:rFonts w:eastAsia="Times New Roman"/>
          <w:color w:val="000000"/>
          <w:sz w:val="26"/>
          <w:szCs w:val="26"/>
          <w:lang w:eastAsia="ru-RU"/>
        </w:rPr>
      </w:pPr>
      <w:r w:rsidRPr="00F94FED">
        <w:rPr>
          <w:rFonts w:eastAsia="Times New Roman"/>
          <w:color w:val="000000"/>
          <w:sz w:val="26"/>
          <w:szCs w:val="26"/>
          <w:lang w:eastAsia="ru-RU"/>
        </w:rPr>
        <w:t>По прочим показателям существенных изменений за 2017 год не произошло.</w:t>
      </w:r>
    </w:p>
    <w:p w14:paraId="6A02F9E4" w14:textId="77777777" w:rsidR="009A4C46" w:rsidRPr="00F94FED" w:rsidRDefault="009A4C46" w:rsidP="009A4C46">
      <w:pPr>
        <w:autoSpaceDE w:val="0"/>
        <w:autoSpaceDN w:val="0"/>
        <w:adjustRightInd w:val="0"/>
        <w:spacing w:afterLines="32" w:after="76" w:line="360" w:lineRule="auto"/>
        <w:ind w:firstLine="567"/>
        <w:jc w:val="both"/>
        <w:rPr>
          <w:rFonts w:eastAsia="Times New Roman"/>
          <w:b/>
          <w:bCs/>
          <w:color w:val="000000"/>
          <w:sz w:val="26"/>
          <w:szCs w:val="26"/>
          <w:lang w:val="en-US" w:eastAsia="ru-RU"/>
        </w:rPr>
      </w:pPr>
      <w:r w:rsidRPr="00F94FED">
        <w:rPr>
          <w:rFonts w:eastAsia="Times New Roman"/>
          <w:b/>
          <w:bCs/>
          <w:color w:val="000000"/>
          <w:sz w:val="26"/>
          <w:szCs w:val="26"/>
          <w:lang w:eastAsia="ru-RU"/>
        </w:rPr>
        <w:t>За</w:t>
      </w:r>
      <w:r w:rsidRPr="00F94FED">
        <w:rPr>
          <w:rFonts w:eastAsia="Times New Roman"/>
          <w:b/>
          <w:bCs/>
          <w:color w:val="000000"/>
          <w:sz w:val="26"/>
          <w:szCs w:val="26"/>
          <w:lang w:val="en-US" w:eastAsia="ru-RU"/>
        </w:rPr>
        <w:t xml:space="preserve"> 2018 </w:t>
      </w:r>
      <w:r w:rsidRPr="00F94FED">
        <w:rPr>
          <w:rFonts w:eastAsia="Times New Roman"/>
          <w:b/>
          <w:bCs/>
          <w:color w:val="000000"/>
          <w:sz w:val="26"/>
          <w:szCs w:val="26"/>
          <w:lang w:eastAsia="ru-RU"/>
        </w:rPr>
        <w:t>год</w:t>
      </w:r>
      <w:r w:rsidRPr="00F94FED">
        <w:rPr>
          <w:rFonts w:eastAsia="Times New Roman"/>
          <w:b/>
          <w:bCs/>
          <w:color w:val="000000"/>
          <w:sz w:val="26"/>
          <w:szCs w:val="26"/>
          <w:lang w:val="en-US" w:eastAsia="ru-RU"/>
        </w:rPr>
        <w:t>:</w:t>
      </w:r>
    </w:p>
    <w:p w14:paraId="0F399937" w14:textId="77777777" w:rsidR="009A4C46" w:rsidRPr="00F94FED" w:rsidRDefault="009A4C46" w:rsidP="00F94FED">
      <w:pPr>
        <w:numPr>
          <w:ilvl w:val="0"/>
          <w:numId w:val="19"/>
        </w:numPr>
        <w:autoSpaceDE w:val="0"/>
        <w:autoSpaceDN w:val="0"/>
        <w:adjustRightInd w:val="0"/>
        <w:spacing w:afterLines="32" w:after="76" w:line="360" w:lineRule="auto"/>
        <w:ind w:left="1134" w:hanging="567"/>
        <w:jc w:val="both"/>
        <w:rPr>
          <w:rFonts w:eastAsia="Times New Roman"/>
          <w:color w:val="000000"/>
          <w:sz w:val="26"/>
          <w:szCs w:val="26"/>
          <w:lang w:eastAsia="ru-RU"/>
        </w:rPr>
      </w:pPr>
      <w:r w:rsidRPr="00F94FED">
        <w:rPr>
          <w:rFonts w:eastAsia="Times New Roman"/>
          <w:color w:val="000000"/>
          <w:sz w:val="26"/>
          <w:szCs w:val="26"/>
          <w:lang w:eastAsia="ru-RU"/>
        </w:rPr>
        <w:t>Исполнитель отмечает снижение краткосрочных обязательств с одновременным ростом дебиторской задолженности. Совокупность этих двух факторов свидетельствует об увеличении финансового риска по единовременному проведению взаиморасчетов по краткосрочным обязательствам;</w:t>
      </w:r>
    </w:p>
    <w:p w14:paraId="2FB79059" w14:textId="187B6A48" w:rsidR="009A4C46" w:rsidRPr="00F94FED" w:rsidRDefault="009A4C46" w:rsidP="00F94FED">
      <w:pPr>
        <w:numPr>
          <w:ilvl w:val="0"/>
          <w:numId w:val="19"/>
        </w:numPr>
        <w:autoSpaceDE w:val="0"/>
        <w:autoSpaceDN w:val="0"/>
        <w:adjustRightInd w:val="0"/>
        <w:spacing w:afterLines="32" w:after="76" w:line="360" w:lineRule="auto"/>
        <w:ind w:left="1134" w:hanging="567"/>
        <w:jc w:val="both"/>
        <w:rPr>
          <w:rFonts w:eastAsia="Times New Roman"/>
          <w:color w:val="000000"/>
          <w:sz w:val="26"/>
          <w:szCs w:val="26"/>
          <w:lang w:eastAsia="ru-RU"/>
        </w:rPr>
      </w:pPr>
      <w:r w:rsidRPr="00F94FED">
        <w:rPr>
          <w:rFonts w:eastAsia="Times New Roman"/>
          <w:color w:val="000000"/>
          <w:sz w:val="26"/>
          <w:szCs w:val="26"/>
          <w:lang w:eastAsia="ru-RU"/>
        </w:rPr>
        <w:t xml:space="preserve">Исполнитель отмечает снижение непокрытого убытка на (-895 197) тыс. руб., что говорит об убыточной деятельности организации за </w:t>
      </w:r>
      <w:smartTag w:uri="urn:schemas-microsoft-com:office:smarttags" w:element="metricconverter">
        <w:smartTagPr>
          <w:attr w:name="ProductID" w:val="2018 г"/>
        </w:smartTagPr>
        <w:r w:rsidRPr="00F94FED">
          <w:rPr>
            <w:rFonts w:eastAsia="Times New Roman"/>
            <w:color w:val="000000"/>
            <w:sz w:val="26"/>
            <w:szCs w:val="26"/>
            <w:lang w:eastAsia="ru-RU"/>
          </w:rPr>
          <w:t>2018 год;</w:t>
        </w:r>
      </w:smartTag>
    </w:p>
    <w:p w14:paraId="3029771B" w14:textId="362A35BC" w:rsidR="009A4C46" w:rsidRDefault="009A4C46" w:rsidP="00A4365C">
      <w:pPr>
        <w:numPr>
          <w:ilvl w:val="0"/>
          <w:numId w:val="19"/>
        </w:numPr>
        <w:autoSpaceDE w:val="0"/>
        <w:autoSpaceDN w:val="0"/>
        <w:adjustRightInd w:val="0"/>
        <w:spacing w:afterLines="32" w:after="76" w:line="360" w:lineRule="auto"/>
        <w:ind w:left="1134" w:hanging="567"/>
        <w:jc w:val="both"/>
        <w:rPr>
          <w:rFonts w:eastAsia="Times New Roman"/>
          <w:color w:val="000000"/>
          <w:sz w:val="26"/>
          <w:szCs w:val="26"/>
          <w:lang w:eastAsia="ru-RU"/>
        </w:rPr>
      </w:pPr>
      <w:r w:rsidRPr="00F94FED">
        <w:rPr>
          <w:rFonts w:eastAsia="Times New Roman"/>
          <w:color w:val="000000"/>
          <w:sz w:val="26"/>
          <w:szCs w:val="26"/>
          <w:lang w:eastAsia="ru-RU"/>
        </w:rPr>
        <w:lastRenderedPageBreak/>
        <w:t>Иных существенных изменений в структуре пассивов АО «Тываэнерго» не выявлено.</w:t>
      </w:r>
    </w:p>
    <w:p w14:paraId="0C5C3EAC" w14:textId="77777777" w:rsidR="00A4365C" w:rsidRPr="00F94FED" w:rsidRDefault="00A4365C" w:rsidP="00F94FED">
      <w:pPr>
        <w:autoSpaceDE w:val="0"/>
        <w:autoSpaceDN w:val="0"/>
        <w:adjustRightInd w:val="0"/>
        <w:spacing w:afterLines="32" w:after="76" w:line="360" w:lineRule="auto"/>
        <w:ind w:left="1134"/>
        <w:jc w:val="both"/>
        <w:rPr>
          <w:rFonts w:eastAsia="Times New Roman"/>
          <w:color w:val="000000"/>
          <w:sz w:val="26"/>
          <w:szCs w:val="26"/>
          <w:lang w:eastAsia="ru-RU"/>
        </w:rPr>
      </w:pPr>
    </w:p>
    <w:p w14:paraId="41CB194E" w14:textId="77777777" w:rsidR="009A4C46" w:rsidRPr="00F94FED" w:rsidRDefault="009A4C46" w:rsidP="00F94FED">
      <w:pPr>
        <w:autoSpaceDE w:val="0"/>
        <w:autoSpaceDN w:val="0"/>
        <w:adjustRightInd w:val="0"/>
        <w:spacing w:after="0" w:line="360" w:lineRule="auto"/>
        <w:ind w:firstLine="567"/>
        <w:jc w:val="both"/>
        <w:rPr>
          <w:rFonts w:eastAsia="Times New Roman"/>
          <w:b/>
          <w:color w:val="000000"/>
          <w:sz w:val="26"/>
          <w:szCs w:val="26"/>
          <w:lang w:eastAsia="ru-RU"/>
        </w:rPr>
      </w:pPr>
      <w:r w:rsidRPr="00F94FED">
        <w:rPr>
          <w:rFonts w:eastAsia="Times New Roman"/>
          <w:b/>
          <w:color w:val="000000"/>
          <w:sz w:val="26"/>
          <w:szCs w:val="26"/>
          <w:lang w:eastAsia="ru-RU"/>
        </w:rPr>
        <w:t>Анализ ликвидности:</w:t>
      </w:r>
    </w:p>
    <w:p w14:paraId="27969EA7" w14:textId="5B363EAA" w:rsidR="009A4C46" w:rsidRPr="00F94FED" w:rsidRDefault="009A4C46" w:rsidP="00F94FED">
      <w:pPr>
        <w:autoSpaceDE w:val="0"/>
        <w:autoSpaceDN w:val="0"/>
        <w:adjustRightInd w:val="0"/>
        <w:spacing w:after="0" w:line="360" w:lineRule="auto"/>
        <w:ind w:firstLine="567"/>
        <w:jc w:val="both"/>
        <w:rPr>
          <w:rFonts w:eastAsia="Times New Roman"/>
          <w:color w:val="000000"/>
          <w:sz w:val="26"/>
          <w:szCs w:val="26"/>
          <w:lang w:eastAsia="ru-RU"/>
        </w:rPr>
      </w:pPr>
      <w:r w:rsidRPr="00F94FED">
        <w:rPr>
          <w:rFonts w:eastAsia="Times New Roman"/>
          <w:color w:val="000000"/>
          <w:sz w:val="26"/>
          <w:szCs w:val="26"/>
          <w:lang w:eastAsia="ru-RU"/>
        </w:rPr>
        <w:t xml:space="preserve">Анализ ликвидности проведен на основании данных балансовых величин </w:t>
      </w:r>
      <w:r w:rsidR="005C3ACA">
        <w:rPr>
          <w:rFonts w:eastAsia="Times New Roman"/>
          <w:color w:val="000000"/>
          <w:sz w:val="26"/>
          <w:szCs w:val="26"/>
          <w:lang w:eastAsia="ru-RU"/>
        </w:rPr>
        <w:br/>
      </w:r>
      <w:r w:rsidRPr="00F94FED">
        <w:rPr>
          <w:rFonts w:eastAsia="Times New Roman"/>
          <w:color w:val="000000"/>
          <w:sz w:val="26"/>
          <w:szCs w:val="26"/>
          <w:lang w:eastAsia="ru-RU"/>
        </w:rPr>
        <w:t xml:space="preserve">АО «Тываэнерго». </w:t>
      </w:r>
    </w:p>
    <w:p w14:paraId="585133EC" w14:textId="77777777" w:rsidR="009A4C46" w:rsidRPr="00F94FED" w:rsidRDefault="009A4C46" w:rsidP="00F94FED">
      <w:pPr>
        <w:autoSpaceDE w:val="0"/>
        <w:autoSpaceDN w:val="0"/>
        <w:adjustRightInd w:val="0"/>
        <w:spacing w:after="0" w:line="360" w:lineRule="auto"/>
        <w:ind w:firstLine="567"/>
        <w:jc w:val="both"/>
        <w:rPr>
          <w:rFonts w:eastAsia="Times New Roman"/>
          <w:color w:val="000000"/>
          <w:sz w:val="26"/>
          <w:szCs w:val="26"/>
          <w:lang w:eastAsia="ru-RU"/>
        </w:rPr>
      </w:pPr>
      <w:r w:rsidRPr="00F94FED">
        <w:rPr>
          <w:rFonts w:eastAsia="Times New Roman"/>
          <w:color w:val="000000"/>
          <w:sz w:val="26"/>
          <w:szCs w:val="26"/>
          <w:lang w:eastAsia="ru-RU"/>
        </w:rPr>
        <w:t>Исполнитель произвел группировку активов и пассивов баланса по степени ликвидности:</w:t>
      </w:r>
    </w:p>
    <w:tbl>
      <w:tblPr>
        <w:tblW w:w="5000" w:type="pct"/>
        <w:tblLook w:val="04A0" w:firstRow="1" w:lastRow="0" w:firstColumn="1" w:lastColumn="0" w:noHBand="0" w:noVBand="1"/>
      </w:tblPr>
      <w:tblGrid>
        <w:gridCol w:w="4771"/>
        <w:gridCol w:w="1473"/>
        <w:gridCol w:w="1690"/>
        <w:gridCol w:w="1411"/>
      </w:tblGrid>
      <w:tr w:rsidR="00A4365C" w:rsidRPr="00A4365C" w14:paraId="7F7A4E0E" w14:textId="77777777" w:rsidTr="00A4365C">
        <w:trPr>
          <w:trHeight w:val="405"/>
        </w:trPr>
        <w:tc>
          <w:tcPr>
            <w:tcW w:w="5000" w:type="pct"/>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E41DAF9" w14:textId="77777777" w:rsidR="009A4C46" w:rsidRPr="00F94FED" w:rsidRDefault="009A4C46" w:rsidP="009A4C46">
            <w:pPr>
              <w:spacing w:after="0" w:line="240" w:lineRule="auto"/>
              <w:jc w:val="center"/>
              <w:rPr>
                <w:rFonts w:eastAsia="Times New Roman"/>
                <w:b/>
                <w:bCs/>
                <w:color w:val="FFFFFF" w:themeColor="background1"/>
                <w:lang w:eastAsia="ru-RU"/>
              </w:rPr>
            </w:pPr>
            <w:r w:rsidRPr="00F94FED">
              <w:rPr>
                <w:rFonts w:eastAsia="Times New Roman"/>
                <w:b/>
                <w:bCs/>
                <w:color w:val="FFFFFF" w:themeColor="background1"/>
                <w:lang w:eastAsia="ru-RU"/>
              </w:rPr>
              <w:t>Активы, тыс. руб.</w:t>
            </w:r>
          </w:p>
        </w:tc>
      </w:tr>
      <w:tr w:rsidR="00A4365C" w:rsidRPr="00A4365C" w14:paraId="092D8F25" w14:textId="77777777" w:rsidTr="00A4365C">
        <w:trPr>
          <w:trHeight w:val="315"/>
        </w:trPr>
        <w:tc>
          <w:tcPr>
            <w:tcW w:w="255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21179DB" w14:textId="77777777" w:rsidR="009A4C46" w:rsidRPr="00F94FED" w:rsidRDefault="009A4C46" w:rsidP="009A4C46">
            <w:pPr>
              <w:spacing w:after="0" w:line="240" w:lineRule="auto"/>
              <w:jc w:val="center"/>
              <w:rPr>
                <w:rFonts w:eastAsia="Times New Roman"/>
                <w:b/>
                <w:bCs/>
                <w:color w:val="FFFFFF" w:themeColor="background1"/>
                <w:lang w:eastAsia="ru-RU"/>
              </w:rPr>
            </w:pPr>
            <w:r w:rsidRPr="00F94FED">
              <w:rPr>
                <w:rFonts w:eastAsia="Times New Roman"/>
                <w:b/>
                <w:bCs/>
                <w:color w:val="FFFFFF" w:themeColor="background1"/>
                <w:lang w:eastAsia="ru-RU"/>
              </w:rPr>
              <w:t>Наименование группы</w:t>
            </w:r>
          </w:p>
        </w:tc>
        <w:tc>
          <w:tcPr>
            <w:tcW w:w="78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37C8952" w14:textId="51A90A59" w:rsidR="009A4C46" w:rsidRPr="00F94FED" w:rsidRDefault="009A4C46" w:rsidP="009A4C46">
            <w:pPr>
              <w:spacing w:after="0" w:line="240" w:lineRule="auto"/>
              <w:jc w:val="center"/>
              <w:rPr>
                <w:rFonts w:eastAsia="Times New Roman"/>
                <w:b/>
                <w:bCs/>
                <w:color w:val="FFFFFF" w:themeColor="background1"/>
                <w:lang w:eastAsia="ru-RU"/>
              </w:rPr>
            </w:pPr>
            <w:r w:rsidRPr="00F94FED">
              <w:rPr>
                <w:rFonts w:eastAsia="Times New Roman"/>
                <w:b/>
                <w:bCs/>
                <w:color w:val="FFFFFF" w:themeColor="background1"/>
                <w:lang w:eastAsia="ru-RU"/>
              </w:rPr>
              <w:t>Обозн</w:t>
            </w:r>
            <w:r w:rsidR="00A4365C" w:rsidRPr="00F94FED">
              <w:rPr>
                <w:rFonts w:eastAsia="Times New Roman"/>
                <w:b/>
                <w:bCs/>
                <w:color w:val="FFFFFF" w:themeColor="background1"/>
                <w:lang w:eastAsia="ru-RU"/>
              </w:rPr>
              <w:t>ачение</w:t>
            </w:r>
          </w:p>
        </w:tc>
        <w:tc>
          <w:tcPr>
            <w:tcW w:w="9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BACE290" w14:textId="77777777" w:rsidR="009A4C46" w:rsidRPr="00F94FED" w:rsidRDefault="009A4C46" w:rsidP="009A4C46">
            <w:pPr>
              <w:spacing w:after="0" w:line="240" w:lineRule="auto"/>
              <w:jc w:val="center"/>
              <w:rPr>
                <w:rFonts w:eastAsia="Times New Roman"/>
                <w:b/>
                <w:bCs/>
                <w:color w:val="FFFFFF" w:themeColor="background1"/>
                <w:lang w:eastAsia="ru-RU"/>
              </w:rPr>
            </w:pPr>
            <w:r w:rsidRPr="00F94FED">
              <w:rPr>
                <w:rFonts w:eastAsia="Times New Roman"/>
                <w:b/>
                <w:bCs/>
                <w:color w:val="FFFFFF" w:themeColor="background1"/>
                <w:lang w:eastAsia="ru-RU"/>
              </w:rPr>
              <w:t>На 31.12.2017</w:t>
            </w:r>
          </w:p>
        </w:tc>
        <w:tc>
          <w:tcPr>
            <w:tcW w:w="75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27C64A2" w14:textId="77777777" w:rsidR="009A4C46" w:rsidRPr="00F94FED" w:rsidRDefault="009A4C46" w:rsidP="009A4C46">
            <w:pPr>
              <w:spacing w:after="0" w:line="240" w:lineRule="auto"/>
              <w:jc w:val="center"/>
              <w:rPr>
                <w:rFonts w:eastAsia="Times New Roman"/>
                <w:b/>
                <w:bCs/>
                <w:color w:val="FFFFFF" w:themeColor="background1"/>
                <w:lang w:eastAsia="ru-RU"/>
              </w:rPr>
            </w:pPr>
            <w:r w:rsidRPr="00F94FED">
              <w:rPr>
                <w:rFonts w:eastAsia="Times New Roman"/>
                <w:b/>
                <w:bCs/>
                <w:color w:val="FFFFFF" w:themeColor="background1"/>
                <w:lang w:eastAsia="ru-RU"/>
              </w:rPr>
              <w:t>На 31.12.2018</w:t>
            </w:r>
          </w:p>
        </w:tc>
      </w:tr>
      <w:tr w:rsidR="009A4C46" w:rsidRPr="009A4C46" w14:paraId="54733AD7" w14:textId="77777777" w:rsidTr="00F94FED">
        <w:trPr>
          <w:trHeight w:val="315"/>
        </w:trPr>
        <w:tc>
          <w:tcPr>
            <w:tcW w:w="2553" w:type="pct"/>
            <w:tcBorders>
              <w:top w:val="single" w:sz="4" w:space="0" w:color="FFFFFF" w:themeColor="background1"/>
              <w:left w:val="single" w:sz="8" w:space="0" w:color="auto"/>
              <w:bottom w:val="single" w:sz="8" w:space="0" w:color="auto"/>
              <w:right w:val="single" w:sz="8" w:space="0" w:color="auto"/>
            </w:tcBorders>
            <w:shd w:val="clear" w:color="auto" w:fill="auto"/>
            <w:vAlign w:val="center"/>
            <w:hideMark/>
          </w:tcPr>
          <w:p w14:paraId="33D92E52" w14:textId="77777777" w:rsidR="009A4C46" w:rsidRPr="009A4C46" w:rsidRDefault="009A4C46" w:rsidP="009A4C46">
            <w:pPr>
              <w:spacing w:after="0" w:line="240" w:lineRule="auto"/>
              <w:jc w:val="both"/>
              <w:rPr>
                <w:rFonts w:eastAsia="Times New Roman"/>
                <w:lang w:eastAsia="ru-RU"/>
              </w:rPr>
            </w:pPr>
            <w:r w:rsidRPr="009A4C46">
              <w:rPr>
                <w:rFonts w:eastAsia="Times New Roman"/>
                <w:lang w:eastAsia="ru-RU"/>
              </w:rPr>
              <w:t xml:space="preserve">Наиболее ликвидные </w:t>
            </w:r>
          </w:p>
        </w:tc>
        <w:tc>
          <w:tcPr>
            <w:tcW w:w="788" w:type="pct"/>
            <w:vMerge w:val="restart"/>
            <w:tcBorders>
              <w:top w:val="single" w:sz="4" w:space="0" w:color="FFFFFF" w:themeColor="background1"/>
              <w:left w:val="single" w:sz="8" w:space="0" w:color="auto"/>
              <w:bottom w:val="single" w:sz="8" w:space="0" w:color="000000"/>
              <w:right w:val="single" w:sz="8" w:space="0" w:color="auto"/>
            </w:tcBorders>
            <w:shd w:val="clear" w:color="auto" w:fill="auto"/>
            <w:vAlign w:val="center"/>
            <w:hideMark/>
          </w:tcPr>
          <w:p w14:paraId="2DD2DC41" w14:textId="77777777" w:rsidR="009A4C46" w:rsidRPr="009A4C46" w:rsidRDefault="009A4C46" w:rsidP="009A4C46">
            <w:pPr>
              <w:spacing w:after="0" w:line="240" w:lineRule="auto"/>
              <w:jc w:val="center"/>
              <w:rPr>
                <w:rFonts w:eastAsia="Times New Roman"/>
                <w:lang w:eastAsia="ru-RU"/>
              </w:rPr>
            </w:pPr>
            <w:r w:rsidRPr="009A4C46">
              <w:rPr>
                <w:rFonts w:eastAsia="Times New Roman"/>
                <w:lang w:eastAsia="ru-RU"/>
              </w:rPr>
              <w:t>А1</w:t>
            </w:r>
          </w:p>
        </w:tc>
        <w:tc>
          <w:tcPr>
            <w:tcW w:w="904" w:type="pct"/>
            <w:vMerge w:val="restart"/>
            <w:tcBorders>
              <w:top w:val="single" w:sz="4" w:space="0" w:color="FFFFFF" w:themeColor="background1"/>
              <w:left w:val="single" w:sz="8" w:space="0" w:color="auto"/>
              <w:bottom w:val="single" w:sz="8" w:space="0" w:color="000000"/>
              <w:right w:val="single" w:sz="8" w:space="0" w:color="auto"/>
            </w:tcBorders>
            <w:shd w:val="clear" w:color="auto" w:fill="auto"/>
            <w:vAlign w:val="center"/>
            <w:hideMark/>
          </w:tcPr>
          <w:p w14:paraId="0D5862A3" w14:textId="77777777" w:rsidR="009A4C46" w:rsidRPr="009A4C46" w:rsidRDefault="009A4C46" w:rsidP="009A4C46">
            <w:pPr>
              <w:spacing w:after="0" w:line="240" w:lineRule="auto"/>
              <w:jc w:val="center"/>
              <w:rPr>
                <w:rFonts w:eastAsia="Times New Roman"/>
                <w:lang w:eastAsia="ru-RU"/>
              </w:rPr>
            </w:pPr>
            <w:r w:rsidRPr="009A4C46">
              <w:rPr>
                <w:rFonts w:eastAsia="Times New Roman"/>
                <w:lang w:eastAsia="ru-RU"/>
              </w:rPr>
              <w:t>278 393</w:t>
            </w:r>
          </w:p>
        </w:tc>
        <w:tc>
          <w:tcPr>
            <w:tcW w:w="755" w:type="pct"/>
            <w:vMerge w:val="restart"/>
            <w:tcBorders>
              <w:top w:val="single" w:sz="4" w:space="0" w:color="FFFFFF" w:themeColor="background1"/>
              <w:left w:val="single" w:sz="8" w:space="0" w:color="auto"/>
              <w:bottom w:val="single" w:sz="8" w:space="0" w:color="000000"/>
              <w:right w:val="single" w:sz="8" w:space="0" w:color="auto"/>
            </w:tcBorders>
            <w:shd w:val="clear" w:color="auto" w:fill="auto"/>
            <w:vAlign w:val="center"/>
            <w:hideMark/>
          </w:tcPr>
          <w:p w14:paraId="12CCC376" w14:textId="77777777" w:rsidR="009A4C46" w:rsidRPr="009A4C46" w:rsidRDefault="009A4C46" w:rsidP="009A4C46">
            <w:pPr>
              <w:spacing w:after="0" w:line="240" w:lineRule="auto"/>
              <w:jc w:val="center"/>
              <w:rPr>
                <w:rFonts w:eastAsia="Times New Roman"/>
                <w:lang w:eastAsia="ru-RU"/>
              </w:rPr>
            </w:pPr>
            <w:r w:rsidRPr="009A4C46">
              <w:rPr>
                <w:rFonts w:eastAsia="Times New Roman"/>
                <w:lang w:eastAsia="ru-RU"/>
              </w:rPr>
              <w:t>160 146</w:t>
            </w:r>
          </w:p>
        </w:tc>
      </w:tr>
      <w:tr w:rsidR="009A4C46" w:rsidRPr="009A4C46" w14:paraId="23F1E59B" w14:textId="77777777" w:rsidTr="00F94FED">
        <w:trPr>
          <w:trHeight w:val="384"/>
        </w:trPr>
        <w:tc>
          <w:tcPr>
            <w:tcW w:w="2553" w:type="pct"/>
            <w:tcBorders>
              <w:top w:val="nil"/>
              <w:left w:val="single" w:sz="8" w:space="0" w:color="auto"/>
              <w:bottom w:val="single" w:sz="8" w:space="0" w:color="auto"/>
              <w:right w:val="single" w:sz="8" w:space="0" w:color="auto"/>
            </w:tcBorders>
            <w:shd w:val="clear" w:color="auto" w:fill="auto"/>
            <w:vAlign w:val="center"/>
            <w:hideMark/>
          </w:tcPr>
          <w:p w14:paraId="63A5340D" w14:textId="77777777" w:rsidR="009A4C46" w:rsidRPr="009A4C46" w:rsidRDefault="009A4C46" w:rsidP="009A4C46">
            <w:pPr>
              <w:spacing w:after="0" w:line="240" w:lineRule="auto"/>
              <w:jc w:val="both"/>
              <w:rPr>
                <w:rFonts w:eastAsia="Times New Roman"/>
                <w:lang w:eastAsia="ru-RU"/>
              </w:rPr>
            </w:pPr>
            <w:r w:rsidRPr="009A4C46">
              <w:rPr>
                <w:rFonts w:eastAsia="Times New Roman"/>
                <w:lang w:eastAsia="ru-RU"/>
              </w:rPr>
              <w:t>(денежные средства и краткосрочные фин. вложения)</w:t>
            </w:r>
          </w:p>
        </w:tc>
        <w:tc>
          <w:tcPr>
            <w:tcW w:w="788" w:type="pct"/>
            <w:vMerge/>
            <w:tcBorders>
              <w:top w:val="nil"/>
              <w:left w:val="single" w:sz="8" w:space="0" w:color="auto"/>
              <w:bottom w:val="single" w:sz="8" w:space="0" w:color="000000"/>
              <w:right w:val="single" w:sz="8" w:space="0" w:color="auto"/>
            </w:tcBorders>
            <w:shd w:val="clear" w:color="auto" w:fill="auto"/>
            <w:vAlign w:val="center"/>
            <w:hideMark/>
          </w:tcPr>
          <w:p w14:paraId="53CAD0C8" w14:textId="77777777" w:rsidR="009A4C46" w:rsidRPr="009A4C46" w:rsidRDefault="009A4C46" w:rsidP="009A4C46">
            <w:pPr>
              <w:spacing w:after="0" w:line="240" w:lineRule="auto"/>
              <w:rPr>
                <w:rFonts w:eastAsia="Times New Roman"/>
                <w:lang w:eastAsia="ru-RU"/>
              </w:rPr>
            </w:pPr>
          </w:p>
        </w:tc>
        <w:tc>
          <w:tcPr>
            <w:tcW w:w="904" w:type="pct"/>
            <w:vMerge/>
            <w:tcBorders>
              <w:top w:val="nil"/>
              <w:left w:val="single" w:sz="8" w:space="0" w:color="auto"/>
              <w:bottom w:val="single" w:sz="8" w:space="0" w:color="000000"/>
              <w:right w:val="single" w:sz="8" w:space="0" w:color="auto"/>
            </w:tcBorders>
            <w:shd w:val="clear" w:color="auto" w:fill="auto"/>
            <w:vAlign w:val="center"/>
            <w:hideMark/>
          </w:tcPr>
          <w:p w14:paraId="26B85E60" w14:textId="77777777" w:rsidR="009A4C46" w:rsidRPr="009A4C46" w:rsidRDefault="009A4C46" w:rsidP="009A4C46">
            <w:pPr>
              <w:spacing w:after="0" w:line="240" w:lineRule="auto"/>
              <w:rPr>
                <w:rFonts w:eastAsia="Times New Roman"/>
                <w:lang w:eastAsia="ru-RU"/>
              </w:rPr>
            </w:pPr>
          </w:p>
        </w:tc>
        <w:tc>
          <w:tcPr>
            <w:tcW w:w="755" w:type="pct"/>
            <w:vMerge/>
            <w:tcBorders>
              <w:top w:val="nil"/>
              <w:left w:val="single" w:sz="8" w:space="0" w:color="auto"/>
              <w:bottom w:val="single" w:sz="8" w:space="0" w:color="000000"/>
              <w:right w:val="single" w:sz="8" w:space="0" w:color="auto"/>
            </w:tcBorders>
            <w:shd w:val="clear" w:color="auto" w:fill="auto"/>
            <w:vAlign w:val="center"/>
            <w:hideMark/>
          </w:tcPr>
          <w:p w14:paraId="0A095AED" w14:textId="77777777" w:rsidR="009A4C46" w:rsidRPr="009A4C46" w:rsidRDefault="009A4C46" w:rsidP="009A4C46">
            <w:pPr>
              <w:spacing w:after="0" w:line="240" w:lineRule="auto"/>
              <w:rPr>
                <w:rFonts w:eastAsia="Times New Roman"/>
                <w:lang w:eastAsia="ru-RU"/>
              </w:rPr>
            </w:pPr>
          </w:p>
        </w:tc>
      </w:tr>
      <w:tr w:rsidR="009A4C46" w:rsidRPr="009A4C46" w14:paraId="639A2BEC" w14:textId="77777777" w:rsidTr="00F94FED">
        <w:trPr>
          <w:trHeight w:val="315"/>
        </w:trPr>
        <w:tc>
          <w:tcPr>
            <w:tcW w:w="2553" w:type="pct"/>
            <w:tcBorders>
              <w:top w:val="nil"/>
              <w:left w:val="single" w:sz="8" w:space="0" w:color="auto"/>
              <w:bottom w:val="single" w:sz="8" w:space="0" w:color="auto"/>
              <w:right w:val="single" w:sz="8" w:space="0" w:color="auto"/>
            </w:tcBorders>
            <w:shd w:val="clear" w:color="auto" w:fill="auto"/>
            <w:vAlign w:val="center"/>
            <w:hideMark/>
          </w:tcPr>
          <w:p w14:paraId="120224EE" w14:textId="77777777" w:rsidR="009A4C46" w:rsidRPr="009A4C46" w:rsidRDefault="009A4C46" w:rsidP="009A4C46">
            <w:pPr>
              <w:spacing w:after="0" w:line="240" w:lineRule="auto"/>
              <w:jc w:val="both"/>
              <w:rPr>
                <w:rFonts w:eastAsia="Times New Roman"/>
                <w:lang w:eastAsia="ru-RU"/>
              </w:rPr>
            </w:pPr>
            <w:r w:rsidRPr="009A4C46">
              <w:rPr>
                <w:rFonts w:eastAsia="Times New Roman"/>
                <w:lang w:eastAsia="ru-RU"/>
              </w:rPr>
              <w:t>Быстрореализуемые</w:t>
            </w:r>
          </w:p>
        </w:tc>
        <w:tc>
          <w:tcPr>
            <w:tcW w:w="788" w:type="pct"/>
            <w:vMerge w:val="restart"/>
            <w:tcBorders>
              <w:top w:val="nil"/>
              <w:left w:val="single" w:sz="8" w:space="0" w:color="auto"/>
              <w:bottom w:val="single" w:sz="8" w:space="0" w:color="000000"/>
              <w:right w:val="single" w:sz="8" w:space="0" w:color="auto"/>
            </w:tcBorders>
            <w:shd w:val="clear" w:color="auto" w:fill="auto"/>
            <w:vAlign w:val="center"/>
            <w:hideMark/>
          </w:tcPr>
          <w:p w14:paraId="774F8C15" w14:textId="77777777" w:rsidR="009A4C46" w:rsidRPr="009A4C46" w:rsidRDefault="009A4C46" w:rsidP="009A4C46">
            <w:pPr>
              <w:spacing w:after="0" w:line="240" w:lineRule="auto"/>
              <w:jc w:val="center"/>
              <w:rPr>
                <w:rFonts w:eastAsia="Times New Roman"/>
                <w:lang w:eastAsia="ru-RU"/>
              </w:rPr>
            </w:pPr>
            <w:r w:rsidRPr="009A4C46">
              <w:rPr>
                <w:rFonts w:eastAsia="Times New Roman"/>
                <w:lang w:eastAsia="ru-RU"/>
              </w:rPr>
              <w:t>А2</w:t>
            </w:r>
          </w:p>
        </w:tc>
        <w:tc>
          <w:tcPr>
            <w:tcW w:w="904" w:type="pct"/>
            <w:vMerge w:val="restart"/>
            <w:tcBorders>
              <w:top w:val="nil"/>
              <w:left w:val="single" w:sz="8" w:space="0" w:color="auto"/>
              <w:bottom w:val="single" w:sz="8" w:space="0" w:color="000000"/>
              <w:right w:val="single" w:sz="8" w:space="0" w:color="auto"/>
            </w:tcBorders>
            <w:shd w:val="clear" w:color="auto" w:fill="auto"/>
            <w:vAlign w:val="center"/>
            <w:hideMark/>
          </w:tcPr>
          <w:p w14:paraId="41BE08BA" w14:textId="77777777" w:rsidR="009A4C46" w:rsidRPr="009A4C46" w:rsidRDefault="009A4C46" w:rsidP="009A4C46">
            <w:pPr>
              <w:spacing w:after="0" w:line="240" w:lineRule="auto"/>
              <w:jc w:val="center"/>
              <w:rPr>
                <w:rFonts w:eastAsia="Times New Roman"/>
                <w:lang w:eastAsia="ru-RU"/>
              </w:rPr>
            </w:pPr>
            <w:r w:rsidRPr="009A4C46">
              <w:rPr>
                <w:rFonts w:eastAsia="Times New Roman"/>
                <w:lang w:eastAsia="ru-RU"/>
              </w:rPr>
              <w:t>1 251 010</w:t>
            </w:r>
          </w:p>
        </w:tc>
        <w:tc>
          <w:tcPr>
            <w:tcW w:w="755" w:type="pct"/>
            <w:vMerge w:val="restart"/>
            <w:tcBorders>
              <w:top w:val="nil"/>
              <w:left w:val="single" w:sz="8" w:space="0" w:color="auto"/>
              <w:bottom w:val="single" w:sz="8" w:space="0" w:color="000000"/>
              <w:right w:val="single" w:sz="8" w:space="0" w:color="auto"/>
            </w:tcBorders>
            <w:shd w:val="clear" w:color="auto" w:fill="auto"/>
            <w:vAlign w:val="center"/>
            <w:hideMark/>
          </w:tcPr>
          <w:p w14:paraId="32618E3B" w14:textId="77777777" w:rsidR="009A4C46" w:rsidRPr="009A4C46" w:rsidRDefault="009A4C46" w:rsidP="009A4C46">
            <w:pPr>
              <w:spacing w:after="0" w:line="240" w:lineRule="auto"/>
              <w:jc w:val="center"/>
              <w:rPr>
                <w:rFonts w:eastAsia="Times New Roman"/>
                <w:lang w:eastAsia="ru-RU"/>
              </w:rPr>
            </w:pPr>
            <w:r w:rsidRPr="009A4C46">
              <w:rPr>
                <w:rFonts w:eastAsia="Times New Roman"/>
                <w:lang w:eastAsia="ru-RU"/>
              </w:rPr>
              <w:t>183 784</w:t>
            </w:r>
          </w:p>
        </w:tc>
      </w:tr>
      <w:tr w:rsidR="009A4C46" w:rsidRPr="009A4C46" w14:paraId="5D4DF3F5" w14:textId="77777777" w:rsidTr="00F94FED">
        <w:trPr>
          <w:trHeight w:val="224"/>
        </w:trPr>
        <w:tc>
          <w:tcPr>
            <w:tcW w:w="2553" w:type="pct"/>
            <w:tcBorders>
              <w:top w:val="nil"/>
              <w:left w:val="single" w:sz="8" w:space="0" w:color="auto"/>
              <w:bottom w:val="single" w:sz="8" w:space="0" w:color="auto"/>
              <w:right w:val="single" w:sz="8" w:space="0" w:color="auto"/>
            </w:tcBorders>
            <w:shd w:val="clear" w:color="auto" w:fill="auto"/>
            <w:vAlign w:val="center"/>
            <w:hideMark/>
          </w:tcPr>
          <w:p w14:paraId="2C93E94F" w14:textId="77777777" w:rsidR="009A4C46" w:rsidRPr="009A4C46" w:rsidRDefault="009A4C46" w:rsidP="009A4C46">
            <w:pPr>
              <w:spacing w:after="0" w:line="240" w:lineRule="auto"/>
              <w:jc w:val="both"/>
              <w:rPr>
                <w:rFonts w:eastAsia="Times New Roman"/>
                <w:lang w:eastAsia="ru-RU"/>
              </w:rPr>
            </w:pPr>
            <w:r w:rsidRPr="009A4C46">
              <w:rPr>
                <w:rFonts w:eastAsia="Times New Roman"/>
                <w:lang w:eastAsia="ru-RU"/>
              </w:rPr>
              <w:t>(краткосрочная дебиторская задолженность)</w:t>
            </w:r>
          </w:p>
        </w:tc>
        <w:tc>
          <w:tcPr>
            <w:tcW w:w="788" w:type="pct"/>
            <w:vMerge/>
            <w:tcBorders>
              <w:top w:val="nil"/>
              <w:left w:val="single" w:sz="8" w:space="0" w:color="auto"/>
              <w:bottom w:val="single" w:sz="8" w:space="0" w:color="000000"/>
              <w:right w:val="single" w:sz="8" w:space="0" w:color="auto"/>
            </w:tcBorders>
            <w:shd w:val="clear" w:color="auto" w:fill="auto"/>
            <w:vAlign w:val="center"/>
            <w:hideMark/>
          </w:tcPr>
          <w:p w14:paraId="416A36BE" w14:textId="77777777" w:rsidR="009A4C46" w:rsidRPr="009A4C46" w:rsidRDefault="009A4C46" w:rsidP="009A4C46">
            <w:pPr>
              <w:spacing w:after="0" w:line="240" w:lineRule="auto"/>
              <w:rPr>
                <w:rFonts w:eastAsia="Times New Roman"/>
                <w:lang w:eastAsia="ru-RU"/>
              </w:rPr>
            </w:pPr>
          </w:p>
        </w:tc>
        <w:tc>
          <w:tcPr>
            <w:tcW w:w="904" w:type="pct"/>
            <w:vMerge/>
            <w:tcBorders>
              <w:top w:val="nil"/>
              <w:left w:val="single" w:sz="8" w:space="0" w:color="auto"/>
              <w:bottom w:val="single" w:sz="8" w:space="0" w:color="000000"/>
              <w:right w:val="single" w:sz="8" w:space="0" w:color="auto"/>
            </w:tcBorders>
            <w:shd w:val="clear" w:color="auto" w:fill="auto"/>
            <w:vAlign w:val="center"/>
            <w:hideMark/>
          </w:tcPr>
          <w:p w14:paraId="22C2F5F6" w14:textId="77777777" w:rsidR="009A4C46" w:rsidRPr="009A4C46" w:rsidRDefault="009A4C46" w:rsidP="009A4C46">
            <w:pPr>
              <w:spacing w:after="0" w:line="240" w:lineRule="auto"/>
              <w:rPr>
                <w:rFonts w:eastAsia="Times New Roman"/>
                <w:lang w:eastAsia="ru-RU"/>
              </w:rPr>
            </w:pPr>
          </w:p>
        </w:tc>
        <w:tc>
          <w:tcPr>
            <w:tcW w:w="755" w:type="pct"/>
            <w:vMerge/>
            <w:tcBorders>
              <w:top w:val="nil"/>
              <w:left w:val="single" w:sz="8" w:space="0" w:color="auto"/>
              <w:bottom w:val="single" w:sz="8" w:space="0" w:color="000000"/>
              <w:right w:val="single" w:sz="8" w:space="0" w:color="auto"/>
            </w:tcBorders>
            <w:shd w:val="clear" w:color="auto" w:fill="auto"/>
            <w:vAlign w:val="center"/>
            <w:hideMark/>
          </w:tcPr>
          <w:p w14:paraId="2C62972A" w14:textId="77777777" w:rsidR="009A4C46" w:rsidRPr="009A4C46" w:rsidRDefault="009A4C46" w:rsidP="009A4C46">
            <w:pPr>
              <w:spacing w:after="0" w:line="240" w:lineRule="auto"/>
              <w:rPr>
                <w:rFonts w:eastAsia="Times New Roman"/>
                <w:lang w:eastAsia="ru-RU"/>
              </w:rPr>
            </w:pPr>
          </w:p>
        </w:tc>
      </w:tr>
      <w:tr w:rsidR="009A4C46" w:rsidRPr="009A4C46" w14:paraId="1FF1D10D" w14:textId="77777777" w:rsidTr="00F94FED">
        <w:trPr>
          <w:trHeight w:val="315"/>
        </w:trPr>
        <w:tc>
          <w:tcPr>
            <w:tcW w:w="2553" w:type="pct"/>
            <w:tcBorders>
              <w:top w:val="nil"/>
              <w:left w:val="single" w:sz="8" w:space="0" w:color="auto"/>
              <w:bottom w:val="single" w:sz="8" w:space="0" w:color="auto"/>
              <w:right w:val="single" w:sz="8" w:space="0" w:color="auto"/>
            </w:tcBorders>
            <w:shd w:val="clear" w:color="auto" w:fill="auto"/>
            <w:vAlign w:val="center"/>
            <w:hideMark/>
          </w:tcPr>
          <w:p w14:paraId="1294E5B5" w14:textId="77777777" w:rsidR="009A4C46" w:rsidRPr="009A4C46" w:rsidRDefault="009A4C46" w:rsidP="009A4C46">
            <w:pPr>
              <w:spacing w:after="0" w:line="240" w:lineRule="auto"/>
              <w:jc w:val="both"/>
              <w:rPr>
                <w:rFonts w:eastAsia="Times New Roman"/>
                <w:lang w:eastAsia="ru-RU"/>
              </w:rPr>
            </w:pPr>
            <w:proofErr w:type="spellStart"/>
            <w:r w:rsidRPr="009A4C46">
              <w:rPr>
                <w:rFonts w:eastAsia="Times New Roman"/>
                <w:lang w:eastAsia="ru-RU"/>
              </w:rPr>
              <w:t>Медленнореализуемые</w:t>
            </w:r>
            <w:proofErr w:type="spellEnd"/>
          </w:p>
        </w:tc>
        <w:tc>
          <w:tcPr>
            <w:tcW w:w="788" w:type="pct"/>
            <w:vMerge w:val="restart"/>
            <w:tcBorders>
              <w:top w:val="nil"/>
              <w:left w:val="single" w:sz="8" w:space="0" w:color="auto"/>
              <w:bottom w:val="single" w:sz="8" w:space="0" w:color="000000"/>
              <w:right w:val="single" w:sz="8" w:space="0" w:color="auto"/>
            </w:tcBorders>
            <w:shd w:val="clear" w:color="auto" w:fill="auto"/>
            <w:vAlign w:val="center"/>
            <w:hideMark/>
          </w:tcPr>
          <w:p w14:paraId="753D1336" w14:textId="77777777" w:rsidR="009A4C46" w:rsidRPr="009A4C46" w:rsidRDefault="009A4C46" w:rsidP="009A4C46">
            <w:pPr>
              <w:spacing w:after="0" w:line="240" w:lineRule="auto"/>
              <w:jc w:val="center"/>
              <w:rPr>
                <w:rFonts w:eastAsia="Times New Roman"/>
                <w:lang w:eastAsia="ru-RU"/>
              </w:rPr>
            </w:pPr>
            <w:r w:rsidRPr="009A4C46">
              <w:rPr>
                <w:rFonts w:eastAsia="Times New Roman"/>
                <w:lang w:eastAsia="ru-RU"/>
              </w:rPr>
              <w:t>А3</w:t>
            </w:r>
          </w:p>
        </w:tc>
        <w:tc>
          <w:tcPr>
            <w:tcW w:w="904" w:type="pct"/>
            <w:vMerge w:val="restart"/>
            <w:tcBorders>
              <w:top w:val="nil"/>
              <w:left w:val="single" w:sz="8" w:space="0" w:color="auto"/>
              <w:bottom w:val="single" w:sz="8" w:space="0" w:color="000000"/>
              <w:right w:val="single" w:sz="8" w:space="0" w:color="auto"/>
            </w:tcBorders>
            <w:shd w:val="clear" w:color="auto" w:fill="auto"/>
            <w:vAlign w:val="center"/>
            <w:hideMark/>
          </w:tcPr>
          <w:p w14:paraId="4317033E" w14:textId="77777777" w:rsidR="009A4C46" w:rsidRPr="009A4C46" w:rsidRDefault="009A4C46" w:rsidP="009A4C46">
            <w:pPr>
              <w:spacing w:after="0" w:line="240" w:lineRule="auto"/>
              <w:jc w:val="center"/>
              <w:rPr>
                <w:rFonts w:eastAsia="Times New Roman"/>
                <w:lang w:eastAsia="ru-RU"/>
              </w:rPr>
            </w:pPr>
            <w:r w:rsidRPr="009A4C46">
              <w:rPr>
                <w:rFonts w:eastAsia="Times New Roman"/>
                <w:lang w:eastAsia="ru-RU"/>
              </w:rPr>
              <w:t>63 389</w:t>
            </w:r>
          </w:p>
        </w:tc>
        <w:tc>
          <w:tcPr>
            <w:tcW w:w="755" w:type="pct"/>
            <w:vMerge w:val="restart"/>
            <w:tcBorders>
              <w:top w:val="nil"/>
              <w:left w:val="single" w:sz="8" w:space="0" w:color="auto"/>
              <w:bottom w:val="single" w:sz="8" w:space="0" w:color="000000"/>
              <w:right w:val="single" w:sz="8" w:space="0" w:color="auto"/>
            </w:tcBorders>
            <w:shd w:val="clear" w:color="auto" w:fill="auto"/>
            <w:vAlign w:val="center"/>
            <w:hideMark/>
          </w:tcPr>
          <w:p w14:paraId="64E4287B" w14:textId="77777777" w:rsidR="009A4C46" w:rsidRPr="009A4C46" w:rsidRDefault="009A4C46" w:rsidP="009A4C46">
            <w:pPr>
              <w:spacing w:after="0" w:line="240" w:lineRule="auto"/>
              <w:jc w:val="center"/>
              <w:rPr>
                <w:rFonts w:eastAsia="Times New Roman"/>
                <w:lang w:eastAsia="ru-RU"/>
              </w:rPr>
            </w:pPr>
            <w:r w:rsidRPr="009A4C46">
              <w:rPr>
                <w:rFonts w:eastAsia="Times New Roman"/>
                <w:lang w:eastAsia="ru-RU"/>
              </w:rPr>
              <w:t>56 122</w:t>
            </w:r>
          </w:p>
        </w:tc>
      </w:tr>
      <w:tr w:rsidR="009A4C46" w:rsidRPr="009A4C46" w14:paraId="413C3D68" w14:textId="77777777" w:rsidTr="00F94FED">
        <w:trPr>
          <w:trHeight w:val="629"/>
        </w:trPr>
        <w:tc>
          <w:tcPr>
            <w:tcW w:w="2553" w:type="pct"/>
            <w:tcBorders>
              <w:top w:val="nil"/>
              <w:left w:val="single" w:sz="8" w:space="0" w:color="auto"/>
              <w:bottom w:val="single" w:sz="8" w:space="0" w:color="auto"/>
              <w:right w:val="single" w:sz="8" w:space="0" w:color="auto"/>
            </w:tcBorders>
            <w:shd w:val="clear" w:color="auto" w:fill="auto"/>
            <w:vAlign w:val="center"/>
            <w:hideMark/>
          </w:tcPr>
          <w:p w14:paraId="1AED9573" w14:textId="77777777" w:rsidR="009A4C46" w:rsidRPr="009A4C46" w:rsidRDefault="009A4C46" w:rsidP="009A4C46">
            <w:pPr>
              <w:spacing w:after="0" w:line="240" w:lineRule="auto"/>
              <w:jc w:val="both"/>
              <w:rPr>
                <w:rFonts w:eastAsia="Times New Roman"/>
                <w:lang w:eastAsia="ru-RU"/>
              </w:rPr>
            </w:pPr>
            <w:r w:rsidRPr="009A4C46">
              <w:rPr>
                <w:rFonts w:eastAsia="Times New Roman"/>
                <w:lang w:eastAsia="ru-RU"/>
              </w:rPr>
              <w:t>(запасы всех видов, НДС, долгосрочная дебиторская задолженность, прочие оборотные активы)</w:t>
            </w:r>
          </w:p>
        </w:tc>
        <w:tc>
          <w:tcPr>
            <w:tcW w:w="788" w:type="pct"/>
            <w:vMerge/>
            <w:tcBorders>
              <w:top w:val="nil"/>
              <w:left w:val="single" w:sz="8" w:space="0" w:color="auto"/>
              <w:bottom w:val="single" w:sz="8" w:space="0" w:color="000000"/>
              <w:right w:val="single" w:sz="8" w:space="0" w:color="auto"/>
            </w:tcBorders>
            <w:shd w:val="clear" w:color="auto" w:fill="auto"/>
            <w:vAlign w:val="center"/>
            <w:hideMark/>
          </w:tcPr>
          <w:p w14:paraId="278B1952" w14:textId="77777777" w:rsidR="009A4C46" w:rsidRPr="009A4C46" w:rsidRDefault="009A4C46" w:rsidP="009A4C46">
            <w:pPr>
              <w:spacing w:after="0" w:line="240" w:lineRule="auto"/>
              <w:rPr>
                <w:rFonts w:eastAsia="Times New Roman"/>
                <w:lang w:eastAsia="ru-RU"/>
              </w:rPr>
            </w:pPr>
          </w:p>
        </w:tc>
        <w:tc>
          <w:tcPr>
            <w:tcW w:w="904" w:type="pct"/>
            <w:vMerge/>
            <w:tcBorders>
              <w:top w:val="nil"/>
              <w:left w:val="single" w:sz="8" w:space="0" w:color="auto"/>
              <w:bottom w:val="single" w:sz="8" w:space="0" w:color="000000"/>
              <w:right w:val="single" w:sz="8" w:space="0" w:color="auto"/>
            </w:tcBorders>
            <w:shd w:val="clear" w:color="auto" w:fill="auto"/>
            <w:vAlign w:val="center"/>
            <w:hideMark/>
          </w:tcPr>
          <w:p w14:paraId="1E572FA4" w14:textId="77777777" w:rsidR="009A4C46" w:rsidRPr="009A4C46" w:rsidRDefault="009A4C46" w:rsidP="009A4C46">
            <w:pPr>
              <w:spacing w:after="0" w:line="240" w:lineRule="auto"/>
              <w:rPr>
                <w:rFonts w:eastAsia="Times New Roman"/>
                <w:lang w:eastAsia="ru-RU"/>
              </w:rPr>
            </w:pPr>
          </w:p>
        </w:tc>
        <w:tc>
          <w:tcPr>
            <w:tcW w:w="755" w:type="pct"/>
            <w:vMerge/>
            <w:tcBorders>
              <w:top w:val="nil"/>
              <w:left w:val="single" w:sz="8" w:space="0" w:color="auto"/>
              <w:bottom w:val="single" w:sz="8" w:space="0" w:color="000000"/>
              <w:right w:val="single" w:sz="8" w:space="0" w:color="auto"/>
            </w:tcBorders>
            <w:shd w:val="clear" w:color="auto" w:fill="auto"/>
            <w:vAlign w:val="center"/>
            <w:hideMark/>
          </w:tcPr>
          <w:p w14:paraId="11CB59AF" w14:textId="77777777" w:rsidR="009A4C46" w:rsidRPr="009A4C46" w:rsidRDefault="009A4C46" w:rsidP="009A4C46">
            <w:pPr>
              <w:spacing w:after="0" w:line="240" w:lineRule="auto"/>
              <w:rPr>
                <w:rFonts w:eastAsia="Times New Roman"/>
                <w:lang w:eastAsia="ru-RU"/>
              </w:rPr>
            </w:pPr>
          </w:p>
        </w:tc>
      </w:tr>
      <w:tr w:rsidR="009A4C46" w:rsidRPr="009A4C46" w14:paraId="2BB872EB" w14:textId="77777777" w:rsidTr="00F94FED">
        <w:trPr>
          <w:trHeight w:val="315"/>
        </w:trPr>
        <w:tc>
          <w:tcPr>
            <w:tcW w:w="2553" w:type="pct"/>
            <w:tcBorders>
              <w:top w:val="nil"/>
              <w:left w:val="single" w:sz="8" w:space="0" w:color="auto"/>
              <w:bottom w:val="single" w:sz="8" w:space="0" w:color="auto"/>
              <w:right w:val="single" w:sz="8" w:space="0" w:color="auto"/>
            </w:tcBorders>
            <w:shd w:val="clear" w:color="auto" w:fill="auto"/>
            <w:vAlign w:val="center"/>
            <w:hideMark/>
          </w:tcPr>
          <w:p w14:paraId="3F0C866A" w14:textId="77777777" w:rsidR="009A4C46" w:rsidRPr="009A4C46" w:rsidRDefault="009A4C46" w:rsidP="009A4C46">
            <w:pPr>
              <w:spacing w:after="0" w:line="240" w:lineRule="auto"/>
              <w:jc w:val="both"/>
              <w:rPr>
                <w:rFonts w:eastAsia="Times New Roman"/>
                <w:lang w:eastAsia="ru-RU"/>
              </w:rPr>
            </w:pPr>
            <w:r w:rsidRPr="009A4C46">
              <w:rPr>
                <w:rFonts w:eastAsia="Times New Roman"/>
                <w:lang w:eastAsia="ru-RU"/>
              </w:rPr>
              <w:t>Труднореализуемые</w:t>
            </w:r>
          </w:p>
        </w:tc>
        <w:tc>
          <w:tcPr>
            <w:tcW w:w="788" w:type="pct"/>
            <w:vMerge w:val="restart"/>
            <w:tcBorders>
              <w:top w:val="nil"/>
              <w:left w:val="single" w:sz="8" w:space="0" w:color="auto"/>
              <w:bottom w:val="single" w:sz="8" w:space="0" w:color="000000"/>
              <w:right w:val="single" w:sz="8" w:space="0" w:color="auto"/>
            </w:tcBorders>
            <w:shd w:val="clear" w:color="auto" w:fill="auto"/>
            <w:vAlign w:val="center"/>
            <w:hideMark/>
          </w:tcPr>
          <w:p w14:paraId="5E8D5CDC" w14:textId="77777777" w:rsidR="009A4C46" w:rsidRPr="009A4C46" w:rsidRDefault="009A4C46" w:rsidP="009A4C46">
            <w:pPr>
              <w:spacing w:after="0" w:line="240" w:lineRule="auto"/>
              <w:jc w:val="center"/>
              <w:rPr>
                <w:rFonts w:eastAsia="Times New Roman"/>
                <w:lang w:eastAsia="ru-RU"/>
              </w:rPr>
            </w:pPr>
            <w:r w:rsidRPr="009A4C46">
              <w:rPr>
                <w:rFonts w:eastAsia="Times New Roman"/>
                <w:lang w:eastAsia="ru-RU"/>
              </w:rPr>
              <w:t>А4</w:t>
            </w:r>
          </w:p>
        </w:tc>
        <w:tc>
          <w:tcPr>
            <w:tcW w:w="904" w:type="pct"/>
            <w:vMerge w:val="restart"/>
            <w:tcBorders>
              <w:top w:val="nil"/>
              <w:left w:val="single" w:sz="8" w:space="0" w:color="auto"/>
              <w:bottom w:val="single" w:sz="8" w:space="0" w:color="000000"/>
              <w:right w:val="single" w:sz="8" w:space="0" w:color="auto"/>
            </w:tcBorders>
            <w:shd w:val="clear" w:color="auto" w:fill="auto"/>
            <w:vAlign w:val="center"/>
            <w:hideMark/>
          </w:tcPr>
          <w:p w14:paraId="70304148" w14:textId="77777777" w:rsidR="009A4C46" w:rsidRPr="009A4C46" w:rsidRDefault="009A4C46" w:rsidP="009A4C46">
            <w:pPr>
              <w:spacing w:after="0" w:line="240" w:lineRule="auto"/>
              <w:jc w:val="center"/>
              <w:rPr>
                <w:rFonts w:eastAsia="Times New Roman"/>
                <w:lang w:eastAsia="ru-RU"/>
              </w:rPr>
            </w:pPr>
            <w:r w:rsidRPr="009A4C46">
              <w:rPr>
                <w:rFonts w:eastAsia="Times New Roman"/>
                <w:lang w:eastAsia="ru-RU"/>
              </w:rPr>
              <w:t>1 170 839</w:t>
            </w:r>
          </w:p>
        </w:tc>
        <w:tc>
          <w:tcPr>
            <w:tcW w:w="755" w:type="pct"/>
            <w:vMerge w:val="restart"/>
            <w:tcBorders>
              <w:top w:val="nil"/>
              <w:left w:val="single" w:sz="8" w:space="0" w:color="auto"/>
              <w:bottom w:val="single" w:sz="8" w:space="0" w:color="000000"/>
              <w:right w:val="single" w:sz="8" w:space="0" w:color="auto"/>
            </w:tcBorders>
            <w:shd w:val="clear" w:color="auto" w:fill="auto"/>
            <w:vAlign w:val="center"/>
            <w:hideMark/>
          </w:tcPr>
          <w:p w14:paraId="06454D70" w14:textId="77777777" w:rsidR="009A4C46" w:rsidRPr="009A4C46" w:rsidRDefault="009A4C46" w:rsidP="009A4C46">
            <w:pPr>
              <w:spacing w:after="0" w:line="240" w:lineRule="auto"/>
              <w:jc w:val="center"/>
              <w:rPr>
                <w:rFonts w:eastAsia="Times New Roman"/>
                <w:lang w:eastAsia="ru-RU"/>
              </w:rPr>
            </w:pPr>
            <w:r w:rsidRPr="009A4C46">
              <w:rPr>
                <w:rFonts w:eastAsia="Times New Roman"/>
                <w:lang w:eastAsia="ru-RU"/>
              </w:rPr>
              <w:t>1 519 571</w:t>
            </w:r>
          </w:p>
        </w:tc>
      </w:tr>
      <w:tr w:rsidR="009A4C46" w:rsidRPr="009A4C46" w14:paraId="1DBB6DC6" w14:textId="77777777" w:rsidTr="005C3ACA">
        <w:trPr>
          <w:trHeight w:val="495"/>
        </w:trPr>
        <w:tc>
          <w:tcPr>
            <w:tcW w:w="2553" w:type="pct"/>
            <w:tcBorders>
              <w:top w:val="nil"/>
              <w:left w:val="single" w:sz="8" w:space="0" w:color="auto"/>
              <w:bottom w:val="single" w:sz="4" w:space="0" w:color="FFFFFF" w:themeColor="background1"/>
              <w:right w:val="single" w:sz="8" w:space="0" w:color="auto"/>
            </w:tcBorders>
            <w:shd w:val="clear" w:color="auto" w:fill="auto"/>
            <w:vAlign w:val="center"/>
            <w:hideMark/>
          </w:tcPr>
          <w:p w14:paraId="5E1D61CF" w14:textId="77777777" w:rsidR="009A4C46" w:rsidRPr="009A4C46" w:rsidRDefault="009A4C46" w:rsidP="009A4C46">
            <w:pPr>
              <w:spacing w:after="0" w:line="240" w:lineRule="auto"/>
              <w:jc w:val="both"/>
              <w:rPr>
                <w:rFonts w:eastAsia="Times New Roman"/>
                <w:lang w:eastAsia="ru-RU"/>
              </w:rPr>
            </w:pPr>
            <w:r w:rsidRPr="009A4C46">
              <w:rPr>
                <w:rFonts w:eastAsia="Times New Roman"/>
                <w:lang w:eastAsia="ru-RU"/>
              </w:rPr>
              <w:t>(внеоборотные активы)</w:t>
            </w:r>
          </w:p>
        </w:tc>
        <w:tc>
          <w:tcPr>
            <w:tcW w:w="788" w:type="pct"/>
            <w:vMerge/>
            <w:tcBorders>
              <w:top w:val="nil"/>
              <w:left w:val="single" w:sz="8" w:space="0" w:color="auto"/>
              <w:bottom w:val="single" w:sz="4" w:space="0" w:color="FFFFFF" w:themeColor="background1"/>
              <w:right w:val="single" w:sz="8" w:space="0" w:color="auto"/>
            </w:tcBorders>
            <w:shd w:val="clear" w:color="auto" w:fill="auto"/>
            <w:vAlign w:val="center"/>
            <w:hideMark/>
          </w:tcPr>
          <w:p w14:paraId="283E2422" w14:textId="77777777" w:rsidR="009A4C46" w:rsidRPr="009A4C46" w:rsidRDefault="009A4C46" w:rsidP="009A4C46">
            <w:pPr>
              <w:spacing w:after="0" w:line="240" w:lineRule="auto"/>
              <w:rPr>
                <w:rFonts w:eastAsia="Times New Roman"/>
                <w:lang w:eastAsia="ru-RU"/>
              </w:rPr>
            </w:pPr>
          </w:p>
        </w:tc>
        <w:tc>
          <w:tcPr>
            <w:tcW w:w="904" w:type="pct"/>
            <w:vMerge/>
            <w:tcBorders>
              <w:top w:val="nil"/>
              <w:left w:val="single" w:sz="8" w:space="0" w:color="auto"/>
              <w:bottom w:val="single" w:sz="4" w:space="0" w:color="FFFFFF" w:themeColor="background1"/>
              <w:right w:val="single" w:sz="8" w:space="0" w:color="auto"/>
            </w:tcBorders>
            <w:shd w:val="clear" w:color="auto" w:fill="auto"/>
            <w:vAlign w:val="center"/>
            <w:hideMark/>
          </w:tcPr>
          <w:p w14:paraId="72FCEF56" w14:textId="77777777" w:rsidR="009A4C46" w:rsidRPr="009A4C46" w:rsidRDefault="009A4C46" w:rsidP="009A4C46">
            <w:pPr>
              <w:spacing w:after="0" w:line="240" w:lineRule="auto"/>
              <w:rPr>
                <w:rFonts w:eastAsia="Times New Roman"/>
                <w:lang w:eastAsia="ru-RU"/>
              </w:rPr>
            </w:pPr>
          </w:p>
        </w:tc>
        <w:tc>
          <w:tcPr>
            <w:tcW w:w="755" w:type="pct"/>
            <w:vMerge/>
            <w:tcBorders>
              <w:top w:val="nil"/>
              <w:left w:val="single" w:sz="8" w:space="0" w:color="auto"/>
              <w:bottom w:val="single" w:sz="4" w:space="0" w:color="FFFFFF" w:themeColor="background1"/>
              <w:right w:val="single" w:sz="8" w:space="0" w:color="auto"/>
            </w:tcBorders>
            <w:shd w:val="clear" w:color="auto" w:fill="auto"/>
            <w:vAlign w:val="center"/>
            <w:hideMark/>
          </w:tcPr>
          <w:p w14:paraId="6C769EEA" w14:textId="77777777" w:rsidR="009A4C46" w:rsidRPr="009A4C46" w:rsidRDefault="009A4C46" w:rsidP="009A4C46">
            <w:pPr>
              <w:spacing w:after="0" w:line="240" w:lineRule="auto"/>
              <w:rPr>
                <w:rFonts w:eastAsia="Times New Roman"/>
                <w:lang w:eastAsia="ru-RU"/>
              </w:rPr>
            </w:pPr>
          </w:p>
        </w:tc>
      </w:tr>
      <w:tr w:rsidR="005C3ACA" w:rsidRPr="005C3ACA" w14:paraId="4DACC5EB" w14:textId="77777777" w:rsidTr="005C3ACA">
        <w:trPr>
          <w:trHeight w:val="315"/>
        </w:trPr>
        <w:tc>
          <w:tcPr>
            <w:tcW w:w="5000" w:type="pct"/>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A6EF4A9" w14:textId="77777777" w:rsidR="009A4C46" w:rsidRPr="005C3ACA" w:rsidRDefault="009A4C46" w:rsidP="009A4C46">
            <w:pPr>
              <w:spacing w:after="0" w:line="240" w:lineRule="auto"/>
              <w:jc w:val="center"/>
              <w:rPr>
                <w:rFonts w:eastAsia="Times New Roman"/>
                <w:b/>
                <w:bCs/>
                <w:color w:val="FFFFFF" w:themeColor="background1"/>
                <w:lang w:eastAsia="ru-RU"/>
              </w:rPr>
            </w:pPr>
            <w:r w:rsidRPr="005C3ACA">
              <w:rPr>
                <w:rFonts w:eastAsia="Times New Roman"/>
                <w:b/>
                <w:bCs/>
                <w:color w:val="FFFFFF" w:themeColor="background1"/>
                <w:lang w:eastAsia="ru-RU"/>
              </w:rPr>
              <w:t>Пассивы, тыс. руб.</w:t>
            </w:r>
          </w:p>
        </w:tc>
      </w:tr>
      <w:tr w:rsidR="005C3ACA" w:rsidRPr="005C3ACA" w14:paraId="4B051676" w14:textId="77777777" w:rsidTr="005C3ACA">
        <w:trPr>
          <w:trHeight w:val="315"/>
        </w:trPr>
        <w:tc>
          <w:tcPr>
            <w:tcW w:w="255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831AFFE" w14:textId="77777777" w:rsidR="009A4C46" w:rsidRPr="005C3ACA" w:rsidRDefault="009A4C46" w:rsidP="009A4C46">
            <w:pPr>
              <w:spacing w:after="0" w:line="240" w:lineRule="auto"/>
              <w:jc w:val="center"/>
              <w:rPr>
                <w:rFonts w:eastAsia="Times New Roman"/>
                <w:b/>
                <w:bCs/>
                <w:color w:val="FFFFFF" w:themeColor="background1"/>
                <w:lang w:eastAsia="ru-RU"/>
              </w:rPr>
            </w:pPr>
            <w:r w:rsidRPr="005C3ACA">
              <w:rPr>
                <w:rFonts w:eastAsia="Times New Roman"/>
                <w:b/>
                <w:bCs/>
                <w:color w:val="FFFFFF" w:themeColor="background1"/>
                <w:lang w:eastAsia="ru-RU"/>
              </w:rPr>
              <w:t>Наименование группы</w:t>
            </w:r>
          </w:p>
        </w:tc>
        <w:tc>
          <w:tcPr>
            <w:tcW w:w="78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539AB7F" w14:textId="77777777" w:rsidR="009A4C46" w:rsidRPr="005C3ACA" w:rsidRDefault="009A4C46" w:rsidP="009A4C46">
            <w:pPr>
              <w:spacing w:after="0" w:line="240" w:lineRule="auto"/>
              <w:jc w:val="center"/>
              <w:rPr>
                <w:rFonts w:eastAsia="Times New Roman"/>
                <w:b/>
                <w:bCs/>
                <w:color w:val="FFFFFF" w:themeColor="background1"/>
                <w:lang w:eastAsia="ru-RU"/>
              </w:rPr>
            </w:pPr>
            <w:proofErr w:type="spellStart"/>
            <w:r w:rsidRPr="005C3ACA">
              <w:rPr>
                <w:rFonts w:eastAsia="Times New Roman"/>
                <w:b/>
                <w:bCs/>
                <w:color w:val="FFFFFF" w:themeColor="background1"/>
                <w:lang w:eastAsia="ru-RU"/>
              </w:rPr>
              <w:t>Обозн</w:t>
            </w:r>
            <w:proofErr w:type="spellEnd"/>
            <w:r w:rsidRPr="005C3ACA">
              <w:rPr>
                <w:rFonts w:eastAsia="Times New Roman"/>
                <w:b/>
                <w:bCs/>
                <w:color w:val="FFFFFF" w:themeColor="background1"/>
                <w:lang w:eastAsia="ru-RU"/>
              </w:rPr>
              <w:t>.</w:t>
            </w:r>
          </w:p>
        </w:tc>
        <w:tc>
          <w:tcPr>
            <w:tcW w:w="9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074E34E" w14:textId="77777777" w:rsidR="009A4C46" w:rsidRPr="005C3ACA" w:rsidRDefault="009A4C46" w:rsidP="009A4C46">
            <w:pPr>
              <w:spacing w:after="0" w:line="240" w:lineRule="auto"/>
              <w:jc w:val="center"/>
              <w:rPr>
                <w:rFonts w:eastAsia="Times New Roman"/>
                <w:b/>
                <w:bCs/>
                <w:color w:val="FFFFFF" w:themeColor="background1"/>
                <w:lang w:eastAsia="ru-RU"/>
              </w:rPr>
            </w:pPr>
            <w:r w:rsidRPr="005C3ACA">
              <w:rPr>
                <w:rFonts w:eastAsia="Times New Roman"/>
                <w:b/>
                <w:bCs/>
                <w:color w:val="FFFFFF" w:themeColor="background1"/>
                <w:lang w:eastAsia="ru-RU"/>
              </w:rPr>
              <w:t>На 31.12.2017</w:t>
            </w:r>
          </w:p>
        </w:tc>
        <w:tc>
          <w:tcPr>
            <w:tcW w:w="75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F40FBB5" w14:textId="77777777" w:rsidR="009A4C46" w:rsidRPr="005C3ACA" w:rsidRDefault="009A4C46" w:rsidP="009A4C46">
            <w:pPr>
              <w:spacing w:after="0" w:line="240" w:lineRule="auto"/>
              <w:jc w:val="center"/>
              <w:rPr>
                <w:rFonts w:eastAsia="Times New Roman"/>
                <w:b/>
                <w:bCs/>
                <w:color w:val="FFFFFF" w:themeColor="background1"/>
                <w:lang w:eastAsia="ru-RU"/>
              </w:rPr>
            </w:pPr>
            <w:r w:rsidRPr="005C3ACA">
              <w:rPr>
                <w:rFonts w:eastAsia="Times New Roman"/>
                <w:b/>
                <w:bCs/>
                <w:color w:val="FFFFFF" w:themeColor="background1"/>
                <w:lang w:eastAsia="ru-RU"/>
              </w:rPr>
              <w:t>На 31.12.2018</w:t>
            </w:r>
          </w:p>
        </w:tc>
      </w:tr>
      <w:tr w:rsidR="009A4C46" w:rsidRPr="009A4C46" w14:paraId="5996EA5D" w14:textId="77777777" w:rsidTr="005C3ACA">
        <w:trPr>
          <w:trHeight w:val="495"/>
        </w:trPr>
        <w:tc>
          <w:tcPr>
            <w:tcW w:w="2553" w:type="pct"/>
            <w:tcBorders>
              <w:top w:val="single" w:sz="4" w:space="0" w:color="FFFFFF" w:themeColor="background1"/>
              <w:left w:val="single" w:sz="8" w:space="0" w:color="auto"/>
              <w:bottom w:val="single" w:sz="8" w:space="0" w:color="auto"/>
              <w:right w:val="single" w:sz="8" w:space="0" w:color="auto"/>
            </w:tcBorders>
            <w:shd w:val="clear" w:color="auto" w:fill="auto"/>
            <w:vAlign w:val="center"/>
            <w:hideMark/>
          </w:tcPr>
          <w:p w14:paraId="1D3B8031" w14:textId="77777777" w:rsidR="009A4C46" w:rsidRPr="009A4C46" w:rsidRDefault="009A4C46" w:rsidP="009A4C46">
            <w:pPr>
              <w:spacing w:after="0" w:line="240" w:lineRule="auto"/>
              <w:jc w:val="both"/>
              <w:rPr>
                <w:rFonts w:eastAsia="Times New Roman"/>
                <w:lang w:eastAsia="ru-RU"/>
              </w:rPr>
            </w:pPr>
            <w:r w:rsidRPr="009A4C46">
              <w:rPr>
                <w:rFonts w:eastAsia="Times New Roman"/>
                <w:lang w:eastAsia="ru-RU"/>
              </w:rPr>
              <w:t>Наиболее срочные обязательства</w:t>
            </w:r>
          </w:p>
        </w:tc>
        <w:tc>
          <w:tcPr>
            <w:tcW w:w="788" w:type="pct"/>
            <w:vMerge w:val="restart"/>
            <w:tcBorders>
              <w:top w:val="single" w:sz="4" w:space="0" w:color="FFFFFF" w:themeColor="background1"/>
              <w:left w:val="single" w:sz="8" w:space="0" w:color="auto"/>
              <w:bottom w:val="single" w:sz="8" w:space="0" w:color="000000"/>
              <w:right w:val="single" w:sz="8" w:space="0" w:color="auto"/>
            </w:tcBorders>
            <w:shd w:val="clear" w:color="auto" w:fill="auto"/>
            <w:vAlign w:val="center"/>
            <w:hideMark/>
          </w:tcPr>
          <w:p w14:paraId="0EB18AAE" w14:textId="77777777" w:rsidR="009A4C46" w:rsidRPr="009A4C46" w:rsidRDefault="009A4C46" w:rsidP="009A4C46">
            <w:pPr>
              <w:spacing w:after="0" w:line="240" w:lineRule="auto"/>
              <w:jc w:val="center"/>
              <w:rPr>
                <w:rFonts w:eastAsia="Times New Roman"/>
                <w:lang w:eastAsia="ru-RU"/>
              </w:rPr>
            </w:pPr>
            <w:r w:rsidRPr="009A4C46">
              <w:rPr>
                <w:rFonts w:eastAsia="Times New Roman"/>
                <w:lang w:eastAsia="ru-RU"/>
              </w:rPr>
              <w:t>Р1</w:t>
            </w:r>
          </w:p>
        </w:tc>
        <w:tc>
          <w:tcPr>
            <w:tcW w:w="904" w:type="pct"/>
            <w:vMerge w:val="restart"/>
            <w:tcBorders>
              <w:top w:val="single" w:sz="4" w:space="0" w:color="FFFFFF" w:themeColor="background1"/>
              <w:left w:val="single" w:sz="8" w:space="0" w:color="auto"/>
              <w:bottom w:val="single" w:sz="8" w:space="0" w:color="000000"/>
              <w:right w:val="single" w:sz="8" w:space="0" w:color="auto"/>
            </w:tcBorders>
            <w:shd w:val="clear" w:color="auto" w:fill="auto"/>
            <w:vAlign w:val="center"/>
            <w:hideMark/>
          </w:tcPr>
          <w:p w14:paraId="4C21F580" w14:textId="77777777" w:rsidR="009A4C46" w:rsidRPr="009A4C46" w:rsidRDefault="009A4C46" w:rsidP="009A4C46">
            <w:pPr>
              <w:spacing w:after="0" w:line="240" w:lineRule="auto"/>
              <w:jc w:val="center"/>
              <w:rPr>
                <w:rFonts w:eastAsia="Times New Roman"/>
                <w:lang w:eastAsia="ru-RU"/>
              </w:rPr>
            </w:pPr>
            <w:r w:rsidRPr="009A4C46">
              <w:rPr>
                <w:rFonts w:eastAsia="Times New Roman"/>
                <w:lang w:eastAsia="ru-RU"/>
              </w:rPr>
              <w:t>2 126 683</w:t>
            </w:r>
          </w:p>
        </w:tc>
        <w:tc>
          <w:tcPr>
            <w:tcW w:w="755" w:type="pct"/>
            <w:vMerge w:val="restart"/>
            <w:tcBorders>
              <w:top w:val="single" w:sz="4" w:space="0" w:color="FFFFFF" w:themeColor="background1"/>
              <w:left w:val="single" w:sz="8" w:space="0" w:color="auto"/>
              <w:bottom w:val="single" w:sz="8" w:space="0" w:color="000000"/>
              <w:right w:val="single" w:sz="8" w:space="0" w:color="auto"/>
            </w:tcBorders>
            <w:shd w:val="clear" w:color="auto" w:fill="auto"/>
            <w:vAlign w:val="center"/>
            <w:hideMark/>
          </w:tcPr>
          <w:p w14:paraId="4DD4037E" w14:textId="77777777" w:rsidR="009A4C46" w:rsidRPr="009A4C46" w:rsidRDefault="009A4C46" w:rsidP="009A4C46">
            <w:pPr>
              <w:spacing w:after="0" w:line="240" w:lineRule="auto"/>
              <w:jc w:val="center"/>
              <w:rPr>
                <w:rFonts w:eastAsia="Times New Roman"/>
                <w:lang w:eastAsia="ru-RU"/>
              </w:rPr>
            </w:pPr>
            <w:r w:rsidRPr="009A4C46">
              <w:rPr>
                <w:rFonts w:eastAsia="Times New Roman"/>
                <w:lang w:eastAsia="ru-RU"/>
              </w:rPr>
              <w:t>288 311</w:t>
            </w:r>
          </w:p>
        </w:tc>
      </w:tr>
      <w:tr w:rsidR="009A4C46" w:rsidRPr="009A4C46" w14:paraId="3AFF15B2" w14:textId="77777777" w:rsidTr="00F94FED">
        <w:trPr>
          <w:trHeight w:val="498"/>
        </w:trPr>
        <w:tc>
          <w:tcPr>
            <w:tcW w:w="2553" w:type="pct"/>
            <w:tcBorders>
              <w:top w:val="nil"/>
              <w:left w:val="single" w:sz="8" w:space="0" w:color="auto"/>
              <w:bottom w:val="single" w:sz="8" w:space="0" w:color="auto"/>
              <w:right w:val="single" w:sz="8" w:space="0" w:color="auto"/>
            </w:tcBorders>
            <w:shd w:val="clear" w:color="auto" w:fill="auto"/>
            <w:vAlign w:val="center"/>
            <w:hideMark/>
          </w:tcPr>
          <w:p w14:paraId="0DA9D9B7" w14:textId="77777777" w:rsidR="009A4C46" w:rsidRPr="009A4C46" w:rsidRDefault="009A4C46" w:rsidP="009A4C46">
            <w:pPr>
              <w:spacing w:after="0" w:line="240" w:lineRule="auto"/>
              <w:jc w:val="both"/>
              <w:rPr>
                <w:rFonts w:eastAsia="Times New Roman"/>
                <w:lang w:eastAsia="ru-RU"/>
              </w:rPr>
            </w:pPr>
            <w:r w:rsidRPr="009A4C46">
              <w:rPr>
                <w:rFonts w:eastAsia="Times New Roman"/>
                <w:lang w:eastAsia="ru-RU"/>
              </w:rPr>
              <w:t>(краткосрочные обязательства, кредиторская задолженность)</w:t>
            </w:r>
          </w:p>
        </w:tc>
        <w:tc>
          <w:tcPr>
            <w:tcW w:w="788" w:type="pct"/>
            <w:vMerge/>
            <w:tcBorders>
              <w:top w:val="nil"/>
              <w:left w:val="single" w:sz="8" w:space="0" w:color="auto"/>
              <w:bottom w:val="single" w:sz="8" w:space="0" w:color="000000"/>
              <w:right w:val="single" w:sz="8" w:space="0" w:color="auto"/>
            </w:tcBorders>
            <w:shd w:val="clear" w:color="auto" w:fill="auto"/>
            <w:vAlign w:val="center"/>
            <w:hideMark/>
          </w:tcPr>
          <w:p w14:paraId="4811F27C" w14:textId="77777777" w:rsidR="009A4C46" w:rsidRPr="009A4C46" w:rsidRDefault="009A4C46" w:rsidP="009A4C46">
            <w:pPr>
              <w:spacing w:after="0" w:line="240" w:lineRule="auto"/>
              <w:rPr>
                <w:rFonts w:eastAsia="Times New Roman"/>
                <w:lang w:eastAsia="ru-RU"/>
              </w:rPr>
            </w:pPr>
          </w:p>
        </w:tc>
        <w:tc>
          <w:tcPr>
            <w:tcW w:w="904" w:type="pct"/>
            <w:vMerge/>
            <w:tcBorders>
              <w:top w:val="nil"/>
              <w:left w:val="single" w:sz="8" w:space="0" w:color="auto"/>
              <w:bottom w:val="single" w:sz="8" w:space="0" w:color="000000"/>
              <w:right w:val="single" w:sz="8" w:space="0" w:color="auto"/>
            </w:tcBorders>
            <w:shd w:val="clear" w:color="auto" w:fill="auto"/>
            <w:vAlign w:val="center"/>
            <w:hideMark/>
          </w:tcPr>
          <w:p w14:paraId="739050F1" w14:textId="77777777" w:rsidR="009A4C46" w:rsidRPr="009A4C46" w:rsidRDefault="009A4C46" w:rsidP="009A4C46">
            <w:pPr>
              <w:spacing w:after="0" w:line="240" w:lineRule="auto"/>
              <w:rPr>
                <w:rFonts w:eastAsia="Times New Roman"/>
                <w:lang w:eastAsia="ru-RU"/>
              </w:rPr>
            </w:pPr>
          </w:p>
        </w:tc>
        <w:tc>
          <w:tcPr>
            <w:tcW w:w="755" w:type="pct"/>
            <w:vMerge/>
            <w:tcBorders>
              <w:top w:val="nil"/>
              <w:left w:val="single" w:sz="8" w:space="0" w:color="auto"/>
              <w:bottom w:val="single" w:sz="8" w:space="0" w:color="000000"/>
              <w:right w:val="single" w:sz="8" w:space="0" w:color="auto"/>
            </w:tcBorders>
            <w:shd w:val="clear" w:color="auto" w:fill="auto"/>
            <w:vAlign w:val="center"/>
            <w:hideMark/>
          </w:tcPr>
          <w:p w14:paraId="027E1BD9" w14:textId="77777777" w:rsidR="009A4C46" w:rsidRPr="009A4C46" w:rsidRDefault="009A4C46" w:rsidP="009A4C46">
            <w:pPr>
              <w:spacing w:after="0" w:line="240" w:lineRule="auto"/>
              <w:rPr>
                <w:rFonts w:eastAsia="Times New Roman"/>
                <w:lang w:eastAsia="ru-RU"/>
              </w:rPr>
            </w:pPr>
          </w:p>
        </w:tc>
      </w:tr>
      <w:tr w:rsidR="009A4C46" w:rsidRPr="009A4C46" w14:paraId="0CBC1995" w14:textId="77777777" w:rsidTr="00F94FED">
        <w:trPr>
          <w:trHeight w:val="315"/>
        </w:trPr>
        <w:tc>
          <w:tcPr>
            <w:tcW w:w="2553" w:type="pct"/>
            <w:tcBorders>
              <w:top w:val="nil"/>
              <w:left w:val="single" w:sz="8" w:space="0" w:color="auto"/>
              <w:bottom w:val="single" w:sz="8" w:space="0" w:color="auto"/>
              <w:right w:val="single" w:sz="8" w:space="0" w:color="auto"/>
            </w:tcBorders>
            <w:shd w:val="clear" w:color="auto" w:fill="auto"/>
            <w:vAlign w:val="center"/>
            <w:hideMark/>
          </w:tcPr>
          <w:p w14:paraId="66F01A8A" w14:textId="77777777" w:rsidR="009A4C46" w:rsidRPr="009A4C46" w:rsidRDefault="009A4C46" w:rsidP="009A4C46">
            <w:pPr>
              <w:spacing w:after="0" w:line="240" w:lineRule="auto"/>
              <w:jc w:val="both"/>
              <w:rPr>
                <w:rFonts w:eastAsia="Times New Roman"/>
                <w:lang w:eastAsia="ru-RU"/>
              </w:rPr>
            </w:pPr>
            <w:r w:rsidRPr="009A4C46">
              <w:rPr>
                <w:rFonts w:eastAsia="Times New Roman"/>
                <w:lang w:eastAsia="ru-RU"/>
              </w:rPr>
              <w:t>Краткосрочные</w:t>
            </w:r>
          </w:p>
        </w:tc>
        <w:tc>
          <w:tcPr>
            <w:tcW w:w="788" w:type="pct"/>
            <w:vMerge w:val="restart"/>
            <w:tcBorders>
              <w:top w:val="nil"/>
              <w:left w:val="single" w:sz="8" w:space="0" w:color="auto"/>
              <w:bottom w:val="single" w:sz="8" w:space="0" w:color="000000"/>
              <w:right w:val="single" w:sz="8" w:space="0" w:color="auto"/>
            </w:tcBorders>
            <w:shd w:val="clear" w:color="auto" w:fill="auto"/>
            <w:vAlign w:val="center"/>
            <w:hideMark/>
          </w:tcPr>
          <w:p w14:paraId="24371EEA" w14:textId="77777777" w:rsidR="009A4C46" w:rsidRPr="009A4C46" w:rsidRDefault="009A4C46" w:rsidP="009A4C46">
            <w:pPr>
              <w:spacing w:after="0" w:line="240" w:lineRule="auto"/>
              <w:jc w:val="center"/>
              <w:rPr>
                <w:rFonts w:eastAsia="Times New Roman"/>
                <w:lang w:eastAsia="ru-RU"/>
              </w:rPr>
            </w:pPr>
            <w:r w:rsidRPr="009A4C46">
              <w:rPr>
                <w:rFonts w:eastAsia="Times New Roman"/>
                <w:lang w:eastAsia="ru-RU"/>
              </w:rPr>
              <w:t>Р2</w:t>
            </w:r>
          </w:p>
        </w:tc>
        <w:tc>
          <w:tcPr>
            <w:tcW w:w="904" w:type="pct"/>
            <w:vMerge w:val="restart"/>
            <w:tcBorders>
              <w:top w:val="nil"/>
              <w:left w:val="single" w:sz="8" w:space="0" w:color="auto"/>
              <w:bottom w:val="single" w:sz="8" w:space="0" w:color="000000"/>
              <w:right w:val="single" w:sz="8" w:space="0" w:color="auto"/>
            </w:tcBorders>
            <w:shd w:val="clear" w:color="auto" w:fill="auto"/>
            <w:vAlign w:val="center"/>
            <w:hideMark/>
          </w:tcPr>
          <w:p w14:paraId="71A9B75E" w14:textId="77777777" w:rsidR="009A4C46" w:rsidRPr="009A4C46" w:rsidRDefault="009A4C46" w:rsidP="009A4C46">
            <w:pPr>
              <w:spacing w:after="0" w:line="240" w:lineRule="auto"/>
              <w:jc w:val="center"/>
              <w:rPr>
                <w:rFonts w:eastAsia="Times New Roman"/>
                <w:lang w:eastAsia="ru-RU"/>
              </w:rPr>
            </w:pPr>
            <w:r w:rsidRPr="009A4C46">
              <w:rPr>
                <w:rFonts w:eastAsia="Times New Roman"/>
                <w:lang w:eastAsia="ru-RU"/>
              </w:rPr>
              <w:t>133 182</w:t>
            </w:r>
          </w:p>
        </w:tc>
        <w:tc>
          <w:tcPr>
            <w:tcW w:w="755" w:type="pct"/>
            <w:vMerge w:val="restart"/>
            <w:tcBorders>
              <w:top w:val="nil"/>
              <w:left w:val="single" w:sz="8" w:space="0" w:color="auto"/>
              <w:bottom w:val="single" w:sz="8" w:space="0" w:color="000000"/>
              <w:right w:val="single" w:sz="8" w:space="0" w:color="auto"/>
            </w:tcBorders>
            <w:shd w:val="clear" w:color="auto" w:fill="auto"/>
            <w:vAlign w:val="center"/>
            <w:hideMark/>
          </w:tcPr>
          <w:p w14:paraId="16EC927A" w14:textId="77777777" w:rsidR="009A4C46" w:rsidRPr="009A4C46" w:rsidRDefault="009A4C46" w:rsidP="009A4C46">
            <w:pPr>
              <w:spacing w:after="0" w:line="240" w:lineRule="auto"/>
              <w:jc w:val="center"/>
              <w:rPr>
                <w:rFonts w:eastAsia="Times New Roman"/>
                <w:lang w:eastAsia="ru-RU"/>
              </w:rPr>
            </w:pPr>
            <w:r w:rsidRPr="009A4C46">
              <w:rPr>
                <w:rFonts w:eastAsia="Times New Roman"/>
                <w:lang w:eastAsia="ru-RU"/>
              </w:rPr>
              <w:t>80 283</w:t>
            </w:r>
          </w:p>
        </w:tc>
      </w:tr>
      <w:tr w:rsidR="009A4C46" w:rsidRPr="009A4C46" w14:paraId="21CC222B" w14:textId="77777777" w:rsidTr="00F94FED">
        <w:trPr>
          <w:trHeight w:val="353"/>
        </w:trPr>
        <w:tc>
          <w:tcPr>
            <w:tcW w:w="2553" w:type="pct"/>
            <w:tcBorders>
              <w:top w:val="nil"/>
              <w:left w:val="single" w:sz="8" w:space="0" w:color="auto"/>
              <w:bottom w:val="single" w:sz="8" w:space="0" w:color="auto"/>
              <w:right w:val="single" w:sz="8" w:space="0" w:color="auto"/>
            </w:tcBorders>
            <w:shd w:val="clear" w:color="auto" w:fill="auto"/>
            <w:vAlign w:val="center"/>
            <w:hideMark/>
          </w:tcPr>
          <w:p w14:paraId="272E12A4" w14:textId="77777777" w:rsidR="009A4C46" w:rsidRPr="009A4C46" w:rsidRDefault="009A4C46" w:rsidP="009A4C46">
            <w:pPr>
              <w:spacing w:after="0" w:line="240" w:lineRule="auto"/>
              <w:jc w:val="both"/>
              <w:rPr>
                <w:rFonts w:eastAsia="Times New Roman"/>
                <w:lang w:eastAsia="ru-RU"/>
              </w:rPr>
            </w:pPr>
            <w:r w:rsidRPr="009A4C46">
              <w:rPr>
                <w:rFonts w:eastAsia="Times New Roman"/>
                <w:lang w:eastAsia="ru-RU"/>
              </w:rPr>
              <w:t>(оценочные и прочие обязательства)</w:t>
            </w:r>
          </w:p>
        </w:tc>
        <w:tc>
          <w:tcPr>
            <w:tcW w:w="788" w:type="pct"/>
            <w:vMerge/>
            <w:tcBorders>
              <w:top w:val="nil"/>
              <w:left w:val="single" w:sz="8" w:space="0" w:color="auto"/>
              <w:bottom w:val="single" w:sz="8" w:space="0" w:color="000000"/>
              <w:right w:val="single" w:sz="8" w:space="0" w:color="auto"/>
            </w:tcBorders>
            <w:shd w:val="clear" w:color="auto" w:fill="auto"/>
            <w:vAlign w:val="center"/>
            <w:hideMark/>
          </w:tcPr>
          <w:p w14:paraId="2D8DE92F" w14:textId="77777777" w:rsidR="009A4C46" w:rsidRPr="009A4C46" w:rsidRDefault="009A4C46" w:rsidP="009A4C46">
            <w:pPr>
              <w:spacing w:after="0" w:line="240" w:lineRule="auto"/>
              <w:rPr>
                <w:rFonts w:eastAsia="Times New Roman"/>
                <w:lang w:eastAsia="ru-RU"/>
              </w:rPr>
            </w:pPr>
          </w:p>
        </w:tc>
        <w:tc>
          <w:tcPr>
            <w:tcW w:w="904" w:type="pct"/>
            <w:vMerge/>
            <w:tcBorders>
              <w:top w:val="nil"/>
              <w:left w:val="single" w:sz="8" w:space="0" w:color="auto"/>
              <w:bottom w:val="single" w:sz="8" w:space="0" w:color="000000"/>
              <w:right w:val="single" w:sz="8" w:space="0" w:color="auto"/>
            </w:tcBorders>
            <w:shd w:val="clear" w:color="auto" w:fill="auto"/>
            <w:vAlign w:val="center"/>
            <w:hideMark/>
          </w:tcPr>
          <w:p w14:paraId="38376E1E" w14:textId="77777777" w:rsidR="009A4C46" w:rsidRPr="009A4C46" w:rsidRDefault="009A4C46" w:rsidP="009A4C46">
            <w:pPr>
              <w:spacing w:after="0" w:line="240" w:lineRule="auto"/>
              <w:rPr>
                <w:rFonts w:eastAsia="Times New Roman"/>
                <w:lang w:eastAsia="ru-RU"/>
              </w:rPr>
            </w:pPr>
          </w:p>
        </w:tc>
        <w:tc>
          <w:tcPr>
            <w:tcW w:w="755" w:type="pct"/>
            <w:vMerge/>
            <w:tcBorders>
              <w:top w:val="nil"/>
              <w:left w:val="single" w:sz="8" w:space="0" w:color="auto"/>
              <w:bottom w:val="single" w:sz="8" w:space="0" w:color="000000"/>
              <w:right w:val="single" w:sz="8" w:space="0" w:color="auto"/>
            </w:tcBorders>
            <w:shd w:val="clear" w:color="auto" w:fill="auto"/>
            <w:vAlign w:val="center"/>
            <w:hideMark/>
          </w:tcPr>
          <w:p w14:paraId="418837A9" w14:textId="77777777" w:rsidR="009A4C46" w:rsidRPr="009A4C46" w:rsidRDefault="009A4C46" w:rsidP="009A4C46">
            <w:pPr>
              <w:spacing w:after="0" w:line="240" w:lineRule="auto"/>
              <w:rPr>
                <w:rFonts w:eastAsia="Times New Roman"/>
                <w:lang w:eastAsia="ru-RU"/>
              </w:rPr>
            </w:pPr>
          </w:p>
        </w:tc>
      </w:tr>
      <w:tr w:rsidR="009A4C46" w:rsidRPr="009A4C46" w14:paraId="41561948" w14:textId="77777777" w:rsidTr="00F94FED">
        <w:trPr>
          <w:trHeight w:val="471"/>
        </w:trPr>
        <w:tc>
          <w:tcPr>
            <w:tcW w:w="2553" w:type="pct"/>
            <w:vMerge w:val="restart"/>
            <w:tcBorders>
              <w:top w:val="nil"/>
              <w:left w:val="single" w:sz="8" w:space="0" w:color="auto"/>
              <w:bottom w:val="single" w:sz="8" w:space="0" w:color="000000"/>
              <w:right w:val="single" w:sz="8" w:space="0" w:color="auto"/>
            </w:tcBorders>
            <w:shd w:val="clear" w:color="auto" w:fill="auto"/>
            <w:vAlign w:val="center"/>
            <w:hideMark/>
          </w:tcPr>
          <w:p w14:paraId="2F4781F2" w14:textId="77777777" w:rsidR="009A4C46" w:rsidRPr="009A4C46" w:rsidRDefault="009A4C46" w:rsidP="009A4C46">
            <w:pPr>
              <w:spacing w:after="0" w:line="240" w:lineRule="auto"/>
              <w:jc w:val="both"/>
              <w:rPr>
                <w:rFonts w:eastAsia="Times New Roman"/>
                <w:lang w:eastAsia="ru-RU"/>
              </w:rPr>
            </w:pPr>
            <w:r w:rsidRPr="009A4C46">
              <w:rPr>
                <w:rFonts w:eastAsia="Times New Roman"/>
                <w:lang w:eastAsia="ru-RU"/>
              </w:rPr>
              <w:t>Долгосрочные обязательства</w:t>
            </w:r>
          </w:p>
        </w:tc>
        <w:tc>
          <w:tcPr>
            <w:tcW w:w="788" w:type="pct"/>
            <w:vMerge w:val="restart"/>
            <w:tcBorders>
              <w:top w:val="nil"/>
              <w:left w:val="single" w:sz="8" w:space="0" w:color="auto"/>
              <w:bottom w:val="single" w:sz="8" w:space="0" w:color="000000"/>
              <w:right w:val="single" w:sz="8" w:space="0" w:color="auto"/>
            </w:tcBorders>
            <w:shd w:val="clear" w:color="auto" w:fill="auto"/>
            <w:vAlign w:val="center"/>
            <w:hideMark/>
          </w:tcPr>
          <w:p w14:paraId="6550EED6" w14:textId="77777777" w:rsidR="009A4C46" w:rsidRPr="009A4C46" w:rsidRDefault="009A4C46" w:rsidP="009A4C46">
            <w:pPr>
              <w:spacing w:after="0" w:line="240" w:lineRule="auto"/>
              <w:jc w:val="center"/>
              <w:rPr>
                <w:rFonts w:eastAsia="Times New Roman"/>
                <w:lang w:eastAsia="ru-RU"/>
              </w:rPr>
            </w:pPr>
            <w:r w:rsidRPr="009A4C46">
              <w:rPr>
                <w:rFonts w:eastAsia="Times New Roman"/>
                <w:lang w:eastAsia="ru-RU"/>
              </w:rPr>
              <w:t>Р3</w:t>
            </w:r>
          </w:p>
        </w:tc>
        <w:tc>
          <w:tcPr>
            <w:tcW w:w="904" w:type="pct"/>
            <w:vMerge w:val="restart"/>
            <w:tcBorders>
              <w:top w:val="nil"/>
              <w:left w:val="single" w:sz="8" w:space="0" w:color="auto"/>
              <w:bottom w:val="single" w:sz="8" w:space="0" w:color="000000"/>
              <w:right w:val="single" w:sz="8" w:space="0" w:color="auto"/>
            </w:tcBorders>
            <w:shd w:val="clear" w:color="auto" w:fill="auto"/>
            <w:vAlign w:val="center"/>
            <w:hideMark/>
          </w:tcPr>
          <w:p w14:paraId="6CE78458" w14:textId="77777777" w:rsidR="009A4C46" w:rsidRPr="009A4C46" w:rsidRDefault="009A4C46" w:rsidP="009A4C46">
            <w:pPr>
              <w:spacing w:after="0" w:line="240" w:lineRule="auto"/>
              <w:jc w:val="center"/>
              <w:rPr>
                <w:rFonts w:eastAsia="Times New Roman"/>
                <w:lang w:eastAsia="ru-RU"/>
              </w:rPr>
            </w:pPr>
            <w:r w:rsidRPr="009A4C46">
              <w:rPr>
                <w:rFonts w:eastAsia="Times New Roman"/>
                <w:lang w:eastAsia="ru-RU"/>
              </w:rPr>
              <w:t>10 102</w:t>
            </w:r>
          </w:p>
        </w:tc>
        <w:tc>
          <w:tcPr>
            <w:tcW w:w="755" w:type="pct"/>
            <w:vMerge w:val="restart"/>
            <w:tcBorders>
              <w:top w:val="nil"/>
              <w:left w:val="single" w:sz="8" w:space="0" w:color="auto"/>
              <w:bottom w:val="single" w:sz="8" w:space="0" w:color="000000"/>
              <w:right w:val="single" w:sz="8" w:space="0" w:color="auto"/>
            </w:tcBorders>
            <w:shd w:val="clear" w:color="auto" w:fill="auto"/>
            <w:vAlign w:val="center"/>
            <w:hideMark/>
          </w:tcPr>
          <w:p w14:paraId="08CD26CC" w14:textId="77777777" w:rsidR="009A4C46" w:rsidRPr="009A4C46" w:rsidRDefault="009A4C46" w:rsidP="009A4C46">
            <w:pPr>
              <w:spacing w:after="0" w:line="240" w:lineRule="auto"/>
              <w:jc w:val="center"/>
              <w:rPr>
                <w:rFonts w:eastAsia="Times New Roman"/>
                <w:lang w:eastAsia="ru-RU"/>
              </w:rPr>
            </w:pPr>
            <w:r w:rsidRPr="009A4C46">
              <w:rPr>
                <w:rFonts w:eastAsia="Times New Roman"/>
                <w:lang w:eastAsia="ru-RU"/>
              </w:rPr>
              <w:t>1 553 621</w:t>
            </w:r>
          </w:p>
        </w:tc>
      </w:tr>
      <w:tr w:rsidR="009A4C46" w:rsidRPr="009A4C46" w14:paraId="74BE1BC2" w14:textId="77777777" w:rsidTr="00F94FED">
        <w:trPr>
          <w:trHeight w:val="471"/>
        </w:trPr>
        <w:tc>
          <w:tcPr>
            <w:tcW w:w="2553" w:type="pct"/>
            <w:vMerge/>
            <w:tcBorders>
              <w:top w:val="nil"/>
              <w:left w:val="single" w:sz="8" w:space="0" w:color="auto"/>
              <w:bottom w:val="single" w:sz="8" w:space="0" w:color="000000"/>
              <w:right w:val="single" w:sz="8" w:space="0" w:color="auto"/>
            </w:tcBorders>
            <w:shd w:val="clear" w:color="auto" w:fill="auto"/>
            <w:vAlign w:val="center"/>
            <w:hideMark/>
          </w:tcPr>
          <w:p w14:paraId="1F14A956" w14:textId="77777777" w:rsidR="009A4C46" w:rsidRPr="009A4C46" w:rsidRDefault="009A4C46" w:rsidP="009A4C46">
            <w:pPr>
              <w:spacing w:after="0" w:line="240" w:lineRule="auto"/>
              <w:rPr>
                <w:rFonts w:eastAsia="Times New Roman"/>
                <w:lang w:eastAsia="ru-RU"/>
              </w:rPr>
            </w:pPr>
          </w:p>
        </w:tc>
        <w:tc>
          <w:tcPr>
            <w:tcW w:w="788" w:type="pct"/>
            <w:vMerge/>
            <w:tcBorders>
              <w:top w:val="nil"/>
              <w:left w:val="single" w:sz="8" w:space="0" w:color="auto"/>
              <w:bottom w:val="single" w:sz="8" w:space="0" w:color="000000"/>
              <w:right w:val="single" w:sz="8" w:space="0" w:color="auto"/>
            </w:tcBorders>
            <w:shd w:val="clear" w:color="auto" w:fill="auto"/>
            <w:vAlign w:val="center"/>
            <w:hideMark/>
          </w:tcPr>
          <w:p w14:paraId="76B11B56" w14:textId="77777777" w:rsidR="009A4C46" w:rsidRPr="009A4C46" w:rsidRDefault="009A4C46" w:rsidP="009A4C46">
            <w:pPr>
              <w:spacing w:after="0" w:line="240" w:lineRule="auto"/>
              <w:rPr>
                <w:rFonts w:eastAsia="Times New Roman"/>
                <w:lang w:eastAsia="ru-RU"/>
              </w:rPr>
            </w:pPr>
          </w:p>
        </w:tc>
        <w:tc>
          <w:tcPr>
            <w:tcW w:w="904" w:type="pct"/>
            <w:vMerge/>
            <w:tcBorders>
              <w:top w:val="nil"/>
              <w:left w:val="single" w:sz="8" w:space="0" w:color="auto"/>
              <w:bottom w:val="single" w:sz="8" w:space="0" w:color="000000"/>
              <w:right w:val="single" w:sz="8" w:space="0" w:color="auto"/>
            </w:tcBorders>
            <w:shd w:val="clear" w:color="auto" w:fill="auto"/>
            <w:vAlign w:val="center"/>
            <w:hideMark/>
          </w:tcPr>
          <w:p w14:paraId="03729CF2" w14:textId="77777777" w:rsidR="009A4C46" w:rsidRPr="009A4C46" w:rsidRDefault="009A4C46" w:rsidP="009A4C46">
            <w:pPr>
              <w:spacing w:after="0" w:line="240" w:lineRule="auto"/>
              <w:rPr>
                <w:rFonts w:eastAsia="Times New Roman"/>
                <w:lang w:eastAsia="ru-RU"/>
              </w:rPr>
            </w:pPr>
          </w:p>
        </w:tc>
        <w:tc>
          <w:tcPr>
            <w:tcW w:w="755" w:type="pct"/>
            <w:vMerge/>
            <w:tcBorders>
              <w:top w:val="nil"/>
              <w:left w:val="single" w:sz="8" w:space="0" w:color="auto"/>
              <w:bottom w:val="single" w:sz="8" w:space="0" w:color="000000"/>
              <w:right w:val="single" w:sz="8" w:space="0" w:color="auto"/>
            </w:tcBorders>
            <w:shd w:val="clear" w:color="auto" w:fill="auto"/>
            <w:vAlign w:val="center"/>
            <w:hideMark/>
          </w:tcPr>
          <w:p w14:paraId="5EFB9633" w14:textId="77777777" w:rsidR="009A4C46" w:rsidRPr="009A4C46" w:rsidRDefault="009A4C46" w:rsidP="009A4C46">
            <w:pPr>
              <w:spacing w:after="0" w:line="240" w:lineRule="auto"/>
              <w:rPr>
                <w:rFonts w:eastAsia="Times New Roman"/>
                <w:lang w:eastAsia="ru-RU"/>
              </w:rPr>
            </w:pPr>
          </w:p>
        </w:tc>
      </w:tr>
      <w:tr w:rsidR="009A4C46" w:rsidRPr="009A4C46" w14:paraId="5F237207" w14:textId="77777777" w:rsidTr="00F94FED">
        <w:trPr>
          <w:trHeight w:val="315"/>
        </w:trPr>
        <w:tc>
          <w:tcPr>
            <w:tcW w:w="2553" w:type="pct"/>
            <w:tcBorders>
              <w:top w:val="nil"/>
              <w:left w:val="single" w:sz="8" w:space="0" w:color="auto"/>
              <w:bottom w:val="single" w:sz="8" w:space="0" w:color="auto"/>
              <w:right w:val="single" w:sz="8" w:space="0" w:color="auto"/>
            </w:tcBorders>
            <w:shd w:val="clear" w:color="auto" w:fill="auto"/>
            <w:vAlign w:val="center"/>
            <w:hideMark/>
          </w:tcPr>
          <w:p w14:paraId="3C3BDDA2" w14:textId="77777777" w:rsidR="009A4C46" w:rsidRPr="009A4C46" w:rsidRDefault="009A4C46" w:rsidP="009A4C46">
            <w:pPr>
              <w:spacing w:after="0" w:line="240" w:lineRule="auto"/>
              <w:jc w:val="both"/>
              <w:rPr>
                <w:rFonts w:eastAsia="Times New Roman"/>
                <w:lang w:eastAsia="ru-RU"/>
              </w:rPr>
            </w:pPr>
            <w:r w:rsidRPr="009A4C46">
              <w:rPr>
                <w:rFonts w:eastAsia="Times New Roman"/>
                <w:lang w:eastAsia="ru-RU"/>
              </w:rPr>
              <w:t>Постоянные</w:t>
            </w:r>
          </w:p>
        </w:tc>
        <w:tc>
          <w:tcPr>
            <w:tcW w:w="788" w:type="pct"/>
            <w:vMerge w:val="restart"/>
            <w:tcBorders>
              <w:top w:val="nil"/>
              <w:left w:val="nil"/>
              <w:bottom w:val="single" w:sz="8" w:space="0" w:color="000000"/>
              <w:right w:val="single" w:sz="8" w:space="0" w:color="auto"/>
            </w:tcBorders>
            <w:shd w:val="clear" w:color="auto" w:fill="auto"/>
            <w:vAlign w:val="center"/>
            <w:hideMark/>
          </w:tcPr>
          <w:p w14:paraId="5FB268F1" w14:textId="77777777" w:rsidR="009A4C46" w:rsidRPr="009A4C46" w:rsidRDefault="009A4C46" w:rsidP="009A4C46">
            <w:pPr>
              <w:spacing w:after="0" w:line="240" w:lineRule="auto"/>
              <w:jc w:val="center"/>
              <w:rPr>
                <w:rFonts w:eastAsia="Times New Roman"/>
                <w:lang w:eastAsia="ru-RU"/>
              </w:rPr>
            </w:pPr>
            <w:r w:rsidRPr="009A4C46">
              <w:rPr>
                <w:rFonts w:eastAsia="Times New Roman"/>
                <w:lang w:eastAsia="ru-RU"/>
              </w:rPr>
              <w:t>Р4</w:t>
            </w:r>
          </w:p>
        </w:tc>
        <w:tc>
          <w:tcPr>
            <w:tcW w:w="904" w:type="pct"/>
            <w:vMerge w:val="restart"/>
            <w:tcBorders>
              <w:top w:val="nil"/>
              <w:left w:val="single" w:sz="8" w:space="0" w:color="auto"/>
              <w:bottom w:val="single" w:sz="8" w:space="0" w:color="000000"/>
              <w:right w:val="single" w:sz="8" w:space="0" w:color="auto"/>
            </w:tcBorders>
            <w:shd w:val="clear" w:color="auto" w:fill="auto"/>
            <w:vAlign w:val="center"/>
            <w:hideMark/>
          </w:tcPr>
          <w:p w14:paraId="5A70BE44" w14:textId="77777777" w:rsidR="009A4C46" w:rsidRPr="009A4C46" w:rsidRDefault="009A4C46" w:rsidP="009A4C46">
            <w:pPr>
              <w:spacing w:after="0" w:line="240" w:lineRule="auto"/>
              <w:jc w:val="center"/>
              <w:rPr>
                <w:rFonts w:eastAsia="Times New Roman"/>
                <w:lang w:eastAsia="ru-RU"/>
              </w:rPr>
            </w:pPr>
            <w:r w:rsidRPr="009A4C46">
              <w:rPr>
                <w:rFonts w:eastAsia="Times New Roman"/>
                <w:lang w:eastAsia="ru-RU"/>
              </w:rPr>
              <w:t>493 664</w:t>
            </w:r>
          </w:p>
        </w:tc>
        <w:tc>
          <w:tcPr>
            <w:tcW w:w="755" w:type="pct"/>
            <w:vMerge w:val="restart"/>
            <w:tcBorders>
              <w:top w:val="nil"/>
              <w:left w:val="single" w:sz="8" w:space="0" w:color="auto"/>
              <w:bottom w:val="single" w:sz="8" w:space="0" w:color="000000"/>
              <w:right w:val="single" w:sz="8" w:space="0" w:color="auto"/>
            </w:tcBorders>
            <w:shd w:val="clear" w:color="auto" w:fill="auto"/>
            <w:vAlign w:val="center"/>
            <w:hideMark/>
          </w:tcPr>
          <w:p w14:paraId="324012F1" w14:textId="77777777" w:rsidR="009A4C46" w:rsidRPr="009A4C46" w:rsidRDefault="009A4C46" w:rsidP="009A4C46">
            <w:pPr>
              <w:spacing w:after="0" w:line="240" w:lineRule="auto"/>
              <w:jc w:val="center"/>
              <w:rPr>
                <w:rFonts w:eastAsia="Times New Roman"/>
                <w:lang w:eastAsia="ru-RU"/>
              </w:rPr>
            </w:pPr>
            <w:r w:rsidRPr="009A4C46">
              <w:rPr>
                <w:rFonts w:eastAsia="Times New Roman"/>
                <w:lang w:eastAsia="ru-RU"/>
              </w:rPr>
              <w:t>-2 592</w:t>
            </w:r>
          </w:p>
        </w:tc>
      </w:tr>
      <w:tr w:rsidR="009A4C46" w:rsidRPr="009A4C46" w14:paraId="60577AA2" w14:textId="77777777" w:rsidTr="00F94FED">
        <w:trPr>
          <w:trHeight w:val="495"/>
        </w:trPr>
        <w:tc>
          <w:tcPr>
            <w:tcW w:w="2553" w:type="pct"/>
            <w:tcBorders>
              <w:top w:val="nil"/>
              <w:left w:val="single" w:sz="8" w:space="0" w:color="000000"/>
              <w:bottom w:val="single" w:sz="8" w:space="0" w:color="000000"/>
              <w:right w:val="single" w:sz="8" w:space="0" w:color="000000"/>
            </w:tcBorders>
            <w:shd w:val="clear" w:color="auto" w:fill="auto"/>
            <w:vAlign w:val="center"/>
            <w:hideMark/>
          </w:tcPr>
          <w:p w14:paraId="6DDA6582" w14:textId="77777777" w:rsidR="009A4C46" w:rsidRPr="009A4C46" w:rsidRDefault="009A4C46" w:rsidP="009A4C46">
            <w:pPr>
              <w:spacing w:after="0" w:line="240" w:lineRule="auto"/>
              <w:jc w:val="both"/>
              <w:rPr>
                <w:rFonts w:eastAsia="Times New Roman"/>
                <w:lang w:eastAsia="ru-RU"/>
              </w:rPr>
            </w:pPr>
            <w:r w:rsidRPr="009A4C46">
              <w:rPr>
                <w:rFonts w:eastAsia="Times New Roman"/>
                <w:lang w:eastAsia="ru-RU"/>
              </w:rPr>
              <w:t>(капитал и резервы, доходы будущих периодов)</w:t>
            </w:r>
          </w:p>
        </w:tc>
        <w:tc>
          <w:tcPr>
            <w:tcW w:w="788" w:type="pct"/>
            <w:vMerge/>
            <w:tcBorders>
              <w:top w:val="nil"/>
              <w:left w:val="nil"/>
              <w:bottom w:val="single" w:sz="8" w:space="0" w:color="000000"/>
              <w:right w:val="single" w:sz="8" w:space="0" w:color="auto"/>
            </w:tcBorders>
            <w:shd w:val="clear" w:color="auto" w:fill="auto"/>
            <w:vAlign w:val="center"/>
            <w:hideMark/>
          </w:tcPr>
          <w:p w14:paraId="6E752CCD" w14:textId="77777777" w:rsidR="009A4C46" w:rsidRPr="009A4C46" w:rsidRDefault="009A4C46" w:rsidP="009A4C46">
            <w:pPr>
              <w:spacing w:after="0" w:line="240" w:lineRule="auto"/>
              <w:rPr>
                <w:rFonts w:eastAsia="Times New Roman"/>
                <w:lang w:eastAsia="ru-RU"/>
              </w:rPr>
            </w:pPr>
          </w:p>
        </w:tc>
        <w:tc>
          <w:tcPr>
            <w:tcW w:w="904" w:type="pct"/>
            <w:vMerge/>
            <w:tcBorders>
              <w:top w:val="nil"/>
              <w:left w:val="single" w:sz="8" w:space="0" w:color="auto"/>
              <w:bottom w:val="single" w:sz="8" w:space="0" w:color="000000"/>
              <w:right w:val="single" w:sz="8" w:space="0" w:color="auto"/>
            </w:tcBorders>
            <w:shd w:val="clear" w:color="auto" w:fill="auto"/>
            <w:vAlign w:val="center"/>
            <w:hideMark/>
          </w:tcPr>
          <w:p w14:paraId="2044A8FD" w14:textId="77777777" w:rsidR="009A4C46" w:rsidRPr="009A4C46" w:rsidRDefault="009A4C46" w:rsidP="009A4C46">
            <w:pPr>
              <w:spacing w:after="0" w:line="240" w:lineRule="auto"/>
              <w:rPr>
                <w:rFonts w:eastAsia="Times New Roman"/>
                <w:lang w:eastAsia="ru-RU"/>
              </w:rPr>
            </w:pPr>
          </w:p>
        </w:tc>
        <w:tc>
          <w:tcPr>
            <w:tcW w:w="755" w:type="pct"/>
            <w:vMerge/>
            <w:tcBorders>
              <w:top w:val="nil"/>
              <w:left w:val="single" w:sz="8" w:space="0" w:color="auto"/>
              <w:bottom w:val="single" w:sz="8" w:space="0" w:color="000000"/>
              <w:right w:val="single" w:sz="8" w:space="0" w:color="auto"/>
            </w:tcBorders>
            <w:shd w:val="clear" w:color="auto" w:fill="auto"/>
            <w:vAlign w:val="center"/>
            <w:hideMark/>
          </w:tcPr>
          <w:p w14:paraId="0513B6C6" w14:textId="77777777" w:rsidR="009A4C46" w:rsidRPr="009A4C46" w:rsidRDefault="009A4C46" w:rsidP="009A4C46">
            <w:pPr>
              <w:spacing w:after="0" w:line="240" w:lineRule="auto"/>
              <w:rPr>
                <w:rFonts w:eastAsia="Times New Roman"/>
                <w:lang w:eastAsia="ru-RU"/>
              </w:rPr>
            </w:pPr>
          </w:p>
        </w:tc>
      </w:tr>
    </w:tbl>
    <w:p w14:paraId="1578B397" w14:textId="2A2B8278" w:rsidR="00A4365C" w:rsidRDefault="00A4365C" w:rsidP="009A4C46">
      <w:pPr>
        <w:autoSpaceDE w:val="0"/>
        <w:autoSpaceDN w:val="0"/>
        <w:adjustRightInd w:val="0"/>
        <w:spacing w:after="0" w:line="360" w:lineRule="auto"/>
        <w:ind w:firstLine="708"/>
        <w:jc w:val="both"/>
        <w:rPr>
          <w:rFonts w:eastAsia="Times New Roman"/>
          <w:color w:val="000000"/>
          <w:sz w:val="26"/>
          <w:szCs w:val="26"/>
          <w:lang w:eastAsia="ru-RU"/>
        </w:rPr>
      </w:pPr>
    </w:p>
    <w:p w14:paraId="62390BD6" w14:textId="77777777" w:rsidR="00A4365C" w:rsidRDefault="00A4365C">
      <w:pPr>
        <w:rPr>
          <w:rFonts w:eastAsia="Times New Roman"/>
          <w:color w:val="000000"/>
          <w:sz w:val="26"/>
          <w:szCs w:val="26"/>
          <w:lang w:eastAsia="ru-RU"/>
        </w:rPr>
      </w:pPr>
      <w:r>
        <w:rPr>
          <w:rFonts w:eastAsia="Times New Roman"/>
          <w:color w:val="000000"/>
          <w:sz w:val="26"/>
          <w:szCs w:val="26"/>
          <w:lang w:eastAsia="ru-RU"/>
        </w:rPr>
        <w:br w:type="page"/>
      </w:r>
    </w:p>
    <w:p w14:paraId="1708753E" w14:textId="6AA6A0EE" w:rsidR="009A4C46" w:rsidRPr="00F94FED" w:rsidRDefault="009A4C46" w:rsidP="00F94FED">
      <w:pPr>
        <w:autoSpaceDE w:val="0"/>
        <w:autoSpaceDN w:val="0"/>
        <w:adjustRightInd w:val="0"/>
        <w:spacing w:after="0" w:line="360" w:lineRule="auto"/>
        <w:ind w:firstLine="567"/>
        <w:jc w:val="both"/>
        <w:rPr>
          <w:rFonts w:eastAsia="Times New Roman"/>
          <w:color w:val="000000"/>
          <w:sz w:val="26"/>
          <w:szCs w:val="26"/>
          <w:lang w:eastAsia="ru-RU"/>
        </w:rPr>
      </w:pPr>
      <w:r w:rsidRPr="00F94FED">
        <w:rPr>
          <w:rFonts w:eastAsia="Times New Roman"/>
          <w:color w:val="000000"/>
          <w:sz w:val="26"/>
          <w:szCs w:val="26"/>
          <w:lang w:eastAsia="ru-RU"/>
        </w:rPr>
        <w:lastRenderedPageBreak/>
        <w:t>Баланс считается абсолютно ликвидным, при следующих соотношениях групп активов и обязательств: А1&gt;=P1; А2&gt;=P2; А3&gt;=P3; А4&gt;=P4.</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63"/>
        <w:gridCol w:w="1544"/>
        <w:gridCol w:w="1419"/>
        <w:gridCol w:w="2121"/>
        <w:gridCol w:w="1398"/>
      </w:tblGrid>
      <w:tr w:rsidR="00A4365C" w:rsidRPr="00A4365C" w14:paraId="7C5BC2BF" w14:textId="77777777" w:rsidTr="00A4365C">
        <w:trPr>
          <w:trHeight w:val="149"/>
        </w:trPr>
        <w:tc>
          <w:tcPr>
            <w:tcW w:w="2358"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A867D94" w14:textId="77777777" w:rsidR="009A4C46" w:rsidRPr="00F94FED" w:rsidRDefault="009A4C46" w:rsidP="009A4C46">
            <w:pPr>
              <w:autoSpaceDE w:val="0"/>
              <w:autoSpaceDN w:val="0"/>
              <w:adjustRightInd w:val="0"/>
              <w:spacing w:after="0" w:line="240" w:lineRule="auto"/>
              <w:jc w:val="center"/>
              <w:rPr>
                <w:rFonts w:eastAsia="Times New Roman"/>
                <w:color w:val="FFFFFF" w:themeColor="background1"/>
                <w:sz w:val="18"/>
                <w:szCs w:val="18"/>
                <w:lang w:val="en-US" w:eastAsia="ru-RU"/>
              </w:rPr>
            </w:pPr>
            <w:r w:rsidRPr="00F94FED">
              <w:rPr>
                <w:rFonts w:eastAsia="Times New Roman"/>
                <w:b/>
                <w:bCs/>
                <w:color w:val="FFFFFF" w:themeColor="background1"/>
                <w:sz w:val="18"/>
                <w:szCs w:val="18"/>
                <w:lang w:eastAsia="ru-RU"/>
              </w:rPr>
              <w:t>Группа</w:t>
            </w:r>
            <w:r w:rsidRPr="00F94FED">
              <w:rPr>
                <w:rFonts w:eastAsia="Times New Roman"/>
                <w:b/>
                <w:bCs/>
                <w:color w:val="FFFFFF" w:themeColor="background1"/>
                <w:sz w:val="18"/>
                <w:szCs w:val="18"/>
                <w:lang w:val="en-US" w:eastAsia="ru-RU"/>
              </w:rPr>
              <w:t xml:space="preserve"> </w:t>
            </w:r>
            <w:r w:rsidRPr="00F94FED">
              <w:rPr>
                <w:rFonts w:eastAsia="Times New Roman"/>
                <w:b/>
                <w:bCs/>
                <w:color w:val="FFFFFF" w:themeColor="background1"/>
                <w:sz w:val="18"/>
                <w:szCs w:val="18"/>
                <w:lang w:eastAsia="ru-RU"/>
              </w:rPr>
              <w:t>активов</w:t>
            </w:r>
            <w:r w:rsidRPr="00F94FED">
              <w:rPr>
                <w:rFonts w:eastAsia="Times New Roman"/>
                <w:b/>
                <w:bCs/>
                <w:color w:val="FFFFFF" w:themeColor="background1"/>
                <w:sz w:val="18"/>
                <w:szCs w:val="18"/>
                <w:lang w:val="en-US" w:eastAsia="ru-RU"/>
              </w:rPr>
              <w:t xml:space="preserve">, </w:t>
            </w:r>
            <w:r w:rsidRPr="00F94FED">
              <w:rPr>
                <w:rFonts w:eastAsia="Times New Roman"/>
                <w:b/>
                <w:bCs/>
                <w:color w:val="FFFFFF" w:themeColor="background1"/>
                <w:sz w:val="18"/>
                <w:szCs w:val="18"/>
                <w:lang w:eastAsia="ru-RU"/>
              </w:rPr>
              <w:t>тыс. руб.</w:t>
            </w:r>
          </w:p>
        </w:tc>
        <w:tc>
          <w:tcPr>
            <w:tcW w:w="7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48C5721" w14:textId="77777777" w:rsidR="009A4C46" w:rsidRPr="00F94FED" w:rsidRDefault="009A4C46" w:rsidP="009A4C46">
            <w:pPr>
              <w:autoSpaceDE w:val="0"/>
              <w:autoSpaceDN w:val="0"/>
              <w:adjustRightInd w:val="0"/>
              <w:spacing w:after="0" w:line="240" w:lineRule="auto"/>
              <w:jc w:val="center"/>
              <w:rPr>
                <w:rFonts w:eastAsia="Times New Roman"/>
                <w:color w:val="FFFFFF" w:themeColor="background1"/>
                <w:sz w:val="18"/>
                <w:szCs w:val="18"/>
                <w:lang w:eastAsia="ru-RU"/>
              </w:rPr>
            </w:pPr>
            <w:r w:rsidRPr="00F94FED">
              <w:rPr>
                <w:rFonts w:eastAsia="Times New Roman"/>
                <w:b/>
                <w:bCs/>
                <w:color w:val="FFFFFF" w:themeColor="background1"/>
                <w:sz w:val="18"/>
                <w:szCs w:val="18"/>
                <w:lang w:eastAsia="ru-RU"/>
              </w:rPr>
              <w:t>За</w:t>
            </w:r>
            <w:r w:rsidRPr="00F94FED">
              <w:rPr>
                <w:rFonts w:eastAsia="Times New Roman"/>
                <w:b/>
                <w:bCs/>
                <w:color w:val="FFFFFF" w:themeColor="background1"/>
                <w:sz w:val="18"/>
                <w:szCs w:val="18"/>
                <w:lang w:val="en-US" w:eastAsia="ru-RU"/>
              </w:rPr>
              <w:t xml:space="preserve"> 2017 </w:t>
            </w:r>
            <w:r w:rsidRPr="00F94FED">
              <w:rPr>
                <w:rFonts w:eastAsia="Times New Roman"/>
                <w:b/>
                <w:bCs/>
                <w:color w:val="FFFFFF" w:themeColor="background1"/>
                <w:sz w:val="18"/>
                <w:szCs w:val="18"/>
                <w:lang w:eastAsia="ru-RU"/>
              </w:rPr>
              <w:t>год</w:t>
            </w:r>
          </w:p>
        </w:tc>
        <w:tc>
          <w:tcPr>
            <w:tcW w:w="188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6F767F4" w14:textId="77777777" w:rsidR="009A4C46" w:rsidRPr="00F94FED" w:rsidRDefault="009A4C46" w:rsidP="009A4C46">
            <w:pPr>
              <w:autoSpaceDE w:val="0"/>
              <w:autoSpaceDN w:val="0"/>
              <w:adjustRightInd w:val="0"/>
              <w:spacing w:after="0" w:line="240" w:lineRule="auto"/>
              <w:jc w:val="center"/>
              <w:rPr>
                <w:rFonts w:eastAsia="Times New Roman"/>
                <w:color w:val="FFFFFF" w:themeColor="background1"/>
                <w:sz w:val="18"/>
                <w:szCs w:val="18"/>
                <w:lang w:val="en-US" w:eastAsia="ru-RU"/>
              </w:rPr>
            </w:pPr>
            <w:r w:rsidRPr="00F94FED">
              <w:rPr>
                <w:rFonts w:eastAsia="Times New Roman"/>
                <w:b/>
                <w:bCs/>
                <w:color w:val="FFFFFF" w:themeColor="background1"/>
                <w:sz w:val="18"/>
                <w:szCs w:val="18"/>
                <w:lang w:eastAsia="ru-RU"/>
              </w:rPr>
              <w:t>Группа</w:t>
            </w:r>
            <w:r w:rsidRPr="00F94FED">
              <w:rPr>
                <w:rFonts w:eastAsia="Times New Roman"/>
                <w:b/>
                <w:bCs/>
                <w:color w:val="FFFFFF" w:themeColor="background1"/>
                <w:sz w:val="18"/>
                <w:szCs w:val="18"/>
                <w:lang w:val="en-US" w:eastAsia="ru-RU"/>
              </w:rPr>
              <w:t xml:space="preserve"> </w:t>
            </w:r>
            <w:r w:rsidRPr="00F94FED">
              <w:rPr>
                <w:rFonts w:eastAsia="Times New Roman"/>
                <w:b/>
                <w:bCs/>
                <w:color w:val="FFFFFF" w:themeColor="background1"/>
                <w:sz w:val="18"/>
                <w:szCs w:val="18"/>
                <w:lang w:eastAsia="ru-RU"/>
              </w:rPr>
              <w:t>пассивов</w:t>
            </w:r>
            <w:r w:rsidRPr="00F94FED">
              <w:rPr>
                <w:rFonts w:eastAsia="Times New Roman"/>
                <w:b/>
                <w:bCs/>
                <w:color w:val="FFFFFF" w:themeColor="background1"/>
                <w:sz w:val="18"/>
                <w:szCs w:val="18"/>
                <w:lang w:val="en-US" w:eastAsia="ru-RU"/>
              </w:rPr>
              <w:t xml:space="preserve">, </w:t>
            </w:r>
            <w:r w:rsidRPr="00F94FED">
              <w:rPr>
                <w:rFonts w:eastAsia="Times New Roman"/>
                <w:b/>
                <w:bCs/>
                <w:color w:val="FFFFFF" w:themeColor="background1"/>
                <w:sz w:val="18"/>
                <w:szCs w:val="18"/>
                <w:lang w:eastAsia="ru-RU"/>
              </w:rPr>
              <w:t>тыс. руб.</w:t>
            </w:r>
          </w:p>
        </w:tc>
      </w:tr>
      <w:tr w:rsidR="009A4C46" w:rsidRPr="009A4C46" w14:paraId="28E241A6" w14:textId="77777777" w:rsidTr="00F94FED">
        <w:trPr>
          <w:trHeight w:val="149"/>
        </w:trPr>
        <w:tc>
          <w:tcPr>
            <w:tcW w:w="1532" w:type="pct"/>
            <w:tcBorders>
              <w:top w:val="single" w:sz="4" w:space="0" w:color="FFFFFF" w:themeColor="background1"/>
              <w:left w:val="single" w:sz="4" w:space="0" w:color="auto"/>
              <w:bottom w:val="single" w:sz="4" w:space="0" w:color="auto"/>
              <w:right w:val="single" w:sz="4" w:space="0" w:color="auto"/>
            </w:tcBorders>
            <w:shd w:val="clear" w:color="auto" w:fill="auto"/>
            <w:hideMark/>
          </w:tcPr>
          <w:p w14:paraId="674B01AF" w14:textId="77777777" w:rsidR="009A4C46" w:rsidRPr="009A4C46" w:rsidRDefault="009A4C46" w:rsidP="009A4C46">
            <w:pPr>
              <w:autoSpaceDE w:val="0"/>
              <w:autoSpaceDN w:val="0"/>
              <w:adjustRightInd w:val="0"/>
              <w:spacing w:after="0" w:line="240" w:lineRule="auto"/>
              <w:jc w:val="center"/>
              <w:rPr>
                <w:rFonts w:eastAsia="Times New Roman"/>
                <w:sz w:val="18"/>
                <w:szCs w:val="18"/>
                <w:lang w:val="en-US" w:eastAsia="ru-RU"/>
              </w:rPr>
            </w:pPr>
            <w:r w:rsidRPr="009A4C46">
              <w:rPr>
                <w:rFonts w:eastAsia="Times New Roman"/>
                <w:sz w:val="18"/>
                <w:szCs w:val="18"/>
                <w:lang w:eastAsia="ru-RU"/>
              </w:rPr>
              <w:t>А</w:t>
            </w:r>
            <w:r w:rsidRPr="009A4C46">
              <w:rPr>
                <w:rFonts w:eastAsia="Times New Roman"/>
                <w:sz w:val="18"/>
                <w:szCs w:val="18"/>
                <w:lang w:val="en-US" w:eastAsia="ru-RU"/>
              </w:rPr>
              <w:t>1 (</w:t>
            </w:r>
            <w:r w:rsidRPr="009A4C46">
              <w:rPr>
                <w:rFonts w:eastAsia="Times New Roman"/>
                <w:sz w:val="18"/>
                <w:szCs w:val="18"/>
                <w:lang w:eastAsia="ru-RU"/>
              </w:rPr>
              <w:t>наиболее</w:t>
            </w:r>
            <w:r w:rsidRPr="009A4C46">
              <w:rPr>
                <w:rFonts w:eastAsia="Times New Roman"/>
                <w:sz w:val="18"/>
                <w:szCs w:val="18"/>
                <w:lang w:val="en-US" w:eastAsia="ru-RU"/>
              </w:rPr>
              <w:t xml:space="preserve"> </w:t>
            </w:r>
            <w:r w:rsidRPr="009A4C46">
              <w:rPr>
                <w:rFonts w:eastAsia="Times New Roman"/>
                <w:sz w:val="18"/>
                <w:szCs w:val="18"/>
                <w:lang w:eastAsia="ru-RU"/>
              </w:rPr>
              <w:t>ликвидные</w:t>
            </w:r>
            <w:r w:rsidRPr="009A4C46">
              <w:rPr>
                <w:rFonts w:eastAsia="Times New Roman"/>
                <w:sz w:val="18"/>
                <w:szCs w:val="18"/>
                <w:lang w:val="en-US" w:eastAsia="ru-RU"/>
              </w:rPr>
              <w:t>)</w:t>
            </w:r>
          </w:p>
        </w:tc>
        <w:tc>
          <w:tcPr>
            <w:tcW w:w="826" w:type="pct"/>
            <w:tcBorders>
              <w:top w:val="single" w:sz="4" w:space="0" w:color="FFFFFF" w:themeColor="background1"/>
              <w:left w:val="single" w:sz="8" w:space="0" w:color="auto"/>
              <w:bottom w:val="single" w:sz="8" w:space="0" w:color="000000"/>
              <w:right w:val="single" w:sz="8" w:space="0" w:color="auto"/>
            </w:tcBorders>
            <w:shd w:val="clear" w:color="auto" w:fill="auto"/>
            <w:vAlign w:val="center"/>
            <w:hideMark/>
          </w:tcPr>
          <w:p w14:paraId="438C90C8" w14:textId="77777777" w:rsidR="009A4C46" w:rsidRPr="009A4C46" w:rsidRDefault="009A4C46" w:rsidP="009A4C46">
            <w:pPr>
              <w:autoSpaceDE w:val="0"/>
              <w:autoSpaceDN w:val="0"/>
              <w:adjustRightInd w:val="0"/>
              <w:spacing w:after="0" w:line="240" w:lineRule="auto"/>
              <w:jc w:val="center"/>
              <w:rPr>
                <w:rFonts w:eastAsia="Times New Roman"/>
                <w:sz w:val="18"/>
                <w:szCs w:val="18"/>
                <w:lang w:val="en-US" w:eastAsia="ru-RU"/>
              </w:rPr>
            </w:pPr>
            <w:r w:rsidRPr="009A4C46">
              <w:rPr>
                <w:rFonts w:eastAsia="Times New Roman"/>
                <w:sz w:val="18"/>
                <w:szCs w:val="18"/>
                <w:lang w:eastAsia="ru-RU"/>
              </w:rPr>
              <w:t>278 393</w:t>
            </w:r>
          </w:p>
        </w:tc>
        <w:tc>
          <w:tcPr>
            <w:tcW w:w="759" w:type="pct"/>
            <w:tcBorders>
              <w:top w:val="single" w:sz="4" w:space="0" w:color="FFFFFF" w:themeColor="background1"/>
              <w:left w:val="single" w:sz="4" w:space="0" w:color="auto"/>
              <w:bottom w:val="single" w:sz="4" w:space="0" w:color="auto"/>
              <w:right w:val="single" w:sz="4" w:space="0" w:color="auto"/>
            </w:tcBorders>
            <w:shd w:val="clear" w:color="auto" w:fill="auto"/>
          </w:tcPr>
          <w:p w14:paraId="029B2C51" w14:textId="77777777" w:rsidR="009A4C46" w:rsidRPr="009A4C46" w:rsidRDefault="009A4C46" w:rsidP="009A4C46">
            <w:pPr>
              <w:autoSpaceDE w:val="0"/>
              <w:autoSpaceDN w:val="0"/>
              <w:adjustRightInd w:val="0"/>
              <w:spacing w:after="0" w:line="240" w:lineRule="auto"/>
              <w:jc w:val="center"/>
              <w:rPr>
                <w:rFonts w:eastAsia="Times New Roman"/>
                <w:sz w:val="18"/>
                <w:szCs w:val="18"/>
                <w:lang w:val="en-US" w:eastAsia="ru-RU"/>
              </w:rPr>
            </w:pPr>
            <w:r w:rsidRPr="009A4C46">
              <w:rPr>
                <w:rFonts w:eastAsia="Times New Roman"/>
                <w:sz w:val="18"/>
                <w:szCs w:val="18"/>
                <w:lang w:val="en-US" w:eastAsia="ru-RU"/>
              </w:rPr>
              <w:t>&lt;</w:t>
            </w:r>
          </w:p>
        </w:tc>
        <w:tc>
          <w:tcPr>
            <w:tcW w:w="1135" w:type="pct"/>
            <w:tcBorders>
              <w:top w:val="single" w:sz="4" w:space="0" w:color="FFFFFF" w:themeColor="background1"/>
              <w:left w:val="single" w:sz="4" w:space="0" w:color="auto"/>
              <w:bottom w:val="single" w:sz="4" w:space="0" w:color="auto"/>
              <w:right w:val="single" w:sz="4" w:space="0" w:color="auto"/>
            </w:tcBorders>
            <w:shd w:val="clear" w:color="auto" w:fill="auto"/>
            <w:hideMark/>
          </w:tcPr>
          <w:p w14:paraId="15FFC2DF" w14:textId="77777777" w:rsidR="009A4C46" w:rsidRPr="009A4C46" w:rsidRDefault="009A4C46" w:rsidP="009A4C46">
            <w:pPr>
              <w:autoSpaceDE w:val="0"/>
              <w:autoSpaceDN w:val="0"/>
              <w:adjustRightInd w:val="0"/>
              <w:spacing w:after="0" w:line="240" w:lineRule="auto"/>
              <w:jc w:val="center"/>
              <w:rPr>
                <w:rFonts w:eastAsia="Times New Roman"/>
                <w:sz w:val="18"/>
                <w:szCs w:val="18"/>
                <w:lang w:val="en-US" w:eastAsia="ru-RU"/>
              </w:rPr>
            </w:pPr>
            <w:r w:rsidRPr="009A4C46">
              <w:rPr>
                <w:rFonts w:eastAsia="Times New Roman"/>
                <w:sz w:val="18"/>
                <w:szCs w:val="18"/>
                <w:lang w:eastAsia="ru-RU"/>
              </w:rPr>
              <w:t>Р</w:t>
            </w:r>
            <w:r w:rsidRPr="009A4C46">
              <w:rPr>
                <w:rFonts w:eastAsia="Times New Roman"/>
                <w:sz w:val="18"/>
                <w:szCs w:val="18"/>
                <w:lang w:val="en-US" w:eastAsia="ru-RU"/>
              </w:rPr>
              <w:t>1(</w:t>
            </w:r>
            <w:r w:rsidRPr="009A4C46">
              <w:rPr>
                <w:rFonts w:eastAsia="Times New Roman"/>
                <w:sz w:val="18"/>
                <w:szCs w:val="18"/>
                <w:lang w:eastAsia="ru-RU"/>
              </w:rPr>
              <w:t>наиболее</w:t>
            </w:r>
            <w:r w:rsidRPr="009A4C46">
              <w:rPr>
                <w:rFonts w:eastAsia="Times New Roman"/>
                <w:sz w:val="18"/>
                <w:szCs w:val="18"/>
                <w:lang w:val="en-US" w:eastAsia="ru-RU"/>
              </w:rPr>
              <w:t xml:space="preserve"> </w:t>
            </w:r>
            <w:r w:rsidRPr="009A4C46">
              <w:rPr>
                <w:rFonts w:eastAsia="Times New Roman"/>
                <w:sz w:val="18"/>
                <w:szCs w:val="18"/>
                <w:lang w:eastAsia="ru-RU"/>
              </w:rPr>
              <w:t>срочные</w:t>
            </w:r>
            <w:r w:rsidRPr="009A4C46">
              <w:rPr>
                <w:rFonts w:eastAsia="Times New Roman"/>
                <w:sz w:val="18"/>
                <w:szCs w:val="18"/>
                <w:lang w:val="en-US" w:eastAsia="ru-RU"/>
              </w:rPr>
              <w:t>)</w:t>
            </w:r>
          </w:p>
        </w:tc>
        <w:tc>
          <w:tcPr>
            <w:tcW w:w="748" w:type="pct"/>
            <w:tcBorders>
              <w:top w:val="single" w:sz="4" w:space="0" w:color="FFFFFF" w:themeColor="background1"/>
              <w:left w:val="single" w:sz="8" w:space="0" w:color="auto"/>
              <w:bottom w:val="single" w:sz="8" w:space="0" w:color="000000"/>
              <w:right w:val="single" w:sz="8" w:space="0" w:color="auto"/>
            </w:tcBorders>
            <w:shd w:val="clear" w:color="auto" w:fill="auto"/>
            <w:vAlign w:val="center"/>
            <w:hideMark/>
          </w:tcPr>
          <w:p w14:paraId="0FE39545" w14:textId="77777777" w:rsidR="009A4C46" w:rsidRPr="009A4C46" w:rsidRDefault="009A4C46" w:rsidP="009A4C46">
            <w:pPr>
              <w:autoSpaceDE w:val="0"/>
              <w:autoSpaceDN w:val="0"/>
              <w:adjustRightInd w:val="0"/>
              <w:spacing w:after="0" w:line="240" w:lineRule="auto"/>
              <w:jc w:val="center"/>
              <w:rPr>
                <w:rFonts w:eastAsia="Times New Roman"/>
                <w:sz w:val="18"/>
                <w:szCs w:val="18"/>
                <w:lang w:val="en-US" w:eastAsia="ru-RU"/>
              </w:rPr>
            </w:pPr>
            <w:r w:rsidRPr="009A4C46">
              <w:rPr>
                <w:rFonts w:eastAsia="Times New Roman"/>
                <w:sz w:val="18"/>
                <w:szCs w:val="18"/>
                <w:lang w:eastAsia="ru-RU"/>
              </w:rPr>
              <w:t>2 126 683</w:t>
            </w:r>
          </w:p>
        </w:tc>
      </w:tr>
      <w:tr w:rsidR="009A4C46" w:rsidRPr="009A4C46" w14:paraId="256AA663" w14:textId="77777777" w:rsidTr="00F94FED">
        <w:trPr>
          <w:trHeight w:val="192"/>
        </w:trPr>
        <w:tc>
          <w:tcPr>
            <w:tcW w:w="1532" w:type="pct"/>
            <w:tcBorders>
              <w:top w:val="single" w:sz="4" w:space="0" w:color="auto"/>
              <w:left w:val="single" w:sz="4" w:space="0" w:color="auto"/>
              <w:bottom w:val="single" w:sz="4" w:space="0" w:color="auto"/>
              <w:right w:val="single" w:sz="4" w:space="0" w:color="auto"/>
            </w:tcBorders>
            <w:shd w:val="clear" w:color="auto" w:fill="auto"/>
            <w:hideMark/>
          </w:tcPr>
          <w:p w14:paraId="0AFD3F05" w14:textId="77777777" w:rsidR="009A4C46" w:rsidRPr="009A4C46" w:rsidRDefault="009A4C46" w:rsidP="009A4C46">
            <w:pPr>
              <w:autoSpaceDE w:val="0"/>
              <w:autoSpaceDN w:val="0"/>
              <w:adjustRightInd w:val="0"/>
              <w:spacing w:after="0" w:line="240" w:lineRule="auto"/>
              <w:jc w:val="center"/>
              <w:rPr>
                <w:rFonts w:eastAsia="Times New Roman"/>
                <w:sz w:val="18"/>
                <w:szCs w:val="18"/>
                <w:lang w:val="en-US" w:eastAsia="ru-RU"/>
              </w:rPr>
            </w:pPr>
            <w:r w:rsidRPr="009A4C46">
              <w:rPr>
                <w:rFonts w:eastAsia="Times New Roman"/>
                <w:sz w:val="18"/>
                <w:szCs w:val="18"/>
                <w:lang w:eastAsia="ru-RU"/>
              </w:rPr>
              <w:t>А</w:t>
            </w:r>
            <w:r w:rsidRPr="009A4C46">
              <w:rPr>
                <w:rFonts w:eastAsia="Times New Roman"/>
                <w:sz w:val="18"/>
                <w:szCs w:val="18"/>
                <w:lang w:val="en-US" w:eastAsia="ru-RU"/>
              </w:rPr>
              <w:t>2 (</w:t>
            </w:r>
            <w:r w:rsidRPr="009A4C46">
              <w:rPr>
                <w:rFonts w:eastAsia="Times New Roman"/>
                <w:sz w:val="18"/>
                <w:szCs w:val="18"/>
                <w:lang w:eastAsia="ru-RU"/>
              </w:rPr>
              <w:t>быстрореализуемые</w:t>
            </w:r>
            <w:r w:rsidRPr="009A4C46">
              <w:rPr>
                <w:rFonts w:eastAsia="Times New Roman"/>
                <w:sz w:val="18"/>
                <w:szCs w:val="18"/>
                <w:lang w:val="en-US" w:eastAsia="ru-RU"/>
              </w:rPr>
              <w:t>)</w:t>
            </w:r>
          </w:p>
        </w:tc>
        <w:tc>
          <w:tcPr>
            <w:tcW w:w="826" w:type="pct"/>
            <w:tcBorders>
              <w:top w:val="nil"/>
              <w:left w:val="single" w:sz="8" w:space="0" w:color="auto"/>
              <w:bottom w:val="single" w:sz="8" w:space="0" w:color="000000"/>
              <w:right w:val="single" w:sz="8" w:space="0" w:color="auto"/>
            </w:tcBorders>
            <w:shd w:val="clear" w:color="auto" w:fill="auto"/>
            <w:vAlign w:val="center"/>
            <w:hideMark/>
          </w:tcPr>
          <w:p w14:paraId="306761C2" w14:textId="77777777" w:rsidR="009A4C46" w:rsidRPr="009A4C46" w:rsidRDefault="009A4C46" w:rsidP="009A4C46">
            <w:pPr>
              <w:autoSpaceDE w:val="0"/>
              <w:autoSpaceDN w:val="0"/>
              <w:adjustRightInd w:val="0"/>
              <w:spacing w:after="0" w:line="240" w:lineRule="auto"/>
              <w:jc w:val="center"/>
              <w:rPr>
                <w:rFonts w:eastAsia="Times New Roman"/>
                <w:sz w:val="18"/>
                <w:szCs w:val="18"/>
                <w:lang w:val="en-US" w:eastAsia="ru-RU"/>
              </w:rPr>
            </w:pPr>
            <w:r w:rsidRPr="009A4C46">
              <w:rPr>
                <w:rFonts w:eastAsia="Times New Roman"/>
                <w:sz w:val="18"/>
                <w:szCs w:val="18"/>
                <w:lang w:val="en-US" w:eastAsia="ru-RU"/>
              </w:rPr>
              <w:t>7 169 231</w:t>
            </w:r>
          </w:p>
        </w:tc>
        <w:tc>
          <w:tcPr>
            <w:tcW w:w="759" w:type="pct"/>
            <w:tcBorders>
              <w:top w:val="single" w:sz="4" w:space="0" w:color="auto"/>
              <w:left w:val="single" w:sz="4" w:space="0" w:color="auto"/>
              <w:bottom w:val="single" w:sz="4" w:space="0" w:color="auto"/>
              <w:right w:val="single" w:sz="4" w:space="0" w:color="auto"/>
            </w:tcBorders>
            <w:shd w:val="clear" w:color="auto" w:fill="auto"/>
          </w:tcPr>
          <w:p w14:paraId="091E1922" w14:textId="77777777" w:rsidR="009A4C46" w:rsidRPr="009A4C46" w:rsidRDefault="009A4C46" w:rsidP="009A4C46">
            <w:pPr>
              <w:autoSpaceDE w:val="0"/>
              <w:autoSpaceDN w:val="0"/>
              <w:adjustRightInd w:val="0"/>
              <w:spacing w:after="0" w:line="240" w:lineRule="auto"/>
              <w:jc w:val="center"/>
              <w:rPr>
                <w:rFonts w:eastAsia="Times New Roman"/>
                <w:sz w:val="18"/>
                <w:szCs w:val="18"/>
                <w:lang w:val="en-US" w:eastAsia="ru-RU"/>
              </w:rPr>
            </w:pPr>
            <w:r w:rsidRPr="009A4C46">
              <w:rPr>
                <w:rFonts w:eastAsia="Times New Roman"/>
                <w:sz w:val="18"/>
                <w:szCs w:val="18"/>
                <w:lang w:val="en-US" w:eastAsia="ru-RU"/>
              </w:rPr>
              <w:t>&gt;</w:t>
            </w:r>
          </w:p>
        </w:tc>
        <w:tc>
          <w:tcPr>
            <w:tcW w:w="1135" w:type="pct"/>
            <w:tcBorders>
              <w:top w:val="single" w:sz="4" w:space="0" w:color="auto"/>
              <w:left w:val="single" w:sz="4" w:space="0" w:color="auto"/>
              <w:bottom w:val="single" w:sz="4" w:space="0" w:color="auto"/>
              <w:right w:val="single" w:sz="4" w:space="0" w:color="auto"/>
            </w:tcBorders>
            <w:shd w:val="clear" w:color="auto" w:fill="auto"/>
            <w:hideMark/>
          </w:tcPr>
          <w:p w14:paraId="62B6F608" w14:textId="77777777" w:rsidR="009A4C46" w:rsidRPr="009A4C46" w:rsidRDefault="009A4C46" w:rsidP="009A4C46">
            <w:pPr>
              <w:autoSpaceDE w:val="0"/>
              <w:autoSpaceDN w:val="0"/>
              <w:adjustRightInd w:val="0"/>
              <w:spacing w:after="0" w:line="240" w:lineRule="auto"/>
              <w:jc w:val="center"/>
              <w:rPr>
                <w:rFonts w:eastAsia="Times New Roman"/>
                <w:sz w:val="18"/>
                <w:szCs w:val="18"/>
                <w:lang w:val="en-US" w:eastAsia="ru-RU"/>
              </w:rPr>
            </w:pPr>
            <w:r w:rsidRPr="009A4C46">
              <w:rPr>
                <w:rFonts w:eastAsia="Times New Roman"/>
                <w:sz w:val="18"/>
                <w:szCs w:val="18"/>
                <w:lang w:eastAsia="ru-RU"/>
              </w:rPr>
              <w:t>Р</w:t>
            </w:r>
            <w:r w:rsidRPr="009A4C46">
              <w:rPr>
                <w:rFonts w:eastAsia="Times New Roman"/>
                <w:sz w:val="18"/>
                <w:szCs w:val="18"/>
                <w:lang w:val="en-US" w:eastAsia="ru-RU"/>
              </w:rPr>
              <w:t>2 (</w:t>
            </w:r>
            <w:r w:rsidRPr="009A4C46">
              <w:rPr>
                <w:rFonts w:eastAsia="Times New Roman"/>
                <w:sz w:val="18"/>
                <w:szCs w:val="18"/>
                <w:lang w:eastAsia="ru-RU"/>
              </w:rPr>
              <w:t>краткосрочные</w:t>
            </w:r>
            <w:r w:rsidRPr="009A4C46">
              <w:rPr>
                <w:rFonts w:eastAsia="Times New Roman"/>
                <w:sz w:val="18"/>
                <w:szCs w:val="18"/>
                <w:lang w:val="en-US" w:eastAsia="ru-RU"/>
              </w:rPr>
              <w:t>)</w:t>
            </w:r>
          </w:p>
        </w:tc>
        <w:tc>
          <w:tcPr>
            <w:tcW w:w="748" w:type="pct"/>
            <w:tcBorders>
              <w:top w:val="nil"/>
              <w:left w:val="single" w:sz="8" w:space="0" w:color="auto"/>
              <w:bottom w:val="single" w:sz="8" w:space="0" w:color="000000"/>
              <w:right w:val="single" w:sz="8" w:space="0" w:color="auto"/>
            </w:tcBorders>
            <w:shd w:val="clear" w:color="auto" w:fill="auto"/>
            <w:vAlign w:val="center"/>
            <w:hideMark/>
          </w:tcPr>
          <w:p w14:paraId="20097217" w14:textId="77777777" w:rsidR="009A4C46" w:rsidRPr="009A4C46" w:rsidRDefault="009A4C46" w:rsidP="009A4C46">
            <w:pPr>
              <w:autoSpaceDE w:val="0"/>
              <w:autoSpaceDN w:val="0"/>
              <w:adjustRightInd w:val="0"/>
              <w:spacing w:after="0" w:line="240" w:lineRule="auto"/>
              <w:jc w:val="center"/>
              <w:rPr>
                <w:rFonts w:eastAsia="Times New Roman"/>
                <w:sz w:val="18"/>
                <w:szCs w:val="18"/>
                <w:lang w:val="en-US" w:eastAsia="ru-RU"/>
              </w:rPr>
            </w:pPr>
            <w:r w:rsidRPr="009A4C46">
              <w:rPr>
                <w:rFonts w:eastAsia="Times New Roman"/>
                <w:sz w:val="18"/>
                <w:szCs w:val="18"/>
                <w:lang w:val="en-US" w:eastAsia="ru-RU"/>
              </w:rPr>
              <w:t>6 365 839</w:t>
            </w:r>
          </w:p>
        </w:tc>
      </w:tr>
      <w:tr w:rsidR="009A4C46" w:rsidRPr="009A4C46" w14:paraId="1527128A" w14:textId="77777777" w:rsidTr="00F94FED">
        <w:trPr>
          <w:trHeight w:val="265"/>
        </w:trPr>
        <w:tc>
          <w:tcPr>
            <w:tcW w:w="1532" w:type="pct"/>
            <w:tcBorders>
              <w:top w:val="single" w:sz="4" w:space="0" w:color="auto"/>
              <w:left w:val="single" w:sz="4" w:space="0" w:color="auto"/>
              <w:bottom w:val="single" w:sz="4" w:space="0" w:color="auto"/>
              <w:right w:val="single" w:sz="4" w:space="0" w:color="auto"/>
            </w:tcBorders>
            <w:shd w:val="clear" w:color="auto" w:fill="auto"/>
            <w:hideMark/>
          </w:tcPr>
          <w:p w14:paraId="077DE921" w14:textId="77777777" w:rsidR="009A4C46" w:rsidRPr="009A4C46" w:rsidRDefault="009A4C46" w:rsidP="009A4C46">
            <w:pPr>
              <w:autoSpaceDE w:val="0"/>
              <w:autoSpaceDN w:val="0"/>
              <w:adjustRightInd w:val="0"/>
              <w:spacing w:after="0" w:line="240" w:lineRule="auto"/>
              <w:jc w:val="center"/>
              <w:rPr>
                <w:rFonts w:eastAsia="Times New Roman"/>
                <w:sz w:val="18"/>
                <w:szCs w:val="18"/>
                <w:lang w:val="en-US" w:eastAsia="ru-RU"/>
              </w:rPr>
            </w:pPr>
            <w:r w:rsidRPr="009A4C46">
              <w:rPr>
                <w:rFonts w:eastAsia="Times New Roman"/>
                <w:sz w:val="18"/>
                <w:szCs w:val="18"/>
                <w:lang w:eastAsia="ru-RU"/>
              </w:rPr>
              <w:t>А</w:t>
            </w:r>
            <w:r w:rsidRPr="009A4C46">
              <w:rPr>
                <w:rFonts w:eastAsia="Times New Roman"/>
                <w:sz w:val="18"/>
                <w:szCs w:val="18"/>
                <w:lang w:val="en-US" w:eastAsia="ru-RU"/>
              </w:rPr>
              <w:t>3 (</w:t>
            </w:r>
            <w:r w:rsidRPr="009A4C46">
              <w:rPr>
                <w:rFonts w:eastAsia="Times New Roman"/>
                <w:sz w:val="18"/>
                <w:szCs w:val="18"/>
                <w:lang w:eastAsia="ru-RU"/>
              </w:rPr>
              <w:t>медленно</w:t>
            </w:r>
            <w:r w:rsidRPr="009A4C46">
              <w:rPr>
                <w:rFonts w:eastAsia="Times New Roman"/>
                <w:sz w:val="18"/>
                <w:szCs w:val="18"/>
                <w:lang w:val="en-US" w:eastAsia="ru-RU"/>
              </w:rPr>
              <w:t xml:space="preserve"> </w:t>
            </w:r>
            <w:r w:rsidRPr="009A4C46">
              <w:rPr>
                <w:rFonts w:eastAsia="Times New Roman"/>
                <w:sz w:val="18"/>
                <w:szCs w:val="18"/>
                <w:lang w:eastAsia="ru-RU"/>
              </w:rPr>
              <w:t>реализуемые</w:t>
            </w:r>
            <w:r w:rsidRPr="009A4C46">
              <w:rPr>
                <w:rFonts w:eastAsia="Times New Roman"/>
                <w:sz w:val="18"/>
                <w:szCs w:val="18"/>
                <w:lang w:val="en-US" w:eastAsia="ru-RU"/>
              </w:rPr>
              <w:t>)</w:t>
            </w:r>
          </w:p>
        </w:tc>
        <w:tc>
          <w:tcPr>
            <w:tcW w:w="826" w:type="pct"/>
            <w:tcBorders>
              <w:top w:val="nil"/>
              <w:left w:val="single" w:sz="8" w:space="0" w:color="auto"/>
              <w:bottom w:val="single" w:sz="8" w:space="0" w:color="000000"/>
              <w:right w:val="single" w:sz="8" w:space="0" w:color="auto"/>
            </w:tcBorders>
            <w:shd w:val="clear" w:color="auto" w:fill="auto"/>
            <w:vAlign w:val="center"/>
            <w:hideMark/>
          </w:tcPr>
          <w:p w14:paraId="04653D35" w14:textId="77777777" w:rsidR="009A4C46" w:rsidRPr="009A4C46" w:rsidRDefault="009A4C46" w:rsidP="009A4C46">
            <w:pPr>
              <w:autoSpaceDE w:val="0"/>
              <w:autoSpaceDN w:val="0"/>
              <w:adjustRightInd w:val="0"/>
              <w:spacing w:after="0" w:line="240" w:lineRule="auto"/>
              <w:jc w:val="center"/>
              <w:rPr>
                <w:rFonts w:eastAsia="Times New Roman"/>
                <w:sz w:val="18"/>
                <w:szCs w:val="18"/>
                <w:lang w:val="en-US" w:eastAsia="ru-RU"/>
              </w:rPr>
            </w:pPr>
            <w:r w:rsidRPr="009A4C46">
              <w:rPr>
                <w:rFonts w:eastAsia="Times New Roman"/>
                <w:sz w:val="18"/>
                <w:szCs w:val="18"/>
                <w:lang w:eastAsia="ru-RU"/>
              </w:rPr>
              <w:t>1 251 010</w:t>
            </w:r>
          </w:p>
        </w:tc>
        <w:tc>
          <w:tcPr>
            <w:tcW w:w="759" w:type="pct"/>
            <w:tcBorders>
              <w:top w:val="single" w:sz="4" w:space="0" w:color="auto"/>
              <w:left w:val="single" w:sz="4" w:space="0" w:color="auto"/>
              <w:bottom w:val="single" w:sz="4" w:space="0" w:color="auto"/>
              <w:right w:val="single" w:sz="4" w:space="0" w:color="auto"/>
            </w:tcBorders>
            <w:shd w:val="clear" w:color="auto" w:fill="auto"/>
          </w:tcPr>
          <w:p w14:paraId="3AE9BFCB" w14:textId="77777777" w:rsidR="009A4C46" w:rsidRPr="009A4C46" w:rsidRDefault="009A4C46" w:rsidP="009A4C46">
            <w:pPr>
              <w:autoSpaceDE w:val="0"/>
              <w:autoSpaceDN w:val="0"/>
              <w:adjustRightInd w:val="0"/>
              <w:spacing w:after="0" w:line="240" w:lineRule="auto"/>
              <w:jc w:val="center"/>
              <w:rPr>
                <w:rFonts w:eastAsia="Times New Roman"/>
                <w:sz w:val="18"/>
                <w:szCs w:val="18"/>
                <w:lang w:val="en-US" w:eastAsia="ru-RU"/>
              </w:rPr>
            </w:pPr>
            <w:r w:rsidRPr="009A4C46">
              <w:rPr>
                <w:rFonts w:eastAsia="Times New Roman"/>
                <w:sz w:val="18"/>
                <w:szCs w:val="18"/>
                <w:lang w:val="en-US" w:eastAsia="ru-RU"/>
              </w:rPr>
              <w:t>&gt;</w:t>
            </w:r>
          </w:p>
        </w:tc>
        <w:tc>
          <w:tcPr>
            <w:tcW w:w="1135" w:type="pct"/>
            <w:tcBorders>
              <w:top w:val="single" w:sz="4" w:space="0" w:color="auto"/>
              <w:left w:val="single" w:sz="4" w:space="0" w:color="auto"/>
              <w:bottom w:val="single" w:sz="4" w:space="0" w:color="auto"/>
              <w:right w:val="single" w:sz="4" w:space="0" w:color="auto"/>
            </w:tcBorders>
            <w:shd w:val="clear" w:color="auto" w:fill="auto"/>
            <w:hideMark/>
          </w:tcPr>
          <w:p w14:paraId="346FA8A9" w14:textId="77777777" w:rsidR="009A4C46" w:rsidRPr="009A4C46" w:rsidRDefault="009A4C46" w:rsidP="009A4C46">
            <w:pPr>
              <w:autoSpaceDE w:val="0"/>
              <w:autoSpaceDN w:val="0"/>
              <w:adjustRightInd w:val="0"/>
              <w:spacing w:after="0" w:line="240" w:lineRule="auto"/>
              <w:jc w:val="center"/>
              <w:rPr>
                <w:rFonts w:eastAsia="Times New Roman"/>
                <w:sz w:val="18"/>
                <w:szCs w:val="18"/>
                <w:lang w:val="en-US" w:eastAsia="ru-RU"/>
              </w:rPr>
            </w:pPr>
            <w:r w:rsidRPr="009A4C46">
              <w:rPr>
                <w:rFonts w:eastAsia="Times New Roman"/>
                <w:sz w:val="18"/>
                <w:szCs w:val="18"/>
                <w:lang w:eastAsia="ru-RU"/>
              </w:rPr>
              <w:t>Р</w:t>
            </w:r>
            <w:r w:rsidRPr="009A4C46">
              <w:rPr>
                <w:rFonts w:eastAsia="Times New Roman"/>
                <w:sz w:val="18"/>
                <w:szCs w:val="18"/>
                <w:lang w:val="en-US" w:eastAsia="ru-RU"/>
              </w:rPr>
              <w:t>3 (</w:t>
            </w:r>
            <w:r w:rsidRPr="009A4C46">
              <w:rPr>
                <w:rFonts w:eastAsia="Times New Roman"/>
                <w:sz w:val="18"/>
                <w:szCs w:val="18"/>
                <w:lang w:eastAsia="ru-RU"/>
              </w:rPr>
              <w:t>долгосрочные</w:t>
            </w:r>
            <w:r w:rsidRPr="009A4C46">
              <w:rPr>
                <w:rFonts w:eastAsia="Times New Roman"/>
                <w:sz w:val="18"/>
                <w:szCs w:val="18"/>
                <w:lang w:val="en-US" w:eastAsia="ru-RU"/>
              </w:rPr>
              <w:t>)</w:t>
            </w:r>
          </w:p>
        </w:tc>
        <w:tc>
          <w:tcPr>
            <w:tcW w:w="748" w:type="pct"/>
            <w:tcBorders>
              <w:top w:val="nil"/>
              <w:left w:val="single" w:sz="8" w:space="0" w:color="auto"/>
              <w:bottom w:val="single" w:sz="8" w:space="0" w:color="000000"/>
              <w:right w:val="single" w:sz="8" w:space="0" w:color="auto"/>
            </w:tcBorders>
            <w:shd w:val="clear" w:color="auto" w:fill="auto"/>
            <w:vAlign w:val="center"/>
            <w:hideMark/>
          </w:tcPr>
          <w:p w14:paraId="3AA63409" w14:textId="77777777" w:rsidR="009A4C46" w:rsidRPr="009A4C46" w:rsidRDefault="009A4C46" w:rsidP="009A4C46">
            <w:pPr>
              <w:autoSpaceDE w:val="0"/>
              <w:autoSpaceDN w:val="0"/>
              <w:adjustRightInd w:val="0"/>
              <w:spacing w:after="0" w:line="240" w:lineRule="auto"/>
              <w:jc w:val="center"/>
              <w:rPr>
                <w:rFonts w:eastAsia="Times New Roman"/>
                <w:sz w:val="18"/>
                <w:szCs w:val="18"/>
                <w:lang w:val="en-US" w:eastAsia="ru-RU"/>
              </w:rPr>
            </w:pPr>
            <w:r w:rsidRPr="009A4C46">
              <w:rPr>
                <w:rFonts w:eastAsia="Times New Roman"/>
                <w:sz w:val="18"/>
                <w:szCs w:val="18"/>
                <w:lang w:eastAsia="ru-RU"/>
              </w:rPr>
              <w:t>133 182</w:t>
            </w:r>
          </w:p>
        </w:tc>
      </w:tr>
      <w:tr w:rsidR="009A4C46" w:rsidRPr="009A4C46" w14:paraId="7D05408E" w14:textId="77777777" w:rsidTr="00F94FED">
        <w:trPr>
          <w:trHeight w:val="128"/>
        </w:trPr>
        <w:tc>
          <w:tcPr>
            <w:tcW w:w="1532" w:type="pct"/>
            <w:tcBorders>
              <w:top w:val="single" w:sz="4" w:space="0" w:color="auto"/>
              <w:left w:val="single" w:sz="4" w:space="0" w:color="auto"/>
              <w:bottom w:val="single" w:sz="4" w:space="0" w:color="auto"/>
              <w:right w:val="single" w:sz="4" w:space="0" w:color="auto"/>
            </w:tcBorders>
            <w:shd w:val="clear" w:color="auto" w:fill="auto"/>
            <w:hideMark/>
          </w:tcPr>
          <w:p w14:paraId="16FF06BC" w14:textId="77777777" w:rsidR="009A4C46" w:rsidRPr="009A4C46" w:rsidRDefault="009A4C46" w:rsidP="009A4C46">
            <w:pPr>
              <w:autoSpaceDE w:val="0"/>
              <w:autoSpaceDN w:val="0"/>
              <w:adjustRightInd w:val="0"/>
              <w:spacing w:after="0" w:line="240" w:lineRule="auto"/>
              <w:jc w:val="center"/>
              <w:rPr>
                <w:rFonts w:eastAsia="Times New Roman"/>
                <w:sz w:val="18"/>
                <w:szCs w:val="18"/>
                <w:lang w:val="en-US" w:eastAsia="ru-RU"/>
              </w:rPr>
            </w:pPr>
            <w:r w:rsidRPr="009A4C46">
              <w:rPr>
                <w:rFonts w:eastAsia="Times New Roman"/>
                <w:sz w:val="18"/>
                <w:szCs w:val="18"/>
                <w:lang w:eastAsia="ru-RU"/>
              </w:rPr>
              <w:t>А</w:t>
            </w:r>
            <w:r w:rsidRPr="009A4C46">
              <w:rPr>
                <w:rFonts w:eastAsia="Times New Roman"/>
                <w:sz w:val="18"/>
                <w:szCs w:val="18"/>
                <w:lang w:val="en-US" w:eastAsia="ru-RU"/>
              </w:rPr>
              <w:t>4 (</w:t>
            </w:r>
            <w:r w:rsidRPr="009A4C46">
              <w:rPr>
                <w:rFonts w:eastAsia="Times New Roman"/>
                <w:sz w:val="18"/>
                <w:szCs w:val="18"/>
                <w:lang w:eastAsia="ru-RU"/>
              </w:rPr>
              <w:t>труднореализуемые</w:t>
            </w:r>
            <w:r w:rsidRPr="009A4C46">
              <w:rPr>
                <w:rFonts w:eastAsia="Times New Roman"/>
                <w:sz w:val="18"/>
                <w:szCs w:val="18"/>
                <w:lang w:val="en-US" w:eastAsia="ru-RU"/>
              </w:rPr>
              <w:t>)</w:t>
            </w:r>
          </w:p>
        </w:tc>
        <w:tc>
          <w:tcPr>
            <w:tcW w:w="826" w:type="pct"/>
            <w:tcBorders>
              <w:top w:val="nil"/>
              <w:left w:val="single" w:sz="8" w:space="0" w:color="auto"/>
              <w:bottom w:val="single" w:sz="8" w:space="0" w:color="000000"/>
              <w:right w:val="single" w:sz="8" w:space="0" w:color="auto"/>
            </w:tcBorders>
            <w:shd w:val="clear" w:color="auto" w:fill="auto"/>
            <w:vAlign w:val="center"/>
            <w:hideMark/>
          </w:tcPr>
          <w:p w14:paraId="50B22287" w14:textId="77777777" w:rsidR="009A4C46" w:rsidRPr="009A4C46" w:rsidRDefault="009A4C46" w:rsidP="009A4C46">
            <w:pPr>
              <w:autoSpaceDE w:val="0"/>
              <w:autoSpaceDN w:val="0"/>
              <w:adjustRightInd w:val="0"/>
              <w:spacing w:after="0" w:line="240" w:lineRule="auto"/>
              <w:jc w:val="center"/>
              <w:rPr>
                <w:rFonts w:eastAsia="Times New Roman"/>
                <w:sz w:val="18"/>
                <w:szCs w:val="18"/>
                <w:lang w:val="en-US" w:eastAsia="ru-RU"/>
              </w:rPr>
            </w:pPr>
            <w:r w:rsidRPr="009A4C46">
              <w:rPr>
                <w:rFonts w:eastAsia="Times New Roman"/>
                <w:sz w:val="18"/>
                <w:szCs w:val="18"/>
                <w:lang w:val="en-US" w:eastAsia="ru-RU"/>
              </w:rPr>
              <w:t>44 798 746</w:t>
            </w:r>
          </w:p>
        </w:tc>
        <w:tc>
          <w:tcPr>
            <w:tcW w:w="759" w:type="pct"/>
            <w:tcBorders>
              <w:top w:val="single" w:sz="4" w:space="0" w:color="auto"/>
              <w:left w:val="single" w:sz="4" w:space="0" w:color="auto"/>
              <w:bottom w:val="single" w:sz="4" w:space="0" w:color="auto"/>
              <w:right w:val="single" w:sz="4" w:space="0" w:color="auto"/>
            </w:tcBorders>
            <w:shd w:val="clear" w:color="auto" w:fill="auto"/>
          </w:tcPr>
          <w:p w14:paraId="5CE372C7" w14:textId="77777777" w:rsidR="009A4C46" w:rsidRPr="009A4C46" w:rsidRDefault="009A4C46" w:rsidP="009A4C46">
            <w:pPr>
              <w:autoSpaceDE w:val="0"/>
              <w:autoSpaceDN w:val="0"/>
              <w:adjustRightInd w:val="0"/>
              <w:spacing w:after="0" w:line="240" w:lineRule="auto"/>
              <w:jc w:val="center"/>
              <w:rPr>
                <w:rFonts w:eastAsia="Times New Roman"/>
                <w:sz w:val="18"/>
                <w:szCs w:val="18"/>
                <w:lang w:val="en-US" w:eastAsia="ru-RU"/>
              </w:rPr>
            </w:pPr>
            <w:r w:rsidRPr="009A4C46">
              <w:rPr>
                <w:rFonts w:eastAsia="Times New Roman"/>
                <w:sz w:val="18"/>
                <w:szCs w:val="18"/>
                <w:lang w:val="en-US" w:eastAsia="ru-RU"/>
              </w:rPr>
              <w:t>&gt;</w:t>
            </w:r>
          </w:p>
        </w:tc>
        <w:tc>
          <w:tcPr>
            <w:tcW w:w="1135" w:type="pct"/>
            <w:tcBorders>
              <w:top w:val="single" w:sz="4" w:space="0" w:color="auto"/>
              <w:left w:val="single" w:sz="4" w:space="0" w:color="auto"/>
              <w:bottom w:val="single" w:sz="4" w:space="0" w:color="auto"/>
              <w:right w:val="single" w:sz="4" w:space="0" w:color="auto"/>
            </w:tcBorders>
            <w:shd w:val="clear" w:color="auto" w:fill="auto"/>
            <w:hideMark/>
          </w:tcPr>
          <w:p w14:paraId="1CB71F0D" w14:textId="77777777" w:rsidR="009A4C46" w:rsidRPr="009A4C46" w:rsidRDefault="009A4C46" w:rsidP="009A4C46">
            <w:pPr>
              <w:autoSpaceDE w:val="0"/>
              <w:autoSpaceDN w:val="0"/>
              <w:adjustRightInd w:val="0"/>
              <w:spacing w:after="0" w:line="240" w:lineRule="auto"/>
              <w:jc w:val="center"/>
              <w:rPr>
                <w:rFonts w:eastAsia="Times New Roman"/>
                <w:sz w:val="18"/>
                <w:szCs w:val="18"/>
                <w:lang w:val="en-US" w:eastAsia="ru-RU"/>
              </w:rPr>
            </w:pPr>
            <w:r w:rsidRPr="009A4C46">
              <w:rPr>
                <w:rFonts w:eastAsia="Times New Roman"/>
                <w:sz w:val="18"/>
                <w:szCs w:val="18"/>
                <w:lang w:eastAsia="ru-RU"/>
              </w:rPr>
              <w:t>Р</w:t>
            </w:r>
            <w:r w:rsidRPr="009A4C46">
              <w:rPr>
                <w:rFonts w:eastAsia="Times New Roman"/>
                <w:sz w:val="18"/>
                <w:szCs w:val="18"/>
                <w:lang w:val="en-US" w:eastAsia="ru-RU"/>
              </w:rPr>
              <w:t>4 (</w:t>
            </w:r>
            <w:r w:rsidRPr="009A4C46">
              <w:rPr>
                <w:rFonts w:eastAsia="Times New Roman"/>
                <w:sz w:val="18"/>
                <w:szCs w:val="18"/>
                <w:lang w:eastAsia="ru-RU"/>
              </w:rPr>
              <w:t>постоянные</w:t>
            </w:r>
            <w:r w:rsidRPr="009A4C46">
              <w:rPr>
                <w:rFonts w:eastAsia="Times New Roman"/>
                <w:sz w:val="18"/>
                <w:szCs w:val="18"/>
                <w:lang w:val="en-US" w:eastAsia="ru-RU"/>
              </w:rPr>
              <w:t>)</w:t>
            </w:r>
          </w:p>
        </w:tc>
        <w:tc>
          <w:tcPr>
            <w:tcW w:w="748" w:type="pct"/>
            <w:tcBorders>
              <w:top w:val="nil"/>
              <w:left w:val="single" w:sz="8" w:space="0" w:color="auto"/>
              <w:bottom w:val="single" w:sz="8" w:space="0" w:color="000000"/>
              <w:right w:val="single" w:sz="8" w:space="0" w:color="auto"/>
            </w:tcBorders>
            <w:shd w:val="clear" w:color="auto" w:fill="auto"/>
            <w:vAlign w:val="center"/>
            <w:hideMark/>
          </w:tcPr>
          <w:p w14:paraId="382EF8A2" w14:textId="77777777" w:rsidR="009A4C46" w:rsidRPr="009A4C46" w:rsidRDefault="009A4C46" w:rsidP="009A4C46">
            <w:pPr>
              <w:autoSpaceDE w:val="0"/>
              <w:autoSpaceDN w:val="0"/>
              <w:adjustRightInd w:val="0"/>
              <w:spacing w:after="0" w:line="240" w:lineRule="auto"/>
              <w:jc w:val="center"/>
              <w:rPr>
                <w:rFonts w:eastAsia="Times New Roman"/>
                <w:sz w:val="18"/>
                <w:szCs w:val="18"/>
                <w:lang w:val="en-US" w:eastAsia="ru-RU"/>
              </w:rPr>
            </w:pPr>
            <w:r w:rsidRPr="009A4C46">
              <w:rPr>
                <w:rFonts w:eastAsia="Times New Roman"/>
                <w:sz w:val="18"/>
                <w:szCs w:val="18"/>
                <w:lang w:val="en-US" w:eastAsia="ru-RU"/>
              </w:rPr>
              <w:t>25 127 347</w:t>
            </w:r>
          </w:p>
        </w:tc>
      </w:tr>
    </w:tbl>
    <w:p w14:paraId="4D8A8265" w14:textId="77777777" w:rsidR="009A4C46" w:rsidRPr="009A4C46" w:rsidRDefault="009A4C46" w:rsidP="009A4C46">
      <w:pPr>
        <w:autoSpaceDE w:val="0"/>
        <w:autoSpaceDN w:val="0"/>
        <w:adjustRightInd w:val="0"/>
        <w:spacing w:after="0" w:line="360" w:lineRule="auto"/>
        <w:ind w:firstLine="708"/>
        <w:jc w:val="both"/>
        <w:rPr>
          <w:rFonts w:eastAsia="Times New Roman"/>
          <w:color w:val="000000"/>
          <w:sz w:val="28"/>
          <w:szCs w:val="28"/>
          <w:lang w:eastAsia="ru-RU"/>
        </w:rPr>
      </w:pPr>
    </w:p>
    <w:tbl>
      <w:tblPr>
        <w:tblW w:w="5000" w:type="pct"/>
        <w:tblLook w:val="04A0" w:firstRow="1" w:lastRow="0" w:firstColumn="1" w:lastColumn="0" w:noHBand="0" w:noVBand="1"/>
      </w:tblPr>
      <w:tblGrid>
        <w:gridCol w:w="2875"/>
        <w:gridCol w:w="1583"/>
        <w:gridCol w:w="1293"/>
        <w:gridCol w:w="2157"/>
        <w:gridCol w:w="1437"/>
      </w:tblGrid>
      <w:tr w:rsidR="009A4C46" w:rsidRPr="009A4C46" w14:paraId="1F5F2E40" w14:textId="77777777" w:rsidTr="00F94FED">
        <w:trPr>
          <w:trHeight w:val="178"/>
        </w:trPr>
        <w:tc>
          <w:tcPr>
            <w:tcW w:w="2385"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5B92B71" w14:textId="77777777" w:rsidR="009A4C46" w:rsidRPr="00F94FED" w:rsidRDefault="009A4C46" w:rsidP="009A4C46">
            <w:pPr>
              <w:autoSpaceDE w:val="0"/>
              <w:autoSpaceDN w:val="0"/>
              <w:adjustRightInd w:val="0"/>
              <w:spacing w:after="0" w:line="240" w:lineRule="auto"/>
              <w:jc w:val="center"/>
              <w:rPr>
                <w:rFonts w:eastAsia="Times New Roman"/>
                <w:b/>
                <w:bCs/>
                <w:color w:val="FFFFFF" w:themeColor="background1"/>
                <w:sz w:val="18"/>
                <w:szCs w:val="18"/>
                <w:lang w:eastAsia="ru-RU"/>
              </w:rPr>
            </w:pPr>
            <w:r w:rsidRPr="00F94FED">
              <w:rPr>
                <w:rFonts w:eastAsia="Times New Roman"/>
                <w:b/>
                <w:bCs/>
                <w:color w:val="FFFFFF" w:themeColor="background1"/>
                <w:sz w:val="18"/>
                <w:szCs w:val="18"/>
                <w:lang w:eastAsia="ru-RU"/>
              </w:rPr>
              <w:t>Группа активов, тыс. руб.</w:t>
            </w:r>
          </w:p>
        </w:tc>
        <w:tc>
          <w:tcPr>
            <w:tcW w:w="69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BC46438" w14:textId="77777777" w:rsidR="009A4C46" w:rsidRPr="00F94FED" w:rsidRDefault="009A4C46" w:rsidP="009A4C46">
            <w:pPr>
              <w:autoSpaceDE w:val="0"/>
              <w:autoSpaceDN w:val="0"/>
              <w:adjustRightInd w:val="0"/>
              <w:spacing w:after="0" w:line="240" w:lineRule="auto"/>
              <w:jc w:val="center"/>
              <w:rPr>
                <w:rFonts w:eastAsia="Times New Roman"/>
                <w:b/>
                <w:bCs/>
                <w:color w:val="FFFFFF" w:themeColor="background1"/>
                <w:sz w:val="18"/>
                <w:szCs w:val="18"/>
                <w:lang w:eastAsia="ru-RU"/>
              </w:rPr>
            </w:pPr>
            <w:r w:rsidRPr="00F94FED">
              <w:rPr>
                <w:rFonts w:eastAsia="Times New Roman"/>
                <w:b/>
                <w:bCs/>
                <w:color w:val="FFFFFF" w:themeColor="background1"/>
                <w:sz w:val="18"/>
                <w:szCs w:val="18"/>
                <w:lang w:eastAsia="ru-RU"/>
              </w:rPr>
              <w:t>За 2018 год</w:t>
            </w:r>
          </w:p>
        </w:tc>
        <w:tc>
          <w:tcPr>
            <w:tcW w:w="192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8458DD5" w14:textId="77777777" w:rsidR="009A4C46" w:rsidRPr="00F94FED" w:rsidRDefault="009A4C46" w:rsidP="009A4C46">
            <w:pPr>
              <w:autoSpaceDE w:val="0"/>
              <w:autoSpaceDN w:val="0"/>
              <w:adjustRightInd w:val="0"/>
              <w:spacing w:after="0" w:line="240" w:lineRule="auto"/>
              <w:jc w:val="center"/>
              <w:rPr>
                <w:rFonts w:eastAsia="Times New Roman"/>
                <w:b/>
                <w:bCs/>
                <w:color w:val="FFFFFF" w:themeColor="background1"/>
                <w:sz w:val="18"/>
                <w:szCs w:val="18"/>
                <w:lang w:eastAsia="ru-RU"/>
              </w:rPr>
            </w:pPr>
            <w:r w:rsidRPr="00F94FED">
              <w:rPr>
                <w:rFonts w:eastAsia="Times New Roman"/>
                <w:b/>
                <w:bCs/>
                <w:color w:val="FFFFFF" w:themeColor="background1"/>
                <w:sz w:val="18"/>
                <w:szCs w:val="18"/>
                <w:lang w:eastAsia="ru-RU"/>
              </w:rPr>
              <w:t>Группа пассивов, тыс. руб.</w:t>
            </w:r>
          </w:p>
        </w:tc>
      </w:tr>
      <w:tr w:rsidR="009A4C46" w:rsidRPr="009A4C46" w14:paraId="3AFAE89D" w14:textId="77777777" w:rsidTr="00F94FED">
        <w:trPr>
          <w:trHeight w:val="178"/>
        </w:trPr>
        <w:tc>
          <w:tcPr>
            <w:tcW w:w="1538" w:type="pct"/>
            <w:tcBorders>
              <w:top w:val="single" w:sz="4" w:space="0" w:color="FFFFFF" w:themeColor="background1"/>
              <w:left w:val="single" w:sz="6" w:space="0" w:color="000000"/>
              <w:bottom w:val="single" w:sz="6" w:space="0" w:color="000000"/>
              <w:right w:val="single" w:sz="6" w:space="0" w:color="000000"/>
            </w:tcBorders>
            <w:shd w:val="clear" w:color="auto" w:fill="auto"/>
            <w:vAlign w:val="center"/>
            <w:hideMark/>
          </w:tcPr>
          <w:p w14:paraId="217E091F" w14:textId="77777777" w:rsidR="009A4C46" w:rsidRPr="009A4C46" w:rsidRDefault="009A4C46" w:rsidP="009A4C46">
            <w:pPr>
              <w:autoSpaceDE w:val="0"/>
              <w:autoSpaceDN w:val="0"/>
              <w:adjustRightInd w:val="0"/>
              <w:spacing w:after="0" w:line="240" w:lineRule="auto"/>
              <w:jc w:val="center"/>
              <w:rPr>
                <w:rFonts w:eastAsia="Times New Roman"/>
                <w:sz w:val="18"/>
                <w:szCs w:val="18"/>
                <w:lang w:eastAsia="ru-RU"/>
              </w:rPr>
            </w:pPr>
            <w:r w:rsidRPr="009A4C46">
              <w:rPr>
                <w:rFonts w:eastAsia="Times New Roman"/>
                <w:sz w:val="18"/>
                <w:szCs w:val="18"/>
                <w:lang w:eastAsia="ru-RU"/>
              </w:rPr>
              <w:t>А1 (наиболее ликвидные)</w:t>
            </w:r>
          </w:p>
        </w:tc>
        <w:tc>
          <w:tcPr>
            <w:tcW w:w="847" w:type="pct"/>
            <w:tcBorders>
              <w:top w:val="single" w:sz="4" w:space="0" w:color="FFFFFF" w:themeColor="background1"/>
              <w:left w:val="single" w:sz="8" w:space="0" w:color="auto"/>
              <w:bottom w:val="single" w:sz="8" w:space="0" w:color="000000"/>
              <w:right w:val="single" w:sz="8" w:space="0" w:color="auto"/>
            </w:tcBorders>
            <w:shd w:val="clear" w:color="auto" w:fill="auto"/>
            <w:vAlign w:val="center"/>
            <w:hideMark/>
          </w:tcPr>
          <w:p w14:paraId="7B30A2C1" w14:textId="77777777" w:rsidR="009A4C46" w:rsidRPr="009A4C46" w:rsidRDefault="009A4C46" w:rsidP="009A4C46">
            <w:pPr>
              <w:autoSpaceDE w:val="0"/>
              <w:autoSpaceDN w:val="0"/>
              <w:adjustRightInd w:val="0"/>
              <w:spacing w:after="0" w:line="240" w:lineRule="auto"/>
              <w:jc w:val="center"/>
              <w:rPr>
                <w:rFonts w:eastAsia="Times New Roman"/>
                <w:sz w:val="18"/>
                <w:szCs w:val="18"/>
                <w:lang w:eastAsia="ru-RU"/>
              </w:rPr>
            </w:pPr>
            <w:r w:rsidRPr="009A4C46">
              <w:rPr>
                <w:rFonts w:eastAsia="Times New Roman"/>
                <w:sz w:val="18"/>
                <w:szCs w:val="18"/>
                <w:lang w:eastAsia="ru-RU"/>
              </w:rPr>
              <w:t>160 146</w:t>
            </w:r>
          </w:p>
        </w:tc>
        <w:tc>
          <w:tcPr>
            <w:tcW w:w="692" w:type="pct"/>
            <w:tcBorders>
              <w:top w:val="single" w:sz="4" w:space="0" w:color="FFFFFF" w:themeColor="background1"/>
              <w:left w:val="nil"/>
              <w:bottom w:val="single" w:sz="6" w:space="0" w:color="000000"/>
              <w:right w:val="single" w:sz="6" w:space="0" w:color="000000"/>
            </w:tcBorders>
            <w:shd w:val="clear" w:color="auto" w:fill="auto"/>
            <w:vAlign w:val="center"/>
          </w:tcPr>
          <w:p w14:paraId="13E0C4AC" w14:textId="77777777" w:rsidR="009A4C46" w:rsidRPr="009A4C46" w:rsidRDefault="009A4C46" w:rsidP="009A4C46">
            <w:pPr>
              <w:autoSpaceDE w:val="0"/>
              <w:autoSpaceDN w:val="0"/>
              <w:adjustRightInd w:val="0"/>
              <w:spacing w:after="0" w:line="240" w:lineRule="auto"/>
              <w:jc w:val="center"/>
              <w:rPr>
                <w:rFonts w:eastAsia="Times New Roman"/>
                <w:sz w:val="18"/>
                <w:szCs w:val="18"/>
                <w:lang w:eastAsia="ru-RU"/>
              </w:rPr>
            </w:pPr>
            <w:r w:rsidRPr="009A4C46">
              <w:rPr>
                <w:rFonts w:eastAsia="Times New Roman"/>
                <w:sz w:val="18"/>
                <w:szCs w:val="18"/>
                <w:lang w:eastAsia="ru-RU"/>
              </w:rPr>
              <w:t>&lt;</w:t>
            </w:r>
          </w:p>
        </w:tc>
        <w:tc>
          <w:tcPr>
            <w:tcW w:w="1154" w:type="pct"/>
            <w:tcBorders>
              <w:top w:val="single" w:sz="4" w:space="0" w:color="FFFFFF" w:themeColor="background1"/>
              <w:left w:val="nil"/>
              <w:bottom w:val="single" w:sz="6" w:space="0" w:color="000000"/>
              <w:right w:val="single" w:sz="6" w:space="0" w:color="000000"/>
            </w:tcBorders>
            <w:shd w:val="clear" w:color="auto" w:fill="auto"/>
            <w:vAlign w:val="center"/>
            <w:hideMark/>
          </w:tcPr>
          <w:p w14:paraId="30E5A605" w14:textId="77777777" w:rsidR="009A4C46" w:rsidRPr="009A4C46" w:rsidRDefault="009A4C46" w:rsidP="009A4C46">
            <w:pPr>
              <w:autoSpaceDE w:val="0"/>
              <w:autoSpaceDN w:val="0"/>
              <w:adjustRightInd w:val="0"/>
              <w:spacing w:after="0" w:line="240" w:lineRule="auto"/>
              <w:jc w:val="center"/>
              <w:rPr>
                <w:rFonts w:eastAsia="Times New Roman"/>
                <w:sz w:val="18"/>
                <w:szCs w:val="18"/>
                <w:lang w:eastAsia="ru-RU"/>
              </w:rPr>
            </w:pPr>
            <w:r w:rsidRPr="009A4C46">
              <w:rPr>
                <w:rFonts w:eastAsia="Times New Roman"/>
                <w:sz w:val="18"/>
                <w:szCs w:val="18"/>
                <w:lang w:eastAsia="ru-RU"/>
              </w:rPr>
              <w:t>Р 1 (наиболее срочные)</w:t>
            </w:r>
          </w:p>
        </w:tc>
        <w:tc>
          <w:tcPr>
            <w:tcW w:w="769" w:type="pct"/>
            <w:tcBorders>
              <w:top w:val="single" w:sz="4" w:space="0" w:color="FFFFFF" w:themeColor="background1"/>
              <w:left w:val="single" w:sz="8" w:space="0" w:color="auto"/>
              <w:bottom w:val="single" w:sz="8" w:space="0" w:color="000000"/>
              <w:right w:val="single" w:sz="8" w:space="0" w:color="auto"/>
            </w:tcBorders>
            <w:shd w:val="clear" w:color="auto" w:fill="auto"/>
            <w:vAlign w:val="center"/>
            <w:hideMark/>
          </w:tcPr>
          <w:p w14:paraId="751ED5BF" w14:textId="77777777" w:rsidR="009A4C46" w:rsidRPr="009A4C46" w:rsidRDefault="009A4C46" w:rsidP="009A4C46">
            <w:pPr>
              <w:autoSpaceDE w:val="0"/>
              <w:autoSpaceDN w:val="0"/>
              <w:adjustRightInd w:val="0"/>
              <w:spacing w:after="0" w:line="240" w:lineRule="auto"/>
              <w:jc w:val="center"/>
              <w:rPr>
                <w:rFonts w:eastAsia="Times New Roman"/>
                <w:sz w:val="18"/>
                <w:szCs w:val="18"/>
                <w:lang w:eastAsia="ru-RU"/>
              </w:rPr>
            </w:pPr>
            <w:r w:rsidRPr="009A4C46">
              <w:rPr>
                <w:rFonts w:eastAsia="Times New Roman"/>
                <w:sz w:val="18"/>
                <w:szCs w:val="18"/>
                <w:lang w:eastAsia="ru-RU"/>
              </w:rPr>
              <w:t>288 311</w:t>
            </w:r>
          </w:p>
        </w:tc>
      </w:tr>
      <w:tr w:rsidR="009A4C46" w:rsidRPr="009A4C46" w14:paraId="5E03223B" w14:textId="77777777" w:rsidTr="0063188C">
        <w:trPr>
          <w:trHeight w:val="237"/>
        </w:trPr>
        <w:tc>
          <w:tcPr>
            <w:tcW w:w="1538" w:type="pct"/>
            <w:tcBorders>
              <w:top w:val="nil"/>
              <w:left w:val="single" w:sz="6" w:space="0" w:color="000000"/>
              <w:bottom w:val="single" w:sz="6" w:space="0" w:color="000000"/>
              <w:right w:val="single" w:sz="6" w:space="0" w:color="000000"/>
            </w:tcBorders>
            <w:shd w:val="clear" w:color="auto" w:fill="auto"/>
            <w:vAlign w:val="center"/>
            <w:hideMark/>
          </w:tcPr>
          <w:p w14:paraId="46BA9BFD" w14:textId="77777777" w:rsidR="009A4C46" w:rsidRPr="009A4C46" w:rsidRDefault="009A4C46" w:rsidP="009A4C46">
            <w:pPr>
              <w:autoSpaceDE w:val="0"/>
              <w:autoSpaceDN w:val="0"/>
              <w:adjustRightInd w:val="0"/>
              <w:spacing w:after="0" w:line="240" w:lineRule="auto"/>
              <w:jc w:val="center"/>
              <w:rPr>
                <w:rFonts w:eastAsia="Times New Roman"/>
                <w:sz w:val="18"/>
                <w:szCs w:val="18"/>
                <w:lang w:eastAsia="ru-RU"/>
              </w:rPr>
            </w:pPr>
            <w:r w:rsidRPr="009A4C46">
              <w:rPr>
                <w:rFonts w:eastAsia="Times New Roman"/>
                <w:sz w:val="18"/>
                <w:szCs w:val="18"/>
                <w:lang w:eastAsia="ru-RU"/>
              </w:rPr>
              <w:t>А2 (быстрореализуемые)</w:t>
            </w:r>
          </w:p>
        </w:tc>
        <w:tc>
          <w:tcPr>
            <w:tcW w:w="847" w:type="pct"/>
            <w:tcBorders>
              <w:top w:val="nil"/>
              <w:left w:val="single" w:sz="8" w:space="0" w:color="auto"/>
              <w:bottom w:val="single" w:sz="8" w:space="0" w:color="000000"/>
              <w:right w:val="single" w:sz="8" w:space="0" w:color="auto"/>
            </w:tcBorders>
            <w:shd w:val="clear" w:color="auto" w:fill="auto"/>
            <w:vAlign w:val="center"/>
            <w:hideMark/>
          </w:tcPr>
          <w:p w14:paraId="7FFF014A" w14:textId="77777777" w:rsidR="009A4C46" w:rsidRPr="009A4C46" w:rsidRDefault="009A4C46" w:rsidP="009A4C46">
            <w:pPr>
              <w:autoSpaceDE w:val="0"/>
              <w:autoSpaceDN w:val="0"/>
              <w:adjustRightInd w:val="0"/>
              <w:spacing w:after="0" w:line="240" w:lineRule="auto"/>
              <w:jc w:val="center"/>
              <w:rPr>
                <w:rFonts w:eastAsia="Times New Roman"/>
                <w:sz w:val="18"/>
                <w:szCs w:val="18"/>
                <w:lang w:eastAsia="ru-RU"/>
              </w:rPr>
            </w:pPr>
            <w:r w:rsidRPr="009A4C46">
              <w:rPr>
                <w:rFonts w:eastAsia="Times New Roman"/>
                <w:sz w:val="18"/>
                <w:szCs w:val="18"/>
                <w:lang w:eastAsia="ru-RU"/>
              </w:rPr>
              <w:t>6 881 083</w:t>
            </w:r>
          </w:p>
        </w:tc>
        <w:tc>
          <w:tcPr>
            <w:tcW w:w="692" w:type="pct"/>
            <w:tcBorders>
              <w:top w:val="nil"/>
              <w:left w:val="nil"/>
              <w:bottom w:val="single" w:sz="6" w:space="0" w:color="000000"/>
              <w:right w:val="single" w:sz="6" w:space="0" w:color="000000"/>
            </w:tcBorders>
            <w:shd w:val="clear" w:color="auto" w:fill="auto"/>
            <w:vAlign w:val="center"/>
          </w:tcPr>
          <w:p w14:paraId="74E15F8D" w14:textId="77777777" w:rsidR="009A4C46" w:rsidRPr="009A4C46" w:rsidRDefault="009A4C46" w:rsidP="009A4C46">
            <w:pPr>
              <w:autoSpaceDE w:val="0"/>
              <w:autoSpaceDN w:val="0"/>
              <w:adjustRightInd w:val="0"/>
              <w:spacing w:after="0" w:line="240" w:lineRule="auto"/>
              <w:jc w:val="center"/>
              <w:rPr>
                <w:rFonts w:eastAsia="Times New Roman"/>
                <w:sz w:val="18"/>
                <w:szCs w:val="18"/>
                <w:lang w:eastAsia="ru-RU"/>
              </w:rPr>
            </w:pPr>
            <w:r w:rsidRPr="009A4C46">
              <w:rPr>
                <w:rFonts w:eastAsia="Times New Roman"/>
                <w:sz w:val="18"/>
                <w:szCs w:val="18"/>
                <w:lang w:eastAsia="ru-RU"/>
              </w:rPr>
              <w:t>&lt;</w:t>
            </w:r>
          </w:p>
        </w:tc>
        <w:tc>
          <w:tcPr>
            <w:tcW w:w="1154" w:type="pct"/>
            <w:tcBorders>
              <w:top w:val="nil"/>
              <w:left w:val="nil"/>
              <w:bottom w:val="single" w:sz="6" w:space="0" w:color="000000"/>
              <w:right w:val="single" w:sz="6" w:space="0" w:color="000000"/>
            </w:tcBorders>
            <w:shd w:val="clear" w:color="auto" w:fill="auto"/>
            <w:vAlign w:val="center"/>
            <w:hideMark/>
          </w:tcPr>
          <w:p w14:paraId="051BA52E" w14:textId="77777777" w:rsidR="009A4C46" w:rsidRPr="009A4C46" w:rsidRDefault="009A4C46" w:rsidP="009A4C46">
            <w:pPr>
              <w:autoSpaceDE w:val="0"/>
              <w:autoSpaceDN w:val="0"/>
              <w:adjustRightInd w:val="0"/>
              <w:spacing w:after="0" w:line="240" w:lineRule="auto"/>
              <w:jc w:val="center"/>
              <w:rPr>
                <w:rFonts w:eastAsia="Times New Roman"/>
                <w:sz w:val="18"/>
                <w:szCs w:val="18"/>
                <w:lang w:eastAsia="ru-RU"/>
              </w:rPr>
            </w:pPr>
            <w:r w:rsidRPr="009A4C46">
              <w:rPr>
                <w:rFonts w:eastAsia="Times New Roman"/>
                <w:sz w:val="18"/>
                <w:szCs w:val="18"/>
                <w:lang w:eastAsia="ru-RU"/>
              </w:rPr>
              <w:t>Р 2 (краткосрочные)</w:t>
            </w:r>
          </w:p>
        </w:tc>
        <w:tc>
          <w:tcPr>
            <w:tcW w:w="769" w:type="pct"/>
            <w:tcBorders>
              <w:top w:val="nil"/>
              <w:left w:val="single" w:sz="8" w:space="0" w:color="auto"/>
              <w:bottom w:val="single" w:sz="8" w:space="0" w:color="000000"/>
              <w:right w:val="single" w:sz="8" w:space="0" w:color="auto"/>
            </w:tcBorders>
            <w:shd w:val="clear" w:color="auto" w:fill="auto"/>
            <w:vAlign w:val="center"/>
            <w:hideMark/>
          </w:tcPr>
          <w:p w14:paraId="109C7A0E" w14:textId="77777777" w:rsidR="009A4C46" w:rsidRPr="009A4C46" w:rsidRDefault="009A4C46" w:rsidP="009A4C46">
            <w:pPr>
              <w:autoSpaceDE w:val="0"/>
              <w:autoSpaceDN w:val="0"/>
              <w:adjustRightInd w:val="0"/>
              <w:spacing w:after="0" w:line="240" w:lineRule="auto"/>
              <w:jc w:val="center"/>
              <w:rPr>
                <w:rFonts w:eastAsia="Times New Roman"/>
                <w:sz w:val="18"/>
                <w:szCs w:val="18"/>
                <w:lang w:eastAsia="ru-RU"/>
              </w:rPr>
            </w:pPr>
            <w:r w:rsidRPr="009A4C46">
              <w:rPr>
                <w:rFonts w:eastAsia="Times New Roman"/>
                <w:sz w:val="18"/>
                <w:szCs w:val="18"/>
                <w:lang w:eastAsia="ru-RU"/>
              </w:rPr>
              <w:t>8 212 382</w:t>
            </w:r>
          </w:p>
        </w:tc>
      </w:tr>
      <w:tr w:rsidR="009A4C46" w:rsidRPr="009A4C46" w14:paraId="12BECBE1" w14:textId="77777777" w:rsidTr="0063188C">
        <w:trPr>
          <w:trHeight w:val="128"/>
        </w:trPr>
        <w:tc>
          <w:tcPr>
            <w:tcW w:w="1538" w:type="pct"/>
            <w:tcBorders>
              <w:top w:val="nil"/>
              <w:left w:val="single" w:sz="6" w:space="0" w:color="000000"/>
              <w:bottom w:val="single" w:sz="6" w:space="0" w:color="000000"/>
              <w:right w:val="single" w:sz="6" w:space="0" w:color="000000"/>
            </w:tcBorders>
            <w:shd w:val="clear" w:color="auto" w:fill="auto"/>
            <w:vAlign w:val="center"/>
            <w:hideMark/>
          </w:tcPr>
          <w:p w14:paraId="394525A6" w14:textId="77777777" w:rsidR="009A4C46" w:rsidRPr="009A4C46" w:rsidRDefault="009A4C46" w:rsidP="009A4C46">
            <w:pPr>
              <w:autoSpaceDE w:val="0"/>
              <w:autoSpaceDN w:val="0"/>
              <w:adjustRightInd w:val="0"/>
              <w:spacing w:after="0" w:line="240" w:lineRule="auto"/>
              <w:jc w:val="center"/>
              <w:rPr>
                <w:rFonts w:eastAsia="Times New Roman"/>
                <w:sz w:val="18"/>
                <w:szCs w:val="18"/>
                <w:lang w:eastAsia="ru-RU"/>
              </w:rPr>
            </w:pPr>
            <w:r w:rsidRPr="009A4C46">
              <w:rPr>
                <w:rFonts w:eastAsia="Times New Roman"/>
                <w:sz w:val="18"/>
                <w:szCs w:val="18"/>
                <w:lang w:eastAsia="ru-RU"/>
              </w:rPr>
              <w:t>А3 (медленно реализуемые)</w:t>
            </w:r>
          </w:p>
        </w:tc>
        <w:tc>
          <w:tcPr>
            <w:tcW w:w="847" w:type="pct"/>
            <w:tcBorders>
              <w:top w:val="nil"/>
              <w:left w:val="single" w:sz="8" w:space="0" w:color="auto"/>
              <w:bottom w:val="single" w:sz="8" w:space="0" w:color="000000"/>
              <w:right w:val="single" w:sz="8" w:space="0" w:color="auto"/>
            </w:tcBorders>
            <w:shd w:val="clear" w:color="auto" w:fill="auto"/>
            <w:vAlign w:val="center"/>
            <w:hideMark/>
          </w:tcPr>
          <w:p w14:paraId="2CC22095" w14:textId="77777777" w:rsidR="009A4C46" w:rsidRPr="009A4C46" w:rsidRDefault="009A4C46" w:rsidP="009A4C46">
            <w:pPr>
              <w:autoSpaceDE w:val="0"/>
              <w:autoSpaceDN w:val="0"/>
              <w:adjustRightInd w:val="0"/>
              <w:spacing w:after="0" w:line="240" w:lineRule="auto"/>
              <w:jc w:val="center"/>
              <w:rPr>
                <w:rFonts w:eastAsia="Times New Roman"/>
                <w:sz w:val="18"/>
                <w:szCs w:val="18"/>
                <w:lang w:eastAsia="ru-RU"/>
              </w:rPr>
            </w:pPr>
            <w:r w:rsidRPr="009A4C46">
              <w:rPr>
                <w:rFonts w:eastAsia="Times New Roman"/>
                <w:sz w:val="18"/>
                <w:szCs w:val="18"/>
                <w:lang w:eastAsia="ru-RU"/>
              </w:rPr>
              <w:t>183 784</w:t>
            </w:r>
          </w:p>
        </w:tc>
        <w:tc>
          <w:tcPr>
            <w:tcW w:w="692" w:type="pct"/>
            <w:tcBorders>
              <w:top w:val="nil"/>
              <w:left w:val="nil"/>
              <w:bottom w:val="single" w:sz="6" w:space="0" w:color="000000"/>
              <w:right w:val="single" w:sz="6" w:space="0" w:color="000000"/>
            </w:tcBorders>
            <w:shd w:val="clear" w:color="auto" w:fill="auto"/>
            <w:vAlign w:val="center"/>
          </w:tcPr>
          <w:p w14:paraId="2E68AE59" w14:textId="77777777" w:rsidR="009A4C46" w:rsidRPr="009A4C46" w:rsidRDefault="009A4C46" w:rsidP="009A4C46">
            <w:pPr>
              <w:autoSpaceDE w:val="0"/>
              <w:autoSpaceDN w:val="0"/>
              <w:adjustRightInd w:val="0"/>
              <w:spacing w:after="0" w:line="240" w:lineRule="auto"/>
              <w:jc w:val="center"/>
              <w:rPr>
                <w:rFonts w:eastAsia="Times New Roman"/>
                <w:sz w:val="18"/>
                <w:szCs w:val="18"/>
                <w:lang w:eastAsia="ru-RU"/>
              </w:rPr>
            </w:pPr>
            <w:r w:rsidRPr="009A4C46">
              <w:rPr>
                <w:rFonts w:eastAsia="Times New Roman"/>
                <w:sz w:val="18"/>
                <w:szCs w:val="18"/>
                <w:lang w:eastAsia="ru-RU"/>
              </w:rPr>
              <w:t>&gt;</w:t>
            </w:r>
          </w:p>
        </w:tc>
        <w:tc>
          <w:tcPr>
            <w:tcW w:w="1154" w:type="pct"/>
            <w:tcBorders>
              <w:top w:val="nil"/>
              <w:left w:val="nil"/>
              <w:bottom w:val="single" w:sz="6" w:space="0" w:color="000000"/>
              <w:right w:val="single" w:sz="6" w:space="0" w:color="000000"/>
            </w:tcBorders>
            <w:shd w:val="clear" w:color="auto" w:fill="auto"/>
            <w:vAlign w:val="center"/>
            <w:hideMark/>
          </w:tcPr>
          <w:p w14:paraId="00F56B58" w14:textId="77777777" w:rsidR="009A4C46" w:rsidRPr="009A4C46" w:rsidRDefault="009A4C46" w:rsidP="009A4C46">
            <w:pPr>
              <w:autoSpaceDE w:val="0"/>
              <w:autoSpaceDN w:val="0"/>
              <w:adjustRightInd w:val="0"/>
              <w:spacing w:after="0" w:line="240" w:lineRule="auto"/>
              <w:jc w:val="center"/>
              <w:rPr>
                <w:rFonts w:eastAsia="Times New Roman"/>
                <w:sz w:val="18"/>
                <w:szCs w:val="18"/>
                <w:lang w:eastAsia="ru-RU"/>
              </w:rPr>
            </w:pPr>
            <w:r w:rsidRPr="009A4C46">
              <w:rPr>
                <w:rFonts w:eastAsia="Times New Roman"/>
                <w:sz w:val="18"/>
                <w:szCs w:val="18"/>
                <w:lang w:eastAsia="ru-RU"/>
              </w:rPr>
              <w:t>Р 3 (долгосрочные)</w:t>
            </w:r>
          </w:p>
        </w:tc>
        <w:tc>
          <w:tcPr>
            <w:tcW w:w="769" w:type="pct"/>
            <w:tcBorders>
              <w:top w:val="nil"/>
              <w:left w:val="single" w:sz="8" w:space="0" w:color="auto"/>
              <w:bottom w:val="single" w:sz="8" w:space="0" w:color="000000"/>
              <w:right w:val="single" w:sz="8" w:space="0" w:color="auto"/>
            </w:tcBorders>
            <w:shd w:val="clear" w:color="auto" w:fill="auto"/>
            <w:vAlign w:val="center"/>
            <w:hideMark/>
          </w:tcPr>
          <w:p w14:paraId="6223CEBB" w14:textId="77777777" w:rsidR="009A4C46" w:rsidRPr="009A4C46" w:rsidRDefault="009A4C46" w:rsidP="009A4C46">
            <w:pPr>
              <w:autoSpaceDE w:val="0"/>
              <w:autoSpaceDN w:val="0"/>
              <w:adjustRightInd w:val="0"/>
              <w:spacing w:after="0" w:line="240" w:lineRule="auto"/>
              <w:jc w:val="center"/>
              <w:rPr>
                <w:rFonts w:eastAsia="Times New Roman"/>
                <w:sz w:val="18"/>
                <w:szCs w:val="18"/>
                <w:lang w:eastAsia="ru-RU"/>
              </w:rPr>
            </w:pPr>
            <w:r w:rsidRPr="009A4C46">
              <w:rPr>
                <w:rFonts w:eastAsia="Times New Roman"/>
                <w:sz w:val="18"/>
                <w:szCs w:val="18"/>
                <w:lang w:eastAsia="ru-RU"/>
              </w:rPr>
              <w:t>80 283</w:t>
            </w:r>
          </w:p>
        </w:tc>
      </w:tr>
      <w:tr w:rsidR="009A4C46" w:rsidRPr="009A4C46" w14:paraId="46091E5F" w14:textId="77777777" w:rsidTr="0063188C">
        <w:trPr>
          <w:trHeight w:val="187"/>
        </w:trPr>
        <w:tc>
          <w:tcPr>
            <w:tcW w:w="1538" w:type="pct"/>
            <w:tcBorders>
              <w:top w:val="nil"/>
              <w:left w:val="single" w:sz="6" w:space="0" w:color="000000"/>
              <w:bottom w:val="single" w:sz="6" w:space="0" w:color="000000"/>
              <w:right w:val="single" w:sz="6" w:space="0" w:color="000000"/>
            </w:tcBorders>
            <w:shd w:val="clear" w:color="auto" w:fill="auto"/>
            <w:vAlign w:val="center"/>
            <w:hideMark/>
          </w:tcPr>
          <w:p w14:paraId="3CA043EA" w14:textId="77777777" w:rsidR="009A4C46" w:rsidRPr="009A4C46" w:rsidRDefault="009A4C46" w:rsidP="009A4C46">
            <w:pPr>
              <w:autoSpaceDE w:val="0"/>
              <w:autoSpaceDN w:val="0"/>
              <w:adjustRightInd w:val="0"/>
              <w:spacing w:after="0" w:line="240" w:lineRule="auto"/>
              <w:jc w:val="center"/>
              <w:rPr>
                <w:rFonts w:eastAsia="Times New Roman"/>
                <w:sz w:val="18"/>
                <w:szCs w:val="18"/>
                <w:lang w:eastAsia="ru-RU"/>
              </w:rPr>
            </w:pPr>
            <w:r w:rsidRPr="009A4C46">
              <w:rPr>
                <w:rFonts w:eastAsia="Times New Roman"/>
                <w:sz w:val="18"/>
                <w:szCs w:val="18"/>
                <w:lang w:eastAsia="ru-RU"/>
              </w:rPr>
              <w:t>А4 (труднореализуемые)</w:t>
            </w:r>
          </w:p>
        </w:tc>
        <w:tc>
          <w:tcPr>
            <w:tcW w:w="847" w:type="pct"/>
            <w:tcBorders>
              <w:top w:val="nil"/>
              <w:left w:val="single" w:sz="8" w:space="0" w:color="auto"/>
              <w:bottom w:val="single" w:sz="8" w:space="0" w:color="000000"/>
              <w:right w:val="single" w:sz="8" w:space="0" w:color="auto"/>
            </w:tcBorders>
            <w:shd w:val="clear" w:color="auto" w:fill="auto"/>
            <w:vAlign w:val="center"/>
            <w:hideMark/>
          </w:tcPr>
          <w:p w14:paraId="6B5A454B" w14:textId="77777777" w:rsidR="009A4C46" w:rsidRPr="009A4C46" w:rsidRDefault="009A4C46" w:rsidP="009A4C46">
            <w:pPr>
              <w:autoSpaceDE w:val="0"/>
              <w:autoSpaceDN w:val="0"/>
              <w:adjustRightInd w:val="0"/>
              <w:spacing w:after="0" w:line="240" w:lineRule="auto"/>
              <w:jc w:val="center"/>
              <w:rPr>
                <w:rFonts w:eastAsia="Times New Roman"/>
                <w:sz w:val="18"/>
                <w:szCs w:val="18"/>
                <w:lang w:eastAsia="ru-RU"/>
              </w:rPr>
            </w:pPr>
            <w:r w:rsidRPr="009A4C46">
              <w:rPr>
                <w:rFonts w:eastAsia="Times New Roman"/>
                <w:sz w:val="18"/>
                <w:szCs w:val="18"/>
                <w:lang w:eastAsia="ru-RU"/>
              </w:rPr>
              <w:t>47 561 031</w:t>
            </w:r>
          </w:p>
        </w:tc>
        <w:tc>
          <w:tcPr>
            <w:tcW w:w="692" w:type="pct"/>
            <w:tcBorders>
              <w:top w:val="nil"/>
              <w:left w:val="nil"/>
              <w:bottom w:val="single" w:sz="6" w:space="0" w:color="000000"/>
              <w:right w:val="single" w:sz="6" w:space="0" w:color="000000"/>
            </w:tcBorders>
            <w:shd w:val="clear" w:color="auto" w:fill="auto"/>
            <w:vAlign w:val="center"/>
          </w:tcPr>
          <w:p w14:paraId="01212D8F" w14:textId="77777777" w:rsidR="009A4C46" w:rsidRPr="009A4C46" w:rsidRDefault="009A4C46" w:rsidP="009A4C46">
            <w:pPr>
              <w:autoSpaceDE w:val="0"/>
              <w:autoSpaceDN w:val="0"/>
              <w:adjustRightInd w:val="0"/>
              <w:spacing w:after="0" w:line="240" w:lineRule="auto"/>
              <w:jc w:val="center"/>
              <w:rPr>
                <w:rFonts w:eastAsia="Times New Roman"/>
                <w:sz w:val="18"/>
                <w:szCs w:val="18"/>
                <w:lang w:eastAsia="ru-RU"/>
              </w:rPr>
            </w:pPr>
            <w:r w:rsidRPr="009A4C46">
              <w:rPr>
                <w:rFonts w:eastAsia="Times New Roman"/>
                <w:sz w:val="18"/>
                <w:szCs w:val="18"/>
                <w:lang w:eastAsia="ru-RU"/>
              </w:rPr>
              <w:t>&gt;</w:t>
            </w:r>
          </w:p>
        </w:tc>
        <w:tc>
          <w:tcPr>
            <w:tcW w:w="1154" w:type="pct"/>
            <w:tcBorders>
              <w:top w:val="nil"/>
              <w:left w:val="nil"/>
              <w:bottom w:val="single" w:sz="6" w:space="0" w:color="000000"/>
              <w:right w:val="single" w:sz="6" w:space="0" w:color="000000"/>
            </w:tcBorders>
            <w:shd w:val="clear" w:color="auto" w:fill="auto"/>
            <w:vAlign w:val="center"/>
            <w:hideMark/>
          </w:tcPr>
          <w:p w14:paraId="70DD7C38" w14:textId="77777777" w:rsidR="009A4C46" w:rsidRPr="009A4C46" w:rsidRDefault="009A4C46" w:rsidP="009A4C46">
            <w:pPr>
              <w:autoSpaceDE w:val="0"/>
              <w:autoSpaceDN w:val="0"/>
              <w:adjustRightInd w:val="0"/>
              <w:spacing w:after="0" w:line="240" w:lineRule="auto"/>
              <w:jc w:val="center"/>
              <w:rPr>
                <w:rFonts w:eastAsia="Times New Roman"/>
                <w:sz w:val="18"/>
                <w:szCs w:val="18"/>
                <w:lang w:eastAsia="ru-RU"/>
              </w:rPr>
            </w:pPr>
            <w:r w:rsidRPr="009A4C46">
              <w:rPr>
                <w:rFonts w:eastAsia="Times New Roman"/>
                <w:sz w:val="18"/>
                <w:szCs w:val="18"/>
                <w:lang w:eastAsia="ru-RU"/>
              </w:rPr>
              <w:t>Р 4 (постоянные)</w:t>
            </w:r>
          </w:p>
        </w:tc>
        <w:tc>
          <w:tcPr>
            <w:tcW w:w="769" w:type="pct"/>
            <w:tcBorders>
              <w:top w:val="nil"/>
              <w:left w:val="single" w:sz="8" w:space="0" w:color="auto"/>
              <w:bottom w:val="single" w:sz="8" w:space="0" w:color="000000"/>
              <w:right w:val="single" w:sz="8" w:space="0" w:color="auto"/>
            </w:tcBorders>
            <w:shd w:val="clear" w:color="auto" w:fill="auto"/>
            <w:vAlign w:val="center"/>
            <w:hideMark/>
          </w:tcPr>
          <w:p w14:paraId="7BF3762A" w14:textId="77777777" w:rsidR="009A4C46" w:rsidRPr="009A4C46" w:rsidRDefault="009A4C46" w:rsidP="009A4C46">
            <w:pPr>
              <w:autoSpaceDE w:val="0"/>
              <w:autoSpaceDN w:val="0"/>
              <w:adjustRightInd w:val="0"/>
              <w:spacing w:after="0" w:line="240" w:lineRule="auto"/>
              <w:jc w:val="center"/>
              <w:rPr>
                <w:rFonts w:eastAsia="Times New Roman"/>
                <w:sz w:val="18"/>
                <w:szCs w:val="18"/>
                <w:lang w:eastAsia="ru-RU"/>
              </w:rPr>
            </w:pPr>
            <w:r w:rsidRPr="009A4C46">
              <w:rPr>
                <w:rFonts w:eastAsia="Times New Roman"/>
                <w:sz w:val="18"/>
                <w:szCs w:val="18"/>
                <w:lang w:eastAsia="ru-RU"/>
              </w:rPr>
              <w:t>25 728 585</w:t>
            </w:r>
          </w:p>
        </w:tc>
      </w:tr>
    </w:tbl>
    <w:p w14:paraId="161F0AF1" w14:textId="77777777" w:rsidR="00A4365C" w:rsidRDefault="00A4365C" w:rsidP="00A4365C">
      <w:pPr>
        <w:autoSpaceDE w:val="0"/>
        <w:autoSpaceDN w:val="0"/>
        <w:adjustRightInd w:val="0"/>
        <w:spacing w:after="0" w:line="360" w:lineRule="auto"/>
        <w:ind w:firstLine="708"/>
        <w:jc w:val="both"/>
        <w:rPr>
          <w:rFonts w:eastAsia="Times New Roman"/>
          <w:color w:val="000000"/>
          <w:sz w:val="26"/>
          <w:szCs w:val="26"/>
          <w:lang w:eastAsia="ru-RU"/>
        </w:rPr>
      </w:pPr>
    </w:p>
    <w:p w14:paraId="66DEF8C1" w14:textId="6FF14633" w:rsidR="009A4C46" w:rsidRPr="00F94FED" w:rsidRDefault="009A4C46" w:rsidP="00F94FED">
      <w:pPr>
        <w:autoSpaceDE w:val="0"/>
        <w:autoSpaceDN w:val="0"/>
        <w:adjustRightInd w:val="0"/>
        <w:spacing w:after="0" w:line="360" w:lineRule="auto"/>
        <w:ind w:firstLine="567"/>
        <w:jc w:val="both"/>
        <w:rPr>
          <w:rFonts w:eastAsia="Times New Roman"/>
          <w:color w:val="000000"/>
          <w:sz w:val="26"/>
          <w:szCs w:val="26"/>
          <w:lang w:eastAsia="ru-RU"/>
        </w:rPr>
      </w:pPr>
      <w:r w:rsidRPr="00F94FED">
        <w:rPr>
          <w:rFonts w:eastAsia="Times New Roman"/>
          <w:color w:val="000000"/>
          <w:sz w:val="26"/>
          <w:szCs w:val="26"/>
          <w:lang w:eastAsia="ru-RU"/>
        </w:rPr>
        <w:t>Проверка выполнения правил ликвидности:</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5"/>
        <w:gridCol w:w="3116"/>
        <w:gridCol w:w="3114"/>
      </w:tblGrid>
      <w:tr w:rsidR="009A4C46" w:rsidRPr="009A4C46" w14:paraId="3E002877" w14:textId="77777777" w:rsidTr="00F94FED">
        <w:trPr>
          <w:trHeight w:val="229"/>
        </w:trPr>
        <w:tc>
          <w:tcPr>
            <w:tcW w:w="166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2F9E094" w14:textId="77777777" w:rsidR="009A4C46" w:rsidRPr="00F94FED" w:rsidRDefault="009A4C46" w:rsidP="009A4C46">
            <w:pPr>
              <w:autoSpaceDE w:val="0"/>
              <w:autoSpaceDN w:val="0"/>
              <w:adjustRightInd w:val="0"/>
              <w:spacing w:after="0" w:line="240" w:lineRule="auto"/>
              <w:jc w:val="center"/>
              <w:rPr>
                <w:rFonts w:eastAsia="Times New Roman"/>
                <w:b/>
                <w:bCs/>
                <w:color w:val="FFFFFF" w:themeColor="background1"/>
                <w:sz w:val="18"/>
                <w:szCs w:val="18"/>
                <w:lang w:eastAsia="ru-RU"/>
              </w:rPr>
            </w:pPr>
            <w:r w:rsidRPr="00F94FED">
              <w:rPr>
                <w:rFonts w:eastAsia="Times New Roman"/>
                <w:b/>
                <w:bCs/>
                <w:color w:val="FFFFFF" w:themeColor="background1"/>
                <w:sz w:val="18"/>
                <w:szCs w:val="18"/>
                <w:lang w:eastAsia="ru-RU"/>
              </w:rPr>
              <w:t>Условие</w:t>
            </w:r>
          </w:p>
        </w:tc>
        <w:tc>
          <w:tcPr>
            <w:tcW w:w="166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72946CA" w14:textId="77777777" w:rsidR="009A4C46" w:rsidRPr="00F94FED" w:rsidRDefault="009A4C46" w:rsidP="009A4C46">
            <w:pPr>
              <w:autoSpaceDE w:val="0"/>
              <w:autoSpaceDN w:val="0"/>
              <w:adjustRightInd w:val="0"/>
              <w:spacing w:after="0" w:line="240" w:lineRule="auto"/>
              <w:jc w:val="center"/>
              <w:rPr>
                <w:rFonts w:eastAsia="Times New Roman"/>
                <w:b/>
                <w:bCs/>
                <w:color w:val="FFFFFF" w:themeColor="background1"/>
                <w:sz w:val="18"/>
                <w:szCs w:val="18"/>
                <w:lang w:eastAsia="ru-RU"/>
              </w:rPr>
            </w:pPr>
            <w:smartTag w:uri="urn:schemas-microsoft-com:office:smarttags" w:element="metricconverter">
              <w:smartTagPr>
                <w:attr w:name="ProductID" w:val="2018 г"/>
              </w:smartTagPr>
              <w:r w:rsidRPr="00F94FED">
                <w:rPr>
                  <w:rFonts w:eastAsia="Times New Roman"/>
                  <w:b/>
                  <w:bCs/>
                  <w:color w:val="FFFFFF" w:themeColor="background1"/>
                  <w:sz w:val="18"/>
                  <w:szCs w:val="18"/>
                  <w:lang w:eastAsia="ru-RU"/>
                </w:rPr>
                <w:t>2018 год</w:t>
              </w:r>
            </w:smartTag>
          </w:p>
        </w:tc>
        <w:tc>
          <w:tcPr>
            <w:tcW w:w="166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58D6FA1" w14:textId="77777777" w:rsidR="009A4C46" w:rsidRPr="00F94FED" w:rsidRDefault="009A4C46" w:rsidP="009A4C46">
            <w:pPr>
              <w:autoSpaceDE w:val="0"/>
              <w:autoSpaceDN w:val="0"/>
              <w:adjustRightInd w:val="0"/>
              <w:spacing w:after="0" w:line="240" w:lineRule="auto"/>
              <w:jc w:val="center"/>
              <w:rPr>
                <w:rFonts w:eastAsia="Times New Roman"/>
                <w:b/>
                <w:bCs/>
                <w:color w:val="FFFFFF" w:themeColor="background1"/>
                <w:sz w:val="18"/>
                <w:szCs w:val="18"/>
                <w:lang w:eastAsia="ru-RU"/>
              </w:rPr>
            </w:pPr>
            <w:smartTag w:uri="urn:schemas-microsoft-com:office:smarttags" w:element="metricconverter">
              <w:smartTagPr>
                <w:attr w:name="ProductID" w:val="2017 г"/>
              </w:smartTagPr>
              <w:r w:rsidRPr="00F94FED">
                <w:rPr>
                  <w:rFonts w:eastAsia="Times New Roman"/>
                  <w:b/>
                  <w:bCs/>
                  <w:color w:val="FFFFFF" w:themeColor="background1"/>
                  <w:sz w:val="18"/>
                  <w:szCs w:val="18"/>
                  <w:lang w:eastAsia="ru-RU"/>
                </w:rPr>
                <w:t>2017 Год</w:t>
              </w:r>
            </w:smartTag>
          </w:p>
        </w:tc>
      </w:tr>
      <w:tr w:rsidR="009A4C46" w:rsidRPr="009A4C46" w14:paraId="551252BB" w14:textId="77777777" w:rsidTr="00F94FED">
        <w:trPr>
          <w:trHeight w:val="156"/>
        </w:trPr>
        <w:tc>
          <w:tcPr>
            <w:tcW w:w="1667" w:type="pct"/>
            <w:tcBorders>
              <w:top w:val="single" w:sz="4" w:space="0" w:color="FFFFFF" w:themeColor="background1"/>
            </w:tcBorders>
            <w:shd w:val="clear" w:color="auto" w:fill="auto"/>
            <w:vAlign w:val="center"/>
            <w:hideMark/>
          </w:tcPr>
          <w:p w14:paraId="271D20D1" w14:textId="77777777" w:rsidR="009A4C46" w:rsidRPr="009A4C46" w:rsidRDefault="009A4C46" w:rsidP="009A4C46">
            <w:pPr>
              <w:autoSpaceDE w:val="0"/>
              <w:autoSpaceDN w:val="0"/>
              <w:adjustRightInd w:val="0"/>
              <w:spacing w:after="0" w:line="240" w:lineRule="auto"/>
              <w:jc w:val="center"/>
              <w:rPr>
                <w:rFonts w:eastAsia="Times New Roman"/>
                <w:sz w:val="18"/>
                <w:szCs w:val="18"/>
                <w:lang w:val="en-US" w:eastAsia="ru-RU"/>
              </w:rPr>
            </w:pPr>
            <w:r w:rsidRPr="009A4C46">
              <w:rPr>
                <w:rFonts w:eastAsia="Times New Roman"/>
                <w:sz w:val="18"/>
                <w:szCs w:val="18"/>
                <w:lang w:eastAsia="ru-RU"/>
              </w:rPr>
              <w:t>А</w:t>
            </w:r>
            <w:r w:rsidRPr="009A4C46">
              <w:rPr>
                <w:rFonts w:eastAsia="Times New Roman"/>
                <w:sz w:val="18"/>
                <w:szCs w:val="18"/>
                <w:lang w:val="en-US" w:eastAsia="ru-RU"/>
              </w:rPr>
              <w:t>1&gt;=P1</w:t>
            </w:r>
          </w:p>
        </w:tc>
        <w:tc>
          <w:tcPr>
            <w:tcW w:w="1667" w:type="pct"/>
            <w:tcBorders>
              <w:top w:val="single" w:sz="4" w:space="0" w:color="FFFFFF" w:themeColor="background1"/>
            </w:tcBorders>
            <w:shd w:val="clear" w:color="auto" w:fill="auto"/>
            <w:vAlign w:val="center"/>
            <w:hideMark/>
          </w:tcPr>
          <w:p w14:paraId="2380C59F" w14:textId="77777777" w:rsidR="009A4C46" w:rsidRPr="009A4C46" w:rsidRDefault="009A4C46" w:rsidP="009A4C46">
            <w:pPr>
              <w:autoSpaceDE w:val="0"/>
              <w:autoSpaceDN w:val="0"/>
              <w:adjustRightInd w:val="0"/>
              <w:spacing w:after="0" w:line="240" w:lineRule="auto"/>
              <w:jc w:val="center"/>
              <w:rPr>
                <w:rFonts w:eastAsia="Times New Roman"/>
                <w:sz w:val="18"/>
                <w:szCs w:val="18"/>
                <w:lang w:val="en-US" w:eastAsia="ru-RU"/>
              </w:rPr>
            </w:pPr>
            <w:r w:rsidRPr="009A4C46">
              <w:rPr>
                <w:rFonts w:eastAsia="Times New Roman"/>
                <w:sz w:val="18"/>
                <w:szCs w:val="18"/>
                <w:lang w:val="en-US" w:eastAsia="ru-RU"/>
              </w:rPr>
              <w:t>-</w:t>
            </w:r>
          </w:p>
        </w:tc>
        <w:tc>
          <w:tcPr>
            <w:tcW w:w="1666" w:type="pct"/>
            <w:tcBorders>
              <w:top w:val="single" w:sz="4" w:space="0" w:color="FFFFFF" w:themeColor="background1"/>
            </w:tcBorders>
            <w:shd w:val="clear" w:color="auto" w:fill="auto"/>
            <w:vAlign w:val="center"/>
            <w:hideMark/>
          </w:tcPr>
          <w:p w14:paraId="1E2A3A7B" w14:textId="77777777" w:rsidR="009A4C46" w:rsidRPr="009A4C46" w:rsidRDefault="009A4C46" w:rsidP="009A4C46">
            <w:pPr>
              <w:autoSpaceDE w:val="0"/>
              <w:autoSpaceDN w:val="0"/>
              <w:adjustRightInd w:val="0"/>
              <w:spacing w:after="0" w:line="240" w:lineRule="auto"/>
              <w:jc w:val="center"/>
              <w:rPr>
                <w:rFonts w:eastAsia="Times New Roman"/>
                <w:sz w:val="18"/>
                <w:szCs w:val="18"/>
                <w:lang w:val="en-US" w:eastAsia="ru-RU"/>
              </w:rPr>
            </w:pPr>
            <w:r w:rsidRPr="009A4C46">
              <w:rPr>
                <w:rFonts w:eastAsia="Times New Roman"/>
                <w:sz w:val="18"/>
                <w:szCs w:val="18"/>
                <w:lang w:val="en-US" w:eastAsia="ru-RU"/>
              </w:rPr>
              <w:t>-</w:t>
            </w:r>
          </w:p>
        </w:tc>
      </w:tr>
      <w:tr w:rsidR="009A4C46" w:rsidRPr="009A4C46" w14:paraId="6924A1B8" w14:textId="77777777" w:rsidTr="0063188C">
        <w:trPr>
          <w:trHeight w:val="315"/>
        </w:trPr>
        <w:tc>
          <w:tcPr>
            <w:tcW w:w="1667" w:type="pct"/>
            <w:shd w:val="clear" w:color="auto" w:fill="auto"/>
            <w:vAlign w:val="center"/>
            <w:hideMark/>
          </w:tcPr>
          <w:p w14:paraId="3AFCA5CD" w14:textId="77777777" w:rsidR="009A4C46" w:rsidRPr="009A4C46" w:rsidRDefault="009A4C46" w:rsidP="009A4C46">
            <w:pPr>
              <w:autoSpaceDE w:val="0"/>
              <w:autoSpaceDN w:val="0"/>
              <w:adjustRightInd w:val="0"/>
              <w:spacing w:after="0" w:line="240" w:lineRule="auto"/>
              <w:jc w:val="center"/>
              <w:rPr>
                <w:rFonts w:eastAsia="Times New Roman"/>
                <w:sz w:val="18"/>
                <w:szCs w:val="18"/>
                <w:lang w:eastAsia="ru-RU"/>
              </w:rPr>
            </w:pPr>
            <w:r w:rsidRPr="009A4C46">
              <w:rPr>
                <w:rFonts w:eastAsia="Times New Roman"/>
                <w:sz w:val="18"/>
                <w:szCs w:val="18"/>
                <w:lang w:eastAsia="ru-RU"/>
              </w:rPr>
              <w:t>А2&gt;=P2</w:t>
            </w:r>
          </w:p>
        </w:tc>
        <w:tc>
          <w:tcPr>
            <w:tcW w:w="1667" w:type="pct"/>
            <w:shd w:val="clear" w:color="auto" w:fill="auto"/>
            <w:vAlign w:val="center"/>
            <w:hideMark/>
          </w:tcPr>
          <w:p w14:paraId="09718976" w14:textId="77777777" w:rsidR="009A4C46" w:rsidRPr="009A4C46" w:rsidRDefault="009A4C46" w:rsidP="009A4C46">
            <w:pPr>
              <w:autoSpaceDE w:val="0"/>
              <w:autoSpaceDN w:val="0"/>
              <w:adjustRightInd w:val="0"/>
              <w:spacing w:after="0" w:line="240" w:lineRule="auto"/>
              <w:jc w:val="center"/>
              <w:rPr>
                <w:rFonts w:eastAsia="Times New Roman"/>
                <w:sz w:val="18"/>
                <w:szCs w:val="18"/>
                <w:lang w:eastAsia="ru-RU"/>
              </w:rPr>
            </w:pPr>
            <w:r w:rsidRPr="009A4C46">
              <w:rPr>
                <w:rFonts w:eastAsia="Times New Roman"/>
                <w:sz w:val="18"/>
                <w:szCs w:val="18"/>
                <w:lang w:eastAsia="ru-RU"/>
              </w:rPr>
              <w:t>-</w:t>
            </w:r>
          </w:p>
        </w:tc>
        <w:tc>
          <w:tcPr>
            <w:tcW w:w="1666" w:type="pct"/>
            <w:shd w:val="clear" w:color="auto" w:fill="auto"/>
            <w:vAlign w:val="center"/>
            <w:hideMark/>
          </w:tcPr>
          <w:p w14:paraId="63B31B21" w14:textId="77777777" w:rsidR="009A4C46" w:rsidRPr="009A4C46" w:rsidRDefault="009A4C46" w:rsidP="009A4C46">
            <w:pPr>
              <w:autoSpaceDE w:val="0"/>
              <w:autoSpaceDN w:val="0"/>
              <w:adjustRightInd w:val="0"/>
              <w:spacing w:after="0" w:line="240" w:lineRule="auto"/>
              <w:jc w:val="center"/>
              <w:rPr>
                <w:rFonts w:eastAsia="Times New Roman"/>
                <w:sz w:val="18"/>
                <w:szCs w:val="18"/>
                <w:lang w:eastAsia="ru-RU"/>
              </w:rPr>
            </w:pPr>
            <w:r w:rsidRPr="009A4C46">
              <w:rPr>
                <w:rFonts w:eastAsia="Times New Roman"/>
                <w:sz w:val="18"/>
                <w:szCs w:val="18"/>
                <w:lang w:eastAsia="ru-RU"/>
              </w:rPr>
              <w:t>+</w:t>
            </w:r>
          </w:p>
        </w:tc>
      </w:tr>
      <w:tr w:rsidR="009A4C46" w:rsidRPr="009A4C46" w14:paraId="37CF67B9" w14:textId="77777777" w:rsidTr="0063188C">
        <w:trPr>
          <w:trHeight w:val="178"/>
        </w:trPr>
        <w:tc>
          <w:tcPr>
            <w:tcW w:w="1667" w:type="pct"/>
            <w:shd w:val="clear" w:color="auto" w:fill="auto"/>
            <w:vAlign w:val="center"/>
            <w:hideMark/>
          </w:tcPr>
          <w:p w14:paraId="3D5CFCCA" w14:textId="77777777" w:rsidR="009A4C46" w:rsidRPr="009A4C46" w:rsidRDefault="009A4C46" w:rsidP="009A4C46">
            <w:pPr>
              <w:autoSpaceDE w:val="0"/>
              <w:autoSpaceDN w:val="0"/>
              <w:adjustRightInd w:val="0"/>
              <w:spacing w:after="0" w:line="240" w:lineRule="auto"/>
              <w:jc w:val="center"/>
              <w:rPr>
                <w:rFonts w:eastAsia="Times New Roman"/>
                <w:sz w:val="18"/>
                <w:szCs w:val="18"/>
                <w:lang w:eastAsia="ru-RU"/>
              </w:rPr>
            </w:pPr>
            <w:r w:rsidRPr="009A4C46">
              <w:rPr>
                <w:rFonts w:eastAsia="Times New Roman"/>
                <w:sz w:val="18"/>
                <w:szCs w:val="18"/>
                <w:lang w:eastAsia="ru-RU"/>
              </w:rPr>
              <w:t>А3&gt;=P3</w:t>
            </w:r>
          </w:p>
        </w:tc>
        <w:tc>
          <w:tcPr>
            <w:tcW w:w="1667" w:type="pct"/>
            <w:shd w:val="clear" w:color="auto" w:fill="auto"/>
            <w:vAlign w:val="center"/>
            <w:hideMark/>
          </w:tcPr>
          <w:p w14:paraId="335AAF45" w14:textId="77777777" w:rsidR="009A4C46" w:rsidRPr="009A4C46" w:rsidRDefault="009A4C46" w:rsidP="009A4C46">
            <w:pPr>
              <w:autoSpaceDE w:val="0"/>
              <w:autoSpaceDN w:val="0"/>
              <w:adjustRightInd w:val="0"/>
              <w:spacing w:after="0" w:line="240" w:lineRule="auto"/>
              <w:jc w:val="center"/>
              <w:rPr>
                <w:rFonts w:eastAsia="Times New Roman"/>
                <w:sz w:val="18"/>
                <w:szCs w:val="18"/>
                <w:lang w:eastAsia="ru-RU"/>
              </w:rPr>
            </w:pPr>
            <w:r w:rsidRPr="009A4C46">
              <w:rPr>
                <w:rFonts w:eastAsia="Times New Roman"/>
                <w:sz w:val="18"/>
                <w:szCs w:val="18"/>
                <w:lang w:eastAsia="ru-RU"/>
              </w:rPr>
              <w:t>+</w:t>
            </w:r>
          </w:p>
        </w:tc>
        <w:tc>
          <w:tcPr>
            <w:tcW w:w="1666" w:type="pct"/>
            <w:shd w:val="clear" w:color="auto" w:fill="auto"/>
            <w:vAlign w:val="center"/>
            <w:hideMark/>
          </w:tcPr>
          <w:p w14:paraId="3902B465" w14:textId="77777777" w:rsidR="009A4C46" w:rsidRPr="009A4C46" w:rsidRDefault="009A4C46" w:rsidP="009A4C46">
            <w:pPr>
              <w:autoSpaceDE w:val="0"/>
              <w:autoSpaceDN w:val="0"/>
              <w:adjustRightInd w:val="0"/>
              <w:spacing w:after="0" w:line="240" w:lineRule="auto"/>
              <w:jc w:val="center"/>
              <w:rPr>
                <w:rFonts w:eastAsia="Times New Roman"/>
                <w:sz w:val="18"/>
                <w:szCs w:val="18"/>
                <w:lang w:eastAsia="ru-RU"/>
              </w:rPr>
            </w:pPr>
            <w:r w:rsidRPr="009A4C46">
              <w:rPr>
                <w:rFonts w:eastAsia="Times New Roman"/>
                <w:sz w:val="18"/>
                <w:szCs w:val="18"/>
                <w:lang w:eastAsia="ru-RU"/>
              </w:rPr>
              <w:t>+</w:t>
            </w:r>
          </w:p>
        </w:tc>
      </w:tr>
      <w:tr w:rsidR="009A4C46" w:rsidRPr="009A4C46" w14:paraId="31C99927" w14:textId="77777777" w:rsidTr="0063188C">
        <w:trPr>
          <w:trHeight w:val="315"/>
        </w:trPr>
        <w:tc>
          <w:tcPr>
            <w:tcW w:w="1667" w:type="pct"/>
            <w:shd w:val="clear" w:color="auto" w:fill="auto"/>
            <w:vAlign w:val="center"/>
            <w:hideMark/>
          </w:tcPr>
          <w:p w14:paraId="2ACB06AA" w14:textId="77777777" w:rsidR="009A4C46" w:rsidRPr="009A4C46" w:rsidRDefault="009A4C46" w:rsidP="009A4C46">
            <w:pPr>
              <w:autoSpaceDE w:val="0"/>
              <w:autoSpaceDN w:val="0"/>
              <w:adjustRightInd w:val="0"/>
              <w:spacing w:after="0" w:line="240" w:lineRule="auto"/>
              <w:jc w:val="center"/>
              <w:rPr>
                <w:rFonts w:eastAsia="Times New Roman"/>
                <w:sz w:val="18"/>
                <w:szCs w:val="18"/>
                <w:lang w:eastAsia="ru-RU"/>
              </w:rPr>
            </w:pPr>
            <w:r w:rsidRPr="009A4C46">
              <w:rPr>
                <w:rFonts w:eastAsia="Times New Roman"/>
                <w:sz w:val="18"/>
                <w:szCs w:val="18"/>
                <w:lang w:eastAsia="ru-RU"/>
              </w:rPr>
              <w:t>А4&gt;=P4</w:t>
            </w:r>
          </w:p>
        </w:tc>
        <w:tc>
          <w:tcPr>
            <w:tcW w:w="1667" w:type="pct"/>
            <w:shd w:val="clear" w:color="auto" w:fill="auto"/>
            <w:vAlign w:val="center"/>
            <w:hideMark/>
          </w:tcPr>
          <w:p w14:paraId="49CB7529" w14:textId="77777777" w:rsidR="009A4C46" w:rsidRPr="009A4C46" w:rsidRDefault="009A4C46" w:rsidP="009A4C46">
            <w:pPr>
              <w:autoSpaceDE w:val="0"/>
              <w:autoSpaceDN w:val="0"/>
              <w:adjustRightInd w:val="0"/>
              <w:spacing w:after="0" w:line="240" w:lineRule="auto"/>
              <w:jc w:val="center"/>
              <w:rPr>
                <w:rFonts w:eastAsia="Times New Roman"/>
                <w:sz w:val="18"/>
                <w:szCs w:val="18"/>
                <w:lang w:eastAsia="ru-RU"/>
              </w:rPr>
            </w:pPr>
            <w:r w:rsidRPr="009A4C46">
              <w:rPr>
                <w:rFonts w:eastAsia="Times New Roman"/>
                <w:sz w:val="18"/>
                <w:szCs w:val="18"/>
                <w:lang w:eastAsia="ru-RU"/>
              </w:rPr>
              <w:t>+</w:t>
            </w:r>
          </w:p>
        </w:tc>
        <w:tc>
          <w:tcPr>
            <w:tcW w:w="1666" w:type="pct"/>
            <w:shd w:val="clear" w:color="auto" w:fill="auto"/>
            <w:vAlign w:val="center"/>
            <w:hideMark/>
          </w:tcPr>
          <w:p w14:paraId="1D5A71B9" w14:textId="77777777" w:rsidR="009A4C46" w:rsidRPr="009A4C46" w:rsidRDefault="009A4C46" w:rsidP="009A4C46">
            <w:pPr>
              <w:autoSpaceDE w:val="0"/>
              <w:autoSpaceDN w:val="0"/>
              <w:adjustRightInd w:val="0"/>
              <w:spacing w:after="0" w:line="240" w:lineRule="auto"/>
              <w:jc w:val="center"/>
              <w:rPr>
                <w:rFonts w:eastAsia="Times New Roman"/>
                <w:sz w:val="18"/>
                <w:szCs w:val="18"/>
                <w:lang w:eastAsia="ru-RU"/>
              </w:rPr>
            </w:pPr>
            <w:r w:rsidRPr="009A4C46">
              <w:rPr>
                <w:rFonts w:eastAsia="Times New Roman"/>
                <w:sz w:val="18"/>
                <w:szCs w:val="18"/>
                <w:lang w:eastAsia="ru-RU"/>
              </w:rPr>
              <w:t>+</w:t>
            </w:r>
          </w:p>
        </w:tc>
      </w:tr>
    </w:tbl>
    <w:p w14:paraId="1E0549EE" w14:textId="77777777" w:rsidR="009A4C46" w:rsidRPr="00F94FED" w:rsidRDefault="009A4C46" w:rsidP="00F94FED">
      <w:pPr>
        <w:autoSpaceDE w:val="0"/>
        <w:autoSpaceDN w:val="0"/>
        <w:adjustRightInd w:val="0"/>
        <w:spacing w:after="0" w:line="360" w:lineRule="auto"/>
        <w:ind w:firstLine="567"/>
        <w:jc w:val="both"/>
        <w:rPr>
          <w:rFonts w:eastAsia="Times New Roman"/>
          <w:color w:val="000000"/>
          <w:sz w:val="26"/>
          <w:szCs w:val="26"/>
          <w:lang w:eastAsia="ru-RU"/>
        </w:rPr>
      </w:pPr>
      <w:r w:rsidRPr="00F94FED">
        <w:rPr>
          <w:rFonts w:eastAsia="Times New Roman"/>
          <w:color w:val="000000"/>
          <w:sz w:val="26"/>
          <w:szCs w:val="26"/>
          <w:lang w:eastAsia="ru-RU"/>
        </w:rPr>
        <w:t>В соответствии с принципами оптимальной структуры активов по степени ликвидности, краткосрочной дебиторской задолженности должно быть достаточно для покрытия среднесрочных обязательств. В данном случае это соотношение не выполняется:</w:t>
      </w:r>
    </w:p>
    <w:p w14:paraId="4BF2045B" w14:textId="3573036F" w:rsidR="009A4C46" w:rsidRPr="00F94FED" w:rsidRDefault="009A4C46" w:rsidP="00F94FED">
      <w:pPr>
        <w:pStyle w:val="a3"/>
        <w:numPr>
          <w:ilvl w:val="0"/>
          <w:numId w:val="43"/>
        </w:numPr>
        <w:autoSpaceDE w:val="0"/>
        <w:autoSpaceDN w:val="0"/>
        <w:adjustRightInd w:val="0"/>
        <w:spacing w:after="0" w:line="360" w:lineRule="auto"/>
        <w:ind w:left="1134" w:hanging="567"/>
        <w:jc w:val="both"/>
        <w:rPr>
          <w:rFonts w:eastAsia="Times New Roman"/>
          <w:color w:val="000000"/>
          <w:sz w:val="26"/>
          <w:szCs w:val="26"/>
          <w:lang w:eastAsia="ru-RU"/>
        </w:rPr>
      </w:pPr>
      <w:r w:rsidRPr="00F94FED">
        <w:rPr>
          <w:rFonts w:ascii="Myriad Pro" w:eastAsia="Times New Roman" w:hAnsi="Myriad Pro"/>
          <w:color w:val="000000"/>
          <w:sz w:val="26"/>
          <w:szCs w:val="26"/>
          <w:lang w:eastAsia="ru-RU"/>
        </w:rPr>
        <w:t xml:space="preserve">по </w:t>
      </w:r>
      <w:smartTag w:uri="urn:schemas-microsoft-com:office:smarttags" w:element="metricconverter">
        <w:smartTagPr>
          <w:attr w:name="ProductID" w:val="2017 г"/>
        </w:smartTagPr>
        <w:r w:rsidRPr="00F94FED">
          <w:rPr>
            <w:rFonts w:ascii="Myriad Pro" w:eastAsia="Times New Roman" w:hAnsi="Myriad Pro"/>
            <w:color w:val="000000"/>
            <w:sz w:val="26"/>
            <w:szCs w:val="26"/>
            <w:lang w:eastAsia="ru-RU"/>
          </w:rPr>
          <w:t>2017 году</w:t>
        </w:r>
      </w:smartTag>
      <w:r w:rsidRPr="00F94FED">
        <w:rPr>
          <w:rFonts w:ascii="Myriad Pro" w:eastAsia="Times New Roman" w:hAnsi="Myriad Pro"/>
          <w:color w:val="000000"/>
          <w:sz w:val="26"/>
          <w:szCs w:val="26"/>
          <w:lang w:eastAsia="ru-RU"/>
        </w:rPr>
        <w:t xml:space="preserve"> – нехватка краткосрочных активов составила 730</w:t>
      </w:r>
      <w:r w:rsidR="00D914AC" w:rsidRPr="006138A4">
        <w:rPr>
          <w:rFonts w:ascii="Myriad Pro" w:eastAsia="Times New Roman" w:hAnsi="Myriad Pro"/>
          <w:color w:val="000000"/>
          <w:sz w:val="26"/>
          <w:szCs w:val="26"/>
          <w:lang w:eastAsia="ru-RU"/>
        </w:rPr>
        <w:t> </w:t>
      </w:r>
      <w:r w:rsidRPr="00F94FED">
        <w:rPr>
          <w:rFonts w:ascii="Myriad Pro" w:eastAsia="Times New Roman" w:hAnsi="Myriad Pro"/>
          <w:color w:val="000000"/>
          <w:sz w:val="26"/>
          <w:szCs w:val="26"/>
          <w:lang w:eastAsia="ru-RU"/>
        </w:rPr>
        <w:t>462 тыс. руб. краткосрочная дебиторская задолженность покрывает среднесрочные обязательства на 68%;</w:t>
      </w:r>
    </w:p>
    <w:p w14:paraId="1E9DE92F" w14:textId="185796C3" w:rsidR="009A4C46" w:rsidRPr="00F94FED" w:rsidRDefault="009A4C46" w:rsidP="00F94FED">
      <w:pPr>
        <w:pStyle w:val="a3"/>
        <w:numPr>
          <w:ilvl w:val="0"/>
          <w:numId w:val="43"/>
        </w:numPr>
        <w:autoSpaceDE w:val="0"/>
        <w:autoSpaceDN w:val="0"/>
        <w:adjustRightInd w:val="0"/>
        <w:spacing w:after="0" w:line="360" w:lineRule="auto"/>
        <w:ind w:left="1134" w:hanging="567"/>
        <w:jc w:val="both"/>
        <w:rPr>
          <w:rFonts w:eastAsia="Times New Roman"/>
          <w:color w:val="000000"/>
          <w:sz w:val="26"/>
          <w:szCs w:val="26"/>
          <w:lang w:eastAsia="ru-RU"/>
        </w:rPr>
      </w:pPr>
      <w:r w:rsidRPr="00F94FED">
        <w:rPr>
          <w:rFonts w:ascii="Myriad Pro" w:eastAsia="Times New Roman" w:hAnsi="Myriad Pro"/>
          <w:color w:val="000000"/>
          <w:sz w:val="26"/>
          <w:szCs w:val="26"/>
          <w:lang w:eastAsia="ru-RU"/>
        </w:rPr>
        <w:t xml:space="preserve">по </w:t>
      </w:r>
      <w:smartTag w:uri="urn:schemas-microsoft-com:office:smarttags" w:element="metricconverter">
        <w:smartTagPr>
          <w:attr w:name="ProductID" w:val="2018 г"/>
        </w:smartTagPr>
        <w:r w:rsidRPr="00F94FED">
          <w:rPr>
            <w:rFonts w:ascii="Myriad Pro" w:eastAsia="Times New Roman" w:hAnsi="Myriad Pro"/>
            <w:color w:val="000000"/>
            <w:sz w:val="26"/>
            <w:szCs w:val="26"/>
            <w:lang w:eastAsia="ru-RU"/>
          </w:rPr>
          <w:t>2018 году</w:t>
        </w:r>
      </w:smartTag>
      <w:r w:rsidRPr="00F94FED">
        <w:rPr>
          <w:rFonts w:ascii="Myriad Pro" w:eastAsia="Times New Roman" w:hAnsi="Myriad Pro"/>
          <w:color w:val="000000"/>
          <w:sz w:val="26"/>
          <w:szCs w:val="26"/>
          <w:lang w:eastAsia="ru-RU"/>
        </w:rPr>
        <w:t xml:space="preserve"> – нехватка краткосрочных активов составила 24 664 тыс. руб. краткосрочная дебиторская задолженность покрывает среднесрочные обязательства на 93 %.</w:t>
      </w:r>
    </w:p>
    <w:p w14:paraId="2B07668C" w14:textId="1EFC3F50" w:rsidR="009A4C46" w:rsidRDefault="009A4C46" w:rsidP="00F94FED">
      <w:pPr>
        <w:autoSpaceDE w:val="0"/>
        <w:autoSpaceDN w:val="0"/>
        <w:adjustRightInd w:val="0"/>
        <w:spacing w:after="0" w:line="360" w:lineRule="auto"/>
        <w:ind w:firstLine="567"/>
        <w:jc w:val="both"/>
        <w:rPr>
          <w:rFonts w:eastAsia="Times New Roman"/>
          <w:color w:val="000000"/>
          <w:sz w:val="26"/>
          <w:szCs w:val="26"/>
          <w:lang w:eastAsia="ru-RU"/>
        </w:rPr>
      </w:pPr>
      <w:r w:rsidRPr="00F94FED">
        <w:rPr>
          <w:rFonts w:eastAsia="Times New Roman"/>
          <w:color w:val="000000"/>
          <w:sz w:val="26"/>
          <w:szCs w:val="26"/>
          <w:lang w:eastAsia="ru-RU"/>
        </w:rPr>
        <w:t xml:space="preserve">Исполнитель отмечает, что значительное влияние на ликвидность </w:t>
      </w:r>
      <w:r w:rsidR="005C3ACA">
        <w:rPr>
          <w:rFonts w:eastAsia="Times New Roman"/>
          <w:color w:val="000000"/>
          <w:sz w:val="26"/>
          <w:szCs w:val="26"/>
          <w:lang w:eastAsia="ru-RU"/>
        </w:rPr>
        <w:br/>
      </w:r>
      <w:r w:rsidRPr="00F94FED">
        <w:rPr>
          <w:rFonts w:eastAsia="Times New Roman"/>
          <w:color w:val="000000"/>
          <w:sz w:val="26"/>
          <w:szCs w:val="26"/>
          <w:lang w:eastAsia="ru-RU"/>
        </w:rPr>
        <w:t>АО «Тываэнерго» оказало снижение дебиторской задолженности, по причине формирования в 2018 году резерва по сомнительным долгам.  Формирование данного резерва обусловлено, прежде всего, нарушением платежной дисциплины потребителей услуг, что является (нарушение платежной дисциплины) прямым нарушением Постановления Правительства РФ от 27.12.2004 № 861</w:t>
      </w:r>
      <w:r w:rsidR="005C3ACA">
        <w:rPr>
          <w:rFonts w:eastAsia="Times New Roman"/>
          <w:color w:val="000000"/>
          <w:sz w:val="26"/>
          <w:szCs w:val="26"/>
          <w:lang w:eastAsia="ru-RU"/>
        </w:rPr>
        <w:br/>
      </w:r>
      <w:r w:rsidRPr="00F94FED">
        <w:rPr>
          <w:rFonts w:eastAsia="Times New Roman"/>
          <w:color w:val="000000"/>
          <w:sz w:val="26"/>
          <w:szCs w:val="26"/>
          <w:lang w:eastAsia="ru-RU"/>
        </w:rPr>
        <w:t xml:space="preserve">«Об утверждении Правил недискриминационного доступа к услугам по передаче </w:t>
      </w:r>
      <w:r w:rsidRPr="00F94FED">
        <w:rPr>
          <w:rFonts w:eastAsia="Times New Roman"/>
          <w:color w:val="000000"/>
          <w:sz w:val="26"/>
          <w:szCs w:val="26"/>
          <w:lang w:eastAsia="ru-RU"/>
        </w:rPr>
        <w:lastRenderedPageBreak/>
        <w:t>электрической энергии и оказания этих услуг, Правил недискриминационного доступа к услугам по оперативно-диспетчерскому управлению в электроэнергетике и оказания этих услуг, Правил недискриминационного доступа к услугам администратора торговой системы оптового рынка и оказания этих услуг и Правил технологического присоединения энергопринимающих устройств потребителей электрической энергии, объектов по производству электрической энергии, а также объектов электросетевого хозяйства, принадлежащих сетевым организациям и иным лицам, к электрическим сетям».</w:t>
      </w:r>
    </w:p>
    <w:p w14:paraId="1B7B4ABE" w14:textId="77777777" w:rsidR="00A4365C" w:rsidRPr="00F94FED" w:rsidRDefault="00A4365C" w:rsidP="00F94FED">
      <w:pPr>
        <w:autoSpaceDE w:val="0"/>
        <w:autoSpaceDN w:val="0"/>
        <w:adjustRightInd w:val="0"/>
        <w:spacing w:after="0" w:line="360" w:lineRule="auto"/>
        <w:ind w:firstLine="567"/>
        <w:jc w:val="both"/>
        <w:rPr>
          <w:rFonts w:eastAsia="Times New Roman"/>
          <w:color w:val="000000"/>
          <w:sz w:val="26"/>
          <w:szCs w:val="26"/>
          <w:lang w:eastAsia="ru-RU"/>
        </w:rPr>
      </w:pPr>
    </w:p>
    <w:p w14:paraId="55F5E4B8" w14:textId="77777777" w:rsidR="009A4C46" w:rsidRPr="00F94FED" w:rsidRDefault="009A4C46" w:rsidP="00F94FED">
      <w:pPr>
        <w:autoSpaceDE w:val="0"/>
        <w:autoSpaceDN w:val="0"/>
        <w:adjustRightInd w:val="0"/>
        <w:spacing w:after="0" w:line="360" w:lineRule="auto"/>
        <w:ind w:firstLine="567"/>
        <w:jc w:val="both"/>
        <w:rPr>
          <w:rFonts w:eastAsia="Times New Roman"/>
          <w:b/>
          <w:bCs/>
          <w:color w:val="000000"/>
          <w:sz w:val="26"/>
          <w:szCs w:val="26"/>
          <w:lang w:eastAsia="ru-RU"/>
        </w:rPr>
      </w:pPr>
      <w:r w:rsidRPr="00F94FED">
        <w:rPr>
          <w:rFonts w:eastAsia="Times New Roman"/>
          <w:b/>
          <w:bCs/>
          <w:color w:val="000000"/>
          <w:sz w:val="26"/>
          <w:szCs w:val="26"/>
          <w:lang w:eastAsia="ru-RU"/>
        </w:rPr>
        <w:t>Анализ финансовых результатов деятельности АО «Тываэнерго»:</w:t>
      </w:r>
    </w:p>
    <w:p w14:paraId="55545B35" w14:textId="64749B91" w:rsidR="009A4C46" w:rsidRDefault="009A4C46" w:rsidP="00F94FED">
      <w:pPr>
        <w:autoSpaceDE w:val="0"/>
        <w:autoSpaceDN w:val="0"/>
        <w:adjustRightInd w:val="0"/>
        <w:spacing w:after="0" w:line="360" w:lineRule="auto"/>
        <w:ind w:firstLine="567"/>
        <w:jc w:val="both"/>
        <w:rPr>
          <w:rFonts w:eastAsia="Times New Roman"/>
          <w:color w:val="000000"/>
          <w:sz w:val="26"/>
          <w:szCs w:val="26"/>
          <w:lang w:eastAsia="ru-RU"/>
        </w:rPr>
      </w:pPr>
      <w:r w:rsidRPr="00F94FED">
        <w:rPr>
          <w:rFonts w:eastAsia="Times New Roman"/>
          <w:color w:val="000000"/>
          <w:sz w:val="26"/>
          <w:szCs w:val="26"/>
          <w:lang w:eastAsia="ru-RU"/>
        </w:rPr>
        <w:t xml:space="preserve">Оценка финансовых результатов деятельности АО «Тываэнерго» проведена на основании Таблицы 1.3 </w:t>
      </w:r>
      <w:r w:rsidR="006138A4">
        <w:rPr>
          <w:rFonts w:eastAsia="Times New Roman"/>
          <w:color w:val="000000"/>
          <w:sz w:val="26"/>
          <w:szCs w:val="26"/>
          <w:lang w:eastAsia="ru-RU"/>
        </w:rPr>
        <w:t>–</w:t>
      </w:r>
      <w:r w:rsidRPr="00F94FED">
        <w:rPr>
          <w:rFonts w:eastAsia="Times New Roman"/>
          <w:color w:val="000000"/>
          <w:sz w:val="26"/>
          <w:szCs w:val="26"/>
          <w:lang w:eastAsia="ru-RU"/>
        </w:rPr>
        <w:t xml:space="preserve"> Показатели раздельного учета доходов и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согласно форме «Отчет о прибылях и убытках» за 2017 </w:t>
      </w:r>
      <w:r w:rsidR="00A4365C">
        <w:rPr>
          <w:rFonts w:eastAsia="Times New Roman"/>
          <w:color w:val="000000"/>
          <w:sz w:val="26"/>
          <w:szCs w:val="26"/>
          <w:lang w:eastAsia="ru-RU"/>
        </w:rPr>
        <w:t>–</w:t>
      </w:r>
      <w:r w:rsidRPr="00F94FED">
        <w:rPr>
          <w:rFonts w:eastAsia="Times New Roman"/>
          <w:color w:val="000000"/>
          <w:sz w:val="26"/>
          <w:szCs w:val="26"/>
          <w:lang w:eastAsia="ru-RU"/>
        </w:rPr>
        <w:t xml:space="preserve"> 2018 </w:t>
      </w:r>
      <w:r w:rsidR="00A4365C">
        <w:rPr>
          <w:rFonts w:eastAsia="Times New Roman"/>
          <w:color w:val="000000"/>
          <w:sz w:val="26"/>
          <w:szCs w:val="26"/>
          <w:lang w:eastAsia="ru-RU"/>
        </w:rPr>
        <w:t>годы.</w:t>
      </w:r>
    </w:p>
    <w:p w14:paraId="65B5AE8A" w14:textId="77777777" w:rsidR="00A4365C" w:rsidRPr="00F94FED" w:rsidRDefault="00A4365C" w:rsidP="00F94FED">
      <w:pPr>
        <w:autoSpaceDE w:val="0"/>
        <w:autoSpaceDN w:val="0"/>
        <w:adjustRightInd w:val="0"/>
        <w:spacing w:after="0" w:line="360" w:lineRule="auto"/>
        <w:ind w:firstLine="708"/>
        <w:jc w:val="both"/>
        <w:rPr>
          <w:rFonts w:eastAsia="Times New Roman"/>
          <w:color w:val="000000"/>
          <w:sz w:val="26"/>
          <w:szCs w:val="26"/>
          <w:lang w:eastAsia="ru-RU"/>
        </w:rPr>
      </w:pPr>
    </w:p>
    <w:tbl>
      <w:tblPr>
        <w:tblW w:w="9502" w:type="dxa"/>
        <w:tblInd w:w="-10" w:type="dxa"/>
        <w:tblLook w:val="04A0" w:firstRow="1" w:lastRow="0" w:firstColumn="1" w:lastColumn="0" w:noHBand="0" w:noVBand="1"/>
      </w:tblPr>
      <w:tblGrid>
        <w:gridCol w:w="3407"/>
        <w:gridCol w:w="1480"/>
        <w:gridCol w:w="1480"/>
        <w:gridCol w:w="1576"/>
        <w:gridCol w:w="1559"/>
      </w:tblGrid>
      <w:tr w:rsidR="009A4C46" w:rsidRPr="00A4365C" w14:paraId="3F36DFE6" w14:textId="77777777" w:rsidTr="00070F3E">
        <w:trPr>
          <w:trHeight w:val="497"/>
          <w:tblHeader/>
        </w:trPr>
        <w:tc>
          <w:tcPr>
            <w:tcW w:w="3407"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03BDD78" w14:textId="68810049" w:rsidR="009A4C46" w:rsidRPr="00F94FED" w:rsidRDefault="009A4C46" w:rsidP="00F94FED">
            <w:pPr>
              <w:autoSpaceDE w:val="0"/>
              <w:autoSpaceDN w:val="0"/>
              <w:adjustRightInd w:val="0"/>
              <w:spacing w:after="0" w:line="360" w:lineRule="auto"/>
              <w:jc w:val="center"/>
              <w:rPr>
                <w:rFonts w:eastAsia="Times New Roman"/>
                <w:b/>
                <w:bCs/>
                <w:color w:val="FFFFFF" w:themeColor="background1"/>
                <w:lang w:eastAsia="ru-RU"/>
              </w:rPr>
            </w:pPr>
            <w:r w:rsidRPr="00F94FED">
              <w:rPr>
                <w:rFonts w:eastAsia="Times New Roman"/>
                <w:b/>
                <w:bCs/>
                <w:color w:val="FFFFFF" w:themeColor="background1"/>
                <w:lang w:eastAsia="ru-RU"/>
              </w:rPr>
              <w:t xml:space="preserve">Наименование </w:t>
            </w:r>
            <w:r w:rsidR="00A4365C">
              <w:rPr>
                <w:rFonts w:eastAsia="Times New Roman"/>
                <w:b/>
                <w:bCs/>
                <w:color w:val="FFFFFF" w:themeColor="background1"/>
                <w:lang w:eastAsia="ru-RU"/>
              </w:rPr>
              <w:t>п</w:t>
            </w:r>
            <w:r w:rsidRPr="00F94FED">
              <w:rPr>
                <w:rFonts w:eastAsia="Times New Roman"/>
                <w:b/>
                <w:bCs/>
                <w:color w:val="FFFFFF" w:themeColor="background1"/>
                <w:lang w:eastAsia="ru-RU"/>
              </w:rPr>
              <w:t>оказателя:</w:t>
            </w:r>
          </w:p>
        </w:tc>
        <w:tc>
          <w:tcPr>
            <w:tcW w:w="148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3ABF692" w14:textId="77777777" w:rsidR="009A4C46" w:rsidRPr="00F94FED" w:rsidRDefault="009A4C46" w:rsidP="00F94FED">
            <w:pPr>
              <w:autoSpaceDE w:val="0"/>
              <w:autoSpaceDN w:val="0"/>
              <w:adjustRightInd w:val="0"/>
              <w:spacing w:after="0" w:line="360" w:lineRule="auto"/>
              <w:jc w:val="center"/>
              <w:rPr>
                <w:rFonts w:eastAsia="Times New Roman"/>
                <w:b/>
                <w:bCs/>
                <w:color w:val="FFFFFF" w:themeColor="background1"/>
                <w:lang w:eastAsia="ru-RU"/>
              </w:rPr>
            </w:pPr>
            <w:r w:rsidRPr="00F94FED">
              <w:rPr>
                <w:rFonts w:eastAsia="Times New Roman"/>
                <w:b/>
                <w:bCs/>
                <w:color w:val="FFFFFF" w:themeColor="background1"/>
                <w:lang w:eastAsia="ru-RU"/>
              </w:rPr>
              <w:t>за 2017 год</w:t>
            </w:r>
          </w:p>
        </w:tc>
        <w:tc>
          <w:tcPr>
            <w:tcW w:w="148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71F1ECC" w14:textId="77777777" w:rsidR="009A4C46" w:rsidRPr="00F94FED" w:rsidRDefault="009A4C46" w:rsidP="00F94FED">
            <w:pPr>
              <w:autoSpaceDE w:val="0"/>
              <w:autoSpaceDN w:val="0"/>
              <w:adjustRightInd w:val="0"/>
              <w:spacing w:after="0" w:line="360" w:lineRule="auto"/>
              <w:jc w:val="center"/>
              <w:rPr>
                <w:rFonts w:eastAsia="Times New Roman"/>
                <w:b/>
                <w:bCs/>
                <w:color w:val="FFFFFF" w:themeColor="background1"/>
                <w:lang w:eastAsia="ru-RU"/>
              </w:rPr>
            </w:pPr>
            <w:r w:rsidRPr="00F94FED">
              <w:rPr>
                <w:rFonts w:eastAsia="Times New Roman"/>
                <w:b/>
                <w:bCs/>
                <w:color w:val="FFFFFF" w:themeColor="background1"/>
                <w:lang w:eastAsia="ru-RU"/>
              </w:rPr>
              <w:t>за 2018 год</w:t>
            </w:r>
          </w:p>
        </w:tc>
        <w:tc>
          <w:tcPr>
            <w:tcW w:w="3135" w:type="dxa"/>
            <w:gridSpan w:val="2"/>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FED5732" w14:textId="77777777" w:rsidR="009A4C46" w:rsidRPr="00F94FED" w:rsidRDefault="009A4C46" w:rsidP="00F94FED">
            <w:pPr>
              <w:autoSpaceDE w:val="0"/>
              <w:autoSpaceDN w:val="0"/>
              <w:adjustRightInd w:val="0"/>
              <w:spacing w:after="0" w:line="360" w:lineRule="auto"/>
              <w:jc w:val="center"/>
              <w:rPr>
                <w:rFonts w:eastAsia="Times New Roman"/>
                <w:b/>
                <w:bCs/>
                <w:color w:val="FFFFFF" w:themeColor="background1"/>
                <w:lang w:eastAsia="ru-RU"/>
              </w:rPr>
            </w:pPr>
            <w:r w:rsidRPr="00F94FED">
              <w:rPr>
                <w:rFonts w:eastAsia="Times New Roman"/>
                <w:b/>
                <w:bCs/>
                <w:color w:val="FFFFFF" w:themeColor="background1"/>
                <w:lang w:eastAsia="ru-RU"/>
              </w:rPr>
              <w:t>Отклонение</w:t>
            </w:r>
          </w:p>
        </w:tc>
      </w:tr>
      <w:tr w:rsidR="009A4C46" w:rsidRPr="009A4C46" w14:paraId="0B8103CB" w14:textId="77777777" w:rsidTr="00070F3E">
        <w:trPr>
          <w:trHeight w:val="471"/>
          <w:tblHeader/>
        </w:trPr>
        <w:tc>
          <w:tcPr>
            <w:tcW w:w="340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7384004" w14:textId="77777777" w:rsidR="009A4C46" w:rsidRPr="00F94FED" w:rsidRDefault="009A4C46" w:rsidP="00F94FED">
            <w:pPr>
              <w:spacing w:after="0" w:line="240" w:lineRule="auto"/>
              <w:jc w:val="center"/>
              <w:rPr>
                <w:rFonts w:eastAsia="Times New Roman"/>
                <w:b/>
                <w:bCs/>
                <w:color w:val="FFFFFF" w:themeColor="background1"/>
                <w:lang w:eastAsia="ru-RU"/>
              </w:rPr>
            </w:pPr>
          </w:p>
        </w:tc>
        <w:tc>
          <w:tcPr>
            <w:tcW w:w="148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3FC9B8B" w14:textId="77777777" w:rsidR="009A4C46" w:rsidRPr="00F94FED" w:rsidRDefault="009A4C46" w:rsidP="00F94FED">
            <w:pPr>
              <w:spacing w:after="0" w:line="240" w:lineRule="auto"/>
              <w:jc w:val="center"/>
              <w:rPr>
                <w:rFonts w:eastAsia="Times New Roman"/>
                <w:b/>
                <w:bCs/>
                <w:color w:val="FFFFFF" w:themeColor="background1"/>
                <w:lang w:eastAsia="ru-RU"/>
              </w:rPr>
            </w:pPr>
          </w:p>
        </w:tc>
        <w:tc>
          <w:tcPr>
            <w:tcW w:w="148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CE7DEEB" w14:textId="77777777" w:rsidR="009A4C46" w:rsidRPr="00F94FED" w:rsidRDefault="009A4C46" w:rsidP="00F94FED">
            <w:pPr>
              <w:spacing w:after="0" w:line="240" w:lineRule="auto"/>
              <w:jc w:val="center"/>
              <w:rPr>
                <w:rFonts w:eastAsia="Times New Roman"/>
                <w:b/>
                <w:bCs/>
                <w:color w:val="FFFFFF" w:themeColor="background1"/>
                <w:lang w:eastAsia="ru-RU"/>
              </w:rPr>
            </w:pPr>
          </w:p>
        </w:tc>
        <w:tc>
          <w:tcPr>
            <w:tcW w:w="3135" w:type="dxa"/>
            <w:gridSpan w:val="2"/>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65F926C" w14:textId="77777777" w:rsidR="009A4C46" w:rsidRPr="00F94FED" w:rsidRDefault="009A4C46" w:rsidP="00F94FED">
            <w:pPr>
              <w:spacing w:after="0" w:line="240" w:lineRule="auto"/>
              <w:jc w:val="center"/>
              <w:rPr>
                <w:rFonts w:eastAsia="Times New Roman"/>
                <w:b/>
                <w:bCs/>
                <w:color w:val="FFFFFF" w:themeColor="background1"/>
                <w:lang w:eastAsia="ru-RU"/>
              </w:rPr>
            </w:pPr>
          </w:p>
        </w:tc>
      </w:tr>
      <w:tr w:rsidR="009A4C46" w:rsidRPr="009A4C46" w14:paraId="268F85CC" w14:textId="77777777" w:rsidTr="00070F3E">
        <w:trPr>
          <w:trHeight w:val="495"/>
          <w:tblHeader/>
        </w:trPr>
        <w:tc>
          <w:tcPr>
            <w:tcW w:w="340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F7B2BF4" w14:textId="77777777" w:rsidR="009A4C46" w:rsidRPr="00F94FED" w:rsidRDefault="009A4C46" w:rsidP="00F94FED">
            <w:pPr>
              <w:spacing w:after="0" w:line="240" w:lineRule="auto"/>
              <w:jc w:val="center"/>
              <w:rPr>
                <w:rFonts w:eastAsia="Times New Roman"/>
                <w:b/>
                <w:bCs/>
                <w:color w:val="FFFFFF" w:themeColor="background1"/>
                <w:lang w:eastAsia="ru-RU"/>
              </w:rPr>
            </w:pPr>
          </w:p>
        </w:tc>
        <w:tc>
          <w:tcPr>
            <w:tcW w:w="148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3522C18" w14:textId="77777777" w:rsidR="009A4C46" w:rsidRPr="00F94FED" w:rsidRDefault="009A4C46" w:rsidP="00F94FED">
            <w:pPr>
              <w:spacing w:after="0" w:line="240" w:lineRule="auto"/>
              <w:jc w:val="center"/>
              <w:rPr>
                <w:rFonts w:eastAsia="Times New Roman"/>
                <w:b/>
                <w:bCs/>
                <w:color w:val="FFFFFF" w:themeColor="background1"/>
                <w:lang w:eastAsia="ru-RU"/>
              </w:rPr>
            </w:pPr>
          </w:p>
        </w:tc>
        <w:tc>
          <w:tcPr>
            <w:tcW w:w="148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27289AE" w14:textId="77777777" w:rsidR="009A4C46" w:rsidRPr="00F94FED" w:rsidRDefault="009A4C46" w:rsidP="00F94FED">
            <w:pPr>
              <w:spacing w:after="0" w:line="240" w:lineRule="auto"/>
              <w:jc w:val="center"/>
              <w:rPr>
                <w:rFonts w:eastAsia="Times New Roman"/>
                <w:b/>
                <w:bCs/>
                <w:color w:val="FFFFFF" w:themeColor="background1"/>
                <w:lang w:eastAsia="ru-RU"/>
              </w:rPr>
            </w:pPr>
          </w:p>
        </w:tc>
        <w:tc>
          <w:tcPr>
            <w:tcW w:w="15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F18C6CE" w14:textId="37F4DEF7" w:rsidR="009A4C46" w:rsidRPr="00F94FED" w:rsidRDefault="009A4C46">
            <w:pPr>
              <w:spacing w:after="0" w:line="240" w:lineRule="auto"/>
              <w:jc w:val="center"/>
              <w:rPr>
                <w:rFonts w:eastAsia="Times New Roman"/>
                <w:b/>
                <w:bCs/>
                <w:color w:val="FFFFFF" w:themeColor="background1"/>
                <w:lang w:eastAsia="ru-RU"/>
              </w:rPr>
            </w:pPr>
            <w:r w:rsidRPr="00F94FED">
              <w:rPr>
                <w:rFonts w:eastAsia="Times New Roman"/>
                <w:b/>
                <w:bCs/>
                <w:color w:val="FFFFFF" w:themeColor="background1"/>
                <w:lang w:eastAsia="ru-RU"/>
              </w:rPr>
              <w:t>тыс. руб. (+,-)</w:t>
            </w: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48FAA92" w14:textId="77777777" w:rsidR="009A4C46" w:rsidRPr="00F94FED" w:rsidRDefault="009A4C46">
            <w:pPr>
              <w:spacing w:after="0" w:line="240" w:lineRule="auto"/>
              <w:jc w:val="center"/>
              <w:rPr>
                <w:rFonts w:eastAsia="Times New Roman"/>
                <w:b/>
                <w:bCs/>
                <w:color w:val="FFFFFF" w:themeColor="background1"/>
                <w:sz w:val="18"/>
                <w:szCs w:val="18"/>
                <w:lang w:eastAsia="ru-RU"/>
              </w:rPr>
            </w:pPr>
            <w:r w:rsidRPr="00F94FED">
              <w:rPr>
                <w:rFonts w:eastAsia="Times New Roman"/>
                <w:b/>
                <w:bCs/>
                <w:color w:val="FFFFFF" w:themeColor="background1"/>
                <w:sz w:val="18"/>
                <w:szCs w:val="18"/>
                <w:lang w:eastAsia="ru-RU"/>
              </w:rPr>
              <w:t>%</w:t>
            </w:r>
          </w:p>
        </w:tc>
      </w:tr>
      <w:tr w:rsidR="00A4365C" w:rsidRPr="009A4C46" w14:paraId="360BE562" w14:textId="77777777" w:rsidTr="00070F3E">
        <w:trPr>
          <w:trHeight w:val="269"/>
          <w:tblHeader/>
        </w:trPr>
        <w:tc>
          <w:tcPr>
            <w:tcW w:w="3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8EB9816" w14:textId="541073C0" w:rsidR="00A4365C" w:rsidRPr="00F94FED" w:rsidRDefault="00A4365C" w:rsidP="00F94FED">
            <w:pPr>
              <w:spacing w:after="0" w:line="240" w:lineRule="auto"/>
              <w:jc w:val="center"/>
              <w:rPr>
                <w:rFonts w:eastAsia="Times New Roman"/>
                <w:b/>
                <w:bCs/>
                <w:color w:val="FFFFFF" w:themeColor="background1"/>
                <w:lang w:eastAsia="ru-RU"/>
              </w:rPr>
            </w:pPr>
            <w:r w:rsidRPr="00F94FED">
              <w:rPr>
                <w:rFonts w:eastAsia="Times New Roman"/>
                <w:b/>
                <w:bCs/>
                <w:color w:val="FFFFFF" w:themeColor="background1"/>
                <w:lang w:eastAsia="ru-RU"/>
              </w:rPr>
              <w:t>1</w:t>
            </w:r>
          </w:p>
        </w:tc>
        <w:tc>
          <w:tcPr>
            <w:tcW w:w="14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1365716" w14:textId="163578A6" w:rsidR="00A4365C" w:rsidRPr="00F94FED" w:rsidRDefault="00A4365C" w:rsidP="00F94FED">
            <w:pPr>
              <w:spacing w:after="0" w:line="240" w:lineRule="auto"/>
              <w:jc w:val="center"/>
              <w:rPr>
                <w:rFonts w:eastAsia="Times New Roman"/>
                <w:b/>
                <w:bCs/>
                <w:color w:val="FFFFFF" w:themeColor="background1"/>
                <w:lang w:eastAsia="ru-RU"/>
              </w:rPr>
            </w:pPr>
            <w:r w:rsidRPr="00F94FED">
              <w:rPr>
                <w:rFonts w:eastAsia="Times New Roman"/>
                <w:b/>
                <w:bCs/>
                <w:color w:val="FFFFFF" w:themeColor="background1"/>
                <w:lang w:eastAsia="ru-RU"/>
              </w:rPr>
              <w:t>2</w:t>
            </w:r>
          </w:p>
        </w:tc>
        <w:tc>
          <w:tcPr>
            <w:tcW w:w="14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CB7D1B1" w14:textId="1C62415D" w:rsidR="00A4365C" w:rsidRPr="00F94FED" w:rsidRDefault="00A4365C" w:rsidP="00F94FED">
            <w:pPr>
              <w:spacing w:after="0" w:line="240" w:lineRule="auto"/>
              <w:jc w:val="center"/>
              <w:rPr>
                <w:rFonts w:eastAsia="Times New Roman"/>
                <w:b/>
                <w:bCs/>
                <w:color w:val="FFFFFF" w:themeColor="background1"/>
                <w:lang w:eastAsia="ru-RU"/>
              </w:rPr>
            </w:pPr>
            <w:r w:rsidRPr="00F94FED">
              <w:rPr>
                <w:rFonts w:eastAsia="Times New Roman"/>
                <w:b/>
                <w:bCs/>
                <w:color w:val="FFFFFF" w:themeColor="background1"/>
                <w:lang w:eastAsia="ru-RU"/>
              </w:rPr>
              <w:t>3</w:t>
            </w:r>
          </w:p>
        </w:tc>
        <w:tc>
          <w:tcPr>
            <w:tcW w:w="15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2F43FF4" w14:textId="00724416" w:rsidR="00A4365C" w:rsidRPr="00F94FED" w:rsidRDefault="00A4365C">
            <w:pPr>
              <w:spacing w:after="0" w:line="240" w:lineRule="auto"/>
              <w:jc w:val="center"/>
              <w:rPr>
                <w:rFonts w:eastAsia="Times New Roman"/>
                <w:b/>
                <w:bCs/>
                <w:color w:val="FFFFFF" w:themeColor="background1"/>
                <w:lang w:eastAsia="ru-RU"/>
              </w:rPr>
            </w:pPr>
            <w:r w:rsidRPr="00F94FED">
              <w:rPr>
                <w:rFonts w:eastAsia="Times New Roman"/>
                <w:b/>
                <w:bCs/>
                <w:color w:val="FFFFFF" w:themeColor="background1"/>
                <w:lang w:eastAsia="ru-RU"/>
              </w:rPr>
              <w:t>4</w:t>
            </w: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F464683" w14:textId="3AAAB56B" w:rsidR="00A4365C" w:rsidRPr="00F94FED" w:rsidRDefault="00A4365C">
            <w:pPr>
              <w:spacing w:after="0" w:line="240" w:lineRule="auto"/>
              <w:jc w:val="center"/>
              <w:rPr>
                <w:rFonts w:eastAsia="Times New Roman"/>
                <w:b/>
                <w:bCs/>
                <w:color w:val="FFFFFF" w:themeColor="background1"/>
                <w:sz w:val="18"/>
                <w:szCs w:val="18"/>
                <w:lang w:eastAsia="ru-RU"/>
              </w:rPr>
            </w:pPr>
            <w:r w:rsidRPr="00F94FED">
              <w:rPr>
                <w:rFonts w:eastAsia="Times New Roman"/>
                <w:b/>
                <w:bCs/>
                <w:color w:val="FFFFFF" w:themeColor="background1"/>
                <w:sz w:val="18"/>
                <w:szCs w:val="18"/>
                <w:lang w:eastAsia="ru-RU"/>
              </w:rPr>
              <w:t>5</w:t>
            </w:r>
          </w:p>
        </w:tc>
      </w:tr>
      <w:tr w:rsidR="009A4C46" w:rsidRPr="009A4C46" w14:paraId="68D75C99" w14:textId="77777777" w:rsidTr="00070F3E">
        <w:trPr>
          <w:trHeight w:val="315"/>
        </w:trPr>
        <w:tc>
          <w:tcPr>
            <w:tcW w:w="3407" w:type="dxa"/>
            <w:tcBorders>
              <w:top w:val="single" w:sz="4" w:space="0" w:color="FFFFFF" w:themeColor="background1"/>
              <w:left w:val="single" w:sz="8" w:space="0" w:color="auto"/>
              <w:bottom w:val="single" w:sz="8" w:space="0" w:color="auto"/>
              <w:right w:val="single" w:sz="8" w:space="0" w:color="auto"/>
            </w:tcBorders>
            <w:shd w:val="clear" w:color="auto" w:fill="D6E3BC" w:themeFill="accent3" w:themeFillTint="66"/>
            <w:vAlign w:val="center"/>
            <w:hideMark/>
          </w:tcPr>
          <w:p w14:paraId="6B0CA605" w14:textId="77777777" w:rsidR="009A4C46" w:rsidRPr="00F94FED" w:rsidRDefault="009A4C46">
            <w:pPr>
              <w:spacing w:after="0" w:line="240" w:lineRule="auto"/>
              <w:rPr>
                <w:rFonts w:eastAsia="Times New Roman"/>
                <w:lang w:eastAsia="ru-RU"/>
              </w:rPr>
            </w:pPr>
            <w:r w:rsidRPr="00F94FED">
              <w:rPr>
                <w:rFonts w:eastAsia="Times New Roman"/>
                <w:lang w:eastAsia="ru-RU"/>
              </w:rPr>
              <w:t>Выручка</w:t>
            </w:r>
          </w:p>
        </w:tc>
        <w:tc>
          <w:tcPr>
            <w:tcW w:w="1480" w:type="dxa"/>
            <w:tcBorders>
              <w:top w:val="single" w:sz="4" w:space="0" w:color="FFFFFF" w:themeColor="background1"/>
              <w:left w:val="nil"/>
              <w:bottom w:val="single" w:sz="8" w:space="0" w:color="auto"/>
              <w:right w:val="single" w:sz="8" w:space="0" w:color="auto"/>
            </w:tcBorders>
            <w:shd w:val="clear" w:color="auto" w:fill="D6E3BC" w:themeFill="accent3" w:themeFillTint="66"/>
            <w:noWrap/>
            <w:vAlign w:val="center"/>
            <w:hideMark/>
          </w:tcPr>
          <w:p w14:paraId="5F49EF85" w14:textId="77777777" w:rsidR="009A4C46" w:rsidRPr="00F94FED" w:rsidRDefault="009A4C46">
            <w:pPr>
              <w:spacing w:after="0" w:line="240" w:lineRule="auto"/>
              <w:jc w:val="right"/>
              <w:rPr>
                <w:rFonts w:eastAsia="Times New Roman"/>
                <w:lang w:eastAsia="ru-RU"/>
              </w:rPr>
            </w:pPr>
            <w:r w:rsidRPr="00F94FED">
              <w:rPr>
                <w:rFonts w:eastAsia="Times New Roman"/>
                <w:lang w:eastAsia="ru-RU"/>
              </w:rPr>
              <w:t>1 818 964</w:t>
            </w:r>
          </w:p>
        </w:tc>
        <w:tc>
          <w:tcPr>
            <w:tcW w:w="1480" w:type="dxa"/>
            <w:tcBorders>
              <w:top w:val="single" w:sz="4" w:space="0" w:color="FFFFFF" w:themeColor="background1"/>
              <w:left w:val="nil"/>
              <w:bottom w:val="single" w:sz="8" w:space="0" w:color="auto"/>
              <w:right w:val="single" w:sz="8" w:space="0" w:color="auto"/>
            </w:tcBorders>
            <w:shd w:val="clear" w:color="auto" w:fill="D6E3BC" w:themeFill="accent3" w:themeFillTint="66"/>
            <w:noWrap/>
            <w:vAlign w:val="center"/>
            <w:hideMark/>
          </w:tcPr>
          <w:p w14:paraId="3276BC20" w14:textId="77777777" w:rsidR="009A4C46" w:rsidRPr="00F94FED" w:rsidRDefault="009A4C46">
            <w:pPr>
              <w:spacing w:after="0" w:line="240" w:lineRule="auto"/>
              <w:jc w:val="right"/>
              <w:rPr>
                <w:rFonts w:eastAsia="Times New Roman"/>
                <w:lang w:eastAsia="ru-RU"/>
              </w:rPr>
            </w:pPr>
            <w:r w:rsidRPr="00F94FED">
              <w:rPr>
                <w:rFonts w:eastAsia="Times New Roman"/>
                <w:lang w:eastAsia="ru-RU"/>
              </w:rPr>
              <w:t>1 371 727</w:t>
            </w:r>
          </w:p>
        </w:tc>
        <w:tc>
          <w:tcPr>
            <w:tcW w:w="1576" w:type="dxa"/>
            <w:tcBorders>
              <w:top w:val="single" w:sz="4" w:space="0" w:color="FFFFFF" w:themeColor="background1"/>
              <w:left w:val="nil"/>
              <w:bottom w:val="single" w:sz="8" w:space="0" w:color="auto"/>
              <w:right w:val="single" w:sz="8" w:space="0" w:color="auto"/>
            </w:tcBorders>
            <w:shd w:val="clear" w:color="auto" w:fill="D6E3BC" w:themeFill="accent3" w:themeFillTint="66"/>
            <w:noWrap/>
            <w:vAlign w:val="center"/>
            <w:hideMark/>
          </w:tcPr>
          <w:p w14:paraId="101BE64E" w14:textId="77777777" w:rsidR="009A4C46" w:rsidRPr="00F94FED" w:rsidRDefault="009A4C46">
            <w:pPr>
              <w:spacing w:after="0" w:line="240" w:lineRule="auto"/>
              <w:jc w:val="right"/>
              <w:rPr>
                <w:rFonts w:eastAsia="Times New Roman"/>
                <w:lang w:eastAsia="ru-RU"/>
              </w:rPr>
            </w:pPr>
            <w:r w:rsidRPr="00F94FED">
              <w:rPr>
                <w:rFonts w:eastAsia="Times New Roman"/>
                <w:lang w:eastAsia="ru-RU"/>
              </w:rPr>
              <w:t>-447 237</w:t>
            </w:r>
          </w:p>
        </w:tc>
        <w:tc>
          <w:tcPr>
            <w:tcW w:w="1559" w:type="dxa"/>
            <w:tcBorders>
              <w:top w:val="single" w:sz="4" w:space="0" w:color="FFFFFF" w:themeColor="background1"/>
              <w:left w:val="nil"/>
              <w:bottom w:val="single" w:sz="8" w:space="0" w:color="auto"/>
              <w:right w:val="single" w:sz="8" w:space="0" w:color="auto"/>
            </w:tcBorders>
            <w:shd w:val="clear" w:color="auto" w:fill="D6E3BC" w:themeFill="accent3" w:themeFillTint="66"/>
            <w:noWrap/>
            <w:vAlign w:val="center"/>
            <w:hideMark/>
          </w:tcPr>
          <w:p w14:paraId="195EE72D" w14:textId="77777777" w:rsidR="009A4C46" w:rsidRPr="009A4C46" w:rsidRDefault="009A4C46">
            <w:pPr>
              <w:spacing w:after="0" w:line="240" w:lineRule="auto"/>
              <w:jc w:val="right"/>
              <w:rPr>
                <w:rFonts w:eastAsia="Times New Roman"/>
                <w:sz w:val="18"/>
                <w:szCs w:val="18"/>
                <w:lang w:eastAsia="ru-RU"/>
              </w:rPr>
            </w:pPr>
            <w:r w:rsidRPr="009A4C46">
              <w:rPr>
                <w:rFonts w:eastAsia="Times New Roman"/>
                <w:sz w:val="18"/>
                <w:szCs w:val="18"/>
                <w:lang w:eastAsia="ru-RU"/>
              </w:rPr>
              <w:t>-25%</w:t>
            </w:r>
          </w:p>
        </w:tc>
      </w:tr>
      <w:tr w:rsidR="009A4C46" w:rsidRPr="009A4C46" w14:paraId="50A74863" w14:textId="77777777" w:rsidTr="00070F3E">
        <w:trPr>
          <w:trHeight w:val="315"/>
        </w:trPr>
        <w:tc>
          <w:tcPr>
            <w:tcW w:w="3407" w:type="dxa"/>
            <w:tcBorders>
              <w:top w:val="nil"/>
              <w:left w:val="single" w:sz="8" w:space="0" w:color="auto"/>
              <w:bottom w:val="single" w:sz="8" w:space="0" w:color="auto"/>
              <w:right w:val="single" w:sz="8" w:space="0" w:color="auto"/>
            </w:tcBorders>
            <w:shd w:val="clear" w:color="auto" w:fill="auto"/>
            <w:vAlign w:val="center"/>
            <w:hideMark/>
          </w:tcPr>
          <w:p w14:paraId="29083CB7" w14:textId="77777777" w:rsidR="009A4C46" w:rsidRPr="00F94FED" w:rsidRDefault="009A4C46" w:rsidP="005C3ACA">
            <w:pPr>
              <w:spacing w:after="0" w:line="240" w:lineRule="auto"/>
              <w:rPr>
                <w:rFonts w:eastAsia="Times New Roman"/>
                <w:lang w:eastAsia="ru-RU"/>
              </w:rPr>
            </w:pPr>
            <w:r w:rsidRPr="00F94FED">
              <w:rPr>
                <w:rFonts w:eastAsia="Times New Roman"/>
                <w:lang w:eastAsia="ru-RU"/>
              </w:rPr>
              <w:t>в том числе</w:t>
            </w:r>
          </w:p>
        </w:tc>
        <w:tc>
          <w:tcPr>
            <w:tcW w:w="1480" w:type="dxa"/>
            <w:tcBorders>
              <w:top w:val="nil"/>
              <w:left w:val="nil"/>
              <w:bottom w:val="single" w:sz="8" w:space="0" w:color="auto"/>
              <w:right w:val="single" w:sz="8" w:space="0" w:color="auto"/>
            </w:tcBorders>
            <w:shd w:val="clear" w:color="auto" w:fill="auto"/>
            <w:noWrap/>
            <w:vAlign w:val="center"/>
            <w:hideMark/>
          </w:tcPr>
          <w:p w14:paraId="3C0DF7DF" w14:textId="77777777" w:rsidR="009A4C46" w:rsidRPr="00F94FED" w:rsidRDefault="009A4C46">
            <w:pPr>
              <w:spacing w:after="0" w:line="240" w:lineRule="auto"/>
              <w:rPr>
                <w:rFonts w:eastAsia="Times New Roman"/>
                <w:lang w:eastAsia="ru-RU"/>
              </w:rPr>
            </w:pPr>
            <w:r w:rsidRPr="00F94FED">
              <w:rPr>
                <w:rFonts w:eastAsia="Times New Roman"/>
                <w:lang w:eastAsia="ru-RU"/>
              </w:rPr>
              <w:t> </w:t>
            </w:r>
          </w:p>
        </w:tc>
        <w:tc>
          <w:tcPr>
            <w:tcW w:w="1480" w:type="dxa"/>
            <w:tcBorders>
              <w:top w:val="nil"/>
              <w:left w:val="nil"/>
              <w:bottom w:val="single" w:sz="8" w:space="0" w:color="auto"/>
              <w:right w:val="single" w:sz="8" w:space="0" w:color="auto"/>
            </w:tcBorders>
            <w:shd w:val="clear" w:color="auto" w:fill="auto"/>
            <w:noWrap/>
            <w:vAlign w:val="center"/>
            <w:hideMark/>
          </w:tcPr>
          <w:p w14:paraId="7EEAF31C" w14:textId="77777777" w:rsidR="009A4C46" w:rsidRPr="00F94FED" w:rsidRDefault="009A4C46">
            <w:pPr>
              <w:spacing w:after="0" w:line="240" w:lineRule="auto"/>
              <w:rPr>
                <w:rFonts w:eastAsia="Times New Roman"/>
                <w:lang w:eastAsia="ru-RU"/>
              </w:rPr>
            </w:pPr>
            <w:r w:rsidRPr="00F94FED">
              <w:rPr>
                <w:rFonts w:eastAsia="Times New Roman"/>
                <w:lang w:eastAsia="ru-RU"/>
              </w:rPr>
              <w:t> </w:t>
            </w:r>
          </w:p>
        </w:tc>
        <w:tc>
          <w:tcPr>
            <w:tcW w:w="1576" w:type="dxa"/>
            <w:tcBorders>
              <w:top w:val="nil"/>
              <w:left w:val="nil"/>
              <w:bottom w:val="single" w:sz="8" w:space="0" w:color="auto"/>
              <w:right w:val="single" w:sz="8" w:space="0" w:color="auto"/>
            </w:tcBorders>
            <w:shd w:val="clear" w:color="auto" w:fill="auto"/>
            <w:noWrap/>
            <w:vAlign w:val="center"/>
            <w:hideMark/>
          </w:tcPr>
          <w:p w14:paraId="167D75DB" w14:textId="77777777" w:rsidR="009A4C46" w:rsidRPr="00F94FED" w:rsidRDefault="009A4C46">
            <w:pPr>
              <w:spacing w:after="0" w:line="240" w:lineRule="auto"/>
              <w:rPr>
                <w:rFonts w:eastAsia="Times New Roman"/>
                <w:lang w:eastAsia="ru-RU"/>
              </w:rPr>
            </w:pPr>
            <w:r w:rsidRPr="00F94FED">
              <w:rPr>
                <w:rFonts w:eastAsia="Times New Roman"/>
                <w:lang w:eastAsia="ru-RU"/>
              </w:rPr>
              <w:t> </w:t>
            </w:r>
          </w:p>
        </w:tc>
        <w:tc>
          <w:tcPr>
            <w:tcW w:w="1559" w:type="dxa"/>
            <w:tcBorders>
              <w:top w:val="nil"/>
              <w:left w:val="nil"/>
              <w:bottom w:val="single" w:sz="8" w:space="0" w:color="auto"/>
              <w:right w:val="single" w:sz="8" w:space="0" w:color="auto"/>
            </w:tcBorders>
            <w:shd w:val="clear" w:color="auto" w:fill="auto"/>
            <w:noWrap/>
            <w:vAlign w:val="center"/>
            <w:hideMark/>
          </w:tcPr>
          <w:p w14:paraId="661F0FA0" w14:textId="77777777" w:rsidR="009A4C46" w:rsidRPr="009A4C46" w:rsidRDefault="009A4C46">
            <w:pPr>
              <w:spacing w:after="0" w:line="240" w:lineRule="auto"/>
              <w:rPr>
                <w:rFonts w:eastAsia="Times New Roman"/>
                <w:sz w:val="18"/>
                <w:szCs w:val="18"/>
                <w:lang w:eastAsia="ru-RU"/>
              </w:rPr>
            </w:pPr>
            <w:r w:rsidRPr="009A4C46">
              <w:rPr>
                <w:rFonts w:eastAsia="Times New Roman"/>
                <w:sz w:val="18"/>
                <w:szCs w:val="18"/>
                <w:lang w:eastAsia="ru-RU"/>
              </w:rPr>
              <w:t> </w:t>
            </w:r>
          </w:p>
        </w:tc>
      </w:tr>
      <w:tr w:rsidR="009A4C46" w:rsidRPr="009A4C46" w14:paraId="4AAEE94D" w14:textId="77777777" w:rsidTr="00070F3E">
        <w:trPr>
          <w:trHeight w:val="315"/>
        </w:trPr>
        <w:tc>
          <w:tcPr>
            <w:tcW w:w="3407" w:type="dxa"/>
            <w:tcBorders>
              <w:top w:val="nil"/>
              <w:left w:val="single" w:sz="8" w:space="0" w:color="auto"/>
              <w:bottom w:val="single" w:sz="8" w:space="0" w:color="auto"/>
              <w:right w:val="single" w:sz="8" w:space="0" w:color="auto"/>
            </w:tcBorders>
            <w:shd w:val="clear" w:color="auto" w:fill="auto"/>
            <w:vAlign w:val="center"/>
            <w:hideMark/>
          </w:tcPr>
          <w:p w14:paraId="3C90E0F2" w14:textId="77777777" w:rsidR="009A4C46" w:rsidRPr="00F94FED" w:rsidRDefault="009A4C46" w:rsidP="005C3ACA">
            <w:pPr>
              <w:spacing w:after="0" w:line="240" w:lineRule="auto"/>
              <w:rPr>
                <w:rFonts w:eastAsia="Times New Roman"/>
                <w:lang w:eastAsia="ru-RU"/>
              </w:rPr>
            </w:pPr>
            <w:r w:rsidRPr="00F94FED">
              <w:rPr>
                <w:rFonts w:eastAsia="Times New Roman"/>
                <w:lang w:eastAsia="ru-RU"/>
              </w:rPr>
              <w:t xml:space="preserve">выручка от передачи электроэнергии </w:t>
            </w:r>
          </w:p>
        </w:tc>
        <w:tc>
          <w:tcPr>
            <w:tcW w:w="1480" w:type="dxa"/>
            <w:tcBorders>
              <w:top w:val="nil"/>
              <w:left w:val="nil"/>
              <w:bottom w:val="single" w:sz="8" w:space="0" w:color="auto"/>
              <w:right w:val="single" w:sz="8" w:space="0" w:color="auto"/>
            </w:tcBorders>
            <w:shd w:val="clear" w:color="auto" w:fill="auto"/>
            <w:noWrap/>
            <w:vAlign w:val="center"/>
            <w:hideMark/>
          </w:tcPr>
          <w:p w14:paraId="1D127BBC" w14:textId="77777777" w:rsidR="009A4C46" w:rsidRPr="00F94FED" w:rsidRDefault="009A4C46">
            <w:pPr>
              <w:spacing w:after="0" w:line="240" w:lineRule="auto"/>
              <w:jc w:val="right"/>
              <w:rPr>
                <w:rFonts w:eastAsia="Times New Roman"/>
                <w:lang w:eastAsia="ru-RU"/>
              </w:rPr>
            </w:pPr>
            <w:r w:rsidRPr="00F94FED">
              <w:rPr>
                <w:rFonts w:eastAsia="Times New Roman"/>
                <w:lang w:eastAsia="ru-RU"/>
              </w:rPr>
              <w:t>1 172 166</w:t>
            </w:r>
          </w:p>
        </w:tc>
        <w:tc>
          <w:tcPr>
            <w:tcW w:w="1480" w:type="dxa"/>
            <w:tcBorders>
              <w:top w:val="nil"/>
              <w:left w:val="nil"/>
              <w:bottom w:val="single" w:sz="8" w:space="0" w:color="auto"/>
              <w:right w:val="single" w:sz="8" w:space="0" w:color="auto"/>
            </w:tcBorders>
            <w:shd w:val="clear" w:color="auto" w:fill="auto"/>
            <w:noWrap/>
            <w:vAlign w:val="center"/>
            <w:hideMark/>
          </w:tcPr>
          <w:p w14:paraId="69218A46" w14:textId="77777777" w:rsidR="009A4C46" w:rsidRPr="00F94FED" w:rsidRDefault="009A4C46">
            <w:pPr>
              <w:spacing w:after="0" w:line="240" w:lineRule="auto"/>
              <w:jc w:val="right"/>
              <w:rPr>
                <w:rFonts w:eastAsia="Times New Roman"/>
                <w:lang w:eastAsia="ru-RU"/>
              </w:rPr>
            </w:pPr>
            <w:r w:rsidRPr="00F94FED">
              <w:rPr>
                <w:rFonts w:eastAsia="Times New Roman"/>
                <w:lang w:eastAsia="ru-RU"/>
              </w:rPr>
              <w:t>1 323 178</w:t>
            </w:r>
          </w:p>
        </w:tc>
        <w:tc>
          <w:tcPr>
            <w:tcW w:w="1576" w:type="dxa"/>
            <w:tcBorders>
              <w:top w:val="nil"/>
              <w:left w:val="nil"/>
              <w:bottom w:val="single" w:sz="8" w:space="0" w:color="auto"/>
              <w:right w:val="single" w:sz="8" w:space="0" w:color="auto"/>
            </w:tcBorders>
            <w:shd w:val="clear" w:color="auto" w:fill="auto"/>
            <w:noWrap/>
            <w:vAlign w:val="center"/>
            <w:hideMark/>
          </w:tcPr>
          <w:p w14:paraId="46C29B5C" w14:textId="77777777" w:rsidR="009A4C46" w:rsidRPr="00F94FED" w:rsidRDefault="009A4C46">
            <w:pPr>
              <w:spacing w:after="0" w:line="240" w:lineRule="auto"/>
              <w:jc w:val="right"/>
              <w:rPr>
                <w:rFonts w:eastAsia="Times New Roman"/>
                <w:lang w:eastAsia="ru-RU"/>
              </w:rPr>
            </w:pPr>
            <w:r w:rsidRPr="00F94FED">
              <w:rPr>
                <w:rFonts w:eastAsia="Times New Roman"/>
                <w:lang w:eastAsia="ru-RU"/>
              </w:rPr>
              <w:t>151 012</w:t>
            </w:r>
          </w:p>
        </w:tc>
        <w:tc>
          <w:tcPr>
            <w:tcW w:w="1559" w:type="dxa"/>
            <w:tcBorders>
              <w:top w:val="nil"/>
              <w:left w:val="nil"/>
              <w:bottom w:val="single" w:sz="8" w:space="0" w:color="auto"/>
              <w:right w:val="single" w:sz="8" w:space="0" w:color="auto"/>
            </w:tcBorders>
            <w:shd w:val="clear" w:color="auto" w:fill="auto"/>
            <w:noWrap/>
            <w:vAlign w:val="center"/>
            <w:hideMark/>
          </w:tcPr>
          <w:p w14:paraId="32CF02E5" w14:textId="77777777" w:rsidR="009A4C46" w:rsidRPr="009A4C46" w:rsidRDefault="009A4C46">
            <w:pPr>
              <w:spacing w:after="0" w:line="240" w:lineRule="auto"/>
              <w:jc w:val="right"/>
              <w:rPr>
                <w:rFonts w:eastAsia="Times New Roman"/>
                <w:sz w:val="18"/>
                <w:szCs w:val="18"/>
                <w:lang w:eastAsia="ru-RU"/>
              </w:rPr>
            </w:pPr>
            <w:r w:rsidRPr="009A4C46">
              <w:rPr>
                <w:rFonts w:eastAsia="Times New Roman"/>
                <w:sz w:val="18"/>
                <w:szCs w:val="18"/>
                <w:lang w:eastAsia="ru-RU"/>
              </w:rPr>
              <w:t>13%</w:t>
            </w:r>
          </w:p>
        </w:tc>
      </w:tr>
      <w:tr w:rsidR="009A4C46" w:rsidRPr="009A4C46" w14:paraId="55C4AED4" w14:textId="77777777" w:rsidTr="00070F3E">
        <w:trPr>
          <w:trHeight w:val="315"/>
        </w:trPr>
        <w:tc>
          <w:tcPr>
            <w:tcW w:w="3407" w:type="dxa"/>
            <w:tcBorders>
              <w:top w:val="nil"/>
              <w:left w:val="single" w:sz="8" w:space="0" w:color="auto"/>
              <w:bottom w:val="single" w:sz="8" w:space="0" w:color="auto"/>
              <w:right w:val="single" w:sz="8" w:space="0" w:color="auto"/>
            </w:tcBorders>
            <w:shd w:val="clear" w:color="auto" w:fill="auto"/>
            <w:vAlign w:val="center"/>
            <w:hideMark/>
          </w:tcPr>
          <w:p w14:paraId="33390E35" w14:textId="77777777" w:rsidR="009A4C46" w:rsidRPr="00F94FED" w:rsidRDefault="009A4C46" w:rsidP="005C3ACA">
            <w:pPr>
              <w:spacing w:after="0" w:line="240" w:lineRule="auto"/>
              <w:rPr>
                <w:rFonts w:eastAsia="Times New Roman"/>
                <w:lang w:eastAsia="ru-RU"/>
              </w:rPr>
            </w:pPr>
            <w:r w:rsidRPr="00F94FED">
              <w:rPr>
                <w:rFonts w:eastAsia="Times New Roman"/>
                <w:lang w:eastAsia="ru-RU"/>
              </w:rPr>
              <w:t xml:space="preserve">выручка от техприсоединения </w:t>
            </w:r>
          </w:p>
        </w:tc>
        <w:tc>
          <w:tcPr>
            <w:tcW w:w="1480" w:type="dxa"/>
            <w:tcBorders>
              <w:top w:val="nil"/>
              <w:left w:val="nil"/>
              <w:bottom w:val="single" w:sz="8" w:space="0" w:color="auto"/>
              <w:right w:val="single" w:sz="8" w:space="0" w:color="auto"/>
            </w:tcBorders>
            <w:shd w:val="clear" w:color="auto" w:fill="auto"/>
            <w:noWrap/>
            <w:vAlign w:val="center"/>
            <w:hideMark/>
          </w:tcPr>
          <w:p w14:paraId="2EE2DBED" w14:textId="77777777" w:rsidR="009A4C46" w:rsidRPr="00F94FED" w:rsidRDefault="009A4C46">
            <w:pPr>
              <w:spacing w:after="0" w:line="240" w:lineRule="auto"/>
              <w:jc w:val="right"/>
              <w:rPr>
                <w:rFonts w:eastAsia="Times New Roman"/>
                <w:lang w:eastAsia="ru-RU"/>
              </w:rPr>
            </w:pPr>
            <w:r w:rsidRPr="00F94FED">
              <w:rPr>
                <w:rFonts w:eastAsia="Times New Roman"/>
                <w:lang w:eastAsia="ru-RU"/>
              </w:rPr>
              <w:t>626 901</w:t>
            </w:r>
          </w:p>
        </w:tc>
        <w:tc>
          <w:tcPr>
            <w:tcW w:w="1480" w:type="dxa"/>
            <w:tcBorders>
              <w:top w:val="nil"/>
              <w:left w:val="nil"/>
              <w:bottom w:val="single" w:sz="8" w:space="0" w:color="auto"/>
              <w:right w:val="single" w:sz="8" w:space="0" w:color="auto"/>
            </w:tcBorders>
            <w:shd w:val="clear" w:color="auto" w:fill="auto"/>
            <w:noWrap/>
            <w:vAlign w:val="center"/>
            <w:hideMark/>
          </w:tcPr>
          <w:p w14:paraId="501BD050" w14:textId="77777777" w:rsidR="009A4C46" w:rsidRPr="00F94FED" w:rsidRDefault="009A4C46">
            <w:pPr>
              <w:spacing w:after="0" w:line="240" w:lineRule="auto"/>
              <w:jc w:val="right"/>
              <w:rPr>
                <w:rFonts w:eastAsia="Times New Roman"/>
                <w:lang w:eastAsia="ru-RU"/>
              </w:rPr>
            </w:pPr>
            <w:r w:rsidRPr="00F94FED">
              <w:rPr>
                <w:rFonts w:eastAsia="Times New Roman"/>
                <w:lang w:eastAsia="ru-RU"/>
              </w:rPr>
              <w:t>33 649</w:t>
            </w:r>
          </w:p>
        </w:tc>
        <w:tc>
          <w:tcPr>
            <w:tcW w:w="1576" w:type="dxa"/>
            <w:tcBorders>
              <w:top w:val="nil"/>
              <w:left w:val="nil"/>
              <w:bottom w:val="single" w:sz="8" w:space="0" w:color="auto"/>
              <w:right w:val="single" w:sz="8" w:space="0" w:color="auto"/>
            </w:tcBorders>
            <w:shd w:val="clear" w:color="auto" w:fill="auto"/>
            <w:noWrap/>
            <w:vAlign w:val="center"/>
            <w:hideMark/>
          </w:tcPr>
          <w:p w14:paraId="56137643" w14:textId="77777777" w:rsidR="009A4C46" w:rsidRPr="00F94FED" w:rsidRDefault="009A4C46">
            <w:pPr>
              <w:spacing w:after="0" w:line="240" w:lineRule="auto"/>
              <w:jc w:val="right"/>
              <w:rPr>
                <w:rFonts w:eastAsia="Times New Roman"/>
                <w:lang w:eastAsia="ru-RU"/>
              </w:rPr>
            </w:pPr>
            <w:r w:rsidRPr="00F94FED">
              <w:rPr>
                <w:rFonts w:eastAsia="Times New Roman"/>
                <w:lang w:eastAsia="ru-RU"/>
              </w:rPr>
              <w:t>-593 252</w:t>
            </w:r>
          </w:p>
        </w:tc>
        <w:tc>
          <w:tcPr>
            <w:tcW w:w="1559" w:type="dxa"/>
            <w:tcBorders>
              <w:top w:val="nil"/>
              <w:left w:val="nil"/>
              <w:bottom w:val="single" w:sz="8" w:space="0" w:color="auto"/>
              <w:right w:val="single" w:sz="8" w:space="0" w:color="auto"/>
            </w:tcBorders>
            <w:shd w:val="clear" w:color="auto" w:fill="auto"/>
            <w:noWrap/>
            <w:vAlign w:val="center"/>
            <w:hideMark/>
          </w:tcPr>
          <w:p w14:paraId="43ACC314" w14:textId="77777777" w:rsidR="009A4C46" w:rsidRPr="009A4C46" w:rsidRDefault="009A4C46">
            <w:pPr>
              <w:spacing w:after="0" w:line="240" w:lineRule="auto"/>
              <w:jc w:val="right"/>
              <w:rPr>
                <w:rFonts w:eastAsia="Times New Roman"/>
                <w:sz w:val="18"/>
                <w:szCs w:val="18"/>
                <w:lang w:eastAsia="ru-RU"/>
              </w:rPr>
            </w:pPr>
            <w:r w:rsidRPr="009A4C46">
              <w:rPr>
                <w:rFonts w:eastAsia="Times New Roman"/>
                <w:sz w:val="18"/>
                <w:szCs w:val="18"/>
                <w:lang w:eastAsia="ru-RU"/>
              </w:rPr>
              <w:t>-95%</w:t>
            </w:r>
          </w:p>
        </w:tc>
      </w:tr>
      <w:tr w:rsidR="009A4C46" w:rsidRPr="009A4C46" w14:paraId="1F0AD24D" w14:textId="77777777" w:rsidTr="00070F3E">
        <w:trPr>
          <w:trHeight w:val="315"/>
        </w:trPr>
        <w:tc>
          <w:tcPr>
            <w:tcW w:w="3407" w:type="dxa"/>
            <w:tcBorders>
              <w:top w:val="nil"/>
              <w:left w:val="single" w:sz="8" w:space="0" w:color="auto"/>
              <w:bottom w:val="single" w:sz="8" w:space="0" w:color="auto"/>
              <w:right w:val="single" w:sz="8" w:space="0" w:color="auto"/>
            </w:tcBorders>
            <w:shd w:val="clear" w:color="auto" w:fill="auto"/>
            <w:vAlign w:val="center"/>
            <w:hideMark/>
          </w:tcPr>
          <w:p w14:paraId="7573EFAD" w14:textId="77777777" w:rsidR="009A4C46" w:rsidRPr="00F94FED" w:rsidRDefault="009A4C46" w:rsidP="005C3ACA">
            <w:pPr>
              <w:spacing w:after="0" w:line="240" w:lineRule="auto"/>
              <w:rPr>
                <w:rFonts w:eastAsia="Times New Roman"/>
                <w:lang w:eastAsia="ru-RU"/>
              </w:rPr>
            </w:pPr>
            <w:r w:rsidRPr="00F94FED">
              <w:rPr>
                <w:rFonts w:eastAsia="Times New Roman"/>
                <w:lang w:eastAsia="ru-RU"/>
              </w:rPr>
              <w:t>Прочая выручка</w:t>
            </w:r>
          </w:p>
        </w:tc>
        <w:tc>
          <w:tcPr>
            <w:tcW w:w="1480" w:type="dxa"/>
            <w:tcBorders>
              <w:top w:val="nil"/>
              <w:left w:val="nil"/>
              <w:bottom w:val="single" w:sz="8" w:space="0" w:color="auto"/>
              <w:right w:val="single" w:sz="8" w:space="0" w:color="auto"/>
            </w:tcBorders>
            <w:shd w:val="clear" w:color="auto" w:fill="auto"/>
            <w:noWrap/>
            <w:vAlign w:val="center"/>
            <w:hideMark/>
          </w:tcPr>
          <w:p w14:paraId="7BBEB8EE" w14:textId="77777777" w:rsidR="009A4C46" w:rsidRPr="00F94FED" w:rsidRDefault="009A4C46">
            <w:pPr>
              <w:spacing w:after="0" w:line="240" w:lineRule="auto"/>
              <w:jc w:val="right"/>
              <w:rPr>
                <w:rFonts w:eastAsia="Times New Roman"/>
                <w:lang w:eastAsia="ru-RU"/>
              </w:rPr>
            </w:pPr>
            <w:r w:rsidRPr="00F94FED">
              <w:rPr>
                <w:rFonts w:eastAsia="Times New Roman"/>
                <w:lang w:eastAsia="ru-RU"/>
              </w:rPr>
              <w:t>19 897</w:t>
            </w:r>
          </w:p>
        </w:tc>
        <w:tc>
          <w:tcPr>
            <w:tcW w:w="1480" w:type="dxa"/>
            <w:tcBorders>
              <w:top w:val="nil"/>
              <w:left w:val="nil"/>
              <w:bottom w:val="single" w:sz="8" w:space="0" w:color="auto"/>
              <w:right w:val="single" w:sz="8" w:space="0" w:color="auto"/>
            </w:tcBorders>
            <w:shd w:val="clear" w:color="auto" w:fill="auto"/>
            <w:noWrap/>
            <w:vAlign w:val="center"/>
            <w:hideMark/>
          </w:tcPr>
          <w:p w14:paraId="5EC970AE" w14:textId="77777777" w:rsidR="009A4C46" w:rsidRPr="00F94FED" w:rsidRDefault="009A4C46">
            <w:pPr>
              <w:spacing w:after="0" w:line="240" w:lineRule="auto"/>
              <w:jc w:val="right"/>
              <w:rPr>
                <w:rFonts w:eastAsia="Times New Roman"/>
                <w:lang w:eastAsia="ru-RU"/>
              </w:rPr>
            </w:pPr>
            <w:r w:rsidRPr="00F94FED">
              <w:rPr>
                <w:rFonts w:eastAsia="Times New Roman"/>
                <w:lang w:eastAsia="ru-RU"/>
              </w:rPr>
              <w:t>14 900</w:t>
            </w:r>
          </w:p>
        </w:tc>
        <w:tc>
          <w:tcPr>
            <w:tcW w:w="1576" w:type="dxa"/>
            <w:tcBorders>
              <w:top w:val="nil"/>
              <w:left w:val="nil"/>
              <w:bottom w:val="single" w:sz="8" w:space="0" w:color="auto"/>
              <w:right w:val="single" w:sz="8" w:space="0" w:color="auto"/>
            </w:tcBorders>
            <w:shd w:val="clear" w:color="auto" w:fill="auto"/>
            <w:noWrap/>
            <w:vAlign w:val="center"/>
            <w:hideMark/>
          </w:tcPr>
          <w:p w14:paraId="70F4A48A" w14:textId="77777777" w:rsidR="009A4C46" w:rsidRPr="00F94FED" w:rsidRDefault="009A4C46">
            <w:pPr>
              <w:spacing w:after="0" w:line="240" w:lineRule="auto"/>
              <w:jc w:val="right"/>
              <w:rPr>
                <w:rFonts w:eastAsia="Times New Roman"/>
                <w:lang w:eastAsia="ru-RU"/>
              </w:rPr>
            </w:pPr>
            <w:r w:rsidRPr="00F94FED">
              <w:rPr>
                <w:rFonts w:eastAsia="Times New Roman"/>
                <w:lang w:eastAsia="ru-RU"/>
              </w:rPr>
              <w:t>-4 997</w:t>
            </w:r>
          </w:p>
        </w:tc>
        <w:tc>
          <w:tcPr>
            <w:tcW w:w="1559" w:type="dxa"/>
            <w:tcBorders>
              <w:top w:val="nil"/>
              <w:left w:val="nil"/>
              <w:bottom w:val="single" w:sz="8" w:space="0" w:color="auto"/>
              <w:right w:val="single" w:sz="8" w:space="0" w:color="auto"/>
            </w:tcBorders>
            <w:shd w:val="clear" w:color="auto" w:fill="auto"/>
            <w:noWrap/>
            <w:vAlign w:val="center"/>
            <w:hideMark/>
          </w:tcPr>
          <w:p w14:paraId="74594076" w14:textId="77777777" w:rsidR="009A4C46" w:rsidRPr="009A4C46" w:rsidRDefault="009A4C46">
            <w:pPr>
              <w:spacing w:after="0" w:line="240" w:lineRule="auto"/>
              <w:jc w:val="right"/>
              <w:rPr>
                <w:rFonts w:eastAsia="Times New Roman"/>
                <w:sz w:val="18"/>
                <w:szCs w:val="18"/>
                <w:lang w:eastAsia="ru-RU"/>
              </w:rPr>
            </w:pPr>
            <w:r w:rsidRPr="009A4C46">
              <w:rPr>
                <w:rFonts w:eastAsia="Times New Roman"/>
                <w:sz w:val="18"/>
                <w:szCs w:val="18"/>
                <w:lang w:eastAsia="ru-RU"/>
              </w:rPr>
              <w:t>-25%</w:t>
            </w:r>
          </w:p>
        </w:tc>
      </w:tr>
      <w:tr w:rsidR="009A4C46" w:rsidRPr="009A4C46" w14:paraId="525BA901" w14:textId="77777777" w:rsidTr="00070F3E">
        <w:trPr>
          <w:trHeight w:val="315"/>
        </w:trPr>
        <w:tc>
          <w:tcPr>
            <w:tcW w:w="3407" w:type="dxa"/>
            <w:tcBorders>
              <w:top w:val="nil"/>
              <w:left w:val="single" w:sz="8" w:space="0" w:color="auto"/>
              <w:bottom w:val="single" w:sz="8" w:space="0" w:color="auto"/>
              <w:right w:val="single" w:sz="8" w:space="0" w:color="auto"/>
            </w:tcBorders>
            <w:shd w:val="clear" w:color="auto" w:fill="D6E3BC" w:themeFill="accent3" w:themeFillTint="66"/>
            <w:vAlign w:val="center"/>
            <w:hideMark/>
          </w:tcPr>
          <w:p w14:paraId="7D3288F2" w14:textId="77777777" w:rsidR="009A4C46" w:rsidRPr="00F94FED" w:rsidRDefault="009A4C46" w:rsidP="005C3ACA">
            <w:pPr>
              <w:spacing w:after="0" w:line="240" w:lineRule="auto"/>
              <w:rPr>
                <w:rFonts w:eastAsia="Times New Roman"/>
                <w:lang w:eastAsia="ru-RU"/>
              </w:rPr>
            </w:pPr>
            <w:r w:rsidRPr="00F94FED">
              <w:rPr>
                <w:rFonts w:eastAsia="Times New Roman"/>
                <w:lang w:eastAsia="ru-RU"/>
              </w:rPr>
              <w:t>Себестоимость продаж</w:t>
            </w:r>
          </w:p>
        </w:tc>
        <w:tc>
          <w:tcPr>
            <w:tcW w:w="1480" w:type="dxa"/>
            <w:tcBorders>
              <w:top w:val="nil"/>
              <w:left w:val="nil"/>
              <w:bottom w:val="single" w:sz="8" w:space="0" w:color="auto"/>
              <w:right w:val="single" w:sz="8" w:space="0" w:color="auto"/>
            </w:tcBorders>
            <w:shd w:val="clear" w:color="auto" w:fill="D6E3BC" w:themeFill="accent3" w:themeFillTint="66"/>
            <w:noWrap/>
            <w:vAlign w:val="center"/>
            <w:hideMark/>
          </w:tcPr>
          <w:p w14:paraId="16BC95DE" w14:textId="77777777" w:rsidR="009A4C46" w:rsidRPr="00F94FED" w:rsidRDefault="009A4C46">
            <w:pPr>
              <w:spacing w:after="0" w:line="240" w:lineRule="auto"/>
              <w:jc w:val="right"/>
              <w:rPr>
                <w:rFonts w:eastAsia="Times New Roman"/>
                <w:lang w:eastAsia="ru-RU"/>
              </w:rPr>
            </w:pPr>
            <w:r w:rsidRPr="00F94FED">
              <w:rPr>
                <w:rFonts w:eastAsia="Times New Roman"/>
                <w:lang w:eastAsia="ru-RU"/>
              </w:rPr>
              <w:t>860 132</w:t>
            </w:r>
          </w:p>
        </w:tc>
        <w:tc>
          <w:tcPr>
            <w:tcW w:w="1480" w:type="dxa"/>
            <w:tcBorders>
              <w:top w:val="nil"/>
              <w:left w:val="nil"/>
              <w:bottom w:val="single" w:sz="8" w:space="0" w:color="auto"/>
              <w:right w:val="single" w:sz="8" w:space="0" w:color="auto"/>
            </w:tcBorders>
            <w:shd w:val="clear" w:color="auto" w:fill="D6E3BC" w:themeFill="accent3" w:themeFillTint="66"/>
            <w:noWrap/>
            <w:vAlign w:val="center"/>
            <w:hideMark/>
          </w:tcPr>
          <w:p w14:paraId="5BCE1321" w14:textId="77777777" w:rsidR="009A4C46" w:rsidRPr="00F94FED" w:rsidRDefault="009A4C46">
            <w:pPr>
              <w:spacing w:after="0" w:line="240" w:lineRule="auto"/>
              <w:jc w:val="right"/>
              <w:rPr>
                <w:rFonts w:eastAsia="Times New Roman"/>
                <w:lang w:eastAsia="ru-RU"/>
              </w:rPr>
            </w:pPr>
            <w:r w:rsidRPr="00F94FED">
              <w:rPr>
                <w:rFonts w:eastAsia="Times New Roman"/>
                <w:lang w:eastAsia="ru-RU"/>
              </w:rPr>
              <w:t>976 430</w:t>
            </w:r>
          </w:p>
        </w:tc>
        <w:tc>
          <w:tcPr>
            <w:tcW w:w="1576" w:type="dxa"/>
            <w:tcBorders>
              <w:top w:val="nil"/>
              <w:left w:val="nil"/>
              <w:bottom w:val="single" w:sz="8" w:space="0" w:color="auto"/>
              <w:right w:val="single" w:sz="8" w:space="0" w:color="auto"/>
            </w:tcBorders>
            <w:shd w:val="clear" w:color="auto" w:fill="D6E3BC" w:themeFill="accent3" w:themeFillTint="66"/>
            <w:noWrap/>
            <w:vAlign w:val="center"/>
            <w:hideMark/>
          </w:tcPr>
          <w:p w14:paraId="0BC0BCA5" w14:textId="77777777" w:rsidR="009A4C46" w:rsidRPr="00F94FED" w:rsidRDefault="009A4C46">
            <w:pPr>
              <w:spacing w:after="0" w:line="240" w:lineRule="auto"/>
              <w:jc w:val="right"/>
              <w:rPr>
                <w:rFonts w:eastAsia="Times New Roman"/>
                <w:lang w:eastAsia="ru-RU"/>
              </w:rPr>
            </w:pPr>
            <w:r w:rsidRPr="00F94FED">
              <w:rPr>
                <w:rFonts w:eastAsia="Times New Roman"/>
                <w:lang w:eastAsia="ru-RU"/>
              </w:rPr>
              <w:t>116 297</w:t>
            </w:r>
          </w:p>
        </w:tc>
        <w:tc>
          <w:tcPr>
            <w:tcW w:w="1559" w:type="dxa"/>
            <w:tcBorders>
              <w:top w:val="nil"/>
              <w:left w:val="nil"/>
              <w:bottom w:val="single" w:sz="8" w:space="0" w:color="auto"/>
              <w:right w:val="single" w:sz="8" w:space="0" w:color="auto"/>
            </w:tcBorders>
            <w:shd w:val="clear" w:color="auto" w:fill="D6E3BC" w:themeFill="accent3" w:themeFillTint="66"/>
            <w:noWrap/>
            <w:vAlign w:val="center"/>
            <w:hideMark/>
          </w:tcPr>
          <w:p w14:paraId="7C11CFBE" w14:textId="77777777" w:rsidR="009A4C46" w:rsidRPr="009A4C46" w:rsidRDefault="009A4C46">
            <w:pPr>
              <w:spacing w:after="0" w:line="240" w:lineRule="auto"/>
              <w:jc w:val="right"/>
              <w:rPr>
                <w:rFonts w:eastAsia="Times New Roman"/>
                <w:sz w:val="18"/>
                <w:szCs w:val="18"/>
                <w:lang w:eastAsia="ru-RU"/>
              </w:rPr>
            </w:pPr>
            <w:r w:rsidRPr="009A4C46">
              <w:rPr>
                <w:rFonts w:eastAsia="Times New Roman"/>
                <w:sz w:val="18"/>
                <w:szCs w:val="18"/>
                <w:lang w:eastAsia="ru-RU"/>
              </w:rPr>
              <w:t>14%</w:t>
            </w:r>
          </w:p>
        </w:tc>
      </w:tr>
      <w:tr w:rsidR="009A4C46" w:rsidRPr="009A4C46" w14:paraId="385BB345" w14:textId="77777777" w:rsidTr="00070F3E">
        <w:trPr>
          <w:trHeight w:val="315"/>
        </w:trPr>
        <w:tc>
          <w:tcPr>
            <w:tcW w:w="3407" w:type="dxa"/>
            <w:tcBorders>
              <w:top w:val="nil"/>
              <w:left w:val="single" w:sz="8" w:space="0" w:color="auto"/>
              <w:bottom w:val="single" w:sz="8" w:space="0" w:color="auto"/>
              <w:right w:val="single" w:sz="8" w:space="0" w:color="auto"/>
            </w:tcBorders>
            <w:shd w:val="clear" w:color="auto" w:fill="auto"/>
            <w:vAlign w:val="center"/>
            <w:hideMark/>
          </w:tcPr>
          <w:p w14:paraId="216F644E" w14:textId="77777777" w:rsidR="009A4C46" w:rsidRPr="00F94FED" w:rsidRDefault="009A4C46" w:rsidP="005C3ACA">
            <w:pPr>
              <w:spacing w:after="0" w:line="240" w:lineRule="auto"/>
              <w:rPr>
                <w:rFonts w:eastAsia="Times New Roman"/>
                <w:lang w:eastAsia="ru-RU"/>
              </w:rPr>
            </w:pPr>
            <w:r w:rsidRPr="00F94FED">
              <w:rPr>
                <w:rFonts w:eastAsia="Times New Roman"/>
                <w:lang w:eastAsia="ru-RU"/>
              </w:rPr>
              <w:t xml:space="preserve">в том числе </w:t>
            </w:r>
          </w:p>
        </w:tc>
        <w:tc>
          <w:tcPr>
            <w:tcW w:w="1480" w:type="dxa"/>
            <w:tcBorders>
              <w:top w:val="nil"/>
              <w:left w:val="nil"/>
              <w:bottom w:val="single" w:sz="8" w:space="0" w:color="auto"/>
              <w:right w:val="single" w:sz="8" w:space="0" w:color="auto"/>
            </w:tcBorders>
            <w:shd w:val="clear" w:color="auto" w:fill="auto"/>
            <w:noWrap/>
            <w:vAlign w:val="center"/>
            <w:hideMark/>
          </w:tcPr>
          <w:p w14:paraId="4967CF1D" w14:textId="77777777" w:rsidR="009A4C46" w:rsidRPr="00F94FED" w:rsidRDefault="009A4C46">
            <w:pPr>
              <w:spacing w:after="0" w:line="240" w:lineRule="auto"/>
              <w:rPr>
                <w:rFonts w:eastAsia="Times New Roman"/>
                <w:lang w:eastAsia="ru-RU"/>
              </w:rPr>
            </w:pPr>
            <w:r w:rsidRPr="00F94FED">
              <w:rPr>
                <w:rFonts w:eastAsia="Times New Roman"/>
                <w:lang w:eastAsia="ru-RU"/>
              </w:rPr>
              <w:t> </w:t>
            </w:r>
          </w:p>
        </w:tc>
        <w:tc>
          <w:tcPr>
            <w:tcW w:w="1480" w:type="dxa"/>
            <w:tcBorders>
              <w:top w:val="nil"/>
              <w:left w:val="nil"/>
              <w:bottom w:val="single" w:sz="8" w:space="0" w:color="auto"/>
              <w:right w:val="single" w:sz="8" w:space="0" w:color="auto"/>
            </w:tcBorders>
            <w:shd w:val="clear" w:color="auto" w:fill="auto"/>
            <w:noWrap/>
            <w:vAlign w:val="center"/>
            <w:hideMark/>
          </w:tcPr>
          <w:p w14:paraId="2E817004" w14:textId="77777777" w:rsidR="009A4C46" w:rsidRPr="00F94FED" w:rsidRDefault="009A4C46">
            <w:pPr>
              <w:spacing w:after="0" w:line="240" w:lineRule="auto"/>
              <w:rPr>
                <w:rFonts w:eastAsia="Times New Roman"/>
                <w:lang w:eastAsia="ru-RU"/>
              </w:rPr>
            </w:pPr>
            <w:r w:rsidRPr="00F94FED">
              <w:rPr>
                <w:rFonts w:eastAsia="Times New Roman"/>
                <w:lang w:eastAsia="ru-RU"/>
              </w:rPr>
              <w:t> </w:t>
            </w:r>
          </w:p>
        </w:tc>
        <w:tc>
          <w:tcPr>
            <w:tcW w:w="1576" w:type="dxa"/>
            <w:tcBorders>
              <w:top w:val="nil"/>
              <w:left w:val="nil"/>
              <w:bottom w:val="single" w:sz="8" w:space="0" w:color="auto"/>
              <w:right w:val="single" w:sz="8" w:space="0" w:color="auto"/>
            </w:tcBorders>
            <w:shd w:val="clear" w:color="auto" w:fill="auto"/>
            <w:noWrap/>
            <w:vAlign w:val="center"/>
            <w:hideMark/>
          </w:tcPr>
          <w:p w14:paraId="36B3132F" w14:textId="77777777" w:rsidR="009A4C46" w:rsidRPr="00F94FED" w:rsidRDefault="009A4C46">
            <w:pPr>
              <w:spacing w:after="0" w:line="240" w:lineRule="auto"/>
              <w:rPr>
                <w:rFonts w:eastAsia="Times New Roman"/>
                <w:lang w:eastAsia="ru-RU"/>
              </w:rPr>
            </w:pPr>
            <w:r w:rsidRPr="00F94FED">
              <w:rPr>
                <w:rFonts w:eastAsia="Times New Roman"/>
                <w:lang w:eastAsia="ru-RU"/>
              </w:rPr>
              <w:t> </w:t>
            </w:r>
          </w:p>
        </w:tc>
        <w:tc>
          <w:tcPr>
            <w:tcW w:w="1559" w:type="dxa"/>
            <w:tcBorders>
              <w:top w:val="nil"/>
              <w:left w:val="nil"/>
              <w:bottom w:val="single" w:sz="8" w:space="0" w:color="auto"/>
              <w:right w:val="single" w:sz="8" w:space="0" w:color="auto"/>
            </w:tcBorders>
            <w:shd w:val="clear" w:color="auto" w:fill="auto"/>
            <w:noWrap/>
            <w:vAlign w:val="center"/>
            <w:hideMark/>
          </w:tcPr>
          <w:p w14:paraId="0EF3C1BA" w14:textId="77777777" w:rsidR="009A4C46" w:rsidRPr="009A4C46" w:rsidRDefault="009A4C46">
            <w:pPr>
              <w:spacing w:after="0" w:line="240" w:lineRule="auto"/>
              <w:rPr>
                <w:rFonts w:eastAsia="Times New Roman"/>
                <w:sz w:val="18"/>
                <w:szCs w:val="18"/>
                <w:lang w:eastAsia="ru-RU"/>
              </w:rPr>
            </w:pPr>
            <w:r w:rsidRPr="009A4C46">
              <w:rPr>
                <w:rFonts w:eastAsia="Times New Roman"/>
                <w:sz w:val="18"/>
                <w:szCs w:val="18"/>
                <w:lang w:eastAsia="ru-RU"/>
              </w:rPr>
              <w:t> </w:t>
            </w:r>
          </w:p>
        </w:tc>
      </w:tr>
      <w:tr w:rsidR="009A4C46" w:rsidRPr="009A4C46" w14:paraId="5E89400F" w14:textId="77777777" w:rsidTr="00070F3E">
        <w:trPr>
          <w:trHeight w:val="315"/>
        </w:trPr>
        <w:tc>
          <w:tcPr>
            <w:tcW w:w="3407" w:type="dxa"/>
            <w:tcBorders>
              <w:top w:val="nil"/>
              <w:left w:val="single" w:sz="8" w:space="0" w:color="auto"/>
              <w:bottom w:val="single" w:sz="8" w:space="0" w:color="auto"/>
              <w:right w:val="single" w:sz="8" w:space="0" w:color="auto"/>
            </w:tcBorders>
            <w:shd w:val="clear" w:color="auto" w:fill="auto"/>
            <w:vAlign w:val="center"/>
            <w:hideMark/>
          </w:tcPr>
          <w:p w14:paraId="30F92879" w14:textId="77777777" w:rsidR="009A4C46" w:rsidRPr="00F94FED" w:rsidRDefault="009A4C46" w:rsidP="005C3ACA">
            <w:pPr>
              <w:spacing w:after="0" w:line="240" w:lineRule="auto"/>
              <w:rPr>
                <w:rFonts w:eastAsia="Times New Roman"/>
                <w:lang w:eastAsia="ru-RU"/>
              </w:rPr>
            </w:pPr>
            <w:r w:rsidRPr="00F94FED">
              <w:rPr>
                <w:rFonts w:eastAsia="Times New Roman"/>
                <w:lang w:eastAsia="ru-RU"/>
              </w:rPr>
              <w:t>себестоимость передачи электроэнергии</w:t>
            </w:r>
          </w:p>
        </w:tc>
        <w:tc>
          <w:tcPr>
            <w:tcW w:w="1480" w:type="dxa"/>
            <w:tcBorders>
              <w:top w:val="nil"/>
              <w:left w:val="nil"/>
              <w:bottom w:val="single" w:sz="8" w:space="0" w:color="auto"/>
              <w:right w:val="single" w:sz="8" w:space="0" w:color="auto"/>
            </w:tcBorders>
            <w:shd w:val="clear" w:color="auto" w:fill="auto"/>
            <w:noWrap/>
            <w:vAlign w:val="center"/>
            <w:hideMark/>
          </w:tcPr>
          <w:p w14:paraId="61926B98" w14:textId="77777777" w:rsidR="009A4C46" w:rsidRPr="00F94FED" w:rsidRDefault="009A4C46">
            <w:pPr>
              <w:spacing w:after="0" w:line="240" w:lineRule="auto"/>
              <w:jc w:val="right"/>
              <w:rPr>
                <w:rFonts w:eastAsia="Times New Roman"/>
                <w:lang w:eastAsia="ru-RU"/>
              </w:rPr>
            </w:pPr>
            <w:r w:rsidRPr="00F94FED">
              <w:rPr>
                <w:rFonts w:eastAsia="Times New Roman"/>
                <w:lang w:eastAsia="ru-RU"/>
              </w:rPr>
              <w:t>851 008</w:t>
            </w:r>
          </w:p>
        </w:tc>
        <w:tc>
          <w:tcPr>
            <w:tcW w:w="1480" w:type="dxa"/>
            <w:tcBorders>
              <w:top w:val="nil"/>
              <w:left w:val="nil"/>
              <w:bottom w:val="single" w:sz="8" w:space="0" w:color="auto"/>
              <w:right w:val="single" w:sz="8" w:space="0" w:color="auto"/>
            </w:tcBorders>
            <w:shd w:val="clear" w:color="auto" w:fill="auto"/>
            <w:noWrap/>
            <w:vAlign w:val="center"/>
            <w:hideMark/>
          </w:tcPr>
          <w:p w14:paraId="4936848E" w14:textId="77777777" w:rsidR="009A4C46" w:rsidRPr="00F94FED" w:rsidRDefault="009A4C46">
            <w:pPr>
              <w:spacing w:after="0" w:line="240" w:lineRule="auto"/>
              <w:jc w:val="right"/>
              <w:rPr>
                <w:rFonts w:eastAsia="Times New Roman"/>
                <w:lang w:eastAsia="ru-RU"/>
              </w:rPr>
            </w:pPr>
            <w:r w:rsidRPr="00F94FED">
              <w:rPr>
                <w:rFonts w:eastAsia="Times New Roman"/>
                <w:lang w:eastAsia="ru-RU"/>
              </w:rPr>
              <w:t>968 147</w:t>
            </w:r>
          </w:p>
        </w:tc>
        <w:tc>
          <w:tcPr>
            <w:tcW w:w="1576" w:type="dxa"/>
            <w:tcBorders>
              <w:top w:val="nil"/>
              <w:left w:val="nil"/>
              <w:bottom w:val="single" w:sz="8" w:space="0" w:color="auto"/>
              <w:right w:val="single" w:sz="8" w:space="0" w:color="auto"/>
            </w:tcBorders>
            <w:shd w:val="clear" w:color="auto" w:fill="auto"/>
            <w:noWrap/>
            <w:vAlign w:val="center"/>
            <w:hideMark/>
          </w:tcPr>
          <w:p w14:paraId="4B88095C" w14:textId="77777777" w:rsidR="009A4C46" w:rsidRPr="00F94FED" w:rsidRDefault="009A4C46">
            <w:pPr>
              <w:spacing w:after="0" w:line="240" w:lineRule="auto"/>
              <w:jc w:val="right"/>
              <w:rPr>
                <w:rFonts w:eastAsia="Times New Roman"/>
                <w:lang w:eastAsia="ru-RU"/>
              </w:rPr>
            </w:pPr>
            <w:r w:rsidRPr="00F94FED">
              <w:rPr>
                <w:rFonts w:eastAsia="Times New Roman"/>
                <w:lang w:eastAsia="ru-RU"/>
              </w:rPr>
              <w:t>117 139</w:t>
            </w:r>
          </w:p>
        </w:tc>
        <w:tc>
          <w:tcPr>
            <w:tcW w:w="1559" w:type="dxa"/>
            <w:tcBorders>
              <w:top w:val="nil"/>
              <w:left w:val="nil"/>
              <w:bottom w:val="single" w:sz="8" w:space="0" w:color="auto"/>
              <w:right w:val="single" w:sz="8" w:space="0" w:color="auto"/>
            </w:tcBorders>
            <w:shd w:val="clear" w:color="auto" w:fill="auto"/>
            <w:noWrap/>
            <w:vAlign w:val="center"/>
            <w:hideMark/>
          </w:tcPr>
          <w:p w14:paraId="3CDBFD17" w14:textId="77777777" w:rsidR="009A4C46" w:rsidRPr="009A4C46" w:rsidRDefault="009A4C46">
            <w:pPr>
              <w:spacing w:after="0" w:line="240" w:lineRule="auto"/>
              <w:jc w:val="right"/>
              <w:rPr>
                <w:rFonts w:eastAsia="Times New Roman"/>
                <w:sz w:val="18"/>
                <w:szCs w:val="18"/>
                <w:lang w:eastAsia="ru-RU"/>
              </w:rPr>
            </w:pPr>
            <w:r w:rsidRPr="009A4C46">
              <w:rPr>
                <w:rFonts w:eastAsia="Times New Roman"/>
                <w:sz w:val="18"/>
                <w:szCs w:val="18"/>
                <w:lang w:eastAsia="ru-RU"/>
              </w:rPr>
              <w:t>14%</w:t>
            </w:r>
          </w:p>
        </w:tc>
      </w:tr>
      <w:tr w:rsidR="009A4C46" w:rsidRPr="009A4C46" w14:paraId="0275FA4A" w14:textId="77777777" w:rsidTr="00070F3E">
        <w:trPr>
          <w:trHeight w:val="315"/>
        </w:trPr>
        <w:tc>
          <w:tcPr>
            <w:tcW w:w="3407" w:type="dxa"/>
            <w:tcBorders>
              <w:top w:val="nil"/>
              <w:left w:val="single" w:sz="8" w:space="0" w:color="auto"/>
              <w:bottom w:val="single" w:sz="8" w:space="0" w:color="auto"/>
              <w:right w:val="single" w:sz="8" w:space="0" w:color="auto"/>
            </w:tcBorders>
            <w:shd w:val="clear" w:color="auto" w:fill="auto"/>
            <w:vAlign w:val="center"/>
            <w:hideMark/>
          </w:tcPr>
          <w:p w14:paraId="526B5E15" w14:textId="77777777" w:rsidR="009A4C46" w:rsidRPr="00F94FED" w:rsidRDefault="009A4C46" w:rsidP="005C3ACA">
            <w:pPr>
              <w:spacing w:after="0" w:line="240" w:lineRule="auto"/>
              <w:rPr>
                <w:rFonts w:eastAsia="Times New Roman"/>
                <w:lang w:eastAsia="ru-RU"/>
              </w:rPr>
            </w:pPr>
            <w:r w:rsidRPr="00F94FED">
              <w:rPr>
                <w:rFonts w:eastAsia="Times New Roman"/>
                <w:lang w:eastAsia="ru-RU"/>
              </w:rPr>
              <w:t xml:space="preserve">себестоимость техприсоединения </w:t>
            </w:r>
          </w:p>
        </w:tc>
        <w:tc>
          <w:tcPr>
            <w:tcW w:w="1480" w:type="dxa"/>
            <w:tcBorders>
              <w:top w:val="nil"/>
              <w:left w:val="nil"/>
              <w:bottom w:val="single" w:sz="8" w:space="0" w:color="auto"/>
              <w:right w:val="single" w:sz="8" w:space="0" w:color="auto"/>
            </w:tcBorders>
            <w:shd w:val="clear" w:color="auto" w:fill="auto"/>
            <w:noWrap/>
            <w:vAlign w:val="center"/>
            <w:hideMark/>
          </w:tcPr>
          <w:p w14:paraId="7C053546" w14:textId="77777777" w:rsidR="009A4C46" w:rsidRPr="00F94FED" w:rsidRDefault="009A4C46">
            <w:pPr>
              <w:spacing w:after="0" w:line="240" w:lineRule="auto"/>
              <w:jc w:val="right"/>
              <w:rPr>
                <w:rFonts w:eastAsia="Times New Roman"/>
                <w:lang w:eastAsia="ru-RU"/>
              </w:rPr>
            </w:pPr>
            <w:r w:rsidRPr="00F94FED">
              <w:rPr>
                <w:rFonts w:eastAsia="Times New Roman"/>
                <w:lang w:eastAsia="ru-RU"/>
              </w:rPr>
              <w:t>3 720</w:t>
            </w:r>
          </w:p>
        </w:tc>
        <w:tc>
          <w:tcPr>
            <w:tcW w:w="1480" w:type="dxa"/>
            <w:tcBorders>
              <w:top w:val="nil"/>
              <w:left w:val="nil"/>
              <w:bottom w:val="single" w:sz="8" w:space="0" w:color="auto"/>
              <w:right w:val="single" w:sz="8" w:space="0" w:color="auto"/>
            </w:tcBorders>
            <w:shd w:val="clear" w:color="auto" w:fill="auto"/>
            <w:noWrap/>
            <w:vAlign w:val="center"/>
            <w:hideMark/>
          </w:tcPr>
          <w:p w14:paraId="6ED9C2FA" w14:textId="77777777" w:rsidR="009A4C46" w:rsidRPr="00F94FED" w:rsidRDefault="009A4C46">
            <w:pPr>
              <w:spacing w:after="0" w:line="240" w:lineRule="auto"/>
              <w:jc w:val="right"/>
              <w:rPr>
                <w:rFonts w:eastAsia="Times New Roman"/>
                <w:lang w:eastAsia="ru-RU"/>
              </w:rPr>
            </w:pPr>
            <w:r w:rsidRPr="00F94FED">
              <w:rPr>
                <w:rFonts w:eastAsia="Times New Roman"/>
                <w:lang w:eastAsia="ru-RU"/>
              </w:rPr>
              <w:t>4 356</w:t>
            </w:r>
          </w:p>
        </w:tc>
        <w:tc>
          <w:tcPr>
            <w:tcW w:w="1576" w:type="dxa"/>
            <w:tcBorders>
              <w:top w:val="nil"/>
              <w:left w:val="nil"/>
              <w:bottom w:val="single" w:sz="8" w:space="0" w:color="auto"/>
              <w:right w:val="single" w:sz="8" w:space="0" w:color="auto"/>
            </w:tcBorders>
            <w:shd w:val="clear" w:color="auto" w:fill="auto"/>
            <w:noWrap/>
            <w:vAlign w:val="center"/>
            <w:hideMark/>
          </w:tcPr>
          <w:p w14:paraId="3319D719" w14:textId="77777777" w:rsidR="009A4C46" w:rsidRPr="00F94FED" w:rsidRDefault="009A4C46">
            <w:pPr>
              <w:spacing w:after="0" w:line="240" w:lineRule="auto"/>
              <w:jc w:val="right"/>
              <w:rPr>
                <w:rFonts w:eastAsia="Times New Roman"/>
                <w:lang w:eastAsia="ru-RU"/>
              </w:rPr>
            </w:pPr>
            <w:r w:rsidRPr="00F94FED">
              <w:rPr>
                <w:rFonts w:eastAsia="Times New Roman"/>
                <w:lang w:eastAsia="ru-RU"/>
              </w:rPr>
              <w:t>637</w:t>
            </w:r>
          </w:p>
        </w:tc>
        <w:tc>
          <w:tcPr>
            <w:tcW w:w="1559" w:type="dxa"/>
            <w:tcBorders>
              <w:top w:val="nil"/>
              <w:left w:val="nil"/>
              <w:bottom w:val="single" w:sz="8" w:space="0" w:color="auto"/>
              <w:right w:val="single" w:sz="8" w:space="0" w:color="auto"/>
            </w:tcBorders>
            <w:shd w:val="clear" w:color="auto" w:fill="auto"/>
            <w:noWrap/>
            <w:vAlign w:val="center"/>
            <w:hideMark/>
          </w:tcPr>
          <w:p w14:paraId="015DB1AD" w14:textId="77777777" w:rsidR="009A4C46" w:rsidRPr="009A4C46" w:rsidRDefault="009A4C46">
            <w:pPr>
              <w:spacing w:after="0" w:line="240" w:lineRule="auto"/>
              <w:jc w:val="right"/>
              <w:rPr>
                <w:rFonts w:eastAsia="Times New Roman"/>
                <w:sz w:val="18"/>
                <w:szCs w:val="18"/>
                <w:lang w:eastAsia="ru-RU"/>
              </w:rPr>
            </w:pPr>
            <w:r w:rsidRPr="009A4C46">
              <w:rPr>
                <w:rFonts w:eastAsia="Times New Roman"/>
                <w:sz w:val="18"/>
                <w:szCs w:val="18"/>
                <w:lang w:eastAsia="ru-RU"/>
              </w:rPr>
              <w:t>17%</w:t>
            </w:r>
          </w:p>
        </w:tc>
      </w:tr>
      <w:tr w:rsidR="009A4C46" w:rsidRPr="009A4C46" w14:paraId="2CA712F1" w14:textId="77777777" w:rsidTr="00070F3E">
        <w:trPr>
          <w:trHeight w:val="315"/>
        </w:trPr>
        <w:tc>
          <w:tcPr>
            <w:tcW w:w="3407" w:type="dxa"/>
            <w:tcBorders>
              <w:top w:val="nil"/>
              <w:left w:val="single" w:sz="8" w:space="0" w:color="auto"/>
              <w:bottom w:val="single" w:sz="8" w:space="0" w:color="auto"/>
              <w:right w:val="single" w:sz="8" w:space="0" w:color="auto"/>
            </w:tcBorders>
            <w:shd w:val="clear" w:color="auto" w:fill="auto"/>
            <w:vAlign w:val="center"/>
            <w:hideMark/>
          </w:tcPr>
          <w:p w14:paraId="030FA475" w14:textId="77777777" w:rsidR="009A4C46" w:rsidRPr="00F94FED" w:rsidRDefault="009A4C46" w:rsidP="005C3ACA">
            <w:pPr>
              <w:spacing w:after="0" w:line="240" w:lineRule="auto"/>
              <w:rPr>
                <w:rFonts w:eastAsia="Times New Roman"/>
                <w:lang w:eastAsia="ru-RU"/>
              </w:rPr>
            </w:pPr>
            <w:r w:rsidRPr="00F94FED">
              <w:rPr>
                <w:rFonts w:eastAsia="Times New Roman"/>
                <w:lang w:eastAsia="ru-RU"/>
              </w:rPr>
              <w:t>себестоимость прочей продукции</w:t>
            </w:r>
          </w:p>
        </w:tc>
        <w:tc>
          <w:tcPr>
            <w:tcW w:w="1480" w:type="dxa"/>
            <w:tcBorders>
              <w:top w:val="nil"/>
              <w:left w:val="nil"/>
              <w:bottom w:val="single" w:sz="8" w:space="0" w:color="auto"/>
              <w:right w:val="single" w:sz="8" w:space="0" w:color="auto"/>
            </w:tcBorders>
            <w:shd w:val="clear" w:color="auto" w:fill="auto"/>
            <w:noWrap/>
            <w:vAlign w:val="center"/>
            <w:hideMark/>
          </w:tcPr>
          <w:p w14:paraId="0A24C4A1" w14:textId="77777777" w:rsidR="009A4C46" w:rsidRPr="00F94FED" w:rsidRDefault="009A4C46">
            <w:pPr>
              <w:spacing w:after="0" w:line="240" w:lineRule="auto"/>
              <w:jc w:val="right"/>
              <w:rPr>
                <w:rFonts w:eastAsia="Times New Roman"/>
                <w:lang w:eastAsia="ru-RU"/>
              </w:rPr>
            </w:pPr>
            <w:r w:rsidRPr="00F94FED">
              <w:rPr>
                <w:rFonts w:eastAsia="Times New Roman"/>
                <w:lang w:eastAsia="ru-RU"/>
              </w:rPr>
              <w:t>5 405</w:t>
            </w:r>
          </w:p>
        </w:tc>
        <w:tc>
          <w:tcPr>
            <w:tcW w:w="1480" w:type="dxa"/>
            <w:tcBorders>
              <w:top w:val="nil"/>
              <w:left w:val="nil"/>
              <w:bottom w:val="single" w:sz="8" w:space="0" w:color="auto"/>
              <w:right w:val="single" w:sz="8" w:space="0" w:color="auto"/>
            </w:tcBorders>
            <w:shd w:val="clear" w:color="auto" w:fill="auto"/>
            <w:noWrap/>
            <w:vAlign w:val="center"/>
            <w:hideMark/>
          </w:tcPr>
          <w:p w14:paraId="3F980E74" w14:textId="77777777" w:rsidR="009A4C46" w:rsidRPr="00F94FED" w:rsidRDefault="009A4C46">
            <w:pPr>
              <w:spacing w:after="0" w:line="240" w:lineRule="auto"/>
              <w:jc w:val="right"/>
              <w:rPr>
                <w:rFonts w:eastAsia="Times New Roman"/>
                <w:lang w:eastAsia="ru-RU"/>
              </w:rPr>
            </w:pPr>
            <w:r w:rsidRPr="00F94FED">
              <w:rPr>
                <w:rFonts w:eastAsia="Times New Roman"/>
                <w:lang w:eastAsia="ru-RU"/>
              </w:rPr>
              <w:t>3 927</w:t>
            </w:r>
          </w:p>
        </w:tc>
        <w:tc>
          <w:tcPr>
            <w:tcW w:w="1576" w:type="dxa"/>
            <w:tcBorders>
              <w:top w:val="nil"/>
              <w:left w:val="nil"/>
              <w:bottom w:val="single" w:sz="8" w:space="0" w:color="auto"/>
              <w:right w:val="single" w:sz="8" w:space="0" w:color="auto"/>
            </w:tcBorders>
            <w:shd w:val="clear" w:color="auto" w:fill="auto"/>
            <w:noWrap/>
            <w:vAlign w:val="center"/>
            <w:hideMark/>
          </w:tcPr>
          <w:p w14:paraId="476F6133" w14:textId="77777777" w:rsidR="009A4C46" w:rsidRPr="00F94FED" w:rsidRDefault="009A4C46">
            <w:pPr>
              <w:spacing w:after="0" w:line="240" w:lineRule="auto"/>
              <w:jc w:val="right"/>
              <w:rPr>
                <w:rFonts w:eastAsia="Times New Roman"/>
                <w:lang w:eastAsia="ru-RU"/>
              </w:rPr>
            </w:pPr>
            <w:r w:rsidRPr="00F94FED">
              <w:rPr>
                <w:rFonts w:eastAsia="Times New Roman"/>
                <w:lang w:eastAsia="ru-RU"/>
              </w:rPr>
              <w:t>-1 478</w:t>
            </w:r>
          </w:p>
        </w:tc>
        <w:tc>
          <w:tcPr>
            <w:tcW w:w="1559" w:type="dxa"/>
            <w:tcBorders>
              <w:top w:val="nil"/>
              <w:left w:val="nil"/>
              <w:bottom w:val="single" w:sz="8" w:space="0" w:color="auto"/>
              <w:right w:val="single" w:sz="8" w:space="0" w:color="auto"/>
            </w:tcBorders>
            <w:shd w:val="clear" w:color="auto" w:fill="auto"/>
            <w:noWrap/>
            <w:vAlign w:val="center"/>
            <w:hideMark/>
          </w:tcPr>
          <w:p w14:paraId="16F0BD9E" w14:textId="77777777" w:rsidR="009A4C46" w:rsidRPr="009A4C46" w:rsidRDefault="009A4C46">
            <w:pPr>
              <w:spacing w:after="0" w:line="240" w:lineRule="auto"/>
              <w:jc w:val="right"/>
              <w:rPr>
                <w:rFonts w:eastAsia="Times New Roman"/>
                <w:sz w:val="18"/>
                <w:szCs w:val="18"/>
                <w:lang w:eastAsia="ru-RU"/>
              </w:rPr>
            </w:pPr>
            <w:r w:rsidRPr="009A4C46">
              <w:rPr>
                <w:rFonts w:eastAsia="Times New Roman"/>
                <w:sz w:val="18"/>
                <w:szCs w:val="18"/>
                <w:lang w:eastAsia="ru-RU"/>
              </w:rPr>
              <w:t>-27%</w:t>
            </w:r>
          </w:p>
        </w:tc>
      </w:tr>
      <w:tr w:rsidR="009A4C46" w:rsidRPr="009A4C46" w14:paraId="0E57D1D0" w14:textId="77777777" w:rsidTr="00070F3E">
        <w:trPr>
          <w:trHeight w:val="315"/>
        </w:trPr>
        <w:tc>
          <w:tcPr>
            <w:tcW w:w="3407" w:type="dxa"/>
            <w:tcBorders>
              <w:top w:val="nil"/>
              <w:left w:val="single" w:sz="8" w:space="0" w:color="auto"/>
              <w:bottom w:val="single" w:sz="8" w:space="0" w:color="auto"/>
              <w:right w:val="single" w:sz="8" w:space="0" w:color="auto"/>
            </w:tcBorders>
            <w:shd w:val="clear" w:color="auto" w:fill="D6E3BC" w:themeFill="accent3" w:themeFillTint="66"/>
            <w:vAlign w:val="center"/>
            <w:hideMark/>
          </w:tcPr>
          <w:p w14:paraId="208E7867" w14:textId="77777777" w:rsidR="009A4C46" w:rsidRPr="00F94FED" w:rsidRDefault="009A4C46" w:rsidP="005C3ACA">
            <w:pPr>
              <w:spacing w:after="0" w:line="240" w:lineRule="auto"/>
              <w:rPr>
                <w:rFonts w:eastAsia="Times New Roman"/>
                <w:lang w:eastAsia="ru-RU"/>
              </w:rPr>
            </w:pPr>
            <w:r w:rsidRPr="00F94FED">
              <w:rPr>
                <w:rFonts w:eastAsia="Times New Roman"/>
                <w:lang w:eastAsia="ru-RU"/>
              </w:rPr>
              <w:t>Валовая прибыль (убыток)</w:t>
            </w:r>
          </w:p>
        </w:tc>
        <w:tc>
          <w:tcPr>
            <w:tcW w:w="1480" w:type="dxa"/>
            <w:tcBorders>
              <w:top w:val="nil"/>
              <w:left w:val="nil"/>
              <w:bottom w:val="single" w:sz="8" w:space="0" w:color="auto"/>
              <w:right w:val="single" w:sz="8" w:space="0" w:color="auto"/>
            </w:tcBorders>
            <w:shd w:val="clear" w:color="auto" w:fill="D6E3BC" w:themeFill="accent3" w:themeFillTint="66"/>
            <w:noWrap/>
            <w:vAlign w:val="center"/>
            <w:hideMark/>
          </w:tcPr>
          <w:p w14:paraId="14ADBA86" w14:textId="77777777" w:rsidR="009A4C46" w:rsidRPr="00F94FED" w:rsidRDefault="009A4C46">
            <w:pPr>
              <w:spacing w:after="0" w:line="240" w:lineRule="auto"/>
              <w:jc w:val="right"/>
              <w:rPr>
                <w:rFonts w:eastAsia="Times New Roman"/>
                <w:lang w:eastAsia="ru-RU"/>
              </w:rPr>
            </w:pPr>
            <w:r w:rsidRPr="00F94FED">
              <w:rPr>
                <w:rFonts w:eastAsia="Times New Roman"/>
                <w:lang w:eastAsia="ru-RU"/>
              </w:rPr>
              <w:t>958 831</w:t>
            </w:r>
          </w:p>
        </w:tc>
        <w:tc>
          <w:tcPr>
            <w:tcW w:w="1480" w:type="dxa"/>
            <w:tcBorders>
              <w:top w:val="nil"/>
              <w:left w:val="nil"/>
              <w:bottom w:val="single" w:sz="8" w:space="0" w:color="auto"/>
              <w:right w:val="single" w:sz="8" w:space="0" w:color="auto"/>
            </w:tcBorders>
            <w:shd w:val="clear" w:color="auto" w:fill="D6E3BC" w:themeFill="accent3" w:themeFillTint="66"/>
            <w:noWrap/>
            <w:vAlign w:val="center"/>
            <w:hideMark/>
          </w:tcPr>
          <w:p w14:paraId="67D95582" w14:textId="77777777" w:rsidR="009A4C46" w:rsidRPr="00F94FED" w:rsidRDefault="009A4C46">
            <w:pPr>
              <w:spacing w:after="0" w:line="240" w:lineRule="auto"/>
              <w:jc w:val="right"/>
              <w:rPr>
                <w:rFonts w:eastAsia="Times New Roman"/>
                <w:lang w:eastAsia="ru-RU"/>
              </w:rPr>
            </w:pPr>
            <w:r w:rsidRPr="00F94FED">
              <w:rPr>
                <w:rFonts w:eastAsia="Times New Roman"/>
                <w:lang w:eastAsia="ru-RU"/>
              </w:rPr>
              <w:t>395 297</w:t>
            </w:r>
          </w:p>
        </w:tc>
        <w:tc>
          <w:tcPr>
            <w:tcW w:w="1576" w:type="dxa"/>
            <w:tcBorders>
              <w:top w:val="nil"/>
              <w:left w:val="nil"/>
              <w:bottom w:val="single" w:sz="8" w:space="0" w:color="auto"/>
              <w:right w:val="single" w:sz="8" w:space="0" w:color="auto"/>
            </w:tcBorders>
            <w:shd w:val="clear" w:color="auto" w:fill="D6E3BC" w:themeFill="accent3" w:themeFillTint="66"/>
            <w:noWrap/>
            <w:vAlign w:val="center"/>
            <w:hideMark/>
          </w:tcPr>
          <w:p w14:paraId="17B24A39" w14:textId="77777777" w:rsidR="009A4C46" w:rsidRPr="00F94FED" w:rsidRDefault="009A4C46">
            <w:pPr>
              <w:spacing w:after="0" w:line="240" w:lineRule="auto"/>
              <w:jc w:val="right"/>
              <w:rPr>
                <w:rFonts w:eastAsia="Times New Roman"/>
                <w:lang w:eastAsia="ru-RU"/>
              </w:rPr>
            </w:pPr>
            <w:r w:rsidRPr="00F94FED">
              <w:rPr>
                <w:rFonts w:eastAsia="Times New Roman"/>
                <w:lang w:eastAsia="ru-RU"/>
              </w:rPr>
              <w:t>-563 534</w:t>
            </w:r>
          </w:p>
        </w:tc>
        <w:tc>
          <w:tcPr>
            <w:tcW w:w="1559" w:type="dxa"/>
            <w:tcBorders>
              <w:top w:val="nil"/>
              <w:left w:val="nil"/>
              <w:bottom w:val="single" w:sz="8" w:space="0" w:color="auto"/>
              <w:right w:val="single" w:sz="8" w:space="0" w:color="auto"/>
            </w:tcBorders>
            <w:shd w:val="clear" w:color="auto" w:fill="D6E3BC" w:themeFill="accent3" w:themeFillTint="66"/>
            <w:noWrap/>
            <w:vAlign w:val="center"/>
            <w:hideMark/>
          </w:tcPr>
          <w:p w14:paraId="2DD6390F" w14:textId="77777777" w:rsidR="009A4C46" w:rsidRPr="009A4C46" w:rsidRDefault="009A4C46">
            <w:pPr>
              <w:spacing w:after="0" w:line="240" w:lineRule="auto"/>
              <w:jc w:val="right"/>
              <w:rPr>
                <w:rFonts w:eastAsia="Times New Roman"/>
                <w:sz w:val="18"/>
                <w:szCs w:val="18"/>
                <w:lang w:eastAsia="ru-RU"/>
              </w:rPr>
            </w:pPr>
            <w:r w:rsidRPr="009A4C46">
              <w:rPr>
                <w:rFonts w:eastAsia="Times New Roman"/>
                <w:sz w:val="18"/>
                <w:szCs w:val="18"/>
                <w:lang w:eastAsia="ru-RU"/>
              </w:rPr>
              <w:t>-59%</w:t>
            </w:r>
          </w:p>
        </w:tc>
      </w:tr>
      <w:tr w:rsidR="009A4C46" w:rsidRPr="009A4C46" w14:paraId="274394BC" w14:textId="77777777" w:rsidTr="00070F3E">
        <w:trPr>
          <w:trHeight w:val="315"/>
        </w:trPr>
        <w:tc>
          <w:tcPr>
            <w:tcW w:w="3407" w:type="dxa"/>
            <w:tcBorders>
              <w:top w:val="nil"/>
              <w:left w:val="single" w:sz="8" w:space="0" w:color="auto"/>
              <w:bottom w:val="single" w:sz="8" w:space="0" w:color="auto"/>
              <w:right w:val="single" w:sz="8" w:space="0" w:color="auto"/>
            </w:tcBorders>
            <w:shd w:val="clear" w:color="auto" w:fill="auto"/>
            <w:vAlign w:val="center"/>
            <w:hideMark/>
          </w:tcPr>
          <w:p w14:paraId="5A18D87A" w14:textId="77777777" w:rsidR="009A4C46" w:rsidRPr="00F94FED" w:rsidRDefault="009A4C46" w:rsidP="005C3ACA">
            <w:pPr>
              <w:spacing w:after="0" w:line="240" w:lineRule="auto"/>
              <w:rPr>
                <w:rFonts w:eastAsia="Times New Roman"/>
                <w:lang w:eastAsia="ru-RU"/>
              </w:rPr>
            </w:pPr>
            <w:r w:rsidRPr="00F94FED">
              <w:rPr>
                <w:rFonts w:eastAsia="Times New Roman"/>
                <w:lang w:eastAsia="ru-RU"/>
              </w:rPr>
              <w:t xml:space="preserve">в том числе </w:t>
            </w:r>
          </w:p>
        </w:tc>
        <w:tc>
          <w:tcPr>
            <w:tcW w:w="1480" w:type="dxa"/>
            <w:tcBorders>
              <w:top w:val="nil"/>
              <w:left w:val="nil"/>
              <w:bottom w:val="single" w:sz="8" w:space="0" w:color="auto"/>
              <w:right w:val="single" w:sz="8" w:space="0" w:color="auto"/>
            </w:tcBorders>
            <w:shd w:val="clear" w:color="auto" w:fill="auto"/>
            <w:noWrap/>
            <w:vAlign w:val="center"/>
            <w:hideMark/>
          </w:tcPr>
          <w:p w14:paraId="063597D7" w14:textId="77777777" w:rsidR="009A4C46" w:rsidRPr="00F94FED" w:rsidRDefault="009A4C46">
            <w:pPr>
              <w:spacing w:after="0" w:line="240" w:lineRule="auto"/>
              <w:rPr>
                <w:rFonts w:eastAsia="Times New Roman"/>
                <w:lang w:eastAsia="ru-RU"/>
              </w:rPr>
            </w:pPr>
            <w:r w:rsidRPr="00F94FED">
              <w:rPr>
                <w:rFonts w:eastAsia="Times New Roman"/>
                <w:lang w:eastAsia="ru-RU"/>
              </w:rPr>
              <w:t> </w:t>
            </w:r>
          </w:p>
        </w:tc>
        <w:tc>
          <w:tcPr>
            <w:tcW w:w="1480" w:type="dxa"/>
            <w:tcBorders>
              <w:top w:val="nil"/>
              <w:left w:val="nil"/>
              <w:bottom w:val="single" w:sz="8" w:space="0" w:color="auto"/>
              <w:right w:val="single" w:sz="8" w:space="0" w:color="auto"/>
            </w:tcBorders>
            <w:shd w:val="clear" w:color="auto" w:fill="auto"/>
            <w:noWrap/>
            <w:vAlign w:val="center"/>
            <w:hideMark/>
          </w:tcPr>
          <w:p w14:paraId="510ECC93" w14:textId="77777777" w:rsidR="009A4C46" w:rsidRPr="00F94FED" w:rsidRDefault="009A4C46">
            <w:pPr>
              <w:spacing w:after="0" w:line="240" w:lineRule="auto"/>
              <w:rPr>
                <w:rFonts w:eastAsia="Times New Roman"/>
                <w:lang w:eastAsia="ru-RU"/>
              </w:rPr>
            </w:pPr>
            <w:r w:rsidRPr="00F94FED">
              <w:rPr>
                <w:rFonts w:eastAsia="Times New Roman"/>
                <w:lang w:eastAsia="ru-RU"/>
              </w:rPr>
              <w:t> </w:t>
            </w:r>
          </w:p>
        </w:tc>
        <w:tc>
          <w:tcPr>
            <w:tcW w:w="1576" w:type="dxa"/>
            <w:tcBorders>
              <w:top w:val="nil"/>
              <w:left w:val="nil"/>
              <w:bottom w:val="single" w:sz="8" w:space="0" w:color="auto"/>
              <w:right w:val="single" w:sz="8" w:space="0" w:color="auto"/>
            </w:tcBorders>
            <w:shd w:val="clear" w:color="auto" w:fill="auto"/>
            <w:noWrap/>
            <w:vAlign w:val="center"/>
            <w:hideMark/>
          </w:tcPr>
          <w:p w14:paraId="3FCB0974" w14:textId="77777777" w:rsidR="009A4C46" w:rsidRPr="00F94FED" w:rsidRDefault="009A4C46">
            <w:pPr>
              <w:spacing w:after="0" w:line="240" w:lineRule="auto"/>
              <w:rPr>
                <w:rFonts w:eastAsia="Times New Roman"/>
                <w:lang w:eastAsia="ru-RU"/>
              </w:rPr>
            </w:pPr>
            <w:r w:rsidRPr="00F94FED">
              <w:rPr>
                <w:rFonts w:eastAsia="Times New Roman"/>
                <w:lang w:eastAsia="ru-RU"/>
              </w:rPr>
              <w:t> </w:t>
            </w:r>
          </w:p>
        </w:tc>
        <w:tc>
          <w:tcPr>
            <w:tcW w:w="1559" w:type="dxa"/>
            <w:tcBorders>
              <w:top w:val="nil"/>
              <w:left w:val="nil"/>
              <w:bottom w:val="single" w:sz="8" w:space="0" w:color="auto"/>
              <w:right w:val="single" w:sz="8" w:space="0" w:color="auto"/>
            </w:tcBorders>
            <w:shd w:val="clear" w:color="auto" w:fill="auto"/>
            <w:noWrap/>
            <w:vAlign w:val="center"/>
            <w:hideMark/>
          </w:tcPr>
          <w:p w14:paraId="6B36901D" w14:textId="77777777" w:rsidR="009A4C46" w:rsidRPr="009A4C46" w:rsidRDefault="009A4C46">
            <w:pPr>
              <w:spacing w:after="0" w:line="240" w:lineRule="auto"/>
              <w:rPr>
                <w:rFonts w:eastAsia="Times New Roman"/>
                <w:sz w:val="18"/>
                <w:szCs w:val="18"/>
                <w:lang w:eastAsia="ru-RU"/>
              </w:rPr>
            </w:pPr>
            <w:r w:rsidRPr="009A4C46">
              <w:rPr>
                <w:rFonts w:eastAsia="Times New Roman"/>
                <w:sz w:val="18"/>
                <w:szCs w:val="18"/>
                <w:lang w:eastAsia="ru-RU"/>
              </w:rPr>
              <w:t> </w:t>
            </w:r>
          </w:p>
        </w:tc>
      </w:tr>
      <w:tr w:rsidR="009A4C46" w:rsidRPr="009A4C46" w14:paraId="6214A976" w14:textId="77777777" w:rsidTr="00070F3E">
        <w:trPr>
          <w:trHeight w:val="315"/>
        </w:trPr>
        <w:tc>
          <w:tcPr>
            <w:tcW w:w="3407" w:type="dxa"/>
            <w:tcBorders>
              <w:top w:val="nil"/>
              <w:left w:val="single" w:sz="8" w:space="0" w:color="auto"/>
              <w:bottom w:val="single" w:sz="8" w:space="0" w:color="auto"/>
              <w:right w:val="single" w:sz="8" w:space="0" w:color="auto"/>
            </w:tcBorders>
            <w:shd w:val="clear" w:color="auto" w:fill="auto"/>
            <w:vAlign w:val="center"/>
            <w:hideMark/>
          </w:tcPr>
          <w:p w14:paraId="66ADAEDC" w14:textId="77777777" w:rsidR="009A4C46" w:rsidRPr="00F94FED" w:rsidRDefault="009A4C46" w:rsidP="005C3ACA">
            <w:pPr>
              <w:spacing w:after="0" w:line="240" w:lineRule="auto"/>
              <w:rPr>
                <w:rFonts w:eastAsia="Times New Roman"/>
                <w:lang w:eastAsia="ru-RU"/>
              </w:rPr>
            </w:pPr>
            <w:r w:rsidRPr="00F94FED">
              <w:rPr>
                <w:rFonts w:eastAsia="Times New Roman"/>
                <w:lang w:eastAsia="ru-RU"/>
              </w:rPr>
              <w:lastRenderedPageBreak/>
              <w:t>от передачи электроэнергии</w:t>
            </w:r>
          </w:p>
        </w:tc>
        <w:tc>
          <w:tcPr>
            <w:tcW w:w="1480" w:type="dxa"/>
            <w:tcBorders>
              <w:top w:val="nil"/>
              <w:left w:val="nil"/>
              <w:bottom w:val="single" w:sz="8" w:space="0" w:color="auto"/>
              <w:right w:val="single" w:sz="8" w:space="0" w:color="auto"/>
            </w:tcBorders>
            <w:shd w:val="clear" w:color="auto" w:fill="auto"/>
            <w:noWrap/>
            <w:vAlign w:val="center"/>
            <w:hideMark/>
          </w:tcPr>
          <w:p w14:paraId="301A2176" w14:textId="77777777" w:rsidR="009A4C46" w:rsidRPr="00F94FED" w:rsidRDefault="009A4C46">
            <w:pPr>
              <w:spacing w:after="0" w:line="240" w:lineRule="auto"/>
              <w:jc w:val="right"/>
              <w:rPr>
                <w:rFonts w:eastAsia="Times New Roman"/>
                <w:lang w:eastAsia="ru-RU"/>
              </w:rPr>
            </w:pPr>
            <w:r w:rsidRPr="00F94FED">
              <w:rPr>
                <w:rFonts w:eastAsia="Times New Roman"/>
                <w:lang w:eastAsia="ru-RU"/>
              </w:rPr>
              <w:t>321 158</w:t>
            </w:r>
          </w:p>
        </w:tc>
        <w:tc>
          <w:tcPr>
            <w:tcW w:w="1480" w:type="dxa"/>
            <w:tcBorders>
              <w:top w:val="nil"/>
              <w:left w:val="nil"/>
              <w:bottom w:val="single" w:sz="8" w:space="0" w:color="auto"/>
              <w:right w:val="single" w:sz="8" w:space="0" w:color="auto"/>
            </w:tcBorders>
            <w:shd w:val="clear" w:color="auto" w:fill="auto"/>
            <w:noWrap/>
            <w:vAlign w:val="center"/>
            <w:hideMark/>
          </w:tcPr>
          <w:p w14:paraId="75828926" w14:textId="77777777" w:rsidR="009A4C46" w:rsidRPr="00F94FED" w:rsidRDefault="009A4C46">
            <w:pPr>
              <w:spacing w:after="0" w:line="240" w:lineRule="auto"/>
              <w:jc w:val="right"/>
              <w:rPr>
                <w:rFonts w:eastAsia="Times New Roman"/>
                <w:lang w:eastAsia="ru-RU"/>
              </w:rPr>
            </w:pPr>
            <w:r w:rsidRPr="00F94FED">
              <w:rPr>
                <w:rFonts w:eastAsia="Times New Roman"/>
                <w:lang w:eastAsia="ru-RU"/>
              </w:rPr>
              <w:t>355 031</w:t>
            </w:r>
          </w:p>
        </w:tc>
        <w:tc>
          <w:tcPr>
            <w:tcW w:w="1576" w:type="dxa"/>
            <w:tcBorders>
              <w:top w:val="nil"/>
              <w:left w:val="nil"/>
              <w:bottom w:val="single" w:sz="8" w:space="0" w:color="auto"/>
              <w:right w:val="single" w:sz="8" w:space="0" w:color="auto"/>
            </w:tcBorders>
            <w:shd w:val="clear" w:color="auto" w:fill="auto"/>
            <w:noWrap/>
            <w:vAlign w:val="center"/>
            <w:hideMark/>
          </w:tcPr>
          <w:p w14:paraId="2BD47C7A" w14:textId="77777777" w:rsidR="009A4C46" w:rsidRPr="00F94FED" w:rsidRDefault="009A4C46">
            <w:pPr>
              <w:spacing w:after="0" w:line="240" w:lineRule="auto"/>
              <w:jc w:val="right"/>
              <w:rPr>
                <w:rFonts w:eastAsia="Times New Roman"/>
                <w:lang w:eastAsia="ru-RU"/>
              </w:rPr>
            </w:pPr>
            <w:r w:rsidRPr="00F94FED">
              <w:rPr>
                <w:rFonts w:eastAsia="Times New Roman"/>
                <w:lang w:eastAsia="ru-RU"/>
              </w:rPr>
              <w:t>33 873</w:t>
            </w:r>
          </w:p>
        </w:tc>
        <w:tc>
          <w:tcPr>
            <w:tcW w:w="1559" w:type="dxa"/>
            <w:tcBorders>
              <w:top w:val="nil"/>
              <w:left w:val="nil"/>
              <w:bottom w:val="single" w:sz="8" w:space="0" w:color="auto"/>
              <w:right w:val="single" w:sz="8" w:space="0" w:color="auto"/>
            </w:tcBorders>
            <w:shd w:val="clear" w:color="auto" w:fill="auto"/>
            <w:noWrap/>
            <w:vAlign w:val="center"/>
            <w:hideMark/>
          </w:tcPr>
          <w:p w14:paraId="11B82FF6" w14:textId="77777777" w:rsidR="009A4C46" w:rsidRPr="009A4C46" w:rsidRDefault="009A4C46">
            <w:pPr>
              <w:spacing w:after="0" w:line="240" w:lineRule="auto"/>
              <w:jc w:val="right"/>
              <w:rPr>
                <w:rFonts w:eastAsia="Times New Roman"/>
                <w:sz w:val="18"/>
                <w:szCs w:val="18"/>
                <w:lang w:eastAsia="ru-RU"/>
              </w:rPr>
            </w:pPr>
            <w:r w:rsidRPr="009A4C46">
              <w:rPr>
                <w:rFonts w:eastAsia="Times New Roman"/>
                <w:sz w:val="18"/>
                <w:szCs w:val="18"/>
                <w:lang w:eastAsia="ru-RU"/>
              </w:rPr>
              <w:t>11%</w:t>
            </w:r>
          </w:p>
        </w:tc>
      </w:tr>
      <w:tr w:rsidR="009A4C46" w:rsidRPr="009A4C46" w14:paraId="5342EAED" w14:textId="77777777" w:rsidTr="00070F3E">
        <w:trPr>
          <w:trHeight w:val="315"/>
        </w:trPr>
        <w:tc>
          <w:tcPr>
            <w:tcW w:w="3407" w:type="dxa"/>
            <w:tcBorders>
              <w:top w:val="nil"/>
              <w:left w:val="single" w:sz="8" w:space="0" w:color="auto"/>
              <w:bottom w:val="single" w:sz="8" w:space="0" w:color="auto"/>
              <w:right w:val="single" w:sz="8" w:space="0" w:color="auto"/>
            </w:tcBorders>
            <w:shd w:val="clear" w:color="auto" w:fill="auto"/>
            <w:vAlign w:val="center"/>
            <w:hideMark/>
          </w:tcPr>
          <w:p w14:paraId="4DB5FD71" w14:textId="77777777" w:rsidR="009A4C46" w:rsidRPr="00F94FED" w:rsidRDefault="009A4C46" w:rsidP="005C3ACA">
            <w:pPr>
              <w:spacing w:after="0" w:line="240" w:lineRule="auto"/>
              <w:rPr>
                <w:rFonts w:eastAsia="Times New Roman"/>
                <w:lang w:eastAsia="ru-RU"/>
              </w:rPr>
            </w:pPr>
            <w:r w:rsidRPr="00F94FED">
              <w:rPr>
                <w:rFonts w:eastAsia="Times New Roman"/>
                <w:lang w:eastAsia="ru-RU"/>
              </w:rPr>
              <w:t xml:space="preserve">от техприсоединения </w:t>
            </w:r>
          </w:p>
        </w:tc>
        <w:tc>
          <w:tcPr>
            <w:tcW w:w="1480" w:type="dxa"/>
            <w:tcBorders>
              <w:top w:val="nil"/>
              <w:left w:val="nil"/>
              <w:bottom w:val="single" w:sz="8" w:space="0" w:color="auto"/>
              <w:right w:val="single" w:sz="8" w:space="0" w:color="auto"/>
            </w:tcBorders>
            <w:shd w:val="clear" w:color="auto" w:fill="auto"/>
            <w:noWrap/>
            <w:vAlign w:val="center"/>
            <w:hideMark/>
          </w:tcPr>
          <w:p w14:paraId="59C8AF44" w14:textId="77777777" w:rsidR="009A4C46" w:rsidRPr="00F94FED" w:rsidRDefault="009A4C46">
            <w:pPr>
              <w:spacing w:after="0" w:line="240" w:lineRule="auto"/>
              <w:jc w:val="right"/>
              <w:rPr>
                <w:rFonts w:eastAsia="Times New Roman"/>
                <w:lang w:eastAsia="ru-RU"/>
              </w:rPr>
            </w:pPr>
            <w:r w:rsidRPr="00F94FED">
              <w:rPr>
                <w:rFonts w:eastAsia="Times New Roman"/>
                <w:lang w:eastAsia="ru-RU"/>
              </w:rPr>
              <w:t>623 182</w:t>
            </w:r>
          </w:p>
        </w:tc>
        <w:tc>
          <w:tcPr>
            <w:tcW w:w="1480" w:type="dxa"/>
            <w:tcBorders>
              <w:top w:val="nil"/>
              <w:left w:val="nil"/>
              <w:bottom w:val="single" w:sz="8" w:space="0" w:color="auto"/>
              <w:right w:val="single" w:sz="8" w:space="0" w:color="auto"/>
            </w:tcBorders>
            <w:shd w:val="clear" w:color="auto" w:fill="auto"/>
            <w:noWrap/>
            <w:vAlign w:val="center"/>
            <w:hideMark/>
          </w:tcPr>
          <w:p w14:paraId="02F8AE08" w14:textId="77777777" w:rsidR="009A4C46" w:rsidRPr="00F94FED" w:rsidRDefault="009A4C46">
            <w:pPr>
              <w:spacing w:after="0" w:line="240" w:lineRule="auto"/>
              <w:jc w:val="right"/>
              <w:rPr>
                <w:rFonts w:eastAsia="Times New Roman"/>
                <w:lang w:eastAsia="ru-RU"/>
              </w:rPr>
            </w:pPr>
            <w:r w:rsidRPr="00F94FED">
              <w:rPr>
                <w:rFonts w:eastAsia="Times New Roman"/>
                <w:lang w:eastAsia="ru-RU"/>
              </w:rPr>
              <w:t>29 293</w:t>
            </w:r>
          </w:p>
        </w:tc>
        <w:tc>
          <w:tcPr>
            <w:tcW w:w="1576" w:type="dxa"/>
            <w:tcBorders>
              <w:top w:val="nil"/>
              <w:left w:val="nil"/>
              <w:bottom w:val="single" w:sz="8" w:space="0" w:color="auto"/>
              <w:right w:val="single" w:sz="8" w:space="0" w:color="auto"/>
            </w:tcBorders>
            <w:shd w:val="clear" w:color="auto" w:fill="auto"/>
            <w:noWrap/>
            <w:vAlign w:val="center"/>
            <w:hideMark/>
          </w:tcPr>
          <w:p w14:paraId="193912B8" w14:textId="77777777" w:rsidR="009A4C46" w:rsidRPr="00F94FED" w:rsidRDefault="009A4C46">
            <w:pPr>
              <w:spacing w:after="0" w:line="240" w:lineRule="auto"/>
              <w:jc w:val="right"/>
              <w:rPr>
                <w:rFonts w:eastAsia="Times New Roman"/>
                <w:lang w:eastAsia="ru-RU"/>
              </w:rPr>
            </w:pPr>
            <w:r w:rsidRPr="00F94FED">
              <w:rPr>
                <w:rFonts w:eastAsia="Times New Roman"/>
                <w:lang w:eastAsia="ru-RU"/>
              </w:rPr>
              <w:t>-593 889</w:t>
            </w:r>
          </w:p>
        </w:tc>
        <w:tc>
          <w:tcPr>
            <w:tcW w:w="1559" w:type="dxa"/>
            <w:tcBorders>
              <w:top w:val="nil"/>
              <w:left w:val="nil"/>
              <w:bottom w:val="single" w:sz="8" w:space="0" w:color="auto"/>
              <w:right w:val="single" w:sz="8" w:space="0" w:color="auto"/>
            </w:tcBorders>
            <w:shd w:val="clear" w:color="auto" w:fill="auto"/>
            <w:noWrap/>
            <w:vAlign w:val="center"/>
            <w:hideMark/>
          </w:tcPr>
          <w:p w14:paraId="3D8FDDF6" w14:textId="77777777" w:rsidR="009A4C46" w:rsidRPr="009A4C46" w:rsidRDefault="009A4C46">
            <w:pPr>
              <w:spacing w:after="0" w:line="240" w:lineRule="auto"/>
              <w:jc w:val="right"/>
              <w:rPr>
                <w:rFonts w:eastAsia="Times New Roman"/>
                <w:sz w:val="18"/>
                <w:szCs w:val="18"/>
                <w:lang w:eastAsia="ru-RU"/>
              </w:rPr>
            </w:pPr>
            <w:r w:rsidRPr="009A4C46">
              <w:rPr>
                <w:rFonts w:eastAsia="Times New Roman"/>
                <w:sz w:val="18"/>
                <w:szCs w:val="18"/>
                <w:lang w:eastAsia="ru-RU"/>
              </w:rPr>
              <w:t>-95%</w:t>
            </w:r>
          </w:p>
        </w:tc>
      </w:tr>
      <w:tr w:rsidR="009A4C46" w:rsidRPr="009A4C46" w14:paraId="0A0CF18F" w14:textId="77777777" w:rsidTr="00070F3E">
        <w:trPr>
          <w:trHeight w:val="315"/>
        </w:trPr>
        <w:tc>
          <w:tcPr>
            <w:tcW w:w="3407" w:type="dxa"/>
            <w:tcBorders>
              <w:top w:val="nil"/>
              <w:left w:val="single" w:sz="8" w:space="0" w:color="auto"/>
              <w:bottom w:val="single" w:sz="8" w:space="0" w:color="auto"/>
              <w:right w:val="single" w:sz="8" w:space="0" w:color="auto"/>
            </w:tcBorders>
            <w:shd w:val="clear" w:color="auto" w:fill="auto"/>
            <w:vAlign w:val="center"/>
            <w:hideMark/>
          </w:tcPr>
          <w:p w14:paraId="493B67A7" w14:textId="481A7987" w:rsidR="009A4C46" w:rsidRPr="00F94FED" w:rsidRDefault="009A4C46" w:rsidP="005C3ACA">
            <w:pPr>
              <w:spacing w:after="0" w:line="240" w:lineRule="auto"/>
              <w:rPr>
                <w:rFonts w:eastAsia="Times New Roman"/>
                <w:lang w:eastAsia="ru-RU"/>
              </w:rPr>
            </w:pPr>
            <w:r w:rsidRPr="00F94FED">
              <w:rPr>
                <w:rFonts w:eastAsia="Times New Roman"/>
                <w:lang w:eastAsia="ru-RU"/>
              </w:rPr>
              <w:t>от прочей продукции</w:t>
            </w:r>
          </w:p>
        </w:tc>
        <w:tc>
          <w:tcPr>
            <w:tcW w:w="1480" w:type="dxa"/>
            <w:tcBorders>
              <w:top w:val="nil"/>
              <w:left w:val="nil"/>
              <w:bottom w:val="single" w:sz="8" w:space="0" w:color="auto"/>
              <w:right w:val="single" w:sz="8" w:space="0" w:color="auto"/>
            </w:tcBorders>
            <w:shd w:val="clear" w:color="auto" w:fill="auto"/>
            <w:noWrap/>
            <w:vAlign w:val="center"/>
            <w:hideMark/>
          </w:tcPr>
          <w:p w14:paraId="07045E8B" w14:textId="77777777" w:rsidR="009A4C46" w:rsidRPr="00F94FED" w:rsidRDefault="009A4C46">
            <w:pPr>
              <w:spacing w:after="0" w:line="240" w:lineRule="auto"/>
              <w:jc w:val="right"/>
              <w:rPr>
                <w:rFonts w:eastAsia="Times New Roman"/>
                <w:lang w:eastAsia="ru-RU"/>
              </w:rPr>
            </w:pPr>
            <w:r w:rsidRPr="00F94FED">
              <w:rPr>
                <w:rFonts w:eastAsia="Times New Roman"/>
                <w:lang w:eastAsia="ru-RU"/>
              </w:rPr>
              <w:t>14 492</w:t>
            </w:r>
          </w:p>
        </w:tc>
        <w:tc>
          <w:tcPr>
            <w:tcW w:w="1480" w:type="dxa"/>
            <w:tcBorders>
              <w:top w:val="nil"/>
              <w:left w:val="nil"/>
              <w:bottom w:val="single" w:sz="8" w:space="0" w:color="auto"/>
              <w:right w:val="single" w:sz="8" w:space="0" w:color="auto"/>
            </w:tcBorders>
            <w:shd w:val="clear" w:color="auto" w:fill="auto"/>
            <w:noWrap/>
            <w:vAlign w:val="center"/>
            <w:hideMark/>
          </w:tcPr>
          <w:p w14:paraId="4DABAB0D" w14:textId="77777777" w:rsidR="009A4C46" w:rsidRPr="00F94FED" w:rsidRDefault="009A4C46">
            <w:pPr>
              <w:spacing w:after="0" w:line="240" w:lineRule="auto"/>
              <w:jc w:val="right"/>
              <w:rPr>
                <w:rFonts w:eastAsia="Times New Roman"/>
                <w:lang w:eastAsia="ru-RU"/>
              </w:rPr>
            </w:pPr>
            <w:r w:rsidRPr="00F94FED">
              <w:rPr>
                <w:rFonts w:eastAsia="Times New Roman"/>
                <w:lang w:eastAsia="ru-RU"/>
              </w:rPr>
              <w:t>10 973</w:t>
            </w:r>
          </w:p>
        </w:tc>
        <w:tc>
          <w:tcPr>
            <w:tcW w:w="1576" w:type="dxa"/>
            <w:tcBorders>
              <w:top w:val="nil"/>
              <w:left w:val="nil"/>
              <w:bottom w:val="single" w:sz="8" w:space="0" w:color="auto"/>
              <w:right w:val="single" w:sz="8" w:space="0" w:color="auto"/>
            </w:tcBorders>
            <w:shd w:val="clear" w:color="auto" w:fill="auto"/>
            <w:noWrap/>
            <w:vAlign w:val="center"/>
            <w:hideMark/>
          </w:tcPr>
          <w:p w14:paraId="4DCDE02C" w14:textId="77777777" w:rsidR="009A4C46" w:rsidRPr="00F94FED" w:rsidRDefault="009A4C46">
            <w:pPr>
              <w:spacing w:after="0" w:line="240" w:lineRule="auto"/>
              <w:jc w:val="right"/>
              <w:rPr>
                <w:rFonts w:eastAsia="Times New Roman"/>
                <w:lang w:eastAsia="ru-RU"/>
              </w:rPr>
            </w:pPr>
            <w:r w:rsidRPr="00F94FED">
              <w:rPr>
                <w:rFonts w:eastAsia="Times New Roman"/>
                <w:lang w:eastAsia="ru-RU"/>
              </w:rPr>
              <w:t>-3 518</w:t>
            </w:r>
          </w:p>
        </w:tc>
        <w:tc>
          <w:tcPr>
            <w:tcW w:w="1559" w:type="dxa"/>
            <w:tcBorders>
              <w:top w:val="nil"/>
              <w:left w:val="nil"/>
              <w:bottom w:val="single" w:sz="8" w:space="0" w:color="auto"/>
              <w:right w:val="single" w:sz="8" w:space="0" w:color="auto"/>
            </w:tcBorders>
            <w:shd w:val="clear" w:color="auto" w:fill="auto"/>
            <w:noWrap/>
            <w:vAlign w:val="center"/>
            <w:hideMark/>
          </w:tcPr>
          <w:p w14:paraId="6E1DD8A4" w14:textId="77777777" w:rsidR="009A4C46" w:rsidRPr="009A4C46" w:rsidRDefault="009A4C46">
            <w:pPr>
              <w:spacing w:after="0" w:line="240" w:lineRule="auto"/>
              <w:jc w:val="right"/>
              <w:rPr>
                <w:rFonts w:eastAsia="Times New Roman"/>
                <w:sz w:val="18"/>
                <w:szCs w:val="18"/>
                <w:lang w:eastAsia="ru-RU"/>
              </w:rPr>
            </w:pPr>
            <w:r w:rsidRPr="009A4C46">
              <w:rPr>
                <w:rFonts w:eastAsia="Times New Roman"/>
                <w:sz w:val="18"/>
                <w:szCs w:val="18"/>
                <w:lang w:eastAsia="ru-RU"/>
              </w:rPr>
              <w:t>-24%</w:t>
            </w:r>
          </w:p>
        </w:tc>
      </w:tr>
      <w:tr w:rsidR="009A4C46" w:rsidRPr="009A4C46" w14:paraId="419B3BA0" w14:textId="77777777" w:rsidTr="00070F3E">
        <w:trPr>
          <w:trHeight w:val="315"/>
        </w:trPr>
        <w:tc>
          <w:tcPr>
            <w:tcW w:w="3407" w:type="dxa"/>
            <w:tcBorders>
              <w:top w:val="nil"/>
              <w:left w:val="single" w:sz="8" w:space="0" w:color="auto"/>
              <w:bottom w:val="single" w:sz="8" w:space="0" w:color="auto"/>
              <w:right w:val="single" w:sz="8" w:space="0" w:color="auto"/>
            </w:tcBorders>
            <w:shd w:val="clear" w:color="auto" w:fill="D6E3BC" w:themeFill="accent3" w:themeFillTint="66"/>
            <w:vAlign w:val="center"/>
            <w:hideMark/>
          </w:tcPr>
          <w:p w14:paraId="2D9BB6AB" w14:textId="3AB51B0B" w:rsidR="009A4C46" w:rsidRPr="00F94FED" w:rsidRDefault="009A4C46" w:rsidP="005C3ACA">
            <w:pPr>
              <w:spacing w:after="0" w:line="240" w:lineRule="auto"/>
              <w:rPr>
                <w:rFonts w:eastAsia="Times New Roman"/>
                <w:lang w:eastAsia="ru-RU"/>
              </w:rPr>
            </w:pPr>
            <w:r w:rsidRPr="00F94FED">
              <w:rPr>
                <w:rFonts w:eastAsia="Times New Roman"/>
                <w:lang w:eastAsia="ru-RU"/>
              </w:rPr>
              <w:t>Управленческие и коммерческие расходы</w:t>
            </w:r>
          </w:p>
        </w:tc>
        <w:tc>
          <w:tcPr>
            <w:tcW w:w="1480" w:type="dxa"/>
            <w:tcBorders>
              <w:top w:val="nil"/>
              <w:left w:val="nil"/>
              <w:bottom w:val="single" w:sz="8" w:space="0" w:color="auto"/>
              <w:right w:val="single" w:sz="8" w:space="0" w:color="auto"/>
            </w:tcBorders>
            <w:shd w:val="clear" w:color="auto" w:fill="D6E3BC" w:themeFill="accent3" w:themeFillTint="66"/>
            <w:noWrap/>
            <w:vAlign w:val="center"/>
            <w:hideMark/>
          </w:tcPr>
          <w:p w14:paraId="49BB8F0B" w14:textId="77777777" w:rsidR="009A4C46" w:rsidRPr="00F94FED" w:rsidRDefault="009A4C46">
            <w:pPr>
              <w:spacing w:after="0" w:line="240" w:lineRule="auto"/>
              <w:jc w:val="right"/>
              <w:rPr>
                <w:rFonts w:eastAsia="Times New Roman"/>
                <w:lang w:eastAsia="ru-RU"/>
              </w:rPr>
            </w:pPr>
            <w:r w:rsidRPr="00F94FED">
              <w:rPr>
                <w:rFonts w:eastAsia="Times New Roman"/>
                <w:lang w:eastAsia="ru-RU"/>
              </w:rPr>
              <w:t>155 818</w:t>
            </w:r>
          </w:p>
        </w:tc>
        <w:tc>
          <w:tcPr>
            <w:tcW w:w="1480" w:type="dxa"/>
            <w:tcBorders>
              <w:top w:val="nil"/>
              <w:left w:val="nil"/>
              <w:bottom w:val="single" w:sz="8" w:space="0" w:color="auto"/>
              <w:right w:val="single" w:sz="8" w:space="0" w:color="auto"/>
            </w:tcBorders>
            <w:shd w:val="clear" w:color="auto" w:fill="D6E3BC" w:themeFill="accent3" w:themeFillTint="66"/>
            <w:noWrap/>
            <w:vAlign w:val="center"/>
            <w:hideMark/>
          </w:tcPr>
          <w:p w14:paraId="3B6B796E" w14:textId="77777777" w:rsidR="009A4C46" w:rsidRPr="00F94FED" w:rsidRDefault="009A4C46">
            <w:pPr>
              <w:spacing w:after="0" w:line="240" w:lineRule="auto"/>
              <w:jc w:val="right"/>
              <w:rPr>
                <w:rFonts w:eastAsia="Times New Roman"/>
                <w:lang w:eastAsia="ru-RU"/>
              </w:rPr>
            </w:pPr>
            <w:r w:rsidRPr="00F94FED">
              <w:rPr>
                <w:rFonts w:eastAsia="Times New Roman"/>
                <w:lang w:eastAsia="ru-RU"/>
              </w:rPr>
              <w:t>166 140</w:t>
            </w:r>
          </w:p>
        </w:tc>
        <w:tc>
          <w:tcPr>
            <w:tcW w:w="1576" w:type="dxa"/>
            <w:tcBorders>
              <w:top w:val="nil"/>
              <w:left w:val="nil"/>
              <w:bottom w:val="single" w:sz="8" w:space="0" w:color="auto"/>
              <w:right w:val="single" w:sz="8" w:space="0" w:color="auto"/>
            </w:tcBorders>
            <w:shd w:val="clear" w:color="auto" w:fill="D6E3BC" w:themeFill="accent3" w:themeFillTint="66"/>
            <w:noWrap/>
            <w:vAlign w:val="center"/>
            <w:hideMark/>
          </w:tcPr>
          <w:p w14:paraId="251E4209" w14:textId="77777777" w:rsidR="009A4C46" w:rsidRPr="00F94FED" w:rsidRDefault="009A4C46">
            <w:pPr>
              <w:spacing w:after="0" w:line="240" w:lineRule="auto"/>
              <w:jc w:val="right"/>
              <w:rPr>
                <w:rFonts w:eastAsia="Times New Roman"/>
                <w:lang w:eastAsia="ru-RU"/>
              </w:rPr>
            </w:pPr>
            <w:r w:rsidRPr="00F94FED">
              <w:rPr>
                <w:rFonts w:eastAsia="Times New Roman"/>
                <w:lang w:eastAsia="ru-RU"/>
              </w:rPr>
              <w:t>10 322</w:t>
            </w:r>
          </w:p>
        </w:tc>
        <w:tc>
          <w:tcPr>
            <w:tcW w:w="1559" w:type="dxa"/>
            <w:tcBorders>
              <w:top w:val="nil"/>
              <w:left w:val="nil"/>
              <w:bottom w:val="single" w:sz="8" w:space="0" w:color="auto"/>
              <w:right w:val="single" w:sz="8" w:space="0" w:color="auto"/>
            </w:tcBorders>
            <w:shd w:val="clear" w:color="auto" w:fill="D6E3BC" w:themeFill="accent3" w:themeFillTint="66"/>
            <w:noWrap/>
            <w:vAlign w:val="center"/>
            <w:hideMark/>
          </w:tcPr>
          <w:p w14:paraId="14D81B47" w14:textId="77777777" w:rsidR="009A4C46" w:rsidRPr="009A4C46" w:rsidRDefault="009A4C46">
            <w:pPr>
              <w:spacing w:after="0" w:line="240" w:lineRule="auto"/>
              <w:jc w:val="right"/>
              <w:rPr>
                <w:rFonts w:eastAsia="Times New Roman"/>
                <w:sz w:val="18"/>
                <w:szCs w:val="18"/>
                <w:lang w:eastAsia="ru-RU"/>
              </w:rPr>
            </w:pPr>
            <w:r w:rsidRPr="009A4C46">
              <w:rPr>
                <w:rFonts w:eastAsia="Times New Roman"/>
                <w:sz w:val="18"/>
                <w:szCs w:val="18"/>
                <w:lang w:eastAsia="ru-RU"/>
              </w:rPr>
              <w:t>7%</w:t>
            </w:r>
          </w:p>
        </w:tc>
      </w:tr>
      <w:tr w:rsidR="009A4C46" w:rsidRPr="009A4C46" w14:paraId="0D9D616A" w14:textId="77777777" w:rsidTr="00070F3E">
        <w:trPr>
          <w:trHeight w:val="315"/>
        </w:trPr>
        <w:tc>
          <w:tcPr>
            <w:tcW w:w="3407" w:type="dxa"/>
            <w:tcBorders>
              <w:top w:val="nil"/>
              <w:left w:val="single" w:sz="8" w:space="0" w:color="auto"/>
              <w:bottom w:val="single" w:sz="8" w:space="0" w:color="auto"/>
              <w:right w:val="single" w:sz="8" w:space="0" w:color="auto"/>
            </w:tcBorders>
            <w:shd w:val="clear" w:color="auto" w:fill="auto"/>
            <w:vAlign w:val="center"/>
            <w:hideMark/>
          </w:tcPr>
          <w:p w14:paraId="7B4B31E1" w14:textId="77777777" w:rsidR="009A4C46" w:rsidRPr="00F94FED" w:rsidRDefault="009A4C46" w:rsidP="005C3ACA">
            <w:pPr>
              <w:spacing w:after="0" w:line="240" w:lineRule="auto"/>
              <w:rPr>
                <w:rFonts w:eastAsia="Times New Roman"/>
                <w:lang w:eastAsia="ru-RU"/>
              </w:rPr>
            </w:pPr>
            <w:r w:rsidRPr="00F94FED">
              <w:rPr>
                <w:rFonts w:eastAsia="Times New Roman"/>
                <w:lang w:eastAsia="ru-RU"/>
              </w:rPr>
              <w:t xml:space="preserve">в том числе </w:t>
            </w:r>
          </w:p>
        </w:tc>
        <w:tc>
          <w:tcPr>
            <w:tcW w:w="1480" w:type="dxa"/>
            <w:tcBorders>
              <w:top w:val="nil"/>
              <w:left w:val="nil"/>
              <w:bottom w:val="single" w:sz="8" w:space="0" w:color="auto"/>
              <w:right w:val="single" w:sz="8" w:space="0" w:color="auto"/>
            </w:tcBorders>
            <w:shd w:val="clear" w:color="auto" w:fill="auto"/>
            <w:noWrap/>
            <w:vAlign w:val="center"/>
            <w:hideMark/>
          </w:tcPr>
          <w:p w14:paraId="0EC56CE4" w14:textId="77777777" w:rsidR="009A4C46" w:rsidRPr="00F94FED" w:rsidRDefault="009A4C46">
            <w:pPr>
              <w:spacing w:after="0" w:line="240" w:lineRule="auto"/>
              <w:rPr>
                <w:rFonts w:eastAsia="Times New Roman"/>
                <w:lang w:eastAsia="ru-RU"/>
              </w:rPr>
            </w:pPr>
            <w:r w:rsidRPr="00F94FED">
              <w:rPr>
                <w:rFonts w:eastAsia="Times New Roman"/>
                <w:lang w:eastAsia="ru-RU"/>
              </w:rPr>
              <w:t> </w:t>
            </w:r>
          </w:p>
        </w:tc>
        <w:tc>
          <w:tcPr>
            <w:tcW w:w="1480" w:type="dxa"/>
            <w:tcBorders>
              <w:top w:val="nil"/>
              <w:left w:val="nil"/>
              <w:bottom w:val="single" w:sz="8" w:space="0" w:color="auto"/>
              <w:right w:val="single" w:sz="8" w:space="0" w:color="auto"/>
            </w:tcBorders>
            <w:shd w:val="clear" w:color="auto" w:fill="auto"/>
            <w:noWrap/>
            <w:vAlign w:val="center"/>
            <w:hideMark/>
          </w:tcPr>
          <w:p w14:paraId="46EF2CE3" w14:textId="77777777" w:rsidR="009A4C46" w:rsidRPr="00F94FED" w:rsidRDefault="009A4C46">
            <w:pPr>
              <w:spacing w:after="0" w:line="240" w:lineRule="auto"/>
              <w:rPr>
                <w:rFonts w:eastAsia="Times New Roman"/>
                <w:lang w:eastAsia="ru-RU"/>
              </w:rPr>
            </w:pPr>
            <w:r w:rsidRPr="00F94FED">
              <w:rPr>
                <w:rFonts w:eastAsia="Times New Roman"/>
                <w:lang w:eastAsia="ru-RU"/>
              </w:rPr>
              <w:t> </w:t>
            </w:r>
          </w:p>
        </w:tc>
        <w:tc>
          <w:tcPr>
            <w:tcW w:w="1576" w:type="dxa"/>
            <w:tcBorders>
              <w:top w:val="nil"/>
              <w:left w:val="nil"/>
              <w:bottom w:val="single" w:sz="8" w:space="0" w:color="auto"/>
              <w:right w:val="single" w:sz="8" w:space="0" w:color="auto"/>
            </w:tcBorders>
            <w:shd w:val="clear" w:color="auto" w:fill="auto"/>
            <w:noWrap/>
            <w:vAlign w:val="center"/>
            <w:hideMark/>
          </w:tcPr>
          <w:p w14:paraId="6099D3EF" w14:textId="77777777" w:rsidR="009A4C46" w:rsidRPr="00F94FED" w:rsidRDefault="009A4C46">
            <w:pPr>
              <w:spacing w:after="0" w:line="240" w:lineRule="auto"/>
              <w:rPr>
                <w:rFonts w:eastAsia="Times New Roman"/>
                <w:lang w:eastAsia="ru-RU"/>
              </w:rPr>
            </w:pPr>
            <w:r w:rsidRPr="00F94FED">
              <w:rPr>
                <w:rFonts w:eastAsia="Times New Roman"/>
                <w:lang w:eastAsia="ru-RU"/>
              </w:rPr>
              <w:t> </w:t>
            </w:r>
          </w:p>
        </w:tc>
        <w:tc>
          <w:tcPr>
            <w:tcW w:w="1559" w:type="dxa"/>
            <w:tcBorders>
              <w:top w:val="nil"/>
              <w:left w:val="nil"/>
              <w:bottom w:val="single" w:sz="8" w:space="0" w:color="auto"/>
              <w:right w:val="single" w:sz="8" w:space="0" w:color="auto"/>
            </w:tcBorders>
            <w:shd w:val="clear" w:color="auto" w:fill="auto"/>
            <w:noWrap/>
            <w:vAlign w:val="center"/>
            <w:hideMark/>
          </w:tcPr>
          <w:p w14:paraId="08645F01" w14:textId="77777777" w:rsidR="009A4C46" w:rsidRPr="009A4C46" w:rsidRDefault="009A4C46">
            <w:pPr>
              <w:spacing w:after="0" w:line="240" w:lineRule="auto"/>
              <w:rPr>
                <w:rFonts w:eastAsia="Times New Roman"/>
                <w:sz w:val="18"/>
                <w:szCs w:val="18"/>
                <w:lang w:eastAsia="ru-RU"/>
              </w:rPr>
            </w:pPr>
            <w:r w:rsidRPr="009A4C46">
              <w:rPr>
                <w:rFonts w:eastAsia="Times New Roman"/>
                <w:sz w:val="18"/>
                <w:szCs w:val="18"/>
                <w:lang w:eastAsia="ru-RU"/>
              </w:rPr>
              <w:t> </w:t>
            </w:r>
          </w:p>
        </w:tc>
      </w:tr>
      <w:tr w:rsidR="009A4C46" w:rsidRPr="009A4C46" w14:paraId="2D8DDC6D" w14:textId="77777777" w:rsidTr="00070F3E">
        <w:trPr>
          <w:trHeight w:val="315"/>
        </w:trPr>
        <w:tc>
          <w:tcPr>
            <w:tcW w:w="3407" w:type="dxa"/>
            <w:tcBorders>
              <w:top w:val="nil"/>
              <w:left w:val="single" w:sz="8" w:space="0" w:color="auto"/>
              <w:bottom w:val="single" w:sz="8" w:space="0" w:color="auto"/>
              <w:right w:val="single" w:sz="8" w:space="0" w:color="auto"/>
            </w:tcBorders>
            <w:shd w:val="clear" w:color="auto" w:fill="auto"/>
            <w:vAlign w:val="center"/>
            <w:hideMark/>
          </w:tcPr>
          <w:p w14:paraId="69AECDE3" w14:textId="77777777" w:rsidR="009A4C46" w:rsidRPr="00F94FED" w:rsidRDefault="009A4C46" w:rsidP="005C3ACA">
            <w:pPr>
              <w:spacing w:after="0" w:line="240" w:lineRule="auto"/>
              <w:rPr>
                <w:rFonts w:eastAsia="Times New Roman"/>
                <w:lang w:eastAsia="ru-RU"/>
              </w:rPr>
            </w:pPr>
            <w:r w:rsidRPr="00F94FED">
              <w:rPr>
                <w:rFonts w:eastAsia="Times New Roman"/>
                <w:lang w:eastAsia="ru-RU"/>
              </w:rPr>
              <w:t>от передачи электроэнергии</w:t>
            </w:r>
          </w:p>
        </w:tc>
        <w:tc>
          <w:tcPr>
            <w:tcW w:w="1480" w:type="dxa"/>
            <w:tcBorders>
              <w:top w:val="nil"/>
              <w:left w:val="nil"/>
              <w:bottom w:val="single" w:sz="8" w:space="0" w:color="auto"/>
              <w:right w:val="single" w:sz="8" w:space="0" w:color="auto"/>
            </w:tcBorders>
            <w:shd w:val="clear" w:color="auto" w:fill="auto"/>
            <w:noWrap/>
            <w:vAlign w:val="center"/>
            <w:hideMark/>
          </w:tcPr>
          <w:p w14:paraId="721D6803" w14:textId="77777777" w:rsidR="009A4C46" w:rsidRPr="00F94FED" w:rsidRDefault="009A4C46">
            <w:pPr>
              <w:spacing w:after="0" w:line="240" w:lineRule="auto"/>
              <w:jc w:val="right"/>
              <w:rPr>
                <w:rFonts w:eastAsia="Times New Roman"/>
                <w:lang w:eastAsia="ru-RU"/>
              </w:rPr>
            </w:pPr>
            <w:r w:rsidRPr="00F94FED">
              <w:rPr>
                <w:rFonts w:eastAsia="Times New Roman"/>
                <w:lang w:eastAsia="ru-RU"/>
              </w:rPr>
              <w:t>153 921</w:t>
            </w:r>
          </w:p>
        </w:tc>
        <w:tc>
          <w:tcPr>
            <w:tcW w:w="1480" w:type="dxa"/>
            <w:tcBorders>
              <w:top w:val="nil"/>
              <w:left w:val="nil"/>
              <w:bottom w:val="single" w:sz="8" w:space="0" w:color="auto"/>
              <w:right w:val="single" w:sz="8" w:space="0" w:color="auto"/>
            </w:tcBorders>
            <w:shd w:val="clear" w:color="auto" w:fill="auto"/>
            <w:noWrap/>
            <w:vAlign w:val="center"/>
            <w:hideMark/>
          </w:tcPr>
          <w:p w14:paraId="6D2C202A" w14:textId="77777777" w:rsidR="009A4C46" w:rsidRPr="00F94FED" w:rsidRDefault="009A4C46">
            <w:pPr>
              <w:spacing w:after="0" w:line="240" w:lineRule="auto"/>
              <w:jc w:val="right"/>
              <w:rPr>
                <w:rFonts w:eastAsia="Times New Roman"/>
                <w:lang w:eastAsia="ru-RU"/>
              </w:rPr>
            </w:pPr>
            <w:r w:rsidRPr="00F94FED">
              <w:rPr>
                <w:rFonts w:eastAsia="Times New Roman"/>
                <w:lang w:eastAsia="ru-RU"/>
              </w:rPr>
              <w:t>163 935</w:t>
            </w:r>
          </w:p>
        </w:tc>
        <w:tc>
          <w:tcPr>
            <w:tcW w:w="1576" w:type="dxa"/>
            <w:tcBorders>
              <w:top w:val="nil"/>
              <w:left w:val="nil"/>
              <w:bottom w:val="single" w:sz="8" w:space="0" w:color="auto"/>
              <w:right w:val="single" w:sz="8" w:space="0" w:color="auto"/>
            </w:tcBorders>
            <w:shd w:val="clear" w:color="auto" w:fill="auto"/>
            <w:noWrap/>
            <w:vAlign w:val="center"/>
            <w:hideMark/>
          </w:tcPr>
          <w:p w14:paraId="50DAECCF" w14:textId="77777777" w:rsidR="009A4C46" w:rsidRPr="00F94FED" w:rsidRDefault="009A4C46">
            <w:pPr>
              <w:spacing w:after="0" w:line="240" w:lineRule="auto"/>
              <w:jc w:val="right"/>
              <w:rPr>
                <w:rFonts w:eastAsia="Times New Roman"/>
                <w:lang w:eastAsia="ru-RU"/>
              </w:rPr>
            </w:pPr>
            <w:r w:rsidRPr="00F94FED">
              <w:rPr>
                <w:rFonts w:eastAsia="Times New Roman"/>
                <w:lang w:eastAsia="ru-RU"/>
              </w:rPr>
              <w:t>10 014</w:t>
            </w:r>
          </w:p>
        </w:tc>
        <w:tc>
          <w:tcPr>
            <w:tcW w:w="1559" w:type="dxa"/>
            <w:tcBorders>
              <w:top w:val="nil"/>
              <w:left w:val="nil"/>
              <w:bottom w:val="single" w:sz="8" w:space="0" w:color="auto"/>
              <w:right w:val="single" w:sz="8" w:space="0" w:color="auto"/>
            </w:tcBorders>
            <w:shd w:val="clear" w:color="auto" w:fill="auto"/>
            <w:noWrap/>
            <w:vAlign w:val="center"/>
            <w:hideMark/>
          </w:tcPr>
          <w:p w14:paraId="79BB9D48" w14:textId="77777777" w:rsidR="009A4C46" w:rsidRPr="009A4C46" w:rsidRDefault="009A4C46">
            <w:pPr>
              <w:spacing w:after="0" w:line="240" w:lineRule="auto"/>
              <w:jc w:val="right"/>
              <w:rPr>
                <w:rFonts w:eastAsia="Times New Roman"/>
                <w:sz w:val="18"/>
                <w:szCs w:val="18"/>
                <w:lang w:eastAsia="ru-RU"/>
              </w:rPr>
            </w:pPr>
            <w:r w:rsidRPr="009A4C46">
              <w:rPr>
                <w:rFonts w:eastAsia="Times New Roman"/>
                <w:sz w:val="18"/>
                <w:szCs w:val="18"/>
                <w:lang w:eastAsia="ru-RU"/>
              </w:rPr>
              <w:t>7%</w:t>
            </w:r>
          </w:p>
        </w:tc>
      </w:tr>
      <w:tr w:rsidR="009A4C46" w:rsidRPr="009A4C46" w14:paraId="1448A8D0" w14:textId="77777777" w:rsidTr="00070F3E">
        <w:trPr>
          <w:trHeight w:val="315"/>
        </w:trPr>
        <w:tc>
          <w:tcPr>
            <w:tcW w:w="3407" w:type="dxa"/>
            <w:tcBorders>
              <w:top w:val="nil"/>
              <w:left w:val="single" w:sz="8" w:space="0" w:color="auto"/>
              <w:bottom w:val="single" w:sz="8" w:space="0" w:color="auto"/>
              <w:right w:val="single" w:sz="8" w:space="0" w:color="auto"/>
            </w:tcBorders>
            <w:shd w:val="clear" w:color="auto" w:fill="auto"/>
            <w:vAlign w:val="center"/>
            <w:hideMark/>
          </w:tcPr>
          <w:p w14:paraId="364E1272" w14:textId="77777777" w:rsidR="009A4C46" w:rsidRPr="00F94FED" w:rsidRDefault="009A4C46" w:rsidP="005C3ACA">
            <w:pPr>
              <w:spacing w:after="0" w:line="240" w:lineRule="auto"/>
              <w:rPr>
                <w:rFonts w:eastAsia="Times New Roman"/>
                <w:lang w:eastAsia="ru-RU"/>
              </w:rPr>
            </w:pPr>
            <w:r w:rsidRPr="00F94FED">
              <w:rPr>
                <w:rFonts w:eastAsia="Times New Roman"/>
                <w:lang w:eastAsia="ru-RU"/>
              </w:rPr>
              <w:t xml:space="preserve">от техприсоединения </w:t>
            </w:r>
          </w:p>
        </w:tc>
        <w:tc>
          <w:tcPr>
            <w:tcW w:w="1480" w:type="dxa"/>
            <w:tcBorders>
              <w:top w:val="nil"/>
              <w:left w:val="nil"/>
              <w:bottom w:val="single" w:sz="8" w:space="0" w:color="auto"/>
              <w:right w:val="single" w:sz="8" w:space="0" w:color="auto"/>
            </w:tcBorders>
            <w:shd w:val="clear" w:color="auto" w:fill="auto"/>
            <w:noWrap/>
            <w:vAlign w:val="center"/>
            <w:hideMark/>
          </w:tcPr>
          <w:p w14:paraId="6C2678E0" w14:textId="77777777" w:rsidR="009A4C46" w:rsidRPr="00F94FED" w:rsidRDefault="009A4C46">
            <w:pPr>
              <w:spacing w:after="0" w:line="240" w:lineRule="auto"/>
              <w:jc w:val="right"/>
              <w:rPr>
                <w:rFonts w:eastAsia="Times New Roman"/>
                <w:lang w:eastAsia="ru-RU"/>
              </w:rPr>
            </w:pPr>
            <w:r w:rsidRPr="00F94FED">
              <w:rPr>
                <w:rFonts w:eastAsia="Times New Roman"/>
                <w:lang w:eastAsia="ru-RU"/>
              </w:rPr>
              <w:t>467</w:t>
            </w:r>
          </w:p>
        </w:tc>
        <w:tc>
          <w:tcPr>
            <w:tcW w:w="1480" w:type="dxa"/>
            <w:tcBorders>
              <w:top w:val="nil"/>
              <w:left w:val="nil"/>
              <w:bottom w:val="single" w:sz="8" w:space="0" w:color="auto"/>
              <w:right w:val="single" w:sz="8" w:space="0" w:color="auto"/>
            </w:tcBorders>
            <w:shd w:val="clear" w:color="auto" w:fill="auto"/>
            <w:noWrap/>
            <w:vAlign w:val="center"/>
            <w:hideMark/>
          </w:tcPr>
          <w:p w14:paraId="1AF824EF" w14:textId="77777777" w:rsidR="009A4C46" w:rsidRPr="00F94FED" w:rsidRDefault="009A4C46">
            <w:pPr>
              <w:spacing w:after="0" w:line="240" w:lineRule="auto"/>
              <w:jc w:val="right"/>
              <w:rPr>
                <w:rFonts w:eastAsia="Times New Roman"/>
                <w:lang w:eastAsia="ru-RU"/>
              </w:rPr>
            </w:pPr>
            <w:r w:rsidRPr="00F94FED">
              <w:rPr>
                <w:rFonts w:eastAsia="Times New Roman"/>
                <w:lang w:eastAsia="ru-RU"/>
              </w:rPr>
              <w:t>384</w:t>
            </w:r>
          </w:p>
        </w:tc>
        <w:tc>
          <w:tcPr>
            <w:tcW w:w="1576" w:type="dxa"/>
            <w:tcBorders>
              <w:top w:val="nil"/>
              <w:left w:val="nil"/>
              <w:bottom w:val="single" w:sz="8" w:space="0" w:color="auto"/>
              <w:right w:val="single" w:sz="8" w:space="0" w:color="auto"/>
            </w:tcBorders>
            <w:shd w:val="clear" w:color="auto" w:fill="auto"/>
            <w:noWrap/>
            <w:vAlign w:val="center"/>
            <w:hideMark/>
          </w:tcPr>
          <w:p w14:paraId="3CADAC88" w14:textId="77777777" w:rsidR="009A4C46" w:rsidRPr="00F94FED" w:rsidRDefault="009A4C46">
            <w:pPr>
              <w:spacing w:after="0" w:line="240" w:lineRule="auto"/>
              <w:jc w:val="right"/>
              <w:rPr>
                <w:rFonts w:eastAsia="Times New Roman"/>
                <w:lang w:eastAsia="ru-RU"/>
              </w:rPr>
            </w:pPr>
            <w:r w:rsidRPr="00F94FED">
              <w:rPr>
                <w:rFonts w:eastAsia="Times New Roman"/>
                <w:lang w:eastAsia="ru-RU"/>
              </w:rPr>
              <w:t>-83</w:t>
            </w:r>
          </w:p>
        </w:tc>
        <w:tc>
          <w:tcPr>
            <w:tcW w:w="1559" w:type="dxa"/>
            <w:tcBorders>
              <w:top w:val="nil"/>
              <w:left w:val="nil"/>
              <w:bottom w:val="single" w:sz="8" w:space="0" w:color="auto"/>
              <w:right w:val="single" w:sz="8" w:space="0" w:color="auto"/>
            </w:tcBorders>
            <w:shd w:val="clear" w:color="auto" w:fill="auto"/>
            <w:noWrap/>
            <w:vAlign w:val="center"/>
            <w:hideMark/>
          </w:tcPr>
          <w:p w14:paraId="6DC0B0B9" w14:textId="77777777" w:rsidR="009A4C46" w:rsidRPr="009A4C46" w:rsidRDefault="009A4C46">
            <w:pPr>
              <w:spacing w:after="0" w:line="240" w:lineRule="auto"/>
              <w:jc w:val="right"/>
              <w:rPr>
                <w:rFonts w:eastAsia="Times New Roman"/>
                <w:sz w:val="18"/>
                <w:szCs w:val="18"/>
                <w:lang w:eastAsia="ru-RU"/>
              </w:rPr>
            </w:pPr>
            <w:r w:rsidRPr="009A4C46">
              <w:rPr>
                <w:rFonts w:eastAsia="Times New Roman"/>
                <w:sz w:val="18"/>
                <w:szCs w:val="18"/>
                <w:lang w:eastAsia="ru-RU"/>
              </w:rPr>
              <w:t>-18%</w:t>
            </w:r>
          </w:p>
        </w:tc>
      </w:tr>
      <w:tr w:rsidR="009A4C46" w:rsidRPr="009A4C46" w14:paraId="4FDE253F" w14:textId="77777777" w:rsidTr="00070F3E">
        <w:trPr>
          <w:trHeight w:val="315"/>
        </w:trPr>
        <w:tc>
          <w:tcPr>
            <w:tcW w:w="3407" w:type="dxa"/>
            <w:tcBorders>
              <w:top w:val="nil"/>
              <w:left w:val="single" w:sz="8" w:space="0" w:color="auto"/>
              <w:bottom w:val="single" w:sz="8" w:space="0" w:color="auto"/>
              <w:right w:val="single" w:sz="8" w:space="0" w:color="auto"/>
            </w:tcBorders>
            <w:shd w:val="clear" w:color="auto" w:fill="auto"/>
            <w:vAlign w:val="center"/>
            <w:hideMark/>
          </w:tcPr>
          <w:p w14:paraId="4280F3ED" w14:textId="77777777" w:rsidR="009A4C46" w:rsidRPr="00F94FED" w:rsidRDefault="009A4C46" w:rsidP="005C3ACA">
            <w:pPr>
              <w:spacing w:after="0" w:line="240" w:lineRule="auto"/>
              <w:rPr>
                <w:rFonts w:eastAsia="Times New Roman"/>
                <w:lang w:eastAsia="ru-RU"/>
              </w:rPr>
            </w:pPr>
            <w:r w:rsidRPr="00F94FED">
              <w:rPr>
                <w:rFonts w:eastAsia="Times New Roman"/>
                <w:lang w:eastAsia="ru-RU"/>
              </w:rPr>
              <w:t>от  прочей продукции</w:t>
            </w:r>
          </w:p>
        </w:tc>
        <w:tc>
          <w:tcPr>
            <w:tcW w:w="1480" w:type="dxa"/>
            <w:tcBorders>
              <w:top w:val="nil"/>
              <w:left w:val="nil"/>
              <w:bottom w:val="single" w:sz="8" w:space="0" w:color="auto"/>
              <w:right w:val="single" w:sz="8" w:space="0" w:color="auto"/>
            </w:tcBorders>
            <w:shd w:val="clear" w:color="auto" w:fill="auto"/>
            <w:noWrap/>
            <w:vAlign w:val="center"/>
            <w:hideMark/>
          </w:tcPr>
          <w:p w14:paraId="681AA60F" w14:textId="77777777" w:rsidR="009A4C46" w:rsidRPr="00F94FED" w:rsidRDefault="009A4C46">
            <w:pPr>
              <w:spacing w:after="0" w:line="240" w:lineRule="auto"/>
              <w:jc w:val="right"/>
              <w:rPr>
                <w:rFonts w:eastAsia="Times New Roman"/>
                <w:lang w:eastAsia="ru-RU"/>
              </w:rPr>
            </w:pPr>
            <w:r w:rsidRPr="00F94FED">
              <w:rPr>
                <w:rFonts w:eastAsia="Times New Roman"/>
                <w:lang w:eastAsia="ru-RU"/>
              </w:rPr>
              <w:t>1 431</w:t>
            </w:r>
          </w:p>
        </w:tc>
        <w:tc>
          <w:tcPr>
            <w:tcW w:w="1480" w:type="dxa"/>
            <w:tcBorders>
              <w:top w:val="nil"/>
              <w:left w:val="nil"/>
              <w:bottom w:val="single" w:sz="8" w:space="0" w:color="auto"/>
              <w:right w:val="single" w:sz="8" w:space="0" w:color="auto"/>
            </w:tcBorders>
            <w:shd w:val="clear" w:color="auto" w:fill="auto"/>
            <w:noWrap/>
            <w:vAlign w:val="center"/>
            <w:hideMark/>
          </w:tcPr>
          <w:p w14:paraId="61617AEB" w14:textId="77777777" w:rsidR="009A4C46" w:rsidRPr="00F94FED" w:rsidRDefault="009A4C46">
            <w:pPr>
              <w:spacing w:after="0" w:line="240" w:lineRule="auto"/>
              <w:jc w:val="right"/>
              <w:rPr>
                <w:rFonts w:eastAsia="Times New Roman"/>
                <w:lang w:eastAsia="ru-RU"/>
              </w:rPr>
            </w:pPr>
            <w:r w:rsidRPr="00F94FED">
              <w:rPr>
                <w:rFonts w:eastAsia="Times New Roman"/>
                <w:lang w:eastAsia="ru-RU"/>
              </w:rPr>
              <w:t>1 821</w:t>
            </w:r>
          </w:p>
        </w:tc>
        <w:tc>
          <w:tcPr>
            <w:tcW w:w="1576" w:type="dxa"/>
            <w:tcBorders>
              <w:top w:val="nil"/>
              <w:left w:val="nil"/>
              <w:bottom w:val="single" w:sz="8" w:space="0" w:color="auto"/>
              <w:right w:val="single" w:sz="8" w:space="0" w:color="auto"/>
            </w:tcBorders>
            <w:shd w:val="clear" w:color="auto" w:fill="auto"/>
            <w:noWrap/>
            <w:vAlign w:val="center"/>
            <w:hideMark/>
          </w:tcPr>
          <w:p w14:paraId="73B571AB" w14:textId="77777777" w:rsidR="009A4C46" w:rsidRPr="00F94FED" w:rsidRDefault="009A4C46">
            <w:pPr>
              <w:spacing w:after="0" w:line="240" w:lineRule="auto"/>
              <w:jc w:val="right"/>
              <w:rPr>
                <w:rFonts w:eastAsia="Times New Roman"/>
                <w:lang w:eastAsia="ru-RU"/>
              </w:rPr>
            </w:pPr>
            <w:r w:rsidRPr="00F94FED">
              <w:rPr>
                <w:rFonts w:eastAsia="Times New Roman"/>
                <w:lang w:eastAsia="ru-RU"/>
              </w:rPr>
              <w:t>391</w:t>
            </w:r>
          </w:p>
        </w:tc>
        <w:tc>
          <w:tcPr>
            <w:tcW w:w="1559" w:type="dxa"/>
            <w:tcBorders>
              <w:top w:val="nil"/>
              <w:left w:val="nil"/>
              <w:bottom w:val="single" w:sz="8" w:space="0" w:color="auto"/>
              <w:right w:val="single" w:sz="8" w:space="0" w:color="auto"/>
            </w:tcBorders>
            <w:shd w:val="clear" w:color="auto" w:fill="auto"/>
            <w:noWrap/>
            <w:vAlign w:val="center"/>
            <w:hideMark/>
          </w:tcPr>
          <w:p w14:paraId="12D6A755" w14:textId="77777777" w:rsidR="009A4C46" w:rsidRPr="009A4C46" w:rsidRDefault="009A4C46">
            <w:pPr>
              <w:spacing w:after="0" w:line="240" w:lineRule="auto"/>
              <w:jc w:val="right"/>
              <w:rPr>
                <w:rFonts w:eastAsia="Times New Roman"/>
                <w:sz w:val="18"/>
                <w:szCs w:val="18"/>
                <w:lang w:eastAsia="ru-RU"/>
              </w:rPr>
            </w:pPr>
            <w:r w:rsidRPr="009A4C46">
              <w:rPr>
                <w:rFonts w:eastAsia="Times New Roman"/>
                <w:sz w:val="18"/>
                <w:szCs w:val="18"/>
                <w:lang w:eastAsia="ru-RU"/>
              </w:rPr>
              <w:t>27%</w:t>
            </w:r>
          </w:p>
        </w:tc>
      </w:tr>
      <w:tr w:rsidR="009A4C46" w:rsidRPr="009A4C46" w14:paraId="1FBA9865" w14:textId="77777777" w:rsidTr="00070F3E">
        <w:trPr>
          <w:trHeight w:val="315"/>
        </w:trPr>
        <w:tc>
          <w:tcPr>
            <w:tcW w:w="3407" w:type="dxa"/>
            <w:tcBorders>
              <w:top w:val="nil"/>
              <w:left w:val="single" w:sz="8" w:space="0" w:color="auto"/>
              <w:bottom w:val="single" w:sz="8" w:space="0" w:color="auto"/>
              <w:right w:val="single" w:sz="8" w:space="0" w:color="auto"/>
            </w:tcBorders>
            <w:shd w:val="clear" w:color="auto" w:fill="D6E3BC" w:themeFill="accent3" w:themeFillTint="66"/>
            <w:vAlign w:val="center"/>
            <w:hideMark/>
          </w:tcPr>
          <w:p w14:paraId="1847B2AA" w14:textId="77777777" w:rsidR="009A4C46" w:rsidRPr="00F94FED" w:rsidRDefault="009A4C46" w:rsidP="005C3ACA">
            <w:pPr>
              <w:spacing w:after="0" w:line="240" w:lineRule="auto"/>
              <w:rPr>
                <w:rFonts w:eastAsia="Times New Roman"/>
                <w:lang w:eastAsia="ru-RU"/>
              </w:rPr>
            </w:pPr>
            <w:r w:rsidRPr="00F94FED">
              <w:rPr>
                <w:rFonts w:eastAsia="Times New Roman"/>
                <w:lang w:eastAsia="ru-RU"/>
              </w:rPr>
              <w:t>Прибыль (убыток) от продаж</w:t>
            </w:r>
          </w:p>
        </w:tc>
        <w:tc>
          <w:tcPr>
            <w:tcW w:w="1480" w:type="dxa"/>
            <w:tcBorders>
              <w:top w:val="nil"/>
              <w:left w:val="nil"/>
              <w:bottom w:val="single" w:sz="8" w:space="0" w:color="auto"/>
              <w:right w:val="single" w:sz="8" w:space="0" w:color="auto"/>
            </w:tcBorders>
            <w:shd w:val="clear" w:color="auto" w:fill="D6E3BC" w:themeFill="accent3" w:themeFillTint="66"/>
            <w:noWrap/>
            <w:vAlign w:val="center"/>
            <w:hideMark/>
          </w:tcPr>
          <w:p w14:paraId="119DCFE5" w14:textId="77777777" w:rsidR="009A4C46" w:rsidRPr="00F94FED" w:rsidRDefault="009A4C46">
            <w:pPr>
              <w:spacing w:after="0" w:line="240" w:lineRule="auto"/>
              <w:jc w:val="right"/>
              <w:rPr>
                <w:rFonts w:eastAsia="Times New Roman"/>
                <w:lang w:eastAsia="ru-RU"/>
              </w:rPr>
            </w:pPr>
            <w:r w:rsidRPr="00F94FED">
              <w:rPr>
                <w:rFonts w:eastAsia="Times New Roman"/>
                <w:lang w:eastAsia="ru-RU"/>
              </w:rPr>
              <w:t>803 013</w:t>
            </w:r>
          </w:p>
        </w:tc>
        <w:tc>
          <w:tcPr>
            <w:tcW w:w="1480" w:type="dxa"/>
            <w:tcBorders>
              <w:top w:val="nil"/>
              <w:left w:val="nil"/>
              <w:bottom w:val="single" w:sz="8" w:space="0" w:color="auto"/>
              <w:right w:val="single" w:sz="8" w:space="0" w:color="auto"/>
            </w:tcBorders>
            <w:shd w:val="clear" w:color="auto" w:fill="D6E3BC" w:themeFill="accent3" w:themeFillTint="66"/>
            <w:noWrap/>
            <w:vAlign w:val="center"/>
            <w:hideMark/>
          </w:tcPr>
          <w:p w14:paraId="6E3D3724" w14:textId="77777777" w:rsidR="009A4C46" w:rsidRPr="00F94FED" w:rsidRDefault="009A4C46">
            <w:pPr>
              <w:spacing w:after="0" w:line="240" w:lineRule="auto"/>
              <w:jc w:val="right"/>
              <w:rPr>
                <w:rFonts w:eastAsia="Times New Roman"/>
                <w:lang w:eastAsia="ru-RU"/>
              </w:rPr>
            </w:pPr>
            <w:r w:rsidRPr="00F94FED">
              <w:rPr>
                <w:rFonts w:eastAsia="Times New Roman"/>
                <w:lang w:eastAsia="ru-RU"/>
              </w:rPr>
              <w:t>229 157</w:t>
            </w:r>
          </w:p>
        </w:tc>
        <w:tc>
          <w:tcPr>
            <w:tcW w:w="1576" w:type="dxa"/>
            <w:tcBorders>
              <w:top w:val="nil"/>
              <w:left w:val="nil"/>
              <w:bottom w:val="single" w:sz="8" w:space="0" w:color="auto"/>
              <w:right w:val="single" w:sz="8" w:space="0" w:color="auto"/>
            </w:tcBorders>
            <w:shd w:val="clear" w:color="auto" w:fill="D6E3BC" w:themeFill="accent3" w:themeFillTint="66"/>
            <w:noWrap/>
            <w:vAlign w:val="center"/>
            <w:hideMark/>
          </w:tcPr>
          <w:p w14:paraId="3D794DB3" w14:textId="77777777" w:rsidR="009A4C46" w:rsidRPr="00F94FED" w:rsidRDefault="009A4C46">
            <w:pPr>
              <w:spacing w:after="0" w:line="240" w:lineRule="auto"/>
              <w:jc w:val="right"/>
              <w:rPr>
                <w:rFonts w:eastAsia="Times New Roman"/>
                <w:lang w:eastAsia="ru-RU"/>
              </w:rPr>
            </w:pPr>
            <w:r w:rsidRPr="00F94FED">
              <w:rPr>
                <w:rFonts w:eastAsia="Times New Roman"/>
                <w:lang w:eastAsia="ru-RU"/>
              </w:rPr>
              <w:t>-573 856</w:t>
            </w:r>
          </w:p>
        </w:tc>
        <w:tc>
          <w:tcPr>
            <w:tcW w:w="1559" w:type="dxa"/>
            <w:tcBorders>
              <w:top w:val="nil"/>
              <w:left w:val="nil"/>
              <w:bottom w:val="single" w:sz="8" w:space="0" w:color="auto"/>
              <w:right w:val="single" w:sz="8" w:space="0" w:color="auto"/>
            </w:tcBorders>
            <w:shd w:val="clear" w:color="auto" w:fill="D6E3BC" w:themeFill="accent3" w:themeFillTint="66"/>
            <w:noWrap/>
            <w:vAlign w:val="center"/>
            <w:hideMark/>
          </w:tcPr>
          <w:p w14:paraId="71A69BF9" w14:textId="77777777" w:rsidR="009A4C46" w:rsidRPr="009A4C46" w:rsidRDefault="009A4C46">
            <w:pPr>
              <w:spacing w:after="0" w:line="240" w:lineRule="auto"/>
              <w:jc w:val="right"/>
              <w:rPr>
                <w:rFonts w:eastAsia="Times New Roman"/>
                <w:sz w:val="18"/>
                <w:szCs w:val="18"/>
                <w:lang w:eastAsia="ru-RU"/>
              </w:rPr>
            </w:pPr>
            <w:r w:rsidRPr="009A4C46">
              <w:rPr>
                <w:rFonts w:eastAsia="Times New Roman"/>
                <w:sz w:val="18"/>
                <w:szCs w:val="18"/>
                <w:lang w:eastAsia="ru-RU"/>
              </w:rPr>
              <w:t>-71%</w:t>
            </w:r>
          </w:p>
        </w:tc>
      </w:tr>
      <w:tr w:rsidR="009A4C46" w:rsidRPr="009A4C46" w14:paraId="7382A694" w14:textId="77777777" w:rsidTr="00070F3E">
        <w:trPr>
          <w:trHeight w:val="315"/>
        </w:trPr>
        <w:tc>
          <w:tcPr>
            <w:tcW w:w="3407" w:type="dxa"/>
            <w:tcBorders>
              <w:top w:val="nil"/>
              <w:left w:val="single" w:sz="8" w:space="0" w:color="auto"/>
              <w:bottom w:val="single" w:sz="8" w:space="0" w:color="auto"/>
              <w:right w:val="single" w:sz="8" w:space="0" w:color="auto"/>
            </w:tcBorders>
            <w:shd w:val="clear" w:color="auto" w:fill="auto"/>
            <w:vAlign w:val="center"/>
            <w:hideMark/>
          </w:tcPr>
          <w:p w14:paraId="547514C3" w14:textId="77777777" w:rsidR="009A4C46" w:rsidRPr="00F94FED" w:rsidRDefault="009A4C46" w:rsidP="005C3ACA">
            <w:pPr>
              <w:spacing w:after="0" w:line="240" w:lineRule="auto"/>
              <w:rPr>
                <w:rFonts w:eastAsia="Times New Roman"/>
                <w:lang w:eastAsia="ru-RU"/>
              </w:rPr>
            </w:pPr>
            <w:r w:rsidRPr="00F94FED">
              <w:rPr>
                <w:rFonts w:eastAsia="Times New Roman"/>
                <w:lang w:eastAsia="ru-RU"/>
              </w:rPr>
              <w:t xml:space="preserve">в том числе </w:t>
            </w:r>
          </w:p>
        </w:tc>
        <w:tc>
          <w:tcPr>
            <w:tcW w:w="1480" w:type="dxa"/>
            <w:tcBorders>
              <w:top w:val="nil"/>
              <w:left w:val="nil"/>
              <w:bottom w:val="single" w:sz="8" w:space="0" w:color="auto"/>
              <w:right w:val="single" w:sz="8" w:space="0" w:color="auto"/>
            </w:tcBorders>
            <w:shd w:val="clear" w:color="auto" w:fill="auto"/>
            <w:noWrap/>
            <w:vAlign w:val="center"/>
            <w:hideMark/>
          </w:tcPr>
          <w:p w14:paraId="2AAA4DEA" w14:textId="77777777" w:rsidR="009A4C46" w:rsidRPr="00F94FED" w:rsidRDefault="009A4C46">
            <w:pPr>
              <w:spacing w:after="0" w:line="240" w:lineRule="auto"/>
              <w:rPr>
                <w:rFonts w:eastAsia="Times New Roman"/>
                <w:lang w:eastAsia="ru-RU"/>
              </w:rPr>
            </w:pPr>
            <w:r w:rsidRPr="00F94FED">
              <w:rPr>
                <w:rFonts w:eastAsia="Times New Roman"/>
                <w:lang w:eastAsia="ru-RU"/>
              </w:rPr>
              <w:t> </w:t>
            </w:r>
          </w:p>
        </w:tc>
        <w:tc>
          <w:tcPr>
            <w:tcW w:w="1480" w:type="dxa"/>
            <w:tcBorders>
              <w:top w:val="nil"/>
              <w:left w:val="nil"/>
              <w:bottom w:val="single" w:sz="8" w:space="0" w:color="auto"/>
              <w:right w:val="single" w:sz="8" w:space="0" w:color="auto"/>
            </w:tcBorders>
            <w:shd w:val="clear" w:color="auto" w:fill="auto"/>
            <w:noWrap/>
            <w:vAlign w:val="center"/>
            <w:hideMark/>
          </w:tcPr>
          <w:p w14:paraId="627BD203" w14:textId="77777777" w:rsidR="009A4C46" w:rsidRPr="00F94FED" w:rsidRDefault="009A4C46">
            <w:pPr>
              <w:spacing w:after="0" w:line="240" w:lineRule="auto"/>
              <w:rPr>
                <w:rFonts w:eastAsia="Times New Roman"/>
                <w:lang w:eastAsia="ru-RU"/>
              </w:rPr>
            </w:pPr>
            <w:r w:rsidRPr="00F94FED">
              <w:rPr>
                <w:rFonts w:eastAsia="Times New Roman"/>
                <w:lang w:eastAsia="ru-RU"/>
              </w:rPr>
              <w:t> </w:t>
            </w:r>
          </w:p>
        </w:tc>
        <w:tc>
          <w:tcPr>
            <w:tcW w:w="1576" w:type="dxa"/>
            <w:tcBorders>
              <w:top w:val="nil"/>
              <w:left w:val="nil"/>
              <w:bottom w:val="single" w:sz="8" w:space="0" w:color="auto"/>
              <w:right w:val="single" w:sz="8" w:space="0" w:color="auto"/>
            </w:tcBorders>
            <w:shd w:val="clear" w:color="auto" w:fill="auto"/>
            <w:noWrap/>
            <w:vAlign w:val="center"/>
            <w:hideMark/>
          </w:tcPr>
          <w:p w14:paraId="4334AC49" w14:textId="77777777" w:rsidR="009A4C46" w:rsidRPr="00F94FED" w:rsidRDefault="009A4C46">
            <w:pPr>
              <w:spacing w:after="0" w:line="240" w:lineRule="auto"/>
              <w:rPr>
                <w:rFonts w:eastAsia="Times New Roman"/>
                <w:lang w:eastAsia="ru-RU"/>
              </w:rPr>
            </w:pPr>
            <w:r w:rsidRPr="00F94FED">
              <w:rPr>
                <w:rFonts w:eastAsia="Times New Roman"/>
                <w:lang w:eastAsia="ru-RU"/>
              </w:rPr>
              <w:t> </w:t>
            </w:r>
          </w:p>
        </w:tc>
        <w:tc>
          <w:tcPr>
            <w:tcW w:w="1559" w:type="dxa"/>
            <w:tcBorders>
              <w:top w:val="nil"/>
              <w:left w:val="nil"/>
              <w:bottom w:val="single" w:sz="8" w:space="0" w:color="auto"/>
              <w:right w:val="single" w:sz="8" w:space="0" w:color="auto"/>
            </w:tcBorders>
            <w:shd w:val="clear" w:color="auto" w:fill="auto"/>
            <w:noWrap/>
            <w:vAlign w:val="center"/>
            <w:hideMark/>
          </w:tcPr>
          <w:p w14:paraId="56C23546" w14:textId="77777777" w:rsidR="009A4C46" w:rsidRPr="009A4C46" w:rsidRDefault="009A4C46">
            <w:pPr>
              <w:spacing w:after="0" w:line="240" w:lineRule="auto"/>
              <w:rPr>
                <w:rFonts w:eastAsia="Times New Roman"/>
                <w:sz w:val="18"/>
                <w:szCs w:val="18"/>
                <w:lang w:eastAsia="ru-RU"/>
              </w:rPr>
            </w:pPr>
            <w:r w:rsidRPr="009A4C46">
              <w:rPr>
                <w:rFonts w:eastAsia="Times New Roman"/>
                <w:sz w:val="18"/>
                <w:szCs w:val="18"/>
                <w:lang w:eastAsia="ru-RU"/>
              </w:rPr>
              <w:t> </w:t>
            </w:r>
          </w:p>
        </w:tc>
      </w:tr>
      <w:tr w:rsidR="009A4C46" w:rsidRPr="009A4C46" w14:paraId="058D7C23" w14:textId="77777777" w:rsidTr="00070F3E">
        <w:trPr>
          <w:trHeight w:val="315"/>
        </w:trPr>
        <w:tc>
          <w:tcPr>
            <w:tcW w:w="3407" w:type="dxa"/>
            <w:tcBorders>
              <w:top w:val="nil"/>
              <w:left w:val="single" w:sz="8" w:space="0" w:color="auto"/>
              <w:bottom w:val="single" w:sz="8" w:space="0" w:color="auto"/>
              <w:right w:val="single" w:sz="8" w:space="0" w:color="auto"/>
            </w:tcBorders>
            <w:shd w:val="clear" w:color="auto" w:fill="auto"/>
            <w:vAlign w:val="center"/>
            <w:hideMark/>
          </w:tcPr>
          <w:p w14:paraId="763D6809" w14:textId="77777777" w:rsidR="009A4C46" w:rsidRPr="00F94FED" w:rsidRDefault="009A4C46" w:rsidP="005C3ACA">
            <w:pPr>
              <w:spacing w:after="0" w:line="240" w:lineRule="auto"/>
              <w:rPr>
                <w:rFonts w:eastAsia="Times New Roman"/>
                <w:lang w:eastAsia="ru-RU"/>
              </w:rPr>
            </w:pPr>
            <w:r w:rsidRPr="00F94FED">
              <w:rPr>
                <w:rFonts w:eastAsia="Times New Roman"/>
                <w:lang w:eastAsia="ru-RU"/>
              </w:rPr>
              <w:t>от передачи электроэнергии</w:t>
            </w:r>
          </w:p>
        </w:tc>
        <w:tc>
          <w:tcPr>
            <w:tcW w:w="1480" w:type="dxa"/>
            <w:tcBorders>
              <w:top w:val="nil"/>
              <w:left w:val="nil"/>
              <w:bottom w:val="single" w:sz="8" w:space="0" w:color="auto"/>
              <w:right w:val="single" w:sz="8" w:space="0" w:color="auto"/>
            </w:tcBorders>
            <w:shd w:val="clear" w:color="auto" w:fill="auto"/>
            <w:noWrap/>
            <w:vAlign w:val="center"/>
            <w:hideMark/>
          </w:tcPr>
          <w:p w14:paraId="2CCD0D3E" w14:textId="77777777" w:rsidR="009A4C46" w:rsidRPr="00F94FED" w:rsidRDefault="009A4C46">
            <w:pPr>
              <w:spacing w:after="0" w:line="240" w:lineRule="auto"/>
              <w:jc w:val="right"/>
              <w:rPr>
                <w:rFonts w:eastAsia="Times New Roman"/>
                <w:lang w:eastAsia="ru-RU"/>
              </w:rPr>
            </w:pPr>
            <w:r w:rsidRPr="00F94FED">
              <w:rPr>
                <w:rFonts w:eastAsia="Times New Roman"/>
                <w:lang w:eastAsia="ru-RU"/>
              </w:rPr>
              <w:t>167 237</w:t>
            </w:r>
          </w:p>
        </w:tc>
        <w:tc>
          <w:tcPr>
            <w:tcW w:w="1480" w:type="dxa"/>
            <w:tcBorders>
              <w:top w:val="nil"/>
              <w:left w:val="nil"/>
              <w:bottom w:val="single" w:sz="8" w:space="0" w:color="auto"/>
              <w:right w:val="single" w:sz="8" w:space="0" w:color="auto"/>
            </w:tcBorders>
            <w:shd w:val="clear" w:color="auto" w:fill="auto"/>
            <w:noWrap/>
            <w:vAlign w:val="center"/>
            <w:hideMark/>
          </w:tcPr>
          <w:p w14:paraId="5181D39F" w14:textId="77777777" w:rsidR="009A4C46" w:rsidRPr="00F94FED" w:rsidRDefault="009A4C46">
            <w:pPr>
              <w:spacing w:after="0" w:line="240" w:lineRule="auto"/>
              <w:jc w:val="right"/>
              <w:rPr>
                <w:rFonts w:eastAsia="Times New Roman"/>
                <w:lang w:eastAsia="ru-RU"/>
              </w:rPr>
            </w:pPr>
            <w:r w:rsidRPr="00F94FED">
              <w:rPr>
                <w:rFonts w:eastAsia="Times New Roman"/>
                <w:lang w:eastAsia="ru-RU"/>
              </w:rPr>
              <w:t>191 096</w:t>
            </w:r>
          </w:p>
        </w:tc>
        <w:tc>
          <w:tcPr>
            <w:tcW w:w="1576" w:type="dxa"/>
            <w:tcBorders>
              <w:top w:val="nil"/>
              <w:left w:val="nil"/>
              <w:bottom w:val="single" w:sz="8" w:space="0" w:color="auto"/>
              <w:right w:val="single" w:sz="8" w:space="0" w:color="auto"/>
            </w:tcBorders>
            <w:shd w:val="clear" w:color="auto" w:fill="auto"/>
            <w:noWrap/>
            <w:vAlign w:val="center"/>
            <w:hideMark/>
          </w:tcPr>
          <w:p w14:paraId="7CA05B44" w14:textId="77777777" w:rsidR="009A4C46" w:rsidRPr="00F94FED" w:rsidRDefault="009A4C46">
            <w:pPr>
              <w:spacing w:after="0" w:line="240" w:lineRule="auto"/>
              <w:jc w:val="right"/>
              <w:rPr>
                <w:rFonts w:eastAsia="Times New Roman"/>
                <w:lang w:eastAsia="ru-RU"/>
              </w:rPr>
            </w:pPr>
            <w:r w:rsidRPr="00F94FED">
              <w:rPr>
                <w:rFonts w:eastAsia="Times New Roman"/>
                <w:lang w:eastAsia="ru-RU"/>
              </w:rPr>
              <w:t>23 859</w:t>
            </w:r>
          </w:p>
        </w:tc>
        <w:tc>
          <w:tcPr>
            <w:tcW w:w="1559" w:type="dxa"/>
            <w:tcBorders>
              <w:top w:val="nil"/>
              <w:left w:val="nil"/>
              <w:bottom w:val="single" w:sz="8" w:space="0" w:color="auto"/>
              <w:right w:val="single" w:sz="8" w:space="0" w:color="auto"/>
            </w:tcBorders>
            <w:shd w:val="clear" w:color="auto" w:fill="auto"/>
            <w:noWrap/>
            <w:vAlign w:val="center"/>
            <w:hideMark/>
          </w:tcPr>
          <w:p w14:paraId="2EDA3E1C" w14:textId="77777777" w:rsidR="009A4C46" w:rsidRPr="009A4C46" w:rsidRDefault="009A4C46">
            <w:pPr>
              <w:spacing w:after="0" w:line="240" w:lineRule="auto"/>
              <w:jc w:val="right"/>
              <w:rPr>
                <w:rFonts w:eastAsia="Times New Roman"/>
                <w:sz w:val="18"/>
                <w:szCs w:val="18"/>
                <w:lang w:eastAsia="ru-RU"/>
              </w:rPr>
            </w:pPr>
            <w:r w:rsidRPr="009A4C46">
              <w:rPr>
                <w:rFonts w:eastAsia="Times New Roman"/>
                <w:sz w:val="18"/>
                <w:szCs w:val="18"/>
                <w:lang w:eastAsia="ru-RU"/>
              </w:rPr>
              <w:t>14%</w:t>
            </w:r>
          </w:p>
        </w:tc>
      </w:tr>
      <w:tr w:rsidR="009A4C46" w:rsidRPr="009A4C46" w14:paraId="192C8D71" w14:textId="77777777" w:rsidTr="00070F3E">
        <w:trPr>
          <w:trHeight w:val="315"/>
        </w:trPr>
        <w:tc>
          <w:tcPr>
            <w:tcW w:w="3407" w:type="dxa"/>
            <w:tcBorders>
              <w:top w:val="nil"/>
              <w:left w:val="single" w:sz="8" w:space="0" w:color="auto"/>
              <w:bottom w:val="single" w:sz="8" w:space="0" w:color="auto"/>
              <w:right w:val="single" w:sz="8" w:space="0" w:color="auto"/>
            </w:tcBorders>
            <w:shd w:val="clear" w:color="auto" w:fill="auto"/>
            <w:vAlign w:val="center"/>
            <w:hideMark/>
          </w:tcPr>
          <w:p w14:paraId="1FDFF487" w14:textId="77777777" w:rsidR="009A4C46" w:rsidRPr="00F94FED" w:rsidRDefault="009A4C46" w:rsidP="005C3ACA">
            <w:pPr>
              <w:spacing w:after="0" w:line="240" w:lineRule="auto"/>
              <w:rPr>
                <w:rFonts w:eastAsia="Times New Roman"/>
                <w:lang w:eastAsia="ru-RU"/>
              </w:rPr>
            </w:pPr>
            <w:r w:rsidRPr="00F94FED">
              <w:rPr>
                <w:rFonts w:eastAsia="Times New Roman"/>
                <w:lang w:eastAsia="ru-RU"/>
              </w:rPr>
              <w:t xml:space="preserve">от техприсоединения </w:t>
            </w:r>
          </w:p>
        </w:tc>
        <w:tc>
          <w:tcPr>
            <w:tcW w:w="1480" w:type="dxa"/>
            <w:tcBorders>
              <w:top w:val="nil"/>
              <w:left w:val="nil"/>
              <w:bottom w:val="single" w:sz="8" w:space="0" w:color="auto"/>
              <w:right w:val="single" w:sz="8" w:space="0" w:color="auto"/>
            </w:tcBorders>
            <w:shd w:val="clear" w:color="auto" w:fill="auto"/>
            <w:noWrap/>
            <w:vAlign w:val="center"/>
            <w:hideMark/>
          </w:tcPr>
          <w:p w14:paraId="6DB4A027" w14:textId="77777777" w:rsidR="009A4C46" w:rsidRPr="00F94FED" w:rsidRDefault="009A4C46">
            <w:pPr>
              <w:spacing w:after="0" w:line="240" w:lineRule="auto"/>
              <w:jc w:val="right"/>
              <w:rPr>
                <w:rFonts w:eastAsia="Times New Roman"/>
                <w:lang w:eastAsia="ru-RU"/>
              </w:rPr>
            </w:pPr>
            <w:r w:rsidRPr="00F94FED">
              <w:rPr>
                <w:rFonts w:eastAsia="Times New Roman"/>
                <w:lang w:eastAsia="ru-RU"/>
              </w:rPr>
              <w:t>622 715</w:t>
            </w:r>
          </w:p>
        </w:tc>
        <w:tc>
          <w:tcPr>
            <w:tcW w:w="1480" w:type="dxa"/>
            <w:tcBorders>
              <w:top w:val="nil"/>
              <w:left w:val="nil"/>
              <w:bottom w:val="single" w:sz="8" w:space="0" w:color="auto"/>
              <w:right w:val="single" w:sz="8" w:space="0" w:color="auto"/>
            </w:tcBorders>
            <w:shd w:val="clear" w:color="auto" w:fill="auto"/>
            <w:noWrap/>
            <w:vAlign w:val="center"/>
            <w:hideMark/>
          </w:tcPr>
          <w:p w14:paraId="4570F273" w14:textId="77777777" w:rsidR="009A4C46" w:rsidRPr="00F94FED" w:rsidRDefault="009A4C46">
            <w:pPr>
              <w:spacing w:after="0" w:line="240" w:lineRule="auto"/>
              <w:jc w:val="right"/>
              <w:rPr>
                <w:rFonts w:eastAsia="Times New Roman"/>
                <w:lang w:eastAsia="ru-RU"/>
              </w:rPr>
            </w:pPr>
            <w:r w:rsidRPr="00F94FED">
              <w:rPr>
                <w:rFonts w:eastAsia="Times New Roman"/>
                <w:lang w:eastAsia="ru-RU"/>
              </w:rPr>
              <w:t>28 909</w:t>
            </w:r>
          </w:p>
        </w:tc>
        <w:tc>
          <w:tcPr>
            <w:tcW w:w="1576" w:type="dxa"/>
            <w:tcBorders>
              <w:top w:val="nil"/>
              <w:left w:val="nil"/>
              <w:bottom w:val="single" w:sz="8" w:space="0" w:color="auto"/>
              <w:right w:val="single" w:sz="8" w:space="0" w:color="auto"/>
            </w:tcBorders>
            <w:shd w:val="clear" w:color="auto" w:fill="auto"/>
            <w:noWrap/>
            <w:vAlign w:val="center"/>
            <w:hideMark/>
          </w:tcPr>
          <w:p w14:paraId="19121067" w14:textId="77777777" w:rsidR="009A4C46" w:rsidRPr="00F94FED" w:rsidRDefault="009A4C46">
            <w:pPr>
              <w:spacing w:after="0" w:line="240" w:lineRule="auto"/>
              <w:jc w:val="right"/>
              <w:rPr>
                <w:rFonts w:eastAsia="Times New Roman"/>
                <w:lang w:eastAsia="ru-RU"/>
              </w:rPr>
            </w:pPr>
            <w:r w:rsidRPr="00F94FED">
              <w:rPr>
                <w:rFonts w:eastAsia="Times New Roman"/>
                <w:lang w:eastAsia="ru-RU"/>
              </w:rPr>
              <w:t>-593 806</w:t>
            </w:r>
          </w:p>
        </w:tc>
        <w:tc>
          <w:tcPr>
            <w:tcW w:w="1559" w:type="dxa"/>
            <w:tcBorders>
              <w:top w:val="nil"/>
              <w:left w:val="nil"/>
              <w:bottom w:val="single" w:sz="8" w:space="0" w:color="auto"/>
              <w:right w:val="single" w:sz="8" w:space="0" w:color="auto"/>
            </w:tcBorders>
            <w:shd w:val="clear" w:color="auto" w:fill="auto"/>
            <w:noWrap/>
            <w:vAlign w:val="center"/>
            <w:hideMark/>
          </w:tcPr>
          <w:p w14:paraId="650C0519" w14:textId="77777777" w:rsidR="009A4C46" w:rsidRPr="009A4C46" w:rsidRDefault="009A4C46">
            <w:pPr>
              <w:spacing w:after="0" w:line="240" w:lineRule="auto"/>
              <w:jc w:val="right"/>
              <w:rPr>
                <w:rFonts w:eastAsia="Times New Roman"/>
                <w:sz w:val="18"/>
                <w:szCs w:val="18"/>
                <w:lang w:eastAsia="ru-RU"/>
              </w:rPr>
            </w:pPr>
            <w:r w:rsidRPr="009A4C46">
              <w:rPr>
                <w:rFonts w:eastAsia="Times New Roman"/>
                <w:sz w:val="18"/>
                <w:szCs w:val="18"/>
                <w:lang w:eastAsia="ru-RU"/>
              </w:rPr>
              <w:t>-95%</w:t>
            </w:r>
          </w:p>
        </w:tc>
      </w:tr>
      <w:tr w:rsidR="009A4C46" w:rsidRPr="009A4C46" w14:paraId="3343C960" w14:textId="77777777" w:rsidTr="00070F3E">
        <w:trPr>
          <w:trHeight w:val="315"/>
        </w:trPr>
        <w:tc>
          <w:tcPr>
            <w:tcW w:w="3407" w:type="dxa"/>
            <w:tcBorders>
              <w:top w:val="nil"/>
              <w:left w:val="single" w:sz="8" w:space="0" w:color="auto"/>
              <w:bottom w:val="single" w:sz="8" w:space="0" w:color="auto"/>
              <w:right w:val="single" w:sz="8" w:space="0" w:color="auto"/>
            </w:tcBorders>
            <w:shd w:val="clear" w:color="auto" w:fill="auto"/>
            <w:vAlign w:val="center"/>
            <w:hideMark/>
          </w:tcPr>
          <w:p w14:paraId="5D3AD71B" w14:textId="77777777" w:rsidR="009A4C46" w:rsidRPr="00F94FED" w:rsidRDefault="009A4C46" w:rsidP="005C3ACA">
            <w:pPr>
              <w:spacing w:after="0" w:line="240" w:lineRule="auto"/>
              <w:rPr>
                <w:rFonts w:eastAsia="Times New Roman"/>
                <w:lang w:eastAsia="ru-RU"/>
              </w:rPr>
            </w:pPr>
            <w:r w:rsidRPr="00F94FED">
              <w:rPr>
                <w:rFonts w:eastAsia="Times New Roman"/>
                <w:lang w:eastAsia="ru-RU"/>
              </w:rPr>
              <w:t>от  прочей продукции</w:t>
            </w:r>
          </w:p>
        </w:tc>
        <w:tc>
          <w:tcPr>
            <w:tcW w:w="1480" w:type="dxa"/>
            <w:tcBorders>
              <w:top w:val="nil"/>
              <w:left w:val="nil"/>
              <w:bottom w:val="single" w:sz="8" w:space="0" w:color="auto"/>
              <w:right w:val="single" w:sz="8" w:space="0" w:color="auto"/>
            </w:tcBorders>
            <w:shd w:val="clear" w:color="auto" w:fill="auto"/>
            <w:noWrap/>
            <w:vAlign w:val="center"/>
            <w:hideMark/>
          </w:tcPr>
          <w:p w14:paraId="355B0359" w14:textId="77777777" w:rsidR="009A4C46" w:rsidRPr="00F94FED" w:rsidRDefault="009A4C46">
            <w:pPr>
              <w:spacing w:after="0" w:line="240" w:lineRule="auto"/>
              <w:jc w:val="right"/>
              <w:rPr>
                <w:rFonts w:eastAsia="Times New Roman"/>
                <w:lang w:eastAsia="ru-RU"/>
              </w:rPr>
            </w:pPr>
            <w:r w:rsidRPr="00F94FED">
              <w:rPr>
                <w:rFonts w:eastAsia="Times New Roman"/>
                <w:lang w:eastAsia="ru-RU"/>
              </w:rPr>
              <w:t>13 061</w:t>
            </w:r>
          </w:p>
        </w:tc>
        <w:tc>
          <w:tcPr>
            <w:tcW w:w="1480" w:type="dxa"/>
            <w:tcBorders>
              <w:top w:val="nil"/>
              <w:left w:val="nil"/>
              <w:bottom w:val="single" w:sz="8" w:space="0" w:color="auto"/>
              <w:right w:val="single" w:sz="8" w:space="0" w:color="auto"/>
            </w:tcBorders>
            <w:shd w:val="clear" w:color="auto" w:fill="auto"/>
            <w:noWrap/>
            <w:vAlign w:val="center"/>
            <w:hideMark/>
          </w:tcPr>
          <w:p w14:paraId="7F9C2D51" w14:textId="77777777" w:rsidR="009A4C46" w:rsidRPr="00F94FED" w:rsidRDefault="009A4C46">
            <w:pPr>
              <w:spacing w:after="0" w:line="240" w:lineRule="auto"/>
              <w:jc w:val="right"/>
              <w:rPr>
                <w:rFonts w:eastAsia="Times New Roman"/>
                <w:lang w:eastAsia="ru-RU"/>
              </w:rPr>
            </w:pPr>
            <w:r w:rsidRPr="00F94FED">
              <w:rPr>
                <w:rFonts w:eastAsia="Times New Roman"/>
                <w:lang w:eastAsia="ru-RU"/>
              </w:rPr>
              <w:t>9 152</w:t>
            </w:r>
          </w:p>
        </w:tc>
        <w:tc>
          <w:tcPr>
            <w:tcW w:w="1576" w:type="dxa"/>
            <w:tcBorders>
              <w:top w:val="nil"/>
              <w:left w:val="nil"/>
              <w:bottom w:val="single" w:sz="8" w:space="0" w:color="auto"/>
              <w:right w:val="single" w:sz="8" w:space="0" w:color="auto"/>
            </w:tcBorders>
            <w:shd w:val="clear" w:color="auto" w:fill="auto"/>
            <w:noWrap/>
            <w:vAlign w:val="center"/>
            <w:hideMark/>
          </w:tcPr>
          <w:p w14:paraId="25838147" w14:textId="77777777" w:rsidR="009A4C46" w:rsidRPr="00F94FED" w:rsidRDefault="009A4C46">
            <w:pPr>
              <w:spacing w:after="0" w:line="240" w:lineRule="auto"/>
              <w:jc w:val="right"/>
              <w:rPr>
                <w:rFonts w:eastAsia="Times New Roman"/>
                <w:lang w:eastAsia="ru-RU"/>
              </w:rPr>
            </w:pPr>
            <w:r w:rsidRPr="00F94FED">
              <w:rPr>
                <w:rFonts w:eastAsia="Times New Roman"/>
                <w:lang w:eastAsia="ru-RU"/>
              </w:rPr>
              <w:t>-3 909</w:t>
            </w:r>
          </w:p>
        </w:tc>
        <w:tc>
          <w:tcPr>
            <w:tcW w:w="1559" w:type="dxa"/>
            <w:tcBorders>
              <w:top w:val="nil"/>
              <w:left w:val="nil"/>
              <w:bottom w:val="single" w:sz="8" w:space="0" w:color="auto"/>
              <w:right w:val="single" w:sz="8" w:space="0" w:color="auto"/>
            </w:tcBorders>
            <w:shd w:val="clear" w:color="auto" w:fill="auto"/>
            <w:noWrap/>
            <w:vAlign w:val="center"/>
            <w:hideMark/>
          </w:tcPr>
          <w:p w14:paraId="41033638" w14:textId="77777777" w:rsidR="009A4C46" w:rsidRPr="009A4C46" w:rsidRDefault="009A4C46">
            <w:pPr>
              <w:spacing w:after="0" w:line="240" w:lineRule="auto"/>
              <w:jc w:val="right"/>
              <w:rPr>
                <w:rFonts w:eastAsia="Times New Roman"/>
                <w:sz w:val="18"/>
                <w:szCs w:val="18"/>
                <w:lang w:eastAsia="ru-RU"/>
              </w:rPr>
            </w:pPr>
            <w:r w:rsidRPr="009A4C46">
              <w:rPr>
                <w:rFonts w:eastAsia="Times New Roman"/>
                <w:sz w:val="18"/>
                <w:szCs w:val="18"/>
                <w:lang w:eastAsia="ru-RU"/>
              </w:rPr>
              <w:t>-30%</w:t>
            </w:r>
          </w:p>
        </w:tc>
      </w:tr>
      <w:tr w:rsidR="009A4C46" w:rsidRPr="009A4C46" w14:paraId="7B6C5210" w14:textId="77777777" w:rsidTr="00070F3E">
        <w:trPr>
          <w:trHeight w:val="315"/>
        </w:trPr>
        <w:tc>
          <w:tcPr>
            <w:tcW w:w="3407" w:type="dxa"/>
            <w:tcBorders>
              <w:top w:val="nil"/>
              <w:left w:val="single" w:sz="8" w:space="0" w:color="auto"/>
              <w:bottom w:val="single" w:sz="8" w:space="0" w:color="auto"/>
              <w:right w:val="single" w:sz="8" w:space="0" w:color="auto"/>
            </w:tcBorders>
            <w:shd w:val="clear" w:color="auto" w:fill="auto"/>
            <w:vAlign w:val="center"/>
            <w:hideMark/>
          </w:tcPr>
          <w:p w14:paraId="4A914935" w14:textId="77777777" w:rsidR="009A4C46" w:rsidRPr="00F94FED" w:rsidRDefault="009A4C46" w:rsidP="005C3ACA">
            <w:pPr>
              <w:spacing w:after="0" w:line="240" w:lineRule="auto"/>
              <w:rPr>
                <w:rFonts w:eastAsia="Times New Roman"/>
                <w:lang w:eastAsia="ru-RU"/>
              </w:rPr>
            </w:pPr>
            <w:r w:rsidRPr="00F94FED">
              <w:rPr>
                <w:rFonts w:eastAsia="Times New Roman"/>
                <w:lang w:eastAsia="ru-RU"/>
              </w:rPr>
              <w:t xml:space="preserve">Проценты к получению </w:t>
            </w:r>
          </w:p>
        </w:tc>
        <w:tc>
          <w:tcPr>
            <w:tcW w:w="1480" w:type="dxa"/>
            <w:tcBorders>
              <w:top w:val="nil"/>
              <w:left w:val="nil"/>
              <w:bottom w:val="single" w:sz="8" w:space="0" w:color="auto"/>
              <w:right w:val="single" w:sz="8" w:space="0" w:color="auto"/>
            </w:tcBorders>
            <w:shd w:val="clear" w:color="auto" w:fill="auto"/>
            <w:noWrap/>
            <w:vAlign w:val="center"/>
            <w:hideMark/>
          </w:tcPr>
          <w:p w14:paraId="42B24E38" w14:textId="77777777" w:rsidR="009A4C46" w:rsidRPr="00F94FED" w:rsidRDefault="009A4C46">
            <w:pPr>
              <w:spacing w:after="0" w:line="240" w:lineRule="auto"/>
              <w:jc w:val="right"/>
              <w:rPr>
                <w:rFonts w:eastAsia="Times New Roman"/>
                <w:lang w:eastAsia="ru-RU"/>
              </w:rPr>
            </w:pPr>
            <w:r w:rsidRPr="00F94FED">
              <w:rPr>
                <w:rFonts w:eastAsia="Times New Roman"/>
                <w:lang w:eastAsia="ru-RU"/>
              </w:rPr>
              <w:t>18 865</w:t>
            </w:r>
          </w:p>
        </w:tc>
        <w:tc>
          <w:tcPr>
            <w:tcW w:w="1480" w:type="dxa"/>
            <w:tcBorders>
              <w:top w:val="nil"/>
              <w:left w:val="nil"/>
              <w:bottom w:val="single" w:sz="8" w:space="0" w:color="auto"/>
              <w:right w:val="single" w:sz="8" w:space="0" w:color="auto"/>
            </w:tcBorders>
            <w:shd w:val="clear" w:color="auto" w:fill="auto"/>
            <w:noWrap/>
            <w:vAlign w:val="center"/>
            <w:hideMark/>
          </w:tcPr>
          <w:p w14:paraId="4D6F9DA0" w14:textId="77777777" w:rsidR="009A4C46" w:rsidRPr="00F94FED" w:rsidRDefault="009A4C46">
            <w:pPr>
              <w:spacing w:after="0" w:line="240" w:lineRule="auto"/>
              <w:jc w:val="right"/>
              <w:rPr>
                <w:rFonts w:eastAsia="Times New Roman"/>
                <w:lang w:eastAsia="ru-RU"/>
              </w:rPr>
            </w:pPr>
            <w:r w:rsidRPr="00F94FED">
              <w:rPr>
                <w:rFonts w:eastAsia="Times New Roman"/>
                <w:lang w:eastAsia="ru-RU"/>
              </w:rPr>
              <w:t>7 506</w:t>
            </w:r>
          </w:p>
        </w:tc>
        <w:tc>
          <w:tcPr>
            <w:tcW w:w="1576" w:type="dxa"/>
            <w:tcBorders>
              <w:top w:val="nil"/>
              <w:left w:val="nil"/>
              <w:bottom w:val="single" w:sz="8" w:space="0" w:color="auto"/>
              <w:right w:val="single" w:sz="8" w:space="0" w:color="auto"/>
            </w:tcBorders>
            <w:shd w:val="clear" w:color="auto" w:fill="auto"/>
            <w:noWrap/>
            <w:vAlign w:val="center"/>
            <w:hideMark/>
          </w:tcPr>
          <w:p w14:paraId="4DFED073" w14:textId="77777777" w:rsidR="009A4C46" w:rsidRPr="00F94FED" w:rsidRDefault="009A4C46">
            <w:pPr>
              <w:spacing w:after="0" w:line="240" w:lineRule="auto"/>
              <w:jc w:val="right"/>
              <w:rPr>
                <w:rFonts w:eastAsia="Times New Roman"/>
                <w:lang w:eastAsia="ru-RU"/>
              </w:rPr>
            </w:pPr>
            <w:r w:rsidRPr="00F94FED">
              <w:rPr>
                <w:rFonts w:eastAsia="Times New Roman"/>
                <w:lang w:eastAsia="ru-RU"/>
              </w:rPr>
              <w:t>-11 359</w:t>
            </w:r>
          </w:p>
        </w:tc>
        <w:tc>
          <w:tcPr>
            <w:tcW w:w="1559" w:type="dxa"/>
            <w:tcBorders>
              <w:top w:val="nil"/>
              <w:left w:val="nil"/>
              <w:bottom w:val="single" w:sz="8" w:space="0" w:color="auto"/>
              <w:right w:val="single" w:sz="8" w:space="0" w:color="auto"/>
            </w:tcBorders>
            <w:shd w:val="clear" w:color="auto" w:fill="auto"/>
            <w:noWrap/>
            <w:vAlign w:val="center"/>
            <w:hideMark/>
          </w:tcPr>
          <w:p w14:paraId="438FB700" w14:textId="77777777" w:rsidR="009A4C46" w:rsidRPr="009A4C46" w:rsidRDefault="009A4C46">
            <w:pPr>
              <w:spacing w:after="0" w:line="240" w:lineRule="auto"/>
              <w:jc w:val="right"/>
              <w:rPr>
                <w:rFonts w:eastAsia="Times New Roman"/>
                <w:sz w:val="18"/>
                <w:szCs w:val="18"/>
                <w:lang w:eastAsia="ru-RU"/>
              </w:rPr>
            </w:pPr>
            <w:r w:rsidRPr="009A4C46">
              <w:rPr>
                <w:rFonts w:eastAsia="Times New Roman"/>
                <w:sz w:val="18"/>
                <w:szCs w:val="18"/>
                <w:lang w:eastAsia="ru-RU"/>
              </w:rPr>
              <w:t>-60%</w:t>
            </w:r>
          </w:p>
        </w:tc>
      </w:tr>
      <w:tr w:rsidR="009A4C46" w:rsidRPr="009A4C46" w14:paraId="62AA12E5" w14:textId="77777777" w:rsidTr="00070F3E">
        <w:trPr>
          <w:trHeight w:val="315"/>
        </w:trPr>
        <w:tc>
          <w:tcPr>
            <w:tcW w:w="3407" w:type="dxa"/>
            <w:tcBorders>
              <w:top w:val="nil"/>
              <w:left w:val="single" w:sz="8" w:space="0" w:color="auto"/>
              <w:bottom w:val="single" w:sz="8" w:space="0" w:color="auto"/>
              <w:right w:val="single" w:sz="8" w:space="0" w:color="auto"/>
            </w:tcBorders>
            <w:shd w:val="clear" w:color="auto" w:fill="auto"/>
            <w:vAlign w:val="center"/>
            <w:hideMark/>
          </w:tcPr>
          <w:p w14:paraId="05953291" w14:textId="77777777" w:rsidR="009A4C46" w:rsidRPr="00F94FED" w:rsidRDefault="009A4C46" w:rsidP="005C3ACA">
            <w:pPr>
              <w:spacing w:after="0" w:line="240" w:lineRule="auto"/>
              <w:rPr>
                <w:rFonts w:eastAsia="Times New Roman"/>
                <w:lang w:eastAsia="ru-RU"/>
              </w:rPr>
            </w:pPr>
            <w:r w:rsidRPr="00F94FED">
              <w:rPr>
                <w:rFonts w:eastAsia="Times New Roman"/>
                <w:lang w:eastAsia="ru-RU"/>
              </w:rPr>
              <w:t xml:space="preserve">в том числе </w:t>
            </w:r>
          </w:p>
        </w:tc>
        <w:tc>
          <w:tcPr>
            <w:tcW w:w="1480" w:type="dxa"/>
            <w:tcBorders>
              <w:top w:val="nil"/>
              <w:left w:val="nil"/>
              <w:bottom w:val="single" w:sz="8" w:space="0" w:color="auto"/>
              <w:right w:val="single" w:sz="8" w:space="0" w:color="auto"/>
            </w:tcBorders>
            <w:shd w:val="clear" w:color="auto" w:fill="auto"/>
            <w:noWrap/>
            <w:vAlign w:val="center"/>
            <w:hideMark/>
          </w:tcPr>
          <w:p w14:paraId="47C196CD" w14:textId="77777777" w:rsidR="009A4C46" w:rsidRPr="00F94FED" w:rsidRDefault="009A4C46">
            <w:pPr>
              <w:spacing w:after="0" w:line="240" w:lineRule="auto"/>
              <w:rPr>
                <w:rFonts w:eastAsia="Times New Roman"/>
                <w:lang w:eastAsia="ru-RU"/>
              </w:rPr>
            </w:pPr>
            <w:r w:rsidRPr="00F94FED">
              <w:rPr>
                <w:rFonts w:eastAsia="Times New Roman"/>
                <w:lang w:eastAsia="ru-RU"/>
              </w:rPr>
              <w:t> </w:t>
            </w:r>
          </w:p>
        </w:tc>
        <w:tc>
          <w:tcPr>
            <w:tcW w:w="1480" w:type="dxa"/>
            <w:tcBorders>
              <w:top w:val="nil"/>
              <w:left w:val="nil"/>
              <w:bottom w:val="single" w:sz="8" w:space="0" w:color="auto"/>
              <w:right w:val="single" w:sz="8" w:space="0" w:color="auto"/>
            </w:tcBorders>
            <w:shd w:val="clear" w:color="auto" w:fill="auto"/>
            <w:noWrap/>
            <w:vAlign w:val="center"/>
            <w:hideMark/>
          </w:tcPr>
          <w:p w14:paraId="68C3242A" w14:textId="77777777" w:rsidR="009A4C46" w:rsidRPr="00F94FED" w:rsidRDefault="009A4C46">
            <w:pPr>
              <w:spacing w:after="0" w:line="240" w:lineRule="auto"/>
              <w:rPr>
                <w:rFonts w:eastAsia="Times New Roman"/>
                <w:lang w:eastAsia="ru-RU"/>
              </w:rPr>
            </w:pPr>
            <w:r w:rsidRPr="00F94FED">
              <w:rPr>
                <w:rFonts w:eastAsia="Times New Roman"/>
                <w:lang w:eastAsia="ru-RU"/>
              </w:rPr>
              <w:t> </w:t>
            </w:r>
          </w:p>
        </w:tc>
        <w:tc>
          <w:tcPr>
            <w:tcW w:w="1576" w:type="dxa"/>
            <w:tcBorders>
              <w:top w:val="nil"/>
              <w:left w:val="nil"/>
              <w:bottom w:val="single" w:sz="8" w:space="0" w:color="auto"/>
              <w:right w:val="single" w:sz="8" w:space="0" w:color="auto"/>
            </w:tcBorders>
            <w:shd w:val="clear" w:color="auto" w:fill="auto"/>
            <w:noWrap/>
            <w:vAlign w:val="center"/>
            <w:hideMark/>
          </w:tcPr>
          <w:p w14:paraId="214F5C77" w14:textId="77777777" w:rsidR="009A4C46" w:rsidRPr="00F94FED" w:rsidRDefault="009A4C46">
            <w:pPr>
              <w:spacing w:after="0" w:line="240" w:lineRule="auto"/>
              <w:rPr>
                <w:rFonts w:eastAsia="Times New Roman"/>
                <w:lang w:eastAsia="ru-RU"/>
              </w:rPr>
            </w:pPr>
            <w:r w:rsidRPr="00F94FED">
              <w:rPr>
                <w:rFonts w:eastAsia="Times New Roman"/>
                <w:lang w:eastAsia="ru-RU"/>
              </w:rPr>
              <w:t> </w:t>
            </w:r>
          </w:p>
        </w:tc>
        <w:tc>
          <w:tcPr>
            <w:tcW w:w="1559" w:type="dxa"/>
            <w:tcBorders>
              <w:top w:val="nil"/>
              <w:left w:val="nil"/>
              <w:bottom w:val="single" w:sz="8" w:space="0" w:color="auto"/>
              <w:right w:val="single" w:sz="8" w:space="0" w:color="auto"/>
            </w:tcBorders>
            <w:shd w:val="clear" w:color="auto" w:fill="auto"/>
            <w:noWrap/>
            <w:vAlign w:val="center"/>
            <w:hideMark/>
          </w:tcPr>
          <w:p w14:paraId="7C9B08B5" w14:textId="77777777" w:rsidR="009A4C46" w:rsidRPr="009A4C46" w:rsidRDefault="009A4C46">
            <w:pPr>
              <w:spacing w:after="0" w:line="240" w:lineRule="auto"/>
              <w:rPr>
                <w:rFonts w:eastAsia="Times New Roman"/>
                <w:sz w:val="18"/>
                <w:szCs w:val="18"/>
                <w:lang w:eastAsia="ru-RU"/>
              </w:rPr>
            </w:pPr>
            <w:r w:rsidRPr="009A4C46">
              <w:rPr>
                <w:rFonts w:eastAsia="Times New Roman"/>
                <w:sz w:val="18"/>
                <w:szCs w:val="18"/>
                <w:lang w:eastAsia="ru-RU"/>
              </w:rPr>
              <w:t> </w:t>
            </w:r>
          </w:p>
        </w:tc>
      </w:tr>
      <w:tr w:rsidR="009A4C46" w:rsidRPr="009A4C46" w14:paraId="3BB30264" w14:textId="77777777" w:rsidTr="00070F3E">
        <w:trPr>
          <w:trHeight w:val="315"/>
        </w:trPr>
        <w:tc>
          <w:tcPr>
            <w:tcW w:w="3407" w:type="dxa"/>
            <w:tcBorders>
              <w:top w:val="nil"/>
              <w:left w:val="single" w:sz="8" w:space="0" w:color="auto"/>
              <w:bottom w:val="single" w:sz="8" w:space="0" w:color="auto"/>
              <w:right w:val="single" w:sz="8" w:space="0" w:color="auto"/>
            </w:tcBorders>
            <w:shd w:val="clear" w:color="auto" w:fill="auto"/>
            <w:vAlign w:val="center"/>
            <w:hideMark/>
          </w:tcPr>
          <w:p w14:paraId="31A3C0DF" w14:textId="77777777" w:rsidR="009A4C46" w:rsidRPr="00F94FED" w:rsidRDefault="009A4C46" w:rsidP="005C3ACA">
            <w:pPr>
              <w:spacing w:after="0" w:line="240" w:lineRule="auto"/>
              <w:rPr>
                <w:rFonts w:eastAsia="Times New Roman"/>
                <w:lang w:eastAsia="ru-RU"/>
              </w:rPr>
            </w:pPr>
            <w:r w:rsidRPr="00F94FED">
              <w:rPr>
                <w:rFonts w:eastAsia="Times New Roman"/>
                <w:lang w:eastAsia="ru-RU"/>
              </w:rPr>
              <w:t>от передачи электроэнергии</w:t>
            </w:r>
          </w:p>
        </w:tc>
        <w:tc>
          <w:tcPr>
            <w:tcW w:w="1480" w:type="dxa"/>
            <w:tcBorders>
              <w:top w:val="nil"/>
              <w:left w:val="nil"/>
              <w:bottom w:val="single" w:sz="8" w:space="0" w:color="auto"/>
              <w:right w:val="single" w:sz="8" w:space="0" w:color="auto"/>
            </w:tcBorders>
            <w:shd w:val="clear" w:color="auto" w:fill="auto"/>
            <w:noWrap/>
            <w:vAlign w:val="center"/>
            <w:hideMark/>
          </w:tcPr>
          <w:p w14:paraId="722AF124" w14:textId="77777777" w:rsidR="009A4C46" w:rsidRPr="00F94FED" w:rsidRDefault="009A4C46">
            <w:pPr>
              <w:spacing w:after="0" w:line="240" w:lineRule="auto"/>
              <w:jc w:val="right"/>
              <w:rPr>
                <w:rFonts w:eastAsia="Times New Roman"/>
                <w:lang w:eastAsia="ru-RU"/>
              </w:rPr>
            </w:pPr>
            <w:r w:rsidRPr="00F94FED">
              <w:rPr>
                <w:rFonts w:eastAsia="Times New Roman"/>
                <w:lang w:eastAsia="ru-RU"/>
              </w:rPr>
              <w:t> </w:t>
            </w:r>
          </w:p>
        </w:tc>
        <w:tc>
          <w:tcPr>
            <w:tcW w:w="1480" w:type="dxa"/>
            <w:tcBorders>
              <w:top w:val="nil"/>
              <w:left w:val="nil"/>
              <w:bottom w:val="single" w:sz="8" w:space="0" w:color="auto"/>
              <w:right w:val="single" w:sz="8" w:space="0" w:color="auto"/>
            </w:tcBorders>
            <w:shd w:val="clear" w:color="auto" w:fill="auto"/>
            <w:noWrap/>
            <w:vAlign w:val="center"/>
            <w:hideMark/>
          </w:tcPr>
          <w:p w14:paraId="7471F2E1" w14:textId="77777777" w:rsidR="009A4C46" w:rsidRPr="00F94FED" w:rsidRDefault="009A4C46">
            <w:pPr>
              <w:spacing w:after="0" w:line="240" w:lineRule="auto"/>
              <w:jc w:val="right"/>
              <w:rPr>
                <w:rFonts w:eastAsia="Times New Roman"/>
                <w:lang w:eastAsia="ru-RU"/>
              </w:rPr>
            </w:pPr>
            <w:r w:rsidRPr="00F94FED">
              <w:rPr>
                <w:rFonts w:eastAsia="Times New Roman"/>
                <w:lang w:eastAsia="ru-RU"/>
              </w:rPr>
              <w:t>7 506</w:t>
            </w:r>
          </w:p>
        </w:tc>
        <w:tc>
          <w:tcPr>
            <w:tcW w:w="1576" w:type="dxa"/>
            <w:tcBorders>
              <w:top w:val="nil"/>
              <w:left w:val="nil"/>
              <w:bottom w:val="single" w:sz="8" w:space="0" w:color="auto"/>
              <w:right w:val="single" w:sz="8" w:space="0" w:color="auto"/>
            </w:tcBorders>
            <w:shd w:val="clear" w:color="auto" w:fill="auto"/>
            <w:noWrap/>
            <w:vAlign w:val="center"/>
            <w:hideMark/>
          </w:tcPr>
          <w:p w14:paraId="527F84DE" w14:textId="77777777" w:rsidR="009A4C46" w:rsidRPr="00F94FED" w:rsidRDefault="009A4C46">
            <w:pPr>
              <w:spacing w:after="0" w:line="240" w:lineRule="auto"/>
              <w:jc w:val="right"/>
              <w:rPr>
                <w:rFonts w:eastAsia="Times New Roman"/>
                <w:lang w:eastAsia="ru-RU"/>
              </w:rPr>
            </w:pPr>
            <w:r w:rsidRPr="00F94FED">
              <w:rPr>
                <w:rFonts w:eastAsia="Times New Roman"/>
                <w:lang w:eastAsia="ru-RU"/>
              </w:rPr>
              <w:t>7 506</w:t>
            </w:r>
          </w:p>
        </w:tc>
        <w:tc>
          <w:tcPr>
            <w:tcW w:w="1559" w:type="dxa"/>
            <w:tcBorders>
              <w:top w:val="nil"/>
              <w:left w:val="nil"/>
              <w:bottom w:val="single" w:sz="8" w:space="0" w:color="auto"/>
              <w:right w:val="single" w:sz="8" w:space="0" w:color="auto"/>
            </w:tcBorders>
            <w:shd w:val="clear" w:color="auto" w:fill="auto"/>
            <w:noWrap/>
            <w:vAlign w:val="center"/>
            <w:hideMark/>
          </w:tcPr>
          <w:p w14:paraId="01191E7B" w14:textId="77777777" w:rsidR="009A4C46" w:rsidRPr="009A4C46" w:rsidRDefault="009A4C46">
            <w:pPr>
              <w:spacing w:after="0" w:line="240" w:lineRule="auto"/>
              <w:jc w:val="right"/>
              <w:rPr>
                <w:rFonts w:eastAsia="Times New Roman"/>
                <w:sz w:val="18"/>
                <w:szCs w:val="18"/>
                <w:lang w:eastAsia="ru-RU"/>
              </w:rPr>
            </w:pPr>
            <w:r w:rsidRPr="009A4C46">
              <w:rPr>
                <w:rFonts w:eastAsia="Times New Roman"/>
                <w:sz w:val="18"/>
                <w:szCs w:val="18"/>
                <w:lang w:eastAsia="ru-RU"/>
              </w:rPr>
              <w:t> </w:t>
            </w:r>
          </w:p>
        </w:tc>
      </w:tr>
      <w:tr w:rsidR="009A4C46" w:rsidRPr="009A4C46" w14:paraId="51200FD0" w14:textId="77777777" w:rsidTr="00070F3E">
        <w:trPr>
          <w:trHeight w:val="315"/>
        </w:trPr>
        <w:tc>
          <w:tcPr>
            <w:tcW w:w="3407" w:type="dxa"/>
            <w:tcBorders>
              <w:top w:val="nil"/>
              <w:left w:val="single" w:sz="8" w:space="0" w:color="auto"/>
              <w:bottom w:val="single" w:sz="8" w:space="0" w:color="auto"/>
              <w:right w:val="single" w:sz="8" w:space="0" w:color="auto"/>
            </w:tcBorders>
            <w:shd w:val="clear" w:color="auto" w:fill="auto"/>
            <w:vAlign w:val="center"/>
            <w:hideMark/>
          </w:tcPr>
          <w:p w14:paraId="5D6F8886" w14:textId="77777777" w:rsidR="009A4C46" w:rsidRPr="00F94FED" w:rsidRDefault="009A4C46" w:rsidP="005C3ACA">
            <w:pPr>
              <w:spacing w:after="0" w:line="240" w:lineRule="auto"/>
              <w:rPr>
                <w:rFonts w:eastAsia="Times New Roman"/>
                <w:lang w:eastAsia="ru-RU"/>
              </w:rPr>
            </w:pPr>
            <w:r w:rsidRPr="00F94FED">
              <w:rPr>
                <w:rFonts w:eastAsia="Times New Roman"/>
                <w:lang w:eastAsia="ru-RU"/>
              </w:rPr>
              <w:t xml:space="preserve">от техприсоединения </w:t>
            </w:r>
          </w:p>
        </w:tc>
        <w:tc>
          <w:tcPr>
            <w:tcW w:w="1480" w:type="dxa"/>
            <w:tcBorders>
              <w:top w:val="nil"/>
              <w:left w:val="nil"/>
              <w:bottom w:val="single" w:sz="8" w:space="0" w:color="auto"/>
              <w:right w:val="single" w:sz="8" w:space="0" w:color="auto"/>
            </w:tcBorders>
            <w:shd w:val="clear" w:color="auto" w:fill="auto"/>
            <w:noWrap/>
            <w:vAlign w:val="center"/>
            <w:hideMark/>
          </w:tcPr>
          <w:p w14:paraId="1AD56BF3" w14:textId="77777777" w:rsidR="009A4C46" w:rsidRPr="00F94FED" w:rsidRDefault="009A4C46">
            <w:pPr>
              <w:spacing w:after="0" w:line="240" w:lineRule="auto"/>
              <w:rPr>
                <w:rFonts w:eastAsia="Times New Roman"/>
                <w:lang w:eastAsia="ru-RU"/>
              </w:rPr>
            </w:pPr>
            <w:r w:rsidRPr="00F94FED">
              <w:rPr>
                <w:rFonts w:eastAsia="Times New Roman"/>
                <w:lang w:eastAsia="ru-RU"/>
              </w:rPr>
              <w:t> </w:t>
            </w:r>
          </w:p>
        </w:tc>
        <w:tc>
          <w:tcPr>
            <w:tcW w:w="1480" w:type="dxa"/>
            <w:tcBorders>
              <w:top w:val="nil"/>
              <w:left w:val="nil"/>
              <w:bottom w:val="single" w:sz="8" w:space="0" w:color="auto"/>
              <w:right w:val="single" w:sz="8" w:space="0" w:color="auto"/>
            </w:tcBorders>
            <w:shd w:val="clear" w:color="auto" w:fill="auto"/>
            <w:noWrap/>
            <w:vAlign w:val="center"/>
            <w:hideMark/>
          </w:tcPr>
          <w:p w14:paraId="089B1901" w14:textId="77777777" w:rsidR="009A4C46" w:rsidRPr="00F94FED" w:rsidRDefault="009A4C46">
            <w:pPr>
              <w:spacing w:after="0" w:line="240" w:lineRule="auto"/>
              <w:rPr>
                <w:rFonts w:eastAsia="Times New Roman"/>
                <w:lang w:eastAsia="ru-RU"/>
              </w:rPr>
            </w:pPr>
            <w:r w:rsidRPr="00F94FED">
              <w:rPr>
                <w:rFonts w:eastAsia="Times New Roman"/>
                <w:lang w:eastAsia="ru-RU"/>
              </w:rPr>
              <w:t> </w:t>
            </w:r>
          </w:p>
        </w:tc>
        <w:tc>
          <w:tcPr>
            <w:tcW w:w="1576" w:type="dxa"/>
            <w:tcBorders>
              <w:top w:val="nil"/>
              <w:left w:val="nil"/>
              <w:bottom w:val="single" w:sz="8" w:space="0" w:color="auto"/>
              <w:right w:val="single" w:sz="8" w:space="0" w:color="auto"/>
            </w:tcBorders>
            <w:shd w:val="clear" w:color="auto" w:fill="auto"/>
            <w:noWrap/>
            <w:vAlign w:val="center"/>
            <w:hideMark/>
          </w:tcPr>
          <w:p w14:paraId="411AF908" w14:textId="77777777" w:rsidR="009A4C46" w:rsidRPr="00F94FED" w:rsidRDefault="009A4C46">
            <w:pPr>
              <w:spacing w:after="0" w:line="240" w:lineRule="auto"/>
              <w:rPr>
                <w:rFonts w:eastAsia="Times New Roman"/>
                <w:lang w:eastAsia="ru-RU"/>
              </w:rPr>
            </w:pPr>
            <w:r w:rsidRPr="00F94FED">
              <w:rPr>
                <w:rFonts w:eastAsia="Times New Roman"/>
                <w:lang w:eastAsia="ru-RU"/>
              </w:rPr>
              <w:t> </w:t>
            </w:r>
          </w:p>
        </w:tc>
        <w:tc>
          <w:tcPr>
            <w:tcW w:w="1559" w:type="dxa"/>
            <w:tcBorders>
              <w:top w:val="nil"/>
              <w:left w:val="nil"/>
              <w:bottom w:val="single" w:sz="8" w:space="0" w:color="auto"/>
              <w:right w:val="single" w:sz="8" w:space="0" w:color="auto"/>
            </w:tcBorders>
            <w:shd w:val="clear" w:color="auto" w:fill="auto"/>
            <w:noWrap/>
            <w:vAlign w:val="center"/>
            <w:hideMark/>
          </w:tcPr>
          <w:p w14:paraId="42D06E30" w14:textId="77777777" w:rsidR="009A4C46" w:rsidRPr="009A4C46" w:rsidRDefault="009A4C46">
            <w:pPr>
              <w:spacing w:after="0" w:line="240" w:lineRule="auto"/>
              <w:rPr>
                <w:rFonts w:eastAsia="Times New Roman"/>
                <w:sz w:val="18"/>
                <w:szCs w:val="18"/>
                <w:lang w:eastAsia="ru-RU"/>
              </w:rPr>
            </w:pPr>
            <w:r w:rsidRPr="009A4C46">
              <w:rPr>
                <w:rFonts w:eastAsia="Times New Roman"/>
                <w:sz w:val="18"/>
                <w:szCs w:val="18"/>
                <w:lang w:eastAsia="ru-RU"/>
              </w:rPr>
              <w:t> </w:t>
            </w:r>
          </w:p>
        </w:tc>
      </w:tr>
      <w:tr w:rsidR="009A4C46" w:rsidRPr="009A4C46" w14:paraId="1C997625" w14:textId="77777777" w:rsidTr="00070F3E">
        <w:trPr>
          <w:trHeight w:val="315"/>
        </w:trPr>
        <w:tc>
          <w:tcPr>
            <w:tcW w:w="3407" w:type="dxa"/>
            <w:tcBorders>
              <w:top w:val="nil"/>
              <w:left w:val="single" w:sz="8" w:space="0" w:color="auto"/>
              <w:bottom w:val="single" w:sz="8" w:space="0" w:color="auto"/>
              <w:right w:val="single" w:sz="8" w:space="0" w:color="auto"/>
            </w:tcBorders>
            <w:shd w:val="clear" w:color="auto" w:fill="auto"/>
            <w:vAlign w:val="center"/>
            <w:hideMark/>
          </w:tcPr>
          <w:p w14:paraId="560B7960" w14:textId="77777777" w:rsidR="009A4C46" w:rsidRPr="00F94FED" w:rsidRDefault="009A4C46" w:rsidP="005C3ACA">
            <w:pPr>
              <w:spacing w:after="0" w:line="240" w:lineRule="auto"/>
              <w:rPr>
                <w:rFonts w:eastAsia="Times New Roman"/>
                <w:lang w:eastAsia="ru-RU"/>
              </w:rPr>
            </w:pPr>
            <w:r w:rsidRPr="00F94FED">
              <w:rPr>
                <w:rFonts w:eastAsia="Times New Roman"/>
                <w:lang w:eastAsia="ru-RU"/>
              </w:rPr>
              <w:t>от  прочей продукции</w:t>
            </w:r>
          </w:p>
        </w:tc>
        <w:tc>
          <w:tcPr>
            <w:tcW w:w="1480" w:type="dxa"/>
            <w:tcBorders>
              <w:top w:val="nil"/>
              <w:left w:val="nil"/>
              <w:bottom w:val="single" w:sz="8" w:space="0" w:color="auto"/>
              <w:right w:val="single" w:sz="8" w:space="0" w:color="auto"/>
            </w:tcBorders>
            <w:shd w:val="clear" w:color="auto" w:fill="auto"/>
            <w:noWrap/>
            <w:vAlign w:val="center"/>
            <w:hideMark/>
          </w:tcPr>
          <w:p w14:paraId="113C3769" w14:textId="77777777" w:rsidR="009A4C46" w:rsidRPr="00F94FED" w:rsidRDefault="009A4C46">
            <w:pPr>
              <w:spacing w:after="0" w:line="240" w:lineRule="auto"/>
              <w:jc w:val="right"/>
              <w:rPr>
                <w:rFonts w:eastAsia="Times New Roman"/>
                <w:lang w:eastAsia="ru-RU"/>
              </w:rPr>
            </w:pPr>
            <w:r w:rsidRPr="00F94FED">
              <w:rPr>
                <w:rFonts w:eastAsia="Times New Roman"/>
                <w:lang w:eastAsia="ru-RU"/>
              </w:rPr>
              <w:t>18 865</w:t>
            </w:r>
          </w:p>
        </w:tc>
        <w:tc>
          <w:tcPr>
            <w:tcW w:w="1480" w:type="dxa"/>
            <w:tcBorders>
              <w:top w:val="nil"/>
              <w:left w:val="nil"/>
              <w:bottom w:val="single" w:sz="8" w:space="0" w:color="auto"/>
              <w:right w:val="single" w:sz="8" w:space="0" w:color="auto"/>
            </w:tcBorders>
            <w:shd w:val="clear" w:color="auto" w:fill="auto"/>
            <w:noWrap/>
            <w:vAlign w:val="center"/>
            <w:hideMark/>
          </w:tcPr>
          <w:p w14:paraId="4E268153" w14:textId="77777777" w:rsidR="009A4C46" w:rsidRPr="00F94FED" w:rsidRDefault="009A4C46">
            <w:pPr>
              <w:spacing w:after="0" w:line="240" w:lineRule="auto"/>
              <w:rPr>
                <w:rFonts w:eastAsia="Times New Roman"/>
                <w:lang w:eastAsia="ru-RU"/>
              </w:rPr>
            </w:pPr>
            <w:r w:rsidRPr="00F94FED">
              <w:rPr>
                <w:rFonts w:eastAsia="Times New Roman"/>
                <w:lang w:eastAsia="ru-RU"/>
              </w:rPr>
              <w:t> </w:t>
            </w:r>
          </w:p>
        </w:tc>
        <w:tc>
          <w:tcPr>
            <w:tcW w:w="1576" w:type="dxa"/>
            <w:tcBorders>
              <w:top w:val="nil"/>
              <w:left w:val="nil"/>
              <w:bottom w:val="single" w:sz="8" w:space="0" w:color="auto"/>
              <w:right w:val="single" w:sz="8" w:space="0" w:color="auto"/>
            </w:tcBorders>
            <w:shd w:val="clear" w:color="auto" w:fill="auto"/>
            <w:noWrap/>
            <w:vAlign w:val="center"/>
            <w:hideMark/>
          </w:tcPr>
          <w:p w14:paraId="363C2040" w14:textId="77777777" w:rsidR="009A4C46" w:rsidRPr="00F94FED" w:rsidRDefault="009A4C46">
            <w:pPr>
              <w:spacing w:after="0" w:line="240" w:lineRule="auto"/>
              <w:jc w:val="right"/>
              <w:rPr>
                <w:rFonts w:eastAsia="Times New Roman"/>
                <w:lang w:eastAsia="ru-RU"/>
              </w:rPr>
            </w:pPr>
            <w:r w:rsidRPr="00F94FED">
              <w:rPr>
                <w:rFonts w:eastAsia="Times New Roman"/>
                <w:lang w:eastAsia="ru-RU"/>
              </w:rPr>
              <w:t>-18 865</w:t>
            </w:r>
          </w:p>
        </w:tc>
        <w:tc>
          <w:tcPr>
            <w:tcW w:w="1559" w:type="dxa"/>
            <w:tcBorders>
              <w:top w:val="nil"/>
              <w:left w:val="nil"/>
              <w:bottom w:val="single" w:sz="8" w:space="0" w:color="auto"/>
              <w:right w:val="single" w:sz="8" w:space="0" w:color="auto"/>
            </w:tcBorders>
            <w:shd w:val="clear" w:color="auto" w:fill="auto"/>
            <w:noWrap/>
            <w:vAlign w:val="center"/>
            <w:hideMark/>
          </w:tcPr>
          <w:p w14:paraId="3BADFB96" w14:textId="77777777" w:rsidR="009A4C46" w:rsidRPr="009A4C46" w:rsidRDefault="009A4C46">
            <w:pPr>
              <w:spacing w:after="0" w:line="240" w:lineRule="auto"/>
              <w:jc w:val="right"/>
              <w:rPr>
                <w:rFonts w:eastAsia="Times New Roman"/>
                <w:sz w:val="18"/>
                <w:szCs w:val="18"/>
                <w:lang w:eastAsia="ru-RU"/>
              </w:rPr>
            </w:pPr>
            <w:r w:rsidRPr="009A4C46">
              <w:rPr>
                <w:rFonts w:eastAsia="Times New Roman"/>
                <w:sz w:val="18"/>
                <w:szCs w:val="18"/>
                <w:lang w:eastAsia="ru-RU"/>
              </w:rPr>
              <w:t> </w:t>
            </w:r>
          </w:p>
        </w:tc>
      </w:tr>
      <w:tr w:rsidR="009A4C46" w:rsidRPr="009A4C46" w14:paraId="0A6AD05E" w14:textId="77777777" w:rsidTr="00070F3E">
        <w:trPr>
          <w:trHeight w:val="315"/>
        </w:trPr>
        <w:tc>
          <w:tcPr>
            <w:tcW w:w="3407" w:type="dxa"/>
            <w:tcBorders>
              <w:top w:val="nil"/>
              <w:left w:val="single" w:sz="8" w:space="0" w:color="auto"/>
              <w:bottom w:val="single" w:sz="8" w:space="0" w:color="auto"/>
              <w:right w:val="single" w:sz="8" w:space="0" w:color="auto"/>
            </w:tcBorders>
            <w:shd w:val="clear" w:color="auto" w:fill="auto"/>
            <w:vAlign w:val="center"/>
            <w:hideMark/>
          </w:tcPr>
          <w:p w14:paraId="46563C50" w14:textId="77777777" w:rsidR="009A4C46" w:rsidRPr="00F94FED" w:rsidRDefault="009A4C46" w:rsidP="005C3ACA">
            <w:pPr>
              <w:spacing w:after="0" w:line="240" w:lineRule="auto"/>
              <w:rPr>
                <w:rFonts w:eastAsia="Times New Roman"/>
                <w:lang w:eastAsia="ru-RU"/>
              </w:rPr>
            </w:pPr>
            <w:r w:rsidRPr="00F94FED">
              <w:rPr>
                <w:rFonts w:eastAsia="Times New Roman"/>
                <w:lang w:eastAsia="ru-RU"/>
              </w:rPr>
              <w:t>Проценты к уплате</w:t>
            </w:r>
          </w:p>
        </w:tc>
        <w:tc>
          <w:tcPr>
            <w:tcW w:w="1480" w:type="dxa"/>
            <w:tcBorders>
              <w:top w:val="nil"/>
              <w:left w:val="nil"/>
              <w:bottom w:val="single" w:sz="8" w:space="0" w:color="auto"/>
              <w:right w:val="single" w:sz="8" w:space="0" w:color="auto"/>
            </w:tcBorders>
            <w:shd w:val="clear" w:color="auto" w:fill="auto"/>
            <w:noWrap/>
            <w:vAlign w:val="center"/>
            <w:hideMark/>
          </w:tcPr>
          <w:p w14:paraId="75549EDA" w14:textId="77777777" w:rsidR="009A4C46" w:rsidRPr="00F94FED" w:rsidRDefault="009A4C46">
            <w:pPr>
              <w:spacing w:after="0" w:line="240" w:lineRule="auto"/>
              <w:jc w:val="right"/>
              <w:rPr>
                <w:rFonts w:eastAsia="Times New Roman"/>
                <w:lang w:eastAsia="ru-RU"/>
              </w:rPr>
            </w:pPr>
            <w:r w:rsidRPr="00F94FED">
              <w:rPr>
                <w:rFonts w:eastAsia="Times New Roman"/>
                <w:lang w:eastAsia="ru-RU"/>
              </w:rPr>
              <w:t>5 131</w:t>
            </w:r>
          </w:p>
        </w:tc>
        <w:tc>
          <w:tcPr>
            <w:tcW w:w="1480" w:type="dxa"/>
            <w:tcBorders>
              <w:top w:val="nil"/>
              <w:left w:val="nil"/>
              <w:bottom w:val="single" w:sz="8" w:space="0" w:color="auto"/>
              <w:right w:val="single" w:sz="8" w:space="0" w:color="auto"/>
            </w:tcBorders>
            <w:shd w:val="clear" w:color="auto" w:fill="auto"/>
            <w:noWrap/>
            <w:vAlign w:val="center"/>
            <w:hideMark/>
          </w:tcPr>
          <w:p w14:paraId="4A5F1093" w14:textId="77777777" w:rsidR="009A4C46" w:rsidRPr="00F94FED" w:rsidRDefault="009A4C46">
            <w:pPr>
              <w:spacing w:after="0" w:line="240" w:lineRule="auto"/>
              <w:jc w:val="right"/>
              <w:rPr>
                <w:rFonts w:eastAsia="Times New Roman"/>
                <w:lang w:eastAsia="ru-RU"/>
              </w:rPr>
            </w:pPr>
            <w:r w:rsidRPr="00F94FED">
              <w:rPr>
                <w:rFonts w:eastAsia="Times New Roman"/>
                <w:lang w:eastAsia="ru-RU"/>
              </w:rPr>
              <w:t>0</w:t>
            </w:r>
          </w:p>
        </w:tc>
        <w:tc>
          <w:tcPr>
            <w:tcW w:w="1576" w:type="dxa"/>
            <w:tcBorders>
              <w:top w:val="nil"/>
              <w:left w:val="nil"/>
              <w:bottom w:val="single" w:sz="8" w:space="0" w:color="auto"/>
              <w:right w:val="single" w:sz="8" w:space="0" w:color="auto"/>
            </w:tcBorders>
            <w:shd w:val="clear" w:color="auto" w:fill="auto"/>
            <w:noWrap/>
            <w:vAlign w:val="center"/>
            <w:hideMark/>
          </w:tcPr>
          <w:p w14:paraId="3C0BA926" w14:textId="77777777" w:rsidR="009A4C46" w:rsidRPr="00F94FED" w:rsidRDefault="009A4C46">
            <w:pPr>
              <w:spacing w:after="0" w:line="240" w:lineRule="auto"/>
              <w:jc w:val="right"/>
              <w:rPr>
                <w:rFonts w:eastAsia="Times New Roman"/>
                <w:lang w:eastAsia="ru-RU"/>
              </w:rPr>
            </w:pPr>
            <w:r w:rsidRPr="00F94FED">
              <w:rPr>
                <w:rFonts w:eastAsia="Times New Roman"/>
                <w:lang w:eastAsia="ru-RU"/>
              </w:rPr>
              <w:t>-5 131</w:t>
            </w:r>
          </w:p>
        </w:tc>
        <w:tc>
          <w:tcPr>
            <w:tcW w:w="1559" w:type="dxa"/>
            <w:tcBorders>
              <w:top w:val="nil"/>
              <w:left w:val="nil"/>
              <w:bottom w:val="single" w:sz="8" w:space="0" w:color="auto"/>
              <w:right w:val="single" w:sz="8" w:space="0" w:color="auto"/>
            </w:tcBorders>
            <w:shd w:val="clear" w:color="auto" w:fill="auto"/>
            <w:noWrap/>
            <w:vAlign w:val="center"/>
            <w:hideMark/>
          </w:tcPr>
          <w:p w14:paraId="2664F72A" w14:textId="77777777" w:rsidR="009A4C46" w:rsidRPr="009A4C46" w:rsidRDefault="009A4C46">
            <w:pPr>
              <w:spacing w:after="0" w:line="240" w:lineRule="auto"/>
              <w:jc w:val="right"/>
              <w:rPr>
                <w:rFonts w:eastAsia="Times New Roman"/>
                <w:sz w:val="18"/>
                <w:szCs w:val="18"/>
                <w:lang w:eastAsia="ru-RU"/>
              </w:rPr>
            </w:pPr>
            <w:r w:rsidRPr="009A4C46">
              <w:rPr>
                <w:rFonts w:eastAsia="Times New Roman"/>
                <w:sz w:val="18"/>
                <w:szCs w:val="18"/>
                <w:lang w:eastAsia="ru-RU"/>
              </w:rPr>
              <w:t> </w:t>
            </w:r>
          </w:p>
        </w:tc>
      </w:tr>
      <w:tr w:rsidR="009A4C46" w:rsidRPr="009A4C46" w14:paraId="684E9A40" w14:textId="77777777" w:rsidTr="00070F3E">
        <w:trPr>
          <w:trHeight w:val="315"/>
        </w:trPr>
        <w:tc>
          <w:tcPr>
            <w:tcW w:w="3407" w:type="dxa"/>
            <w:tcBorders>
              <w:top w:val="nil"/>
              <w:left w:val="single" w:sz="8" w:space="0" w:color="auto"/>
              <w:bottom w:val="single" w:sz="8" w:space="0" w:color="auto"/>
              <w:right w:val="single" w:sz="8" w:space="0" w:color="auto"/>
            </w:tcBorders>
            <w:shd w:val="clear" w:color="auto" w:fill="auto"/>
            <w:vAlign w:val="center"/>
            <w:hideMark/>
          </w:tcPr>
          <w:p w14:paraId="3EC84BEA" w14:textId="77777777" w:rsidR="009A4C46" w:rsidRPr="00F94FED" w:rsidRDefault="009A4C46" w:rsidP="005C3ACA">
            <w:pPr>
              <w:spacing w:after="0" w:line="240" w:lineRule="auto"/>
              <w:rPr>
                <w:rFonts w:eastAsia="Times New Roman"/>
                <w:lang w:eastAsia="ru-RU"/>
              </w:rPr>
            </w:pPr>
            <w:r w:rsidRPr="00F94FED">
              <w:rPr>
                <w:rFonts w:eastAsia="Times New Roman"/>
                <w:lang w:eastAsia="ru-RU"/>
              </w:rPr>
              <w:t xml:space="preserve">в том числе </w:t>
            </w:r>
          </w:p>
        </w:tc>
        <w:tc>
          <w:tcPr>
            <w:tcW w:w="1480" w:type="dxa"/>
            <w:tcBorders>
              <w:top w:val="nil"/>
              <w:left w:val="nil"/>
              <w:bottom w:val="single" w:sz="8" w:space="0" w:color="auto"/>
              <w:right w:val="single" w:sz="8" w:space="0" w:color="auto"/>
            </w:tcBorders>
            <w:shd w:val="clear" w:color="auto" w:fill="auto"/>
            <w:noWrap/>
            <w:vAlign w:val="center"/>
            <w:hideMark/>
          </w:tcPr>
          <w:p w14:paraId="25151877" w14:textId="77777777" w:rsidR="009A4C46" w:rsidRPr="00F94FED" w:rsidRDefault="009A4C46">
            <w:pPr>
              <w:spacing w:after="0" w:line="240" w:lineRule="auto"/>
              <w:rPr>
                <w:rFonts w:eastAsia="Times New Roman"/>
                <w:lang w:eastAsia="ru-RU"/>
              </w:rPr>
            </w:pPr>
            <w:r w:rsidRPr="00F94FED">
              <w:rPr>
                <w:rFonts w:eastAsia="Times New Roman"/>
                <w:lang w:eastAsia="ru-RU"/>
              </w:rPr>
              <w:t> </w:t>
            </w:r>
          </w:p>
        </w:tc>
        <w:tc>
          <w:tcPr>
            <w:tcW w:w="1480" w:type="dxa"/>
            <w:tcBorders>
              <w:top w:val="nil"/>
              <w:left w:val="nil"/>
              <w:bottom w:val="single" w:sz="8" w:space="0" w:color="auto"/>
              <w:right w:val="single" w:sz="8" w:space="0" w:color="auto"/>
            </w:tcBorders>
            <w:shd w:val="clear" w:color="auto" w:fill="auto"/>
            <w:noWrap/>
            <w:vAlign w:val="center"/>
            <w:hideMark/>
          </w:tcPr>
          <w:p w14:paraId="35585982" w14:textId="77777777" w:rsidR="009A4C46" w:rsidRPr="00F94FED" w:rsidRDefault="009A4C46">
            <w:pPr>
              <w:spacing w:after="0" w:line="240" w:lineRule="auto"/>
              <w:rPr>
                <w:rFonts w:eastAsia="Times New Roman"/>
                <w:lang w:eastAsia="ru-RU"/>
              </w:rPr>
            </w:pPr>
            <w:r w:rsidRPr="00F94FED">
              <w:rPr>
                <w:rFonts w:eastAsia="Times New Roman"/>
                <w:lang w:eastAsia="ru-RU"/>
              </w:rPr>
              <w:t> </w:t>
            </w:r>
          </w:p>
        </w:tc>
        <w:tc>
          <w:tcPr>
            <w:tcW w:w="1576" w:type="dxa"/>
            <w:tcBorders>
              <w:top w:val="nil"/>
              <w:left w:val="nil"/>
              <w:bottom w:val="single" w:sz="8" w:space="0" w:color="auto"/>
              <w:right w:val="single" w:sz="8" w:space="0" w:color="auto"/>
            </w:tcBorders>
            <w:shd w:val="clear" w:color="auto" w:fill="auto"/>
            <w:noWrap/>
            <w:vAlign w:val="center"/>
            <w:hideMark/>
          </w:tcPr>
          <w:p w14:paraId="196EA69F" w14:textId="77777777" w:rsidR="009A4C46" w:rsidRPr="00F94FED" w:rsidRDefault="009A4C46">
            <w:pPr>
              <w:spacing w:after="0" w:line="240" w:lineRule="auto"/>
              <w:rPr>
                <w:rFonts w:eastAsia="Times New Roman"/>
                <w:lang w:eastAsia="ru-RU"/>
              </w:rPr>
            </w:pPr>
            <w:r w:rsidRPr="00F94FED">
              <w:rPr>
                <w:rFonts w:eastAsia="Times New Roman"/>
                <w:lang w:eastAsia="ru-RU"/>
              </w:rPr>
              <w:t> </w:t>
            </w:r>
          </w:p>
        </w:tc>
        <w:tc>
          <w:tcPr>
            <w:tcW w:w="1559" w:type="dxa"/>
            <w:tcBorders>
              <w:top w:val="nil"/>
              <w:left w:val="nil"/>
              <w:bottom w:val="single" w:sz="8" w:space="0" w:color="auto"/>
              <w:right w:val="single" w:sz="8" w:space="0" w:color="auto"/>
            </w:tcBorders>
            <w:shd w:val="clear" w:color="auto" w:fill="auto"/>
            <w:noWrap/>
            <w:vAlign w:val="center"/>
            <w:hideMark/>
          </w:tcPr>
          <w:p w14:paraId="44FAE5CC" w14:textId="77777777" w:rsidR="009A4C46" w:rsidRPr="009A4C46" w:rsidRDefault="009A4C46">
            <w:pPr>
              <w:spacing w:after="0" w:line="240" w:lineRule="auto"/>
              <w:rPr>
                <w:rFonts w:eastAsia="Times New Roman"/>
                <w:sz w:val="18"/>
                <w:szCs w:val="18"/>
                <w:lang w:eastAsia="ru-RU"/>
              </w:rPr>
            </w:pPr>
            <w:r w:rsidRPr="009A4C46">
              <w:rPr>
                <w:rFonts w:eastAsia="Times New Roman"/>
                <w:sz w:val="18"/>
                <w:szCs w:val="18"/>
                <w:lang w:eastAsia="ru-RU"/>
              </w:rPr>
              <w:t> </w:t>
            </w:r>
          </w:p>
        </w:tc>
      </w:tr>
      <w:tr w:rsidR="009A4C46" w:rsidRPr="009A4C46" w14:paraId="1A59C66B" w14:textId="77777777" w:rsidTr="00070F3E">
        <w:trPr>
          <w:trHeight w:val="315"/>
        </w:trPr>
        <w:tc>
          <w:tcPr>
            <w:tcW w:w="3407" w:type="dxa"/>
            <w:tcBorders>
              <w:top w:val="nil"/>
              <w:left w:val="single" w:sz="8" w:space="0" w:color="auto"/>
              <w:bottom w:val="single" w:sz="8" w:space="0" w:color="auto"/>
              <w:right w:val="single" w:sz="8" w:space="0" w:color="auto"/>
            </w:tcBorders>
            <w:shd w:val="clear" w:color="auto" w:fill="auto"/>
            <w:vAlign w:val="center"/>
            <w:hideMark/>
          </w:tcPr>
          <w:p w14:paraId="2A806C9B" w14:textId="77777777" w:rsidR="009A4C46" w:rsidRPr="00F94FED" w:rsidRDefault="009A4C46" w:rsidP="005C3ACA">
            <w:pPr>
              <w:spacing w:after="0" w:line="240" w:lineRule="auto"/>
              <w:rPr>
                <w:rFonts w:eastAsia="Times New Roman"/>
                <w:lang w:eastAsia="ru-RU"/>
              </w:rPr>
            </w:pPr>
            <w:r w:rsidRPr="00F94FED">
              <w:rPr>
                <w:rFonts w:eastAsia="Times New Roman"/>
                <w:lang w:eastAsia="ru-RU"/>
              </w:rPr>
              <w:t>от передачи электроэнергии</w:t>
            </w:r>
          </w:p>
        </w:tc>
        <w:tc>
          <w:tcPr>
            <w:tcW w:w="1480" w:type="dxa"/>
            <w:tcBorders>
              <w:top w:val="nil"/>
              <w:left w:val="nil"/>
              <w:bottom w:val="single" w:sz="8" w:space="0" w:color="auto"/>
              <w:right w:val="single" w:sz="8" w:space="0" w:color="auto"/>
            </w:tcBorders>
            <w:shd w:val="clear" w:color="auto" w:fill="auto"/>
            <w:noWrap/>
            <w:vAlign w:val="center"/>
            <w:hideMark/>
          </w:tcPr>
          <w:p w14:paraId="1BD34A9B" w14:textId="77777777" w:rsidR="009A4C46" w:rsidRPr="00F94FED" w:rsidRDefault="009A4C46">
            <w:pPr>
              <w:spacing w:after="0" w:line="240" w:lineRule="auto"/>
              <w:jc w:val="right"/>
              <w:rPr>
                <w:rFonts w:eastAsia="Times New Roman"/>
                <w:lang w:eastAsia="ru-RU"/>
              </w:rPr>
            </w:pPr>
            <w:r w:rsidRPr="00F94FED">
              <w:rPr>
                <w:rFonts w:eastAsia="Times New Roman"/>
                <w:lang w:eastAsia="ru-RU"/>
              </w:rPr>
              <w:t>5 131</w:t>
            </w:r>
          </w:p>
        </w:tc>
        <w:tc>
          <w:tcPr>
            <w:tcW w:w="1480" w:type="dxa"/>
            <w:tcBorders>
              <w:top w:val="nil"/>
              <w:left w:val="nil"/>
              <w:bottom w:val="single" w:sz="8" w:space="0" w:color="auto"/>
              <w:right w:val="single" w:sz="8" w:space="0" w:color="auto"/>
            </w:tcBorders>
            <w:shd w:val="clear" w:color="auto" w:fill="auto"/>
            <w:noWrap/>
            <w:vAlign w:val="center"/>
            <w:hideMark/>
          </w:tcPr>
          <w:p w14:paraId="13E1DD0D" w14:textId="77777777" w:rsidR="009A4C46" w:rsidRPr="00F94FED" w:rsidRDefault="009A4C46">
            <w:pPr>
              <w:spacing w:after="0" w:line="240" w:lineRule="auto"/>
              <w:jc w:val="right"/>
              <w:rPr>
                <w:rFonts w:eastAsia="Times New Roman"/>
                <w:lang w:eastAsia="ru-RU"/>
              </w:rPr>
            </w:pPr>
            <w:r w:rsidRPr="00F94FED">
              <w:rPr>
                <w:rFonts w:eastAsia="Times New Roman"/>
                <w:lang w:eastAsia="ru-RU"/>
              </w:rPr>
              <w:t> </w:t>
            </w:r>
          </w:p>
        </w:tc>
        <w:tc>
          <w:tcPr>
            <w:tcW w:w="1576" w:type="dxa"/>
            <w:tcBorders>
              <w:top w:val="nil"/>
              <w:left w:val="nil"/>
              <w:bottom w:val="single" w:sz="8" w:space="0" w:color="auto"/>
              <w:right w:val="single" w:sz="8" w:space="0" w:color="auto"/>
            </w:tcBorders>
            <w:shd w:val="clear" w:color="auto" w:fill="auto"/>
            <w:noWrap/>
            <w:vAlign w:val="center"/>
            <w:hideMark/>
          </w:tcPr>
          <w:p w14:paraId="5AE9ECCD" w14:textId="77777777" w:rsidR="009A4C46" w:rsidRPr="00F94FED" w:rsidRDefault="009A4C46">
            <w:pPr>
              <w:spacing w:after="0" w:line="240" w:lineRule="auto"/>
              <w:jc w:val="right"/>
              <w:rPr>
                <w:rFonts w:eastAsia="Times New Roman"/>
                <w:lang w:eastAsia="ru-RU"/>
              </w:rPr>
            </w:pPr>
            <w:r w:rsidRPr="00F94FED">
              <w:rPr>
                <w:rFonts w:eastAsia="Times New Roman"/>
                <w:lang w:eastAsia="ru-RU"/>
              </w:rPr>
              <w:t>-5 131</w:t>
            </w:r>
          </w:p>
        </w:tc>
        <w:tc>
          <w:tcPr>
            <w:tcW w:w="1559" w:type="dxa"/>
            <w:tcBorders>
              <w:top w:val="nil"/>
              <w:left w:val="nil"/>
              <w:bottom w:val="single" w:sz="8" w:space="0" w:color="auto"/>
              <w:right w:val="single" w:sz="8" w:space="0" w:color="auto"/>
            </w:tcBorders>
            <w:shd w:val="clear" w:color="auto" w:fill="auto"/>
            <w:noWrap/>
            <w:vAlign w:val="center"/>
            <w:hideMark/>
          </w:tcPr>
          <w:p w14:paraId="5B2E4D56" w14:textId="77777777" w:rsidR="009A4C46" w:rsidRPr="009A4C46" w:rsidRDefault="009A4C46">
            <w:pPr>
              <w:spacing w:after="0" w:line="240" w:lineRule="auto"/>
              <w:jc w:val="right"/>
              <w:rPr>
                <w:rFonts w:eastAsia="Times New Roman"/>
                <w:sz w:val="18"/>
                <w:szCs w:val="18"/>
                <w:lang w:eastAsia="ru-RU"/>
              </w:rPr>
            </w:pPr>
            <w:r w:rsidRPr="009A4C46">
              <w:rPr>
                <w:rFonts w:eastAsia="Times New Roman"/>
                <w:sz w:val="18"/>
                <w:szCs w:val="18"/>
                <w:lang w:eastAsia="ru-RU"/>
              </w:rPr>
              <w:t> </w:t>
            </w:r>
          </w:p>
        </w:tc>
      </w:tr>
      <w:tr w:rsidR="009A4C46" w:rsidRPr="009A4C46" w14:paraId="1D773522" w14:textId="77777777" w:rsidTr="00070F3E">
        <w:trPr>
          <w:trHeight w:val="315"/>
        </w:trPr>
        <w:tc>
          <w:tcPr>
            <w:tcW w:w="3407" w:type="dxa"/>
            <w:tcBorders>
              <w:top w:val="nil"/>
              <w:left w:val="single" w:sz="8" w:space="0" w:color="auto"/>
              <w:bottom w:val="single" w:sz="8" w:space="0" w:color="auto"/>
              <w:right w:val="single" w:sz="8" w:space="0" w:color="auto"/>
            </w:tcBorders>
            <w:shd w:val="clear" w:color="auto" w:fill="auto"/>
            <w:vAlign w:val="center"/>
            <w:hideMark/>
          </w:tcPr>
          <w:p w14:paraId="011DB91D" w14:textId="77777777" w:rsidR="009A4C46" w:rsidRPr="00F94FED" w:rsidRDefault="009A4C46" w:rsidP="005C3ACA">
            <w:pPr>
              <w:spacing w:after="0" w:line="240" w:lineRule="auto"/>
              <w:rPr>
                <w:rFonts w:eastAsia="Times New Roman"/>
                <w:lang w:eastAsia="ru-RU"/>
              </w:rPr>
            </w:pPr>
            <w:r w:rsidRPr="00F94FED">
              <w:rPr>
                <w:rFonts w:eastAsia="Times New Roman"/>
                <w:lang w:eastAsia="ru-RU"/>
              </w:rPr>
              <w:t xml:space="preserve">от техприсоединения </w:t>
            </w:r>
          </w:p>
        </w:tc>
        <w:tc>
          <w:tcPr>
            <w:tcW w:w="1480" w:type="dxa"/>
            <w:tcBorders>
              <w:top w:val="nil"/>
              <w:left w:val="nil"/>
              <w:bottom w:val="single" w:sz="8" w:space="0" w:color="auto"/>
              <w:right w:val="single" w:sz="8" w:space="0" w:color="auto"/>
            </w:tcBorders>
            <w:shd w:val="clear" w:color="auto" w:fill="auto"/>
            <w:noWrap/>
            <w:vAlign w:val="center"/>
            <w:hideMark/>
          </w:tcPr>
          <w:p w14:paraId="6C533086" w14:textId="77777777" w:rsidR="009A4C46" w:rsidRPr="00F94FED" w:rsidRDefault="009A4C46">
            <w:pPr>
              <w:spacing w:after="0" w:line="240" w:lineRule="auto"/>
              <w:jc w:val="right"/>
              <w:rPr>
                <w:rFonts w:eastAsia="Times New Roman"/>
                <w:lang w:eastAsia="ru-RU"/>
              </w:rPr>
            </w:pPr>
            <w:r w:rsidRPr="00F94FED">
              <w:rPr>
                <w:rFonts w:eastAsia="Times New Roman"/>
                <w:lang w:eastAsia="ru-RU"/>
              </w:rPr>
              <w:t> </w:t>
            </w:r>
          </w:p>
        </w:tc>
        <w:tc>
          <w:tcPr>
            <w:tcW w:w="1480" w:type="dxa"/>
            <w:tcBorders>
              <w:top w:val="nil"/>
              <w:left w:val="nil"/>
              <w:bottom w:val="single" w:sz="8" w:space="0" w:color="auto"/>
              <w:right w:val="single" w:sz="8" w:space="0" w:color="auto"/>
            </w:tcBorders>
            <w:shd w:val="clear" w:color="auto" w:fill="auto"/>
            <w:noWrap/>
            <w:vAlign w:val="center"/>
            <w:hideMark/>
          </w:tcPr>
          <w:p w14:paraId="4E797E37" w14:textId="77777777" w:rsidR="009A4C46" w:rsidRPr="00F94FED" w:rsidRDefault="009A4C46">
            <w:pPr>
              <w:spacing w:after="0" w:line="240" w:lineRule="auto"/>
              <w:rPr>
                <w:rFonts w:eastAsia="Times New Roman"/>
                <w:lang w:eastAsia="ru-RU"/>
              </w:rPr>
            </w:pPr>
            <w:r w:rsidRPr="00F94FED">
              <w:rPr>
                <w:rFonts w:eastAsia="Times New Roman"/>
                <w:lang w:eastAsia="ru-RU"/>
              </w:rPr>
              <w:t> </w:t>
            </w:r>
          </w:p>
        </w:tc>
        <w:tc>
          <w:tcPr>
            <w:tcW w:w="1576" w:type="dxa"/>
            <w:tcBorders>
              <w:top w:val="nil"/>
              <w:left w:val="nil"/>
              <w:bottom w:val="single" w:sz="8" w:space="0" w:color="auto"/>
              <w:right w:val="single" w:sz="8" w:space="0" w:color="auto"/>
            </w:tcBorders>
            <w:shd w:val="clear" w:color="auto" w:fill="auto"/>
            <w:noWrap/>
            <w:vAlign w:val="center"/>
            <w:hideMark/>
          </w:tcPr>
          <w:p w14:paraId="25EBDAD3" w14:textId="77777777" w:rsidR="009A4C46" w:rsidRPr="00F94FED" w:rsidRDefault="009A4C46">
            <w:pPr>
              <w:spacing w:after="0" w:line="240" w:lineRule="auto"/>
              <w:jc w:val="right"/>
              <w:rPr>
                <w:rFonts w:eastAsia="Times New Roman"/>
                <w:lang w:eastAsia="ru-RU"/>
              </w:rPr>
            </w:pPr>
            <w:r w:rsidRPr="00F94FED">
              <w:rPr>
                <w:rFonts w:eastAsia="Times New Roman"/>
                <w:lang w:eastAsia="ru-RU"/>
              </w:rPr>
              <w:t> </w:t>
            </w:r>
          </w:p>
        </w:tc>
        <w:tc>
          <w:tcPr>
            <w:tcW w:w="1559" w:type="dxa"/>
            <w:tcBorders>
              <w:top w:val="nil"/>
              <w:left w:val="nil"/>
              <w:bottom w:val="single" w:sz="8" w:space="0" w:color="auto"/>
              <w:right w:val="single" w:sz="8" w:space="0" w:color="auto"/>
            </w:tcBorders>
            <w:shd w:val="clear" w:color="auto" w:fill="auto"/>
            <w:noWrap/>
            <w:vAlign w:val="center"/>
            <w:hideMark/>
          </w:tcPr>
          <w:p w14:paraId="64369822" w14:textId="77777777" w:rsidR="009A4C46" w:rsidRPr="009A4C46" w:rsidRDefault="009A4C46">
            <w:pPr>
              <w:spacing w:after="0" w:line="240" w:lineRule="auto"/>
              <w:jc w:val="right"/>
              <w:rPr>
                <w:rFonts w:eastAsia="Times New Roman"/>
                <w:sz w:val="18"/>
                <w:szCs w:val="18"/>
                <w:lang w:eastAsia="ru-RU"/>
              </w:rPr>
            </w:pPr>
            <w:r w:rsidRPr="009A4C46">
              <w:rPr>
                <w:rFonts w:eastAsia="Times New Roman"/>
                <w:sz w:val="18"/>
                <w:szCs w:val="18"/>
                <w:lang w:eastAsia="ru-RU"/>
              </w:rPr>
              <w:t> </w:t>
            </w:r>
          </w:p>
        </w:tc>
      </w:tr>
      <w:tr w:rsidR="009A4C46" w:rsidRPr="009A4C46" w14:paraId="70239697" w14:textId="77777777" w:rsidTr="00070F3E">
        <w:trPr>
          <w:trHeight w:val="315"/>
        </w:trPr>
        <w:tc>
          <w:tcPr>
            <w:tcW w:w="3407" w:type="dxa"/>
            <w:tcBorders>
              <w:top w:val="nil"/>
              <w:left w:val="single" w:sz="8" w:space="0" w:color="auto"/>
              <w:bottom w:val="single" w:sz="8" w:space="0" w:color="auto"/>
              <w:right w:val="single" w:sz="8" w:space="0" w:color="auto"/>
            </w:tcBorders>
            <w:shd w:val="clear" w:color="auto" w:fill="auto"/>
            <w:vAlign w:val="center"/>
            <w:hideMark/>
          </w:tcPr>
          <w:p w14:paraId="013E1898" w14:textId="77777777" w:rsidR="009A4C46" w:rsidRPr="00F94FED" w:rsidRDefault="009A4C46" w:rsidP="005C3ACA">
            <w:pPr>
              <w:spacing w:after="0" w:line="240" w:lineRule="auto"/>
              <w:rPr>
                <w:rFonts w:eastAsia="Times New Roman"/>
                <w:lang w:eastAsia="ru-RU"/>
              </w:rPr>
            </w:pPr>
            <w:r w:rsidRPr="00F94FED">
              <w:rPr>
                <w:rFonts w:eastAsia="Times New Roman"/>
                <w:lang w:eastAsia="ru-RU"/>
              </w:rPr>
              <w:t>от  прочей продукции</w:t>
            </w:r>
          </w:p>
        </w:tc>
        <w:tc>
          <w:tcPr>
            <w:tcW w:w="1480" w:type="dxa"/>
            <w:tcBorders>
              <w:top w:val="nil"/>
              <w:left w:val="nil"/>
              <w:bottom w:val="single" w:sz="8" w:space="0" w:color="auto"/>
              <w:right w:val="single" w:sz="8" w:space="0" w:color="auto"/>
            </w:tcBorders>
            <w:shd w:val="clear" w:color="auto" w:fill="auto"/>
            <w:noWrap/>
            <w:vAlign w:val="center"/>
            <w:hideMark/>
          </w:tcPr>
          <w:p w14:paraId="46423E62" w14:textId="77777777" w:rsidR="009A4C46" w:rsidRPr="00F94FED" w:rsidRDefault="009A4C46">
            <w:pPr>
              <w:spacing w:after="0" w:line="240" w:lineRule="auto"/>
              <w:jc w:val="right"/>
              <w:rPr>
                <w:rFonts w:eastAsia="Times New Roman"/>
                <w:lang w:eastAsia="ru-RU"/>
              </w:rPr>
            </w:pPr>
            <w:r w:rsidRPr="00F94FED">
              <w:rPr>
                <w:rFonts w:eastAsia="Times New Roman"/>
                <w:lang w:eastAsia="ru-RU"/>
              </w:rPr>
              <w:t> </w:t>
            </w:r>
          </w:p>
        </w:tc>
        <w:tc>
          <w:tcPr>
            <w:tcW w:w="1480" w:type="dxa"/>
            <w:tcBorders>
              <w:top w:val="nil"/>
              <w:left w:val="nil"/>
              <w:bottom w:val="single" w:sz="8" w:space="0" w:color="auto"/>
              <w:right w:val="single" w:sz="8" w:space="0" w:color="auto"/>
            </w:tcBorders>
            <w:shd w:val="clear" w:color="auto" w:fill="auto"/>
            <w:noWrap/>
            <w:vAlign w:val="center"/>
            <w:hideMark/>
          </w:tcPr>
          <w:p w14:paraId="76601429" w14:textId="77777777" w:rsidR="009A4C46" w:rsidRPr="00F94FED" w:rsidRDefault="009A4C46">
            <w:pPr>
              <w:spacing w:after="0" w:line="240" w:lineRule="auto"/>
              <w:jc w:val="right"/>
              <w:rPr>
                <w:rFonts w:eastAsia="Times New Roman"/>
                <w:lang w:eastAsia="ru-RU"/>
              </w:rPr>
            </w:pPr>
            <w:r w:rsidRPr="00F94FED">
              <w:rPr>
                <w:rFonts w:eastAsia="Times New Roman"/>
                <w:lang w:eastAsia="ru-RU"/>
              </w:rPr>
              <w:t> </w:t>
            </w:r>
          </w:p>
        </w:tc>
        <w:tc>
          <w:tcPr>
            <w:tcW w:w="1576" w:type="dxa"/>
            <w:tcBorders>
              <w:top w:val="nil"/>
              <w:left w:val="nil"/>
              <w:bottom w:val="single" w:sz="8" w:space="0" w:color="auto"/>
              <w:right w:val="single" w:sz="8" w:space="0" w:color="auto"/>
            </w:tcBorders>
            <w:shd w:val="clear" w:color="auto" w:fill="auto"/>
            <w:noWrap/>
            <w:vAlign w:val="center"/>
            <w:hideMark/>
          </w:tcPr>
          <w:p w14:paraId="5EF2570A" w14:textId="77777777" w:rsidR="009A4C46" w:rsidRPr="00F94FED" w:rsidRDefault="009A4C46">
            <w:pPr>
              <w:spacing w:after="0" w:line="240" w:lineRule="auto"/>
              <w:jc w:val="right"/>
              <w:rPr>
                <w:rFonts w:eastAsia="Times New Roman"/>
                <w:lang w:eastAsia="ru-RU"/>
              </w:rPr>
            </w:pPr>
            <w:r w:rsidRPr="00F94FED">
              <w:rPr>
                <w:rFonts w:eastAsia="Times New Roman"/>
                <w:lang w:eastAsia="ru-RU"/>
              </w:rPr>
              <w:t> </w:t>
            </w:r>
          </w:p>
        </w:tc>
        <w:tc>
          <w:tcPr>
            <w:tcW w:w="1559" w:type="dxa"/>
            <w:tcBorders>
              <w:top w:val="nil"/>
              <w:left w:val="nil"/>
              <w:bottom w:val="single" w:sz="8" w:space="0" w:color="auto"/>
              <w:right w:val="single" w:sz="8" w:space="0" w:color="auto"/>
            </w:tcBorders>
            <w:shd w:val="clear" w:color="auto" w:fill="auto"/>
            <w:noWrap/>
            <w:vAlign w:val="center"/>
            <w:hideMark/>
          </w:tcPr>
          <w:p w14:paraId="1201F513" w14:textId="77777777" w:rsidR="009A4C46" w:rsidRPr="009A4C46" w:rsidRDefault="009A4C46">
            <w:pPr>
              <w:spacing w:after="0" w:line="240" w:lineRule="auto"/>
              <w:jc w:val="right"/>
              <w:rPr>
                <w:rFonts w:eastAsia="Times New Roman"/>
                <w:sz w:val="18"/>
                <w:szCs w:val="18"/>
                <w:lang w:eastAsia="ru-RU"/>
              </w:rPr>
            </w:pPr>
            <w:r w:rsidRPr="009A4C46">
              <w:rPr>
                <w:rFonts w:eastAsia="Times New Roman"/>
                <w:sz w:val="18"/>
                <w:szCs w:val="18"/>
                <w:lang w:eastAsia="ru-RU"/>
              </w:rPr>
              <w:t> </w:t>
            </w:r>
          </w:p>
        </w:tc>
      </w:tr>
      <w:tr w:rsidR="009A4C46" w:rsidRPr="009A4C46" w14:paraId="6B2BB0F4" w14:textId="77777777" w:rsidTr="00070F3E">
        <w:trPr>
          <w:trHeight w:val="315"/>
        </w:trPr>
        <w:tc>
          <w:tcPr>
            <w:tcW w:w="3407" w:type="dxa"/>
            <w:tcBorders>
              <w:top w:val="nil"/>
              <w:left w:val="single" w:sz="8" w:space="0" w:color="auto"/>
              <w:bottom w:val="single" w:sz="8" w:space="0" w:color="auto"/>
              <w:right w:val="single" w:sz="8" w:space="0" w:color="auto"/>
            </w:tcBorders>
            <w:shd w:val="clear" w:color="auto" w:fill="auto"/>
            <w:vAlign w:val="center"/>
            <w:hideMark/>
          </w:tcPr>
          <w:p w14:paraId="20552401" w14:textId="77777777" w:rsidR="009A4C46" w:rsidRPr="00F94FED" w:rsidRDefault="009A4C46" w:rsidP="005C3ACA">
            <w:pPr>
              <w:spacing w:after="0" w:line="240" w:lineRule="auto"/>
              <w:rPr>
                <w:rFonts w:eastAsia="Times New Roman"/>
                <w:lang w:eastAsia="ru-RU"/>
              </w:rPr>
            </w:pPr>
            <w:r w:rsidRPr="00F94FED">
              <w:rPr>
                <w:rFonts w:eastAsia="Times New Roman"/>
                <w:lang w:eastAsia="ru-RU"/>
              </w:rPr>
              <w:t>Прочие доходы</w:t>
            </w:r>
          </w:p>
        </w:tc>
        <w:tc>
          <w:tcPr>
            <w:tcW w:w="1480" w:type="dxa"/>
            <w:tcBorders>
              <w:top w:val="nil"/>
              <w:left w:val="nil"/>
              <w:bottom w:val="single" w:sz="8" w:space="0" w:color="auto"/>
              <w:right w:val="single" w:sz="8" w:space="0" w:color="auto"/>
            </w:tcBorders>
            <w:shd w:val="clear" w:color="auto" w:fill="auto"/>
            <w:noWrap/>
            <w:vAlign w:val="center"/>
            <w:hideMark/>
          </w:tcPr>
          <w:p w14:paraId="7D530BA8" w14:textId="77777777" w:rsidR="009A4C46" w:rsidRPr="00F94FED" w:rsidRDefault="009A4C46">
            <w:pPr>
              <w:spacing w:after="0" w:line="240" w:lineRule="auto"/>
              <w:jc w:val="right"/>
              <w:rPr>
                <w:rFonts w:eastAsia="Times New Roman"/>
                <w:lang w:eastAsia="ru-RU"/>
              </w:rPr>
            </w:pPr>
            <w:r w:rsidRPr="00F94FED">
              <w:rPr>
                <w:rFonts w:eastAsia="Times New Roman"/>
                <w:lang w:eastAsia="ru-RU"/>
              </w:rPr>
              <w:t>94 295</w:t>
            </w:r>
          </w:p>
        </w:tc>
        <w:tc>
          <w:tcPr>
            <w:tcW w:w="1480" w:type="dxa"/>
            <w:tcBorders>
              <w:top w:val="nil"/>
              <w:left w:val="nil"/>
              <w:bottom w:val="single" w:sz="8" w:space="0" w:color="auto"/>
              <w:right w:val="single" w:sz="8" w:space="0" w:color="auto"/>
            </w:tcBorders>
            <w:shd w:val="clear" w:color="auto" w:fill="auto"/>
            <w:noWrap/>
            <w:vAlign w:val="center"/>
            <w:hideMark/>
          </w:tcPr>
          <w:p w14:paraId="75F32F4D" w14:textId="77777777" w:rsidR="009A4C46" w:rsidRPr="00F94FED" w:rsidRDefault="009A4C46">
            <w:pPr>
              <w:spacing w:after="0" w:line="240" w:lineRule="auto"/>
              <w:jc w:val="right"/>
              <w:rPr>
                <w:rFonts w:eastAsia="Times New Roman"/>
                <w:lang w:eastAsia="ru-RU"/>
              </w:rPr>
            </w:pPr>
            <w:r w:rsidRPr="00F94FED">
              <w:rPr>
                <w:rFonts w:eastAsia="Times New Roman"/>
                <w:lang w:eastAsia="ru-RU"/>
              </w:rPr>
              <w:t>224 053</w:t>
            </w:r>
          </w:p>
        </w:tc>
        <w:tc>
          <w:tcPr>
            <w:tcW w:w="1576" w:type="dxa"/>
            <w:tcBorders>
              <w:top w:val="nil"/>
              <w:left w:val="nil"/>
              <w:bottom w:val="single" w:sz="8" w:space="0" w:color="auto"/>
              <w:right w:val="single" w:sz="8" w:space="0" w:color="auto"/>
            </w:tcBorders>
            <w:shd w:val="clear" w:color="auto" w:fill="auto"/>
            <w:noWrap/>
            <w:vAlign w:val="center"/>
            <w:hideMark/>
          </w:tcPr>
          <w:p w14:paraId="0D6AA62B" w14:textId="77777777" w:rsidR="009A4C46" w:rsidRPr="00F94FED" w:rsidRDefault="009A4C46">
            <w:pPr>
              <w:spacing w:after="0" w:line="240" w:lineRule="auto"/>
              <w:jc w:val="right"/>
              <w:rPr>
                <w:rFonts w:eastAsia="Times New Roman"/>
                <w:lang w:eastAsia="ru-RU"/>
              </w:rPr>
            </w:pPr>
            <w:r w:rsidRPr="00F94FED">
              <w:rPr>
                <w:rFonts w:eastAsia="Times New Roman"/>
                <w:lang w:eastAsia="ru-RU"/>
              </w:rPr>
              <w:t>129 759</w:t>
            </w:r>
          </w:p>
        </w:tc>
        <w:tc>
          <w:tcPr>
            <w:tcW w:w="1559" w:type="dxa"/>
            <w:tcBorders>
              <w:top w:val="nil"/>
              <w:left w:val="nil"/>
              <w:bottom w:val="single" w:sz="8" w:space="0" w:color="auto"/>
              <w:right w:val="single" w:sz="8" w:space="0" w:color="auto"/>
            </w:tcBorders>
            <w:shd w:val="clear" w:color="auto" w:fill="auto"/>
            <w:noWrap/>
            <w:vAlign w:val="center"/>
            <w:hideMark/>
          </w:tcPr>
          <w:p w14:paraId="4F758993" w14:textId="77777777" w:rsidR="009A4C46" w:rsidRPr="009A4C46" w:rsidRDefault="009A4C46">
            <w:pPr>
              <w:spacing w:after="0" w:line="240" w:lineRule="auto"/>
              <w:jc w:val="right"/>
              <w:rPr>
                <w:rFonts w:eastAsia="Times New Roman"/>
                <w:sz w:val="18"/>
                <w:szCs w:val="18"/>
                <w:lang w:eastAsia="ru-RU"/>
              </w:rPr>
            </w:pPr>
            <w:r w:rsidRPr="009A4C46">
              <w:rPr>
                <w:rFonts w:eastAsia="Times New Roman"/>
                <w:sz w:val="18"/>
                <w:szCs w:val="18"/>
                <w:lang w:eastAsia="ru-RU"/>
              </w:rPr>
              <w:t>138%</w:t>
            </w:r>
          </w:p>
        </w:tc>
      </w:tr>
      <w:tr w:rsidR="009A4C46" w:rsidRPr="009A4C46" w14:paraId="2796D1C2" w14:textId="77777777" w:rsidTr="00070F3E">
        <w:trPr>
          <w:trHeight w:val="315"/>
        </w:trPr>
        <w:tc>
          <w:tcPr>
            <w:tcW w:w="3407" w:type="dxa"/>
            <w:tcBorders>
              <w:top w:val="nil"/>
              <w:left w:val="single" w:sz="8" w:space="0" w:color="auto"/>
              <w:bottom w:val="single" w:sz="8" w:space="0" w:color="auto"/>
              <w:right w:val="single" w:sz="8" w:space="0" w:color="auto"/>
            </w:tcBorders>
            <w:shd w:val="clear" w:color="auto" w:fill="auto"/>
            <w:vAlign w:val="center"/>
            <w:hideMark/>
          </w:tcPr>
          <w:p w14:paraId="063077B5" w14:textId="77777777" w:rsidR="009A4C46" w:rsidRPr="00F94FED" w:rsidRDefault="009A4C46" w:rsidP="005C3ACA">
            <w:pPr>
              <w:spacing w:after="0" w:line="240" w:lineRule="auto"/>
              <w:rPr>
                <w:rFonts w:eastAsia="Times New Roman"/>
                <w:lang w:eastAsia="ru-RU"/>
              </w:rPr>
            </w:pPr>
            <w:r w:rsidRPr="00F94FED">
              <w:rPr>
                <w:rFonts w:eastAsia="Times New Roman"/>
                <w:lang w:eastAsia="ru-RU"/>
              </w:rPr>
              <w:t xml:space="preserve">в том числе </w:t>
            </w:r>
          </w:p>
        </w:tc>
        <w:tc>
          <w:tcPr>
            <w:tcW w:w="1480" w:type="dxa"/>
            <w:tcBorders>
              <w:top w:val="nil"/>
              <w:left w:val="nil"/>
              <w:bottom w:val="single" w:sz="8" w:space="0" w:color="auto"/>
              <w:right w:val="single" w:sz="8" w:space="0" w:color="auto"/>
            </w:tcBorders>
            <w:shd w:val="clear" w:color="auto" w:fill="auto"/>
            <w:noWrap/>
            <w:vAlign w:val="center"/>
            <w:hideMark/>
          </w:tcPr>
          <w:p w14:paraId="0C6CFFFF" w14:textId="77777777" w:rsidR="009A4C46" w:rsidRPr="00F94FED" w:rsidRDefault="009A4C46">
            <w:pPr>
              <w:spacing w:after="0" w:line="240" w:lineRule="auto"/>
              <w:rPr>
                <w:rFonts w:eastAsia="Times New Roman"/>
                <w:lang w:eastAsia="ru-RU"/>
              </w:rPr>
            </w:pPr>
            <w:r w:rsidRPr="00F94FED">
              <w:rPr>
                <w:rFonts w:eastAsia="Times New Roman"/>
                <w:lang w:eastAsia="ru-RU"/>
              </w:rPr>
              <w:t> </w:t>
            </w:r>
          </w:p>
        </w:tc>
        <w:tc>
          <w:tcPr>
            <w:tcW w:w="1480" w:type="dxa"/>
            <w:tcBorders>
              <w:top w:val="nil"/>
              <w:left w:val="nil"/>
              <w:bottom w:val="single" w:sz="8" w:space="0" w:color="auto"/>
              <w:right w:val="single" w:sz="8" w:space="0" w:color="auto"/>
            </w:tcBorders>
            <w:shd w:val="clear" w:color="auto" w:fill="auto"/>
            <w:noWrap/>
            <w:vAlign w:val="center"/>
            <w:hideMark/>
          </w:tcPr>
          <w:p w14:paraId="4CA597AD" w14:textId="77777777" w:rsidR="009A4C46" w:rsidRPr="00F94FED" w:rsidRDefault="009A4C46">
            <w:pPr>
              <w:spacing w:after="0" w:line="240" w:lineRule="auto"/>
              <w:rPr>
                <w:rFonts w:eastAsia="Times New Roman"/>
                <w:lang w:eastAsia="ru-RU"/>
              </w:rPr>
            </w:pPr>
            <w:r w:rsidRPr="00F94FED">
              <w:rPr>
                <w:rFonts w:eastAsia="Times New Roman"/>
                <w:lang w:eastAsia="ru-RU"/>
              </w:rPr>
              <w:t> </w:t>
            </w:r>
          </w:p>
        </w:tc>
        <w:tc>
          <w:tcPr>
            <w:tcW w:w="1576" w:type="dxa"/>
            <w:tcBorders>
              <w:top w:val="nil"/>
              <w:left w:val="nil"/>
              <w:bottom w:val="single" w:sz="8" w:space="0" w:color="auto"/>
              <w:right w:val="single" w:sz="8" w:space="0" w:color="auto"/>
            </w:tcBorders>
            <w:shd w:val="clear" w:color="auto" w:fill="auto"/>
            <w:noWrap/>
            <w:vAlign w:val="center"/>
            <w:hideMark/>
          </w:tcPr>
          <w:p w14:paraId="07B8B0FA" w14:textId="77777777" w:rsidR="009A4C46" w:rsidRPr="00F94FED" w:rsidRDefault="009A4C46">
            <w:pPr>
              <w:spacing w:after="0" w:line="240" w:lineRule="auto"/>
              <w:rPr>
                <w:rFonts w:eastAsia="Times New Roman"/>
                <w:lang w:eastAsia="ru-RU"/>
              </w:rPr>
            </w:pPr>
            <w:r w:rsidRPr="00F94FED">
              <w:rPr>
                <w:rFonts w:eastAsia="Times New Roman"/>
                <w:lang w:eastAsia="ru-RU"/>
              </w:rPr>
              <w:t> </w:t>
            </w:r>
          </w:p>
        </w:tc>
        <w:tc>
          <w:tcPr>
            <w:tcW w:w="1559" w:type="dxa"/>
            <w:tcBorders>
              <w:top w:val="nil"/>
              <w:left w:val="nil"/>
              <w:bottom w:val="single" w:sz="8" w:space="0" w:color="auto"/>
              <w:right w:val="single" w:sz="8" w:space="0" w:color="auto"/>
            </w:tcBorders>
            <w:shd w:val="clear" w:color="auto" w:fill="auto"/>
            <w:noWrap/>
            <w:vAlign w:val="center"/>
            <w:hideMark/>
          </w:tcPr>
          <w:p w14:paraId="536A143A" w14:textId="77777777" w:rsidR="009A4C46" w:rsidRPr="009A4C46" w:rsidRDefault="009A4C46">
            <w:pPr>
              <w:spacing w:after="0" w:line="240" w:lineRule="auto"/>
              <w:rPr>
                <w:rFonts w:eastAsia="Times New Roman"/>
                <w:sz w:val="18"/>
                <w:szCs w:val="18"/>
                <w:lang w:eastAsia="ru-RU"/>
              </w:rPr>
            </w:pPr>
            <w:r w:rsidRPr="009A4C46">
              <w:rPr>
                <w:rFonts w:eastAsia="Times New Roman"/>
                <w:sz w:val="18"/>
                <w:szCs w:val="18"/>
                <w:lang w:eastAsia="ru-RU"/>
              </w:rPr>
              <w:t> </w:t>
            </w:r>
          </w:p>
        </w:tc>
      </w:tr>
      <w:tr w:rsidR="009A4C46" w:rsidRPr="009A4C46" w14:paraId="01CC12DF" w14:textId="77777777" w:rsidTr="00070F3E">
        <w:trPr>
          <w:trHeight w:val="315"/>
        </w:trPr>
        <w:tc>
          <w:tcPr>
            <w:tcW w:w="3407" w:type="dxa"/>
            <w:tcBorders>
              <w:top w:val="nil"/>
              <w:left w:val="single" w:sz="8" w:space="0" w:color="auto"/>
              <w:bottom w:val="single" w:sz="8" w:space="0" w:color="auto"/>
              <w:right w:val="single" w:sz="8" w:space="0" w:color="auto"/>
            </w:tcBorders>
            <w:shd w:val="clear" w:color="auto" w:fill="auto"/>
            <w:vAlign w:val="center"/>
            <w:hideMark/>
          </w:tcPr>
          <w:p w14:paraId="5FF9CD66" w14:textId="77777777" w:rsidR="009A4C46" w:rsidRPr="00F94FED" w:rsidRDefault="009A4C46" w:rsidP="005C3ACA">
            <w:pPr>
              <w:spacing w:after="0" w:line="240" w:lineRule="auto"/>
              <w:rPr>
                <w:rFonts w:eastAsia="Times New Roman"/>
                <w:lang w:eastAsia="ru-RU"/>
              </w:rPr>
            </w:pPr>
            <w:r w:rsidRPr="00F94FED">
              <w:rPr>
                <w:rFonts w:eastAsia="Times New Roman"/>
                <w:lang w:eastAsia="ru-RU"/>
              </w:rPr>
              <w:t>от передачи электроэнергии</w:t>
            </w:r>
          </w:p>
        </w:tc>
        <w:tc>
          <w:tcPr>
            <w:tcW w:w="1480" w:type="dxa"/>
            <w:tcBorders>
              <w:top w:val="nil"/>
              <w:left w:val="nil"/>
              <w:bottom w:val="single" w:sz="8" w:space="0" w:color="auto"/>
              <w:right w:val="single" w:sz="8" w:space="0" w:color="auto"/>
            </w:tcBorders>
            <w:shd w:val="clear" w:color="auto" w:fill="auto"/>
            <w:noWrap/>
            <w:vAlign w:val="center"/>
            <w:hideMark/>
          </w:tcPr>
          <w:p w14:paraId="0D49BEAA" w14:textId="77777777" w:rsidR="009A4C46" w:rsidRPr="00F94FED" w:rsidRDefault="009A4C46">
            <w:pPr>
              <w:spacing w:after="0" w:line="240" w:lineRule="auto"/>
              <w:jc w:val="right"/>
              <w:rPr>
                <w:rFonts w:eastAsia="Times New Roman"/>
                <w:lang w:eastAsia="ru-RU"/>
              </w:rPr>
            </w:pPr>
            <w:r w:rsidRPr="00F94FED">
              <w:rPr>
                <w:rFonts w:eastAsia="Times New Roman"/>
                <w:lang w:eastAsia="ru-RU"/>
              </w:rPr>
              <w:t>93 074</w:t>
            </w:r>
          </w:p>
        </w:tc>
        <w:tc>
          <w:tcPr>
            <w:tcW w:w="1480" w:type="dxa"/>
            <w:tcBorders>
              <w:top w:val="nil"/>
              <w:left w:val="nil"/>
              <w:bottom w:val="single" w:sz="8" w:space="0" w:color="auto"/>
              <w:right w:val="single" w:sz="8" w:space="0" w:color="auto"/>
            </w:tcBorders>
            <w:shd w:val="clear" w:color="auto" w:fill="auto"/>
            <w:noWrap/>
            <w:vAlign w:val="center"/>
            <w:hideMark/>
          </w:tcPr>
          <w:p w14:paraId="612435DB" w14:textId="77777777" w:rsidR="009A4C46" w:rsidRPr="00F94FED" w:rsidRDefault="009A4C46">
            <w:pPr>
              <w:spacing w:after="0" w:line="240" w:lineRule="auto"/>
              <w:jc w:val="right"/>
              <w:rPr>
                <w:rFonts w:eastAsia="Times New Roman"/>
                <w:lang w:eastAsia="ru-RU"/>
              </w:rPr>
            </w:pPr>
            <w:r w:rsidRPr="00F94FED">
              <w:rPr>
                <w:rFonts w:eastAsia="Times New Roman"/>
                <w:lang w:eastAsia="ru-RU"/>
              </w:rPr>
              <w:t>165 326</w:t>
            </w:r>
          </w:p>
        </w:tc>
        <w:tc>
          <w:tcPr>
            <w:tcW w:w="1576" w:type="dxa"/>
            <w:tcBorders>
              <w:top w:val="nil"/>
              <w:left w:val="nil"/>
              <w:bottom w:val="single" w:sz="8" w:space="0" w:color="auto"/>
              <w:right w:val="single" w:sz="8" w:space="0" w:color="auto"/>
            </w:tcBorders>
            <w:shd w:val="clear" w:color="auto" w:fill="auto"/>
            <w:noWrap/>
            <w:vAlign w:val="center"/>
            <w:hideMark/>
          </w:tcPr>
          <w:p w14:paraId="4532F1F1" w14:textId="77777777" w:rsidR="009A4C46" w:rsidRPr="00F94FED" w:rsidRDefault="009A4C46">
            <w:pPr>
              <w:spacing w:after="0" w:line="240" w:lineRule="auto"/>
              <w:jc w:val="right"/>
              <w:rPr>
                <w:rFonts w:eastAsia="Times New Roman"/>
                <w:lang w:eastAsia="ru-RU"/>
              </w:rPr>
            </w:pPr>
            <w:r w:rsidRPr="00F94FED">
              <w:rPr>
                <w:rFonts w:eastAsia="Times New Roman"/>
                <w:lang w:eastAsia="ru-RU"/>
              </w:rPr>
              <w:t>72 252</w:t>
            </w:r>
          </w:p>
        </w:tc>
        <w:tc>
          <w:tcPr>
            <w:tcW w:w="1559" w:type="dxa"/>
            <w:tcBorders>
              <w:top w:val="nil"/>
              <w:left w:val="nil"/>
              <w:bottom w:val="single" w:sz="8" w:space="0" w:color="auto"/>
              <w:right w:val="single" w:sz="8" w:space="0" w:color="auto"/>
            </w:tcBorders>
            <w:shd w:val="clear" w:color="auto" w:fill="auto"/>
            <w:noWrap/>
            <w:vAlign w:val="center"/>
            <w:hideMark/>
          </w:tcPr>
          <w:p w14:paraId="4E788D28" w14:textId="77777777" w:rsidR="009A4C46" w:rsidRPr="009A4C46" w:rsidRDefault="009A4C46">
            <w:pPr>
              <w:spacing w:after="0" w:line="240" w:lineRule="auto"/>
              <w:jc w:val="right"/>
              <w:rPr>
                <w:rFonts w:eastAsia="Times New Roman"/>
                <w:sz w:val="18"/>
                <w:szCs w:val="18"/>
                <w:lang w:eastAsia="ru-RU"/>
              </w:rPr>
            </w:pPr>
            <w:r w:rsidRPr="009A4C46">
              <w:rPr>
                <w:rFonts w:eastAsia="Times New Roman"/>
                <w:sz w:val="18"/>
                <w:szCs w:val="18"/>
                <w:lang w:eastAsia="ru-RU"/>
              </w:rPr>
              <w:t>78%</w:t>
            </w:r>
          </w:p>
        </w:tc>
      </w:tr>
      <w:tr w:rsidR="009A4C46" w:rsidRPr="009A4C46" w14:paraId="79982A33" w14:textId="77777777" w:rsidTr="00070F3E">
        <w:trPr>
          <w:trHeight w:val="315"/>
        </w:trPr>
        <w:tc>
          <w:tcPr>
            <w:tcW w:w="3407" w:type="dxa"/>
            <w:tcBorders>
              <w:top w:val="nil"/>
              <w:left w:val="single" w:sz="8" w:space="0" w:color="auto"/>
              <w:bottom w:val="single" w:sz="8" w:space="0" w:color="auto"/>
              <w:right w:val="single" w:sz="8" w:space="0" w:color="auto"/>
            </w:tcBorders>
            <w:shd w:val="clear" w:color="auto" w:fill="auto"/>
            <w:vAlign w:val="center"/>
            <w:hideMark/>
          </w:tcPr>
          <w:p w14:paraId="0CFCB89A" w14:textId="77777777" w:rsidR="009A4C46" w:rsidRPr="00F94FED" w:rsidRDefault="009A4C46" w:rsidP="005C3ACA">
            <w:pPr>
              <w:spacing w:after="0" w:line="240" w:lineRule="auto"/>
              <w:rPr>
                <w:rFonts w:eastAsia="Times New Roman"/>
                <w:lang w:eastAsia="ru-RU"/>
              </w:rPr>
            </w:pPr>
            <w:r w:rsidRPr="00F94FED">
              <w:rPr>
                <w:rFonts w:eastAsia="Times New Roman"/>
                <w:lang w:eastAsia="ru-RU"/>
              </w:rPr>
              <w:t xml:space="preserve">от техприсоединения </w:t>
            </w:r>
          </w:p>
        </w:tc>
        <w:tc>
          <w:tcPr>
            <w:tcW w:w="1480" w:type="dxa"/>
            <w:tcBorders>
              <w:top w:val="nil"/>
              <w:left w:val="nil"/>
              <w:bottom w:val="single" w:sz="8" w:space="0" w:color="auto"/>
              <w:right w:val="single" w:sz="8" w:space="0" w:color="auto"/>
            </w:tcBorders>
            <w:shd w:val="clear" w:color="auto" w:fill="auto"/>
            <w:noWrap/>
            <w:vAlign w:val="center"/>
            <w:hideMark/>
          </w:tcPr>
          <w:p w14:paraId="56429947" w14:textId="77777777" w:rsidR="009A4C46" w:rsidRPr="00F94FED" w:rsidRDefault="009A4C46">
            <w:pPr>
              <w:spacing w:after="0" w:line="240" w:lineRule="auto"/>
              <w:jc w:val="right"/>
              <w:rPr>
                <w:rFonts w:eastAsia="Times New Roman"/>
                <w:lang w:eastAsia="ru-RU"/>
              </w:rPr>
            </w:pPr>
            <w:r w:rsidRPr="00F94FED">
              <w:rPr>
                <w:rFonts w:eastAsia="Times New Roman"/>
                <w:lang w:eastAsia="ru-RU"/>
              </w:rPr>
              <w:t>1 221</w:t>
            </w:r>
          </w:p>
        </w:tc>
        <w:tc>
          <w:tcPr>
            <w:tcW w:w="1480" w:type="dxa"/>
            <w:tcBorders>
              <w:top w:val="nil"/>
              <w:left w:val="nil"/>
              <w:bottom w:val="single" w:sz="8" w:space="0" w:color="auto"/>
              <w:right w:val="single" w:sz="8" w:space="0" w:color="auto"/>
            </w:tcBorders>
            <w:shd w:val="clear" w:color="auto" w:fill="auto"/>
            <w:noWrap/>
            <w:vAlign w:val="center"/>
            <w:hideMark/>
          </w:tcPr>
          <w:p w14:paraId="53FF2581" w14:textId="77777777" w:rsidR="009A4C46" w:rsidRPr="00F94FED" w:rsidRDefault="009A4C46">
            <w:pPr>
              <w:spacing w:after="0" w:line="240" w:lineRule="auto"/>
              <w:jc w:val="right"/>
              <w:rPr>
                <w:rFonts w:eastAsia="Times New Roman"/>
                <w:lang w:eastAsia="ru-RU"/>
              </w:rPr>
            </w:pPr>
            <w:r w:rsidRPr="00F94FED">
              <w:rPr>
                <w:rFonts w:eastAsia="Times New Roman"/>
                <w:lang w:eastAsia="ru-RU"/>
              </w:rPr>
              <w:t>1 409</w:t>
            </w:r>
          </w:p>
        </w:tc>
        <w:tc>
          <w:tcPr>
            <w:tcW w:w="1576" w:type="dxa"/>
            <w:tcBorders>
              <w:top w:val="nil"/>
              <w:left w:val="nil"/>
              <w:bottom w:val="single" w:sz="8" w:space="0" w:color="auto"/>
              <w:right w:val="single" w:sz="8" w:space="0" w:color="auto"/>
            </w:tcBorders>
            <w:shd w:val="clear" w:color="auto" w:fill="auto"/>
            <w:noWrap/>
            <w:vAlign w:val="center"/>
            <w:hideMark/>
          </w:tcPr>
          <w:p w14:paraId="7E4EA5EB" w14:textId="77777777" w:rsidR="009A4C46" w:rsidRPr="00F94FED" w:rsidRDefault="009A4C46">
            <w:pPr>
              <w:spacing w:after="0" w:line="240" w:lineRule="auto"/>
              <w:jc w:val="right"/>
              <w:rPr>
                <w:rFonts w:eastAsia="Times New Roman"/>
                <w:lang w:eastAsia="ru-RU"/>
              </w:rPr>
            </w:pPr>
            <w:r w:rsidRPr="00F94FED">
              <w:rPr>
                <w:rFonts w:eastAsia="Times New Roman"/>
                <w:lang w:eastAsia="ru-RU"/>
              </w:rPr>
              <w:t>188</w:t>
            </w:r>
          </w:p>
        </w:tc>
        <w:tc>
          <w:tcPr>
            <w:tcW w:w="1559" w:type="dxa"/>
            <w:tcBorders>
              <w:top w:val="nil"/>
              <w:left w:val="nil"/>
              <w:bottom w:val="single" w:sz="8" w:space="0" w:color="auto"/>
              <w:right w:val="single" w:sz="8" w:space="0" w:color="auto"/>
            </w:tcBorders>
            <w:shd w:val="clear" w:color="auto" w:fill="auto"/>
            <w:noWrap/>
            <w:vAlign w:val="center"/>
            <w:hideMark/>
          </w:tcPr>
          <w:p w14:paraId="2A402354" w14:textId="77777777" w:rsidR="009A4C46" w:rsidRPr="009A4C46" w:rsidRDefault="009A4C46">
            <w:pPr>
              <w:spacing w:after="0" w:line="240" w:lineRule="auto"/>
              <w:jc w:val="right"/>
              <w:rPr>
                <w:rFonts w:eastAsia="Times New Roman"/>
                <w:sz w:val="18"/>
                <w:szCs w:val="18"/>
                <w:lang w:eastAsia="ru-RU"/>
              </w:rPr>
            </w:pPr>
            <w:r w:rsidRPr="009A4C46">
              <w:rPr>
                <w:rFonts w:eastAsia="Times New Roman"/>
                <w:sz w:val="18"/>
                <w:szCs w:val="18"/>
                <w:lang w:eastAsia="ru-RU"/>
              </w:rPr>
              <w:t>15%</w:t>
            </w:r>
          </w:p>
        </w:tc>
      </w:tr>
      <w:tr w:rsidR="009A4C46" w:rsidRPr="009A4C46" w14:paraId="67045600" w14:textId="77777777" w:rsidTr="00070F3E">
        <w:trPr>
          <w:trHeight w:val="315"/>
        </w:trPr>
        <w:tc>
          <w:tcPr>
            <w:tcW w:w="3407" w:type="dxa"/>
            <w:tcBorders>
              <w:top w:val="nil"/>
              <w:left w:val="single" w:sz="8" w:space="0" w:color="auto"/>
              <w:bottom w:val="single" w:sz="8" w:space="0" w:color="auto"/>
              <w:right w:val="single" w:sz="8" w:space="0" w:color="auto"/>
            </w:tcBorders>
            <w:shd w:val="clear" w:color="auto" w:fill="auto"/>
            <w:vAlign w:val="center"/>
            <w:hideMark/>
          </w:tcPr>
          <w:p w14:paraId="5D97DAD1" w14:textId="77777777" w:rsidR="009A4C46" w:rsidRPr="00F94FED" w:rsidRDefault="009A4C46" w:rsidP="005C3ACA">
            <w:pPr>
              <w:spacing w:after="0" w:line="240" w:lineRule="auto"/>
              <w:rPr>
                <w:rFonts w:eastAsia="Times New Roman"/>
                <w:lang w:eastAsia="ru-RU"/>
              </w:rPr>
            </w:pPr>
            <w:r w:rsidRPr="00F94FED">
              <w:rPr>
                <w:rFonts w:eastAsia="Times New Roman"/>
                <w:lang w:eastAsia="ru-RU"/>
              </w:rPr>
              <w:t>от  прочей продукции</w:t>
            </w:r>
          </w:p>
        </w:tc>
        <w:tc>
          <w:tcPr>
            <w:tcW w:w="1480" w:type="dxa"/>
            <w:tcBorders>
              <w:top w:val="nil"/>
              <w:left w:val="nil"/>
              <w:bottom w:val="single" w:sz="8" w:space="0" w:color="auto"/>
              <w:right w:val="single" w:sz="8" w:space="0" w:color="auto"/>
            </w:tcBorders>
            <w:shd w:val="clear" w:color="auto" w:fill="auto"/>
            <w:noWrap/>
            <w:vAlign w:val="center"/>
            <w:hideMark/>
          </w:tcPr>
          <w:p w14:paraId="25B25A2C" w14:textId="77777777" w:rsidR="009A4C46" w:rsidRPr="00F94FED" w:rsidRDefault="009A4C46">
            <w:pPr>
              <w:spacing w:after="0" w:line="240" w:lineRule="auto"/>
              <w:jc w:val="right"/>
              <w:rPr>
                <w:rFonts w:eastAsia="Times New Roman"/>
                <w:lang w:eastAsia="ru-RU"/>
              </w:rPr>
            </w:pPr>
            <w:r w:rsidRPr="00F94FED">
              <w:rPr>
                <w:rFonts w:eastAsia="Times New Roman"/>
                <w:lang w:eastAsia="ru-RU"/>
              </w:rPr>
              <w:t>0</w:t>
            </w:r>
          </w:p>
        </w:tc>
        <w:tc>
          <w:tcPr>
            <w:tcW w:w="1480" w:type="dxa"/>
            <w:tcBorders>
              <w:top w:val="nil"/>
              <w:left w:val="nil"/>
              <w:bottom w:val="single" w:sz="8" w:space="0" w:color="auto"/>
              <w:right w:val="single" w:sz="8" w:space="0" w:color="auto"/>
            </w:tcBorders>
            <w:shd w:val="clear" w:color="auto" w:fill="auto"/>
            <w:noWrap/>
            <w:vAlign w:val="center"/>
            <w:hideMark/>
          </w:tcPr>
          <w:p w14:paraId="463A0015" w14:textId="77777777" w:rsidR="009A4C46" w:rsidRPr="00F94FED" w:rsidRDefault="009A4C46">
            <w:pPr>
              <w:spacing w:after="0" w:line="240" w:lineRule="auto"/>
              <w:jc w:val="right"/>
              <w:rPr>
                <w:rFonts w:eastAsia="Times New Roman"/>
                <w:lang w:eastAsia="ru-RU"/>
              </w:rPr>
            </w:pPr>
            <w:r w:rsidRPr="00F94FED">
              <w:rPr>
                <w:rFonts w:eastAsia="Times New Roman"/>
                <w:lang w:eastAsia="ru-RU"/>
              </w:rPr>
              <w:t>57 319</w:t>
            </w:r>
          </w:p>
        </w:tc>
        <w:tc>
          <w:tcPr>
            <w:tcW w:w="1576" w:type="dxa"/>
            <w:tcBorders>
              <w:top w:val="nil"/>
              <w:left w:val="nil"/>
              <w:bottom w:val="single" w:sz="8" w:space="0" w:color="auto"/>
              <w:right w:val="single" w:sz="8" w:space="0" w:color="auto"/>
            </w:tcBorders>
            <w:shd w:val="clear" w:color="auto" w:fill="auto"/>
            <w:noWrap/>
            <w:vAlign w:val="center"/>
            <w:hideMark/>
          </w:tcPr>
          <w:p w14:paraId="3A220503" w14:textId="77777777" w:rsidR="009A4C46" w:rsidRPr="00F94FED" w:rsidRDefault="009A4C46">
            <w:pPr>
              <w:spacing w:after="0" w:line="240" w:lineRule="auto"/>
              <w:jc w:val="right"/>
              <w:rPr>
                <w:rFonts w:eastAsia="Times New Roman"/>
                <w:lang w:eastAsia="ru-RU"/>
              </w:rPr>
            </w:pPr>
            <w:r w:rsidRPr="00F94FED">
              <w:rPr>
                <w:rFonts w:eastAsia="Times New Roman"/>
                <w:lang w:eastAsia="ru-RU"/>
              </w:rPr>
              <w:t>57 319</w:t>
            </w:r>
          </w:p>
        </w:tc>
        <w:tc>
          <w:tcPr>
            <w:tcW w:w="1559" w:type="dxa"/>
            <w:tcBorders>
              <w:top w:val="nil"/>
              <w:left w:val="nil"/>
              <w:bottom w:val="single" w:sz="8" w:space="0" w:color="auto"/>
              <w:right w:val="single" w:sz="8" w:space="0" w:color="auto"/>
            </w:tcBorders>
            <w:shd w:val="clear" w:color="auto" w:fill="auto"/>
            <w:noWrap/>
            <w:vAlign w:val="center"/>
            <w:hideMark/>
          </w:tcPr>
          <w:p w14:paraId="462726B2" w14:textId="77777777" w:rsidR="009A4C46" w:rsidRPr="009A4C46" w:rsidRDefault="009A4C46">
            <w:pPr>
              <w:spacing w:after="0" w:line="240" w:lineRule="auto"/>
              <w:jc w:val="right"/>
              <w:rPr>
                <w:rFonts w:eastAsia="Times New Roman"/>
                <w:sz w:val="18"/>
                <w:szCs w:val="18"/>
                <w:lang w:eastAsia="ru-RU"/>
              </w:rPr>
            </w:pPr>
            <w:r w:rsidRPr="009A4C46">
              <w:rPr>
                <w:rFonts w:eastAsia="Times New Roman"/>
                <w:sz w:val="18"/>
                <w:szCs w:val="18"/>
                <w:lang w:eastAsia="ru-RU"/>
              </w:rPr>
              <w:t> </w:t>
            </w:r>
          </w:p>
        </w:tc>
      </w:tr>
      <w:tr w:rsidR="009A4C46" w:rsidRPr="009A4C46" w14:paraId="108C1BF0" w14:textId="77777777" w:rsidTr="00070F3E">
        <w:trPr>
          <w:trHeight w:val="315"/>
        </w:trPr>
        <w:tc>
          <w:tcPr>
            <w:tcW w:w="3407" w:type="dxa"/>
            <w:tcBorders>
              <w:top w:val="nil"/>
              <w:left w:val="single" w:sz="8" w:space="0" w:color="auto"/>
              <w:bottom w:val="single" w:sz="8" w:space="0" w:color="auto"/>
              <w:right w:val="single" w:sz="8" w:space="0" w:color="auto"/>
            </w:tcBorders>
            <w:shd w:val="clear" w:color="auto" w:fill="auto"/>
            <w:vAlign w:val="center"/>
            <w:hideMark/>
          </w:tcPr>
          <w:p w14:paraId="2C6427F3" w14:textId="77777777" w:rsidR="009A4C46" w:rsidRPr="00F94FED" w:rsidRDefault="009A4C46" w:rsidP="005C3ACA">
            <w:pPr>
              <w:spacing w:after="0" w:line="240" w:lineRule="auto"/>
              <w:rPr>
                <w:rFonts w:eastAsia="Times New Roman"/>
                <w:lang w:eastAsia="ru-RU"/>
              </w:rPr>
            </w:pPr>
            <w:r w:rsidRPr="00F94FED">
              <w:rPr>
                <w:rFonts w:eastAsia="Times New Roman"/>
                <w:lang w:eastAsia="ru-RU"/>
              </w:rPr>
              <w:t>Прочие расходы</w:t>
            </w:r>
          </w:p>
        </w:tc>
        <w:tc>
          <w:tcPr>
            <w:tcW w:w="1480" w:type="dxa"/>
            <w:tcBorders>
              <w:top w:val="nil"/>
              <w:left w:val="nil"/>
              <w:bottom w:val="single" w:sz="8" w:space="0" w:color="auto"/>
              <w:right w:val="single" w:sz="8" w:space="0" w:color="auto"/>
            </w:tcBorders>
            <w:shd w:val="clear" w:color="auto" w:fill="auto"/>
            <w:noWrap/>
            <w:vAlign w:val="center"/>
            <w:hideMark/>
          </w:tcPr>
          <w:p w14:paraId="195D68FA" w14:textId="77777777" w:rsidR="009A4C46" w:rsidRPr="00F94FED" w:rsidRDefault="009A4C46">
            <w:pPr>
              <w:spacing w:after="0" w:line="240" w:lineRule="auto"/>
              <w:jc w:val="right"/>
              <w:rPr>
                <w:rFonts w:eastAsia="Times New Roman"/>
                <w:lang w:eastAsia="ru-RU"/>
              </w:rPr>
            </w:pPr>
            <w:r w:rsidRPr="00F94FED">
              <w:rPr>
                <w:rFonts w:eastAsia="Times New Roman"/>
                <w:lang w:eastAsia="ru-RU"/>
              </w:rPr>
              <w:t>401 599</w:t>
            </w:r>
          </w:p>
        </w:tc>
        <w:tc>
          <w:tcPr>
            <w:tcW w:w="1480" w:type="dxa"/>
            <w:tcBorders>
              <w:top w:val="nil"/>
              <w:left w:val="nil"/>
              <w:bottom w:val="single" w:sz="8" w:space="0" w:color="auto"/>
              <w:right w:val="single" w:sz="8" w:space="0" w:color="auto"/>
            </w:tcBorders>
            <w:shd w:val="clear" w:color="auto" w:fill="auto"/>
            <w:noWrap/>
            <w:vAlign w:val="center"/>
            <w:hideMark/>
          </w:tcPr>
          <w:p w14:paraId="2F90EE2D" w14:textId="77777777" w:rsidR="009A4C46" w:rsidRPr="00F94FED" w:rsidRDefault="009A4C46">
            <w:pPr>
              <w:spacing w:after="0" w:line="240" w:lineRule="auto"/>
              <w:jc w:val="right"/>
              <w:rPr>
                <w:rFonts w:eastAsia="Times New Roman"/>
                <w:lang w:eastAsia="ru-RU"/>
              </w:rPr>
            </w:pPr>
            <w:r w:rsidRPr="00F94FED">
              <w:rPr>
                <w:rFonts w:eastAsia="Times New Roman"/>
                <w:lang w:eastAsia="ru-RU"/>
              </w:rPr>
              <w:t>1 592 112</w:t>
            </w:r>
          </w:p>
        </w:tc>
        <w:tc>
          <w:tcPr>
            <w:tcW w:w="1576" w:type="dxa"/>
            <w:tcBorders>
              <w:top w:val="nil"/>
              <w:left w:val="nil"/>
              <w:bottom w:val="single" w:sz="8" w:space="0" w:color="auto"/>
              <w:right w:val="single" w:sz="8" w:space="0" w:color="auto"/>
            </w:tcBorders>
            <w:shd w:val="clear" w:color="auto" w:fill="auto"/>
            <w:noWrap/>
            <w:vAlign w:val="center"/>
            <w:hideMark/>
          </w:tcPr>
          <w:p w14:paraId="660E0664" w14:textId="77777777" w:rsidR="009A4C46" w:rsidRPr="00F94FED" w:rsidRDefault="009A4C46">
            <w:pPr>
              <w:spacing w:after="0" w:line="240" w:lineRule="auto"/>
              <w:jc w:val="right"/>
              <w:rPr>
                <w:rFonts w:eastAsia="Times New Roman"/>
                <w:lang w:eastAsia="ru-RU"/>
              </w:rPr>
            </w:pPr>
            <w:r w:rsidRPr="00F94FED">
              <w:rPr>
                <w:rFonts w:eastAsia="Times New Roman"/>
                <w:lang w:eastAsia="ru-RU"/>
              </w:rPr>
              <w:t>1 190 513</w:t>
            </w:r>
          </w:p>
        </w:tc>
        <w:tc>
          <w:tcPr>
            <w:tcW w:w="1559" w:type="dxa"/>
            <w:tcBorders>
              <w:top w:val="nil"/>
              <w:left w:val="nil"/>
              <w:bottom w:val="single" w:sz="8" w:space="0" w:color="auto"/>
              <w:right w:val="single" w:sz="8" w:space="0" w:color="auto"/>
            </w:tcBorders>
            <w:shd w:val="clear" w:color="auto" w:fill="auto"/>
            <w:noWrap/>
            <w:vAlign w:val="center"/>
            <w:hideMark/>
          </w:tcPr>
          <w:p w14:paraId="4318268F" w14:textId="77777777" w:rsidR="009A4C46" w:rsidRPr="009A4C46" w:rsidRDefault="009A4C46">
            <w:pPr>
              <w:spacing w:after="0" w:line="240" w:lineRule="auto"/>
              <w:jc w:val="right"/>
              <w:rPr>
                <w:rFonts w:eastAsia="Times New Roman"/>
                <w:sz w:val="18"/>
                <w:szCs w:val="18"/>
                <w:lang w:eastAsia="ru-RU"/>
              </w:rPr>
            </w:pPr>
            <w:r w:rsidRPr="009A4C46">
              <w:rPr>
                <w:rFonts w:eastAsia="Times New Roman"/>
                <w:sz w:val="18"/>
                <w:szCs w:val="18"/>
                <w:lang w:eastAsia="ru-RU"/>
              </w:rPr>
              <w:t>296%</w:t>
            </w:r>
          </w:p>
        </w:tc>
      </w:tr>
      <w:tr w:rsidR="009A4C46" w:rsidRPr="009A4C46" w14:paraId="51CCD5A3" w14:textId="77777777" w:rsidTr="00070F3E">
        <w:trPr>
          <w:trHeight w:val="315"/>
        </w:trPr>
        <w:tc>
          <w:tcPr>
            <w:tcW w:w="3407" w:type="dxa"/>
            <w:tcBorders>
              <w:top w:val="nil"/>
              <w:left w:val="single" w:sz="8" w:space="0" w:color="auto"/>
              <w:bottom w:val="single" w:sz="8" w:space="0" w:color="auto"/>
              <w:right w:val="single" w:sz="8" w:space="0" w:color="auto"/>
            </w:tcBorders>
            <w:shd w:val="clear" w:color="auto" w:fill="auto"/>
            <w:vAlign w:val="center"/>
            <w:hideMark/>
          </w:tcPr>
          <w:p w14:paraId="6A186D73" w14:textId="77777777" w:rsidR="009A4C46" w:rsidRPr="00F94FED" w:rsidRDefault="009A4C46" w:rsidP="005C3ACA">
            <w:pPr>
              <w:spacing w:after="0" w:line="240" w:lineRule="auto"/>
              <w:rPr>
                <w:rFonts w:eastAsia="Times New Roman"/>
                <w:lang w:eastAsia="ru-RU"/>
              </w:rPr>
            </w:pPr>
            <w:r w:rsidRPr="00F94FED">
              <w:rPr>
                <w:rFonts w:eastAsia="Times New Roman"/>
                <w:lang w:eastAsia="ru-RU"/>
              </w:rPr>
              <w:t xml:space="preserve">в том числе </w:t>
            </w:r>
          </w:p>
        </w:tc>
        <w:tc>
          <w:tcPr>
            <w:tcW w:w="1480" w:type="dxa"/>
            <w:tcBorders>
              <w:top w:val="nil"/>
              <w:left w:val="nil"/>
              <w:bottom w:val="single" w:sz="8" w:space="0" w:color="auto"/>
              <w:right w:val="single" w:sz="8" w:space="0" w:color="auto"/>
            </w:tcBorders>
            <w:shd w:val="clear" w:color="auto" w:fill="auto"/>
            <w:noWrap/>
            <w:vAlign w:val="center"/>
            <w:hideMark/>
          </w:tcPr>
          <w:p w14:paraId="462BB582" w14:textId="77777777" w:rsidR="009A4C46" w:rsidRPr="00F94FED" w:rsidRDefault="009A4C46">
            <w:pPr>
              <w:spacing w:after="0" w:line="240" w:lineRule="auto"/>
              <w:rPr>
                <w:rFonts w:eastAsia="Times New Roman"/>
                <w:lang w:eastAsia="ru-RU"/>
              </w:rPr>
            </w:pPr>
            <w:r w:rsidRPr="00F94FED">
              <w:rPr>
                <w:rFonts w:eastAsia="Times New Roman"/>
                <w:lang w:eastAsia="ru-RU"/>
              </w:rPr>
              <w:t> </w:t>
            </w:r>
          </w:p>
        </w:tc>
        <w:tc>
          <w:tcPr>
            <w:tcW w:w="1480" w:type="dxa"/>
            <w:tcBorders>
              <w:top w:val="nil"/>
              <w:left w:val="nil"/>
              <w:bottom w:val="single" w:sz="8" w:space="0" w:color="auto"/>
              <w:right w:val="single" w:sz="8" w:space="0" w:color="auto"/>
            </w:tcBorders>
            <w:shd w:val="clear" w:color="auto" w:fill="auto"/>
            <w:noWrap/>
            <w:vAlign w:val="center"/>
            <w:hideMark/>
          </w:tcPr>
          <w:p w14:paraId="15DF292D" w14:textId="77777777" w:rsidR="009A4C46" w:rsidRPr="00F94FED" w:rsidRDefault="009A4C46">
            <w:pPr>
              <w:spacing w:after="0" w:line="240" w:lineRule="auto"/>
              <w:rPr>
                <w:rFonts w:eastAsia="Times New Roman"/>
                <w:lang w:eastAsia="ru-RU"/>
              </w:rPr>
            </w:pPr>
            <w:r w:rsidRPr="00F94FED">
              <w:rPr>
                <w:rFonts w:eastAsia="Times New Roman"/>
                <w:lang w:eastAsia="ru-RU"/>
              </w:rPr>
              <w:t> </w:t>
            </w:r>
          </w:p>
        </w:tc>
        <w:tc>
          <w:tcPr>
            <w:tcW w:w="1576" w:type="dxa"/>
            <w:tcBorders>
              <w:top w:val="nil"/>
              <w:left w:val="nil"/>
              <w:bottom w:val="single" w:sz="8" w:space="0" w:color="auto"/>
              <w:right w:val="single" w:sz="8" w:space="0" w:color="auto"/>
            </w:tcBorders>
            <w:shd w:val="clear" w:color="auto" w:fill="auto"/>
            <w:noWrap/>
            <w:vAlign w:val="center"/>
            <w:hideMark/>
          </w:tcPr>
          <w:p w14:paraId="2D3B5ADF" w14:textId="77777777" w:rsidR="009A4C46" w:rsidRPr="00F94FED" w:rsidRDefault="009A4C46">
            <w:pPr>
              <w:spacing w:after="0" w:line="240" w:lineRule="auto"/>
              <w:jc w:val="right"/>
              <w:rPr>
                <w:rFonts w:eastAsia="Times New Roman"/>
                <w:lang w:eastAsia="ru-RU"/>
              </w:rPr>
            </w:pPr>
            <w:r w:rsidRPr="00F94FED">
              <w:rPr>
                <w:rFonts w:eastAsia="Times New Roman"/>
                <w:lang w:eastAsia="ru-RU"/>
              </w:rPr>
              <w:t>0</w:t>
            </w:r>
          </w:p>
        </w:tc>
        <w:tc>
          <w:tcPr>
            <w:tcW w:w="1559" w:type="dxa"/>
            <w:tcBorders>
              <w:top w:val="nil"/>
              <w:left w:val="nil"/>
              <w:bottom w:val="single" w:sz="8" w:space="0" w:color="auto"/>
              <w:right w:val="single" w:sz="8" w:space="0" w:color="auto"/>
            </w:tcBorders>
            <w:shd w:val="clear" w:color="auto" w:fill="auto"/>
            <w:noWrap/>
            <w:vAlign w:val="center"/>
            <w:hideMark/>
          </w:tcPr>
          <w:p w14:paraId="5919E757" w14:textId="77777777" w:rsidR="009A4C46" w:rsidRPr="009A4C46" w:rsidRDefault="009A4C46">
            <w:pPr>
              <w:spacing w:after="0" w:line="240" w:lineRule="auto"/>
              <w:rPr>
                <w:rFonts w:eastAsia="Times New Roman"/>
                <w:sz w:val="18"/>
                <w:szCs w:val="18"/>
                <w:lang w:eastAsia="ru-RU"/>
              </w:rPr>
            </w:pPr>
            <w:r w:rsidRPr="009A4C46">
              <w:rPr>
                <w:rFonts w:eastAsia="Times New Roman"/>
                <w:sz w:val="18"/>
                <w:szCs w:val="18"/>
                <w:lang w:eastAsia="ru-RU"/>
              </w:rPr>
              <w:t> </w:t>
            </w:r>
          </w:p>
        </w:tc>
      </w:tr>
      <w:tr w:rsidR="009A4C46" w:rsidRPr="009A4C46" w14:paraId="5191E035" w14:textId="77777777" w:rsidTr="00070F3E">
        <w:trPr>
          <w:trHeight w:val="315"/>
        </w:trPr>
        <w:tc>
          <w:tcPr>
            <w:tcW w:w="3407" w:type="dxa"/>
            <w:tcBorders>
              <w:top w:val="nil"/>
              <w:left w:val="single" w:sz="8" w:space="0" w:color="auto"/>
              <w:bottom w:val="single" w:sz="8" w:space="0" w:color="auto"/>
              <w:right w:val="single" w:sz="8" w:space="0" w:color="auto"/>
            </w:tcBorders>
            <w:shd w:val="clear" w:color="auto" w:fill="auto"/>
            <w:vAlign w:val="center"/>
            <w:hideMark/>
          </w:tcPr>
          <w:p w14:paraId="3A2CB0AC" w14:textId="77777777" w:rsidR="009A4C46" w:rsidRPr="00F94FED" w:rsidRDefault="009A4C46" w:rsidP="005C3ACA">
            <w:pPr>
              <w:spacing w:after="0" w:line="240" w:lineRule="auto"/>
              <w:rPr>
                <w:rFonts w:eastAsia="Times New Roman"/>
                <w:lang w:eastAsia="ru-RU"/>
              </w:rPr>
            </w:pPr>
            <w:r w:rsidRPr="00F94FED">
              <w:rPr>
                <w:rFonts w:eastAsia="Times New Roman"/>
                <w:lang w:eastAsia="ru-RU"/>
              </w:rPr>
              <w:t>от передачи электроэнергии</w:t>
            </w:r>
          </w:p>
        </w:tc>
        <w:tc>
          <w:tcPr>
            <w:tcW w:w="1480" w:type="dxa"/>
            <w:tcBorders>
              <w:top w:val="nil"/>
              <w:left w:val="nil"/>
              <w:bottom w:val="single" w:sz="8" w:space="0" w:color="auto"/>
              <w:right w:val="single" w:sz="8" w:space="0" w:color="auto"/>
            </w:tcBorders>
            <w:shd w:val="clear" w:color="auto" w:fill="auto"/>
            <w:noWrap/>
            <w:vAlign w:val="center"/>
            <w:hideMark/>
          </w:tcPr>
          <w:p w14:paraId="5F8283E2" w14:textId="77777777" w:rsidR="009A4C46" w:rsidRPr="00F94FED" w:rsidRDefault="009A4C46">
            <w:pPr>
              <w:spacing w:after="0" w:line="240" w:lineRule="auto"/>
              <w:jc w:val="right"/>
              <w:rPr>
                <w:rFonts w:eastAsia="Times New Roman"/>
                <w:lang w:eastAsia="ru-RU"/>
              </w:rPr>
            </w:pPr>
            <w:r w:rsidRPr="00F94FED">
              <w:rPr>
                <w:rFonts w:eastAsia="Times New Roman"/>
                <w:lang w:eastAsia="ru-RU"/>
              </w:rPr>
              <w:t>400 059</w:t>
            </w:r>
          </w:p>
        </w:tc>
        <w:tc>
          <w:tcPr>
            <w:tcW w:w="1480" w:type="dxa"/>
            <w:tcBorders>
              <w:top w:val="nil"/>
              <w:left w:val="nil"/>
              <w:bottom w:val="single" w:sz="8" w:space="0" w:color="auto"/>
              <w:right w:val="single" w:sz="8" w:space="0" w:color="auto"/>
            </w:tcBorders>
            <w:shd w:val="clear" w:color="auto" w:fill="auto"/>
            <w:noWrap/>
            <w:vAlign w:val="center"/>
            <w:hideMark/>
          </w:tcPr>
          <w:p w14:paraId="2D0A674B" w14:textId="77777777" w:rsidR="009A4C46" w:rsidRPr="00F94FED" w:rsidRDefault="009A4C46">
            <w:pPr>
              <w:spacing w:after="0" w:line="240" w:lineRule="auto"/>
              <w:jc w:val="right"/>
              <w:rPr>
                <w:rFonts w:eastAsia="Times New Roman"/>
                <w:lang w:eastAsia="ru-RU"/>
              </w:rPr>
            </w:pPr>
            <w:r w:rsidRPr="00F94FED">
              <w:rPr>
                <w:rFonts w:eastAsia="Times New Roman"/>
                <w:lang w:eastAsia="ru-RU"/>
              </w:rPr>
              <w:t>1 531 901</w:t>
            </w:r>
          </w:p>
        </w:tc>
        <w:tc>
          <w:tcPr>
            <w:tcW w:w="1576" w:type="dxa"/>
            <w:tcBorders>
              <w:top w:val="nil"/>
              <w:left w:val="nil"/>
              <w:bottom w:val="single" w:sz="8" w:space="0" w:color="auto"/>
              <w:right w:val="single" w:sz="8" w:space="0" w:color="auto"/>
            </w:tcBorders>
            <w:shd w:val="clear" w:color="auto" w:fill="auto"/>
            <w:noWrap/>
            <w:vAlign w:val="center"/>
            <w:hideMark/>
          </w:tcPr>
          <w:p w14:paraId="03297B32" w14:textId="77777777" w:rsidR="009A4C46" w:rsidRPr="00F94FED" w:rsidRDefault="009A4C46">
            <w:pPr>
              <w:spacing w:after="0" w:line="240" w:lineRule="auto"/>
              <w:jc w:val="right"/>
              <w:rPr>
                <w:rFonts w:eastAsia="Times New Roman"/>
                <w:lang w:eastAsia="ru-RU"/>
              </w:rPr>
            </w:pPr>
            <w:r w:rsidRPr="00F94FED">
              <w:rPr>
                <w:rFonts w:eastAsia="Times New Roman"/>
                <w:lang w:eastAsia="ru-RU"/>
              </w:rPr>
              <w:t>1 131 842</w:t>
            </w:r>
          </w:p>
        </w:tc>
        <w:tc>
          <w:tcPr>
            <w:tcW w:w="1559" w:type="dxa"/>
            <w:tcBorders>
              <w:top w:val="nil"/>
              <w:left w:val="nil"/>
              <w:bottom w:val="single" w:sz="8" w:space="0" w:color="auto"/>
              <w:right w:val="single" w:sz="8" w:space="0" w:color="auto"/>
            </w:tcBorders>
            <w:shd w:val="clear" w:color="auto" w:fill="auto"/>
            <w:noWrap/>
            <w:vAlign w:val="center"/>
            <w:hideMark/>
          </w:tcPr>
          <w:p w14:paraId="6967E38F" w14:textId="77777777" w:rsidR="009A4C46" w:rsidRPr="009A4C46" w:rsidRDefault="009A4C46">
            <w:pPr>
              <w:spacing w:after="0" w:line="240" w:lineRule="auto"/>
              <w:jc w:val="right"/>
              <w:rPr>
                <w:rFonts w:eastAsia="Times New Roman"/>
                <w:sz w:val="18"/>
                <w:szCs w:val="18"/>
                <w:lang w:eastAsia="ru-RU"/>
              </w:rPr>
            </w:pPr>
            <w:r w:rsidRPr="009A4C46">
              <w:rPr>
                <w:rFonts w:eastAsia="Times New Roman"/>
                <w:sz w:val="18"/>
                <w:szCs w:val="18"/>
                <w:lang w:eastAsia="ru-RU"/>
              </w:rPr>
              <w:t>283%</w:t>
            </w:r>
          </w:p>
        </w:tc>
      </w:tr>
      <w:tr w:rsidR="009A4C46" w:rsidRPr="009A4C46" w14:paraId="65CDD6A3" w14:textId="77777777" w:rsidTr="00070F3E">
        <w:trPr>
          <w:trHeight w:val="315"/>
        </w:trPr>
        <w:tc>
          <w:tcPr>
            <w:tcW w:w="3407" w:type="dxa"/>
            <w:tcBorders>
              <w:top w:val="nil"/>
              <w:left w:val="single" w:sz="8" w:space="0" w:color="auto"/>
              <w:bottom w:val="single" w:sz="8" w:space="0" w:color="auto"/>
              <w:right w:val="single" w:sz="8" w:space="0" w:color="auto"/>
            </w:tcBorders>
            <w:shd w:val="clear" w:color="auto" w:fill="auto"/>
            <w:vAlign w:val="center"/>
            <w:hideMark/>
          </w:tcPr>
          <w:p w14:paraId="64533A60" w14:textId="77777777" w:rsidR="009A4C46" w:rsidRPr="00F94FED" w:rsidRDefault="009A4C46" w:rsidP="005C3ACA">
            <w:pPr>
              <w:spacing w:after="0" w:line="240" w:lineRule="auto"/>
              <w:rPr>
                <w:rFonts w:eastAsia="Times New Roman"/>
                <w:lang w:eastAsia="ru-RU"/>
              </w:rPr>
            </w:pPr>
            <w:r w:rsidRPr="00F94FED">
              <w:rPr>
                <w:rFonts w:eastAsia="Times New Roman"/>
                <w:lang w:eastAsia="ru-RU"/>
              </w:rPr>
              <w:t xml:space="preserve">от техприсоединения </w:t>
            </w:r>
          </w:p>
        </w:tc>
        <w:tc>
          <w:tcPr>
            <w:tcW w:w="1480" w:type="dxa"/>
            <w:tcBorders>
              <w:top w:val="nil"/>
              <w:left w:val="nil"/>
              <w:bottom w:val="single" w:sz="8" w:space="0" w:color="auto"/>
              <w:right w:val="single" w:sz="8" w:space="0" w:color="auto"/>
            </w:tcBorders>
            <w:shd w:val="clear" w:color="auto" w:fill="auto"/>
            <w:noWrap/>
            <w:vAlign w:val="center"/>
            <w:hideMark/>
          </w:tcPr>
          <w:p w14:paraId="67F36F02" w14:textId="77777777" w:rsidR="009A4C46" w:rsidRPr="00F94FED" w:rsidRDefault="009A4C46">
            <w:pPr>
              <w:spacing w:after="0" w:line="240" w:lineRule="auto"/>
              <w:jc w:val="right"/>
              <w:rPr>
                <w:rFonts w:eastAsia="Times New Roman"/>
                <w:lang w:eastAsia="ru-RU"/>
              </w:rPr>
            </w:pPr>
            <w:r w:rsidRPr="00F94FED">
              <w:rPr>
                <w:rFonts w:eastAsia="Times New Roman"/>
                <w:lang w:eastAsia="ru-RU"/>
              </w:rPr>
              <w:t>918</w:t>
            </w:r>
          </w:p>
        </w:tc>
        <w:tc>
          <w:tcPr>
            <w:tcW w:w="1480" w:type="dxa"/>
            <w:tcBorders>
              <w:top w:val="nil"/>
              <w:left w:val="nil"/>
              <w:bottom w:val="single" w:sz="8" w:space="0" w:color="auto"/>
              <w:right w:val="single" w:sz="8" w:space="0" w:color="auto"/>
            </w:tcBorders>
            <w:shd w:val="clear" w:color="auto" w:fill="auto"/>
            <w:noWrap/>
            <w:vAlign w:val="center"/>
            <w:hideMark/>
          </w:tcPr>
          <w:p w14:paraId="00F67C6B" w14:textId="77777777" w:rsidR="009A4C46" w:rsidRPr="00F94FED" w:rsidRDefault="009A4C46">
            <w:pPr>
              <w:spacing w:after="0" w:line="240" w:lineRule="auto"/>
              <w:jc w:val="right"/>
              <w:rPr>
                <w:rFonts w:eastAsia="Times New Roman"/>
                <w:lang w:eastAsia="ru-RU"/>
              </w:rPr>
            </w:pPr>
            <w:r w:rsidRPr="00F94FED">
              <w:rPr>
                <w:rFonts w:eastAsia="Times New Roman"/>
                <w:lang w:eastAsia="ru-RU"/>
              </w:rPr>
              <w:t>2 893</w:t>
            </w:r>
          </w:p>
        </w:tc>
        <w:tc>
          <w:tcPr>
            <w:tcW w:w="1576" w:type="dxa"/>
            <w:tcBorders>
              <w:top w:val="nil"/>
              <w:left w:val="nil"/>
              <w:bottom w:val="single" w:sz="8" w:space="0" w:color="auto"/>
              <w:right w:val="single" w:sz="8" w:space="0" w:color="auto"/>
            </w:tcBorders>
            <w:shd w:val="clear" w:color="auto" w:fill="auto"/>
            <w:noWrap/>
            <w:vAlign w:val="center"/>
            <w:hideMark/>
          </w:tcPr>
          <w:p w14:paraId="0B0FBC70" w14:textId="77777777" w:rsidR="009A4C46" w:rsidRPr="00F94FED" w:rsidRDefault="009A4C46">
            <w:pPr>
              <w:spacing w:after="0" w:line="240" w:lineRule="auto"/>
              <w:jc w:val="right"/>
              <w:rPr>
                <w:rFonts w:eastAsia="Times New Roman"/>
                <w:lang w:eastAsia="ru-RU"/>
              </w:rPr>
            </w:pPr>
            <w:r w:rsidRPr="00F94FED">
              <w:rPr>
                <w:rFonts w:eastAsia="Times New Roman"/>
                <w:lang w:eastAsia="ru-RU"/>
              </w:rPr>
              <w:t>1 974</w:t>
            </w:r>
          </w:p>
        </w:tc>
        <w:tc>
          <w:tcPr>
            <w:tcW w:w="1559" w:type="dxa"/>
            <w:tcBorders>
              <w:top w:val="nil"/>
              <w:left w:val="nil"/>
              <w:bottom w:val="single" w:sz="8" w:space="0" w:color="auto"/>
              <w:right w:val="single" w:sz="8" w:space="0" w:color="auto"/>
            </w:tcBorders>
            <w:shd w:val="clear" w:color="auto" w:fill="auto"/>
            <w:noWrap/>
            <w:vAlign w:val="center"/>
            <w:hideMark/>
          </w:tcPr>
          <w:p w14:paraId="75BCC491" w14:textId="77777777" w:rsidR="009A4C46" w:rsidRPr="009A4C46" w:rsidRDefault="009A4C46">
            <w:pPr>
              <w:spacing w:after="0" w:line="240" w:lineRule="auto"/>
              <w:jc w:val="right"/>
              <w:rPr>
                <w:rFonts w:eastAsia="Times New Roman"/>
                <w:sz w:val="18"/>
                <w:szCs w:val="18"/>
                <w:lang w:eastAsia="ru-RU"/>
              </w:rPr>
            </w:pPr>
            <w:r w:rsidRPr="009A4C46">
              <w:rPr>
                <w:rFonts w:eastAsia="Times New Roman"/>
                <w:sz w:val="18"/>
                <w:szCs w:val="18"/>
                <w:lang w:eastAsia="ru-RU"/>
              </w:rPr>
              <w:t>215%</w:t>
            </w:r>
          </w:p>
        </w:tc>
      </w:tr>
      <w:tr w:rsidR="009A4C46" w:rsidRPr="009A4C46" w14:paraId="716B3B71" w14:textId="77777777" w:rsidTr="00070F3E">
        <w:trPr>
          <w:trHeight w:val="315"/>
        </w:trPr>
        <w:tc>
          <w:tcPr>
            <w:tcW w:w="3407" w:type="dxa"/>
            <w:tcBorders>
              <w:top w:val="nil"/>
              <w:left w:val="single" w:sz="8" w:space="0" w:color="auto"/>
              <w:bottom w:val="single" w:sz="8" w:space="0" w:color="auto"/>
              <w:right w:val="single" w:sz="8" w:space="0" w:color="auto"/>
            </w:tcBorders>
            <w:shd w:val="clear" w:color="auto" w:fill="auto"/>
            <w:vAlign w:val="center"/>
            <w:hideMark/>
          </w:tcPr>
          <w:p w14:paraId="24B01949" w14:textId="77777777" w:rsidR="009A4C46" w:rsidRPr="00F94FED" w:rsidRDefault="009A4C46" w:rsidP="005C3ACA">
            <w:pPr>
              <w:spacing w:after="0" w:line="240" w:lineRule="auto"/>
              <w:rPr>
                <w:rFonts w:eastAsia="Times New Roman"/>
                <w:lang w:eastAsia="ru-RU"/>
              </w:rPr>
            </w:pPr>
            <w:r w:rsidRPr="00F94FED">
              <w:rPr>
                <w:rFonts w:eastAsia="Times New Roman"/>
                <w:lang w:eastAsia="ru-RU"/>
              </w:rPr>
              <w:t>от  прочей продукции</w:t>
            </w:r>
          </w:p>
        </w:tc>
        <w:tc>
          <w:tcPr>
            <w:tcW w:w="1480" w:type="dxa"/>
            <w:tcBorders>
              <w:top w:val="nil"/>
              <w:left w:val="nil"/>
              <w:bottom w:val="single" w:sz="8" w:space="0" w:color="auto"/>
              <w:right w:val="single" w:sz="8" w:space="0" w:color="auto"/>
            </w:tcBorders>
            <w:shd w:val="clear" w:color="auto" w:fill="auto"/>
            <w:noWrap/>
            <w:vAlign w:val="center"/>
            <w:hideMark/>
          </w:tcPr>
          <w:p w14:paraId="12C6D8D8" w14:textId="77777777" w:rsidR="009A4C46" w:rsidRPr="00F94FED" w:rsidRDefault="009A4C46">
            <w:pPr>
              <w:spacing w:after="0" w:line="240" w:lineRule="auto"/>
              <w:jc w:val="right"/>
              <w:rPr>
                <w:rFonts w:eastAsia="Times New Roman"/>
                <w:lang w:eastAsia="ru-RU"/>
              </w:rPr>
            </w:pPr>
            <w:r w:rsidRPr="00F94FED">
              <w:rPr>
                <w:rFonts w:eastAsia="Times New Roman"/>
                <w:lang w:eastAsia="ru-RU"/>
              </w:rPr>
              <w:t>621</w:t>
            </w:r>
          </w:p>
        </w:tc>
        <w:tc>
          <w:tcPr>
            <w:tcW w:w="1480" w:type="dxa"/>
            <w:tcBorders>
              <w:top w:val="nil"/>
              <w:left w:val="nil"/>
              <w:bottom w:val="single" w:sz="8" w:space="0" w:color="auto"/>
              <w:right w:val="single" w:sz="8" w:space="0" w:color="auto"/>
            </w:tcBorders>
            <w:shd w:val="clear" w:color="auto" w:fill="auto"/>
            <w:noWrap/>
            <w:vAlign w:val="center"/>
            <w:hideMark/>
          </w:tcPr>
          <w:p w14:paraId="71798958" w14:textId="77777777" w:rsidR="009A4C46" w:rsidRPr="00F94FED" w:rsidRDefault="009A4C46">
            <w:pPr>
              <w:spacing w:after="0" w:line="240" w:lineRule="auto"/>
              <w:jc w:val="right"/>
              <w:rPr>
                <w:rFonts w:eastAsia="Times New Roman"/>
                <w:lang w:eastAsia="ru-RU"/>
              </w:rPr>
            </w:pPr>
            <w:r w:rsidRPr="00F94FED">
              <w:rPr>
                <w:rFonts w:eastAsia="Times New Roman"/>
                <w:lang w:eastAsia="ru-RU"/>
              </w:rPr>
              <w:t>57 319</w:t>
            </w:r>
          </w:p>
        </w:tc>
        <w:tc>
          <w:tcPr>
            <w:tcW w:w="1576" w:type="dxa"/>
            <w:tcBorders>
              <w:top w:val="nil"/>
              <w:left w:val="nil"/>
              <w:bottom w:val="single" w:sz="8" w:space="0" w:color="auto"/>
              <w:right w:val="single" w:sz="8" w:space="0" w:color="auto"/>
            </w:tcBorders>
            <w:shd w:val="clear" w:color="auto" w:fill="auto"/>
            <w:noWrap/>
            <w:vAlign w:val="center"/>
            <w:hideMark/>
          </w:tcPr>
          <w:p w14:paraId="5E96DB9E" w14:textId="77777777" w:rsidR="009A4C46" w:rsidRPr="00F94FED" w:rsidRDefault="009A4C46">
            <w:pPr>
              <w:spacing w:after="0" w:line="240" w:lineRule="auto"/>
              <w:jc w:val="right"/>
              <w:rPr>
                <w:rFonts w:eastAsia="Times New Roman"/>
                <w:lang w:eastAsia="ru-RU"/>
              </w:rPr>
            </w:pPr>
            <w:r w:rsidRPr="00F94FED">
              <w:rPr>
                <w:rFonts w:eastAsia="Times New Roman"/>
                <w:lang w:eastAsia="ru-RU"/>
              </w:rPr>
              <w:t>56 697</w:t>
            </w:r>
          </w:p>
        </w:tc>
        <w:tc>
          <w:tcPr>
            <w:tcW w:w="1559" w:type="dxa"/>
            <w:tcBorders>
              <w:top w:val="nil"/>
              <w:left w:val="nil"/>
              <w:bottom w:val="single" w:sz="8" w:space="0" w:color="auto"/>
              <w:right w:val="single" w:sz="8" w:space="0" w:color="auto"/>
            </w:tcBorders>
            <w:shd w:val="clear" w:color="auto" w:fill="auto"/>
            <w:noWrap/>
            <w:vAlign w:val="center"/>
            <w:hideMark/>
          </w:tcPr>
          <w:p w14:paraId="5C7436E8" w14:textId="77777777" w:rsidR="009A4C46" w:rsidRPr="009A4C46" w:rsidRDefault="009A4C46">
            <w:pPr>
              <w:spacing w:after="0" w:line="240" w:lineRule="auto"/>
              <w:jc w:val="right"/>
              <w:rPr>
                <w:rFonts w:eastAsia="Times New Roman"/>
                <w:sz w:val="18"/>
                <w:szCs w:val="18"/>
                <w:lang w:eastAsia="ru-RU"/>
              </w:rPr>
            </w:pPr>
            <w:r w:rsidRPr="009A4C46">
              <w:rPr>
                <w:rFonts w:eastAsia="Times New Roman"/>
                <w:sz w:val="18"/>
                <w:szCs w:val="18"/>
                <w:lang w:eastAsia="ru-RU"/>
              </w:rPr>
              <w:t>9128%</w:t>
            </w:r>
          </w:p>
        </w:tc>
      </w:tr>
      <w:tr w:rsidR="009A4C46" w:rsidRPr="009A4C46" w14:paraId="03262D41" w14:textId="77777777" w:rsidTr="00070F3E">
        <w:trPr>
          <w:trHeight w:val="315"/>
        </w:trPr>
        <w:tc>
          <w:tcPr>
            <w:tcW w:w="3407" w:type="dxa"/>
            <w:tcBorders>
              <w:top w:val="nil"/>
              <w:left w:val="single" w:sz="8" w:space="0" w:color="auto"/>
              <w:bottom w:val="single" w:sz="8" w:space="0" w:color="auto"/>
              <w:right w:val="single" w:sz="8" w:space="0" w:color="auto"/>
            </w:tcBorders>
            <w:shd w:val="clear" w:color="auto" w:fill="auto"/>
            <w:vAlign w:val="center"/>
            <w:hideMark/>
          </w:tcPr>
          <w:p w14:paraId="39D46419" w14:textId="77777777" w:rsidR="009A4C46" w:rsidRPr="00F94FED" w:rsidRDefault="009A4C46" w:rsidP="005C3ACA">
            <w:pPr>
              <w:spacing w:after="0" w:line="240" w:lineRule="auto"/>
              <w:rPr>
                <w:rFonts w:eastAsia="Times New Roman"/>
                <w:lang w:eastAsia="ru-RU"/>
              </w:rPr>
            </w:pPr>
            <w:r w:rsidRPr="00F94FED">
              <w:rPr>
                <w:rFonts w:eastAsia="Times New Roman"/>
                <w:lang w:eastAsia="ru-RU"/>
              </w:rPr>
              <w:t xml:space="preserve">Прибыль (убыток) до налогообложения </w:t>
            </w:r>
          </w:p>
        </w:tc>
        <w:tc>
          <w:tcPr>
            <w:tcW w:w="1480" w:type="dxa"/>
            <w:tcBorders>
              <w:top w:val="nil"/>
              <w:left w:val="nil"/>
              <w:bottom w:val="single" w:sz="8" w:space="0" w:color="auto"/>
              <w:right w:val="single" w:sz="8" w:space="0" w:color="auto"/>
            </w:tcBorders>
            <w:shd w:val="clear" w:color="auto" w:fill="auto"/>
            <w:noWrap/>
            <w:vAlign w:val="center"/>
            <w:hideMark/>
          </w:tcPr>
          <w:p w14:paraId="2410EB46" w14:textId="77777777" w:rsidR="009A4C46" w:rsidRPr="00F94FED" w:rsidRDefault="009A4C46">
            <w:pPr>
              <w:spacing w:after="0" w:line="240" w:lineRule="auto"/>
              <w:jc w:val="right"/>
              <w:rPr>
                <w:rFonts w:eastAsia="Times New Roman"/>
                <w:lang w:eastAsia="ru-RU"/>
              </w:rPr>
            </w:pPr>
            <w:r w:rsidRPr="00F94FED">
              <w:rPr>
                <w:rFonts w:eastAsia="Times New Roman"/>
                <w:lang w:eastAsia="ru-RU"/>
              </w:rPr>
              <w:t>509 442</w:t>
            </w:r>
          </w:p>
        </w:tc>
        <w:tc>
          <w:tcPr>
            <w:tcW w:w="1480" w:type="dxa"/>
            <w:tcBorders>
              <w:top w:val="nil"/>
              <w:left w:val="nil"/>
              <w:bottom w:val="single" w:sz="8" w:space="0" w:color="auto"/>
              <w:right w:val="single" w:sz="8" w:space="0" w:color="auto"/>
            </w:tcBorders>
            <w:shd w:val="clear" w:color="auto" w:fill="auto"/>
            <w:noWrap/>
            <w:vAlign w:val="center"/>
            <w:hideMark/>
          </w:tcPr>
          <w:p w14:paraId="381EAE41" w14:textId="77777777" w:rsidR="009A4C46" w:rsidRPr="00F94FED" w:rsidRDefault="009A4C46">
            <w:pPr>
              <w:spacing w:after="0" w:line="240" w:lineRule="auto"/>
              <w:jc w:val="right"/>
              <w:rPr>
                <w:rFonts w:eastAsia="Times New Roman"/>
                <w:lang w:eastAsia="ru-RU"/>
              </w:rPr>
            </w:pPr>
            <w:r w:rsidRPr="00F94FED">
              <w:rPr>
                <w:rFonts w:eastAsia="Times New Roman"/>
                <w:lang w:eastAsia="ru-RU"/>
              </w:rPr>
              <w:t>-1 131 396</w:t>
            </w:r>
          </w:p>
        </w:tc>
        <w:tc>
          <w:tcPr>
            <w:tcW w:w="1576" w:type="dxa"/>
            <w:tcBorders>
              <w:top w:val="nil"/>
              <w:left w:val="nil"/>
              <w:bottom w:val="single" w:sz="8" w:space="0" w:color="auto"/>
              <w:right w:val="single" w:sz="8" w:space="0" w:color="auto"/>
            </w:tcBorders>
            <w:shd w:val="clear" w:color="auto" w:fill="auto"/>
            <w:noWrap/>
            <w:vAlign w:val="center"/>
            <w:hideMark/>
          </w:tcPr>
          <w:p w14:paraId="0C0FB494" w14:textId="77777777" w:rsidR="009A4C46" w:rsidRPr="00F94FED" w:rsidRDefault="009A4C46">
            <w:pPr>
              <w:spacing w:after="0" w:line="240" w:lineRule="auto"/>
              <w:jc w:val="right"/>
              <w:rPr>
                <w:rFonts w:eastAsia="Times New Roman"/>
                <w:lang w:eastAsia="ru-RU"/>
              </w:rPr>
            </w:pPr>
            <w:r w:rsidRPr="00F94FED">
              <w:rPr>
                <w:rFonts w:eastAsia="Times New Roman"/>
                <w:lang w:eastAsia="ru-RU"/>
              </w:rPr>
              <w:t>-1 640 838</w:t>
            </w:r>
          </w:p>
        </w:tc>
        <w:tc>
          <w:tcPr>
            <w:tcW w:w="1559" w:type="dxa"/>
            <w:tcBorders>
              <w:top w:val="nil"/>
              <w:left w:val="nil"/>
              <w:bottom w:val="single" w:sz="8" w:space="0" w:color="auto"/>
              <w:right w:val="single" w:sz="8" w:space="0" w:color="auto"/>
            </w:tcBorders>
            <w:shd w:val="clear" w:color="auto" w:fill="auto"/>
            <w:noWrap/>
            <w:vAlign w:val="center"/>
            <w:hideMark/>
          </w:tcPr>
          <w:p w14:paraId="518F57BF" w14:textId="77777777" w:rsidR="009A4C46" w:rsidRPr="009A4C46" w:rsidRDefault="009A4C46">
            <w:pPr>
              <w:spacing w:after="0" w:line="240" w:lineRule="auto"/>
              <w:jc w:val="right"/>
              <w:rPr>
                <w:rFonts w:eastAsia="Times New Roman"/>
                <w:sz w:val="18"/>
                <w:szCs w:val="18"/>
                <w:lang w:eastAsia="ru-RU"/>
              </w:rPr>
            </w:pPr>
            <w:r w:rsidRPr="009A4C46">
              <w:rPr>
                <w:rFonts w:eastAsia="Times New Roman"/>
                <w:sz w:val="18"/>
                <w:szCs w:val="18"/>
                <w:lang w:eastAsia="ru-RU"/>
              </w:rPr>
              <w:t>-322%</w:t>
            </w:r>
          </w:p>
        </w:tc>
      </w:tr>
      <w:tr w:rsidR="009A4C46" w:rsidRPr="009A4C46" w14:paraId="2EB303C0" w14:textId="77777777" w:rsidTr="00070F3E">
        <w:trPr>
          <w:trHeight w:val="495"/>
        </w:trPr>
        <w:tc>
          <w:tcPr>
            <w:tcW w:w="3407" w:type="dxa"/>
            <w:tcBorders>
              <w:top w:val="nil"/>
              <w:left w:val="single" w:sz="8" w:space="0" w:color="auto"/>
              <w:bottom w:val="single" w:sz="8" w:space="0" w:color="auto"/>
              <w:right w:val="single" w:sz="8" w:space="0" w:color="auto"/>
            </w:tcBorders>
            <w:shd w:val="clear" w:color="auto" w:fill="auto"/>
            <w:vAlign w:val="center"/>
            <w:hideMark/>
          </w:tcPr>
          <w:p w14:paraId="6AA2DB8C" w14:textId="77777777" w:rsidR="009A4C46" w:rsidRPr="00F94FED" w:rsidRDefault="009A4C46" w:rsidP="005C3ACA">
            <w:pPr>
              <w:spacing w:after="0" w:line="240" w:lineRule="auto"/>
              <w:rPr>
                <w:rFonts w:eastAsia="Times New Roman"/>
                <w:lang w:eastAsia="ru-RU"/>
              </w:rPr>
            </w:pPr>
            <w:r w:rsidRPr="00F94FED">
              <w:rPr>
                <w:rFonts w:eastAsia="Times New Roman"/>
                <w:lang w:eastAsia="ru-RU"/>
              </w:rPr>
              <w:t>Текущий налог на прибыль, прочие налоговые активы и обязательства</w:t>
            </w:r>
          </w:p>
        </w:tc>
        <w:tc>
          <w:tcPr>
            <w:tcW w:w="1480" w:type="dxa"/>
            <w:tcBorders>
              <w:top w:val="nil"/>
              <w:left w:val="nil"/>
              <w:bottom w:val="single" w:sz="8" w:space="0" w:color="auto"/>
              <w:right w:val="single" w:sz="8" w:space="0" w:color="auto"/>
            </w:tcBorders>
            <w:shd w:val="clear" w:color="auto" w:fill="auto"/>
            <w:noWrap/>
            <w:vAlign w:val="center"/>
            <w:hideMark/>
          </w:tcPr>
          <w:p w14:paraId="04CD67E7" w14:textId="77777777" w:rsidR="009A4C46" w:rsidRPr="00F94FED" w:rsidRDefault="009A4C46">
            <w:pPr>
              <w:spacing w:after="0" w:line="240" w:lineRule="auto"/>
              <w:jc w:val="right"/>
              <w:rPr>
                <w:rFonts w:eastAsia="Times New Roman"/>
                <w:lang w:eastAsia="ru-RU"/>
              </w:rPr>
            </w:pPr>
            <w:r w:rsidRPr="00F94FED">
              <w:rPr>
                <w:rFonts w:eastAsia="Times New Roman"/>
                <w:lang w:eastAsia="ru-RU"/>
              </w:rPr>
              <w:t>112 229</w:t>
            </w:r>
          </w:p>
        </w:tc>
        <w:tc>
          <w:tcPr>
            <w:tcW w:w="1480" w:type="dxa"/>
            <w:tcBorders>
              <w:top w:val="nil"/>
              <w:left w:val="nil"/>
              <w:bottom w:val="single" w:sz="8" w:space="0" w:color="auto"/>
              <w:right w:val="single" w:sz="8" w:space="0" w:color="auto"/>
            </w:tcBorders>
            <w:shd w:val="clear" w:color="auto" w:fill="auto"/>
            <w:noWrap/>
            <w:vAlign w:val="center"/>
            <w:hideMark/>
          </w:tcPr>
          <w:p w14:paraId="5717AB75" w14:textId="77777777" w:rsidR="009A4C46" w:rsidRPr="00F94FED" w:rsidRDefault="009A4C46">
            <w:pPr>
              <w:spacing w:after="0" w:line="240" w:lineRule="auto"/>
              <w:jc w:val="right"/>
              <w:rPr>
                <w:rFonts w:eastAsia="Times New Roman"/>
                <w:lang w:eastAsia="ru-RU"/>
              </w:rPr>
            </w:pPr>
            <w:r w:rsidRPr="00F94FED">
              <w:rPr>
                <w:rFonts w:eastAsia="Times New Roman"/>
                <w:lang w:eastAsia="ru-RU"/>
              </w:rPr>
              <w:t>14 263</w:t>
            </w:r>
          </w:p>
        </w:tc>
        <w:tc>
          <w:tcPr>
            <w:tcW w:w="1576" w:type="dxa"/>
            <w:tcBorders>
              <w:top w:val="nil"/>
              <w:left w:val="nil"/>
              <w:bottom w:val="single" w:sz="8" w:space="0" w:color="auto"/>
              <w:right w:val="single" w:sz="8" w:space="0" w:color="auto"/>
            </w:tcBorders>
            <w:shd w:val="clear" w:color="auto" w:fill="auto"/>
            <w:noWrap/>
            <w:vAlign w:val="center"/>
            <w:hideMark/>
          </w:tcPr>
          <w:p w14:paraId="42199D97" w14:textId="77777777" w:rsidR="009A4C46" w:rsidRPr="00F94FED" w:rsidRDefault="009A4C46">
            <w:pPr>
              <w:spacing w:after="0" w:line="240" w:lineRule="auto"/>
              <w:jc w:val="right"/>
              <w:rPr>
                <w:rFonts w:eastAsia="Times New Roman"/>
                <w:lang w:eastAsia="ru-RU"/>
              </w:rPr>
            </w:pPr>
            <w:r w:rsidRPr="00F94FED">
              <w:rPr>
                <w:rFonts w:eastAsia="Times New Roman"/>
                <w:lang w:eastAsia="ru-RU"/>
              </w:rPr>
              <w:t>-97 966</w:t>
            </w:r>
          </w:p>
        </w:tc>
        <w:tc>
          <w:tcPr>
            <w:tcW w:w="1559" w:type="dxa"/>
            <w:tcBorders>
              <w:top w:val="nil"/>
              <w:left w:val="nil"/>
              <w:bottom w:val="single" w:sz="8" w:space="0" w:color="auto"/>
              <w:right w:val="single" w:sz="8" w:space="0" w:color="auto"/>
            </w:tcBorders>
            <w:shd w:val="clear" w:color="auto" w:fill="auto"/>
            <w:noWrap/>
            <w:vAlign w:val="center"/>
            <w:hideMark/>
          </w:tcPr>
          <w:p w14:paraId="6BBF8DE2" w14:textId="77777777" w:rsidR="009A4C46" w:rsidRPr="009A4C46" w:rsidRDefault="009A4C46">
            <w:pPr>
              <w:spacing w:after="0" w:line="240" w:lineRule="auto"/>
              <w:jc w:val="right"/>
              <w:rPr>
                <w:rFonts w:eastAsia="Times New Roman"/>
                <w:sz w:val="18"/>
                <w:szCs w:val="18"/>
                <w:lang w:eastAsia="ru-RU"/>
              </w:rPr>
            </w:pPr>
            <w:r w:rsidRPr="009A4C46">
              <w:rPr>
                <w:rFonts w:eastAsia="Times New Roman"/>
                <w:sz w:val="18"/>
                <w:szCs w:val="18"/>
                <w:lang w:eastAsia="ru-RU"/>
              </w:rPr>
              <w:t>-87%</w:t>
            </w:r>
          </w:p>
        </w:tc>
      </w:tr>
      <w:tr w:rsidR="009A4C46" w:rsidRPr="009A4C46" w14:paraId="166A4C71" w14:textId="77777777" w:rsidTr="00070F3E">
        <w:trPr>
          <w:trHeight w:val="315"/>
        </w:trPr>
        <w:tc>
          <w:tcPr>
            <w:tcW w:w="3407" w:type="dxa"/>
            <w:tcBorders>
              <w:top w:val="nil"/>
              <w:left w:val="single" w:sz="8" w:space="0" w:color="auto"/>
              <w:bottom w:val="single" w:sz="8" w:space="0" w:color="auto"/>
              <w:right w:val="single" w:sz="8" w:space="0" w:color="auto"/>
            </w:tcBorders>
            <w:shd w:val="clear" w:color="auto" w:fill="auto"/>
            <w:vAlign w:val="center"/>
            <w:hideMark/>
          </w:tcPr>
          <w:p w14:paraId="24A39EEA" w14:textId="77777777" w:rsidR="009A4C46" w:rsidRPr="00F94FED" w:rsidRDefault="009A4C46" w:rsidP="005C3ACA">
            <w:pPr>
              <w:spacing w:after="0" w:line="240" w:lineRule="auto"/>
              <w:rPr>
                <w:rFonts w:eastAsia="Times New Roman"/>
                <w:lang w:eastAsia="ru-RU"/>
              </w:rPr>
            </w:pPr>
            <w:r w:rsidRPr="00F94FED">
              <w:rPr>
                <w:rFonts w:eastAsia="Times New Roman"/>
                <w:lang w:eastAsia="ru-RU"/>
              </w:rPr>
              <w:t xml:space="preserve">в том числе </w:t>
            </w:r>
          </w:p>
        </w:tc>
        <w:tc>
          <w:tcPr>
            <w:tcW w:w="1480" w:type="dxa"/>
            <w:tcBorders>
              <w:top w:val="nil"/>
              <w:left w:val="nil"/>
              <w:bottom w:val="single" w:sz="8" w:space="0" w:color="auto"/>
              <w:right w:val="single" w:sz="8" w:space="0" w:color="auto"/>
            </w:tcBorders>
            <w:shd w:val="clear" w:color="auto" w:fill="auto"/>
            <w:noWrap/>
            <w:vAlign w:val="center"/>
            <w:hideMark/>
          </w:tcPr>
          <w:p w14:paraId="34143965" w14:textId="77777777" w:rsidR="009A4C46" w:rsidRPr="00F94FED" w:rsidRDefault="009A4C46">
            <w:pPr>
              <w:spacing w:after="0" w:line="240" w:lineRule="auto"/>
              <w:rPr>
                <w:rFonts w:eastAsia="Times New Roman"/>
                <w:lang w:eastAsia="ru-RU"/>
              </w:rPr>
            </w:pPr>
            <w:r w:rsidRPr="00F94FED">
              <w:rPr>
                <w:rFonts w:eastAsia="Times New Roman"/>
                <w:lang w:eastAsia="ru-RU"/>
              </w:rPr>
              <w:t> </w:t>
            </w:r>
          </w:p>
        </w:tc>
        <w:tc>
          <w:tcPr>
            <w:tcW w:w="1480" w:type="dxa"/>
            <w:tcBorders>
              <w:top w:val="nil"/>
              <w:left w:val="nil"/>
              <w:bottom w:val="single" w:sz="8" w:space="0" w:color="auto"/>
              <w:right w:val="single" w:sz="8" w:space="0" w:color="auto"/>
            </w:tcBorders>
            <w:shd w:val="clear" w:color="auto" w:fill="auto"/>
            <w:noWrap/>
            <w:vAlign w:val="center"/>
            <w:hideMark/>
          </w:tcPr>
          <w:p w14:paraId="06EAAEFD" w14:textId="77777777" w:rsidR="009A4C46" w:rsidRPr="00F94FED" w:rsidRDefault="009A4C46">
            <w:pPr>
              <w:spacing w:after="0" w:line="240" w:lineRule="auto"/>
              <w:rPr>
                <w:rFonts w:eastAsia="Times New Roman"/>
                <w:lang w:eastAsia="ru-RU"/>
              </w:rPr>
            </w:pPr>
            <w:r w:rsidRPr="00F94FED">
              <w:rPr>
                <w:rFonts w:eastAsia="Times New Roman"/>
                <w:lang w:eastAsia="ru-RU"/>
              </w:rPr>
              <w:t> </w:t>
            </w:r>
          </w:p>
        </w:tc>
        <w:tc>
          <w:tcPr>
            <w:tcW w:w="1576" w:type="dxa"/>
            <w:tcBorders>
              <w:top w:val="nil"/>
              <w:left w:val="nil"/>
              <w:bottom w:val="single" w:sz="8" w:space="0" w:color="auto"/>
              <w:right w:val="single" w:sz="8" w:space="0" w:color="auto"/>
            </w:tcBorders>
            <w:shd w:val="clear" w:color="auto" w:fill="auto"/>
            <w:noWrap/>
            <w:vAlign w:val="center"/>
            <w:hideMark/>
          </w:tcPr>
          <w:p w14:paraId="7447C479" w14:textId="77777777" w:rsidR="009A4C46" w:rsidRPr="00F94FED" w:rsidRDefault="009A4C46">
            <w:pPr>
              <w:spacing w:after="0" w:line="240" w:lineRule="auto"/>
              <w:rPr>
                <w:rFonts w:eastAsia="Times New Roman"/>
                <w:lang w:eastAsia="ru-RU"/>
              </w:rPr>
            </w:pPr>
            <w:r w:rsidRPr="00F94FED">
              <w:rPr>
                <w:rFonts w:eastAsia="Times New Roman"/>
                <w:lang w:eastAsia="ru-RU"/>
              </w:rPr>
              <w:t> </w:t>
            </w:r>
          </w:p>
        </w:tc>
        <w:tc>
          <w:tcPr>
            <w:tcW w:w="1559" w:type="dxa"/>
            <w:tcBorders>
              <w:top w:val="nil"/>
              <w:left w:val="nil"/>
              <w:bottom w:val="single" w:sz="8" w:space="0" w:color="auto"/>
              <w:right w:val="single" w:sz="8" w:space="0" w:color="auto"/>
            </w:tcBorders>
            <w:shd w:val="clear" w:color="auto" w:fill="auto"/>
            <w:noWrap/>
            <w:vAlign w:val="center"/>
            <w:hideMark/>
          </w:tcPr>
          <w:p w14:paraId="00494860" w14:textId="77777777" w:rsidR="009A4C46" w:rsidRPr="009A4C46" w:rsidRDefault="009A4C46">
            <w:pPr>
              <w:spacing w:after="0" w:line="240" w:lineRule="auto"/>
              <w:rPr>
                <w:rFonts w:eastAsia="Times New Roman"/>
                <w:sz w:val="18"/>
                <w:szCs w:val="18"/>
                <w:lang w:eastAsia="ru-RU"/>
              </w:rPr>
            </w:pPr>
            <w:r w:rsidRPr="009A4C46">
              <w:rPr>
                <w:rFonts w:eastAsia="Times New Roman"/>
                <w:sz w:val="18"/>
                <w:szCs w:val="18"/>
                <w:lang w:eastAsia="ru-RU"/>
              </w:rPr>
              <w:t> </w:t>
            </w:r>
          </w:p>
        </w:tc>
      </w:tr>
      <w:tr w:rsidR="009A4C46" w:rsidRPr="009A4C46" w14:paraId="0166478E" w14:textId="77777777" w:rsidTr="00070F3E">
        <w:trPr>
          <w:trHeight w:val="315"/>
        </w:trPr>
        <w:tc>
          <w:tcPr>
            <w:tcW w:w="3407" w:type="dxa"/>
            <w:tcBorders>
              <w:top w:val="nil"/>
              <w:left w:val="single" w:sz="8" w:space="0" w:color="auto"/>
              <w:bottom w:val="single" w:sz="8" w:space="0" w:color="auto"/>
              <w:right w:val="single" w:sz="8" w:space="0" w:color="auto"/>
            </w:tcBorders>
            <w:shd w:val="clear" w:color="auto" w:fill="auto"/>
            <w:vAlign w:val="center"/>
            <w:hideMark/>
          </w:tcPr>
          <w:p w14:paraId="07033C0F" w14:textId="77777777" w:rsidR="009A4C46" w:rsidRPr="00F94FED" w:rsidRDefault="009A4C46" w:rsidP="005C3ACA">
            <w:pPr>
              <w:spacing w:after="0" w:line="240" w:lineRule="auto"/>
              <w:rPr>
                <w:rFonts w:eastAsia="Times New Roman"/>
                <w:lang w:eastAsia="ru-RU"/>
              </w:rPr>
            </w:pPr>
            <w:r w:rsidRPr="00F94FED">
              <w:rPr>
                <w:rFonts w:eastAsia="Times New Roman"/>
                <w:lang w:eastAsia="ru-RU"/>
              </w:rPr>
              <w:lastRenderedPageBreak/>
              <w:t>от передачи электроэнергии</w:t>
            </w:r>
          </w:p>
        </w:tc>
        <w:tc>
          <w:tcPr>
            <w:tcW w:w="1480" w:type="dxa"/>
            <w:tcBorders>
              <w:top w:val="nil"/>
              <w:left w:val="nil"/>
              <w:bottom w:val="single" w:sz="8" w:space="0" w:color="auto"/>
              <w:right w:val="single" w:sz="8" w:space="0" w:color="auto"/>
            </w:tcBorders>
            <w:shd w:val="clear" w:color="auto" w:fill="auto"/>
            <w:noWrap/>
            <w:vAlign w:val="center"/>
            <w:hideMark/>
          </w:tcPr>
          <w:p w14:paraId="2223C55A" w14:textId="77777777" w:rsidR="009A4C46" w:rsidRPr="00F94FED" w:rsidRDefault="009A4C46">
            <w:pPr>
              <w:spacing w:after="0" w:line="240" w:lineRule="auto"/>
              <w:jc w:val="right"/>
              <w:rPr>
                <w:rFonts w:eastAsia="Times New Roman"/>
                <w:lang w:eastAsia="ru-RU"/>
              </w:rPr>
            </w:pPr>
            <w:r w:rsidRPr="00F94FED">
              <w:rPr>
                <w:rFonts w:eastAsia="Times New Roman"/>
                <w:lang w:eastAsia="ru-RU"/>
              </w:rPr>
              <w:t> </w:t>
            </w:r>
          </w:p>
        </w:tc>
        <w:tc>
          <w:tcPr>
            <w:tcW w:w="1480" w:type="dxa"/>
            <w:tcBorders>
              <w:top w:val="nil"/>
              <w:left w:val="nil"/>
              <w:bottom w:val="single" w:sz="8" w:space="0" w:color="auto"/>
              <w:right w:val="single" w:sz="8" w:space="0" w:color="auto"/>
            </w:tcBorders>
            <w:shd w:val="clear" w:color="auto" w:fill="auto"/>
            <w:noWrap/>
            <w:vAlign w:val="center"/>
            <w:hideMark/>
          </w:tcPr>
          <w:p w14:paraId="5156D8AE" w14:textId="77777777" w:rsidR="009A4C46" w:rsidRPr="00F94FED" w:rsidRDefault="009A4C46">
            <w:pPr>
              <w:spacing w:after="0" w:line="240" w:lineRule="auto"/>
              <w:jc w:val="right"/>
              <w:rPr>
                <w:rFonts w:eastAsia="Times New Roman"/>
                <w:lang w:eastAsia="ru-RU"/>
              </w:rPr>
            </w:pPr>
            <w:r w:rsidRPr="00F94FED">
              <w:rPr>
                <w:rFonts w:eastAsia="Times New Roman"/>
                <w:lang w:eastAsia="ru-RU"/>
              </w:rPr>
              <w:t> </w:t>
            </w:r>
          </w:p>
        </w:tc>
        <w:tc>
          <w:tcPr>
            <w:tcW w:w="1576" w:type="dxa"/>
            <w:tcBorders>
              <w:top w:val="nil"/>
              <w:left w:val="nil"/>
              <w:bottom w:val="single" w:sz="8" w:space="0" w:color="auto"/>
              <w:right w:val="single" w:sz="8" w:space="0" w:color="auto"/>
            </w:tcBorders>
            <w:shd w:val="clear" w:color="auto" w:fill="auto"/>
            <w:noWrap/>
            <w:vAlign w:val="center"/>
            <w:hideMark/>
          </w:tcPr>
          <w:p w14:paraId="0BC3661A" w14:textId="77777777" w:rsidR="009A4C46" w:rsidRPr="00F94FED" w:rsidRDefault="009A4C46">
            <w:pPr>
              <w:spacing w:after="0" w:line="240" w:lineRule="auto"/>
              <w:jc w:val="right"/>
              <w:rPr>
                <w:rFonts w:eastAsia="Times New Roman"/>
                <w:lang w:eastAsia="ru-RU"/>
              </w:rPr>
            </w:pPr>
            <w:r w:rsidRPr="00F94FED">
              <w:rPr>
                <w:rFonts w:eastAsia="Times New Roman"/>
                <w:lang w:eastAsia="ru-RU"/>
              </w:rPr>
              <w:t> </w:t>
            </w:r>
          </w:p>
        </w:tc>
        <w:tc>
          <w:tcPr>
            <w:tcW w:w="1559" w:type="dxa"/>
            <w:tcBorders>
              <w:top w:val="nil"/>
              <w:left w:val="nil"/>
              <w:bottom w:val="single" w:sz="8" w:space="0" w:color="auto"/>
              <w:right w:val="single" w:sz="8" w:space="0" w:color="auto"/>
            </w:tcBorders>
            <w:shd w:val="clear" w:color="auto" w:fill="auto"/>
            <w:noWrap/>
            <w:vAlign w:val="center"/>
            <w:hideMark/>
          </w:tcPr>
          <w:p w14:paraId="6230B395" w14:textId="77777777" w:rsidR="009A4C46" w:rsidRPr="009A4C46" w:rsidRDefault="009A4C46">
            <w:pPr>
              <w:spacing w:after="0" w:line="240" w:lineRule="auto"/>
              <w:jc w:val="right"/>
              <w:rPr>
                <w:rFonts w:eastAsia="Times New Roman"/>
                <w:sz w:val="18"/>
                <w:szCs w:val="18"/>
                <w:lang w:eastAsia="ru-RU"/>
              </w:rPr>
            </w:pPr>
            <w:r w:rsidRPr="009A4C46">
              <w:rPr>
                <w:rFonts w:eastAsia="Times New Roman"/>
                <w:sz w:val="18"/>
                <w:szCs w:val="18"/>
                <w:lang w:eastAsia="ru-RU"/>
              </w:rPr>
              <w:t> </w:t>
            </w:r>
          </w:p>
        </w:tc>
      </w:tr>
      <w:tr w:rsidR="009A4C46" w:rsidRPr="009A4C46" w14:paraId="3365C9CB" w14:textId="77777777" w:rsidTr="00070F3E">
        <w:trPr>
          <w:trHeight w:val="315"/>
        </w:trPr>
        <w:tc>
          <w:tcPr>
            <w:tcW w:w="3407" w:type="dxa"/>
            <w:tcBorders>
              <w:top w:val="nil"/>
              <w:left w:val="single" w:sz="8" w:space="0" w:color="auto"/>
              <w:bottom w:val="single" w:sz="8" w:space="0" w:color="auto"/>
              <w:right w:val="single" w:sz="8" w:space="0" w:color="auto"/>
            </w:tcBorders>
            <w:shd w:val="clear" w:color="auto" w:fill="auto"/>
            <w:vAlign w:val="center"/>
            <w:hideMark/>
          </w:tcPr>
          <w:p w14:paraId="4BD3BFB1" w14:textId="77777777" w:rsidR="009A4C46" w:rsidRPr="00F94FED" w:rsidRDefault="009A4C46" w:rsidP="005C3ACA">
            <w:pPr>
              <w:spacing w:after="0" w:line="240" w:lineRule="auto"/>
              <w:rPr>
                <w:rFonts w:eastAsia="Times New Roman"/>
                <w:lang w:eastAsia="ru-RU"/>
              </w:rPr>
            </w:pPr>
            <w:r w:rsidRPr="00F94FED">
              <w:rPr>
                <w:rFonts w:eastAsia="Times New Roman"/>
                <w:lang w:eastAsia="ru-RU"/>
              </w:rPr>
              <w:t xml:space="preserve">от техприсоединения </w:t>
            </w:r>
          </w:p>
        </w:tc>
        <w:tc>
          <w:tcPr>
            <w:tcW w:w="1480" w:type="dxa"/>
            <w:tcBorders>
              <w:top w:val="nil"/>
              <w:left w:val="nil"/>
              <w:bottom w:val="single" w:sz="8" w:space="0" w:color="auto"/>
              <w:right w:val="single" w:sz="8" w:space="0" w:color="auto"/>
            </w:tcBorders>
            <w:shd w:val="clear" w:color="auto" w:fill="auto"/>
            <w:noWrap/>
            <w:vAlign w:val="center"/>
            <w:hideMark/>
          </w:tcPr>
          <w:p w14:paraId="156DD07B" w14:textId="77777777" w:rsidR="009A4C46" w:rsidRPr="00F94FED" w:rsidRDefault="009A4C46">
            <w:pPr>
              <w:spacing w:after="0" w:line="240" w:lineRule="auto"/>
              <w:jc w:val="right"/>
              <w:rPr>
                <w:rFonts w:eastAsia="Times New Roman"/>
                <w:lang w:eastAsia="ru-RU"/>
              </w:rPr>
            </w:pPr>
            <w:r w:rsidRPr="00F94FED">
              <w:rPr>
                <w:rFonts w:eastAsia="Times New Roman"/>
                <w:lang w:eastAsia="ru-RU"/>
              </w:rPr>
              <w:t>112 229</w:t>
            </w:r>
          </w:p>
        </w:tc>
        <w:tc>
          <w:tcPr>
            <w:tcW w:w="1480" w:type="dxa"/>
            <w:tcBorders>
              <w:top w:val="nil"/>
              <w:left w:val="nil"/>
              <w:bottom w:val="single" w:sz="8" w:space="0" w:color="auto"/>
              <w:right w:val="single" w:sz="8" w:space="0" w:color="auto"/>
            </w:tcBorders>
            <w:shd w:val="clear" w:color="auto" w:fill="auto"/>
            <w:noWrap/>
            <w:vAlign w:val="center"/>
            <w:hideMark/>
          </w:tcPr>
          <w:p w14:paraId="30E3C232" w14:textId="77777777" w:rsidR="009A4C46" w:rsidRPr="00F94FED" w:rsidRDefault="009A4C46">
            <w:pPr>
              <w:spacing w:after="0" w:line="240" w:lineRule="auto"/>
              <w:jc w:val="right"/>
              <w:rPr>
                <w:rFonts w:eastAsia="Times New Roman"/>
                <w:lang w:eastAsia="ru-RU"/>
              </w:rPr>
            </w:pPr>
            <w:r w:rsidRPr="00F94FED">
              <w:rPr>
                <w:rFonts w:eastAsia="Times New Roman"/>
                <w:lang w:eastAsia="ru-RU"/>
              </w:rPr>
              <w:t>12 433</w:t>
            </w:r>
          </w:p>
        </w:tc>
        <w:tc>
          <w:tcPr>
            <w:tcW w:w="1576" w:type="dxa"/>
            <w:tcBorders>
              <w:top w:val="nil"/>
              <w:left w:val="nil"/>
              <w:bottom w:val="single" w:sz="8" w:space="0" w:color="auto"/>
              <w:right w:val="single" w:sz="8" w:space="0" w:color="auto"/>
            </w:tcBorders>
            <w:shd w:val="clear" w:color="auto" w:fill="auto"/>
            <w:noWrap/>
            <w:vAlign w:val="center"/>
            <w:hideMark/>
          </w:tcPr>
          <w:p w14:paraId="2C9DC4E4" w14:textId="77777777" w:rsidR="009A4C46" w:rsidRPr="00F94FED" w:rsidRDefault="009A4C46">
            <w:pPr>
              <w:spacing w:after="0" w:line="240" w:lineRule="auto"/>
              <w:jc w:val="right"/>
              <w:rPr>
                <w:rFonts w:eastAsia="Times New Roman"/>
                <w:lang w:eastAsia="ru-RU"/>
              </w:rPr>
            </w:pPr>
            <w:r w:rsidRPr="00F94FED">
              <w:rPr>
                <w:rFonts w:eastAsia="Times New Roman"/>
                <w:lang w:eastAsia="ru-RU"/>
              </w:rPr>
              <w:t>-99 796</w:t>
            </w:r>
          </w:p>
        </w:tc>
        <w:tc>
          <w:tcPr>
            <w:tcW w:w="1559" w:type="dxa"/>
            <w:tcBorders>
              <w:top w:val="nil"/>
              <w:left w:val="nil"/>
              <w:bottom w:val="single" w:sz="8" w:space="0" w:color="auto"/>
              <w:right w:val="single" w:sz="8" w:space="0" w:color="auto"/>
            </w:tcBorders>
            <w:shd w:val="clear" w:color="auto" w:fill="auto"/>
            <w:noWrap/>
            <w:vAlign w:val="center"/>
            <w:hideMark/>
          </w:tcPr>
          <w:p w14:paraId="3B9738AB" w14:textId="77777777" w:rsidR="009A4C46" w:rsidRPr="009A4C46" w:rsidRDefault="009A4C46">
            <w:pPr>
              <w:spacing w:after="0" w:line="240" w:lineRule="auto"/>
              <w:jc w:val="right"/>
              <w:rPr>
                <w:rFonts w:eastAsia="Times New Roman"/>
                <w:sz w:val="18"/>
                <w:szCs w:val="18"/>
                <w:lang w:eastAsia="ru-RU"/>
              </w:rPr>
            </w:pPr>
            <w:r w:rsidRPr="009A4C46">
              <w:rPr>
                <w:rFonts w:eastAsia="Times New Roman"/>
                <w:sz w:val="18"/>
                <w:szCs w:val="18"/>
                <w:lang w:eastAsia="ru-RU"/>
              </w:rPr>
              <w:t>-89%</w:t>
            </w:r>
          </w:p>
        </w:tc>
      </w:tr>
      <w:tr w:rsidR="009A4C46" w:rsidRPr="009A4C46" w14:paraId="2054986F" w14:textId="77777777" w:rsidTr="00070F3E">
        <w:trPr>
          <w:trHeight w:val="315"/>
        </w:trPr>
        <w:tc>
          <w:tcPr>
            <w:tcW w:w="3407" w:type="dxa"/>
            <w:tcBorders>
              <w:top w:val="nil"/>
              <w:left w:val="single" w:sz="8" w:space="0" w:color="auto"/>
              <w:bottom w:val="single" w:sz="8" w:space="0" w:color="auto"/>
              <w:right w:val="single" w:sz="8" w:space="0" w:color="auto"/>
            </w:tcBorders>
            <w:shd w:val="clear" w:color="auto" w:fill="auto"/>
            <w:vAlign w:val="center"/>
            <w:hideMark/>
          </w:tcPr>
          <w:p w14:paraId="62FB4A22" w14:textId="77777777" w:rsidR="009A4C46" w:rsidRPr="00F94FED" w:rsidRDefault="009A4C46" w:rsidP="005C3ACA">
            <w:pPr>
              <w:spacing w:after="0" w:line="240" w:lineRule="auto"/>
              <w:rPr>
                <w:rFonts w:eastAsia="Times New Roman"/>
                <w:lang w:eastAsia="ru-RU"/>
              </w:rPr>
            </w:pPr>
            <w:r w:rsidRPr="00F94FED">
              <w:rPr>
                <w:rFonts w:eastAsia="Times New Roman"/>
                <w:lang w:eastAsia="ru-RU"/>
              </w:rPr>
              <w:t>от  прочей продукции</w:t>
            </w:r>
          </w:p>
        </w:tc>
        <w:tc>
          <w:tcPr>
            <w:tcW w:w="1480" w:type="dxa"/>
            <w:tcBorders>
              <w:top w:val="nil"/>
              <w:left w:val="nil"/>
              <w:bottom w:val="single" w:sz="8" w:space="0" w:color="auto"/>
              <w:right w:val="single" w:sz="8" w:space="0" w:color="auto"/>
            </w:tcBorders>
            <w:shd w:val="clear" w:color="auto" w:fill="auto"/>
            <w:noWrap/>
            <w:vAlign w:val="center"/>
            <w:hideMark/>
          </w:tcPr>
          <w:p w14:paraId="5D57EEF0" w14:textId="77777777" w:rsidR="009A4C46" w:rsidRPr="00F94FED" w:rsidRDefault="009A4C46">
            <w:pPr>
              <w:spacing w:after="0" w:line="240" w:lineRule="auto"/>
              <w:rPr>
                <w:rFonts w:eastAsia="Times New Roman"/>
                <w:lang w:eastAsia="ru-RU"/>
              </w:rPr>
            </w:pPr>
            <w:r w:rsidRPr="00F94FED">
              <w:rPr>
                <w:rFonts w:eastAsia="Times New Roman"/>
                <w:lang w:eastAsia="ru-RU"/>
              </w:rPr>
              <w:t> </w:t>
            </w:r>
          </w:p>
        </w:tc>
        <w:tc>
          <w:tcPr>
            <w:tcW w:w="1480" w:type="dxa"/>
            <w:tcBorders>
              <w:top w:val="nil"/>
              <w:left w:val="nil"/>
              <w:bottom w:val="single" w:sz="8" w:space="0" w:color="auto"/>
              <w:right w:val="single" w:sz="8" w:space="0" w:color="auto"/>
            </w:tcBorders>
            <w:shd w:val="clear" w:color="auto" w:fill="auto"/>
            <w:noWrap/>
            <w:vAlign w:val="center"/>
            <w:hideMark/>
          </w:tcPr>
          <w:p w14:paraId="11765F4E" w14:textId="77777777" w:rsidR="009A4C46" w:rsidRPr="00F94FED" w:rsidRDefault="009A4C46">
            <w:pPr>
              <w:spacing w:after="0" w:line="240" w:lineRule="auto"/>
              <w:jc w:val="right"/>
              <w:rPr>
                <w:rFonts w:eastAsia="Times New Roman"/>
                <w:lang w:eastAsia="ru-RU"/>
              </w:rPr>
            </w:pPr>
            <w:r w:rsidRPr="00F94FED">
              <w:rPr>
                <w:rFonts w:eastAsia="Times New Roman"/>
                <w:lang w:eastAsia="ru-RU"/>
              </w:rPr>
              <w:t>1 830</w:t>
            </w:r>
          </w:p>
        </w:tc>
        <w:tc>
          <w:tcPr>
            <w:tcW w:w="1576" w:type="dxa"/>
            <w:tcBorders>
              <w:top w:val="nil"/>
              <w:left w:val="nil"/>
              <w:bottom w:val="single" w:sz="8" w:space="0" w:color="auto"/>
              <w:right w:val="single" w:sz="8" w:space="0" w:color="auto"/>
            </w:tcBorders>
            <w:shd w:val="clear" w:color="auto" w:fill="auto"/>
            <w:noWrap/>
            <w:vAlign w:val="center"/>
            <w:hideMark/>
          </w:tcPr>
          <w:p w14:paraId="0532FF51" w14:textId="77777777" w:rsidR="009A4C46" w:rsidRPr="00F94FED" w:rsidRDefault="009A4C46">
            <w:pPr>
              <w:spacing w:after="0" w:line="240" w:lineRule="auto"/>
              <w:jc w:val="right"/>
              <w:rPr>
                <w:rFonts w:eastAsia="Times New Roman"/>
                <w:lang w:eastAsia="ru-RU"/>
              </w:rPr>
            </w:pPr>
            <w:r w:rsidRPr="00F94FED">
              <w:rPr>
                <w:rFonts w:eastAsia="Times New Roman"/>
                <w:lang w:eastAsia="ru-RU"/>
              </w:rPr>
              <w:t>1 830</w:t>
            </w:r>
          </w:p>
        </w:tc>
        <w:tc>
          <w:tcPr>
            <w:tcW w:w="1559" w:type="dxa"/>
            <w:tcBorders>
              <w:top w:val="nil"/>
              <w:left w:val="nil"/>
              <w:bottom w:val="single" w:sz="8" w:space="0" w:color="auto"/>
              <w:right w:val="single" w:sz="8" w:space="0" w:color="auto"/>
            </w:tcBorders>
            <w:shd w:val="clear" w:color="auto" w:fill="auto"/>
            <w:noWrap/>
            <w:vAlign w:val="center"/>
            <w:hideMark/>
          </w:tcPr>
          <w:p w14:paraId="107980F3" w14:textId="77777777" w:rsidR="009A4C46" w:rsidRPr="009A4C46" w:rsidRDefault="009A4C46">
            <w:pPr>
              <w:spacing w:after="0" w:line="240" w:lineRule="auto"/>
              <w:rPr>
                <w:rFonts w:eastAsia="Times New Roman"/>
                <w:sz w:val="18"/>
                <w:szCs w:val="18"/>
                <w:lang w:eastAsia="ru-RU"/>
              </w:rPr>
            </w:pPr>
            <w:r w:rsidRPr="009A4C46">
              <w:rPr>
                <w:rFonts w:eastAsia="Times New Roman"/>
                <w:sz w:val="18"/>
                <w:szCs w:val="18"/>
                <w:lang w:eastAsia="ru-RU"/>
              </w:rPr>
              <w:t> </w:t>
            </w:r>
          </w:p>
        </w:tc>
      </w:tr>
      <w:tr w:rsidR="009A4C46" w:rsidRPr="009A4C46" w14:paraId="32C6F534" w14:textId="77777777" w:rsidTr="00070F3E">
        <w:trPr>
          <w:trHeight w:val="315"/>
        </w:trPr>
        <w:tc>
          <w:tcPr>
            <w:tcW w:w="3407" w:type="dxa"/>
            <w:tcBorders>
              <w:top w:val="nil"/>
              <w:left w:val="single" w:sz="8" w:space="0" w:color="auto"/>
              <w:bottom w:val="single" w:sz="8" w:space="0" w:color="auto"/>
              <w:right w:val="single" w:sz="8" w:space="0" w:color="auto"/>
            </w:tcBorders>
            <w:shd w:val="clear" w:color="auto" w:fill="D6E3BC" w:themeFill="accent3" w:themeFillTint="66"/>
            <w:vAlign w:val="center"/>
            <w:hideMark/>
          </w:tcPr>
          <w:p w14:paraId="6868AFF7" w14:textId="77777777" w:rsidR="009A4C46" w:rsidRPr="00F94FED" w:rsidRDefault="009A4C46" w:rsidP="005C3ACA">
            <w:pPr>
              <w:spacing w:after="0" w:line="240" w:lineRule="auto"/>
              <w:rPr>
                <w:rFonts w:eastAsia="Times New Roman"/>
                <w:lang w:eastAsia="ru-RU"/>
              </w:rPr>
            </w:pPr>
            <w:r w:rsidRPr="00F94FED">
              <w:rPr>
                <w:rFonts w:eastAsia="Times New Roman"/>
                <w:lang w:eastAsia="ru-RU"/>
              </w:rPr>
              <w:t>Чистая прибыль (убыток)</w:t>
            </w:r>
          </w:p>
        </w:tc>
        <w:tc>
          <w:tcPr>
            <w:tcW w:w="1480" w:type="dxa"/>
            <w:tcBorders>
              <w:top w:val="nil"/>
              <w:left w:val="nil"/>
              <w:bottom w:val="single" w:sz="8" w:space="0" w:color="auto"/>
              <w:right w:val="single" w:sz="8" w:space="0" w:color="auto"/>
            </w:tcBorders>
            <w:shd w:val="clear" w:color="auto" w:fill="D6E3BC" w:themeFill="accent3" w:themeFillTint="66"/>
            <w:noWrap/>
            <w:vAlign w:val="center"/>
            <w:hideMark/>
          </w:tcPr>
          <w:p w14:paraId="1333882D" w14:textId="77777777" w:rsidR="009A4C46" w:rsidRPr="00F94FED" w:rsidRDefault="009A4C46">
            <w:pPr>
              <w:spacing w:after="0" w:line="240" w:lineRule="auto"/>
              <w:jc w:val="right"/>
              <w:rPr>
                <w:rFonts w:eastAsia="Times New Roman"/>
                <w:lang w:eastAsia="ru-RU"/>
              </w:rPr>
            </w:pPr>
            <w:r w:rsidRPr="00F94FED">
              <w:rPr>
                <w:rFonts w:eastAsia="Times New Roman"/>
                <w:lang w:eastAsia="ru-RU"/>
              </w:rPr>
              <w:t>392 362</w:t>
            </w:r>
          </w:p>
        </w:tc>
        <w:tc>
          <w:tcPr>
            <w:tcW w:w="1480" w:type="dxa"/>
            <w:tcBorders>
              <w:top w:val="nil"/>
              <w:left w:val="nil"/>
              <w:bottom w:val="single" w:sz="8" w:space="0" w:color="auto"/>
              <w:right w:val="single" w:sz="8" w:space="0" w:color="auto"/>
            </w:tcBorders>
            <w:shd w:val="clear" w:color="auto" w:fill="D6E3BC" w:themeFill="accent3" w:themeFillTint="66"/>
            <w:noWrap/>
            <w:vAlign w:val="center"/>
            <w:hideMark/>
          </w:tcPr>
          <w:p w14:paraId="3AFBD9F9" w14:textId="77777777" w:rsidR="009A4C46" w:rsidRPr="00F94FED" w:rsidRDefault="009A4C46">
            <w:pPr>
              <w:spacing w:after="0" w:line="240" w:lineRule="auto"/>
              <w:jc w:val="right"/>
              <w:rPr>
                <w:rFonts w:eastAsia="Times New Roman"/>
                <w:lang w:eastAsia="ru-RU"/>
              </w:rPr>
            </w:pPr>
            <w:r w:rsidRPr="00F94FED">
              <w:rPr>
                <w:rFonts w:eastAsia="Times New Roman"/>
                <w:lang w:eastAsia="ru-RU"/>
              </w:rPr>
              <w:t>-895 197</w:t>
            </w:r>
          </w:p>
        </w:tc>
        <w:tc>
          <w:tcPr>
            <w:tcW w:w="1576" w:type="dxa"/>
            <w:tcBorders>
              <w:top w:val="nil"/>
              <w:left w:val="nil"/>
              <w:bottom w:val="single" w:sz="8" w:space="0" w:color="auto"/>
              <w:right w:val="single" w:sz="8" w:space="0" w:color="auto"/>
            </w:tcBorders>
            <w:shd w:val="clear" w:color="auto" w:fill="D6E3BC" w:themeFill="accent3" w:themeFillTint="66"/>
            <w:noWrap/>
            <w:vAlign w:val="center"/>
            <w:hideMark/>
          </w:tcPr>
          <w:p w14:paraId="6AE60510" w14:textId="77777777" w:rsidR="009A4C46" w:rsidRPr="00F94FED" w:rsidRDefault="009A4C46">
            <w:pPr>
              <w:spacing w:after="0" w:line="240" w:lineRule="auto"/>
              <w:jc w:val="right"/>
              <w:rPr>
                <w:rFonts w:eastAsia="Times New Roman"/>
                <w:lang w:eastAsia="ru-RU"/>
              </w:rPr>
            </w:pPr>
            <w:r w:rsidRPr="00F94FED">
              <w:rPr>
                <w:rFonts w:eastAsia="Times New Roman"/>
                <w:lang w:eastAsia="ru-RU"/>
              </w:rPr>
              <w:t>-1 287 559</w:t>
            </w:r>
          </w:p>
        </w:tc>
        <w:tc>
          <w:tcPr>
            <w:tcW w:w="1559" w:type="dxa"/>
            <w:tcBorders>
              <w:top w:val="nil"/>
              <w:left w:val="nil"/>
              <w:bottom w:val="single" w:sz="8" w:space="0" w:color="auto"/>
              <w:right w:val="single" w:sz="8" w:space="0" w:color="auto"/>
            </w:tcBorders>
            <w:shd w:val="clear" w:color="auto" w:fill="D6E3BC" w:themeFill="accent3" w:themeFillTint="66"/>
            <w:noWrap/>
            <w:vAlign w:val="center"/>
            <w:hideMark/>
          </w:tcPr>
          <w:p w14:paraId="155D2E53" w14:textId="77777777" w:rsidR="009A4C46" w:rsidRPr="009A4C46" w:rsidRDefault="009A4C46">
            <w:pPr>
              <w:spacing w:after="0" w:line="240" w:lineRule="auto"/>
              <w:jc w:val="right"/>
              <w:rPr>
                <w:rFonts w:eastAsia="Times New Roman"/>
                <w:sz w:val="18"/>
                <w:szCs w:val="18"/>
                <w:lang w:eastAsia="ru-RU"/>
              </w:rPr>
            </w:pPr>
            <w:r w:rsidRPr="009A4C46">
              <w:rPr>
                <w:rFonts w:eastAsia="Times New Roman"/>
                <w:sz w:val="18"/>
                <w:szCs w:val="18"/>
                <w:lang w:eastAsia="ru-RU"/>
              </w:rPr>
              <w:t>-328%</w:t>
            </w:r>
          </w:p>
        </w:tc>
      </w:tr>
      <w:tr w:rsidR="009A4C46" w:rsidRPr="009A4C46" w14:paraId="7C8A51CE" w14:textId="77777777" w:rsidTr="00070F3E">
        <w:trPr>
          <w:trHeight w:val="315"/>
        </w:trPr>
        <w:tc>
          <w:tcPr>
            <w:tcW w:w="3407" w:type="dxa"/>
            <w:tcBorders>
              <w:top w:val="nil"/>
              <w:left w:val="single" w:sz="8" w:space="0" w:color="auto"/>
              <w:bottom w:val="single" w:sz="8" w:space="0" w:color="auto"/>
              <w:right w:val="single" w:sz="8" w:space="0" w:color="auto"/>
            </w:tcBorders>
            <w:shd w:val="clear" w:color="auto" w:fill="auto"/>
            <w:vAlign w:val="center"/>
            <w:hideMark/>
          </w:tcPr>
          <w:p w14:paraId="15B99792" w14:textId="77777777" w:rsidR="009A4C46" w:rsidRPr="00F94FED" w:rsidRDefault="009A4C46" w:rsidP="005C3ACA">
            <w:pPr>
              <w:spacing w:after="0" w:line="240" w:lineRule="auto"/>
              <w:rPr>
                <w:rFonts w:eastAsia="Times New Roman"/>
                <w:lang w:eastAsia="ru-RU"/>
              </w:rPr>
            </w:pPr>
            <w:r w:rsidRPr="00F94FED">
              <w:rPr>
                <w:rFonts w:eastAsia="Times New Roman"/>
                <w:lang w:eastAsia="ru-RU"/>
              </w:rPr>
              <w:t xml:space="preserve">в том числе </w:t>
            </w:r>
          </w:p>
        </w:tc>
        <w:tc>
          <w:tcPr>
            <w:tcW w:w="1480" w:type="dxa"/>
            <w:tcBorders>
              <w:top w:val="nil"/>
              <w:left w:val="nil"/>
              <w:bottom w:val="single" w:sz="8" w:space="0" w:color="auto"/>
              <w:right w:val="single" w:sz="8" w:space="0" w:color="auto"/>
            </w:tcBorders>
            <w:shd w:val="clear" w:color="auto" w:fill="auto"/>
            <w:noWrap/>
            <w:vAlign w:val="center"/>
            <w:hideMark/>
          </w:tcPr>
          <w:p w14:paraId="0BF8810D" w14:textId="77777777" w:rsidR="009A4C46" w:rsidRPr="00F94FED" w:rsidRDefault="009A4C46">
            <w:pPr>
              <w:spacing w:after="0" w:line="240" w:lineRule="auto"/>
              <w:rPr>
                <w:rFonts w:eastAsia="Times New Roman"/>
                <w:lang w:eastAsia="ru-RU"/>
              </w:rPr>
            </w:pPr>
            <w:r w:rsidRPr="00F94FED">
              <w:rPr>
                <w:rFonts w:eastAsia="Times New Roman"/>
                <w:lang w:eastAsia="ru-RU"/>
              </w:rPr>
              <w:t> </w:t>
            </w:r>
          </w:p>
        </w:tc>
        <w:tc>
          <w:tcPr>
            <w:tcW w:w="1480" w:type="dxa"/>
            <w:tcBorders>
              <w:top w:val="nil"/>
              <w:left w:val="nil"/>
              <w:bottom w:val="single" w:sz="8" w:space="0" w:color="auto"/>
              <w:right w:val="single" w:sz="8" w:space="0" w:color="auto"/>
            </w:tcBorders>
            <w:shd w:val="clear" w:color="auto" w:fill="auto"/>
            <w:noWrap/>
            <w:vAlign w:val="center"/>
            <w:hideMark/>
          </w:tcPr>
          <w:p w14:paraId="577B8E5D" w14:textId="77777777" w:rsidR="009A4C46" w:rsidRPr="00F94FED" w:rsidRDefault="009A4C46">
            <w:pPr>
              <w:spacing w:after="0" w:line="240" w:lineRule="auto"/>
              <w:rPr>
                <w:rFonts w:eastAsia="Times New Roman"/>
                <w:lang w:eastAsia="ru-RU"/>
              </w:rPr>
            </w:pPr>
            <w:r w:rsidRPr="00F94FED">
              <w:rPr>
                <w:rFonts w:eastAsia="Times New Roman"/>
                <w:lang w:eastAsia="ru-RU"/>
              </w:rPr>
              <w:t> </w:t>
            </w:r>
          </w:p>
        </w:tc>
        <w:tc>
          <w:tcPr>
            <w:tcW w:w="1576" w:type="dxa"/>
            <w:tcBorders>
              <w:top w:val="nil"/>
              <w:left w:val="nil"/>
              <w:bottom w:val="single" w:sz="8" w:space="0" w:color="auto"/>
              <w:right w:val="single" w:sz="8" w:space="0" w:color="auto"/>
            </w:tcBorders>
            <w:shd w:val="clear" w:color="auto" w:fill="auto"/>
            <w:noWrap/>
            <w:vAlign w:val="center"/>
            <w:hideMark/>
          </w:tcPr>
          <w:p w14:paraId="3A1159EE" w14:textId="77777777" w:rsidR="009A4C46" w:rsidRPr="00F94FED" w:rsidRDefault="009A4C46">
            <w:pPr>
              <w:spacing w:after="0" w:line="240" w:lineRule="auto"/>
              <w:jc w:val="right"/>
              <w:rPr>
                <w:rFonts w:eastAsia="Times New Roman"/>
                <w:lang w:eastAsia="ru-RU"/>
              </w:rPr>
            </w:pPr>
            <w:r w:rsidRPr="00F94FED">
              <w:rPr>
                <w:rFonts w:eastAsia="Times New Roman"/>
                <w:lang w:eastAsia="ru-RU"/>
              </w:rPr>
              <w:t> </w:t>
            </w:r>
          </w:p>
        </w:tc>
        <w:tc>
          <w:tcPr>
            <w:tcW w:w="1559" w:type="dxa"/>
            <w:tcBorders>
              <w:top w:val="nil"/>
              <w:left w:val="nil"/>
              <w:bottom w:val="single" w:sz="8" w:space="0" w:color="auto"/>
              <w:right w:val="single" w:sz="8" w:space="0" w:color="auto"/>
            </w:tcBorders>
            <w:shd w:val="clear" w:color="auto" w:fill="auto"/>
            <w:noWrap/>
            <w:vAlign w:val="center"/>
            <w:hideMark/>
          </w:tcPr>
          <w:p w14:paraId="46B3D8A0" w14:textId="77777777" w:rsidR="009A4C46" w:rsidRPr="009A4C46" w:rsidRDefault="009A4C46">
            <w:pPr>
              <w:spacing w:after="0" w:line="240" w:lineRule="auto"/>
              <w:rPr>
                <w:rFonts w:eastAsia="Times New Roman"/>
                <w:sz w:val="18"/>
                <w:szCs w:val="18"/>
                <w:lang w:eastAsia="ru-RU"/>
              </w:rPr>
            </w:pPr>
            <w:r w:rsidRPr="009A4C46">
              <w:rPr>
                <w:rFonts w:eastAsia="Times New Roman"/>
                <w:sz w:val="18"/>
                <w:szCs w:val="18"/>
                <w:lang w:eastAsia="ru-RU"/>
              </w:rPr>
              <w:t> </w:t>
            </w:r>
          </w:p>
        </w:tc>
      </w:tr>
      <w:tr w:rsidR="009A4C46" w:rsidRPr="009A4C46" w14:paraId="7EB2C66A" w14:textId="77777777" w:rsidTr="00070F3E">
        <w:trPr>
          <w:trHeight w:val="315"/>
        </w:trPr>
        <w:tc>
          <w:tcPr>
            <w:tcW w:w="3407" w:type="dxa"/>
            <w:tcBorders>
              <w:top w:val="nil"/>
              <w:left w:val="single" w:sz="8" w:space="0" w:color="auto"/>
              <w:bottom w:val="single" w:sz="8" w:space="0" w:color="auto"/>
              <w:right w:val="single" w:sz="8" w:space="0" w:color="auto"/>
            </w:tcBorders>
            <w:shd w:val="clear" w:color="auto" w:fill="auto"/>
            <w:vAlign w:val="center"/>
            <w:hideMark/>
          </w:tcPr>
          <w:p w14:paraId="61714A50" w14:textId="77777777" w:rsidR="009A4C46" w:rsidRPr="00F94FED" w:rsidRDefault="009A4C46" w:rsidP="005C3ACA">
            <w:pPr>
              <w:spacing w:after="0" w:line="240" w:lineRule="auto"/>
              <w:rPr>
                <w:rFonts w:eastAsia="Times New Roman"/>
                <w:lang w:eastAsia="ru-RU"/>
              </w:rPr>
            </w:pPr>
            <w:r w:rsidRPr="00F94FED">
              <w:rPr>
                <w:rFonts w:eastAsia="Times New Roman"/>
                <w:lang w:eastAsia="ru-RU"/>
              </w:rPr>
              <w:t>от передачи электроэнергии</w:t>
            </w:r>
          </w:p>
        </w:tc>
        <w:tc>
          <w:tcPr>
            <w:tcW w:w="1480" w:type="dxa"/>
            <w:tcBorders>
              <w:top w:val="nil"/>
              <w:left w:val="nil"/>
              <w:bottom w:val="single" w:sz="8" w:space="0" w:color="auto"/>
              <w:right w:val="single" w:sz="8" w:space="0" w:color="auto"/>
            </w:tcBorders>
            <w:shd w:val="clear" w:color="auto" w:fill="auto"/>
            <w:noWrap/>
            <w:vAlign w:val="center"/>
            <w:hideMark/>
          </w:tcPr>
          <w:p w14:paraId="523CD047" w14:textId="77777777" w:rsidR="009A4C46" w:rsidRPr="00F94FED" w:rsidRDefault="009A4C46">
            <w:pPr>
              <w:spacing w:after="0" w:line="240" w:lineRule="auto"/>
              <w:jc w:val="right"/>
              <w:rPr>
                <w:rFonts w:eastAsia="Times New Roman"/>
                <w:lang w:eastAsia="ru-RU"/>
              </w:rPr>
            </w:pPr>
            <w:r w:rsidRPr="00F94FED">
              <w:rPr>
                <w:rFonts w:eastAsia="Times New Roman"/>
                <w:lang w:eastAsia="ru-RU"/>
              </w:rPr>
              <w:t>-130 972</w:t>
            </w:r>
          </w:p>
        </w:tc>
        <w:tc>
          <w:tcPr>
            <w:tcW w:w="1480" w:type="dxa"/>
            <w:tcBorders>
              <w:top w:val="nil"/>
              <w:left w:val="nil"/>
              <w:bottom w:val="single" w:sz="8" w:space="0" w:color="auto"/>
              <w:right w:val="single" w:sz="8" w:space="0" w:color="auto"/>
            </w:tcBorders>
            <w:shd w:val="clear" w:color="auto" w:fill="auto"/>
            <w:noWrap/>
            <w:vAlign w:val="center"/>
            <w:hideMark/>
          </w:tcPr>
          <w:p w14:paraId="020F1F3F" w14:textId="77777777" w:rsidR="009A4C46" w:rsidRPr="00F94FED" w:rsidRDefault="009A4C46">
            <w:pPr>
              <w:spacing w:after="0" w:line="240" w:lineRule="auto"/>
              <w:jc w:val="right"/>
              <w:rPr>
                <w:rFonts w:eastAsia="Times New Roman"/>
                <w:lang w:eastAsia="ru-RU"/>
              </w:rPr>
            </w:pPr>
            <w:r w:rsidRPr="00F94FED">
              <w:rPr>
                <w:rFonts w:eastAsia="Times New Roman"/>
                <w:lang w:eastAsia="ru-RU"/>
              </w:rPr>
              <w:t>-917 510</w:t>
            </w:r>
          </w:p>
        </w:tc>
        <w:tc>
          <w:tcPr>
            <w:tcW w:w="1576" w:type="dxa"/>
            <w:tcBorders>
              <w:top w:val="nil"/>
              <w:left w:val="nil"/>
              <w:bottom w:val="single" w:sz="8" w:space="0" w:color="auto"/>
              <w:right w:val="single" w:sz="8" w:space="0" w:color="auto"/>
            </w:tcBorders>
            <w:shd w:val="clear" w:color="auto" w:fill="auto"/>
            <w:noWrap/>
            <w:vAlign w:val="center"/>
            <w:hideMark/>
          </w:tcPr>
          <w:p w14:paraId="192E5322" w14:textId="77777777" w:rsidR="009A4C46" w:rsidRPr="00F94FED" w:rsidRDefault="009A4C46">
            <w:pPr>
              <w:spacing w:after="0" w:line="240" w:lineRule="auto"/>
              <w:jc w:val="right"/>
              <w:rPr>
                <w:rFonts w:eastAsia="Times New Roman"/>
                <w:lang w:eastAsia="ru-RU"/>
              </w:rPr>
            </w:pPr>
            <w:r w:rsidRPr="00F94FED">
              <w:rPr>
                <w:rFonts w:eastAsia="Times New Roman"/>
                <w:lang w:eastAsia="ru-RU"/>
              </w:rPr>
              <w:t>-786 538</w:t>
            </w:r>
          </w:p>
        </w:tc>
        <w:tc>
          <w:tcPr>
            <w:tcW w:w="1559" w:type="dxa"/>
            <w:tcBorders>
              <w:top w:val="nil"/>
              <w:left w:val="nil"/>
              <w:bottom w:val="single" w:sz="8" w:space="0" w:color="auto"/>
              <w:right w:val="single" w:sz="8" w:space="0" w:color="auto"/>
            </w:tcBorders>
            <w:shd w:val="clear" w:color="auto" w:fill="auto"/>
            <w:noWrap/>
            <w:vAlign w:val="center"/>
            <w:hideMark/>
          </w:tcPr>
          <w:p w14:paraId="21380F61" w14:textId="77777777" w:rsidR="009A4C46" w:rsidRPr="009A4C46" w:rsidRDefault="009A4C46">
            <w:pPr>
              <w:spacing w:after="0" w:line="240" w:lineRule="auto"/>
              <w:jc w:val="right"/>
              <w:rPr>
                <w:rFonts w:eastAsia="Times New Roman"/>
                <w:sz w:val="18"/>
                <w:szCs w:val="18"/>
                <w:lang w:eastAsia="ru-RU"/>
              </w:rPr>
            </w:pPr>
            <w:r w:rsidRPr="009A4C46">
              <w:rPr>
                <w:rFonts w:eastAsia="Times New Roman"/>
                <w:sz w:val="18"/>
                <w:szCs w:val="18"/>
                <w:lang w:eastAsia="ru-RU"/>
              </w:rPr>
              <w:t>601%</w:t>
            </w:r>
          </w:p>
        </w:tc>
      </w:tr>
      <w:tr w:rsidR="009A4C46" w:rsidRPr="009A4C46" w14:paraId="0C4E274A" w14:textId="77777777" w:rsidTr="00070F3E">
        <w:trPr>
          <w:trHeight w:val="315"/>
        </w:trPr>
        <w:tc>
          <w:tcPr>
            <w:tcW w:w="3407" w:type="dxa"/>
            <w:tcBorders>
              <w:top w:val="nil"/>
              <w:left w:val="single" w:sz="8" w:space="0" w:color="auto"/>
              <w:bottom w:val="single" w:sz="8" w:space="0" w:color="auto"/>
              <w:right w:val="single" w:sz="8" w:space="0" w:color="auto"/>
            </w:tcBorders>
            <w:shd w:val="clear" w:color="auto" w:fill="auto"/>
            <w:vAlign w:val="center"/>
            <w:hideMark/>
          </w:tcPr>
          <w:p w14:paraId="2B72C9F8" w14:textId="77777777" w:rsidR="009A4C46" w:rsidRPr="00F94FED" w:rsidRDefault="009A4C46" w:rsidP="005C3ACA">
            <w:pPr>
              <w:spacing w:after="0" w:line="240" w:lineRule="auto"/>
              <w:rPr>
                <w:rFonts w:eastAsia="Times New Roman"/>
                <w:lang w:eastAsia="ru-RU"/>
              </w:rPr>
            </w:pPr>
            <w:r w:rsidRPr="00F94FED">
              <w:rPr>
                <w:rFonts w:eastAsia="Times New Roman"/>
                <w:lang w:eastAsia="ru-RU"/>
              </w:rPr>
              <w:t xml:space="preserve">от техприсоединения </w:t>
            </w:r>
          </w:p>
        </w:tc>
        <w:tc>
          <w:tcPr>
            <w:tcW w:w="1480" w:type="dxa"/>
            <w:tcBorders>
              <w:top w:val="nil"/>
              <w:left w:val="nil"/>
              <w:bottom w:val="single" w:sz="8" w:space="0" w:color="auto"/>
              <w:right w:val="single" w:sz="8" w:space="0" w:color="auto"/>
            </w:tcBorders>
            <w:shd w:val="clear" w:color="auto" w:fill="auto"/>
            <w:noWrap/>
            <w:vAlign w:val="center"/>
            <w:hideMark/>
          </w:tcPr>
          <w:p w14:paraId="6DBAF380" w14:textId="77777777" w:rsidR="009A4C46" w:rsidRPr="00F94FED" w:rsidRDefault="009A4C46">
            <w:pPr>
              <w:spacing w:after="0" w:line="240" w:lineRule="auto"/>
              <w:jc w:val="right"/>
              <w:rPr>
                <w:rFonts w:eastAsia="Times New Roman"/>
                <w:lang w:eastAsia="ru-RU"/>
              </w:rPr>
            </w:pPr>
            <w:r w:rsidRPr="00F94FED">
              <w:rPr>
                <w:rFonts w:eastAsia="Times New Roman"/>
                <w:lang w:eastAsia="ru-RU"/>
              </w:rPr>
              <w:t>498 414</w:t>
            </w:r>
          </w:p>
        </w:tc>
        <w:tc>
          <w:tcPr>
            <w:tcW w:w="1480" w:type="dxa"/>
            <w:tcBorders>
              <w:top w:val="nil"/>
              <w:left w:val="nil"/>
              <w:bottom w:val="single" w:sz="8" w:space="0" w:color="auto"/>
              <w:right w:val="single" w:sz="8" w:space="0" w:color="auto"/>
            </w:tcBorders>
            <w:shd w:val="clear" w:color="auto" w:fill="auto"/>
            <w:noWrap/>
            <w:vAlign w:val="center"/>
            <w:hideMark/>
          </w:tcPr>
          <w:p w14:paraId="381C6F7C" w14:textId="77777777" w:rsidR="009A4C46" w:rsidRPr="00F94FED" w:rsidRDefault="009A4C46">
            <w:pPr>
              <w:spacing w:after="0" w:line="240" w:lineRule="auto"/>
              <w:jc w:val="right"/>
              <w:rPr>
                <w:rFonts w:eastAsia="Times New Roman"/>
                <w:lang w:eastAsia="ru-RU"/>
              </w:rPr>
            </w:pPr>
            <w:r w:rsidRPr="00F94FED">
              <w:rPr>
                <w:rFonts w:eastAsia="Times New Roman"/>
                <w:lang w:eastAsia="ru-RU"/>
              </w:rPr>
              <w:t>14 992</w:t>
            </w:r>
          </w:p>
        </w:tc>
        <w:tc>
          <w:tcPr>
            <w:tcW w:w="1576" w:type="dxa"/>
            <w:tcBorders>
              <w:top w:val="nil"/>
              <w:left w:val="nil"/>
              <w:bottom w:val="single" w:sz="8" w:space="0" w:color="auto"/>
              <w:right w:val="single" w:sz="8" w:space="0" w:color="auto"/>
            </w:tcBorders>
            <w:shd w:val="clear" w:color="auto" w:fill="auto"/>
            <w:noWrap/>
            <w:vAlign w:val="center"/>
            <w:hideMark/>
          </w:tcPr>
          <w:p w14:paraId="35EDB6CC" w14:textId="77777777" w:rsidR="009A4C46" w:rsidRPr="00F94FED" w:rsidRDefault="009A4C46">
            <w:pPr>
              <w:spacing w:after="0" w:line="240" w:lineRule="auto"/>
              <w:jc w:val="right"/>
              <w:rPr>
                <w:rFonts w:eastAsia="Times New Roman"/>
                <w:lang w:eastAsia="ru-RU"/>
              </w:rPr>
            </w:pPr>
            <w:r w:rsidRPr="00F94FED">
              <w:rPr>
                <w:rFonts w:eastAsia="Times New Roman"/>
                <w:lang w:eastAsia="ru-RU"/>
              </w:rPr>
              <w:t>-483 422</w:t>
            </w:r>
          </w:p>
        </w:tc>
        <w:tc>
          <w:tcPr>
            <w:tcW w:w="1559" w:type="dxa"/>
            <w:tcBorders>
              <w:top w:val="nil"/>
              <w:left w:val="nil"/>
              <w:bottom w:val="single" w:sz="8" w:space="0" w:color="auto"/>
              <w:right w:val="single" w:sz="8" w:space="0" w:color="auto"/>
            </w:tcBorders>
            <w:shd w:val="clear" w:color="auto" w:fill="auto"/>
            <w:noWrap/>
            <w:vAlign w:val="center"/>
            <w:hideMark/>
          </w:tcPr>
          <w:p w14:paraId="7B8A8646" w14:textId="77777777" w:rsidR="009A4C46" w:rsidRPr="009A4C46" w:rsidRDefault="009A4C46">
            <w:pPr>
              <w:spacing w:after="0" w:line="240" w:lineRule="auto"/>
              <w:jc w:val="right"/>
              <w:rPr>
                <w:rFonts w:eastAsia="Times New Roman"/>
                <w:sz w:val="18"/>
                <w:szCs w:val="18"/>
                <w:lang w:eastAsia="ru-RU"/>
              </w:rPr>
            </w:pPr>
            <w:r w:rsidRPr="009A4C46">
              <w:rPr>
                <w:rFonts w:eastAsia="Times New Roman"/>
                <w:sz w:val="18"/>
                <w:szCs w:val="18"/>
                <w:lang w:eastAsia="ru-RU"/>
              </w:rPr>
              <w:t>-97%</w:t>
            </w:r>
          </w:p>
        </w:tc>
      </w:tr>
      <w:tr w:rsidR="009A4C46" w:rsidRPr="009A4C46" w14:paraId="7A0C0EE7" w14:textId="77777777" w:rsidTr="00070F3E">
        <w:trPr>
          <w:trHeight w:val="315"/>
        </w:trPr>
        <w:tc>
          <w:tcPr>
            <w:tcW w:w="3407" w:type="dxa"/>
            <w:tcBorders>
              <w:top w:val="nil"/>
              <w:left w:val="single" w:sz="8" w:space="0" w:color="auto"/>
              <w:bottom w:val="single" w:sz="8" w:space="0" w:color="auto"/>
              <w:right w:val="single" w:sz="8" w:space="0" w:color="auto"/>
            </w:tcBorders>
            <w:shd w:val="clear" w:color="auto" w:fill="auto"/>
            <w:vAlign w:val="center"/>
            <w:hideMark/>
          </w:tcPr>
          <w:p w14:paraId="2D45FF1A" w14:textId="77777777" w:rsidR="009A4C46" w:rsidRPr="00F94FED" w:rsidRDefault="009A4C46" w:rsidP="005C3ACA">
            <w:pPr>
              <w:spacing w:after="0" w:line="240" w:lineRule="auto"/>
              <w:rPr>
                <w:rFonts w:eastAsia="Times New Roman"/>
                <w:lang w:eastAsia="ru-RU"/>
              </w:rPr>
            </w:pPr>
            <w:r w:rsidRPr="00F94FED">
              <w:rPr>
                <w:rFonts w:eastAsia="Times New Roman"/>
                <w:lang w:eastAsia="ru-RU"/>
              </w:rPr>
              <w:t>от  прочей продукции</w:t>
            </w:r>
          </w:p>
        </w:tc>
        <w:tc>
          <w:tcPr>
            <w:tcW w:w="1480" w:type="dxa"/>
            <w:tcBorders>
              <w:top w:val="nil"/>
              <w:left w:val="nil"/>
              <w:bottom w:val="single" w:sz="8" w:space="0" w:color="auto"/>
              <w:right w:val="single" w:sz="8" w:space="0" w:color="auto"/>
            </w:tcBorders>
            <w:shd w:val="clear" w:color="auto" w:fill="auto"/>
            <w:noWrap/>
            <w:vAlign w:val="center"/>
            <w:hideMark/>
          </w:tcPr>
          <w:p w14:paraId="71584B47" w14:textId="77777777" w:rsidR="009A4C46" w:rsidRPr="00F94FED" w:rsidRDefault="009A4C46">
            <w:pPr>
              <w:spacing w:after="0" w:line="240" w:lineRule="auto"/>
              <w:jc w:val="right"/>
              <w:rPr>
                <w:rFonts w:eastAsia="Times New Roman"/>
                <w:lang w:eastAsia="ru-RU"/>
              </w:rPr>
            </w:pPr>
            <w:r w:rsidRPr="00F94FED">
              <w:rPr>
                <w:rFonts w:eastAsia="Times New Roman"/>
                <w:lang w:eastAsia="ru-RU"/>
              </w:rPr>
              <w:t>24 920</w:t>
            </w:r>
          </w:p>
        </w:tc>
        <w:tc>
          <w:tcPr>
            <w:tcW w:w="1480" w:type="dxa"/>
            <w:tcBorders>
              <w:top w:val="nil"/>
              <w:left w:val="nil"/>
              <w:bottom w:val="single" w:sz="8" w:space="0" w:color="auto"/>
              <w:right w:val="single" w:sz="8" w:space="0" w:color="auto"/>
            </w:tcBorders>
            <w:shd w:val="clear" w:color="auto" w:fill="auto"/>
            <w:noWrap/>
            <w:vAlign w:val="center"/>
            <w:hideMark/>
          </w:tcPr>
          <w:p w14:paraId="634CE3E5" w14:textId="77777777" w:rsidR="009A4C46" w:rsidRPr="00F94FED" w:rsidRDefault="009A4C46">
            <w:pPr>
              <w:spacing w:after="0" w:line="240" w:lineRule="auto"/>
              <w:jc w:val="right"/>
              <w:rPr>
                <w:rFonts w:eastAsia="Times New Roman"/>
                <w:lang w:eastAsia="ru-RU"/>
              </w:rPr>
            </w:pPr>
            <w:r w:rsidRPr="00F94FED">
              <w:rPr>
                <w:rFonts w:eastAsia="Times New Roman"/>
                <w:lang w:eastAsia="ru-RU"/>
              </w:rPr>
              <w:t>7 321</w:t>
            </w:r>
          </w:p>
        </w:tc>
        <w:tc>
          <w:tcPr>
            <w:tcW w:w="1576" w:type="dxa"/>
            <w:tcBorders>
              <w:top w:val="nil"/>
              <w:left w:val="nil"/>
              <w:bottom w:val="single" w:sz="8" w:space="0" w:color="auto"/>
              <w:right w:val="single" w:sz="8" w:space="0" w:color="auto"/>
            </w:tcBorders>
            <w:shd w:val="clear" w:color="auto" w:fill="auto"/>
            <w:noWrap/>
            <w:vAlign w:val="center"/>
            <w:hideMark/>
          </w:tcPr>
          <w:p w14:paraId="17CFA0D6" w14:textId="77777777" w:rsidR="009A4C46" w:rsidRPr="00F94FED" w:rsidRDefault="009A4C46">
            <w:pPr>
              <w:spacing w:after="0" w:line="240" w:lineRule="auto"/>
              <w:jc w:val="right"/>
              <w:rPr>
                <w:rFonts w:eastAsia="Times New Roman"/>
                <w:lang w:eastAsia="ru-RU"/>
              </w:rPr>
            </w:pPr>
            <w:r w:rsidRPr="00F94FED">
              <w:rPr>
                <w:rFonts w:eastAsia="Times New Roman"/>
                <w:lang w:eastAsia="ru-RU"/>
              </w:rPr>
              <w:t>-17 598</w:t>
            </w:r>
          </w:p>
        </w:tc>
        <w:tc>
          <w:tcPr>
            <w:tcW w:w="1559" w:type="dxa"/>
            <w:tcBorders>
              <w:top w:val="nil"/>
              <w:left w:val="nil"/>
              <w:bottom w:val="single" w:sz="8" w:space="0" w:color="auto"/>
              <w:right w:val="single" w:sz="8" w:space="0" w:color="auto"/>
            </w:tcBorders>
            <w:shd w:val="clear" w:color="auto" w:fill="auto"/>
            <w:noWrap/>
            <w:vAlign w:val="center"/>
            <w:hideMark/>
          </w:tcPr>
          <w:p w14:paraId="1359E0A6" w14:textId="77777777" w:rsidR="009A4C46" w:rsidRPr="009A4C46" w:rsidRDefault="009A4C46">
            <w:pPr>
              <w:spacing w:after="0" w:line="240" w:lineRule="auto"/>
              <w:jc w:val="right"/>
              <w:rPr>
                <w:rFonts w:eastAsia="Times New Roman"/>
                <w:sz w:val="18"/>
                <w:szCs w:val="18"/>
                <w:lang w:eastAsia="ru-RU"/>
              </w:rPr>
            </w:pPr>
            <w:r w:rsidRPr="009A4C46">
              <w:rPr>
                <w:rFonts w:eastAsia="Times New Roman"/>
                <w:sz w:val="18"/>
                <w:szCs w:val="18"/>
                <w:lang w:eastAsia="ru-RU"/>
              </w:rPr>
              <w:t>-71%</w:t>
            </w:r>
          </w:p>
        </w:tc>
      </w:tr>
    </w:tbl>
    <w:p w14:paraId="3BA4A283" w14:textId="77777777" w:rsidR="009A4C46" w:rsidRPr="00F94FED" w:rsidRDefault="009A4C46" w:rsidP="00F94FED">
      <w:pPr>
        <w:autoSpaceDE w:val="0"/>
        <w:autoSpaceDN w:val="0"/>
        <w:adjustRightInd w:val="0"/>
        <w:spacing w:after="0" w:line="360" w:lineRule="auto"/>
        <w:ind w:firstLine="567"/>
        <w:jc w:val="both"/>
        <w:rPr>
          <w:rFonts w:eastAsia="Times New Roman"/>
          <w:color w:val="000000"/>
          <w:sz w:val="26"/>
          <w:szCs w:val="26"/>
          <w:lang w:eastAsia="ru-RU"/>
        </w:rPr>
      </w:pPr>
    </w:p>
    <w:p w14:paraId="35FB5953" w14:textId="2D8A7E24" w:rsidR="009A4C46" w:rsidRPr="00F94FED" w:rsidRDefault="009A4C46" w:rsidP="00F94FED">
      <w:pPr>
        <w:autoSpaceDE w:val="0"/>
        <w:autoSpaceDN w:val="0"/>
        <w:adjustRightInd w:val="0"/>
        <w:spacing w:after="0" w:line="360" w:lineRule="auto"/>
        <w:ind w:firstLine="567"/>
        <w:jc w:val="both"/>
        <w:rPr>
          <w:rFonts w:eastAsia="Times New Roman"/>
          <w:color w:val="000000"/>
          <w:sz w:val="26"/>
          <w:szCs w:val="26"/>
          <w:lang w:eastAsia="ru-RU"/>
        </w:rPr>
      </w:pPr>
      <w:r w:rsidRPr="00F94FED">
        <w:rPr>
          <w:rFonts w:eastAsia="Times New Roman"/>
          <w:color w:val="000000"/>
          <w:sz w:val="26"/>
          <w:szCs w:val="26"/>
          <w:lang w:eastAsia="ru-RU"/>
        </w:rPr>
        <w:t xml:space="preserve">Исполнитель отмечает значительное снижение выручки в </w:t>
      </w:r>
      <w:smartTag w:uri="urn:schemas-microsoft-com:office:smarttags" w:element="metricconverter">
        <w:smartTagPr>
          <w:attr w:name="ProductID" w:val="2018 г"/>
        </w:smartTagPr>
        <w:r w:rsidRPr="00F94FED">
          <w:rPr>
            <w:rFonts w:eastAsia="Times New Roman"/>
            <w:color w:val="000000"/>
            <w:sz w:val="26"/>
            <w:szCs w:val="26"/>
            <w:lang w:eastAsia="ru-RU"/>
          </w:rPr>
          <w:t>2018 году</w:t>
        </w:r>
      </w:smartTag>
      <w:r w:rsidRPr="00F94FED">
        <w:rPr>
          <w:rFonts w:eastAsia="Times New Roman"/>
          <w:color w:val="000000"/>
          <w:sz w:val="26"/>
          <w:szCs w:val="26"/>
          <w:lang w:eastAsia="ru-RU"/>
        </w:rPr>
        <w:t xml:space="preserve"> по сравнению с соответствующим показателем 2017 </w:t>
      </w:r>
      <w:r w:rsidR="00585D36">
        <w:rPr>
          <w:rFonts w:eastAsia="Times New Roman"/>
          <w:color w:val="000000"/>
          <w:sz w:val="26"/>
          <w:szCs w:val="26"/>
          <w:lang w:eastAsia="ru-RU"/>
        </w:rPr>
        <w:t>года</w:t>
      </w:r>
      <w:r w:rsidRPr="00F94FED">
        <w:rPr>
          <w:rFonts w:eastAsia="Times New Roman"/>
          <w:color w:val="000000"/>
          <w:sz w:val="26"/>
          <w:szCs w:val="26"/>
          <w:lang w:eastAsia="ru-RU"/>
        </w:rPr>
        <w:t>. Данный факт в большей степени обусловлен снижением выручки по виду деятельности «Технологическое присоединение» на 593 252 тыс. руб. или 95%, рост выручк</w:t>
      </w:r>
      <w:r w:rsidR="005C3ACA">
        <w:rPr>
          <w:rFonts w:eastAsia="Times New Roman"/>
          <w:color w:val="000000"/>
          <w:sz w:val="26"/>
          <w:szCs w:val="26"/>
          <w:lang w:eastAsia="ru-RU"/>
        </w:rPr>
        <w:t>и</w:t>
      </w:r>
      <w:r w:rsidRPr="00F94FED">
        <w:rPr>
          <w:rFonts w:eastAsia="Times New Roman"/>
          <w:color w:val="000000"/>
          <w:sz w:val="26"/>
          <w:szCs w:val="26"/>
          <w:lang w:eastAsia="ru-RU"/>
        </w:rPr>
        <w:t xml:space="preserve"> по виду деятельности «Передача электрической энергии»» составил 151 012 тыс. руб. или 13%.</w:t>
      </w:r>
    </w:p>
    <w:p w14:paraId="069EA7E9" w14:textId="3515FCE7" w:rsidR="009A4C46" w:rsidRPr="00F94FED" w:rsidRDefault="009A4C46" w:rsidP="00F94FED">
      <w:pPr>
        <w:autoSpaceDE w:val="0"/>
        <w:autoSpaceDN w:val="0"/>
        <w:adjustRightInd w:val="0"/>
        <w:spacing w:after="0" w:line="360" w:lineRule="auto"/>
        <w:ind w:firstLine="567"/>
        <w:jc w:val="both"/>
        <w:rPr>
          <w:rFonts w:eastAsia="Times New Roman"/>
          <w:color w:val="000000"/>
          <w:sz w:val="26"/>
          <w:szCs w:val="26"/>
          <w:lang w:eastAsia="ru-RU"/>
        </w:rPr>
      </w:pPr>
      <w:r w:rsidRPr="00F94FED">
        <w:rPr>
          <w:rFonts w:eastAsia="Times New Roman"/>
          <w:color w:val="000000"/>
          <w:sz w:val="26"/>
          <w:szCs w:val="26"/>
          <w:lang w:eastAsia="ru-RU"/>
        </w:rPr>
        <w:t xml:space="preserve">Однако, деятельность АО «Тываэнерго» как за </w:t>
      </w:r>
      <w:smartTag w:uri="urn:schemas-microsoft-com:office:smarttags" w:element="metricconverter">
        <w:smartTagPr>
          <w:attr w:name="ProductID" w:val="2017 г"/>
        </w:smartTagPr>
        <w:r w:rsidRPr="00F94FED">
          <w:rPr>
            <w:rFonts w:eastAsia="Times New Roman"/>
            <w:color w:val="000000"/>
            <w:sz w:val="26"/>
            <w:szCs w:val="26"/>
            <w:lang w:eastAsia="ru-RU"/>
          </w:rPr>
          <w:t>2017 год</w:t>
        </w:r>
      </w:smartTag>
      <w:r w:rsidRPr="00F94FED">
        <w:rPr>
          <w:rFonts w:eastAsia="Times New Roman"/>
          <w:color w:val="000000"/>
          <w:sz w:val="26"/>
          <w:szCs w:val="26"/>
          <w:lang w:eastAsia="ru-RU"/>
        </w:rPr>
        <w:t xml:space="preserve">, так и за </w:t>
      </w:r>
      <w:smartTag w:uri="urn:schemas-microsoft-com:office:smarttags" w:element="metricconverter">
        <w:smartTagPr>
          <w:attr w:name="ProductID" w:val="2018 г"/>
        </w:smartTagPr>
        <w:r w:rsidRPr="00F94FED">
          <w:rPr>
            <w:rFonts w:eastAsia="Times New Roman"/>
            <w:color w:val="000000"/>
            <w:sz w:val="26"/>
            <w:szCs w:val="26"/>
            <w:lang w:eastAsia="ru-RU"/>
          </w:rPr>
          <w:t>2018 год</w:t>
        </w:r>
      </w:smartTag>
      <w:r w:rsidRPr="00F94FED">
        <w:rPr>
          <w:rFonts w:eastAsia="Times New Roman"/>
          <w:color w:val="000000"/>
          <w:sz w:val="26"/>
          <w:szCs w:val="26"/>
          <w:lang w:eastAsia="ru-RU"/>
        </w:rPr>
        <w:t xml:space="preserve"> является убыточной. При этом, убыток формируется по регулируемому виду деятельности – оказание услуг по передаче электрической энергии.</w:t>
      </w:r>
    </w:p>
    <w:p w14:paraId="0F9C588F" w14:textId="77777777" w:rsidR="009A4C46" w:rsidRPr="00F94FED" w:rsidRDefault="009A4C46" w:rsidP="00F94FED">
      <w:pPr>
        <w:autoSpaceDE w:val="0"/>
        <w:autoSpaceDN w:val="0"/>
        <w:adjustRightInd w:val="0"/>
        <w:spacing w:after="0" w:line="360" w:lineRule="auto"/>
        <w:ind w:firstLine="567"/>
        <w:jc w:val="both"/>
        <w:rPr>
          <w:rFonts w:eastAsia="Times New Roman"/>
          <w:color w:val="000000"/>
          <w:sz w:val="26"/>
          <w:szCs w:val="26"/>
          <w:lang w:eastAsia="ru-RU"/>
        </w:rPr>
      </w:pPr>
      <w:r w:rsidRPr="00F94FED">
        <w:rPr>
          <w:rFonts w:eastAsia="Times New Roman"/>
          <w:color w:val="000000"/>
          <w:sz w:val="26"/>
          <w:szCs w:val="26"/>
          <w:lang w:eastAsia="ru-RU"/>
        </w:rPr>
        <w:t xml:space="preserve">В настоящем отчете в разделе «Анализ экономически обоснованных выпадающих расходов/недополученных доходов, полученных АО «Тываэнерго» за 2017-2018 гг. в результате принятых Службой по тарифам Республика Тыва тарифно-балансовых решений, в том числе анализ соответствия фактической товарной выручки АО «Тываэнерго» от передачи электрической энергии по единым (котловым) тарифам необходимой валовой выручке, утвержденной регулирующим органом» Исполнителем был представлен сравнительный анализ  фактических расходов АО «Тываэнерго» и расходов, утвержденных регулирующим органом в составе НВВ. </w:t>
      </w:r>
    </w:p>
    <w:p w14:paraId="7BFE214A" w14:textId="77777777" w:rsidR="009A4C46" w:rsidRPr="00F94FED" w:rsidRDefault="009A4C46" w:rsidP="00F94FED">
      <w:pPr>
        <w:autoSpaceDE w:val="0"/>
        <w:autoSpaceDN w:val="0"/>
        <w:adjustRightInd w:val="0"/>
        <w:spacing w:after="0" w:line="360" w:lineRule="auto"/>
        <w:ind w:firstLine="567"/>
        <w:jc w:val="both"/>
        <w:rPr>
          <w:rFonts w:eastAsia="Times New Roman"/>
          <w:color w:val="000000"/>
          <w:sz w:val="26"/>
          <w:szCs w:val="26"/>
          <w:lang w:eastAsia="ru-RU"/>
        </w:rPr>
      </w:pPr>
      <w:r w:rsidRPr="00F94FED">
        <w:rPr>
          <w:rFonts w:eastAsia="Times New Roman"/>
          <w:color w:val="000000"/>
          <w:sz w:val="26"/>
          <w:szCs w:val="26"/>
          <w:lang w:eastAsia="ru-RU"/>
        </w:rPr>
        <w:t xml:space="preserve">Значительное влияние на формирование убытка АО «Тываэнерго» оказал факт не учета в составе НВВ как в 2017 году, так и 2018 году расходов, которые </w:t>
      </w:r>
      <w:r w:rsidRPr="00F94FED">
        <w:rPr>
          <w:rFonts w:eastAsia="Times New Roman"/>
          <w:color w:val="000000"/>
          <w:sz w:val="26"/>
          <w:szCs w:val="26"/>
          <w:lang w:eastAsia="ru-RU"/>
        </w:rPr>
        <w:lastRenderedPageBreak/>
        <w:t>являются неизбежными для оказания надежных и качественных услуг по передаче электрической энергии на территории Республики Тыва.</w:t>
      </w:r>
    </w:p>
    <w:p w14:paraId="5F500EB0" w14:textId="2793EAE2" w:rsidR="009A4C46" w:rsidRPr="00F94FED" w:rsidRDefault="009A4C46" w:rsidP="00F94FED">
      <w:pPr>
        <w:autoSpaceDE w:val="0"/>
        <w:autoSpaceDN w:val="0"/>
        <w:adjustRightInd w:val="0"/>
        <w:spacing w:after="0" w:line="360" w:lineRule="auto"/>
        <w:ind w:firstLine="567"/>
        <w:jc w:val="both"/>
        <w:rPr>
          <w:rFonts w:eastAsia="Times New Roman"/>
          <w:color w:val="000000"/>
          <w:sz w:val="26"/>
          <w:szCs w:val="26"/>
          <w:lang w:eastAsia="ru-RU"/>
        </w:rPr>
      </w:pPr>
      <w:r w:rsidRPr="00F94FED">
        <w:rPr>
          <w:rFonts w:eastAsia="Times New Roman"/>
          <w:color w:val="000000"/>
          <w:sz w:val="26"/>
          <w:szCs w:val="26"/>
          <w:lang w:eastAsia="ru-RU"/>
        </w:rPr>
        <w:t>При проведении анализа необходимой валовой выручки, утвержденной Службой по тарифам Республика Тыва</w:t>
      </w:r>
      <w:r w:rsidRPr="00F94FED" w:rsidDel="005B0DFC">
        <w:rPr>
          <w:rFonts w:eastAsia="Times New Roman"/>
          <w:color w:val="000000"/>
          <w:sz w:val="26"/>
          <w:szCs w:val="26"/>
          <w:lang w:eastAsia="ru-RU"/>
        </w:rPr>
        <w:t xml:space="preserve"> </w:t>
      </w:r>
      <w:r w:rsidRPr="00F94FED">
        <w:rPr>
          <w:rFonts w:eastAsia="Times New Roman"/>
          <w:color w:val="000000"/>
          <w:sz w:val="26"/>
          <w:szCs w:val="26"/>
          <w:lang w:eastAsia="ru-RU"/>
        </w:rPr>
        <w:t>на 2017 – 2018 гг., Исполнителем было выявлено, что в результате принятия регулирующим органом величины подконтрольных расходов на период регулирования 2012 – 2019 гг</w:t>
      </w:r>
      <w:r w:rsidR="005C3ACA">
        <w:rPr>
          <w:rFonts w:eastAsia="Times New Roman"/>
          <w:color w:val="000000"/>
          <w:sz w:val="26"/>
          <w:szCs w:val="26"/>
          <w:lang w:eastAsia="ru-RU"/>
        </w:rPr>
        <w:t>.</w:t>
      </w:r>
      <w:r w:rsidRPr="00F94FED">
        <w:rPr>
          <w:rFonts w:eastAsia="Calibri"/>
          <w:sz w:val="26"/>
          <w:szCs w:val="26"/>
        </w:rPr>
        <w:t xml:space="preserve"> </w:t>
      </w:r>
      <w:r w:rsidRPr="00F94FED">
        <w:rPr>
          <w:rFonts w:eastAsia="Times New Roman"/>
          <w:color w:val="000000"/>
          <w:sz w:val="26"/>
          <w:szCs w:val="26"/>
          <w:lang w:eastAsia="ru-RU"/>
        </w:rPr>
        <w:t>индекс изменения количества активов рассчитывается некорректно, и как следствие уровень подконтрольных расходов.</w:t>
      </w:r>
    </w:p>
    <w:p w14:paraId="1D506B0E" w14:textId="77777777" w:rsidR="009A4C46" w:rsidRPr="00F94FED" w:rsidRDefault="009A4C46" w:rsidP="00F94FED">
      <w:pPr>
        <w:autoSpaceDE w:val="0"/>
        <w:autoSpaceDN w:val="0"/>
        <w:adjustRightInd w:val="0"/>
        <w:spacing w:after="0" w:line="360" w:lineRule="auto"/>
        <w:ind w:firstLine="567"/>
        <w:jc w:val="both"/>
        <w:rPr>
          <w:rFonts w:eastAsia="Times New Roman"/>
          <w:sz w:val="26"/>
          <w:szCs w:val="26"/>
          <w:lang w:eastAsia="ru-RU"/>
        </w:rPr>
      </w:pPr>
      <w:r w:rsidRPr="00F94FED">
        <w:rPr>
          <w:rFonts w:eastAsia="Times New Roman"/>
          <w:sz w:val="26"/>
          <w:szCs w:val="26"/>
          <w:lang w:eastAsia="ru-RU"/>
        </w:rPr>
        <w:t>Кроме изложенного выше, Службой по тарифам Республика Тыва</w:t>
      </w:r>
      <w:r w:rsidRPr="00F94FED" w:rsidDel="005B0DFC">
        <w:rPr>
          <w:rFonts w:eastAsia="Times New Roman"/>
          <w:sz w:val="26"/>
          <w:szCs w:val="26"/>
          <w:lang w:eastAsia="ru-RU"/>
        </w:rPr>
        <w:t xml:space="preserve"> </w:t>
      </w:r>
      <w:r w:rsidRPr="00F94FED">
        <w:rPr>
          <w:rFonts w:eastAsia="Times New Roman"/>
          <w:sz w:val="26"/>
          <w:szCs w:val="26"/>
          <w:lang w:eastAsia="ru-RU"/>
        </w:rPr>
        <w:t xml:space="preserve">не учитываются в полном объеме неподконтрольные расходы, в части дебиторской задолженности, расходы на оплату покупки потерь электрической энергии, а также корректировки по итогам прошлых лет, что существенно влияет на формирование отрицательного финансового результата. </w:t>
      </w:r>
    </w:p>
    <w:p w14:paraId="09AB44DB" w14:textId="061F60F2" w:rsidR="009A4C46" w:rsidRPr="00F94FED" w:rsidRDefault="009A4C46" w:rsidP="00F94FED">
      <w:pPr>
        <w:spacing w:after="0" w:line="360" w:lineRule="auto"/>
        <w:ind w:firstLine="567"/>
        <w:jc w:val="both"/>
        <w:rPr>
          <w:sz w:val="26"/>
          <w:szCs w:val="26"/>
        </w:rPr>
      </w:pPr>
      <w:r w:rsidRPr="00F94FED">
        <w:rPr>
          <w:rFonts w:eastAsia="Calibri"/>
          <w:sz w:val="26"/>
          <w:szCs w:val="26"/>
        </w:rPr>
        <w:t xml:space="preserve">На основании изложенного выше, Исполнитель отмечает, что ведение </w:t>
      </w:r>
      <w:r w:rsidR="00585D36">
        <w:rPr>
          <w:rFonts w:eastAsia="Calibri"/>
          <w:sz w:val="26"/>
          <w:szCs w:val="26"/>
        </w:rPr>
        <w:br/>
      </w:r>
      <w:r w:rsidRPr="00F94FED">
        <w:rPr>
          <w:rFonts w:eastAsia="Calibri"/>
          <w:sz w:val="26"/>
          <w:szCs w:val="26"/>
        </w:rPr>
        <w:t>АО «Тываэнерго» безубыточной деятельности возможно только при установлении экономически обоснованных тарифов на услуги по передаче электрической энергии.</w:t>
      </w:r>
      <w:bookmarkEnd w:id="18"/>
    </w:p>
    <w:sectPr w:rsidR="009A4C46" w:rsidRPr="00F94FED">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8F2B24" w14:textId="77777777" w:rsidR="00B87291" w:rsidRDefault="00B87291">
      <w:pPr>
        <w:spacing w:after="0" w:line="240" w:lineRule="auto"/>
      </w:pPr>
      <w:r>
        <w:separator/>
      </w:r>
    </w:p>
  </w:endnote>
  <w:endnote w:type="continuationSeparator" w:id="0">
    <w:p w14:paraId="3E9FA3E4" w14:textId="77777777" w:rsidR="00B87291" w:rsidRDefault="00B872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yriad Pro">
    <w:altName w:val="Arial"/>
    <w:panose1 w:val="020B0503030403020204"/>
    <w:charset w:val="00"/>
    <w:family w:val="swiss"/>
    <w:notTrueType/>
    <w:pitch w:val="variable"/>
    <w:sig w:usb0="20000287" w:usb1="00000001" w:usb2="00000000" w:usb3="00000000" w:csb0="0000019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harterC">
    <w:altName w:val="Arial"/>
    <w:panose1 w:val="00000000000000000000"/>
    <w:charset w:val="CC"/>
    <w:family w:val="modern"/>
    <w:notTrueType/>
    <w:pitch w:val="variable"/>
    <w:sig w:usb0="800002AF" w:usb1="1000004A" w:usb2="00000000" w:usb3="00000000" w:csb0="00000005" w:csb1="00000000"/>
  </w:font>
  <w:font w:name="Segoe UI">
    <w:panose1 w:val="020B0502040204020203"/>
    <w:charset w:val="CC"/>
    <w:family w:val="swiss"/>
    <w:pitch w:val="variable"/>
    <w:sig w:usb0="E4002EFF" w:usb1="C000E47F" w:usb2="00000009" w:usb3="00000000" w:csb0="000001FF" w:csb1="00000000"/>
  </w:font>
  <w:font w:name="Arial CYR">
    <w:panose1 w:val="020B0604020202020204"/>
    <w:charset w:val="CC"/>
    <w:family w:val="swiss"/>
    <w:pitch w:val="variable"/>
    <w:sig w:usb0="E0002AFF" w:usb1="C0007843" w:usb2="00000009" w:usb3="00000000" w:csb0="000001FF" w:csb1="00000000"/>
  </w:font>
  <w:font w:name="Garamond">
    <w:panose1 w:val="020204040303010108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Verdana">
    <w:panose1 w:val="020B0604030504040204"/>
    <w:charset w:val="CC"/>
    <w:family w:val="swiss"/>
    <w:pitch w:val="variable"/>
    <w:sig w:usb0="A10006FF" w:usb1="4000205B" w:usb2="00000010" w:usb3="00000000" w:csb0="0000019F" w:csb1="00000000"/>
  </w:font>
  <w:font w:name="Georgia">
    <w:panose1 w:val="02040502050405020303"/>
    <w:charset w:val="CC"/>
    <w:family w:val="roman"/>
    <w:pitch w:val="variable"/>
    <w:sig w:usb0="00000287" w:usb1="00000000" w:usb2="00000000" w:usb3="00000000" w:csb0="0000009F" w:csb1="00000000"/>
  </w:font>
  <w:font w:name="Palatino Linotype">
    <w:panose1 w:val="02040502050505030304"/>
    <w:charset w:val="CC"/>
    <w:family w:val="roman"/>
    <w:pitch w:val="variable"/>
    <w:sig w:usb0="E0000287" w:usb1="40000013" w:usb2="00000000" w:usb3="00000000" w:csb0="0000019F" w:csb1="00000000"/>
  </w:font>
  <w:font w:name="SimSun, 宋体">
    <w:charset w:val="00"/>
    <w:family w:val="auto"/>
    <w:pitch w:val="variable"/>
  </w:font>
  <w:font w:name="Tahoma">
    <w:panose1 w:val="020B0604030504040204"/>
    <w:charset w:val="CC"/>
    <w:family w:val="swiss"/>
    <w:pitch w:val="variable"/>
    <w:sig w:usb0="E1002EFF" w:usb1="C000605B" w:usb2="00000029" w:usb3="00000000" w:csb0="000101FF" w:csb1="00000000"/>
  </w:font>
  <w:font w:name="Furore">
    <w:panose1 w:val="02000503020000020004"/>
    <w:charset w:val="00"/>
    <w:family w:val="modern"/>
    <w:notTrueType/>
    <w:pitch w:val="variable"/>
    <w:sig w:usb0="80000283" w:usb1="0000000A" w:usb2="00000000" w:usb3="00000000" w:csb0="00000005" w:csb1="00000000"/>
  </w:font>
  <w:font w:name="Microsoft Sans Serif">
    <w:panose1 w:val="020B0604020202020204"/>
    <w:charset w:val="CC"/>
    <w:family w:val="swiss"/>
    <w:pitch w:val="variable"/>
    <w:sig w:usb0="E5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64013328"/>
      <w:docPartObj>
        <w:docPartGallery w:val="Page Numbers (Bottom of Page)"/>
        <w:docPartUnique/>
      </w:docPartObj>
    </w:sdtPr>
    <w:sdtEndPr>
      <w:rPr>
        <w:rFonts w:ascii="Furore" w:hAnsi="Furore"/>
        <w:color w:val="4F6228" w:themeColor="accent3" w:themeShade="80"/>
      </w:rPr>
    </w:sdtEndPr>
    <w:sdtContent>
      <w:p w14:paraId="7EF5A1D4" w14:textId="4A683CA3" w:rsidR="00BD7E1C" w:rsidRPr="00CE76BB" w:rsidRDefault="00BD7E1C">
        <w:pPr>
          <w:pStyle w:val="ab"/>
          <w:jc w:val="right"/>
          <w:rPr>
            <w:rFonts w:ascii="Furore" w:hAnsi="Furore"/>
            <w:color w:val="4F6228" w:themeColor="accent3" w:themeShade="80"/>
          </w:rPr>
        </w:pPr>
        <w:r w:rsidRPr="00CE76BB">
          <w:rPr>
            <w:rFonts w:ascii="Furore" w:hAnsi="Furore"/>
            <w:color w:val="4F6228" w:themeColor="accent3" w:themeShade="80"/>
          </w:rPr>
          <w:fldChar w:fldCharType="begin"/>
        </w:r>
        <w:r w:rsidRPr="00CE76BB">
          <w:rPr>
            <w:rFonts w:ascii="Furore" w:hAnsi="Furore"/>
            <w:color w:val="4F6228" w:themeColor="accent3" w:themeShade="80"/>
          </w:rPr>
          <w:instrText>PAGE   \* MERGEFORMAT</w:instrText>
        </w:r>
        <w:r w:rsidRPr="00CE76BB">
          <w:rPr>
            <w:rFonts w:ascii="Furore" w:hAnsi="Furore"/>
            <w:color w:val="4F6228" w:themeColor="accent3" w:themeShade="80"/>
          </w:rPr>
          <w:fldChar w:fldCharType="separate"/>
        </w:r>
        <w:r>
          <w:rPr>
            <w:rFonts w:ascii="Furore" w:hAnsi="Furore"/>
            <w:noProof/>
            <w:color w:val="4F6228" w:themeColor="accent3" w:themeShade="80"/>
          </w:rPr>
          <w:t>6</w:t>
        </w:r>
        <w:r w:rsidRPr="00CE76BB">
          <w:rPr>
            <w:rFonts w:ascii="Furore" w:hAnsi="Furore"/>
            <w:color w:val="4F6228" w:themeColor="accent3" w:themeShade="80"/>
          </w:rPr>
          <w:fldChar w:fldCharType="end"/>
        </w:r>
      </w:p>
    </w:sdtContent>
  </w:sdt>
  <w:p w14:paraId="304E4404" w14:textId="77777777" w:rsidR="00BD7E1C" w:rsidRPr="00CE76BB" w:rsidRDefault="00BD7E1C">
    <w:pPr>
      <w:pStyle w:val="ab"/>
      <w:rPr>
        <w:rFonts w:ascii="Furore" w:hAnsi="Furore"/>
        <w:color w:val="4F6228" w:themeColor="accent3" w:themeShade="8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81574868"/>
      <w:docPartObj>
        <w:docPartGallery w:val="Page Numbers (Bottom of Page)"/>
        <w:docPartUnique/>
      </w:docPartObj>
    </w:sdtPr>
    <w:sdtEndPr>
      <w:rPr>
        <w:rFonts w:ascii="Furore" w:hAnsi="Furore"/>
        <w:noProof/>
        <w:color w:val="4F6228" w:themeColor="accent3" w:themeShade="80"/>
        <w:sz w:val="22"/>
        <w:szCs w:val="22"/>
      </w:rPr>
    </w:sdtEndPr>
    <w:sdtContent>
      <w:p w14:paraId="51FAF959" w14:textId="2D3064E6" w:rsidR="00BD7E1C" w:rsidRPr="00B44325" w:rsidRDefault="00BD7E1C" w:rsidP="0063188C">
        <w:pPr>
          <w:pStyle w:val="ab"/>
          <w:spacing w:before="120"/>
          <w:jc w:val="right"/>
          <w:rPr>
            <w:rFonts w:ascii="Furore" w:hAnsi="Furore"/>
            <w:noProof/>
            <w:color w:val="4F6228" w:themeColor="accent3" w:themeShade="80"/>
            <w:sz w:val="22"/>
            <w:szCs w:val="22"/>
          </w:rPr>
        </w:pPr>
        <w:r w:rsidRPr="00B44325">
          <w:rPr>
            <w:rFonts w:ascii="Furore" w:hAnsi="Furore"/>
            <w:noProof/>
            <w:color w:val="4F6228" w:themeColor="accent3" w:themeShade="80"/>
            <w:sz w:val="22"/>
            <w:szCs w:val="22"/>
          </w:rPr>
          <w:fldChar w:fldCharType="begin"/>
        </w:r>
        <w:r w:rsidRPr="00B44325">
          <w:rPr>
            <w:rFonts w:ascii="Furore" w:hAnsi="Furore"/>
            <w:noProof/>
            <w:color w:val="4F6228" w:themeColor="accent3" w:themeShade="80"/>
            <w:sz w:val="22"/>
            <w:szCs w:val="22"/>
          </w:rPr>
          <w:instrText>PAGE   \* MERGEFORMAT</w:instrText>
        </w:r>
        <w:r w:rsidRPr="00B44325">
          <w:rPr>
            <w:rFonts w:ascii="Furore" w:hAnsi="Furore"/>
            <w:noProof/>
            <w:color w:val="4F6228" w:themeColor="accent3" w:themeShade="80"/>
            <w:sz w:val="22"/>
            <w:szCs w:val="22"/>
          </w:rPr>
          <w:fldChar w:fldCharType="separate"/>
        </w:r>
        <w:r>
          <w:rPr>
            <w:rFonts w:ascii="Furore" w:hAnsi="Furore"/>
            <w:noProof/>
            <w:color w:val="4F6228" w:themeColor="accent3" w:themeShade="80"/>
            <w:sz w:val="22"/>
            <w:szCs w:val="22"/>
          </w:rPr>
          <w:t>148</w:t>
        </w:r>
        <w:r w:rsidRPr="00B44325">
          <w:rPr>
            <w:rFonts w:ascii="Furore" w:hAnsi="Furore"/>
            <w:noProof/>
            <w:color w:val="4F6228" w:themeColor="accent3" w:themeShade="80"/>
            <w:sz w:val="22"/>
            <w:szCs w:val="22"/>
          </w:rPr>
          <w:fldChar w:fldCharType="end"/>
        </w:r>
      </w:p>
    </w:sdtContent>
  </w:sdt>
  <w:p w14:paraId="243CB98E" w14:textId="77777777" w:rsidR="00BD7E1C" w:rsidRPr="00CE76BB" w:rsidRDefault="00BD7E1C">
    <w:pPr>
      <w:pStyle w:val="ab"/>
      <w:rPr>
        <w:rFonts w:ascii="Furore" w:hAnsi="Furore"/>
        <w:color w:val="4F6228" w:themeColor="accent3" w:themeShade="8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61422F" w14:textId="77777777" w:rsidR="00B87291" w:rsidRDefault="00B87291">
      <w:pPr>
        <w:spacing w:after="0" w:line="240" w:lineRule="auto"/>
      </w:pPr>
      <w:r>
        <w:separator/>
      </w:r>
    </w:p>
  </w:footnote>
  <w:footnote w:type="continuationSeparator" w:id="0">
    <w:p w14:paraId="0B9FE2FF" w14:textId="77777777" w:rsidR="00B87291" w:rsidRDefault="00B872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72AD7A" w14:textId="77777777" w:rsidR="00BD7E1C" w:rsidRPr="00C93C06" w:rsidRDefault="00BD7E1C" w:rsidP="0063188C">
    <w:pPr>
      <w:pBdr>
        <w:bottom w:val="single" w:sz="4" w:space="1" w:color="4F6228"/>
      </w:pBdr>
      <w:tabs>
        <w:tab w:val="center" w:pos="4677"/>
        <w:tab w:val="right" w:pos="9355"/>
      </w:tabs>
      <w:spacing w:after="0" w:line="240" w:lineRule="auto"/>
      <w:jc w:val="center"/>
      <w:rPr>
        <w:rFonts w:ascii="Furore" w:eastAsia="Calibri" w:hAnsi="Furore"/>
        <w:b/>
        <w:noProof/>
        <w:color w:val="4F6228"/>
        <w:spacing w:val="20"/>
        <w:sz w:val="22"/>
        <w:szCs w:val="22"/>
      </w:rPr>
    </w:pPr>
    <w:r w:rsidRPr="00C93C06">
      <w:rPr>
        <w:rFonts w:ascii="Furore" w:eastAsia="Calibri" w:hAnsi="Furore"/>
        <w:b/>
        <w:noProof/>
        <w:color w:val="4F6228"/>
        <w:spacing w:val="20"/>
        <w:sz w:val="22"/>
        <w:szCs w:val="22"/>
      </w:rPr>
      <w:t>ООО «экспертная компания эпар»</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B9614F0"/>
    <w:lvl w:ilvl="0">
      <w:start w:val="1"/>
      <w:numFmt w:val="decimal"/>
      <w:pStyle w:val="4"/>
      <w:lvlText w:val="%1."/>
      <w:lvlJc w:val="left"/>
      <w:pPr>
        <w:tabs>
          <w:tab w:val="num" w:pos="360"/>
        </w:tabs>
        <w:ind w:left="360" w:hanging="360"/>
      </w:pPr>
      <w:rPr>
        <w:rFonts w:cs="Times New Roman"/>
      </w:rPr>
    </w:lvl>
  </w:abstractNum>
  <w:abstractNum w:abstractNumId="1" w15:restartNumberingAfterBreak="0">
    <w:nsid w:val="00770D18"/>
    <w:multiLevelType w:val="hybridMultilevel"/>
    <w:tmpl w:val="1B027DD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 w15:restartNumberingAfterBreak="0">
    <w:nsid w:val="0364463B"/>
    <w:multiLevelType w:val="hybridMultilevel"/>
    <w:tmpl w:val="3628EB5E"/>
    <w:lvl w:ilvl="0" w:tplc="90A20CF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06C72084"/>
    <w:multiLevelType w:val="hybridMultilevel"/>
    <w:tmpl w:val="8D9C09F4"/>
    <w:lvl w:ilvl="0" w:tplc="0419000B">
      <w:start w:val="1"/>
      <w:numFmt w:val="bullet"/>
      <w:lvlText w:val=""/>
      <w:lvlJc w:val="left"/>
      <w:pPr>
        <w:ind w:left="1259" w:hanging="360"/>
      </w:pPr>
      <w:rPr>
        <w:rFonts w:ascii="Wingdings" w:hAnsi="Wingdings" w:hint="default"/>
      </w:rPr>
    </w:lvl>
    <w:lvl w:ilvl="1" w:tplc="04190003" w:tentative="1">
      <w:start w:val="1"/>
      <w:numFmt w:val="bullet"/>
      <w:lvlText w:val="o"/>
      <w:lvlJc w:val="left"/>
      <w:pPr>
        <w:ind w:left="1979" w:hanging="360"/>
      </w:pPr>
      <w:rPr>
        <w:rFonts w:ascii="Courier New" w:hAnsi="Courier New" w:cs="Courier New" w:hint="default"/>
      </w:rPr>
    </w:lvl>
    <w:lvl w:ilvl="2" w:tplc="04190005" w:tentative="1">
      <w:start w:val="1"/>
      <w:numFmt w:val="bullet"/>
      <w:lvlText w:val=""/>
      <w:lvlJc w:val="left"/>
      <w:pPr>
        <w:ind w:left="2699" w:hanging="360"/>
      </w:pPr>
      <w:rPr>
        <w:rFonts w:ascii="Wingdings" w:hAnsi="Wingdings" w:hint="default"/>
      </w:rPr>
    </w:lvl>
    <w:lvl w:ilvl="3" w:tplc="04190001" w:tentative="1">
      <w:start w:val="1"/>
      <w:numFmt w:val="bullet"/>
      <w:lvlText w:val=""/>
      <w:lvlJc w:val="left"/>
      <w:pPr>
        <w:ind w:left="3419" w:hanging="360"/>
      </w:pPr>
      <w:rPr>
        <w:rFonts w:ascii="Symbol" w:hAnsi="Symbol" w:hint="default"/>
      </w:rPr>
    </w:lvl>
    <w:lvl w:ilvl="4" w:tplc="04190003" w:tentative="1">
      <w:start w:val="1"/>
      <w:numFmt w:val="bullet"/>
      <w:lvlText w:val="o"/>
      <w:lvlJc w:val="left"/>
      <w:pPr>
        <w:ind w:left="4139" w:hanging="360"/>
      </w:pPr>
      <w:rPr>
        <w:rFonts w:ascii="Courier New" w:hAnsi="Courier New" w:cs="Courier New" w:hint="default"/>
      </w:rPr>
    </w:lvl>
    <w:lvl w:ilvl="5" w:tplc="04190005" w:tentative="1">
      <w:start w:val="1"/>
      <w:numFmt w:val="bullet"/>
      <w:lvlText w:val=""/>
      <w:lvlJc w:val="left"/>
      <w:pPr>
        <w:ind w:left="4859" w:hanging="360"/>
      </w:pPr>
      <w:rPr>
        <w:rFonts w:ascii="Wingdings" w:hAnsi="Wingdings" w:hint="default"/>
      </w:rPr>
    </w:lvl>
    <w:lvl w:ilvl="6" w:tplc="04190001" w:tentative="1">
      <w:start w:val="1"/>
      <w:numFmt w:val="bullet"/>
      <w:lvlText w:val=""/>
      <w:lvlJc w:val="left"/>
      <w:pPr>
        <w:ind w:left="5579" w:hanging="360"/>
      </w:pPr>
      <w:rPr>
        <w:rFonts w:ascii="Symbol" w:hAnsi="Symbol" w:hint="default"/>
      </w:rPr>
    </w:lvl>
    <w:lvl w:ilvl="7" w:tplc="04190003" w:tentative="1">
      <w:start w:val="1"/>
      <w:numFmt w:val="bullet"/>
      <w:lvlText w:val="o"/>
      <w:lvlJc w:val="left"/>
      <w:pPr>
        <w:ind w:left="6299" w:hanging="360"/>
      </w:pPr>
      <w:rPr>
        <w:rFonts w:ascii="Courier New" w:hAnsi="Courier New" w:cs="Courier New" w:hint="default"/>
      </w:rPr>
    </w:lvl>
    <w:lvl w:ilvl="8" w:tplc="04190005" w:tentative="1">
      <w:start w:val="1"/>
      <w:numFmt w:val="bullet"/>
      <w:lvlText w:val=""/>
      <w:lvlJc w:val="left"/>
      <w:pPr>
        <w:ind w:left="7019" w:hanging="360"/>
      </w:pPr>
      <w:rPr>
        <w:rFonts w:ascii="Wingdings" w:hAnsi="Wingdings" w:hint="default"/>
      </w:rPr>
    </w:lvl>
  </w:abstractNum>
  <w:abstractNum w:abstractNumId="4" w15:restartNumberingAfterBreak="0">
    <w:nsid w:val="076B521E"/>
    <w:multiLevelType w:val="hybridMultilevel"/>
    <w:tmpl w:val="2C60E26E"/>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083D3729"/>
    <w:multiLevelType w:val="hybridMultilevel"/>
    <w:tmpl w:val="C3E830D0"/>
    <w:lvl w:ilvl="0" w:tplc="0419000B">
      <w:start w:val="1"/>
      <w:numFmt w:val="bullet"/>
      <w:lvlText w:val=""/>
      <w:lvlJc w:val="left"/>
      <w:pPr>
        <w:ind w:left="783" w:hanging="360"/>
      </w:pPr>
      <w:rPr>
        <w:rFonts w:ascii="Wingdings" w:hAnsi="Wingdings" w:hint="default"/>
      </w:rPr>
    </w:lvl>
    <w:lvl w:ilvl="1" w:tplc="04190003" w:tentative="1">
      <w:start w:val="1"/>
      <w:numFmt w:val="bullet"/>
      <w:lvlText w:val="o"/>
      <w:lvlJc w:val="left"/>
      <w:pPr>
        <w:ind w:left="1503" w:hanging="360"/>
      </w:pPr>
      <w:rPr>
        <w:rFonts w:ascii="Courier New" w:hAnsi="Courier New" w:cs="Courier New" w:hint="default"/>
      </w:rPr>
    </w:lvl>
    <w:lvl w:ilvl="2" w:tplc="04190005" w:tentative="1">
      <w:start w:val="1"/>
      <w:numFmt w:val="bullet"/>
      <w:lvlText w:val=""/>
      <w:lvlJc w:val="left"/>
      <w:pPr>
        <w:ind w:left="2223" w:hanging="360"/>
      </w:pPr>
      <w:rPr>
        <w:rFonts w:ascii="Wingdings" w:hAnsi="Wingdings" w:hint="default"/>
      </w:rPr>
    </w:lvl>
    <w:lvl w:ilvl="3" w:tplc="04190001" w:tentative="1">
      <w:start w:val="1"/>
      <w:numFmt w:val="bullet"/>
      <w:lvlText w:val=""/>
      <w:lvlJc w:val="left"/>
      <w:pPr>
        <w:ind w:left="2943" w:hanging="360"/>
      </w:pPr>
      <w:rPr>
        <w:rFonts w:ascii="Symbol" w:hAnsi="Symbol" w:hint="default"/>
      </w:rPr>
    </w:lvl>
    <w:lvl w:ilvl="4" w:tplc="04190003" w:tentative="1">
      <w:start w:val="1"/>
      <w:numFmt w:val="bullet"/>
      <w:lvlText w:val="o"/>
      <w:lvlJc w:val="left"/>
      <w:pPr>
        <w:ind w:left="3663" w:hanging="360"/>
      </w:pPr>
      <w:rPr>
        <w:rFonts w:ascii="Courier New" w:hAnsi="Courier New" w:cs="Courier New" w:hint="default"/>
      </w:rPr>
    </w:lvl>
    <w:lvl w:ilvl="5" w:tplc="04190005" w:tentative="1">
      <w:start w:val="1"/>
      <w:numFmt w:val="bullet"/>
      <w:lvlText w:val=""/>
      <w:lvlJc w:val="left"/>
      <w:pPr>
        <w:ind w:left="4383" w:hanging="360"/>
      </w:pPr>
      <w:rPr>
        <w:rFonts w:ascii="Wingdings" w:hAnsi="Wingdings" w:hint="default"/>
      </w:rPr>
    </w:lvl>
    <w:lvl w:ilvl="6" w:tplc="04190001" w:tentative="1">
      <w:start w:val="1"/>
      <w:numFmt w:val="bullet"/>
      <w:lvlText w:val=""/>
      <w:lvlJc w:val="left"/>
      <w:pPr>
        <w:ind w:left="5103" w:hanging="360"/>
      </w:pPr>
      <w:rPr>
        <w:rFonts w:ascii="Symbol" w:hAnsi="Symbol" w:hint="default"/>
      </w:rPr>
    </w:lvl>
    <w:lvl w:ilvl="7" w:tplc="04190003" w:tentative="1">
      <w:start w:val="1"/>
      <w:numFmt w:val="bullet"/>
      <w:lvlText w:val="o"/>
      <w:lvlJc w:val="left"/>
      <w:pPr>
        <w:ind w:left="5823" w:hanging="360"/>
      </w:pPr>
      <w:rPr>
        <w:rFonts w:ascii="Courier New" w:hAnsi="Courier New" w:cs="Courier New" w:hint="default"/>
      </w:rPr>
    </w:lvl>
    <w:lvl w:ilvl="8" w:tplc="04190005" w:tentative="1">
      <w:start w:val="1"/>
      <w:numFmt w:val="bullet"/>
      <w:lvlText w:val=""/>
      <w:lvlJc w:val="left"/>
      <w:pPr>
        <w:ind w:left="6543" w:hanging="360"/>
      </w:pPr>
      <w:rPr>
        <w:rFonts w:ascii="Wingdings" w:hAnsi="Wingdings" w:hint="default"/>
      </w:rPr>
    </w:lvl>
  </w:abstractNum>
  <w:abstractNum w:abstractNumId="6" w15:restartNumberingAfterBreak="0">
    <w:nsid w:val="08C63EBE"/>
    <w:multiLevelType w:val="hybridMultilevel"/>
    <w:tmpl w:val="817C19D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 w15:restartNumberingAfterBreak="0">
    <w:nsid w:val="09220611"/>
    <w:multiLevelType w:val="hybridMultilevel"/>
    <w:tmpl w:val="B4BC0C6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 w15:restartNumberingAfterBreak="0">
    <w:nsid w:val="09C735B0"/>
    <w:multiLevelType w:val="hybridMultilevel"/>
    <w:tmpl w:val="35626F64"/>
    <w:lvl w:ilvl="0" w:tplc="031CBEE0">
      <w:start w:val="1"/>
      <w:numFmt w:val="decimal"/>
      <w:lvlText w:val="%1."/>
      <w:lvlJc w:val="left"/>
      <w:pPr>
        <w:ind w:left="1077" w:hanging="360"/>
      </w:pPr>
      <w:rPr>
        <w:rFonts w:hint="default"/>
      </w:rPr>
    </w:lvl>
    <w:lvl w:ilvl="1" w:tplc="04190019">
      <w:start w:val="1"/>
      <w:numFmt w:val="lowerLetter"/>
      <w:lvlText w:val="%2."/>
      <w:lvlJc w:val="left"/>
      <w:pPr>
        <w:ind w:left="1797" w:hanging="360"/>
      </w:pPr>
    </w:lvl>
    <w:lvl w:ilvl="2" w:tplc="0419001B" w:tentative="1">
      <w:start w:val="1"/>
      <w:numFmt w:val="lowerRoman"/>
      <w:lvlText w:val="%3."/>
      <w:lvlJc w:val="right"/>
      <w:pPr>
        <w:ind w:left="2517" w:hanging="180"/>
      </w:pPr>
    </w:lvl>
    <w:lvl w:ilvl="3" w:tplc="0419000F" w:tentative="1">
      <w:start w:val="1"/>
      <w:numFmt w:val="decimal"/>
      <w:lvlText w:val="%4."/>
      <w:lvlJc w:val="left"/>
      <w:pPr>
        <w:ind w:left="3237" w:hanging="360"/>
      </w:pPr>
    </w:lvl>
    <w:lvl w:ilvl="4" w:tplc="04190019" w:tentative="1">
      <w:start w:val="1"/>
      <w:numFmt w:val="lowerLetter"/>
      <w:lvlText w:val="%5."/>
      <w:lvlJc w:val="left"/>
      <w:pPr>
        <w:ind w:left="3957" w:hanging="360"/>
      </w:pPr>
    </w:lvl>
    <w:lvl w:ilvl="5" w:tplc="0419001B" w:tentative="1">
      <w:start w:val="1"/>
      <w:numFmt w:val="lowerRoman"/>
      <w:lvlText w:val="%6."/>
      <w:lvlJc w:val="right"/>
      <w:pPr>
        <w:ind w:left="4677" w:hanging="180"/>
      </w:pPr>
    </w:lvl>
    <w:lvl w:ilvl="6" w:tplc="0419000F" w:tentative="1">
      <w:start w:val="1"/>
      <w:numFmt w:val="decimal"/>
      <w:lvlText w:val="%7."/>
      <w:lvlJc w:val="left"/>
      <w:pPr>
        <w:ind w:left="5397" w:hanging="360"/>
      </w:pPr>
    </w:lvl>
    <w:lvl w:ilvl="7" w:tplc="04190019" w:tentative="1">
      <w:start w:val="1"/>
      <w:numFmt w:val="lowerLetter"/>
      <w:lvlText w:val="%8."/>
      <w:lvlJc w:val="left"/>
      <w:pPr>
        <w:ind w:left="6117" w:hanging="360"/>
      </w:pPr>
    </w:lvl>
    <w:lvl w:ilvl="8" w:tplc="0419001B" w:tentative="1">
      <w:start w:val="1"/>
      <w:numFmt w:val="lowerRoman"/>
      <w:lvlText w:val="%9."/>
      <w:lvlJc w:val="right"/>
      <w:pPr>
        <w:ind w:left="6837" w:hanging="180"/>
      </w:pPr>
    </w:lvl>
  </w:abstractNum>
  <w:abstractNum w:abstractNumId="9" w15:restartNumberingAfterBreak="0">
    <w:nsid w:val="09EF497E"/>
    <w:multiLevelType w:val="hybridMultilevel"/>
    <w:tmpl w:val="6B2C081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 w15:restartNumberingAfterBreak="0">
    <w:nsid w:val="11E06FB0"/>
    <w:multiLevelType w:val="hybridMultilevel"/>
    <w:tmpl w:val="20F24DB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1" w15:restartNumberingAfterBreak="0">
    <w:nsid w:val="121B366C"/>
    <w:multiLevelType w:val="hybridMultilevel"/>
    <w:tmpl w:val="3816111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2" w15:restartNumberingAfterBreak="0">
    <w:nsid w:val="12B96EFC"/>
    <w:multiLevelType w:val="hybridMultilevel"/>
    <w:tmpl w:val="E18A272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18D843F0"/>
    <w:multiLevelType w:val="hybridMultilevel"/>
    <w:tmpl w:val="0BF64C2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4" w15:restartNumberingAfterBreak="0">
    <w:nsid w:val="191A306B"/>
    <w:multiLevelType w:val="hybridMultilevel"/>
    <w:tmpl w:val="7CC615BC"/>
    <w:lvl w:ilvl="0" w:tplc="0419000B">
      <w:start w:val="1"/>
      <w:numFmt w:val="bullet"/>
      <w:lvlText w:val=""/>
      <w:lvlJc w:val="left"/>
      <w:pPr>
        <w:ind w:left="1356" w:hanging="360"/>
      </w:pPr>
      <w:rPr>
        <w:rFonts w:ascii="Wingdings" w:hAnsi="Wingdings" w:hint="default"/>
      </w:rPr>
    </w:lvl>
    <w:lvl w:ilvl="1" w:tplc="04190003" w:tentative="1">
      <w:start w:val="1"/>
      <w:numFmt w:val="bullet"/>
      <w:lvlText w:val="o"/>
      <w:lvlJc w:val="left"/>
      <w:pPr>
        <w:ind w:left="2076" w:hanging="360"/>
      </w:pPr>
      <w:rPr>
        <w:rFonts w:ascii="Courier New" w:hAnsi="Courier New" w:cs="Courier New" w:hint="default"/>
      </w:rPr>
    </w:lvl>
    <w:lvl w:ilvl="2" w:tplc="04190005" w:tentative="1">
      <w:start w:val="1"/>
      <w:numFmt w:val="bullet"/>
      <w:lvlText w:val=""/>
      <w:lvlJc w:val="left"/>
      <w:pPr>
        <w:ind w:left="2796" w:hanging="360"/>
      </w:pPr>
      <w:rPr>
        <w:rFonts w:ascii="Wingdings" w:hAnsi="Wingdings" w:hint="default"/>
      </w:rPr>
    </w:lvl>
    <w:lvl w:ilvl="3" w:tplc="04190001" w:tentative="1">
      <w:start w:val="1"/>
      <w:numFmt w:val="bullet"/>
      <w:lvlText w:val=""/>
      <w:lvlJc w:val="left"/>
      <w:pPr>
        <w:ind w:left="3516" w:hanging="360"/>
      </w:pPr>
      <w:rPr>
        <w:rFonts w:ascii="Symbol" w:hAnsi="Symbol" w:hint="default"/>
      </w:rPr>
    </w:lvl>
    <w:lvl w:ilvl="4" w:tplc="04190003" w:tentative="1">
      <w:start w:val="1"/>
      <w:numFmt w:val="bullet"/>
      <w:lvlText w:val="o"/>
      <w:lvlJc w:val="left"/>
      <w:pPr>
        <w:ind w:left="4236" w:hanging="360"/>
      </w:pPr>
      <w:rPr>
        <w:rFonts w:ascii="Courier New" w:hAnsi="Courier New" w:cs="Courier New" w:hint="default"/>
      </w:rPr>
    </w:lvl>
    <w:lvl w:ilvl="5" w:tplc="04190005" w:tentative="1">
      <w:start w:val="1"/>
      <w:numFmt w:val="bullet"/>
      <w:lvlText w:val=""/>
      <w:lvlJc w:val="left"/>
      <w:pPr>
        <w:ind w:left="4956" w:hanging="360"/>
      </w:pPr>
      <w:rPr>
        <w:rFonts w:ascii="Wingdings" w:hAnsi="Wingdings" w:hint="default"/>
      </w:rPr>
    </w:lvl>
    <w:lvl w:ilvl="6" w:tplc="04190001" w:tentative="1">
      <w:start w:val="1"/>
      <w:numFmt w:val="bullet"/>
      <w:lvlText w:val=""/>
      <w:lvlJc w:val="left"/>
      <w:pPr>
        <w:ind w:left="5676" w:hanging="360"/>
      </w:pPr>
      <w:rPr>
        <w:rFonts w:ascii="Symbol" w:hAnsi="Symbol" w:hint="default"/>
      </w:rPr>
    </w:lvl>
    <w:lvl w:ilvl="7" w:tplc="04190003" w:tentative="1">
      <w:start w:val="1"/>
      <w:numFmt w:val="bullet"/>
      <w:lvlText w:val="o"/>
      <w:lvlJc w:val="left"/>
      <w:pPr>
        <w:ind w:left="6396" w:hanging="360"/>
      </w:pPr>
      <w:rPr>
        <w:rFonts w:ascii="Courier New" w:hAnsi="Courier New" w:cs="Courier New" w:hint="default"/>
      </w:rPr>
    </w:lvl>
    <w:lvl w:ilvl="8" w:tplc="04190005" w:tentative="1">
      <w:start w:val="1"/>
      <w:numFmt w:val="bullet"/>
      <w:lvlText w:val=""/>
      <w:lvlJc w:val="left"/>
      <w:pPr>
        <w:ind w:left="7116" w:hanging="360"/>
      </w:pPr>
      <w:rPr>
        <w:rFonts w:ascii="Wingdings" w:hAnsi="Wingdings" w:hint="default"/>
      </w:rPr>
    </w:lvl>
  </w:abstractNum>
  <w:abstractNum w:abstractNumId="15" w15:restartNumberingAfterBreak="0">
    <w:nsid w:val="1D6A1B9F"/>
    <w:multiLevelType w:val="hybridMultilevel"/>
    <w:tmpl w:val="900C7F7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6" w15:restartNumberingAfterBreak="0">
    <w:nsid w:val="24CB3F19"/>
    <w:multiLevelType w:val="hybridMultilevel"/>
    <w:tmpl w:val="89200F9C"/>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25BE328B"/>
    <w:multiLevelType w:val="hybridMultilevel"/>
    <w:tmpl w:val="6562D1D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8" w15:restartNumberingAfterBreak="0">
    <w:nsid w:val="27592853"/>
    <w:multiLevelType w:val="multilevel"/>
    <w:tmpl w:val="BB60D652"/>
    <w:lvl w:ilvl="0">
      <w:start w:val="1"/>
      <w:numFmt w:val="decimal"/>
      <w:lvlText w:val="%1."/>
      <w:lvlJc w:val="left"/>
      <w:pPr>
        <w:ind w:left="927" w:hanging="360"/>
      </w:pPr>
      <w:rPr>
        <w:rFonts w:hint="default"/>
      </w:rPr>
    </w:lvl>
    <w:lvl w:ilvl="1">
      <w:start w:val="1"/>
      <w:numFmt w:val="decimal"/>
      <w:isLgl/>
      <w:lvlText w:val="%1.%2"/>
      <w:lvlJc w:val="left"/>
      <w:pPr>
        <w:ind w:left="1287" w:hanging="360"/>
      </w:pPr>
      <w:rPr>
        <w:rFonts w:hint="default"/>
      </w:rPr>
    </w:lvl>
    <w:lvl w:ilvl="2">
      <w:start w:val="1"/>
      <w:numFmt w:val="decimal"/>
      <w:isLgl/>
      <w:lvlText w:val="%1.%2.%3"/>
      <w:lvlJc w:val="left"/>
      <w:pPr>
        <w:ind w:left="2007" w:hanging="720"/>
      </w:pPr>
      <w:rPr>
        <w:rFonts w:hint="default"/>
      </w:rPr>
    </w:lvl>
    <w:lvl w:ilvl="3">
      <w:start w:val="1"/>
      <w:numFmt w:val="decimal"/>
      <w:isLgl/>
      <w:lvlText w:val="%1.%2.%3.%4"/>
      <w:lvlJc w:val="left"/>
      <w:pPr>
        <w:ind w:left="2367" w:hanging="720"/>
      </w:pPr>
      <w:rPr>
        <w:rFonts w:hint="default"/>
      </w:rPr>
    </w:lvl>
    <w:lvl w:ilvl="4">
      <w:start w:val="1"/>
      <w:numFmt w:val="decimal"/>
      <w:isLgl/>
      <w:lvlText w:val="%1.%2.%3.%4.%5"/>
      <w:lvlJc w:val="left"/>
      <w:pPr>
        <w:ind w:left="3087" w:hanging="1080"/>
      </w:pPr>
      <w:rPr>
        <w:rFonts w:hint="default"/>
      </w:rPr>
    </w:lvl>
    <w:lvl w:ilvl="5">
      <w:start w:val="1"/>
      <w:numFmt w:val="decimal"/>
      <w:isLgl/>
      <w:lvlText w:val="%1.%2.%3.%4.%5.%6"/>
      <w:lvlJc w:val="left"/>
      <w:pPr>
        <w:ind w:left="3447" w:hanging="1080"/>
      </w:pPr>
      <w:rPr>
        <w:rFonts w:hint="default"/>
      </w:rPr>
    </w:lvl>
    <w:lvl w:ilvl="6">
      <w:start w:val="1"/>
      <w:numFmt w:val="decimal"/>
      <w:isLgl/>
      <w:lvlText w:val="%1.%2.%3.%4.%5.%6.%7"/>
      <w:lvlJc w:val="left"/>
      <w:pPr>
        <w:ind w:left="4167" w:hanging="1440"/>
      </w:pPr>
      <w:rPr>
        <w:rFonts w:hint="default"/>
      </w:rPr>
    </w:lvl>
    <w:lvl w:ilvl="7">
      <w:start w:val="1"/>
      <w:numFmt w:val="decimal"/>
      <w:isLgl/>
      <w:lvlText w:val="%1.%2.%3.%4.%5.%6.%7.%8"/>
      <w:lvlJc w:val="left"/>
      <w:pPr>
        <w:ind w:left="4527" w:hanging="1440"/>
      </w:pPr>
      <w:rPr>
        <w:rFonts w:hint="default"/>
      </w:rPr>
    </w:lvl>
    <w:lvl w:ilvl="8">
      <w:start w:val="1"/>
      <w:numFmt w:val="decimal"/>
      <w:isLgl/>
      <w:lvlText w:val="%1.%2.%3.%4.%5.%6.%7.%8.%9"/>
      <w:lvlJc w:val="left"/>
      <w:pPr>
        <w:ind w:left="5247" w:hanging="1800"/>
      </w:pPr>
      <w:rPr>
        <w:rFonts w:hint="default"/>
      </w:rPr>
    </w:lvl>
  </w:abstractNum>
  <w:abstractNum w:abstractNumId="19" w15:restartNumberingAfterBreak="0">
    <w:nsid w:val="28394ED8"/>
    <w:multiLevelType w:val="hybridMultilevel"/>
    <w:tmpl w:val="092EAD44"/>
    <w:lvl w:ilvl="0" w:tplc="0419000B">
      <w:start w:val="1"/>
      <w:numFmt w:val="bullet"/>
      <w:lvlText w:val=""/>
      <w:lvlJc w:val="left"/>
      <w:pPr>
        <w:ind w:left="1287" w:hanging="360"/>
      </w:pPr>
      <w:rPr>
        <w:rFonts w:ascii="Wingdings" w:hAnsi="Wingding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0" w15:restartNumberingAfterBreak="0">
    <w:nsid w:val="2D21096C"/>
    <w:multiLevelType w:val="hybridMultilevel"/>
    <w:tmpl w:val="5464D03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1" w15:restartNumberingAfterBreak="0">
    <w:nsid w:val="2FF1793B"/>
    <w:multiLevelType w:val="hybridMultilevel"/>
    <w:tmpl w:val="5C04724C"/>
    <w:lvl w:ilvl="0" w:tplc="04190001">
      <w:start w:val="1"/>
      <w:numFmt w:val="bullet"/>
      <w:lvlText w:val=""/>
      <w:lvlJc w:val="left"/>
      <w:pPr>
        <w:ind w:left="1356" w:hanging="360"/>
      </w:pPr>
      <w:rPr>
        <w:rFonts w:ascii="Symbol" w:hAnsi="Symbol" w:hint="default"/>
      </w:rPr>
    </w:lvl>
    <w:lvl w:ilvl="1" w:tplc="04190003">
      <w:start w:val="1"/>
      <w:numFmt w:val="bullet"/>
      <w:lvlText w:val="o"/>
      <w:lvlJc w:val="left"/>
      <w:pPr>
        <w:ind w:left="2076" w:hanging="360"/>
      </w:pPr>
      <w:rPr>
        <w:rFonts w:ascii="Courier New" w:hAnsi="Courier New" w:cs="Courier New" w:hint="default"/>
      </w:r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22" w15:restartNumberingAfterBreak="0">
    <w:nsid w:val="3432332A"/>
    <w:multiLevelType w:val="hybridMultilevel"/>
    <w:tmpl w:val="271CA9F6"/>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3" w15:restartNumberingAfterBreak="0">
    <w:nsid w:val="35FA025D"/>
    <w:multiLevelType w:val="hybridMultilevel"/>
    <w:tmpl w:val="D722B3C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4" w15:restartNumberingAfterBreak="0">
    <w:nsid w:val="36494CBA"/>
    <w:multiLevelType w:val="hybridMultilevel"/>
    <w:tmpl w:val="9C58445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5" w15:restartNumberingAfterBreak="0">
    <w:nsid w:val="36580B59"/>
    <w:multiLevelType w:val="hybridMultilevel"/>
    <w:tmpl w:val="3310469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6" w15:restartNumberingAfterBreak="0">
    <w:nsid w:val="3D8E2071"/>
    <w:multiLevelType w:val="hybridMultilevel"/>
    <w:tmpl w:val="DBC46708"/>
    <w:lvl w:ilvl="0" w:tplc="33B4FD6C">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7" w15:restartNumberingAfterBreak="0">
    <w:nsid w:val="3ECA7E5E"/>
    <w:multiLevelType w:val="hybridMultilevel"/>
    <w:tmpl w:val="216EFDD0"/>
    <w:lvl w:ilvl="0" w:tplc="0419000F">
      <w:start w:val="1"/>
      <w:numFmt w:val="decimal"/>
      <w:lvlText w:val="%1."/>
      <w:lvlJc w:val="left"/>
      <w:pPr>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28" w15:restartNumberingAfterBreak="0">
    <w:nsid w:val="430B4423"/>
    <w:multiLevelType w:val="hybridMultilevel"/>
    <w:tmpl w:val="64521098"/>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9" w15:restartNumberingAfterBreak="0">
    <w:nsid w:val="45481EC9"/>
    <w:multiLevelType w:val="hybridMultilevel"/>
    <w:tmpl w:val="650A8E80"/>
    <w:lvl w:ilvl="0" w:tplc="0419000B">
      <w:start w:val="1"/>
      <w:numFmt w:val="bullet"/>
      <w:lvlText w:val=""/>
      <w:lvlJc w:val="left"/>
      <w:pPr>
        <w:ind w:left="1854" w:hanging="360"/>
      </w:pPr>
      <w:rPr>
        <w:rFonts w:ascii="Wingdings" w:hAnsi="Wingdings" w:hint="default"/>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30" w15:restartNumberingAfterBreak="0">
    <w:nsid w:val="4603357B"/>
    <w:multiLevelType w:val="multilevel"/>
    <w:tmpl w:val="1CF4391A"/>
    <w:lvl w:ilvl="0">
      <w:start w:val="1"/>
      <w:numFmt w:val="decimal"/>
      <w:lvlText w:val="%1."/>
      <w:lvlJc w:val="left"/>
      <w:pPr>
        <w:ind w:left="360" w:hanging="360"/>
      </w:pPr>
      <w:rPr>
        <w:rFonts w:ascii="Myriad Pro" w:hAnsi="Myriad Pro" w:hint="default"/>
      </w:rPr>
    </w:lvl>
    <w:lvl w:ilvl="1">
      <w:start w:val="1"/>
      <w:numFmt w:val="decimal"/>
      <w:lvlText w:val="%1.%2."/>
      <w:lvlJc w:val="left"/>
      <w:pPr>
        <w:ind w:left="792" w:hanging="432"/>
      </w:pPr>
      <w:rPr>
        <w:rFonts w:ascii="Myriad Pro" w:hAnsi="Myriad Pro"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4741413E"/>
    <w:multiLevelType w:val="hybridMultilevel"/>
    <w:tmpl w:val="4F409A0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2" w15:restartNumberingAfterBreak="0">
    <w:nsid w:val="47A54554"/>
    <w:multiLevelType w:val="hybridMultilevel"/>
    <w:tmpl w:val="E216EF36"/>
    <w:lvl w:ilvl="0" w:tplc="0419000B">
      <w:start w:val="1"/>
      <w:numFmt w:val="bullet"/>
      <w:lvlText w:val=""/>
      <w:lvlJc w:val="left"/>
      <w:pPr>
        <w:ind w:left="720" w:hanging="360"/>
      </w:pPr>
      <w:rPr>
        <w:rFonts w:ascii="Wingdings" w:hAnsi="Wingdings"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33" w15:restartNumberingAfterBreak="0">
    <w:nsid w:val="49B73B9C"/>
    <w:multiLevelType w:val="hybridMultilevel"/>
    <w:tmpl w:val="18641D2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4" w15:restartNumberingAfterBreak="0">
    <w:nsid w:val="4B164234"/>
    <w:multiLevelType w:val="hybridMultilevel"/>
    <w:tmpl w:val="2BC8DFC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5" w15:restartNumberingAfterBreak="0">
    <w:nsid w:val="4D7C4E3A"/>
    <w:multiLevelType w:val="hybridMultilevel"/>
    <w:tmpl w:val="839EBBD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6" w15:restartNumberingAfterBreak="0">
    <w:nsid w:val="56D03F10"/>
    <w:multiLevelType w:val="hybridMultilevel"/>
    <w:tmpl w:val="FA2612F2"/>
    <w:lvl w:ilvl="0" w:tplc="0419000B">
      <w:start w:val="1"/>
      <w:numFmt w:val="bullet"/>
      <w:lvlText w:val=""/>
      <w:lvlJc w:val="left"/>
      <w:pPr>
        <w:ind w:left="1428" w:hanging="360"/>
      </w:pPr>
      <w:rPr>
        <w:rFonts w:ascii="Wingdings" w:hAnsi="Wingdings"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7" w15:restartNumberingAfterBreak="0">
    <w:nsid w:val="581563D6"/>
    <w:multiLevelType w:val="hybridMultilevel"/>
    <w:tmpl w:val="52866A2E"/>
    <w:lvl w:ilvl="0" w:tplc="1E46CEC0">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8" w15:restartNumberingAfterBreak="0">
    <w:nsid w:val="58DD5948"/>
    <w:multiLevelType w:val="hybridMultilevel"/>
    <w:tmpl w:val="B7A4BBA0"/>
    <w:lvl w:ilvl="0" w:tplc="961A026E">
      <w:start w:val="1"/>
      <w:numFmt w:val="decimal"/>
      <w:lvlText w:val="%1."/>
      <w:lvlJc w:val="left"/>
      <w:pPr>
        <w:ind w:left="1077" w:hanging="360"/>
      </w:pPr>
      <w:rPr>
        <w:rFonts w:hint="default"/>
      </w:rPr>
    </w:lvl>
    <w:lvl w:ilvl="1" w:tplc="04190019">
      <w:start w:val="1"/>
      <w:numFmt w:val="lowerLetter"/>
      <w:lvlText w:val="%2."/>
      <w:lvlJc w:val="left"/>
      <w:pPr>
        <w:ind w:left="1797" w:hanging="360"/>
      </w:pPr>
    </w:lvl>
    <w:lvl w:ilvl="2" w:tplc="0419001B" w:tentative="1">
      <w:start w:val="1"/>
      <w:numFmt w:val="lowerRoman"/>
      <w:lvlText w:val="%3."/>
      <w:lvlJc w:val="right"/>
      <w:pPr>
        <w:ind w:left="2517" w:hanging="180"/>
      </w:pPr>
    </w:lvl>
    <w:lvl w:ilvl="3" w:tplc="0419000F" w:tentative="1">
      <w:start w:val="1"/>
      <w:numFmt w:val="decimal"/>
      <w:lvlText w:val="%4."/>
      <w:lvlJc w:val="left"/>
      <w:pPr>
        <w:ind w:left="3237" w:hanging="360"/>
      </w:pPr>
    </w:lvl>
    <w:lvl w:ilvl="4" w:tplc="04190019" w:tentative="1">
      <w:start w:val="1"/>
      <w:numFmt w:val="lowerLetter"/>
      <w:lvlText w:val="%5."/>
      <w:lvlJc w:val="left"/>
      <w:pPr>
        <w:ind w:left="3957" w:hanging="360"/>
      </w:pPr>
    </w:lvl>
    <w:lvl w:ilvl="5" w:tplc="0419001B" w:tentative="1">
      <w:start w:val="1"/>
      <w:numFmt w:val="lowerRoman"/>
      <w:lvlText w:val="%6."/>
      <w:lvlJc w:val="right"/>
      <w:pPr>
        <w:ind w:left="4677" w:hanging="180"/>
      </w:pPr>
    </w:lvl>
    <w:lvl w:ilvl="6" w:tplc="0419000F" w:tentative="1">
      <w:start w:val="1"/>
      <w:numFmt w:val="decimal"/>
      <w:lvlText w:val="%7."/>
      <w:lvlJc w:val="left"/>
      <w:pPr>
        <w:ind w:left="5397" w:hanging="360"/>
      </w:pPr>
    </w:lvl>
    <w:lvl w:ilvl="7" w:tplc="04190019" w:tentative="1">
      <w:start w:val="1"/>
      <w:numFmt w:val="lowerLetter"/>
      <w:lvlText w:val="%8."/>
      <w:lvlJc w:val="left"/>
      <w:pPr>
        <w:ind w:left="6117" w:hanging="360"/>
      </w:pPr>
    </w:lvl>
    <w:lvl w:ilvl="8" w:tplc="0419001B" w:tentative="1">
      <w:start w:val="1"/>
      <w:numFmt w:val="lowerRoman"/>
      <w:lvlText w:val="%9."/>
      <w:lvlJc w:val="right"/>
      <w:pPr>
        <w:ind w:left="6837" w:hanging="180"/>
      </w:pPr>
    </w:lvl>
  </w:abstractNum>
  <w:abstractNum w:abstractNumId="39" w15:restartNumberingAfterBreak="0">
    <w:nsid w:val="5D501E2C"/>
    <w:multiLevelType w:val="multilevel"/>
    <w:tmpl w:val="02A81F80"/>
    <w:lvl w:ilvl="0">
      <w:start w:val="1"/>
      <w:numFmt w:val="decimal"/>
      <w:lvlText w:val="%1."/>
      <w:lvlJc w:val="left"/>
      <w:pPr>
        <w:ind w:left="703" w:hanging="420"/>
      </w:pPr>
      <w:rPr>
        <w:rFonts w:ascii="Myriad Pro" w:hAnsi="Myriad Pro" w:hint="default"/>
        <w:b/>
        <w:i/>
        <w:sz w:val="40"/>
        <w:szCs w:val="40"/>
      </w:rPr>
    </w:lvl>
    <w:lvl w:ilvl="1">
      <w:start w:val="1"/>
      <w:numFmt w:val="decimal"/>
      <w:pStyle w:val="2"/>
      <w:lvlText w:val="%2."/>
      <w:lvlJc w:val="left"/>
      <w:pPr>
        <w:ind w:left="720" w:hanging="720"/>
      </w:pPr>
      <w:rPr>
        <w:rFonts w:ascii="Myriad Pro" w:eastAsia="Times New Roman" w:hAnsi="Myriad Pro" w:cs="Times New Roman"/>
        <w:i w:val="0"/>
        <w:color w:val="76923C" w:themeColor="accent3" w:themeShade="BF"/>
        <w:sz w:val="28"/>
        <w:szCs w:val="28"/>
      </w:rPr>
    </w:lvl>
    <w:lvl w:ilvl="2">
      <w:start w:val="1"/>
      <w:numFmt w:val="decimal"/>
      <w:lvlText w:val="%1.%2.%3."/>
      <w:lvlJc w:val="left"/>
      <w:pPr>
        <w:ind w:left="1004"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504" w:hanging="180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40" w15:restartNumberingAfterBreak="0">
    <w:nsid w:val="60A908A2"/>
    <w:multiLevelType w:val="multilevel"/>
    <w:tmpl w:val="A8A2E264"/>
    <w:lvl w:ilvl="0">
      <w:start w:val="1"/>
      <w:numFmt w:val="decimal"/>
      <w:lvlText w:val="%1."/>
      <w:lvlJc w:val="left"/>
      <w:pPr>
        <w:ind w:left="420" w:hanging="420"/>
      </w:pPr>
      <w:rPr>
        <w:rFonts w:hint="default"/>
      </w:rPr>
    </w:lvl>
    <w:lvl w:ilvl="1">
      <w:start w:val="1"/>
      <w:numFmt w:val="decimal"/>
      <w:lvlText w:val="%1.%2."/>
      <w:lvlJc w:val="left"/>
      <w:pPr>
        <w:ind w:left="2422"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41" w15:restartNumberingAfterBreak="0">
    <w:nsid w:val="65A071D0"/>
    <w:multiLevelType w:val="hybridMultilevel"/>
    <w:tmpl w:val="EDE4F12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2" w15:restartNumberingAfterBreak="0">
    <w:nsid w:val="73ED2191"/>
    <w:multiLevelType w:val="hybridMultilevel"/>
    <w:tmpl w:val="E7EE520A"/>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3" w15:restartNumberingAfterBreak="0">
    <w:nsid w:val="76A44432"/>
    <w:multiLevelType w:val="hybridMultilevel"/>
    <w:tmpl w:val="0D26ED8C"/>
    <w:lvl w:ilvl="0" w:tplc="0419000B">
      <w:start w:val="1"/>
      <w:numFmt w:val="bullet"/>
      <w:lvlText w:val=""/>
      <w:lvlJc w:val="left"/>
      <w:pPr>
        <w:ind w:left="720" w:hanging="360"/>
      </w:pPr>
      <w:rPr>
        <w:rFonts w:ascii="Wingdings" w:hAnsi="Wingdings"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44" w15:restartNumberingAfterBreak="0">
    <w:nsid w:val="7B5D764E"/>
    <w:multiLevelType w:val="hybridMultilevel"/>
    <w:tmpl w:val="AFFE1B3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5" w15:restartNumberingAfterBreak="0">
    <w:nsid w:val="7D6E4A34"/>
    <w:multiLevelType w:val="hybridMultilevel"/>
    <w:tmpl w:val="BFF6C91A"/>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num w:numId="1">
    <w:abstractNumId w:val="30"/>
  </w:num>
  <w:num w:numId="2">
    <w:abstractNumId w:val="40"/>
  </w:num>
  <w:num w:numId="3">
    <w:abstractNumId w:val="10"/>
  </w:num>
  <w:num w:numId="4">
    <w:abstractNumId w:val="18"/>
  </w:num>
  <w:num w:numId="5">
    <w:abstractNumId w:val="39"/>
  </w:num>
  <w:num w:numId="6">
    <w:abstractNumId w:val="0"/>
  </w:num>
  <w:num w:numId="7">
    <w:abstractNumId w:val="8"/>
  </w:num>
  <w:num w:numId="8">
    <w:abstractNumId w:val="26"/>
  </w:num>
  <w:num w:numId="9">
    <w:abstractNumId w:val="2"/>
  </w:num>
  <w:num w:numId="10">
    <w:abstractNumId w:val="38"/>
  </w:num>
  <w:num w:numId="11">
    <w:abstractNumId w:val="16"/>
  </w:num>
  <w:num w:numId="12">
    <w:abstractNumId w:val="37"/>
  </w:num>
  <w:num w:numId="13">
    <w:abstractNumId w:val="25"/>
  </w:num>
  <w:num w:numId="14">
    <w:abstractNumId w:val="22"/>
  </w:num>
  <w:num w:numId="1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5"/>
  </w:num>
  <w:num w:numId="17">
    <w:abstractNumId w:val="5"/>
  </w:num>
  <w:num w:numId="18">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9"/>
  </w:num>
  <w:num w:numId="22">
    <w:abstractNumId w:val="28"/>
  </w:num>
  <w:num w:numId="23">
    <w:abstractNumId w:val="17"/>
  </w:num>
  <w:num w:numId="24">
    <w:abstractNumId w:val="7"/>
  </w:num>
  <w:num w:numId="25">
    <w:abstractNumId w:val="23"/>
  </w:num>
  <w:num w:numId="26">
    <w:abstractNumId w:val="31"/>
  </w:num>
  <w:num w:numId="27">
    <w:abstractNumId w:val="15"/>
  </w:num>
  <w:num w:numId="28">
    <w:abstractNumId w:val="6"/>
  </w:num>
  <w:num w:numId="29">
    <w:abstractNumId w:val="13"/>
  </w:num>
  <w:num w:numId="30">
    <w:abstractNumId w:val="24"/>
  </w:num>
  <w:num w:numId="31">
    <w:abstractNumId w:val="42"/>
  </w:num>
  <w:num w:numId="32">
    <w:abstractNumId w:val="4"/>
  </w:num>
  <w:num w:numId="33">
    <w:abstractNumId w:val="44"/>
  </w:num>
  <w:num w:numId="34">
    <w:abstractNumId w:val="29"/>
  </w:num>
  <w:num w:numId="35">
    <w:abstractNumId w:val="34"/>
  </w:num>
  <w:num w:numId="36">
    <w:abstractNumId w:val="33"/>
  </w:num>
  <w:num w:numId="37">
    <w:abstractNumId w:val="45"/>
  </w:num>
  <w:num w:numId="38">
    <w:abstractNumId w:val="19"/>
  </w:num>
  <w:num w:numId="39">
    <w:abstractNumId w:val="41"/>
  </w:num>
  <w:num w:numId="40">
    <w:abstractNumId w:val="20"/>
  </w:num>
  <w:num w:numId="41">
    <w:abstractNumId w:val="11"/>
  </w:num>
  <w:num w:numId="42">
    <w:abstractNumId w:val="1"/>
  </w:num>
  <w:num w:numId="43">
    <w:abstractNumId w:val="36"/>
  </w:num>
  <w:num w:numId="44">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4"/>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23C3"/>
    <w:rsid w:val="00014831"/>
    <w:rsid w:val="0001755F"/>
    <w:rsid w:val="000250F6"/>
    <w:rsid w:val="0002639E"/>
    <w:rsid w:val="000438E9"/>
    <w:rsid w:val="000573A8"/>
    <w:rsid w:val="00070F3E"/>
    <w:rsid w:val="000908D1"/>
    <w:rsid w:val="0009217E"/>
    <w:rsid w:val="000A0FC3"/>
    <w:rsid w:val="000A105C"/>
    <w:rsid w:val="000A2AF3"/>
    <w:rsid w:val="000D0F02"/>
    <w:rsid w:val="000D1560"/>
    <w:rsid w:val="000F4D28"/>
    <w:rsid w:val="00100BD8"/>
    <w:rsid w:val="001065C9"/>
    <w:rsid w:val="001229D0"/>
    <w:rsid w:val="00131E89"/>
    <w:rsid w:val="001658C3"/>
    <w:rsid w:val="00174235"/>
    <w:rsid w:val="00195CA9"/>
    <w:rsid w:val="001A2685"/>
    <w:rsid w:val="001C57FE"/>
    <w:rsid w:val="001D2691"/>
    <w:rsid w:val="00203BEE"/>
    <w:rsid w:val="00211669"/>
    <w:rsid w:val="00222A3F"/>
    <w:rsid w:val="002501FC"/>
    <w:rsid w:val="00250ADB"/>
    <w:rsid w:val="00263E89"/>
    <w:rsid w:val="00267740"/>
    <w:rsid w:val="00294861"/>
    <w:rsid w:val="002A1F70"/>
    <w:rsid w:val="002D4169"/>
    <w:rsid w:val="002F1972"/>
    <w:rsid w:val="002F1DF7"/>
    <w:rsid w:val="0031254A"/>
    <w:rsid w:val="00324E38"/>
    <w:rsid w:val="003318B3"/>
    <w:rsid w:val="003641C7"/>
    <w:rsid w:val="00366EB0"/>
    <w:rsid w:val="00370BF5"/>
    <w:rsid w:val="003B0405"/>
    <w:rsid w:val="003D7911"/>
    <w:rsid w:val="003D79B6"/>
    <w:rsid w:val="003E2802"/>
    <w:rsid w:val="003E36F7"/>
    <w:rsid w:val="00406D86"/>
    <w:rsid w:val="004235C4"/>
    <w:rsid w:val="004640DA"/>
    <w:rsid w:val="00475110"/>
    <w:rsid w:val="00483598"/>
    <w:rsid w:val="00494B0D"/>
    <w:rsid w:val="00495A09"/>
    <w:rsid w:val="00496985"/>
    <w:rsid w:val="004B31B8"/>
    <w:rsid w:val="004C50C2"/>
    <w:rsid w:val="004D369D"/>
    <w:rsid w:val="004D52C4"/>
    <w:rsid w:val="004D58E8"/>
    <w:rsid w:val="004E7BB6"/>
    <w:rsid w:val="004F4B72"/>
    <w:rsid w:val="0050749D"/>
    <w:rsid w:val="005100A8"/>
    <w:rsid w:val="00513F1D"/>
    <w:rsid w:val="00546CE7"/>
    <w:rsid w:val="005508CA"/>
    <w:rsid w:val="00585D36"/>
    <w:rsid w:val="00587CDC"/>
    <w:rsid w:val="0059122D"/>
    <w:rsid w:val="005A0928"/>
    <w:rsid w:val="005B3DF3"/>
    <w:rsid w:val="005C3ACA"/>
    <w:rsid w:val="005C4743"/>
    <w:rsid w:val="005E0C7F"/>
    <w:rsid w:val="005E4B72"/>
    <w:rsid w:val="006136CF"/>
    <w:rsid w:val="00613867"/>
    <w:rsid w:val="006138A4"/>
    <w:rsid w:val="00615023"/>
    <w:rsid w:val="0062177B"/>
    <w:rsid w:val="00623974"/>
    <w:rsid w:val="0063188C"/>
    <w:rsid w:val="006464A4"/>
    <w:rsid w:val="0065708A"/>
    <w:rsid w:val="006815C3"/>
    <w:rsid w:val="006939A5"/>
    <w:rsid w:val="006A37C0"/>
    <w:rsid w:val="006B0D0A"/>
    <w:rsid w:val="006B2C74"/>
    <w:rsid w:val="006B6D1C"/>
    <w:rsid w:val="006C7CFB"/>
    <w:rsid w:val="007111BE"/>
    <w:rsid w:val="00722225"/>
    <w:rsid w:val="00722308"/>
    <w:rsid w:val="0072390C"/>
    <w:rsid w:val="00767AB3"/>
    <w:rsid w:val="007D6AFC"/>
    <w:rsid w:val="008057DE"/>
    <w:rsid w:val="0081136F"/>
    <w:rsid w:val="00827944"/>
    <w:rsid w:val="00835BEA"/>
    <w:rsid w:val="00836098"/>
    <w:rsid w:val="00843CC1"/>
    <w:rsid w:val="00865C47"/>
    <w:rsid w:val="00872596"/>
    <w:rsid w:val="00874840"/>
    <w:rsid w:val="008B0B3C"/>
    <w:rsid w:val="008B3791"/>
    <w:rsid w:val="008B4A13"/>
    <w:rsid w:val="008C419F"/>
    <w:rsid w:val="008C55ED"/>
    <w:rsid w:val="008D170D"/>
    <w:rsid w:val="008D575A"/>
    <w:rsid w:val="008D6D08"/>
    <w:rsid w:val="009009FA"/>
    <w:rsid w:val="00903D18"/>
    <w:rsid w:val="00914992"/>
    <w:rsid w:val="0092184A"/>
    <w:rsid w:val="009540B9"/>
    <w:rsid w:val="00957529"/>
    <w:rsid w:val="0096201F"/>
    <w:rsid w:val="00965254"/>
    <w:rsid w:val="00987FFD"/>
    <w:rsid w:val="00992FD6"/>
    <w:rsid w:val="00994A7C"/>
    <w:rsid w:val="009A4C46"/>
    <w:rsid w:val="009A6953"/>
    <w:rsid w:val="009B61DB"/>
    <w:rsid w:val="009D7618"/>
    <w:rsid w:val="009E129A"/>
    <w:rsid w:val="009E39D0"/>
    <w:rsid w:val="009E7B7D"/>
    <w:rsid w:val="00A04472"/>
    <w:rsid w:val="00A063C1"/>
    <w:rsid w:val="00A1230C"/>
    <w:rsid w:val="00A12DBE"/>
    <w:rsid w:val="00A15607"/>
    <w:rsid w:val="00A24D50"/>
    <w:rsid w:val="00A27C18"/>
    <w:rsid w:val="00A30BD7"/>
    <w:rsid w:val="00A31C7C"/>
    <w:rsid w:val="00A4365C"/>
    <w:rsid w:val="00A51B23"/>
    <w:rsid w:val="00A55EED"/>
    <w:rsid w:val="00A57050"/>
    <w:rsid w:val="00A6597C"/>
    <w:rsid w:val="00A753B1"/>
    <w:rsid w:val="00A75F3C"/>
    <w:rsid w:val="00AC6864"/>
    <w:rsid w:val="00AE5C11"/>
    <w:rsid w:val="00AE6118"/>
    <w:rsid w:val="00B267C9"/>
    <w:rsid w:val="00B44325"/>
    <w:rsid w:val="00B51869"/>
    <w:rsid w:val="00B61875"/>
    <w:rsid w:val="00B817A3"/>
    <w:rsid w:val="00B85579"/>
    <w:rsid w:val="00B87291"/>
    <w:rsid w:val="00BA3ADC"/>
    <w:rsid w:val="00BB1142"/>
    <w:rsid w:val="00BC370C"/>
    <w:rsid w:val="00BD23C3"/>
    <w:rsid w:val="00BD7E1C"/>
    <w:rsid w:val="00C108AE"/>
    <w:rsid w:val="00C1709C"/>
    <w:rsid w:val="00C317E2"/>
    <w:rsid w:val="00C32E1F"/>
    <w:rsid w:val="00C355DA"/>
    <w:rsid w:val="00C407B7"/>
    <w:rsid w:val="00C45E0D"/>
    <w:rsid w:val="00C85CF9"/>
    <w:rsid w:val="00C90C8A"/>
    <w:rsid w:val="00C93C06"/>
    <w:rsid w:val="00CB5AA8"/>
    <w:rsid w:val="00CC0CDC"/>
    <w:rsid w:val="00CC0E12"/>
    <w:rsid w:val="00CE2529"/>
    <w:rsid w:val="00CE42C4"/>
    <w:rsid w:val="00CE5659"/>
    <w:rsid w:val="00CF4399"/>
    <w:rsid w:val="00D0289A"/>
    <w:rsid w:val="00D27B56"/>
    <w:rsid w:val="00D31D24"/>
    <w:rsid w:val="00D3507B"/>
    <w:rsid w:val="00D4686D"/>
    <w:rsid w:val="00D46C5D"/>
    <w:rsid w:val="00D53DA0"/>
    <w:rsid w:val="00D60ED3"/>
    <w:rsid w:val="00D75241"/>
    <w:rsid w:val="00D903C8"/>
    <w:rsid w:val="00D914AC"/>
    <w:rsid w:val="00DB75B6"/>
    <w:rsid w:val="00DE64EF"/>
    <w:rsid w:val="00DF1D02"/>
    <w:rsid w:val="00E068A5"/>
    <w:rsid w:val="00E169B0"/>
    <w:rsid w:val="00E3296D"/>
    <w:rsid w:val="00E347FC"/>
    <w:rsid w:val="00E40A64"/>
    <w:rsid w:val="00E45F91"/>
    <w:rsid w:val="00E572A8"/>
    <w:rsid w:val="00E60E99"/>
    <w:rsid w:val="00E64E02"/>
    <w:rsid w:val="00E72D6E"/>
    <w:rsid w:val="00E93DFF"/>
    <w:rsid w:val="00EA7790"/>
    <w:rsid w:val="00EB17AE"/>
    <w:rsid w:val="00EB686C"/>
    <w:rsid w:val="00ED1A5F"/>
    <w:rsid w:val="00EF3384"/>
    <w:rsid w:val="00F03C3E"/>
    <w:rsid w:val="00F14371"/>
    <w:rsid w:val="00F210D6"/>
    <w:rsid w:val="00F362F4"/>
    <w:rsid w:val="00F47273"/>
    <w:rsid w:val="00F525A5"/>
    <w:rsid w:val="00F622FD"/>
    <w:rsid w:val="00F71BAF"/>
    <w:rsid w:val="00F8607F"/>
    <w:rsid w:val="00F863EC"/>
    <w:rsid w:val="00F94313"/>
    <w:rsid w:val="00F94FED"/>
    <w:rsid w:val="00FA1C5B"/>
    <w:rsid w:val="00FA50C9"/>
    <w:rsid w:val="00FE17E4"/>
    <w:rsid w:val="00FE2D98"/>
    <w:rsid w:val="00FE405A"/>
    <w:rsid w:val="00FE42E5"/>
    <w:rsid w:val="00FF73E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49"/>
    <o:shapelayout v:ext="edit">
      <o:idmap v:ext="edit" data="1"/>
    </o:shapelayout>
  </w:shapeDefaults>
  <w:decimalSymbol w:val=","/>
  <w:listSeparator w:val=";"/>
  <w14:docId w14:val="5DF11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Myriad Pro" w:eastAsiaTheme="minorHAnsi" w:hAnsi="Myriad Pro" w:cs="Times New Roman"/>
        <w:color w:val="000000" w:themeColor="text1"/>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D23C3"/>
  </w:style>
  <w:style w:type="paragraph" w:styleId="1">
    <w:name w:val="heading 1"/>
    <w:aliases w:val="Заголовок1,Заголовок параграфа (1.),Section,Section Heading,level2 hdg,111"/>
    <w:basedOn w:val="a"/>
    <w:next w:val="a"/>
    <w:link w:val="10"/>
    <w:uiPriority w:val="9"/>
    <w:qFormat/>
    <w:rsid w:val="00BD23C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0">
    <w:name w:val="heading 2"/>
    <w:basedOn w:val="a"/>
    <w:next w:val="a"/>
    <w:link w:val="21"/>
    <w:uiPriority w:val="99"/>
    <w:semiHidden/>
    <w:unhideWhenUsed/>
    <w:qFormat/>
    <w:rsid w:val="009A4C46"/>
    <w:pPr>
      <w:keepNext/>
      <w:keepLines/>
      <w:spacing w:before="40" w:after="0"/>
      <w:outlineLvl w:val="1"/>
    </w:pPr>
    <w:rPr>
      <w:rFonts w:ascii="Calibri Light" w:eastAsia="Times New Roman" w:hAnsi="Calibri Light"/>
      <w:color w:val="2E74B5"/>
      <w:sz w:val="26"/>
      <w:szCs w:val="26"/>
    </w:rPr>
  </w:style>
  <w:style w:type="paragraph" w:styleId="3">
    <w:name w:val="heading 3"/>
    <w:aliases w:val="Level 1 - 1,Заголовок подпукта (1.1.1),H3"/>
    <w:basedOn w:val="a"/>
    <w:next w:val="a"/>
    <w:link w:val="30"/>
    <w:uiPriority w:val="9"/>
    <w:unhideWhenUsed/>
    <w:qFormat/>
    <w:rsid w:val="00BD23C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40">
    <w:name w:val="heading 4"/>
    <w:basedOn w:val="a"/>
    <w:next w:val="a"/>
    <w:link w:val="41"/>
    <w:uiPriority w:val="9"/>
    <w:unhideWhenUsed/>
    <w:qFormat/>
    <w:rsid w:val="009A4C46"/>
    <w:pPr>
      <w:keepNext/>
      <w:keepLines/>
      <w:spacing w:before="40" w:after="0"/>
      <w:outlineLvl w:val="3"/>
    </w:pPr>
    <w:rPr>
      <w:rFonts w:ascii="Calibri Light" w:eastAsia="Times New Roman" w:hAnsi="Calibri Light"/>
      <w:i/>
      <w:iCs/>
      <w:color w:val="2E74B5"/>
    </w:rPr>
  </w:style>
  <w:style w:type="paragraph" w:styleId="5">
    <w:name w:val="heading 5"/>
    <w:basedOn w:val="a"/>
    <w:next w:val="a"/>
    <w:link w:val="50"/>
    <w:uiPriority w:val="9"/>
    <w:semiHidden/>
    <w:unhideWhenUsed/>
    <w:qFormat/>
    <w:rsid w:val="009A4C46"/>
    <w:pPr>
      <w:keepNext/>
      <w:keepLines/>
      <w:spacing w:before="40" w:after="0"/>
      <w:outlineLvl w:val="4"/>
    </w:pPr>
    <w:rPr>
      <w:rFonts w:ascii="Calibri Light" w:eastAsia="Times New Roman" w:hAnsi="Calibri Light"/>
      <w:color w:val="2E74B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aliases w:val="Level 1 - 1 Знак,Заголовок подпукта (1.1.1) Знак,H3 Знак"/>
    <w:basedOn w:val="a0"/>
    <w:link w:val="3"/>
    <w:uiPriority w:val="9"/>
    <w:rsid w:val="00BD23C3"/>
    <w:rPr>
      <w:rFonts w:asciiTheme="majorHAnsi" w:eastAsiaTheme="majorEastAsia" w:hAnsiTheme="majorHAnsi" w:cstheme="majorBidi"/>
      <w:color w:val="243F60" w:themeColor="accent1" w:themeShade="7F"/>
      <w:sz w:val="24"/>
      <w:szCs w:val="24"/>
    </w:rPr>
  </w:style>
  <w:style w:type="paragraph" w:styleId="a3">
    <w:name w:val="List Paragraph"/>
    <w:aliases w:val="Bullet List,FooterText,numbered,List Paragraph,ПАРАГРАФ,Абзац списка2,Нумерованый список,List Paragraph1"/>
    <w:basedOn w:val="a"/>
    <w:link w:val="a4"/>
    <w:uiPriority w:val="34"/>
    <w:qFormat/>
    <w:rsid w:val="00BD23C3"/>
    <w:pPr>
      <w:ind w:left="720"/>
      <w:contextualSpacing/>
    </w:pPr>
    <w:rPr>
      <w:rFonts w:ascii="Calibri" w:eastAsia="Calibri" w:hAnsi="Calibri"/>
    </w:rPr>
  </w:style>
  <w:style w:type="paragraph" w:customStyle="1" w:styleId="22">
    <w:name w:val="?Заголовок2"/>
    <w:basedOn w:val="a"/>
    <w:link w:val="23"/>
    <w:qFormat/>
    <w:rsid w:val="00BD23C3"/>
    <w:pPr>
      <w:keepNext/>
      <w:spacing w:before="320" w:line="340" w:lineRule="exact"/>
      <w:ind w:left="284"/>
    </w:pPr>
    <w:rPr>
      <w:rFonts w:ascii="CharterC" w:eastAsia="Times New Roman" w:hAnsi="CharterC"/>
      <w:b/>
      <w:i/>
      <w:sz w:val="32"/>
      <w:szCs w:val="24"/>
      <w:lang w:eastAsia="ru-RU"/>
    </w:rPr>
  </w:style>
  <w:style w:type="character" w:customStyle="1" w:styleId="23">
    <w:name w:val="?Заголовок2 Знак"/>
    <w:link w:val="22"/>
    <w:rsid w:val="00BD23C3"/>
    <w:rPr>
      <w:rFonts w:ascii="CharterC" w:eastAsia="Times New Roman" w:hAnsi="CharterC" w:cs="Times New Roman"/>
      <w:b/>
      <w:i/>
      <w:sz w:val="32"/>
      <w:szCs w:val="24"/>
      <w:lang w:eastAsia="ru-RU"/>
    </w:rPr>
  </w:style>
  <w:style w:type="paragraph" w:customStyle="1" w:styleId="a5">
    <w:name w:val="?Текст таблицы"/>
    <w:basedOn w:val="a"/>
    <w:link w:val="a6"/>
    <w:qFormat/>
    <w:rsid w:val="00BD23C3"/>
    <w:pPr>
      <w:spacing w:before="20" w:after="20" w:line="240" w:lineRule="auto"/>
    </w:pPr>
    <w:rPr>
      <w:rFonts w:ascii="CharterC" w:eastAsia="Times New Roman" w:hAnsi="CharterC"/>
      <w:i/>
      <w:sz w:val="18"/>
      <w:szCs w:val="24"/>
      <w:lang w:eastAsia="ru-RU"/>
    </w:rPr>
  </w:style>
  <w:style w:type="character" w:customStyle="1" w:styleId="a6">
    <w:name w:val="?Текст таблицы Знак"/>
    <w:link w:val="a5"/>
    <w:rsid w:val="00BD23C3"/>
    <w:rPr>
      <w:rFonts w:ascii="CharterC" w:eastAsia="Times New Roman" w:hAnsi="CharterC" w:cs="Times New Roman"/>
      <w:i/>
      <w:sz w:val="18"/>
      <w:szCs w:val="24"/>
      <w:lang w:eastAsia="ru-RU"/>
    </w:rPr>
  </w:style>
  <w:style w:type="character" w:styleId="a7">
    <w:name w:val="Hyperlink"/>
    <w:basedOn w:val="a0"/>
    <w:uiPriority w:val="99"/>
    <w:unhideWhenUsed/>
    <w:rsid w:val="00BD23C3"/>
    <w:rPr>
      <w:color w:val="0000FF"/>
      <w:u w:val="single"/>
    </w:rPr>
  </w:style>
  <w:style w:type="character" w:customStyle="1" w:styleId="10">
    <w:name w:val="Заголовок 1 Знак"/>
    <w:aliases w:val="Заголовок1 Знак,Заголовок параграфа (1.) Знак,Section Знак,Section Heading Знак,level2 hdg Знак,111 Знак"/>
    <w:basedOn w:val="a0"/>
    <w:link w:val="1"/>
    <w:uiPriority w:val="9"/>
    <w:rsid w:val="00BD23C3"/>
    <w:rPr>
      <w:rFonts w:asciiTheme="majorHAnsi" w:eastAsiaTheme="majorEastAsia" w:hAnsiTheme="majorHAnsi" w:cstheme="majorBidi"/>
      <w:color w:val="365F91" w:themeColor="accent1" w:themeShade="BF"/>
      <w:sz w:val="32"/>
      <w:szCs w:val="32"/>
    </w:rPr>
  </w:style>
  <w:style w:type="paragraph" w:styleId="a8">
    <w:name w:val="TOC Heading"/>
    <w:basedOn w:val="1"/>
    <w:next w:val="a"/>
    <w:uiPriority w:val="39"/>
    <w:unhideWhenUsed/>
    <w:qFormat/>
    <w:rsid w:val="00BD23C3"/>
    <w:pPr>
      <w:outlineLvl w:val="9"/>
    </w:pPr>
    <w:rPr>
      <w:lang w:eastAsia="ru-RU"/>
    </w:rPr>
  </w:style>
  <w:style w:type="paragraph" w:styleId="a9">
    <w:name w:val="No Spacing"/>
    <w:link w:val="aa"/>
    <w:uiPriority w:val="1"/>
    <w:qFormat/>
    <w:rsid w:val="00BD23C3"/>
    <w:pPr>
      <w:spacing w:after="0" w:line="240" w:lineRule="auto"/>
    </w:pPr>
    <w:rPr>
      <w:rFonts w:eastAsiaTheme="minorEastAsia"/>
      <w:lang w:eastAsia="ru-RU"/>
    </w:rPr>
  </w:style>
  <w:style w:type="character" w:customStyle="1" w:styleId="aa">
    <w:name w:val="Без интервала Знак"/>
    <w:basedOn w:val="a0"/>
    <w:link w:val="a9"/>
    <w:uiPriority w:val="1"/>
    <w:rsid w:val="00BD23C3"/>
    <w:rPr>
      <w:rFonts w:eastAsiaTheme="minorEastAsia"/>
      <w:lang w:eastAsia="ru-RU"/>
    </w:rPr>
  </w:style>
  <w:style w:type="paragraph" w:styleId="31">
    <w:name w:val="toc 3"/>
    <w:basedOn w:val="a"/>
    <w:next w:val="a"/>
    <w:autoRedefine/>
    <w:uiPriority w:val="39"/>
    <w:unhideWhenUsed/>
    <w:rsid w:val="00BD23C3"/>
    <w:pPr>
      <w:spacing w:after="100"/>
      <w:ind w:left="440"/>
    </w:pPr>
  </w:style>
  <w:style w:type="paragraph" w:styleId="ab">
    <w:name w:val="footer"/>
    <w:basedOn w:val="a"/>
    <w:link w:val="ac"/>
    <w:uiPriority w:val="99"/>
    <w:unhideWhenUsed/>
    <w:rsid w:val="00BD23C3"/>
    <w:pPr>
      <w:tabs>
        <w:tab w:val="center" w:pos="4677"/>
        <w:tab w:val="right" w:pos="9355"/>
      </w:tabs>
      <w:spacing w:after="0" w:line="240" w:lineRule="auto"/>
    </w:pPr>
  </w:style>
  <w:style w:type="character" w:customStyle="1" w:styleId="ac">
    <w:name w:val="Нижний колонтитул Знак"/>
    <w:basedOn w:val="a0"/>
    <w:link w:val="ab"/>
    <w:uiPriority w:val="99"/>
    <w:rsid w:val="00BD23C3"/>
  </w:style>
  <w:style w:type="table" w:customStyle="1" w:styleId="11">
    <w:name w:val="Стиль1"/>
    <w:basedOn w:val="a1"/>
    <w:uiPriority w:val="99"/>
    <w:rsid w:val="00BD23C3"/>
    <w:pPr>
      <w:spacing w:after="0" w:line="240" w:lineRule="auto"/>
    </w:pPr>
    <w:tblPr>
      <w:tblBorders>
        <w:bottom w:val="single" w:sz="4" w:space="0" w:color="4F6228" w:themeColor="accent3" w:themeShade="80"/>
        <w:insideH w:val="single" w:sz="4" w:space="0" w:color="4F6228" w:themeColor="accent3" w:themeShade="80"/>
        <w:insideV w:val="single" w:sz="4" w:space="0" w:color="4F6228" w:themeColor="accent3" w:themeShade="80"/>
      </w:tblBorders>
    </w:tblPr>
    <w:tcPr>
      <w:shd w:val="clear" w:color="auto" w:fill="auto"/>
      <w:vAlign w:val="center"/>
    </w:tcPr>
    <w:tblStylePr w:type="firstRow">
      <w:pPr>
        <w:wordWrap/>
        <w:spacing w:beforeLines="0" w:before="0" w:beforeAutospacing="0" w:afterLines="0" w:after="0" w:afterAutospacing="0" w:line="240" w:lineRule="auto"/>
        <w:ind w:leftChars="0" w:left="0" w:rightChars="0" w:right="0"/>
        <w:jc w:val="center"/>
      </w:pPr>
      <w:rPr>
        <w:rFonts w:ascii="Myriad Pro" w:hAnsi="Myriad Pro"/>
        <w:b/>
        <w:i w:val="0"/>
        <w:caps w:val="0"/>
        <w:smallCaps w:val="0"/>
        <w:strike w:val="0"/>
        <w:dstrike w:val="0"/>
        <w:vanish w:val="0"/>
        <w:color w:val="FFFFFF" w:themeColor="background1"/>
        <w:sz w:val="22"/>
        <w:vertAlign w:val="baseline"/>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4F6228" w:themeFill="accent3" w:themeFillShade="80"/>
      </w:tcPr>
    </w:tblStylePr>
    <w:tblStylePr w:type="firstCol">
      <w:pPr>
        <w:jc w:val="left"/>
      </w:pPr>
      <w:tblPr/>
      <w:tcPr>
        <w:vAlign w:val="top"/>
      </w:tcPr>
    </w:tblStylePr>
  </w:style>
  <w:style w:type="character" w:customStyle="1" w:styleId="a4">
    <w:name w:val="Абзац списка Знак"/>
    <w:aliases w:val="Bullet List Знак,FooterText Знак,numbered Знак,List Paragraph Знак,ПАРАГРАФ Знак,Абзац списка2 Знак,Нумерованый список Знак,List Paragraph1 Знак"/>
    <w:basedOn w:val="a0"/>
    <w:link w:val="a3"/>
    <w:uiPriority w:val="34"/>
    <w:rsid w:val="00BD23C3"/>
    <w:rPr>
      <w:rFonts w:ascii="Calibri" w:eastAsia="Calibri" w:hAnsi="Calibri" w:cs="Times New Roman"/>
    </w:rPr>
  </w:style>
  <w:style w:type="paragraph" w:styleId="ad">
    <w:name w:val="Balloon Text"/>
    <w:basedOn w:val="a"/>
    <w:link w:val="ae"/>
    <w:uiPriority w:val="99"/>
    <w:semiHidden/>
    <w:unhideWhenUsed/>
    <w:rsid w:val="009A4C46"/>
    <w:pPr>
      <w:spacing w:after="0" w:line="240" w:lineRule="auto"/>
    </w:pPr>
    <w:rPr>
      <w:rFonts w:ascii="Segoe UI" w:hAnsi="Segoe UI" w:cs="Segoe UI"/>
      <w:sz w:val="18"/>
      <w:szCs w:val="18"/>
    </w:rPr>
  </w:style>
  <w:style w:type="character" w:customStyle="1" w:styleId="ae">
    <w:name w:val="Текст выноски Знак"/>
    <w:basedOn w:val="a0"/>
    <w:link w:val="ad"/>
    <w:uiPriority w:val="99"/>
    <w:semiHidden/>
    <w:rsid w:val="009A4C46"/>
    <w:rPr>
      <w:rFonts w:ascii="Segoe UI" w:hAnsi="Segoe UI" w:cs="Segoe UI"/>
      <w:sz w:val="18"/>
      <w:szCs w:val="18"/>
    </w:rPr>
  </w:style>
  <w:style w:type="paragraph" w:customStyle="1" w:styleId="2221">
    <w:name w:val="2221"/>
    <w:basedOn w:val="a"/>
    <w:next w:val="a"/>
    <w:uiPriority w:val="99"/>
    <w:unhideWhenUsed/>
    <w:qFormat/>
    <w:rsid w:val="009A4C46"/>
    <w:pPr>
      <w:keepNext/>
      <w:keepLines/>
      <w:spacing w:before="40" w:after="0"/>
      <w:outlineLvl w:val="1"/>
    </w:pPr>
    <w:rPr>
      <w:rFonts w:ascii="Calibri Light" w:eastAsia="Times New Roman" w:hAnsi="Calibri Light"/>
      <w:color w:val="2E74B5"/>
      <w:sz w:val="26"/>
      <w:szCs w:val="26"/>
    </w:rPr>
  </w:style>
  <w:style w:type="character" w:customStyle="1" w:styleId="41">
    <w:name w:val="Заголовок 4 Знак"/>
    <w:basedOn w:val="a0"/>
    <w:link w:val="40"/>
    <w:uiPriority w:val="9"/>
    <w:rsid w:val="009A4C46"/>
    <w:rPr>
      <w:rFonts w:ascii="Calibri Light" w:eastAsia="Times New Roman" w:hAnsi="Calibri Light" w:cs="Times New Roman"/>
      <w:i/>
      <w:iCs/>
      <w:color w:val="2E74B5"/>
    </w:rPr>
  </w:style>
  <w:style w:type="paragraph" w:customStyle="1" w:styleId="51">
    <w:name w:val="Заголовок 51"/>
    <w:basedOn w:val="a"/>
    <w:next w:val="a"/>
    <w:uiPriority w:val="9"/>
    <w:unhideWhenUsed/>
    <w:qFormat/>
    <w:rsid w:val="009A4C46"/>
    <w:pPr>
      <w:keepNext/>
      <w:keepLines/>
      <w:spacing w:before="40" w:after="0"/>
      <w:outlineLvl w:val="4"/>
    </w:pPr>
    <w:rPr>
      <w:rFonts w:ascii="Calibri Light" w:eastAsia="Times New Roman" w:hAnsi="Calibri Light"/>
      <w:color w:val="2E74B5"/>
    </w:rPr>
  </w:style>
  <w:style w:type="numbering" w:customStyle="1" w:styleId="12">
    <w:name w:val="Нет списка1"/>
    <w:next w:val="a2"/>
    <w:uiPriority w:val="99"/>
    <w:semiHidden/>
    <w:unhideWhenUsed/>
    <w:rsid w:val="009A4C46"/>
  </w:style>
  <w:style w:type="character" w:customStyle="1" w:styleId="21">
    <w:name w:val="Заголовок 2 Знак"/>
    <w:basedOn w:val="a0"/>
    <w:link w:val="20"/>
    <w:uiPriority w:val="99"/>
    <w:rsid w:val="009A4C46"/>
    <w:rPr>
      <w:rFonts w:ascii="Calibri Light" w:eastAsia="Times New Roman" w:hAnsi="Calibri Light" w:cs="Times New Roman"/>
      <w:color w:val="2E74B5"/>
      <w:sz w:val="26"/>
      <w:szCs w:val="26"/>
    </w:rPr>
  </w:style>
  <w:style w:type="paragraph" w:customStyle="1" w:styleId="2">
    <w:name w:val="Заголовок2"/>
    <w:basedOn w:val="a"/>
    <w:next w:val="a"/>
    <w:link w:val="24"/>
    <w:qFormat/>
    <w:rsid w:val="009A4C46"/>
    <w:pPr>
      <w:numPr>
        <w:ilvl w:val="1"/>
        <w:numId w:val="5"/>
      </w:numPr>
      <w:spacing w:after="0" w:line="240" w:lineRule="auto"/>
      <w:ind w:left="0" w:firstLine="0"/>
      <w:contextualSpacing/>
    </w:pPr>
    <w:rPr>
      <w:rFonts w:ascii="Calibri Light" w:eastAsia="Times New Roman" w:hAnsi="Calibri Light"/>
      <w:spacing w:val="-10"/>
      <w:kern w:val="28"/>
      <w:sz w:val="56"/>
      <w:szCs w:val="56"/>
    </w:rPr>
  </w:style>
  <w:style w:type="character" w:customStyle="1" w:styleId="af">
    <w:name w:val="Заголовок Знак"/>
    <w:basedOn w:val="a0"/>
    <w:link w:val="af0"/>
    <w:rsid w:val="009A4C46"/>
    <w:rPr>
      <w:rFonts w:ascii="Calibri Light" w:eastAsia="Times New Roman" w:hAnsi="Calibri Light" w:cs="Times New Roman"/>
      <w:spacing w:val="-10"/>
      <w:kern w:val="28"/>
      <w:sz w:val="56"/>
      <w:szCs w:val="56"/>
    </w:rPr>
  </w:style>
  <w:style w:type="paragraph" w:customStyle="1" w:styleId="subclauseindent">
    <w:name w:val="subclauseindent"/>
    <w:basedOn w:val="a"/>
    <w:uiPriority w:val="99"/>
    <w:rsid w:val="009A4C46"/>
    <w:pPr>
      <w:spacing w:before="120" w:after="120" w:line="240" w:lineRule="auto"/>
      <w:ind w:left="1701"/>
      <w:jc w:val="both"/>
    </w:pPr>
    <w:rPr>
      <w:rFonts w:ascii="Times New Roman" w:eastAsia="Times New Roman" w:hAnsi="Times New Roman"/>
      <w:lang w:val="en-GB"/>
    </w:rPr>
  </w:style>
  <w:style w:type="character" w:styleId="af1">
    <w:name w:val="Strong"/>
    <w:basedOn w:val="a0"/>
    <w:uiPriority w:val="22"/>
    <w:qFormat/>
    <w:rsid w:val="009A4C46"/>
    <w:rPr>
      <w:b/>
      <w:bCs/>
    </w:rPr>
  </w:style>
  <w:style w:type="character" w:customStyle="1" w:styleId="24">
    <w:name w:val="Заголовок2 Знак"/>
    <w:basedOn w:val="23"/>
    <w:link w:val="2"/>
    <w:rsid w:val="009A4C46"/>
    <w:rPr>
      <w:rFonts w:ascii="Calibri Light" w:eastAsia="Times New Roman" w:hAnsi="Calibri Light" w:cs="Times New Roman"/>
      <w:b w:val="0"/>
      <w:i w:val="0"/>
      <w:spacing w:val="-10"/>
      <w:kern w:val="28"/>
      <w:sz w:val="56"/>
      <w:szCs w:val="56"/>
      <w:lang w:eastAsia="ru-RU"/>
    </w:rPr>
  </w:style>
  <w:style w:type="character" w:customStyle="1" w:styleId="25">
    <w:name w:val="Основной текст (2)_"/>
    <w:basedOn w:val="a0"/>
    <w:link w:val="26"/>
    <w:rsid w:val="009A4C46"/>
    <w:rPr>
      <w:rFonts w:ascii="Times New Roman" w:eastAsia="Times New Roman" w:hAnsi="Times New Roman" w:cs="Times New Roman"/>
      <w:shd w:val="clear" w:color="auto" w:fill="FFFFFF"/>
    </w:rPr>
  </w:style>
  <w:style w:type="paragraph" w:customStyle="1" w:styleId="26">
    <w:name w:val="Основной текст (2)"/>
    <w:basedOn w:val="a"/>
    <w:link w:val="25"/>
    <w:rsid w:val="009A4C46"/>
    <w:pPr>
      <w:widowControl w:val="0"/>
      <w:shd w:val="clear" w:color="auto" w:fill="FFFFFF"/>
      <w:spacing w:after="0" w:line="360" w:lineRule="exact"/>
      <w:jc w:val="both"/>
    </w:pPr>
    <w:rPr>
      <w:rFonts w:ascii="Times New Roman" w:eastAsia="Times New Roman" w:hAnsi="Times New Roman"/>
    </w:rPr>
  </w:style>
  <w:style w:type="paragraph" w:customStyle="1" w:styleId="410">
    <w:name w:val="Заголовок 41"/>
    <w:basedOn w:val="a"/>
    <w:next w:val="a"/>
    <w:uiPriority w:val="9"/>
    <w:unhideWhenUsed/>
    <w:qFormat/>
    <w:rsid w:val="009A4C46"/>
    <w:pPr>
      <w:keepNext/>
      <w:keepLines/>
      <w:spacing w:before="40" w:after="0"/>
      <w:outlineLvl w:val="3"/>
    </w:pPr>
    <w:rPr>
      <w:rFonts w:ascii="Calibri Light" w:eastAsia="Times New Roman" w:hAnsi="Calibri Light"/>
      <w:i/>
      <w:iCs/>
      <w:color w:val="2E74B5"/>
    </w:rPr>
  </w:style>
  <w:style w:type="numbering" w:customStyle="1" w:styleId="110">
    <w:name w:val="Нет списка11"/>
    <w:next w:val="a2"/>
    <w:uiPriority w:val="99"/>
    <w:semiHidden/>
    <w:unhideWhenUsed/>
    <w:rsid w:val="009A4C46"/>
  </w:style>
  <w:style w:type="character" w:customStyle="1" w:styleId="apple-converted-space">
    <w:name w:val="apple-converted-space"/>
    <w:basedOn w:val="a0"/>
    <w:rsid w:val="009A4C46"/>
  </w:style>
  <w:style w:type="paragraph" w:styleId="af2">
    <w:name w:val="Normal (Web)"/>
    <w:basedOn w:val="a"/>
    <w:uiPriority w:val="99"/>
    <w:unhideWhenUsed/>
    <w:rsid w:val="009A4C46"/>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13">
    <w:name w:val="Просмотренная гиперссылка1"/>
    <w:basedOn w:val="a0"/>
    <w:uiPriority w:val="99"/>
    <w:semiHidden/>
    <w:unhideWhenUsed/>
    <w:rsid w:val="009A4C46"/>
    <w:rPr>
      <w:color w:val="954F72"/>
      <w:u w:val="single"/>
    </w:rPr>
  </w:style>
  <w:style w:type="paragraph" w:customStyle="1" w:styleId="font5">
    <w:name w:val="font5"/>
    <w:basedOn w:val="a"/>
    <w:rsid w:val="009A4C46"/>
    <w:pPr>
      <w:spacing w:before="100" w:beforeAutospacing="1" w:after="100" w:afterAutospacing="1" w:line="240" w:lineRule="auto"/>
    </w:pPr>
    <w:rPr>
      <w:rFonts w:ascii="Times New Roman" w:eastAsia="Times New Roman" w:hAnsi="Times New Roman"/>
      <w:lang w:eastAsia="ru-RU"/>
    </w:rPr>
  </w:style>
  <w:style w:type="paragraph" w:customStyle="1" w:styleId="xl65">
    <w:name w:val="xl65"/>
    <w:basedOn w:val="a"/>
    <w:rsid w:val="009A4C4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sz w:val="24"/>
      <w:szCs w:val="24"/>
      <w:lang w:eastAsia="ru-RU"/>
    </w:rPr>
  </w:style>
  <w:style w:type="paragraph" w:customStyle="1" w:styleId="xl66">
    <w:name w:val="xl66"/>
    <w:basedOn w:val="a"/>
    <w:rsid w:val="009A4C46"/>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sz w:val="24"/>
      <w:szCs w:val="24"/>
      <w:lang w:eastAsia="ru-RU"/>
    </w:rPr>
  </w:style>
  <w:style w:type="paragraph" w:customStyle="1" w:styleId="210">
    <w:name w:val="Оглавление 21"/>
    <w:basedOn w:val="a"/>
    <w:next w:val="a"/>
    <w:autoRedefine/>
    <w:uiPriority w:val="39"/>
    <w:unhideWhenUsed/>
    <w:rsid w:val="009A4C46"/>
    <w:pPr>
      <w:spacing w:after="100"/>
      <w:ind w:left="220"/>
    </w:pPr>
  </w:style>
  <w:style w:type="paragraph" w:customStyle="1" w:styleId="111">
    <w:name w:val="Оглавление 11"/>
    <w:basedOn w:val="a"/>
    <w:next w:val="a"/>
    <w:autoRedefine/>
    <w:uiPriority w:val="39"/>
    <w:unhideWhenUsed/>
    <w:rsid w:val="009A4C46"/>
    <w:pPr>
      <w:spacing w:after="100"/>
    </w:pPr>
  </w:style>
  <w:style w:type="paragraph" w:customStyle="1" w:styleId="310">
    <w:name w:val="Оглавление 31"/>
    <w:basedOn w:val="a"/>
    <w:next w:val="a"/>
    <w:autoRedefine/>
    <w:uiPriority w:val="39"/>
    <w:unhideWhenUsed/>
    <w:rsid w:val="009A4C46"/>
    <w:pPr>
      <w:spacing w:after="100"/>
      <w:ind w:left="440"/>
    </w:pPr>
    <w:rPr>
      <w:rFonts w:eastAsia="Times New Roman"/>
      <w:lang w:eastAsia="ru-RU"/>
    </w:rPr>
  </w:style>
  <w:style w:type="paragraph" w:styleId="af3">
    <w:name w:val="endnote text"/>
    <w:basedOn w:val="a"/>
    <w:link w:val="af4"/>
    <w:uiPriority w:val="99"/>
    <w:semiHidden/>
    <w:unhideWhenUsed/>
    <w:rsid w:val="009A4C46"/>
    <w:pPr>
      <w:spacing w:after="0" w:line="240" w:lineRule="auto"/>
    </w:pPr>
    <w:rPr>
      <w:rFonts w:eastAsia="Times New Roman"/>
      <w:lang w:eastAsia="ru-RU"/>
    </w:rPr>
  </w:style>
  <w:style w:type="character" w:customStyle="1" w:styleId="af4">
    <w:name w:val="Текст концевой сноски Знак"/>
    <w:basedOn w:val="a0"/>
    <w:link w:val="af3"/>
    <w:uiPriority w:val="99"/>
    <w:semiHidden/>
    <w:rsid w:val="009A4C46"/>
    <w:rPr>
      <w:rFonts w:ascii="Myriad Pro" w:eastAsia="Times New Roman" w:hAnsi="Myriad Pro" w:cs="Times New Roman"/>
      <w:sz w:val="20"/>
      <w:szCs w:val="20"/>
      <w:lang w:eastAsia="ru-RU"/>
    </w:rPr>
  </w:style>
  <w:style w:type="character" w:styleId="af5">
    <w:name w:val="endnote reference"/>
    <w:basedOn w:val="a0"/>
    <w:uiPriority w:val="99"/>
    <w:semiHidden/>
    <w:unhideWhenUsed/>
    <w:rsid w:val="009A4C46"/>
    <w:rPr>
      <w:vertAlign w:val="superscript"/>
    </w:rPr>
  </w:style>
  <w:style w:type="character" w:customStyle="1" w:styleId="2115pt">
    <w:name w:val="Основной текст (2) + 11;5 pt;Курсив"/>
    <w:basedOn w:val="25"/>
    <w:rsid w:val="009A4C46"/>
    <w:rPr>
      <w:rFonts w:ascii="Times New Roman" w:eastAsia="Times New Roman" w:hAnsi="Times New Roman" w:cs="Times New Roman"/>
      <w:b w:val="0"/>
      <w:bCs w:val="0"/>
      <w:i/>
      <w:iCs/>
      <w:smallCaps w:val="0"/>
      <w:strike w:val="0"/>
      <w:color w:val="000000"/>
      <w:spacing w:val="0"/>
      <w:w w:val="100"/>
      <w:position w:val="0"/>
      <w:sz w:val="23"/>
      <w:szCs w:val="23"/>
      <w:u w:val="none"/>
      <w:shd w:val="clear" w:color="auto" w:fill="FFFFFF"/>
      <w:lang w:val="ru-RU" w:eastAsia="ru-RU" w:bidi="ru-RU"/>
    </w:rPr>
  </w:style>
  <w:style w:type="character" w:customStyle="1" w:styleId="27">
    <w:name w:val="Основной текст (2) + Полужирный;Курсив"/>
    <w:basedOn w:val="25"/>
    <w:rsid w:val="009A4C46"/>
    <w:rPr>
      <w:rFonts w:ascii="Times New Roman" w:eastAsia="Times New Roman" w:hAnsi="Times New Roman" w:cs="Times New Roman"/>
      <w:b/>
      <w:bCs/>
      <w:i/>
      <w:iCs/>
      <w:smallCaps w:val="0"/>
      <w:strike w:val="0"/>
      <w:color w:val="000000"/>
      <w:spacing w:val="0"/>
      <w:w w:val="100"/>
      <w:position w:val="0"/>
      <w:sz w:val="22"/>
      <w:szCs w:val="22"/>
      <w:u w:val="none"/>
      <w:shd w:val="clear" w:color="auto" w:fill="FFFFFF"/>
      <w:lang w:val="ru-RU" w:eastAsia="ru-RU" w:bidi="ru-RU"/>
    </w:rPr>
  </w:style>
  <w:style w:type="character" w:customStyle="1" w:styleId="28">
    <w:name w:val="Просмотренная гиперссылка2"/>
    <w:basedOn w:val="a0"/>
    <w:uiPriority w:val="99"/>
    <w:semiHidden/>
    <w:unhideWhenUsed/>
    <w:rsid w:val="009A4C46"/>
    <w:rPr>
      <w:color w:val="954F72"/>
      <w:u w:val="single"/>
    </w:rPr>
  </w:style>
  <w:style w:type="character" w:customStyle="1" w:styleId="411">
    <w:name w:val="Заголовок 4 Знак1"/>
    <w:basedOn w:val="a0"/>
    <w:uiPriority w:val="9"/>
    <w:semiHidden/>
    <w:rsid w:val="009A4C46"/>
    <w:rPr>
      <w:rFonts w:ascii="Calibri Light" w:eastAsia="Times New Roman" w:hAnsi="Calibri Light" w:cs="Times New Roman"/>
      <w:i/>
      <w:iCs/>
      <w:color w:val="2E74B5"/>
    </w:rPr>
  </w:style>
  <w:style w:type="paragraph" w:customStyle="1" w:styleId="HeaderCharCharCharChar1">
    <w:name w:val="Header Char Char Char Char Зн1"/>
    <w:basedOn w:val="a"/>
    <w:next w:val="af6"/>
    <w:link w:val="af7"/>
    <w:uiPriority w:val="99"/>
    <w:unhideWhenUsed/>
    <w:rsid w:val="009A4C46"/>
    <w:pPr>
      <w:tabs>
        <w:tab w:val="center" w:pos="4677"/>
        <w:tab w:val="right" w:pos="9355"/>
      </w:tabs>
      <w:spacing w:after="0" w:line="240" w:lineRule="auto"/>
    </w:pPr>
  </w:style>
  <w:style w:type="character" w:customStyle="1" w:styleId="af7">
    <w:name w:val="Верхний колонтитул Знак"/>
    <w:aliases w:val="encabezado Знак,Header Char1 Знак,Header Char Char Знак,Header Char2 Char Char Знак,Header Char1 Char Char Char Знак,Header Char Char Char Char Char Знак,Header Char Char1 Char Char Знак,Header Char Знак,Header Char2 Char Знак"/>
    <w:basedOn w:val="a0"/>
    <w:link w:val="HeaderCharCharCharChar1"/>
    <w:uiPriority w:val="99"/>
    <w:rsid w:val="009A4C46"/>
  </w:style>
  <w:style w:type="paragraph" w:customStyle="1" w:styleId="ConsPlusNormal">
    <w:name w:val="ConsPlusNormal"/>
    <w:rsid w:val="009A4C46"/>
    <w:pPr>
      <w:autoSpaceDE w:val="0"/>
      <w:autoSpaceDN w:val="0"/>
      <w:adjustRightInd w:val="0"/>
      <w:spacing w:after="0" w:line="240" w:lineRule="auto"/>
    </w:pPr>
    <w:rPr>
      <w:rFonts w:cs="Myriad Pro"/>
      <w:sz w:val="26"/>
      <w:szCs w:val="26"/>
    </w:rPr>
  </w:style>
  <w:style w:type="character" w:customStyle="1" w:styleId="32">
    <w:name w:val="Основной текст (3)_"/>
    <w:basedOn w:val="a0"/>
    <w:link w:val="33"/>
    <w:rsid w:val="009A4C46"/>
    <w:rPr>
      <w:rFonts w:ascii="Times New Roman" w:eastAsia="Times New Roman" w:hAnsi="Times New Roman" w:cs="Times New Roman"/>
      <w:b/>
      <w:bCs/>
      <w:sz w:val="28"/>
      <w:szCs w:val="28"/>
      <w:shd w:val="clear" w:color="auto" w:fill="FFFFFF"/>
    </w:rPr>
  </w:style>
  <w:style w:type="character" w:customStyle="1" w:styleId="14">
    <w:name w:val="Заголовок №1_"/>
    <w:basedOn w:val="a0"/>
    <w:link w:val="15"/>
    <w:rsid w:val="009A4C46"/>
    <w:rPr>
      <w:rFonts w:ascii="Times New Roman" w:eastAsia="Times New Roman" w:hAnsi="Times New Roman" w:cs="Times New Roman"/>
      <w:b/>
      <w:bCs/>
      <w:sz w:val="28"/>
      <w:szCs w:val="28"/>
      <w:shd w:val="clear" w:color="auto" w:fill="FFFFFF"/>
    </w:rPr>
  </w:style>
  <w:style w:type="character" w:customStyle="1" w:styleId="29">
    <w:name w:val="Подпись к таблице (2)_"/>
    <w:basedOn w:val="a0"/>
    <w:link w:val="2a"/>
    <w:rsid w:val="009A4C46"/>
    <w:rPr>
      <w:rFonts w:ascii="Times New Roman" w:eastAsia="Times New Roman" w:hAnsi="Times New Roman" w:cs="Times New Roman"/>
      <w:b/>
      <w:bCs/>
      <w:sz w:val="28"/>
      <w:szCs w:val="28"/>
      <w:shd w:val="clear" w:color="auto" w:fill="FFFFFF"/>
    </w:rPr>
  </w:style>
  <w:style w:type="character" w:customStyle="1" w:styleId="295pt">
    <w:name w:val="Основной текст (2) + 9;5 pt"/>
    <w:basedOn w:val="25"/>
    <w:rsid w:val="009A4C46"/>
    <w:rPr>
      <w:rFonts w:ascii="Times New Roman" w:eastAsia="Times New Roman" w:hAnsi="Times New Roman" w:cs="Times New Roman"/>
      <w:color w:val="000000"/>
      <w:spacing w:val="0"/>
      <w:w w:val="100"/>
      <w:position w:val="0"/>
      <w:sz w:val="19"/>
      <w:szCs w:val="19"/>
      <w:shd w:val="clear" w:color="auto" w:fill="FFFFFF"/>
      <w:lang w:val="ru-RU" w:eastAsia="ru-RU" w:bidi="ru-RU"/>
    </w:rPr>
  </w:style>
  <w:style w:type="character" w:customStyle="1" w:styleId="29pt">
    <w:name w:val="Основной текст (2) + 9 pt;Полужирный"/>
    <w:basedOn w:val="25"/>
    <w:rsid w:val="009A4C46"/>
    <w:rPr>
      <w:rFonts w:ascii="Times New Roman" w:eastAsia="Times New Roman" w:hAnsi="Times New Roman" w:cs="Times New Roman"/>
      <w:b/>
      <w:bCs/>
      <w:color w:val="000000"/>
      <w:spacing w:val="0"/>
      <w:w w:val="100"/>
      <w:position w:val="0"/>
      <w:sz w:val="18"/>
      <w:szCs w:val="18"/>
      <w:shd w:val="clear" w:color="auto" w:fill="FFFFFF"/>
      <w:lang w:val="ru-RU" w:eastAsia="ru-RU" w:bidi="ru-RU"/>
    </w:rPr>
  </w:style>
  <w:style w:type="character" w:customStyle="1" w:styleId="29pt0">
    <w:name w:val="Основной текст (2) + 9 pt"/>
    <w:basedOn w:val="25"/>
    <w:rsid w:val="009A4C46"/>
    <w:rPr>
      <w:rFonts w:ascii="Times New Roman" w:eastAsia="Times New Roman" w:hAnsi="Times New Roman" w:cs="Times New Roman"/>
      <w:color w:val="000000"/>
      <w:spacing w:val="0"/>
      <w:w w:val="100"/>
      <w:position w:val="0"/>
      <w:sz w:val="18"/>
      <w:szCs w:val="18"/>
      <w:shd w:val="clear" w:color="auto" w:fill="FFFFFF"/>
      <w:lang w:val="ru-RU" w:eastAsia="ru-RU" w:bidi="ru-RU"/>
    </w:rPr>
  </w:style>
  <w:style w:type="character" w:customStyle="1" w:styleId="213pt">
    <w:name w:val="Основной текст (2) + 13 pt"/>
    <w:basedOn w:val="25"/>
    <w:rsid w:val="009A4C46"/>
    <w:rPr>
      <w:rFonts w:ascii="Times New Roman" w:eastAsia="Times New Roman" w:hAnsi="Times New Roman" w:cs="Times New Roman"/>
      <w:color w:val="000000"/>
      <w:spacing w:val="0"/>
      <w:w w:val="100"/>
      <w:position w:val="0"/>
      <w:sz w:val="26"/>
      <w:szCs w:val="26"/>
      <w:shd w:val="clear" w:color="auto" w:fill="FFFFFF"/>
      <w:lang w:val="ru-RU" w:eastAsia="ru-RU" w:bidi="ru-RU"/>
    </w:rPr>
  </w:style>
  <w:style w:type="paragraph" w:customStyle="1" w:styleId="33">
    <w:name w:val="Основной текст (3)"/>
    <w:basedOn w:val="a"/>
    <w:link w:val="32"/>
    <w:rsid w:val="009A4C46"/>
    <w:pPr>
      <w:widowControl w:val="0"/>
      <w:shd w:val="clear" w:color="auto" w:fill="FFFFFF"/>
      <w:spacing w:after="240" w:line="310" w:lineRule="exact"/>
      <w:jc w:val="right"/>
    </w:pPr>
    <w:rPr>
      <w:rFonts w:ascii="Times New Roman" w:eastAsia="Times New Roman" w:hAnsi="Times New Roman"/>
      <w:b/>
      <w:bCs/>
      <w:sz w:val="28"/>
      <w:szCs w:val="28"/>
    </w:rPr>
  </w:style>
  <w:style w:type="paragraph" w:customStyle="1" w:styleId="15">
    <w:name w:val="Заголовок №1"/>
    <w:basedOn w:val="a"/>
    <w:link w:val="14"/>
    <w:rsid w:val="009A4C46"/>
    <w:pPr>
      <w:widowControl w:val="0"/>
      <w:shd w:val="clear" w:color="auto" w:fill="FFFFFF"/>
      <w:spacing w:after="0" w:line="480" w:lineRule="exact"/>
      <w:jc w:val="right"/>
      <w:outlineLvl w:val="0"/>
    </w:pPr>
    <w:rPr>
      <w:rFonts w:ascii="Times New Roman" w:eastAsia="Times New Roman" w:hAnsi="Times New Roman"/>
      <w:b/>
      <w:bCs/>
      <w:sz w:val="28"/>
      <w:szCs w:val="28"/>
    </w:rPr>
  </w:style>
  <w:style w:type="paragraph" w:customStyle="1" w:styleId="2a">
    <w:name w:val="Подпись к таблице (2)"/>
    <w:basedOn w:val="a"/>
    <w:link w:val="29"/>
    <w:rsid w:val="009A4C46"/>
    <w:pPr>
      <w:widowControl w:val="0"/>
      <w:shd w:val="clear" w:color="auto" w:fill="FFFFFF"/>
      <w:spacing w:after="0" w:line="310" w:lineRule="exact"/>
    </w:pPr>
    <w:rPr>
      <w:rFonts w:ascii="Times New Roman" w:eastAsia="Times New Roman" w:hAnsi="Times New Roman"/>
      <w:b/>
      <w:bCs/>
      <w:sz w:val="28"/>
      <w:szCs w:val="28"/>
    </w:rPr>
  </w:style>
  <w:style w:type="table" w:styleId="af8">
    <w:name w:val="Table Grid"/>
    <w:basedOn w:val="a1"/>
    <w:uiPriority w:val="59"/>
    <w:rsid w:val="009A4C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9">
    <w:name w:val="Основной текст отчета"/>
    <w:rsid w:val="009A4C46"/>
    <w:pPr>
      <w:spacing w:after="0" w:line="320" w:lineRule="atLeast"/>
      <w:ind w:firstLine="709"/>
      <w:jc w:val="both"/>
    </w:pPr>
    <w:rPr>
      <w:rFonts w:ascii="Times New Roman" w:eastAsia="Calibri" w:hAnsi="Times New Roman"/>
      <w:sz w:val="24"/>
      <w:szCs w:val="24"/>
      <w:lang w:eastAsia="ru-RU"/>
    </w:rPr>
  </w:style>
  <w:style w:type="paragraph" w:customStyle="1" w:styleId="afa">
    <w:name w:val="Текст записки"/>
    <w:basedOn w:val="a"/>
    <w:rsid w:val="009A4C46"/>
    <w:pPr>
      <w:suppressAutoHyphens/>
      <w:spacing w:after="120" w:line="276" w:lineRule="auto"/>
      <w:ind w:firstLine="709"/>
      <w:jc w:val="both"/>
    </w:pPr>
    <w:rPr>
      <w:rFonts w:ascii="Calibri" w:eastAsia="Times New Roman" w:hAnsi="Calibri" w:cs="Calibri"/>
      <w:sz w:val="28"/>
      <w:szCs w:val="26"/>
      <w:lang w:eastAsia="ar-SA"/>
    </w:rPr>
  </w:style>
  <w:style w:type="paragraph" w:customStyle="1" w:styleId="afb">
    <w:name w:val="Текст ТЭП"/>
    <w:basedOn w:val="a"/>
    <w:qFormat/>
    <w:rsid w:val="009A4C46"/>
    <w:pPr>
      <w:spacing w:after="0" w:line="312" w:lineRule="auto"/>
      <w:ind w:left="1418" w:right="284" w:firstLine="851"/>
      <w:jc w:val="both"/>
    </w:pPr>
    <w:rPr>
      <w:rFonts w:ascii="Times New Roman" w:eastAsia="Times New Roman" w:hAnsi="Times New Roman"/>
      <w:sz w:val="28"/>
      <w:lang w:eastAsia="ru-RU"/>
    </w:rPr>
  </w:style>
  <w:style w:type="table" w:customStyle="1" w:styleId="112">
    <w:name w:val="Стиль11"/>
    <w:basedOn w:val="a1"/>
    <w:uiPriority w:val="99"/>
    <w:rsid w:val="009A4C46"/>
    <w:pPr>
      <w:spacing w:after="0" w:line="240" w:lineRule="auto"/>
    </w:pPr>
    <w:tblPr>
      <w:tblBorders>
        <w:bottom w:val="single" w:sz="4" w:space="0" w:color="525252"/>
        <w:insideH w:val="single" w:sz="4" w:space="0" w:color="525252"/>
        <w:insideV w:val="single" w:sz="4" w:space="0" w:color="525252"/>
      </w:tblBorders>
    </w:tblPr>
    <w:tcPr>
      <w:shd w:val="clear" w:color="auto" w:fill="auto"/>
      <w:vAlign w:val="center"/>
    </w:tcPr>
    <w:tblStylePr w:type="firstRow">
      <w:pPr>
        <w:wordWrap/>
        <w:spacing w:beforeLines="0" w:beforeAutospacing="0" w:afterLines="0" w:afterAutospacing="0" w:line="240" w:lineRule="auto"/>
        <w:ind w:leftChars="0" w:left="0" w:rightChars="0" w:right="0"/>
        <w:jc w:val="center"/>
      </w:pPr>
      <w:rPr>
        <w:rFonts w:ascii="Arial CYR" w:hAnsi="Arial CYR"/>
        <w:b/>
        <w:i w:val="0"/>
        <w:caps w:val="0"/>
        <w:smallCaps w:val="0"/>
        <w:strike w:val="0"/>
        <w:dstrike w:val="0"/>
        <w:vanish w:val="0"/>
        <w:color w:val="FFFFFF"/>
        <w:sz w:val="22"/>
        <w:vertAlign w:val="baseline"/>
      </w:rPr>
      <w:tblPr/>
      <w:tcPr>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val="clear" w:color="auto" w:fill="525252"/>
      </w:tcPr>
    </w:tblStylePr>
    <w:tblStylePr w:type="firstCol">
      <w:pPr>
        <w:jc w:val="left"/>
      </w:pPr>
      <w:tblPr/>
      <w:tcPr>
        <w:vAlign w:val="top"/>
      </w:tcPr>
    </w:tblStylePr>
  </w:style>
  <w:style w:type="character" w:styleId="afc">
    <w:name w:val="Emphasis"/>
    <w:basedOn w:val="a0"/>
    <w:uiPriority w:val="20"/>
    <w:qFormat/>
    <w:rsid w:val="009A4C46"/>
    <w:rPr>
      <w:i/>
      <w:iCs/>
    </w:rPr>
  </w:style>
  <w:style w:type="character" w:customStyle="1" w:styleId="editsection">
    <w:name w:val="editsection"/>
    <w:basedOn w:val="a0"/>
    <w:rsid w:val="009A4C46"/>
  </w:style>
  <w:style w:type="character" w:customStyle="1" w:styleId="mw-headline">
    <w:name w:val="mw-headline"/>
    <w:basedOn w:val="a0"/>
    <w:rsid w:val="009A4C46"/>
  </w:style>
  <w:style w:type="character" w:customStyle="1" w:styleId="w">
    <w:name w:val="w"/>
    <w:basedOn w:val="a0"/>
    <w:rsid w:val="009A4C46"/>
  </w:style>
  <w:style w:type="paragraph" w:customStyle="1" w:styleId="bodytext">
    <w:name w:val="bodytext"/>
    <w:basedOn w:val="a"/>
    <w:rsid w:val="009A4C46"/>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2105pt">
    <w:name w:val="Основной текст (2) + 10;5 pt;Полужирный"/>
    <w:basedOn w:val="25"/>
    <w:rsid w:val="009A4C46"/>
    <w:rPr>
      <w:rFonts w:ascii="Times New Roman" w:eastAsia="Times New Roman" w:hAnsi="Times New Roman" w:cs="Times New Roman"/>
      <w:b/>
      <w:bCs/>
      <w:i w:val="0"/>
      <w:iCs w:val="0"/>
      <w:smallCaps w:val="0"/>
      <w:strike w:val="0"/>
      <w:color w:val="000000"/>
      <w:spacing w:val="0"/>
      <w:w w:val="100"/>
      <w:position w:val="0"/>
      <w:sz w:val="21"/>
      <w:szCs w:val="21"/>
      <w:u w:val="none"/>
      <w:shd w:val="clear" w:color="auto" w:fill="FFFFFF"/>
      <w:lang w:val="ru-RU" w:eastAsia="ru-RU" w:bidi="ru-RU"/>
    </w:rPr>
  </w:style>
  <w:style w:type="character" w:customStyle="1" w:styleId="1Exact">
    <w:name w:val="Заголовок №1 Exact"/>
    <w:basedOn w:val="a0"/>
    <w:rsid w:val="009A4C46"/>
    <w:rPr>
      <w:rFonts w:ascii="Times New Roman" w:eastAsia="Times New Roman" w:hAnsi="Times New Roman" w:cs="Times New Roman"/>
      <w:b/>
      <w:bCs/>
      <w:i w:val="0"/>
      <w:iCs w:val="0"/>
      <w:smallCaps w:val="0"/>
      <w:strike w:val="0"/>
      <w:sz w:val="26"/>
      <w:szCs w:val="26"/>
      <w:u w:val="none"/>
    </w:rPr>
  </w:style>
  <w:style w:type="character" w:customStyle="1" w:styleId="50">
    <w:name w:val="Заголовок 5 Знак"/>
    <w:basedOn w:val="a0"/>
    <w:link w:val="5"/>
    <w:uiPriority w:val="9"/>
    <w:rsid w:val="009A4C46"/>
    <w:rPr>
      <w:rFonts w:ascii="Calibri Light" w:eastAsia="Times New Roman" w:hAnsi="Calibri Light" w:cs="Times New Roman"/>
      <w:color w:val="2E74B5"/>
    </w:rPr>
  </w:style>
  <w:style w:type="paragraph" w:styleId="4">
    <w:name w:val="List Number 4"/>
    <w:basedOn w:val="a"/>
    <w:uiPriority w:val="99"/>
    <w:rsid w:val="009A4C46"/>
    <w:pPr>
      <w:numPr>
        <w:numId w:val="6"/>
      </w:numPr>
      <w:tabs>
        <w:tab w:val="clear" w:pos="360"/>
        <w:tab w:val="num" w:pos="1209"/>
      </w:tabs>
      <w:spacing w:before="180" w:after="60" w:line="240" w:lineRule="auto"/>
      <w:ind w:left="1209"/>
    </w:pPr>
    <w:rPr>
      <w:rFonts w:ascii="Garamond" w:eastAsia="Times New Roman" w:hAnsi="Garamond"/>
      <w:lang w:val="en-GB"/>
    </w:rPr>
  </w:style>
  <w:style w:type="character" w:styleId="afd">
    <w:name w:val="page number"/>
    <w:basedOn w:val="a0"/>
    <w:uiPriority w:val="99"/>
    <w:rsid w:val="009A4C46"/>
    <w:rPr>
      <w:rFonts w:cs="Times New Roman"/>
    </w:rPr>
  </w:style>
  <w:style w:type="character" w:customStyle="1" w:styleId="afe">
    <w:name w:val="Текст примечания Знак"/>
    <w:basedOn w:val="a0"/>
    <w:link w:val="aff"/>
    <w:uiPriority w:val="99"/>
    <w:semiHidden/>
    <w:rsid w:val="009A4C46"/>
    <w:rPr>
      <w:rFonts w:ascii="Times New Roman" w:eastAsia="Times New Roman" w:hAnsi="Times New Roman" w:cs="Times New Roman"/>
      <w:sz w:val="20"/>
      <w:szCs w:val="20"/>
      <w:lang w:eastAsia="ru-RU"/>
    </w:rPr>
  </w:style>
  <w:style w:type="paragraph" w:styleId="aff">
    <w:name w:val="annotation text"/>
    <w:basedOn w:val="a"/>
    <w:link w:val="afe"/>
    <w:uiPriority w:val="99"/>
    <w:semiHidden/>
    <w:rsid w:val="009A4C46"/>
    <w:pPr>
      <w:spacing w:after="0" w:line="240" w:lineRule="auto"/>
    </w:pPr>
    <w:rPr>
      <w:rFonts w:ascii="Times New Roman" w:eastAsia="Times New Roman" w:hAnsi="Times New Roman"/>
      <w:lang w:eastAsia="ru-RU"/>
    </w:rPr>
  </w:style>
  <w:style w:type="character" w:customStyle="1" w:styleId="16">
    <w:name w:val="Текст примечания Знак1"/>
    <w:basedOn w:val="a0"/>
    <w:uiPriority w:val="99"/>
    <w:semiHidden/>
    <w:rsid w:val="009A4C46"/>
    <w:rPr>
      <w:sz w:val="20"/>
      <w:szCs w:val="20"/>
    </w:rPr>
  </w:style>
  <w:style w:type="character" w:customStyle="1" w:styleId="aff0">
    <w:name w:val="Тема примечания Знак"/>
    <w:basedOn w:val="afe"/>
    <w:link w:val="aff1"/>
    <w:uiPriority w:val="99"/>
    <w:semiHidden/>
    <w:rsid w:val="009A4C46"/>
    <w:rPr>
      <w:rFonts w:ascii="Times New Roman" w:eastAsia="Times New Roman" w:hAnsi="Times New Roman" w:cs="Times New Roman"/>
      <w:b/>
      <w:bCs/>
      <w:sz w:val="20"/>
      <w:szCs w:val="20"/>
      <w:lang w:eastAsia="ru-RU"/>
    </w:rPr>
  </w:style>
  <w:style w:type="paragraph" w:styleId="aff1">
    <w:name w:val="annotation subject"/>
    <w:basedOn w:val="aff"/>
    <w:next w:val="aff"/>
    <w:link w:val="aff0"/>
    <w:uiPriority w:val="99"/>
    <w:semiHidden/>
    <w:rsid w:val="009A4C46"/>
    <w:rPr>
      <w:b/>
      <w:bCs/>
    </w:rPr>
  </w:style>
  <w:style w:type="character" w:customStyle="1" w:styleId="17">
    <w:name w:val="Тема примечания Знак1"/>
    <w:basedOn w:val="16"/>
    <w:uiPriority w:val="99"/>
    <w:semiHidden/>
    <w:rsid w:val="009A4C46"/>
    <w:rPr>
      <w:b/>
      <w:bCs/>
      <w:sz w:val="20"/>
      <w:szCs w:val="20"/>
    </w:rPr>
  </w:style>
  <w:style w:type="character" w:styleId="aff2">
    <w:name w:val="annotation reference"/>
    <w:basedOn w:val="a0"/>
    <w:uiPriority w:val="99"/>
    <w:semiHidden/>
    <w:rsid w:val="009A4C46"/>
    <w:rPr>
      <w:rFonts w:cs="Times New Roman"/>
      <w:sz w:val="16"/>
      <w:szCs w:val="16"/>
    </w:rPr>
  </w:style>
  <w:style w:type="paragraph" w:customStyle="1" w:styleId="ConsPlusNonformat">
    <w:name w:val="ConsPlusNonformat"/>
    <w:uiPriority w:val="99"/>
    <w:rsid w:val="009A4C46"/>
    <w:pPr>
      <w:widowControl w:val="0"/>
      <w:autoSpaceDE w:val="0"/>
      <w:autoSpaceDN w:val="0"/>
      <w:adjustRightInd w:val="0"/>
      <w:spacing w:after="0" w:line="240" w:lineRule="auto"/>
    </w:pPr>
    <w:rPr>
      <w:rFonts w:ascii="Courier New" w:eastAsia="Times New Roman" w:hAnsi="Courier New" w:cs="Courier New"/>
      <w:lang w:eastAsia="ru-RU"/>
    </w:rPr>
  </w:style>
  <w:style w:type="character" w:customStyle="1" w:styleId="blk">
    <w:name w:val="blk"/>
    <w:basedOn w:val="a0"/>
    <w:rsid w:val="009A4C46"/>
  </w:style>
  <w:style w:type="character" w:customStyle="1" w:styleId="2TimesNewRoman">
    <w:name w:val="Основной текст (2) + Times New Roman"/>
    <w:basedOn w:val="25"/>
    <w:rsid w:val="009A4C46"/>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lang w:val="ru-RU" w:eastAsia="ru-RU" w:bidi="ru-RU"/>
    </w:rPr>
  </w:style>
  <w:style w:type="character" w:customStyle="1" w:styleId="2TimesNewRoman105pt1pt">
    <w:name w:val="Основной текст (2) + Times New Roman;10;5 pt;Курсив;Интервал 1 pt"/>
    <w:basedOn w:val="25"/>
    <w:rsid w:val="009A4C46"/>
    <w:rPr>
      <w:rFonts w:ascii="Times New Roman" w:eastAsia="Times New Roman" w:hAnsi="Times New Roman" w:cs="Times New Roman"/>
      <w:b w:val="0"/>
      <w:bCs w:val="0"/>
      <w:i/>
      <w:iCs/>
      <w:smallCaps w:val="0"/>
      <w:strike w:val="0"/>
      <w:color w:val="000000"/>
      <w:spacing w:val="20"/>
      <w:w w:val="100"/>
      <w:position w:val="0"/>
      <w:sz w:val="21"/>
      <w:szCs w:val="21"/>
      <w:u w:val="none"/>
      <w:shd w:val="clear" w:color="auto" w:fill="FFFFFF"/>
      <w:lang w:val="ru-RU" w:eastAsia="ru-RU" w:bidi="ru-RU"/>
    </w:rPr>
  </w:style>
  <w:style w:type="character" w:customStyle="1" w:styleId="2TimesNewRoman6pt0pt">
    <w:name w:val="Основной текст (2) + Times New Roman;6 pt;Курсив;Интервал 0 pt"/>
    <w:basedOn w:val="25"/>
    <w:rsid w:val="009A4C46"/>
    <w:rPr>
      <w:rFonts w:ascii="Times New Roman" w:eastAsia="Times New Roman" w:hAnsi="Times New Roman" w:cs="Times New Roman"/>
      <w:b w:val="0"/>
      <w:bCs w:val="0"/>
      <w:i/>
      <w:iCs/>
      <w:smallCaps w:val="0"/>
      <w:strike w:val="0"/>
      <w:color w:val="000000"/>
      <w:spacing w:val="10"/>
      <w:w w:val="100"/>
      <w:position w:val="0"/>
      <w:sz w:val="12"/>
      <w:szCs w:val="12"/>
      <w:u w:val="none"/>
      <w:shd w:val="clear" w:color="auto" w:fill="FFFFFF"/>
      <w:lang w:val="ru-RU" w:eastAsia="ru-RU" w:bidi="ru-RU"/>
    </w:rPr>
  </w:style>
  <w:style w:type="character" w:customStyle="1" w:styleId="24pt">
    <w:name w:val="Основной текст (2) + 4 pt;Курсив"/>
    <w:basedOn w:val="25"/>
    <w:rsid w:val="009A4C46"/>
    <w:rPr>
      <w:rFonts w:ascii="Calibri" w:eastAsia="Calibri" w:hAnsi="Calibri" w:cs="Calibri"/>
      <w:b w:val="0"/>
      <w:bCs w:val="0"/>
      <w:i/>
      <w:iCs/>
      <w:smallCaps w:val="0"/>
      <w:strike w:val="0"/>
      <w:color w:val="000000"/>
      <w:spacing w:val="0"/>
      <w:w w:val="100"/>
      <w:position w:val="0"/>
      <w:sz w:val="8"/>
      <w:szCs w:val="8"/>
      <w:u w:val="none"/>
      <w:shd w:val="clear" w:color="auto" w:fill="FFFFFF"/>
      <w:lang w:val="ru-RU" w:eastAsia="ru-RU" w:bidi="ru-RU"/>
    </w:rPr>
  </w:style>
  <w:style w:type="character" w:customStyle="1" w:styleId="255pt">
    <w:name w:val="Основной текст (2) + 5;5 pt"/>
    <w:basedOn w:val="25"/>
    <w:rsid w:val="009A4C46"/>
    <w:rPr>
      <w:rFonts w:ascii="Calibri" w:eastAsia="Calibri" w:hAnsi="Calibri" w:cs="Calibri"/>
      <w:b w:val="0"/>
      <w:bCs w:val="0"/>
      <w:i w:val="0"/>
      <w:iCs w:val="0"/>
      <w:smallCaps w:val="0"/>
      <w:strike w:val="0"/>
      <w:color w:val="000000"/>
      <w:spacing w:val="0"/>
      <w:w w:val="100"/>
      <w:position w:val="0"/>
      <w:sz w:val="11"/>
      <w:szCs w:val="11"/>
      <w:u w:val="none"/>
      <w:shd w:val="clear" w:color="auto" w:fill="FFFFFF"/>
      <w:lang w:val="ru-RU" w:eastAsia="ru-RU" w:bidi="ru-RU"/>
    </w:rPr>
  </w:style>
  <w:style w:type="character" w:customStyle="1" w:styleId="210pt">
    <w:name w:val="Основной текст (2) + 10 pt"/>
    <w:basedOn w:val="25"/>
    <w:rsid w:val="009A4C46"/>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lang w:val="ru-RU" w:eastAsia="ru-RU" w:bidi="ru-RU"/>
    </w:rPr>
  </w:style>
  <w:style w:type="character" w:customStyle="1" w:styleId="210pt0">
    <w:name w:val="Основной текст (2) + 10 pt;Полужирный"/>
    <w:basedOn w:val="25"/>
    <w:rsid w:val="009A4C46"/>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FFFFFF"/>
      <w:lang w:val="ru-RU" w:eastAsia="ru-RU" w:bidi="ru-RU"/>
    </w:rPr>
  </w:style>
  <w:style w:type="paragraph" w:customStyle="1" w:styleId="NormalExport">
    <w:name w:val="Normal_Export"/>
    <w:basedOn w:val="a"/>
    <w:rsid w:val="009A4C46"/>
    <w:pPr>
      <w:spacing w:after="0" w:line="240" w:lineRule="auto"/>
      <w:jc w:val="both"/>
    </w:pPr>
    <w:rPr>
      <w:rFonts w:ascii="Arial" w:eastAsia="Arial" w:hAnsi="Arial" w:cs="Arial"/>
      <w:color w:val="000000"/>
      <w:szCs w:val="24"/>
      <w:shd w:val="clear" w:color="auto" w:fill="FFFFFF"/>
      <w:lang w:eastAsia="ru-RU"/>
    </w:rPr>
  </w:style>
  <w:style w:type="paragraph" w:customStyle="1" w:styleId="aff3">
    <w:name w:val="?Основной текст"/>
    <w:basedOn w:val="a"/>
    <w:link w:val="aff4"/>
    <w:uiPriority w:val="99"/>
    <w:qFormat/>
    <w:rsid w:val="009A4C46"/>
    <w:pPr>
      <w:spacing w:before="52" w:after="0" w:line="300" w:lineRule="exact"/>
      <w:ind w:left="284" w:firstLine="170"/>
      <w:jc w:val="both"/>
    </w:pPr>
    <w:rPr>
      <w:rFonts w:ascii="CharterC" w:eastAsia="Times New Roman" w:hAnsi="CharterC"/>
      <w:szCs w:val="24"/>
      <w:lang w:eastAsia="ru-RU"/>
    </w:rPr>
  </w:style>
  <w:style w:type="character" w:customStyle="1" w:styleId="aff4">
    <w:name w:val="?Основной текст Знак"/>
    <w:link w:val="aff3"/>
    <w:uiPriority w:val="99"/>
    <w:rsid w:val="009A4C46"/>
    <w:rPr>
      <w:rFonts w:ascii="CharterC" w:eastAsia="Times New Roman" w:hAnsi="CharterC" w:cs="Times New Roman"/>
      <w:szCs w:val="24"/>
      <w:lang w:eastAsia="ru-RU"/>
    </w:rPr>
  </w:style>
  <w:style w:type="paragraph" w:customStyle="1" w:styleId="Textbody">
    <w:name w:val="Text body"/>
    <w:basedOn w:val="a"/>
    <w:rsid w:val="009A4C46"/>
    <w:pPr>
      <w:widowControl w:val="0"/>
      <w:suppressAutoHyphens/>
      <w:autoSpaceDN w:val="0"/>
      <w:spacing w:after="120" w:line="240" w:lineRule="auto"/>
      <w:textAlignment w:val="baseline"/>
    </w:pPr>
    <w:rPr>
      <w:rFonts w:ascii="Times New Roman" w:eastAsia="SimSun" w:hAnsi="Times New Roman" w:cs="Mangal"/>
      <w:kern w:val="3"/>
      <w:sz w:val="24"/>
      <w:szCs w:val="24"/>
      <w:lang w:eastAsia="zh-CN" w:bidi="hi-IN"/>
    </w:rPr>
  </w:style>
  <w:style w:type="paragraph" w:customStyle="1" w:styleId="ConsPlusTitle">
    <w:name w:val="ConsPlusTitle"/>
    <w:uiPriority w:val="99"/>
    <w:rsid w:val="009A4C46"/>
    <w:pPr>
      <w:autoSpaceDE w:val="0"/>
      <w:autoSpaceDN w:val="0"/>
      <w:adjustRightInd w:val="0"/>
      <w:spacing w:after="0" w:line="240" w:lineRule="auto"/>
    </w:pPr>
    <w:rPr>
      <w:rFonts w:ascii="Times New Roman" w:eastAsia="Times New Roman" w:hAnsi="Times New Roman"/>
      <w:b/>
      <w:bCs/>
      <w:sz w:val="24"/>
      <w:szCs w:val="24"/>
      <w:lang w:eastAsia="ru-RU"/>
    </w:rPr>
  </w:style>
  <w:style w:type="character" w:customStyle="1" w:styleId="212pt">
    <w:name w:val="Основной текст (2) + 12 pt"/>
    <w:basedOn w:val="25"/>
    <w:rsid w:val="009A4C46"/>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FFFFFF"/>
      <w:lang w:val="ru-RU" w:eastAsia="ru-RU" w:bidi="ru-RU"/>
    </w:rPr>
  </w:style>
  <w:style w:type="paragraph" w:customStyle="1" w:styleId="aff5">
    <w:name w:val="Знак"/>
    <w:basedOn w:val="a"/>
    <w:rsid w:val="009A4C46"/>
    <w:pPr>
      <w:spacing w:line="240" w:lineRule="exact"/>
    </w:pPr>
    <w:rPr>
      <w:rFonts w:ascii="Verdana" w:eastAsia="Times New Roman" w:hAnsi="Verdana" w:cs="Verdana"/>
      <w:lang w:val="en-US"/>
    </w:rPr>
  </w:style>
  <w:style w:type="character" w:customStyle="1" w:styleId="2Georgia85pt">
    <w:name w:val="Основной текст (2) + Georgia;8;5 pt"/>
    <w:basedOn w:val="25"/>
    <w:rsid w:val="009A4C46"/>
    <w:rPr>
      <w:rFonts w:ascii="Georgia" w:eastAsia="Georgia" w:hAnsi="Georgia" w:cs="Georgia"/>
      <w:b w:val="0"/>
      <w:bCs w:val="0"/>
      <w:i w:val="0"/>
      <w:iCs w:val="0"/>
      <w:smallCaps w:val="0"/>
      <w:strike w:val="0"/>
      <w:color w:val="000000"/>
      <w:spacing w:val="0"/>
      <w:w w:val="100"/>
      <w:position w:val="0"/>
      <w:sz w:val="17"/>
      <w:szCs w:val="17"/>
      <w:u w:val="none"/>
      <w:shd w:val="clear" w:color="auto" w:fill="FFFFFF"/>
      <w:lang w:val="ru-RU" w:eastAsia="ru-RU" w:bidi="ru-RU"/>
    </w:rPr>
  </w:style>
  <w:style w:type="character" w:customStyle="1" w:styleId="2b">
    <w:name w:val="Основной текст (2) + Малые прописные"/>
    <w:basedOn w:val="25"/>
    <w:rsid w:val="009A4C46"/>
    <w:rPr>
      <w:rFonts w:ascii="Times New Roman" w:eastAsia="Times New Roman" w:hAnsi="Times New Roman" w:cs="Times New Roman"/>
      <w:b w:val="0"/>
      <w:bCs w:val="0"/>
      <w:i w:val="0"/>
      <w:iCs w:val="0"/>
      <w:smallCaps/>
      <w:strike w:val="0"/>
      <w:color w:val="000000"/>
      <w:spacing w:val="0"/>
      <w:w w:val="100"/>
      <w:position w:val="0"/>
      <w:sz w:val="28"/>
      <w:szCs w:val="28"/>
      <w:u w:val="none"/>
      <w:shd w:val="clear" w:color="auto" w:fill="FFFFFF"/>
      <w:lang w:val="ru-RU" w:eastAsia="ru-RU" w:bidi="ru-RU"/>
    </w:rPr>
  </w:style>
  <w:style w:type="character" w:customStyle="1" w:styleId="34">
    <w:name w:val="Основной текст (3) + Не полужирный"/>
    <w:basedOn w:val="32"/>
    <w:rsid w:val="009A4C46"/>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lang w:val="ru-RU" w:eastAsia="ru-RU" w:bidi="ru-RU"/>
    </w:rPr>
  </w:style>
  <w:style w:type="character" w:customStyle="1" w:styleId="2c">
    <w:name w:val="Основной текст (2) + Полужирный"/>
    <w:basedOn w:val="25"/>
    <w:rsid w:val="009A4C46"/>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lang w:val="ru-RU" w:eastAsia="ru-RU" w:bidi="ru-RU"/>
    </w:rPr>
  </w:style>
  <w:style w:type="paragraph" w:customStyle="1" w:styleId="s1">
    <w:name w:val="s_1"/>
    <w:basedOn w:val="a"/>
    <w:rsid w:val="009A4C46"/>
    <w:pPr>
      <w:spacing w:before="100" w:beforeAutospacing="1" w:after="100" w:afterAutospacing="1" w:line="240" w:lineRule="auto"/>
    </w:pPr>
    <w:rPr>
      <w:rFonts w:ascii="Times New Roman" w:eastAsia="Times New Roman" w:hAnsi="Times New Roman"/>
      <w:sz w:val="24"/>
      <w:szCs w:val="24"/>
      <w:lang w:val="en-US"/>
    </w:rPr>
  </w:style>
  <w:style w:type="paragraph" w:customStyle="1" w:styleId="s9">
    <w:name w:val="s_9"/>
    <w:basedOn w:val="a"/>
    <w:rsid w:val="009A4C46"/>
    <w:pPr>
      <w:spacing w:before="100" w:beforeAutospacing="1" w:after="100" w:afterAutospacing="1" w:line="240" w:lineRule="auto"/>
    </w:pPr>
    <w:rPr>
      <w:rFonts w:ascii="Times New Roman" w:eastAsia="Times New Roman" w:hAnsi="Times New Roman"/>
      <w:sz w:val="24"/>
      <w:szCs w:val="24"/>
      <w:lang w:val="en-US"/>
    </w:rPr>
  </w:style>
  <w:style w:type="paragraph" w:styleId="aff6">
    <w:name w:val="Body Text"/>
    <w:aliases w:val="Заг1"/>
    <w:basedOn w:val="a"/>
    <w:link w:val="aff7"/>
    <w:rsid w:val="009A4C46"/>
    <w:pPr>
      <w:spacing w:after="0" w:line="240" w:lineRule="auto"/>
    </w:pPr>
    <w:rPr>
      <w:rFonts w:ascii="Times New Roman" w:eastAsia="Times New Roman" w:hAnsi="Times New Roman"/>
      <w:sz w:val="24"/>
      <w:lang w:eastAsia="ru-RU"/>
    </w:rPr>
  </w:style>
  <w:style w:type="character" w:customStyle="1" w:styleId="aff7">
    <w:name w:val="Основной текст Знак"/>
    <w:aliases w:val="Заг1 Знак"/>
    <w:basedOn w:val="a0"/>
    <w:link w:val="aff6"/>
    <w:rsid w:val="009A4C46"/>
    <w:rPr>
      <w:rFonts w:ascii="Times New Roman" w:eastAsia="Times New Roman" w:hAnsi="Times New Roman" w:cs="Times New Roman"/>
      <w:sz w:val="24"/>
      <w:szCs w:val="20"/>
      <w:lang w:eastAsia="ru-RU"/>
    </w:rPr>
  </w:style>
  <w:style w:type="character" w:customStyle="1" w:styleId="Bodytext2">
    <w:name w:val="Body text (2)_"/>
    <w:basedOn w:val="a0"/>
    <w:link w:val="Bodytext20"/>
    <w:rsid w:val="009A4C46"/>
    <w:rPr>
      <w:rFonts w:ascii="Times New Roman" w:eastAsia="Times New Roman" w:hAnsi="Times New Roman" w:cs="Times New Roman"/>
      <w:shd w:val="clear" w:color="auto" w:fill="FFFFFF"/>
    </w:rPr>
  </w:style>
  <w:style w:type="character" w:customStyle="1" w:styleId="Bodytext2Italic">
    <w:name w:val="Body text (2) + Italic"/>
    <w:basedOn w:val="Bodytext2"/>
    <w:rsid w:val="009A4C46"/>
    <w:rPr>
      <w:rFonts w:ascii="Times New Roman" w:eastAsia="Times New Roman" w:hAnsi="Times New Roman" w:cs="Times New Roman"/>
      <w:b/>
      <w:bCs/>
      <w:i/>
      <w:iCs/>
      <w:color w:val="000000"/>
      <w:spacing w:val="0"/>
      <w:w w:val="100"/>
      <w:position w:val="0"/>
      <w:sz w:val="24"/>
      <w:szCs w:val="24"/>
      <w:shd w:val="clear" w:color="auto" w:fill="FFFFFF"/>
      <w:lang w:val="ru-RU" w:eastAsia="ru-RU" w:bidi="ru-RU"/>
    </w:rPr>
  </w:style>
  <w:style w:type="paragraph" w:customStyle="1" w:styleId="Bodytext20">
    <w:name w:val="Body text (2)"/>
    <w:basedOn w:val="a"/>
    <w:link w:val="Bodytext2"/>
    <w:rsid w:val="009A4C46"/>
    <w:pPr>
      <w:widowControl w:val="0"/>
      <w:shd w:val="clear" w:color="auto" w:fill="FFFFFF"/>
      <w:spacing w:after="0" w:line="295" w:lineRule="exact"/>
      <w:ind w:hanging="1380"/>
      <w:jc w:val="both"/>
    </w:pPr>
    <w:rPr>
      <w:rFonts w:ascii="Times New Roman" w:eastAsia="Times New Roman" w:hAnsi="Times New Roman"/>
    </w:rPr>
  </w:style>
  <w:style w:type="character" w:customStyle="1" w:styleId="Bodytext275ptBoldSpacing1pt">
    <w:name w:val="Body text (2) + 7;5 pt;Bold;Spacing 1 pt"/>
    <w:basedOn w:val="Bodytext2"/>
    <w:rsid w:val="009A4C46"/>
    <w:rPr>
      <w:rFonts w:ascii="Times New Roman" w:eastAsia="Times New Roman" w:hAnsi="Times New Roman" w:cs="Times New Roman"/>
      <w:b/>
      <w:bCs/>
      <w:i w:val="0"/>
      <w:iCs w:val="0"/>
      <w:smallCaps w:val="0"/>
      <w:strike w:val="0"/>
      <w:color w:val="000000"/>
      <w:spacing w:val="20"/>
      <w:w w:val="100"/>
      <w:position w:val="0"/>
      <w:sz w:val="15"/>
      <w:szCs w:val="15"/>
      <w:u w:val="none"/>
      <w:shd w:val="clear" w:color="auto" w:fill="FFFFFF"/>
      <w:lang w:val="ru-RU" w:eastAsia="ru-RU" w:bidi="ru-RU"/>
    </w:rPr>
  </w:style>
  <w:style w:type="character" w:customStyle="1" w:styleId="Bodytext7">
    <w:name w:val="Body text (7)_"/>
    <w:basedOn w:val="a0"/>
    <w:link w:val="Bodytext70"/>
    <w:rsid w:val="009A4C46"/>
    <w:rPr>
      <w:rFonts w:ascii="Times New Roman" w:eastAsia="Times New Roman" w:hAnsi="Times New Roman" w:cs="Times New Roman"/>
      <w:sz w:val="26"/>
      <w:szCs w:val="26"/>
      <w:shd w:val="clear" w:color="auto" w:fill="FFFFFF"/>
    </w:rPr>
  </w:style>
  <w:style w:type="paragraph" w:customStyle="1" w:styleId="Bodytext70">
    <w:name w:val="Body text (7)"/>
    <w:basedOn w:val="a"/>
    <w:link w:val="Bodytext7"/>
    <w:rsid w:val="009A4C46"/>
    <w:pPr>
      <w:widowControl w:val="0"/>
      <w:shd w:val="clear" w:color="auto" w:fill="FFFFFF"/>
      <w:spacing w:after="0" w:line="284" w:lineRule="exact"/>
    </w:pPr>
    <w:rPr>
      <w:rFonts w:ascii="Times New Roman" w:eastAsia="Times New Roman" w:hAnsi="Times New Roman"/>
      <w:sz w:val="26"/>
      <w:szCs w:val="26"/>
    </w:rPr>
  </w:style>
  <w:style w:type="character" w:customStyle="1" w:styleId="18">
    <w:name w:val="Неразрешенное упоминание1"/>
    <w:basedOn w:val="a0"/>
    <w:uiPriority w:val="99"/>
    <w:semiHidden/>
    <w:unhideWhenUsed/>
    <w:rsid w:val="009A4C46"/>
    <w:rPr>
      <w:color w:val="605E5C"/>
      <w:shd w:val="clear" w:color="auto" w:fill="E1DFDD"/>
    </w:rPr>
  </w:style>
  <w:style w:type="character" w:customStyle="1" w:styleId="28pt">
    <w:name w:val="Основной текст (2) + 8 pt"/>
    <w:basedOn w:val="25"/>
    <w:rsid w:val="009A4C46"/>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FFFFFF"/>
      <w:lang w:val="ru-RU" w:eastAsia="ru-RU" w:bidi="ru-RU"/>
    </w:rPr>
  </w:style>
  <w:style w:type="character" w:customStyle="1" w:styleId="28pt0">
    <w:name w:val="Основной текст (2) + 8 pt;Малые прописные"/>
    <w:basedOn w:val="25"/>
    <w:rsid w:val="009A4C46"/>
    <w:rPr>
      <w:rFonts w:ascii="Times New Roman" w:eastAsia="Times New Roman" w:hAnsi="Times New Roman" w:cs="Times New Roman"/>
      <w:b w:val="0"/>
      <w:bCs w:val="0"/>
      <w:i w:val="0"/>
      <w:iCs w:val="0"/>
      <w:smallCaps/>
      <w:strike w:val="0"/>
      <w:color w:val="000000"/>
      <w:spacing w:val="0"/>
      <w:w w:val="100"/>
      <w:position w:val="0"/>
      <w:sz w:val="16"/>
      <w:szCs w:val="16"/>
      <w:u w:val="none"/>
      <w:shd w:val="clear" w:color="auto" w:fill="FFFFFF"/>
      <w:lang w:val="en-US" w:eastAsia="en-US" w:bidi="en-US"/>
    </w:rPr>
  </w:style>
  <w:style w:type="character" w:customStyle="1" w:styleId="42">
    <w:name w:val="Основной текст (4)_"/>
    <w:basedOn w:val="a0"/>
    <w:link w:val="43"/>
    <w:rsid w:val="009A4C46"/>
    <w:rPr>
      <w:rFonts w:ascii="Times New Roman" w:eastAsia="Times New Roman" w:hAnsi="Times New Roman" w:cs="Times New Roman"/>
      <w:i/>
      <w:iCs/>
      <w:sz w:val="28"/>
      <w:szCs w:val="28"/>
      <w:shd w:val="clear" w:color="auto" w:fill="FFFFFF"/>
    </w:rPr>
  </w:style>
  <w:style w:type="paragraph" w:customStyle="1" w:styleId="43">
    <w:name w:val="Основной текст (4)"/>
    <w:basedOn w:val="a"/>
    <w:link w:val="42"/>
    <w:rsid w:val="009A4C46"/>
    <w:pPr>
      <w:widowControl w:val="0"/>
      <w:shd w:val="clear" w:color="auto" w:fill="FFFFFF"/>
      <w:spacing w:after="0" w:line="320" w:lineRule="exact"/>
    </w:pPr>
    <w:rPr>
      <w:rFonts w:ascii="Times New Roman" w:eastAsia="Times New Roman" w:hAnsi="Times New Roman"/>
      <w:i/>
      <w:iCs/>
      <w:sz w:val="28"/>
      <w:szCs w:val="28"/>
    </w:rPr>
  </w:style>
  <w:style w:type="character" w:customStyle="1" w:styleId="44">
    <w:name w:val="Основной текст (4) + Не курсив"/>
    <w:basedOn w:val="42"/>
    <w:rsid w:val="009A4C46"/>
    <w:rPr>
      <w:rFonts w:ascii="Times New Roman" w:eastAsia="Times New Roman" w:hAnsi="Times New Roman" w:cs="Times New Roman"/>
      <w:i/>
      <w:iCs/>
      <w:color w:val="000000"/>
      <w:spacing w:val="0"/>
      <w:w w:val="100"/>
      <w:position w:val="0"/>
      <w:sz w:val="28"/>
      <w:szCs w:val="28"/>
      <w:shd w:val="clear" w:color="auto" w:fill="FFFFFF"/>
      <w:lang w:val="ru-RU" w:eastAsia="ru-RU" w:bidi="ru-RU"/>
    </w:rPr>
  </w:style>
  <w:style w:type="character" w:customStyle="1" w:styleId="Exact">
    <w:name w:val="Подпись к таблице Exact"/>
    <w:basedOn w:val="a0"/>
    <w:rsid w:val="009A4C46"/>
    <w:rPr>
      <w:rFonts w:ascii="Times New Roman" w:eastAsia="Times New Roman" w:hAnsi="Times New Roman" w:cs="Times New Roman"/>
      <w:b w:val="0"/>
      <w:bCs w:val="0"/>
      <w:i w:val="0"/>
      <w:iCs w:val="0"/>
      <w:smallCaps w:val="0"/>
      <w:strike w:val="0"/>
      <w:sz w:val="28"/>
      <w:szCs w:val="28"/>
      <w:u w:val="none"/>
    </w:rPr>
  </w:style>
  <w:style w:type="character" w:customStyle="1" w:styleId="2PalatinoLinotype7pt">
    <w:name w:val="Основной текст (2) + Palatino Linotype;7 pt;Курсив"/>
    <w:basedOn w:val="25"/>
    <w:rsid w:val="009A4C46"/>
    <w:rPr>
      <w:rFonts w:ascii="Palatino Linotype" w:eastAsia="Palatino Linotype" w:hAnsi="Palatino Linotype" w:cs="Palatino Linotype"/>
      <w:b w:val="0"/>
      <w:bCs w:val="0"/>
      <w:i/>
      <w:iCs/>
      <w:smallCaps w:val="0"/>
      <w:strike w:val="0"/>
      <w:color w:val="000000"/>
      <w:spacing w:val="0"/>
      <w:w w:val="100"/>
      <w:position w:val="0"/>
      <w:sz w:val="14"/>
      <w:szCs w:val="14"/>
      <w:u w:val="none"/>
      <w:shd w:val="clear" w:color="auto" w:fill="FFFFFF"/>
      <w:lang w:val="ru-RU" w:eastAsia="ru-RU" w:bidi="ru-RU"/>
    </w:rPr>
  </w:style>
  <w:style w:type="character" w:customStyle="1" w:styleId="3Exact">
    <w:name w:val="Основной текст (3) Exact"/>
    <w:basedOn w:val="a0"/>
    <w:rsid w:val="009A4C46"/>
    <w:rPr>
      <w:rFonts w:ascii="Times New Roman" w:eastAsia="Times New Roman" w:hAnsi="Times New Roman" w:cs="Times New Roman"/>
      <w:b/>
      <w:bCs/>
      <w:i w:val="0"/>
      <w:iCs w:val="0"/>
      <w:smallCaps w:val="0"/>
      <w:strike w:val="0"/>
      <w:sz w:val="28"/>
      <w:szCs w:val="28"/>
      <w:u w:val="none"/>
    </w:rPr>
  </w:style>
  <w:style w:type="paragraph" w:styleId="HTML">
    <w:name w:val="HTML Preformatted"/>
    <w:basedOn w:val="a"/>
    <w:link w:val="HTML0"/>
    <w:uiPriority w:val="99"/>
    <w:unhideWhenUsed/>
    <w:rsid w:val="009A4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lang w:eastAsia="ru-RU"/>
    </w:rPr>
  </w:style>
  <w:style w:type="character" w:customStyle="1" w:styleId="HTML0">
    <w:name w:val="Стандартный HTML Знак"/>
    <w:basedOn w:val="a0"/>
    <w:link w:val="HTML"/>
    <w:uiPriority w:val="99"/>
    <w:rsid w:val="009A4C46"/>
    <w:rPr>
      <w:rFonts w:ascii="Courier New" w:eastAsia="Times New Roman" w:hAnsi="Courier New" w:cs="Courier New"/>
      <w:sz w:val="20"/>
      <w:szCs w:val="20"/>
      <w:lang w:eastAsia="ru-RU"/>
    </w:rPr>
  </w:style>
  <w:style w:type="paragraph" w:customStyle="1" w:styleId="formattext">
    <w:name w:val="formattext"/>
    <w:basedOn w:val="a"/>
    <w:rsid w:val="009A4C46"/>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doctitleimportant">
    <w:name w:val="doc__title_important"/>
    <w:basedOn w:val="a0"/>
    <w:rsid w:val="009A4C46"/>
  </w:style>
  <w:style w:type="character" w:customStyle="1" w:styleId="aff8">
    <w:name w:val="Колонтитул_"/>
    <w:basedOn w:val="a0"/>
    <w:rsid w:val="009A4C46"/>
    <w:rPr>
      <w:rFonts w:ascii="Times New Roman" w:eastAsia="Times New Roman" w:hAnsi="Times New Roman" w:cs="Times New Roman"/>
      <w:b w:val="0"/>
      <w:bCs w:val="0"/>
      <w:i w:val="0"/>
      <w:iCs w:val="0"/>
      <w:smallCaps w:val="0"/>
      <w:strike w:val="0"/>
      <w:sz w:val="24"/>
      <w:szCs w:val="24"/>
      <w:u w:val="none"/>
    </w:rPr>
  </w:style>
  <w:style w:type="character" w:customStyle="1" w:styleId="aff9">
    <w:name w:val="Колонтитул"/>
    <w:basedOn w:val="aff8"/>
    <w:rsid w:val="009A4C46"/>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style>
  <w:style w:type="character" w:customStyle="1" w:styleId="27pt">
    <w:name w:val="Основной текст (2) + 7 pt"/>
    <w:basedOn w:val="25"/>
    <w:rsid w:val="009A4C46"/>
    <w:rPr>
      <w:rFonts w:ascii="Times New Roman" w:eastAsia="Times New Roman" w:hAnsi="Times New Roman" w:cs="Times New Roman"/>
      <w:color w:val="000000"/>
      <w:spacing w:val="0"/>
      <w:w w:val="100"/>
      <w:position w:val="0"/>
      <w:sz w:val="14"/>
      <w:szCs w:val="14"/>
      <w:shd w:val="clear" w:color="auto" w:fill="FFFFFF"/>
      <w:lang w:val="ru-RU" w:eastAsia="ru-RU" w:bidi="ru-RU"/>
    </w:rPr>
  </w:style>
  <w:style w:type="character" w:customStyle="1" w:styleId="45">
    <w:name w:val="Заголовок №4"/>
    <w:basedOn w:val="a0"/>
    <w:rsid w:val="009A4C46"/>
    <w:rPr>
      <w:rFonts w:ascii="Times New Roman" w:eastAsia="Times New Roman" w:hAnsi="Times New Roman" w:cs="Times New Roman"/>
      <w:b/>
      <w:bCs/>
      <w:i w:val="0"/>
      <w:iCs w:val="0"/>
      <w:smallCaps w:val="0"/>
      <w:strike w:val="0"/>
      <w:color w:val="000000"/>
      <w:spacing w:val="0"/>
      <w:w w:val="100"/>
      <w:position w:val="0"/>
      <w:sz w:val="24"/>
      <w:szCs w:val="24"/>
      <w:u w:val="single"/>
      <w:lang w:val="ru-RU" w:eastAsia="ru-RU" w:bidi="ru-RU"/>
    </w:rPr>
  </w:style>
  <w:style w:type="character" w:customStyle="1" w:styleId="21pt">
    <w:name w:val="Основной текст (2) + Интервал 1 pt"/>
    <w:basedOn w:val="25"/>
    <w:rsid w:val="009A4C46"/>
    <w:rPr>
      <w:rFonts w:ascii="Times New Roman" w:eastAsia="Times New Roman" w:hAnsi="Times New Roman" w:cs="Times New Roman"/>
      <w:color w:val="000000"/>
      <w:spacing w:val="30"/>
      <w:w w:val="100"/>
      <w:position w:val="0"/>
      <w:shd w:val="clear" w:color="auto" w:fill="FFFFFF"/>
      <w:lang w:val="ru-RU" w:eastAsia="ru-RU" w:bidi="ru-RU"/>
    </w:rPr>
  </w:style>
  <w:style w:type="character" w:customStyle="1" w:styleId="285pt">
    <w:name w:val="Основной текст (2) + 8;5 pt"/>
    <w:basedOn w:val="25"/>
    <w:rsid w:val="009A4C46"/>
    <w:rPr>
      <w:rFonts w:ascii="Times New Roman" w:eastAsia="Times New Roman" w:hAnsi="Times New Roman" w:cs="Times New Roman"/>
      <w:color w:val="000000"/>
      <w:spacing w:val="0"/>
      <w:w w:val="100"/>
      <w:position w:val="0"/>
      <w:sz w:val="17"/>
      <w:szCs w:val="17"/>
      <w:shd w:val="clear" w:color="auto" w:fill="FFFFFF"/>
      <w:lang w:val="ru-RU" w:eastAsia="ru-RU" w:bidi="ru-RU"/>
    </w:rPr>
  </w:style>
  <w:style w:type="character" w:customStyle="1" w:styleId="275pt">
    <w:name w:val="Основной текст (2) + 7;5 pt"/>
    <w:basedOn w:val="25"/>
    <w:rsid w:val="009A4C46"/>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FFFFFF"/>
      <w:lang w:val="ru-RU" w:eastAsia="ru-RU" w:bidi="ru-RU"/>
    </w:rPr>
  </w:style>
  <w:style w:type="character" w:customStyle="1" w:styleId="affa">
    <w:name w:val="Подпись к таблице_"/>
    <w:basedOn w:val="a0"/>
    <w:link w:val="affb"/>
    <w:rsid w:val="009A4C46"/>
    <w:rPr>
      <w:rFonts w:ascii="Times New Roman" w:eastAsia="Times New Roman" w:hAnsi="Times New Roman" w:cs="Times New Roman"/>
      <w:shd w:val="clear" w:color="auto" w:fill="FFFFFF"/>
    </w:rPr>
  </w:style>
  <w:style w:type="paragraph" w:customStyle="1" w:styleId="affb">
    <w:name w:val="Подпись к таблице"/>
    <w:basedOn w:val="a"/>
    <w:link w:val="affa"/>
    <w:rsid w:val="009A4C46"/>
    <w:pPr>
      <w:widowControl w:val="0"/>
      <w:shd w:val="clear" w:color="auto" w:fill="FFFFFF"/>
      <w:spacing w:after="0" w:line="284" w:lineRule="exact"/>
      <w:ind w:hanging="380"/>
    </w:pPr>
    <w:rPr>
      <w:rFonts w:ascii="Times New Roman" w:eastAsia="Times New Roman" w:hAnsi="Times New Roman"/>
    </w:rPr>
  </w:style>
  <w:style w:type="character" w:customStyle="1" w:styleId="210pt1">
    <w:name w:val="Основной текст (2) + 10 pt;Курсив"/>
    <w:basedOn w:val="25"/>
    <w:rsid w:val="009A4C46"/>
    <w:rPr>
      <w:rFonts w:ascii="Times New Roman" w:eastAsia="Times New Roman" w:hAnsi="Times New Roman" w:cs="Times New Roman"/>
      <w:b w:val="0"/>
      <w:bCs w:val="0"/>
      <w:i/>
      <w:iCs/>
      <w:smallCaps w:val="0"/>
      <w:strike w:val="0"/>
      <w:color w:val="000000"/>
      <w:spacing w:val="0"/>
      <w:w w:val="100"/>
      <w:position w:val="0"/>
      <w:sz w:val="20"/>
      <w:szCs w:val="20"/>
      <w:u w:val="none"/>
      <w:shd w:val="clear" w:color="auto" w:fill="FFFFFF"/>
      <w:lang w:val="ru-RU" w:eastAsia="ru-RU" w:bidi="ru-RU"/>
    </w:rPr>
  </w:style>
  <w:style w:type="character" w:customStyle="1" w:styleId="2115pt0">
    <w:name w:val="Основной текст (2) + 11;5 pt;Полужирный"/>
    <w:basedOn w:val="25"/>
    <w:rsid w:val="009A4C46"/>
    <w:rPr>
      <w:rFonts w:ascii="Times New Roman" w:eastAsia="Times New Roman" w:hAnsi="Times New Roman" w:cs="Times New Roman"/>
      <w:b/>
      <w:bCs/>
      <w:color w:val="000000"/>
      <w:spacing w:val="0"/>
      <w:w w:val="100"/>
      <w:position w:val="0"/>
      <w:sz w:val="23"/>
      <w:szCs w:val="23"/>
      <w:shd w:val="clear" w:color="auto" w:fill="FFFFFF"/>
      <w:lang w:val="ru-RU" w:eastAsia="ru-RU" w:bidi="ru-RU"/>
    </w:rPr>
  </w:style>
  <w:style w:type="paragraph" w:customStyle="1" w:styleId="Standard">
    <w:name w:val="Standard"/>
    <w:rsid w:val="009A4C46"/>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customStyle="1" w:styleId="Textbodyuser">
    <w:name w:val="Text body (user)"/>
    <w:basedOn w:val="a"/>
    <w:rsid w:val="009A4C46"/>
    <w:pPr>
      <w:widowControl w:val="0"/>
      <w:suppressAutoHyphens/>
      <w:autoSpaceDN w:val="0"/>
      <w:spacing w:after="120" w:line="240" w:lineRule="auto"/>
      <w:textAlignment w:val="baseline"/>
    </w:pPr>
    <w:rPr>
      <w:rFonts w:ascii="Times New Roman" w:eastAsia="SimSun, 宋体" w:hAnsi="Times New Roman" w:cs="Mangal"/>
      <w:kern w:val="3"/>
      <w:sz w:val="24"/>
      <w:szCs w:val="24"/>
      <w:lang w:eastAsia="zh-CN" w:bidi="hi-IN"/>
    </w:rPr>
  </w:style>
  <w:style w:type="paragraph" w:styleId="35">
    <w:name w:val="Body Text 3"/>
    <w:basedOn w:val="a"/>
    <w:link w:val="36"/>
    <w:uiPriority w:val="99"/>
    <w:semiHidden/>
    <w:unhideWhenUsed/>
    <w:rsid w:val="009A4C46"/>
    <w:pPr>
      <w:spacing w:after="120" w:line="240" w:lineRule="auto"/>
    </w:pPr>
    <w:rPr>
      <w:rFonts w:ascii="Times New Roman" w:eastAsia="Times New Roman" w:hAnsi="Times New Roman"/>
      <w:sz w:val="16"/>
      <w:szCs w:val="16"/>
      <w:lang w:eastAsia="ru-RU"/>
    </w:rPr>
  </w:style>
  <w:style w:type="character" w:customStyle="1" w:styleId="36">
    <w:name w:val="Основной текст 3 Знак"/>
    <w:basedOn w:val="a0"/>
    <w:link w:val="35"/>
    <w:uiPriority w:val="99"/>
    <w:semiHidden/>
    <w:rsid w:val="009A4C46"/>
    <w:rPr>
      <w:rFonts w:ascii="Times New Roman" w:eastAsia="Times New Roman" w:hAnsi="Times New Roman" w:cs="Times New Roman"/>
      <w:sz w:val="16"/>
      <w:szCs w:val="16"/>
      <w:lang w:eastAsia="ru-RU"/>
    </w:rPr>
  </w:style>
  <w:style w:type="paragraph" w:customStyle="1" w:styleId="211">
    <w:name w:val="Основной текст 21"/>
    <w:basedOn w:val="a"/>
    <w:next w:val="2d"/>
    <w:link w:val="2e"/>
    <w:unhideWhenUsed/>
    <w:rsid w:val="009A4C46"/>
    <w:pPr>
      <w:spacing w:after="120" w:line="480" w:lineRule="auto"/>
    </w:pPr>
  </w:style>
  <w:style w:type="character" w:customStyle="1" w:styleId="2e">
    <w:name w:val="Основной текст 2 Знак"/>
    <w:basedOn w:val="a0"/>
    <w:link w:val="211"/>
    <w:rsid w:val="009A4C46"/>
  </w:style>
  <w:style w:type="character" w:customStyle="1" w:styleId="37">
    <w:name w:val="Заголовок №3_"/>
    <w:basedOn w:val="a0"/>
    <w:link w:val="38"/>
    <w:rsid w:val="009A4C46"/>
    <w:rPr>
      <w:rFonts w:ascii="Times New Roman" w:eastAsia="Times New Roman" w:hAnsi="Times New Roman" w:cs="Times New Roman"/>
      <w:b/>
      <w:bCs/>
      <w:sz w:val="23"/>
      <w:szCs w:val="23"/>
      <w:shd w:val="clear" w:color="auto" w:fill="FFFFFF"/>
    </w:rPr>
  </w:style>
  <w:style w:type="paragraph" w:customStyle="1" w:styleId="38">
    <w:name w:val="Заголовок №3"/>
    <w:basedOn w:val="a"/>
    <w:link w:val="37"/>
    <w:rsid w:val="009A4C46"/>
    <w:pPr>
      <w:widowControl w:val="0"/>
      <w:shd w:val="clear" w:color="auto" w:fill="FFFFFF"/>
      <w:spacing w:before="260" w:after="260" w:line="254" w:lineRule="exact"/>
      <w:outlineLvl w:val="2"/>
    </w:pPr>
    <w:rPr>
      <w:rFonts w:ascii="Times New Roman" w:eastAsia="Times New Roman" w:hAnsi="Times New Roman"/>
      <w:b/>
      <w:bCs/>
      <w:sz w:val="23"/>
      <w:szCs w:val="23"/>
    </w:rPr>
  </w:style>
  <w:style w:type="character" w:customStyle="1" w:styleId="8">
    <w:name w:val="Основной текст (8)_"/>
    <w:basedOn w:val="a0"/>
    <w:link w:val="80"/>
    <w:rsid w:val="009A4C46"/>
    <w:rPr>
      <w:rFonts w:ascii="Times New Roman" w:eastAsia="Times New Roman" w:hAnsi="Times New Roman" w:cs="Times New Roman"/>
      <w:b/>
      <w:bCs/>
      <w:sz w:val="23"/>
      <w:szCs w:val="23"/>
      <w:shd w:val="clear" w:color="auto" w:fill="FFFFFF"/>
    </w:rPr>
  </w:style>
  <w:style w:type="character" w:customStyle="1" w:styleId="28pt1">
    <w:name w:val="Основной текст (2) + 8 pt;Курсив"/>
    <w:basedOn w:val="25"/>
    <w:rsid w:val="009A4C46"/>
    <w:rPr>
      <w:rFonts w:ascii="Times New Roman" w:eastAsia="Times New Roman" w:hAnsi="Times New Roman" w:cs="Times New Roman"/>
      <w:b w:val="0"/>
      <w:bCs w:val="0"/>
      <w:i/>
      <w:iCs/>
      <w:smallCaps w:val="0"/>
      <w:strike w:val="0"/>
      <w:color w:val="000000"/>
      <w:spacing w:val="0"/>
      <w:w w:val="100"/>
      <w:position w:val="0"/>
      <w:sz w:val="16"/>
      <w:szCs w:val="16"/>
      <w:u w:val="none"/>
      <w:shd w:val="clear" w:color="auto" w:fill="FFFFFF"/>
      <w:lang w:val="ru-RU" w:eastAsia="ru-RU" w:bidi="ru-RU"/>
    </w:rPr>
  </w:style>
  <w:style w:type="character" w:customStyle="1" w:styleId="2Exact">
    <w:name w:val="Основной текст (2) Exact"/>
    <w:basedOn w:val="a0"/>
    <w:rsid w:val="009A4C46"/>
    <w:rPr>
      <w:rFonts w:ascii="Times New Roman" w:eastAsia="Times New Roman" w:hAnsi="Times New Roman" w:cs="Times New Roman"/>
      <w:b w:val="0"/>
      <w:bCs w:val="0"/>
      <w:i w:val="0"/>
      <w:iCs w:val="0"/>
      <w:smallCaps w:val="0"/>
      <w:strike w:val="0"/>
      <w:sz w:val="22"/>
      <w:szCs w:val="22"/>
      <w:u w:val="none"/>
    </w:rPr>
  </w:style>
  <w:style w:type="character" w:customStyle="1" w:styleId="295pt0">
    <w:name w:val="Основной текст (2) + 9;5 pt;Курсив"/>
    <w:basedOn w:val="25"/>
    <w:rsid w:val="009A4C46"/>
    <w:rPr>
      <w:rFonts w:ascii="Times New Roman" w:eastAsia="Times New Roman" w:hAnsi="Times New Roman" w:cs="Times New Roman"/>
      <w:b w:val="0"/>
      <w:bCs w:val="0"/>
      <w:i/>
      <w:iCs/>
      <w:smallCaps w:val="0"/>
      <w:strike w:val="0"/>
      <w:color w:val="000000"/>
      <w:spacing w:val="0"/>
      <w:w w:val="100"/>
      <w:position w:val="0"/>
      <w:sz w:val="19"/>
      <w:szCs w:val="19"/>
      <w:u w:val="none"/>
      <w:shd w:val="clear" w:color="auto" w:fill="FFFFFF"/>
      <w:lang w:val="ru-RU" w:eastAsia="ru-RU" w:bidi="ru-RU"/>
    </w:rPr>
  </w:style>
  <w:style w:type="character" w:customStyle="1" w:styleId="212pt0">
    <w:name w:val="Основной текст (2) + 12 pt;Курсив"/>
    <w:basedOn w:val="25"/>
    <w:rsid w:val="009A4C46"/>
    <w:rPr>
      <w:rFonts w:ascii="Times New Roman" w:eastAsia="Times New Roman" w:hAnsi="Times New Roman" w:cs="Times New Roman"/>
      <w:b w:val="0"/>
      <w:bCs w:val="0"/>
      <w:i/>
      <w:iCs/>
      <w:smallCaps w:val="0"/>
      <w:strike w:val="0"/>
      <w:color w:val="000000"/>
      <w:spacing w:val="0"/>
      <w:w w:val="100"/>
      <w:position w:val="0"/>
      <w:sz w:val="24"/>
      <w:szCs w:val="24"/>
      <w:u w:val="none"/>
      <w:shd w:val="clear" w:color="auto" w:fill="FFFFFF"/>
      <w:lang w:val="ru-RU" w:eastAsia="ru-RU" w:bidi="ru-RU"/>
    </w:rPr>
  </w:style>
  <w:style w:type="character" w:customStyle="1" w:styleId="213pt0">
    <w:name w:val="Основной текст (2) + 13 pt;Полужирный"/>
    <w:basedOn w:val="25"/>
    <w:rsid w:val="009A4C46"/>
    <w:rPr>
      <w:rFonts w:ascii="Times New Roman" w:eastAsia="Times New Roman" w:hAnsi="Times New Roman" w:cs="Times New Roman"/>
      <w:b/>
      <w:bCs/>
      <w:i w:val="0"/>
      <w:iCs w:val="0"/>
      <w:smallCaps w:val="0"/>
      <w:strike w:val="0"/>
      <w:color w:val="000000"/>
      <w:spacing w:val="0"/>
      <w:w w:val="100"/>
      <w:position w:val="0"/>
      <w:sz w:val="26"/>
      <w:szCs w:val="26"/>
      <w:u w:val="none"/>
      <w:shd w:val="clear" w:color="auto" w:fill="FFFFFF"/>
      <w:lang w:val="ru-RU" w:eastAsia="ru-RU" w:bidi="ru-RU"/>
    </w:rPr>
  </w:style>
  <w:style w:type="character" w:customStyle="1" w:styleId="210pt2">
    <w:name w:val="Основной текст (2) + 10 pt;Курсив;Малые прописные"/>
    <w:basedOn w:val="25"/>
    <w:rsid w:val="009A4C46"/>
    <w:rPr>
      <w:rFonts w:ascii="Times New Roman" w:eastAsia="Times New Roman" w:hAnsi="Times New Roman" w:cs="Times New Roman"/>
      <w:b w:val="0"/>
      <w:bCs w:val="0"/>
      <w:i/>
      <w:iCs/>
      <w:smallCaps/>
      <w:strike w:val="0"/>
      <w:color w:val="000000"/>
      <w:spacing w:val="0"/>
      <w:w w:val="100"/>
      <w:position w:val="0"/>
      <w:sz w:val="20"/>
      <w:szCs w:val="20"/>
      <w:u w:val="none"/>
      <w:shd w:val="clear" w:color="auto" w:fill="FFFFFF"/>
      <w:lang w:val="en-US" w:eastAsia="en-US" w:bidi="en-US"/>
    </w:rPr>
  </w:style>
  <w:style w:type="character" w:customStyle="1" w:styleId="215pt">
    <w:name w:val="Основной текст (2) + 15 pt;Полужирный"/>
    <w:basedOn w:val="25"/>
    <w:rsid w:val="009A4C46"/>
    <w:rPr>
      <w:rFonts w:ascii="Times New Roman" w:eastAsia="Times New Roman" w:hAnsi="Times New Roman" w:cs="Times New Roman"/>
      <w:b/>
      <w:bCs/>
      <w:i w:val="0"/>
      <w:iCs w:val="0"/>
      <w:smallCaps w:val="0"/>
      <w:strike w:val="0"/>
      <w:color w:val="000000"/>
      <w:spacing w:val="0"/>
      <w:w w:val="100"/>
      <w:position w:val="0"/>
      <w:sz w:val="30"/>
      <w:szCs w:val="30"/>
      <w:u w:val="none"/>
      <w:shd w:val="clear" w:color="auto" w:fill="FFFFFF"/>
      <w:lang w:val="ru-RU" w:eastAsia="ru-RU" w:bidi="ru-RU"/>
    </w:rPr>
  </w:style>
  <w:style w:type="character" w:customStyle="1" w:styleId="26pt">
    <w:name w:val="Основной текст (2) + 6 pt"/>
    <w:basedOn w:val="25"/>
    <w:rsid w:val="009A4C46"/>
    <w:rPr>
      <w:rFonts w:ascii="Times New Roman" w:eastAsia="Times New Roman" w:hAnsi="Times New Roman" w:cs="Times New Roman"/>
      <w:b w:val="0"/>
      <w:bCs w:val="0"/>
      <w:i w:val="0"/>
      <w:iCs w:val="0"/>
      <w:smallCaps w:val="0"/>
      <w:strike w:val="0"/>
      <w:color w:val="000000"/>
      <w:spacing w:val="0"/>
      <w:w w:val="100"/>
      <w:position w:val="0"/>
      <w:sz w:val="12"/>
      <w:szCs w:val="12"/>
      <w:u w:val="none"/>
      <w:shd w:val="clear" w:color="auto" w:fill="FFFFFF"/>
      <w:lang w:val="ru-RU" w:eastAsia="ru-RU" w:bidi="ru-RU"/>
    </w:rPr>
  </w:style>
  <w:style w:type="paragraph" w:customStyle="1" w:styleId="80">
    <w:name w:val="Основной текст (8)"/>
    <w:basedOn w:val="a"/>
    <w:link w:val="8"/>
    <w:rsid w:val="009A4C46"/>
    <w:pPr>
      <w:widowControl w:val="0"/>
      <w:shd w:val="clear" w:color="auto" w:fill="FFFFFF"/>
      <w:spacing w:after="0" w:line="270" w:lineRule="exact"/>
    </w:pPr>
    <w:rPr>
      <w:rFonts w:ascii="Times New Roman" w:eastAsia="Times New Roman" w:hAnsi="Times New Roman"/>
      <w:b/>
      <w:bCs/>
      <w:sz w:val="23"/>
      <w:szCs w:val="23"/>
    </w:rPr>
  </w:style>
  <w:style w:type="character" w:styleId="affc">
    <w:name w:val="Placeholder Text"/>
    <w:basedOn w:val="a0"/>
    <w:uiPriority w:val="99"/>
    <w:semiHidden/>
    <w:rsid w:val="009A4C46"/>
    <w:rPr>
      <w:color w:val="808080"/>
    </w:rPr>
  </w:style>
  <w:style w:type="character" w:customStyle="1" w:styleId="2f">
    <w:name w:val="Заголовок №2_"/>
    <w:basedOn w:val="a0"/>
    <w:link w:val="2f0"/>
    <w:rsid w:val="009A4C46"/>
    <w:rPr>
      <w:rFonts w:ascii="Times New Roman" w:eastAsia="Times New Roman" w:hAnsi="Times New Roman" w:cs="Times New Roman"/>
      <w:b/>
      <w:bCs/>
      <w:shd w:val="clear" w:color="auto" w:fill="FFFFFF"/>
    </w:rPr>
  </w:style>
  <w:style w:type="character" w:customStyle="1" w:styleId="2f1">
    <w:name w:val="Основной текст (2) + Курсив"/>
    <w:basedOn w:val="25"/>
    <w:rsid w:val="009A4C46"/>
    <w:rPr>
      <w:rFonts w:ascii="Times New Roman" w:eastAsia="Times New Roman" w:hAnsi="Times New Roman" w:cs="Times New Roman"/>
      <w:b w:val="0"/>
      <w:bCs w:val="0"/>
      <w:i/>
      <w:iCs/>
      <w:smallCaps w:val="0"/>
      <w:strike w:val="0"/>
      <w:color w:val="000000"/>
      <w:spacing w:val="0"/>
      <w:w w:val="100"/>
      <w:position w:val="0"/>
      <w:sz w:val="22"/>
      <w:szCs w:val="22"/>
      <w:u w:val="none"/>
      <w:shd w:val="clear" w:color="auto" w:fill="FFFFFF"/>
      <w:lang w:val="ru-RU" w:eastAsia="ru-RU" w:bidi="ru-RU"/>
    </w:rPr>
  </w:style>
  <w:style w:type="paragraph" w:customStyle="1" w:styleId="2f0">
    <w:name w:val="Заголовок №2"/>
    <w:basedOn w:val="a"/>
    <w:link w:val="2f"/>
    <w:rsid w:val="009A4C46"/>
    <w:pPr>
      <w:widowControl w:val="0"/>
      <w:shd w:val="clear" w:color="auto" w:fill="FFFFFF"/>
      <w:spacing w:after="0" w:line="244" w:lineRule="exact"/>
      <w:jc w:val="center"/>
      <w:outlineLvl w:val="1"/>
    </w:pPr>
    <w:rPr>
      <w:rFonts w:ascii="Times New Roman" w:eastAsia="Times New Roman" w:hAnsi="Times New Roman"/>
      <w:b/>
      <w:bCs/>
    </w:rPr>
  </w:style>
  <w:style w:type="paragraph" w:customStyle="1" w:styleId="affd">
    <w:name w:val="Заголовок статья"/>
    <w:basedOn w:val="38"/>
    <w:link w:val="affe"/>
    <w:qFormat/>
    <w:rsid w:val="009A4C46"/>
    <w:pPr>
      <w:spacing w:after="0" w:line="360" w:lineRule="auto"/>
      <w:ind w:firstLine="567"/>
      <w:jc w:val="both"/>
    </w:pPr>
    <w:rPr>
      <w:rFonts w:ascii="Myriad Pro" w:hAnsi="Myriad Pro"/>
      <w:sz w:val="26"/>
      <w:szCs w:val="26"/>
    </w:rPr>
  </w:style>
  <w:style w:type="character" w:customStyle="1" w:styleId="28pt2">
    <w:name w:val="Основной текст (2) + 8 pt;Полужирный"/>
    <w:basedOn w:val="25"/>
    <w:rsid w:val="009A4C46"/>
    <w:rPr>
      <w:rFonts w:ascii="Times New Roman" w:eastAsia="Times New Roman" w:hAnsi="Times New Roman" w:cs="Times New Roman"/>
      <w:b/>
      <w:bCs/>
      <w:i w:val="0"/>
      <w:iCs w:val="0"/>
      <w:smallCaps w:val="0"/>
      <w:strike w:val="0"/>
      <w:color w:val="000000"/>
      <w:spacing w:val="0"/>
      <w:w w:val="100"/>
      <w:position w:val="0"/>
      <w:sz w:val="16"/>
      <w:szCs w:val="16"/>
      <w:u w:val="none"/>
      <w:shd w:val="clear" w:color="auto" w:fill="FFFFFF"/>
      <w:lang w:val="ru-RU" w:eastAsia="ru-RU" w:bidi="ru-RU"/>
    </w:rPr>
  </w:style>
  <w:style w:type="character" w:customStyle="1" w:styleId="affe">
    <w:name w:val="Заголовок статья Знак"/>
    <w:basedOn w:val="a0"/>
    <w:link w:val="affd"/>
    <w:rsid w:val="009A4C46"/>
    <w:rPr>
      <w:rFonts w:ascii="Myriad Pro" w:eastAsia="Times New Roman" w:hAnsi="Myriad Pro" w:cs="Times New Roman"/>
      <w:b/>
      <w:bCs/>
      <w:sz w:val="26"/>
      <w:szCs w:val="26"/>
      <w:shd w:val="clear" w:color="auto" w:fill="FFFFFF"/>
    </w:rPr>
  </w:style>
  <w:style w:type="paragraph" w:customStyle="1" w:styleId="412">
    <w:name w:val="Оглавление 41"/>
    <w:basedOn w:val="a"/>
    <w:next w:val="a"/>
    <w:autoRedefine/>
    <w:uiPriority w:val="39"/>
    <w:unhideWhenUsed/>
    <w:rsid w:val="009A4C46"/>
    <w:pPr>
      <w:spacing w:after="100"/>
      <w:ind w:left="660"/>
    </w:pPr>
    <w:rPr>
      <w:rFonts w:eastAsia="Times New Roman"/>
      <w:lang w:eastAsia="ru-RU"/>
    </w:rPr>
  </w:style>
  <w:style w:type="paragraph" w:customStyle="1" w:styleId="510">
    <w:name w:val="Оглавление 51"/>
    <w:basedOn w:val="a"/>
    <w:next w:val="a"/>
    <w:autoRedefine/>
    <w:uiPriority w:val="39"/>
    <w:unhideWhenUsed/>
    <w:rsid w:val="009A4C46"/>
    <w:pPr>
      <w:spacing w:after="100"/>
      <w:ind w:left="880"/>
    </w:pPr>
    <w:rPr>
      <w:rFonts w:eastAsia="Times New Roman"/>
      <w:lang w:eastAsia="ru-RU"/>
    </w:rPr>
  </w:style>
  <w:style w:type="paragraph" w:customStyle="1" w:styleId="61">
    <w:name w:val="Оглавление 61"/>
    <w:basedOn w:val="a"/>
    <w:next w:val="a"/>
    <w:autoRedefine/>
    <w:uiPriority w:val="39"/>
    <w:unhideWhenUsed/>
    <w:rsid w:val="009A4C46"/>
    <w:pPr>
      <w:spacing w:after="100"/>
      <w:ind w:left="1100"/>
    </w:pPr>
    <w:rPr>
      <w:rFonts w:eastAsia="Times New Roman"/>
      <w:lang w:eastAsia="ru-RU"/>
    </w:rPr>
  </w:style>
  <w:style w:type="paragraph" w:customStyle="1" w:styleId="71">
    <w:name w:val="Оглавление 71"/>
    <w:basedOn w:val="a"/>
    <w:next w:val="a"/>
    <w:autoRedefine/>
    <w:uiPriority w:val="39"/>
    <w:unhideWhenUsed/>
    <w:rsid w:val="009A4C46"/>
    <w:pPr>
      <w:spacing w:after="100"/>
      <w:ind w:left="1320"/>
    </w:pPr>
    <w:rPr>
      <w:rFonts w:eastAsia="Times New Roman"/>
      <w:lang w:eastAsia="ru-RU"/>
    </w:rPr>
  </w:style>
  <w:style w:type="paragraph" w:customStyle="1" w:styleId="81">
    <w:name w:val="Оглавление 81"/>
    <w:basedOn w:val="a"/>
    <w:next w:val="a"/>
    <w:autoRedefine/>
    <w:uiPriority w:val="39"/>
    <w:unhideWhenUsed/>
    <w:rsid w:val="009A4C46"/>
    <w:pPr>
      <w:spacing w:after="100"/>
      <w:ind w:left="1540"/>
    </w:pPr>
    <w:rPr>
      <w:rFonts w:eastAsia="Times New Roman"/>
      <w:lang w:eastAsia="ru-RU"/>
    </w:rPr>
  </w:style>
  <w:style w:type="paragraph" w:customStyle="1" w:styleId="91">
    <w:name w:val="Оглавление 91"/>
    <w:basedOn w:val="a"/>
    <w:next w:val="a"/>
    <w:autoRedefine/>
    <w:uiPriority w:val="39"/>
    <w:unhideWhenUsed/>
    <w:rsid w:val="009A4C46"/>
    <w:pPr>
      <w:spacing w:after="100"/>
      <w:ind w:left="1760"/>
    </w:pPr>
    <w:rPr>
      <w:rFonts w:eastAsia="Times New Roman"/>
      <w:lang w:eastAsia="ru-RU"/>
    </w:rPr>
  </w:style>
  <w:style w:type="paragraph" w:styleId="afff">
    <w:name w:val="Revision"/>
    <w:hidden/>
    <w:uiPriority w:val="99"/>
    <w:semiHidden/>
    <w:rsid w:val="009A4C46"/>
    <w:pPr>
      <w:spacing w:after="0" w:line="240" w:lineRule="auto"/>
    </w:pPr>
  </w:style>
  <w:style w:type="character" w:customStyle="1" w:styleId="afff0">
    <w:name w:val="Цветовое выделение"/>
    <w:uiPriority w:val="99"/>
    <w:rsid w:val="009A4C46"/>
    <w:rPr>
      <w:b/>
      <w:bCs/>
      <w:color w:val="26282F"/>
    </w:rPr>
  </w:style>
  <w:style w:type="character" w:customStyle="1" w:styleId="2f2">
    <w:name w:val="Неразрешенное упоминание2"/>
    <w:basedOn w:val="a0"/>
    <w:uiPriority w:val="99"/>
    <w:semiHidden/>
    <w:unhideWhenUsed/>
    <w:rsid w:val="009A4C46"/>
    <w:rPr>
      <w:color w:val="605E5C"/>
      <w:shd w:val="clear" w:color="auto" w:fill="E1DFDD"/>
    </w:rPr>
  </w:style>
  <w:style w:type="table" w:customStyle="1" w:styleId="19">
    <w:name w:val="Сетка таблицы1"/>
    <w:basedOn w:val="a1"/>
    <w:next w:val="af8"/>
    <w:rsid w:val="009A4C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f3">
    <w:name w:val="Сетка таблицы2"/>
    <w:basedOn w:val="a1"/>
    <w:next w:val="af8"/>
    <w:uiPriority w:val="39"/>
    <w:rsid w:val="009A4C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9">
    <w:name w:val="Сетка таблицы3"/>
    <w:basedOn w:val="a1"/>
    <w:next w:val="af8"/>
    <w:uiPriority w:val="39"/>
    <w:rsid w:val="009A4C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f4">
    <w:name w:val="Нет списка2"/>
    <w:next w:val="a2"/>
    <w:uiPriority w:val="99"/>
    <w:semiHidden/>
    <w:unhideWhenUsed/>
    <w:rsid w:val="009A4C46"/>
  </w:style>
  <w:style w:type="table" w:customStyle="1" w:styleId="46">
    <w:name w:val="Сетка таблицы4"/>
    <w:basedOn w:val="a1"/>
    <w:next w:val="af8"/>
    <w:uiPriority w:val="39"/>
    <w:rsid w:val="009A4C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
    <w:name w:val="Сетка таблицы5"/>
    <w:basedOn w:val="a1"/>
    <w:next w:val="af8"/>
    <w:uiPriority w:val="39"/>
    <w:rsid w:val="009A4C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95pt1">
    <w:name w:val="Основной текст (2) + 9;5 pt;Полужирный"/>
    <w:basedOn w:val="25"/>
    <w:rsid w:val="009A4C46"/>
    <w:rPr>
      <w:rFonts w:ascii="Times New Roman" w:eastAsia="Times New Roman" w:hAnsi="Times New Roman" w:cs="Times New Roman"/>
      <w:b/>
      <w:bCs/>
      <w:i w:val="0"/>
      <w:iCs w:val="0"/>
      <w:smallCaps w:val="0"/>
      <w:strike w:val="0"/>
      <w:color w:val="000000"/>
      <w:spacing w:val="0"/>
      <w:w w:val="100"/>
      <w:position w:val="0"/>
      <w:sz w:val="19"/>
      <w:szCs w:val="19"/>
      <w:u w:val="none"/>
      <w:shd w:val="clear" w:color="auto" w:fill="FFFFFF"/>
      <w:lang w:val="ru-RU" w:eastAsia="ru-RU" w:bidi="ru-RU"/>
    </w:rPr>
  </w:style>
  <w:style w:type="paragraph" w:customStyle="1" w:styleId="213">
    <w:name w:val="Стиль Основной текст с отступом 2 + 13 пт"/>
    <w:basedOn w:val="2f5"/>
    <w:link w:val="2130"/>
    <w:autoRedefine/>
    <w:rsid w:val="009A4C46"/>
  </w:style>
  <w:style w:type="paragraph" w:customStyle="1" w:styleId="212">
    <w:name w:val="Основной текст с отступом 21"/>
    <w:basedOn w:val="a"/>
    <w:next w:val="2f5"/>
    <w:link w:val="2f6"/>
    <w:uiPriority w:val="99"/>
    <w:semiHidden/>
    <w:unhideWhenUsed/>
    <w:rsid w:val="009A4C46"/>
    <w:pPr>
      <w:spacing w:after="120" w:line="480" w:lineRule="auto"/>
      <w:ind w:left="283"/>
    </w:pPr>
  </w:style>
  <w:style w:type="character" w:customStyle="1" w:styleId="2f6">
    <w:name w:val="Основной текст с отступом 2 Знак"/>
    <w:basedOn w:val="a0"/>
    <w:link w:val="212"/>
    <w:uiPriority w:val="99"/>
    <w:semiHidden/>
    <w:rsid w:val="009A4C46"/>
  </w:style>
  <w:style w:type="character" w:customStyle="1" w:styleId="2130">
    <w:name w:val="Стиль Основной текст с отступом 2 + 13 пт Знак"/>
    <w:link w:val="213"/>
    <w:rsid w:val="009A4C46"/>
  </w:style>
  <w:style w:type="numbering" w:customStyle="1" w:styleId="3a">
    <w:name w:val="Нет списка3"/>
    <w:next w:val="a2"/>
    <w:uiPriority w:val="99"/>
    <w:semiHidden/>
    <w:unhideWhenUsed/>
    <w:rsid w:val="009A4C46"/>
  </w:style>
  <w:style w:type="numbering" w:customStyle="1" w:styleId="1110">
    <w:name w:val="Нет списка111"/>
    <w:next w:val="a2"/>
    <w:uiPriority w:val="99"/>
    <w:semiHidden/>
    <w:unhideWhenUsed/>
    <w:rsid w:val="009A4C46"/>
  </w:style>
  <w:style w:type="table" w:customStyle="1" w:styleId="6">
    <w:name w:val="Сетка таблицы6"/>
    <w:basedOn w:val="a1"/>
    <w:next w:val="af8"/>
    <w:uiPriority w:val="39"/>
    <w:rsid w:val="009A4C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
    <w:name w:val="Сетка таблицы11"/>
    <w:basedOn w:val="a1"/>
    <w:next w:val="af8"/>
    <w:uiPriority w:val="39"/>
    <w:rsid w:val="009A4C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4">
    <w:name w:val="Сетка таблицы21"/>
    <w:basedOn w:val="a1"/>
    <w:next w:val="af8"/>
    <w:uiPriority w:val="39"/>
    <w:rsid w:val="009A4C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
    <w:name w:val="Сетка таблицы31"/>
    <w:basedOn w:val="a1"/>
    <w:next w:val="af8"/>
    <w:uiPriority w:val="39"/>
    <w:rsid w:val="009A4C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5">
    <w:name w:val="Нет списка21"/>
    <w:next w:val="a2"/>
    <w:uiPriority w:val="99"/>
    <w:semiHidden/>
    <w:unhideWhenUsed/>
    <w:rsid w:val="009A4C46"/>
  </w:style>
  <w:style w:type="table" w:customStyle="1" w:styleId="413">
    <w:name w:val="Сетка таблицы41"/>
    <w:basedOn w:val="a1"/>
    <w:next w:val="af8"/>
    <w:uiPriority w:val="39"/>
    <w:rsid w:val="009A4C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
    <w:name w:val="Сетка таблицы51"/>
    <w:basedOn w:val="a1"/>
    <w:next w:val="af8"/>
    <w:uiPriority w:val="39"/>
    <w:rsid w:val="009A4C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12">
    <w:name w:val="Нет списка31"/>
    <w:next w:val="a2"/>
    <w:uiPriority w:val="99"/>
    <w:semiHidden/>
    <w:unhideWhenUsed/>
    <w:rsid w:val="009A4C46"/>
  </w:style>
  <w:style w:type="paragraph" w:customStyle="1" w:styleId="msonormal0">
    <w:name w:val="msonormal"/>
    <w:basedOn w:val="a"/>
    <w:rsid w:val="009A4C46"/>
    <w:pPr>
      <w:spacing w:before="100" w:beforeAutospacing="1" w:after="100" w:afterAutospacing="1" w:line="240" w:lineRule="auto"/>
    </w:pPr>
    <w:rPr>
      <w:rFonts w:ascii="Times New Roman" w:eastAsia="Times New Roman" w:hAnsi="Times New Roman"/>
      <w:sz w:val="24"/>
      <w:szCs w:val="24"/>
      <w:lang w:eastAsia="ru-RU"/>
    </w:rPr>
  </w:style>
  <w:style w:type="paragraph" w:customStyle="1" w:styleId="xl68">
    <w:name w:val="xl68"/>
    <w:basedOn w:val="a"/>
    <w:rsid w:val="009A4C4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69">
    <w:name w:val="xl69"/>
    <w:basedOn w:val="a"/>
    <w:rsid w:val="009A4C4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sz w:val="24"/>
      <w:szCs w:val="24"/>
      <w:lang w:eastAsia="ru-RU"/>
    </w:rPr>
  </w:style>
  <w:style w:type="paragraph" w:customStyle="1" w:styleId="xl70">
    <w:name w:val="xl70"/>
    <w:basedOn w:val="a"/>
    <w:rsid w:val="009A4C4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71">
    <w:name w:val="xl71"/>
    <w:basedOn w:val="a"/>
    <w:rsid w:val="009A4C4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72">
    <w:name w:val="xl72"/>
    <w:basedOn w:val="a"/>
    <w:rsid w:val="009A4C4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73">
    <w:name w:val="xl73"/>
    <w:basedOn w:val="a"/>
    <w:rsid w:val="009A4C46"/>
    <w:pPr>
      <w:spacing w:before="100" w:beforeAutospacing="1" w:after="100" w:afterAutospacing="1" w:line="240" w:lineRule="auto"/>
    </w:pPr>
    <w:rPr>
      <w:rFonts w:ascii="Times New Roman" w:eastAsia="Times New Roman" w:hAnsi="Times New Roman"/>
      <w:sz w:val="24"/>
      <w:szCs w:val="24"/>
      <w:lang w:eastAsia="ru-RU"/>
    </w:rPr>
  </w:style>
  <w:style w:type="paragraph" w:customStyle="1" w:styleId="xl74">
    <w:name w:val="xl74"/>
    <w:basedOn w:val="a"/>
    <w:rsid w:val="009A4C4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75">
    <w:name w:val="xl75"/>
    <w:basedOn w:val="a"/>
    <w:rsid w:val="009A4C4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76">
    <w:name w:val="xl76"/>
    <w:basedOn w:val="a"/>
    <w:rsid w:val="009A4C4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b/>
      <w:bCs/>
      <w:sz w:val="24"/>
      <w:szCs w:val="24"/>
      <w:lang w:eastAsia="ru-RU"/>
    </w:rPr>
  </w:style>
  <w:style w:type="paragraph" w:customStyle="1" w:styleId="xl77">
    <w:name w:val="xl77"/>
    <w:basedOn w:val="a"/>
    <w:rsid w:val="009A4C4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78">
    <w:name w:val="xl78"/>
    <w:basedOn w:val="a"/>
    <w:rsid w:val="009A4C4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79">
    <w:name w:val="xl79"/>
    <w:basedOn w:val="a"/>
    <w:rsid w:val="009A4C4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80">
    <w:name w:val="xl80"/>
    <w:basedOn w:val="a"/>
    <w:rsid w:val="009A4C4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81">
    <w:name w:val="xl81"/>
    <w:basedOn w:val="a"/>
    <w:rsid w:val="009A4C4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sz w:val="24"/>
      <w:szCs w:val="24"/>
      <w:lang w:eastAsia="ru-RU"/>
    </w:rPr>
  </w:style>
  <w:style w:type="paragraph" w:customStyle="1" w:styleId="xl82">
    <w:name w:val="xl82"/>
    <w:basedOn w:val="a"/>
    <w:rsid w:val="009A4C4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83">
    <w:name w:val="xl83"/>
    <w:basedOn w:val="a"/>
    <w:rsid w:val="009A4C4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b/>
      <w:bCs/>
      <w:sz w:val="24"/>
      <w:szCs w:val="24"/>
      <w:lang w:eastAsia="ru-RU"/>
    </w:rPr>
  </w:style>
  <w:style w:type="paragraph" w:customStyle="1" w:styleId="xl84">
    <w:name w:val="xl84"/>
    <w:basedOn w:val="a"/>
    <w:rsid w:val="009A4C4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b/>
      <w:bCs/>
      <w:sz w:val="24"/>
      <w:szCs w:val="24"/>
      <w:lang w:eastAsia="ru-RU"/>
    </w:rPr>
  </w:style>
  <w:style w:type="paragraph" w:customStyle="1" w:styleId="xl85">
    <w:name w:val="xl85"/>
    <w:basedOn w:val="a"/>
    <w:rsid w:val="009A4C4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b/>
      <w:bCs/>
      <w:sz w:val="24"/>
      <w:szCs w:val="24"/>
      <w:lang w:eastAsia="ru-RU"/>
    </w:rPr>
  </w:style>
  <w:style w:type="paragraph" w:customStyle="1" w:styleId="xl86">
    <w:name w:val="xl86"/>
    <w:basedOn w:val="a"/>
    <w:rsid w:val="009A4C4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b/>
      <w:bCs/>
      <w:sz w:val="24"/>
      <w:szCs w:val="24"/>
      <w:lang w:eastAsia="ru-RU"/>
    </w:rPr>
  </w:style>
  <w:style w:type="paragraph" w:customStyle="1" w:styleId="xl87">
    <w:name w:val="xl87"/>
    <w:basedOn w:val="a"/>
    <w:rsid w:val="009A4C4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b/>
      <w:bCs/>
      <w:sz w:val="24"/>
      <w:szCs w:val="24"/>
      <w:lang w:eastAsia="ru-RU"/>
    </w:rPr>
  </w:style>
  <w:style w:type="paragraph" w:customStyle="1" w:styleId="xl88">
    <w:name w:val="xl88"/>
    <w:basedOn w:val="a"/>
    <w:rsid w:val="009A4C4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89">
    <w:name w:val="xl89"/>
    <w:basedOn w:val="a"/>
    <w:rsid w:val="009A4C4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90">
    <w:name w:val="xl90"/>
    <w:basedOn w:val="a"/>
    <w:rsid w:val="009A4C4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91">
    <w:name w:val="xl91"/>
    <w:basedOn w:val="a"/>
    <w:rsid w:val="009A4C4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92">
    <w:name w:val="xl92"/>
    <w:basedOn w:val="a"/>
    <w:rsid w:val="009A4C4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93">
    <w:name w:val="xl93"/>
    <w:basedOn w:val="a"/>
    <w:rsid w:val="009A4C46"/>
    <w:pPr>
      <w:spacing w:before="100" w:beforeAutospacing="1" w:after="100" w:afterAutospacing="1" w:line="240" w:lineRule="auto"/>
    </w:pPr>
    <w:rPr>
      <w:rFonts w:ascii="Times New Roman" w:eastAsia="Times New Roman" w:hAnsi="Times New Roman"/>
      <w:sz w:val="24"/>
      <w:szCs w:val="24"/>
      <w:lang w:eastAsia="ru-RU"/>
    </w:rPr>
  </w:style>
  <w:style w:type="paragraph" w:customStyle="1" w:styleId="xl94">
    <w:name w:val="xl94"/>
    <w:basedOn w:val="a"/>
    <w:rsid w:val="009A4C4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95">
    <w:name w:val="xl95"/>
    <w:basedOn w:val="a"/>
    <w:rsid w:val="009A4C46"/>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96">
    <w:name w:val="xl96"/>
    <w:basedOn w:val="a"/>
    <w:rsid w:val="009A4C46"/>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97">
    <w:name w:val="xl97"/>
    <w:basedOn w:val="a"/>
    <w:rsid w:val="009A4C46"/>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98">
    <w:name w:val="xl98"/>
    <w:basedOn w:val="a"/>
    <w:rsid w:val="009A4C46"/>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99">
    <w:name w:val="xl99"/>
    <w:basedOn w:val="a"/>
    <w:rsid w:val="009A4C4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100">
    <w:name w:val="xl100"/>
    <w:basedOn w:val="a"/>
    <w:rsid w:val="009A4C46"/>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101">
    <w:name w:val="xl101"/>
    <w:basedOn w:val="a"/>
    <w:rsid w:val="009A4C46"/>
    <w:pPr>
      <w:pBdr>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102">
    <w:name w:val="xl102"/>
    <w:basedOn w:val="a"/>
    <w:rsid w:val="009A4C46"/>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numbering" w:customStyle="1" w:styleId="47">
    <w:name w:val="Нет списка4"/>
    <w:next w:val="a2"/>
    <w:uiPriority w:val="99"/>
    <w:semiHidden/>
    <w:unhideWhenUsed/>
    <w:rsid w:val="009A4C46"/>
  </w:style>
  <w:style w:type="paragraph" w:customStyle="1" w:styleId="xl103">
    <w:name w:val="xl103"/>
    <w:basedOn w:val="a"/>
    <w:rsid w:val="009A4C46"/>
    <w:pPr>
      <w:pBdr>
        <w:left w:val="single" w:sz="4"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104">
    <w:name w:val="xl104"/>
    <w:basedOn w:val="a"/>
    <w:rsid w:val="009A4C46"/>
    <w:pPr>
      <w:pBdr>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105">
    <w:name w:val="xl105"/>
    <w:basedOn w:val="a"/>
    <w:rsid w:val="009A4C4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106">
    <w:name w:val="xl106"/>
    <w:basedOn w:val="a"/>
    <w:rsid w:val="009A4C46"/>
    <w:pPr>
      <w:pBdr>
        <w:top w:val="single" w:sz="4"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107">
    <w:name w:val="xl107"/>
    <w:basedOn w:val="a"/>
    <w:rsid w:val="009A4C46"/>
    <w:pPr>
      <w:pBdr>
        <w:top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67">
    <w:name w:val="xl67"/>
    <w:basedOn w:val="a"/>
    <w:rsid w:val="009A4C46"/>
    <w:pPr>
      <w:spacing w:before="100" w:beforeAutospacing="1" w:after="100" w:afterAutospacing="1" w:line="240" w:lineRule="auto"/>
    </w:pPr>
    <w:rPr>
      <w:rFonts w:ascii="Times New Roman" w:eastAsia="Times New Roman" w:hAnsi="Times New Roman"/>
      <w:sz w:val="24"/>
      <w:szCs w:val="24"/>
      <w:lang w:eastAsia="ru-RU"/>
    </w:rPr>
  </w:style>
  <w:style w:type="numbering" w:customStyle="1" w:styleId="53">
    <w:name w:val="Нет списка5"/>
    <w:next w:val="a2"/>
    <w:uiPriority w:val="99"/>
    <w:semiHidden/>
    <w:unhideWhenUsed/>
    <w:rsid w:val="009A4C46"/>
  </w:style>
  <w:style w:type="numbering" w:customStyle="1" w:styleId="120">
    <w:name w:val="Нет списка12"/>
    <w:next w:val="a2"/>
    <w:uiPriority w:val="99"/>
    <w:semiHidden/>
    <w:unhideWhenUsed/>
    <w:rsid w:val="009A4C46"/>
  </w:style>
  <w:style w:type="table" w:customStyle="1" w:styleId="7">
    <w:name w:val="Сетка таблицы7"/>
    <w:basedOn w:val="a1"/>
    <w:next w:val="af8"/>
    <w:uiPriority w:val="39"/>
    <w:rsid w:val="009A4C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
    <w:name w:val="Стиль12"/>
    <w:basedOn w:val="a1"/>
    <w:uiPriority w:val="99"/>
    <w:rsid w:val="009A4C46"/>
    <w:pPr>
      <w:spacing w:after="0" w:line="240" w:lineRule="auto"/>
    </w:pPr>
    <w:tblPr>
      <w:tblBorders>
        <w:bottom w:val="single" w:sz="4" w:space="0" w:color="525252"/>
        <w:insideH w:val="single" w:sz="4" w:space="0" w:color="525252"/>
        <w:insideV w:val="single" w:sz="4" w:space="0" w:color="525252"/>
      </w:tblBorders>
    </w:tblPr>
    <w:tcPr>
      <w:shd w:val="clear" w:color="auto" w:fill="auto"/>
      <w:vAlign w:val="center"/>
    </w:tcPr>
    <w:tblStylePr w:type="firstRow">
      <w:pPr>
        <w:wordWrap/>
        <w:spacing w:beforeLines="0" w:beforeAutospacing="0" w:afterLines="0" w:afterAutospacing="0" w:line="240" w:lineRule="auto"/>
        <w:ind w:leftChars="0" w:left="0" w:rightChars="0" w:right="0"/>
        <w:jc w:val="center"/>
      </w:pPr>
      <w:rPr>
        <w:rFonts w:ascii="Arial CYR" w:hAnsi="Arial CYR"/>
        <w:b/>
        <w:i w:val="0"/>
        <w:caps w:val="0"/>
        <w:smallCaps w:val="0"/>
        <w:strike w:val="0"/>
        <w:dstrike w:val="0"/>
        <w:vanish w:val="0"/>
        <w:color w:val="FFFFFF"/>
        <w:sz w:val="22"/>
        <w:vertAlign w:val="baseline"/>
      </w:rPr>
      <w:tblPr/>
      <w:tcPr>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val="clear" w:color="auto" w:fill="525252"/>
      </w:tcPr>
    </w:tblStylePr>
    <w:tblStylePr w:type="firstCol">
      <w:pPr>
        <w:jc w:val="left"/>
      </w:pPr>
      <w:tblPr/>
      <w:tcPr>
        <w:vAlign w:val="top"/>
      </w:tcPr>
    </w:tblStylePr>
  </w:style>
  <w:style w:type="table" w:customStyle="1" w:styleId="122">
    <w:name w:val="Сетка таблицы12"/>
    <w:basedOn w:val="a1"/>
    <w:next w:val="af8"/>
    <w:uiPriority w:val="39"/>
    <w:rsid w:val="009A4C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0">
    <w:name w:val="Сетка таблицы22"/>
    <w:basedOn w:val="a1"/>
    <w:next w:val="af8"/>
    <w:uiPriority w:val="39"/>
    <w:rsid w:val="009A4C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0">
    <w:name w:val="Сетка таблицы32"/>
    <w:basedOn w:val="a1"/>
    <w:next w:val="af8"/>
    <w:uiPriority w:val="39"/>
    <w:rsid w:val="009A4C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1">
    <w:name w:val="Нет списка22"/>
    <w:next w:val="a2"/>
    <w:uiPriority w:val="99"/>
    <w:semiHidden/>
    <w:unhideWhenUsed/>
    <w:rsid w:val="009A4C46"/>
  </w:style>
  <w:style w:type="table" w:customStyle="1" w:styleId="420">
    <w:name w:val="Сетка таблицы42"/>
    <w:basedOn w:val="a1"/>
    <w:next w:val="af8"/>
    <w:uiPriority w:val="39"/>
    <w:rsid w:val="009A4C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0">
    <w:name w:val="Сетка таблицы52"/>
    <w:basedOn w:val="a1"/>
    <w:next w:val="af8"/>
    <w:uiPriority w:val="39"/>
    <w:rsid w:val="009A4C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21">
    <w:name w:val="Нет списка32"/>
    <w:next w:val="a2"/>
    <w:uiPriority w:val="99"/>
    <w:semiHidden/>
    <w:unhideWhenUsed/>
    <w:rsid w:val="009A4C46"/>
  </w:style>
  <w:style w:type="numbering" w:customStyle="1" w:styleId="414">
    <w:name w:val="Нет списка41"/>
    <w:next w:val="a2"/>
    <w:uiPriority w:val="99"/>
    <w:semiHidden/>
    <w:unhideWhenUsed/>
    <w:rsid w:val="009A4C46"/>
  </w:style>
  <w:style w:type="numbering" w:customStyle="1" w:styleId="60">
    <w:name w:val="Нет списка6"/>
    <w:next w:val="a2"/>
    <w:uiPriority w:val="99"/>
    <w:semiHidden/>
    <w:unhideWhenUsed/>
    <w:rsid w:val="009A4C46"/>
  </w:style>
  <w:style w:type="numbering" w:customStyle="1" w:styleId="130">
    <w:name w:val="Нет списка13"/>
    <w:next w:val="a2"/>
    <w:uiPriority w:val="99"/>
    <w:semiHidden/>
    <w:unhideWhenUsed/>
    <w:rsid w:val="009A4C46"/>
  </w:style>
  <w:style w:type="table" w:customStyle="1" w:styleId="82">
    <w:name w:val="Сетка таблицы8"/>
    <w:basedOn w:val="a1"/>
    <w:next w:val="af8"/>
    <w:uiPriority w:val="39"/>
    <w:rsid w:val="009A4C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
    <w:name w:val="Стиль13"/>
    <w:basedOn w:val="a1"/>
    <w:uiPriority w:val="99"/>
    <w:rsid w:val="009A4C46"/>
    <w:pPr>
      <w:spacing w:after="0" w:line="240" w:lineRule="auto"/>
    </w:pPr>
    <w:tblPr>
      <w:tblBorders>
        <w:bottom w:val="single" w:sz="4" w:space="0" w:color="525252"/>
        <w:insideH w:val="single" w:sz="4" w:space="0" w:color="525252"/>
        <w:insideV w:val="single" w:sz="4" w:space="0" w:color="525252"/>
      </w:tblBorders>
    </w:tblPr>
    <w:tcPr>
      <w:shd w:val="clear" w:color="auto" w:fill="auto"/>
      <w:vAlign w:val="center"/>
    </w:tcPr>
    <w:tblStylePr w:type="firstRow">
      <w:pPr>
        <w:wordWrap/>
        <w:spacing w:beforeLines="0" w:beforeAutospacing="0" w:afterLines="0" w:afterAutospacing="0" w:line="240" w:lineRule="auto"/>
        <w:ind w:leftChars="0" w:left="0" w:rightChars="0" w:right="0"/>
        <w:jc w:val="center"/>
      </w:pPr>
      <w:rPr>
        <w:rFonts w:ascii="Arial CYR" w:hAnsi="Arial CYR"/>
        <w:b/>
        <w:i w:val="0"/>
        <w:caps w:val="0"/>
        <w:smallCaps w:val="0"/>
        <w:strike w:val="0"/>
        <w:dstrike w:val="0"/>
        <w:vanish w:val="0"/>
        <w:color w:val="FFFFFF"/>
        <w:sz w:val="22"/>
        <w:vertAlign w:val="baseline"/>
      </w:rPr>
      <w:tblPr/>
      <w:tcPr>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val="clear" w:color="auto" w:fill="525252"/>
      </w:tcPr>
    </w:tblStylePr>
    <w:tblStylePr w:type="firstCol">
      <w:pPr>
        <w:jc w:val="left"/>
      </w:pPr>
      <w:tblPr/>
      <w:tcPr>
        <w:vAlign w:val="top"/>
      </w:tcPr>
    </w:tblStylePr>
  </w:style>
  <w:style w:type="table" w:customStyle="1" w:styleId="132">
    <w:name w:val="Сетка таблицы13"/>
    <w:basedOn w:val="a1"/>
    <w:next w:val="af8"/>
    <w:uiPriority w:val="39"/>
    <w:rsid w:val="009A4C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0">
    <w:name w:val="Сетка таблицы23"/>
    <w:basedOn w:val="a1"/>
    <w:next w:val="af8"/>
    <w:uiPriority w:val="39"/>
    <w:rsid w:val="009A4C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0">
    <w:name w:val="Сетка таблицы33"/>
    <w:basedOn w:val="a1"/>
    <w:next w:val="af8"/>
    <w:uiPriority w:val="39"/>
    <w:rsid w:val="009A4C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31">
    <w:name w:val="Нет списка23"/>
    <w:next w:val="a2"/>
    <w:uiPriority w:val="99"/>
    <w:semiHidden/>
    <w:unhideWhenUsed/>
    <w:rsid w:val="009A4C46"/>
  </w:style>
  <w:style w:type="table" w:customStyle="1" w:styleId="430">
    <w:name w:val="Сетка таблицы43"/>
    <w:basedOn w:val="a1"/>
    <w:next w:val="af8"/>
    <w:uiPriority w:val="39"/>
    <w:rsid w:val="009A4C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0">
    <w:name w:val="Сетка таблицы53"/>
    <w:basedOn w:val="a1"/>
    <w:next w:val="af8"/>
    <w:uiPriority w:val="39"/>
    <w:rsid w:val="009A4C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31">
    <w:name w:val="Нет списка33"/>
    <w:next w:val="a2"/>
    <w:uiPriority w:val="99"/>
    <w:semiHidden/>
    <w:unhideWhenUsed/>
    <w:rsid w:val="009A4C46"/>
  </w:style>
  <w:style w:type="numbering" w:customStyle="1" w:styleId="421">
    <w:name w:val="Нет списка42"/>
    <w:next w:val="a2"/>
    <w:uiPriority w:val="99"/>
    <w:semiHidden/>
    <w:unhideWhenUsed/>
    <w:rsid w:val="009A4C46"/>
  </w:style>
  <w:style w:type="numbering" w:customStyle="1" w:styleId="70">
    <w:name w:val="Нет списка7"/>
    <w:next w:val="a2"/>
    <w:uiPriority w:val="99"/>
    <w:semiHidden/>
    <w:unhideWhenUsed/>
    <w:rsid w:val="009A4C46"/>
  </w:style>
  <w:style w:type="numbering" w:customStyle="1" w:styleId="140">
    <w:name w:val="Нет списка14"/>
    <w:next w:val="a2"/>
    <w:uiPriority w:val="99"/>
    <w:semiHidden/>
    <w:unhideWhenUsed/>
    <w:rsid w:val="009A4C46"/>
  </w:style>
  <w:style w:type="table" w:customStyle="1" w:styleId="9">
    <w:name w:val="Сетка таблицы9"/>
    <w:basedOn w:val="a1"/>
    <w:next w:val="af8"/>
    <w:uiPriority w:val="39"/>
    <w:rsid w:val="009A4C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1">
    <w:name w:val="Стиль14"/>
    <w:basedOn w:val="a1"/>
    <w:uiPriority w:val="99"/>
    <w:rsid w:val="009A4C46"/>
    <w:pPr>
      <w:spacing w:after="0" w:line="240" w:lineRule="auto"/>
    </w:pPr>
    <w:tblPr>
      <w:tblBorders>
        <w:bottom w:val="single" w:sz="4" w:space="0" w:color="525252"/>
        <w:insideH w:val="single" w:sz="4" w:space="0" w:color="525252"/>
        <w:insideV w:val="single" w:sz="4" w:space="0" w:color="525252"/>
      </w:tblBorders>
    </w:tblPr>
    <w:tcPr>
      <w:shd w:val="clear" w:color="auto" w:fill="auto"/>
      <w:vAlign w:val="center"/>
    </w:tcPr>
    <w:tblStylePr w:type="firstRow">
      <w:pPr>
        <w:wordWrap/>
        <w:spacing w:beforeLines="0" w:beforeAutospacing="0" w:afterLines="0" w:afterAutospacing="0" w:line="240" w:lineRule="auto"/>
        <w:ind w:leftChars="0" w:left="0" w:rightChars="0" w:right="0"/>
        <w:jc w:val="center"/>
      </w:pPr>
      <w:rPr>
        <w:rFonts w:ascii="Arial CYR" w:hAnsi="Arial CYR"/>
        <w:b/>
        <w:i w:val="0"/>
        <w:caps w:val="0"/>
        <w:smallCaps w:val="0"/>
        <w:strike w:val="0"/>
        <w:dstrike w:val="0"/>
        <w:vanish w:val="0"/>
        <w:color w:val="FFFFFF"/>
        <w:sz w:val="22"/>
        <w:vertAlign w:val="baseline"/>
      </w:rPr>
      <w:tblPr/>
      <w:tcPr>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val="clear" w:color="auto" w:fill="525252"/>
      </w:tcPr>
    </w:tblStylePr>
    <w:tblStylePr w:type="firstCol">
      <w:pPr>
        <w:jc w:val="left"/>
      </w:pPr>
      <w:tblPr/>
      <w:tcPr>
        <w:vAlign w:val="top"/>
      </w:tcPr>
    </w:tblStylePr>
  </w:style>
  <w:style w:type="table" w:customStyle="1" w:styleId="142">
    <w:name w:val="Сетка таблицы14"/>
    <w:basedOn w:val="a1"/>
    <w:next w:val="af8"/>
    <w:uiPriority w:val="39"/>
    <w:rsid w:val="009A4C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0">
    <w:name w:val="Сетка таблицы24"/>
    <w:basedOn w:val="a1"/>
    <w:next w:val="af8"/>
    <w:uiPriority w:val="39"/>
    <w:rsid w:val="009A4C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0">
    <w:name w:val="Сетка таблицы34"/>
    <w:basedOn w:val="a1"/>
    <w:next w:val="af8"/>
    <w:uiPriority w:val="39"/>
    <w:rsid w:val="009A4C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41">
    <w:name w:val="Нет списка24"/>
    <w:next w:val="a2"/>
    <w:uiPriority w:val="99"/>
    <w:semiHidden/>
    <w:unhideWhenUsed/>
    <w:rsid w:val="009A4C46"/>
  </w:style>
  <w:style w:type="table" w:customStyle="1" w:styleId="440">
    <w:name w:val="Сетка таблицы44"/>
    <w:basedOn w:val="a1"/>
    <w:next w:val="af8"/>
    <w:uiPriority w:val="39"/>
    <w:rsid w:val="009A4C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4">
    <w:name w:val="Сетка таблицы54"/>
    <w:basedOn w:val="a1"/>
    <w:next w:val="af8"/>
    <w:uiPriority w:val="39"/>
    <w:rsid w:val="009A4C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41">
    <w:name w:val="Нет списка34"/>
    <w:next w:val="a2"/>
    <w:uiPriority w:val="99"/>
    <w:semiHidden/>
    <w:unhideWhenUsed/>
    <w:rsid w:val="009A4C46"/>
  </w:style>
  <w:style w:type="numbering" w:customStyle="1" w:styleId="431">
    <w:name w:val="Нет списка43"/>
    <w:next w:val="a2"/>
    <w:uiPriority w:val="99"/>
    <w:semiHidden/>
    <w:unhideWhenUsed/>
    <w:rsid w:val="009A4C46"/>
  </w:style>
  <w:style w:type="table" w:customStyle="1" w:styleId="55">
    <w:name w:val="Сетка таблицы55"/>
    <w:basedOn w:val="a1"/>
    <w:next w:val="af8"/>
    <w:uiPriority w:val="39"/>
    <w:rsid w:val="009A4C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6">
    <w:name w:val="Сетка таблицы56"/>
    <w:basedOn w:val="a1"/>
    <w:next w:val="af8"/>
    <w:uiPriority w:val="39"/>
    <w:rsid w:val="009A4C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1">
    <w:name w:val="Document Map"/>
    <w:basedOn w:val="a"/>
    <w:link w:val="afff2"/>
    <w:uiPriority w:val="99"/>
    <w:semiHidden/>
    <w:unhideWhenUsed/>
    <w:rsid w:val="009A4C46"/>
    <w:pPr>
      <w:spacing w:after="0" w:line="240" w:lineRule="auto"/>
    </w:pPr>
    <w:rPr>
      <w:rFonts w:ascii="Tahoma" w:eastAsia="Times New Roman" w:hAnsi="Tahoma" w:cs="Tahoma"/>
      <w:sz w:val="16"/>
      <w:szCs w:val="16"/>
      <w:lang w:eastAsia="ru-RU"/>
    </w:rPr>
  </w:style>
  <w:style w:type="character" w:customStyle="1" w:styleId="afff2">
    <w:name w:val="Схема документа Знак"/>
    <w:basedOn w:val="a0"/>
    <w:link w:val="afff1"/>
    <w:uiPriority w:val="99"/>
    <w:semiHidden/>
    <w:rsid w:val="009A4C46"/>
    <w:rPr>
      <w:rFonts w:ascii="Tahoma" w:eastAsia="Times New Roman" w:hAnsi="Tahoma" w:cs="Tahoma"/>
      <w:sz w:val="16"/>
      <w:szCs w:val="16"/>
      <w:lang w:eastAsia="ru-RU"/>
    </w:rPr>
  </w:style>
  <w:style w:type="character" w:customStyle="1" w:styleId="3b">
    <w:name w:val="Неразрешенное упоминание3"/>
    <w:basedOn w:val="a0"/>
    <w:uiPriority w:val="99"/>
    <w:semiHidden/>
    <w:unhideWhenUsed/>
    <w:rsid w:val="009A4C46"/>
    <w:rPr>
      <w:color w:val="605E5C"/>
      <w:shd w:val="clear" w:color="auto" w:fill="E1DFDD"/>
    </w:rPr>
  </w:style>
  <w:style w:type="paragraph" w:customStyle="1" w:styleId="1a">
    <w:name w:val="Текст сноски1"/>
    <w:basedOn w:val="a"/>
    <w:next w:val="afff3"/>
    <w:link w:val="afff4"/>
    <w:uiPriority w:val="99"/>
    <w:semiHidden/>
    <w:unhideWhenUsed/>
    <w:rsid w:val="009A4C46"/>
    <w:pPr>
      <w:spacing w:after="0" w:line="240" w:lineRule="auto"/>
    </w:pPr>
    <w:rPr>
      <w:rFonts w:eastAsia="Times New Roman"/>
      <w:lang w:eastAsia="ru-RU"/>
    </w:rPr>
  </w:style>
  <w:style w:type="character" w:customStyle="1" w:styleId="afff4">
    <w:name w:val="Текст сноски Знак"/>
    <w:basedOn w:val="a0"/>
    <w:link w:val="1a"/>
    <w:uiPriority w:val="99"/>
    <w:semiHidden/>
    <w:rsid w:val="009A4C46"/>
    <w:rPr>
      <w:rFonts w:eastAsia="Times New Roman"/>
      <w:sz w:val="20"/>
      <w:szCs w:val="20"/>
      <w:lang w:eastAsia="ru-RU"/>
    </w:rPr>
  </w:style>
  <w:style w:type="character" w:styleId="afff5">
    <w:name w:val="footnote reference"/>
    <w:basedOn w:val="a0"/>
    <w:uiPriority w:val="99"/>
    <w:semiHidden/>
    <w:unhideWhenUsed/>
    <w:rsid w:val="009A4C46"/>
    <w:rPr>
      <w:vertAlign w:val="superscript"/>
    </w:rPr>
  </w:style>
  <w:style w:type="character" w:customStyle="1" w:styleId="afff6">
    <w:name w:val="Гипертекстовая ссылка"/>
    <w:basedOn w:val="a0"/>
    <w:qFormat/>
    <w:rsid w:val="009A4C46"/>
    <w:rPr>
      <w:rFonts w:cs="Times New Roman"/>
      <w:color w:val="106BBE"/>
    </w:rPr>
  </w:style>
  <w:style w:type="character" w:customStyle="1" w:styleId="InternetLink">
    <w:name w:val="Internet Link"/>
    <w:basedOn w:val="a0"/>
    <w:rsid w:val="009A4C46"/>
    <w:rPr>
      <w:color w:val="0000FF"/>
      <w:u w:val="single"/>
    </w:rPr>
  </w:style>
  <w:style w:type="paragraph" w:customStyle="1" w:styleId="s3">
    <w:name w:val="s_3"/>
    <w:basedOn w:val="a"/>
    <w:qFormat/>
    <w:rsid w:val="009A4C46"/>
    <w:pPr>
      <w:spacing w:after="0" w:line="240" w:lineRule="auto"/>
      <w:jc w:val="center"/>
    </w:pPr>
    <w:rPr>
      <w:rFonts w:ascii="Arial" w:eastAsia="Times New Roman" w:hAnsi="Arial" w:cs="Arial"/>
      <w:b/>
      <w:bCs/>
      <w:color w:val="26282F"/>
      <w:sz w:val="26"/>
      <w:szCs w:val="26"/>
      <w:lang w:eastAsia="zh-CN"/>
    </w:rPr>
  </w:style>
  <w:style w:type="character" w:customStyle="1" w:styleId="313">
    <w:name w:val="Заголовок 3 Знак1"/>
    <w:aliases w:val="Level 1 - 1 Знак1,Заголовок подпукта (1.1.1) Знак1,H3 Знак1"/>
    <w:basedOn w:val="a0"/>
    <w:uiPriority w:val="9"/>
    <w:semiHidden/>
    <w:rsid w:val="009A4C46"/>
    <w:rPr>
      <w:rFonts w:ascii="Calibri Light" w:eastAsia="Times New Roman" w:hAnsi="Calibri Light" w:cs="Times New Roman"/>
      <w:b/>
      <w:bCs/>
      <w:color w:val="5B9BD5"/>
      <w:sz w:val="22"/>
      <w:szCs w:val="22"/>
    </w:rPr>
  </w:style>
  <w:style w:type="table" w:customStyle="1" w:styleId="350">
    <w:name w:val="Сетка таблицы35"/>
    <w:basedOn w:val="a1"/>
    <w:next w:val="af8"/>
    <w:uiPriority w:val="39"/>
    <w:rsid w:val="009A4C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83">
    <w:name w:val="Нет списка8"/>
    <w:next w:val="a2"/>
    <w:uiPriority w:val="99"/>
    <w:semiHidden/>
    <w:unhideWhenUsed/>
    <w:rsid w:val="009A4C46"/>
  </w:style>
  <w:style w:type="numbering" w:customStyle="1" w:styleId="150">
    <w:name w:val="Нет списка15"/>
    <w:next w:val="a2"/>
    <w:uiPriority w:val="99"/>
    <w:semiHidden/>
    <w:unhideWhenUsed/>
    <w:rsid w:val="009A4C46"/>
  </w:style>
  <w:style w:type="table" w:customStyle="1" w:styleId="100">
    <w:name w:val="Сетка таблицы10"/>
    <w:basedOn w:val="a1"/>
    <w:next w:val="af8"/>
    <w:uiPriority w:val="39"/>
    <w:rsid w:val="009A4C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1">
    <w:name w:val="Стиль15"/>
    <w:basedOn w:val="a1"/>
    <w:uiPriority w:val="99"/>
    <w:rsid w:val="009A4C46"/>
    <w:pPr>
      <w:spacing w:after="0" w:line="240" w:lineRule="auto"/>
    </w:pPr>
    <w:tblPr>
      <w:tblBorders>
        <w:bottom w:val="single" w:sz="4" w:space="0" w:color="525252"/>
        <w:insideH w:val="single" w:sz="4" w:space="0" w:color="525252"/>
        <w:insideV w:val="single" w:sz="4" w:space="0" w:color="525252"/>
      </w:tblBorders>
    </w:tblPr>
    <w:tcPr>
      <w:shd w:val="clear" w:color="auto" w:fill="auto"/>
      <w:vAlign w:val="center"/>
    </w:tcPr>
    <w:tblStylePr w:type="firstRow">
      <w:pPr>
        <w:wordWrap/>
        <w:spacing w:beforeLines="0" w:beforeAutospacing="0" w:afterLines="0" w:afterAutospacing="0" w:line="240" w:lineRule="auto"/>
        <w:ind w:leftChars="0" w:left="0" w:rightChars="0" w:right="0"/>
        <w:jc w:val="center"/>
      </w:pPr>
      <w:rPr>
        <w:rFonts w:ascii="Arial CYR" w:hAnsi="Arial CYR"/>
        <w:b/>
        <w:i w:val="0"/>
        <w:caps w:val="0"/>
        <w:smallCaps w:val="0"/>
        <w:strike w:val="0"/>
        <w:dstrike w:val="0"/>
        <w:vanish w:val="0"/>
        <w:color w:val="FFFFFF"/>
        <w:sz w:val="22"/>
        <w:vertAlign w:val="baseline"/>
      </w:rPr>
      <w:tblPr/>
      <w:tcPr>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val="clear" w:color="auto" w:fill="525252"/>
      </w:tcPr>
    </w:tblStylePr>
    <w:tblStylePr w:type="firstCol">
      <w:pPr>
        <w:jc w:val="left"/>
      </w:pPr>
      <w:tblPr/>
      <w:tcPr>
        <w:vAlign w:val="top"/>
      </w:tcPr>
    </w:tblStylePr>
  </w:style>
  <w:style w:type="table" w:customStyle="1" w:styleId="152">
    <w:name w:val="Сетка таблицы15"/>
    <w:basedOn w:val="a1"/>
    <w:next w:val="af8"/>
    <w:uiPriority w:val="39"/>
    <w:rsid w:val="009A4C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0">
    <w:name w:val="Сетка таблицы25"/>
    <w:basedOn w:val="a1"/>
    <w:next w:val="af8"/>
    <w:uiPriority w:val="39"/>
    <w:rsid w:val="009A4C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0">
    <w:name w:val="Сетка таблицы36"/>
    <w:basedOn w:val="a1"/>
    <w:next w:val="af8"/>
    <w:uiPriority w:val="39"/>
    <w:rsid w:val="009A4C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51">
    <w:name w:val="Нет списка25"/>
    <w:next w:val="a2"/>
    <w:uiPriority w:val="99"/>
    <w:semiHidden/>
    <w:unhideWhenUsed/>
    <w:rsid w:val="009A4C46"/>
  </w:style>
  <w:style w:type="table" w:customStyle="1" w:styleId="450">
    <w:name w:val="Сетка таблицы45"/>
    <w:basedOn w:val="a1"/>
    <w:next w:val="af8"/>
    <w:uiPriority w:val="39"/>
    <w:rsid w:val="009A4C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7">
    <w:name w:val="Сетка таблицы57"/>
    <w:basedOn w:val="a1"/>
    <w:next w:val="af8"/>
    <w:uiPriority w:val="39"/>
    <w:rsid w:val="009A4C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51">
    <w:name w:val="Нет списка35"/>
    <w:next w:val="a2"/>
    <w:uiPriority w:val="99"/>
    <w:semiHidden/>
    <w:unhideWhenUsed/>
    <w:rsid w:val="009A4C46"/>
  </w:style>
  <w:style w:type="numbering" w:customStyle="1" w:styleId="1111">
    <w:name w:val="Нет списка1111"/>
    <w:next w:val="a2"/>
    <w:uiPriority w:val="99"/>
    <w:semiHidden/>
    <w:unhideWhenUsed/>
    <w:rsid w:val="009A4C46"/>
  </w:style>
  <w:style w:type="table" w:customStyle="1" w:styleId="610">
    <w:name w:val="Сетка таблицы61"/>
    <w:basedOn w:val="a1"/>
    <w:next w:val="af8"/>
    <w:uiPriority w:val="39"/>
    <w:rsid w:val="009A4C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
    <w:name w:val="Стиль111"/>
    <w:basedOn w:val="a1"/>
    <w:uiPriority w:val="99"/>
    <w:rsid w:val="009A4C46"/>
    <w:pPr>
      <w:spacing w:after="0" w:line="240" w:lineRule="auto"/>
    </w:pPr>
    <w:tblPr>
      <w:tblBorders>
        <w:bottom w:val="single" w:sz="4" w:space="0" w:color="525252"/>
        <w:insideH w:val="single" w:sz="4" w:space="0" w:color="525252"/>
        <w:insideV w:val="single" w:sz="4" w:space="0" w:color="525252"/>
      </w:tblBorders>
    </w:tblPr>
    <w:tcPr>
      <w:shd w:val="clear" w:color="auto" w:fill="auto"/>
      <w:vAlign w:val="center"/>
    </w:tcPr>
    <w:tblStylePr w:type="firstRow">
      <w:pPr>
        <w:wordWrap/>
        <w:spacing w:beforeLines="0" w:beforeAutospacing="0" w:afterLines="0" w:afterAutospacing="0" w:line="240" w:lineRule="auto"/>
        <w:ind w:leftChars="0" w:left="0" w:rightChars="0" w:right="0"/>
        <w:jc w:val="center"/>
      </w:pPr>
      <w:rPr>
        <w:rFonts w:ascii="Arial CYR" w:hAnsi="Arial CYR"/>
        <w:b/>
        <w:i w:val="0"/>
        <w:caps w:val="0"/>
        <w:smallCaps w:val="0"/>
        <w:strike w:val="0"/>
        <w:dstrike w:val="0"/>
        <w:vanish w:val="0"/>
        <w:color w:val="FFFFFF"/>
        <w:sz w:val="22"/>
        <w:vertAlign w:val="baseline"/>
      </w:rPr>
      <w:tblPr/>
      <w:tcPr>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val="clear" w:color="auto" w:fill="525252"/>
      </w:tcPr>
    </w:tblStylePr>
    <w:tblStylePr w:type="firstCol">
      <w:pPr>
        <w:jc w:val="left"/>
      </w:pPr>
      <w:tblPr/>
      <w:tcPr>
        <w:vAlign w:val="top"/>
      </w:tcPr>
    </w:tblStylePr>
  </w:style>
  <w:style w:type="table" w:customStyle="1" w:styleId="1113">
    <w:name w:val="Сетка таблицы111"/>
    <w:basedOn w:val="a1"/>
    <w:next w:val="af8"/>
    <w:uiPriority w:val="39"/>
    <w:rsid w:val="009A4C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0">
    <w:name w:val="Сетка таблицы211"/>
    <w:basedOn w:val="a1"/>
    <w:next w:val="af8"/>
    <w:uiPriority w:val="39"/>
    <w:rsid w:val="009A4C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0">
    <w:name w:val="Сетка таблицы311"/>
    <w:basedOn w:val="a1"/>
    <w:next w:val="af8"/>
    <w:uiPriority w:val="39"/>
    <w:rsid w:val="009A4C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11">
    <w:name w:val="Нет списка211"/>
    <w:next w:val="a2"/>
    <w:uiPriority w:val="99"/>
    <w:semiHidden/>
    <w:unhideWhenUsed/>
    <w:rsid w:val="009A4C46"/>
  </w:style>
  <w:style w:type="table" w:customStyle="1" w:styleId="4110">
    <w:name w:val="Сетка таблицы411"/>
    <w:basedOn w:val="a1"/>
    <w:next w:val="af8"/>
    <w:uiPriority w:val="39"/>
    <w:rsid w:val="009A4C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0">
    <w:name w:val="Сетка таблицы511"/>
    <w:basedOn w:val="a1"/>
    <w:next w:val="af8"/>
    <w:uiPriority w:val="39"/>
    <w:rsid w:val="009A4C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111">
    <w:name w:val="Нет списка311"/>
    <w:next w:val="a2"/>
    <w:uiPriority w:val="99"/>
    <w:semiHidden/>
    <w:unhideWhenUsed/>
    <w:rsid w:val="009A4C46"/>
  </w:style>
  <w:style w:type="numbering" w:customStyle="1" w:styleId="441">
    <w:name w:val="Нет списка44"/>
    <w:next w:val="a2"/>
    <w:uiPriority w:val="99"/>
    <w:semiHidden/>
    <w:unhideWhenUsed/>
    <w:rsid w:val="009A4C46"/>
  </w:style>
  <w:style w:type="numbering" w:customStyle="1" w:styleId="512">
    <w:name w:val="Нет списка51"/>
    <w:next w:val="a2"/>
    <w:uiPriority w:val="99"/>
    <w:semiHidden/>
    <w:unhideWhenUsed/>
    <w:rsid w:val="009A4C46"/>
  </w:style>
  <w:style w:type="numbering" w:customStyle="1" w:styleId="1210">
    <w:name w:val="Нет списка121"/>
    <w:next w:val="a2"/>
    <w:uiPriority w:val="99"/>
    <w:semiHidden/>
    <w:unhideWhenUsed/>
    <w:rsid w:val="009A4C46"/>
  </w:style>
  <w:style w:type="table" w:customStyle="1" w:styleId="710">
    <w:name w:val="Сетка таблицы71"/>
    <w:basedOn w:val="a1"/>
    <w:next w:val="af8"/>
    <w:uiPriority w:val="39"/>
    <w:rsid w:val="009A4C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
    <w:name w:val="Стиль121"/>
    <w:basedOn w:val="a1"/>
    <w:uiPriority w:val="99"/>
    <w:rsid w:val="009A4C46"/>
    <w:pPr>
      <w:spacing w:after="0" w:line="240" w:lineRule="auto"/>
    </w:pPr>
    <w:tblPr>
      <w:tblBorders>
        <w:bottom w:val="single" w:sz="4" w:space="0" w:color="525252"/>
        <w:insideH w:val="single" w:sz="4" w:space="0" w:color="525252"/>
        <w:insideV w:val="single" w:sz="4" w:space="0" w:color="525252"/>
      </w:tblBorders>
    </w:tblPr>
    <w:tcPr>
      <w:shd w:val="clear" w:color="auto" w:fill="auto"/>
      <w:vAlign w:val="center"/>
    </w:tcPr>
    <w:tblStylePr w:type="firstRow">
      <w:pPr>
        <w:wordWrap/>
        <w:spacing w:beforeLines="0" w:beforeAutospacing="0" w:afterLines="0" w:afterAutospacing="0" w:line="240" w:lineRule="auto"/>
        <w:ind w:leftChars="0" w:left="0" w:rightChars="0" w:right="0"/>
        <w:jc w:val="center"/>
      </w:pPr>
      <w:rPr>
        <w:rFonts w:ascii="Arial CYR" w:hAnsi="Arial CYR"/>
        <w:b/>
        <w:i w:val="0"/>
        <w:caps w:val="0"/>
        <w:smallCaps w:val="0"/>
        <w:strike w:val="0"/>
        <w:dstrike w:val="0"/>
        <w:vanish w:val="0"/>
        <w:color w:val="FFFFFF"/>
        <w:sz w:val="22"/>
        <w:vertAlign w:val="baseline"/>
      </w:rPr>
      <w:tblPr/>
      <w:tcPr>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val="clear" w:color="auto" w:fill="525252"/>
      </w:tcPr>
    </w:tblStylePr>
    <w:tblStylePr w:type="firstCol">
      <w:pPr>
        <w:jc w:val="left"/>
      </w:pPr>
      <w:tblPr/>
      <w:tcPr>
        <w:vAlign w:val="top"/>
      </w:tcPr>
    </w:tblStylePr>
  </w:style>
  <w:style w:type="table" w:customStyle="1" w:styleId="1212">
    <w:name w:val="Сетка таблицы121"/>
    <w:basedOn w:val="a1"/>
    <w:next w:val="af8"/>
    <w:uiPriority w:val="39"/>
    <w:rsid w:val="009A4C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0">
    <w:name w:val="Сетка таблицы221"/>
    <w:basedOn w:val="a1"/>
    <w:next w:val="af8"/>
    <w:uiPriority w:val="39"/>
    <w:rsid w:val="009A4C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0">
    <w:name w:val="Сетка таблицы321"/>
    <w:basedOn w:val="a1"/>
    <w:next w:val="af8"/>
    <w:uiPriority w:val="39"/>
    <w:rsid w:val="009A4C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11">
    <w:name w:val="Нет списка221"/>
    <w:next w:val="a2"/>
    <w:uiPriority w:val="99"/>
    <w:semiHidden/>
    <w:unhideWhenUsed/>
    <w:rsid w:val="009A4C46"/>
  </w:style>
  <w:style w:type="table" w:customStyle="1" w:styleId="4210">
    <w:name w:val="Сетка таблицы421"/>
    <w:basedOn w:val="a1"/>
    <w:next w:val="af8"/>
    <w:uiPriority w:val="39"/>
    <w:rsid w:val="009A4C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1">
    <w:name w:val="Сетка таблицы521"/>
    <w:basedOn w:val="a1"/>
    <w:next w:val="af8"/>
    <w:uiPriority w:val="39"/>
    <w:rsid w:val="009A4C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211">
    <w:name w:val="Нет списка321"/>
    <w:next w:val="a2"/>
    <w:uiPriority w:val="99"/>
    <w:semiHidden/>
    <w:unhideWhenUsed/>
    <w:rsid w:val="009A4C46"/>
  </w:style>
  <w:style w:type="numbering" w:customStyle="1" w:styleId="4111">
    <w:name w:val="Нет списка411"/>
    <w:next w:val="a2"/>
    <w:uiPriority w:val="99"/>
    <w:semiHidden/>
    <w:unhideWhenUsed/>
    <w:rsid w:val="009A4C46"/>
  </w:style>
  <w:style w:type="numbering" w:customStyle="1" w:styleId="611">
    <w:name w:val="Нет списка61"/>
    <w:next w:val="a2"/>
    <w:uiPriority w:val="99"/>
    <w:semiHidden/>
    <w:unhideWhenUsed/>
    <w:rsid w:val="009A4C46"/>
  </w:style>
  <w:style w:type="numbering" w:customStyle="1" w:styleId="1310">
    <w:name w:val="Нет списка131"/>
    <w:next w:val="a2"/>
    <w:uiPriority w:val="99"/>
    <w:semiHidden/>
    <w:unhideWhenUsed/>
    <w:rsid w:val="009A4C46"/>
  </w:style>
  <w:style w:type="table" w:customStyle="1" w:styleId="810">
    <w:name w:val="Сетка таблицы81"/>
    <w:basedOn w:val="a1"/>
    <w:next w:val="af8"/>
    <w:uiPriority w:val="39"/>
    <w:rsid w:val="009A4C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1">
    <w:name w:val="Стиль131"/>
    <w:basedOn w:val="a1"/>
    <w:uiPriority w:val="99"/>
    <w:rsid w:val="009A4C46"/>
    <w:pPr>
      <w:spacing w:after="0" w:line="240" w:lineRule="auto"/>
    </w:pPr>
    <w:tblPr>
      <w:tblBorders>
        <w:bottom w:val="single" w:sz="4" w:space="0" w:color="525252"/>
        <w:insideH w:val="single" w:sz="4" w:space="0" w:color="525252"/>
        <w:insideV w:val="single" w:sz="4" w:space="0" w:color="525252"/>
      </w:tblBorders>
    </w:tblPr>
    <w:tcPr>
      <w:shd w:val="clear" w:color="auto" w:fill="auto"/>
      <w:vAlign w:val="center"/>
    </w:tcPr>
    <w:tblStylePr w:type="firstRow">
      <w:pPr>
        <w:wordWrap/>
        <w:spacing w:beforeLines="0" w:beforeAutospacing="0" w:afterLines="0" w:afterAutospacing="0" w:line="240" w:lineRule="auto"/>
        <w:ind w:leftChars="0" w:left="0" w:rightChars="0" w:right="0"/>
        <w:jc w:val="center"/>
      </w:pPr>
      <w:rPr>
        <w:rFonts w:ascii="Arial CYR" w:hAnsi="Arial CYR"/>
        <w:b/>
        <w:i w:val="0"/>
        <w:caps w:val="0"/>
        <w:smallCaps w:val="0"/>
        <w:strike w:val="0"/>
        <w:dstrike w:val="0"/>
        <w:vanish w:val="0"/>
        <w:color w:val="FFFFFF"/>
        <w:sz w:val="22"/>
        <w:vertAlign w:val="baseline"/>
      </w:rPr>
      <w:tblPr/>
      <w:tcPr>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val="clear" w:color="auto" w:fill="525252"/>
      </w:tcPr>
    </w:tblStylePr>
    <w:tblStylePr w:type="firstCol">
      <w:pPr>
        <w:jc w:val="left"/>
      </w:pPr>
      <w:tblPr/>
      <w:tcPr>
        <w:vAlign w:val="top"/>
      </w:tcPr>
    </w:tblStylePr>
  </w:style>
  <w:style w:type="table" w:customStyle="1" w:styleId="1312">
    <w:name w:val="Сетка таблицы131"/>
    <w:basedOn w:val="a1"/>
    <w:next w:val="af8"/>
    <w:uiPriority w:val="39"/>
    <w:rsid w:val="009A4C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10">
    <w:name w:val="Сетка таблицы231"/>
    <w:basedOn w:val="a1"/>
    <w:next w:val="af8"/>
    <w:uiPriority w:val="39"/>
    <w:rsid w:val="009A4C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0">
    <w:name w:val="Сетка таблицы331"/>
    <w:basedOn w:val="a1"/>
    <w:next w:val="af8"/>
    <w:uiPriority w:val="39"/>
    <w:rsid w:val="009A4C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311">
    <w:name w:val="Нет списка231"/>
    <w:next w:val="a2"/>
    <w:uiPriority w:val="99"/>
    <w:semiHidden/>
    <w:unhideWhenUsed/>
    <w:rsid w:val="009A4C46"/>
  </w:style>
  <w:style w:type="table" w:customStyle="1" w:styleId="4310">
    <w:name w:val="Сетка таблицы431"/>
    <w:basedOn w:val="a1"/>
    <w:next w:val="af8"/>
    <w:uiPriority w:val="39"/>
    <w:rsid w:val="009A4C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1">
    <w:name w:val="Сетка таблицы531"/>
    <w:basedOn w:val="a1"/>
    <w:next w:val="af8"/>
    <w:uiPriority w:val="39"/>
    <w:rsid w:val="009A4C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311">
    <w:name w:val="Нет списка331"/>
    <w:next w:val="a2"/>
    <w:uiPriority w:val="99"/>
    <w:semiHidden/>
    <w:unhideWhenUsed/>
    <w:rsid w:val="009A4C46"/>
  </w:style>
  <w:style w:type="numbering" w:customStyle="1" w:styleId="4211">
    <w:name w:val="Нет списка421"/>
    <w:next w:val="a2"/>
    <w:uiPriority w:val="99"/>
    <w:semiHidden/>
    <w:unhideWhenUsed/>
    <w:rsid w:val="009A4C46"/>
  </w:style>
  <w:style w:type="numbering" w:customStyle="1" w:styleId="711">
    <w:name w:val="Нет списка71"/>
    <w:next w:val="a2"/>
    <w:uiPriority w:val="99"/>
    <w:semiHidden/>
    <w:unhideWhenUsed/>
    <w:rsid w:val="009A4C46"/>
  </w:style>
  <w:style w:type="numbering" w:customStyle="1" w:styleId="1410">
    <w:name w:val="Нет списка141"/>
    <w:next w:val="a2"/>
    <w:uiPriority w:val="99"/>
    <w:semiHidden/>
    <w:unhideWhenUsed/>
    <w:rsid w:val="009A4C46"/>
  </w:style>
  <w:style w:type="table" w:customStyle="1" w:styleId="910">
    <w:name w:val="Сетка таблицы91"/>
    <w:basedOn w:val="a1"/>
    <w:next w:val="af8"/>
    <w:uiPriority w:val="39"/>
    <w:rsid w:val="009A4C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11">
    <w:name w:val="Стиль141"/>
    <w:basedOn w:val="a1"/>
    <w:uiPriority w:val="99"/>
    <w:rsid w:val="009A4C46"/>
    <w:pPr>
      <w:spacing w:after="0" w:line="240" w:lineRule="auto"/>
    </w:pPr>
    <w:tblPr>
      <w:tblBorders>
        <w:bottom w:val="single" w:sz="4" w:space="0" w:color="525252"/>
        <w:insideH w:val="single" w:sz="4" w:space="0" w:color="525252"/>
        <w:insideV w:val="single" w:sz="4" w:space="0" w:color="525252"/>
      </w:tblBorders>
    </w:tblPr>
    <w:tcPr>
      <w:shd w:val="clear" w:color="auto" w:fill="auto"/>
      <w:vAlign w:val="center"/>
    </w:tcPr>
    <w:tblStylePr w:type="firstRow">
      <w:pPr>
        <w:wordWrap/>
        <w:spacing w:beforeLines="0" w:beforeAutospacing="0" w:afterLines="0" w:afterAutospacing="0" w:line="240" w:lineRule="auto"/>
        <w:ind w:leftChars="0" w:left="0" w:rightChars="0" w:right="0"/>
        <w:jc w:val="center"/>
      </w:pPr>
      <w:rPr>
        <w:rFonts w:ascii="Arial CYR" w:hAnsi="Arial CYR"/>
        <w:b/>
        <w:i w:val="0"/>
        <w:caps w:val="0"/>
        <w:smallCaps w:val="0"/>
        <w:strike w:val="0"/>
        <w:dstrike w:val="0"/>
        <w:vanish w:val="0"/>
        <w:color w:val="FFFFFF"/>
        <w:sz w:val="22"/>
        <w:vertAlign w:val="baseline"/>
      </w:rPr>
      <w:tblPr/>
      <w:tcPr>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val="clear" w:color="auto" w:fill="525252"/>
      </w:tcPr>
    </w:tblStylePr>
    <w:tblStylePr w:type="firstCol">
      <w:pPr>
        <w:jc w:val="left"/>
      </w:pPr>
      <w:tblPr/>
      <w:tcPr>
        <w:vAlign w:val="top"/>
      </w:tcPr>
    </w:tblStylePr>
  </w:style>
  <w:style w:type="table" w:customStyle="1" w:styleId="1412">
    <w:name w:val="Сетка таблицы141"/>
    <w:basedOn w:val="a1"/>
    <w:next w:val="af8"/>
    <w:uiPriority w:val="39"/>
    <w:rsid w:val="009A4C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10">
    <w:name w:val="Сетка таблицы241"/>
    <w:basedOn w:val="a1"/>
    <w:next w:val="af8"/>
    <w:uiPriority w:val="39"/>
    <w:rsid w:val="009A4C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10">
    <w:name w:val="Сетка таблицы341"/>
    <w:basedOn w:val="a1"/>
    <w:next w:val="af8"/>
    <w:uiPriority w:val="39"/>
    <w:rsid w:val="009A4C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411">
    <w:name w:val="Нет списка241"/>
    <w:next w:val="a2"/>
    <w:uiPriority w:val="99"/>
    <w:semiHidden/>
    <w:unhideWhenUsed/>
    <w:rsid w:val="009A4C46"/>
  </w:style>
  <w:style w:type="table" w:customStyle="1" w:styleId="4410">
    <w:name w:val="Сетка таблицы441"/>
    <w:basedOn w:val="a1"/>
    <w:next w:val="af8"/>
    <w:uiPriority w:val="39"/>
    <w:rsid w:val="009A4C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41">
    <w:name w:val="Сетка таблицы541"/>
    <w:basedOn w:val="a1"/>
    <w:next w:val="af8"/>
    <w:uiPriority w:val="39"/>
    <w:rsid w:val="009A4C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411">
    <w:name w:val="Нет списка341"/>
    <w:next w:val="a2"/>
    <w:uiPriority w:val="99"/>
    <w:semiHidden/>
    <w:unhideWhenUsed/>
    <w:rsid w:val="009A4C46"/>
  </w:style>
  <w:style w:type="numbering" w:customStyle="1" w:styleId="4311">
    <w:name w:val="Нет списка431"/>
    <w:next w:val="a2"/>
    <w:uiPriority w:val="99"/>
    <w:semiHidden/>
    <w:unhideWhenUsed/>
    <w:rsid w:val="009A4C46"/>
  </w:style>
  <w:style w:type="table" w:customStyle="1" w:styleId="551">
    <w:name w:val="Сетка таблицы551"/>
    <w:basedOn w:val="a1"/>
    <w:next w:val="af8"/>
    <w:uiPriority w:val="39"/>
    <w:rsid w:val="009A4C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61">
    <w:name w:val="Сетка таблицы561"/>
    <w:basedOn w:val="a1"/>
    <w:next w:val="af8"/>
    <w:uiPriority w:val="39"/>
    <w:rsid w:val="009A4C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16">
    <w:name w:val="Заголовок 2 Знак1"/>
    <w:basedOn w:val="a0"/>
    <w:uiPriority w:val="9"/>
    <w:semiHidden/>
    <w:rsid w:val="009A4C46"/>
    <w:rPr>
      <w:rFonts w:asciiTheme="majorHAnsi" w:eastAsiaTheme="majorEastAsia" w:hAnsiTheme="majorHAnsi" w:cstheme="majorBidi"/>
      <w:color w:val="365F91" w:themeColor="accent1" w:themeShade="BF"/>
      <w:sz w:val="26"/>
      <w:szCs w:val="26"/>
    </w:rPr>
  </w:style>
  <w:style w:type="paragraph" w:styleId="af0">
    <w:name w:val="Title"/>
    <w:basedOn w:val="a"/>
    <w:next w:val="a"/>
    <w:link w:val="af"/>
    <w:qFormat/>
    <w:rsid w:val="009A4C46"/>
    <w:pPr>
      <w:spacing w:after="0" w:line="240" w:lineRule="auto"/>
      <w:contextualSpacing/>
    </w:pPr>
    <w:rPr>
      <w:rFonts w:ascii="Calibri Light" w:eastAsia="Times New Roman" w:hAnsi="Calibri Light"/>
      <w:spacing w:val="-10"/>
      <w:kern w:val="28"/>
      <w:sz w:val="56"/>
      <w:szCs w:val="56"/>
    </w:rPr>
  </w:style>
  <w:style w:type="character" w:customStyle="1" w:styleId="1b">
    <w:name w:val="Заголовок Знак1"/>
    <w:basedOn w:val="a0"/>
    <w:uiPriority w:val="10"/>
    <w:rsid w:val="009A4C46"/>
    <w:rPr>
      <w:rFonts w:asciiTheme="majorHAnsi" w:eastAsiaTheme="majorEastAsia" w:hAnsiTheme="majorHAnsi" w:cstheme="majorBidi"/>
      <w:spacing w:val="-10"/>
      <w:kern w:val="28"/>
      <w:sz w:val="56"/>
      <w:szCs w:val="56"/>
    </w:rPr>
  </w:style>
  <w:style w:type="character" w:styleId="afff7">
    <w:name w:val="FollowedHyperlink"/>
    <w:basedOn w:val="a0"/>
    <w:uiPriority w:val="99"/>
    <w:semiHidden/>
    <w:unhideWhenUsed/>
    <w:rsid w:val="009A4C46"/>
    <w:rPr>
      <w:color w:val="800080" w:themeColor="followedHyperlink"/>
      <w:u w:val="single"/>
    </w:rPr>
  </w:style>
  <w:style w:type="paragraph" w:styleId="af6">
    <w:name w:val="header"/>
    <w:basedOn w:val="a"/>
    <w:link w:val="1c"/>
    <w:uiPriority w:val="99"/>
    <w:unhideWhenUsed/>
    <w:rsid w:val="009A4C46"/>
    <w:pPr>
      <w:tabs>
        <w:tab w:val="center" w:pos="4677"/>
        <w:tab w:val="right" w:pos="9355"/>
      </w:tabs>
      <w:spacing w:after="0" w:line="240" w:lineRule="auto"/>
    </w:pPr>
  </w:style>
  <w:style w:type="character" w:customStyle="1" w:styleId="1c">
    <w:name w:val="Верхний колонтитул Знак1"/>
    <w:basedOn w:val="a0"/>
    <w:link w:val="af6"/>
    <w:uiPriority w:val="99"/>
    <w:rsid w:val="009A4C46"/>
  </w:style>
  <w:style w:type="character" w:customStyle="1" w:styleId="513">
    <w:name w:val="Заголовок 5 Знак1"/>
    <w:basedOn w:val="a0"/>
    <w:uiPriority w:val="9"/>
    <w:semiHidden/>
    <w:rsid w:val="009A4C46"/>
    <w:rPr>
      <w:rFonts w:asciiTheme="majorHAnsi" w:eastAsiaTheme="majorEastAsia" w:hAnsiTheme="majorHAnsi" w:cstheme="majorBidi"/>
      <w:color w:val="365F91" w:themeColor="accent1" w:themeShade="BF"/>
    </w:rPr>
  </w:style>
  <w:style w:type="paragraph" w:styleId="2d">
    <w:name w:val="Body Text 2"/>
    <w:basedOn w:val="a"/>
    <w:link w:val="217"/>
    <w:uiPriority w:val="99"/>
    <w:semiHidden/>
    <w:unhideWhenUsed/>
    <w:rsid w:val="009A4C46"/>
    <w:pPr>
      <w:spacing w:after="120" w:line="480" w:lineRule="auto"/>
    </w:pPr>
  </w:style>
  <w:style w:type="character" w:customStyle="1" w:styleId="217">
    <w:name w:val="Основной текст 2 Знак1"/>
    <w:basedOn w:val="a0"/>
    <w:link w:val="2d"/>
    <w:uiPriority w:val="99"/>
    <w:semiHidden/>
    <w:rsid w:val="009A4C46"/>
  </w:style>
  <w:style w:type="paragraph" w:styleId="2f5">
    <w:name w:val="Body Text Indent 2"/>
    <w:basedOn w:val="a"/>
    <w:link w:val="218"/>
    <w:uiPriority w:val="99"/>
    <w:semiHidden/>
    <w:unhideWhenUsed/>
    <w:rsid w:val="009A4C46"/>
    <w:pPr>
      <w:spacing w:after="120" w:line="480" w:lineRule="auto"/>
      <w:ind w:left="283"/>
    </w:pPr>
  </w:style>
  <w:style w:type="character" w:customStyle="1" w:styleId="218">
    <w:name w:val="Основной текст с отступом 2 Знак1"/>
    <w:basedOn w:val="a0"/>
    <w:link w:val="2f5"/>
    <w:uiPriority w:val="99"/>
    <w:semiHidden/>
    <w:rsid w:val="009A4C46"/>
  </w:style>
  <w:style w:type="paragraph" w:styleId="afff3">
    <w:name w:val="footnote text"/>
    <w:basedOn w:val="a"/>
    <w:link w:val="1d"/>
    <w:uiPriority w:val="99"/>
    <w:semiHidden/>
    <w:unhideWhenUsed/>
    <w:rsid w:val="009A4C46"/>
    <w:pPr>
      <w:spacing w:after="0" w:line="240" w:lineRule="auto"/>
    </w:pPr>
  </w:style>
  <w:style w:type="character" w:customStyle="1" w:styleId="1d">
    <w:name w:val="Текст сноски Знак1"/>
    <w:basedOn w:val="a0"/>
    <w:link w:val="afff3"/>
    <w:uiPriority w:val="99"/>
    <w:semiHidden/>
    <w:rsid w:val="009A4C46"/>
    <w:rPr>
      <w:sz w:val="20"/>
      <w:szCs w:val="20"/>
    </w:rPr>
  </w:style>
  <w:style w:type="character" w:customStyle="1" w:styleId="48">
    <w:name w:val="Неразрешенное упоминание4"/>
    <w:basedOn w:val="a0"/>
    <w:uiPriority w:val="99"/>
    <w:semiHidden/>
    <w:unhideWhenUsed/>
    <w:rsid w:val="00843C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4178352">
      <w:bodyDiv w:val="1"/>
      <w:marLeft w:val="0"/>
      <w:marRight w:val="0"/>
      <w:marTop w:val="0"/>
      <w:marBottom w:val="0"/>
      <w:divBdr>
        <w:top w:val="none" w:sz="0" w:space="0" w:color="auto"/>
        <w:left w:val="none" w:sz="0" w:space="0" w:color="auto"/>
        <w:bottom w:val="none" w:sz="0" w:space="0" w:color="auto"/>
        <w:right w:val="none" w:sz="0" w:space="0" w:color="auto"/>
      </w:divBdr>
    </w:div>
    <w:div w:id="1282489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8" Type="http://schemas.openxmlformats.org/officeDocument/2006/relationships/image" Target="media/image6.wmf"/><Relationship Id="rId26" Type="http://schemas.openxmlformats.org/officeDocument/2006/relationships/footer" Target="footer2.xml"/><Relationship Id="rId39" Type="http://schemas.openxmlformats.org/officeDocument/2006/relationships/image" Target="media/image24.wmf"/><Relationship Id="rId21" Type="http://schemas.openxmlformats.org/officeDocument/2006/relationships/image" Target="media/image9.wmf"/><Relationship Id="rId34" Type="http://schemas.openxmlformats.org/officeDocument/2006/relationships/image" Target="media/image19.wmf"/><Relationship Id="rId42" Type="http://schemas.openxmlformats.org/officeDocument/2006/relationships/image" Target="media/image27.wmf"/><Relationship Id="rId47" Type="http://schemas.openxmlformats.org/officeDocument/2006/relationships/oleObject" Target="embeddings/oleObject3.bin"/><Relationship Id="rId50" Type="http://schemas.openxmlformats.org/officeDocument/2006/relationships/image" Target="media/image34.wmf"/><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consultantplus://offline/ref=B3028F4BB5523BE771AF7E41292BB66201551BDCAFE87C9A85149609144AB87F175793FDC5CAED09747150258DF82A8A17713BD095C4D3P" TargetMode="External"/><Relationship Id="rId29" Type="http://schemas.openxmlformats.org/officeDocument/2006/relationships/oleObject" Target="embeddings/oleObject1.bin"/><Relationship Id="rId11" Type="http://schemas.openxmlformats.org/officeDocument/2006/relationships/footer" Target="footer1.xml"/><Relationship Id="rId24" Type="http://schemas.openxmlformats.org/officeDocument/2006/relationships/image" Target="media/image12.wmf"/><Relationship Id="rId32" Type="http://schemas.openxmlformats.org/officeDocument/2006/relationships/oleObject" Target="embeddings/oleObject2.bin"/><Relationship Id="rId37" Type="http://schemas.openxmlformats.org/officeDocument/2006/relationships/image" Target="media/image22.wmf"/><Relationship Id="rId40" Type="http://schemas.openxmlformats.org/officeDocument/2006/relationships/image" Target="media/image25.wmf"/><Relationship Id="rId45" Type="http://schemas.openxmlformats.org/officeDocument/2006/relationships/image" Target="media/image30.wmf"/><Relationship Id="rId53" Type="http://schemas.openxmlformats.org/officeDocument/2006/relationships/image" Target="media/image37.wmf"/><Relationship Id="rId5" Type="http://schemas.openxmlformats.org/officeDocument/2006/relationships/webSettings" Target="webSettings.xml"/><Relationship Id="rId10" Type="http://schemas.openxmlformats.org/officeDocument/2006/relationships/header" Target="header1.xml"/><Relationship Id="rId19" Type="http://schemas.openxmlformats.org/officeDocument/2006/relationships/image" Target="media/image7.wmf"/><Relationship Id="rId31" Type="http://schemas.openxmlformats.org/officeDocument/2006/relationships/image" Target="media/image17.wmf"/><Relationship Id="rId44" Type="http://schemas.openxmlformats.org/officeDocument/2006/relationships/image" Target="media/image29.wmf"/><Relationship Id="rId52" Type="http://schemas.openxmlformats.org/officeDocument/2006/relationships/image" Target="media/image36.wmf"/><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4.png"/><Relationship Id="rId22" Type="http://schemas.openxmlformats.org/officeDocument/2006/relationships/image" Target="media/image10.wmf"/><Relationship Id="rId27" Type="http://schemas.openxmlformats.org/officeDocument/2006/relationships/image" Target="media/image14.png"/><Relationship Id="rId30" Type="http://schemas.openxmlformats.org/officeDocument/2006/relationships/image" Target="media/image16.wmf"/><Relationship Id="rId35" Type="http://schemas.openxmlformats.org/officeDocument/2006/relationships/image" Target="media/image20.wmf"/><Relationship Id="rId43" Type="http://schemas.openxmlformats.org/officeDocument/2006/relationships/image" Target="media/image28.wmf"/><Relationship Id="rId48" Type="http://schemas.openxmlformats.org/officeDocument/2006/relationships/image" Target="media/image32.wmf"/><Relationship Id="rId8" Type="http://schemas.openxmlformats.org/officeDocument/2006/relationships/image" Target="media/image1.png"/><Relationship Id="rId51" Type="http://schemas.openxmlformats.org/officeDocument/2006/relationships/image" Target="media/image35.wmf"/><Relationship Id="rId3" Type="http://schemas.openxmlformats.org/officeDocument/2006/relationships/styles" Target="styles.xml"/><Relationship Id="rId12" Type="http://schemas.openxmlformats.org/officeDocument/2006/relationships/image" Target="media/image2.wmf"/><Relationship Id="rId17" Type="http://schemas.openxmlformats.org/officeDocument/2006/relationships/image" Target="media/image5.wmf"/><Relationship Id="rId25" Type="http://schemas.openxmlformats.org/officeDocument/2006/relationships/image" Target="media/image13.wmf"/><Relationship Id="rId33" Type="http://schemas.openxmlformats.org/officeDocument/2006/relationships/image" Target="media/image18.wmf"/><Relationship Id="rId38" Type="http://schemas.openxmlformats.org/officeDocument/2006/relationships/image" Target="media/image23.wmf"/><Relationship Id="rId46" Type="http://schemas.openxmlformats.org/officeDocument/2006/relationships/image" Target="media/image31.wmf"/><Relationship Id="rId20" Type="http://schemas.openxmlformats.org/officeDocument/2006/relationships/image" Target="media/image8.wmf"/><Relationship Id="rId41" Type="http://schemas.openxmlformats.org/officeDocument/2006/relationships/image" Target="media/image26.wmf"/><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consultantplus://offline/ref=B3028F4BB5523BE771AF604F2D2BB662035610DAA8E17C9A85149609144AB87F175793F9C4CDE65C243E5179C8A9398B117139D289412336C5D0P" TargetMode="External"/><Relationship Id="rId23" Type="http://schemas.openxmlformats.org/officeDocument/2006/relationships/image" Target="media/image11.wmf"/><Relationship Id="rId28" Type="http://schemas.openxmlformats.org/officeDocument/2006/relationships/image" Target="media/image15.wmf"/><Relationship Id="rId36" Type="http://schemas.openxmlformats.org/officeDocument/2006/relationships/image" Target="media/image21.wmf"/><Relationship Id="rId49" Type="http://schemas.openxmlformats.org/officeDocument/2006/relationships/image" Target="media/image33.wmf"/></Relationships>
</file>

<file path=word/theme/theme1.xml><?xml version="1.0" encoding="utf-8"?>
<a:theme xmlns:a="http://schemas.openxmlformats.org/drawingml/2006/main" name="Тема Offic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111E95-3F85-4D5A-B891-7510D9142F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155</Pages>
  <Words>36913</Words>
  <Characters>210408</Characters>
  <Application>Microsoft Office Word</Application>
  <DocSecurity>0</DocSecurity>
  <Lines>1753</Lines>
  <Paragraphs>493</Paragraphs>
  <ScaleCrop>false</ScaleCrop>
  <HeadingPairs>
    <vt:vector size="2" baseType="variant">
      <vt:variant>
        <vt:lpstr>Название</vt:lpstr>
      </vt:variant>
      <vt:variant>
        <vt:i4>1</vt:i4>
      </vt:variant>
    </vt:vector>
  </HeadingPairs>
  <TitlesOfParts>
    <vt:vector size="1" baseType="lpstr">
      <vt:lpstr/>
    </vt:vector>
  </TitlesOfParts>
  <LinksUpToDate>false</LinksUpToDate>
  <CharactersWithSpaces>246828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2020-08-18T12:15:00Z</dcterms:created>
  <dcterms:modified xsi:type="dcterms:W3CDTF">2020-08-27T09:26:00Z</dcterms:modified>
</cp:coreProperties>
</file>